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DD2C5A" w:rsidRPr="00842E73" w:rsidP="00FC4A69" w14:paraId="1021F648" w14:textId="35C4D1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842E73">
        <w:rPr>
          <w:rFonts w:ascii="Times New Roman" w:hAnsi="Times New Roman" w:cs="Times New Roman"/>
          <w:b/>
          <w:bCs/>
          <w:sz w:val="24"/>
          <w:szCs w:val="24"/>
        </w:rPr>
        <w:t>BEFORE</w:t>
      </w:r>
    </w:p>
    <w:p w:rsidR="00DD2C5A" w:rsidRPr="00842E73" w:rsidP="00FC4A69" w14:paraId="01F1EBD2" w14:textId="77777777">
      <w:pPr>
        <w:pStyle w:val="HTMLPreformatted"/>
        <w:jc w:val="center"/>
        <w:rPr>
          <w:rFonts w:ascii="Times New Roman" w:hAnsi="Times New Roman" w:cs="Times New Roman"/>
          <w:b/>
          <w:bCs/>
          <w:sz w:val="24"/>
          <w:szCs w:val="24"/>
        </w:rPr>
      </w:pPr>
      <w:r w:rsidRPr="00842E73">
        <w:rPr>
          <w:rFonts w:ascii="Times New Roman" w:hAnsi="Times New Roman" w:cs="Times New Roman"/>
          <w:b/>
          <w:bCs/>
          <w:sz w:val="24"/>
          <w:szCs w:val="24"/>
        </w:rPr>
        <w:t>THE PUBLIC UTILITIES COMMISSION OF OHIO</w:t>
      </w:r>
    </w:p>
    <w:p w:rsidR="00DD2C5A" w:rsidRPr="00842E73" w:rsidP="00DD2C5A" w14:paraId="38F08B97" w14:textId="77777777">
      <w:pPr>
        <w:pStyle w:val="HTMLPreformatted"/>
        <w:jc w:val="center"/>
        <w:rPr>
          <w:rFonts w:ascii="Times New Roman" w:hAnsi="Times New Roman" w:cs="Times New Roman"/>
          <w:b/>
          <w:bCs/>
          <w:sz w:val="24"/>
          <w:szCs w:val="24"/>
        </w:rPr>
      </w:pPr>
    </w:p>
    <w:tbl>
      <w:tblPr>
        <w:tblW w:w="8730" w:type="dxa"/>
        <w:tblInd w:w="0" w:type="dxa"/>
        <w:tblCellMar>
          <w:top w:w="0" w:type="dxa"/>
          <w:left w:w="108" w:type="dxa"/>
          <w:bottom w:w="0" w:type="dxa"/>
          <w:right w:w="108" w:type="dxa"/>
        </w:tblCellMar>
        <w:tblLook w:val="01E0"/>
      </w:tblPr>
      <w:tblGrid>
        <w:gridCol w:w="4122"/>
        <w:gridCol w:w="576"/>
        <w:gridCol w:w="4032"/>
      </w:tblGrid>
      <w:tr w14:paraId="3F1994D4" w14:textId="77777777" w:rsidTr="006B7D7A">
        <w:tblPrEx>
          <w:tblW w:w="8730" w:type="dxa"/>
          <w:tblInd w:w="0" w:type="dxa"/>
          <w:tblCellMar>
            <w:top w:w="0" w:type="dxa"/>
            <w:left w:w="108" w:type="dxa"/>
            <w:bottom w:w="0" w:type="dxa"/>
            <w:right w:w="108" w:type="dxa"/>
          </w:tblCellMar>
          <w:tblLook w:val="01E0"/>
        </w:tblPrEx>
        <w:trPr>
          <w:trHeight w:val="807"/>
        </w:trPr>
        <w:tc>
          <w:tcPr>
            <w:tcW w:w="4122" w:type="dxa"/>
          </w:tcPr>
          <w:p w:rsidR="00135E21" w:rsidRPr="00842E73" w:rsidP="006B7D7A" w14:paraId="6963AAFB" w14:textId="77777777">
            <w:pPr>
              <w:tabs>
                <w:tab w:val="left" w:pos="8730"/>
              </w:tabs>
              <w:adjustRightInd w:val="0"/>
              <w:spacing w:after="0" w:line="240" w:lineRule="auto"/>
              <w:ind w:right="155"/>
              <w:rPr>
                <w:rFonts w:ascii="Times New Roman" w:hAnsi="Times New Roman" w:eastAsiaTheme="minorHAnsi" w:cs="Times New Roman"/>
                <w:sz w:val="24"/>
                <w:szCs w:val="24"/>
                <w:lang w:val="en-US" w:eastAsia="en-US" w:bidi="ar-SA"/>
              </w:rPr>
            </w:pPr>
            <w:r w:rsidRPr="00842E73">
              <w:rPr>
                <w:rFonts w:ascii="Times New Roman" w:eastAsia="Calibri" w:hAnsi="Times New Roman" w:cs="Times New Roman"/>
                <w:sz w:val="24"/>
                <w:szCs w:val="24"/>
                <w:lang w:val="en-US" w:eastAsia="en-US" w:bidi="ar-SA"/>
              </w:rPr>
              <w:t xml:space="preserve">In the Matter of the Application of Ohio Edison Company, the Cleveland Electric Illuminating Company, and the Toledo Edison Company for Approval of Phase Two of Their Distribution Grid Modernization Plan. </w:t>
            </w:r>
          </w:p>
        </w:tc>
        <w:tc>
          <w:tcPr>
            <w:tcW w:w="576" w:type="dxa"/>
          </w:tcPr>
          <w:p w:rsidR="00135E21" w:rsidRPr="00842E73" w:rsidP="006B7D7A" w14:paraId="2FA34EE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842E73">
              <w:rPr>
                <w:rFonts w:ascii="Times New Roman" w:eastAsia="Courier New" w:hAnsi="Times New Roman" w:cs="Times New Roman"/>
                <w:sz w:val="24"/>
                <w:szCs w:val="24"/>
                <w:lang w:val="en-US" w:eastAsia="en-US" w:bidi="ar-SA"/>
              </w:rPr>
              <w:t>)</w:t>
            </w:r>
          </w:p>
          <w:p w:rsidR="00135E21" w:rsidRPr="00842E73" w:rsidP="006B7D7A" w14:paraId="2716C71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842E73">
              <w:rPr>
                <w:rFonts w:ascii="Times New Roman" w:eastAsia="Courier New" w:hAnsi="Times New Roman" w:cs="Times New Roman"/>
                <w:sz w:val="24"/>
                <w:szCs w:val="24"/>
                <w:lang w:val="en-US" w:eastAsia="en-US" w:bidi="ar-SA"/>
              </w:rPr>
              <w:t>)</w:t>
            </w:r>
          </w:p>
          <w:p w:rsidR="00135E21" w:rsidRPr="00842E73" w:rsidP="006B7D7A" w14:paraId="2FE088A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842E73">
              <w:rPr>
                <w:rFonts w:ascii="Times New Roman" w:eastAsia="Courier New" w:hAnsi="Times New Roman" w:cs="Times New Roman"/>
                <w:sz w:val="24"/>
                <w:szCs w:val="24"/>
                <w:lang w:val="en-US" w:eastAsia="en-US" w:bidi="ar-SA"/>
              </w:rPr>
              <w:t>)</w:t>
            </w:r>
          </w:p>
          <w:p w:rsidR="00135E21" w:rsidRPr="00842E73" w:rsidP="006B7D7A" w14:paraId="53E783E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842E73">
              <w:rPr>
                <w:rFonts w:ascii="Times New Roman" w:eastAsia="Courier New" w:hAnsi="Times New Roman" w:cs="Times New Roman"/>
                <w:sz w:val="24"/>
                <w:szCs w:val="24"/>
                <w:lang w:val="en-US" w:eastAsia="en-US" w:bidi="ar-SA"/>
              </w:rPr>
              <w:t>)</w:t>
            </w:r>
          </w:p>
          <w:p w:rsidR="00135E21" w:rsidRPr="00842E73" w:rsidP="006B7D7A" w14:paraId="73BCEE5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842E73">
              <w:rPr>
                <w:rFonts w:ascii="Times New Roman" w:eastAsia="Courier New" w:hAnsi="Times New Roman" w:cs="Times New Roman"/>
                <w:sz w:val="24"/>
                <w:szCs w:val="24"/>
                <w:lang w:val="en-US" w:eastAsia="en-US" w:bidi="ar-SA"/>
              </w:rPr>
              <w:t>)</w:t>
            </w:r>
          </w:p>
          <w:p w:rsidR="00135E21" w:rsidRPr="00842E73" w:rsidP="006B7D7A" w14:paraId="3CE1A715" w14:textId="3845E6BD">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842E73">
              <w:rPr>
                <w:rFonts w:ascii="Times New Roman" w:eastAsia="Courier New" w:hAnsi="Times New Roman" w:cs="Times New Roman"/>
                <w:sz w:val="24"/>
                <w:szCs w:val="24"/>
                <w:lang w:val="en-US" w:eastAsia="en-US" w:bidi="ar-SA"/>
              </w:rPr>
              <w:t>)</w:t>
            </w:r>
          </w:p>
        </w:tc>
        <w:tc>
          <w:tcPr>
            <w:tcW w:w="4032" w:type="dxa"/>
          </w:tcPr>
          <w:p w:rsidR="00135E21" w:rsidRPr="00842E73" w:rsidP="006B7D7A" w14:paraId="37D3B23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135E21" w:rsidRPr="00842E73" w:rsidP="006B7D7A" w14:paraId="4F67A1F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135E21" w:rsidRPr="00842E73" w:rsidP="006B7D7A" w14:paraId="55BC97D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842E73">
              <w:rPr>
                <w:rFonts w:ascii="Times New Roman" w:eastAsia="Courier New" w:hAnsi="Times New Roman" w:cs="Times New Roman"/>
                <w:sz w:val="24"/>
                <w:szCs w:val="24"/>
                <w:lang w:val="en-US" w:eastAsia="en-US" w:bidi="ar-SA"/>
              </w:rPr>
              <w:t>Case No. 22-704-EL-UNC</w:t>
            </w:r>
          </w:p>
        </w:tc>
      </w:tr>
    </w:tbl>
    <w:p w:rsidR="00D51A7D" w:rsidRPr="00842E73" w:rsidP="00D51A7D" w14:paraId="50A2A5EA" w14:textId="77777777">
      <w:pPr>
        <w:pStyle w:val="HTMLPreformatted"/>
        <w:jc w:val="center"/>
        <w:rPr>
          <w:rFonts w:ascii="Times New Roman" w:hAnsi="Times New Roman" w:cs="Times New Roman"/>
          <w:b/>
          <w:bCs/>
          <w:sz w:val="24"/>
          <w:szCs w:val="24"/>
        </w:rPr>
      </w:pPr>
    </w:p>
    <w:p w:rsidR="00D51A7D" w:rsidRPr="00842E73" w:rsidP="00D51A7D" w14:paraId="0AC3EDAF" w14:textId="77777777">
      <w:pPr>
        <w:pStyle w:val="HTMLPreformatted"/>
        <w:pBdr>
          <w:top w:val="single" w:sz="12" w:space="1" w:color="auto"/>
        </w:pBdr>
        <w:rPr>
          <w:rFonts w:ascii="Times New Roman" w:hAnsi="Times New Roman" w:cs="Times New Roman"/>
          <w:sz w:val="24"/>
          <w:szCs w:val="24"/>
        </w:rPr>
      </w:pPr>
    </w:p>
    <w:p w:rsidR="00D51A7D" w:rsidRPr="00842E73" w:rsidP="00D51A7D" w14:paraId="198206BA" w14:textId="175A54A7">
      <w:pPr>
        <w:widowControl w:val="0"/>
        <w:jc w:val="center"/>
        <w:rPr>
          <w:rFonts w:cs="Times New Roman"/>
          <w:b/>
          <w:szCs w:val="24"/>
        </w:rPr>
      </w:pPr>
      <w:r w:rsidRPr="00842E73">
        <w:rPr>
          <w:rFonts w:cs="Times New Roman"/>
          <w:b/>
          <w:szCs w:val="24"/>
        </w:rPr>
        <w:t>MOTION FOR STAY</w:t>
      </w:r>
      <w:r w:rsidRPr="00842E73" w:rsidR="0065195A">
        <w:rPr>
          <w:rFonts w:cs="Times New Roman"/>
          <w:b/>
          <w:szCs w:val="24"/>
        </w:rPr>
        <w:t xml:space="preserve"> </w:t>
      </w:r>
    </w:p>
    <w:p w:rsidR="00D51A7D" w:rsidRPr="00842E73" w:rsidP="00D51A7D" w14:paraId="2C48D13B" w14:textId="77777777">
      <w:pPr>
        <w:widowControl w:val="0"/>
        <w:jc w:val="center"/>
        <w:rPr>
          <w:rFonts w:cs="Times New Roman"/>
          <w:b/>
          <w:szCs w:val="24"/>
        </w:rPr>
      </w:pPr>
      <w:r w:rsidRPr="00842E73">
        <w:rPr>
          <w:rFonts w:cs="Times New Roman"/>
          <w:b/>
          <w:szCs w:val="24"/>
        </w:rPr>
        <w:t>BY</w:t>
      </w:r>
    </w:p>
    <w:p w:rsidR="00D51A7D" w:rsidRPr="00842E73" w:rsidP="00D51A7D" w14:paraId="008F9F1A" w14:textId="56EB2AA3">
      <w:pPr>
        <w:jc w:val="center"/>
        <w:rPr>
          <w:rFonts w:cs="Times New Roman"/>
          <w:b/>
          <w:szCs w:val="24"/>
        </w:rPr>
      </w:pPr>
      <w:r w:rsidRPr="00842E73">
        <w:rPr>
          <w:rFonts w:cs="Times New Roman"/>
          <w:b/>
          <w:szCs w:val="24"/>
        </w:rPr>
        <w:t>OFFICE OF THE OHIO CONSUMERS</w:t>
      </w:r>
      <w:r w:rsidR="00842E73">
        <w:rPr>
          <w:rFonts w:cs="Times New Roman"/>
          <w:b/>
          <w:szCs w:val="24"/>
        </w:rPr>
        <w:t>’</w:t>
      </w:r>
      <w:r w:rsidRPr="00842E73">
        <w:rPr>
          <w:rFonts w:cs="Times New Roman"/>
          <w:b/>
          <w:szCs w:val="24"/>
        </w:rPr>
        <w:t xml:space="preserve"> COUNSEL</w:t>
      </w:r>
    </w:p>
    <w:p w:rsidR="00D51A7D" w:rsidRPr="00842E73" w:rsidP="00D51A7D" w14:paraId="20D753AE" w14:textId="77777777">
      <w:pPr>
        <w:pBdr>
          <w:bottom w:val="single" w:sz="12" w:space="1" w:color="auto"/>
        </w:pBdr>
        <w:autoSpaceDE w:val="0"/>
        <w:autoSpaceDN w:val="0"/>
        <w:adjustRightInd w:val="0"/>
        <w:jc w:val="center"/>
        <w:rPr>
          <w:rFonts w:eastAsia="Calibri" w:cs="Times New Roman"/>
          <w:b/>
          <w:bCs/>
          <w:szCs w:val="24"/>
        </w:rPr>
      </w:pPr>
    </w:p>
    <w:p w:rsidR="00104F2D" w:rsidRPr="00842E73" w:rsidP="00104F2D" w14:paraId="63CB15C5" w14:textId="77777777">
      <w:pPr>
        <w:tabs>
          <w:tab w:val="left" w:pos="4836"/>
        </w:tabs>
        <w:rPr>
          <w:rFonts w:eastAsia="Calibri" w:cs="Times New Roman"/>
          <w:b/>
          <w:bCs/>
          <w:szCs w:val="24"/>
        </w:rPr>
      </w:pPr>
    </w:p>
    <w:p w:rsidR="00BB534C" w:rsidRPr="00842E73" w:rsidP="00104F2D" w14:paraId="62BA4B05" w14:textId="77777777">
      <w:pPr>
        <w:tabs>
          <w:tab w:val="left" w:pos="4836"/>
        </w:tabs>
        <w:rPr>
          <w:rFonts w:eastAsia="Calibri" w:cs="Times New Roman"/>
          <w:b/>
          <w:bCs/>
          <w:szCs w:val="24"/>
        </w:rPr>
      </w:pPr>
    </w:p>
    <w:p w:rsidR="00BF74E3" w:rsidRPr="00842E73" w:rsidP="00BF74E3" w14:paraId="43DECD17" w14:textId="77777777">
      <w:pPr>
        <w:tabs>
          <w:tab w:val="left" w:pos="2776"/>
        </w:tabs>
        <w:ind w:left="4230" w:right="339"/>
        <w:rPr>
          <w:rFonts w:cs="Times New Roman"/>
          <w:szCs w:val="24"/>
        </w:rPr>
      </w:pPr>
      <w:r w:rsidRPr="00842E73">
        <w:rPr>
          <w:rFonts w:cs="Times New Roman"/>
          <w:szCs w:val="24"/>
        </w:rPr>
        <w:t>Maureen R. Willis (0020847)</w:t>
      </w:r>
    </w:p>
    <w:p w:rsidR="00BF74E3" w:rsidRPr="00842E73" w:rsidP="00BF74E3" w14:paraId="556ECD36" w14:textId="34423ED1">
      <w:pPr>
        <w:tabs>
          <w:tab w:val="left" w:pos="2776"/>
        </w:tabs>
        <w:ind w:left="4230" w:right="339"/>
        <w:rPr>
          <w:rFonts w:cs="Times New Roman"/>
          <w:szCs w:val="24"/>
        </w:rPr>
      </w:pPr>
      <w:r w:rsidRPr="00842E73">
        <w:rPr>
          <w:rFonts w:cs="Times New Roman"/>
          <w:szCs w:val="24"/>
        </w:rPr>
        <w:t>Ohio Consumers</w:t>
      </w:r>
      <w:r w:rsidR="00842E73">
        <w:rPr>
          <w:rFonts w:cs="Times New Roman"/>
          <w:szCs w:val="24"/>
        </w:rPr>
        <w:t>’</w:t>
      </w:r>
      <w:r w:rsidRPr="00842E73">
        <w:rPr>
          <w:rFonts w:cs="Times New Roman"/>
          <w:szCs w:val="24"/>
        </w:rPr>
        <w:t xml:space="preserve"> Counsel</w:t>
      </w:r>
    </w:p>
    <w:p w:rsidR="00BF74E3" w:rsidRPr="00842E73" w:rsidP="00BF74E3" w14:paraId="16C37300" w14:textId="77777777">
      <w:pPr>
        <w:tabs>
          <w:tab w:val="left" w:pos="2776"/>
        </w:tabs>
        <w:ind w:left="4230" w:right="339"/>
        <w:rPr>
          <w:rFonts w:cs="Times New Roman"/>
          <w:szCs w:val="24"/>
        </w:rPr>
      </w:pPr>
      <w:r w:rsidRPr="00842E73">
        <w:rPr>
          <w:rFonts w:cs="Times New Roman"/>
          <w:szCs w:val="24"/>
        </w:rPr>
        <w:t xml:space="preserve"> </w:t>
      </w:r>
    </w:p>
    <w:p w:rsidR="00BF74E3" w:rsidRPr="00842E73" w:rsidP="00BF74E3" w14:paraId="631F8D6E" w14:textId="77777777">
      <w:pPr>
        <w:tabs>
          <w:tab w:val="left" w:pos="2776"/>
        </w:tabs>
        <w:ind w:left="4230" w:right="339"/>
        <w:rPr>
          <w:rFonts w:cs="Times New Roman"/>
          <w:szCs w:val="24"/>
        </w:rPr>
      </w:pPr>
      <w:r w:rsidRPr="00842E73">
        <w:rPr>
          <w:rFonts w:cs="Times New Roman"/>
          <w:szCs w:val="24"/>
        </w:rPr>
        <w:t>William J. Michael (0070921)</w:t>
      </w:r>
    </w:p>
    <w:p w:rsidR="00BF74E3" w:rsidRPr="00842E73" w:rsidP="00BF74E3" w14:paraId="4C81AB46" w14:textId="77777777">
      <w:pPr>
        <w:tabs>
          <w:tab w:val="left" w:pos="2776"/>
        </w:tabs>
        <w:ind w:left="4230" w:right="339"/>
        <w:rPr>
          <w:rFonts w:cs="Times New Roman"/>
          <w:szCs w:val="24"/>
        </w:rPr>
      </w:pPr>
      <w:r w:rsidRPr="00842E73">
        <w:rPr>
          <w:rFonts w:cs="Times New Roman"/>
          <w:szCs w:val="24"/>
        </w:rPr>
        <w:t>Counsel of Record</w:t>
      </w:r>
    </w:p>
    <w:p w:rsidR="00BF74E3" w:rsidRPr="00842E73" w:rsidP="00BF74E3" w14:paraId="25946F01" w14:textId="77777777">
      <w:pPr>
        <w:tabs>
          <w:tab w:val="left" w:pos="2776"/>
        </w:tabs>
        <w:ind w:left="4230" w:right="339"/>
        <w:rPr>
          <w:rFonts w:cs="Times New Roman"/>
          <w:szCs w:val="24"/>
        </w:rPr>
      </w:pPr>
      <w:r w:rsidRPr="00842E73">
        <w:rPr>
          <w:rFonts w:cs="Times New Roman"/>
          <w:szCs w:val="24"/>
        </w:rPr>
        <w:t>Donald J. Kral (0042091)</w:t>
      </w:r>
    </w:p>
    <w:p w:rsidR="00BF74E3" w:rsidRPr="00842E73" w:rsidP="00BF74E3" w14:paraId="4A733348" w14:textId="1D5E1C05">
      <w:pPr>
        <w:tabs>
          <w:tab w:val="left" w:pos="2776"/>
        </w:tabs>
        <w:ind w:left="4230" w:right="339"/>
        <w:rPr>
          <w:rFonts w:cs="Times New Roman"/>
          <w:szCs w:val="24"/>
        </w:rPr>
      </w:pPr>
      <w:r w:rsidRPr="00842E73">
        <w:rPr>
          <w:rFonts w:cs="Times New Roman"/>
          <w:szCs w:val="24"/>
        </w:rPr>
        <w:t>Assistant Consumers</w:t>
      </w:r>
      <w:r w:rsidR="00842E73">
        <w:rPr>
          <w:rFonts w:cs="Times New Roman"/>
          <w:szCs w:val="24"/>
        </w:rPr>
        <w:t>’</w:t>
      </w:r>
      <w:r w:rsidRPr="00842E73">
        <w:rPr>
          <w:rFonts w:cs="Times New Roman"/>
          <w:szCs w:val="24"/>
        </w:rPr>
        <w:t xml:space="preserve"> Counsel</w:t>
      </w:r>
    </w:p>
    <w:p w:rsidR="00BF74E3" w:rsidRPr="00842E73" w:rsidP="00BF74E3" w14:paraId="40833AA8" w14:textId="77777777">
      <w:pPr>
        <w:tabs>
          <w:tab w:val="left" w:pos="2776"/>
        </w:tabs>
        <w:ind w:left="4230" w:right="339"/>
        <w:rPr>
          <w:rFonts w:cs="Times New Roman"/>
          <w:szCs w:val="24"/>
        </w:rPr>
      </w:pPr>
      <w:r w:rsidRPr="00842E73">
        <w:rPr>
          <w:rFonts w:cs="Times New Roman"/>
          <w:szCs w:val="24"/>
        </w:rPr>
        <w:tab/>
      </w:r>
    </w:p>
    <w:p w:rsidR="00BF74E3" w:rsidRPr="00842E73" w:rsidP="00BF74E3" w14:paraId="056E0F49" w14:textId="5BF30E09">
      <w:pPr>
        <w:tabs>
          <w:tab w:val="left" w:pos="2776"/>
        </w:tabs>
        <w:ind w:left="4230" w:right="339"/>
        <w:rPr>
          <w:rFonts w:cs="Times New Roman"/>
          <w:b/>
          <w:bCs/>
          <w:szCs w:val="24"/>
        </w:rPr>
      </w:pPr>
      <w:r w:rsidRPr="00842E73">
        <w:rPr>
          <w:rFonts w:cs="Times New Roman"/>
          <w:b/>
          <w:bCs/>
          <w:szCs w:val="24"/>
        </w:rPr>
        <w:t>Office of the Ohio Consumers</w:t>
      </w:r>
      <w:r w:rsidR="00842E73">
        <w:rPr>
          <w:rFonts w:cs="Times New Roman"/>
          <w:b/>
          <w:bCs/>
          <w:szCs w:val="24"/>
        </w:rPr>
        <w:t>’</w:t>
      </w:r>
      <w:r w:rsidRPr="00842E73">
        <w:rPr>
          <w:rFonts w:cs="Times New Roman"/>
          <w:b/>
          <w:bCs/>
          <w:szCs w:val="24"/>
        </w:rPr>
        <w:t xml:space="preserve"> Counsel</w:t>
      </w:r>
    </w:p>
    <w:p w:rsidR="00BF74E3" w:rsidRPr="00842E73" w:rsidP="00BF74E3" w14:paraId="6A4D053C" w14:textId="77777777">
      <w:pPr>
        <w:tabs>
          <w:tab w:val="left" w:pos="2776"/>
        </w:tabs>
        <w:ind w:left="4230" w:right="339"/>
        <w:rPr>
          <w:rFonts w:cs="Times New Roman"/>
          <w:szCs w:val="24"/>
        </w:rPr>
      </w:pPr>
      <w:r w:rsidRPr="00842E73">
        <w:rPr>
          <w:rFonts w:cs="Times New Roman"/>
          <w:szCs w:val="24"/>
        </w:rPr>
        <w:t>65 East State Street, Suite 700</w:t>
      </w:r>
    </w:p>
    <w:p w:rsidR="00BF74E3" w:rsidRPr="00842E73" w:rsidP="00BF74E3" w14:paraId="27CEC4F6" w14:textId="77777777">
      <w:pPr>
        <w:tabs>
          <w:tab w:val="left" w:pos="2776"/>
        </w:tabs>
        <w:ind w:left="4230" w:right="339"/>
        <w:rPr>
          <w:rFonts w:cs="Times New Roman"/>
          <w:szCs w:val="24"/>
        </w:rPr>
      </w:pPr>
      <w:r w:rsidRPr="00842E73">
        <w:rPr>
          <w:rFonts w:cs="Times New Roman"/>
          <w:szCs w:val="24"/>
        </w:rPr>
        <w:t>Columbus, Ohio 43215</w:t>
      </w:r>
    </w:p>
    <w:p w:rsidR="00BF74E3" w:rsidRPr="00842E73" w:rsidP="00BF74E3" w14:paraId="4266D600" w14:textId="77777777">
      <w:pPr>
        <w:tabs>
          <w:tab w:val="left" w:pos="2776"/>
        </w:tabs>
        <w:ind w:left="4230" w:right="339"/>
        <w:rPr>
          <w:rFonts w:cs="Times New Roman"/>
          <w:szCs w:val="24"/>
        </w:rPr>
      </w:pPr>
      <w:r w:rsidRPr="00842E73">
        <w:rPr>
          <w:rFonts w:cs="Times New Roman"/>
          <w:szCs w:val="24"/>
        </w:rPr>
        <w:t>Telephone [Michael]: (614) 466-1291</w:t>
      </w:r>
    </w:p>
    <w:p w:rsidR="00BF74E3" w:rsidRPr="00842E73" w:rsidP="00BF74E3" w14:paraId="7E2CA686" w14:textId="77777777">
      <w:pPr>
        <w:tabs>
          <w:tab w:val="left" w:pos="2776"/>
        </w:tabs>
        <w:ind w:left="4230" w:right="339"/>
        <w:rPr>
          <w:rFonts w:cs="Times New Roman"/>
          <w:szCs w:val="24"/>
        </w:rPr>
      </w:pPr>
      <w:r w:rsidRPr="00842E73">
        <w:rPr>
          <w:rFonts w:cs="Times New Roman"/>
          <w:szCs w:val="24"/>
        </w:rPr>
        <w:t>Telephone: [Kral]: (614) 466-9571</w:t>
      </w:r>
    </w:p>
    <w:p w:rsidR="00BF74E3" w:rsidRPr="00842E73" w:rsidP="00BF74E3" w14:paraId="11FD4B6F" w14:textId="77777777">
      <w:pPr>
        <w:tabs>
          <w:tab w:val="left" w:pos="2776"/>
        </w:tabs>
        <w:ind w:left="4230" w:right="339"/>
        <w:rPr>
          <w:rFonts w:cs="Times New Roman"/>
          <w:szCs w:val="24"/>
        </w:rPr>
      </w:pPr>
      <w:hyperlink r:id="rId6" w:history="1">
        <w:r w:rsidRPr="00842E73">
          <w:rPr>
            <w:rStyle w:val="Hyperlink"/>
            <w:rFonts w:cs="Times New Roman"/>
            <w:szCs w:val="24"/>
          </w:rPr>
          <w:t>william.michael@occ.ohio.gov</w:t>
        </w:r>
      </w:hyperlink>
    </w:p>
    <w:p w:rsidR="00BF74E3" w:rsidRPr="00842E73" w:rsidP="00BF74E3" w14:paraId="3D439267" w14:textId="77777777">
      <w:pPr>
        <w:tabs>
          <w:tab w:val="left" w:pos="2776"/>
        </w:tabs>
        <w:ind w:left="4230" w:right="339"/>
        <w:rPr>
          <w:rFonts w:cs="Times New Roman"/>
          <w:szCs w:val="24"/>
        </w:rPr>
      </w:pPr>
      <w:hyperlink r:id="rId7" w:history="1">
        <w:r w:rsidRPr="00842E73">
          <w:rPr>
            <w:rStyle w:val="Hyperlink"/>
            <w:rFonts w:cs="Times New Roman"/>
            <w:szCs w:val="24"/>
          </w:rPr>
          <w:t>donald.kral@occ.ohio.gov</w:t>
        </w:r>
      </w:hyperlink>
    </w:p>
    <w:p w:rsidR="00BF74E3" w:rsidRPr="00842E73" w:rsidP="00BF74E3" w14:paraId="7CA5BA51" w14:textId="2A035E94">
      <w:pPr>
        <w:ind w:left="4230" w:hanging="4230"/>
        <w:rPr>
          <w:rFonts w:eastAsia="Calibri" w:cs="Times New Roman"/>
          <w:b/>
          <w:bCs/>
          <w:szCs w:val="24"/>
        </w:rPr>
      </w:pPr>
      <w:r w:rsidRPr="00842E73">
        <w:rPr>
          <w:rFonts w:cs="Times New Roman"/>
          <w:szCs w:val="24"/>
        </w:rPr>
        <w:t>January 22, 2024</w:t>
      </w:r>
      <w:r w:rsidRPr="00842E73">
        <w:rPr>
          <w:rFonts w:cs="Times New Roman"/>
          <w:szCs w:val="24"/>
        </w:rPr>
        <w:tab/>
        <w:t>(willing to accept service by e-mail)</w:t>
      </w:r>
    </w:p>
    <w:p w:rsidR="00BF74E3" w:rsidRPr="00842E73" w:rsidP="00BF74E3" w14:paraId="5C3F5049" w14:textId="77777777">
      <w:pPr>
        <w:rPr>
          <w:rFonts w:eastAsia="Calibri" w:cs="Times New Roman"/>
          <w:b/>
          <w:bCs/>
          <w:szCs w:val="24"/>
        </w:rPr>
      </w:pPr>
    </w:p>
    <w:p w:rsidR="00BF74E3" w:rsidRPr="00842E73" w:rsidP="00BF74E3" w14:paraId="024A3E9F" w14:textId="11C16E09">
      <w:pPr>
        <w:rPr>
          <w:rFonts w:cs="Times New Roman"/>
          <w:szCs w:val="24"/>
        </w:rPr>
        <w:sectPr w:rsidSect="009B5D0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60"/>
        </w:sectPr>
      </w:pPr>
    </w:p>
    <w:p w:rsidR="005F5F63" w:rsidRPr="00842E73" w:rsidP="005F5F63" w14:paraId="02045942"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Toc128394973"/>
      <w:r w:rsidRPr="00842E73">
        <w:rPr>
          <w:rFonts w:ascii="Times New Roman" w:hAnsi="Times New Roman" w:cs="Times New Roman"/>
          <w:b/>
          <w:bCs/>
          <w:sz w:val="24"/>
          <w:szCs w:val="24"/>
        </w:rPr>
        <w:t>BEFORE</w:t>
      </w:r>
    </w:p>
    <w:p w:rsidR="005F5F63" w:rsidRPr="00842E73" w:rsidP="005F5F63" w14:paraId="7BE0E8A1" w14:textId="77777777">
      <w:pPr>
        <w:pStyle w:val="HTMLPreformatted"/>
        <w:jc w:val="center"/>
        <w:rPr>
          <w:rFonts w:ascii="Times New Roman" w:hAnsi="Times New Roman" w:cs="Times New Roman"/>
          <w:b/>
          <w:bCs/>
          <w:sz w:val="24"/>
          <w:szCs w:val="24"/>
        </w:rPr>
      </w:pPr>
      <w:r w:rsidRPr="00842E73">
        <w:rPr>
          <w:rFonts w:ascii="Times New Roman" w:hAnsi="Times New Roman" w:cs="Times New Roman"/>
          <w:b/>
          <w:bCs/>
          <w:sz w:val="24"/>
          <w:szCs w:val="24"/>
        </w:rPr>
        <w:t>THE PUBLIC UTILITIES COMMISSION OF OHIO</w:t>
      </w:r>
    </w:p>
    <w:p w:rsidR="005F5F63" w:rsidRPr="00842E73" w:rsidP="005F5F63" w14:paraId="7E495668" w14:textId="77777777">
      <w:pPr>
        <w:pStyle w:val="HTMLPreformatted"/>
        <w:jc w:val="center"/>
        <w:rPr>
          <w:rFonts w:ascii="Times New Roman" w:hAnsi="Times New Roman" w:cs="Times New Roman"/>
          <w:b/>
          <w:bCs/>
          <w:sz w:val="24"/>
          <w:szCs w:val="24"/>
        </w:rPr>
      </w:pPr>
    </w:p>
    <w:tbl>
      <w:tblPr>
        <w:tblW w:w="8730" w:type="dxa"/>
        <w:tblInd w:w="0" w:type="dxa"/>
        <w:tblCellMar>
          <w:top w:w="0" w:type="dxa"/>
          <w:left w:w="108" w:type="dxa"/>
          <w:bottom w:w="0" w:type="dxa"/>
          <w:right w:w="108" w:type="dxa"/>
        </w:tblCellMar>
        <w:tblLook w:val="01E0"/>
      </w:tblPr>
      <w:tblGrid>
        <w:gridCol w:w="4122"/>
        <w:gridCol w:w="576"/>
        <w:gridCol w:w="4032"/>
      </w:tblGrid>
      <w:tr w14:paraId="10A40FE2" w14:textId="77777777" w:rsidTr="006B7D7A">
        <w:tblPrEx>
          <w:tblW w:w="8730" w:type="dxa"/>
          <w:tblInd w:w="0" w:type="dxa"/>
          <w:tblCellMar>
            <w:top w:w="0" w:type="dxa"/>
            <w:left w:w="108" w:type="dxa"/>
            <w:bottom w:w="0" w:type="dxa"/>
            <w:right w:w="108" w:type="dxa"/>
          </w:tblCellMar>
          <w:tblLook w:val="01E0"/>
        </w:tblPrEx>
        <w:trPr>
          <w:trHeight w:val="807"/>
        </w:trPr>
        <w:tc>
          <w:tcPr>
            <w:tcW w:w="4122" w:type="dxa"/>
          </w:tcPr>
          <w:p w:rsidR="005F5F63" w:rsidRPr="00842E73" w:rsidP="006B7D7A" w14:paraId="5E84D688" w14:textId="77777777">
            <w:pPr>
              <w:tabs>
                <w:tab w:val="left" w:pos="8730"/>
              </w:tabs>
              <w:adjustRightInd w:val="0"/>
              <w:spacing w:after="0" w:line="240" w:lineRule="auto"/>
              <w:ind w:right="155"/>
              <w:rPr>
                <w:rFonts w:ascii="Times New Roman" w:hAnsi="Times New Roman" w:eastAsiaTheme="minorHAnsi" w:cs="Times New Roman"/>
                <w:sz w:val="24"/>
                <w:szCs w:val="24"/>
                <w:lang w:val="en-US" w:eastAsia="en-US" w:bidi="ar-SA"/>
              </w:rPr>
            </w:pPr>
            <w:r w:rsidRPr="00842E73">
              <w:rPr>
                <w:rFonts w:ascii="Times New Roman" w:eastAsia="Calibri" w:hAnsi="Times New Roman" w:cs="Times New Roman"/>
                <w:sz w:val="24"/>
                <w:szCs w:val="24"/>
                <w:lang w:val="en-US" w:eastAsia="en-US" w:bidi="ar-SA"/>
              </w:rPr>
              <w:t xml:space="preserve">In the Matter of the Application of Ohio Edison Company, the Cleveland Electric Illuminating Company, and the Toledo Edison Company for Approval of Phase Two of Their Distribution Grid Modernization Plan. </w:t>
            </w:r>
          </w:p>
        </w:tc>
        <w:tc>
          <w:tcPr>
            <w:tcW w:w="576" w:type="dxa"/>
          </w:tcPr>
          <w:p w:rsidR="005F5F63" w:rsidRPr="00842E73" w:rsidP="006B7D7A" w14:paraId="2926F7E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842E73">
              <w:rPr>
                <w:rFonts w:ascii="Times New Roman" w:eastAsia="Courier New" w:hAnsi="Times New Roman" w:cs="Times New Roman"/>
                <w:sz w:val="24"/>
                <w:szCs w:val="24"/>
                <w:lang w:val="en-US" w:eastAsia="en-US" w:bidi="ar-SA"/>
              </w:rPr>
              <w:t>)</w:t>
            </w:r>
          </w:p>
          <w:p w:rsidR="005F5F63" w:rsidRPr="00842E73" w:rsidP="006B7D7A" w14:paraId="5700F9E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842E73">
              <w:rPr>
                <w:rFonts w:ascii="Times New Roman" w:eastAsia="Courier New" w:hAnsi="Times New Roman" w:cs="Times New Roman"/>
                <w:sz w:val="24"/>
                <w:szCs w:val="24"/>
                <w:lang w:val="en-US" w:eastAsia="en-US" w:bidi="ar-SA"/>
              </w:rPr>
              <w:t>)</w:t>
            </w:r>
          </w:p>
          <w:p w:rsidR="005F5F63" w:rsidRPr="00842E73" w:rsidP="006B7D7A" w14:paraId="5B7F504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842E73">
              <w:rPr>
                <w:rFonts w:ascii="Times New Roman" w:eastAsia="Courier New" w:hAnsi="Times New Roman" w:cs="Times New Roman"/>
                <w:sz w:val="24"/>
                <w:szCs w:val="24"/>
                <w:lang w:val="en-US" w:eastAsia="en-US" w:bidi="ar-SA"/>
              </w:rPr>
              <w:t>)</w:t>
            </w:r>
          </w:p>
          <w:p w:rsidR="005F5F63" w:rsidRPr="00842E73" w:rsidP="006B7D7A" w14:paraId="3E38AE2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842E73">
              <w:rPr>
                <w:rFonts w:ascii="Times New Roman" w:eastAsia="Courier New" w:hAnsi="Times New Roman" w:cs="Times New Roman"/>
                <w:sz w:val="24"/>
                <w:szCs w:val="24"/>
                <w:lang w:val="en-US" w:eastAsia="en-US" w:bidi="ar-SA"/>
              </w:rPr>
              <w:t>)</w:t>
            </w:r>
          </w:p>
          <w:p w:rsidR="005F5F63" w:rsidRPr="00842E73" w:rsidP="006B7D7A" w14:paraId="1F7EFF7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842E73">
              <w:rPr>
                <w:rFonts w:ascii="Times New Roman" w:eastAsia="Courier New" w:hAnsi="Times New Roman" w:cs="Times New Roman"/>
                <w:sz w:val="24"/>
                <w:szCs w:val="24"/>
                <w:lang w:val="en-US" w:eastAsia="en-US" w:bidi="ar-SA"/>
              </w:rPr>
              <w:t>)</w:t>
            </w:r>
          </w:p>
          <w:p w:rsidR="005F5F63" w:rsidRPr="00842E73" w:rsidP="006B7D7A" w14:paraId="661C440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842E73">
              <w:rPr>
                <w:rFonts w:ascii="Times New Roman" w:eastAsia="Courier New" w:hAnsi="Times New Roman" w:cs="Times New Roman"/>
                <w:sz w:val="24"/>
                <w:szCs w:val="24"/>
                <w:lang w:val="en-US" w:eastAsia="en-US" w:bidi="ar-SA"/>
              </w:rPr>
              <w:t>)</w:t>
            </w:r>
          </w:p>
        </w:tc>
        <w:tc>
          <w:tcPr>
            <w:tcW w:w="4032" w:type="dxa"/>
          </w:tcPr>
          <w:p w:rsidR="005F5F63" w:rsidRPr="00842E73" w:rsidP="006B7D7A" w14:paraId="656A0C9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5F5F63" w:rsidRPr="00842E73" w:rsidP="006B7D7A" w14:paraId="3072E7F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5F5F63" w:rsidRPr="00842E73" w:rsidP="006B7D7A" w14:paraId="433984A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842E73">
              <w:rPr>
                <w:rFonts w:ascii="Times New Roman" w:eastAsia="Courier New" w:hAnsi="Times New Roman" w:cs="Times New Roman"/>
                <w:sz w:val="24"/>
                <w:szCs w:val="24"/>
                <w:lang w:val="en-US" w:eastAsia="en-US" w:bidi="ar-SA"/>
              </w:rPr>
              <w:t>Case No. 22-704-EL-UNC</w:t>
            </w:r>
          </w:p>
        </w:tc>
      </w:tr>
    </w:tbl>
    <w:p w:rsidR="005F5F63" w:rsidRPr="00842E73" w:rsidP="005F5F63" w14:paraId="01021092" w14:textId="77777777">
      <w:pPr>
        <w:pStyle w:val="HTMLPreformatted"/>
        <w:jc w:val="center"/>
        <w:rPr>
          <w:rFonts w:ascii="Times New Roman" w:hAnsi="Times New Roman" w:cs="Times New Roman"/>
          <w:b/>
          <w:bCs/>
          <w:sz w:val="24"/>
          <w:szCs w:val="24"/>
        </w:rPr>
      </w:pPr>
    </w:p>
    <w:p w:rsidR="005F5F63" w:rsidRPr="00842E73" w:rsidP="005F5F63" w14:paraId="47425EBF" w14:textId="77777777">
      <w:pPr>
        <w:pStyle w:val="HTMLPreformatted"/>
        <w:pBdr>
          <w:top w:val="single" w:sz="12" w:space="1" w:color="auto"/>
        </w:pBdr>
        <w:rPr>
          <w:rFonts w:ascii="Times New Roman" w:hAnsi="Times New Roman" w:cs="Times New Roman"/>
          <w:sz w:val="24"/>
          <w:szCs w:val="24"/>
        </w:rPr>
      </w:pPr>
    </w:p>
    <w:p w:rsidR="005F5F63" w:rsidRPr="00842E73" w:rsidP="005F5F63" w14:paraId="58399795" w14:textId="77777777">
      <w:pPr>
        <w:widowControl w:val="0"/>
        <w:jc w:val="center"/>
        <w:rPr>
          <w:rFonts w:cs="Times New Roman"/>
          <w:b/>
          <w:szCs w:val="24"/>
        </w:rPr>
      </w:pPr>
      <w:r w:rsidRPr="00842E73">
        <w:rPr>
          <w:rFonts w:cs="Times New Roman"/>
          <w:b/>
          <w:szCs w:val="24"/>
        </w:rPr>
        <w:t xml:space="preserve">MOTION FOR STAY </w:t>
      </w:r>
    </w:p>
    <w:p w:rsidR="005F5F63" w:rsidRPr="00842E73" w:rsidP="005F5F63" w14:paraId="34791E66" w14:textId="77777777">
      <w:pPr>
        <w:widowControl w:val="0"/>
        <w:jc w:val="center"/>
        <w:rPr>
          <w:rFonts w:cs="Times New Roman"/>
          <w:b/>
          <w:szCs w:val="24"/>
        </w:rPr>
      </w:pPr>
      <w:r w:rsidRPr="00842E73">
        <w:rPr>
          <w:rFonts w:cs="Times New Roman"/>
          <w:b/>
          <w:szCs w:val="24"/>
        </w:rPr>
        <w:t>BY</w:t>
      </w:r>
    </w:p>
    <w:p w:rsidR="005F5F63" w:rsidRPr="00842E73" w:rsidP="005F5F63" w14:paraId="6C7104B2" w14:textId="338C9A8F">
      <w:pPr>
        <w:jc w:val="center"/>
        <w:rPr>
          <w:rFonts w:cs="Times New Roman"/>
          <w:b/>
          <w:szCs w:val="24"/>
        </w:rPr>
      </w:pPr>
      <w:r w:rsidRPr="00842E73">
        <w:rPr>
          <w:rFonts w:cs="Times New Roman"/>
          <w:b/>
          <w:szCs w:val="24"/>
        </w:rPr>
        <w:t>OFFICE OF THE OHIO CONSUMERS</w:t>
      </w:r>
      <w:r w:rsidR="00842E73">
        <w:rPr>
          <w:rFonts w:cs="Times New Roman"/>
          <w:b/>
          <w:szCs w:val="24"/>
        </w:rPr>
        <w:t>’</w:t>
      </w:r>
      <w:r w:rsidRPr="00842E73">
        <w:rPr>
          <w:rFonts w:cs="Times New Roman"/>
          <w:b/>
          <w:szCs w:val="24"/>
        </w:rPr>
        <w:t xml:space="preserve"> COUNSEL</w:t>
      </w:r>
    </w:p>
    <w:p w:rsidR="005F5F63" w:rsidRPr="00842E73" w:rsidP="005F5F63" w14:paraId="46B124F0" w14:textId="77777777">
      <w:pPr>
        <w:pStyle w:val="HTMLPreformatted"/>
        <w:jc w:val="center"/>
        <w:rPr>
          <w:rFonts w:ascii="Times New Roman" w:hAnsi="Times New Roman" w:cs="Times New Roman"/>
          <w:b/>
          <w:bCs/>
          <w:sz w:val="24"/>
          <w:szCs w:val="24"/>
        </w:rPr>
      </w:pPr>
    </w:p>
    <w:p w:rsidR="005F5F63" w:rsidRPr="00842E73" w:rsidP="005F5F63" w14:paraId="14E2E4E1" w14:textId="77777777">
      <w:pPr>
        <w:pStyle w:val="HTMLPreformatted"/>
        <w:pBdr>
          <w:top w:val="single" w:sz="12" w:space="1" w:color="auto"/>
        </w:pBdr>
        <w:rPr>
          <w:rFonts w:ascii="Times New Roman" w:hAnsi="Times New Roman" w:cs="Times New Roman"/>
          <w:sz w:val="24"/>
          <w:szCs w:val="24"/>
        </w:rPr>
      </w:pPr>
    </w:p>
    <w:p w:rsidR="00A80022" w:rsidRPr="00842E73" w:rsidP="00F66250" w14:paraId="23568B2E" w14:textId="39053CC4">
      <w:pPr>
        <w:pStyle w:val="BodyTextIndent3"/>
        <w:widowControl w:val="0"/>
        <w:spacing w:line="480" w:lineRule="auto"/>
        <w:rPr>
          <w:szCs w:val="24"/>
        </w:rPr>
      </w:pPr>
      <w:r w:rsidRPr="00842E73">
        <w:rPr>
          <w:szCs w:val="24"/>
        </w:rPr>
        <w:t xml:space="preserve">New information has come to light that may directly impact the charges </w:t>
      </w:r>
      <w:r w:rsidRPr="00842E73" w:rsidR="000C4829">
        <w:rPr>
          <w:szCs w:val="24"/>
        </w:rPr>
        <w:t xml:space="preserve">to consumers for </w:t>
      </w:r>
      <w:r w:rsidRPr="00842E73" w:rsidR="001A0FA5">
        <w:rPr>
          <w:szCs w:val="24"/>
        </w:rPr>
        <w:t>FirstEnergy</w:t>
      </w:r>
      <w:r w:rsidR="00842E73">
        <w:rPr>
          <w:szCs w:val="24"/>
        </w:rPr>
        <w:t>’</w:t>
      </w:r>
      <w:r w:rsidRPr="00842E73" w:rsidR="001A0FA5">
        <w:rPr>
          <w:szCs w:val="24"/>
        </w:rPr>
        <w:t>s</w:t>
      </w:r>
      <w:r w:rsidRPr="00842E73" w:rsidR="000C4829">
        <w:rPr>
          <w:szCs w:val="24"/>
        </w:rPr>
        <w:t xml:space="preserve"> distribution grid modernization plan</w:t>
      </w:r>
      <w:r w:rsidRPr="00842E73">
        <w:rPr>
          <w:szCs w:val="24"/>
        </w:rPr>
        <w:t xml:space="preserve">. </w:t>
      </w:r>
      <w:r w:rsidRPr="00842E73">
        <w:rPr>
          <w:color w:val="000000" w:themeColor="text1"/>
          <w:szCs w:val="24"/>
          <w:shd w:val="clear" w:color="auto" w:fill="FFFFFF"/>
        </w:rPr>
        <w:t xml:space="preserve">Recently, </w:t>
      </w:r>
      <w:r w:rsidRPr="00842E73">
        <w:rPr>
          <w:szCs w:val="24"/>
        </w:rPr>
        <w:t>former PUCO Chair Randazzo was criminally indicted on eleven counts related to bribery and embezzlement, including an alleged conspiracy scheme and scheme to defraud customers dating back to 2010.</w:t>
      </w:r>
      <w:r>
        <w:rPr>
          <w:rStyle w:val="FootnoteReference"/>
          <w:szCs w:val="24"/>
        </w:rPr>
        <w:footnoteReference w:id="2"/>
      </w:r>
      <w:r w:rsidRPr="00842E73">
        <w:rPr>
          <w:szCs w:val="24"/>
        </w:rPr>
        <w:t xml:space="preserve"> The </w:t>
      </w:r>
      <w:r w:rsidRPr="00842E73" w:rsidR="005B4181">
        <w:rPr>
          <w:szCs w:val="24"/>
        </w:rPr>
        <w:t xml:space="preserve">FirstEnergy/Randazzo </w:t>
      </w:r>
      <w:r w:rsidRPr="00842E73">
        <w:rPr>
          <w:szCs w:val="24"/>
        </w:rPr>
        <w:t>scheme</w:t>
      </w:r>
      <w:r w:rsidRPr="00842E73" w:rsidR="00484034">
        <w:rPr>
          <w:szCs w:val="24"/>
        </w:rPr>
        <w:t xml:space="preserve"> </w:t>
      </w:r>
      <w:r w:rsidRPr="00842E73" w:rsidR="004A55DD">
        <w:rPr>
          <w:szCs w:val="24"/>
        </w:rPr>
        <w:t>impacted FirstEnergy</w:t>
      </w:r>
      <w:r w:rsidR="00842E73">
        <w:rPr>
          <w:szCs w:val="24"/>
        </w:rPr>
        <w:t>’</w:t>
      </w:r>
      <w:r w:rsidRPr="00842E73" w:rsidR="004A55DD">
        <w:rPr>
          <w:szCs w:val="24"/>
        </w:rPr>
        <w:t>s grid modernization plan.</w:t>
      </w:r>
      <w:r w:rsidRPr="00842E73" w:rsidR="00484034">
        <w:rPr>
          <w:szCs w:val="24"/>
        </w:rPr>
        <w:t xml:space="preserve"> </w:t>
      </w:r>
    </w:p>
    <w:p w:rsidR="004A55DD" w:rsidRPr="00842E73" w:rsidP="00F66250" w14:paraId="72A43AFF" w14:textId="6F32626A">
      <w:pPr>
        <w:pStyle w:val="BodyTextIndent3"/>
        <w:widowControl w:val="0"/>
        <w:spacing w:line="480" w:lineRule="auto"/>
        <w:rPr>
          <w:szCs w:val="24"/>
        </w:rPr>
      </w:pPr>
      <w:r w:rsidRPr="00842E73">
        <w:rPr>
          <w:szCs w:val="24"/>
        </w:rPr>
        <w:t>In light of this new information and the impact that the criminal proceeding could have on grid modernization charges to consumers and the legitimacy of those costs under FirstEnergy</w:t>
      </w:r>
      <w:r w:rsidR="00842E73">
        <w:rPr>
          <w:szCs w:val="24"/>
        </w:rPr>
        <w:t>’</w:t>
      </w:r>
      <w:r w:rsidRPr="00842E73">
        <w:rPr>
          <w:szCs w:val="24"/>
        </w:rPr>
        <w:t xml:space="preserve">s </w:t>
      </w:r>
      <w:r w:rsidRPr="00842E73" w:rsidR="0001744C">
        <w:rPr>
          <w:szCs w:val="24"/>
        </w:rPr>
        <w:t>Advanced Metering Infrastructure Rider (</w:t>
      </w:r>
      <w:r w:rsidR="00842E73">
        <w:rPr>
          <w:szCs w:val="24"/>
        </w:rPr>
        <w:t>“</w:t>
      </w:r>
      <w:r w:rsidRPr="00842E73">
        <w:rPr>
          <w:szCs w:val="24"/>
        </w:rPr>
        <w:t>Rider AMI</w:t>
      </w:r>
      <w:r w:rsidR="00842E73">
        <w:rPr>
          <w:szCs w:val="24"/>
        </w:rPr>
        <w:t>”</w:t>
      </w:r>
      <w:r w:rsidRPr="00842E73" w:rsidR="0001744C">
        <w:rPr>
          <w:szCs w:val="24"/>
        </w:rPr>
        <w:t>)</w:t>
      </w:r>
      <w:r w:rsidRPr="00842E73">
        <w:rPr>
          <w:szCs w:val="24"/>
        </w:rPr>
        <w:t xml:space="preserve">, it is imperative that the PUCO protect consumers by </w:t>
      </w:r>
      <w:r w:rsidRPr="00842E73" w:rsidR="00C52641">
        <w:rPr>
          <w:szCs w:val="24"/>
        </w:rPr>
        <w:t>staying</w:t>
      </w:r>
      <w:r w:rsidRPr="00842E73">
        <w:rPr>
          <w:szCs w:val="24"/>
        </w:rPr>
        <w:t xml:space="preserve"> this case until after FirstEnergy</w:t>
      </w:r>
      <w:r w:rsidR="00842E73">
        <w:rPr>
          <w:szCs w:val="24"/>
        </w:rPr>
        <w:t>’</w:t>
      </w:r>
      <w:r w:rsidRPr="00842E73">
        <w:rPr>
          <w:szCs w:val="24"/>
        </w:rPr>
        <w:t>s next distribution rate case and after the House Bill 6 (</w:t>
      </w:r>
      <w:r w:rsidR="00842E73">
        <w:rPr>
          <w:szCs w:val="24"/>
        </w:rPr>
        <w:t>“</w:t>
      </w:r>
      <w:r w:rsidRPr="00842E73">
        <w:rPr>
          <w:szCs w:val="24"/>
        </w:rPr>
        <w:t>H.B. 6</w:t>
      </w:r>
      <w:r w:rsidR="00842E73">
        <w:rPr>
          <w:szCs w:val="24"/>
        </w:rPr>
        <w:t>”</w:t>
      </w:r>
      <w:r w:rsidRPr="00842E73" w:rsidR="0001744C">
        <w:rPr>
          <w:szCs w:val="24"/>
        </w:rPr>
        <w:t>)</w:t>
      </w:r>
      <w:r w:rsidRPr="00842E73" w:rsidR="00F66250">
        <w:rPr>
          <w:szCs w:val="24"/>
        </w:rPr>
        <w:t xml:space="preserve"> </w:t>
      </w:r>
      <w:r w:rsidRPr="00842E73" w:rsidR="00C52641">
        <w:rPr>
          <w:szCs w:val="24"/>
        </w:rPr>
        <w:t>investigation cases</w:t>
      </w:r>
      <w:r w:rsidRPr="00842E73">
        <w:rPr>
          <w:szCs w:val="24"/>
        </w:rPr>
        <w:t xml:space="preserve"> are resolved and former Chair Randazzo</w:t>
      </w:r>
      <w:r w:rsidR="00842E73">
        <w:rPr>
          <w:szCs w:val="24"/>
        </w:rPr>
        <w:t>’</w:t>
      </w:r>
      <w:r w:rsidRPr="00842E73">
        <w:rPr>
          <w:szCs w:val="24"/>
        </w:rPr>
        <w:t xml:space="preserve">s indictment runs its course. </w:t>
      </w:r>
    </w:p>
    <w:p w:rsidR="004A55DD" w:rsidRPr="00842E73" w:rsidP="00B51535" w14:paraId="0CDA479F" w14:textId="5AC25EF7">
      <w:pPr>
        <w:pStyle w:val="BodyTextIndent3"/>
        <w:widowControl w:val="0"/>
        <w:spacing w:line="480" w:lineRule="auto"/>
        <w:rPr>
          <w:szCs w:val="24"/>
        </w:rPr>
      </w:pPr>
      <w:r w:rsidRPr="00842E73">
        <w:rPr>
          <w:szCs w:val="24"/>
        </w:rPr>
        <w:t>The FirstEnergy/Randazzo fraud impacted FirstEnergy</w:t>
      </w:r>
      <w:r w:rsidR="00842E73">
        <w:rPr>
          <w:szCs w:val="24"/>
        </w:rPr>
        <w:t>’</w:t>
      </w:r>
      <w:r w:rsidRPr="00842E73">
        <w:rPr>
          <w:szCs w:val="24"/>
        </w:rPr>
        <w:t>s grid modernization plan as follows:</w:t>
      </w:r>
    </w:p>
    <w:p w:rsidR="004A55DD" w:rsidRPr="00842E73" w:rsidP="006D4495" w14:paraId="41A8B621" w14:textId="25EE30BC">
      <w:pPr>
        <w:pStyle w:val="BodyTextIndent3"/>
        <w:widowControl w:val="0"/>
        <w:numPr>
          <w:ilvl w:val="0"/>
          <w:numId w:val="35"/>
        </w:numPr>
        <w:spacing w:line="240" w:lineRule="auto"/>
        <w:ind w:left="1440" w:hanging="720"/>
        <w:rPr>
          <w:szCs w:val="24"/>
        </w:rPr>
      </w:pPr>
      <w:r w:rsidRPr="00842E73">
        <w:rPr>
          <w:szCs w:val="24"/>
        </w:rPr>
        <w:t xml:space="preserve">In the Deferred Prosecution Agreement, FirstEnergy admitted that </w:t>
      </w:r>
      <w:r w:rsidR="00842E73">
        <w:rPr>
          <w:szCs w:val="24"/>
        </w:rPr>
        <w:t>“</w:t>
      </w:r>
      <w:r w:rsidRPr="00842E73">
        <w:rPr>
          <w:szCs w:val="24"/>
        </w:rPr>
        <w:t>[a] 2013 consulting agreement was subsequently amended in 2015. The 2015 amendment coincided with and was made in exchange for [Mr. Randazzo</w:t>
      </w:r>
      <w:r w:rsidR="00842E73">
        <w:rPr>
          <w:szCs w:val="24"/>
        </w:rPr>
        <w:t>’</w:t>
      </w:r>
      <w:r w:rsidRPr="00842E73">
        <w:rPr>
          <w:szCs w:val="24"/>
        </w:rPr>
        <w:t>s] industrial group withdrawing its opposition to a 2014 PUCO Electric Security Plan [ESP IV] settlement package involving FirstEnergy Corp.</w:t>
      </w:r>
      <w:r w:rsidR="00842E73">
        <w:rPr>
          <w:szCs w:val="24"/>
        </w:rPr>
        <w:t>’</w:t>
      </w:r>
      <w:r w:rsidRPr="00842E73">
        <w:rPr>
          <w:szCs w:val="24"/>
        </w:rPr>
        <w:t>s Ohio electric distribution subsidiaries.</w:t>
      </w:r>
      <w:r w:rsidR="00842E73">
        <w:rPr>
          <w:szCs w:val="24"/>
        </w:rPr>
        <w:t>”</w:t>
      </w:r>
      <w:r>
        <w:rPr>
          <w:rStyle w:val="FootnoteReference"/>
          <w:szCs w:val="24"/>
        </w:rPr>
        <w:footnoteReference w:id="3"/>
      </w:r>
    </w:p>
    <w:p w:rsidR="005A179D" w:rsidRPr="00842E73" w:rsidP="006D4495" w14:paraId="4639A7C7" w14:textId="77777777">
      <w:pPr>
        <w:pStyle w:val="BodyTextIndent3"/>
        <w:widowControl w:val="0"/>
        <w:spacing w:line="240" w:lineRule="auto"/>
        <w:ind w:left="1440" w:firstLine="0"/>
        <w:rPr>
          <w:szCs w:val="24"/>
        </w:rPr>
      </w:pPr>
    </w:p>
    <w:p w:rsidR="00FE0612" w:rsidRPr="00842E73" w:rsidP="006D4495" w14:paraId="15AAED22" w14:textId="7F00C906">
      <w:pPr>
        <w:pStyle w:val="BodyTextIndent3"/>
        <w:widowControl w:val="0"/>
        <w:numPr>
          <w:ilvl w:val="0"/>
          <w:numId w:val="35"/>
        </w:numPr>
        <w:spacing w:line="240" w:lineRule="auto"/>
        <w:ind w:left="1440" w:hanging="720"/>
        <w:rPr>
          <w:szCs w:val="24"/>
        </w:rPr>
      </w:pPr>
      <w:r w:rsidRPr="00842E73">
        <w:rPr>
          <w:szCs w:val="24"/>
        </w:rPr>
        <w:t xml:space="preserve">This </w:t>
      </w:r>
      <w:r w:rsidRPr="00842E73" w:rsidR="0091740E">
        <w:rPr>
          <w:szCs w:val="24"/>
        </w:rPr>
        <w:t>ESP IV</w:t>
      </w:r>
      <w:r w:rsidRPr="00842E73" w:rsidR="00F36D3C">
        <w:rPr>
          <w:szCs w:val="24"/>
        </w:rPr>
        <w:t xml:space="preserve"> settlement</w:t>
      </w:r>
      <w:r w:rsidRPr="00842E73">
        <w:rPr>
          <w:szCs w:val="24"/>
        </w:rPr>
        <w:t xml:space="preserve"> allowed</w:t>
      </w:r>
      <w:r w:rsidRPr="00842E73" w:rsidR="0091740E">
        <w:rPr>
          <w:szCs w:val="24"/>
        </w:rPr>
        <w:t xml:space="preserve"> FirstEnergy to file a grid modernization</w:t>
      </w:r>
      <w:r w:rsidRPr="00842E73">
        <w:rPr>
          <w:szCs w:val="24"/>
        </w:rPr>
        <w:t xml:space="preserve"> business plan</w:t>
      </w:r>
      <w:r w:rsidRPr="00842E73" w:rsidR="000D7BA8">
        <w:rPr>
          <w:szCs w:val="24"/>
        </w:rPr>
        <w:t xml:space="preserve"> and </w:t>
      </w:r>
      <w:r w:rsidRPr="00842E73" w:rsidR="00F36D3C">
        <w:rPr>
          <w:szCs w:val="24"/>
        </w:rPr>
        <w:t>(subject to approval of the business plan) to collect the costs</w:t>
      </w:r>
      <w:r w:rsidRPr="00842E73" w:rsidR="00484034">
        <w:rPr>
          <w:szCs w:val="24"/>
        </w:rPr>
        <w:t xml:space="preserve"> </w:t>
      </w:r>
      <w:r w:rsidRPr="00842E73" w:rsidR="000D7BA8">
        <w:rPr>
          <w:szCs w:val="24"/>
        </w:rPr>
        <w:t>through FirstEnergy</w:t>
      </w:r>
      <w:r w:rsidR="00842E73">
        <w:rPr>
          <w:szCs w:val="24"/>
        </w:rPr>
        <w:t>’</w:t>
      </w:r>
      <w:r w:rsidRPr="00842E73" w:rsidR="000D7BA8">
        <w:rPr>
          <w:szCs w:val="24"/>
        </w:rPr>
        <w:t>s advanced metering infrastructure rider (</w:t>
      </w:r>
      <w:r w:rsidR="00842E73">
        <w:rPr>
          <w:szCs w:val="24"/>
        </w:rPr>
        <w:t>“</w:t>
      </w:r>
      <w:r w:rsidRPr="00842E73" w:rsidR="000D7BA8">
        <w:rPr>
          <w:szCs w:val="24"/>
        </w:rPr>
        <w:t>Rider AMI</w:t>
      </w:r>
      <w:r w:rsidR="00842E73">
        <w:rPr>
          <w:szCs w:val="24"/>
        </w:rPr>
        <w:t>”</w:t>
      </w:r>
      <w:r w:rsidRPr="00842E73" w:rsidR="000D7BA8">
        <w:rPr>
          <w:szCs w:val="24"/>
        </w:rPr>
        <w:t>)</w:t>
      </w:r>
      <w:r w:rsidRPr="00842E73" w:rsidR="0091740E">
        <w:rPr>
          <w:szCs w:val="24"/>
        </w:rPr>
        <w:t>.</w:t>
      </w:r>
      <w:r>
        <w:rPr>
          <w:rStyle w:val="FootnoteReference"/>
          <w:szCs w:val="24"/>
        </w:rPr>
        <w:footnoteReference w:id="4"/>
      </w:r>
      <w:r w:rsidRPr="00842E73" w:rsidR="007E016E">
        <w:rPr>
          <w:rStyle w:val="FootnoteReference"/>
          <w:szCs w:val="24"/>
        </w:rPr>
        <w:t xml:space="preserve"> </w:t>
      </w:r>
    </w:p>
    <w:p w:rsidR="00F36D3C" w:rsidRPr="00842E73" w:rsidP="006D4495" w14:paraId="3E86E699" w14:textId="77777777">
      <w:pPr>
        <w:pStyle w:val="ListParagraph"/>
        <w:ind w:left="1440" w:hanging="720"/>
        <w:rPr>
          <w:rFonts w:cs="Times New Roman"/>
          <w:szCs w:val="24"/>
        </w:rPr>
      </w:pPr>
    </w:p>
    <w:p w:rsidR="00F36D3C" w:rsidRPr="00842E73" w:rsidP="006D4495" w14:paraId="3AE356D4" w14:textId="08E19A93">
      <w:pPr>
        <w:pStyle w:val="BodyTextIndent3"/>
        <w:widowControl w:val="0"/>
        <w:numPr>
          <w:ilvl w:val="0"/>
          <w:numId w:val="35"/>
        </w:numPr>
        <w:spacing w:line="240" w:lineRule="auto"/>
        <w:ind w:left="1440" w:hanging="720"/>
        <w:rPr>
          <w:szCs w:val="24"/>
        </w:rPr>
      </w:pPr>
      <w:r w:rsidRPr="00842E73">
        <w:rPr>
          <w:szCs w:val="24"/>
        </w:rPr>
        <w:t xml:space="preserve">FirstEnergy </w:t>
      </w:r>
      <w:r w:rsidRPr="00842E73" w:rsidR="00C52641">
        <w:rPr>
          <w:szCs w:val="24"/>
        </w:rPr>
        <w:t xml:space="preserve">admitted to </w:t>
      </w:r>
      <w:r w:rsidRPr="00842E73">
        <w:rPr>
          <w:szCs w:val="24"/>
        </w:rPr>
        <w:t>brib</w:t>
      </w:r>
      <w:r w:rsidRPr="00842E73" w:rsidR="00C52641">
        <w:rPr>
          <w:szCs w:val="24"/>
        </w:rPr>
        <w:t>ing</w:t>
      </w:r>
      <w:r w:rsidRPr="00842E73">
        <w:rPr>
          <w:szCs w:val="24"/>
        </w:rPr>
        <w:t xml:space="preserve"> Mr. Randazzo with a $4.3 million payment and, with FirstEnergy</w:t>
      </w:r>
      <w:r w:rsidR="00842E73">
        <w:rPr>
          <w:szCs w:val="24"/>
        </w:rPr>
        <w:t>’</w:t>
      </w:r>
      <w:r w:rsidRPr="00842E73">
        <w:rPr>
          <w:szCs w:val="24"/>
        </w:rPr>
        <w:t>s support, Mr. Randazzo became the PUCO</w:t>
      </w:r>
      <w:r w:rsidR="00842E73">
        <w:rPr>
          <w:szCs w:val="24"/>
        </w:rPr>
        <w:t>’</w:t>
      </w:r>
      <w:r w:rsidRPr="00842E73">
        <w:rPr>
          <w:szCs w:val="24"/>
        </w:rPr>
        <w:t xml:space="preserve">s Chair </w:t>
      </w:r>
      <w:r w:rsidRPr="00842E73" w:rsidR="00C52641">
        <w:rPr>
          <w:szCs w:val="24"/>
        </w:rPr>
        <w:t xml:space="preserve">where he was to </w:t>
      </w:r>
      <w:r w:rsidR="00842E73">
        <w:rPr>
          <w:szCs w:val="24"/>
        </w:rPr>
        <w:t>“</w:t>
      </w:r>
      <w:r w:rsidRPr="00842E73">
        <w:rPr>
          <w:szCs w:val="24"/>
        </w:rPr>
        <w:t>perform[] official action for the benefit of [FirstEnergy], as requested and as opportunities arose.</w:t>
      </w:r>
      <w:r w:rsidR="00842E73">
        <w:rPr>
          <w:szCs w:val="24"/>
        </w:rPr>
        <w:t>”</w:t>
      </w:r>
      <w:r>
        <w:rPr>
          <w:rStyle w:val="FootnoteReference"/>
          <w:szCs w:val="24"/>
        </w:rPr>
        <w:footnoteReference w:id="5"/>
      </w:r>
    </w:p>
    <w:p w:rsidR="00F36D3C" w:rsidRPr="00842E73" w:rsidP="006D4495" w14:paraId="115C5CB6" w14:textId="77777777">
      <w:pPr>
        <w:pStyle w:val="ListParagraph"/>
        <w:ind w:left="1440" w:hanging="720"/>
        <w:rPr>
          <w:rFonts w:cs="Times New Roman"/>
          <w:szCs w:val="24"/>
        </w:rPr>
      </w:pPr>
    </w:p>
    <w:p w:rsidR="00F36D3C" w:rsidRPr="00842E73" w:rsidP="006D4495" w14:paraId="0F718733" w14:textId="3C0401FC">
      <w:pPr>
        <w:pStyle w:val="BodyTextIndent3"/>
        <w:widowControl w:val="0"/>
        <w:numPr>
          <w:ilvl w:val="0"/>
          <w:numId w:val="35"/>
        </w:numPr>
        <w:spacing w:line="240" w:lineRule="auto"/>
        <w:ind w:left="1440" w:hanging="720"/>
        <w:rPr>
          <w:szCs w:val="24"/>
        </w:rPr>
      </w:pPr>
      <w:r w:rsidRPr="00842E73">
        <w:rPr>
          <w:szCs w:val="24"/>
        </w:rPr>
        <w:t>Mr. Randazzo</w:t>
      </w:r>
      <w:r w:rsidR="00842E73">
        <w:rPr>
          <w:szCs w:val="24"/>
        </w:rPr>
        <w:t>’</w:t>
      </w:r>
      <w:r w:rsidRPr="00842E73">
        <w:rPr>
          <w:szCs w:val="24"/>
        </w:rPr>
        <w:t xml:space="preserve">s </w:t>
      </w:r>
      <w:r w:rsidR="00842E73">
        <w:rPr>
          <w:szCs w:val="24"/>
        </w:rPr>
        <w:t>“</w:t>
      </w:r>
      <w:r w:rsidRPr="00842E73">
        <w:rPr>
          <w:szCs w:val="24"/>
        </w:rPr>
        <w:t>official actions</w:t>
      </w:r>
      <w:r w:rsidR="00842E73">
        <w:rPr>
          <w:szCs w:val="24"/>
        </w:rPr>
        <w:t>”</w:t>
      </w:r>
      <w:r w:rsidRPr="00842E73" w:rsidR="001222B7">
        <w:rPr>
          <w:szCs w:val="24"/>
        </w:rPr>
        <w:t xml:space="preserve"> </w:t>
      </w:r>
      <w:r w:rsidRPr="00842E73" w:rsidR="00C52641">
        <w:rPr>
          <w:szCs w:val="24"/>
        </w:rPr>
        <w:t>for the benefit of FirstEnergy</w:t>
      </w:r>
      <w:r w:rsidRPr="00842E73">
        <w:rPr>
          <w:szCs w:val="24"/>
        </w:rPr>
        <w:t xml:space="preserve"> included approval of FirstEnergy</w:t>
      </w:r>
      <w:r w:rsidR="00842E73">
        <w:rPr>
          <w:szCs w:val="24"/>
        </w:rPr>
        <w:t>’</w:t>
      </w:r>
      <w:r w:rsidRPr="00842E73">
        <w:rPr>
          <w:szCs w:val="24"/>
        </w:rPr>
        <w:t xml:space="preserve">s grid modernization business plan, and </w:t>
      </w:r>
      <w:r w:rsidRPr="00842E73" w:rsidR="00C52641">
        <w:rPr>
          <w:szCs w:val="24"/>
        </w:rPr>
        <w:t xml:space="preserve">subsequent approval of charges to consumers for </w:t>
      </w:r>
      <w:r w:rsidRPr="00842E73">
        <w:rPr>
          <w:szCs w:val="24"/>
        </w:rPr>
        <w:t xml:space="preserve">up to </w:t>
      </w:r>
      <w:r w:rsidRPr="00842E73" w:rsidR="004F7990">
        <w:rPr>
          <w:szCs w:val="24"/>
        </w:rPr>
        <w:t xml:space="preserve">$516 million </w:t>
      </w:r>
      <w:r w:rsidRPr="00842E73">
        <w:rPr>
          <w:szCs w:val="24"/>
        </w:rPr>
        <w:t xml:space="preserve">in grid modernization </w:t>
      </w:r>
      <w:r w:rsidRPr="00842E73" w:rsidR="00134CA2">
        <w:rPr>
          <w:szCs w:val="24"/>
        </w:rPr>
        <w:t>in a</w:t>
      </w:r>
      <w:r w:rsidRPr="00842E73" w:rsidR="004F7990">
        <w:rPr>
          <w:szCs w:val="24"/>
        </w:rPr>
        <w:t xml:space="preserve"> July 17, 2019</w:t>
      </w:r>
      <w:r w:rsidRPr="00842E73" w:rsidR="00134CA2">
        <w:rPr>
          <w:szCs w:val="24"/>
        </w:rPr>
        <w:t xml:space="preserve"> Opinion and Order (</w:t>
      </w:r>
      <w:r w:rsidR="00842E73">
        <w:rPr>
          <w:szCs w:val="24"/>
        </w:rPr>
        <w:t>“</w:t>
      </w:r>
      <w:r w:rsidRPr="00842E73" w:rsidR="00134CA2">
        <w:rPr>
          <w:szCs w:val="24"/>
        </w:rPr>
        <w:t>Grid Mod I</w:t>
      </w:r>
      <w:r w:rsidR="00842E73">
        <w:rPr>
          <w:szCs w:val="24"/>
        </w:rPr>
        <w:t>”</w:t>
      </w:r>
      <w:r w:rsidRPr="00842E73" w:rsidR="00134CA2">
        <w:rPr>
          <w:szCs w:val="24"/>
        </w:rPr>
        <w:t>)</w:t>
      </w:r>
      <w:r w:rsidRPr="00842E73" w:rsidR="005A179D">
        <w:rPr>
          <w:szCs w:val="24"/>
        </w:rPr>
        <w:t>.</w:t>
      </w:r>
      <w:r>
        <w:rPr>
          <w:rStyle w:val="FootnoteReference"/>
          <w:szCs w:val="24"/>
        </w:rPr>
        <w:footnoteReference w:id="6"/>
      </w:r>
    </w:p>
    <w:p w:rsidR="00134CA2" w:rsidRPr="00842E73" w:rsidP="006D4495" w14:paraId="198C3B8C" w14:textId="77777777">
      <w:pPr>
        <w:pStyle w:val="ListParagraph"/>
        <w:ind w:left="1440" w:hanging="720"/>
        <w:rPr>
          <w:rFonts w:cs="Times New Roman"/>
          <w:szCs w:val="24"/>
        </w:rPr>
      </w:pPr>
    </w:p>
    <w:p w:rsidR="008F7BF5" w:rsidP="006D4495" w14:paraId="66AD45FF" w14:textId="546645D9">
      <w:pPr>
        <w:pStyle w:val="BodyTextIndent3"/>
        <w:widowControl w:val="0"/>
        <w:numPr>
          <w:ilvl w:val="0"/>
          <w:numId w:val="35"/>
        </w:numPr>
        <w:spacing w:line="240" w:lineRule="auto"/>
        <w:ind w:left="1440" w:hanging="720"/>
        <w:rPr>
          <w:szCs w:val="24"/>
        </w:rPr>
      </w:pPr>
      <w:r w:rsidRPr="00842E73">
        <w:rPr>
          <w:szCs w:val="24"/>
        </w:rPr>
        <w:t>FirstEnergy</w:t>
      </w:r>
      <w:r w:rsidR="00842E73">
        <w:rPr>
          <w:szCs w:val="24"/>
        </w:rPr>
        <w:t>’</w:t>
      </w:r>
      <w:r w:rsidRPr="00842E73">
        <w:rPr>
          <w:szCs w:val="24"/>
        </w:rPr>
        <w:t xml:space="preserve">s application in the present case seeks approval of a </w:t>
      </w:r>
      <w:r w:rsidR="00842E73">
        <w:rPr>
          <w:szCs w:val="24"/>
        </w:rPr>
        <w:t>“</w:t>
      </w:r>
      <w:r w:rsidRPr="00842E73">
        <w:rPr>
          <w:szCs w:val="24"/>
        </w:rPr>
        <w:t>Grid Mod II</w:t>
      </w:r>
      <w:r w:rsidR="00842E73">
        <w:rPr>
          <w:szCs w:val="24"/>
        </w:rPr>
        <w:t>”</w:t>
      </w:r>
      <w:r w:rsidRPr="00842E73">
        <w:rPr>
          <w:szCs w:val="24"/>
        </w:rPr>
        <w:t xml:space="preserve"> plan which </w:t>
      </w:r>
      <w:r w:rsidRPr="00842E73" w:rsidR="00C52641">
        <w:rPr>
          <w:szCs w:val="24"/>
        </w:rPr>
        <w:t xml:space="preserve">relies on and </w:t>
      </w:r>
      <w:r w:rsidRPr="00842E73">
        <w:rPr>
          <w:szCs w:val="24"/>
        </w:rPr>
        <w:t>directly results from the Grid Mod I deployment approved under Mr. Randazzo.</w:t>
      </w:r>
      <w:r>
        <w:rPr>
          <w:rStyle w:val="FootnoteReference"/>
          <w:szCs w:val="24"/>
        </w:rPr>
        <w:footnoteReference w:id="7"/>
      </w:r>
    </w:p>
    <w:p w:rsidR="006D4495" w:rsidRPr="00842E73" w:rsidP="006D4495" w14:paraId="6E65B71B" w14:textId="77777777">
      <w:pPr>
        <w:pStyle w:val="BodyTextIndent3"/>
        <w:widowControl w:val="0"/>
        <w:spacing w:line="240" w:lineRule="auto"/>
        <w:ind w:left="1440" w:firstLine="0"/>
        <w:rPr>
          <w:szCs w:val="24"/>
        </w:rPr>
      </w:pPr>
    </w:p>
    <w:p w:rsidR="00134CA2" w:rsidRPr="00842E73" w:rsidP="00B173B9" w14:paraId="7176F6A0" w14:textId="62C557AD">
      <w:pPr>
        <w:pStyle w:val="BodyTextIndent3"/>
        <w:widowControl w:val="0"/>
        <w:spacing w:line="480" w:lineRule="auto"/>
        <w:rPr>
          <w:szCs w:val="24"/>
        </w:rPr>
      </w:pPr>
      <w:r w:rsidRPr="00842E73">
        <w:rPr>
          <w:szCs w:val="24"/>
        </w:rPr>
        <w:t xml:space="preserve">Portions of </w:t>
      </w:r>
      <w:r w:rsidRPr="00842E73" w:rsidR="0091740E">
        <w:rPr>
          <w:szCs w:val="24"/>
        </w:rPr>
        <w:t>FirstEnergy</w:t>
      </w:r>
      <w:r w:rsidR="00842E73">
        <w:rPr>
          <w:szCs w:val="24"/>
        </w:rPr>
        <w:t>’</w:t>
      </w:r>
      <w:r w:rsidRPr="00842E73" w:rsidR="0091740E">
        <w:rPr>
          <w:szCs w:val="24"/>
        </w:rPr>
        <w:t xml:space="preserve">s ESP IV </w:t>
      </w:r>
      <w:r w:rsidRPr="00842E73">
        <w:rPr>
          <w:szCs w:val="24"/>
        </w:rPr>
        <w:t xml:space="preserve">are </w:t>
      </w:r>
      <w:r w:rsidRPr="00842E73" w:rsidR="0091740E">
        <w:rPr>
          <w:szCs w:val="24"/>
        </w:rPr>
        <w:t>presently under investigation, through Case No. 20-1629-EL-RDR, where the PUCO expanded the audit scope to include an investigation of whether FirstEnergy violated R.C. 4928.145</w:t>
      </w:r>
      <w:r w:rsidRPr="00842E73" w:rsidR="006149EC">
        <w:rPr>
          <w:szCs w:val="24"/>
        </w:rPr>
        <w:t>.</w:t>
      </w:r>
      <w:r w:rsidR="00842E73">
        <w:rPr>
          <w:szCs w:val="24"/>
        </w:rPr>
        <w:t xml:space="preserve"> </w:t>
      </w:r>
      <w:r w:rsidRPr="00842E73" w:rsidR="006149EC">
        <w:rPr>
          <w:szCs w:val="24"/>
        </w:rPr>
        <w:t xml:space="preserve">That statute </w:t>
      </w:r>
      <w:r w:rsidRPr="00842E73" w:rsidR="00E47720">
        <w:rPr>
          <w:szCs w:val="24"/>
        </w:rPr>
        <w:t>governs FirstEnergy</w:t>
      </w:r>
      <w:r w:rsidR="00842E73">
        <w:rPr>
          <w:szCs w:val="24"/>
        </w:rPr>
        <w:t>’</w:t>
      </w:r>
      <w:r w:rsidRPr="00842E73" w:rsidR="00E47720">
        <w:rPr>
          <w:szCs w:val="24"/>
        </w:rPr>
        <w:t xml:space="preserve">s obligation to disclose </w:t>
      </w:r>
      <w:r w:rsidR="00842E73">
        <w:rPr>
          <w:szCs w:val="24"/>
        </w:rPr>
        <w:t>“</w:t>
      </w:r>
      <w:r w:rsidRPr="00842E73" w:rsidR="00E47720">
        <w:rPr>
          <w:szCs w:val="24"/>
        </w:rPr>
        <w:t>side agreements</w:t>
      </w:r>
      <w:r w:rsidR="00842E73">
        <w:rPr>
          <w:szCs w:val="24"/>
        </w:rPr>
        <w:t>”</w:t>
      </w:r>
      <w:r w:rsidRPr="00842E73" w:rsidR="00E47720">
        <w:rPr>
          <w:szCs w:val="24"/>
        </w:rPr>
        <w:t xml:space="preserve"> during the </w:t>
      </w:r>
      <w:r w:rsidRPr="00842E73" w:rsidR="006149EC">
        <w:rPr>
          <w:szCs w:val="24"/>
        </w:rPr>
        <w:t>electric security plan proceedings</w:t>
      </w:r>
      <w:r w:rsidRPr="00842E73" w:rsidR="0091740E">
        <w:rPr>
          <w:szCs w:val="24"/>
        </w:rPr>
        <w:t>.</w:t>
      </w:r>
      <w:r>
        <w:rPr>
          <w:rStyle w:val="FootnoteReference"/>
          <w:szCs w:val="24"/>
        </w:rPr>
        <w:footnoteReference w:id="8"/>
      </w:r>
      <w:r w:rsidRPr="00842E73" w:rsidR="0091740E">
        <w:rPr>
          <w:szCs w:val="24"/>
        </w:rPr>
        <w:t xml:space="preserve"> </w:t>
      </w:r>
      <w:r w:rsidRPr="00842E73" w:rsidR="00E47720">
        <w:rPr>
          <w:szCs w:val="24"/>
        </w:rPr>
        <w:t xml:space="preserve">The </w:t>
      </w:r>
      <w:r w:rsidRPr="00842E73" w:rsidR="006149EC">
        <w:rPr>
          <w:szCs w:val="24"/>
        </w:rPr>
        <w:t xml:space="preserve">PUCO </w:t>
      </w:r>
      <w:r w:rsidRPr="00842E73" w:rsidR="00E47720">
        <w:rPr>
          <w:szCs w:val="24"/>
        </w:rPr>
        <w:t>investigation may reveal side agreements between former Chair Randazzo and FirstEnergy that are the subject of the indictment.</w:t>
      </w:r>
      <w:r w:rsidRPr="00842E73" w:rsidR="00484034">
        <w:rPr>
          <w:szCs w:val="24"/>
        </w:rPr>
        <w:t xml:space="preserve"> </w:t>
      </w:r>
      <w:r w:rsidRPr="00842E73" w:rsidR="00BF59E2">
        <w:rPr>
          <w:szCs w:val="24"/>
        </w:rPr>
        <w:t>A</w:t>
      </w:r>
      <w:r w:rsidRPr="00842E73" w:rsidR="0036242F">
        <w:rPr>
          <w:szCs w:val="24"/>
        </w:rPr>
        <w:t>lso, a</w:t>
      </w:r>
      <w:r w:rsidRPr="00842E73" w:rsidR="00BF59E2">
        <w:rPr>
          <w:szCs w:val="24"/>
        </w:rPr>
        <w:t xml:space="preserve">s part of this investigation, the auditor was required to identify capital additions recovered </w:t>
      </w:r>
      <w:r w:rsidRPr="00842E73" w:rsidR="001222B7">
        <w:rPr>
          <w:szCs w:val="24"/>
        </w:rPr>
        <w:t xml:space="preserve">by FirstEnergy </w:t>
      </w:r>
      <w:r w:rsidRPr="00842E73" w:rsidR="00BF59E2">
        <w:rPr>
          <w:szCs w:val="24"/>
        </w:rPr>
        <w:t>through Rider AMI in order to exclude those amounts from Rider DCR.</w:t>
      </w:r>
      <w:r>
        <w:rPr>
          <w:rStyle w:val="FootnoteReference"/>
          <w:szCs w:val="24"/>
        </w:rPr>
        <w:footnoteReference w:id="9"/>
      </w:r>
      <w:r w:rsidRPr="00842E73" w:rsidR="00BF59E2">
        <w:rPr>
          <w:szCs w:val="24"/>
        </w:rPr>
        <w:t xml:space="preserve"> </w:t>
      </w:r>
      <w:r w:rsidRPr="00842E73" w:rsidR="007E016E">
        <w:rPr>
          <w:szCs w:val="24"/>
        </w:rPr>
        <w:t>The commonality between the</w:t>
      </w:r>
      <w:r w:rsidRPr="00842E73">
        <w:rPr>
          <w:szCs w:val="24"/>
        </w:rPr>
        <w:t xml:space="preserve"> H.B. 6</w:t>
      </w:r>
      <w:r w:rsidRPr="00842E73" w:rsidR="007E016E">
        <w:rPr>
          <w:szCs w:val="24"/>
        </w:rPr>
        <w:t xml:space="preserve"> investigation case and FirstEnergy</w:t>
      </w:r>
      <w:r w:rsidR="00842E73">
        <w:rPr>
          <w:szCs w:val="24"/>
        </w:rPr>
        <w:t>’</w:t>
      </w:r>
      <w:r w:rsidRPr="00842E73" w:rsidR="007E016E">
        <w:rPr>
          <w:szCs w:val="24"/>
        </w:rPr>
        <w:t xml:space="preserve">s Grid </w:t>
      </w:r>
      <w:r w:rsidR="00C12DA5">
        <w:rPr>
          <w:szCs w:val="24"/>
        </w:rPr>
        <w:t>M</w:t>
      </w:r>
      <w:r w:rsidRPr="00842E73" w:rsidR="007E016E">
        <w:rPr>
          <w:szCs w:val="24"/>
        </w:rPr>
        <w:t xml:space="preserve">odernization </w:t>
      </w:r>
      <w:r w:rsidRPr="00842E73" w:rsidR="00BF59E2">
        <w:rPr>
          <w:szCs w:val="24"/>
        </w:rPr>
        <w:t xml:space="preserve">plan </w:t>
      </w:r>
      <w:r w:rsidRPr="00842E73">
        <w:rPr>
          <w:szCs w:val="24"/>
        </w:rPr>
        <w:t>is abundantly clear, as outlined above.</w:t>
      </w:r>
    </w:p>
    <w:p w:rsidR="007E016E" w:rsidRPr="00842E73" w:rsidP="007E016E" w14:paraId="49445A5C" w14:textId="6E8F77D2">
      <w:pPr>
        <w:spacing w:line="480" w:lineRule="auto"/>
        <w:ind w:firstLine="720"/>
        <w:rPr>
          <w:rFonts w:cs="Times New Roman"/>
          <w:szCs w:val="24"/>
        </w:rPr>
      </w:pPr>
      <w:r w:rsidRPr="00842E73">
        <w:rPr>
          <w:rFonts w:cs="Times New Roman"/>
          <w:szCs w:val="24"/>
        </w:rPr>
        <w:t>While the PUCO has stayed some investigations into the H.B. 6 scandal at the request of federal prosecutors,</w:t>
      </w:r>
      <w:r>
        <w:rPr>
          <w:rStyle w:val="FootnoteReference"/>
          <w:rFonts w:cs="Times New Roman"/>
          <w:szCs w:val="24"/>
        </w:rPr>
        <w:footnoteReference w:id="10"/>
      </w:r>
      <w:r w:rsidRPr="00842E73">
        <w:rPr>
          <w:rFonts w:cs="Times New Roman"/>
          <w:szCs w:val="24"/>
        </w:rPr>
        <w:t xml:space="preserve"> it has </w:t>
      </w:r>
      <w:r w:rsidRPr="00842E73" w:rsidR="00720DA9">
        <w:rPr>
          <w:rFonts w:cs="Times New Roman"/>
          <w:szCs w:val="24"/>
        </w:rPr>
        <w:t>not</w:t>
      </w:r>
      <w:r w:rsidRPr="00842E73">
        <w:rPr>
          <w:rFonts w:cs="Times New Roman"/>
          <w:szCs w:val="24"/>
        </w:rPr>
        <w:t xml:space="preserve"> stay</w:t>
      </w:r>
      <w:r w:rsidRPr="00842E73" w:rsidR="00720DA9">
        <w:rPr>
          <w:rFonts w:cs="Times New Roman"/>
          <w:szCs w:val="24"/>
        </w:rPr>
        <w:t>ed</w:t>
      </w:r>
      <w:r w:rsidRPr="00842E73">
        <w:rPr>
          <w:rFonts w:cs="Times New Roman"/>
          <w:szCs w:val="24"/>
        </w:rPr>
        <w:t xml:space="preserve"> other FirstEnergy pending proceedings. As such, the PUCO is effectively preventing consumers from getting much-needed answers about how much FirstEnergy charged (and is continuing to charge) consumers for expenses underlying criminal activities admitted to by FirstEnergy Corp. and now alleged to have </w:t>
      </w:r>
      <w:r w:rsidRPr="00842E73" w:rsidR="001A0FA5">
        <w:rPr>
          <w:rFonts w:cs="Times New Roman"/>
          <w:szCs w:val="24"/>
        </w:rPr>
        <w:t>involved former Chair</w:t>
      </w:r>
      <w:r w:rsidRPr="00842E73">
        <w:rPr>
          <w:rFonts w:cs="Times New Roman"/>
          <w:szCs w:val="24"/>
        </w:rPr>
        <w:t xml:space="preserve"> Randazzo.</w:t>
      </w:r>
    </w:p>
    <w:p w:rsidR="007E016E" w:rsidRPr="00842E73" w:rsidP="006328BB" w14:paraId="5E4B508A" w14:textId="01E5D2E7">
      <w:pPr>
        <w:spacing w:line="480" w:lineRule="auto"/>
        <w:ind w:firstLine="720"/>
        <w:rPr>
          <w:rFonts w:cs="Times New Roman"/>
          <w:szCs w:val="24"/>
        </w:rPr>
      </w:pPr>
      <w:r w:rsidRPr="00842E73">
        <w:rPr>
          <w:rFonts w:cs="Times New Roman"/>
          <w:szCs w:val="24"/>
        </w:rPr>
        <w:t>We and the public still do not know how much of the public corruption was at the expense of FirstEnergy</w:t>
      </w:r>
      <w:r w:rsidR="00842E73">
        <w:rPr>
          <w:rFonts w:cs="Times New Roman"/>
          <w:szCs w:val="24"/>
        </w:rPr>
        <w:t>’</w:t>
      </w:r>
      <w:r w:rsidRPr="00842E73">
        <w:rPr>
          <w:rFonts w:cs="Times New Roman"/>
          <w:szCs w:val="24"/>
        </w:rPr>
        <w:t>s utility consumers.</w:t>
      </w:r>
      <w:r w:rsidRPr="00842E73" w:rsidR="00484034">
        <w:rPr>
          <w:rFonts w:cs="Times New Roman"/>
          <w:szCs w:val="24"/>
        </w:rPr>
        <w:t xml:space="preserve"> </w:t>
      </w:r>
      <w:r w:rsidRPr="00842E73" w:rsidR="00953B5B">
        <w:rPr>
          <w:rFonts w:cs="Times New Roman"/>
          <w:szCs w:val="24"/>
        </w:rPr>
        <w:t xml:space="preserve">But </w:t>
      </w:r>
      <w:r w:rsidRPr="00842E73">
        <w:rPr>
          <w:rFonts w:cs="Times New Roman"/>
          <w:szCs w:val="24"/>
        </w:rPr>
        <w:t>FirstEnergy</w:t>
      </w:r>
      <w:r w:rsidR="00842E73">
        <w:rPr>
          <w:rFonts w:cs="Times New Roman"/>
          <w:szCs w:val="24"/>
        </w:rPr>
        <w:t>’</w:t>
      </w:r>
      <w:r w:rsidRPr="00842E73">
        <w:rPr>
          <w:rFonts w:cs="Times New Roman"/>
          <w:szCs w:val="24"/>
        </w:rPr>
        <w:t xml:space="preserve">s improper charges and improper accounting practices related to the </w:t>
      </w:r>
      <w:r w:rsidRPr="00842E73" w:rsidR="00642E64">
        <w:rPr>
          <w:rFonts w:cs="Times New Roman"/>
          <w:szCs w:val="24"/>
        </w:rPr>
        <w:t>H.B. 6</w:t>
      </w:r>
      <w:r w:rsidRPr="00842E73" w:rsidR="001569DA">
        <w:rPr>
          <w:rFonts w:cs="Times New Roman"/>
          <w:szCs w:val="24"/>
        </w:rPr>
        <w:t xml:space="preserve"> </w:t>
      </w:r>
      <w:r w:rsidRPr="00842E73">
        <w:rPr>
          <w:rFonts w:cs="Times New Roman"/>
          <w:szCs w:val="24"/>
        </w:rPr>
        <w:t xml:space="preserve">scandal </w:t>
      </w:r>
      <w:r w:rsidR="00B00F48">
        <w:rPr>
          <w:rFonts w:cs="Times New Roman"/>
          <w:szCs w:val="24"/>
        </w:rPr>
        <w:t xml:space="preserve">will </w:t>
      </w:r>
      <w:r w:rsidRPr="00842E73">
        <w:rPr>
          <w:rFonts w:cs="Times New Roman"/>
          <w:szCs w:val="24"/>
        </w:rPr>
        <w:t>likely spill over into Grid Mod II</w:t>
      </w:r>
      <w:r w:rsidRPr="00842E73" w:rsidR="009436B2">
        <w:rPr>
          <w:rFonts w:cs="Times New Roman"/>
          <w:szCs w:val="24"/>
        </w:rPr>
        <w:t xml:space="preserve"> and FirstEnergy</w:t>
      </w:r>
      <w:r w:rsidR="00842E73">
        <w:rPr>
          <w:rFonts w:cs="Times New Roman"/>
          <w:szCs w:val="24"/>
        </w:rPr>
        <w:t>’</w:t>
      </w:r>
      <w:r w:rsidRPr="00842E73" w:rsidR="009436B2">
        <w:rPr>
          <w:rFonts w:cs="Times New Roman"/>
          <w:szCs w:val="24"/>
        </w:rPr>
        <w:t>s Rider AMI charges to customers</w:t>
      </w:r>
      <w:r w:rsidRPr="00842E73">
        <w:rPr>
          <w:rFonts w:cs="Times New Roman"/>
          <w:szCs w:val="24"/>
        </w:rPr>
        <w:t xml:space="preserve">. </w:t>
      </w:r>
    </w:p>
    <w:p w:rsidR="007E016E" w:rsidRPr="00842E73" w:rsidP="00C24610" w14:paraId="4595E65E" w14:textId="50637FAC">
      <w:pPr>
        <w:spacing w:line="480" w:lineRule="auto"/>
        <w:ind w:firstLine="720"/>
        <w:rPr>
          <w:rFonts w:cs="Times New Roman"/>
          <w:szCs w:val="24"/>
        </w:rPr>
      </w:pPr>
      <w:r w:rsidRPr="00842E73">
        <w:rPr>
          <w:rFonts w:cs="Times New Roman"/>
          <w:szCs w:val="24"/>
        </w:rPr>
        <w:t xml:space="preserve">Staying consideration </w:t>
      </w:r>
      <w:r w:rsidRPr="00842E73" w:rsidR="009436B2">
        <w:rPr>
          <w:rFonts w:cs="Times New Roman"/>
          <w:szCs w:val="24"/>
        </w:rPr>
        <w:t xml:space="preserve">and approval </w:t>
      </w:r>
      <w:r w:rsidRPr="00842E73">
        <w:rPr>
          <w:rFonts w:cs="Times New Roman"/>
          <w:szCs w:val="24"/>
        </w:rPr>
        <w:t xml:space="preserve">of this case and </w:t>
      </w:r>
      <w:r w:rsidRPr="00842E73" w:rsidR="009436B2">
        <w:rPr>
          <w:rFonts w:cs="Times New Roman"/>
          <w:szCs w:val="24"/>
        </w:rPr>
        <w:t xml:space="preserve">staying any consideration of modifications or increases to </w:t>
      </w:r>
      <w:r w:rsidRPr="00842E73">
        <w:rPr>
          <w:rFonts w:cs="Times New Roman"/>
          <w:szCs w:val="24"/>
        </w:rPr>
        <w:t xml:space="preserve">Rider AMI would be just and reasonable under the circumstances. FirstEnergy would not be prejudiced by this limited stay as any AMI </w:t>
      </w:r>
      <w:r w:rsidRPr="00842E73" w:rsidR="001222B7">
        <w:rPr>
          <w:rFonts w:cs="Times New Roman"/>
          <w:szCs w:val="24"/>
        </w:rPr>
        <w:t xml:space="preserve">funding </w:t>
      </w:r>
      <w:r w:rsidRPr="00842E73">
        <w:rPr>
          <w:rFonts w:cs="Times New Roman"/>
          <w:szCs w:val="24"/>
        </w:rPr>
        <w:t>could still be considered in its upcoming rate case proceeding</w:t>
      </w:r>
      <w:r w:rsidRPr="00842E73" w:rsidR="00C24610">
        <w:rPr>
          <w:rFonts w:cs="Times New Roman"/>
          <w:szCs w:val="24"/>
        </w:rPr>
        <w:t xml:space="preserve"> as part of setting rate base and operating expenses</w:t>
      </w:r>
      <w:r w:rsidRPr="00842E73">
        <w:rPr>
          <w:rFonts w:cs="Times New Roman"/>
          <w:szCs w:val="24"/>
        </w:rPr>
        <w:t>.</w:t>
      </w:r>
      <w:r w:rsidRPr="00842E73" w:rsidR="00C24610">
        <w:rPr>
          <w:rFonts w:cs="Times New Roman"/>
          <w:szCs w:val="24"/>
        </w:rPr>
        <w:t xml:space="preserve"> </w:t>
      </w:r>
      <w:r w:rsidRPr="00842E73">
        <w:rPr>
          <w:rFonts w:cs="Times New Roman"/>
          <w:szCs w:val="24"/>
        </w:rPr>
        <w:t xml:space="preserve">Accordingly, </w:t>
      </w:r>
      <w:r w:rsidRPr="00842E73" w:rsidR="0001744C">
        <w:rPr>
          <w:rFonts w:cs="Times New Roman"/>
          <w:szCs w:val="24"/>
        </w:rPr>
        <w:t>OCC</w:t>
      </w:r>
      <w:r w:rsidRPr="00842E73">
        <w:rPr>
          <w:rFonts w:cs="Times New Roman"/>
          <w:szCs w:val="24"/>
        </w:rPr>
        <w:t xml:space="preserve"> move</w:t>
      </w:r>
      <w:r w:rsidRPr="00842E73" w:rsidR="0001744C">
        <w:rPr>
          <w:rFonts w:cs="Times New Roman"/>
          <w:szCs w:val="24"/>
        </w:rPr>
        <w:t>s</w:t>
      </w:r>
      <w:r w:rsidRPr="00842E73">
        <w:rPr>
          <w:rFonts w:cs="Times New Roman"/>
          <w:szCs w:val="24"/>
        </w:rPr>
        <w:t xml:space="preserve"> for a stay of </w:t>
      </w:r>
      <w:r w:rsidRPr="00842E73" w:rsidR="009436B2">
        <w:rPr>
          <w:rFonts w:cs="Times New Roman"/>
          <w:szCs w:val="24"/>
        </w:rPr>
        <w:t xml:space="preserve">consideration and approval of </w:t>
      </w:r>
      <w:r w:rsidRPr="00842E73">
        <w:rPr>
          <w:rFonts w:cs="Times New Roman"/>
          <w:szCs w:val="24"/>
        </w:rPr>
        <w:t>this case</w:t>
      </w:r>
      <w:r w:rsidRPr="00842E73" w:rsidR="00DB2040">
        <w:rPr>
          <w:rFonts w:cs="Times New Roman"/>
          <w:szCs w:val="24"/>
        </w:rPr>
        <w:t xml:space="preserve">, </w:t>
      </w:r>
      <w:r w:rsidRPr="00842E73">
        <w:rPr>
          <w:rFonts w:cs="Times New Roman"/>
          <w:szCs w:val="24"/>
        </w:rPr>
        <w:t xml:space="preserve">and </w:t>
      </w:r>
      <w:r w:rsidRPr="00842E73" w:rsidR="0020199C">
        <w:rPr>
          <w:rFonts w:cs="Times New Roman"/>
          <w:szCs w:val="24"/>
        </w:rPr>
        <w:t xml:space="preserve">a stay of </w:t>
      </w:r>
      <w:r w:rsidRPr="00842E73">
        <w:rPr>
          <w:rFonts w:cs="Times New Roman"/>
          <w:szCs w:val="24"/>
        </w:rPr>
        <w:t>any</w:t>
      </w:r>
      <w:r w:rsidRPr="00842E73" w:rsidR="009436B2">
        <w:rPr>
          <w:rFonts w:cs="Times New Roman"/>
          <w:szCs w:val="24"/>
        </w:rPr>
        <w:t xml:space="preserve"> consideration of</w:t>
      </w:r>
      <w:r w:rsidRPr="00842E73">
        <w:rPr>
          <w:rFonts w:cs="Times New Roman"/>
          <w:szCs w:val="24"/>
        </w:rPr>
        <w:t xml:space="preserve"> modifications </w:t>
      </w:r>
      <w:r w:rsidRPr="00842E73" w:rsidR="009436B2">
        <w:rPr>
          <w:rFonts w:cs="Times New Roman"/>
          <w:szCs w:val="24"/>
        </w:rPr>
        <w:t xml:space="preserve">or increases </w:t>
      </w:r>
      <w:r w:rsidRPr="00842E73">
        <w:rPr>
          <w:rFonts w:cs="Times New Roman"/>
          <w:szCs w:val="24"/>
        </w:rPr>
        <w:t xml:space="preserve">to Rider AMI. </w:t>
      </w:r>
    </w:p>
    <w:p w:rsidR="00437696" w:rsidRPr="00842E73" w:rsidP="00EF3CBA" w14:paraId="19A7E89E" w14:textId="0E9834F5">
      <w:pPr>
        <w:spacing w:line="480" w:lineRule="auto"/>
        <w:ind w:firstLine="720"/>
        <w:rPr>
          <w:rFonts w:cs="Times New Roman"/>
          <w:szCs w:val="24"/>
        </w:rPr>
      </w:pPr>
      <w:r w:rsidRPr="00842E73">
        <w:rPr>
          <w:rFonts w:cs="Times New Roman"/>
          <w:szCs w:val="24"/>
        </w:rPr>
        <w:t>This motion is made under O.A.C. 4901-1-12(A). The PUCO should find good cause for the stay based on the six-factor test the PUCO has used to justify its stay of the pending FirstEnergy H.B. 6 investigations.</w:t>
      </w:r>
    </w:p>
    <w:p w:rsidR="00E850FC" w:rsidP="00ED170F" w14:paraId="4448BFC9" w14:textId="2C8C0858">
      <w:pPr>
        <w:spacing w:line="480" w:lineRule="auto"/>
        <w:ind w:left="4230"/>
        <w:rPr>
          <w:rFonts w:cs="Times New Roman"/>
          <w:szCs w:val="24"/>
        </w:rPr>
      </w:pPr>
      <w:r w:rsidRPr="00842E73">
        <w:rPr>
          <w:rFonts w:cs="Times New Roman"/>
          <w:szCs w:val="24"/>
        </w:rPr>
        <w:t>Respectfully submitted,</w:t>
      </w:r>
    </w:p>
    <w:p w:rsidR="00ED170F" w:rsidRPr="00842E73" w:rsidP="00ED170F" w14:paraId="4BD4031C" w14:textId="77777777">
      <w:pPr>
        <w:tabs>
          <w:tab w:val="left" w:pos="2776"/>
        </w:tabs>
        <w:ind w:left="4230" w:right="339"/>
        <w:rPr>
          <w:rFonts w:cs="Times New Roman"/>
          <w:szCs w:val="24"/>
        </w:rPr>
      </w:pPr>
      <w:r w:rsidRPr="00842E73">
        <w:rPr>
          <w:rFonts w:cs="Times New Roman"/>
          <w:szCs w:val="24"/>
        </w:rPr>
        <w:t>Maureen R. Willis (0020847)</w:t>
      </w:r>
    </w:p>
    <w:p w:rsidR="00ED170F" w:rsidRPr="00842E73" w:rsidP="00ED170F" w14:paraId="1F882CD4" w14:textId="77777777">
      <w:pPr>
        <w:tabs>
          <w:tab w:val="left" w:pos="2776"/>
        </w:tabs>
        <w:ind w:left="4230" w:right="339"/>
        <w:rPr>
          <w:rFonts w:cs="Times New Roman"/>
          <w:szCs w:val="24"/>
        </w:rPr>
      </w:pPr>
      <w:r w:rsidRPr="00842E73">
        <w:rPr>
          <w:rFonts w:cs="Times New Roman"/>
          <w:szCs w:val="24"/>
        </w:rPr>
        <w:t>Ohio Consumers</w:t>
      </w:r>
      <w:r>
        <w:t>’</w:t>
      </w:r>
      <w:r w:rsidRPr="00842E73">
        <w:rPr>
          <w:rFonts w:cs="Times New Roman"/>
          <w:szCs w:val="24"/>
        </w:rPr>
        <w:t xml:space="preserve"> Counsel</w:t>
      </w:r>
    </w:p>
    <w:p w:rsidR="00ED170F" w:rsidRPr="00842E73" w:rsidP="00ED170F" w14:paraId="462C8AD2" w14:textId="77777777">
      <w:pPr>
        <w:tabs>
          <w:tab w:val="left" w:pos="2776"/>
        </w:tabs>
        <w:ind w:left="4230" w:right="339"/>
        <w:rPr>
          <w:rFonts w:cs="Times New Roman"/>
          <w:i/>
          <w:iCs/>
          <w:szCs w:val="24"/>
        </w:rPr>
      </w:pPr>
      <w:r w:rsidRPr="00842E73">
        <w:rPr>
          <w:rFonts w:cs="Times New Roman"/>
          <w:i/>
          <w:iCs/>
          <w:szCs w:val="24"/>
        </w:rPr>
        <w:t xml:space="preserve"> </w:t>
      </w:r>
    </w:p>
    <w:p w:rsidR="00ED170F" w:rsidRPr="00842E73" w:rsidP="00ED170F" w14:paraId="35D670E8" w14:textId="77777777">
      <w:pPr>
        <w:tabs>
          <w:tab w:val="left" w:pos="2776"/>
        </w:tabs>
        <w:ind w:left="4230" w:right="339"/>
        <w:rPr>
          <w:rFonts w:cs="Times New Roman"/>
          <w:i/>
          <w:iCs/>
          <w:szCs w:val="24"/>
          <w:u w:val="single"/>
        </w:rPr>
      </w:pPr>
      <w:r w:rsidRPr="00842E73">
        <w:rPr>
          <w:rFonts w:cs="Times New Roman"/>
          <w:i/>
          <w:iCs/>
          <w:szCs w:val="24"/>
          <w:u w:val="single"/>
        </w:rPr>
        <w:t>/s/ William J. Michael</w:t>
      </w:r>
    </w:p>
    <w:p w:rsidR="00ED170F" w:rsidRPr="00842E73" w:rsidP="00ED170F" w14:paraId="7EB64D38" w14:textId="77777777">
      <w:pPr>
        <w:tabs>
          <w:tab w:val="left" w:pos="2776"/>
        </w:tabs>
        <w:ind w:left="4230" w:right="339"/>
        <w:rPr>
          <w:rFonts w:cs="Times New Roman"/>
          <w:szCs w:val="24"/>
        </w:rPr>
      </w:pPr>
      <w:r w:rsidRPr="00842E73">
        <w:rPr>
          <w:rFonts w:cs="Times New Roman"/>
          <w:szCs w:val="24"/>
        </w:rPr>
        <w:t>William J. Michael (0070921)</w:t>
      </w:r>
    </w:p>
    <w:p w:rsidR="00ED170F" w:rsidRPr="00842E73" w:rsidP="00ED170F" w14:paraId="32BD4E7D" w14:textId="77777777">
      <w:pPr>
        <w:tabs>
          <w:tab w:val="left" w:pos="2776"/>
        </w:tabs>
        <w:ind w:left="4230" w:right="339"/>
        <w:rPr>
          <w:rFonts w:cs="Times New Roman"/>
          <w:szCs w:val="24"/>
        </w:rPr>
      </w:pPr>
      <w:r w:rsidRPr="00842E73">
        <w:rPr>
          <w:rFonts w:cs="Times New Roman"/>
          <w:szCs w:val="24"/>
        </w:rPr>
        <w:t>Counsel of Record</w:t>
      </w:r>
    </w:p>
    <w:p w:rsidR="00ED170F" w:rsidRPr="00842E73" w:rsidP="00ED170F" w14:paraId="2378CFAD" w14:textId="77777777">
      <w:pPr>
        <w:tabs>
          <w:tab w:val="left" w:pos="2776"/>
        </w:tabs>
        <w:ind w:left="4230" w:right="339"/>
        <w:rPr>
          <w:rFonts w:cs="Times New Roman"/>
          <w:szCs w:val="24"/>
        </w:rPr>
      </w:pPr>
      <w:r w:rsidRPr="00842E73">
        <w:rPr>
          <w:rFonts w:cs="Times New Roman"/>
          <w:szCs w:val="24"/>
        </w:rPr>
        <w:t>Donald J. Kral (0042091)</w:t>
      </w:r>
    </w:p>
    <w:p w:rsidR="00ED170F" w:rsidRPr="00842E73" w:rsidP="00ED170F" w14:paraId="6CC3F783" w14:textId="77777777">
      <w:pPr>
        <w:tabs>
          <w:tab w:val="left" w:pos="2776"/>
        </w:tabs>
        <w:ind w:left="4230" w:right="339"/>
        <w:rPr>
          <w:rFonts w:cs="Times New Roman"/>
          <w:szCs w:val="24"/>
        </w:rPr>
      </w:pPr>
      <w:r w:rsidRPr="00842E73">
        <w:rPr>
          <w:rFonts w:cs="Times New Roman"/>
          <w:szCs w:val="24"/>
        </w:rPr>
        <w:t>Assistant Consumers</w:t>
      </w:r>
      <w:r>
        <w:t>’</w:t>
      </w:r>
      <w:r w:rsidRPr="00842E73">
        <w:rPr>
          <w:rFonts w:cs="Times New Roman"/>
          <w:szCs w:val="24"/>
        </w:rPr>
        <w:t xml:space="preserve"> Counsel</w:t>
      </w:r>
    </w:p>
    <w:p w:rsidR="00ED170F" w:rsidRPr="00842E73" w:rsidP="00ED170F" w14:paraId="34FB4A5C" w14:textId="77777777">
      <w:pPr>
        <w:tabs>
          <w:tab w:val="left" w:pos="2776"/>
        </w:tabs>
        <w:ind w:left="4230" w:right="339"/>
        <w:rPr>
          <w:rFonts w:cs="Times New Roman"/>
          <w:szCs w:val="24"/>
        </w:rPr>
      </w:pPr>
      <w:r w:rsidRPr="00842E73">
        <w:rPr>
          <w:rFonts w:cs="Times New Roman"/>
          <w:szCs w:val="24"/>
        </w:rPr>
        <w:tab/>
      </w:r>
    </w:p>
    <w:p w:rsidR="00ED170F" w:rsidRPr="00842E73" w:rsidP="00ED170F" w14:paraId="2760894F" w14:textId="77777777">
      <w:pPr>
        <w:tabs>
          <w:tab w:val="left" w:pos="2776"/>
        </w:tabs>
        <w:ind w:left="4230" w:right="339"/>
        <w:rPr>
          <w:rFonts w:cs="Times New Roman"/>
          <w:b/>
          <w:bCs/>
          <w:szCs w:val="24"/>
        </w:rPr>
      </w:pPr>
      <w:r w:rsidRPr="00842E73">
        <w:rPr>
          <w:rFonts w:cs="Times New Roman"/>
          <w:b/>
          <w:bCs/>
          <w:szCs w:val="24"/>
        </w:rPr>
        <w:t>Office of the Ohio Consumers</w:t>
      </w:r>
      <w:r>
        <w:rPr>
          <w:b/>
          <w:bCs/>
        </w:rPr>
        <w:t>’</w:t>
      </w:r>
      <w:r w:rsidRPr="00842E73">
        <w:rPr>
          <w:rFonts w:cs="Times New Roman"/>
          <w:b/>
          <w:bCs/>
          <w:szCs w:val="24"/>
        </w:rPr>
        <w:t xml:space="preserve"> Counsel</w:t>
      </w:r>
    </w:p>
    <w:p w:rsidR="00ED170F" w:rsidRPr="00842E73" w:rsidP="00ED170F" w14:paraId="3D806607" w14:textId="77777777">
      <w:pPr>
        <w:tabs>
          <w:tab w:val="left" w:pos="2776"/>
        </w:tabs>
        <w:ind w:left="4230" w:right="339"/>
        <w:rPr>
          <w:rFonts w:cs="Times New Roman"/>
          <w:szCs w:val="24"/>
        </w:rPr>
      </w:pPr>
      <w:r w:rsidRPr="00842E73">
        <w:rPr>
          <w:rFonts w:cs="Times New Roman"/>
          <w:szCs w:val="24"/>
        </w:rPr>
        <w:t>65 East State Street, Suite 700</w:t>
      </w:r>
    </w:p>
    <w:p w:rsidR="00ED170F" w:rsidRPr="00842E73" w:rsidP="00ED170F" w14:paraId="01D6FB94" w14:textId="77777777">
      <w:pPr>
        <w:tabs>
          <w:tab w:val="left" w:pos="2776"/>
        </w:tabs>
        <w:ind w:left="4230" w:right="339"/>
        <w:rPr>
          <w:rFonts w:cs="Times New Roman"/>
          <w:szCs w:val="24"/>
        </w:rPr>
      </w:pPr>
      <w:r w:rsidRPr="00842E73">
        <w:rPr>
          <w:rFonts w:cs="Times New Roman"/>
          <w:szCs w:val="24"/>
        </w:rPr>
        <w:t>Columbus, Ohio 43215</w:t>
      </w:r>
    </w:p>
    <w:p w:rsidR="00ED170F" w:rsidRPr="00842E73" w:rsidP="00ED170F" w14:paraId="2F7E18DC" w14:textId="77777777">
      <w:pPr>
        <w:tabs>
          <w:tab w:val="left" w:pos="2776"/>
        </w:tabs>
        <w:ind w:left="4230" w:right="339"/>
        <w:rPr>
          <w:rFonts w:cs="Times New Roman"/>
          <w:szCs w:val="24"/>
        </w:rPr>
      </w:pPr>
      <w:r w:rsidRPr="00842E73">
        <w:rPr>
          <w:rFonts w:cs="Times New Roman"/>
          <w:szCs w:val="24"/>
        </w:rPr>
        <w:t>Telephone [Michael]: (614) 466-1291</w:t>
      </w:r>
    </w:p>
    <w:p w:rsidR="00ED170F" w:rsidRPr="00842E73" w:rsidP="00ED170F" w14:paraId="138C7D54" w14:textId="77777777">
      <w:pPr>
        <w:tabs>
          <w:tab w:val="left" w:pos="2776"/>
        </w:tabs>
        <w:ind w:left="4230" w:right="339"/>
        <w:rPr>
          <w:rFonts w:cs="Times New Roman"/>
          <w:szCs w:val="24"/>
        </w:rPr>
      </w:pPr>
      <w:r w:rsidRPr="00842E73">
        <w:rPr>
          <w:rFonts w:cs="Times New Roman"/>
          <w:szCs w:val="24"/>
        </w:rPr>
        <w:t>Telephone: [Kral]: (614) 466-9571</w:t>
      </w:r>
    </w:p>
    <w:p w:rsidR="00ED170F" w:rsidRPr="00842E73" w:rsidP="00ED170F" w14:paraId="0FB0BBFC" w14:textId="77777777">
      <w:pPr>
        <w:tabs>
          <w:tab w:val="left" w:pos="2776"/>
        </w:tabs>
        <w:ind w:left="4230" w:right="339"/>
        <w:rPr>
          <w:rFonts w:cs="Times New Roman"/>
          <w:szCs w:val="24"/>
        </w:rPr>
      </w:pPr>
      <w:hyperlink r:id="rId6" w:history="1">
        <w:r w:rsidRPr="00842E73">
          <w:rPr>
            <w:rStyle w:val="Hyperlink"/>
            <w:rFonts w:cs="Times New Roman"/>
            <w:szCs w:val="24"/>
          </w:rPr>
          <w:t>william.michael@occ.ohio.gov</w:t>
        </w:r>
      </w:hyperlink>
    </w:p>
    <w:p w:rsidR="00ED170F" w:rsidRPr="00842E73" w:rsidP="00ED170F" w14:paraId="0A287C6E" w14:textId="77777777">
      <w:pPr>
        <w:tabs>
          <w:tab w:val="left" w:pos="2776"/>
        </w:tabs>
        <w:ind w:left="4230" w:right="339"/>
        <w:rPr>
          <w:rFonts w:cs="Times New Roman"/>
          <w:szCs w:val="24"/>
        </w:rPr>
      </w:pPr>
      <w:hyperlink r:id="rId7" w:history="1">
        <w:r w:rsidRPr="00842E73">
          <w:rPr>
            <w:rStyle w:val="Hyperlink"/>
            <w:rFonts w:cs="Times New Roman"/>
            <w:szCs w:val="24"/>
          </w:rPr>
          <w:t>donald.kral@occ.ohio.gov</w:t>
        </w:r>
      </w:hyperlink>
    </w:p>
    <w:p w:rsidR="00ED170F" w:rsidRPr="00842E73" w:rsidP="00ED170F" w14:paraId="4E3A3F2F" w14:textId="77777777">
      <w:pPr>
        <w:tabs>
          <w:tab w:val="left" w:pos="2776"/>
        </w:tabs>
        <w:ind w:left="4230" w:right="339"/>
        <w:rPr>
          <w:rFonts w:cs="Times New Roman"/>
          <w:szCs w:val="24"/>
        </w:rPr>
      </w:pPr>
      <w:r w:rsidRPr="00842E73">
        <w:rPr>
          <w:rFonts w:cs="Times New Roman"/>
          <w:szCs w:val="24"/>
        </w:rPr>
        <w:t>(willing to accept service by e-mail)</w:t>
      </w:r>
    </w:p>
    <w:p w:rsidR="00ED170F" w:rsidRPr="00842E73" w:rsidP="002F2E53" w14:paraId="3931F014" w14:textId="77777777">
      <w:pPr>
        <w:spacing w:line="480" w:lineRule="auto"/>
        <w:jc w:val="center"/>
        <w:rPr>
          <w:rFonts w:cs="Times New Roman"/>
          <w:szCs w:val="24"/>
        </w:rPr>
      </w:pPr>
    </w:p>
    <w:p w:rsidR="00B04F63" w:rsidRPr="00842E73" w:rsidP="00EA521C" w14:paraId="6A2E841D" w14:textId="77777777">
      <w:pPr>
        <w:pStyle w:val="BodyTextIndent3"/>
        <w:spacing w:line="480" w:lineRule="auto"/>
        <w:rPr>
          <w:szCs w:val="24"/>
        </w:rPr>
      </w:pPr>
    </w:p>
    <w:p w:rsidR="00D841A1" w:rsidRPr="00842E73" w:rsidP="00EA521C" w14:paraId="3AA73103" w14:textId="77777777">
      <w:pPr>
        <w:pStyle w:val="BodyTextIndent3"/>
        <w:spacing w:line="480" w:lineRule="auto"/>
        <w:rPr>
          <w:szCs w:val="24"/>
        </w:rPr>
        <w:sectPr w:rsidSect="009B5D0B">
          <w:footerReference w:type="default" r:id="rId14"/>
          <w:pgSz w:w="12240" w:h="15840"/>
          <w:pgMar w:top="1440" w:right="1800" w:bottom="1440" w:left="1800" w:header="720" w:footer="720" w:gutter="0"/>
          <w:pgNumType w:start="1"/>
          <w:cols w:space="720"/>
          <w:docGrid w:linePitch="360"/>
        </w:sectPr>
      </w:pPr>
    </w:p>
    <w:p w:rsidR="00D841A1" w:rsidRPr="00842E73" w:rsidP="00D841A1" w14:paraId="3440131A" w14:textId="77777777">
      <w:pPr>
        <w:jc w:val="center"/>
        <w:rPr>
          <w:rFonts w:eastAsia="Times New Roman" w:cs="Times New Roman"/>
          <w:b/>
          <w:bCs/>
          <w:szCs w:val="24"/>
          <w:u w:val="single"/>
        </w:rPr>
      </w:pPr>
      <w:r w:rsidRPr="00842E73">
        <w:rPr>
          <w:rFonts w:eastAsia="Times New Roman" w:cs="Times New Roman"/>
          <w:b/>
          <w:bCs/>
          <w:szCs w:val="24"/>
          <w:u w:val="single"/>
        </w:rPr>
        <w:t>TABLE OF CONTENTS</w:t>
      </w:r>
    </w:p>
    <w:p w:rsidR="00D841A1" w:rsidRPr="00842E73" w:rsidP="00D841A1" w14:paraId="19299B7F" w14:textId="77777777">
      <w:pPr>
        <w:jc w:val="right"/>
        <w:rPr>
          <w:rFonts w:eastAsia="Times New Roman" w:cs="Times New Roman"/>
          <w:b/>
          <w:bCs/>
          <w:szCs w:val="24"/>
        </w:rPr>
      </w:pPr>
      <w:r w:rsidRPr="00842E73">
        <w:rPr>
          <w:rFonts w:eastAsia="Times New Roman" w:cs="Times New Roman"/>
          <w:szCs w:val="24"/>
        </w:rPr>
        <w:tab/>
      </w:r>
      <w:r w:rsidRPr="00842E73">
        <w:rPr>
          <w:rFonts w:eastAsia="Times New Roman" w:cs="Times New Roman"/>
          <w:szCs w:val="24"/>
        </w:rPr>
        <w:tab/>
      </w:r>
      <w:r w:rsidRPr="00842E73">
        <w:rPr>
          <w:rFonts w:eastAsia="Times New Roman" w:cs="Times New Roman"/>
          <w:szCs w:val="24"/>
        </w:rPr>
        <w:tab/>
      </w:r>
      <w:r w:rsidRPr="00842E73">
        <w:rPr>
          <w:rFonts w:eastAsia="Times New Roman" w:cs="Times New Roman"/>
          <w:szCs w:val="24"/>
        </w:rPr>
        <w:tab/>
      </w:r>
      <w:r w:rsidRPr="00842E73">
        <w:rPr>
          <w:rFonts w:eastAsia="Times New Roman" w:cs="Times New Roman"/>
          <w:szCs w:val="24"/>
        </w:rPr>
        <w:tab/>
      </w:r>
      <w:r w:rsidRPr="00842E73">
        <w:rPr>
          <w:rFonts w:eastAsia="Times New Roman" w:cs="Times New Roman"/>
          <w:szCs w:val="24"/>
        </w:rPr>
        <w:tab/>
      </w:r>
      <w:r w:rsidRPr="00842E73">
        <w:rPr>
          <w:rFonts w:eastAsia="Times New Roman" w:cs="Times New Roman"/>
          <w:szCs w:val="24"/>
        </w:rPr>
        <w:tab/>
      </w:r>
      <w:r w:rsidRPr="00842E73">
        <w:rPr>
          <w:rFonts w:eastAsia="Times New Roman" w:cs="Times New Roman"/>
          <w:szCs w:val="24"/>
        </w:rPr>
        <w:tab/>
      </w:r>
      <w:r w:rsidRPr="00842E73">
        <w:rPr>
          <w:rFonts w:eastAsia="Times New Roman" w:cs="Times New Roman"/>
          <w:szCs w:val="24"/>
        </w:rPr>
        <w:tab/>
      </w:r>
      <w:r w:rsidRPr="00842E73">
        <w:rPr>
          <w:rFonts w:eastAsia="Times New Roman" w:cs="Times New Roman"/>
          <w:szCs w:val="24"/>
        </w:rPr>
        <w:tab/>
      </w:r>
      <w:r w:rsidRPr="00842E73">
        <w:rPr>
          <w:rFonts w:eastAsia="Times New Roman" w:cs="Times New Roman"/>
          <w:szCs w:val="24"/>
        </w:rPr>
        <w:tab/>
      </w:r>
      <w:r w:rsidRPr="00842E73">
        <w:rPr>
          <w:rFonts w:eastAsia="Times New Roman" w:cs="Times New Roman"/>
          <w:szCs w:val="24"/>
        </w:rPr>
        <w:tab/>
      </w:r>
      <w:r w:rsidRPr="00842E73">
        <w:rPr>
          <w:rFonts w:eastAsia="Times New Roman" w:cs="Times New Roman"/>
          <w:b/>
          <w:bCs/>
          <w:szCs w:val="24"/>
        </w:rPr>
        <w:t>PAGE</w:t>
      </w:r>
    </w:p>
    <w:p w:rsidR="00D841A1" w:rsidRPr="00842E73" w:rsidP="00D841A1" w14:paraId="6C3F22D0" w14:textId="77777777">
      <w:pPr>
        <w:jc w:val="center"/>
        <w:rPr>
          <w:rFonts w:eastAsia="Times New Roman" w:cs="Times New Roman"/>
          <w:b/>
          <w:bCs/>
          <w:szCs w:val="24"/>
        </w:rPr>
      </w:pPr>
    </w:p>
    <w:p w:rsidR="00545FDB" w14:paraId="24361B78" w14:textId="5A39EEA5">
      <w:pPr>
        <w:pStyle w:val="TOC1"/>
        <w:rPr>
          <w:rFonts w:asciiTheme="minorHAnsi" w:eastAsiaTheme="minorEastAsia" w:hAnsiTheme="minorHAnsi"/>
          <w:caps w:val="0"/>
          <w:noProof/>
          <w:kern w:val="2"/>
          <w:szCs w:val="24"/>
          <w14:ligatures w14:val="standardContextual"/>
        </w:rPr>
      </w:pPr>
      <w:r w:rsidRPr="00842E73">
        <w:rPr>
          <w:rFonts w:cs="Times New Roman"/>
          <w:b/>
          <w:bCs/>
          <w:szCs w:val="24"/>
        </w:rPr>
        <w:fldChar w:fldCharType="begin"/>
      </w:r>
      <w:r w:rsidRPr="00842E73">
        <w:rPr>
          <w:rFonts w:cs="Times New Roman"/>
          <w:b/>
          <w:bCs/>
          <w:szCs w:val="24"/>
        </w:rPr>
        <w:instrText xml:space="preserve"> TOC \o "1-3" \h \z \u </w:instrText>
      </w:r>
      <w:r w:rsidRPr="00842E73">
        <w:rPr>
          <w:rFonts w:cs="Times New Roman"/>
          <w:b/>
          <w:bCs/>
          <w:szCs w:val="24"/>
        </w:rPr>
        <w:fldChar w:fldCharType="separate"/>
      </w:r>
      <w:hyperlink w:anchor="_Toc156829291" w:history="1">
        <w:r w:rsidRPr="00523D22">
          <w:rPr>
            <w:rStyle w:val="Hyperlink"/>
            <w:noProof/>
          </w:rPr>
          <w:t>I.</w:t>
        </w:r>
        <w:r>
          <w:rPr>
            <w:rFonts w:asciiTheme="minorHAnsi" w:eastAsiaTheme="minorEastAsia" w:hAnsiTheme="minorHAnsi"/>
            <w:caps w:val="0"/>
            <w:noProof/>
            <w:kern w:val="2"/>
            <w:szCs w:val="24"/>
            <w14:ligatures w14:val="standardContextual"/>
          </w:rPr>
          <w:tab/>
        </w:r>
        <w:r w:rsidRPr="00523D22">
          <w:rPr>
            <w:rStyle w:val="Hyperlink"/>
            <w:noProof/>
          </w:rPr>
          <w:t>INTRODUCTION</w:t>
        </w:r>
        <w:r>
          <w:rPr>
            <w:noProof/>
            <w:webHidden/>
          </w:rPr>
          <w:tab/>
        </w:r>
        <w:r>
          <w:rPr>
            <w:noProof/>
            <w:webHidden/>
          </w:rPr>
          <w:fldChar w:fldCharType="begin"/>
        </w:r>
        <w:r>
          <w:rPr>
            <w:noProof/>
            <w:webHidden/>
          </w:rPr>
          <w:instrText xml:space="preserve"> PAGEREF _Toc156829291 \h </w:instrText>
        </w:r>
        <w:r>
          <w:rPr>
            <w:noProof/>
            <w:webHidden/>
          </w:rPr>
          <w:fldChar w:fldCharType="separate"/>
        </w:r>
        <w:r>
          <w:rPr>
            <w:noProof/>
            <w:webHidden/>
          </w:rPr>
          <w:t>1</w:t>
        </w:r>
        <w:r>
          <w:rPr>
            <w:noProof/>
            <w:webHidden/>
          </w:rPr>
          <w:fldChar w:fldCharType="end"/>
        </w:r>
      </w:hyperlink>
    </w:p>
    <w:p w:rsidR="00545FDB" w14:paraId="4AC89DB0" w14:textId="398EC388">
      <w:pPr>
        <w:pStyle w:val="TOC1"/>
        <w:rPr>
          <w:rFonts w:asciiTheme="minorHAnsi" w:eastAsiaTheme="minorEastAsia" w:hAnsiTheme="minorHAnsi"/>
          <w:caps w:val="0"/>
          <w:noProof/>
          <w:kern w:val="2"/>
          <w:szCs w:val="24"/>
          <w14:ligatures w14:val="standardContextual"/>
        </w:rPr>
      </w:pPr>
      <w:hyperlink w:anchor="_Toc156829292" w:history="1">
        <w:r w:rsidRPr="00523D22">
          <w:rPr>
            <w:rStyle w:val="Hyperlink"/>
            <w:noProof/>
          </w:rPr>
          <w:t>II.</w:t>
        </w:r>
        <w:r>
          <w:rPr>
            <w:rFonts w:asciiTheme="minorHAnsi" w:eastAsiaTheme="minorEastAsia" w:hAnsiTheme="minorHAnsi"/>
            <w:caps w:val="0"/>
            <w:noProof/>
            <w:kern w:val="2"/>
            <w:szCs w:val="24"/>
            <w14:ligatures w14:val="standardContextual"/>
          </w:rPr>
          <w:tab/>
        </w:r>
        <w:r w:rsidRPr="00523D22">
          <w:rPr>
            <w:rStyle w:val="Hyperlink"/>
            <w:noProof/>
          </w:rPr>
          <w:t>ARGUMENT</w:t>
        </w:r>
        <w:r>
          <w:rPr>
            <w:noProof/>
            <w:webHidden/>
          </w:rPr>
          <w:tab/>
        </w:r>
        <w:r>
          <w:rPr>
            <w:noProof/>
            <w:webHidden/>
          </w:rPr>
          <w:fldChar w:fldCharType="begin"/>
        </w:r>
        <w:r>
          <w:rPr>
            <w:noProof/>
            <w:webHidden/>
          </w:rPr>
          <w:instrText xml:space="preserve"> PAGEREF _Toc156829292 \h </w:instrText>
        </w:r>
        <w:r>
          <w:rPr>
            <w:noProof/>
            <w:webHidden/>
          </w:rPr>
          <w:fldChar w:fldCharType="separate"/>
        </w:r>
        <w:r>
          <w:rPr>
            <w:noProof/>
            <w:webHidden/>
          </w:rPr>
          <w:t>6</w:t>
        </w:r>
        <w:r>
          <w:rPr>
            <w:noProof/>
            <w:webHidden/>
          </w:rPr>
          <w:fldChar w:fldCharType="end"/>
        </w:r>
      </w:hyperlink>
    </w:p>
    <w:p w:rsidR="00545FDB" w14:paraId="0D5653A4" w14:textId="251358DC">
      <w:pPr>
        <w:pStyle w:val="TOC2"/>
        <w:rPr>
          <w:rFonts w:asciiTheme="minorHAnsi" w:eastAsiaTheme="minorEastAsia" w:hAnsiTheme="minorHAnsi"/>
          <w:noProof/>
          <w:kern w:val="2"/>
          <w:szCs w:val="24"/>
          <w14:ligatures w14:val="standardContextual"/>
        </w:rPr>
      </w:pPr>
      <w:hyperlink w:anchor="_Toc156829293" w:history="1">
        <w:r w:rsidRPr="00523D22">
          <w:rPr>
            <w:rStyle w:val="Hyperlink"/>
            <w:noProof/>
          </w:rPr>
          <w:t>A.</w:t>
        </w:r>
        <w:r>
          <w:rPr>
            <w:rFonts w:asciiTheme="minorHAnsi" w:eastAsiaTheme="minorEastAsia" w:hAnsiTheme="minorHAnsi"/>
            <w:noProof/>
            <w:kern w:val="2"/>
            <w:szCs w:val="24"/>
            <w14:ligatures w14:val="standardContextual"/>
          </w:rPr>
          <w:tab/>
        </w:r>
        <w:r w:rsidRPr="00523D22">
          <w:rPr>
            <w:rStyle w:val="Hyperlink"/>
            <w:noProof/>
          </w:rPr>
          <w:t>FirstEnergy seeks increased charges from consumers to pay for Grid Mod II, which is related to the four FirstEnergy investigations that have been stayed.</w:t>
        </w:r>
        <w:r>
          <w:rPr>
            <w:noProof/>
            <w:webHidden/>
          </w:rPr>
          <w:tab/>
        </w:r>
        <w:r>
          <w:rPr>
            <w:noProof/>
            <w:webHidden/>
          </w:rPr>
          <w:fldChar w:fldCharType="begin"/>
        </w:r>
        <w:r>
          <w:rPr>
            <w:noProof/>
            <w:webHidden/>
          </w:rPr>
          <w:instrText xml:space="preserve"> PAGEREF _Toc156829293 \h </w:instrText>
        </w:r>
        <w:r>
          <w:rPr>
            <w:noProof/>
            <w:webHidden/>
          </w:rPr>
          <w:fldChar w:fldCharType="separate"/>
        </w:r>
        <w:r>
          <w:rPr>
            <w:noProof/>
            <w:webHidden/>
          </w:rPr>
          <w:t>6</w:t>
        </w:r>
        <w:r>
          <w:rPr>
            <w:noProof/>
            <w:webHidden/>
          </w:rPr>
          <w:fldChar w:fldCharType="end"/>
        </w:r>
      </w:hyperlink>
    </w:p>
    <w:p w:rsidR="00545FDB" w14:paraId="43D360DE" w14:textId="07C2A86E">
      <w:pPr>
        <w:pStyle w:val="TOC2"/>
        <w:rPr>
          <w:rFonts w:asciiTheme="minorHAnsi" w:eastAsiaTheme="minorEastAsia" w:hAnsiTheme="minorHAnsi"/>
          <w:noProof/>
          <w:kern w:val="2"/>
          <w:szCs w:val="24"/>
          <w14:ligatures w14:val="standardContextual"/>
        </w:rPr>
      </w:pPr>
      <w:hyperlink w:anchor="_Toc156829294" w:history="1">
        <w:r w:rsidRPr="00523D22">
          <w:rPr>
            <w:rStyle w:val="Hyperlink"/>
            <w:noProof/>
          </w:rPr>
          <w:t>B.</w:t>
        </w:r>
        <w:r>
          <w:rPr>
            <w:rFonts w:asciiTheme="minorHAnsi" w:eastAsiaTheme="minorEastAsia" w:hAnsiTheme="minorHAnsi"/>
            <w:noProof/>
            <w:kern w:val="2"/>
            <w:szCs w:val="24"/>
            <w14:ligatures w14:val="standardContextual"/>
          </w:rPr>
          <w:tab/>
        </w:r>
        <w:r w:rsidRPr="00523D22">
          <w:rPr>
            <w:rStyle w:val="Hyperlink"/>
            <w:noProof/>
          </w:rPr>
          <w:t>Staying FirstEnergy’s Grid Mod II (funded through Rider AMI) would be just and reasonable and consistent with the PUCO’s six-part stay standard.</w:t>
        </w:r>
        <w:r>
          <w:rPr>
            <w:noProof/>
            <w:webHidden/>
          </w:rPr>
          <w:tab/>
        </w:r>
        <w:r>
          <w:rPr>
            <w:noProof/>
            <w:webHidden/>
          </w:rPr>
          <w:fldChar w:fldCharType="begin"/>
        </w:r>
        <w:r>
          <w:rPr>
            <w:noProof/>
            <w:webHidden/>
          </w:rPr>
          <w:instrText xml:space="preserve"> PAGEREF _Toc156829294 \h </w:instrText>
        </w:r>
        <w:r>
          <w:rPr>
            <w:noProof/>
            <w:webHidden/>
          </w:rPr>
          <w:fldChar w:fldCharType="separate"/>
        </w:r>
        <w:r>
          <w:rPr>
            <w:noProof/>
            <w:webHidden/>
          </w:rPr>
          <w:t>10</w:t>
        </w:r>
        <w:r>
          <w:rPr>
            <w:noProof/>
            <w:webHidden/>
          </w:rPr>
          <w:fldChar w:fldCharType="end"/>
        </w:r>
      </w:hyperlink>
    </w:p>
    <w:p w:rsidR="00545FDB" w14:paraId="1F37F785" w14:textId="3F9859FA">
      <w:pPr>
        <w:pStyle w:val="TOC3"/>
        <w:rPr>
          <w:rFonts w:asciiTheme="minorHAnsi" w:eastAsiaTheme="minorEastAsia" w:hAnsiTheme="minorHAnsi"/>
          <w:noProof/>
          <w:kern w:val="2"/>
          <w:szCs w:val="24"/>
          <w14:ligatures w14:val="standardContextual"/>
        </w:rPr>
      </w:pPr>
      <w:hyperlink w:anchor="_Toc156829295" w:history="1">
        <w:r w:rsidRPr="00523D22">
          <w:rPr>
            <w:rStyle w:val="Hyperlink"/>
            <w:noProof/>
          </w:rPr>
          <w:t>1.</w:t>
        </w:r>
        <w:r>
          <w:rPr>
            <w:rFonts w:asciiTheme="minorHAnsi" w:eastAsiaTheme="minorEastAsia" w:hAnsiTheme="minorHAnsi"/>
            <w:noProof/>
            <w:kern w:val="2"/>
            <w:szCs w:val="24"/>
            <w14:ligatures w14:val="standardContextual"/>
          </w:rPr>
          <w:tab/>
        </w:r>
        <w:r w:rsidRPr="00523D22">
          <w:rPr>
            <w:rStyle w:val="Hyperlink"/>
            <w:noProof/>
          </w:rPr>
          <w:t>There are overlapping issues that exist making a stay reasonable.</w:t>
        </w:r>
        <w:r>
          <w:rPr>
            <w:noProof/>
            <w:webHidden/>
          </w:rPr>
          <w:tab/>
        </w:r>
        <w:r>
          <w:rPr>
            <w:noProof/>
            <w:webHidden/>
          </w:rPr>
          <w:fldChar w:fldCharType="begin"/>
        </w:r>
        <w:r>
          <w:rPr>
            <w:noProof/>
            <w:webHidden/>
          </w:rPr>
          <w:instrText xml:space="preserve"> PAGEREF _Toc156829295 \h </w:instrText>
        </w:r>
        <w:r>
          <w:rPr>
            <w:noProof/>
            <w:webHidden/>
          </w:rPr>
          <w:fldChar w:fldCharType="separate"/>
        </w:r>
        <w:r>
          <w:rPr>
            <w:noProof/>
            <w:webHidden/>
          </w:rPr>
          <w:t>11</w:t>
        </w:r>
        <w:r>
          <w:rPr>
            <w:noProof/>
            <w:webHidden/>
          </w:rPr>
          <w:fldChar w:fldCharType="end"/>
        </w:r>
      </w:hyperlink>
    </w:p>
    <w:p w:rsidR="00545FDB" w14:paraId="411F7F1C" w14:textId="4691C55E">
      <w:pPr>
        <w:pStyle w:val="TOC3"/>
        <w:rPr>
          <w:rFonts w:asciiTheme="minorHAnsi" w:eastAsiaTheme="minorEastAsia" w:hAnsiTheme="minorHAnsi"/>
          <w:noProof/>
          <w:kern w:val="2"/>
          <w:szCs w:val="24"/>
          <w14:ligatures w14:val="standardContextual"/>
        </w:rPr>
      </w:pPr>
      <w:hyperlink w:anchor="_Toc156829296" w:history="1">
        <w:r w:rsidRPr="00523D22">
          <w:rPr>
            <w:rStyle w:val="Hyperlink"/>
            <w:noProof/>
          </w:rPr>
          <w:t>2.</w:t>
        </w:r>
        <w:r>
          <w:rPr>
            <w:rFonts w:asciiTheme="minorHAnsi" w:eastAsiaTheme="minorEastAsia" w:hAnsiTheme="minorHAnsi"/>
            <w:noProof/>
            <w:kern w:val="2"/>
            <w:szCs w:val="24"/>
            <w14:ligatures w14:val="standardContextual"/>
          </w:rPr>
          <w:tab/>
        </w:r>
        <w:r w:rsidRPr="00523D22">
          <w:rPr>
            <w:rStyle w:val="Hyperlink"/>
            <w:noProof/>
          </w:rPr>
          <w:t>The status of the criminal proceeding weighs in favor of this case.</w:t>
        </w:r>
        <w:r>
          <w:rPr>
            <w:noProof/>
            <w:webHidden/>
          </w:rPr>
          <w:tab/>
        </w:r>
        <w:r>
          <w:rPr>
            <w:noProof/>
            <w:webHidden/>
          </w:rPr>
          <w:fldChar w:fldCharType="begin"/>
        </w:r>
        <w:r>
          <w:rPr>
            <w:noProof/>
            <w:webHidden/>
          </w:rPr>
          <w:instrText xml:space="preserve"> PAGEREF _Toc156829296 \h </w:instrText>
        </w:r>
        <w:r>
          <w:rPr>
            <w:noProof/>
            <w:webHidden/>
          </w:rPr>
          <w:fldChar w:fldCharType="separate"/>
        </w:r>
        <w:r>
          <w:rPr>
            <w:noProof/>
            <w:webHidden/>
          </w:rPr>
          <w:t>13</w:t>
        </w:r>
        <w:r>
          <w:rPr>
            <w:noProof/>
            <w:webHidden/>
          </w:rPr>
          <w:fldChar w:fldCharType="end"/>
        </w:r>
      </w:hyperlink>
    </w:p>
    <w:p w:rsidR="00545FDB" w14:paraId="705C2E2F" w14:textId="36F5C08B">
      <w:pPr>
        <w:pStyle w:val="TOC3"/>
        <w:rPr>
          <w:rFonts w:asciiTheme="minorHAnsi" w:eastAsiaTheme="minorEastAsia" w:hAnsiTheme="minorHAnsi"/>
          <w:noProof/>
          <w:kern w:val="2"/>
          <w:szCs w:val="24"/>
          <w14:ligatures w14:val="standardContextual"/>
        </w:rPr>
      </w:pPr>
      <w:hyperlink w:anchor="_Toc156829297" w:history="1">
        <w:r w:rsidRPr="00523D22">
          <w:rPr>
            <w:rStyle w:val="Hyperlink"/>
            <w:noProof/>
          </w:rPr>
          <w:t>3.</w:t>
        </w:r>
        <w:r>
          <w:rPr>
            <w:rFonts w:asciiTheme="minorHAnsi" w:eastAsiaTheme="minorEastAsia" w:hAnsiTheme="minorHAnsi"/>
            <w:noProof/>
            <w:kern w:val="2"/>
            <w:szCs w:val="24"/>
            <w14:ligatures w14:val="standardContextual"/>
          </w:rPr>
          <w:tab/>
        </w:r>
        <w:r w:rsidRPr="00523D22">
          <w:rPr>
            <w:rStyle w:val="Hyperlink"/>
            <w:noProof/>
          </w:rPr>
          <w:t>The interests of the PUCO (and the courts) weigh in favor of staying this case.</w:t>
        </w:r>
        <w:r>
          <w:rPr>
            <w:noProof/>
            <w:webHidden/>
          </w:rPr>
          <w:tab/>
        </w:r>
        <w:r>
          <w:rPr>
            <w:noProof/>
            <w:webHidden/>
          </w:rPr>
          <w:fldChar w:fldCharType="begin"/>
        </w:r>
        <w:r>
          <w:rPr>
            <w:noProof/>
            <w:webHidden/>
          </w:rPr>
          <w:instrText xml:space="preserve"> PAGEREF _Toc156829297 \h </w:instrText>
        </w:r>
        <w:r>
          <w:rPr>
            <w:noProof/>
            <w:webHidden/>
          </w:rPr>
          <w:fldChar w:fldCharType="separate"/>
        </w:r>
        <w:r>
          <w:rPr>
            <w:noProof/>
            <w:webHidden/>
          </w:rPr>
          <w:t>13</w:t>
        </w:r>
        <w:r>
          <w:rPr>
            <w:noProof/>
            <w:webHidden/>
          </w:rPr>
          <w:fldChar w:fldCharType="end"/>
        </w:r>
      </w:hyperlink>
    </w:p>
    <w:p w:rsidR="00545FDB" w14:paraId="1B64B930" w14:textId="7AA38733">
      <w:pPr>
        <w:pStyle w:val="TOC3"/>
        <w:rPr>
          <w:rFonts w:asciiTheme="minorHAnsi" w:eastAsiaTheme="minorEastAsia" w:hAnsiTheme="minorHAnsi"/>
          <w:noProof/>
          <w:kern w:val="2"/>
          <w:szCs w:val="24"/>
          <w14:ligatures w14:val="standardContextual"/>
        </w:rPr>
      </w:pPr>
      <w:hyperlink w:anchor="_Toc156829298" w:history="1">
        <w:r w:rsidRPr="00523D22">
          <w:rPr>
            <w:rStyle w:val="Hyperlink"/>
            <w:noProof/>
          </w:rPr>
          <w:t>4.</w:t>
        </w:r>
        <w:r>
          <w:rPr>
            <w:rFonts w:asciiTheme="minorHAnsi" w:eastAsiaTheme="minorEastAsia" w:hAnsiTheme="minorHAnsi"/>
            <w:noProof/>
            <w:kern w:val="2"/>
            <w:szCs w:val="24"/>
            <w14:ligatures w14:val="standardContextual"/>
          </w:rPr>
          <w:tab/>
        </w:r>
        <w:r w:rsidRPr="00523D22">
          <w:rPr>
            <w:rStyle w:val="Hyperlink"/>
            <w:noProof/>
          </w:rPr>
          <w:t>The public interest weighs in favor of staying this case.</w:t>
        </w:r>
        <w:r>
          <w:rPr>
            <w:noProof/>
            <w:webHidden/>
          </w:rPr>
          <w:tab/>
        </w:r>
        <w:r>
          <w:rPr>
            <w:noProof/>
            <w:webHidden/>
          </w:rPr>
          <w:fldChar w:fldCharType="begin"/>
        </w:r>
        <w:r>
          <w:rPr>
            <w:noProof/>
            <w:webHidden/>
          </w:rPr>
          <w:instrText xml:space="preserve"> PAGEREF _Toc156829298 \h </w:instrText>
        </w:r>
        <w:r>
          <w:rPr>
            <w:noProof/>
            <w:webHidden/>
          </w:rPr>
          <w:fldChar w:fldCharType="separate"/>
        </w:r>
        <w:r>
          <w:rPr>
            <w:noProof/>
            <w:webHidden/>
          </w:rPr>
          <w:t>14</w:t>
        </w:r>
        <w:r>
          <w:rPr>
            <w:noProof/>
            <w:webHidden/>
          </w:rPr>
          <w:fldChar w:fldCharType="end"/>
        </w:r>
      </w:hyperlink>
    </w:p>
    <w:p w:rsidR="00545FDB" w14:paraId="02212083" w14:textId="31504ECA">
      <w:pPr>
        <w:pStyle w:val="TOC3"/>
        <w:rPr>
          <w:rFonts w:asciiTheme="minorHAnsi" w:eastAsiaTheme="minorEastAsia" w:hAnsiTheme="minorHAnsi"/>
          <w:noProof/>
          <w:kern w:val="2"/>
          <w:szCs w:val="24"/>
          <w14:ligatures w14:val="standardContextual"/>
        </w:rPr>
      </w:pPr>
      <w:hyperlink w:anchor="_Toc156829299" w:history="1">
        <w:r w:rsidRPr="00523D22">
          <w:rPr>
            <w:rStyle w:val="Hyperlink"/>
            <w:noProof/>
          </w:rPr>
          <w:t>5.</w:t>
        </w:r>
        <w:r>
          <w:rPr>
            <w:rFonts w:asciiTheme="minorHAnsi" w:eastAsiaTheme="minorEastAsia" w:hAnsiTheme="minorHAnsi"/>
            <w:noProof/>
            <w:kern w:val="2"/>
            <w:szCs w:val="24"/>
            <w14:ligatures w14:val="standardContextual"/>
          </w:rPr>
          <w:tab/>
        </w:r>
        <w:r w:rsidRPr="00523D22">
          <w:rPr>
            <w:rStyle w:val="Hyperlink"/>
            <w:noProof/>
          </w:rPr>
          <w:t>The private interests of those impacted by the stay weigh in favor of staying this case.</w:t>
        </w:r>
        <w:r>
          <w:rPr>
            <w:noProof/>
            <w:webHidden/>
          </w:rPr>
          <w:tab/>
        </w:r>
        <w:r>
          <w:rPr>
            <w:noProof/>
            <w:webHidden/>
          </w:rPr>
          <w:fldChar w:fldCharType="begin"/>
        </w:r>
        <w:r>
          <w:rPr>
            <w:noProof/>
            <w:webHidden/>
          </w:rPr>
          <w:instrText xml:space="preserve"> PAGEREF _Toc156829299 \h </w:instrText>
        </w:r>
        <w:r>
          <w:rPr>
            <w:noProof/>
            <w:webHidden/>
          </w:rPr>
          <w:fldChar w:fldCharType="separate"/>
        </w:r>
        <w:r>
          <w:rPr>
            <w:noProof/>
            <w:webHidden/>
          </w:rPr>
          <w:t>15</w:t>
        </w:r>
        <w:r>
          <w:rPr>
            <w:noProof/>
            <w:webHidden/>
          </w:rPr>
          <w:fldChar w:fldCharType="end"/>
        </w:r>
      </w:hyperlink>
    </w:p>
    <w:p w:rsidR="00545FDB" w14:paraId="4BE8EC4C" w14:textId="1418A390">
      <w:pPr>
        <w:pStyle w:val="TOC1"/>
        <w:rPr>
          <w:rFonts w:asciiTheme="minorHAnsi" w:eastAsiaTheme="minorEastAsia" w:hAnsiTheme="minorHAnsi"/>
          <w:caps w:val="0"/>
          <w:noProof/>
          <w:kern w:val="2"/>
          <w:szCs w:val="24"/>
          <w14:ligatures w14:val="standardContextual"/>
        </w:rPr>
      </w:pPr>
      <w:hyperlink w:anchor="_Toc156829300" w:history="1">
        <w:r w:rsidRPr="00523D22">
          <w:rPr>
            <w:rStyle w:val="Hyperlink"/>
            <w:noProof/>
          </w:rPr>
          <w:t>iii.</w:t>
        </w:r>
        <w:r>
          <w:rPr>
            <w:rFonts w:asciiTheme="minorHAnsi" w:eastAsiaTheme="minorEastAsia" w:hAnsiTheme="minorHAnsi"/>
            <w:caps w:val="0"/>
            <w:noProof/>
            <w:kern w:val="2"/>
            <w:szCs w:val="24"/>
            <w14:ligatures w14:val="standardContextual"/>
          </w:rPr>
          <w:tab/>
        </w:r>
        <w:r w:rsidRPr="00523D22">
          <w:rPr>
            <w:rStyle w:val="Hyperlink"/>
            <w:noProof/>
          </w:rPr>
          <w:t>CONCLUSION</w:t>
        </w:r>
        <w:r>
          <w:rPr>
            <w:noProof/>
            <w:webHidden/>
          </w:rPr>
          <w:tab/>
        </w:r>
        <w:r>
          <w:rPr>
            <w:noProof/>
            <w:webHidden/>
          </w:rPr>
          <w:fldChar w:fldCharType="begin"/>
        </w:r>
        <w:r>
          <w:rPr>
            <w:noProof/>
            <w:webHidden/>
          </w:rPr>
          <w:instrText xml:space="preserve"> PAGEREF _Toc156829300 \h </w:instrText>
        </w:r>
        <w:r>
          <w:rPr>
            <w:noProof/>
            <w:webHidden/>
          </w:rPr>
          <w:fldChar w:fldCharType="separate"/>
        </w:r>
        <w:r>
          <w:rPr>
            <w:noProof/>
            <w:webHidden/>
          </w:rPr>
          <w:t>15</w:t>
        </w:r>
        <w:r>
          <w:rPr>
            <w:noProof/>
            <w:webHidden/>
          </w:rPr>
          <w:fldChar w:fldCharType="end"/>
        </w:r>
      </w:hyperlink>
    </w:p>
    <w:p w:rsidR="00D841A1" w:rsidRPr="00842E73" w:rsidP="00D841A1" w14:paraId="2834F9CB" w14:textId="41BE0DFB">
      <w:pPr>
        <w:pStyle w:val="BodyTextIndent3"/>
        <w:spacing w:line="480" w:lineRule="auto"/>
        <w:rPr>
          <w:b/>
          <w:bCs/>
          <w:szCs w:val="24"/>
        </w:rPr>
        <w:sectPr w:rsidSect="009B5D0B">
          <w:footerReference w:type="default" r:id="rId15"/>
          <w:pgSz w:w="12240" w:h="15840"/>
          <w:pgMar w:top="1440" w:right="1800" w:bottom="1440" w:left="1800" w:header="720" w:footer="720" w:gutter="0"/>
          <w:pgNumType w:fmt="lowerRoman" w:start="1"/>
          <w:cols w:space="720"/>
          <w:docGrid w:linePitch="360"/>
        </w:sectPr>
      </w:pPr>
      <w:r w:rsidRPr="00842E73">
        <w:rPr>
          <w:rFonts w:eastAsiaTheme="minorHAnsi"/>
          <w:b/>
          <w:bCs/>
          <w:caps/>
          <w:szCs w:val="24"/>
        </w:rPr>
        <w:fldChar w:fldCharType="end"/>
      </w:r>
    </w:p>
    <w:p w:rsidR="00185D45" w:rsidRPr="00842E73" w:rsidP="00185D45" w14:paraId="40A15DE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842E73">
        <w:rPr>
          <w:rFonts w:ascii="Times New Roman" w:hAnsi="Times New Roman" w:cs="Times New Roman"/>
          <w:b/>
          <w:bCs/>
          <w:sz w:val="24"/>
          <w:szCs w:val="24"/>
        </w:rPr>
        <w:t>BEFORE</w:t>
      </w:r>
    </w:p>
    <w:p w:rsidR="00185D45" w:rsidRPr="00842E73" w:rsidP="00185D45" w14:paraId="099BED71" w14:textId="77777777">
      <w:pPr>
        <w:pStyle w:val="HTMLPreformatted"/>
        <w:jc w:val="center"/>
        <w:rPr>
          <w:rFonts w:ascii="Times New Roman" w:hAnsi="Times New Roman" w:cs="Times New Roman"/>
          <w:b/>
          <w:bCs/>
          <w:sz w:val="24"/>
          <w:szCs w:val="24"/>
        </w:rPr>
      </w:pPr>
      <w:r w:rsidRPr="00842E73">
        <w:rPr>
          <w:rFonts w:ascii="Times New Roman" w:hAnsi="Times New Roman" w:cs="Times New Roman"/>
          <w:b/>
          <w:bCs/>
          <w:sz w:val="24"/>
          <w:szCs w:val="24"/>
        </w:rPr>
        <w:t>THE PUBLIC UTILITIES COMMISSION OF OHIO</w:t>
      </w:r>
    </w:p>
    <w:p w:rsidR="00185D45" w:rsidRPr="00842E73" w:rsidP="00185D45" w14:paraId="3DF0B3F6" w14:textId="77777777">
      <w:pPr>
        <w:pStyle w:val="HTMLPreformatted"/>
        <w:jc w:val="center"/>
        <w:rPr>
          <w:rFonts w:ascii="Times New Roman" w:hAnsi="Times New Roman" w:cs="Times New Roman"/>
          <w:b/>
          <w:bCs/>
          <w:sz w:val="24"/>
          <w:szCs w:val="24"/>
        </w:rPr>
      </w:pPr>
    </w:p>
    <w:tbl>
      <w:tblPr>
        <w:tblW w:w="8730" w:type="dxa"/>
        <w:tblInd w:w="0" w:type="dxa"/>
        <w:tblCellMar>
          <w:top w:w="0" w:type="dxa"/>
          <w:left w:w="108" w:type="dxa"/>
          <w:bottom w:w="0" w:type="dxa"/>
          <w:right w:w="108" w:type="dxa"/>
        </w:tblCellMar>
        <w:tblLook w:val="01E0"/>
      </w:tblPr>
      <w:tblGrid>
        <w:gridCol w:w="4122"/>
        <w:gridCol w:w="576"/>
        <w:gridCol w:w="4032"/>
      </w:tblGrid>
      <w:tr w14:paraId="2C7BE18C" w14:textId="77777777" w:rsidTr="006B7D7A">
        <w:tblPrEx>
          <w:tblW w:w="8730" w:type="dxa"/>
          <w:tblInd w:w="0" w:type="dxa"/>
          <w:tblCellMar>
            <w:top w:w="0" w:type="dxa"/>
            <w:left w:w="108" w:type="dxa"/>
            <w:bottom w:w="0" w:type="dxa"/>
            <w:right w:w="108" w:type="dxa"/>
          </w:tblCellMar>
          <w:tblLook w:val="01E0"/>
        </w:tblPrEx>
        <w:trPr>
          <w:trHeight w:val="807"/>
        </w:trPr>
        <w:tc>
          <w:tcPr>
            <w:tcW w:w="4122" w:type="dxa"/>
          </w:tcPr>
          <w:p w:rsidR="00185D45" w:rsidRPr="00842E73" w:rsidP="006B7D7A" w14:paraId="5634A8C7" w14:textId="77777777">
            <w:pPr>
              <w:tabs>
                <w:tab w:val="left" w:pos="8730"/>
              </w:tabs>
              <w:adjustRightInd w:val="0"/>
              <w:spacing w:after="0" w:line="240" w:lineRule="auto"/>
              <w:ind w:right="155"/>
              <w:rPr>
                <w:rFonts w:ascii="Times New Roman" w:hAnsi="Times New Roman" w:eastAsiaTheme="minorHAnsi" w:cs="Times New Roman"/>
                <w:sz w:val="24"/>
                <w:szCs w:val="24"/>
                <w:lang w:val="en-US" w:eastAsia="en-US" w:bidi="ar-SA"/>
              </w:rPr>
            </w:pPr>
            <w:r w:rsidRPr="00842E73">
              <w:rPr>
                <w:rFonts w:ascii="Times New Roman" w:eastAsia="Calibri" w:hAnsi="Times New Roman" w:cs="Times New Roman"/>
                <w:sz w:val="24"/>
                <w:szCs w:val="24"/>
                <w:lang w:val="en-US" w:eastAsia="en-US" w:bidi="ar-SA"/>
              </w:rPr>
              <w:t xml:space="preserve">In the Matter of the Application of Ohio Edison Company, the Cleveland Electric Illuminating Company, and the Toledo Edison Company for Approval of Phase Two of Their Distribution Grid Modernization Plan. </w:t>
            </w:r>
          </w:p>
        </w:tc>
        <w:tc>
          <w:tcPr>
            <w:tcW w:w="576" w:type="dxa"/>
          </w:tcPr>
          <w:p w:rsidR="00185D45" w:rsidRPr="00842E73" w:rsidP="006B7D7A" w14:paraId="3D3BADE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842E73">
              <w:rPr>
                <w:rFonts w:ascii="Times New Roman" w:eastAsia="Courier New" w:hAnsi="Times New Roman" w:cs="Times New Roman"/>
                <w:sz w:val="24"/>
                <w:szCs w:val="24"/>
                <w:lang w:val="en-US" w:eastAsia="en-US" w:bidi="ar-SA"/>
              </w:rPr>
              <w:t>)</w:t>
            </w:r>
          </w:p>
          <w:p w:rsidR="00185D45" w:rsidRPr="00842E73" w:rsidP="006B7D7A" w14:paraId="358BB8C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842E73">
              <w:rPr>
                <w:rFonts w:ascii="Times New Roman" w:eastAsia="Courier New" w:hAnsi="Times New Roman" w:cs="Times New Roman"/>
                <w:sz w:val="24"/>
                <w:szCs w:val="24"/>
                <w:lang w:val="en-US" w:eastAsia="en-US" w:bidi="ar-SA"/>
              </w:rPr>
              <w:t>)</w:t>
            </w:r>
          </w:p>
          <w:p w:rsidR="00185D45" w:rsidRPr="00842E73" w:rsidP="006B7D7A" w14:paraId="4C3BC0A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842E73">
              <w:rPr>
                <w:rFonts w:ascii="Times New Roman" w:eastAsia="Courier New" w:hAnsi="Times New Roman" w:cs="Times New Roman"/>
                <w:sz w:val="24"/>
                <w:szCs w:val="24"/>
                <w:lang w:val="en-US" w:eastAsia="en-US" w:bidi="ar-SA"/>
              </w:rPr>
              <w:t>)</w:t>
            </w:r>
          </w:p>
          <w:p w:rsidR="00185D45" w:rsidRPr="00842E73" w:rsidP="006B7D7A" w14:paraId="2B5A4F7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842E73">
              <w:rPr>
                <w:rFonts w:ascii="Times New Roman" w:eastAsia="Courier New" w:hAnsi="Times New Roman" w:cs="Times New Roman"/>
                <w:sz w:val="24"/>
                <w:szCs w:val="24"/>
                <w:lang w:val="en-US" w:eastAsia="en-US" w:bidi="ar-SA"/>
              </w:rPr>
              <w:t>)</w:t>
            </w:r>
          </w:p>
          <w:p w:rsidR="00185D45" w:rsidRPr="00842E73" w:rsidP="006B7D7A" w14:paraId="42A638D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842E73">
              <w:rPr>
                <w:rFonts w:ascii="Times New Roman" w:eastAsia="Courier New" w:hAnsi="Times New Roman" w:cs="Times New Roman"/>
                <w:sz w:val="24"/>
                <w:szCs w:val="24"/>
                <w:lang w:val="en-US" w:eastAsia="en-US" w:bidi="ar-SA"/>
              </w:rPr>
              <w:t>)</w:t>
            </w:r>
          </w:p>
          <w:p w:rsidR="00185D45" w:rsidRPr="00842E73" w:rsidP="006B7D7A" w14:paraId="7DDEFF3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842E73">
              <w:rPr>
                <w:rFonts w:ascii="Times New Roman" w:eastAsia="Courier New" w:hAnsi="Times New Roman" w:cs="Times New Roman"/>
                <w:sz w:val="24"/>
                <w:szCs w:val="24"/>
                <w:lang w:val="en-US" w:eastAsia="en-US" w:bidi="ar-SA"/>
              </w:rPr>
              <w:t>)</w:t>
            </w:r>
          </w:p>
        </w:tc>
        <w:tc>
          <w:tcPr>
            <w:tcW w:w="4032" w:type="dxa"/>
          </w:tcPr>
          <w:p w:rsidR="00185D45" w:rsidRPr="00842E73" w:rsidP="006B7D7A" w14:paraId="6EF2F2B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185D45" w:rsidRPr="00842E73" w:rsidP="006B7D7A" w14:paraId="795761B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185D45" w:rsidRPr="00842E73" w:rsidP="006B7D7A" w14:paraId="284CFC6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842E73">
              <w:rPr>
                <w:rFonts w:ascii="Times New Roman" w:eastAsia="Courier New" w:hAnsi="Times New Roman" w:cs="Times New Roman"/>
                <w:sz w:val="24"/>
                <w:szCs w:val="24"/>
                <w:lang w:val="en-US" w:eastAsia="en-US" w:bidi="ar-SA"/>
              </w:rPr>
              <w:t>Case No. 22-704-EL-UNC</w:t>
            </w:r>
          </w:p>
        </w:tc>
      </w:tr>
    </w:tbl>
    <w:p w:rsidR="00EA521C" w:rsidRPr="00842E73" w:rsidP="00EA521C" w14:paraId="36E7877F" w14:textId="77777777">
      <w:pPr>
        <w:pStyle w:val="HTMLPreformatted"/>
        <w:jc w:val="center"/>
        <w:rPr>
          <w:rFonts w:ascii="Times New Roman" w:hAnsi="Times New Roman" w:cs="Times New Roman"/>
          <w:b/>
          <w:bCs/>
          <w:sz w:val="24"/>
          <w:szCs w:val="24"/>
        </w:rPr>
      </w:pPr>
    </w:p>
    <w:p w:rsidR="00EA521C" w:rsidRPr="00842E73" w:rsidP="00EA521C" w14:paraId="6B45E149" w14:textId="77777777">
      <w:pPr>
        <w:pStyle w:val="HTMLPreformatted"/>
        <w:pBdr>
          <w:top w:val="single" w:sz="12" w:space="1" w:color="auto"/>
        </w:pBdr>
        <w:rPr>
          <w:rFonts w:ascii="Times New Roman" w:hAnsi="Times New Roman" w:cs="Times New Roman"/>
          <w:sz w:val="24"/>
          <w:szCs w:val="24"/>
        </w:rPr>
      </w:pPr>
    </w:p>
    <w:p w:rsidR="00EA521C" w:rsidRPr="00842E73" w:rsidP="00EA521C" w14:paraId="72E098AA" w14:textId="77777777">
      <w:pPr>
        <w:jc w:val="center"/>
        <w:rPr>
          <w:rFonts w:cs="Times New Roman"/>
          <w:b/>
          <w:szCs w:val="24"/>
        </w:rPr>
      </w:pPr>
      <w:r w:rsidRPr="00842E73">
        <w:rPr>
          <w:rFonts w:cs="Times New Roman"/>
          <w:b/>
          <w:szCs w:val="24"/>
        </w:rPr>
        <w:t>MEMORANDUM IN SUPPORT</w:t>
      </w:r>
    </w:p>
    <w:p w:rsidR="00EA521C" w:rsidRPr="00842E73" w:rsidP="00EA521C" w14:paraId="2D4DA85F" w14:textId="77777777">
      <w:pPr>
        <w:pBdr>
          <w:bottom w:val="single" w:sz="12" w:space="1" w:color="auto"/>
        </w:pBdr>
        <w:autoSpaceDE w:val="0"/>
        <w:autoSpaceDN w:val="0"/>
        <w:adjustRightInd w:val="0"/>
        <w:jc w:val="center"/>
        <w:rPr>
          <w:rFonts w:eastAsia="Calibri" w:cs="Times New Roman"/>
          <w:b/>
          <w:bCs/>
          <w:szCs w:val="24"/>
        </w:rPr>
      </w:pPr>
    </w:p>
    <w:p w:rsidR="00EA521C" w:rsidRPr="00842E73" w:rsidP="00EA521C" w14:paraId="699A3557" w14:textId="77777777">
      <w:pPr>
        <w:ind w:left="2880" w:firstLine="720"/>
        <w:rPr>
          <w:rFonts w:cs="Times New Roman"/>
          <w:szCs w:val="24"/>
        </w:rPr>
      </w:pPr>
    </w:p>
    <w:p w:rsidR="00AC4E56" w:rsidRPr="00842E73" w:rsidP="00DA11FA" w14:paraId="064170DE" w14:textId="22D90C2C">
      <w:pPr>
        <w:pStyle w:val="Heading1"/>
      </w:pPr>
      <w:bookmarkStart w:id="1" w:name="_Toc147415794"/>
      <w:bookmarkStart w:id="2" w:name="_Toc151468345"/>
      <w:bookmarkStart w:id="3" w:name="_Toc156829291"/>
      <w:r w:rsidRPr="00842E73">
        <w:t>I.</w:t>
      </w:r>
      <w:r w:rsidRPr="00842E73">
        <w:tab/>
      </w:r>
      <w:r w:rsidRPr="00842E73" w:rsidR="0070053B">
        <w:t>INTRODUCTION</w:t>
      </w:r>
      <w:bookmarkEnd w:id="0"/>
      <w:bookmarkEnd w:id="1"/>
      <w:bookmarkEnd w:id="2"/>
      <w:bookmarkEnd w:id="3"/>
    </w:p>
    <w:p w:rsidR="00934B94" w:rsidRPr="00842E73" w:rsidP="00934B94" w14:paraId="793B6FC6" w14:textId="6527C05C">
      <w:pPr>
        <w:kinsoku w:val="0"/>
        <w:overflowPunct w:val="0"/>
        <w:autoSpaceDE w:val="0"/>
        <w:autoSpaceDN w:val="0"/>
        <w:adjustRightInd w:val="0"/>
        <w:spacing w:line="480" w:lineRule="auto"/>
        <w:ind w:firstLine="720"/>
        <w:rPr>
          <w:rFonts w:cs="Times New Roman"/>
          <w:szCs w:val="24"/>
        </w:rPr>
      </w:pPr>
      <w:r w:rsidRPr="00842E73">
        <w:rPr>
          <w:rFonts w:cs="Times New Roman"/>
          <w:szCs w:val="24"/>
        </w:rPr>
        <w:t>The PUCO has four investigations</w:t>
      </w:r>
      <w:r w:rsidRPr="00842E73" w:rsidR="00E47720">
        <w:rPr>
          <w:rFonts w:cs="Times New Roman"/>
          <w:szCs w:val="24"/>
        </w:rPr>
        <w:t xml:space="preserve"> and audits</w:t>
      </w:r>
      <w:r w:rsidRPr="00842E73">
        <w:rPr>
          <w:rFonts w:cs="Times New Roman"/>
          <w:szCs w:val="24"/>
        </w:rPr>
        <w:t>,</w:t>
      </w:r>
      <w:r>
        <w:rPr>
          <w:rStyle w:val="FootnoteReference"/>
          <w:rFonts w:cs="Times New Roman"/>
          <w:szCs w:val="24"/>
        </w:rPr>
        <w:footnoteReference w:id="11"/>
      </w:r>
      <w:r w:rsidRPr="00842E73">
        <w:rPr>
          <w:rFonts w:cs="Times New Roman"/>
          <w:szCs w:val="24"/>
        </w:rPr>
        <w:t xml:space="preserve"> initiated largely at OCC</w:t>
      </w:r>
      <w:r w:rsidR="00842E73">
        <w:rPr>
          <w:rFonts w:cs="Times New Roman"/>
          <w:szCs w:val="24"/>
        </w:rPr>
        <w:t>’</w:t>
      </w:r>
      <w:r w:rsidRPr="00842E73">
        <w:rPr>
          <w:rFonts w:cs="Times New Roman"/>
          <w:szCs w:val="24"/>
        </w:rPr>
        <w:t>s request, relating to the FirstEnergy H.B. 6 scandal. United States District Judge Algenon Marbley described the scandal as FirstEnergy</w:t>
      </w:r>
      <w:r w:rsidR="00842E73">
        <w:rPr>
          <w:rFonts w:cs="Times New Roman"/>
          <w:szCs w:val="24"/>
        </w:rPr>
        <w:t>’</w:t>
      </w:r>
      <w:r w:rsidRPr="00842E73">
        <w:rPr>
          <w:rFonts w:cs="Times New Roman"/>
          <w:szCs w:val="24"/>
        </w:rPr>
        <w:t xml:space="preserve">s </w:t>
      </w:r>
      <w:r w:rsidR="00842E73">
        <w:rPr>
          <w:rFonts w:cs="Times New Roman"/>
          <w:szCs w:val="24"/>
        </w:rPr>
        <w:t>“</w:t>
      </w:r>
      <w:r w:rsidRPr="00842E73">
        <w:rPr>
          <w:rFonts w:cs="Times New Roman"/>
          <w:i/>
          <w:iCs/>
          <w:szCs w:val="24"/>
        </w:rPr>
        <w:t>unparalleled corruption</w:t>
      </w:r>
      <w:r w:rsidRPr="00842E73">
        <w:rPr>
          <w:rFonts w:cs="Times New Roman"/>
          <w:szCs w:val="24"/>
        </w:rPr>
        <w:t xml:space="preserve"> of Ohio</w:t>
      </w:r>
      <w:r w:rsidR="00842E73">
        <w:rPr>
          <w:rFonts w:cs="Times New Roman"/>
          <w:szCs w:val="24"/>
        </w:rPr>
        <w:t>’</w:t>
      </w:r>
      <w:r w:rsidRPr="00842E73">
        <w:rPr>
          <w:rFonts w:cs="Times New Roman"/>
          <w:szCs w:val="24"/>
        </w:rPr>
        <w:t>s democratic process.</w:t>
      </w:r>
      <w:r w:rsidR="00842E73">
        <w:rPr>
          <w:rFonts w:cs="Times New Roman"/>
          <w:szCs w:val="24"/>
        </w:rPr>
        <w:t>”</w:t>
      </w:r>
      <w:r>
        <w:rPr>
          <w:rStyle w:val="FootnoteReference"/>
          <w:rFonts w:cs="Times New Roman"/>
          <w:szCs w:val="24"/>
        </w:rPr>
        <w:footnoteReference w:id="12"/>
      </w:r>
      <w:r w:rsidRPr="00842E73">
        <w:rPr>
          <w:rFonts w:cs="Times New Roman"/>
          <w:szCs w:val="24"/>
        </w:rPr>
        <w:t xml:space="preserve"> The PUCO recently approved the U.S. Attorney</w:t>
      </w:r>
      <w:r w:rsidR="00842E73">
        <w:rPr>
          <w:rFonts w:cs="Times New Roman"/>
          <w:szCs w:val="24"/>
        </w:rPr>
        <w:t>’</w:t>
      </w:r>
      <w:r w:rsidRPr="00842E73">
        <w:rPr>
          <w:rFonts w:cs="Times New Roman"/>
          <w:szCs w:val="24"/>
        </w:rPr>
        <w:t>s third request to stay these investigations</w:t>
      </w:r>
      <w:r w:rsidRPr="00842E73" w:rsidR="00E47720">
        <w:rPr>
          <w:rFonts w:cs="Times New Roman"/>
          <w:szCs w:val="24"/>
        </w:rPr>
        <w:t xml:space="preserve"> and audits</w:t>
      </w:r>
      <w:r w:rsidRPr="00842E73">
        <w:rPr>
          <w:rFonts w:cs="Times New Roman"/>
          <w:szCs w:val="24"/>
        </w:rPr>
        <w:t xml:space="preserve"> into the FirstEnergy H.B. 6 scandal for another six-month period – resulting in a </w:t>
      </w:r>
      <w:r w:rsidRPr="00842E73" w:rsidR="001222B7">
        <w:rPr>
          <w:rFonts w:cs="Times New Roman"/>
          <w:szCs w:val="24"/>
        </w:rPr>
        <w:t xml:space="preserve">total </w:t>
      </w:r>
      <w:r w:rsidRPr="00842E73">
        <w:rPr>
          <w:rFonts w:cs="Times New Roman"/>
          <w:szCs w:val="24"/>
        </w:rPr>
        <w:t xml:space="preserve">stay of 18 months. </w:t>
      </w:r>
      <w:r w:rsidRPr="00842E73" w:rsidR="0001744C">
        <w:rPr>
          <w:rFonts w:cs="Times New Roman"/>
          <w:szCs w:val="24"/>
        </w:rPr>
        <w:t>OCC</w:t>
      </w:r>
      <w:r w:rsidRPr="00842E73">
        <w:rPr>
          <w:rFonts w:cs="Times New Roman"/>
          <w:szCs w:val="24"/>
        </w:rPr>
        <w:t xml:space="preserve"> respect</w:t>
      </w:r>
      <w:r w:rsidRPr="00842E73" w:rsidR="0001744C">
        <w:rPr>
          <w:rFonts w:cs="Times New Roman"/>
          <w:szCs w:val="24"/>
        </w:rPr>
        <w:t>s</w:t>
      </w:r>
      <w:r w:rsidRPr="00842E73">
        <w:rPr>
          <w:rFonts w:cs="Times New Roman"/>
          <w:szCs w:val="24"/>
        </w:rPr>
        <w:t xml:space="preserve"> the role of the U.S. Attorney and seek</w:t>
      </w:r>
      <w:r w:rsidRPr="00842E73" w:rsidR="003E0578">
        <w:rPr>
          <w:rFonts w:cs="Times New Roman"/>
          <w:szCs w:val="24"/>
        </w:rPr>
        <w:t>s</w:t>
      </w:r>
      <w:r w:rsidRPr="00842E73" w:rsidR="0020199C">
        <w:rPr>
          <w:rFonts w:cs="Times New Roman"/>
          <w:szCs w:val="24"/>
        </w:rPr>
        <w:t xml:space="preserve"> </w:t>
      </w:r>
      <w:r w:rsidRPr="00842E73">
        <w:rPr>
          <w:rFonts w:cs="Times New Roman"/>
          <w:szCs w:val="24"/>
        </w:rPr>
        <w:t xml:space="preserve">to honor the request of the U.S. Attorney to stay discovery in the four FirstEnergy investigations. But </w:t>
      </w:r>
      <w:r w:rsidRPr="00842E73" w:rsidR="001222B7">
        <w:rPr>
          <w:rFonts w:cs="Times New Roman"/>
          <w:szCs w:val="24"/>
        </w:rPr>
        <w:t>the PUCO</w:t>
      </w:r>
      <w:r w:rsidR="00842E73">
        <w:rPr>
          <w:rFonts w:cs="Times New Roman"/>
          <w:szCs w:val="24"/>
        </w:rPr>
        <w:t>’</w:t>
      </w:r>
      <w:r w:rsidRPr="00842E73" w:rsidR="001222B7">
        <w:rPr>
          <w:rFonts w:cs="Times New Roman"/>
          <w:szCs w:val="24"/>
        </w:rPr>
        <w:t xml:space="preserve">s </w:t>
      </w:r>
      <w:r w:rsidRPr="00842E73" w:rsidR="00E47720">
        <w:rPr>
          <w:rFonts w:cs="Times New Roman"/>
          <w:szCs w:val="24"/>
        </w:rPr>
        <w:t xml:space="preserve">a </w:t>
      </w:r>
      <w:r w:rsidRPr="00842E73">
        <w:rPr>
          <w:rFonts w:cs="Times New Roman"/>
          <w:szCs w:val="24"/>
        </w:rPr>
        <w:t>one-sided approach to the stays is detrimental to Ohio</w:t>
      </w:r>
      <w:r w:rsidR="00842E73">
        <w:rPr>
          <w:rFonts w:cs="Times New Roman"/>
          <w:szCs w:val="24"/>
        </w:rPr>
        <w:t>’</w:t>
      </w:r>
      <w:r w:rsidRPr="00842E73">
        <w:rPr>
          <w:rFonts w:cs="Times New Roman"/>
          <w:szCs w:val="24"/>
        </w:rPr>
        <w:t>s consumers.</w:t>
      </w:r>
      <w:r>
        <w:rPr>
          <w:rStyle w:val="FootnoteReference"/>
          <w:rFonts w:cs="Times New Roman"/>
          <w:szCs w:val="24"/>
        </w:rPr>
        <w:footnoteReference w:id="13"/>
      </w:r>
      <w:r w:rsidRPr="00842E73">
        <w:rPr>
          <w:rFonts w:cs="Times New Roman"/>
          <w:szCs w:val="24"/>
        </w:rPr>
        <w:t xml:space="preserve"> </w:t>
      </w:r>
    </w:p>
    <w:p w:rsidR="006149EC" w:rsidRPr="00842E73" w:rsidP="003B4524" w14:paraId="0C697861" w14:textId="77777777">
      <w:pPr>
        <w:kinsoku w:val="0"/>
        <w:overflowPunct w:val="0"/>
        <w:autoSpaceDE w:val="0"/>
        <w:autoSpaceDN w:val="0"/>
        <w:adjustRightInd w:val="0"/>
        <w:spacing w:line="480" w:lineRule="auto"/>
        <w:ind w:firstLine="720"/>
        <w:rPr>
          <w:rFonts w:cs="Times New Roman"/>
          <w:szCs w:val="24"/>
        </w:rPr>
      </w:pPr>
      <w:r w:rsidRPr="00842E73">
        <w:rPr>
          <w:rFonts w:cs="Times New Roman"/>
          <w:szCs w:val="24"/>
        </w:rPr>
        <w:t xml:space="preserve">Before </w:t>
      </w:r>
      <w:r w:rsidRPr="00842E73" w:rsidR="002C3994">
        <w:rPr>
          <w:rFonts w:cs="Times New Roman"/>
          <w:szCs w:val="24"/>
        </w:rPr>
        <w:t xml:space="preserve">modifying or </w:t>
      </w:r>
      <w:r w:rsidRPr="00842E73">
        <w:rPr>
          <w:rFonts w:cs="Times New Roman"/>
          <w:szCs w:val="24"/>
        </w:rPr>
        <w:t xml:space="preserve">increasing Rider AMI </w:t>
      </w:r>
      <w:r w:rsidRPr="00842E73" w:rsidR="0020199C">
        <w:rPr>
          <w:rFonts w:cs="Times New Roman"/>
          <w:szCs w:val="24"/>
        </w:rPr>
        <w:t xml:space="preserve">charges to consumers </w:t>
      </w:r>
      <w:r w:rsidRPr="00842E73" w:rsidR="002C3994">
        <w:rPr>
          <w:rFonts w:cs="Times New Roman"/>
          <w:szCs w:val="24"/>
        </w:rPr>
        <w:t>through the approval of this</w:t>
      </w:r>
      <w:r w:rsidRPr="00842E73">
        <w:rPr>
          <w:rFonts w:cs="Times New Roman"/>
          <w:szCs w:val="24"/>
        </w:rPr>
        <w:t xml:space="preserve"> case, consumers have a right to know how deep the corruption runs. That corruption potentially involves FirstEnergy and </w:t>
      </w:r>
      <w:r w:rsidRPr="00842E73" w:rsidR="00DB2040">
        <w:rPr>
          <w:rFonts w:cs="Times New Roman"/>
          <w:szCs w:val="24"/>
        </w:rPr>
        <w:t xml:space="preserve">its grid modernization plan </w:t>
      </w:r>
      <w:r w:rsidRPr="00842E73">
        <w:rPr>
          <w:rFonts w:cs="Times New Roman"/>
          <w:szCs w:val="24"/>
        </w:rPr>
        <w:t xml:space="preserve">and its relationship with </w:t>
      </w:r>
      <w:r w:rsidRPr="00842E73" w:rsidR="001A0FA5">
        <w:rPr>
          <w:rFonts w:cs="Times New Roman"/>
          <w:szCs w:val="24"/>
        </w:rPr>
        <w:t xml:space="preserve">former PUCO Chair </w:t>
      </w:r>
      <w:r w:rsidRPr="00842E73">
        <w:rPr>
          <w:rFonts w:cs="Times New Roman"/>
          <w:szCs w:val="24"/>
        </w:rPr>
        <w:t xml:space="preserve">Randazzo. </w:t>
      </w:r>
    </w:p>
    <w:p w:rsidR="00833876" w:rsidRPr="00842E73" w:rsidP="003B4524" w14:paraId="064CE3D2" w14:textId="7204D84C">
      <w:pPr>
        <w:kinsoku w:val="0"/>
        <w:overflowPunct w:val="0"/>
        <w:autoSpaceDE w:val="0"/>
        <w:autoSpaceDN w:val="0"/>
        <w:adjustRightInd w:val="0"/>
        <w:spacing w:line="480" w:lineRule="auto"/>
        <w:ind w:firstLine="720"/>
        <w:rPr>
          <w:rFonts w:cs="Times New Roman"/>
          <w:szCs w:val="24"/>
        </w:rPr>
      </w:pPr>
      <w:r w:rsidRPr="00842E73">
        <w:rPr>
          <w:rFonts w:cs="Times New Roman"/>
          <w:szCs w:val="24"/>
        </w:rPr>
        <w:t xml:space="preserve">Recall that FirstEnergy Corp. entered into a Deferred Prosecution Agreement with the Government under which it admitted that it </w:t>
      </w:r>
      <w:r w:rsidR="00842E73">
        <w:rPr>
          <w:rFonts w:cs="Times New Roman"/>
          <w:color w:val="000000" w:themeColor="text1"/>
          <w:szCs w:val="24"/>
        </w:rPr>
        <w:t>“</w:t>
      </w:r>
      <w:r w:rsidRPr="00842E73">
        <w:rPr>
          <w:rFonts w:cs="Times New Roman"/>
          <w:color w:val="000000" w:themeColor="text1"/>
          <w:szCs w:val="24"/>
          <w:shd w:val="clear" w:color="auto" w:fill="FFFFFF"/>
        </w:rPr>
        <w:t>paid $4.3 million dollars to [Randazzo] through his consulting company in return for [Randazzo] performing official action in his capacity as PUCO Chairman to further FirstEnergy Corp.</w:t>
      </w:r>
      <w:r w:rsidR="00842E73">
        <w:rPr>
          <w:rFonts w:cs="Times New Roman"/>
          <w:color w:val="000000" w:themeColor="text1"/>
          <w:szCs w:val="24"/>
          <w:shd w:val="clear" w:color="auto" w:fill="FFFFFF"/>
        </w:rPr>
        <w:t>’</w:t>
      </w:r>
      <w:r w:rsidRPr="00842E73">
        <w:rPr>
          <w:rFonts w:cs="Times New Roman"/>
          <w:color w:val="000000" w:themeColor="text1"/>
          <w:szCs w:val="24"/>
          <w:shd w:val="clear" w:color="auto" w:fill="FFFFFF"/>
        </w:rPr>
        <w:t xml:space="preserve">s interests relating to passage of nuclear legislation and </w:t>
      </w:r>
      <w:r w:rsidRPr="00842E73">
        <w:rPr>
          <w:rFonts w:cs="Times New Roman"/>
          <w:i/>
          <w:iCs/>
          <w:color w:val="000000" w:themeColor="text1"/>
          <w:szCs w:val="24"/>
          <w:shd w:val="clear" w:color="auto" w:fill="FFFFFF"/>
        </w:rPr>
        <w:t>other specific FirstEnergy Corp. legislative and regulatory priorities, as requested and as opportunities arose.</w:t>
      </w:r>
      <w:r w:rsidR="00842E73">
        <w:rPr>
          <w:rFonts w:cs="Times New Roman"/>
          <w:i/>
          <w:iCs/>
          <w:color w:val="000000" w:themeColor="text1"/>
          <w:szCs w:val="24"/>
          <w:shd w:val="clear" w:color="auto" w:fill="FFFFFF"/>
        </w:rPr>
        <w:t>”</w:t>
      </w:r>
      <w:r>
        <w:rPr>
          <w:rStyle w:val="FootnoteReference"/>
          <w:rFonts w:cs="Times New Roman"/>
          <w:color w:val="000000" w:themeColor="text1"/>
          <w:szCs w:val="24"/>
          <w:shd w:val="clear" w:color="auto" w:fill="FFFFFF"/>
        </w:rPr>
        <w:footnoteReference w:id="14"/>
      </w:r>
      <w:r w:rsidRPr="00842E73" w:rsidR="00484034">
        <w:rPr>
          <w:rFonts w:cs="Times New Roman"/>
          <w:szCs w:val="24"/>
        </w:rPr>
        <w:t xml:space="preserve"> </w:t>
      </w:r>
      <w:r w:rsidRPr="00842E73" w:rsidR="002C3994">
        <w:rPr>
          <w:rFonts w:cs="Times New Roman"/>
          <w:szCs w:val="24"/>
        </w:rPr>
        <w:t xml:space="preserve">Additionally, as stated in the recent indictment, after his appointment as PUCO Chairman, </w:t>
      </w:r>
      <w:r w:rsidR="00842E73">
        <w:rPr>
          <w:rFonts w:cs="Times New Roman"/>
          <w:szCs w:val="24"/>
        </w:rPr>
        <w:t>“</w:t>
      </w:r>
      <w:r w:rsidRPr="00842E73" w:rsidR="002C3994">
        <w:rPr>
          <w:rFonts w:cs="Times New Roman"/>
          <w:szCs w:val="24"/>
        </w:rPr>
        <w:t>Randazzo performed official action for the benefit of Company A, as requested and as opportunities arose . . . as part of his corrupt agreement</w:t>
      </w:r>
      <w:r w:rsidR="00842E73">
        <w:rPr>
          <w:rFonts w:cs="Times New Roman"/>
          <w:szCs w:val="24"/>
        </w:rPr>
        <w:t>”</w:t>
      </w:r>
      <w:r w:rsidRPr="00842E73" w:rsidR="002C3994">
        <w:rPr>
          <w:rFonts w:cs="Times New Roman"/>
          <w:szCs w:val="24"/>
        </w:rPr>
        <w:t xml:space="preserve"> with FirstEnergy and other co-conspirators</w:t>
      </w:r>
      <w:r w:rsidRPr="00842E73" w:rsidR="00E47720">
        <w:rPr>
          <w:rFonts w:cs="Times New Roman"/>
          <w:szCs w:val="24"/>
        </w:rPr>
        <w:t xml:space="preserve">, which </w:t>
      </w:r>
      <w:r w:rsidRPr="00842E73" w:rsidR="0036242F">
        <w:rPr>
          <w:rFonts w:cs="Times New Roman"/>
          <w:szCs w:val="24"/>
        </w:rPr>
        <w:t>appears to</w:t>
      </w:r>
      <w:r w:rsidRPr="00842E73" w:rsidR="00E47720">
        <w:rPr>
          <w:rFonts w:cs="Times New Roman"/>
          <w:szCs w:val="24"/>
        </w:rPr>
        <w:t xml:space="preserve"> have included the approval of the $516 million Grid Mod I case</w:t>
      </w:r>
      <w:r w:rsidRPr="00842E73" w:rsidR="002C3994">
        <w:rPr>
          <w:rFonts w:cs="Times New Roman"/>
          <w:szCs w:val="24"/>
        </w:rPr>
        <w:t>.</w:t>
      </w:r>
      <w:r>
        <w:rPr>
          <w:rStyle w:val="FootnoteReference"/>
          <w:rFonts w:cs="Times New Roman"/>
          <w:szCs w:val="24"/>
        </w:rPr>
        <w:footnoteReference w:id="15"/>
      </w:r>
    </w:p>
    <w:p w:rsidR="00833876" w:rsidRPr="00842E73" w:rsidP="003B4524" w14:paraId="5E1E62F1" w14:textId="082C90E0">
      <w:pPr>
        <w:pStyle w:val="BodyTextIndent3"/>
        <w:widowControl w:val="0"/>
        <w:spacing w:line="480" w:lineRule="auto"/>
        <w:rPr>
          <w:szCs w:val="24"/>
        </w:rPr>
      </w:pPr>
      <w:r w:rsidRPr="00842E73">
        <w:rPr>
          <w:szCs w:val="24"/>
        </w:rPr>
        <w:t xml:space="preserve">As a result of </w:t>
      </w:r>
      <w:r w:rsidRPr="00842E73" w:rsidR="002C5406">
        <w:rPr>
          <w:szCs w:val="24"/>
        </w:rPr>
        <w:t>FirstEnergy</w:t>
      </w:r>
      <w:r w:rsidR="00842E73">
        <w:rPr>
          <w:szCs w:val="24"/>
        </w:rPr>
        <w:t>’</w:t>
      </w:r>
      <w:r w:rsidRPr="00842E73" w:rsidR="002C5406">
        <w:rPr>
          <w:szCs w:val="24"/>
        </w:rPr>
        <w:t>s Grid Mod I case,</w:t>
      </w:r>
      <w:r>
        <w:rPr>
          <w:rStyle w:val="FootnoteReference"/>
          <w:szCs w:val="24"/>
        </w:rPr>
        <w:footnoteReference w:id="16"/>
      </w:r>
      <w:r w:rsidRPr="00842E73" w:rsidR="002C5406">
        <w:rPr>
          <w:szCs w:val="24"/>
        </w:rPr>
        <w:t xml:space="preserve"> FirstEnergy is charging consumers $516 million related to its Grid Mod I program which was set in motion through a settlement in FirstEnergy</w:t>
      </w:r>
      <w:r w:rsidR="00842E73">
        <w:rPr>
          <w:szCs w:val="24"/>
        </w:rPr>
        <w:t>’</w:t>
      </w:r>
      <w:r w:rsidRPr="00842E73" w:rsidR="002C5406">
        <w:rPr>
          <w:szCs w:val="24"/>
        </w:rPr>
        <w:t>s ESP IV.</w:t>
      </w:r>
      <w:r>
        <w:rPr>
          <w:rStyle w:val="FootnoteReference"/>
          <w:szCs w:val="24"/>
        </w:rPr>
        <w:footnoteReference w:id="17"/>
      </w:r>
      <w:r w:rsidRPr="00842E73" w:rsidR="002C5406">
        <w:rPr>
          <w:szCs w:val="24"/>
        </w:rPr>
        <w:t xml:space="preserve"> In FirstEnergy</w:t>
      </w:r>
      <w:r w:rsidR="00842E73">
        <w:rPr>
          <w:szCs w:val="24"/>
        </w:rPr>
        <w:t>’</w:t>
      </w:r>
      <w:r w:rsidRPr="00842E73" w:rsidR="002C5406">
        <w:rPr>
          <w:szCs w:val="24"/>
        </w:rPr>
        <w:t>s ESP IV, as part of the settlement, FirstEnergy agreed that, if the PUCO approved its plan, it would collect charges from consumers through a single-issue ratemaking charge</w:t>
      </w:r>
      <w:r w:rsidRPr="00842E73">
        <w:rPr>
          <w:szCs w:val="24"/>
        </w:rPr>
        <w:t>, specifically Rider AMI</w:t>
      </w:r>
      <w:r w:rsidRPr="00842E73" w:rsidR="002C5406">
        <w:rPr>
          <w:szCs w:val="24"/>
        </w:rPr>
        <w:t>.</w:t>
      </w:r>
      <w:r>
        <w:rPr>
          <w:rStyle w:val="FootnoteReference"/>
          <w:szCs w:val="24"/>
        </w:rPr>
        <w:footnoteReference w:id="18"/>
      </w:r>
      <w:r w:rsidRPr="00842E73" w:rsidR="002C5406">
        <w:rPr>
          <w:szCs w:val="24"/>
        </w:rPr>
        <w:t xml:space="preserve"> </w:t>
      </w:r>
      <w:r w:rsidRPr="00842E73">
        <w:rPr>
          <w:szCs w:val="24"/>
        </w:rPr>
        <w:t xml:space="preserve">Portions of </w:t>
      </w:r>
      <w:r w:rsidRPr="00842E73" w:rsidR="002C5406">
        <w:rPr>
          <w:szCs w:val="24"/>
        </w:rPr>
        <w:t>FirstEnergy</w:t>
      </w:r>
      <w:r w:rsidR="00842E73">
        <w:rPr>
          <w:szCs w:val="24"/>
        </w:rPr>
        <w:t>’</w:t>
      </w:r>
      <w:r w:rsidRPr="00842E73" w:rsidR="002C5406">
        <w:rPr>
          <w:szCs w:val="24"/>
        </w:rPr>
        <w:t xml:space="preserve">s ESP IV </w:t>
      </w:r>
      <w:r w:rsidRPr="00842E73" w:rsidR="003E0578">
        <w:rPr>
          <w:szCs w:val="24"/>
        </w:rPr>
        <w:t>are</w:t>
      </w:r>
      <w:r w:rsidRPr="00842E73" w:rsidR="002C5406">
        <w:rPr>
          <w:szCs w:val="24"/>
        </w:rPr>
        <w:t xml:space="preserve"> presently under investigation, through Case No. 20-1629-EL-RDR,</w:t>
      </w:r>
      <w:r w:rsidRPr="00842E73">
        <w:rPr>
          <w:szCs w:val="24"/>
        </w:rPr>
        <w:t xml:space="preserve"> and this investigation includes identifying capital additions recovered through Rider AMI so that those amounts are excluded from Rider DCR.</w:t>
      </w:r>
      <w:r>
        <w:rPr>
          <w:rStyle w:val="FootnoteReference"/>
          <w:szCs w:val="24"/>
        </w:rPr>
        <w:footnoteReference w:id="19"/>
      </w:r>
      <w:r w:rsidRPr="00842E73" w:rsidR="002C5406">
        <w:rPr>
          <w:szCs w:val="24"/>
        </w:rPr>
        <w:t xml:space="preserve"> </w:t>
      </w:r>
      <w:r w:rsidRPr="00842E73">
        <w:rPr>
          <w:szCs w:val="24"/>
        </w:rPr>
        <w:t xml:space="preserve">Recently, </w:t>
      </w:r>
      <w:r w:rsidRPr="00842E73" w:rsidR="002C5406">
        <w:rPr>
          <w:szCs w:val="24"/>
        </w:rPr>
        <w:t>the PUCO expanded the audit scope to include an investigation of whether FirstEnergy violated R.C. 4928.145</w:t>
      </w:r>
      <w:r w:rsidRPr="00842E73">
        <w:rPr>
          <w:szCs w:val="24"/>
        </w:rPr>
        <w:t>, which governs FirstEnergy</w:t>
      </w:r>
      <w:r w:rsidR="00842E73">
        <w:rPr>
          <w:szCs w:val="24"/>
        </w:rPr>
        <w:t>’</w:t>
      </w:r>
      <w:r w:rsidRPr="00842E73">
        <w:rPr>
          <w:szCs w:val="24"/>
        </w:rPr>
        <w:t xml:space="preserve">s obligation to disclose </w:t>
      </w:r>
      <w:r w:rsidR="00842E73">
        <w:rPr>
          <w:szCs w:val="24"/>
        </w:rPr>
        <w:t>“</w:t>
      </w:r>
      <w:r w:rsidRPr="00842E73">
        <w:rPr>
          <w:szCs w:val="24"/>
        </w:rPr>
        <w:t>side agreements</w:t>
      </w:r>
      <w:r w:rsidR="00842E73">
        <w:rPr>
          <w:szCs w:val="24"/>
        </w:rPr>
        <w:t>”</w:t>
      </w:r>
      <w:r w:rsidRPr="00842E73">
        <w:rPr>
          <w:szCs w:val="24"/>
        </w:rPr>
        <w:t xml:space="preserve"> during the ESP IV case</w:t>
      </w:r>
      <w:r w:rsidRPr="00842E73" w:rsidR="002C5406">
        <w:rPr>
          <w:szCs w:val="24"/>
        </w:rPr>
        <w:t>.</w:t>
      </w:r>
      <w:r>
        <w:rPr>
          <w:rStyle w:val="FootnoteReference"/>
          <w:szCs w:val="24"/>
        </w:rPr>
        <w:footnoteReference w:id="20"/>
      </w:r>
    </w:p>
    <w:p w:rsidR="00833876" w:rsidRPr="00842E73" w:rsidP="003B4524" w14:paraId="4EC6B2BB" w14:textId="1BA33263">
      <w:pPr>
        <w:pStyle w:val="BodyTextIndent3"/>
        <w:widowControl w:val="0"/>
        <w:spacing w:line="480" w:lineRule="auto"/>
        <w:rPr>
          <w:szCs w:val="24"/>
        </w:rPr>
      </w:pPr>
      <w:r w:rsidRPr="00842E73">
        <w:rPr>
          <w:szCs w:val="24"/>
        </w:rPr>
        <w:t xml:space="preserve">Mere months after former Chair Randazzo was installed as the </w:t>
      </w:r>
      <w:r w:rsidRPr="00842E73" w:rsidR="002C5406">
        <w:rPr>
          <w:szCs w:val="24"/>
        </w:rPr>
        <w:t>PUCO</w:t>
      </w:r>
      <w:r w:rsidRPr="00842E73">
        <w:rPr>
          <w:szCs w:val="24"/>
        </w:rPr>
        <w:t xml:space="preserve"> chairman</w:t>
      </w:r>
      <w:r w:rsidRPr="00842E73" w:rsidR="002C5406">
        <w:rPr>
          <w:szCs w:val="24"/>
        </w:rPr>
        <w:t xml:space="preserve">, </w:t>
      </w:r>
      <w:r w:rsidRPr="00842E73">
        <w:rPr>
          <w:szCs w:val="24"/>
        </w:rPr>
        <w:t>Mr. Randazzo</w:t>
      </w:r>
      <w:r w:rsidRPr="00842E73" w:rsidR="002C5406">
        <w:rPr>
          <w:szCs w:val="24"/>
        </w:rPr>
        <w:t xml:space="preserve"> approved a specific </w:t>
      </w:r>
      <w:r w:rsidRPr="00842E73" w:rsidR="0020199C">
        <w:rPr>
          <w:szCs w:val="24"/>
        </w:rPr>
        <w:t xml:space="preserve">$516 million </w:t>
      </w:r>
      <w:r w:rsidRPr="00842E73" w:rsidR="002C5406">
        <w:rPr>
          <w:szCs w:val="24"/>
        </w:rPr>
        <w:t xml:space="preserve">grid modernization charge to consumers when </w:t>
      </w:r>
      <w:r w:rsidRPr="00842E73" w:rsidR="00C0385E">
        <w:rPr>
          <w:szCs w:val="24"/>
        </w:rPr>
        <w:t>resolving</w:t>
      </w:r>
      <w:r w:rsidRPr="00842E73" w:rsidR="002C5406">
        <w:rPr>
          <w:szCs w:val="24"/>
        </w:rPr>
        <w:t xml:space="preserve"> </w:t>
      </w:r>
      <w:r w:rsidRPr="00842E73">
        <w:rPr>
          <w:szCs w:val="24"/>
        </w:rPr>
        <w:t>four cases—one of which was a tax savings case—that arose in three different years, concerned two completely different subjects, and, without good cause, were unjustly and unreasonably consolidated into one proceeding</w:t>
      </w:r>
      <w:r w:rsidRPr="00842E73" w:rsidR="002C5406">
        <w:rPr>
          <w:szCs w:val="24"/>
        </w:rPr>
        <w:t>.</w:t>
      </w:r>
      <w:r>
        <w:rPr>
          <w:rStyle w:val="FootnoteReference"/>
          <w:szCs w:val="24"/>
        </w:rPr>
        <w:footnoteReference w:id="21"/>
      </w:r>
      <w:r w:rsidRPr="00842E73" w:rsidR="002C5406">
        <w:rPr>
          <w:szCs w:val="24"/>
        </w:rPr>
        <w:t xml:space="preserve"> Consumers who have been ordered to pay for Grid Mod I expenditures</w:t>
      </w:r>
      <w:r>
        <w:rPr>
          <w:rStyle w:val="FootnoteReference"/>
          <w:szCs w:val="24"/>
        </w:rPr>
        <w:footnoteReference w:id="22"/>
      </w:r>
      <w:r w:rsidRPr="00842E73" w:rsidR="002C5406">
        <w:rPr>
          <w:szCs w:val="24"/>
        </w:rPr>
        <w:t xml:space="preserve"> deserve to know whether Randazzo undertook </w:t>
      </w:r>
      <w:r w:rsidR="00842E73">
        <w:rPr>
          <w:szCs w:val="24"/>
        </w:rPr>
        <w:t>“</w:t>
      </w:r>
      <w:r w:rsidRPr="00842E73" w:rsidR="002C5406">
        <w:rPr>
          <w:szCs w:val="24"/>
        </w:rPr>
        <w:t>official action in his capacity as PUCO Chairman to further FirstEnergy Corp.</w:t>
      </w:r>
      <w:r w:rsidR="00842E73">
        <w:rPr>
          <w:szCs w:val="24"/>
        </w:rPr>
        <w:t>’</w:t>
      </w:r>
      <w:r w:rsidRPr="00842E73" w:rsidR="002C5406">
        <w:rPr>
          <w:szCs w:val="24"/>
        </w:rPr>
        <w:t>s interests</w:t>
      </w:r>
      <w:r w:rsidR="00842E73">
        <w:rPr>
          <w:szCs w:val="24"/>
        </w:rPr>
        <w:t>”</w:t>
      </w:r>
      <w:r w:rsidRPr="00842E73" w:rsidR="002C5406">
        <w:rPr>
          <w:szCs w:val="24"/>
        </w:rPr>
        <w:t xml:space="preserve"> </w:t>
      </w:r>
      <w:r w:rsidR="00842E73">
        <w:rPr>
          <w:szCs w:val="24"/>
        </w:rPr>
        <w:t>“</w:t>
      </w:r>
      <w:r w:rsidRPr="00842E73" w:rsidR="002C5406">
        <w:rPr>
          <w:szCs w:val="24"/>
        </w:rPr>
        <w:t>as requested and as opportunities arose</w:t>
      </w:r>
      <w:r w:rsidR="00842E73">
        <w:rPr>
          <w:szCs w:val="24"/>
        </w:rPr>
        <w:t>”</w:t>
      </w:r>
      <w:r>
        <w:rPr>
          <w:rStyle w:val="FootnoteReference"/>
          <w:szCs w:val="24"/>
        </w:rPr>
        <w:footnoteReference w:id="23"/>
      </w:r>
      <w:r w:rsidRPr="00842E73" w:rsidR="002C5406">
        <w:rPr>
          <w:szCs w:val="24"/>
        </w:rPr>
        <w:t xml:space="preserve"> </w:t>
      </w:r>
      <w:r w:rsidRPr="00842E73">
        <w:rPr>
          <w:szCs w:val="24"/>
        </w:rPr>
        <w:t>when he secured</w:t>
      </w:r>
      <w:r w:rsidRPr="00842E73" w:rsidR="002C5406">
        <w:rPr>
          <w:szCs w:val="24"/>
        </w:rPr>
        <w:t xml:space="preserve"> approval for the Grid Mod</w:t>
      </w:r>
      <w:r w:rsidRPr="00842E73">
        <w:rPr>
          <w:szCs w:val="24"/>
        </w:rPr>
        <w:t>ernization business plan and the $516 million charges to be recovered from customers through Rider AMI</w:t>
      </w:r>
      <w:r w:rsidRPr="00842E73" w:rsidR="002C5406">
        <w:rPr>
          <w:szCs w:val="24"/>
        </w:rPr>
        <w:t xml:space="preserve">. </w:t>
      </w:r>
    </w:p>
    <w:p w:rsidR="00833876" w:rsidRPr="00842E73" w:rsidP="003B4524" w14:paraId="47150099" w14:textId="6D2E88C5">
      <w:pPr>
        <w:pStyle w:val="BodyTextIndent3"/>
        <w:widowControl w:val="0"/>
        <w:spacing w:line="480" w:lineRule="auto"/>
        <w:rPr>
          <w:szCs w:val="24"/>
        </w:rPr>
      </w:pPr>
      <w:r w:rsidRPr="00842E73">
        <w:rPr>
          <w:szCs w:val="24"/>
        </w:rPr>
        <w:t>In FirstEnergy</w:t>
      </w:r>
      <w:r w:rsidR="00842E73">
        <w:rPr>
          <w:szCs w:val="24"/>
        </w:rPr>
        <w:t>’</w:t>
      </w:r>
      <w:r w:rsidRPr="00842E73">
        <w:rPr>
          <w:szCs w:val="24"/>
        </w:rPr>
        <w:t xml:space="preserve">s Grid Mod II, FirstEnergy is seeking approval to charge consumers for an additional $626 million </w:t>
      </w:r>
      <w:r w:rsidRPr="00842E73" w:rsidR="00A25C00">
        <w:rPr>
          <w:szCs w:val="24"/>
        </w:rPr>
        <w:t xml:space="preserve">for </w:t>
      </w:r>
      <w:r w:rsidRPr="00842E73">
        <w:rPr>
          <w:szCs w:val="24"/>
        </w:rPr>
        <w:t>grid modernization investment</w:t>
      </w:r>
      <w:r w:rsidRPr="00842E73" w:rsidR="00A25C00">
        <w:rPr>
          <w:szCs w:val="24"/>
        </w:rPr>
        <w:t>s</w:t>
      </w:r>
      <w:r w:rsidRPr="00842E73">
        <w:rPr>
          <w:szCs w:val="24"/>
        </w:rPr>
        <w:t xml:space="preserve"> even though it </w:t>
      </w:r>
      <w:r w:rsidRPr="00842E73" w:rsidR="00A25C00">
        <w:rPr>
          <w:szCs w:val="24"/>
        </w:rPr>
        <w:t xml:space="preserve">has not </w:t>
      </w:r>
      <w:r w:rsidRPr="00842E73">
        <w:rPr>
          <w:szCs w:val="24"/>
        </w:rPr>
        <w:t>demonstrated the benefits it promised from Grid Mod I.</w:t>
      </w:r>
      <w:r>
        <w:rPr>
          <w:rStyle w:val="FootnoteReference"/>
          <w:szCs w:val="24"/>
        </w:rPr>
        <w:footnoteReference w:id="24"/>
      </w:r>
      <w:r w:rsidRPr="00842E73">
        <w:rPr>
          <w:szCs w:val="24"/>
        </w:rPr>
        <w:t xml:space="preserve"> FirstEnergy</w:t>
      </w:r>
      <w:r w:rsidR="00842E73">
        <w:rPr>
          <w:szCs w:val="24"/>
        </w:rPr>
        <w:t>’</w:t>
      </w:r>
      <w:r w:rsidRPr="00842E73">
        <w:rPr>
          <w:szCs w:val="24"/>
        </w:rPr>
        <w:t>s Grid Mod II case is premised on its Grid Mod</w:t>
      </w:r>
      <w:r w:rsidRPr="00842E73" w:rsidR="00A25C00">
        <w:rPr>
          <w:szCs w:val="24"/>
        </w:rPr>
        <w:t>ernization</w:t>
      </w:r>
      <w:r w:rsidRPr="00842E73">
        <w:rPr>
          <w:szCs w:val="24"/>
        </w:rPr>
        <w:t xml:space="preserve"> business plan</w:t>
      </w:r>
      <w:r w:rsidRPr="00842E73" w:rsidR="00A25C00">
        <w:rPr>
          <w:szCs w:val="24"/>
        </w:rPr>
        <w:t>, which was initially filed in accordance with</w:t>
      </w:r>
      <w:r w:rsidRPr="00842E73">
        <w:rPr>
          <w:szCs w:val="24"/>
        </w:rPr>
        <w:t xml:space="preserve"> FirstEnergy</w:t>
      </w:r>
      <w:r w:rsidR="00842E73">
        <w:rPr>
          <w:szCs w:val="24"/>
        </w:rPr>
        <w:t>’</w:t>
      </w:r>
      <w:r w:rsidRPr="00842E73">
        <w:rPr>
          <w:szCs w:val="24"/>
        </w:rPr>
        <w:t>s ESP IV</w:t>
      </w:r>
      <w:r w:rsidRPr="00842E73" w:rsidR="00A25C00">
        <w:rPr>
          <w:szCs w:val="24"/>
        </w:rPr>
        <w:t>, and was approved by</w:t>
      </w:r>
      <w:r w:rsidRPr="00842E73">
        <w:rPr>
          <w:szCs w:val="24"/>
        </w:rPr>
        <w:t xml:space="preserve"> former Chairman Randazzo </w:t>
      </w:r>
      <w:r w:rsidRPr="00842E73" w:rsidR="00A25C00">
        <w:rPr>
          <w:szCs w:val="24"/>
        </w:rPr>
        <w:t xml:space="preserve">mere months after he was installed at the PUCO in order to </w:t>
      </w:r>
      <w:r w:rsidR="00842E73">
        <w:rPr>
          <w:szCs w:val="24"/>
        </w:rPr>
        <w:t>“</w:t>
      </w:r>
      <w:r w:rsidRPr="00842E73" w:rsidR="00A25C00">
        <w:rPr>
          <w:szCs w:val="24"/>
        </w:rPr>
        <w:t>perform[] official action in his capacity as PUCO Chairman to further FirstEnergy Corp.</w:t>
      </w:r>
      <w:r w:rsidR="00842E73">
        <w:rPr>
          <w:szCs w:val="24"/>
        </w:rPr>
        <w:t>’</w:t>
      </w:r>
      <w:r w:rsidRPr="00842E73" w:rsidR="00A25C00">
        <w:rPr>
          <w:szCs w:val="24"/>
        </w:rPr>
        <w:t xml:space="preserve">s interests relating to </w:t>
      </w:r>
      <w:r w:rsidRPr="00842E73" w:rsidR="00EB181C">
        <w:rPr>
          <w:szCs w:val="24"/>
        </w:rPr>
        <w:t>. . .</w:t>
      </w:r>
      <w:r w:rsidRPr="00842E73" w:rsidR="00A25C00">
        <w:rPr>
          <w:szCs w:val="24"/>
        </w:rPr>
        <w:t xml:space="preserve"> regulatory priorities, as requested and as opportunities arose.</w:t>
      </w:r>
      <w:r w:rsidR="00842E73">
        <w:rPr>
          <w:szCs w:val="24"/>
        </w:rPr>
        <w:t>”</w:t>
      </w:r>
      <w:r>
        <w:rPr>
          <w:rStyle w:val="FootnoteReference"/>
          <w:szCs w:val="24"/>
        </w:rPr>
        <w:footnoteReference w:id="25"/>
      </w:r>
      <w:r w:rsidRPr="00842E73" w:rsidR="00A25C00">
        <w:rPr>
          <w:szCs w:val="24"/>
        </w:rPr>
        <w:t xml:space="preserve"> </w:t>
      </w:r>
      <w:r w:rsidRPr="00842E73">
        <w:rPr>
          <w:szCs w:val="24"/>
        </w:rPr>
        <w:t xml:space="preserve">Grid Mod II (and Grid Mod I) cannot </w:t>
      </w:r>
      <w:r w:rsidRPr="00842E73" w:rsidR="0036242F">
        <w:rPr>
          <w:szCs w:val="24"/>
        </w:rPr>
        <w:t xml:space="preserve">and should not </w:t>
      </w:r>
      <w:r w:rsidRPr="00842E73">
        <w:rPr>
          <w:szCs w:val="24"/>
        </w:rPr>
        <w:t>be separated from the HB 6 investigations.</w:t>
      </w:r>
    </w:p>
    <w:p w:rsidR="006149EC" w:rsidRPr="00842E73" w:rsidP="003B4524" w14:paraId="5ECDA985" w14:textId="79AC5C70">
      <w:pPr>
        <w:kinsoku w:val="0"/>
        <w:overflowPunct w:val="0"/>
        <w:autoSpaceDE w:val="0"/>
        <w:autoSpaceDN w:val="0"/>
        <w:adjustRightInd w:val="0"/>
        <w:spacing w:line="480" w:lineRule="auto"/>
        <w:ind w:firstLine="720"/>
        <w:rPr>
          <w:rFonts w:cs="Times New Roman"/>
          <w:color w:val="000000" w:themeColor="text1"/>
          <w:szCs w:val="24"/>
          <w:shd w:val="clear" w:color="auto" w:fill="FFFFFF"/>
        </w:rPr>
      </w:pPr>
      <w:r w:rsidRPr="00842E73">
        <w:rPr>
          <w:rFonts w:cs="Times New Roman"/>
          <w:szCs w:val="24"/>
        </w:rPr>
        <w:t>The new indictment and allegation of criminal behavior have now been tied to a scheme to defraud consumers</w:t>
      </w:r>
      <w:r w:rsidRPr="00842E73" w:rsidR="00833876">
        <w:rPr>
          <w:rFonts w:cs="Times New Roman"/>
          <w:szCs w:val="24"/>
        </w:rPr>
        <w:t>.</w:t>
      </w:r>
      <w:r w:rsidRPr="00842E73">
        <w:rPr>
          <w:rFonts w:cs="Times New Roman"/>
          <w:szCs w:val="24"/>
        </w:rPr>
        <w:t xml:space="preserve"> FirstEnergy Corp. entered into a Deferred Prosecution Agreement with the Government under which it admitted that it </w:t>
      </w:r>
      <w:r w:rsidR="00842E73">
        <w:rPr>
          <w:rFonts w:cs="Times New Roman"/>
          <w:color w:val="000000" w:themeColor="text1"/>
          <w:szCs w:val="24"/>
        </w:rPr>
        <w:t>“</w:t>
      </w:r>
      <w:r w:rsidRPr="00842E73">
        <w:rPr>
          <w:rFonts w:cs="Times New Roman"/>
          <w:color w:val="000000" w:themeColor="text1"/>
          <w:szCs w:val="24"/>
          <w:shd w:val="clear" w:color="auto" w:fill="FFFFFF"/>
        </w:rPr>
        <w:t>paid $4.3 million dollars to [Randazzo] through his consulting company in return for [Randazzo] performing official action in his capacity as PUCO Chairman to further FirstEnergy Corp.</w:t>
      </w:r>
      <w:r w:rsidR="00842E73">
        <w:rPr>
          <w:rFonts w:cs="Times New Roman"/>
          <w:color w:val="000000" w:themeColor="text1"/>
          <w:szCs w:val="24"/>
          <w:shd w:val="clear" w:color="auto" w:fill="FFFFFF"/>
        </w:rPr>
        <w:t>’</w:t>
      </w:r>
      <w:r w:rsidRPr="00842E73">
        <w:rPr>
          <w:rFonts w:cs="Times New Roman"/>
          <w:color w:val="000000" w:themeColor="text1"/>
          <w:szCs w:val="24"/>
          <w:shd w:val="clear" w:color="auto" w:fill="FFFFFF"/>
        </w:rPr>
        <w:t xml:space="preserve">s interests relating to passage of nuclear legislation and </w:t>
      </w:r>
      <w:r w:rsidRPr="00842E73">
        <w:rPr>
          <w:rFonts w:cs="Times New Roman"/>
          <w:i/>
          <w:iCs/>
          <w:color w:val="000000" w:themeColor="text1"/>
          <w:szCs w:val="24"/>
          <w:shd w:val="clear" w:color="auto" w:fill="FFFFFF"/>
        </w:rPr>
        <w:t>other specific FirstEnergy Corp. legislative and regulatory priorities, as requested and as opportunities arose</w:t>
      </w:r>
      <w:r w:rsidRPr="00842E73" w:rsidR="001A0FA5">
        <w:rPr>
          <w:rFonts w:cs="Times New Roman"/>
          <w:i/>
          <w:iCs/>
          <w:color w:val="000000" w:themeColor="text1"/>
          <w:szCs w:val="24"/>
          <w:shd w:val="clear" w:color="auto" w:fill="FFFFFF"/>
        </w:rPr>
        <w:t>.</w:t>
      </w:r>
      <w:r w:rsidR="00842E73">
        <w:rPr>
          <w:rFonts w:cs="Times New Roman"/>
          <w:i/>
          <w:iCs/>
          <w:color w:val="000000" w:themeColor="text1"/>
          <w:szCs w:val="24"/>
          <w:shd w:val="clear" w:color="auto" w:fill="FFFFFF"/>
        </w:rPr>
        <w:t>”</w:t>
      </w:r>
      <w:r>
        <w:rPr>
          <w:rStyle w:val="FootnoteReference"/>
          <w:rFonts w:cs="Times New Roman"/>
          <w:color w:val="000000" w:themeColor="text1"/>
          <w:szCs w:val="24"/>
          <w:shd w:val="clear" w:color="auto" w:fill="FFFFFF"/>
        </w:rPr>
        <w:footnoteReference w:id="26"/>
      </w:r>
      <w:r w:rsidRPr="00842E73">
        <w:rPr>
          <w:rFonts w:cs="Times New Roman"/>
          <w:i/>
          <w:iCs/>
          <w:color w:val="000000" w:themeColor="text1"/>
          <w:szCs w:val="24"/>
          <w:shd w:val="clear" w:color="auto" w:fill="FFFFFF"/>
        </w:rPr>
        <w:t xml:space="preserve"> </w:t>
      </w:r>
      <w:r w:rsidRPr="00842E73" w:rsidR="001A0FA5">
        <w:rPr>
          <w:rFonts w:cs="Times New Roman"/>
          <w:color w:val="000000" w:themeColor="text1"/>
          <w:szCs w:val="24"/>
          <w:shd w:val="clear" w:color="auto" w:fill="FFFFFF"/>
        </w:rPr>
        <w:t>And</w:t>
      </w:r>
      <w:r w:rsidRPr="00842E73" w:rsidR="001A0FA5">
        <w:rPr>
          <w:rFonts w:cs="Times New Roman"/>
          <w:i/>
          <w:iCs/>
          <w:color w:val="000000" w:themeColor="text1"/>
          <w:szCs w:val="24"/>
          <w:shd w:val="clear" w:color="auto" w:fill="FFFFFF"/>
        </w:rPr>
        <w:t xml:space="preserve"> </w:t>
      </w:r>
      <w:r w:rsidRPr="00842E73">
        <w:rPr>
          <w:rFonts w:cs="Times New Roman"/>
          <w:color w:val="000000" w:themeColor="text1"/>
          <w:szCs w:val="24"/>
          <w:shd w:val="clear" w:color="auto" w:fill="FFFFFF"/>
        </w:rPr>
        <w:t xml:space="preserve">there </w:t>
      </w:r>
      <w:r w:rsidRPr="00842E73" w:rsidR="001A0FA5">
        <w:rPr>
          <w:rFonts w:cs="Times New Roman"/>
          <w:color w:val="000000" w:themeColor="text1"/>
          <w:szCs w:val="24"/>
          <w:shd w:val="clear" w:color="auto" w:fill="FFFFFF"/>
        </w:rPr>
        <w:t>appears to be</w:t>
      </w:r>
      <w:r w:rsidRPr="00842E73">
        <w:rPr>
          <w:rFonts w:cs="Times New Roman"/>
          <w:color w:val="000000" w:themeColor="text1"/>
          <w:szCs w:val="24"/>
          <w:shd w:val="clear" w:color="auto" w:fill="FFFFFF"/>
        </w:rPr>
        <w:t xml:space="preserve"> evidence that the corruption runs deeper and may be the basis of inappropriate charges to consumers </w:t>
      </w:r>
      <w:r w:rsidRPr="00842E73" w:rsidR="002C1181">
        <w:rPr>
          <w:rFonts w:cs="Times New Roman"/>
          <w:color w:val="000000" w:themeColor="text1"/>
          <w:szCs w:val="24"/>
          <w:shd w:val="clear" w:color="auto" w:fill="FFFFFF"/>
        </w:rPr>
        <w:t xml:space="preserve">for </w:t>
      </w:r>
      <w:r w:rsidRPr="00842E73" w:rsidR="001A0FA5">
        <w:rPr>
          <w:rFonts w:cs="Times New Roman"/>
          <w:color w:val="000000" w:themeColor="text1"/>
          <w:szCs w:val="24"/>
          <w:shd w:val="clear" w:color="auto" w:fill="FFFFFF"/>
        </w:rPr>
        <w:t>FirstEnergy</w:t>
      </w:r>
      <w:r w:rsidR="00842E73">
        <w:rPr>
          <w:rFonts w:cs="Times New Roman"/>
          <w:color w:val="000000" w:themeColor="text1"/>
          <w:szCs w:val="24"/>
          <w:shd w:val="clear" w:color="auto" w:fill="FFFFFF"/>
        </w:rPr>
        <w:t>’</w:t>
      </w:r>
      <w:r w:rsidRPr="00842E73" w:rsidR="001A0FA5">
        <w:rPr>
          <w:rFonts w:cs="Times New Roman"/>
          <w:color w:val="000000" w:themeColor="text1"/>
          <w:szCs w:val="24"/>
          <w:shd w:val="clear" w:color="auto" w:fill="FFFFFF"/>
        </w:rPr>
        <w:t xml:space="preserve">s </w:t>
      </w:r>
      <w:r w:rsidRPr="00842E73" w:rsidR="002C1181">
        <w:rPr>
          <w:rFonts w:cs="Times New Roman"/>
          <w:color w:val="000000" w:themeColor="text1"/>
          <w:szCs w:val="24"/>
          <w:shd w:val="clear" w:color="auto" w:fill="FFFFFF"/>
        </w:rPr>
        <w:t xml:space="preserve">Grid </w:t>
      </w:r>
      <w:r w:rsidRPr="00842E73" w:rsidR="00EB181C">
        <w:rPr>
          <w:rFonts w:cs="Times New Roman"/>
          <w:color w:val="000000" w:themeColor="text1"/>
          <w:szCs w:val="24"/>
          <w:shd w:val="clear" w:color="auto" w:fill="FFFFFF"/>
        </w:rPr>
        <w:t xml:space="preserve">Modernization </w:t>
      </w:r>
      <w:r w:rsidRPr="00842E73" w:rsidR="001A0FA5">
        <w:rPr>
          <w:rFonts w:cs="Times New Roman"/>
          <w:color w:val="000000" w:themeColor="text1"/>
          <w:szCs w:val="24"/>
          <w:shd w:val="clear" w:color="auto" w:fill="FFFFFF"/>
        </w:rPr>
        <w:t>program</w:t>
      </w:r>
      <w:r w:rsidRPr="00842E73" w:rsidR="002C1181">
        <w:rPr>
          <w:rFonts w:cs="Times New Roman"/>
          <w:color w:val="000000" w:themeColor="text1"/>
          <w:szCs w:val="24"/>
          <w:shd w:val="clear" w:color="auto" w:fill="FFFFFF"/>
        </w:rPr>
        <w:t>.</w:t>
      </w:r>
      <w:r w:rsidRPr="00842E73">
        <w:rPr>
          <w:rFonts w:cs="Times New Roman"/>
          <w:color w:val="000000" w:themeColor="text1"/>
          <w:szCs w:val="24"/>
          <w:shd w:val="clear" w:color="auto" w:fill="FFFFFF"/>
        </w:rPr>
        <w:t xml:space="preserve"> </w:t>
      </w:r>
    </w:p>
    <w:p w:rsidR="00934B94" w:rsidRPr="00842E73" w:rsidP="003B4524" w14:paraId="783C08F2" w14:textId="4A645DDB">
      <w:pPr>
        <w:kinsoku w:val="0"/>
        <w:overflowPunct w:val="0"/>
        <w:autoSpaceDE w:val="0"/>
        <w:autoSpaceDN w:val="0"/>
        <w:adjustRightInd w:val="0"/>
        <w:spacing w:line="480" w:lineRule="auto"/>
        <w:ind w:firstLine="720"/>
        <w:rPr>
          <w:rFonts w:cs="Times New Roman"/>
          <w:szCs w:val="24"/>
        </w:rPr>
      </w:pPr>
      <w:r w:rsidRPr="00842E73">
        <w:rPr>
          <w:rFonts w:cs="Times New Roman"/>
          <w:color w:val="000000" w:themeColor="text1"/>
          <w:szCs w:val="24"/>
          <w:shd w:val="clear" w:color="auto" w:fill="FFFFFF"/>
        </w:rPr>
        <w:t>In light of this new information and the potential connection to</w:t>
      </w:r>
      <w:r w:rsidRPr="00842E73" w:rsidR="002C1181">
        <w:rPr>
          <w:rFonts w:cs="Times New Roman"/>
          <w:color w:val="000000" w:themeColor="text1"/>
          <w:szCs w:val="24"/>
          <w:shd w:val="clear" w:color="auto" w:fill="FFFFFF"/>
        </w:rPr>
        <w:t xml:space="preserve"> </w:t>
      </w:r>
      <w:r w:rsidRPr="00842E73" w:rsidR="001A0FA5">
        <w:rPr>
          <w:rFonts w:cs="Times New Roman"/>
          <w:color w:val="000000" w:themeColor="text1"/>
          <w:szCs w:val="24"/>
          <w:shd w:val="clear" w:color="auto" w:fill="FFFFFF"/>
        </w:rPr>
        <w:t>FirstEnergy</w:t>
      </w:r>
      <w:r w:rsidR="00842E73">
        <w:rPr>
          <w:rFonts w:cs="Times New Roman"/>
          <w:color w:val="000000" w:themeColor="text1"/>
          <w:szCs w:val="24"/>
          <w:shd w:val="clear" w:color="auto" w:fill="FFFFFF"/>
        </w:rPr>
        <w:t>’</w:t>
      </w:r>
      <w:r w:rsidRPr="00842E73" w:rsidR="001A0FA5">
        <w:rPr>
          <w:rFonts w:cs="Times New Roman"/>
          <w:color w:val="000000" w:themeColor="text1"/>
          <w:szCs w:val="24"/>
          <w:shd w:val="clear" w:color="auto" w:fill="FFFFFF"/>
        </w:rPr>
        <w:t xml:space="preserve">s </w:t>
      </w:r>
      <w:r w:rsidRPr="00842E73" w:rsidR="002C1181">
        <w:rPr>
          <w:rFonts w:cs="Times New Roman"/>
          <w:color w:val="000000" w:themeColor="text1"/>
          <w:szCs w:val="24"/>
          <w:shd w:val="clear" w:color="auto" w:fill="FFFFFF"/>
        </w:rPr>
        <w:t xml:space="preserve">Grid </w:t>
      </w:r>
      <w:r w:rsidRPr="00842E73" w:rsidR="00EB181C">
        <w:rPr>
          <w:rFonts w:cs="Times New Roman"/>
          <w:color w:val="000000" w:themeColor="text1"/>
          <w:szCs w:val="24"/>
          <w:shd w:val="clear" w:color="auto" w:fill="FFFFFF"/>
        </w:rPr>
        <w:t xml:space="preserve">Modernization </w:t>
      </w:r>
      <w:r w:rsidRPr="00842E73" w:rsidR="001A0FA5">
        <w:rPr>
          <w:rFonts w:cs="Times New Roman"/>
          <w:color w:val="000000" w:themeColor="text1"/>
          <w:szCs w:val="24"/>
          <w:shd w:val="clear" w:color="auto" w:fill="FFFFFF"/>
        </w:rPr>
        <w:t>program</w:t>
      </w:r>
      <w:r w:rsidRPr="00842E73">
        <w:rPr>
          <w:rFonts w:cs="Times New Roman"/>
          <w:color w:val="000000" w:themeColor="text1"/>
          <w:szCs w:val="24"/>
          <w:shd w:val="clear" w:color="auto" w:fill="FFFFFF"/>
        </w:rPr>
        <w:t>, it is imperative for the regulator to investigate the payments and get to the bottom of this corruption and the amounts charged to consumers before increasing those charges passed on to consumers</w:t>
      </w:r>
      <w:r w:rsidRPr="00842E73" w:rsidR="002C1181">
        <w:rPr>
          <w:rFonts w:cs="Times New Roman"/>
          <w:color w:val="000000" w:themeColor="text1"/>
          <w:szCs w:val="24"/>
          <w:shd w:val="clear" w:color="auto" w:fill="FFFFFF"/>
        </w:rPr>
        <w:t xml:space="preserve"> for Grid </w:t>
      </w:r>
      <w:r w:rsidRPr="00842E73" w:rsidR="00EB181C">
        <w:rPr>
          <w:rFonts w:cs="Times New Roman"/>
          <w:color w:val="000000" w:themeColor="text1"/>
          <w:szCs w:val="24"/>
          <w:shd w:val="clear" w:color="auto" w:fill="FFFFFF"/>
        </w:rPr>
        <w:t>Modernization investments</w:t>
      </w:r>
      <w:r w:rsidRPr="00842E73">
        <w:rPr>
          <w:rFonts w:cs="Times New Roman"/>
          <w:color w:val="000000" w:themeColor="text1"/>
          <w:szCs w:val="24"/>
          <w:shd w:val="clear" w:color="auto" w:fill="FFFFFF"/>
        </w:rPr>
        <w:t xml:space="preserve">. The PUCO should protect consumers and determine whether </w:t>
      </w:r>
      <w:r w:rsidRPr="00842E73" w:rsidR="001A0FA5">
        <w:rPr>
          <w:rFonts w:cs="Times New Roman"/>
          <w:color w:val="000000" w:themeColor="text1"/>
          <w:szCs w:val="24"/>
          <w:shd w:val="clear" w:color="auto" w:fill="FFFFFF"/>
        </w:rPr>
        <w:t>they were harmed</w:t>
      </w:r>
      <w:r w:rsidRPr="00842E73">
        <w:rPr>
          <w:rFonts w:cs="Times New Roman"/>
          <w:color w:val="000000" w:themeColor="text1"/>
          <w:szCs w:val="24"/>
          <w:shd w:val="clear" w:color="auto" w:fill="FFFFFF"/>
        </w:rPr>
        <w:t xml:space="preserve"> by </w:t>
      </w:r>
      <w:r w:rsidRPr="00842E73" w:rsidR="001A0FA5">
        <w:rPr>
          <w:rFonts w:cs="Times New Roman"/>
          <w:color w:val="000000" w:themeColor="text1"/>
          <w:szCs w:val="24"/>
          <w:shd w:val="clear" w:color="auto" w:fill="FFFFFF"/>
        </w:rPr>
        <w:t xml:space="preserve">the actions of </w:t>
      </w:r>
      <w:r w:rsidRPr="00842E73">
        <w:rPr>
          <w:rFonts w:cs="Times New Roman"/>
          <w:color w:val="000000" w:themeColor="text1"/>
          <w:szCs w:val="24"/>
          <w:shd w:val="clear" w:color="auto" w:fill="FFFFFF"/>
        </w:rPr>
        <w:t xml:space="preserve">FirstEnergy and </w:t>
      </w:r>
      <w:r w:rsidRPr="00842E73" w:rsidR="001A0FA5">
        <w:rPr>
          <w:rFonts w:cs="Times New Roman"/>
          <w:color w:val="000000" w:themeColor="text1"/>
          <w:szCs w:val="24"/>
          <w:shd w:val="clear" w:color="auto" w:fill="FFFFFF"/>
        </w:rPr>
        <w:t xml:space="preserve">former Chair </w:t>
      </w:r>
      <w:r w:rsidRPr="00842E73">
        <w:rPr>
          <w:rFonts w:cs="Times New Roman"/>
          <w:color w:val="000000" w:themeColor="text1"/>
          <w:szCs w:val="24"/>
          <w:shd w:val="clear" w:color="auto" w:fill="FFFFFF"/>
        </w:rPr>
        <w:t>Randazz</w:t>
      </w:r>
      <w:r w:rsidRPr="00842E73" w:rsidR="001A0FA5">
        <w:rPr>
          <w:rFonts w:cs="Times New Roman"/>
          <w:color w:val="000000" w:themeColor="text1"/>
          <w:szCs w:val="24"/>
          <w:shd w:val="clear" w:color="auto" w:fill="FFFFFF"/>
        </w:rPr>
        <w:t>o.</w:t>
      </w:r>
      <w:r w:rsidRPr="00842E73">
        <w:rPr>
          <w:rFonts w:cs="Times New Roman"/>
          <w:color w:val="000000" w:themeColor="text1"/>
          <w:szCs w:val="24"/>
          <w:shd w:val="clear" w:color="auto" w:fill="FFFFFF"/>
        </w:rPr>
        <w:t xml:space="preserve"> </w:t>
      </w:r>
    </w:p>
    <w:p w:rsidR="00934B94" w:rsidRPr="00842E73" w:rsidP="003B4524" w14:paraId="32301C3C" w14:textId="30522100">
      <w:pPr>
        <w:kinsoku w:val="0"/>
        <w:overflowPunct w:val="0"/>
        <w:autoSpaceDE w:val="0"/>
        <w:autoSpaceDN w:val="0"/>
        <w:adjustRightInd w:val="0"/>
        <w:spacing w:line="480" w:lineRule="auto"/>
        <w:ind w:firstLine="720"/>
        <w:rPr>
          <w:rFonts w:cs="Times New Roman"/>
          <w:szCs w:val="24"/>
        </w:rPr>
      </w:pPr>
      <w:r w:rsidRPr="00842E73">
        <w:rPr>
          <w:rFonts w:cs="Times New Roman"/>
          <w:szCs w:val="24"/>
        </w:rPr>
        <w:t xml:space="preserve">The PUCO should also </w:t>
      </w:r>
      <w:r w:rsidRPr="00842E73" w:rsidR="002C1181">
        <w:rPr>
          <w:rFonts w:cs="Times New Roman"/>
          <w:szCs w:val="24"/>
        </w:rPr>
        <w:t>en</w:t>
      </w:r>
      <w:r w:rsidRPr="00842E73">
        <w:rPr>
          <w:rFonts w:cs="Times New Roman"/>
          <w:szCs w:val="24"/>
        </w:rPr>
        <w:t xml:space="preserve">sure that FirstEnergy consumers are only being charged just and reasonable rates through Rider AMI. The PUCO should address whether consumers </w:t>
      </w:r>
      <w:r w:rsidRPr="00842E73">
        <w:rPr>
          <w:rFonts w:cs="Times New Roman"/>
          <w:i/>
          <w:iCs/>
          <w:szCs w:val="24"/>
        </w:rPr>
        <w:t xml:space="preserve">will be harmed </w:t>
      </w:r>
      <w:r w:rsidRPr="00842E73">
        <w:rPr>
          <w:rFonts w:cs="Times New Roman"/>
          <w:szCs w:val="24"/>
        </w:rPr>
        <w:t xml:space="preserve">by re-approving, </w:t>
      </w:r>
      <w:r w:rsidRPr="00842E73" w:rsidR="0036242F">
        <w:rPr>
          <w:rFonts w:cs="Times New Roman"/>
          <w:szCs w:val="24"/>
        </w:rPr>
        <w:t>modifying</w:t>
      </w:r>
      <w:r w:rsidRPr="00842E73">
        <w:rPr>
          <w:rFonts w:cs="Times New Roman"/>
          <w:szCs w:val="24"/>
        </w:rPr>
        <w:t>, and/or increasing Rider AMI, which FirstEnergy may have used to further its criminal activities and H.B. 6 scheme. FirstEnergy has the burden of proof to establish that grid modernization charges are just and reasonable rates going forward. Part of that burden relates to showing how its riders they now seek to extend are appropriate and necessary</w:t>
      </w:r>
      <w:r w:rsidRPr="00842E73" w:rsidR="001A0FA5">
        <w:rPr>
          <w:rFonts w:cs="Times New Roman"/>
          <w:szCs w:val="24"/>
        </w:rPr>
        <w:t xml:space="preserve"> for the 2 million customers they serve</w:t>
      </w:r>
      <w:r w:rsidRPr="00842E73">
        <w:rPr>
          <w:rFonts w:cs="Times New Roman"/>
          <w:szCs w:val="24"/>
        </w:rPr>
        <w:t>.</w:t>
      </w:r>
    </w:p>
    <w:p w:rsidR="00934B94" w:rsidRPr="00842E73" w:rsidP="003B4524" w14:paraId="7AB7E80F" w14:textId="1A7F8A91">
      <w:pPr>
        <w:kinsoku w:val="0"/>
        <w:overflowPunct w:val="0"/>
        <w:autoSpaceDE w:val="0"/>
        <w:autoSpaceDN w:val="0"/>
        <w:adjustRightInd w:val="0"/>
        <w:spacing w:line="480" w:lineRule="auto"/>
        <w:ind w:firstLine="720"/>
        <w:rPr>
          <w:rFonts w:cs="Times New Roman"/>
          <w:szCs w:val="24"/>
        </w:rPr>
      </w:pPr>
      <w:r w:rsidRPr="00842E73">
        <w:rPr>
          <w:rFonts w:cs="Times New Roman"/>
          <w:szCs w:val="24"/>
        </w:rPr>
        <w:t xml:space="preserve">Given that the H.B. 6 investigations are stayed, it is only fair that the related </w:t>
      </w:r>
      <w:r w:rsidRPr="00842E73" w:rsidR="001A0FA5">
        <w:rPr>
          <w:rFonts w:cs="Times New Roman"/>
          <w:szCs w:val="24"/>
        </w:rPr>
        <w:t xml:space="preserve">cases </w:t>
      </w:r>
      <w:r w:rsidRPr="00842E73">
        <w:rPr>
          <w:rFonts w:cs="Times New Roman"/>
          <w:szCs w:val="24"/>
        </w:rPr>
        <w:t>(</w:t>
      </w:r>
      <w:r w:rsidRPr="00842E73">
        <w:rPr>
          <w:rFonts w:cs="Times New Roman"/>
          <w:i/>
          <w:iCs/>
          <w:szCs w:val="24"/>
        </w:rPr>
        <w:t>i.e</w:t>
      </w:r>
      <w:r w:rsidRPr="00842E73">
        <w:rPr>
          <w:rFonts w:cs="Times New Roman"/>
          <w:szCs w:val="24"/>
        </w:rPr>
        <w:t xml:space="preserve">., </w:t>
      </w:r>
      <w:r w:rsidRPr="00842E73" w:rsidR="00EB181C">
        <w:rPr>
          <w:rFonts w:cs="Times New Roman"/>
          <w:szCs w:val="24"/>
        </w:rPr>
        <w:t>Grid Mod II</w:t>
      </w:r>
      <w:r w:rsidRPr="00842E73">
        <w:rPr>
          <w:rFonts w:cs="Times New Roman"/>
          <w:szCs w:val="24"/>
        </w:rPr>
        <w:t xml:space="preserve">) </w:t>
      </w:r>
      <w:r w:rsidRPr="00842E73" w:rsidR="00674713">
        <w:rPr>
          <w:rFonts w:cs="Times New Roman"/>
          <w:szCs w:val="24"/>
        </w:rPr>
        <w:t>also</w:t>
      </w:r>
      <w:r w:rsidRPr="00842E73">
        <w:rPr>
          <w:rFonts w:cs="Times New Roman"/>
          <w:szCs w:val="24"/>
        </w:rPr>
        <w:t xml:space="preserve"> be stayed. The PUCO has broad powers to ensure fairness and has done so in past cases.</w:t>
      </w:r>
      <w:r>
        <w:rPr>
          <w:rStyle w:val="FootnoteReference"/>
          <w:rFonts w:cs="Times New Roman"/>
          <w:szCs w:val="24"/>
        </w:rPr>
        <w:footnoteReference w:id="27"/>
      </w:r>
      <w:r w:rsidRPr="00842E73">
        <w:rPr>
          <w:rFonts w:cs="Times New Roman"/>
          <w:szCs w:val="24"/>
        </w:rPr>
        <w:t xml:space="preserve"> Staying the consideration</w:t>
      </w:r>
      <w:r w:rsidRPr="00842E73" w:rsidR="00EB181C">
        <w:rPr>
          <w:rFonts w:cs="Times New Roman"/>
          <w:szCs w:val="24"/>
        </w:rPr>
        <w:t>, approval, and implementation</w:t>
      </w:r>
      <w:r w:rsidRPr="00842E73">
        <w:rPr>
          <w:rFonts w:cs="Times New Roman"/>
          <w:szCs w:val="24"/>
        </w:rPr>
        <w:t xml:space="preserve"> of </w:t>
      </w:r>
      <w:r w:rsidRPr="00842E73" w:rsidR="002C1181">
        <w:rPr>
          <w:rFonts w:cs="Times New Roman"/>
          <w:szCs w:val="24"/>
        </w:rPr>
        <w:t xml:space="preserve">Grid </w:t>
      </w:r>
      <w:r w:rsidRPr="00842E73" w:rsidR="00EB181C">
        <w:rPr>
          <w:rFonts w:cs="Times New Roman"/>
          <w:szCs w:val="24"/>
        </w:rPr>
        <w:t xml:space="preserve">Mod </w:t>
      </w:r>
      <w:r w:rsidRPr="00842E73" w:rsidR="002C1181">
        <w:rPr>
          <w:rFonts w:cs="Times New Roman"/>
          <w:szCs w:val="24"/>
        </w:rPr>
        <w:t xml:space="preserve">II </w:t>
      </w:r>
      <w:r w:rsidRPr="00842E73">
        <w:rPr>
          <w:rFonts w:cs="Times New Roman"/>
          <w:szCs w:val="24"/>
        </w:rPr>
        <w:t>in this case would create a fairness of balance and symmetry in the PUCO</w:t>
      </w:r>
      <w:r w:rsidR="00842E73">
        <w:rPr>
          <w:rFonts w:cs="Times New Roman"/>
          <w:szCs w:val="24"/>
        </w:rPr>
        <w:t>’</w:t>
      </w:r>
      <w:r w:rsidRPr="00842E73">
        <w:rPr>
          <w:rFonts w:cs="Times New Roman"/>
          <w:szCs w:val="24"/>
        </w:rPr>
        <w:t>s regulation – something that is especially needed when it comes to FirstEnergy</w:t>
      </w:r>
      <w:r w:rsidR="00842E73">
        <w:rPr>
          <w:rFonts w:cs="Times New Roman"/>
          <w:szCs w:val="24"/>
        </w:rPr>
        <w:t>’</w:t>
      </w:r>
      <w:r w:rsidRPr="00842E73">
        <w:rPr>
          <w:rFonts w:cs="Times New Roman"/>
          <w:szCs w:val="24"/>
        </w:rPr>
        <w:t xml:space="preserve">s two million consumers. Going forward with considering and continuing </w:t>
      </w:r>
      <w:r w:rsidRPr="00842E73" w:rsidR="00EB181C">
        <w:rPr>
          <w:rFonts w:cs="Times New Roman"/>
          <w:szCs w:val="24"/>
        </w:rPr>
        <w:t>FirstEnergy</w:t>
      </w:r>
      <w:r w:rsidR="00842E73">
        <w:rPr>
          <w:rFonts w:cs="Times New Roman"/>
          <w:szCs w:val="24"/>
        </w:rPr>
        <w:t>’</w:t>
      </w:r>
      <w:r w:rsidRPr="00842E73" w:rsidR="00EB181C">
        <w:rPr>
          <w:rFonts w:cs="Times New Roman"/>
          <w:szCs w:val="24"/>
        </w:rPr>
        <w:t>s Grid Modernization business plan</w:t>
      </w:r>
      <w:r w:rsidRPr="00842E73" w:rsidR="00CF01D1">
        <w:rPr>
          <w:rFonts w:cs="Times New Roman"/>
          <w:szCs w:val="24"/>
        </w:rPr>
        <w:t xml:space="preserve"> </w:t>
      </w:r>
      <w:r w:rsidRPr="00842E73">
        <w:rPr>
          <w:rFonts w:cs="Times New Roman"/>
          <w:szCs w:val="24"/>
        </w:rPr>
        <w:t>in this proceeding is also inefficient and prejudicial to consumers. As the PUCO acknowledged, the public has an interest in the efficient use of government resources.</w:t>
      </w:r>
      <w:r>
        <w:rPr>
          <w:rStyle w:val="FootnoteReference"/>
          <w:rFonts w:cs="Times New Roman"/>
          <w:szCs w:val="24"/>
        </w:rPr>
        <w:footnoteReference w:id="28"/>
      </w:r>
    </w:p>
    <w:p w:rsidR="00934B94" w:rsidRPr="00842E73" w:rsidP="003B4524" w14:paraId="7C4E857A" w14:textId="77777777">
      <w:pPr>
        <w:kinsoku w:val="0"/>
        <w:overflowPunct w:val="0"/>
        <w:autoSpaceDE w:val="0"/>
        <w:autoSpaceDN w:val="0"/>
        <w:adjustRightInd w:val="0"/>
        <w:ind w:firstLine="720"/>
        <w:rPr>
          <w:rFonts w:cs="Times New Roman"/>
          <w:szCs w:val="24"/>
        </w:rPr>
      </w:pPr>
    </w:p>
    <w:p w:rsidR="00934B94" w:rsidRPr="00842E73" w:rsidP="00934B94" w14:paraId="6B63873D" w14:textId="77777777">
      <w:pPr>
        <w:pStyle w:val="Heading1"/>
      </w:pPr>
      <w:bookmarkStart w:id="4" w:name="_Toc152767819"/>
      <w:bookmarkStart w:id="5" w:name="_Toc156829292"/>
      <w:r w:rsidRPr="00842E73">
        <w:t>II.</w:t>
      </w:r>
      <w:r w:rsidRPr="00842E73">
        <w:tab/>
        <w:t>ARGUMENT</w:t>
      </w:r>
      <w:bookmarkEnd w:id="4"/>
      <w:bookmarkEnd w:id="5"/>
      <w:r w:rsidRPr="00842E73">
        <w:t xml:space="preserve"> </w:t>
      </w:r>
    </w:p>
    <w:p w:rsidR="00934B94" w:rsidRPr="00842E73" w:rsidP="00934B94" w14:paraId="64481AFB" w14:textId="13481454">
      <w:pPr>
        <w:pStyle w:val="Heading2"/>
      </w:pPr>
      <w:bookmarkStart w:id="6" w:name="_Toc151468346"/>
      <w:bookmarkStart w:id="7" w:name="_Toc152767820"/>
      <w:bookmarkStart w:id="8" w:name="_Toc156829293"/>
      <w:r w:rsidRPr="00842E73">
        <w:t>A.</w:t>
      </w:r>
      <w:r w:rsidRPr="00842E73">
        <w:tab/>
        <w:t>FirstEnergy</w:t>
      </w:r>
      <w:r w:rsidRPr="00842E73" w:rsidR="00F010D5">
        <w:t xml:space="preserve"> </w:t>
      </w:r>
      <w:r w:rsidRPr="00842E73">
        <w:t>seeks increased charges from consumers</w:t>
      </w:r>
      <w:r w:rsidRPr="00842E73" w:rsidR="00CF01D1">
        <w:t xml:space="preserve"> to pay for Grid </w:t>
      </w:r>
      <w:r w:rsidRPr="00842E73" w:rsidR="00EB181C">
        <w:t xml:space="preserve">Mod </w:t>
      </w:r>
      <w:r w:rsidRPr="00842E73" w:rsidR="00CF01D1">
        <w:t>II</w:t>
      </w:r>
      <w:r w:rsidRPr="00842E73">
        <w:t>, which is related to the four FirstEnergy investigations that have been stayed.</w:t>
      </w:r>
      <w:bookmarkEnd w:id="6"/>
      <w:bookmarkEnd w:id="7"/>
      <w:bookmarkEnd w:id="8"/>
      <w:r w:rsidRPr="00842E73">
        <w:t xml:space="preserve"> </w:t>
      </w:r>
    </w:p>
    <w:p w:rsidR="006149EC" w:rsidRPr="00842E73" w:rsidP="00934B94" w14:paraId="2E8FC467" w14:textId="02DC3817">
      <w:pPr>
        <w:spacing w:line="480" w:lineRule="auto"/>
        <w:ind w:firstLine="720"/>
        <w:rPr>
          <w:rFonts w:cs="Times New Roman"/>
          <w:szCs w:val="24"/>
        </w:rPr>
      </w:pPr>
      <w:r w:rsidRPr="00842E73">
        <w:rPr>
          <w:rFonts w:cs="Times New Roman"/>
          <w:szCs w:val="24"/>
        </w:rPr>
        <w:t>FirstEnergy seeks to charge consumers $750 million</w:t>
      </w:r>
      <w:r>
        <w:rPr>
          <w:rStyle w:val="FootnoteReference"/>
          <w:rFonts w:cs="Times New Roman"/>
          <w:szCs w:val="24"/>
        </w:rPr>
        <w:footnoteReference w:id="29"/>
      </w:r>
      <w:r w:rsidRPr="00842E73">
        <w:rPr>
          <w:rFonts w:cs="Times New Roman"/>
          <w:szCs w:val="24"/>
        </w:rPr>
        <w:t xml:space="preserve"> more for grid modernization in addition to the $460 million charged for the infamous distribution modernization rider</w:t>
      </w:r>
      <w:r w:rsidRPr="00842E73" w:rsidR="00CF01D1">
        <w:rPr>
          <w:rFonts w:cs="Times New Roman"/>
          <w:szCs w:val="24"/>
        </w:rPr>
        <w:t>,</w:t>
      </w:r>
      <w:r w:rsidRPr="00842E73">
        <w:rPr>
          <w:rFonts w:cs="Times New Roman"/>
          <w:szCs w:val="24"/>
        </w:rPr>
        <w:t xml:space="preserve"> and the $600 million authorized for the first phase of grid modernization. Over the first four years of FirstEnergy</w:t>
      </w:r>
      <w:r w:rsidR="00842E73">
        <w:rPr>
          <w:rFonts w:cs="Times New Roman"/>
          <w:szCs w:val="24"/>
        </w:rPr>
        <w:t>’</w:t>
      </w:r>
      <w:r w:rsidRPr="00842E73">
        <w:rPr>
          <w:rFonts w:cs="Times New Roman"/>
          <w:szCs w:val="24"/>
        </w:rPr>
        <w:t xml:space="preserve">s </w:t>
      </w:r>
      <w:r w:rsidRPr="00842E73" w:rsidR="00674713">
        <w:rPr>
          <w:rFonts w:cs="Times New Roman"/>
          <w:szCs w:val="24"/>
        </w:rPr>
        <w:t xml:space="preserve">Grid Mod II </w:t>
      </w:r>
      <w:r w:rsidRPr="00842E73">
        <w:rPr>
          <w:rFonts w:cs="Times New Roman"/>
          <w:szCs w:val="24"/>
        </w:rPr>
        <w:t>proposal, it projects charging consumers more than $400 million.</w:t>
      </w:r>
      <w:r>
        <w:rPr>
          <w:rStyle w:val="FootnoteReference"/>
          <w:rFonts w:cs="Times New Roman"/>
          <w:szCs w:val="24"/>
        </w:rPr>
        <w:footnoteReference w:id="30"/>
      </w:r>
      <w:r w:rsidRPr="00842E73">
        <w:rPr>
          <w:rFonts w:cs="Times New Roman"/>
          <w:szCs w:val="24"/>
        </w:rPr>
        <w:t xml:space="preserve"> </w:t>
      </w:r>
    </w:p>
    <w:p w:rsidR="00934B94" w:rsidRPr="00842E73" w:rsidP="00934B94" w14:paraId="3D3FF7B6" w14:textId="5C464536">
      <w:pPr>
        <w:spacing w:line="480" w:lineRule="auto"/>
        <w:ind w:firstLine="720"/>
        <w:rPr>
          <w:rFonts w:cs="Times New Roman"/>
          <w:szCs w:val="24"/>
        </w:rPr>
      </w:pPr>
      <w:r w:rsidRPr="00842E73">
        <w:rPr>
          <w:rFonts w:cs="Times New Roman"/>
          <w:szCs w:val="24"/>
        </w:rPr>
        <w:t>The commonality between the investigation cases and FirstEnergy</w:t>
      </w:r>
      <w:r w:rsidR="00842E73">
        <w:rPr>
          <w:rFonts w:cs="Times New Roman"/>
          <w:szCs w:val="24"/>
        </w:rPr>
        <w:t>’</w:t>
      </w:r>
      <w:r w:rsidRPr="00842E73">
        <w:rPr>
          <w:rFonts w:cs="Times New Roman"/>
          <w:szCs w:val="24"/>
        </w:rPr>
        <w:t>s Grid Modernization is the fact that FirstEnergy</w:t>
      </w:r>
      <w:r w:rsidR="00842E73">
        <w:rPr>
          <w:rFonts w:cs="Times New Roman"/>
          <w:szCs w:val="24"/>
        </w:rPr>
        <w:t>’</w:t>
      </w:r>
      <w:r w:rsidRPr="00842E73">
        <w:rPr>
          <w:rFonts w:cs="Times New Roman"/>
          <w:szCs w:val="24"/>
        </w:rPr>
        <w:t>s Grid Mod II case is premised on its Grid Mod</w:t>
      </w:r>
      <w:r w:rsidRPr="00842E73" w:rsidR="00EB181C">
        <w:rPr>
          <w:rFonts w:cs="Times New Roman"/>
          <w:szCs w:val="24"/>
        </w:rPr>
        <w:t>ernization</w:t>
      </w:r>
      <w:r w:rsidRPr="00842E73">
        <w:rPr>
          <w:rFonts w:cs="Times New Roman"/>
          <w:szCs w:val="24"/>
        </w:rPr>
        <w:t xml:space="preserve"> business plan</w:t>
      </w:r>
      <w:r w:rsidRPr="00842E73" w:rsidR="00EB181C">
        <w:rPr>
          <w:rFonts w:cs="Times New Roman"/>
          <w:szCs w:val="24"/>
        </w:rPr>
        <w:t>,</w:t>
      </w:r>
      <w:r w:rsidRPr="00842E73">
        <w:rPr>
          <w:rFonts w:cs="Times New Roman"/>
          <w:szCs w:val="24"/>
        </w:rPr>
        <w:t xml:space="preserve"> which </w:t>
      </w:r>
      <w:r w:rsidRPr="00842E73" w:rsidR="00EB181C">
        <w:rPr>
          <w:rFonts w:cs="Times New Roman"/>
          <w:szCs w:val="24"/>
        </w:rPr>
        <w:t>was filed as a result of</w:t>
      </w:r>
      <w:r w:rsidRPr="00842E73">
        <w:rPr>
          <w:rFonts w:cs="Times New Roman"/>
          <w:szCs w:val="24"/>
        </w:rPr>
        <w:t xml:space="preserve"> FirstEnergy</w:t>
      </w:r>
      <w:r w:rsidR="00842E73">
        <w:rPr>
          <w:rFonts w:cs="Times New Roman"/>
          <w:szCs w:val="24"/>
        </w:rPr>
        <w:t>’</w:t>
      </w:r>
      <w:r w:rsidRPr="00842E73">
        <w:rPr>
          <w:rFonts w:cs="Times New Roman"/>
          <w:szCs w:val="24"/>
        </w:rPr>
        <w:t>s ESP IV</w:t>
      </w:r>
      <w:r w:rsidRPr="00842E73" w:rsidR="00EB181C">
        <w:rPr>
          <w:rFonts w:cs="Times New Roman"/>
          <w:szCs w:val="24"/>
        </w:rPr>
        <w:t xml:space="preserve"> settlement</w:t>
      </w:r>
      <w:r w:rsidRPr="00842E73" w:rsidR="0020199C">
        <w:rPr>
          <w:rFonts w:cs="Times New Roman"/>
          <w:szCs w:val="24"/>
        </w:rPr>
        <w:t>.</w:t>
      </w:r>
      <w:r w:rsidRPr="00842E73" w:rsidR="00484034">
        <w:rPr>
          <w:rFonts w:cs="Times New Roman"/>
          <w:szCs w:val="24"/>
        </w:rPr>
        <w:t xml:space="preserve"> </w:t>
      </w:r>
      <w:r w:rsidRPr="00842E73" w:rsidR="0020199C">
        <w:rPr>
          <w:rFonts w:cs="Times New Roman"/>
          <w:szCs w:val="24"/>
        </w:rPr>
        <w:t>Additionally</w:t>
      </w:r>
      <w:r w:rsidRPr="00842E73">
        <w:rPr>
          <w:rFonts w:cs="Times New Roman"/>
          <w:szCs w:val="24"/>
        </w:rPr>
        <w:t xml:space="preserve"> former Chair Randazzo appro</w:t>
      </w:r>
      <w:r w:rsidRPr="00842E73" w:rsidR="0020199C">
        <w:rPr>
          <w:rFonts w:cs="Times New Roman"/>
          <w:szCs w:val="24"/>
        </w:rPr>
        <w:t xml:space="preserve">ved </w:t>
      </w:r>
      <w:r w:rsidRPr="00842E73" w:rsidR="00EB181C">
        <w:rPr>
          <w:rFonts w:cs="Times New Roman"/>
          <w:szCs w:val="24"/>
        </w:rPr>
        <w:t xml:space="preserve">the Grid Modernization business plan and recovery of </w:t>
      </w:r>
      <w:r w:rsidRPr="00842E73" w:rsidR="0020199C">
        <w:rPr>
          <w:rFonts w:cs="Times New Roman"/>
          <w:szCs w:val="24"/>
        </w:rPr>
        <w:t xml:space="preserve">$516 million </w:t>
      </w:r>
      <w:r w:rsidRPr="00842E73">
        <w:rPr>
          <w:rFonts w:cs="Times New Roman"/>
          <w:szCs w:val="24"/>
        </w:rPr>
        <w:t xml:space="preserve">of grid modernization charges to consumers through </w:t>
      </w:r>
      <w:r w:rsidRPr="00842E73" w:rsidR="00EB181C">
        <w:rPr>
          <w:rFonts w:cs="Times New Roman"/>
          <w:szCs w:val="24"/>
        </w:rPr>
        <w:t>Rider AMI</w:t>
      </w:r>
      <w:r w:rsidRPr="00842E73" w:rsidR="00902C49">
        <w:rPr>
          <w:rFonts w:cs="Times New Roman"/>
          <w:szCs w:val="24"/>
        </w:rPr>
        <w:t xml:space="preserve"> mere months after he was installed at the PUCO</w:t>
      </w:r>
      <w:r w:rsidRPr="00842E73">
        <w:rPr>
          <w:rFonts w:cs="Times New Roman"/>
          <w:szCs w:val="24"/>
        </w:rPr>
        <w:t>.</w:t>
      </w:r>
      <w:r>
        <w:rPr>
          <w:rStyle w:val="FootnoteReference"/>
          <w:rFonts w:cs="Times New Roman"/>
          <w:szCs w:val="24"/>
        </w:rPr>
        <w:footnoteReference w:id="31"/>
      </w:r>
      <w:r w:rsidRPr="00842E73">
        <w:rPr>
          <w:rFonts w:cs="Times New Roman"/>
          <w:szCs w:val="24"/>
        </w:rPr>
        <w:t xml:space="preserve"> As explained above, </w:t>
      </w:r>
      <w:r w:rsidRPr="00842E73" w:rsidR="00EB181C">
        <w:rPr>
          <w:rFonts w:cs="Times New Roman"/>
          <w:szCs w:val="24"/>
        </w:rPr>
        <w:t xml:space="preserve">portions of </w:t>
      </w:r>
      <w:r w:rsidRPr="00842E73">
        <w:rPr>
          <w:rFonts w:cs="Times New Roman"/>
          <w:szCs w:val="24"/>
        </w:rPr>
        <w:t xml:space="preserve">ESP IV </w:t>
      </w:r>
      <w:r w:rsidRPr="00842E73" w:rsidR="00902C49">
        <w:rPr>
          <w:rFonts w:cs="Times New Roman"/>
          <w:szCs w:val="24"/>
        </w:rPr>
        <w:t xml:space="preserve">are </w:t>
      </w:r>
      <w:r w:rsidRPr="00842E73">
        <w:rPr>
          <w:rFonts w:cs="Times New Roman"/>
          <w:szCs w:val="24"/>
        </w:rPr>
        <w:t xml:space="preserve">now under investigation. </w:t>
      </w:r>
      <w:r w:rsidRPr="00842E73" w:rsidR="00821941">
        <w:rPr>
          <w:rFonts w:cs="Times New Roman"/>
          <w:szCs w:val="24"/>
        </w:rPr>
        <w:t>With the new information released</w:t>
      </w:r>
      <w:r w:rsidRPr="00842E73" w:rsidR="00CF01D1">
        <w:rPr>
          <w:rFonts w:cs="Times New Roman"/>
          <w:szCs w:val="24"/>
        </w:rPr>
        <w:t xml:space="preserve"> regarding </w:t>
      </w:r>
      <w:r w:rsidRPr="00842E73" w:rsidR="00517EA7">
        <w:rPr>
          <w:rFonts w:cs="Times New Roman"/>
          <w:szCs w:val="24"/>
        </w:rPr>
        <w:t xml:space="preserve">former Chair </w:t>
      </w:r>
      <w:r w:rsidRPr="00842E73" w:rsidR="00CF01D1">
        <w:rPr>
          <w:rFonts w:cs="Times New Roman"/>
          <w:szCs w:val="24"/>
        </w:rPr>
        <w:t>Randazzo</w:t>
      </w:r>
      <w:r w:rsidR="00842E73">
        <w:rPr>
          <w:rFonts w:cs="Times New Roman"/>
          <w:szCs w:val="24"/>
        </w:rPr>
        <w:t>’</w:t>
      </w:r>
      <w:r w:rsidRPr="00842E73" w:rsidR="00CF01D1">
        <w:rPr>
          <w:rFonts w:cs="Times New Roman"/>
          <w:szCs w:val="24"/>
        </w:rPr>
        <w:t>s indictment</w:t>
      </w:r>
      <w:r w:rsidRPr="00842E73" w:rsidR="00821941">
        <w:rPr>
          <w:rFonts w:cs="Times New Roman"/>
          <w:szCs w:val="24"/>
        </w:rPr>
        <w:t>, it is even more difficult to conclude (as the PUCO did in another context) that FirstEnergy</w:t>
      </w:r>
      <w:r w:rsidR="00842E73">
        <w:rPr>
          <w:rFonts w:cs="Times New Roman"/>
          <w:szCs w:val="24"/>
        </w:rPr>
        <w:t>’</w:t>
      </w:r>
      <w:r w:rsidRPr="00842E73" w:rsidR="00821941">
        <w:rPr>
          <w:rFonts w:cs="Times New Roman"/>
          <w:szCs w:val="24"/>
        </w:rPr>
        <w:t xml:space="preserve">s Grid Mod </w:t>
      </w:r>
      <w:r w:rsidRPr="00842E73" w:rsidR="0036242F">
        <w:rPr>
          <w:rFonts w:cs="Times New Roman"/>
          <w:szCs w:val="24"/>
        </w:rPr>
        <w:t xml:space="preserve">I, which is the foundation for its proposed Grid Mod </w:t>
      </w:r>
      <w:r w:rsidRPr="00842E73" w:rsidR="00821941">
        <w:rPr>
          <w:rFonts w:cs="Times New Roman"/>
          <w:szCs w:val="24"/>
        </w:rPr>
        <w:t xml:space="preserve">II is </w:t>
      </w:r>
      <w:r w:rsidR="00842E73">
        <w:rPr>
          <w:rFonts w:cs="Times New Roman"/>
          <w:szCs w:val="24"/>
        </w:rPr>
        <w:t>“</w:t>
      </w:r>
      <w:r w:rsidRPr="00842E73" w:rsidR="00821941">
        <w:rPr>
          <w:rFonts w:cs="Times New Roman"/>
          <w:szCs w:val="24"/>
        </w:rPr>
        <w:t>completely unrelated to H.B.6.</w:t>
      </w:r>
      <w:r w:rsidR="00842E73">
        <w:rPr>
          <w:rFonts w:cs="Times New Roman"/>
          <w:szCs w:val="24"/>
        </w:rPr>
        <w:t>”</w:t>
      </w:r>
      <w:r>
        <w:rPr>
          <w:rStyle w:val="FootnoteReference"/>
          <w:rFonts w:cs="Times New Roman"/>
          <w:szCs w:val="24"/>
        </w:rPr>
        <w:footnoteReference w:id="32"/>
      </w:r>
      <w:r w:rsidRPr="00842E73" w:rsidR="00821941">
        <w:rPr>
          <w:rFonts w:cs="Times New Roman"/>
          <w:szCs w:val="24"/>
        </w:rPr>
        <w:t xml:space="preserve"> </w:t>
      </w:r>
    </w:p>
    <w:p w:rsidR="00934B94" w:rsidRPr="00842E73" w:rsidP="00934B94" w14:paraId="5A0EC381" w14:textId="5E9CBD27">
      <w:pPr>
        <w:spacing w:line="480" w:lineRule="auto"/>
        <w:ind w:firstLine="720"/>
        <w:rPr>
          <w:rFonts w:cs="Times New Roman"/>
          <w:szCs w:val="24"/>
        </w:rPr>
      </w:pPr>
      <w:r w:rsidRPr="00842E73">
        <w:rPr>
          <w:rFonts w:cs="Times New Roman"/>
          <w:szCs w:val="24"/>
        </w:rPr>
        <w:t xml:space="preserve">In Case No. 20-1629-EL-RDR, </w:t>
      </w:r>
      <w:r w:rsidRPr="00842E73" w:rsidR="00902C49">
        <w:rPr>
          <w:rFonts w:cs="Times New Roman"/>
          <w:szCs w:val="24"/>
        </w:rPr>
        <w:t xml:space="preserve">investigating </w:t>
      </w:r>
      <w:r w:rsidRPr="00842E73">
        <w:rPr>
          <w:rFonts w:cs="Times New Roman"/>
          <w:szCs w:val="24"/>
        </w:rPr>
        <w:t xml:space="preserve">Rider DCR, </w:t>
      </w:r>
      <w:r w:rsidRPr="00842E73" w:rsidR="00902C49">
        <w:rPr>
          <w:rFonts w:cs="Times New Roman"/>
          <w:szCs w:val="24"/>
        </w:rPr>
        <w:t>the investigation into Rider DCR requires the auditor to identify capital costs recovered through Rider AMI.</w:t>
      </w:r>
      <w:r>
        <w:rPr>
          <w:rStyle w:val="FootnoteReference"/>
          <w:rFonts w:cs="Times New Roman"/>
          <w:szCs w:val="24"/>
        </w:rPr>
        <w:footnoteReference w:id="33"/>
      </w:r>
      <w:r w:rsidRPr="00842E73" w:rsidR="00902C49">
        <w:rPr>
          <w:rFonts w:cs="Times New Roman"/>
          <w:szCs w:val="24"/>
        </w:rPr>
        <w:t xml:space="preserve"> Moreover, </w:t>
      </w:r>
      <w:r w:rsidRPr="00842E73">
        <w:rPr>
          <w:rFonts w:cs="Times New Roman"/>
          <w:szCs w:val="24"/>
        </w:rPr>
        <w:t>the PUCO found cost misallocations related to FirstEnergy</w:t>
      </w:r>
      <w:r w:rsidR="00842E73">
        <w:rPr>
          <w:rFonts w:cs="Times New Roman"/>
          <w:szCs w:val="24"/>
        </w:rPr>
        <w:t>’</w:t>
      </w:r>
      <w:r w:rsidRPr="00842E73">
        <w:rPr>
          <w:rFonts w:cs="Times New Roman"/>
          <w:szCs w:val="24"/>
        </w:rPr>
        <w:t>s role in the H.B. 6 scandal</w:t>
      </w:r>
      <w:r w:rsidRPr="00842E73" w:rsidR="00902C49">
        <w:rPr>
          <w:rFonts w:cs="Times New Roman"/>
          <w:szCs w:val="24"/>
        </w:rPr>
        <w:t>,</w:t>
      </w:r>
      <w:r w:rsidRPr="00842E73" w:rsidR="006149EC">
        <w:rPr>
          <w:rFonts w:cs="Times New Roman"/>
          <w:szCs w:val="24"/>
        </w:rPr>
        <w:t xml:space="preserve"> </w:t>
      </w:r>
      <w:r w:rsidRPr="00842E73" w:rsidR="00902C49">
        <w:rPr>
          <w:rFonts w:cs="Times New Roman"/>
          <w:szCs w:val="24"/>
        </w:rPr>
        <w:t>and</w:t>
      </w:r>
      <w:r w:rsidRPr="00842E73">
        <w:rPr>
          <w:rFonts w:cs="Times New Roman"/>
          <w:szCs w:val="24"/>
        </w:rPr>
        <w:t xml:space="preserve"> the cost allocation issues are a fundamental element of the other three FirstEnergy investigations.</w:t>
      </w:r>
    </w:p>
    <w:p w:rsidR="00934B94" w:rsidRPr="00842E73" w:rsidP="00934B94" w14:paraId="036F0329" w14:textId="3C252EF8">
      <w:pPr>
        <w:spacing w:line="480" w:lineRule="auto"/>
        <w:ind w:firstLine="720"/>
        <w:rPr>
          <w:rFonts w:cs="Times New Roman"/>
          <w:szCs w:val="24"/>
        </w:rPr>
      </w:pPr>
      <w:r w:rsidRPr="00842E73">
        <w:rPr>
          <w:rFonts w:cs="Times New Roman"/>
          <w:szCs w:val="24"/>
        </w:rPr>
        <w:t>For example, the PUCO is investigating the extent to which FirstEnergy improperly collected H.B. 6 costs from consumers in Case No. 20-1502-EL-UNC.</w:t>
      </w:r>
      <w:r>
        <w:rPr>
          <w:rStyle w:val="FootnoteReference"/>
          <w:rFonts w:cs="Times New Roman"/>
          <w:szCs w:val="24"/>
        </w:rPr>
        <w:footnoteReference w:id="34"/>
      </w:r>
      <w:r w:rsidRPr="00842E73">
        <w:rPr>
          <w:rFonts w:cs="Times New Roman"/>
          <w:szCs w:val="24"/>
        </w:rPr>
        <w:t xml:space="preserve"> The PUCO could decide that H.B. 6 costs include costs that have been capitalized and charged to consumers through numerous riders, including Rider AMI. </w:t>
      </w:r>
    </w:p>
    <w:p w:rsidR="00934B94" w:rsidRPr="00842E73" w:rsidP="00934B94" w14:paraId="54D8E075" w14:textId="041AF5E2">
      <w:pPr>
        <w:spacing w:line="480" w:lineRule="auto"/>
        <w:ind w:firstLine="720"/>
        <w:rPr>
          <w:rFonts w:cs="Times New Roman"/>
          <w:szCs w:val="24"/>
        </w:rPr>
      </w:pPr>
      <w:r w:rsidRPr="00842E73">
        <w:rPr>
          <w:rFonts w:cs="Times New Roman"/>
          <w:szCs w:val="24"/>
        </w:rPr>
        <w:t xml:space="preserve">Those transactions appear to be the basis of Count 6 of the criminal complaint against </w:t>
      </w:r>
      <w:r w:rsidRPr="00842E73" w:rsidR="00DC28B7">
        <w:rPr>
          <w:rFonts w:cs="Times New Roman"/>
          <w:szCs w:val="24"/>
        </w:rPr>
        <w:t xml:space="preserve">former Chair </w:t>
      </w:r>
      <w:r w:rsidRPr="00842E73">
        <w:rPr>
          <w:rFonts w:cs="Times New Roman"/>
          <w:szCs w:val="24"/>
        </w:rPr>
        <w:t>Randazzo.</w:t>
      </w:r>
      <w:r>
        <w:rPr>
          <w:rStyle w:val="FootnoteReference"/>
          <w:rFonts w:cs="Times New Roman"/>
          <w:szCs w:val="24"/>
        </w:rPr>
        <w:footnoteReference w:id="35"/>
      </w:r>
      <w:r w:rsidRPr="00842E73">
        <w:rPr>
          <w:rFonts w:cs="Times New Roman"/>
          <w:szCs w:val="24"/>
        </w:rPr>
        <w:t xml:space="preserve"> More specifically, on the federal indictment recently handed down, the Sustainability Funding Alliance appears to be a tool former Chair Randazzo used to further his alleged scheme, among other things, </w:t>
      </w:r>
      <w:r w:rsidR="00842E73">
        <w:rPr>
          <w:rFonts w:cs="Times New Roman"/>
          <w:szCs w:val="24"/>
        </w:rPr>
        <w:t>“</w:t>
      </w:r>
      <w:r w:rsidRPr="00842E73">
        <w:rPr>
          <w:rFonts w:cs="Times New Roman"/>
          <w:szCs w:val="24"/>
        </w:rPr>
        <w:t>to commit offenses against the United States, namely: to travel in interstate commerce and use and cause the use of a facility in interstate commerce with intent to promote, manage, establish and carry on and facilitate the promotion, management, establishment, and carrying on of bribery in violation of</w:t>
      </w:r>
      <w:r w:rsidR="00842E73">
        <w:rPr>
          <w:rFonts w:cs="Times New Roman"/>
          <w:szCs w:val="24"/>
        </w:rPr>
        <w:t xml:space="preserve"> </w:t>
      </w:r>
      <w:r w:rsidRPr="00842E73" w:rsidR="00517EA7">
        <w:rPr>
          <w:rFonts w:cs="Times New Roman"/>
          <w:szCs w:val="24"/>
        </w:rPr>
        <w:t>R.C.</w:t>
      </w:r>
      <w:r w:rsidRPr="00842E73">
        <w:rPr>
          <w:rFonts w:cs="Times New Roman"/>
          <w:szCs w:val="24"/>
        </w:rPr>
        <w:t>§2921.02, in violation of 18 U.S.C. §1952; to devise and intend to devise a scheme and artifice to defraud and deprive the citizens of the State of Ohio and PUCO of the honest services of a public official through bribery, in violation of 18 U.S.C. §§ 1343 and 1346.</w:t>
      </w:r>
      <w:r w:rsidR="00842E73">
        <w:rPr>
          <w:rFonts w:cs="Times New Roman"/>
          <w:szCs w:val="24"/>
        </w:rPr>
        <w:t>”</w:t>
      </w:r>
      <w:r>
        <w:rPr>
          <w:rStyle w:val="FootnoteReference"/>
          <w:rFonts w:cs="Times New Roman"/>
          <w:szCs w:val="24"/>
        </w:rPr>
        <w:footnoteReference w:id="36"/>
      </w:r>
    </w:p>
    <w:p w:rsidR="00934B94" w:rsidRPr="00842E73" w:rsidP="00934B94" w14:paraId="1F27DAEC" w14:textId="3FD973FA">
      <w:pPr>
        <w:spacing w:line="480" w:lineRule="auto"/>
        <w:ind w:firstLine="720"/>
        <w:rPr>
          <w:rFonts w:cs="Times New Roman"/>
          <w:szCs w:val="24"/>
        </w:rPr>
      </w:pPr>
      <w:r w:rsidRPr="00842E73">
        <w:rPr>
          <w:rFonts w:cs="Times New Roman"/>
          <w:szCs w:val="24"/>
        </w:rPr>
        <w:t>And the Federal Energy Regulatory Commission conducted a wide-ranging audit of FirstEnergy that evaluated FirstEnergy</w:t>
      </w:r>
      <w:r w:rsidR="00842E73">
        <w:rPr>
          <w:rFonts w:cs="Times New Roman"/>
          <w:szCs w:val="24"/>
        </w:rPr>
        <w:t>’</w:t>
      </w:r>
      <w:r w:rsidRPr="00842E73">
        <w:rPr>
          <w:rFonts w:cs="Times New Roman"/>
          <w:szCs w:val="24"/>
        </w:rPr>
        <w:t>s compliance with: (1) cross-subsidization restrictions on affiliate transactions; (2) service company accounting, recordkeeping and reporting requirements, accounting and reporting requirements for affiliate transactions; and (3) preservation of records requirements. FERC issued seven findings of noncompliance and 38 recommendations that required FirstEnergy and its subsidiaries to take corrective action.</w:t>
      </w:r>
      <w:r>
        <w:rPr>
          <w:rStyle w:val="FootnoteReference"/>
          <w:rFonts w:cs="Times New Roman"/>
          <w:szCs w:val="24"/>
        </w:rPr>
        <w:footnoteReference w:id="37"/>
      </w:r>
    </w:p>
    <w:p w:rsidR="00934B94" w:rsidRPr="00842E73" w:rsidP="00934B94" w14:paraId="57065138" w14:textId="6E9EACAA">
      <w:pPr>
        <w:spacing w:line="480" w:lineRule="auto"/>
        <w:ind w:firstLine="720"/>
        <w:rPr>
          <w:rFonts w:cs="Times New Roman"/>
          <w:szCs w:val="24"/>
        </w:rPr>
      </w:pPr>
      <w:r w:rsidRPr="00842E73">
        <w:rPr>
          <w:rFonts w:cs="Times New Roman"/>
          <w:szCs w:val="24"/>
        </w:rPr>
        <w:t>FirstEnergy</w:t>
      </w:r>
      <w:r w:rsidR="00842E73">
        <w:rPr>
          <w:rFonts w:cs="Times New Roman"/>
          <w:szCs w:val="24"/>
        </w:rPr>
        <w:t>’</w:t>
      </w:r>
      <w:r w:rsidRPr="00842E73">
        <w:rPr>
          <w:rFonts w:cs="Times New Roman"/>
          <w:szCs w:val="24"/>
        </w:rPr>
        <w:t xml:space="preserve">s franchised public utilities </w:t>
      </w:r>
      <w:r w:rsidR="00842E73">
        <w:rPr>
          <w:rFonts w:cs="Times New Roman"/>
          <w:szCs w:val="24"/>
        </w:rPr>
        <w:t>“</w:t>
      </w:r>
      <w:r w:rsidRPr="00842E73">
        <w:rPr>
          <w:rFonts w:cs="Times New Roman"/>
          <w:szCs w:val="24"/>
        </w:rPr>
        <w:t>improperly accounted for maintenance expenses incurred to remove vegetation</w:t>
      </w:r>
      <w:r w:rsidR="00842E73">
        <w:rPr>
          <w:rFonts w:cs="Times New Roman"/>
          <w:szCs w:val="24"/>
        </w:rPr>
        <w:t>”</w:t>
      </w:r>
      <w:r w:rsidRPr="00842E73">
        <w:rPr>
          <w:rFonts w:cs="Times New Roman"/>
          <w:szCs w:val="24"/>
        </w:rPr>
        <w:t xml:space="preserve"> when they </w:t>
      </w:r>
      <w:r w:rsidR="00842E73">
        <w:rPr>
          <w:rFonts w:cs="Times New Roman"/>
          <w:szCs w:val="24"/>
        </w:rPr>
        <w:t>“</w:t>
      </w:r>
      <w:r w:rsidRPr="00842E73">
        <w:rPr>
          <w:rFonts w:cs="Times New Roman"/>
          <w:szCs w:val="24"/>
        </w:rPr>
        <w:t>inappropriately capitalized the cost to electric plant in service.</w:t>
      </w:r>
      <w:r w:rsidR="00842E73">
        <w:rPr>
          <w:rFonts w:cs="Times New Roman"/>
          <w:szCs w:val="24"/>
        </w:rPr>
        <w:t>”</w:t>
      </w:r>
      <w:r>
        <w:rPr>
          <w:rStyle w:val="FootnoteReference"/>
          <w:rFonts w:cs="Times New Roman"/>
          <w:szCs w:val="24"/>
        </w:rPr>
        <w:footnoteReference w:id="38"/>
      </w:r>
      <w:r w:rsidRPr="00842E73">
        <w:rPr>
          <w:rFonts w:cs="Times New Roman"/>
          <w:szCs w:val="24"/>
        </w:rPr>
        <w:t xml:space="preserve"> This caused the companies to overstate electric plant in service, accumulated depreciation, ADIT, depreciation expenses, and other account balances, and understate operating expenses incurred.</w:t>
      </w:r>
      <w:r w:rsidR="00842E73">
        <w:rPr>
          <w:rFonts w:cs="Times New Roman"/>
          <w:szCs w:val="24"/>
        </w:rPr>
        <w:t>”</w:t>
      </w:r>
      <w:r w:rsidRPr="00842E73">
        <w:rPr>
          <w:rStyle w:val="FootnoteReference"/>
          <w:rFonts w:cs="Times New Roman"/>
          <w:szCs w:val="24"/>
        </w:rPr>
        <w:t xml:space="preserve"> </w:t>
      </w:r>
      <w:r>
        <w:rPr>
          <w:rStyle w:val="FootnoteReference"/>
          <w:rFonts w:cs="Times New Roman"/>
          <w:szCs w:val="24"/>
        </w:rPr>
        <w:footnoteReference w:id="39"/>
      </w:r>
      <w:r w:rsidRPr="00842E73">
        <w:rPr>
          <w:rFonts w:cs="Times New Roman"/>
          <w:szCs w:val="24"/>
        </w:rPr>
        <w:t xml:space="preserve"> The improper vegetation management accounting occurred both prior to and during the audit period spanning January 1, 2015 to September 30, 2021. </w:t>
      </w:r>
    </w:p>
    <w:p w:rsidR="00674713" w:rsidRPr="00842E73" w:rsidP="00934B94" w14:paraId="071891A1" w14:textId="00FAB865">
      <w:pPr>
        <w:spacing w:line="480" w:lineRule="auto"/>
        <w:ind w:firstLine="720"/>
        <w:rPr>
          <w:rFonts w:cs="Times New Roman"/>
          <w:szCs w:val="24"/>
        </w:rPr>
      </w:pPr>
      <w:r w:rsidRPr="00842E73">
        <w:rPr>
          <w:rFonts w:cs="Times New Roman"/>
          <w:szCs w:val="24"/>
        </w:rPr>
        <w:t xml:space="preserve">FERC also found that the service company </w:t>
      </w:r>
      <w:r w:rsidR="00842E73">
        <w:rPr>
          <w:rFonts w:cs="Times New Roman"/>
          <w:szCs w:val="24"/>
        </w:rPr>
        <w:t>“</w:t>
      </w:r>
      <w:r w:rsidRPr="00842E73">
        <w:rPr>
          <w:rFonts w:cs="Times New Roman"/>
          <w:szCs w:val="24"/>
        </w:rPr>
        <w:t>improperly accounted for and improperly reported lobbying expenses, donations and other costs that lacked proper supporting documentation or were misclassified.</w:t>
      </w:r>
      <w:r w:rsidR="00842E73">
        <w:rPr>
          <w:rFonts w:cs="Times New Roman"/>
          <w:szCs w:val="24"/>
        </w:rPr>
        <w:t>”</w:t>
      </w:r>
      <w:r w:rsidRPr="00842E73">
        <w:rPr>
          <w:rFonts w:cs="Times New Roman"/>
          <w:szCs w:val="24"/>
        </w:rPr>
        <w:t xml:space="preserve"> And FERC found that the service company allocated and charged the improperly accounted for lobbying, donation, and supported costs to FirstEnergy and its subsidiaries.</w:t>
      </w:r>
      <w:r w:rsidR="00842E73">
        <w:rPr>
          <w:rFonts w:cs="Times New Roman"/>
          <w:szCs w:val="24"/>
        </w:rPr>
        <w:t>”</w:t>
      </w:r>
      <w:r>
        <w:rPr>
          <w:rStyle w:val="FootnoteReference"/>
          <w:rFonts w:cs="Times New Roman"/>
          <w:szCs w:val="24"/>
        </w:rPr>
        <w:footnoteReference w:id="40"/>
      </w:r>
      <w:r w:rsidRPr="00842E73">
        <w:rPr>
          <w:rFonts w:cs="Times New Roman"/>
          <w:szCs w:val="24"/>
        </w:rPr>
        <w:t xml:space="preserve"> Some of these costs were improperly recorded as general and administrative costs; some were improperly recorded as the cost of electric plant in service. Internal lobbyists</w:t>
      </w:r>
      <w:r w:rsidR="00842E73">
        <w:rPr>
          <w:rFonts w:cs="Times New Roman"/>
          <w:szCs w:val="24"/>
        </w:rPr>
        <w:t>’</w:t>
      </w:r>
      <w:r w:rsidRPr="00842E73">
        <w:rPr>
          <w:rFonts w:cs="Times New Roman"/>
          <w:szCs w:val="24"/>
        </w:rPr>
        <w:t xml:space="preserve"> expenses were also improperly accounted for, and the FirstEnergy Service Company charged the improperly accounted for costs to FirstEnergy and its subsidiaries.</w:t>
      </w:r>
      <w:r>
        <w:rPr>
          <w:rStyle w:val="FootnoteReference"/>
          <w:rFonts w:cs="Times New Roman"/>
          <w:szCs w:val="24"/>
        </w:rPr>
        <w:footnoteReference w:id="41"/>
      </w:r>
      <w:r w:rsidRPr="00842E73">
        <w:rPr>
          <w:rFonts w:cs="Times New Roman"/>
          <w:szCs w:val="24"/>
        </w:rPr>
        <w:t xml:space="preserve"> </w:t>
      </w:r>
    </w:p>
    <w:p w:rsidR="00934B94" w:rsidRPr="00842E73" w:rsidP="00934B94" w14:paraId="2866C81B" w14:textId="3CE89652">
      <w:pPr>
        <w:spacing w:line="480" w:lineRule="auto"/>
        <w:ind w:firstLine="720"/>
        <w:rPr>
          <w:rFonts w:cs="Times New Roman"/>
          <w:szCs w:val="24"/>
        </w:rPr>
      </w:pPr>
      <w:r w:rsidRPr="00842E73">
        <w:rPr>
          <w:rFonts w:cs="Times New Roman"/>
          <w:szCs w:val="24"/>
        </w:rPr>
        <w:t xml:space="preserve">All of </w:t>
      </w:r>
      <w:r w:rsidRPr="00842E73" w:rsidR="00674713">
        <w:rPr>
          <w:rFonts w:cs="Times New Roman"/>
          <w:szCs w:val="24"/>
        </w:rPr>
        <w:t xml:space="preserve">the foregoing </w:t>
      </w:r>
      <w:r w:rsidRPr="00842E73">
        <w:rPr>
          <w:rFonts w:cs="Times New Roman"/>
          <w:szCs w:val="24"/>
        </w:rPr>
        <w:t>could be related to Rider AMI</w:t>
      </w:r>
      <w:r w:rsidRPr="00842E73" w:rsidR="00902C49">
        <w:rPr>
          <w:rFonts w:cs="Times New Roman"/>
          <w:szCs w:val="24"/>
        </w:rPr>
        <w:t>, which was initially approved to recover costs related to FirstEnergy</w:t>
      </w:r>
      <w:r w:rsidR="00842E73">
        <w:rPr>
          <w:rFonts w:cs="Times New Roman"/>
          <w:szCs w:val="24"/>
        </w:rPr>
        <w:t>’</w:t>
      </w:r>
      <w:r w:rsidRPr="00842E73" w:rsidR="00902C49">
        <w:rPr>
          <w:rFonts w:cs="Times New Roman"/>
          <w:szCs w:val="24"/>
        </w:rPr>
        <w:t>s smart grid initiative in the same case that created Rider DCR (Case No. 10-388-EL-SSO)</w:t>
      </w:r>
      <w:r w:rsidRPr="00842E73" w:rsidR="00C0385E">
        <w:rPr>
          <w:rFonts w:cs="Times New Roman"/>
          <w:szCs w:val="24"/>
        </w:rPr>
        <w:t xml:space="preserve"> </w:t>
      </w:r>
      <w:r w:rsidRPr="00842E73" w:rsidR="00CA2CD3">
        <w:rPr>
          <w:rFonts w:cs="Times New Roman"/>
          <w:szCs w:val="24"/>
        </w:rPr>
        <w:t>and</w:t>
      </w:r>
      <w:r w:rsidRPr="00842E73" w:rsidR="00902C49">
        <w:rPr>
          <w:rFonts w:cs="Times New Roman"/>
          <w:szCs w:val="24"/>
        </w:rPr>
        <w:t xml:space="preserve"> Grid Modernization costs as part of ESP IV, and </w:t>
      </w:r>
      <w:r w:rsidRPr="00842E73" w:rsidR="00CA2CD3">
        <w:rPr>
          <w:rFonts w:cs="Times New Roman"/>
          <w:szCs w:val="24"/>
        </w:rPr>
        <w:t xml:space="preserve">which </w:t>
      </w:r>
      <w:r w:rsidRPr="00842E73" w:rsidR="00902C49">
        <w:rPr>
          <w:rFonts w:cs="Times New Roman"/>
          <w:szCs w:val="24"/>
        </w:rPr>
        <w:t xml:space="preserve">was approved by </w:t>
      </w:r>
      <w:r w:rsidRPr="00842E73" w:rsidR="00DC28B7">
        <w:rPr>
          <w:rFonts w:cs="Times New Roman"/>
          <w:szCs w:val="24"/>
        </w:rPr>
        <w:t>former Chair</w:t>
      </w:r>
      <w:r w:rsidRPr="00842E73" w:rsidR="00902C49">
        <w:rPr>
          <w:rFonts w:cs="Times New Roman"/>
          <w:szCs w:val="24"/>
        </w:rPr>
        <w:t xml:space="preserve"> Randazzo himself to be used to recover $516 million from customers for Grid Mod I costs</w:t>
      </w:r>
      <w:r w:rsidRPr="00842E73">
        <w:rPr>
          <w:rFonts w:cs="Times New Roman"/>
          <w:szCs w:val="24"/>
        </w:rPr>
        <w:t xml:space="preserve">. The PUCO should investigate and allow the parties to investigate exactly how all of </w:t>
      </w:r>
      <w:r w:rsidRPr="00842E73" w:rsidR="00642E64">
        <w:rPr>
          <w:rFonts w:cs="Times New Roman"/>
          <w:szCs w:val="24"/>
        </w:rPr>
        <w:t xml:space="preserve">the above </w:t>
      </w:r>
      <w:r w:rsidRPr="00842E73">
        <w:rPr>
          <w:rFonts w:cs="Times New Roman"/>
          <w:szCs w:val="24"/>
        </w:rPr>
        <w:t xml:space="preserve">findings impact Rider AMI before approving, </w:t>
      </w:r>
      <w:r w:rsidRPr="00842E73" w:rsidR="00CA2CD3">
        <w:rPr>
          <w:rFonts w:cs="Times New Roman"/>
          <w:szCs w:val="24"/>
        </w:rPr>
        <w:t>modifying</w:t>
      </w:r>
      <w:r w:rsidRPr="00842E73">
        <w:rPr>
          <w:rFonts w:cs="Times New Roman"/>
          <w:szCs w:val="24"/>
        </w:rPr>
        <w:t>, and/or increasing charges collected from consumers under Rider AMI</w:t>
      </w:r>
      <w:r w:rsidRPr="00842E73" w:rsidR="00CA2CD3">
        <w:rPr>
          <w:rFonts w:cs="Times New Roman"/>
          <w:szCs w:val="24"/>
        </w:rPr>
        <w:t xml:space="preserve"> for Grid Mod II</w:t>
      </w:r>
      <w:r w:rsidRPr="00842E73">
        <w:rPr>
          <w:rFonts w:cs="Times New Roman"/>
          <w:szCs w:val="24"/>
        </w:rPr>
        <w:t>.</w:t>
      </w:r>
    </w:p>
    <w:p w:rsidR="00934B94" w:rsidRPr="00842E73" w:rsidP="00934B94" w14:paraId="0A1789D4" w14:textId="4DEDABD7">
      <w:pPr>
        <w:pStyle w:val="Heading2"/>
      </w:pPr>
      <w:bookmarkStart w:id="9" w:name="_Toc147415800"/>
      <w:bookmarkStart w:id="10" w:name="_Toc151468347"/>
      <w:bookmarkStart w:id="11" w:name="_Toc152767821"/>
      <w:bookmarkStart w:id="12" w:name="_Toc156829294"/>
      <w:r w:rsidRPr="00842E73">
        <w:rPr>
          <w:rStyle w:val="Heading2Char"/>
          <w:b/>
          <w:bCs/>
        </w:rPr>
        <w:t>B.</w:t>
      </w:r>
      <w:r w:rsidRPr="00842E73">
        <w:rPr>
          <w:rStyle w:val="Heading2Char"/>
          <w:b/>
          <w:bCs/>
        </w:rPr>
        <w:tab/>
      </w:r>
      <w:bookmarkEnd w:id="9"/>
      <w:bookmarkEnd w:id="10"/>
      <w:r w:rsidRPr="00842E73">
        <w:rPr>
          <w:rStyle w:val="Heading2Char"/>
          <w:b/>
          <w:bCs/>
        </w:rPr>
        <w:t>Staying FirstEnergy</w:t>
      </w:r>
      <w:r w:rsidR="00842E73">
        <w:rPr>
          <w:rStyle w:val="Heading2Char"/>
          <w:b/>
          <w:bCs/>
        </w:rPr>
        <w:t>’</w:t>
      </w:r>
      <w:r w:rsidRPr="00842E73">
        <w:rPr>
          <w:rStyle w:val="Heading2Char"/>
          <w:b/>
          <w:bCs/>
        </w:rPr>
        <w:t>s Grid Mod II (funded through Rider AMI) would be just and reasonable and consistent with the PUCO</w:t>
      </w:r>
      <w:r w:rsidR="00842E73">
        <w:rPr>
          <w:rStyle w:val="Heading2Char"/>
          <w:b/>
          <w:bCs/>
        </w:rPr>
        <w:t>’</w:t>
      </w:r>
      <w:r w:rsidRPr="00842E73">
        <w:rPr>
          <w:rStyle w:val="Heading2Char"/>
          <w:b/>
          <w:bCs/>
        </w:rPr>
        <w:t>s six-part stay standard.</w:t>
      </w:r>
      <w:bookmarkEnd w:id="11"/>
      <w:bookmarkEnd w:id="12"/>
      <w:r w:rsidRPr="00842E73">
        <w:rPr>
          <w:rStyle w:val="Heading2Char"/>
          <w:b/>
          <w:bCs/>
        </w:rPr>
        <w:t xml:space="preserve"> </w:t>
      </w:r>
    </w:p>
    <w:p w:rsidR="00934B94" w:rsidRPr="00842E73" w:rsidP="00934B94" w14:paraId="440F5192" w14:textId="09F2BEE6">
      <w:pPr>
        <w:kinsoku w:val="0"/>
        <w:overflowPunct w:val="0"/>
        <w:autoSpaceDE w:val="0"/>
        <w:autoSpaceDN w:val="0"/>
        <w:adjustRightInd w:val="0"/>
        <w:spacing w:line="480" w:lineRule="auto"/>
        <w:ind w:firstLine="720"/>
        <w:rPr>
          <w:rFonts w:cs="Times New Roman"/>
          <w:szCs w:val="24"/>
        </w:rPr>
      </w:pPr>
      <w:r w:rsidRPr="00842E73">
        <w:rPr>
          <w:rFonts w:cs="Times New Roman"/>
          <w:szCs w:val="24"/>
        </w:rPr>
        <w:t>It would be unfair for the PUCO to consider FirstEnergy</w:t>
      </w:r>
      <w:r w:rsidR="00842E73">
        <w:rPr>
          <w:rFonts w:cs="Times New Roman"/>
          <w:szCs w:val="24"/>
        </w:rPr>
        <w:t>’</w:t>
      </w:r>
      <w:r w:rsidRPr="00842E73">
        <w:rPr>
          <w:rFonts w:cs="Times New Roman"/>
          <w:szCs w:val="24"/>
        </w:rPr>
        <w:t>s application for Grid Mod II (funded through Rider AMI) under the present circumstances and consider increasing those charges to consumers. The fair approach would be to stay this case until FirstEnergy</w:t>
      </w:r>
      <w:r w:rsidR="00842E73">
        <w:rPr>
          <w:rFonts w:cs="Times New Roman"/>
          <w:szCs w:val="24"/>
        </w:rPr>
        <w:t>’</w:t>
      </w:r>
      <w:r w:rsidRPr="00842E73">
        <w:rPr>
          <w:rFonts w:cs="Times New Roman"/>
          <w:szCs w:val="24"/>
        </w:rPr>
        <w:t>s distribution rate case and the H.B. 6 investigations are concluded. This would be consistent with the PUCO</w:t>
      </w:r>
      <w:r w:rsidR="00842E73">
        <w:rPr>
          <w:rFonts w:cs="Times New Roman"/>
          <w:szCs w:val="24"/>
        </w:rPr>
        <w:t>’</w:t>
      </w:r>
      <w:r w:rsidRPr="00842E73">
        <w:rPr>
          <w:rFonts w:cs="Times New Roman"/>
          <w:szCs w:val="24"/>
        </w:rPr>
        <w:t>s Stay Entry in the H.B. 6 investigation cases.</w:t>
      </w:r>
    </w:p>
    <w:p w:rsidR="00DE285B" w:rsidRPr="00842E73" w:rsidP="00934B94" w14:paraId="1AB939CA" w14:textId="47437E22">
      <w:pPr>
        <w:kinsoku w:val="0"/>
        <w:overflowPunct w:val="0"/>
        <w:autoSpaceDE w:val="0"/>
        <w:autoSpaceDN w:val="0"/>
        <w:adjustRightInd w:val="0"/>
        <w:spacing w:line="480" w:lineRule="auto"/>
        <w:ind w:firstLine="720"/>
        <w:rPr>
          <w:rFonts w:cs="Times New Roman"/>
          <w:szCs w:val="24"/>
        </w:rPr>
      </w:pPr>
      <w:r w:rsidRPr="00842E73">
        <w:rPr>
          <w:rFonts w:cs="Times New Roman"/>
          <w:szCs w:val="24"/>
        </w:rPr>
        <w:t xml:space="preserve">When the PUCO issued its initial Stay Entry in the H.B. 6 cases, the PUCO relied on </w:t>
      </w:r>
      <w:r w:rsidRPr="00842E73">
        <w:rPr>
          <w:rFonts w:cs="Times New Roman"/>
          <w:i/>
          <w:iCs/>
          <w:szCs w:val="24"/>
        </w:rPr>
        <w:t>F.T.C. v. E.M.A. Nationwide, Inc</w:t>
      </w:r>
      <w:r w:rsidRPr="00842E73">
        <w:rPr>
          <w:rFonts w:cs="Times New Roman"/>
          <w:szCs w:val="24"/>
        </w:rPr>
        <w:t>.</w:t>
      </w:r>
      <w:r>
        <w:rPr>
          <w:rStyle w:val="FootnoteReference"/>
          <w:rFonts w:cs="Times New Roman"/>
          <w:szCs w:val="24"/>
        </w:rPr>
        <w:footnoteReference w:id="42"/>
      </w:r>
      <w:r w:rsidRPr="00842E73">
        <w:rPr>
          <w:rFonts w:cs="Times New Roman"/>
          <w:szCs w:val="24"/>
        </w:rPr>
        <w:t xml:space="preserve"> and related cases, which use a balancing test to decide whether a civil case should be stayed due to a related criminal proceeding.</w:t>
      </w:r>
      <w:r>
        <w:rPr>
          <w:rStyle w:val="FootnoteReference"/>
          <w:rFonts w:cs="Times New Roman"/>
          <w:szCs w:val="24"/>
        </w:rPr>
        <w:footnoteReference w:id="43"/>
      </w:r>
      <w:r w:rsidRPr="00842E73">
        <w:rPr>
          <w:rFonts w:cs="Times New Roman"/>
          <w:szCs w:val="24"/>
        </w:rPr>
        <w:t xml:space="preserve"> Consistent with its orders assessing the U.S. Attorney</w:t>
      </w:r>
      <w:r w:rsidR="00842E73">
        <w:rPr>
          <w:rFonts w:cs="Times New Roman"/>
          <w:szCs w:val="24"/>
        </w:rPr>
        <w:t>’</w:t>
      </w:r>
      <w:r w:rsidRPr="00842E73">
        <w:rPr>
          <w:rFonts w:cs="Times New Roman"/>
          <w:szCs w:val="24"/>
        </w:rPr>
        <w:t>s request for a stay in those cases, the PUCO should apply the six-part balancing test here. When this test is properly applied to the present case, it is clear that the consideration</w:t>
      </w:r>
      <w:r w:rsidRPr="00842E73" w:rsidR="00642E64">
        <w:rPr>
          <w:rFonts w:cs="Times New Roman"/>
          <w:szCs w:val="24"/>
        </w:rPr>
        <w:t xml:space="preserve"> and potential approval</w:t>
      </w:r>
      <w:r w:rsidRPr="00842E73">
        <w:rPr>
          <w:rFonts w:cs="Times New Roman"/>
          <w:szCs w:val="24"/>
        </w:rPr>
        <w:t xml:space="preserve"> of FirstEnergy</w:t>
      </w:r>
      <w:r w:rsidR="00842E73">
        <w:rPr>
          <w:rFonts w:cs="Times New Roman"/>
          <w:szCs w:val="24"/>
        </w:rPr>
        <w:t>’</w:t>
      </w:r>
      <w:r w:rsidRPr="00842E73">
        <w:rPr>
          <w:rFonts w:cs="Times New Roman"/>
          <w:szCs w:val="24"/>
        </w:rPr>
        <w:t>s Grid Mod II application should be stayed until FirstEnergy</w:t>
      </w:r>
      <w:r w:rsidR="00842E73">
        <w:rPr>
          <w:rFonts w:cs="Times New Roman"/>
          <w:szCs w:val="24"/>
        </w:rPr>
        <w:t>’</w:t>
      </w:r>
      <w:r w:rsidRPr="00842E73">
        <w:rPr>
          <w:rFonts w:cs="Times New Roman"/>
          <w:szCs w:val="24"/>
        </w:rPr>
        <w:t>s next distribution rate case and after the H.B. 6 cases are resolved and former Chair Randazzo</w:t>
      </w:r>
      <w:r w:rsidR="00842E73">
        <w:rPr>
          <w:rFonts w:cs="Times New Roman"/>
          <w:szCs w:val="24"/>
        </w:rPr>
        <w:t>’</w:t>
      </w:r>
      <w:r w:rsidRPr="00842E73">
        <w:rPr>
          <w:rFonts w:cs="Times New Roman"/>
          <w:szCs w:val="24"/>
        </w:rPr>
        <w:t>s indictment runs its course. The following analysis shows how this balancing test should be applied to this case.</w:t>
      </w:r>
    </w:p>
    <w:p w:rsidR="00DE285B" w:rsidRPr="00842E73" w14:paraId="2161D073" w14:textId="77777777">
      <w:pPr>
        <w:spacing w:after="200" w:line="276" w:lineRule="auto"/>
        <w:rPr>
          <w:rFonts w:cs="Times New Roman"/>
          <w:szCs w:val="24"/>
        </w:rPr>
      </w:pPr>
      <w:r w:rsidRPr="00842E73">
        <w:rPr>
          <w:rFonts w:cs="Times New Roman"/>
          <w:szCs w:val="24"/>
        </w:rPr>
        <w:br w:type="page"/>
      </w:r>
    </w:p>
    <w:p w:rsidR="00934B94" w:rsidRPr="00842E73" w:rsidP="002E0D83" w14:paraId="4EEAB580" w14:textId="77777777">
      <w:pPr>
        <w:pStyle w:val="Heading3"/>
      </w:pPr>
      <w:bookmarkStart w:id="13" w:name="_Toc151468348"/>
      <w:bookmarkStart w:id="14" w:name="_Toc152767822"/>
      <w:bookmarkStart w:id="15" w:name="_Toc156829295"/>
      <w:r w:rsidRPr="00842E73">
        <w:t>1.</w:t>
      </w:r>
      <w:r w:rsidRPr="00842E73">
        <w:tab/>
        <w:t>There are overlapping issues that exist making a stay reasonable.</w:t>
      </w:r>
      <w:bookmarkEnd w:id="13"/>
      <w:bookmarkEnd w:id="14"/>
      <w:bookmarkEnd w:id="15"/>
    </w:p>
    <w:p w:rsidR="00934B94" w:rsidRPr="00842E73" w:rsidP="00934B94" w14:paraId="1D41D568" w14:textId="65831638">
      <w:pPr>
        <w:kinsoku w:val="0"/>
        <w:overflowPunct w:val="0"/>
        <w:autoSpaceDE w:val="0"/>
        <w:autoSpaceDN w:val="0"/>
        <w:adjustRightInd w:val="0"/>
        <w:spacing w:line="480" w:lineRule="auto"/>
        <w:ind w:firstLine="720"/>
        <w:rPr>
          <w:rFonts w:cs="Times New Roman"/>
          <w:szCs w:val="24"/>
        </w:rPr>
      </w:pPr>
      <w:r w:rsidRPr="00842E73">
        <w:rPr>
          <w:rFonts w:cs="Times New Roman"/>
          <w:szCs w:val="24"/>
        </w:rPr>
        <w:t>The first factor in the PUCO</w:t>
      </w:r>
      <w:r w:rsidR="00842E73">
        <w:rPr>
          <w:rFonts w:cs="Times New Roman"/>
          <w:szCs w:val="24"/>
        </w:rPr>
        <w:t>’</w:t>
      </w:r>
      <w:r w:rsidRPr="00842E73">
        <w:rPr>
          <w:rFonts w:cs="Times New Roman"/>
          <w:szCs w:val="24"/>
        </w:rPr>
        <w:t>s balancing test is whether there is any overlap of the issues between the criminal case and the PUCO case.</w:t>
      </w:r>
      <w:r>
        <w:rPr>
          <w:rStyle w:val="FootnoteReference"/>
          <w:rFonts w:cs="Times New Roman"/>
          <w:szCs w:val="24"/>
        </w:rPr>
        <w:footnoteReference w:id="44"/>
      </w:r>
      <w:r w:rsidRPr="00842E73">
        <w:rPr>
          <w:rFonts w:cs="Times New Roman"/>
          <w:szCs w:val="24"/>
        </w:rPr>
        <w:t xml:space="preserve"> The PUCO concluded that this factor weighed in favor of a stay in the H.B. 6 investigation cases due to </w:t>
      </w:r>
      <w:r w:rsidR="00842E73">
        <w:rPr>
          <w:rFonts w:cs="Times New Roman"/>
          <w:szCs w:val="24"/>
        </w:rPr>
        <w:t>“</w:t>
      </w:r>
      <w:r w:rsidRPr="00842E73">
        <w:rPr>
          <w:rFonts w:cs="Times New Roman"/>
          <w:szCs w:val="24"/>
        </w:rPr>
        <w:t>the similarities between the legal issues and subject matter such as the charges, fact issues, witnesses, and evidence.</w:t>
      </w:r>
      <w:r w:rsidR="00842E73">
        <w:rPr>
          <w:rFonts w:cs="Times New Roman"/>
          <w:szCs w:val="24"/>
        </w:rPr>
        <w:t>”</w:t>
      </w:r>
      <w:r>
        <w:rPr>
          <w:rStyle w:val="FootnoteReference"/>
          <w:rFonts w:cs="Times New Roman"/>
          <w:szCs w:val="24"/>
        </w:rPr>
        <w:footnoteReference w:id="45"/>
      </w:r>
      <w:r w:rsidRPr="00842E73">
        <w:rPr>
          <w:rFonts w:cs="Times New Roman"/>
          <w:szCs w:val="24"/>
        </w:rPr>
        <w:t xml:space="preserve"> This factor also weighs in favor of a stay here due to the similarities of the legal issues and subject matter. </w:t>
      </w:r>
    </w:p>
    <w:p w:rsidR="00517EA7" w:rsidRPr="00842E73" w:rsidP="00FA0215" w14:paraId="5B1AB4FB" w14:textId="1EA98BB9">
      <w:pPr>
        <w:kinsoku w:val="0"/>
        <w:overflowPunct w:val="0"/>
        <w:autoSpaceDE w:val="0"/>
        <w:autoSpaceDN w:val="0"/>
        <w:adjustRightInd w:val="0"/>
        <w:spacing w:line="480" w:lineRule="auto"/>
        <w:ind w:firstLine="720"/>
        <w:rPr>
          <w:rFonts w:cs="Times New Roman"/>
          <w:szCs w:val="24"/>
        </w:rPr>
      </w:pPr>
      <w:r w:rsidRPr="00842E73">
        <w:rPr>
          <w:rFonts w:cs="Times New Roman"/>
          <w:szCs w:val="24"/>
        </w:rPr>
        <w:t>In FirstEnergy</w:t>
      </w:r>
      <w:r w:rsidR="00842E73">
        <w:rPr>
          <w:rFonts w:cs="Times New Roman"/>
          <w:szCs w:val="24"/>
        </w:rPr>
        <w:t>’</w:t>
      </w:r>
      <w:r w:rsidRPr="00842E73">
        <w:rPr>
          <w:rFonts w:cs="Times New Roman"/>
          <w:szCs w:val="24"/>
        </w:rPr>
        <w:t xml:space="preserve">s ESP IV, as part of the settlement, FirstEnergy agreed that, if the PUCO approved its </w:t>
      </w:r>
      <w:r w:rsidRPr="00842E73" w:rsidR="00642E64">
        <w:rPr>
          <w:rFonts w:cs="Times New Roman"/>
          <w:szCs w:val="24"/>
        </w:rPr>
        <w:t xml:space="preserve">grid modernization business </w:t>
      </w:r>
      <w:r w:rsidRPr="00842E73">
        <w:rPr>
          <w:rFonts w:cs="Times New Roman"/>
          <w:szCs w:val="24"/>
        </w:rPr>
        <w:t>plan, it would collect charges from consumers through a single-issue ratemaking charge</w:t>
      </w:r>
      <w:r w:rsidRPr="00842E73" w:rsidR="00642E64">
        <w:rPr>
          <w:rFonts w:cs="Times New Roman"/>
          <w:szCs w:val="24"/>
        </w:rPr>
        <w:t>—Rider AMI</w:t>
      </w:r>
      <w:r w:rsidRPr="00842E73">
        <w:rPr>
          <w:rFonts w:cs="Times New Roman"/>
          <w:szCs w:val="24"/>
        </w:rPr>
        <w:t>.</w:t>
      </w:r>
      <w:r>
        <w:rPr>
          <w:rStyle w:val="FootnoteReference"/>
          <w:rFonts w:cs="Times New Roman"/>
          <w:szCs w:val="24"/>
        </w:rPr>
        <w:footnoteReference w:id="46"/>
      </w:r>
      <w:r w:rsidRPr="00842E73">
        <w:rPr>
          <w:rFonts w:cs="Times New Roman"/>
          <w:szCs w:val="24"/>
        </w:rPr>
        <w:t xml:space="preserve"> The PUCO, under the direction of former Chair Randazzo, later approved a </w:t>
      </w:r>
      <w:r w:rsidRPr="00842E73" w:rsidR="009F7622">
        <w:rPr>
          <w:rFonts w:cs="Times New Roman"/>
          <w:szCs w:val="24"/>
        </w:rPr>
        <w:t xml:space="preserve">$516 million </w:t>
      </w:r>
      <w:r w:rsidRPr="00842E73">
        <w:rPr>
          <w:rFonts w:cs="Times New Roman"/>
          <w:szCs w:val="24"/>
        </w:rPr>
        <w:t xml:space="preserve">grid modernization charge to consumers when it resolved </w:t>
      </w:r>
      <w:r w:rsidRPr="00842E73" w:rsidR="00642E64">
        <w:rPr>
          <w:rFonts w:cs="Times New Roman"/>
          <w:szCs w:val="24"/>
        </w:rPr>
        <w:t xml:space="preserve">four seemingly unrelated, yet inexplicably consolidated, cases, one of which was </w:t>
      </w:r>
      <w:r w:rsidRPr="00842E73">
        <w:rPr>
          <w:rFonts w:cs="Times New Roman"/>
          <w:szCs w:val="24"/>
        </w:rPr>
        <w:t>a tax savings case.</w:t>
      </w:r>
      <w:r>
        <w:rPr>
          <w:rStyle w:val="FootnoteReference"/>
          <w:rFonts w:cs="Times New Roman"/>
          <w:szCs w:val="24"/>
        </w:rPr>
        <w:footnoteReference w:id="47"/>
      </w:r>
      <w:r w:rsidRPr="00842E73">
        <w:rPr>
          <w:rFonts w:cs="Times New Roman"/>
          <w:szCs w:val="24"/>
        </w:rPr>
        <w:t xml:space="preserve"> </w:t>
      </w:r>
      <w:r w:rsidRPr="00842E73" w:rsidR="00642E64">
        <w:rPr>
          <w:rFonts w:cs="Times New Roman"/>
          <w:szCs w:val="24"/>
        </w:rPr>
        <w:t xml:space="preserve">Portions of </w:t>
      </w:r>
      <w:r w:rsidRPr="00842E73">
        <w:rPr>
          <w:rFonts w:cs="Times New Roman"/>
          <w:szCs w:val="24"/>
        </w:rPr>
        <w:t>FirstEnergy</w:t>
      </w:r>
      <w:r w:rsidR="00842E73">
        <w:rPr>
          <w:rFonts w:cs="Times New Roman"/>
          <w:szCs w:val="24"/>
        </w:rPr>
        <w:t>’</w:t>
      </w:r>
      <w:r w:rsidRPr="00842E73">
        <w:rPr>
          <w:rFonts w:cs="Times New Roman"/>
          <w:szCs w:val="24"/>
        </w:rPr>
        <w:t xml:space="preserve">s ESP IV </w:t>
      </w:r>
      <w:r w:rsidRPr="00842E73" w:rsidR="00642E64">
        <w:rPr>
          <w:rFonts w:cs="Times New Roman"/>
          <w:szCs w:val="24"/>
        </w:rPr>
        <w:t xml:space="preserve">are </w:t>
      </w:r>
      <w:r w:rsidRPr="00842E73">
        <w:rPr>
          <w:rFonts w:cs="Times New Roman"/>
          <w:szCs w:val="24"/>
        </w:rPr>
        <w:t>presently under investigation, through Case No. 20-1629-EL-RDR, where the PUCO</w:t>
      </w:r>
      <w:r w:rsidRPr="00842E73" w:rsidR="00642E64">
        <w:rPr>
          <w:rFonts w:cs="Times New Roman"/>
          <w:szCs w:val="24"/>
        </w:rPr>
        <w:t xml:space="preserve"> instructed the auditor to identify capital expenditures recovered through Rider AMI so that they could be excluded from Rider DCR.</w:t>
      </w:r>
      <w:r>
        <w:rPr>
          <w:rStyle w:val="FootnoteReference"/>
          <w:rFonts w:cs="Times New Roman"/>
          <w:szCs w:val="24"/>
        </w:rPr>
        <w:footnoteReference w:id="48"/>
      </w:r>
      <w:r w:rsidRPr="00842E73">
        <w:rPr>
          <w:rFonts w:cs="Times New Roman"/>
          <w:szCs w:val="24"/>
        </w:rPr>
        <w:t xml:space="preserve"> </w:t>
      </w:r>
      <w:r w:rsidRPr="00842E73" w:rsidR="00642E64">
        <w:rPr>
          <w:rFonts w:cs="Times New Roman"/>
          <w:szCs w:val="24"/>
        </w:rPr>
        <w:t xml:space="preserve">Recently, the PUCO </w:t>
      </w:r>
      <w:r w:rsidRPr="00842E73">
        <w:rPr>
          <w:rFonts w:cs="Times New Roman"/>
          <w:szCs w:val="24"/>
        </w:rPr>
        <w:t>expanded the audit scope to include an investigation of whether FirstEnergy violated R.C. 4928.145</w:t>
      </w:r>
      <w:r w:rsidRPr="00842E73" w:rsidR="00642E64">
        <w:rPr>
          <w:rFonts w:cs="Times New Roman"/>
          <w:szCs w:val="24"/>
        </w:rPr>
        <w:t>, which governs FirstEnergy</w:t>
      </w:r>
      <w:r w:rsidR="00842E73">
        <w:rPr>
          <w:rFonts w:cs="Times New Roman"/>
          <w:szCs w:val="24"/>
        </w:rPr>
        <w:t>’</w:t>
      </w:r>
      <w:r w:rsidRPr="00842E73" w:rsidR="00642E64">
        <w:rPr>
          <w:rFonts w:cs="Times New Roman"/>
          <w:szCs w:val="24"/>
        </w:rPr>
        <w:t xml:space="preserve">s obligation to disclose </w:t>
      </w:r>
      <w:r w:rsidR="00842E73">
        <w:rPr>
          <w:rFonts w:cs="Times New Roman"/>
          <w:szCs w:val="24"/>
        </w:rPr>
        <w:t>“</w:t>
      </w:r>
      <w:r w:rsidRPr="00842E73" w:rsidR="00642E64">
        <w:rPr>
          <w:rFonts w:cs="Times New Roman"/>
          <w:szCs w:val="24"/>
        </w:rPr>
        <w:t>side agreements</w:t>
      </w:r>
      <w:r w:rsidRPr="00842E73">
        <w:rPr>
          <w:rFonts w:cs="Times New Roman"/>
          <w:szCs w:val="24"/>
        </w:rPr>
        <w:t>.</w:t>
      </w:r>
      <w:r w:rsidR="00842E73">
        <w:rPr>
          <w:rFonts w:cs="Times New Roman"/>
          <w:szCs w:val="24"/>
        </w:rPr>
        <w:t>”</w:t>
      </w:r>
      <w:r>
        <w:rPr>
          <w:rStyle w:val="FootnoteReference"/>
          <w:rFonts w:cs="Times New Roman"/>
          <w:szCs w:val="24"/>
        </w:rPr>
        <w:footnoteReference w:id="49"/>
      </w:r>
      <w:r w:rsidRPr="00842E73">
        <w:rPr>
          <w:rFonts w:cs="Times New Roman"/>
          <w:szCs w:val="24"/>
        </w:rPr>
        <w:t xml:space="preserve"> </w:t>
      </w:r>
    </w:p>
    <w:p w:rsidR="00934B94" w:rsidRPr="00842E73" w:rsidP="00FA0215" w14:paraId="25527595" w14:textId="20F79218">
      <w:pPr>
        <w:kinsoku w:val="0"/>
        <w:overflowPunct w:val="0"/>
        <w:autoSpaceDE w:val="0"/>
        <w:autoSpaceDN w:val="0"/>
        <w:adjustRightInd w:val="0"/>
        <w:spacing w:line="480" w:lineRule="auto"/>
        <w:ind w:firstLine="720"/>
        <w:rPr>
          <w:rFonts w:cs="Times New Roman"/>
          <w:szCs w:val="24"/>
        </w:rPr>
      </w:pPr>
      <w:r w:rsidRPr="00842E73">
        <w:rPr>
          <w:rFonts w:cs="Times New Roman"/>
          <w:szCs w:val="24"/>
        </w:rPr>
        <w:t>In Case No. 20-1629-EL-RDR, the Auditor found cost misallocations related to H.B. 6</w:t>
      </w:r>
      <w:r w:rsidRPr="00842E73" w:rsidR="00642E64">
        <w:rPr>
          <w:rFonts w:cs="Times New Roman"/>
          <w:szCs w:val="24"/>
        </w:rPr>
        <w:t>, which could be related to Rider AMI</w:t>
      </w:r>
      <w:r w:rsidRPr="00842E73">
        <w:rPr>
          <w:rFonts w:cs="Times New Roman"/>
          <w:szCs w:val="24"/>
        </w:rPr>
        <w:t>.</w:t>
      </w:r>
      <w:r>
        <w:rPr>
          <w:rStyle w:val="FootnoteReference"/>
          <w:rFonts w:cs="Times New Roman"/>
          <w:szCs w:val="24"/>
        </w:rPr>
        <w:footnoteReference w:id="50"/>
      </w:r>
      <w:r w:rsidRPr="00842E73">
        <w:rPr>
          <w:rFonts w:cs="Times New Roman"/>
          <w:szCs w:val="24"/>
        </w:rPr>
        <w:t xml:space="preserve"> These cost allocation issues also permeate the corporate separation investigation</w:t>
      </w:r>
      <w:r>
        <w:rPr>
          <w:rStyle w:val="FootnoteReference"/>
          <w:rFonts w:cs="Times New Roman"/>
          <w:szCs w:val="24"/>
        </w:rPr>
        <w:footnoteReference w:id="51"/>
      </w:r>
      <w:r w:rsidRPr="00842E73">
        <w:rPr>
          <w:rFonts w:cs="Times New Roman"/>
          <w:szCs w:val="24"/>
        </w:rPr>
        <w:t xml:space="preserve"> and the political and charitable spending</w:t>
      </w:r>
      <w:r>
        <w:rPr>
          <w:rStyle w:val="FootnoteReference"/>
          <w:rFonts w:cs="Times New Roman"/>
          <w:szCs w:val="24"/>
        </w:rPr>
        <w:footnoteReference w:id="52"/>
      </w:r>
      <w:r w:rsidRPr="00842E73">
        <w:rPr>
          <w:rFonts w:cs="Times New Roman"/>
          <w:szCs w:val="24"/>
        </w:rPr>
        <w:t xml:space="preserve"> investigation. </w:t>
      </w:r>
      <w:r w:rsidRPr="00842E73" w:rsidR="00642E64">
        <w:rPr>
          <w:rFonts w:cs="Times New Roman"/>
          <w:szCs w:val="24"/>
        </w:rPr>
        <w:t xml:space="preserve">While we </w:t>
      </w:r>
      <w:r w:rsidRPr="00842E73">
        <w:rPr>
          <w:rFonts w:cs="Times New Roman"/>
          <w:szCs w:val="24"/>
        </w:rPr>
        <w:t xml:space="preserve">still </w:t>
      </w:r>
      <w:r w:rsidRPr="00842E73" w:rsidR="00642E64">
        <w:rPr>
          <w:rFonts w:cs="Times New Roman"/>
          <w:szCs w:val="24"/>
        </w:rPr>
        <w:t xml:space="preserve">do not </w:t>
      </w:r>
      <w:r w:rsidRPr="00842E73">
        <w:rPr>
          <w:rFonts w:cs="Times New Roman"/>
          <w:szCs w:val="24"/>
        </w:rPr>
        <w:t>know</w:t>
      </w:r>
      <w:r w:rsidRPr="00842E73" w:rsidR="00642E64">
        <w:rPr>
          <w:rFonts w:cs="Times New Roman"/>
          <w:szCs w:val="24"/>
        </w:rPr>
        <w:t xml:space="preserve"> for certain</w:t>
      </w:r>
      <w:r w:rsidRPr="00842E73">
        <w:rPr>
          <w:rFonts w:cs="Times New Roman"/>
          <w:szCs w:val="24"/>
        </w:rPr>
        <w:t xml:space="preserve"> whether any improper rulings impacted the approval of FirstEnergy</w:t>
      </w:r>
      <w:r w:rsidR="00842E73">
        <w:rPr>
          <w:rFonts w:cs="Times New Roman"/>
          <w:szCs w:val="24"/>
        </w:rPr>
        <w:t>’</w:t>
      </w:r>
      <w:r w:rsidRPr="00842E73">
        <w:rPr>
          <w:rFonts w:cs="Times New Roman"/>
          <w:szCs w:val="24"/>
        </w:rPr>
        <w:t>s Grid Mod program (including collection from consumers of costs through Rider AMI)</w:t>
      </w:r>
      <w:r w:rsidRPr="00842E73" w:rsidR="00642E64">
        <w:rPr>
          <w:rFonts w:cs="Times New Roman"/>
          <w:szCs w:val="24"/>
        </w:rPr>
        <w:t xml:space="preserve">, we </w:t>
      </w:r>
      <w:r w:rsidRPr="00842E73" w:rsidR="00642E64">
        <w:rPr>
          <w:rFonts w:cs="Times New Roman"/>
          <w:i/>
          <w:iCs/>
          <w:szCs w:val="24"/>
        </w:rPr>
        <w:t xml:space="preserve">do </w:t>
      </w:r>
      <w:r w:rsidRPr="00842E73" w:rsidR="00642E64">
        <w:rPr>
          <w:rFonts w:cs="Times New Roman"/>
          <w:szCs w:val="24"/>
        </w:rPr>
        <w:t xml:space="preserve">know that the program was approved by </w:t>
      </w:r>
      <w:r w:rsidRPr="00842E73" w:rsidR="00DC28B7">
        <w:rPr>
          <w:rFonts w:cs="Times New Roman"/>
          <w:szCs w:val="24"/>
        </w:rPr>
        <w:t>former Chair</w:t>
      </w:r>
      <w:r w:rsidRPr="00842E73" w:rsidR="00642E64">
        <w:rPr>
          <w:rFonts w:cs="Times New Roman"/>
          <w:szCs w:val="24"/>
        </w:rPr>
        <w:t xml:space="preserve"> Randazzo mere months after he was installed at the PUCO for the purpose of </w:t>
      </w:r>
      <w:r w:rsidR="00842E73">
        <w:rPr>
          <w:rFonts w:cs="Times New Roman"/>
          <w:szCs w:val="24"/>
        </w:rPr>
        <w:t>“</w:t>
      </w:r>
      <w:r w:rsidRPr="00842E73" w:rsidR="00642E64">
        <w:rPr>
          <w:rFonts w:cs="Times New Roman"/>
          <w:szCs w:val="24"/>
        </w:rPr>
        <w:t>performing official action in his capacity as PUCO Chairman to further FirstEnergy Corp.</w:t>
      </w:r>
      <w:r w:rsidR="00842E73">
        <w:rPr>
          <w:rFonts w:cs="Times New Roman"/>
          <w:szCs w:val="24"/>
        </w:rPr>
        <w:t>’</w:t>
      </w:r>
      <w:r w:rsidRPr="00842E73" w:rsidR="00642E64">
        <w:rPr>
          <w:rFonts w:cs="Times New Roman"/>
          <w:szCs w:val="24"/>
        </w:rPr>
        <w:t>s interests relating to . . . regulatory priorities, as requested and as opportunities arose</w:t>
      </w:r>
      <w:r w:rsidRPr="00842E73">
        <w:rPr>
          <w:rFonts w:cs="Times New Roman"/>
          <w:szCs w:val="24"/>
        </w:rPr>
        <w:t>.</w:t>
      </w:r>
      <w:r w:rsidR="00842E73">
        <w:rPr>
          <w:rFonts w:cs="Times New Roman"/>
          <w:szCs w:val="24"/>
        </w:rPr>
        <w:t>”</w:t>
      </w:r>
      <w:r>
        <w:rPr>
          <w:rStyle w:val="FootnoteReference"/>
          <w:rFonts w:cs="Times New Roman"/>
          <w:szCs w:val="24"/>
        </w:rPr>
        <w:footnoteReference w:id="53"/>
      </w:r>
      <w:r w:rsidRPr="00842E73">
        <w:rPr>
          <w:rFonts w:cs="Times New Roman"/>
          <w:szCs w:val="24"/>
        </w:rPr>
        <w:t xml:space="preserve"> The PUCO could find based on the evidence developed in the investigation cases that </w:t>
      </w:r>
      <w:r w:rsidRPr="00842E73" w:rsidR="00642E64">
        <w:rPr>
          <w:rFonts w:cs="Times New Roman"/>
          <w:szCs w:val="24"/>
        </w:rPr>
        <w:t>H.B.</w:t>
      </w:r>
      <w:r w:rsidRPr="00842E73">
        <w:rPr>
          <w:rFonts w:cs="Times New Roman"/>
          <w:szCs w:val="24"/>
        </w:rPr>
        <w:t xml:space="preserve"> 6 costs include costs that have been capitalized and charged to consumers through numerous riders, including Rider AMI.</w:t>
      </w:r>
    </w:p>
    <w:p w:rsidR="00934B94" w:rsidRPr="00842E73" w:rsidP="00BE1E6F" w14:paraId="24932DA3" w14:textId="1C436327">
      <w:pPr>
        <w:kinsoku w:val="0"/>
        <w:overflowPunct w:val="0"/>
        <w:autoSpaceDE w:val="0"/>
        <w:autoSpaceDN w:val="0"/>
        <w:adjustRightInd w:val="0"/>
        <w:spacing w:line="480" w:lineRule="auto"/>
        <w:ind w:firstLine="720"/>
        <w:rPr>
          <w:rFonts w:cs="Times New Roman"/>
          <w:szCs w:val="24"/>
        </w:rPr>
      </w:pPr>
      <w:r w:rsidRPr="00842E73">
        <w:rPr>
          <w:rFonts w:cs="Times New Roman"/>
          <w:szCs w:val="24"/>
        </w:rPr>
        <w:t>As part of the stay, the PUCO would defer ruling on FirstEnergy</w:t>
      </w:r>
      <w:r w:rsidR="00842E73">
        <w:rPr>
          <w:rFonts w:cs="Times New Roman"/>
          <w:szCs w:val="24"/>
        </w:rPr>
        <w:t>’</w:t>
      </w:r>
      <w:r w:rsidRPr="00842E73">
        <w:rPr>
          <w:rFonts w:cs="Times New Roman"/>
          <w:szCs w:val="24"/>
        </w:rPr>
        <w:t>s Grid Mod II application and address the distribution revenue requirements as part of FirstEnergy</w:t>
      </w:r>
      <w:r w:rsidR="00842E73">
        <w:rPr>
          <w:rFonts w:cs="Times New Roman"/>
          <w:szCs w:val="24"/>
        </w:rPr>
        <w:t>’</w:t>
      </w:r>
      <w:r w:rsidRPr="00842E73">
        <w:rPr>
          <w:rFonts w:cs="Times New Roman"/>
          <w:szCs w:val="24"/>
        </w:rPr>
        <w:t xml:space="preserve">s upcoming base rate case to be filed in May 2024. The PUCO Staff testimony already suggests that Rider AMI be reset </w:t>
      </w:r>
      <w:r w:rsidRPr="00842E73" w:rsidR="00E55F42">
        <w:rPr>
          <w:rFonts w:cs="Times New Roman"/>
          <w:szCs w:val="24"/>
        </w:rPr>
        <w:t>in a future</w:t>
      </w:r>
      <w:r w:rsidRPr="00842E73">
        <w:rPr>
          <w:rFonts w:cs="Times New Roman"/>
          <w:szCs w:val="24"/>
        </w:rPr>
        <w:t xml:space="preserve"> base rate case.</w:t>
      </w:r>
      <w:r>
        <w:rPr>
          <w:rStyle w:val="FootnoteReference"/>
          <w:rFonts w:cs="Times New Roman"/>
          <w:szCs w:val="24"/>
        </w:rPr>
        <w:footnoteReference w:id="54"/>
      </w:r>
      <w:r w:rsidRPr="00842E73">
        <w:rPr>
          <w:rFonts w:cs="Times New Roman"/>
          <w:szCs w:val="24"/>
        </w:rPr>
        <w:t xml:space="preserve"> </w:t>
      </w:r>
    </w:p>
    <w:p w:rsidR="00934B94" w:rsidRPr="00842E73" w:rsidP="002E0D83" w14:paraId="3D4A8E99" w14:textId="77777777">
      <w:pPr>
        <w:pStyle w:val="Heading3"/>
      </w:pPr>
      <w:bookmarkStart w:id="16" w:name="_Toc151468349"/>
      <w:bookmarkStart w:id="17" w:name="_Toc152767823"/>
      <w:bookmarkStart w:id="18" w:name="_Toc156829296"/>
      <w:r w:rsidRPr="00842E73">
        <w:t>2.</w:t>
      </w:r>
      <w:r w:rsidRPr="00842E73">
        <w:tab/>
        <w:t>The status of the criminal proceeding weighs in favor of this case.</w:t>
      </w:r>
      <w:bookmarkEnd w:id="16"/>
      <w:bookmarkEnd w:id="17"/>
      <w:bookmarkEnd w:id="18"/>
    </w:p>
    <w:p w:rsidR="00934B94" w:rsidRPr="00842E73" w:rsidP="00934B94" w14:paraId="704D48E3" w14:textId="63C2230D">
      <w:pPr>
        <w:kinsoku w:val="0"/>
        <w:overflowPunct w:val="0"/>
        <w:autoSpaceDE w:val="0"/>
        <w:autoSpaceDN w:val="0"/>
        <w:adjustRightInd w:val="0"/>
        <w:spacing w:line="480" w:lineRule="auto"/>
        <w:ind w:firstLine="720"/>
        <w:rPr>
          <w:rFonts w:cs="Times New Roman"/>
          <w:szCs w:val="24"/>
        </w:rPr>
      </w:pPr>
      <w:r w:rsidRPr="00842E73">
        <w:rPr>
          <w:rFonts w:cs="Times New Roman"/>
          <w:szCs w:val="24"/>
        </w:rPr>
        <w:t>The second factor is the status of the criminal proceeding.</w:t>
      </w:r>
      <w:r>
        <w:rPr>
          <w:rStyle w:val="FootnoteReference"/>
          <w:rFonts w:cs="Times New Roman"/>
          <w:szCs w:val="24"/>
        </w:rPr>
        <w:footnoteReference w:id="55"/>
      </w:r>
      <w:r w:rsidRPr="00842E73">
        <w:rPr>
          <w:rFonts w:cs="Times New Roman"/>
          <w:szCs w:val="24"/>
          <w:vertAlign w:val="superscript"/>
        </w:rPr>
        <w:t xml:space="preserve"> </w:t>
      </w:r>
      <w:r w:rsidRPr="00842E73">
        <w:rPr>
          <w:rFonts w:cs="Times New Roman"/>
          <w:szCs w:val="24"/>
        </w:rPr>
        <w:t>The PUCO concluded that the U.S. Attorney</w:t>
      </w:r>
      <w:r w:rsidR="00842E73">
        <w:rPr>
          <w:rFonts w:cs="Times New Roman"/>
          <w:szCs w:val="24"/>
        </w:rPr>
        <w:t>’</w:t>
      </w:r>
      <w:r w:rsidRPr="00842E73">
        <w:rPr>
          <w:rFonts w:cs="Times New Roman"/>
          <w:szCs w:val="24"/>
        </w:rPr>
        <w:t>s ongoing investigation into the H.B. 6 scandal is sufficient to satisfy this second factor.</w:t>
      </w:r>
      <w:r>
        <w:rPr>
          <w:rStyle w:val="FootnoteReference"/>
          <w:rFonts w:cs="Times New Roman"/>
          <w:szCs w:val="24"/>
        </w:rPr>
        <w:footnoteReference w:id="56"/>
      </w:r>
      <w:r w:rsidRPr="00842E73">
        <w:rPr>
          <w:rFonts w:cs="Times New Roman"/>
          <w:szCs w:val="24"/>
        </w:rPr>
        <w:t xml:space="preserve"> Now, we have learned of a new criminal proceeding that may relate to </w:t>
      </w:r>
      <w:r w:rsidRPr="00842E73" w:rsidR="004F5973">
        <w:rPr>
          <w:rFonts w:cs="Times New Roman"/>
          <w:szCs w:val="24"/>
        </w:rPr>
        <w:t>Grid Mod</w:t>
      </w:r>
      <w:r w:rsidRPr="00842E73" w:rsidR="00642E64">
        <w:rPr>
          <w:rFonts w:cs="Times New Roman"/>
          <w:szCs w:val="24"/>
        </w:rPr>
        <w:t xml:space="preserve"> II</w:t>
      </w:r>
      <w:r w:rsidRPr="00842E73" w:rsidR="004F5973">
        <w:rPr>
          <w:rFonts w:cs="Times New Roman"/>
          <w:szCs w:val="24"/>
        </w:rPr>
        <w:t xml:space="preserve"> and </w:t>
      </w:r>
      <w:r w:rsidRPr="00842E73">
        <w:rPr>
          <w:rFonts w:cs="Times New Roman"/>
          <w:szCs w:val="24"/>
        </w:rPr>
        <w:t xml:space="preserve">Rider AMI. Therefore, this factor also weighs in favor of a stay of this case. Most recently, former Chair Randazzo was indicted on eleven counts, including bribery and violation of federal and state laws pertaining to his involvement with FirstEnergy. That indictment needs to proceed to its logical end before picking back up on </w:t>
      </w:r>
      <w:r w:rsidRPr="00842E73" w:rsidR="004F5973">
        <w:rPr>
          <w:rFonts w:cs="Times New Roman"/>
          <w:szCs w:val="24"/>
        </w:rPr>
        <w:t xml:space="preserve">Grid Mod II and </w:t>
      </w:r>
      <w:r w:rsidRPr="00842E73">
        <w:rPr>
          <w:rFonts w:cs="Times New Roman"/>
          <w:szCs w:val="24"/>
        </w:rPr>
        <w:t>Rider AMI, which may have played a part in the alleged corrupt bribery scheme. In fact, the case for a stay here is even stronger because the U.S. Attorney</w:t>
      </w:r>
      <w:r w:rsidR="00842E73">
        <w:rPr>
          <w:rFonts w:cs="Times New Roman"/>
          <w:szCs w:val="24"/>
        </w:rPr>
        <w:t>’</w:t>
      </w:r>
      <w:r w:rsidRPr="00842E73">
        <w:rPr>
          <w:rFonts w:cs="Times New Roman"/>
          <w:szCs w:val="24"/>
        </w:rPr>
        <w:t xml:space="preserve">s recent indictment of </w:t>
      </w:r>
      <w:r w:rsidRPr="00842E73" w:rsidR="00517EA7">
        <w:rPr>
          <w:rFonts w:cs="Times New Roman"/>
          <w:szCs w:val="24"/>
        </w:rPr>
        <w:t>former Chair</w:t>
      </w:r>
      <w:r w:rsidRPr="00842E73">
        <w:rPr>
          <w:rFonts w:cs="Times New Roman"/>
          <w:szCs w:val="24"/>
        </w:rPr>
        <w:t xml:space="preserve"> Randazzo</w:t>
      </w:r>
      <w:r>
        <w:rPr>
          <w:rStyle w:val="FootnoteReference"/>
          <w:rFonts w:cs="Times New Roman"/>
          <w:szCs w:val="24"/>
        </w:rPr>
        <w:footnoteReference w:id="57"/>
      </w:r>
      <w:r w:rsidRPr="00842E73">
        <w:rPr>
          <w:rFonts w:cs="Times New Roman"/>
          <w:szCs w:val="24"/>
        </w:rPr>
        <w:t xml:space="preserve"> is an open criminal case.</w:t>
      </w:r>
    </w:p>
    <w:p w:rsidR="00934B94" w:rsidRPr="00842E73" w:rsidP="002E0D83" w14:paraId="5FF22D57" w14:textId="77777777">
      <w:pPr>
        <w:pStyle w:val="Heading3"/>
      </w:pPr>
      <w:bookmarkStart w:id="19" w:name="_Toc151468350"/>
      <w:bookmarkStart w:id="20" w:name="_Toc152767824"/>
      <w:bookmarkStart w:id="21" w:name="_Toc156829297"/>
      <w:r w:rsidRPr="00842E73">
        <w:t>3.</w:t>
      </w:r>
      <w:r w:rsidRPr="00842E73">
        <w:tab/>
        <w:t>The interests of the PUCO (and the courts) weigh in favor of staying this case.</w:t>
      </w:r>
      <w:bookmarkEnd w:id="19"/>
      <w:bookmarkEnd w:id="20"/>
      <w:bookmarkEnd w:id="21"/>
    </w:p>
    <w:p w:rsidR="00F32A8F" w:rsidRPr="00842E73" w:rsidP="009B6CC3" w14:paraId="0291184F" w14:textId="4754A3C1">
      <w:pPr>
        <w:kinsoku w:val="0"/>
        <w:overflowPunct w:val="0"/>
        <w:autoSpaceDE w:val="0"/>
        <w:autoSpaceDN w:val="0"/>
        <w:adjustRightInd w:val="0"/>
        <w:spacing w:line="480" w:lineRule="auto"/>
        <w:ind w:firstLine="720"/>
        <w:rPr>
          <w:rFonts w:cs="Times New Roman"/>
          <w:szCs w:val="24"/>
        </w:rPr>
      </w:pPr>
      <w:r w:rsidRPr="00842E73">
        <w:rPr>
          <w:rFonts w:cs="Times New Roman"/>
          <w:szCs w:val="24"/>
        </w:rPr>
        <w:t>Other factors address whether the stay is in the interests of the courts and the PUCO.</w:t>
      </w:r>
      <w:r>
        <w:rPr>
          <w:rStyle w:val="FootnoteReference"/>
          <w:rFonts w:cs="Times New Roman"/>
          <w:szCs w:val="24"/>
        </w:rPr>
        <w:footnoteReference w:id="58"/>
      </w:r>
      <w:r w:rsidRPr="00842E73">
        <w:rPr>
          <w:rFonts w:cs="Times New Roman"/>
          <w:szCs w:val="24"/>
        </w:rPr>
        <w:t xml:space="preserve"> The PUCO concluded that these factors weighed in favor of staying the </w:t>
      </w:r>
      <w:r w:rsidRPr="00842E73" w:rsidR="00642E64">
        <w:rPr>
          <w:rFonts w:cs="Times New Roman"/>
          <w:szCs w:val="24"/>
        </w:rPr>
        <w:t>H.B. 6</w:t>
      </w:r>
      <w:r w:rsidRPr="00842E73">
        <w:rPr>
          <w:rFonts w:cs="Times New Roman"/>
          <w:szCs w:val="24"/>
        </w:rPr>
        <w:t xml:space="preserve"> cases to avoid the risk of interfering with the federal criminal investigation.</w:t>
      </w:r>
      <w:r>
        <w:rPr>
          <w:rStyle w:val="FootnoteReference"/>
          <w:rFonts w:cs="Times New Roman"/>
          <w:szCs w:val="24"/>
        </w:rPr>
        <w:footnoteReference w:id="59"/>
      </w:r>
      <w:r w:rsidRPr="00842E73">
        <w:rPr>
          <w:rFonts w:cs="Times New Roman"/>
          <w:szCs w:val="24"/>
        </w:rPr>
        <w:t xml:space="preserve"> </w:t>
      </w:r>
      <w:r w:rsidR="00A25DE8">
        <w:rPr>
          <w:rFonts w:cs="Times New Roman"/>
          <w:szCs w:val="24"/>
        </w:rPr>
        <w:t>A complete and fair adjudication of Rider AMI and FirstEnergy’s Grid Modernization business plan could involve</w:t>
      </w:r>
      <w:r w:rsidR="00530098">
        <w:rPr>
          <w:rFonts w:cs="Times New Roman"/>
          <w:szCs w:val="24"/>
        </w:rPr>
        <w:t xml:space="preserve"> </w:t>
      </w:r>
      <w:r w:rsidRPr="00842E73" w:rsidR="00CA2CD3">
        <w:rPr>
          <w:rFonts w:cs="Times New Roman"/>
          <w:szCs w:val="24"/>
        </w:rPr>
        <w:t>FirstEnergy</w:t>
      </w:r>
      <w:r w:rsidR="00A25DE8">
        <w:rPr>
          <w:rFonts w:cs="Times New Roman"/>
          <w:szCs w:val="24"/>
        </w:rPr>
        <w:t>’s</w:t>
      </w:r>
      <w:r w:rsidRPr="00842E73" w:rsidR="00CA2CD3">
        <w:rPr>
          <w:rFonts w:cs="Times New Roman"/>
          <w:szCs w:val="24"/>
        </w:rPr>
        <w:t xml:space="preserve"> </w:t>
      </w:r>
      <w:r w:rsidRPr="00842E73">
        <w:rPr>
          <w:rFonts w:cs="Times New Roman"/>
          <w:szCs w:val="24"/>
        </w:rPr>
        <w:t>payments</w:t>
      </w:r>
      <w:r w:rsidRPr="00842E73" w:rsidR="00CA2CD3">
        <w:rPr>
          <w:rFonts w:cs="Times New Roman"/>
          <w:szCs w:val="24"/>
        </w:rPr>
        <w:t xml:space="preserve"> to </w:t>
      </w:r>
      <w:r w:rsidRPr="00842E73" w:rsidR="00517EA7">
        <w:rPr>
          <w:rFonts w:cs="Times New Roman"/>
          <w:szCs w:val="24"/>
        </w:rPr>
        <w:t xml:space="preserve">former Chair </w:t>
      </w:r>
      <w:r w:rsidRPr="00842E73" w:rsidR="00CA2CD3">
        <w:rPr>
          <w:rFonts w:cs="Times New Roman"/>
          <w:szCs w:val="24"/>
        </w:rPr>
        <w:t>Randazzo</w:t>
      </w:r>
      <w:r w:rsidR="00A25DE8">
        <w:rPr>
          <w:rFonts w:cs="Times New Roman"/>
          <w:szCs w:val="24"/>
        </w:rPr>
        <w:t>.</w:t>
      </w:r>
      <w:r w:rsidR="00530098">
        <w:rPr>
          <w:rFonts w:cs="Times New Roman"/>
          <w:szCs w:val="24"/>
        </w:rPr>
        <w:t xml:space="preserve"> </w:t>
      </w:r>
      <w:r w:rsidR="00A25DE8">
        <w:rPr>
          <w:rFonts w:cs="Times New Roman"/>
          <w:szCs w:val="24"/>
        </w:rPr>
        <w:t>These payments could</w:t>
      </w:r>
      <w:r w:rsidRPr="00842E73">
        <w:rPr>
          <w:rFonts w:cs="Times New Roman"/>
          <w:szCs w:val="24"/>
        </w:rPr>
        <w:t xml:space="preserve"> </w:t>
      </w:r>
      <w:r w:rsidR="00A25DE8">
        <w:rPr>
          <w:rFonts w:cs="Times New Roman"/>
          <w:szCs w:val="24"/>
        </w:rPr>
        <w:t>be included in</w:t>
      </w:r>
      <w:r w:rsidRPr="00842E73">
        <w:rPr>
          <w:rFonts w:cs="Times New Roman"/>
          <w:szCs w:val="24"/>
        </w:rPr>
        <w:t xml:space="preserve"> the costs that consumers </w:t>
      </w:r>
      <w:r w:rsidRPr="00842E73" w:rsidR="00CA2CD3">
        <w:rPr>
          <w:rFonts w:cs="Times New Roman"/>
          <w:szCs w:val="24"/>
        </w:rPr>
        <w:t xml:space="preserve">paid and will </w:t>
      </w:r>
      <w:r w:rsidRPr="00842E73">
        <w:rPr>
          <w:rFonts w:cs="Times New Roman"/>
          <w:szCs w:val="24"/>
        </w:rPr>
        <w:t>pay under Rider AMI</w:t>
      </w:r>
      <w:r w:rsidR="00D0372C">
        <w:rPr>
          <w:rFonts w:cs="Times New Roman"/>
          <w:szCs w:val="24"/>
        </w:rPr>
        <w:t>.</w:t>
      </w:r>
      <w:r w:rsidRPr="00842E73">
        <w:rPr>
          <w:rFonts w:cs="Times New Roman"/>
          <w:szCs w:val="24"/>
        </w:rPr>
        <w:t xml:space="preserve"> </w:t>
      </w:r>
      <w:r w:rsidR="00A25DE8">
        <w:rPr>
          <w:rFonts w:cs="Times New Roman"/>
          <w:szCs w:val="24"/>
        </w:rPr>
        <w:t xml:space="preserve">If so, </w:t>
      </w:r>
      <w:r w:rsidRPr="00842E73">
        <w:rPr>
          <w:rFonts w:cs="Times New Roman"/>
          <w:szCs w:val="24"/>
        </w:rPr>
        <w:t>then this would also run the risk of interfering with the federal criminal investigations</w:t>
      </w:r>
      <w:r w:rsidRPr="00842E73" w:rsidR="002618B5">
        <w:rPr>
          <w:rFonts w:cs="Times New Roman"/>
          <w:szCs w:val="24"/>
        </w:rPr>
        <w:t>. This is because of the</w:t>
      </w:r>
      <w:r w:rsidRPr="00842E73">
        <w:rPr>
          <w:rFonts w:cs="Times New Roman"/>
          <w:szCs w:val="24"/>
        </w:rPr>
        <w:t xml:space="preserve"> cost misallocation issues, which are common to both proceedings, and common witnesses/subjects of the investigation to both proceedings. Again, with the indictment of former Chair Randazzo, there is an even stronger reason to stay the PUCO</w:t>
      </w:r>
      <w:r w:rsidR="00842E73">
        <w:rPr>
          <w:rFonts w:cs="Times New Roman"/>
          <w:szCs w:val="24"/>
        </w:rPr>
        <w:t>’</w:t>
      </w:r>
      <w:r w:rsidRPr="00842E73">
        <w:rPr>
          <w:rFonts w:cs="Times New Roman"/>
          <w:szCs w:val="24"/>
        </w:rPr>
        <w:t xml:space="preserve">s consideration of Rider AMI-funded Grid Mod II. This factor therefore also weighs in favor of staying this case. As noted above, the case for a stay is even stronger here due to the pending criminal case against </w:t>
      </w:r>
      <w:r w:rsidRPr="00842E73" w:rsidR="00517EA7">
        <w:rPr>
          <w:rFonts w:cs="Times New Roman"/>
          <w:szCs w:val="24"/>
        </w:rPr>
        <w:t xml:space="preserve">former Chair </w:t>
      </w:r>
      <w:r w:rsidRPr="00842E73">
        <w:rPr>
          <w:rFonts w:cs="Times New Roman"/>
          <w:szCs w:val="24"/>
        </w:rPr>
        <w:t>Randazzo.</w:t>
      </w:r>
    </w:p>
    <w:p w:rsidR="00934B94" w:rsidRPr="00842E73" w:rsidP="002E0D83" w14:paraId="01029728" w14:textId="77777777">
      <w:pPr>
        <w:pStyle w:val="Heading3"/>
      </w:pPr>
      <w:bookmarkStart w:id="22" w:name="_Toc151468351"/>
      <w:bookmarkStart w:id="23" w:name="_Toc152767825"/>
      <w:bookmarkStart w:id="24" w:name="_Toc156829298"/>
      <w:r w:rsidRPr="00842E73">
        <w:t>4.</w:t>
      </w:r>
      <w:r w:rsidRPr="00842E73">
        <w:tab/>
        <w:t>The public interest weighs in favor of staying this case.</w:t>
      </w:r>
      <w:bookmarkEnd w:id="22"/>
      <w:bookmarkEnd w:id="23"/>
      <w:bookmarkEnd w:id="24"/>
    </w:p>
    <w:p w:rsidR="003C3936" w:rsidP="003166D0" w14:paraId="138B25A1" w14:textId="0796546D">
      <w:pPr>
        <w:kinsoku w:val="0"/>
        <w:overflowPunct w:val="0"/>
        <w:autoSpaceDE w:val="0"/>
        <w:autoSpaceDN w:val="0"/>
        <w:adjustRightInd w:val="0"/>
        <w:spacing w:line="480" w:lineRule="auto"/>
        <w:ind w:firstLine="720"/>
        <w:rPr>
          <w:rFonts w:cs="Times New Roman"/>
          <w:szCs w:val="24"/>
        </w:rPr>
      </w:pPr>
      <w:r w:rsidRPr="00842E73">
        <w:rPr>
          <w:rFonts w:cs="Times New Roman"/>
          <w:szCs w:val="24"/>
        </w:rPr>
        <w:t>The PUCO should also consider whether the stay is in the public interest.</w:t>
      </w:r>
      <w:r>
        <w:rPr>
          <w:rStyle w:val="FootnoteReference"/>
          <w:rFonts w:cs="Times New Roman"/>
          <w:szCs w:val="24"/>
        </w:rPr>
        <w:footnoteReference w:id="60"/>
      </w:r>
      <w:r w:rsidRPr="00842E73">
        <w:rPr>
          <w:rFonts w:cs="Times New Roman"/>
          <w:szCs w:val="24"/>
        </w:rPr>
        <w:t xml:space="preserve"> In the H.B. 6 cases, the PUCO viewed the public interest as broader than merely the interests of Ohio consumers and concluded that this factor weighted in favor of a stay. The PUCO stated: </w:t>
      </w:r>
      <w:r w:rsidR="00842E73">
        <w:rPr>
          <w:rFonts w:cs="Times New Roman"/>
          <w:szCs w:val="24"/>
        </w:rPr>
        <w:t>“</w:t>
      </w:r>
      <w:r w:rsidRPr="00842E73">
        <w:rPr>
          <w:rFonts w:cs="Times New Roman"/>
          <w:szCs w:val="24"/>
        </w:rPr>
        <w:t>the public interest in effective criminal prosecution generally outweighs any existing civil interests.</w:t>
      </w:r>
      <w:r w:rsidR="00842E73">
        <w:rPr>
          <w:rFonts w:cs="Times New Roman"/>
          <w:szCs w:val="24"/>
        </w:rPr>
        <w:t>”</w:t>
      </w:r>
      <w:r>
        <w:rPr>
          <w:rStyle w:val="FootnoteReference"/>
          <w:rFonts w:cs="Times New Roman"/>
          <w:szCs w:val="24"/>
        </w:rPr>
        <w:footnoteReference w:id="61"/>
      </w:r>
      <w:r w:rsidRPr="00842E73">
        <w:rPr>
          <w:rFonts w:cs="Times New Roman"/>
          <w:szCs w:val="24"/>
        </w:rPr>
        <w:t xml:space="preserve"> Applying this same broad view of the public interest, this factor weighs in favor of staying this case. In the PUCO</w:t>
      </w:r>
      <w:r w:rsidR="00842E73">
        <w:rPr>
          <w:rFonts w:cs="Times New Roman"/>
          <w:szCs w:val="24"/>
        </w:rPr>
        <w:t>’</w:t>
      </w:r>
      <w:r w:rsidRPr="00842E73">
        <w:rPr>
          <w:rFonts w:cs="Times New Roman"/>
          <w:szCs w:val="24"/>
        </w:rPr>
        <w:t>s investigations of FirstEnergy and FirstEnergy</w:t>
      </w:r>
      <w:r w:rsidR="00842E73">
        <w:rPr>
          <w:rFonts w:cs="Times New Roman"/>
          <w:szCs w:val="24"/>
        </w:rPr>
        <w:t>’</w:t>
      </w:r>
      <w:r w:rsidRPr="00842E73">
        <w:rPr>
          <w:rFonts w:cs="Times New Roman"/>
          <w:szCs w:val="24"/>
        </w:rPr>
        <w:t>s proposed Grid Mod II, the continued litigation of these cases while the criminal investigations are in progress could interfere with the criminal investigation.</w:t>
      </w:r>
    </w:p>
    <w:p w:rsidR="003C3936" w14:paraId="2D3196E4" w14:textId="77777777">
      <w:pPr>
        <w:spacing w:after="200" w:line="276" w:lineRule="auto"/>
        <w:rPr>
          <w:rFonts w:cs="Times New Roman"/>
          <w:szCs w:val="24"/>
        </w:rPr>
      </w:pPr>
      <w:r>
        <w:rPr>
          <w:rFonts w:cs="Times New Roman"/>
          <w:szCs w:val="24"/>
        </w:rPr>
        <w:br w:type="page"/>
      </w:r>
    </w:p>
    <w:p w:rsidR="00934B94" w:rsidRPr="00842E73" w:rsidP="002E0D83" w14:paraId="5C2F48EF" w14:textId="77777777">
      <w:pPr>
        <w:pStyle w:val="Heading3"/>
      </w:pPr>
      <w:bookmarkStart w:id="25" w:name="_Toc151468352"/>
      <w:bookmarkStart w:id="26" w:name="_Toc152767826"/>
      <w:bookmarkStart w:id="27" w:name="_Toc156829299"/>
      <w:r w:rsidRPr="00842E73">
        <w:t>5.</w:t>
      </w:r>
      <w:r w:rsidRPr="00842E73">
        <w:tab/>
        <w:t>The private interests of those impacted by the stay weigh in favor of staying this case.</w:t>
      </w:r>
      <w:bookmarkEnd w:id="25"/>
      <w:bookmarkEnd w:id="26"/>
      <w:bookmarkEnd w:id="27"/>
    </w:p>
    <w:p w:rsidR="00934B94" w:rsidRPr="00842E73" w:rsidP="00934B94" w14:paraId="1D0DE28D" w14:textId="338F3CF5">
      <w:pPr>
        <w:tabs>
          <w:tab w:val="right" w:pos="8640"/>
        </w:tabs>
        <w:kinsoku w:val="0"/>
        <w:overflowPunct w:val="0"/>
        <w:autoSpaceDE w:val="0"/>
        <w:autoSpaceDN w:val="0"/>
        <w:adjustRightInd w:val="0"/>
        <w:spacing w:line="480" w:lineRule="auto"/>
        <w:ind w:firstLine="720"/>
        <w:rPr>
          <w:rFonts w:cs="Times New Roman"/>
          <w:szCs w:val="24"/>
        </w:rPr>
      </w:pPr>
      <w:r w:rsidRPr="00842E73">
        <w:rPr>
          <w:rFonts w:cs="Times New Roman"/>
          <w:szCs w:val="24"/>
        </w:rPr>
        <w:t>The PUCO also considers balancing the private interests of those impacted by a stay.</w:t>
      </w:r>
      <w:r>
        <w:rPr>
          <w:rFonts w:cs="Times New Roman"/>
          <w:szCs w:val="24"/>
          <w:vertAlign w:val="superscript"/>
        </w:rPr>
        <w:footnoteReference w:id="62"/>
      </w:r>
      <w:r w:rsidRPr="00842E73">
        <w:rPr>
          <w:rFonts w:cs="Times New Roman"/>
          <w:szCs w:val="24"/>
        </w:rPr>
        <w:t xml:space="preserve"> The PUCO concluded that these factors are </w:t>
      </w:r>
      <w:r w:rsidR="00842E73">
        <w:rPr>
          <w:rFonts w:cs="Times New Roman"/>
          <w:szCs w:val="24"/>
        </w:rPr>
        <w:t>“</w:t>
      </w:r>
      <w:r w:rsidRPr="00842E73">
        <w:rPr>
          <w:rFonts w:cs="Times New Roman"/>
          <w:szCs w:val="24"/>
        </w:rPr>
        <w:t>largely neutral</w:t>
      </w:r>
      <w:r w:rsidR="00842E73">
        <w:rPr>
          <w:rFonts w:cs="Times New Roman"/>
          <w:szCs w:val="24"/>
        </w:rPr>
        <w:t>”</w:t>
      </w:r>
      <w:r w:rsidRPr="00842E73">
        <w:rPr>
          <w:rFonts w:cs="Times New Roman"/>
          <w:szCs w:val="24"/>
        </w:rPr>
        <w:t xml:space="preserve"> when evaluated separately in terms of the Department of Justice</w:t>
      </w:r>
      <w:r w:rsidR="00842E73">
        <w:rPr>
          <w:rFonts w:cs="Times New Roman"/>
          <w:szCs w:val="24"/>
        </w:rPr>
        <w:t>’</w:t>
      </w:r>
      <w:r w:rsidRPr="00842E73">
        <w:rPr>
          <w:rFonts w:cs="Times New Roman"/>
          <w:szCs w:val="24"/>
        </w:rPr>
        <w:t>s interest in the criminal investigation vs. consumers</w:t>
      </w:r>
      <w:r w:rsidR="00842E73">
        <w:rPr>
          <w:rFonts w:cs="Times New Roman"/>
          <w:szCs w:val="24"/>
        </w:rPr>
        <w:t>’</w:t>
      </w:r>
      <w:r w:rsidRPr="00842E73">
        <w:rPr>
          <w:rFonts w:cs="Times New Roman"/>
          <w:szCs w:val="24"/>
        </w:rPr>
        <w:t xml:space="preserve"> interests in fair rates.</w:t>
      </w:r>
      <w:r>
        <w:rPr>
          <w:rStyle w:val="FootnoteReference"/>
          <w:rFonts w:cs="Times New Roman"/>
          <w:szCs w:val="24"/>
        </w:rPr>
        <w:footnoteReference w:id="63"/>
      </w:r>
      <w:r w:rsidRPr="00842E73">
        <w:rPr>
          <w:rFonts w:cs="Times New Roman"/>
          <w:szCs w:val="24"/>
        </w:rPr>
        <w:t xml:space="preserve"> Unlike the H.B. 6 cases these factors are closely aligned and weigh heavily in favor of imposing a stay of this case. </w:t>
      </w:r>
    </w:p>
    <w:p w:rsidR="00934B94" w:rsidRPr="00842E73" w:rsidP="00934B94" w14:paraId="38B8FA03" w14:textId="5398FB70">
      <w:pPr>
        <w:tabs>
          <w:tab w:val="right" w:pos="8640"/>
        </w:tabs>
        <w:kinsoku w:val="0"/>
        <w:overflowPunct w:val="0"/>
        <w:autoSpaceDE w:val="0"/>
        <w:autoSpaceDN w:val="0"/>
        <w:adjustRightInd w:val="0"/>
        <w:spacing w:line="480" w:lineRule="auto"/>
        <w:ind w:firstLine="720"/>
        <w:rPr>
          <w:rFonts w:cs="Times New Roman"/>
          <w:szCs w:val="24"/>
        </w:rPr>
      </w:pPr>
      <w:r w:rsidRPr="00842E73">
        <w:rPr>
          <w:rFonts w:cs="Times New Roman"/>
          <w:szCs w:val="24"/>
        </w:rPr>
        <w:t>The private interests in the stay are essentially the interests of FirstEnergy</w:t>
      </w:r>
      <w:r w:rsidR="00842E73">
        <w:rPr>
          <w:rFonts w:cs="Times New Roman"/>
          <w:szCs w:val="24"/>
        </w:rPr>
        <w:t>’</w:t>
      </w:r>
      <w:r w:rsidRPr="00842E73">
        <w:rPr>
          <w:rFonts w:cs="Times New Roman"/>
          <w:szCs w:val="24"/>
        </w:rPr>
        <w:t>s two million consumers. Those are public interests as well.</w:t>
      </w:r>
    </w:p>
    <w:p w:rsidR="00934B94" w:rsidRPr="00842E73" w:rsidP="00934B94" w14:paraId="2B5C272C" w14:textId="3445FAC0">
      <w:pPr>
        <w:tabs>
          <w:tab w:val="right" w:pos="8640"/>
        </w:tabs>
        <w:kinsoku w:val="0"/>
        <w:overflowPunct w:val="0"/>
        <w:autoSpaceDE w:val="0"/>
        <w:autoSpaceDN w:val="0"/>
        <w:adjustRightInd w:val="0"/>
        <w:spacing w:line="480" w:lineRule="auto"/>
        <w:ind w:firstLine="720"/>
        <w:rPr>
          <w:rFonts w:cs="Times New Roman"/>
          <w:szCs w:val="24"/>
        </w:rPr>
      </w:pPr>
      <w:r w:rsidRPr="00842E73">
        <w:rPr>
          <w:rFonts w:cs="Times New Roman"/>
          <w:szCs w:val="24"/>
        </w:rPr>
        <w:t>The public</w:t>
      </w:r>
      <w:r w:rsidR="00842E73">
        <w:rPr>
          <w:rFonts w:cs="Times New Roman"/>
          <w:szCs w:val="24"/>
        </w:rPr>
        <w:t>’</w:t>
      </w:r>
      <w:r w:rsidRPr="00842E73">
        <w:rPr>
          <w:rFonts w:cs="Times New Roman"/>
          <w:szCs w:val="24"/>
        </w:rPr>
        <w:t xml:space="preserve">s interest in fair and reasonable utility charges (which would be furthered under a stay) greatly outweighs the interest in implementing increased charges on consumers under Rider AMI. </w:t>
      </w:r>
    </w:p>
    <w:p w:rsidR="00934B94" w:rsidRPr="00842E73" w:rsidP="00934B94" w14:paraId="095793E9" w14:textId="607F499D">
      <w:pPr>
        <w:tabs>
          <w:tab w:val="right" w:pos="8640"/>
        </w:tabs>
        <w:kinsoku w:val="0"/>
        <w:overflowPunct w:val="0"/>
        <w:autoSpaceDE w:val="0"/>
        <w:autoSpaceDN w:val="0"/>
        <w:adjustRightInd w:val="0"/>
        <w:spacing w:line="480" w:lineRule="auto"/>
        <w:ind w:firstLine="720"/>
        <w:rPr>
          <w:rFonts w:cs="Times New Roman"/>
          <w:szCs w:val="24"/>
        </w:rPr>
      </w:pPr>
      <w:r w:rsidRPr="00842E73">
        <w:rPr>
          <w:rFonts w:cs="Times New Roman"/>
          <w:szCs w:val="24"/>
        </w:rPr>
        <w:t>When all six factors of the PUCO</w:t>
      </w:r>
      <w:r w:rsidR="00842E73">
        <w:rPr>
          <w:rFonts w:cs="Times New Roman"/>
          <w:szCs w:val="24"/>
        </w:rPr>
        <w:t>’</w:t>
      </w:r>
      <w:r w:rsidRPr="00842E73">
        <w:rPr>
          <w:rFonts w:cs="Times New Roman"/>
          <w:szCs w:val="24"/>
        </w:rPr>
        <w:t xml:space="preserve">s balancing test are considered, the case for a stay is strong. In the interests of justice, the PUCO should grant the Motion and stay this case. </w:t>
      </w:r>
    </w:p>
    <w:p w:rsidR="00934B94" w:rsidRPr="00842E73" w:rsidP="00934B94" w14:paraId="7FD20BB6" w14:textId="77777777">
      <w:pPr>
        <w:tabs>
          <w:tab w:val="right" w:pos="8640"/>
        </w:tabs>
        <w:kinsoku w:val="0"/>
        <w:overflowPunct w:val="0"/>
        <w:autoSpaceDE w:val="0"/>
        <w:autoSpaceDN w:val="0"/>
        <w:adjustRightInd w:val="0"/>
        <w:rPr>
          <w:rFonts w:cs="Times New Roman"/>
          <w:szCs w:val="24"/>
        </w:rPr>
      </w:pPr>
    </w:p>
    <w:p w:rsidR="00934B94" w:rsidRPr="00842E73" w:rsidP="00934B94" w14:paraId="38183C8E" w14:textId="77777777">
      <w:pPr>
        <w:pStyle w:val="Heading1"/>
      </w:pPr>
      <w:bookmarkStart w:id="28" w:name="_Toc534639773"/>
      <w:bookmarkStart w:id="29" w:name="_Toc53576259"/>
      <w:bookmarkStart w:id="30" w:name="_Toc53576324"/>
      <w:bookmarkStart w:id="31" w:name="_Toc92365892"/>
      <w:bookmarkStart w:id="32" w:name="_Toc114841923"/>
      <w:bookmarkStart w:id="33" w:name="_Toc131670024"/>
      <w:bookmarkStart w:id="34" w:name="_Toc131757452"/>
      <w:bookmarkStart w:id="35" w:name="_Toc131757648"/>
      <w:bookmarkStart w:id="36" w:name="_Toc131758002"/>
      <w:bookmarkStart w:id="37" w:name="_Toc131765015"/>
      <w:bookmarkStart w:id="38" w:name="_Toc131765129"/>
      <w:bookmarkStart w:id="39" w:name="_Toc131778843"/>
      <w:bookmarkStart w:id="40" w:name="_Toc151468353"/>
      <w:bookmarkStart w:id="41" w:name="_Toc152767827"/>
      <w:bookmarkStart w:id="42" w:name="_Toc156829300"/>
      <w:r w:rsidRPr="00842E73">
        <w:t>iii.</w:t>
      </w:r>
      <w:r w:rsidRPr="00842E73">
        <w:tab/>
        <w:t>CONCLUSION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842E73">
        <w:t xml:space="preserve"> </w:t>
      </w:r>
    </w:p>
    <w:p w:rsidR="00934B94" w:rsidRPr="00842E73" w:rsidP="00251A7C" w14:paraId="3815DECB" w14:textId="6A8C6B64">
      <w:pPr>
        <w:spacing w:line="480" w:lineRule="auto"/>
        <w:ind w:firstLine="720"/>
        <w:rPr>
          <w:rFonts w:cs="Times New Roman"/>
          <w:szCs w:val="24"/>
        </w:rPr>
      </w:pPr>
      <w:r w:rsidRPr="00842E73">
        <w:rPr>
          <w:rFonts w:cs="Times New Roman"/>
          <w:szCs w:val="24"/>
        </w:rPr>
        <w:t xml:space="preserve">To protect consumers, the PUCO should stay this case </w:t>
      </w:r>
      <w:r w:rsidRPr="00842E73" w:rsidR="00CA2CD3">
        <w:rPr>
          <w:rFonts w:cs="Times New Roman"/>
          <w:szCs w:val="24"/>
        </w:rPr>
        <w:t>until the</w:t>
      </w:r>
      <w:r w:rsidRPr="00842E73">
        <w:rPr>
          <w:rFonts w:cs="Times New Roman"/>
          <w:szCs w:val="24"/>
        </w:rPr>
        <w:t xml:space="preserve"> H.B. 6 investigations are concluded. </w:t>
      </w:r>
    </w:p>
    <w:p w:rsidR="00080332" w:rsidP="00273562" w14:paraId="5414AC99" w14:textId="2C869F19">
      <w:pPr>
        <w:spacing w:line="480" w:lineRule="auto"/>
        <w:ind w:firstLine="720"/>
        <w:rPr>
          <w:rFonts w:cs="Times New Roman"/>
          <w:szCs w:val="24"/>
        </w:rPr>
      </w:pPr>
      <w:r w:rsidRPr="00842E73">
        <w:rPr>
          <w:rFonts w:cs="Times New Roman"/>
          <w:szCs w:val="24"/>
        </w:rPr>
        <w:t xml:space="preserve">With the handing down of the recent indictment of former Chair Randazzo, the need to stay the approval, </w:t>
      </w:r>
      <w:r w:rsidRPr="00842E73" w:rsidR="00CA2CD3">
        <w:rPr>
          <w:rFonts w:cs="Times New Roman"/>
          <w:szCs w:val="24"/>
        </w:rPr>
        <w:t>modification</w:t>
      </w:r>
      <w:r w:rsidRPr="00842E73">
        <w:rPr>
          <w:rFonts w:cs="Times New Roman"/>
          <w:szCs w:val="24"/>
        </w:rPr>
        <w:t>, and/or increases to FirstEnergy</w:t>
      </w:r>
      <w:r w:rsidR="00842E73">
        <w:rPr>
          <w:rFonts w:cs="Times New Roman"/>
          <w:szCs w:val="24"/>
        </w:rPr>
        <w:t>’</w:t>
      </w:r>
      <w:r w:rsidRPr="00842E73">
        <w:rPr>
          <w:rFonts w:cs="Times New Roman"/>
          <w:szCs w:val="24"/>
        </w:rPr>
        <w:t>s Rider AMI for Grid Mod II seems fair, just and reasonable to Ohioans. Before paying hundreds of millions of dollars more through Rider AMI to FirstEnergy</w:t>
      </w:r>
      <w:r w:rsidRPr="00842E73" w:rsidR="003434AE">
        <w:rPr>
          <w:rFonts w:cs="Times New Roman"/>
          <w:szCs w:val="24"/>
        </w:rPr>
        <w:t xml:space="preserve"> for a new plan</w:t>
      </w:r>
      <w:r w:rsidRPr="00842E73">
        <w:rPr>
          <w:rFonts w:cs="Times New Roman"/>
          <w:szCs w:val="24"/>
        </w:rPr>
        <w:t>, consumers have a right to know how deep the corruption runs, including potentially into FirstEnergy</w:t>
      </w:r>
      <w:r w:rsidR="00842E73">
        <w:rPr>
          <w:rFonts w:cs="Times New Roman"/>
          <w:szCs w:val="24"/>
        </w:rPr>
        <w:t>’</w:t>
      </w:r>
      <w:r w:rsidRPr="00842E73">
        <w:rPr>
          <w:rFonts w:cs="Times New Roman"/>
          <w:szCs w:val="24"/>
        </w:rPr>
        <w:t xml:space="preserve">s Grid Mod </w:t>
      </w:r>
      <w:r w:rsidRPr="00842E73" w:rsidR="003434AE">
        <w:rPr>
          <w:rFonts w:cs="Times New Roman"/>
          <w:szCs w:val="24"/>
        </w:rPr>
        <w:t xml:space="preserve">I, which is the foundation for Grid Mod </w:t>
      </w:r>
      <w:r w:rsidRPr="00842E73">
        <w:rPr>
          <w:rFonts w:cs="Times New Roman"/>
          <w:szCs w:val="24"/>
        </w:rPr>
        <w:t>II. That corruption potentially involves FirstEnergy and its relationship with former Chair Randazzo, who has been indicted by a federal grand jury for allegedly accepting millions of dollars in bribes from FirstEnergy</w:t>
      </w:r>
      <w:r w:rsidRPr="00842E73" w:rsidR="009364AF">
        <w:rPr>
          <w:rFonts w:cs="Times New Roman"/>
          <w:szCs w:val="24"/>
        </w:rPr>
        <w:t xml:space="preserve"> to act in its favor</w:t>
      </w:r>
      <w:r w:rsidRPr="00842E73">
        <w:rPr>
          <w:rFonts w:cs="Times New Roman"/>
          <w:szCs w:val="24"/>
        </w:rPr>
        <w:t>.</w:t>
      </w:r>
      <w:r>
        <w:rPr>
          <w:rStyle w:val="FootnoteReference"/>
          <w:rFonts w:cs="Times New Roman"/>
          <w:szCs w:val="24"/>
        </w:rPr>
        <w:footnoteReference w:id="64"/>
      </w:r>
    </w:p>
    <w:p w:rsidR="008D4BF7" w:rsidP="005801F3" w14:paraId="33A6CC58" w14:textId="20FA1793">
      <w:pPr>
        <w:spacing w:line="480" w:lineRule="auto"/>
        <w:ind w:left="4230"/>
        <w:rPr>
          <w:rFonts w:cs="Times New Roman"/>
          <w:szCs w:val="24"/>
        </w:rPr>
      </w:pPr>
      <w:r w:rsidRPr="00842E73">
        <w:rPr>
          <w:rFonts w:cs="Times New Roman"/>
          <w:szCs w:val="24"/>
        </w:rPr>
        <w:t>Respectfully submitted,</w:t>
      </w:r>
    </w:p>
    <w:p w:rsidR="008D4BF7" w:rsidRPr="00842E73" w:rsidP="005801F3" w14:paraId="6D9DB006" w14:textId="77777777">
      <w:pPr>
        <w:tabs>
          <w:tab w:val="left" w:pos="2776"/>
        </w:tabs>
        <w:ind w:left="4230" w:right="339"/>
        <w:rPr>
          <w:rFonts w:cs="Times New Roman"/>
          <w:szCs w:val="24"/>
        </w:rPr>
      </w:pPr>
      <w:r w:rsidRPr="00842E73">
        <w:rPr>
          <w:rFonts w:cs="Times New Roman"/>
          <w:szCs w:val="24"/>
        </w:rPr>
        <w:t>Maureen R. Willis (0020847)</w:t>
      </w:r>
    </w:p>
    <w:p w:rsidR="008D4BF7" w:rsidRPr="00842E73" w:rsidP="005801F3" w14:paraId="5576D914" w14:textId="77777777">
      <w:pPr>
        <w:tabs>
          <w:tab w:val="left" w:pos="2776"/>
        </w:tabs>
        <w:ind w:left="4230" w:right="339"/>
        <w:rPr>
          <w:rFonts w:cs="Times New Roman"/>
          <w:szCs w:val="24"/>
        </w:rPr>
      </w:pPr>
      <w:r w:rsidRPr="00842E73">
        <w:rPr>
          <w:rFonts w:cs="Times New Roman"/>
          <w:szCs w:val="24"/>
        </w:rPr>
        <w:t>Ohio Consumers</w:t>
      </w:r>
      <w:r>
        <w:t>’</w:t>
      </w:r>
      <w:r w:rsidRPr="00842E73">
        <w:rPr>
          <w:rFonts w:cs="Times New Roman"/>
          <w:szCs w:val="24"/>
        </w:rPr>
        <w:t xml:space="preserve"> Counsel</w:t>
      </w:r>
    </w:p>
    <w:p w:rsidR="008D4BF7" w:rsidRPr="00842E73" w:rsidP="005801F3" w14:paraId="4B72BAB1" w14:textId="77777777">
      <w:pPr>
        <w:tabs>
          <w:tab w:val="left" w:pos="2776"/>
        </w:tabs>
        <w:ind w:left="4230" w:right="339"/>
        <w:rPr>
          <w:rFonts w:cs="Times New Roman"/>
          <w:i/>
          <w:iCs/>
          <w:szCs w:val="24"/>
        </w:rPr>
      </w:pPr>
      <w:r w:rsidRPr="00842E73">
        <w:rPr>
          <w:rFonts w:cs="Times New Roman"/>
          <w:i/>
          <w:iCs/>
          <w:szCs w:val="24"/>
        </w:rPr>
        <w:t xml:space="preserve"> </w:t>
      </w:r>
    </w:p>
    <w:p w:rsidR="008D4BF7" w:rsidRPr="00842E73" w:rsidP="005801F3" w14:paraId="0B70FDC2" w14:textId="77777777">
      <w:pPr>
        <w:tabs>
          <w:tab w:val="left" w:pos="2776"/>
        </w:tabs>
        <w:ind w:left="4230" w:right="339"/>
        <w:rPr>
          <w:rFonts w:cs="Times New Roman"/>
          <w:i/>
          <w:iCs/>
          <w:szCs w:val="24"/>
          <w:u w:val="single"/>
        </w:rPr>
      </w:pPr>
      <w:r w:rsidRPr="00842E73">
        <w:rPr>
          <w:rFonts w:cs="Times New Roman"/>
          <w:i/>
          <w:iCs/>
          <w:szCs w:val="24"/>
          <w:u w:val="single"/>
        </w:rPr>
        <w:t>/s/ William J. Michael</w:t>
      </w:r>
    </w:p>
    <w:p w:rsidR="008D4BF7" w:rsidRPr="00842E73" w:rsidP="005801F3" w14:paraId="08C3ACB5" w14:textId="77777777">
      <w:pPr>
        <w:tabs>
          <w:tab w:val="left" w:pos="2776"/>
        </w:tabs>
        <w:ind w:left="4230" w:right="339"/>
        <w:rPr>
          <w:rFonts w:cs="Times New Roman"/>
          <w:szCs w:val="24"/>
        </w:rPr>
      </w:pPr>
      <w:r w:rsidRPr="00842E73">
        <w:rPr>
          <w:rFonts w:cs="Times New Roman"/>
          <w:szCs w:val="24"/>
        </w:rPr>
        <w:t>William J. Michael (0070921)</w:t>
      </w:r>
    </w:p>
    <w:p w:rsidR="008D4BF7" w:rsidRPr="00842E73" w:rsidP="005801F3" w14:paraId="55C55C31" w14:textId="77777777">
      <w:pPr>
        <w:tabs>
          <w:tab w:val="left" w:pos="2776"/>
        </w:tabs>
        <w:ind w:left="4230" w:right="339"/>
        <w:rPr>
          <w:rFonts w:cs="Times New Roman"/>
          <w:szCs w:val="24"/>
        </w:rPr>
      </w:pPr>
      <w:r w:rsidRPr="00842E73">
        <w:rPr>
          <w:rFonts w:cs="Times New Roman"/>
          <w:szCs w:val="24"/>
        </w:rPr>
        <w:t>Counsel of Record</w:t>
      </w:r>
    </w:p>
    <w:p w:rsidR="008D4BF7" w:rsidRPr="00842E73" w:rsidP="005801F3" w14:paraId="0F6EA5BC" w14:textId="77777777">
      <w:pPr>
        <w:tabs>
          <w:tab w:val="left" w:pos="2776"/>
        </w:tabs>
        <w:ind w:left="4230" w:right="339"/>
        <w:rPr>
          <w:rFonts w:cs="Times New Roman"/>
          <w:szCs w:val="24"/>
        </w:rPr>
      </w:pPr>
      <w:r w:rsidRPr="00842E73">
        <w:rPr>
          <w:rFonts w:cs="Times New Roman"/>
          <w:szCs w:val="24"/>
        </w:rPr>
        <w:t>Donald J. Kral (0042091)</w:t>
      </w:r>
    </w:p>
    <w:p w:rsidR="008D4BF7" w:rsidRPr="00842E73" w:rsidP="005801F3" w14:paraId="22D8E049" w14:textId="77777777">
      <w:pPr>
        <w:tabs>
          <w:tab w:val="left" w:pos="2776"/>
        </w:tabs>
        <w:ind w:left="4230" w:right="339"/>
        <w:rPr>
          <w:rFonts w:cs="Times New Roman"/>
          <w:szCs w:val="24"/>
        </w:rPr>
      </w:pPr>
      <w:r w:rsidRPr="00842E73">
        <w:rPr>
          <w:rFonts w:cs="Times New Roman"/>
          <w:szCs w:val="24"/>
        </w:rPr>
        <w:t>Assistant Consumers</w:t>
      </w:r>
      <w:r>
        <w:t>’</w:t>
      </w:r>
      <w:r w:rsidRPr="00842E73">
        <w:rPr>
          <w:rFonts w:cs="Times New Roman"/>
          <w:szCs w:val="24"/>
        </w:rPr>
        <w:t xml:space="preserve"> Counsel</w:t>
      </w:r>
    </w:p>
    <w:p w:rsidR="008D4BF7" w:rsidRPr="00842E73" w:rsidP="005801F3" w14:paraId="752112D4" w14:textId="77777777">
      <w:pPr>
        <w:tabs>
          <w:tab w:val="left" w:pos="2776"/>
        </w:tabs>
        <w:ind w:left="4230" w:right="339"/>
        <w:rPr>
          <w:rFonts w:cs="Times New Roman"/>
          <w:szCs w:val="24"/>
        </w:rPr>
      </w:pPr>
      <w:r w:rsidRPr="00842E73">
        <w:rPr>
          <w:rFonts w:cs="Times New Roman"/>
          <w:szCs w:val="24"/>
        </w:rPr>
        <w:tab/>
      </w:r>
    </w:p>
    <w:p w:rsidR="008D4BF7" w:rsidRPr="00842E73" w:rsidP="005801F3" w14:paraId="10DC45B5" w14:textId="77777777">
      <w:pPr>
        <w:tabs>
          <w:tab w:val="left" w:pos="2776"/>
        </w:tabs>
        <w:ind w:left="4230" w:right="339"/>
        <w:rPr>
          <w:rFonts w:cs="Times New Roman"/>
          <w:b/>
          <w:bCs/>
          <w:szCs w:val="24"/>
        </w:rPr>
      </w:pPr>
      <w:r w:rsidRPr="00842E73">
        <w:rPr>
          <w:rFonts w:cs="Times New Roman"/>
          <w:b/>
          <w:bCs/>
          <w:szCs w:val="24"/>
        </w:rPr>
        <w:t>Office of the Ohio Consumers</w:t>
      </w:r>
      <w:r>
        <w:rPr>
          <w:b/>
          <w:bCs/>
        </w:rPr>
        <w:t>’</w:t>
      </w:r>
      <w:r w:rsidRPr="00842E73">
        <w:rPr>
          <w:rFonts w:cs="Times New Roman"/>
          <w:b/>
          <w:bCs/>
          <w:szCs w:val="24"/>
        </w:rPr>
        <w:t xml:space="preserve"> Counsel</w:t>
      </w:r>
    </w:p>
    <w:p w:rsidR="008D4BF7" w:rsidRPr="00842E73" w:rsidP="005801F3" w14:paraId="6D6AD970" w14:textId="77777777">
      <w:pPr>
        <w:tabs>
          <w:tab w:val="left" w:pos="2776"/>
        </w:tabs>
        <w:ind w:left="4230" w:right="339"/>
        <w:rPr>
          <w:rFonts w:cs="Times New Roman"/>
          <w:szCs w:val="24"/>
        </w:rPr>
      </w:pPr>
      <w:r w:rsidRPr="00842E73">
        <w:rPr>
          <w:rFonts w:cs="Times New Roman"/>
          <w:szCs w:val="24"/>
        </w:rPr>
        <w:t>65 East State Street, Suite 700</w:t>
      </w:r>
    </w:p>
    <w:p w:rsidR="008D4BF7" w:rsidRPr="00842E73" w:rsidP="005801F3" w14:paraId="37248FBB" w14:textId="77777777">
      <w:pPr>
        <w:tabs>
          <w:tab w:val="left" w:pos="2776"/>
        </w:tabs>
        <w:ind w:left="4230" w:right="339"/>
        <w:rPr>
          <w:rFonts w:cs="Times New Roman"/>
          <w:szCs w:val="24"/>
        </w:rPr>
      </w:pPr>
      <w:r w:rsidRPr="00842E73">
        <w:rPr>
          <w:rFonts w:cs="Times New Roman"/>
          <w:szCs w:val="24"/>
        </w:rPr>
        <w:t>Columbus, Ohio 43215</w:t>
      </w:r>
    </w:p>
    <w:p w:rsidR="008D4BF7" w:rsidRPr="00842E73" w:rsidP="005801F3" w14:paraId="10AABE18" w14:textId="77777777">
      <w:pPr>
        <w:tabs>
          <w:tab w:val="left" w:pos="2776"/>
        </w:tabs>
        <w:ind w:left="4230" w:right="339"/>
        <w:rPr>
          <w:rFonts w:cs="Times New Roman"/>
          <w:szCs w:val="24"/>
        </w:rPr>
      </w:pPr>
      <w:r w:rsidRPr="00842E73">
        <w:rPr>
          <w:rFonts w:cs="Times New Roman"/>
          <w:szCs w:val="24"/>
        </w:rPr>
        <w:t>Telephone [Michael]: (614) 466-1291</w:t>
      </w:r>
    </w:p>
    <w:p w:rsidR="008D4BF7" w:rsidRPr="00842E73" w:rsidP="005801F3" w14:paraId="014B6B4D" w14:textId="77777777">
      <w:pPr>
        <w:tabs>
          <w:tab w:val="left" w:pos="2776"/>
        </w:tabs>
        <w:ind w:left="4230" w:right="339"/>
        <w:rPr>
          <w:rFonts w:cs="Times New Roman"/>
          <w:szCs w:val="24"/>
        </w:rPr>
      </w:pPr>
      <w:r w:rsidRPr="00842E73">
        <w:rPr>
          <w:rFonts w:cs="Times New Roman"/>
          <w:szCs w:val="24"/>
        </w:rPr>
        <w:t>Telephone: [Kral]: (614) 466-9571</w:t>
      </w:r>
    </w:p>
    <w:p w:rsidR="008D4BF7" w:rsidRPr="00842E73" w:rsidP="005801F3" w14:paraId="45600E83" w14:textId="77777777">
      <w:pPr>
        <w:tabs>
          <w:tab w:val="left" w:pos="2776"/>
        </w:tabs>
        <w:ind w:left="4230" w:right="339"/>
        <w:rPr>
          <w:rFonts w:cs="Times New Roman"/>
          <w:szCs w:val="24"/>
        </w:rPr>
      </w:pPr>
      <w:hyperlink r:id="rId6" w:history="1">
        <w:r w:rsidRPr="00842E73">
          <w:rPr>
            <w:rStyle w:val="Hyperlink"/>
            <w:rFonts w:cs="Times New Roman"/>
            <w:szCs w:val="24"/>
          </w:rPr>
          <w:t>william.michael@occ.ohio.gov</w:t>
        </w:r>
      </w:hyperlink>
    </w:p>
    <w:p w:rsidR="008D4BF7" w:rsidRPr="00842E73" w:rsidP="005801F3" w14:paraId="11199182" w14:textId="77777777">
      <w:pPr>
        <w:tabs>
          <w:tab w:val="left" w:pos="2776"/>
        </w:tabs>
        <w:ind w:left="4230" w:right="339"/>
        <w:rPr>
          <w:rFonts w:cs="Times New Roman"/>
          <w:szCs w:val="24"/>
        </w:rPr>
      </w:pPr>
      <w:hyperlink r:id="rId7" w:history="1">
        <w:r w:rsidRPr="00842E73">
          <w:rPr>
            <w:rStyle w:val="Hyperlink"/>
            <w:rFonts w:cs="Times New Roman"/>
            <w:szCs w:val="24"/>
          </w:rPr>
          <w:t>donald.kral@occ.ohio.gov</w:t>
        </w:r>
      </w:hyperlink>
    </w:p>
    <w:p w:rsidR="008D4BF7" w:rsidRPr="00842E73" w:rsidP="005801F3" w14:paraId="1CEFE5F8" w14:textId="77777777">
      <w:pPr>
        <w:tabs>
          <w:tab w:val="left" w:pos="2776"/>
        </w:tabs>
        <w:ind w:left="4230" w:right="339"/>
        <w:rPr>
          <w:rFonts w:cs="Times New Roman"/>
          <w:szCs w:val="24"/>
        </w:rPr>
      </w:pPr>
      <w:r w:rsidRPr="00842E73">
        <w:rPr>
          <w:rFonts w:cs="Times New Roman"/>
          <w:szCs w:val="24"/>
        </w:rPr>
        <w:t>(willing to accept service by e-mail)</w:t>
      </w:r>
    </w:p>
    <w:p w:rsidR="008D4BF7" w14:paraId="7577597E" w14:textId="35FE7074">
      <w:pPr>
        <w:spacing w:after="200" w:line="276" w:lineRule="auto"/>
        <w:rPr>
          <w:rFonts w:cs="Times New Roman"/>
          <w:szCs w:val="24"/>
        </w:rPr>
      </w:pPr>
      <w:r>
        <w:rPr>
          <w:rFonts w:cs="Times New Roman"/>
          <w:szCs w:val="24"/>
        </w:rPr>
        <w:br w:type="page"/>
      </w:r>
    </w:p>
    <w:p w:rsidR="00A14044" w:rsidRPr="00842E73" w:rsidP="00D853CD" w14:paraId="7EB12105" w14:textId="35ECA371">
      <w:pPr>
        <w:spacing w:line="480" w:lineRule="auto"/>
        <w:jc w:val="center"/>
        <w:rPr>
          <w:rFonts w:cs="Times New Roman"/>
          <w:b/>
          <w:bCs/>
          <w:szCs w:val="24"/>
          <w:u w:val="single"/>
        </w:rPr>
      </w:pPr>
      <w:r w:rsidRPr="00842E73">
        <w:rPr>
          <w:rFonts w:cs="Times New Roman"/>
          <w:b/>
          <w:bCs/>
          <w:szCs w:val="24"/>
          <w:u w:val="single"/>
        </w:rPr>
        <w:t>CE</w:t>
      </w:r>
      <w:r w:rsidRPr="00842E73" w:rsidR="00433AD9">
        <w:rPr>
          <w:rFonts w:cs="Times New Roman"/>
          <w:b/>
          <w:bCs/>
          <w:szCs w:val="24"/>
          <w:u w:val="single"/>
        </w:rPr>
        <w:t>RTIFICATE OF SERVICE</w:t>
      </w:r>
    </w:p>
    <w:p w:rsidR="00705919" w:rsidRPr="00842E73" w:rsidP="00D853CD" w14:paraId="15E7FB0A" w14:textId="283A7D74">
      <w:pPr>
        <w:spacing w:line="480" w:lineRule="auto"/>
        <w:rPr>
          <w:rFonts w:cs="Times New Roman"/>
          <w:szCs w:val="24"/>
        </w:rPr>
      </w:pPr>
      <w:r w:rsidRPr="00842E73">
        <w:rPr>
          <w:rFonts w:cs="Times New Roman"/>
          <w:szCs w:val="24"/>
        </w:rPr>
        <w:tab/>
        <w:t xml:space="preserve">I hereby certify that a copy of this </w:t>
      </w:r>
      <w:r w:rsidRPr="00842E73" w:rsidR="00870344">
        <w:rPr>
          <w:rFonts w:cs="Times New Roman"/>
          <w:szCs w:val="24"/>
        </w:rPr>
        <w:t xml:space="preserve">Motion for </w:t>
      </w:r>
      <w:r w:rsidRPr="00842E73" w:rsidR="00A61B61">
        <w:rPr>
          <w:rFonts w:cs="Times New Roman"/>
          <w:szCs w:val="24"/>
        </w:rPr>
        <w:t>Stay</w:t>
      </w:r>
      <w:r w:rsidRPr="00842E73" w:rsidR="00870344">
        <w:rPr>
          <w:rFonts w:cs="Times New Roman"/>
          <w:szCs w:val="24"/>
        </w:rPr>
        <w:t xml:space="preserve"> </w:t>
      </w:r>
      <w:r w:rsidRPr="00842E73">
        <w:rPr>
          <w:rFonts w:cs="Times New Roman"/>
          <w:szCs w:val="24"/>
        </w:rPr>
        <w:t>was served on the persons stated below</w:t>
      </w:r>
      <w:r w:rsidRPr="00842E73">
        <w:rPr>
          <w:rFonts w:cs="Times New Roman"/>
          <w:iCs/>
          <w:szCs w:val="24"/>
        </w:rPr>
        <w:t xml:space="preserve"> via </w:t>
      </w:r>
      <w:r w:rsidRPr="00842E73">
        <w:rPr>
          <w:rFonts w:cs="Times New Roman"/>
          <w:szCs w:val="24"/>
        </w:rPr>
        <w:t>electronic transmission, this</w:t>
      </w:r>
      <w:r w:rsidRPr="00842E73" w:rsidR="005C2022">
        <w:rPr>
          <w:rFonts w:cs="Times New Roman"/>
          <w:szCs w:val="24"/>
        </w:rPr>
        <w:t xml:space="preserve"> </w:t>
      </w:r>
      <w:r w:rsidR="00174259">
        <w:rPr>
          <w:rFonts w:cs="Times New Roman"/>
          <w:szCs w:val="24"/>
        </w:rPr>
        <w:t>22</w:t>
      </w:r>
      <w:r w:rsidRPr="00174259" w:rsidR="00174259">
        <w:rPr>
          <w:rFonts w:cs="Times New Roman"/>
          <w:szCs w:val="24"/>
          <w:vertAlign w:val="superscript"/>
        </w:rPr>
        <w:t>nd</w:t>
      </w:r>
      <w:r w:rsidR="00174259">
        <w:rPr>
          <w:rFonts w:cs="Times New Roman"/>
          <w:szCs w:val="24"/>
        </w:rPr>
        <w:t xml:space="preserve"> </w:t>
      </w:r>
      <w:r w:rsidRPr="00842E73">
        <w:rPr>
          <w:rFonts w:cs="Times New Roman"/>
          <w:szCs w:val="24"/>
        </w:rPr>
        <w:t xml:space="preserve">day of </w:t>
      </w:r>
      <w:r w:rsidRPr="00842E73" w:rsidR="00B268D2">
        <w:rPr>
          <w:rFonts w:cs="Times New Roman"/>
          <w:szCs w:val="24"/>
        </w:rPr>
        <w:t>January</w:t>
      </w:r>
      <w:r w:rsidRPr="00842E73">
        <w:rPr>
          <w:rFonts w:cs="Times New Roman"/>
          <w:szCs w:val="24"/>
        </w:rPr>
        <w:t xml:space="preserve"> 202</w:t>
      </w:r>
      <w:r w:rsidRPr="00842E73" w:rsidR="00B268D2">
        <w:rPr>
          <w:rFonts w:cs="Times New Roman"/>
          <w:szCs w:val="24"/>
        </w:rPr>
        <w:t>4</w:t>
      </w:r>
      <w:r w:rsidRPr="00842E73">
        <w:rPr>
          <w:rFonts w:cs="Times New Roman"/>
          <w:szCs w:val="24"/>
        </w:rPr>
        <w:t>.</w:t>
      </w:r>
    </w:p>
    <w:p w:rsidR="00D930A0" w:rsidRPr="00842E73" w:rsidP="00D930A0" w14:paraId="2536C968" w14:textId="77777777">
      <w:pPr>
        <w:ind w:left="4320"/>
        <w:rPr>
          <w:rFonts w:cs="Times New Roman"/>
          <w:szCs w:val="24"/>
        </w:rPr>
      </w:pPr>
      <w:r w:rsidRPr="00842E73">
        <w:rPr>
          <w:rFonts w:cs="Times New Roman"/>
          <w:i/>
          <w:szCs w:val="24"/>
          <w:u w:val="single"/>
        </w:rPr>
        <w:t>/s/ William J. Michael</w:t>
      </w:r>
    </w:p>
    <w:p w:rsidR="00D930A0" w:rsidRPr="00842E73" w:rsidP="00D930A0" w14:paraId="41D96051" w14:textId="77777777">
      <w:pPr>
        <w:tabs>
          <w:tab w:val="left" w:pos="4320"/>
        </w:tabs>
        <w:rPr>
          <w:rFonts w:cs="Times New Roman"/>
          <w:szCs w:val="24"/>
        </w:rPr>
      </w:pPr>
      <w:r w:rsidRPr="00842E73">
        <w:rPr>
          <w:rFonts w:cs="Times New Roman"/>
          <w:szCs w:val="24"/>
        </w:rPr>
        <w:tab/>
        <w:t>William J. Michael</w:t>
      </w:r>
    </w:p>
    <w:p w:rsidR="00D930A0" w:rsidRPr="00842E73" w:rsidP="00D930A0" w14:paraId="4B50CC7B" w14:textId="7DBD241C">
      <w:pPr>
        <w:tabs>
          <w:tab w:val="left" w:pos="4320"/>
        </w:tabs>
        <w:rPr>
          <w:rFonts w:cs="Times New Roman"/>
          <w:szCs w:val="24"/>
        </w:rPr>
      </w:pPr>
      <w:r w:rsidRPr="00842E73">
        <w:rPr>
          <w:rFonts w:cs="Times New Roman"/>
          <w:szCs w:val="24"/>
        </w:rPr>
        <w:tab/>
        <w:t>Assistant Consumers</w:t>
      </w:r>
      <w:r w:rsidR="00842E73">
        <w:rPr>
          <w:rFonts w:cs="Times New Roman"/>
          <w:szCs w:val="24"/>
        </w:rPr>
        <w:t>’</w:t>
      </w:r>
      <w:r w:rsidRPr="00842E73">
        <w:rPr>
          <w:rFonts w:cs="Times New Roman"/>
          <w:szCs w:val="24"/>
        </w:rPr>
        <w:t xml:space="preserve"> Counsel</w:t>
      </w:r>
    </w:p>
    <w:p w:rsidR="00271490" w:rsidRPr="00842E73" w:rsidP="00271490" w14:paraId="0B1002CF" w14:textId="77777777">
      <w:pPr>
        <w:tabs>
          <w:tab w:val="left" w:pos="4320"/>
        </w:tabs>
        <w:rPr>
          <w:rFonts w:cs="Times New Roman"/>
          <w:szCs w:val="24"/>
        </w:rPr>
      </w:pPr>
    </w:p>
    <w:p w:rsidR="00A14044" w:rsidRPr="00842E73" w:rsidP="00271490" w14:paraId="7C12A1CA" w14:textId="37265F43">
      <w:pPr>
        <w:rPr>
          <w:rFonts w:cs="Times New Roman"/>
          <w:szCs w:val="24"/>
        </w:rPr>
      </w:pPr>
      <w:r w:rsidRPr="00842E73">
        <w:rPr>
          <w:rFonts w:cs="Times New Roman"/>
          <w:szCs w:val="24"/>
        </w:rPr>
        <w:t>The PUCO</w:t>
      </w:r>
      <w:r w:rsidR="00842E73">
        <w:rPr>
          <w:rFonts w:cs="Times New Roman"/>
          <w:szCs w:val="24"/>
        </w:rPr>
        <w:t>’</w:t>
      </w:r>
      <w:r w:rsidRPr="00842E73">
        <w:rPr>
          <w:rFonts w:cs="Times New Roman"/>
          <w:szCs w:val="24"/>
        </w:rPr>
        <w:t>s e-filing system will electronically serve notice of the filing of this document on the following parties:</w:t>
      </w:r>
    </w:p>
    <w:p w:rsidR="00982C50" w:rsidRPr="00842E73" w:rsidP="00271490" w14:paraId="282A4FAF" w14:textId="77777777">
      <w:pPr>
        <w:rPr>
          <w:rFonts w:cs="Times New Roman"/>
          <w:szCs w:val="24"/>
        </w:rPr>
      </w:pPr>
    </w:p>
    <w:p w:rsidR="00FA3CB2" w:rsidRPr="00842E73" w:rsidP="00FA3CB2" w14:paraId="45766255" w14:textId="77777777">
      <w:pPr>
        <w:suppressAutoHyphens/>
        <w:jc w:val="center"/>
        <w:rPr>
          <w:rFonts w:cs="Times New Roman"/>
          <w:b/>
          <w:bCs/>
          <w:szCs w:val="24"/>
          <w:u w:val="single"/>
        </w:rPr>
      </w:pPr>
      <w:r w:rsidRPr="00842E73">
        <w:rPr>
          <w:rFonts w:cs="Times New Roman"/>
          <w:b/>
          <w:bCs/>
          <w:szCs w:val="24"/>
          <w:u w:val="single"/>
        </w:rPr>
        <w:t>SERVICE LIST</w:t>
      </w:r>
    </w:p>
    <w:p w:rsidR="00FA3CB2" w:rsidRPr="00842E73" w:rsidP="00FA3CB2" w14:paraId="69A73450" w14:textId="77777777">
      <w:pPr>
        <w:widowControl w:val="0"/>
        <w:jc w:val="center"/>
        <w:rPr>
          <w:rFonts w:eastAsia="Times New Roman" w:cs="Times New Roman"/>
          <w:snapToGrid w:val="0"/>
          <w:szCs w:val="24"/>
        </w:rPr>
      </w:pPr>
    </w:p>
    <w:tbl>
      <w:tblPr>
        <w:tblW w:w="0" w:type="auto"/>
        <w:tblInd w:w="0" w:type="dxa"/>
        <w:tblCellMar>
          <w:top w:w="0" w:type="dxa"/>
          <w:left w:w="108" w:type="dxa"/>
          <w:bottom w:w="0" w:type="dxa"/>
          <w:right w:w="108" w:type="dxa"/>
        </w:tblCellMar>
        <w:tblLook w:val="01E0"/>
      </w:tblPr>
      <w:tblGrid>
        <w:gridCol w:w="4336"/>
        <w:gridCol w:w="4304"/>
      </w:tblGrid>
      <w:tr w14:paraId="6C7F5A20" w14:textId="77777777" w:rsidTr="006B7D7A">
        <w:tblPrEx>
          <w:tblW w:w="0" w:type="auto"/>
          <w:tblInd w:w="0" w:type="dxa"/>
          <w:tblCellMar>
            <w:top w:w="0" w:type="dxa"/>
            <w:left w:w="108" w:type="dxa"/>
            <w:bottom w:w="0" w:type="dxa"/>
            <w:right w:w="108" w:type="dxa"/>
          </w:tblCellMar>
          <w:tblLook w:val="01E0"/>
        </w:tblPrEx>
        <w:tc>
          <w:tcPr>
            <w:tcW w:w="4428" w:type="dxa"/>
            <w:shd w:val="clear" w:color="auto" w:fill="auto"/>
          </w:tcPr>
          <w:p w:rsidR="00D930A0" w:rsidRPr="00842E73" w:rsidP="006B7D7A" w14:paraId="56E2E785"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hyperlink r:id="rId16" w:history="1">
              <w:r w:rsidRPr="00842E73" w:rsidR="0091740E">
                <w:rPr>
                  <w:rFonts w:ascii="Times New Roman" w:hAnsi="Times New Roman" w:eastAsiaTheme="minorHAnsi" w:cs="Times New Roman"/>
                  <w:bCs/>
                  <w:color w:val="0000FF"/>
                  <w:sz w:val="24"/>
                  <w:szCs w:val="24"/>
                  <w:u w:val="single"/>
                  <w:lang w:val="en-US" w:eastAsia="en-US" w:bidi="ar-SA"/>
                </w:rPr>
                <w:t>thomas.lindgren@ohioago.gov</w:t>
              </w:r>
            </w:hyperlink>
          </w:p>
          <w:p w:rsidR="00D930A0" w:rsidRPr="00842E73" w:rsidP="006B7D7A" w14:paraId="59D8CB6E" w14:textId="77777777">
            <w:pPr>
              <w:autoSpaceDE w:val="0"/>
              <w:autoSpaceDN w:val="0"/>
              <w:adjustRightInd w:val="0"/>
              <w:spacing w:after="0" w:line="240" w:lineRule="auto"/>
              <w:rPr>
                <w:rFonts w:ascii="Times New Roman" w:hAnsi="Times New Roman" w:eastAsiaTheme="minorHAnsi" w:cs="Times New Roman"/>
                <w:bCs/>
                <w:sz w:val="24"/>
                <w:szCs w:val="24"/>
                <w:lang w:val="en-US" w:eastAsia="en-US" w:bidi="ar-SA"/>
              </w:rPr>
            </w:pPr>
            <w:hyperlink r:id="rId17" w:history="1">
              <w:r w:rsidRPr="00842E73" w:rsidR="0091740E">
                <w:rPr>
                  <w:rFonts w:ascii="Times New Roman" w:hAnsi="Times New Roman" w:eastAsiaTheme="minorHAnsi" w:cs="Times New Roman"/>
                  <w:bCs/>
                  <w:color w:val="0000FF"/>
                  <w:sz w:val="24"/>
                  <w:szCs w:val="24"/>
                  <w:u w:val="single"/>
                  <w:lang w:val="en-US" w:eastAsia="en-US" w:bidi="ar-SA"/>
                </w:rPr>
                <w:t>amy.botschnerobrien@ohioago.gov</w:t>
              </w:r>
            </w:hyperlink>
          </w:p>
          <w:p w:rsidR="00D930A0" w:rsidRPr="00842E73" w:rsidP="006B7D7A" w14:paraId="6D012D4D"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r w:rsidRPr="00842E73">
              <w:rPr>
                <w:rFonts w:ascii="Times New Roman" w:hAnsi="Times New Roman" w:eastAsiaTheme="minorHAnsi" w:cs="Times New Roman"/>
                <w:bCs/>
                <w:color w:val="0000FF"/>
                <w:sz w:val="24"/>
                <w:szCs w:val="24"/>
                <w:u w:val="single"/>
                <w:lang w:val="en-US" w:eastAsia="en-US" w:bidi="ar-SA"/>
              </w:rPr>
              <w:t>rhiannon.howard@ohioago.gov</w:t>
            </w:r>
          </w:p>
          <w:p w:rsidR="00D930A0" w:rsidRPr="00842E73" w:rsidP="006B7D7A" w14:paraId="6133C3DA" w14:textId="77777777">
            <w:pPr>
              <w:autoSpaceDE w:val="0"/>
              <w:autoSpaceDN w:val="0"/>
              <w:adjustRightInd w:val="0"/>
              <w:spacing w:after="0" w:line="240" w:lineRule="auto"/>
              <w:rPr>
                <w:rFonts w:ascii="Times New Roman" w:hAnsi="Times New Roman" w:eastAsiaTheme="minorHAnsi" w:cs="Times New Roman"/>
                <w:bCs/>
                <w:sz w:val="24"/>
                <w:szCs w:val="24"/>
                <w:lang w:val="en-US" w:eastAsia="en-US" w:bidi="ar-SA"/>
              </w:rPr>
            </w:pPr>
            <w:hyperlink r:id="rId18" w:history="1">
              <w:r w:rsidRPr="00842E73" w:rsidR="0091740E">
                <w:rPr>
                  <w:rFonts w:ascii="Times New Roman" w:hAnsi="Times New Roman" w:eastAsiaTheme="minorHAnsi" w:cs="Times New Roman"/>
                  <w:bCs/>
                  <w:color w:val="0000FF"/>
                  <w:sz w:val="24"/>
                  <w:szCs w:val="24"/>
                  <w:u w:val="single"/>
                  <w:lang w:val="en-US" w:eastAsia="en-US" w:bidi="ar-SA"/>
                </w:rPr>
                <w:t>emcconnell@elpc.org</w:t>
              </w:r>
            </w:hyperlink>
          </w:p>
          <w:p w:rsidR="00D930A0" w:rsidRPr="00842E73" w:rsidP="006B7D7A" w14:paraId="19ED7D28" w14:textId="77777777">
            <w:pPr>
              <w:autoSpaceDE w:val="0"/>
              <w:autoSpaceDN w:val="0"/>
              <w:adjustRightInd w:val="0"/>
              <w:spacing w:after="0" w:line="240" w:lineRule="auto"/>
              <w:rPr>
                <w:rFonts w:ascii="Times New Roman" w:hAnsi="Times New Roman" w:eastAsiaTheme="minorHAnsi" w:cs="Times New Roman"/>
                <w:sz w:val="24"/>
                <w:szCs w:val="24"/>
                <w:lang w:val="en-US" w:eastAsia="en-US" w:bidi="ar-SA"/>
              </w:rPr>
            </w:pPr>
            <w:hyperlink r:id="rId19" w:history="1">
              <w:r w:rsidRPr="00842E73" w:rsidR="0091740E">
                <w:rPr>
                  <w:rFonts w:ascii="Times New Roman" w:hAnsi="Times New Roman" w:eastAsiaTheme="minorHAnsi" w:cs="Times New Roman"/>
                  <w:color w:val="0000FF"/>
                  <w:sz w:val="24"/>
                  <w:szCs w:val="24"/>
                  <w:u w:val="single"/>
                  <w:lang w:val="en-US" w:eastAsia="en-US" w:bidi="ar-SA"/>
                </w:rPr>
                <w:t>bojko@carpenterlipps.com</w:t>
              </w:r>
            </w:hyperlink>
          </w:p>
          <w:p w:rsidR="00D930A0" w:rsidRPr="00842E73" w:rsidP="006B7D7A" w14:paraId="46E71DC7" w14:textId="77777777">
            <w:pPr>
              <w:autoSpaceDE w:val="0"/>
              <w:autoSpaceDN w:val="0"/>
              <w:adjustRightInd w:val="0"/>
              <w:spacing w:after="0" w:line="240" w:lineRule="auto"/>
              <w:rPr>
                <w:rFonts w:ascii="Times New Roman" w:hAnsi="Times New Roman" w:eastAsiaTheme="minorHAnsi" w:cs="Times New Roman"/>
                <w:sz w:val="24"/>
                <w:szCs w:val="24"/>
                <w:lang w:val="en-US" w:eastAsia="en-US" w:bidi="ar-SA"/>
              </w:rPr>
            </w:pPr>
            <w:hyperlink r:id="rId20" w:history="1">
              <w:r w:rsidRPr="00842E73" w:rsidR="0091740E">
                <w:rPr>
                  <w:rFonts w:ascii="Times New Roman" w:hAnsi="Times New Roman" w:eastAsiaTheme="minorHAnsi" w:cs="Times New Roman"/>
                  <w:color w:val="0000FF"/>
                  <w:sz w:val="24"/>
                  <w:szCs w:val="24"/>
                  <w:u w:val="single"/>
                  <w:lang w:val="en-US" w:eastAsia="en-US" w:bidi="ar-SA"/>
                </w:rPr>
                <w:t>stacie.cathcart@igs.com</w:t>
              </w:r>
            </w:hyperlink>
          </w:p>
          <w:p w:rsidR="00D930A0" w:rsidRPr="00842E73" w:rsidP="006B7D7A" w14:paraId="2B6E489D" w14:textId="77777777">
            <w:pPr>
              <w:autoSpaceDE w:val="0"/>
              <w:autoSpaceDN w:val="0"/>
              <w:adjustRightInd w:val="0"/>
              <w:spacing w:after="0" w:line="240" w:lineRule="auto"/>
              <w:rPr>
                <w:rFonts w:ascii="Times New Roman" w:hAnsi="Times New Roman" w:eastAsiaTheme="minorHAnsi" w:cs="Times New Roman"/>
                <w:sz w:val="24"/>
                <w:szCs w:val="24"/>
                <w:lang w:val="en-US" w:eastAsia="en-US" w:bidi="ar-SA"/>
              </w:rPr>
            </w:pPr>
            <w:hyperlink r:id="rId21" w:history="1">
              <w:r w:rsidRPr="00842E73" w:rsidR="0091740E">
                <w:rPr>
                  <w:rFonts w:ascii="Times New Roman" w:hAnsi="Times New Roman" w:eastAsiaTheme="minorHAnsi" w:cs="Times New Roman"/>
                  <w:color w:val="0000FF"/>
                  <w:sz w:val="24"/>
                  <w:szCs w:val="24"/>
                  <w:u w:val="single"/>
                  <w:lang w:val="en-US" w:eastAsia="en-US" w:bidi="ar-SA"/>
                </w:rPr>
                <w:t>michael.nugent@igs.com</w:t>
              </w:r>
            </w:hyperlink>
          </w:p>
          <w:p w:rsidR="00D930A0" w:rsidRPr="00842E73" w:rsidP="006B7D7A" w14:paraId="1A77EA25" w14:textId="77777777">
            <w:pPr>
              <w:autoSpaceDE w:val="0"/>
              <w:autoSpaceDN w:val="0"/>
              <w:adjustRightInd w:val="0"/>
              <w:spacing w:after="0" w:line="240" w:lineRule="auto"/>
              <w:rPr>
                <w:rFonts w:ascii="Times New Roman" w:hAnsi="Times New Roman" w:eastAsiaTheme="minorHAnsi" w:cs="Times New Roman"/>
                <w:bCs/>
                <w:sz w:val="24"/>
                <w:szCs w:val="24"/>
                <w:lang w:val="en-US" w:eastAsia="en-US" w:bidi="ar-SA"/>
              </w:rPr>
            </w:pPr>
            <w:hyperlink r:id="rId22" w:history="1">
              <w:r w:rsidRPr="00842E73" w:rsidR="0091740E">
                <w:rPr>
                  <w:rFonts w:ascii="Times New Roman" w:hAnsi="Times New Roman" w:eastAsiaTheme="minorHAnsi" w:cs="Times New Roman"/>
                  <w:bCs/>
                  <w:color w:val="0000FF"/>
                  <w:sz w:val="24"/>
                  <w:szCs w:val="24"/>
                  <w:u w:val="single"/>
                  <w:lang w:val="en-US" w:eastAsia="en-US" w:bidi="ar-SA"/>
                </w:rPr>
                <w:t>dproano@bakerlaw.com</w:t>
              </w:r>
            </w:hyperlink>
          </w:p>
          <w:p w:rsidR="00D930A0" w:rsidRPr="00842E73" w:rsidP="006B7D7A" w14:paraId="055E49FD" w14:textId="77777777">
            <w:pPr>
              <w:autoSpaceDE w:val="0"/>
              <w:autoSpaceDN w:val="0"/>
              <w:adjustRightInd w:val="0"/>
              <w:spacing w:after="0" w:line="240" w:lineRule="auto"/>
              <w:rPr>
                <w:rFonts w:ascii="Times New Roman" w:hAnsi="Times New Roman" w:eastAsiaTheme="minorHAnsi" w:cs="Times New Roman"/>
                <w:bCs/>
                <w:sz w:val="24"/>
                <w:szCs w:val="24"/>
                <w:lang w:val="en-US" w:eastAsia="en-US" w:bidi="ar-SA"/>
              </w:rPr>
            </w:pPr>
            <w:hyperlink r:id="rId23" w:history="1">
              <w:r w:rsidRPr="00842E73" w:rsidR="0091740E">
                <w:rPr>
                  <w:rFonts w:ascii="Times New Roman" w:hAnsi="Times New Roman" w:eastAsiaTheme="minorHAnsi" w:cs="Times New Roman"/>
                  <w:bCs/>
                  <w:color w:val="0000FF"/>
                  <w:sz w:val="24"/>
                  <w:szCs w:val="24"/>
                  <w:u w:val="single"/>
                  <w:lang w:val="en-US" w:eastAsia="en-US" w:bidi="ar-SA"/>
                </w:rPr>
                <w:t>ahaque@bakerlaw.com</w:t>
              </w:r>
            </w:hyperlink>
          </w:p>
          <w:p w:rsidR="00D930A0" w:rsidRPr="00842E73" w:rsidP="006B7D7A" w14:paraId="0D491966"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hyperlink r:id="rId24" w:history="1">
              <w:r w:rsidRPr="00842E73" w:rsidR="0091740E">
                <w:rPr>
                  <w:rFonts w:ascii="Times New Roman" w:hAnsi="Times New Roman" w:eastAsiaTheme="minorHAnsi" w:cs="Times New Roman"/>
                  <w:bCs/>
                  <w:color w:val="0000FF"/>
                  <w:sz w:val="24"/>
                  <w:szCs w:val="24"/>
                  <w:u w:val="single"/>
                  <w:lang w:val="en-US" w:eastAsia="en-US" w:bidi="ar-SA"/>
                </w:rPr>
                <w:t>eprouty@bakerlaw.com</w:t>
              </w:r>
            </w:hyperlink>
          </w:p>
          <w:p w:rsidR="00D930A0" w:rsidRPr="00842E73" w:rsidP="006B7D7A" w14:paraId="48601128"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hyperlink r:id="rId25" w:history="1">
              <w:r w:rsidRPr="00842E73" w:rsidR="0091740E">
                <w:rPr>
                  <w:rFonts w:ascii="Times New Roman" w:hAnsi="Times New Roman" w:eastAsiaTheme="minorHAnsi" w:cs="Times New Roman"/>
                  <w:bCs/>
                  <w:color w:val="0000FF"/>
                  <w:sz w:val="24"/>
                  <w:szCs w:val="24"/>
                  <w:u w:val="single"/>
                  <w:lang w:val="en-US" w:eastAsia="en-US" w:bidi="ar-SA"/>
                </w:rPr>
                <w:t>tdougherty@theoec.org</w:t>
              </w:r>
            </w:hyperlink>
          </w:p>
          <w:p w:rsidR="00D930A0" w:rsidRPr="00842E73" w:rsidP="006B7D7A" w14:paraId="287F00BA"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r w:rsidRPr="00842E73">
              <w:rPr>
                <w:rFonts w:ascii="Times New Roman" w:hAnsi="Times New Roman" w:eastAsiaTheme="minorHAnsi" w:cs="Times New Roman"/>
                <w:bCs/>
                <w:color w:val="0000FF"/>
                <w:sz w:val="24"/>
                <w:szCs w:val="24"/>
                <w:u w:val="single"/>
                <w:lang w:val="en-US" w:eastAsia="en-US" w:bidi="ar-SA"/>
              </w:rPr>
              <w:t>rdove@keglerbrown.com</w:t>
            </w:r>
          </w:p>
          <w:p w:rsidR="00D930A0" w:rsidRPr="00842E73" w:rsidP="006B7D7A" w14:paraId="2B4BA734"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hyperlink r:id="rId26" w:history="1">
              <w:r w:rsidRPr="00842E73" w:rsidR="0091740E">
                <w:rPr>
                  <w:rFonts w:ascii="Times New Roman" w:hAnsi="Times New Roman" w:eastAsiaTheme="minorHAnsi" w:cs="Times New Roman"/>
                  <w:bCs/>
                  <w:color w:val="0000FF"/>
                  <w:sz w:val="24"/>
                  <w:szCs w:val="24"/>
                  <w:u w:val="single"/>
                  <w:lang w:val="en-US" w:eastAsia="en-US" w:bidi="ar-SA"/>
                </w:rPr>
                <w:t>nbobb@keglerbrown.com</w:t>
              </w:r>
            </w:hyperlink>
          </w:p>
          <w:p w:rsidR="00D930A0" w:rsidRPr="00842E73" w:rsidP="006B7D7A" w14:paraId="105A423F"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hyperlink r:id="rId27" w:history="1">
              <w:r w:rsidRPr="00842E73" w:rsidR="0091740E">
                <w:rPr>
                  <w:rFonts w:ascii="Times New Roman" w:hAnsi="Times New Roman" w:eastAsiaTheme="minorHAnsi" w:cs="Times New Roman"/>
                  <w:bCs/>
                  <w:color w:val="0000FF"/>
                  <w:sz w:val="24"/>
                  <w:szCs w:val="24"/>
                  <w:u w:val="single"/>
                  <w:lang w:val="en-US" w:eastAsia="en-US" w:bidi="ar-SA"/>
                </w:rPr>
                <w:t>Paul@carpenterlipps.com</w:t>
              </w:r>
            </w:hyperlink>
          </w:p>
          <w:p w:rsidR="00D930A0" w:rsidRPr="00842E73" w:rsidP="006B7D7A" w14:paraId="71AC21E2"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r w:rsidRPr="00842E73">
              <w:rPr>
                <w:rFonts w:ascii="Times New Roman" w:hAnsi="Times New Roman" w:eastAsiaTheme="minorHAnsi" w:cs="Times New Roman"/>
                <w:bCs/>
                <w:color w:val="0000FF"/>
                <w:sz w:val="24"/>
                <w:szCs w:val="24"/>
                <w:u w:val="single"/>
                <w:lang w:val="en-US" w:eastAsia="en-US" w:bidi="ar-SA"/>
              </w:rPr>
              <w:t>pwillison@bakerlaw.com</w:t>
            </w:r>
          </w:p>
          <w:p w:rsidR="00D930A0" w:rsidRPr="00842E73" w:rsidP="006B7D7A" w14:paraId="739CC160"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p>
          <w:p w:rsidR="00D930A0" w:rsidRPr="00842E73" w:rsidP="006B7D7A" w14:paraId="5FB37DD4" w14:textId="77777777">
            <w:pPr>
              <w:spacing w:after="0" w:line="240" w:lineRule="auto"/>
              <w:rPr>
                <w:rFonts w:ascii="Times New Roman" w:hAnsi="Times New Roman" w:eastAsiaTheme="minorHAnsi" w:cs="Times New Roman"/>
                <w:sz w:val="24"/>
                <w:szCs w:val="24"/>
                <w:lang w:val="en-US" w:eastAsia="en-US" w:bidi="ar-SA"/>
              </w:rPr>
            </w:pPr>
            <w:r w:rsidRPr="00842E73">
              <w:rPr>
                <w:rFonts w:ascii="Times New Roman" w:hAnsi="Times New Roman" w:eastAsiaTheme="minorHAnsi" w:cs="Times New Roman"/>
                <w:sz w:val="24"/>
                <w:szCs w:val="24"/>
                <w:lang w:val="en-US" w:eastAsia="en-US" w:bidi="ar-SA"/>
              </w:rPr>
              <w:t xml:space="preserve">Attorney Examiners: </w:t>
            </w:r>
          </w:p>
          <w:p w:rsidR="00D930A0" w:rsidRPr="00842E73" w:rsidP="006B7D7A" w14:paraId="03EF14E5" w14:textId="77777777">
            <w:pPr>
              <w:spacing w:after="0" w:line="240" w:lineRule="auto"/>
              <w:rPr>
                <w:rFonts w:ascii="Times New Roman" w:hAnsi="Times New Roman" w:eastAsiaTheme="minorHAnsi" w:cs="Times New Roman"/>
                <w:sz w:val="24"/>
                <w:szCs w:val="24"/>
                <w:lang w:val="en-US" w:eastAsia="en-US" w:bidi="ar-SA"/>
              </w:rPr>
            </w:pPr>
            <w:hyperlink r:id="rId28" w:history="1">
              <w:r w:rsidRPr="00842E73" w:rsidR="0091740E">
                <w:rPr>
                  <w:rFonts w:ascii="Times New Roman" w:hAnsi="Times New Roman" w:eastAsiaTheme="minorHAnsi" w:cs="Times New Roman"/>
                  <w:color w:val="0000FF"/>
                  <w:sz w:val="24"/>
                  <w:szCs w:val="24"/>
                  <w:u w:val="single"/>
                  <w:lang w:val="en-US" w:eastAsia="en-US" w:bidi="ar-SA"/>
                </w:rPr>
                <w:t>megan.addison@puco.ohio.gov</w:t>
              </w:r>
            </w:hyperlink>
          </w:p>
          <w:p w:rsidR="00D930A0" w:rsidRPr="00842E73" w:rsidP="006B7D7A" w14:paraId="060157BB" w14:textId="77777777">
            <w:pPr>
              <w:spacing w:after="0" w:line="240" w:lineRule="auto"/>
              <w:rPr>
                <w:rFonts w:ascii="Times New Roman" w:hAnsi="Times New Roman" w:eastAsiaTheme="minorHAnsi" w:cs="Times New Roman"/>
                <w:sz w:val="24"/>
                <w:szCs w:val="24"/>
                <w:lang w:val="en-US" w:eastAsia="en-US" w:bidi="ar-SA"/>
              </w:rPr>
            </w:pPr>
            <w:hyperlink r:id="rId29" w:history="1">
              <w:r w:rsidRPr="00842E73" w:rsidR="0091740E">
                <w:rPr>
                  <w:rFonts w:ascii="Times New Roman" w:hAnsi="Times New Roman" w:eastAsiaTheme="minorHAnsi" w:cs="Times New Roman"/>
                  <w:color w:val="0000FF"/>
                  <w:sz w:val="24"/>
                  <w:szCs w:val="24"/>
                  <w:u w:val="single"/>
                  <w:lang w:val="en-US" w:eastAsia="en-US" w:bidi="ar-SA"/>
                </w:rPr>
                <w:t>greg.price@puco.ohio.gov</w:t>
              </w:r>
            </w:hyperlink>
          </w:p>
          <w:p w:rsidR="00D930A0" w:rsidRPr="00842E73" w:rsidP="006B7D7A" w14:paraId="7C8F5FCC" w14:textId="77777777">
            <w:pPr>
              <w:autoSpaceDE w:val="0"/>
              <w:autoSpaceDN w:val="0"/>
              <w:adjustRightInd w:val="0"/>
              <w:spacing w:after="0" w:line="240" w:lineRule="auto"/>
              <w:rPr>
                <w:rFonts w:ascii="Times New Roman" w:hAnsi="Times New Roman" w:eastAsiaTheme="minorHAnsi" w:cs="Times New Roman"/>
                <w:bCs/>
                <w:sz w:val="24"/>
                <w:szCs w:val="24"/>
                <w:lang w:val="en-US" w:eastAsia="en-US" w:bidi="ar-SA"/>
              </w:rPr>
            </w:pPr>
            <w:hyperlink r:id="rId30" w:history="1">
              <w:r w:rsidRPr="00842E73" w:rsidR="0091740E">
                <w:rPr>
                  <w:rFonts w:ascii="Times New Roman" w:hAnsi="Times New Roman" w:eastAsiaTheme="minorHAnsi" w:cs="Times New Roman"/>
                  <w:color w:val="0000FF"/>
                  <w:sz w:val="24"/>
                  <w:szCs w:val="24"/>
                  <w:u w:val="single"/>
                  <w:lang w:val="en-US" w:eastAsia="en-US" w:bidi="ar-SA"/>
                </w:rPr>
                <w:t>jacqueline.st.john@puco.ohio.gov</w:t>
              </w:r>
            </w:hyperlink>
          </w:p>
          <w:p w:rsidR="00D930A0" w:rsidRPr="00842E73" w:rsidP="006B7D7A" w14:paraId="235AFE29" w14:textId="77777777">
            <w:pPr>
              <w:autoSpaceDE w:val="0"/>
              <w:autoSpaceDN w:val="0"/>
              <w:adjustRightInd w:val="0"/>
              <w:spacing w:after="0" w:line="240" w:lineRule="auto"/>
              <w:rPr>
                <w:rFonts w:ascii="Times New Roman" w:hAnsi="Times New Roman" w:eastAsiaTheme="minorHAnsi" w:cs="Times New Roman"/>
                <w:bCs/>
                <w:sz w:val="24"/>
                <w:szCs w:val="24"/>
                <w:lang w:val="en-US" w:eastAsia="en-US" w:bidi="ar-SA"/>
              </w:rPr>
            </w:pPr>
          </w:p>
        </w:tc>
        <w:tc>
          <w:tcPr>
            <w:tcW w:w="4428" w:type="dxa"/>
            <w:shd w:val="clear" w:color="auto" w:fill="auto"/>
          </w:tcPr>
          <w:p w:rsidR="00D930A0" w:rsidRPr="00842E73" w:rsidP="006B7D7A" w14:paraId="74D537D8" w14:textId="77777777">
            <w:pPr>
              <w:spacing w:after="0" w:line="240" w:lineRule="auto"/>
              <w:jc w:val="both"/>
              <w:rPr>
                <w:rFonts w:ascii="Times New Roman" w:hAnsi="Times New Roman" w:eastAsiaTheme="minorHAnsi" w:cs="Times New Roman"/>
                <w:sz w:val="24"/>
                <w:szCs w:val="24"/>
                <w:lang w:val="en-US" w:eastAsia="en-US" w:bidi="ar-SA"/>
              </w:rPr>
            </w:pPr>
            <w:hyperlink r:id="rId31" w:history="1">
              <w:r w:rsidRPr="00842E73" w:rsidR="0091740E">
                <w:rPr>
                  <w:rFonts w:ascii="Times New Roman" w:hAnsi="Times New Roman" w:eastAsiaTheme="minorHAnsi" w:cs="Times New Roman"/>
                  <w:color w:val="0000FF"/>
                  <w:sz w:val="24"/>
                  <w:szCs w:val="24"/>
                  <w:u w:val="single"/>
                  <w:lang w:val="en-US" w:eastAsia="en-US" w:bidi="ar-SA"/>
                </w:rPr>
                <w:t>cwatchorn@firstenergycorp.com</w:t>
              </w:r>
            </w:hyperlink>
          </w:p>
          <w:p w:rsidR="00D930A0" w:rsidRPr="00842E73" w:rsidP="006B7D7A" w14:paraId="32CC4837" w14:textId="77777777">
            <w:pPr>
              <w:spacing w:after="0" w:line="240" w:lineRule="auto"/>
              <w:jc w:val="both"/>
              <w:rPr>
                <w:rFonts w:ascii="Times New Roman" w:hAnsi="Times New Roman" w:eastAsiaTheme="minorHAnsi" w:cs="Times New Roman"/>
                <w:bCs/>
                <w:sz w:val="24"/>
                <w:szCs w:val="24"/>
                <w:lang w:val="en-US" w:eastAsia="en-US" w:bidi="ar-SA"/>
              </w:rPr>
            </w:pPr>
            <w:hyperlink r:id="rId32" w:history="1">
              <w:r w:rsidRPr="00842E73" w:rsidR="0091740E">
                <w:rPr>
                  <w:rFonts w:ascii="Times New Roman" w:hAnsi="Times New Roman" w:eastAsiaTheme="minorHAnsi" w:cs="Times New Roman"/>
                  <w:bCs/>
                  <w:color w:val="0000FF"/>
                  <w:sz w:val="24"/>
                  <w:szCs w:val="24"/>
                  <w:u w:val="single"/>
                  <w:lang w:val="en-US" w:eastAsia="en-US" w:bidi="ar-SA"/>
                </w:rPr>
                <w:t>talexander@beneschlaw.com</w:t>
              </w:r>
            </w:hyperlink>
          </w:p>
          <w:p w:rsidR="00D930A0" w:rsidRPr="00842E73" w:rsidP="006B7D7A" w14:paraId="61FB2B70" w14:textId="77777777">
            <w:pPr>
              <w:spacing w:after="0" w:line="240" w:lineRule="auto"/>
              <w:jc w:val="both"/>
              <w:rPr>
                <w:rFonts w:ascii="Times New Roman" w:hAnsi="Times New Roman" w:eastAsiaTheme="minorHAnsi" w:cs="Times New Roman"/>
                <w:bCs/>
                <w:sz w:val="24"/>
                <w:szCs w:val="24"/>
                <w:lang w:val="en-US" w:eastAsia="en-US" w:bidi="ar-SA"/>
              </w:rPr>
            </w:pPr>
            <w:hyperlink r:id="rId33" w:history="1">
              <w:r w:rsidRPr="00842E73" w:rsidR="0091740E">
                <w:rPr>
                  <w:rFonts w:ascii="Times New Roman" w:hAnsi="Times New Roman" w:eastAsiaTheme="minorHAnsi" w:cs="Times New Roman"/>
                  <w:bCs/>
                  <w:color w:val="0000FF"/>
                  <w:sz w:val="24"/>
                  <w:szCs w:val="24"/>
                  <w:u w:val="single"/>
                  <w:lang w:val="en-US" w:eastAsia="en-US" w:bidi="ar-SA"/>
                </w:rPr>
                <w:t>mkeaney@beneschlaw.com</w:t>
              </w:r>
            </w:hyperlink>
          </w:p>
          <w:p w:rsidR="00D930A0" w:rsidRPr="00842E73" w:rsidP="006B7D7A" w14:paraId="7BBE5022" w14:textId="77777777">
            <w:pPr>
              <w:spacing w:after="0" w:line="240" w:lineRule="auto"/>
              <w:jc w:val="both"/>
              <w:rPr>
                <w:rFonts w:ascii="Times New Roman" w:hAnsi="Times New Roman" w:eastAsiaTheme="minorHAnsi" w:cs="Times New Roman"/>
                <w:bCs/>
                <w:sz w:val="24"/>
                <w:szCs w:val="24"/>
                <w:lang w:val="en-US" w:eastAsia="en-US" w:bidi="ar-SA"/>
              </w:rPr>
            </w:pPr>
            <w:hyperlink r:id="rId34" w:history="1">
              <w:r w:rsidRPr="00842E73" w:rsidR="0091740E">
                <w:rPr>
                  <w:rFonts w:ascii="Times New Roman" w:hAnsi="Times New Roman" w:eastAsiaTheme="minorHAnsi" w:cs="Times New Roman"/>
                  <w:bCs/>
                  <w:color w:val="0000FF"/>
                  <w:sz w:val="24"/>
                  <w:szCs w:val="24"/>
                  <w:u w:val="single"/>
                  <w:lang w:val="en-US" w:eastAsia="en-US" w:bidi="ar-SA"/>
                </w:rPr>
                <w:t>mkurtz@BKLlawfirm.com</w:t>
              </w:r>
            </w:hyperlink>
          </w:p>
          <w:p w:rsidR="00D930A0" w:rsidRPr="00842E73" w:rsidP="006B7D7A" w14:paraId="4F15307F" w14:textId="77777777">
            <w:pPr>
              <w:spacing w:after="0" w:line="240" w:lineRule="auto"/>
              <w:jc w:val="both"/>
              <w:rPr>
                <w:rFonts w:ascii="Times New Roman" w:hAnsi="Times New Roman" w:eastAsiaTheme="minorHAnsi" w:cs="Times New Roman"/>
                <w:bCs/>
                <w:sz w:val="24"/>
                <w:szCs w:val="24"/>
                <w:lang w:val="en-US" w:eastAsia="en-US" w:bidi="ar-SA"/>
              </w:rPr>
            </w:pPr>
            <w:hyperlink r:id="rId35" w:history="1">
              <w:r w:rsidRPr="00842E73" w:rsidR="0091740E">
                <w:rPr>
                  <w:rFonts w:ascii="Times New Roman" w:hAnsi="Times New Roman" w:eastAsiaTheme="minorHAnsi" w:cs="Times New Roman"/>
                  <w:bCs/>
                  <w:color w:val="0000FF"/>
                  <w:sz w:val="24"/>
                  <w:szCs w:val="24"/>
                  <w:u w:val="single"/>
                  <w:lang w:val="en-US" w:eastAsia="en-US" w:bidi="ar-SA"/>
                </w:rPr>
                <w:t>kboehm@BKLlawfirm.com</w:t>
              </w:r>
            </w:hyperlink>
          </w:p>
          <w:p w:rsidR="00D930A0" w:rsidRPr="00842E73" w:rsidP="006B7D7A" w14:paraId="7AF2539F" w14:textId="77777777">
            <w:pPr>
              <w:spacing w:after="0" w:line="240" w:lineRule="auto"/>
              <w:jc w:val="both"/>
              <w:rPr>
                <w:rFonts w:ascii="Times New Roman" w:hAnsi="Times New Roman" w:eastAsiaTheme="minorHAnsi" w:cs="Times New Roman"/>
                <w:bCs/>
                <w:color w:val="0000FF"/>
                <w:sz w:val="24"/>
                <w:szCs w:val="24"/>
                <w:u w:val="single"/>
                <w:lang w:val="en-US" w:eastAsia="en-US" w:bidi="ar-SA"/>
              </w:rPr>
            </w:pPr>
            <w:hyperlink r:id="rId36" w:history="1">
              <w:r w:rsidRPr="00842E73" w:rsidR="0091740E">
                <w:rPr>
                  <w:rFonts w:ascii="Times New Roman" w:hAnsi="Times New Roman" w:eastAsiaTheme="minorHAnsi" w:cs="Times New Roman"/>
                  <w:bCs/>
                  <w:color w:val="0000FF"/>
                  <w:sz w:val="24"/>
                  <w:szCs w:val="24"/>
                  <w:u w:val="single"/>
                  <w:lang w:val="en-US" w:eastAsia="en-US" w:bidi="ar-SA"/>
                </w:rPr>
                <w:t>jkylercohn@BKLlawfirm.com</w:t>
              </w:r>
            </w:hyperlink>
          </w:p>
          <w:p w:rsidR="00D930A0" w:rsidRPr="00842E73" w:rsidP="006B7D7A" w14:paraId="3D7EF2A6" w14:textId="77777777">
            <w:pPr>
              <w:spacing w:after="0" w:line="240" w:lineRule="auto"/>
              <w:jc w:val="both"/>
              <w:rPr>
                <w:rFonts w:ascii="Times New Roman" w:hAnsi="Times New Roman" w:eastAsiaTheme="minorHAnsi" w:cs="Times New Roman"/>
                <w:bCs/>
                <w:sz w:val="24"/>
                <w:szCs w:val="24"/>
                <w:lang w:val="en-US" w:eastAsia="en-US" w:bidi="ar-SA"/>
              </w:rPr>
            </w:pPr>
            <w:hyperlink r:id="rId37" w:history="1">
              <w:r w:rsidRPr="00842E73" w:rsidR="0091740E">
                <w:rPr>
                  <w:rFonts w:ascii="Times New Roman" w:hAnsi="Times New Roman" w:eastAsiaTheme="minorHAnsi" w:cs="Times New Roman"/>
                  <w:bCs/>
                  <w:color w:val="0000FF"/>
                  <w:sz w:val="24"/>
                  <w:szCs w:val="24"/>
                  <w:u w:val="single"/>
                  <w:lang w:val="en-US" w:eastAsia="en-US" w:bidi="ar-SA"/>
                </w:rPr>
                <w:t>trhayslaw@gmail.com</w:t>
              </w:r>
            </w:hyperlink>
          </w:p>
          <w:p w:rsidR="00D930A0" w:rsidRPr="00842E73" w:rsidP="006B7D7A" w14:paraId="4A2F95C2" w14:textId="77777777">
            <w:pPr>
              <w:spacing w:after="0" w:line="240" w:lineRule="auto"/>
              <w:jc w:val="both"/>
              <w:rPr>
                <w:rFonts w:ascii="Times New Roman" w:hAnsi="Times New Roman" w:eastAsiaTheme="minorHAnsi" w:cs="Times New Roman"/>
                <w:bCs/>
                <w:sz w:val="24"/>
                <w:szCs w:val="24"/>
                <w:lang w:val="en-US" w:eastAsia="en-US" w:bidi="ar-SA"/>
              </w:rPr>
            </w:pPr>
            <w:hyperlink r:id="rId38" w:history="1">
              <w:r w:rsidRPr="00842E73" w:rsidR="0091740E">
                <w:rPr>
                  <w:rFonts w:ascii="Times New Roman" w:hAnsi="Times New Roman" w:eastAsiaTheme="minorHAnsi" w:cs="Times New Roman"/>
                  <w:bCs/>
                  <w:color w:val="0000FF"/>
                  <w:sz w:val="24"/>
                  <w:szCs w:val="24"/>
                  <w:u w:val="single"/>
                  <w:lang w:val="en-US" w:eastAsia="en-US" w:bidi="ar-SA"/>
                </w:rPr>
                <w:t>leslie.kovacik@toledo.oh.gov</w:t>
              </w:r>
            </w:hyperlink>
          </w:p>
          <w:p w:rsidR="00D930A0" w:rsidRPr="00842E73" w:rsidP="006B7D7A" w14:paraId="1E9109F2" w14:textId="77777777">
            <w:pPr>
              <w:spacing w:after="0" w:line="240" w:lineRule="auto"/>
              <w:jc w:val="both"/>
              <w:rPr>
                <w:rFonts w:ascii="Times New Roman" w:hAnsi="Times New Roman" w:eastAsiaTheme="minorHAnsi" w:cs="Times New Roman"/>
                <w:sz w:val="24"/>
                <w:szCs w:val="24"/>
                <w:lang w:val="en-US" w:eastAsia="en-US" w:bidi="ar-SA"/>
              </w:rPr>
            </w:pPr>
            <w:hyperlink r:id="rId39" w:history="1">
              <w:r w:rsidRPr="00842E73" w:rsidR="0091740E">
                <w:rPr>
                  <w:rFonts w:ascii="Times New Roman" w:hAnsi="Times New Roman" w:eastAsiaTheme="minorHAnsi" w:cs="Times New Roman"/>
                  <w:color w:val="0000FF"/>
                  <w:sz w:val="24"/>
                  <w:szCs w:val="24"/>
                  <w:u w:val="single"/>
                  <w:lang w:val="en-US" w:eastAsia="en-US" w:bidi="ar-SA"/>
                </w:rPr>
                <w:t>knordstrom@theOEC.org</w:t>
              </w:r>
            </w:hyperlink>
          </w:p>
          <w:p w:rsidR="00D930A0" w:rsidRPr="00842E73" w:rsidP="006B7D7A" w14:paraId="3D3753EB" w14:textId="77777777">
            <w:pPr>
              <w:spacing w:after="0" w:line="240" w:lineRule="auto"/>
              <w:jc w:val="both"/>
              <w:rPr>
                <w:rFonts w:ascii="Times New Roman" w:hAnsi="Times New Roman" w:eastAsiaTheme="minorHAnsi" w:cs="Times New Roman"/>
                <w:sz w:val="24"/>
                <w:szCs w:val="24"/>
                <w:lang w:val="en-US" w:eastAsia="en-US" w:bidi="ar-SA"/>
              </w:rPr>
            </w:pPr>
            <w:hyperlink r:id="rId40" w:history="1">
              <w:r w:rsidRPr="00842E73" w:rsidR="0091740E">
                <w:rPr>
                  <w:rFonts w:ascii="Times New Roman" w:hAnsi="Times New Roman" w:eastAsiaTheme="minorHAnsi" w:cs="Times New Roman"/>
                  <w:color w:val="0000FF"/>
                  <w:sz w:val="24"/>
                  <w:szCs w:val="24"/>
                  <w:u w:val="single"/>
                  <w:lang w:val="en-US" w:eastAsia="en-US" w:bidi="ar-SA"/>
                </w:rPr>
                <w:t>ctavenor@theOEC.org</w:t>
              </w:r>
            </w:hyperlink>
          </w:p>
          <w:p w:rsidR="00D930A0" w:rsidRPr="00842E73" w:rsidP="006B7D7A" w14:paraId="0E9B3165" w14:textId="77777777">
            <w:pPr>
              <w:spacing w:after="0" w:line="240" w:lineRule="auto"/>
              <w:jc w:val="both"/>
              <w:rPr>
                <w:rFonts w:ascii="Times New Roman" w:hAnsi="Times New Roman" w:eastAsiaTheme="minorHAnsi" w:cs="Times New Roman"/>
                <w:sz w:val="24"/>
                <w:szCs w:val="24"/>
                <w:lang w:val="en-US" w:eastAsia="en-US" w:bidi="ar-SA"/>
              </w:rPr>
            </w:pPr>
            <w:hyperlink r:id="rId41" w:history="1">
              <w:r w:rsidRPr="00842E73" w:rsidR="0091740E">
                <w:rPr>
                  <w:rFonts w:ascii="Times New Roman" w:hAnsi="Times New Roman" w:eastAsiaTheme="minorHAnsi" w:cs="Times New Roman"/>
                  <w:color w:val="0000FF"/>
                  <w:sz w:val="24"/>
                  <w:szCs w:val="24"/>
                  <w:u w:val="single"/>
                  <w:lang w:val="en-US" w:eastAsia="en-US" w:bidi="ar-SA"/>
                </w:rPr>
                <w:t>todd.schafer@outlook.com</w:t>
              </w:r>
            </w:hyperlink>
          </w:p>
          <w:p w:rsidR="00D930A0" w:rsidRPr="00842E73" w:rsidP="006B7D7A" w14:paraId="72C2AD0E" w14:textId="77777777">
            <w:pPr>
              <w:spacing w:after="0" w:line="240" w:lineRule="auto"/>
              <w:jc w:val="both"/>
              <w:rPr>
                <w:rFonts w:ascii="Times New Roman" w:hAnsi="Times New Roman" w:eastAsiaTheme="minorHAnsi" w:cs="Times New Roman"/>
                <w:sz w:val="24"/>
                <w:szCs w:val="24"/>
                <w:lang w:val="en-US" w:eastAsia="en-US" w:bidi="ar-SA"/>
              </w:rPr>
            </w:pPr>
            <w:hyperlink r:id="rId42" w:history="1">
              <w:r w:rsidRPr="00842E73" w:rsidR="0091740E">
                <w:rPr>
                  <w:rFonts w:ascii="Times New Roman" w:hAnsi="Times New Roman" w:eastAsiaTheme="minorHAnsi" w:cs="Times New Roman"/>
                  <w:color w:val="0000FF"/>
                  <w:sz w:val="24"/>
                  <w:szCs w:val="24"/>
                  <w:u w:val="single"/>
                  <w:lang w:val="en-US" w:eastAsia="en-US" w:bidi="ar-SA"/>
                </w:rPr>
                <w:t>little@litohio.com</w:t>
              </w:r>
            </w:hyperlink>
          </w:p>
          <w:p w:rsidR="00D930A0" w:rsidRPr="00842E73" w:rsidP="006B7D7A" w14:paraId="3175E939" w14:textId="77777777">
            <w:pPr>
              <w:spacing w:after="0" w:line="240" w:lineRule="auto"/>
              <w:jc w:val="both"/>
              <w:rPr>
                <w:rFonts w:ascii="Times New Roman" w:hAnsi="Times New Roman" w:eastAsiaTheme="minorHAnsi" w:cs="Times New Roman"/>
                <w:sz w:val="24"/>
                <w:szCs w:val="24"/>
                <w:lang w:val="en-US" w:eastAsia="en-US" w:bidi="ar-SA"/>
              </w:rPr>
            </w:pPr>
            <w:hyperlink r:id="rId43" w:history="1">
              <w:r w:rsidRPr="00842E73" w:rsidR="0091740E">
                <w:rPr>
                  <w:rFonts w:ascii="Times New Roman" w:hAnsi="Times New Roman" w:eastAsiaTheme="minorHAnsi" w:cs="Times New Roman"/>
                  <w:color w:val="0000FF"/>
                  <w:sz w:val="24"/>
                  <w:szCs w:val="24"/>
                  <w:u w:val="single"/>
                  <w:lang w:val="en-US" w:eastAsia="en-US" w:bidi="ar-SA"/>
                </w:rPr>
                <w:t>hogan@litohio.com</w:t>
              </w:r>
            </w:hyperlink>
          </w:p>
          <w:p w:rsidR="00D930A0" w:rsidRPr="00842E73" w:rsidP="006B7D7A" w14:paraId="1381025B"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hyperlink r:id="rId44" w:history="1">
              <w:r w:rsidRPr="00842E73" w:rsidR="0091740E">
                <w:rPr>
                  <w:rFonts w:ascii="Times New Roman" w:hAnsi="Times New Roman" w:eastAsiaTheme="minorHAnsi" w:cs="Times New Roman"/>
                  <w:bCs/>
                  <w:color w:val="0000FF"/>
                  <w:sz w:val="24"/>
                  <w:szCs w:val="24"/>
                  <w:u w:val="single"/>
                  <w:lang w:val="en-US" w:eastAsia="en-US" w:bidi="ar-SA"/>
                </w:rPr>
                <w:t>ktreadway@oneenergyllc.com</w:t>
              </w:r>
            </w:hyperlink>
          </w:p>
          <w:p w:rsidR="00D930A0" w:rsidRPr="00842E73" w:rsidP="006B7D7A" w14:paraId="57441DF2"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r w:rsidRPr="00842E73">
              <w:rPr>
                <w:rFonts w:ascii="Times New Roman" w:hAnsi="Times New Roman" w:eastAsiaTheme="minorHAnsi" w:cs="Times New Roman"/>
                <w:bCs/>
                <w:color w:val="0000FF"/>
                <w:sz w:val="24"/>
                <w:szCs w:val="24"/>
                <w:u w:val="single"/>
                <w:lang w:val="en-US" w:eastAsia="en-US" w:bidi="ar-SA"/>
              </w:rPr>
              <w:t>jdunn@oneenergyllc.com</w:t>
            </w:r>
          </w:p>
          <w:p w:rsidR="00D930A0" w:rsidRPr="00842E73" w:rsidP="006B7D7A" w14:paraId="6B3DB24A" w14:textId="77777777">
            <w:pPr>
              <w:spacing w:after="0" w:line="240" w:lineRule="auto"/>
              <w:jc w:val="both"/>
              <w:rPr>
                <w:rFonts w:ascii="Times New Roman" w:hAnsi="Times New Roman" w:eastAsiaTheme="minorHAnsi" w:cs="Times New Roman"/>
                <w:sz w:val="24"/>
                <w:szCs w:val="24"/>
                <w:lang w:val="en-US" w:eastAsia="en-US" w:bidi="ar-SA"/>
              </w:rPr>
            </w:pPr>
            <w:hyperlink r:id="rId45" w:history="1">
              <w:r w:rsidRPr="00842E73" w:rsidR="0091740E">
                <w:rPr>
                  <w:rFonts w:ascii="Times New Roman" w:hAnsi="Times New Roman" w:eastAsiaTheme="minorHAnsi" w:cs="Times New Roman"/>
                  <w:color w:val="0000FF"/>
                  <w:sz w:val="24"/>
                  <w:szCs w:val="24"/>
                  <w:u w:val="single"/>
                  <w:lang w:val="en-US" w:eastAsia="en-US" w:bidi="ar-SA"/>
                </w:rPr>
                <w:t>mpritchard@mcneeslaw.com</w:t>
              </w:r>
            </w:hyperlink>
          </w:p>
          <w:p w:rsidR="00D930A0" w:rsidRPr="00842E73" w:rsidP="006B7D7A" w14:paraId="38EDB7DF" w14:textId="77777777">
            <w:pPr>
              <w:spacing w:after="0" w:line="240" w:lineRule="auto"/>
              <w:jc w:val="both"/>
              <w:rPr>
                <w:rFonts w:ascii="Times New Roman" w:hAnsi="Times New Roman" w:eastAsiaTheme="minorHAnsi" w:cs="Times New Roman"/>
                <w:sz w:val="24"/>
                <w:szCs w:val="24"/>
                <w:lang w:val="en-US" w:eastAsia="en-US" w:bidi="ar-SA"/>
              </w:rPr>
            </w:pPr>
            <w:hyperlink r:id="rId46" w:history="1">
              <w:r w:rsidRPr="00842E73" w:rsidR="0091740E">
                <w:rPr>
                  <w:rFonts w:ascii="Times New Roman" w:hAnsi="Times New Roman" w:eastAsiaTheme="minorHAnsi" w:cs="Times New Roman"/>
                  <w:color w:val="0000FF"/>
                  <w:sz w:val="24"/>
                  <w:szCs w:val="24"/>
                  <w:u w:val="single"/>
                  <w:lang w:val="en-US" w:eastAsia="en-US" w:bidi="ar-SA"/>
                </w:rPr>
                <w:t>awalke@mcneeslaw.com</w:t>
              </w:r>
            </w:hyperlink>
          </w:p>
          <w:p w:rsidR="00D930A0" w:rsidRPr="00842E73" w:rsidP="006B7D7A" w14:paraId="12B3AA93" w14:textId="77777777">
            <w:pPr>
              <w:spacing w:after="0" w:line="240" w:lineRule="auto"/>
              <w:jc w:val="both"/>
              <w:rPr>
                <w:rFonts w:ascii="Times New Roman" w:hAnsi="Times New Roman" w:eastAsiaTheme="minorHAnsi" w:cs="Times New Roman"/>
                <w:sz w:val="24"/>
                <w:szCs w:val="24"/>
                <w:lang w:val="en-US" w:eastAsia="en-US" w:bidi="ar-SA"/>
              </w:rPr>
            </w:pPr>
            <w:hyperlink r:id="rId47" w:history="1">
              <w:r w:rsidRPr="00842E73" w:rsidR="0091740E">
                <w:rPr>
                  <w:rFonts w:ascii="Times New Roman" w:hAnsi="Times New Roman" w:eastAsiaTheme="minorHAnsi" w:cs="Times New Roman"/>
                  <w:color w:val="0000FF"/>
                  <w:sz w:val="24"/>
                  <w:szCs w:val="24"/>
                  <w:u w:val="single"/>
                  <w:lang w:val="en-US" w:eastAsia="en-US" w:bidi="ar-SA"/>
                </w:rPr>
                <w:t>cgrundmann@spilmanlaw.com</w:t>
              </w:r>
            </w:hyperlink>
          </w:p>
          <w:p w:rsidR="00D930A0" w:rsidRPr="00842E73" w:rsidP="006B7D7A" w14:paraId="11A38499" w14:textId="77777777">
            <w:pPr>
              <w:spacing w:after="0" w:line="240" w:lineRule="auto"/>
              <w:jc w:val="both"/>
              <w:rPr>
                <w:rFonts w:ascii="Times New Roman" w:hAnsi="Times New Roman" w:eastAsiaTheme="minorHAnsi" w:cs="Times New Roman"/>
                <w:sz w:val="24"/>
                <w:szCs w:val="24"/>
                <w:lang w:val="en-US" w:eastAsia="en-US" w:bidi="ar-SA"/>
              </w:rPr>
            </w:pPr>
            <w:hyperlink r:id="rId48" w:history="1">
              <w:r w:rsidRPr="00842E73" w:rsidR="0091740E">
                <w:rPr>
                  <w:rFonts w:ascii="Times New Roman" w:hAnsi="Times New Roman" w:eastAsiaTheme="minorHAnsi" w:cs="Times New Roman"/>
                  <w:color w:val="0000FF"/>
                  <w:sz w:val="24"/>
                  <w:szCs w:val="24"/>
                  <w:u w:val="single"/>
                  <w:lang w:val="en-US" w:eastAsia="en-US" w:bidi="ar-SA"/>
                </w:rPr>
                <w:t>dwilliamson@spilmanlaw.com</w:t>
              </w:r>
            </w:hyperlink>
          </w:p>
          <w:p w:rsidR="00D930A0" w:rsidRPr="00842E73" w:rsidP="006B7D7A" w14:paraId="4922A817" w14:textId="77777777">
            <w:pPr>
              <w:spacing w:after="0" w:line="240" w:lineRule="auto"/>
              <w:jc w:val="both"/>
              <w:rPr>
                <w:rFonts w:ascii="Times New Roman" w:hAnsi="Times New Roman" w:eastAsiaTheme="minorHAnsi" w:cs="Times New Roman"/>
                <w:sz w:val="24"/>
                <w:szCs w:val="24"/>
                <w:lang w:val="en-US" w:eastAsia="en-US" w:bidi="ar-SA"/>
              </w:rPr>
            </w:pPr>
            <w:hyperlink r:id="rId49" w:history="1">
              <w:r w:rsidRPr="00842E73" w:rsidR="0091740E">
                <w:rPr>
                  <w:rFonts w:ascii="Times New Roman" w:hAnsi="Times New Roman" w:eastAsiaTheme="minorHAnsi" w:cs="Times New Roman"/>
                  <w:color w:val="0000FF"/>
                  <w:sz w:val="24"/>
                  <w:szCs w:val="24"/>
                  <w:u w:val="single"/>
                  <w:lang w:val="en-US" w:eastAsia="en-US" w:bidi="ar-SA"/>
                </w:rPr>
                <w:t>slee@spilmanlaw.com</w:t>
              </w:r>
            </w:hyperlink>
          </w:p>
          <w:p w:rsidR="00D930A0" w:rsidRPr="00842E73" w:rsidP="006B7D7A" w14:paraId="51975146" w14:textId="77777777">
            <w:pPr>
              <w:spacing w:after="0" w:line="240" w:lineRule="auto"/>
              <w:jc w:val="both"/>
              <w:rPr>
                <w:rFonts w:ascii="Times New Roman" w:hAnsi="Times New Roman" w:eastAsiaTheme="minorHAnsi" w:cs="Times New Roman"/>
                <w:sz w:val="24"/>
                <w:szCs w:val="24"/>
                <w:lang w:val="en-US" w:eastAsia="en-US" w:bidi="ar-SA"/>
              </w:rPr>
            </w:pPr>
            <w:hyperlink r:id="rId50" w:history="1">
              <w:r w:rsidRPr="00842E73" w:rsidR="0091740E">
                <w:rPr>
                  <w:rStyle w:val="Hyperlink"/>
                  <w:rFonts w:ascii="Times New Roman" w:hAnsi="Times New Roman" w:eastAsiaTheme="minorHAnsi" w:cs="Times New Roman"/>
                  <w:color w:val="0000FF"/>
                  <w:sz w:val="24"/>
                  <w:szCs w:val="24"/>
                  <w:u w:val="single"/>
                  <w:lang w:val="en-US" w:eastAsia="en-US" w:bidi="ar-SA"/>
                </w:rPr>
                <w:t>dstinson@brickergraydon.com</w:t>
              </w:r>
            </w:hyperlink>
          </w:p>
          <w:p w:rsidR="00D930A0" w:rsidRPr="00842E73" w:rsidP="006B7D7A" w14:paraId="3515B8E1" w14:textId="77777777">
            <w:pPr>
              <w:spacing w:after="0" w:line="240" w:lineRule="auto"/>
              <w:jc w:val="both"/>
              <w:rPr>
                <w:rFonts w:ascii="Times New Roman" w:hAnsi="Times New Roman" w:eastAsiaTheme="minorHAnsi" w:cs="Times New Roman"/>
                <w:sz w:val="24"/>
                <w:szCs w:val="24"/>
                <w:lang w:val="en-US" w:eastAsia="en-US" w:bidi="ar-SA"/>
              </w:rPr>
            </w:pPr>
            <w:hyperlink r:id="rId51" w:history="1">
              <w:r w:rsidRPr="00842E73" w:rsidR="0091740E">
                <w:rPr>
                  <w:rStyle w:val="Hyperlink"/>
                  <w:rFonts w:ascii="Times New Roman" w:hAnsi="Times New Roman" w:eastAsiaTheme="minorHAnsi" w:cs="Times New Roman"/>
                  <w:color w:val="0000FF"/>
                  <w:sz w:val="24"/>
                  <w:szCs w:val="24"/>
                  <w:u w:val="single"/>
                  <w:lang w:val="en-US" w:eastAsia="en-US" w:bidi="ar-SA"/>
                </w:rPr>
                <w:t>gkrassen@nopec.org</w:t>
              </w:r>
            </w:hyperlink>
          </w:p>
          <w:p w:rsidR="00D930A0" w:rsidRPr="00842E73" w:rsidP="006B7D7A" w14:paraId="1D627066" w14:textId="77777777">
            <w:pPr>
              <w:spacing w:after="0" w:line="240" w:lineRule="auto"/>
              <w:jc w:val="both"/>
              <w:rPr>
                <w:rFonts w:ascii="Times New Roman" w:hAnsi="Times New Roman" w:eastAsiaTheme="minorHAnsi" w:cs="Times New Roman"/>
                <w:sz w:val="24"/>
                <w:szCs w:val="24"/>
                <w:lang w:val="en-US" w:eastAsia="en-US" w:bidi="ar-SA"/>
              </w:rPr>
            </w:pPr>
          </w:p>
          <w:p w:rsidR="00D930A0" w:rsidRPr="00842E73" w:rsidP="006B7D7A" w14:paraId="647EB8AB" w14:textId="77777777">
            <w:pPr>
              <w:spacing w:after="0" w:line="240" w:lineRule="auto"/>
              <w:jc w:val="both"/>
              <w:rPr>
                <w:rFonts w:ascii="Times New Roman" w:hAnsi="Times New Roman" w:eastAsiaTheme="minorHAnsi" w:cs="Times New Roman"/>
                <w:bCs/>
                <w:sz w:val="24"/>
                <w:szCs w:val="24"/>
                <w:lang w:val="en-US" w:eastAsia="en-US" w:bidi="ar-SA"/>
              </w:rPr>
            </w:pPr>
          </w:p>
        </w:tc>
      </w:tr>
    </w:tbl>
    <w:p w:rsidR="00D1782F" w:rsidRPr="00842E73" w14:paraId="22C53BFD" w14:textId="0DD89F46">
      <w:pPr>
        <w:spacing w:after="200" w:line="276" w:lineRule="auto"/>
        <w:rPr>
          <w:rFonts w:cs="Times New Roman"/>
          <w:b/>
          <w:szCs w:val="24"/>
        </w:rPr>
      </w:pPr>
    </w:p>
    <w:sectPr w:rsidSect="009B5D0B">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4915" w14:paraId="6F1D90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70973107"/>
      <w:docPartObj>
        <w:docPartGallery w:val="Page Numbers (Bottom of Page)"/>
        <w:docPartUnique/>
      </w:docPartObj>
    </w:sdtPr>
    <w:sdtEndPr>
      <w:rPr>
        <w:noProof/>
      </w:rPr>
    </w:sdtEndPr>
    <w:sdtContent>
      <w:p w:rsidR="009A1B81" w14:paraId="142BF9C4" w14:textId="1B9592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4915" w14:paraId="666C931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0370939"/>
      <w:docPartObj>
        <w:docPartGallery w:val="Page Numbers (Bottom of Page)"/>
        <w:docPartUnique/>
      </w:docPartObj>
    </w:sdtPr>
    <w:sdtEndPr>
      <w:rPr>
        <w:noProof/>
      </w:rPr>
    </w:sdtEndPr>
    <w:sdtContent>
      <w:p w:rsidR="009E3892" w:rsidP="00011083" w14:paraId="46601812" w14:textId="2B7A49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6253859"/>
      <w:docPartObj>
        <w:docPartGallery w:val="Page Numbers (Bottom of Page)"/>
        <w:docPartUnique/>
      </w:docPartObj>
    </w:sdtPr>
    <w:sdtEndPr>
      <w:rPr>
        <w:noProof/>
      </w:rPr>
    </w:sdtEndPr>
    <w:sdtContent>
      <w:p w:rsidR="009E3892" w14:paraId="562961E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5D0B" w14:paraId="2F865797" w14:textId="77777777">
      <w:r>
        <w:separator/>
      </w:r>
    </w:p>
  </w:footnote>
  <w:footnote w:type="continuationSeparator" w:id="1">
    <w:p w:rsidR="009B5D0B" w14:paraId="226C0462" w14:textId="77777777">
      <w:r>
        <w:continuationSeparator/>
      </w:r>
    </w:p>
  </w:footnote>
  <w:footnote w:id="2">
    <w:p w:rsidR="007E016E" w:rsidRPr="00F14B17" w:rsidP="00F14B17" w14:paraId="5B6DDF26"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United States of America v. Samuel Randazzo</w:t>
      </w:r>
      <w:r w:rsidRPr="00F14B17">
        <w:rPr>
          <w:rFonts w:cs="Times New Roman"/>
        </w:rPr>
        <w:t>, Case No. 1:23-cr-114, Indictment (Nov. 29, 2023).</w:t>
      </w:r>
    </w:p>
  </w:footnote>
  <w:footnote w:id="3">
    <w:p w:rsidR="009415DF" w:rsidRPr="00F14B17" w:rsidP="00F14B17" w14:paraId="158A099A" w14:textId="48197208">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United States of America v. FirstEnergy Corp</w:t>
      </w:r>
      <w:r w:rsidRPr="00F14B17">
        <w:rPr>
          <w:rFonts w:cs="Times New Roman"/>
        </w:rPr>
        <w:t>., Case No. 1:21-cr-86, Deferred Prosecution Agreement at 34 (July 22, 2021) (emphasis added).</w:t>
      </w:r>
    </w:p>
  </w:footnote>
  <w:footnote w:id="4">
    <w:p w:rsidR="00AB3C19" w:rsidRPr="00F14B17" w:rsidP="00F14B17" w14:paraId="79E04EE6"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In the Matter of the Application of Ohio Edison Company, the Cleveland Electric Illuminating Company and the Toledo Edison Company for Authority to Provide a Standard Service Offer Pursuant to R.C. 4928.143 in the Form of an Electric Security Plan</w:t>
      </w:r>
      <w:r w:rsidRPr="00F14B17">
        <w:rPr>
          <w:rFonts w:cs="Times New Roman"/>
        </w:rPr>
        <w:t xml:space="preserve">, Case No. 14-1297-EL-SSO, Third Supplemental Stipulation at 9-10 (Dec. 1, 2015). </w:t>
      </w:r>
    </w:p>
  </w:footnote>
  <w:footnote w:id="5">
    <w:p w:rsidR="00F36D3C" w:rsidRPr="00F14B17" w:rsidP="00F14B17" w14:paraId="57FA5000" w14:textId="23507381">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United States of America v. FirstEnergy Corp</w:t>
      </w:r>
      <w:r w:rsidRPr="00F14B17">
        <w:rPr>
          <w:rFonts w:cs="Times New Roman"/>
        </w:rPr>
        <w:t xml:space="preserve">., Case No. 1:21-cr-86, Deferred Prosecution Agreement at </w:t>
      </w:r>
      <w:r w:rsidRPr="00F14B17" w:rsidR="004F7990">
        <w:rPr>
          <w:rFonts w:cs="Times New Roman"/>
        </w:rPr>
        <w:t xml:space="preserve">17 </w:t>
      </w:r>
      <w:r w:rsidRPr="00F14B17">
        <w:rPr>
          <w:rFonts w:cs="Times New Roman"/>
        </w:rPr>
        <w:t>(July 22, 202</w:t>
      </w:r>
      <w:r w:rsidRPr="00F14B17" w:rsidR="004F7990">
        <w:rPr>
          <w:rFonts w:cs="Times New Roman"/>
        </w:rPr>
        <w:t>1).</w:t>
      </w:r>
    </w:p>
  </w:footnote>
  <w:footnote w:id="6">
    <w:p w:rsidR="004F7990" w:rsidRPr="00F14B17" w:rsidP="00F14B17" w14:paraId="3FC875A2"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 xml:space="preserve">In the Matter of the Filing by Ohio Edison Company, the Cleveland Electric Illuminating Company and the Toledo Edison Company of a Grid Modernization Business Plan, </w:t>
      </w:r>
      <w:r w:rsidRPr="00F14B17">
        <w:rPr>
          <w:rFonts w:cs="Times New Roman"/>
        </w:rPr>
        <w:t>Case Nos. 16-481-EL-UNC, et al., Opinion and Order at 73 (July 17, 2019).</w:t>
      </w:r>
    </w:p>
  </w:footnote>
  <w:footnote w:id="7">
    <w:p w:rsidR="00134CA2" w:rsidRPr="00F14B17" w:rsidP="00F14B17" w14:paraId="277506F1" w14:textId="3650DB4D">
      <w:pPr>
        <w:pStyle w:val="FootnoteText"/>
        <w:rPr>
          <w:rFonts w:cs="Times New Roman"/>
        </w:rPr>
      </w:pPr>
      <w:r w:rsidRPr="00F14B17">
        <w:rPr>
          <w:rStyle w:val="FootnoteReference"/>
          <w:rFonts w:cs="Times New Roman"/>
        </w:rPr>
        <w:footnoteRef/>
      </w:r>
      <w:r w:rsidRPr="00F14B17">
        <w:rPr>
          <w:rFonts w:cs="Times New Roman"/>
        </w:rPr>
        <w:t xml:space="preserve"> Application at 1 (July 15, 2022).</w:t>
      </w:r>
    </w:p>
  </w:footnote>
  <w:footnote w:id="8">
    <w:p w:rsidR="00AB3C19" w:rsidRPr="00F14B17" w:rsidP="00F14B17" w14:paraId="41EEA2C7"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In the Matter of the 2020 Review of the Delivery Capital Recovery Rider of Ohio Edison Company, the Cleveland Electric Illuminating Company, and the Toledo Edison Company</w:t>
      </w:r>
      <w:r w:rsidRPr="00F14B17">
        <w:rPr>
          <w:rFonts w:cs="Times New Roman"/>
        </w:rPr>
        <w:t>, Case No. 20-1629-EL-RDR, Entry (Dec. 15, 2021).</w:t>
      </w:r>
    </w:p>
  </w:footnote>
  <w:footnote w:id="9">
    <w:p w:rsidR="00BF59E2" w:rsidRPr="00F14B17" w:rsidP="00F14B17" w14:paraId="757AD56D" w14:textId="70414933">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sidR="002C3994">
        <w:rPr>
          <w:rFonts w:cs="Times New Roman"/>
          <w:i/>
          <w:iCs/>
        </w:rPr>
        <w:t>In the Matter of the 2020 Review of the Delivery Capital Recovery Rider of Ohio Edison Company, the Cleveland Electric Illuminating Company, and the Toledo Edison Company</w:t>
      </w:r>
      <w:r w:rsidRPr="00F14B17" w:rsidR="002C3994">
        <w:rPr>
          <w:rFonts w:cs="Times New Roman"/>
        </w:rPr>
        <w:t xml:space="preserve">, Case No. 20-1629-EL-RDR, </w:t>
      </w:r>
      <w:r w:rsidRPr="00F14B17">
        <w:rPr>
          <w:rFonts w:cs="Times New Roman"/>
        </w:rPr>
        <w:t>Request for Proposal No. RA20-CA-3 at 1</w:t>
      </w:r>
      <w:r w:rsidRPr="00F14B17" w:rsidR="002C3994">
        <w:rPr>
          <w:rFonts w:cs="Times New Roman"/>
        </w:rPr>
        <w:t xml:space="preserve"> (Nov. 4, 2020)</w:t>
      </w:r>
      <w:r w:rsidRPr="00F14B17">
        <w:rPr>
          <w:rFonts w:cs="Times New Roman"/>
        </w:rPr>
        <w:t>.</w:t>
      </w:r>
    </w:p>
  </w:footnote>
  <w:footnote w:id="10">
    <w:p w:rsidR="007E016E" w:rsidRPr="00F14B17" w:rsidP="00F14B17" w14:paraId="39124ABF" w14:textId="39E4E370">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In the Matter of the Ohio Edison Company, the Cleveland Electric Illuminating Company, and the Toledo Edison Company</w:t>
      </w:r>
      <w:r w:rsidRPr="00F14B17" w:rsidR="00842E73">
        <w:rPr>
          <w:rFonts w:cs="Times New Roman"/>
          <w:i/>
          <w:iCs/>
        </w:rPr>
        <w:t>’</w:t>
      </w:r>
      <w:r w:rsidRPr="00F14B17">
        <w:rPr>
          <w:rFonts w:cs="Times New Roman"/>
          <w:i/>
          <w:iCs/>
        </w:rPr>
        <w:t>s Compliance with R.C. 4928.17 and the Ohio Adm. Code Chapter 4901:1-37</w:t>
      </w:r>
      <w:r w:rsidRPr="00F14B17">
        <w:rPr>
          <w:rFonts w:cs="Times New Roman"/>
        </w:rPr>
        <w:t xml:space="preserve">, Case No. 17-974-EL-UNC, Entry (Aug. 24, 2023); </w:t>
      </w:r>
      <w:r w:rsidRPr="00F14B17">
        <w:rPr>
          <w:rFonts w:cs="Times New Roman"/>
          <w:i/>
          <w:iCs/>
        </w:rPr>
        <w:t xml:space="preserve">In the Matter of the Review of the Distribution Modernization Rider of Ohio Edison Company, the Cleveland Electric Illuminating Company, and the Toledo Edison Company, </w:t>
      </w:r>
      <w:r w:rsidRPr="00F14B17">
        <w:rPr>
          <w:rFonts w:cs="Times New Roman"/>
        </w:rPr>
        <w:t xml:space="preserve">Case No. 17-2474-EL-RDR, Entry (Aug. 24, 2023); </w:t>
      </w:r>
      <w:r w:rsidRPr="00F14B17">
        <w:rPr>
          <w:rFonts w:cs="Times New Roman"/>
          <w:i/>
          <w:iCs/>
        </w:rPr>
        <w:t xml:space="preserve">In the Matter of the Review of the Political and Charitable Spending by Ohio Edison Company, the Cleveland Electric Illuminating Company, and the Toledo Edison Company, </w:t>
      </w:r>
      <w:r w:rsidRPr="00F14B17">
        <w:rPr>
          <w:rFonts w:cs="Times New Roman"/>
        </w:rPr>
        <w:t xml:space="preserve">Case No. 20-1502-EL-UNC, Entry (Aug. 24, 2023); </w:t>
      </w:r>
      <w:r w:rsidRPr="00F14B17">
        <w:rPr>
          <w:rFonts w:cs="Times New Roman"/>
          <w:i/>
          <w:iCs/>
        </w:rPr>
        <w:t>In the Matter of the 2020 Review of the Delivery Capital Recovery Rider of Ohio Edison Company, the Cleveland Electric Illuminating Company, and the Toledo Edison Company</w:t>
      </w:r>
      <w:r w:rsidRPr="00F14B17">
        <w:rPr>
          <w:rFonts w:cs="Times New Roman"/>
        </w:rPr>
        <w:t>, Case No. 20-1629-EL-RDR Entry (Aug. 24, 2023).</w:t>
      </w:r>
    </w:p>
  </w:footnote>
  <w:footnote w:id="11">
    <w:p w:rsidR="00934B94" w:rsidRPr="00F14B17" w:rsidP="00F14B17" w14:paraId="325F16E1" w14:textId="77777777">
      <w:pPr>
        <w:pStyle w:val="FootnoteText"/>
        <w:rPr>
          <w:rFonts w:cs="Times New Roman"/>
        </w:rPr>
      </w:pPr>
      <w:r w:rsidRPr="00F14B17">
        <w:rPr>
          <w:rStyle w:val="FootnoteReference"/>
          <w:rFonts w:cs="Times New Roman"/>
        </w:rPr>
        <w:footnoteRef/>
      </w:r>
      <w:r w:rsidRPr="00F14B17">
        <w:rPr>
          <w:rFonts w:cs="Times New Roman"/>
        </w:rPr>
        <w:t xml:space="preserve"> Case No. 17-974-EL-UNC, 20-1502-EL-UNC, 17-2474-EL-RDR and 20-1629-EL-RDR. </w:t>
      </w:r>
    </w:p>
  </w:footnote>
  <w:footnote w:id="12">
    <w:p w:rsidR="00934B94" w:rsidRPr="00F14B17" w:rsidP="00F14B17" w14:paraId="04FD749B" w14:textId="10E00318">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 xml:space="preserve">Emp. Retirement Sys. of City of St. Louis v. Jones, </w:t>
      </w:r>
      <w:r w:rsidRPr="00F14B17">
        <w:rPr>
          <w:rFonts w:cs="Times New Roman"/>
        </w:rPr>
        <w:t>Case No. 2:20-cv-4813, Order of Final Settlement Approval at 17 (Aug. 23, 2022) (</w:t>
      </w:r>
      <w:r w:rsidR="009C0E5D">
        <w:rPr>
          <w:rFonts w:cs="Times New Roman"/>
        </w:rPr>
        <w:t>e</w:t>
      </w:r>
      <w:r w:rsidRPr="00F14B17">
        <w:rPr>
          <w:rFonts w:cs="Times New Roman"/>
        </w:rPr>
        <w:t>mphasis added).</w:t>
      </w:r>
    </w:p>
  </w:footnote>
  <w:footnote w:id="13">
    <w:p w:rsidR="00934B94" w:rsidRPr="00F14B17" w:rsidP="00F14B17" w14:paraId="0A6F2100" w14:textId="4307F056">
      <w:pPr>
        <w:shd w:val="clear" w:color="auto" w:fill="FFFFFF"/>
        <w:spacing w:after="120"/>
        <w:rPr>
          <w:rFonts w:eastAsia="Times New Roman" w:cs="Times New Roman"/>
          <w:color w:val="000000"/>
          <w:sz w:val="20"/>
          <w:szCs w:val="20"/>
        </w:rPr>
      </w:pPr>
      <w:r w:rsidRPr="00F14B17">
        <w:rPr>
          <w:rStyle w:val="FootnoteReference"/>
          <w:rFonts w:cs="Times New Roman"/>
          <w:sz w:val="20"/>
          <w:szCs w:val="20"/>
        </w:rPr>
        <w:footnoteRef/>
      </w:r>
      <w:r w:rsidRPr="00F14B17">
        <w:rPr>
          <w:rFonts w:cs="Times New Roman"/>
          <w:sz w:val="20"/>
          <w:szCs w:val="20"/>
        </w:rPr>
        <w:t xml:space="preserve"> </w:t>
      </w:r>
      <w:r w:rsidRPr="00F14B17">
        <w:rPr>
          <w:rFonts w:cs="Times New Roman"/>
          <w:i/>
          <w:iCs/>
          <w:sz w:val="20"/>
          <w:szCs w:val="20"/>
        </w:rPr>
        <w:t xml:space="preserve">See </w:t>
      </w:r>
      <w:r w:rsidRPr="00F14B17" w:rsidR="00842E73">
        <w:rPr>
          <w:rFonts w:cs="Times New Roman"/>
          <w:sz w:val="20"/>
          <w:szCs w:val="20"/>
        </w:rPr>
        <w:t>“</w:t>
      </w:r>
      <w:r w:rsidRPr="00F14B17">
        <w:rPr>
          <w:rFonts w:cs="Times New Roman"/>
          <w:sz w:val="20"/>
          <w:szCs w:val="20"/>
        </w:rPr>
        <w:t>U.S. Attorney investigating FirstEnergy/HB 6 scandal needs to let ratepayer probes proceed,</w:t>
      </w:r>
      <w:r w:rsidRPr="00F14B17" w:rsidR="00842E73">
        <w:rPr>
          <w:rFonts w:cs="Times New Roman"/>
          <w:sz w:val="20"/>
          <w:szCs w:val="20"/>
        </w:rPr>
        <w:t>”</w:t>
      </w:r>
      <w:r w:rsidRPr="00F14B17">
        <w:rPr>
          <w:rFonts w:cs="Times New Roman"/>
          <w:sz w:val="20"/>
          <w:szCs w:val="20"/>
        </w:rPr>
        <w:t xml:space="preserve"> Cleveland Plain Dealer (Oct. 22, 2023), </w:t>
      </w:r>
      <w:hyperlink r:id="rId1" w:history="1">
        <w:r w:rsidRPr="00F14B17">
          <w:rPr>
            <w:rStyle w:val="Hyperlink"/>
            <w:rFonts w:eastAsia="Times New Roman" w:cs="Times New Roman"/>
            <w:sz w:val="20"/>
            <w:szCs w:val="20"/>
          </w:rPr>
          <w:t>https://www.cleveland.com/opinion/2023/10/us-attorney-investigating-firstenergyhb-6-scandal-needs-to-let-ratepayer-probes-proceed-ashley-brown.html</w:t>
        </w:r>
      </w:hyperlink>
      <w:r w:rsidRPr="00F14B17">
        <w:rPr>
          <w:rFonts w:eastAsia="Times New Roman" w:cs="Times New Roman"/>
          <w:color w:val="000000"/>
          <w:sz w:val="20"/>
          <w:szCs w:val="20"/>
        </w:rPr>
        <w:t xml:space="preserve">; </w:t>
      </w:r>
      <w:r w:rsidRPr="00F14B17" w:rsidR="00842E73">
        <w:rPr>
          <w:rFonts w:eastAsia="Times New Roman" w:cs="Times New Roman"/>
          <w:color w:val="000000"/>
          <w:sz w:val="20"/>
          <w:szCs w:val="20"/>
        </w:rPr>
        <w:t>“</w:t>
      </w:r>
      <w:r w:rsidRPr="00F14B17">
        <w:rPr>
          <w:rFonts w:eastAsia="Times New Roman" w:cs="Times New Roman"/>
          <w:color w:val="000000"/>
          <w:sz w:val="20"/>
          <w:szCs w:val="20"/>
        </w:rPr>
        <w:t>PUCO needs to do its duty by ratepayers and the U.S. attorney needs to get out of the way,</w:t>
      </w:r>
      <w:r w:rsidRPr="00F14B17" w:rsidR="00842E73">
        <w:rPr>
          <w:rFonts w:eastAsia="Times New Roman" w:cs="Times New Roman"/>
          <w:color w:val="000000"/>
          <w:sz w:val="20"/>
          <w:szCs w:val="20"/>
        </w:rPr>
        <w:t>”</w:t>
      </w:r>
      <w:r w:rsidRPr="00F14B17">
        <w:rPr>
          <w:rFonts w:eastAsia="Times New Roman" w:cs="Times New Roman"/>
          <w:color w:val="000000"/>
          <w:sz w:val="20"/>
          <w:szCs w:val="20"/>
        </w:rPr>
        <w:t xml:space="preserve"> Cleveland Plain Dealer (Oct. 27, 2023), </w:t>
      </w:r>
      <w:hyperlink r:id="rId2" w:tgtFrame="_blank" w:tooltip="Original URL: https://www.cleveland.com/opinion/2023/10/puco-needs-to-do-its-duty-by-ratepayers-and-the-us-attorney-needs-to-get-out-of-the-way-editorial.html. Click or tap if you trust this link." w:history="1">
        <w:r w:rsidRPr="00F14B17">
          <w:rPr>
            <w:rStyle w:val="Hyperlink"/>
            <w:rFonts w:eastAsia="Times New Roman" w:cs="Times New Roman"/>
            <w:sz w:val="20"/>
            <w:szCs w:val="20"/>
          </w:rPr>
          <w:t>https://www.cleveland.com/opinion/2023/10/puco-needs-to-do-its-duty-by-ratepayers-and-the-us-attorney-needs-to-get-out-of-the-way-editorial.html</w:t>
        </w:r>
      </w:hyperlink>
      <w:r w:rsidRPr="00F14B17">
        <w:rPr>
          <w:rFonts w:eastAsia="Times New Roman" w:cs="Times New Roman"/>
          <w:color w:val="000000"/>
          <w:sz w:val="20"/>
          <w:szCs w:val="20"/>
        </w:rPr>
        <w:t>.</w:t>
      </w:r>
    </w:p>
  </w:footnote>
  <w:footnote w:id="14">
    <w:p w:rsidR="00833876" w:rsidRPr="00F14B17" w:rsidP="00F14B17" w14:paraId="7E48E95D"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United States of America v. FirstEnergy Corp</w:t>
      </w:r>
      <w:r w:rsidRPr="00F14B17">
        <w:rPr>
          <w:rFonts w:cs="Times New Roman"/>
        </w:rPr>
        <w:t>., Case No. 1:21-cr-86, Deferred Prosecution Agreement at 17 (July 20, 2021) (emphasis added).</w:t>
      </w:r>
    </w:p>
  </w:footnote>
  <w:footnote w:id="15">
    <w:p w:rsidR="002C3994" w:rsidRPr="00F14B17" w:rsidP="00F14B17" w14:paraId="3B50278E" w14:textId="18A7C891">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United States of America v. Samuel Randazzo</w:t>
      </w:r>
      <w:r w:rsidRPr="00F14B17">
        <w:rPr>
          <w:rFonts w:cs="Times New Roman"/>
        </w:rPr>
        <w:t>, Case No. 1:23-cr-114, Indictment at 6 (Nov. 29, 2023).</w:t>
      </w:r>
    </w:p>
  </w:footnote>
  <w:footnote w:id="16">
    <w:p w:rsidR="00833876" w:rsidRPr="00F14B17" w:rsidP="00F14B17" w14:paraId="19069C8B" w14:textId="7C39FA0E">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In the Matter of the Filing by Ohio Edison Company, the Cleveland Electric Illuminating Company and the Toledo Edison Company of a Grid Modernization Business Plan</w:t>
      </w:r>
      <w:r w:rsidRPr="00F14B17">
        <w:rPr>
          <w:rFonts w:cs="Times New Roman"/>
        </w:rPr>
        <w:t>, Case No. 16-481-EL-UNC.</w:t>
      </w:r>
    </w:p>
  </w:footnote>
  <w:footnote w:id="17">
    <w:p w:rsidR="00833876" w:rsidRPr="00F14B17" w:rsidP="00F14B17" w14:paraId="2DB04BF3"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 xml:space="preserve">In the Matter of the Application of Ohio Edison Company, the Cleveland Electric Illuminating Company, and the Toledo Edison Company for Approval of Phase Two of Their Distribution Grid Modernization Plan, </w:t>
      </w:r>
      <w:r w:rsidRPr="00F14B17">
        <w:rPr>
          <w:rFonts w:cs="Times New Roman"/>
        </w:rPr>
        <w:t xml:space="preserve">Case No. 22-704-EL-UNC; </w:t>
      </w:r>
      <w:r w:rsidRPr="00F14B17">
        <w:rPr>
          <w:rFonts w:cs="Times New Roman"/>
          <w:i/>
          <w:iCs/>
        </w:rPr>
        <w:t>In the Matter of the Filing by Ohio Edison Company, the Cleveland Electric Illuminating Company and the Toledo Edison Company of a Grid Modernization Business Plan</w:t>
      </w:r>
      <w:r w:rsidRPr="00F14B17">
        <w:rPr>
          <w:rFonts w:cs="Times New Roman"/>
        </w:rPr>
        <w:t>, Case No. 16-481-EL-UNC.</w:t>
      </w:r>
    </w:p>
  </w:footnote>
  <w:footnote w:id="18">
    <w:p w:rsidR="00FF0590" w:rsidRPr="00F14B17" w:rsidP="00F14B17" w14:paraId="4D3D5B04" w14:textId="73E8EC83">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In the Matter of the Application of Ohio Edison Company, the Cleveland Electric Illuminating Company and the Toledo Edison Company for Authority to Provide a Standard Service Offer Pursuant to R.C. 4928.143 in the Form of an Electric Security Plan</w:t>
      </w:r>
      <w:r w:rsidRPr="00F14B17">
        <w:rPr>
          <w:rFonts w:cs="Times New Roman"/>
        </w:rPr>
        <w:t>, Case No. 14-1297-EL-SSO, Third Supplemental Stipulation at 9-10 (Dec. 1, 2015).</w:t>
      </w:r>
    </w:p>
  </w:footnote>
  <w:footnote w:id="19">
    <w:p w:rsidR="002C3994" w:rsidRPr="00F14B17" w:rsidP="00F14B17" w14:paraId="75A19CA7" w14:textId="7DBFF2DB">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In the Matter of the 2020 Review of the Delivery Capital Recovery Rider of Ohio Edison Company, the Cleveland Electric Illuminating Company, and the Toledo Edison Company</w:t>
      </w:r>
      <w:r w:rsidRPr="00F14B17">
        <w:rPr>
          <w:rFonts w:cs="Times New Roman"/>
        </w:rPr>
        <w:t>, Case No. 20-1629-EL-RDR, Request for Proposal No. RA20-CA-3 at 1 (Nov. 4, 2020).</w:t>
      </w:r>
    </w:p>
  </w:footnote>
  <w:footnote w:id="20">
    <w:p w:rsidR="00833876" w:rsidRPr="00F14B17" w:rsidP="00F14B17" w14:paraId="5F5E7FBE"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In the Matter of the 2020 Review of the Delivery Capital Recovery Rider of Ohio Edison Company, the Cleveland Electric Illuminating Company, and the Toledo Edison Company</w:t>
      </w:r>
      <w:r w:rsidRPr="00F14B17">
        <w:rPr>
          <w:rFonts w:cs="Times New Roman"/>
        </w:rPr>
        <w:t>, Case No. 20-1629-EL-RDR, Entry (Dec. 15, 2021).</w:t>
      </w:r>
    </w:p>
  </w:footnote>
  <w:footnote w:id="21">
    <w:p w:rsidR="00833876" w:rsidRPr="00F14B17" w:rsidP="00F14B17" w14:paraId="47578D64" w14:textId="0C2E0883">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 xml:space="preserve">In the Matter of the Application of Ohio Edison Company, the Cleveland Electric Illuminating Company and the Toledo Edison Company to Implement Matters Relating to the Tax Cuts and Jobs Act of 2017, </w:t>
      </w:r>
      <w:r w:rsidRPr="00F14B17">
        <w:rPr>
          <w:rFonts w:cs="Times New Roman"/>
        </w:rPr>
        <w:t>Case No</w:t>
      </w:r>
      <w:r w:rsidRPr="00F14B17" w:rsidR="002C3994">
        <w:rPr>
          <w:rFonts w:cs="Times New Roman"/>
        </w:rPr>
        <w:t>s</w:t>
      </w:r>
      <w:r w:rsidRPr="00F14B17">
        <w:rPr>
          <w:rFonts w:cs="Times New Roman"/>
        </w:rPr>
        <w:t>. 18-1604-EL-UNC</w:t>
      </w:r>
      <w:r w:rsidRPr="00F14B17" w:rsidR="002C3994">
        <w:rPr>
          <w:rFonts w:cs="Times New Roman"/>
        </w:rPr>
        <w:t>, et al.</w:t>
      </w:r>
      <w:r w:rsidRPr="00F14B17">
        <w:rPr>
          <w:rFonts w:cs="Times New Roman"/>
        </w:rPr>
        <w:t>, Opinion and Order (July 17, 2019).</w:t>
      </w:r>
    </w:p>
  </w:footnote>
  <w:footnote w:id="22">
    <w:p w:rsidR="00833876" w:rsidRPr="00F14B17" w:rsidP="00F14B17" w14:paraId="04D8085A"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 xml:space="preserve">In the Matter of the Application of Ohio Edison Company, the Cleveland Electric Illuminating Company, and the Toledo Edison Company for Approval of Phase Two of Their Distribution Grid Modernization Plan, </w:t>
      </w:r>
      <w:r w:rsidRPr="00F14B17">
        <w:rPr>
          <w:rFonts w:cs="Times New Roman"/>
        </w:rPr>
        <w:t xml:space="preserve">Case No. 22-704-EL-UNC; </w:t>
      </w:r>
      <w:r w:rsidRPr="00F14B17">
        <w:rPr>
          <w:rFonts w:cs="Times New Roman"/>
          <w:i/>
          <w:iCs/>
        </w:rPr>
        <w:t>In the Matter of the Filing by Ohio Edison Company, the Cleveland Electric Illuminating Company and the Toledo Edison Company of a Grid Modernization Business Plan</w:t>
      </w:r>
      <w:r w:rsidRPr="00F14B17">
        <w:rPr>
          <w:rFonts w:cs="Times New Roman"/>
        </w:rPr>
        <w:t xml:space="preserve">, Case No. 16-481-EL-UNC, Entry (Nov. 16, 2023). </w:t>
      </w:r>
    </w:p>
  </w:footnote>
  <w:footnote w:id="23">
    <w:p w:rsidR="002C1181" w:rsidRPr="00F14B17" w:rsidP="00F14B17" w14:paraId="72CA109E" w14:textId="0A670760">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sidR="00A25C00">
        <w:rPr>
          <w:rFonts w:cs="Times New Roman"/>
          <w:i/>
          <w:iCs/>
        </w:rPr>
        <w:t>United States of America v. FirstEnergy Corp</w:t>
      </w:r>
      <w:r w:rsidRPr="00F14B17" w:rsidR="00A25C00">
        <w:rPr>
          <w:rFonts w:cs="Times New Roman"/>
        </w:rPr>
        <w:t xml:space="preserve">., Case No. 1:21-cr-86, Deferred Prosecution Agreement at </w:t>
      </w:r>
      <w:r w:rsidRPr="00F14B17" w:rsidR="00EB181C">
        <w:rPr>
          <w:rFonts w:cs="Times New Roman"/>
        </w:rPr>
        <w:t>18</w:t>
      </w:r>
      <w:r w:rsidRPr="00F14B17" w:rsidR="00A25C00">
        <w:rPr>
          <w:rFonts w:cs="Times New Roman"/>
        </w:rPr>
        <w:t xml:space="preserve"> (July 20, 2021) (emphasis added).</w:t>
      </w:r>
    </w:p>
  </w:footnote>
  <w:footnote w:id="24">
    <w:p w:rsidR="00FF0590" w:rsidRPr="00F14B17" w:rsidP="00F14B17" w14:paraId="4A1EA27E" w14:textId="35128023">
      <w:pPr>
        <w:pStyle w:val="FootnoteText"/>
        <w:rPr>
          <w:rFonts w:cs="Times New Roman"/>
        </w:rPr>
      </w:pPr>
      <w:r w:rsidRPr="00F14B17">
        <w:rPr>
          <w:rStyle w:val="FootnoteReference"/>
          <w:rFonts w:cs="Times New Roman"/>
        </w:rPr>
        <w:footnoteRef/>
      </w:r>
      <w:r w:rsidRPr="00F14B17">
        <w:rPr>
          <w:rFonts w:cs="Times New Roman"/>
        </w:rPr>
        <w:t xml:space="preserve"> Application (July 15, 2022) at 66, </w:t>
      </w:r>
      <w:r w:rsidR="00341EAE">
        <w:rPr>
          <w:rFonts w:cs="Times New Roman"/>
        </w:rPr>
        <w:t>¶</w:t>
      </w:r>
      <w:r w:rsidRPr="00F14B17">
        <w:rPr>
          <w:rFonts w:cs="Times New Roman"/>
        </w:rPr>
        <w:t xml:space="preserve"> 21 (</w:t>
      </w:r>
      <w:r w:rsidRPr="00F14B17" w:rsidR="00842E73">
        <w:rPr>
          <w:rFonts w:cs="Times New Roman"/>
        </w:rPr>
        <w:t>“</w:t>
      </w:r>
      <w:r w:rsidRPr="00F14B17">
        <w:rPr>
          <w:rFonts w:cs="Times New Roman"/>
        </w:rPr>
        <w:t>The Companies request authorization to recover in Rider AMI their actual Grid Mod II capital costs, up to $626.4 million, and incremental O&amp;M expenses associated with Grid Mod II up to an aggregate of $144.1 million over the deployment period</w:t>
      </w:r>
      <w:r w:rsidRPr="00F14B17" w:rsidR="00842E73">
        <w:rPr>
          <w:rFonts w:cs="Times New Roman"/>
        </w:rPr>
        <w:t>”</w:t>
      </w:r>
      <w:r w:rsidRPr="00F14B17">
        <w:rPr>
          <w:rFonts w:cs="Times New Roman"/>
        </w:rPr>
        <w:t>).</w:t>
      </w:r>
    </w:p>
  </w:footnote>
  <w:footnote w:id="25">
    <w:p w:rsidR="00A25C00" w:rsidRPr="00F14B17" w:rsidP="00F14B17" w14:paraId="2E4C83B7" w14:textId="6298426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United States of America v. FirstEnergy Corp</w:t>
      </w:r>
      <w:r w:rsidRPr="00F14B17">
        <w:rPr>
          <w:rFonts w:cs="Times New Roman"/>
        </w:rPr>
        <w:t>., Case No. 1:21-cr-86, Deferred Prosecution Agreement at 18 (July 20, 2021) (emphasis added)</w:t>
      </w:r>
    </w:p>
  </w:footnote>
  <w:footnote w:id="26">
    <w:p w:rsidR="00934B94" w:rsidRPr="00F14B17" w:rsidP="00F14B17" w14:paraId="026C35B1"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United States of America v. FirstEnergy Corp</w:t>
      </w:r>
      <w:r w:rsidRPr="00F14B17">
        <w:rPr>
          <w:rFonts w:cs="Times New Roman"/>
        </w:rPr>
        <w:t>., Case No. 1:21-cr-86, Deferred Prosecution Agreement at 17 (July 20, 2021) (emphasis added).</w:t>
      </w:r>
    </w:p>
  </w:footnote>
  <w:footnote w:id="27">
    <w:p w:rsidR="00934B94" w:rsidRPr="00F14B17" w:rsidP="00F14B17" w14:paraId="0C547AB4" w14:textId="290139AC">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See</w:t>
      </w:r>
      <w:r w:rsidRPr="00F14B17" w:rsidR="00004B58">
        <w:rPr>
          <w:rFonts w:cs="Times New Roman"/>
          <w:i/>
          <w:iCs/>
        </w:rPr>
        <w:t>,</w:t>
      </w:r>
      <w:r w:rsidRPr="00F14B17">
        <w:rPr>
          <w:rFonts w:cs="Times New Roman"/>
          <w:i/>
          <w:iCs/>
        </w:rPr>
        <w:t xml:space="preserve"> e.g.</w:t>
      </w:r>
      <w:r w:rsidRPr="00F14B17" w:rsidR="00004B58">
        <w:rPr>
          <w:rFonts w:cs="Times New Roman"/>
          <w:i/>
          <w:iCs/>
        </w:rPr>
        <w:t>,</w:t>
      </w:r>
      <w:r w:rsidRPr="00F14B17">
        <w:rPr>
          <w:rFonts w:cs="Times New Roman"/>
          <w:i/>
          <w:iCs/>
        </w:rPr>
        <w:t xml:space="preserve"> In the Matter of the Application of Ohio Edison Company, the Cleveland Electric Illuminating Company, and the Toledo Edison Company for Authority to Provide for a Standard Service Offer Pursuant to R.C. 4928.143 in the Form of an Electric Security Plan</w:t>
      </w:r>
      <w:r w:rsidRPr="00F14B17">
        <w:rPr>
          <w:rFonts w:cs="Times New Roman"/>
        </w:rPr>
        <w:t>, Case No. 14-1297-EL-SSO, Fifth Entry on Rehearing (Oct. 12, 2016), at ¶¶ 38, 39 (permitting the PUCO Staff to propose an alternative proposal for a distribution modernization rider).</w:t>
      </w:r>
    </w:p>
  </w:footnote>
  <w:footnote w:id="28">
    <w:p w:rsidR="00934B94" w:rsidRPr="00F14B17" w:rsidP="00F14B17" w14:paraId="1FF41619" w14:textId="25FF3B95">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In the Matter of the Review of Ohio Edison Company, the Cleveland Electric Illuminating Company, and the Toledo Edison Company</w:t>
      </w:r>
      <w:r w:rsidRPr="00F14B17" w:rsidR="00842E73">
        <w:rPr>
          <w:rFonts w:cs="Times New Roman"/>
          <w:i/>
          <w:iCs/>
        </w:rPr>
        <w:t>’</w:t>
      </w:r>
      <w:r w:rsidRPr="00F14B17">
        <w:rPr>
          <w:rFonts w:cs="Times New Roman"/>
          <w:i/>
          <w:iCs/>
        </w:rPr>
        <w:t>s Compliance with R.C. 4928.17 and Ohio Adm. Code Chapter</w:t>
      </w:r>
      <w:r w:rsidRPr="00F14B17">
        <w:rPr>
          <w:rFonts w:cs="Times New Roman"/>
        </w:rPr>
        <w:t xml:space="preserve"> </w:t>
      </w:r>
      <w:r w:rsidRPr="00F14B17">
        <w:rPr>
          <w:rFonts w:cs="Times New Roman"/>
          <w:i/>
          <w:iCs/>
        </w:rPr>
        <w:t>4901:1-37</w:t>
      </w:r>
      <w:r w:rsidRPr="00F14B17">
        <w:rPr>
          <w:rFonts w:cs="Times New Roman"/>
        </w:rPr>
        <w:t xml:space="preserve">, Case No. 17-974-EL-UNC, Entry at ¶ 79 (Aug. 24, 2022). </w:t>
      </w:r>
    </w:p>
  </w:footnote>
  <w:footnote w:id="29">
    <w:p w:rsidR="00934B94" w:rsidRPr="00F14B17" w:rsidP="00F14B17" w14:paraId="72008B38" w14:textId="3614C996">
      <w:pPr>
        <w:pStyle w:val="FootnoteText"/>
        <w:rPr>
          <w:rFonts w:cs="Times New Roman"/>
        </w:rPr>
      </w:pPr>
      <w:r w:rsidRPr="00F14B17">
        <w:rPr>
          <w:rStyle w:val="FootnoteReference"/>
          <w:rFonts w:cs="Times New Roman"/>
        </w:rPr>
        <w:footnoteRef/>
      </w:r>
      <w:r w:rsidRPr="00F14B17">
        <w:rPr>
          <w:rFonts w:cs="Times New Roman"/>
        </w:rPr>
        <w:t xml:space="preserve"> Application (July 15, 2022) at 66, </w:t>
      </w:r>
      <w:r w:rsidRPr="00F14B17" w:rsidR="00735522">
        <w:rPr>
          <w:rFonts w:cs="Times New Roman"/>
        </w:rPr>
        <w:t>¶</w:t>
      </w:r>
      <w:r w:rsidRPr="00F14B17">
        <w:rPr>
          <w:rFonts w:cs="Times New Roman"/>
        </w:rPr>
        <w:t xml:space="preserve"> 21 (</w:t>
      </w:r>
      <w:r w:rsidRPr="00F14B17" w:rsidR="00842E73">
        <w:rPr>
          <w:rFonts w:cs="Times New Roman"/>
        </w:rPr>
        <w:t>“</w:t>
      </w:r>
      <w:r w:rsidRPr="00F14B17">
        <w:rPr>
          <w:rFonts w:cs="Times New Roman"/>
        </w:rPr>
        <w:t>The Companies request authorization to recover in Rider AMI their actual Grid Mod II capital costs, up to $626.4 million, and incremental O&amp;M expenses associated with Grid Mod II up to an aggregate of $144.1 million over the deployment period</w:t>
      </w:r>
      <w:r w:rsidRPr="00F14B17" w:rsidR="00842E73">
        <w:rPr>
          <w:rFonts w:cs="Times New Roman"/>
        </w:rPr>
        <w:t>”</w:t>
      </w:r>
      <w:r w:rsidRPr="00F14B17">
        <w:rPr>
          <w:rFonts w:cs="Times New Roman"/>
        </w:rPr>
        <w:t>)</w:t>
      </w:r>
      <w:r w:rsidR="00A17A6C">
        <w:rPr>
          <w:rFonts w:cs="Times New Roman"/>
        </w:rPr>
        <w:t>.</w:t>
      </w:r>
    </w:p>
  </w:footnote>
  <w:footnote w:id="30">
    <w:p w:rsidR="00934B94" w:rsidRPr="00F14B17" w:rsidP="00F14B17" w14:paraId="19E9E59C" w14:textId="77777777">
      <w:pPr>
        <w:pStyle w:val="FootnoteText"/>
        <w:rPr>
          <w:rFonts w:cs="Times New Roman"/>
        </w:rPr>
      </w:pPr>
      <w:r w:rsidRPr="00F14B17">
        <w:rPr>
          <w:rStyle w:val="FootnoteReference"/>
          <w:rFonts w:cs="Times New Roman"/>
        </w:rPr>
        <w:footnoteRef/>
      </w:r>
      <w:r w:rsidRPr="00F14B17">
        <w:rPr>
          <w:rFonts w:cs="Times New Roman"/>
        </w:rPr>
        <w:t xml:space="preserve"> FirstEnergy Witness McMillan Testimony, Ex. A.</w:t>
      </w:r>
    </w:p>
  </w:footnote>
  <w:footnote w:id="31">
    <w:p w:rsidR="00674713" w:rsidRPr="00F14B17" w:rsidP="00F14B17" w14:paraId="4F959D01" w14:textId="7DE7CECC">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 xml:space="preserve">In the Matter of the Application of Ohio Edison Company, the Cleveland Electric Illuminating Company and the Toledo Edison Company to Implement Matters Relating to the Tax Cuts and Jobs Act of 2017, </w:t>
      </w:r>
      <w:r w:rsidRPr="00F14B17">
        <w:rPr>
          <w:rFonts w:cs="Times New Roman"/>
        </w:rPr>
        <w:t>Case No</w:t>
      </w:r>
      <w:r w:rsidRPr="00F14B17" w:rsidR="00EB181C">
        <w:rPr>
          <w:rFonts w:cs="Times New Roman"/>
        </w:rPr>
        <w:t>s</w:t>
      </w:r>
      <w:r w:rsidRPr="00F14B17">
        <w:rPr>
          <w:rFonts w:cs="Times New Roman"/>
        </w:rPr>
        <w:t>. 18-1604-EL-UNC,</w:t>
      </w:r>
      <w:r w:rsidRPr="00F14B17" w:rsidR="00EB181C">
        <w:rPr>
          <w:rFonts w:cs="Times New Roman"/>
        </w:rPr>
        <w:t xml:space="preserve"> et al.,</w:t>
      </w:r>
      <w:r w:rsidRPr="00F14B17">
        <w:rPr>
          <w:rFonts w:cs="Times New Roman"/>
        </w:rPr>
        <w:t xml:space="preserve"> Opinion and Order (July 17, 2019).</w:t>
      </w:r>
    </w:p>
  </w:footnote>
  <w:footnote w:id="32">
    <w:p w:rsidR="00934B94" w:rsidRPr="00F14B17" w:rsidP="00F14B17" w14:paraId="6E0449BE" w14:textId="75938AAE">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See, e.g.</w:t>
      </w:r>
      <w:r w:rsidRPr="00F14B17">
        <w:rPr>
          <w:rFonts w:cs="Times New Roman"/>
        </w:rPr>
        <w:t xml:space="preserve">, </w:t>
      </w:r>
      <w:r w:rsidRPr="00F14B17">
        <w:rPr>
          <w:rFonts w:cs="Times New Roman"/>
          <w:i/>
          <w:iCs/>
        </w:rPr>
        <w:t>In the Matter of the Ohio Edison Company, the Cleveland Electric Illuminating Company, and the Toledo Edison Company</w:t>
      </w:r>
      <w:r w:rsidRPr="00F14B17" w:rsidR="00842E73">
        <w:rPr>
          <w:rFonts w:cs="Times New Roman"/>
          <w:i/>
          <w:iCs/>
        </w:rPr>
        <w:t>’</w:t>
      </w:r>
      <w:r w:rsidRPr="00F14B17">
        <w:rPr>
          <w:rFonts w:cs="Times New Roman"/>
          <w:i/>
          <w:iCs/>
        </w:rPr>
        <w:t>s Compliance with R.C. 4928.17 and the Ohio Adm. Code Chapter 4901:1-37</w:t>
      </w:r>
      <w:r w:rsidRPr="00F14B17">
        <w:rPr>
          <w:rFonts w:cs="Times New Roman"/>
        </w:rPr>
        <w:t>, Case No. 17-974-EL-UNC, Entry at ¶ 19 (Oct. 18, 2023).</w:t>
      </w:r>
    </w:p>
  </w:footnote>
  <w:footnote w:id="33">
    <w:p w:rsidR="00902C49" w:rsidRPr="00F14B17" w:rsidP="00F14B17" w14:paraId="491D2DA7" w14:textId="4CD2B9B3">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In the Matter of the 2020 Review of the Delivery Capital Recovery Rider of Ohio Edison Company, the Cleveland Electric Illuminating Company, and the Toledo Edison Company</w:t>
      </w:r>
      <w:r w:rsidRPr="00F14B17">
        <w:rPr>
          <w:rFonts w:cs="Times New Roman"/>
        </w:rPr>
        <w:t>, Case No. 20-1629-EL-RDR, Request for Proposal No. RA20-CA-3 at 1 (Nov. 4, 2020).</w:t>
      </w:r>
    </w:p>
  </w:footnote>
  <w:footnote w:id="34">
    <w:p w:rsidR="00934B94" w:rsidRPr="00F14B17" w:rsidP="00F14B17" w14:paraId="358E02F2"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 xml:space="preserve">In the Matter of the Review of the Political and Charitable Spending by Ohio Edison Company, the Cleveland Electric Illuminating Company, and the Toledo Edison Company, </w:t>
      </w:r>
      <w:r w:rsidRPr="00F14B17">
        <w:rPr>
          <w:rFonts w:cs="Times New Roman"/>
        </w:rPr>
        <w:t>Case No. 20-1502-EL-UNC, Entry at ¶ 1 (May 4, 2022).</w:t>
      </w:r>
    </w:p>
  </w:footnote>
  <w:footnote w:id="35">
    <w:p w:rsidR="00934B94" w:rsidRPr="00F14B17" w:rsidP="00F14B17" w14:paraId="29A1C945"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United States of America v. Samuel Randazzo</w:t>
      </w:r>
      <w:r w:rsidRPr="00F14B17">
        <w:rPr>
          <w:rFonts w:cs="Times New Roman"/>
        </w:rPr>
        <w:t>, Case No. 1:23-cr-114, Indictment at 16-19 (Nov. 29, 2023).</w:t>
      </w:r>
    </w:p>
  </w:footnote>
  <w:footnote w:id="36">
    <w:p w:rsidR="00934B94" w:rsidRPr="00F14B17" w:rsidP="00F14B17" w14:paraId="3EB3134A"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Id</w:t>
      </w:r>
      <w:r w:rsidRPr="00F14B17">
        <w:rPr>
          <w:rFonts w:cs="Times New Roman"/>
        </w:rPr>
        <w:t>. at 4.</w:t>
      </w:r>
    </w:p>
  </w:footnote>
  <w:footnote w:id="37">
    <w:p w:rsidR="00934B94" w:rsidRPr="00F14B17" w:rsidP="00F14B17" w14:paraId="76F7D2B3"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In re</w:t>
      </w:r>
      <w:r w:rsidRPr="00F14B17">
        <w:rPr>
          <w:rFonts w:cs="Times New Roman"/>
        </w:rPr>
        <w:t xml:space="preserve">: </w:t>
      </w:r>
      <w:r w:rsidRPr="00F14B17">
        <w:rPr>
          <w:rFonts w:cs="Times New Roman"/>
          <w:i/>
          <w:iCs/>
        </w:rPr>
        <w:t>FirstEnergy Corp.</w:t>
      </w:r>
      <w:r w:rsidRPr="00F14B17">
        <w:rPr>
          <w:rFonts w:cs="Times New Roman"/>
        </w:rPr>
        <w:t>, Docket No. FA 19-1-000 at 4-13 (Feb. 4, 2022).</w:t>
      </w:r>
    </w:p>
  </w:footnote>
  <w:footnote w:id="38">
    <w:p w:rsidR="00934B94" w:rsidRPr="00F14B17" w:rsidP="00F14B17" w14:paraId="1C5B0E8C"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In re</w:t>
      </w:r>
      <w:r w:rsidRPr="00F14B17">
        <w:rPr>
          <w:rFonts w:cs="Times New Roman"/>
        </w:rPr>
        <w:t xml:space="preserve">: </w:t>
      </w:r>
      <w:r w:rsidRPr="00F14B17">
        <w:rPr>
          <w:rFonts w:cs="Times New Roman"/>
          <w:i/>
          <w:iCs/>
        </w:rPr>
        <w:t>FirstEnergy Corp.</w:t>
      </w:r>
      <w:r w:rsidRPr="00F14B17">
        <w:rPr>
          <w:rFonts w:cs="Times New Roman"/>
        </w:rPr>
        <w:t>, Docket No. FA 19-1-000 at 38 (Feb. 4, 2022).</w:t>
      </w:r>
    </w:p>
  </w:footnote>
  <w:footnote w:id="39">
    <w:p w:rsidR="00934B94" w:rsidRPr="00F14B17" w:rsidP="00F14B17" w14:paraId="6C49CB87"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Id.</w:t>
      </w:r>
    </w:p>
  </w:footnote>
  <w:footnote w:id="40">
    <w:p w:rsidR="00934B94" w:rsidRPr="00F14B17" w:rsidP="00F14B17" w14:paraId="6611DC7F"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Id.</w:t>
      </w:r>
      <w:r w:rsidRPr="00F14B17">
        <w:rPr>
          <w:rFonts w:cs="Times New Roman"/>
        </w:rPr>
        <w:t xml:space="preserve"> at 46. </w:t>
      </w:r>
    </w:p>
  </w:footnote>
  <w:footnote w:id="41">
    <w:p w:rsidR="00934B94" w:rsidRPr="00F14B17" w:rsidP="00F14B17" w14:paraId="5644E80D"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Id.</w:t>
      </w:r>
      <w:r w:rsidRPr="00F14B17">
        <w:rPr>
          <w:rFonts w:cs="Times New Roman"/>
        </w:rPr>
        <w:t xml:space="preserve"> at 52. </w:t>
      </w:r>
    </w:p>
  </w:footnote>
  <w:footnote w:id="42">
    <w:p w:rsidR="00934B94" w:rsidRPr="00F14B17" w:rsidP="00F14B17" w14:paraId="2C87147D" w14:textId="77777777">
      <w:pPr>
        <w:pStyle w:val="FootnoteText"/>
        <w:rPr>
          <w:rFonts w:cs="Times New Roman"/>
        </w:rPr>
      </w:pPr>
      <w:r w:rsidRPr="00F14B17">
        <w:rPr>
          <w:rStyle w:val="FootnoteReference"/>
          <w:rFonts w:cs="Times New Roman"/>
        </w:rPr>
        <w:footnoteRef/>
      </w:r>
      <w:r w:rsidRPr="00F14B17">
        <w:rPr>
          <w:rFonts w:cs="Times New Roman"/>
        </w:rPr>
        <w:t xml:space="preserve"> 767 F.3d 611 (6</w:t>
      </w:r>
      <w:r w:rsidRPr="00F14B17">
        <w:rPr>
          <w:rFonts w:cs="Times New Roman"/>
          <w:vertAlign w:val="superscript"/>
        </w:rPr>
        <w:t>th</w:t>
      </w:r>
      <w:r w:rsidRPr="00F14B17">
        <w:rPr>
          <w:rFonts w:cs="Times New Roman"/>
        </w:rPr>
        <w:t xml:space="preserve"> Cir. 2014).</w:t>
      </w:r>
    </w:p>
  </w:footnote>
  <w:footnote w:id="43">
    <w:p w:rsidR="00934B94" w:rsidRPr="00F14B17" w:rsidP="00F14B17" w14:paraId="5529CA1D" w14:textId="78CE75C5">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See, e.g., In the Matter of the Ohio Edison Company, the Cleveland Electric Illuminating Company, and the Toledo Edison Company</w:t>
      </w:r>
      <w:r w:rsidRPr="00F14B17" w:rsidR="00842E73">
        <w:rPr>
          <w:rFonts w:cs="Times New Roman"/>
          <w:i/>
          <w:iCs/>
        </w:rPr>
        <w:t>’</w:t>
      </w:r>
      <w:r w:rsidRPr="00F14B17">
        <w:rPr>
          <w:rFonts w:cs="Times New Roman"/>
          <w:i/>
          <w:iCs/>
        </w:rPr>
        <w:t>s Compliance with R.C. 4928.17 and the Ohio Adm. Code Chapter 4901:1-37</w:t>
      </w:r>
      <w:r w:rsidRPr="00F14B17">
        <w:rPr>
          <w:rFonts w:cs="Times New Roman"/>
        </w:rPr>
        <w:t>, Case No. 17-974-EL-UNC, Entry (Aug. 24, 2022).</w:t>
      </w:r>
    </w:p>
  </w:footnote>
  <w:footnote w:id="44">
    <w:p w:rsidR="00934B94" w:rsidRPr="00F14B17" w:rsidP="00F14B17" w14:paraId="3F3B980C" w14:textId="58883FE6">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In the Matter of the Ohio Edison Company, the Cleveland Electric Illuminating Company, and the Toledo Edison Company</w:t>
      </w:r>
      <w:r w:rsidRPr="00F14B17" w:rsidR="00842E73">
        <w:rPr>
          <w:rFonts w:cs="Times New Roman"/>
          <w:i/>
          <w:iCs/>
        </w:rPr>
        <w:t>’</w:t>
      </w:r>
      <w:r w:rsidRPr="00F14B17">
        <w:rPr>
          <w:rFonts w:cs="Times New Roman"/>
          <w:i/>
          <w:iCs/>
        </w:rPr>
        <w:t>s Compliance with R.C. 4928.17 and the Ohio Adm. Code Chapter 4901:1-37</w:t>
      </w:r>
      <w:r w:rsidRPr="00F14B17">
        <w:rPr>
          <w:rFonts w:cs="Times New Roman"/>
        </w:rPr>
        <w:t>, Case No. 17-974-EL-UNC, Entry at ¶ 71 (Aug. 24, 2022).</w:t>
      </w:r>
    </w:p>
  </w:footnote>
  <w:footnote w:id="45">
    <w:p w:rsidR="00934B94" w:rsidRPr="00F14B17" w:rsidP="00F14B17" w14:paraId="6C44D235"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 xml:space="preserve">Id. </w:t>
      </w:r>
      <w:r w:rsidRPr="00F14B17">
        <w:rPr>
          <w:rFonts w:cs="Times New Roman"/>
        </w:rPr>
        <w:t>at ¶ 72.</w:t>
      </w:r>
    </w:p>
  </w:footnote>
  <w:footnote w:id="46">
    <w:p w:rsidR="00642E64" w:rsidRPr="00F14B17" w:rsidP="00F14B17" w14:paraId="3424A71A" w14:textId="496BB83E">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In the Matter of the Application of Ohio Edison Company, the Cleveland Electric Illuminating Company and the Toledo Edison Company for Authority to Provide a Standard Service Offer Pursuant to R.C. 4928.143 in the Form of an Electric Security Plan</w:t>
      </w:r>
      <w:r w:rsidRPr="00F14B17">
        <w:rPr>
          <w:rFonts w:cs="Times New Roman"/>
        </w:rPr>
        <w:t>, Case No. 14-1297-EL-SSO, Third Supplemental Stipulation at 9-10 (Dec. 1, 2015).</w:t>
      </w:r>
    </w:p>
  </w:footnote>
  <w:footnote w:id="47">
    <w:p w:rsidR="00674713" w:rsidRPr="00F14B17" w:rsidP="00F14B17" w14:paraId="6B5D6FA3" w14:textId="514B71E9">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 xml:space="preserve">In the Matter of the Application of Ohio Edison Company, the Cleveland Electric Illuminating Company and the Toledo Edison Company to Implement Matters Relating to the Tax Cuts and Jobs Act of 2017, </w:t>
      </w:r>
      <w:r w:rsidRPr="00F14B17">
        <w:rPr>
          <w:rFonts w:cs="Times New Roman"/>
        </w:rPr>
        <w:t>Case No</w:t>
      </w:r>
      <w:r w:rsidRPr="00F14B17" w:rsidR="00642E64">
        <w:rPr>
          <w:rFonts w:cs="Times New Roman"/>
        </w:rPr>
        <w:t>s</w:t>
      </w:r>
      <w:r w:rsidRPr="00F14B17">
        <w:rPr>
          <w:rFonts w:cs="Times New Roman"/>
        </w:rPr>
        <w:t>. 18-1604-EL-UNC,</w:t>
      </w:r>
      <w:r w:rsidRPr="00F14B17" w:rsidR="00642E64">
        <w:rPr>
          <w:rFonts w:cs="Times New Roman"/>
        </w:rPr>
        <w:t xml:space="preserve"> et al.,</w:t>
      </w:r>
      <w:r w:rsidRPr="00F14B17">
        <w:rPr>
          <w:rFonts w:cs="Times New Roman"/>
        </w:rPr>
        <w:t xml:space="preserve"> Opinion and Order (July 17, 2019).</w:t>
      </w:r>
    </w:p>
  </w:footnote>
  <w:footnote w:id="48">
    <w:p w:rsidR="00642E64" w:rsidRPr="00F14B17" w:rsidP="00F14B17" w14:paraId="5A51C006" w14:textId="6BA1D5C3">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In the Matter of the 2020 Review of the Delivery Capital Recovery Rider of Ohio Edison Company, the Cleveland Electric Illuminating Company, and the Toledo Edison Company</w:t>
      </w:r>
      <w:r w:rsidRPr="00F14B17">
        <w:rPr>
          <w:rFonts w:cs="Times New Roman"/>
        </w:rPr>
        <w:t>, Case No. 20-1629-EL-RDR, Request for Proposal No. RA20-CA-3 at 1 (Nov. 4, 2020).</w:t>
      </w:r>
    </w:p>
  </w:footnote>
  <w:footnote w:id="49">
    <w:p w:rsidR="00674713" w:rsidRPr="00F14B17" w:rsidP="00F14B17" w14:paraId="7B42386B"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In the Matter of the 2020 Review of the Delivery Capital Recovery Rider of Ohio Edison Company, the Cleveland Electric Illuminating Company, and the Toledo Edison Company</w:t>
      </w:r>
      <w:r w:rsidRPr="00F14B17">
        <w:rPr>
          <w:rFonts w:cs="Times New Roman"/>
        </w:rPr>
        <w:t>, Case No. 20-1629-EL-RDR, Entry (Dec. 15, 2021).</w:t>
      </w:r>
    </w:p>
  </w:footnote>
  <w:footnote w:id="50">
    <w:p w:rsidR="00934B94" w:rsidRPr="00F14B17" w:rsidP="00F14B17" w14:paraId="274130E5"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In the Matter of the 2020 Review of the Delivery Capital Recovery Rider of Ohio Edison Company, the Cleveland Electric Illuminating Company, and the Toledo Edison Company</w:t>
      </w:r>
      <w:r w:rsidRPr="00F14B17">
        <w:rPr>
          <w:rFonts w:cs="Times New Roman"/>
        </w:rPr>
        <w:t>, Case No. 20-1629-EL-RDR, Audit Report, Expanded Scope (Aug. 3, 2021).</w:t>
      </w:r>
    </w:p>
  </w:footnote>
  <w:footnote w:id="51">
    <w:p w:rsidR="00934B94" w:rsidRPr="00F14B17" w:rsidP="00F14B17" w14:paraId="0AFD7B90" w14:textId="1DF3DFAA">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In the Matter of the Review of Ohio Edison Company, the Cleveland Electric Illuminating Company, and the Toledo Edison Company</w:t>
      </w:r>
      <w:r w:rsidRPr="00F14B17" w:rsidR="00842E73">
        <w:rPr>
          <w:rFonts w:cs="Times New Roman"/>
          <w:i/>
          <w:iCs/>
        </w:rPr>
        <w:t>’</w:t>
      </w:r>
      <w:r w:rsidRPr="00F14B17">
        <w:rPr>
          <w:rFonts w:cs="Times New Roman"/>
          <w:i/>
          <w:iCs/>
        </w:rPr>
        <w:t>s Compliance with R.C. 4928.17 and Ohio Adm. Code Chapter 4901:1-37</w:t>
      </w:r>
      <w:r w:rsidRPr="00F14B17">
        <w:rPr>
          <w:rFonts w:cs="Times New Roman"/>
        </w:rPr>
        <w:t>, Case No. 17-974-EL-UNC.</w:t>
      </w:r>
    </w:p>
  </w:footnote>
  <w:footnote w:id="52">
    <w:p w:rsidR="00934B94" w:rsidRPr="00F14B17" w:rsidP="00F14B17" w14:paraId="397A09E5"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In the Matter of the Review of the Political and Charitable Spending by Ohio Edison Company, the Cleveland Electric Illuminating Company, and the Toledo Edison Company</w:t>
      </w:r>
      <w:r w:rsidRPr="00F14B17">
        <w:rPr>
          <w:rFonts w:cs="Times New Roman"/>
        </w:rPr>
        <w:t>, Case No. 20-1502-EL-UNC.</w:t>
      </w:r>
    </w:p>
  </w:footnote>
  <w:footnote w:id="53">
    <w:p w:rsidR="00642E64" w:rsidRPr="00F14B17" w:rsidP="00F14B17" w14:paraId="10CB6F23" w14:textId="7A0DA765">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United States of America v. FirstEnergy Corp</w:t>
      </w:r>
      <w:r w:rsidRPr="00F14B17">
        <w:rPr>
          <w:rFonts w:cs="Times New Roman"/>
        </w:rPr>
        <w:t>., Case No. 1:21-cr-86, Deferred Prosecution Agreement at 18 (July 20, 2021) (emphasis added).</w:t>
      </w:r>
    </w:p>
  </w:footnote>
  <w:footnote w:id="54">
    <w:p w:rsidR="00934B94" w:rsidRPr="00F14B17" w:rsidP="00F14B17" w14:paraId="19DA7414" w14:textId="40180E42">
      <w:pPr>
        <w:pStyle w:val="FootnoteText"/>
        <w:rPr>
          <w:rFonts w:cs="Times New Roman"/>
        </w:rPr>
      </w:pPr>
      <w:r w:rsidRPr="00F14B17">
        <w:rPr>
          <w:rStyle w:val="FootnoteReference"/>
          <w:rFonts w:cs="Times New Roman"/>
        </w:rPr>
        <w:footnoteRef/>
      </w:r>
      <w:r w:rsidRPr="00F14B17">
        <w:rPr>
          <w:rFonts w:cs="Times New Roman"/>
        </w:rPr>
        <w:t xml:space="preserve"> Direct Testimony of Devin Mackey at 3-4 (Dec. 4, 2023).</w:t>
      </w:r>
    </w:p>
  </w:footnote>
  <w:footnote w:id="55">
    <w:p w:rsidR="00934B94" w:rsidRPr="00F14B17" w:rsidP="00F14B17" w14:paraId="6CA3ED98" w14:textId="1676E02D">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In the Matter of the Ohio Edison Company, the Cleveland Electric Illuminating Company, and the Toledo Edison Company</w:t>
      </w:r>
      <w:r w:rsidRPr="00F14B17" w:rsidR="00842E73">
        <w:rPr>
          <w:rFonts w:cs="Times New Roman"/>
          <w:i/>
          <w:iCs/>
        </w:rPr>
        <w:t>’</w:t>
      </w:r>
      <w:r w:rsidRPr="00F14B17">
        <w:rPr>
          <w:rFonts w:cs="Times New Roman"/>
          <w:i/>
          <w:iCs/>
        </w:rPr>
        <w:t>s Compliance with R.C. 4928.17 and the Ohio Adm. Code Chapter 4901:1-37</w:t>
      </w:r>
      <w:r w:rsidRPr="00F14B17">
        <w:rPr>
          <w:rFonts w:cs="Times New Roman"/>
        </w:rPr>
        <w:t>, Case No. 17-974-EL-UNC, Entry at ¶ 71 (Aug. 24, 2022).</w:t>
      </w:r>
    </w:p>
  </w:footnote>
  <w:footnote w:id="56">
    <w:p w:rsidR="00934B94" w:rsidRPr="00F14B17" w:rsidP="00F14B17" w14:paraId="67DEC140"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Id</w:t>
      </w:r>
      <w:r w:rsidRPr="00F14B17">
        <w:rPr>
          <w:rFonts w:cs="Times New Roman"/>
        </w:rPr>
        <w:t>., Entry at ¶ 76 (Aug. 24, 2023).</w:t>
      </w:r>
    </w:p>
  </w:footnote>
  <w:footnote w:id="57">
    <w:p w:rsidR="00934B94" w:rsidRPr="00F14B17" w:rsidP="00F14B17" w14:paraId="67A896C7"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 xml:space="preserve">United States v. Randazzo, </w:t>
      </w:r>
      <w:r w:rsidRPr="00F14B17">
        <w:rPr>
          <w:rFonts w:cs="Times New Roman"/>
        </w:rPr>
        <w:t>Case No. 1:23-cr-00114, Indictment (Nov. 29, 2023).</w:t>
      </w:r>
    </w:p>
  </w:footnote>
  <w:footnote w:id="58">
    <w:p w:rsidR="00934B94" w:rsidRPr="00F14B17" w:rsidP="00F14B17" w14:paraId="49AD4B06"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 xml:space="preserve">Id. </w:t>
      </w:r>
      <w:r w:rsidRPr="00F14B17">
        <w:rPr>
          <w:rFonts w:cs="Times New Roman"/>
        </w:rPr>
        <w:t>(Aug. 24, 2022).</w:t>
      </w:r>
    </w:p>
  </w:footnote>
  <w:footnote w:id="59">
    <w:p w:rsidR="00934B94" w:rsidRPr="00F14B17" w:rsidP="00F14B17" w14:paraId="18241341"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Id.</w:t>
      </w:r>
    </w:p>
  </w:footnote>
  <w:footnote w:id="60">
    <w:p w:rsidR="00934B94" w:rsidRPr="00F14B17" w:rsidP="00F14B17" w14:paraId="3B035192"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 xml:space="preserve">Id. </w:t>
      </w:r>
      <w:r w:rsidRPr="00F14B17">
        <w:rPr>
          <w:rFonts w:cs="Times New Roman"/>
        </w:rPr>
        <w:t>at ¶ 77.</w:t>
      </w:r>
    </w:p>
  </w:footnote>
  <w:footnote w:id="61">
    <w:p w:rsidR="00934B94" w:rsidRPr="00F14B17" w:rsidP="00F14B17" w14:paraId="095D2748"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Id.</w:t>
      </w:r>
    </w:p>
  </w:footnote>
  <w:footnote w:id="62">
    <w:p w:rsidR="00934B94" w:rsidRPr="00F14B17" w:rsidP="00F14B17" w14:paraId="55B8B572" w14:textId="5AACDDD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In the Matter of the Ohio Edison Company, the Cleveland Electric Illuminating Company, and the Toledo Edison Company</w:t>
      </w:r>
      <w:r w:rsidRPr="00F14B17" w:rsidR="00842E73">
        <w:rPr>
          <w:rFonts w:cs="Times New Roman"/>
          <w:i/>
          <w:iCs/>
        </w:rPr>
        <w:t>’</w:t>
      </w:r>
      <w:r w:rsidRPr="00F14B17">
        <w:rPr>
          <w:rFonts w:cs="Times New Roman"/>
          <w:i/>
          <w:iCs/>
        </w:rPr>
        <w:t>s Compliance with R.C. 4928.17 and the Ohio Adm. Code Chapter 4901:1-37</w:t>
      </w:r>
      <w:r w:rsidRPr="00F14B17">
        <w:rPr>
          <w:rFonts w:cs="Times New Roman"/>
        </w:rPr>
        <w:t>, Case No. 17-974-EL-UNC, Entry at 26 (Aug. 24, 2022).</w:t>
      </w:r>
    </w:p>
  </w:footnote>
  <w:footnote w:id="63">
    <w:p w:rsidR="00934B94" w:rsidRPr="00F14B17" w:rsidP="00F14B17" w14:paraId="2A15AA69" w14:textId="77777777">
      <w:pPr>
        <w:pStyle w:val="FootnoteText"/>
        <w:rPr>
          <w:rFonts w:cs="Times New Roman"/>
        </w:rPr>
      </w:pPr>
      <w:r w:rsidRPr="00F14B17">
        <w:rPr>
          <w:rStyle w:val="FootnoteReference"/>
          <w:rFonts w:cs="Times New Roman"/>
        </w:rPr>
        <w:footnoteRef/>
      </w:r>
      <w:r w:rsidRPr="00F14B17">
        <w:rPr>
          <w:rFonts w:cs="Times New Roman"/>
        </w:rPr>
        <w:t xml:space="preserve"> </w:t>
      </w:r>
      <w:r w:rsidRPr="00F14B17">
        <w:rPr>
          <w:rFonts w:cs="Times New Roman"/>
          <w:i/>
          <w:iCs/>
        </w:rPr>
        <w:t>Id.</w:t>
      </w:r>
      <w:r w:rsidRPr="00F14B17">
        <w:rPr>
          <w:rFonts w:cs="Times New Roman"/>
        </w:rPr>
        <w:t xml:space="preserve"> at ¶ 83.</w:t>
      </w:r>
    </w:p>
  </w:footnote>
  <w:footnote w:id="64">
    <w:p w:rsidR="00934B94" w:rsidRPr="00F14B17" w:rsidP="00F14B17" w14:paraId="1C374960" w14:textId="77777777">
      <w:pPr>
        <w:pStyle w:val="PlainText"/>
        <w:spacing w:after="120"/>
        <w:rPr>
          <w:rFonts w:ascii="Times New Roman" w:hAnsi="Times New Roman" w:cs="Times New Roman"/>
          <w:sz w:val="20"/>
          <w:szCs w:val="20"/>
        </w:rPr>
      </w:pPr>
      <w:r w:rsidRPr="00F14B17">
        <w:rPr>
          <w:rStyle w:val="FootnoteReference"/>
          <w:rFonts w:ascii="Times New Roman" w:hAnsi="Times New Roman" w:cs="Times New Roman"/>
          <w:sz w:val="20"/>
          <w:szCs w:val="20"/>
        </w:rPr>
        <w:footnoteRef/>
      </w:r>
      <w:r w:rsidRPr="00F14B17">
        <w:rPr>
          <w:rFonts w:ascii="Times New Roman" w:hAnsi="Times New Roman" w:cs="Times New Roman"/>
          <w:sz w:val="20"/>
          <w:szCs w:val="20"/>
        </w:rPr>
        <w:t xml:space="preserve"> </w:t>
      </w:r>
      <w:r w:rsidRPr="00F14B17">
        <w:rPr>
          <w:rFonts w:ascii="Times New Roman" w:hAnsi="Times New Roman" w:cs="Times New Roman"/>
          <w:i/>
          <w:iCs/>
          <w:sz w:val="20"/>
          <w:szCs w:val="20"/>
        </w:rPr>
        <w:t>See</w:t>
      </w:r>
      <w:r w:rsidRPr="00F14B17">
        <w:rPr>
          <w:rFonts w:ascii="Times New Roman" w:hAnsi="Times New Roman" w:cs="Times New Roman"/>
          <w:sz w:val="20"/>
          <w:szCs w:val="20"/>
        </w:rPr>
        <w:t xml:space="preserve"> </w:t>
      </w:r>
      <w:hyperlink r:id="rId3" w:history="1">
        <w:r w:rsidRPr="00F14B17">
          <w:rPr>
            <w:rStyle w:val="Hyperlink"/>
            <w:rFonts w:ascii="Times New Roman" w:hAnsi="Times New Roman" w:cs="Times New Roman"/>
            <w:sz w:val="20"/>
            <w:szCs w:val="20"/>
          </w:rPr>
          <w:t>https://apnews.com/article/ohio-bribery-investigation-householder-randazzo-puco-113274f88e7a53843e98a86f07d0844f</w:t>
        </w:r>
      </w:hyperlink>
      <w:r w:rsidRPr="00F14B17">
        <w:rPr>
          <w:rStyle w:val="Hyperlink"/>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4915" w14:paraId="2D41EF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4915" w14:paraId="070DBDD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4915" w14:paraId="166DE4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0B5CE9"/>
    <w:multiLevelType w:val="hybridMultilevel"/>
    <w:tmpl w:val="C41CF6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30C1F3A"/>
    <w:multiLevelType w:val="hybridMultilevel"/>
    <w:tmpl w:val="91D64028"/>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666DC6"/>
    <w:multiLevelType w:val="hybridMultilevel"/>
    <w:tmpl w:val="86389EE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9BD4EF8"/>
    <w:multiLevelType w:val="hybridMultilevel"/>
    <w:tmpl w:val="378ED3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A160D6"/>
    <w:multiLevelType w:val="hybridMultilevel"/>
    <w:tmpl w:val="D4565EBC"/>
    <w:lvl w:ilvl="0">
      <w:start w:val="2"/>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C584187"/>
    <w:multiLevelType w:val="hybridMultilevel"/>
    <w:tmpl w:val="20A0EA22"/>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0695146"/>
    <w:multiLevelType w:val="hybridMultilevel"/>
    <w:tmpl w:val="53AA14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9DB1329"/>
    <w:multiLevelType w:val="hybridMultilevel"/>
    <w:tmpl w:val="2054A77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BB2426C"/>
    <w:multiLevelType w:val="hybridMultilevel"/>
    <w:tmpl w:val="B01A78C6"/>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23FC232D"/>
    <w:multiLevelType w:val="hybridMultilevel"/>
    <w:tmpl w:val="44D88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D7A565C"/>
    <w:multiLevelType w:val="hybridMultilevel"/>
    <w:tmpl w:val="832494F4"/>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F231C1D"/>
    <w:multiLevelType w:val="hybridMultilevel"/>
    <w:tmpl w:val="CCC8AD8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12222A5"/>
    <w:multiLevelType w:val="hybridMultilevel"/>
    <w:tmpl w:val="A5869630"/>
    <w:lvl w:ilvl="0">
      <w:start w:val="2"/>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4A6E84"/>
    <w:multiLevelType w:val="hybridMultilevel"/>
    <w:tmpl w:val="315ADA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4D226C5"/>
    <w:multiLevelType w:val="hybridMultilevel"/>
    <w:tmpl w:val="681A24F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35C92425"/>
    <w:multiLevelType w:val="hybridMultilevel"/>
    <w:tmpl w:val="1F009BF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D163436"/>
    <w:multiLevelType w:val="hybridMultilevel"/>
    <w:tmpl w:val="F69EAEE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EF33D17"/>
    <w:multiLevelType w:val="hybridMultilevel"/>
    <w:tmpl w:val="662629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8261E93"/>
    <w:multiLevelType w:val="hybridMultilevel"/>
    <w:tmpl w:val="6DBC49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CDA0812"/>
    <w:multiLevelType w:val="hybridMultilevel"/>
    <w:tmpl w:val="9BB627B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4CEF3896"/>
    <w:multiLevelType w:val="hybridMultilevel"/>
    <w:tmpl w:val="617C289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4E333E02"/>
    <w:multiLevelType w:val="hybridMultilevel"/>
    <w:tmpl w:val="1B944F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50D30664"/>
    <w:multiLevelType w:val="hybridMultilevel"/>
    <w:tmpl w:val="4DCAC25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526A74FB"/>
    <w:multiLevelType w:val="hybridMultilevel"/>
    <w:tmpl w:val="786AEDAC"/>
    <w:lvl w:ilvl="0">
      <w:start w:val="6"/>
      <w:numFmt w:val="decimal"/>
      <w:lvlText w:val="%1."/>
      <w:lvlJc w:val="left"/>
      <w:pPr>
        <w:ind w:left="1800" w:hanging="360"/>
      </w:pPr>
      <w:rPr>
        <w:rFonts w:hint="default"/>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24">
    <w:nsid w:val="55057856"/>
    <w:multiLevelType w:val="hybridMultilevel"/>
    <w:tmpl w:val="2A36C042"/>
    <w:lvl w:ilvl="0">
      <w:start w:val="1"/>
      <w:numFmt w:val="bullet"/>
      <w:lvlText w:val=""/>
      <w:lvlJc w:val="left"/>
      <w:pPr>
        <w:ind w:left="81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44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5BC57FB"/>
    <w:multiLevelType w:val="hybridMultilevel"/>
    <w:tmpl w:val="0CE4EE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5A01303C"/>
    <w:multiLevelType w:val="hybridMultilevel"/>
    <w:tmpl w:val="5156C020"/>
    <w:lvl w:ilvl="0">
      <w:start w:val="2"/>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A280870"/>
    <w:multiLevelType w:val="hybridMultilevel"/>
    <w:tmpl w:val="151049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2BA3641"/>
    <w:multiLevelType w:val="hybridMultilevel"/>
    <w:tmpl w:val="8B1EA4E4"/>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76724D4"/>
    <w:multiLevelType w:val="hybridMultilevel"/>
    <w:tmpl w:val="A802EF26"/>
    <w:lvl w:ilvl="0">
      <w:start w:val="11"/>
      <w:numFmt w:val="decimal"/>
      <w:lvlText w:val="%1."/>
      <w:lvlJc w:val="left"/>
      <w:pPr>
        <w:ind w:left="1440" w:hanging="360"/>
      </w:pPr>
      <w:rPr>
        <w:rFonts w:eastAsiaTheme="minorHAnsi"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692A378C"/>
    <w:multiLevelType w:val="hybridMultilevel"/>
    <w:tmpl w:val="224E692E"/>
    <w:lvl w:ilvl="0">
      <w:start w:val="4"/>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6FA30C75"/>
    <w:multiLevelType w:val="hybridMultilevel"/>
    <w:tmpl w:val="4282E15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742B57FF"/>
    <w:multiLevelType w:val="hybridMultilevel"/>
    <w:tmpl w:val="681A24F6"/>
    <w:lvl w:ilvl="0">
      <w:start w:val="1"/>
      <w:numFmt w:val="decimal"/>
      <w:lvlText w:val="%1."/>
      <w:lvlJc w:val="left"/>
      <w:pPr>
        <w:ind w:left="171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nsid w:val="76C52BEE"/>
    <w:multiLevelType w:val="hybridMultilevel"/>
    <w:tmpl w:val="7E223FE0"/>
    <w:lvl w:ilvl="0">
      <w:start w:val="1"/>
      <w:numFmt w:val="upperLetter"/>
      <w:lvlText w:val="%1."/>
      <w:lvlJc w:val="left"/>
      <w:pPr>
        <w:ind w:left="1610" w:hanging="440"/>
      </w:pPr>
      <w:rPr>
        <w:rFonts w:hint="default"/>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34">
    <w:nsid w:val="76C71066"/>
    <w:multiLevelType w:val="hybridMultilevel"/>
    <w:tmpl w:val="FA0C3828"/>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7"/>
  </w:num>
  <w:num w:numId="2">
    <w:abstractNumId w:val="14"/>
  </w:num>
  <w:num w:numId="3">
    <w:abstractNumId w:val="23"/>
  </w:num>
  <w:num w:numId="4">
    <w:abstractNumId w:val="9"/>
  </w:num>
  <w:num w:numId="5">
    <w:abstractNumId w:val="27"/>
  </w:num>
  <w:num w:numId="6">
    <w:abstractNumId w:val="33"/>
  </w:num>
  <w:num w:numId="7">
    <w:abstractNumId w:val="30"/>
  </w:num>
  <w:num w:numId="8">
    <w:abstractNumId w:val="32"/>
  </w:num>
  <w:num w:numId="9">
    <w:abstractNumId w:val="11"/>
  </w:num>
  <w:num w:numId="10">
    <w:abstractNumId w:val="12"/>
  </w:num>
  <w:num w:numId="11">
    <w:abstractNumId w:val="5"/>
  </w:num>
  <w:num w:numId="12">
    <w:abstractNumId w:val="4"/>
  </w:num>
  <w:num w:numId="13">
    <w:abstractNumId w:val="29"/>
  </w:num>
  <w:num w:numId="14">
    <w:abstractNumId w:val="15"/>
  </w:num>
  <w:num w:numId="15">
    <w:abstractNumId w:val="28"/>
  </w:num>
  <w:num w:numId="16">
    <w:abstractNumId w:val="20"/>
  </w:num>
  <w:num w:numId="17">
    <w:abstractNumId w:val="22"/>
  </w:num>
  <w:num w:numId="18">
    <w:abstractNumId w:val="8"/>
  </w:num>
  <w:num w:numId="19">
    <w:abstractNumId w:val="24"/>
  </w:num>
  <w:num w:numId="20">
    <w:abstractNumId w:val="18"/>
  </w:num>
  <w:num w:numId="21">
    <w:abstractNumId w:val="25"/>
  </w:num>
  <w:num w:numId="22">
    <w:abstractNumId w:val="2"/>
  </w:num>
  <w:num w:numId="23">
    <w:abstractNumId w:val="16"/>
  </w:num>
  <w:num w:numId="24">
    <w:abstractNumId w:val="17"/>
  </w:num>
  <w:num w:numId="25">
    <w:abstractNumId w:val="21"/>
  </w:num>
  <w:num w:numId="26">
    <w:abstractNumId w:val="13"/>
  </w:num>
  <w:num w:numId="27">
    <w:abstractNumId w:val="3"/>
  </w:num>
  <w:num w:numId="28">
    <w:abstractNumId w:val="19"/>
  </w:num>
  <w:num w:numId="29">
    <w:abstractNumId w:val="34"/>
  </w:num>
  <w:num w:numId="30">
    <w:abstractNumId w:val="6"/>
  </w:num>
  <w:num w:numId="31">
    <w:abstractNumId w:val="26"/>
  </w:num>
  <w:num w:numId="32">
    <w:abstractNumId w:val="31"/>
  </w:num>
  <w:num w:numId="33">
    <w:abstractNumId w:val="10"/>
  </w:num>
  <w:num w:numId="34">
    <w:abstractNumId w:val="1"/>
  </w:num>
  <w:num w:numId="3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44"/>
    <w:rsid w:val="000001F1"/>
    <w:rsid w:val="000018C3"/>
    <w:rsid w:val="00001C28"/>
    <w:rsid w:val="00002264"/>
    <w:rsid w:val="000023BA"/>
    <w:rsid w:val="000029A2"/>
    <w:rsid w:val="00002A94"/>
    <w:rsid w:val="00003380"/>
    <w:rsid w:val="0000398E"/>
    <w:rsid w:val="00003BE9"/>
    <w:rsid w:val="00004B58"/>
    <w:rsid w:val="00005772"/>
    <w:rsid w:val="000059A5"/>
    <w:rsid w:val="00005F15"/>
    <w:rsid w:val="00006734"/>
    <w:rsid w:val="00010C71"/>
    <w:rsid w:val="00011083"/>
    <w:rsid w:val="00012389"/>
    <w:rsid w:val="00012BB0"/>
    <w:rsid w:val="00012FE2"/>
    <w:rsid w:val="000133DB"/>
    <w:rsid w:val="00013A44"/>
    <w:rsid w:val="00013A5C"/>
    <w:rsid w:val="00013E0C"/>
    <w:rsid w:val="00014749"/>
    <w:rsid w:val="000149F4"/>
    <w:rsid w:val="00015659"/>
    <w:rsid w:val="00015894"/>
    <w:rsid w:val="0001723E"/>
    <w:rsid w:val="000172A0"/>
    <w:rsid w:val="0001744C"/>
    <w:rsid w:val="000178A2"/>
    <w:rsid w:val="00017A00"/>
    <w:rsid w:val="00017DDF"/>
    <w:rsid w:val="00020A4B"/>
    <w:rsid w:val="00021312"/>
    <w:rsid w:val="00021B9D"/>
    <w:rsid w:val="000220D8"/>
    <w:rsid w:val="00023C3E"/>
    <w:rsid w:val="00023FFB"/>
    <w:rsid w:val="000243BF"/>
    <w:rsid w:val="000264A2"/>
    <w:rsid w:val="000267D5"/>
    <w:rsid w:val="00026BE6"/>
    <w:rsid w:val="00027241"/>
    <w:rsid w:val="00030948"/>
    <w:rsid w:val="00030D0A"/>
    <w:rsid w:val="0003268C"/>
    <w:rsid w:val="00034D4F"/>
    <w:rsid w:val="00034FAA"/>
    <w:rsid w:val="0003553F"/>
    <w:rsid w:val="00035D0C"/>
    <w:rsid w:val="00035D16"/>
    <w:rsid w:val="000363B8"/>
    <w:rsid w:val="00036692"/>
    <w:rsid w:val="00036E57"/>
    <w:rsid w:val="00037415"/>
    <w:rsid w:val="0003775C"/>
    <w:rsid w:val="00037AEC"/>
    <w:rsid w:val="00037B3D"/>
    <w:rsid w:val="00037CD7"/>
    <w:rsid w:val="0004069A"/>
    <w:rsid w:val="000413EE"/>
    <w:rsid w:val="00042343"/>
    <w:rsid w:val="0004235F"/>
    <w:rsid w:val="000425E4"/>
    <w:rsid w:val="000430A4"/>
    <w:rsid w:val="00043754"/>
    <w:rsid w:val="00044975"/>
    <w:rsid w:val="00044FD4"/>
    <w:rsid w:val="00047775"/>
    <w:rsid w:val="0004777E"/>
    <w:rsid w:val="000507BC"/>
    <w:rsid w:val="000510E5"/>
    <w:rsid w:val="000512A1"/>
    <w:rsid w:val="000516B8"/>
    <w:rsid w:val="0005252C"/>
    <w:rsid w:val="00053121"/>
    <w:rsid w:val="0005327D"/>
    <w:rsid w:val="00053FF4"/>
    <w:rsid w:val="00056437"/>
    <w:rsid w:val="00056565"/>
    <w:rsid w:val="00057A10"/>
    <w:rsid w:val="00057D15"/>
    <w:rsid w:val="00062290"/>
    <w:rsid w:val="00062939"/>
    <w:rsid w:val="00062A0B"/>
    <w:rsid w:val="00062BEF"/>
    <w:rsid w:val="0006418D"/>
    <w:rsid w:val="00065CFF"/>
    <w:rsid w:val="000677B7"/>
    <w:rsid w:val="000710A6"/>
    <w:rsid w:val="00071383"/>
    <w:rsid w:val="0007138A"/>
    <w:rsid w:val="00071829"/>
    <w:rsid w:val="00072381"/>
    <w:rsid w:val="0007299A"/>
    <w:rsid w:val="000746FE"/>
    <w:rsid w:val="000767BD"/>
    <w:rsid w:val="000775AB"/>
    <w:rsid w:val="00080332"/>
    <w:rsid w:val="00080458"/>
    <w:rsid w:val="0008165C"/>
    <w:rsid w:val="000816F9"/>
    <w:rsid w:val="00083E1F"/>
    <w:rsid w:val="000851DA"/>
    <w:rsid w:val="00086D55"/>
    <w:rsid w:val="00087E1E"/>
    <w:rsid w:val="000923BD"/>
    <w:rsid w:val="00092ADB"/>
    <w:rsid w:val="0009416F"/>
    <w:rsid w:val="000945CC"/>
    <w:rsid w:val="00095D47"/>
    <w:rsid w:val="00096574"/>
    <w:rsid w:val="00096B4F"/>
    <w:rsid w:val="00097645"/>
    <w:rsid w:val="000976ED"/>
    <w:rsid w:val="000A05A5"/>
    <w:rsid w:val="000A0C7F"/>
    <w:rsid w:val="000A1E3E"/>
    <w:rsid w:val="000A20DC"/>
    <w:rsid w:val="000A226C"/>
    <w:rsid w:val="000A27E9"/>
    <w:rsid w:val="000A3790"/>
    <w:rsid w:val="000A4623"/>
    <w:rsid w:val="000A46A0"/>
    <w:rsid w:val="000A483B"/>
    <w:rsid w:val="000A4C4C"/>
    <w:rsid w:val="000A52BE"/>
    <w:rsid w:val="000A546E"/>
    <w:rsid w:val="000A66F3"/>
    <w:rsid w:val="000A6FE0"/>
    <w:rsid w:val="000A72F9"/>
    <w:rsid w:val="000B157A"/>
    <w:rsid w:val="000B185F"/>
    <w:rsid w:val="000B1E2D"/>
    <w:rsid w:val="000B5056"/>
    <w:rsid w:val="000B5B67"/>
    <w:rsid w:val="000B5DB7"/>
    <w:rsid w:val="000B67FB"/>
    <w:rsid w:val="000C0238"/>
    <w:rsid w:val="000C12B4"/>
    <w:rsid w:val="000C1C45"/>
    <w:rsid w:val="000C1C70"/>
    <w:rsid w:val="000C2381"/>
    <w:rsid w:val="000C2BA3"/>
    <w:rsid w:val="000C3390"/>
    <w:rsid w:val="000C394F"/>
    <w:rsid w:val="000C3AC1"/>
    <w:rsid w:val="000C441A"/>
    <w:rsid w:val="000C4829"/>
    <w:rsid w:val="000C5555"/>
    <w:rsid w:val="000C572D"/>
    <w:rsid w:val="000C5A5A"/>
    <w:rsid w:val="000C5BD6"/>
    <w:rsid w:val="000C67ED"/>
    <w:rsid w:val="000C6C72"/>
    <w:rsid w:val="000C71F4"/>
    <w:rsid w:val="000C73D1"/>
    <w:rsid w:val="000D258E"/>
    <w:rsid w:val="000D4813"/>
    <w:rsid w:val="000D762E"/>
    <w:rsid w:val="000D7BA8"/>
    <w:rsid w:val="000E0D98"/>
    <w:rsid w:val="000E1685"/>
    <w:rsid w:val="000E2941"/>
    <w:rsid w:val="000E6AC0"/>
    <w:rsid w:val="000F1537"/>
    <w:rsid w:val="000F1B92"/>
    <w:rsid w:val="000F28B1"/>
    <w:rsid w:val="000F2992"/>
    <w:rsid w:val="000F2D24"/>
    <w:rsid w:val="000F310E"/>
    <w:rsid w:val="000F341F"/>
    <w:rsid w:val="000F3C65"/>
    <w:rsid w:val="000F5BBD"/>
    <w:rsid w:val="000F633D"/>
    <w:rsid w:val="00100986"/>
    <w:rsid w:val="00101228"/>
    <w:rsid w:val="0010181F"/>
    <w:rsid w:val="00101E9A"/>
    <w:rsid w:val="00103F9E"/>
    <w:rsid w:val="00104894"/>
    <w:rsid w:val="00104F2D"/>
    <w:rsid w:val="00105590"/>
    <w:rsid w:val="00105BB7"/>
    <w:rsid w:val="00106F13"/>
    <w:rsid w:val="00107167"/>
    <w:rsid w:val="001126EA"/>
    <w:rsid w:val="00113303"/>
    <w:rsid w:val="00113775"/>
    <w:rsid w:val="001137DB"/>
    <w:rsid w:val="00114EFF"/>
    <w:rsid w:val="001163CD"/>
    <w:rsid w:val="0011709B"/>
    <w:rsid w:val="0011727A"/>
    <w:rsid w:val="00117621"/>
    <w:rsid w:val="001177FE"/>
    <w:rsid w:val="00117DC7"/>
    <w:rsid w:val="00120851"/>
    <w:rsid w:val="00120AE8"/>
    <w:rsid w:val="001216BC"/>
    <w:rsid w:val="001222B7"/>
    <w:rsid w:val="00122653"/>
    <w:rsid w:val="0012270A"/>
    <w:rsid w:val="00122F6A"/>
    <w:rsid w:val="00127899"/>
    <w:rsid w:val="0013064C"/>
    <w:rsid w:val="00130A78"/>
    <w:rsid w:val="00130D65"/>
    <w:rsid w:val="00130F38"/>
    <w:rsid w:val="00131857"/>
    <w:rsid w:val="00131E5A"/>
    <w:rsid w:val="00132B9F"/>
    <w:rsid w:val="00132C09"/>
    <w:rsid w:val="00133067"/>
    <w:rsid w:val="00134573"/>
    <w:rsid w:val="00134BFB"/>
    <w:rsid w:val="00134CA2"/>
    <w:rsid w:val="00135E21"/>
    <w:rsid w:val="0013607A"/>
    <w:rsid w:val="00136359"/>
    <w:rsid w:val="001371CB"/>
    <w:rsid w:val="0013766D"/>
    <w:rsid w:val="00137FDD"/>
    <w:rsid w:val="00140586"/>
    <w:rsid w:val="0014151F"/>
    <w:rsid w:val="00141772"/>
    <w:rsid w:val="00141DCF"/>
    <w:rsid w:val="00142FAA"/>
    <w:rsid w:val="00143074"/>
    <w:rsid w:val="001435EB"/>
    <w:rsid w:val="001449D9"/>
    <w:rsid w:val="00146CB1"/>
    <w:rsid w:val="0015074C"/>
    <w:rsid w:val="0015160B"/>
    <w:rsid w:val="00151955"/>
    <w:rsid w:val="00153065"/>
    <w:rsid w:val="001533F0"/>
    <w:rsid w:val="00153869"/>
    <w:rsid w:val="00153996"/>
    <w:rsid w:val="001542EE"/>
    <w:rsid w:val="00154F84"/>
    <w:rsid w:val="00155299"/>
    <w:rsid w:val="00155914"/>
    <w:rsid w:val="0015642B"/>
    <w:rsid w:val="00156874"/>
    <w:rsid w:val="001569DA"/>
    <w:rsid w:val="00157DBD"/>
    <w:rsid w:val="001601F5"/>
    <w:rsid w:val="00160B8B"/>
    <w:rsid w:val="001615A0"/>
    <w:rsid w:val="00162321"/>
    <w:rsid w:val="00163159"/>
    <w:rsid w:val="001647E8"/>
    <w:rsid w:val="00165997"/>
    <w:rsid w:val="00165A59"/>
    <w:rsid w:val="00165AB2"/>
    <w:rsid w:val="00165E07"/>
    <w:rsid w:val="0016705A"/>
    <w:rsid w:val="001675D3"/>
    <w:rsid w:val="00170820"/>
    <w:rsid w:val="00171D62"/>
    <w:rsid w:val="00172244"/>
    <w:rsid w:val="00172D0E"/>
    <w:rsid w:val="00173E76"/>
    <w:rsid w:val="00174259"/>
    <w:rsid w:val="001746F5"/>
    <w:rsid w:val="0017578C"/>
    <w:rsid w:val="00175A1D"/>
    <w:rsid w:val="00176B37"/>
    <w:rsid w:val="0017709A"/>
    <w:rsid w:val="001771F7"/>
    <w:rsid w:val="001774F6"/>
    <w:rsid w:val="00177821"/>
    <w:rsid w:val="00177D19"/>
    <w:rsid w:val="00177FAC"/>
    <w:rsid w:val="00182F10"/>
    <w:rsid w:val="00183AC7"/>
    <w:rsid w:val="00185D45"/>
    <w:rsid w:val="001860BB"/>
    <w:rsid w:val="001863D7"/>
    <w:rsid w:val="001913A3"/>
    <w:rsid w:val="001918D1"/>
    <w:rsid w:val="0019208C"/>
    <w:rsid w:val="0019245C"/>
    <w:rsid w:val="0019335F"/>
    <w:rsid w:val="00193A4D"/>
    <w:rsid w:val="00193C97"/>
    <w:rsid w:val="00194AD9"/>
    <w:rsid w:val="00194E48"/>
    <w:rsid w:val="0019538D"/>
    <w:rsid w:val="00195859"/>
    <w:rsid w:val="0019648B"/>
    <w:rsid w:val="00197483"/>
    <w:rsid w:val="001A043E"/>
    <w:rsid w:val="001A0E31"/>
    <w:rsid w:val="001A0FA5"/>
    <w:rsid w:val="001A183C"/>
    <w:rsid w:val="001A189A"/>
    <w:rsid w:val="001A1B57"/>
    <w:rsid w:val="001A314C"/>
    <w:rsid w:val="001A3998"/>
    <w:rsid w:val="001A3C37"/>
    <w:rsid w:val="001A3E4F"/>
    <w:rsid w:val="001A417C"/>
    <w:rsid w:val="001A45CC"/>
    <w:rsid w:val="001A4698"/>
    <w:rsid w:val="001A7237"/>
    <w:rsid w:val="001A72AC"/>
    <w:rsid w:val="001B0832"/>
    <w:rsid w:val="001B0EB8"/>
    <w:rsid w:val="001B140E"/>
    <w:rsid w:val="001B18DC"/>
    <w:rsid w:val="001B2358"/>
    <w:rsid w:val="001B286E"/>
    <w:rsid w:val="001B3A89"/>
    <w:rsid w:val="001B42DB"/>
    <w:rsid w:val="001B43E7"/>
    <w:rsid w:val="001B58CF"/>
    <w:rsid w:val="001C1055"/>
    <w:rsid w:val="001C1658"/>
    <w:rsid w:val="001C1719"/>
    <w:rsid w:val="001C1FA8"/>
    <w:rsid w:val="001C22FA"/>
    <w:rsid w:val="001C262E"/>
    <w:rsid w:val="001C3E47"/>
    <w:rsid w:val="001C609D"/>
    <w:rsid w:val="001C648B"/>
    <w:rsid w:val="001C699D"/>
    <w:rsid w:val="001C6D3E"/>
    <w:rsid w:val="001D0899"/>
    <w:rsid w:val="001D1B1A"/>
    <w:rsid w:val="001D1FD9"/>
    <w:rsid w:val="001D1FF6"/>
    <w:rsid w:val="001D2572"/>
    <w:rsid w:val="001D6AF2"/>
    <w:rsid w:val="001D6BFD"/>
    <w:rsid w:val="001D7AF8"/>
    <w:rsid w:val="001E020B"/>
    <w:rsid w:val="001E29CA"/>
    <w:rsid w:val="001E2C12"/>
    <w:rsid w:val="001E3B0B"/>
    <w:rsid w:val="001E3B8D"/>
    <w:rsid w:val="001E402F"/>
    <w:rsid w:val="001E6958"/>
    <w:rsid w:val="001E6992"/>
    <w:rsid w:val="001E7830"/>
    <w:rsid w:val="001E78F2"/>
    <w:rsid w:val="001F06DE"/>
    <w:rsid w:val="001F074F"/>
    <w:rsid w:val="001F107E"/>
    <w:rsid w:val="001F1C8B"/>
    <w:rsid w:val="001F2C93"/>
    <w:rsid w:val="001F3052"/>
    <w:rsid w:val="001F31ED"/>
    <w:rsid w:val="001F4D50"/>
    <w:rsid w:val="001F510A"/>
    <w:rsid w:val="001F5E35"/>
    <w:rsid w:val="001F603E"/>
    <w:rsid w:val="001F6107"/>
    <w:rsid w:val="001F6180"/>
    <w:rsid w:val="001F6315"/>
    <w:rsid w:val="002002E8"/>
    <w:rsid w:val="0020199C"/>
    <w:rsid w:val="00201A5C"/>
    <w:rsid w:val="00203497"/>
    <w:rsid w:val="0020499A"/>
    <w:rsid w:val="00204B7E"/>
    <w:rsid w:val="00204DB6"/>
    <w:rsid w:val="00205AA6"/>
    <w:rsid w:val="00206430"/>
    <w:rsid w:val="00207247"/>
    <w:rsid w:val="00207DAB"/>
    <w:rsid w:val="00211508"/>
    <w:rsid w:val="002127DB"/>
    <w:rsid w:val="002127E6"/>
    <w:rsid w:val="00213925"/>
    <w:rsid w:val="00213F28"/>
    <w:rsid w:val="00214972"/>
    <w:rsid w:val="00214F05"/>
    <w:rsid w:val="00215B3A"/>
    <w:rsid w:val="00216C2D"/>
    <w:rsid w:val="00217035"/>
    <w:rsid w:val="00217239"/>
    <w:rsid w:val="00217BCC"/>
    <w:rsid w:val="00217D31"/>
    <w:rsid w:val="00221A62"/>
    <w:rsid w:val="00221A94"/>
    <w:rsid w:val="002223E3"/>
    <w:rsid w:val="0022335C"/>
    <w:rsid w:val="00224057"/>
    <w:rsid w:val="00224364"/>
    <w:rsid w:val="00224C68"/>
    <w:rsid w:val="00224D48"/>
    <w:rsid w:val="0022758A"/>
    <w:rsid w:val="00227833"/>
    <w:rsid w:val="00231837"/>
    <w:rsid w:val="00232389"/>
    <w:rsid w:val="00232B0C"/>
    <w:rsid w:val="00234351"/>
    <w:rsid w:val="00234E7D"/>
    <w:rsid w:val="0023602E"/>
    <w:rsid w:val="00236292"/>
    <w:rsid w:val="002448BA"/>
    <w:rsid w:val="00245565"/>
    <w:rsid w:val="00245703"/>
    <w:rsid w:val="00247115"/>
    <w:rsid w:val="002501DE"/>
    <w:rsid w:val="0025023B"/>
    <w:rsid w:val="00250260"/>
    <w:rsid w:val="00251160"/>
    <w:rsid w:val="00251A7C"/>
    <w:rsid w:val="00253764"/>
    <w:rsid w:val="0025376D"/>
    <w:rsid w:val="002537B6"/>
    <w:rsid w:val="00254129"/>
    <w:rsid w:val="002546AF"/>
    <w:rsid w:val="00254915"/>
    <w:rsid w:val="00254F77"/>
    <w:rsid w:val="002567A0"/>
    <w:rsid w:val="00260C20"/>
    <w:rsid w:val="00260E0D"/>
    <w:rsid w:val="00261045"/>
    <w:rsid w:val="002618B5"/>
    <w:rsid w:val="00261D71"/>
    <w:rsid w:val="002620BA"/>
    <w:rsid w:val="00262879"/>
    <w:rsid w:val="00262BA9"/>
    <w:rsid w:val="002643CE"/>
    <w:rsid w:val="0026489C"/>
    <w:rsid w:val="002652FE"/>
    <w:rsid w:val="002654E3"/>
    <w:rsid w:val="00266199"/>
    <w:rsid w:val="0026633B"/>
    <w:rsid w:val="00266352"/>
    <w:rsid w:val="0026723E"/>
    <w:rsid w:val="0026738E"/>
    <w:rsid w:val="00271490"/>
    <w:rsid w:val="00271C77"/>
    <w:rsid w:val="00272299"/>
    <w:rsid w:val="00272E2B"/>
    <w:rsid w:val="00273163"/>
    <w:rsid w:val="00273562"/>
    <w:rsid w:val="00275710"/>
    <w:rsid w:val="00277C23"/>
    <w:rsid w:val="0028071B"/>
    <w:rsid w:val="00282F49"/>
    <w:rsid w:val="00286079"/>
    <w:rsid w:val="00286727"/>
    <w:rsid w:val="00287765"/>
    <w:rsid w:val="00291222"/>
    <w:rsid w:val="0029164D"/>
    <w:rsid w:val="002931AE"/>
    <w:rsid w:val="00293EB6"/>
    <w:rsid w:val="00294086"/>
    <w:rsid w:val="00295C2B"/>
    <w:rsid w:val="00297128"/>
    <w:rsid w:val="002975EA"/>
    <w:rsid w:val="002A107A"/>
    <w:rsid w:val="002A1592"/>
    <w:rsid w:val="002A3565"/>
    <w:rsid w:val="002A3DD9"/>
    <w:rsid w:val="002A48E4"/>
    <w:rsid w:val="002A5A77"/>
    <w:rsid w:val="002A6C3E"/>
    <w:rsid w:val="002B0887"/>
    <w:rsid w:val="002B0906"/>
    <w:rsid w:val="002B1607"/>
    <w:rsid w:val="002B20E7"/>
    <w:rsid w:val="002B3419"/>
    <w:rsid w:val="002B49F1"/>
    <w:rsid w:val="002B5AA9"/>
    <w:rsid w:val="002B6439"/>
    <w:rsid w:val="002B6D3E"/>
    <w:rsid w:val="002B76EC"/>
    <w:rsid w:val="002B7C0D"/>
    <w:rsid w:val="002C0605"/>
    <w:rsid w:val="002C0A53"/>
    <w:rsid w:val="002C1181"/>
    <w:rsid w:val="002C1225"/>
    <w:rsid w:val="002C1AE1"/>
    <w:rsid w:val="002C29DA"/>
    <w:rsid w:val="002C3994"/>
    <w:rsid w:val="002C44E6"/>
    <w:rsid w:val="002C5406"/>
    <w:rsid w:val="002C6278"/>
    <w:rsid w:val="002C68F7"/>
    <w:rsid w:val="002C77CC"/>
    <w:rsid w:val="002C7F09"/>
    <w:rsid w:val="002D0163"/>
    <w:rsid w:val="002D0AB7"/>
    <w:rsid w:val="002D0E34"/>
    <w:rsid w:val="002D1A3E"/>
    <w:rsid w:val="002D2E3B"/>
    <w:rsid w:val="002D4304"/>
    <w:rsid w:val="002D49FC"/>
    <w:rsid w:val="002D5E92"/>
    <w:rsid w:val="002D6B2C"/>
    <w:rsid w:val="002D6D68"/>
    <w:rsid w:val="002D72DD"/>
    <w:rsid w:val="002D784E"/>
    <w:rsid w:val="002D7C79"/>
    <w:rsid w:val="002E00A8"/>
    <w:rsid w:val="002E0C24"/>
    <w:rsid w:val="002E0C26"/>
    <w:rsid w:val="002E0D83"/>
    <w:rsid w:val="002E0EE8"/>
    <w:rsid w:val="002E1899"/>
    <w:rsid w:val="002E2237"/>
    <w:rsid w:val="002E2756"/>
    <w:rsid w:val="002E2BEA"/>
    <w:rsid w:val="002E2D47"/>
    <w:rsid w:val="002E2D84"/>
    <w:rsid w:val="002E46DE"/>
    <w:rsid w:val="002E48B7"/>
    <w:rsid w:val="002E49C0"/>
    <w:rsid w:val="002E4AB2"/>
    <w:rsid w:val="002E5053"/>
    <w:rsid w:val="002E58D0"/>
    <w:rsid w:val="002E5AAB"/>
    <w:rsid w:val="002E685E"/>
    <w:rsid w:val="002E6F74"/>
    <w:rsid w:val="002F1007"/>
    <w:rsid w:val="002F223E"/>
    <w:rsid w:val="002F2E53"/>
    <w:rsid w:val="002F38E4"/>
    <w:rsid w:val="002F4058"/>
    <w:rsid w:val="002F48DC"/>
    <w:rsid w:val="002F4CE6"/>
    <w:rsid w:val="002F515A"/>
    <w:rsid w:val="002F5A3E"/>
    <w:rsid w:val="002F5EC5"/>
    <w:rsid w:val="002F72AB"/>
    <w:rsid w:val="002F7AE2"/>
    <w:rsid w:val="003025AA"/>
    <w:rsid w:val="00302D8E"/>
    <w:rsid w:val="00303BBC"/>
    <w:rsid w:val="003041B4"/>
    <w:rsid w:val="003047D2"/>
    <w:rsid w:val="00304A18"/>
    <w:rsid w:val="00304CCA"/>
    <w:rsid w:val="00305868"/>
    <w:rsid w:val="003064CA"/>
    <w:rsid w:val="003065B8"/>
    <w:rsid w:val="00307205"/>
    <w:rsid w:val="0030724D"/>
    <w:rsid w:val="00307778"/>
    <w:rsid w:val="00310D2C"/>
    <w:rsid w:val="00311540"/>
    <w:rsid w:val="003117A8"/>
    <w:rsid w:val="00311F1E"/>
    <w:rsid w:val="00312B5F"/>
    <w:rsid w:val="00313478"/>
    <w:rsid w:val="003147CC"/>
    <w:rsid w:val="003148DC"/>
    <w:rsid w:val="003166D0"/>
    <w:rsid w:val="00321178"/>
    <w:rsid w:val="0032167C"/>
    <w:rsid w:val="003243F9"/>
    <w:rsid w:val="00324492"/>
    <w:rsid w:val="0032483B"/>
    <w:rsid w:val="00324C02"/>
    <w:rsid w:val="00324D98"/>
    <w:rsid w:val="00325235"/>
    <w:rsid w:val="00325E4E"/>
    <w:rsid w:val="00327419"/>
    <w:rsid w:val="00327EC6"/>
    <w:rsid w:val="00330DAA"/>
    <w:rsid w:val="00331934"/>
    <w:rsid w:val="00332004"/>
    <w:rsid w:val="00332680"/>
    <w:rsid w:val="003329C2"/>
    <w:rsid w:val="0033481F"/>
    <w:rsid w:val="00334FA3"/>
    <w:rsid w:val="0033593F"/>
    <w:rsid w:val="00335BEE"/>
    <w:rsid w:val="00335C83"/>
    <w:rsid w:val="00336D01"/>
    <w:rsid w:val="003370EE"/>
    <w:rsid w:val="00337DBC"/>
    <w:rsid w:val="00340077"/>
    <w:rsid w:val="003403F6"/>
    <w:rsid w:val="00341C93"/>
    <w:rsid w:val="00341EAE"/>
    <w:rsid w:val="00342101"/>
    <w:rsid w:val="0034210B"/>
    <w:rsid w:val="0034294C"/>
    <w:rsid w:val="00342A12"/>
    <w:rsid w:val="003434AE"/>
    <w:rsid w:val="00346702"/>
    <w:rsid w:val="0034692C"/>
    <w:rsid w:val="00347565"/>
    <w:rsid w:val="0035020F"/>
    <w:rsid w:val="00350DC3"/>
    <w:rsid w:val="003512D9"/>
    <w:rsid w:val="0035204E"/>
    <w:rsid w:val="00353A38"/>
    <w:rsid w:val="00353BA1"/>
    <w:rsid w:val="00355932"/>
    <w:rsid w:val="003565C4"/>
    <w:rsid w:val="00357B88"/>
    <w:rsid w:val="0036242F"/>
    <w:rsid w:val="00362480"/>
    <w:rsid w:val="00363F48"/>
    <w:rsid w:val="00364BCD"/>
    <w:rsid w:val="0036645A"/>
    <w:rsid w:val="00370305"/>
    <w:rsid w:val="00371347"/>
    <w:rsid w:val="0037143D"/>
    <w:rsid w:val="00371C3D"/>
    <w:rsid w:val="003735BB"/>
    <w:rsid w:val="00373E6E"/>
    <w:rsid w:val="003743BD"/>
    <w:rsid w:val="0037452A"/>
    <w:rsid w:val="003758D6"/>
    <w:rsid w:val="003763FF"/>
    <w:rsid w:val="003804E0"/>
    <w:rsid w:val="003805DA"/>
    <w:rsid w:val="00383322"/>
    <w:rsid w:val="003833B6"/>
    <w:rsid w:val="00384BB7"/>
    <w:rsid w:val="00384D20"/>
    <w:rsid w:val="003851AD"/>
    <w:rsid w:val="00385FB5"/>
    <w:rsid w:val="003863B8"/>
    <w:rsid w:val="00386727"/>
    <w:rsid w:val="00386776"/>
    <w:rsid w:val="00386E1D"/>
    <w:rsid w:val="00390A2D"/>
    <w:rsid w:val="00391B3C"/>
    <w:rsid w:val="003922C8"/>
    <w:rsid w:val="00392A7F"/>
    <w:rsid w:val="003934F5"/>
    <w:rsid w:val="00394E20"/>
    <w:rsid w:val="00395724"/>
    <w:rsid w:val="003A04C5"/>
    <w:rsid w:val="003A0861"/>
    <w:rsid w:val="003A1A5A"/>
    <w:rsid w:val="003A2721"/>
    <w:rsid w:val="003A4F28"/>
    <w:rsid w:val="003A5C1F"/>
    <w:rsid w:val="003A6F8A"/>
    <w:rsid w:val="003A6FF8"/>
    <w:rsid w:val="003A7A9C"/>
    <w:rsid w:val="003B02D5"/>
    <w:rsid w:val="003B1DED"/>
    <w:rsid w:val="003B215C"/>
    <w:rsid w:val="003B2407"/>
    <w:rsid w:val="003B3213"/>
    <w:rsid w:val="003B4524"/>
    <w:rsid w:val="003B4556"/>
    <w:rsid w:val="003B58D1"/>
    <w:rsid w:val="003B6002"/>
    <w:rsid w:val="003B6C86"/>
    <w:rsid w:val="003C0AE7"/>
    <w:rsid w:val="003C129B"/>
    <w:rsid w:val="003C1927"/>
    <w:rsid w:val="003C1A6E"/>
    <w:rsid w:val="003C3901"/>
    <w:rsid w:val="003C3936"/>
    <w:rsid w:val="003C4762"/>
    <w:rsid w:val="003C5464"/>
    <w:rsid w:val="003C54A1"/>
    <w:rsid w:val="003C5A92"/>
    <w:rsid w:val="003C5FAC"/>
    <w:rsid w:val="003C686E"/>
    <w:rsid w:val="003C7C71"/>
    <w:rsid w:val="003D012E"/>
    <w:rsid w:val="003D0818"/>
    <w:rsid w:val="003D1311"/>
    <w:rsid w:val="003D2106"/>
    <w:rsid w:val="003D2758"/>
    <w:rsid w:val="003D31DE"/>
    <w:rsid w:val="003D35B9"/>
    <w:rsid w:val="003D4314"/>
    <w:rsid w:val="003D5747"/>
    <w:rsid w:val="003D7AE8"/>
    <w:rsid w:val="003E0578"/>
    <w:rsid w:val="003E0841"/>
    <w:rsid w:val="003E11C3"/>
    <w:rsid w:val="003E147C"/>
    <w:rsid w:val="003E1766"/>
    <w:rsid w:val="003E2063"/>
    <w:rsid w:val="003E3383"/>
    <w:rsid w:val="003E4B59"/>
    <w:rsid w:val="003E5150"/>
    <w:rsid w:val="003E5943"/>
    <w:rsid w:val="003E6CC8"/>
    <w:rsid w:val="003E7D64"/>
    <w:rsid w:val="003F03CD"/>
    <w:rsid w:val="003F06DD"/>
    <w:rsid w:val="003F070C"/>
    <w:rsid w:val="003F1C05"/>
    <w:rsid w:val="003F25F7"/>
    <w:rsid w:val="003F4068"/>
    <w:rsid w:val="003F44A2"/>
    <w:rsid w:val="003F4715"/>
    <w:rsid w:val="003F4776"/>
    <w:rsid w:val="003F5879"/>
    <w:rsid w:val="003F5A61"/>
    <w:rsid w:val="003F6E11"/>
    <w:rsid w:val="00400BAF"/>
    <w:rsid w:val="004015D1"/>
    <w:rsid w:val="00402730"/>
    <w:rsid w:val="00402D44"/>
    <w:rsid w:val="00402DDB"/>
    <w:rsid w:val="00404FB2"/>
    <w:rsid w:val="0040622F"/>
    <w:rsid w:val="00407323"/>
    <w:rsid w:val="00410CA8"/>
    <w:rsid w:val="004110C9"/>
    <w:rsid w:val="0041181D"/>
    <w:rsid w:val="00413096"/>
    <w:rsid w:val="00413162"/>
    <w:rsid w:val="00413D31"/>
    <w:rsid w:val="0041480E"/>
    <w:rsid w:val="0041529D"/>
    <w:rsid w:val="00415533"/>
    <w:rsid w:val="004174A9"/>
    <w:rsid w:val="00421609"/>
    <w:rsid w:val="00421700"/>
    <w:rsid w:val="00423375"/>
    <w:rsid w:val="00423E72"/>
    <w:rsid w:val="00424BDB"/>
    <w:rsid w:val="0042524E"/>
    <w:rsid w:val="004269C9"/>
    <w:rsid w:val="00426A57"/>
    <w:rsid w:val="004276A9"/>
    <w:rsid w:val="00430530"/>
    <w:rsid w:val="00430D27"/>
    <w:rsid w:val="00431C55"/>
    <w:rsid w:val="00431FA7"/>
    <w:rsid w:val="00432299"/>
    <w:rsid w:val="00433338"/>
    <w:rsid w:val="00433AD9"/>
    <w:rsid w:val="00434F3E"/>
    <w:rsid w:val="00435B04"/>
    <w:rsid w:val="0043603C"/>
    <w:rsid w:val="00437696"/>
    <w:rsid w:val="00437E46"/>
    <w:rsid w:val="0044004C"/>
    <w:rsid w:val="004401C3"/>
    <w:rsid w:val="004407A2"/>
    <w:rsid w:val="00440A61"/>
    <w:rsid w:val="00442361"/>
    <w:rsid w:val="004423BA"/>
    <w:rsid w:val="00445294"/>
    <w:rsid w:val="004462F1"/>
    <w:rsid w:val="0044689F"/>
    <w:rsid w:val="004470CD"/>
    <w:rsid w:val="0044723D"/>
    <w:rsid w:val="00447250"/>
    <w:rsid w:val="00447852"/>
    <w:rsid w:val="00450E91"/>
    <w:rsid w:val="00452001"/>
    <w:rsid w:val="004521E3"/>
    <w:rsid w:val="004536C7"/>
    <w:rsid w:val="00454F32"/>
    <w:rsid w:val="00456555"/>
    <w:rsid w:val="00457DEF"/>
    <w:rsid w:val="00461DEB"/>
    <w:rsid w:val="00463203"/>
    <w:rsid w:val="0046334A"/>
    <w:rsid w:val="00463E71"/>
    <w:rsid w:val="00466566"/>
    <w:rsid w:val="00466701"/>
    <w:rsid w:val="004669D4"/>
    <w:rsid w:val="00466A07"/>
    <w:rsid w:val="0047059F"/>
    <w:rsid w:val="0047074C"/>
    <w:rsid w:val="00470B00"/>
    <w:rsid w:val="00471133"/>
    <w:rsid w:val="00471BD7"/>
    <w:rsid w:val="00471D82"/>
    <w:rsid w:val="0047241B"/>
    <w:rsid w:val="00475AF6"/>
    <w:rsid w:val="00475F29"/>
    <w:rsid w:val="0047609E"/>
    <w:rsid w:val="00476AB8"/>
    <w:rsid w:val="00476C76"/>
    <w:rsid w:val="00476D87"/>
    <w:rsid w:val="0047762C"/>
    <w:rsid w:val="00480476"/>
    <w:rsid w:val="0048292F"/>
    <w:rsid w:val="00482960"/>
    <w:rsid w:val="00483779"/>
    <w:rsid w:val="00483CD1"/>
    <w:rsid w:val="00483F84"/>
    <w:rsid w:val="00484034"/>
    <w:rsid w:val="00484171"/>
    <w:rsid w:val="00484376"/>
    <w:rsid w:val="0048489F"/>
    <w:rsid w:val="00484A55"/>
    <w:rsid w:val="004853D9"/>
    <w:rsid w:val="00485F3A"/>
    <w:rsid w:val="004862A5"/>
    <w:rsid w:val="004863C7"/>
    <w:rsid w:val="00486ABA"/>
    <w:rsid w:val="00487A7B"/>
    <w:rsid w:val="00487B38"/>
    <w:rsid w:val="004918EE"/>
    <w:rsid w:val="004935AA"/>
    <w:rsid w:val="0049385C"/>
    <w:rsid w:val="00493A4F"/>
    <w:rsid w:val="0049465D"/>
    <w:rsid w:val="004979A0"/>
    <w:rsid w:val="004A178A"/>
    <w:rsid w:val="004A178B"/>
    <w:rsid w:val="004A284C"/>
    <w:rsid w:val="004A5084"/>
    <w:rsid w:val="004A55DD"/>
    <w:rsid w:val="004A6E34"/>
    <w:rsid w:val="004A7535"/>
    <w:rsid w:val="004A7A94"/>
    <w:rsid w:val="004A7D34"/>
    <w:rsid w:val="004B0C6E"/>
    <w:rsid w:val="004B0EC4"/>
    <w:rsid w:val="004B28A1"/>
    <w:rsid w:val="004B29C1"/>
    <w:rsid w:val="004B3091"/>
    <w:rsid w:val="004B32A6"/>
    <w:rsid w:val="004B3B95"/>
    <w:rsid w:val="004B4671"/>
    <w:rsid w:val="004B5653"/>
    <w:rsid w:val="004B57FC"/>
    <w:rsid w:val="004B5D5C"/>
    <w:rsid w:val="004B7883"/>
    <w:rsid w:val="004C06FF"/>
    <w:rsid w:val="004C1146"/>
    <w:rsid w:val="004C19E7"/>
    <w:rsid w:val="004C1A19"/>
    <w:rsid w:val="004C1B6F"/>
    <w:rsid w:val="004C271A"/>
    <w:rsid w:val="004C337C"/>
    <w:rsid w:val="004C3761"/>
    <w:rsid w:val="004C46DD"/>
    <w:rsid w:val="004C49DF"/>
    <w:rsid w:val="004C4C05"/>
    <w:rsid w:val="004C54A6"/>
    <w:rsid w:val="004C5777"/>
    <w:rsid w:val="004C5BCA"/>
    <w:rsid w:val="004C6AB7"/>
    <w:rsid w:val="004C6B03"/>
    <w:rsid w:val="004C7168"/>
    <w:rsid w:val="004C731B"/>
    <w:rsid w:val="004D0F17"/>
    <w:rsid w:val="004D1601"/>
    <w:rsid w:val="004D2987"/>
    <w:rsid w:val="004D4EB5"/>
    <w:rsid w:val="004D6DA8"/>
    <w:rsid w:val="004E01EE"/>
    <w:rsid w:val="004E05C3"/>
    <w:rsid w:val="004E12EB"/>
    <w:rsid w:val="004E2023"/>
    <w:rsid w:val="004E27E5"/>
    <w:rsid w:val="004E3506"/>
    <w:rsid w:val="004E3A54"/>
    <w:rsid w:val="004E4283"/>
    <w:rsid w:val="004E4B0D"/>
    <w:rsid w:val="004E4FF0"/>
    <w:rsid w:val="004E55DD"/>
    <w:rsid w:val="004E56C6"/>
    <w:rsid w:val="004E7A32"/>
    <w:rsid w:val="004E7A75"/>
    <w:rsid w:val="004E7D65"/>
    <w:rsid w:val="004F067F"/>
    <w:rsid w:val="004F0DB1"/>
    <w:rsid w:val="004F174F"/>
    <w:rsid w:val="004F4467"/>
    <w:rsid w:val="004F49D5"/>
    <w:rsid w:val="004F4D39"/>
    <w:rsid w:val="004F58F1"/>
    <w:rsid w:val="004F5973"/>
    <w:rsid w:val="004F68DE"/>
    <w:rsid w:val="004F7990"/>
    <w:rsid w:val="005004B6"/>
    <w:rsid w:val="00501FE8"/>
    <w:rsid w:val="0050269E"/>
    <w:rsid w:val="00502B81"/>
    <w:rsid w:val="00504FF0"/>
    <w:rsid w:val="00505D00"/>
    <w:rsid w:val="0050640D"/>
    <w:rsid w:val="00506949"/>
    <w:rsid w:val="00506A53"/>
    <w:rsid w:val="00507914"/>
    <w:rsid w:val="00507A83"/>
    <w:rsid w:val="00507E45"/>
    <w:rsid w:val="0051050E"/>
    <w:rsid w:val="005114A6"/>
    <w:rsid w:val="00511876"/>
    <w:rsid w:val="0051289B"/>
    <w:rsid w:val="00512A1A"/>
    <w:rsid w:val="005137BF"/>
    <w:rsid w:val="005147ED"/>
    <w:rsid w:val="00514F7F"/>
    <w:rsid w:val="005153D3"/>
    <w:rsid w:val="00515C0A"/>
    <w:rsid w:val="005167E7"/>
    <w:rsid w:val="00516A04"/>
    <w:rsid w:val="005171F4"/>
    <w:rsid w:val="00517EA7"/>
    <w:rsid w:val="00517F8B"/>
    <w:rsid w:val="00520404"/>
    <w:rsid w:val="005209D7"/>
    <w:rsid w:val="0052126A"/>
    <w:rsid w:val="00521A4E"/>
    <w:rsid w:val="00521AF7"/>
    <w:rsid w:val="00521C9C"/>
    <w:rsid w:val="00523451"/>
    <w:rsid w:val="005238B2"/>
    <w:rsid w:val="00523D22"/>
    <w:rsid w:val="00524BBE"/>
    <w:rsid w:val="005252A1"/>
    <w:rsid w:val="005259E6"/>
    <w:rsid w:val="005267D0"/>
    <w:rsid w:val="00526A6F"/>
    <w:rsid w:val="00526B35"/>
    <w:rsid w:val="00526F7E"/>
    <w:rsid w:val="005272B8"/>
    <w:rsid w:val="00527380"/>
    <w:rsid w:val="00527801"/>
    <w:rsid w:val="00527C86"/>
    <w:rsid w:val="00530098"/>
    <w:rsid w:val="0053022E"/>
    <w:rsid w:val="00530376"/>
    <w:rsid w:val="005305C4"/>
    <w:rsid w:val="00530ABE"/>
    <w:rsid w:val="005319E4"/>
    <w:rsid w:val="00531EFB"/>
    <w:rsid w:val="005333B3"/>
    <w:rsid w:val="00533B8B"/>
    <w:rsid w:val="0053448D"/>
    <w:rsid w:val="00534560"/>
    <w:rsid w:val="0053535B"/>
    <w:rsid w:val="0053537B"/>
    <w:rsid w:val="00535E01"/>
    <w:rsid w:val="00537187"/>
    <w:rsid w:val="00537258"/>
    <w:rsid w:val="00540382"/>
    <w:rsid w:val="005403BA"/>
    <w:rsid w:val="005419B9"/>
    <w:rsid w:val="00541EC5"/>
    <w:rsid w:val="0054214C"/>
    <w:rsid w:val="00543A34"/>
    <w:rsid w:val="0054473D"/>
    <w:rsid w:val="0054500F"/>
    <w:rsid w:val="005454D3"/>
    <w:rsid w:val="00545B5C"/>
    <w:rsid w:val="00545F13"/>
    <w:rsid w:val="00545FDB"/>
    <w:rsid w:val="005500BB"/>
    <w:rsid w:val="0055038C"/>
    <w:rsid w:val="005504A6"/>
    <w:rsid w:val="00550F8A"/>
    <w:rsid w:val="00551E21"/>
    <w:rsid w:val="00553172"/>
    <w:rsid w:val="0055330E"/>
    <w:rsid w:val="00554103"/>
    <w:rsid w:val="00554161"/>
    <w:rsid w:val="005552CB"/>
    <w:rsid w:val="00555AB1"/>
    <w:rsid w:val="00556BA8"/>
    <w:rsid w:val="005575F8"/>
    <w:rsid w:val="00560C9F"/>
    <w:rsid w:val="00562770"/>
    <w:rsid w:val="00565C4F"/>
    <w:rsid w:val="0056722E"/>
    <w:rsid w:val="00567649"/>
    <w:rsid w:val="00567890"/>
    <w:rsid w:val="00567C1D"/>
    <w:rsid w:val="00567FE5"/>
    <w:rsid w:val="00570BDD"/>
    <w:rsid w:val="00570FDE"/>
    <w:rsid w:val="0057188E"/>
    <w:rsid w:val="00572114"/>
    <w:rsid w:val="0057217D"/>
    <w:rsid w:val="005726BC"/>
    <w:rsid w:val="00572CA2"/>
    <w:rsid w:val="00573F71"/>
    <w:rsid w:val="00575CF9"/>
    <w:rsid w:val="00576246"/>
    <w:rsid w:val="00576CCB"/>
    <w:rsid w:val="00577641"/>
    <w:rsid w:val="005777D0"/>
    <w:rsid w:val="0057782F"/>
    <w:rsid w:val="005801F3"/>
    <w:rsid w:val="00580BAD"/>
    <w:rsid w:val="00582E38"/>
    <w:rsid w:val="005835CB"/>
    <w:rsid w:val="00585D2E"/>
    <w:rsid w:val="00586F34"/>
    <w:rsid w:val="00586F8D"/>
    <w:rsid w:val="005879DD"/>
    <w:rsid w:val="00587D6A"/>
    <w:rsid w:val="00590DDA"/>
    <w:rsid w:val="00591DEA"/>
    <w:rsid w:val="00591E3D"/>
    <w:rsid w:val="00592211"/>
    <w:rsid w:val="00594A90"/>
    <w:rsid w:val="00595EC8"/>
    <w:rsid w:val="005A179D"/>
    <w:rsid w:val="005A2785"/>
    <w:rsid w:val="005A329C"/>
    <w:rsid w:val="005A40A3"/>
    <w:rsid w:val="005A53DD"/>
    <w:rsid w:val="005A6C19"/>
    <w:rsid w:val="005A7DA9"/>
    <w:rsid w:val="005B0098"/>
    <w:rsid w:val="005B20E3"/>
    <w:rsid w:val="005B2CCB"/>
    <w:rsid w:val="005B2F06"/>
    <w:rsid w:val="005B3113"/>
    <w:rsid w:val="005B355B"/>
    <w:rsid w:val="005B4181"/>
    <w:rsid w:val="005B4B87"/>
    <w:rsid w:val="005B5942"/>
    <w:rsid w:val="005B5F08"/>
    <w:rsid w:val="005C0220"/>
    <w:rsid w:val="005C2022"/>
    <w:rsid w:val="005C3003"/>
    <w:rsid w:val="005C3613"/>
    <w:rsid w:val="005C4148"/>
    <w:rsid w:val="005C490D"/>
    <w:rsid w:val="005C58E8"/>
    <w:rsid w:val="005C65DE"/>
    <w:rsid w:val="005C6617"/>
    <w:rsid w:val="005C6D20"/>
    <w:rsid w:val="005C7371"/>
    <w:rsid w:val="005C794E"/>
    <w:rsid w:val="005D00A2"/>
    <w:rsid w:val="005D084F"/>
    <w:rsid w:val="005D0E1C"/>
    <w:rsid w:val="005D1B6B"/>
    <w:rsid w:val="005D2801"/>
    <w:rsid w:val="005D4549"/>
    <w:rsid w:val="005D6284"/>
    <w:rsid w:val="005D6924"/>
    <w:rsid w:val="005E0264"/>
    <w:rsid w:val="005E0E08"/>
    <w:rsid w:val="005E141F"/>
    <w:rsid w:val="005E1810"/>
    <w:rsid w:val="005E19E4"/>
    <w:rsid w:val="005E1FAF"/>
    <w:rsid w:val="005E2762"/>
    <w:rsid w:val="005E29E2"/>
    <w:rsid w:val="005E5197"/>
    <w:rsid w:val="005E5920"/>
    <w:rsid w:val="005E60FE"/>
    <w:rsid w:val="005E6344"/>
    <w:rsid w:val="005E68C4"/>
    <w:rsid w:val="005E7D73"/>
    <w:rsid w:val="005F1251"/>
    <w:rsid w:val="005F29FE"/>
    <w:rsid w:val="005F5F63"/>
    <w:rsid w:val="005F7027"/>
    <w:rsid w:val="005F74ED"/>
    <w:rsid w:val="005F7637"/>
    <w:rsid w:val="00600CFE"/>
    <w:rsid w:val="00601FCD"/>
    <w:rsid w:val="0060207D"/>
    <w:rsid w:val="00602270"/>
    <w:rsid w:val="006025C5"/>
    <w:rsid w:val="00602647"/>
    <w:rsid w:val="00603F63"/>
    <w:rsid w:val="00606C02"/>
    <w:rsid w:val="00606C2D"/>
    <w:rsid w:val="006070F4"/>
    <w:rsid w:val="0060727D"/>
    <w:rsid w:val="00612291"/>
    <w:rsid w:val="00612970"/>
    <w:rsid w:val="00613C46"/>
    <w:rsid w:val="006149EC"/>
    <w:rsid w:val="00616182"/>
    <w:rsid w:val="00616CCC"/>
    <w:rsid w:val="00617B0E"/>
    <w:rsid w:val="00617FB8"/>
    <w:rsid w:val="00620C2E"/>
    <w:rsid w:val="00622D11"/>
    <w:rsid w:val="00624021"/>
    <w:rsid w:val="0062477D"/>
    <w:rsid w:val="00624C22"/>
    <w:rsid w:val="00624C6C"/>
    <w:rsid w:val="006265FF"/>
    <w:rsid w:val="006268AC"/>
    <w:rsid w:val="006272A7"/>
    <w:rsid w:val="00627694"/>
    <w:rsid w:val="0062799B"/>
    <w:rsid w:val="00630DDD"/>
    <w:rsid w:val="00631510"/>
    <w:rsid w:val="006328BB"/>
    <w:rsid w:val="006328D0"/>
    <w:rsid w:val="00633043"/>
    <w:rsid w:val="00633B85"/>
    <w:rsid w:val="00633BB0"/>
    <w:rsid w:val="0063456F"/>
    <w:rsid w:val="0063667C"/>
    <w:rsid w:val="00636B1B"/>
    <w:rsid w:val="00637186"/>
    <w:rsid w:val="00637296"/>
    <w:rsid w:val="006412D5"/>
    <w:rsid w:val="00642E64"/>
    <w:rsid w:val="0064320A"/>
    <w:rsid w:val="00644E69"/>
    <w:rsid w:val="006469F2"/>
    <w:rsid w:val="0065005A"/>
    <w:rsid w:val="00650796"/>
    <w:rsid w:val="0065195A"/>
    <w:rsid w:val="00652743"/>
    <w:rsid w:val="006538D3"/>
    <w:rsid w:val="00654AAE"/>
    <w:rsid w:val="0065569B"/>
    <w:rsid w:val="00656686"/>
    <w:rsid w:val="00657082"/>
    <w:rsid w:val="00657653"/>
    <w:rsid w:val="0065777F"/>
    <w:rsid w:val="00657A2A"/>
    <w:rsid w:val="00660163"/>
    <w:rsid w:val="00662378"/>
    <w:rsid w:val="00663997"/>
    <w:rsid w:val="00663E1B"/>
    <w:rsid w:val="00664BE3"/>
    <w:rsid w:val="00664E27"/>
    <w:rsid w:val="006666FE"/>
    <w:rsid w:val="006667AB"/>
    <w:rsid w:val="00666B8E"/>
    <w:rsid w:val="00666C0E"/>
    <w:rsid w:val="00666EF2"/>
    <w:rsid w:val="0066728E"/>
    <w:rsid w:val="00670EAC"/>
    <w:rsid w:val="0067131D"/>
    <w:rsid w:val="006715D6"/>
    <w:rsid w:val="006717E8"/>
    <w:rsid w:val="00671AC4"/>
    <w:rsid w:val="00671EE8"/>
    <w:rsid w:val="00672449"/>
    <w:rsid w:val="00674034"/>
    <w:rsid w:val="0067467A"/>
    <w:rsid w:val="00674713"/>
    <w:rsid w:val="00675526"/>
    <w:rsid w:val="0067703A"/>
    <w:rsid w:val="0068030D"/>
    <w:rsid w:val="0068190F"/>
    <w:rsid w:val="00682599"/>
    <w:rsid w:val="00682A9B"/>
    <w:rsid w:val="006837A5"/>
    <w:rsid w:val="00684ACE"/>
    <w:rsid w:val="00684B8A"/>
    <w:rsid w:val="00684BDA"/>
    <w:rsid w:val="00684D0B"/>
    <w:rsid w:val="00684D26"/>
    <w:rsid w:val="006856D6"/>
    <w:rsid w:val="00686601"/>
    <w:rsid w:val="00686669"/>
    <w:rsid w:val="00686B35"/>
    <w:rsid w:val="00686D5F"/>
    <w:rsid w:val="00687BE5"/>
    <w:rsid w:val="0069036C"/>
    <w:rsid w:val="00690453"/>
    <w:rsid w:val="00690A58"/>
    <w:rsid w:val="00690BC5"/>
    <w:rsid w:val="00690F1C"/>
    <w:rsid w:val="00691E0A"/>
    <w:rsid w:val="00692A35"/>
    <w:rsid w:val="00692BDF"/>
    <w:rsid w:val="00692F2D"/>
    <w:rsid w:val="006933A3"/>
    <w:rsid w:val="006940E7"/>
    <w:rsid w:val="00695BEB"/>
    <w:rsid w:val="00697113"/>
    <w:rsid w:val="00697B2E"/>
    <w:rsid w:val="00697E9F"/>
    <w:rsid w:val="006A0735"/>
    <w:rsid w:val="006A19A8"/>
    <w:rsid w:val="006A1AC5"/>
    <w:rsid w:val="006A202A"/>
    <w:rsid w:val="006A24F1"/>
    <w:rsid w:val="006A2AF2"/>
    <w:rsid w:val="006A3860"/>
    <w:rsid w:val="006A480B"/>
    <w:rsid w:val="006A6B92"/>
    <w:rsid w:val="006A7DDA"/>
    <w:rsid w:val="006B08C8"/>
    <w:rsid w:val="006B0D9B"/>
    <w:rsid w:val="006B195B"/>
    <w:rsid w:val="006B2102"/>
    <w:rsid w:val="006B4633"/>
    <w:rsid w:val="006B49CE"/>
    <w:rsid w:val="006B67F4"/>
    <w:rsid w:val="006B68D4"/>
    <w:rsid w:val="006B6A39"/>
    <w:rsid w:val="006B7D7A"/>
    <w:rsid w:val="006B7DB6"/>
    <w:rsid w:val="006C003E"/>
    <w:rsid w:val="006C03BB"/>
    <w:rsid w:val="006C0743"/>
    <w:rsid w:val="006C1315"/>
    <w:rsid w:val="006C1B7A"/>
    <w:rsid w:val="006C2A49"/>
    <w:rsid w:val="006C50BC"/>
    <w:rsid w:val="006C53D3"/>
    <w:rsid w:val="006C7606"/>
    <w:rsid w:val="006C775D"/>
    <w:rsid w:val="006D01B5"/>
    <w:rsid w:val="006D1001"/>
    <w:rsid w:val="006D16EA"/>
    <w:rsid w:val="006D1BC6"/>
    <w:rsid w:val="006D2B90"/>
    <w:rsid w:val="006D4495"/>
    <w:rsid w:val="006D45FC"/>
    <w:rsid w:val="006D4B72"/>
    <w:rsid w:val="006D4D12"/>
    <w:rsid w:val="006D546C"/>
    <w:rsid w:val="006D5874"/>
    <w:rsid w:val="006D62B1"/>
    <w:rsid w:val="006E03ED"/>
    <w:rsid w:val="006E0D44"/>
    <w:rsid w:val="006E11A8"/>
    <w:rsid w:val="006E21FD"/>
    <w:rsid w:val="006E34B4"/>
    <w:rsid w:val="006E4163"/>
    <w:rsid w:val="006E587F"/>
    <w:rsid w:val="006E5A57"/>
    <w:rsid w:val="006E5AD3"/>
    <w:rsid w:val="006E6099"/>
    <w:rsid w:val="006E73C2"/>
    <w:rsid w:val="006F0249"/>
    <w:rsid w:val="006F0583"/>
    <w:rsid w:val="006F0792"/>
    <w:rsid w:val="006F1126"/>
    <w:rsid w:val="006F17F7"/>
    <w:rsid w:val="006F210B"/>
    <w:rsid w:val="006F2A1F"/>
    <w:rsid w:val="006F2D27"/>
    <w:rsid w:val="006F2F93"/>
    <w:rsid w:val="006F3D56"/>
    <w:rsid w:val="006F5519"/>
    <w:rsid w:val="006F5713"/>
    <w:rsid w:val="006F5FE1"/>
    <w:rsid w:val="006F7319"/>
    <w:rsid w:val="0070053B"/>
    <w:rsid w:val="0070084D"/>
    <w:rsid w:val="0070319C"/>
    <w:rsid w:val="00704BC6"/>
    <w:rsid w:val="007051A8"/>
    <w:rsid w:val="00705919"/>
    <w:rsid w:val="00705FD9"/>
    <w:rsid w:val="00706477"/>
    <w:rsid w:val="007066B8"/>
    <w:rsid w:val="00706F28"/>
    <w:rsid w:val="00710046"/>
    <w:rsid w:val="00711F60"/>
    <w:rsid w:val="0071206B"/>
    <w:rsid w:val="007126E3"/>
    <w:rsid w:val="0071305B"/>
    <w:rsid w:val="00713F8B"/>
    <w:rsid w:val="00713FAD"/>
    <w:rsid w:val="00713FD4"/>
    <w:rsid w:val="007141DB"/>
    <w:rsid w:val="00717217"/>
    <w:rsid w:val="00717675"/>
    <w:rsid w:val="007201A4"/>
    <w:rsid w:val="00720DA9"/>
    <w:rsid w:val="00721000"/>
    <w:rsid w:val="007221EC"/>
    <w:rsid w:val="007240C8"/>
    <w:rsid w:val="007242CA"/>
    <w:rsid w:val="00724DFF"/>
    <w:rsid w:val="00725CE8"/>
    <w:rsid w:val="00726BA4"/>
    <w:rsid w:val="00726F6E"/>
    <w:rsid w:val="00727659"/>
    <w:rsid w:val="00727ADD"/>
    <w:rsid w:val="00727E7E"/>
    <w:rsid w:val="0073083E"/>
    <w:rsid w:val="007310D4"/>
    <w:rsid w:val="0073154F"/>
    <w:rsid w:val="00733DD0"/>
    <w:rsid w:val="00734762"/>
    <w:rsid w:val="007349FC"/>
    <w:rsid w:val="00734A58"/>
    <w:rsid w:val="00734D4D"/>
    <w:rsid w:val="00735522"/>
    <w:rsid w:val="00736CF3"/>
    <w:rsid w:val="00737511"/>
    <w:rsid w:val="007403B5"/>
    <w:rsid w:val="00742D8C"/>
    <w:rsid w:val="00742E76"/>
    <w:rsid w:val="00743A26"/>
    <w:rsid w:val="00743BE3"/>
    <w:rsid w:val="007442E4"/>
    <w:rsid w:val="007444B8"/>
    <w:rsid w:val="00744AD2"/>
    <w:rsid w:val="00745D0C"/>
    <w:rsid w:val="00746725"/>
    <w:rsid w:val="007471FC"/>
    <w:rsid w:val="00747939"/>
    <w:rsid w:val="00747CF9"/>
    <w:rsid w:val="00747E2B"/>
    <w:rsid w:val="00747F76"/>
    <w:rsid w:val="007503D8"/>
    <w:rsid w:val="00750645"/>
    <w:rsid w:val="00752ED7"/>
    <w:rsid w:val="00754AA9"/>
    <w:rsid w:val="00754F33"/>
    <w:rsid w:val="0075702B"/>
    <w:rsid w:val="0076062C"/>
    <w:rsid w:val="007609C2"/>
    <w:rsid w:val="00761D4B"/>
    <w:rsid w:val="00762059"/>
    <w:rsid w:val="007634EF"/>
    <w:rsid w:val="00764224"/>
    <w:rsid w:val="00764C25"/>
    <w:rsid w:val="00765362"/>
    <w:rsid w:val="0076598B"/>
    <w:rsid w:val="00765C17"/>
    <w:rsid w:val="00765E28"/>
    <w:rsid w:val="00766411"/>
    <w:rsid w:val="00766703"/>
    <w:rsid w:val="00766B8A"/>
    <w:rsid w:val="0076735B"/>
    <w:rsid w:val="00767EE7"/>
    <w:rsid w:val="00770D26"/>
    <w:rsid w:val="007721F3"/>
    <w:rsid w:val="00772A91"/>
    <w:rsid w:val="007734FC"/>
    <w:rsid w:val="00775201"/>
    <w:rsid w:val="00775207"/>
    <w:rsid w:val="00775F1C"/>
    <w:rsid w:val="007765A6"/>
    <w:rsid w:val="0077746B"/>
    <w:rsid w:val="0078102C"/>
    <w:rsid w:val="007811A9"/>
    <w:rsid w:val="00781A55"/>
    <w:rsid w:val="00784B2B"/>
    <w:rsid w:val="00784BB5"/>
    <w:rsid w:val="00785F14"/>
    <w:rsid w:val="0078626D"/>
    <w:rsid w:val="00786A6B"/>
    <w:rsid w:val="00787643"/>
    <w:rsid w:val="00787DD2"/>
    <w:rsid w:val="00790F0B"/>
    <w:rsid w:val="00792074"/>
    <w:rsid w:val="00792AA4"/>
    <w:rsid w:val="00792EC2"/>
    <w:rsid w:val="0079356F"/>
    <w:rsid w:val="0079503C"/>
    <w:rsid w:val="0079519B"/>
    <w:rsid w:val="00795D58"/>
    <w:rsid w:val="00796B59"/>
    <w:rsid w:val="00797351"/>
    <w:rsid w:val="007A025C"/>
    <w:rsid w:val="007A1B85"/>
    <w:rsid w:val="007A4AD1"/>
    <w:rsid w:val="007A4D4A"/>
    <w:rsid w:val="007A7179"/>
    <w:rsid w:val="007B0702"/>
    <w:rsid w:val="007B10CD"/>
    <w:rsid w:val="007B3963"/>
    <w:rsid w:val="007B3B9A"/>
    <w:rsid w:val="007B4145"/>
    <w:rsid w:val="007B4553"/>
    <w:rsid w:val="007B4A53"/>
    <w:rsid w:val="007B4F35"/>
    <w:rsid w:val="007B55C0"/>
    <w:rsid w:val="007B7E76"/>
    <w:rsid w:val="007C00F6"/>
    <w:rsid w:val="007C024C"/>
    <w:rsid w:val="007C125B"/>
    <w:rsid w:val="007C3AA4"/>
    <w:rsid w:val="007C4178"/>
    <w:rsid w:val="007C5428"/>
    <w:rsid w:val="007C5BD5"/>
    <w:rsid w:val="007C7E38"/>
    <w:rsid w:val="007D0380"/>
    <w:rsid w:val="007D148D"/>
    <w:rsid w:val="007D3A33"/>
    <w:rsid w:val="007D5DBA"/>
    <w:rsid w:val="007D7386"/>
    <w:rsid w:val="007E016E"/>
    <w:rsid w:val="007E1026"/>
    <w:rsid w:val="007E1454"/>
    <w:rsid w:val="007E14C4"/>
    <w:rsid w:val="007E16CC"/>
    <w:rsid w:val="007E2042"/>
    <w:rsid w:val="007E2425"/>
    <w:rsid w:val="007E3883"/>
    <w:rsid w:val="007E5BFA"/>
    <w:rsid w:val="007E6E44"/>
    <w:rsid w:val="007F20D9"/>
    <w:rsid w:val="007F2A85"/>
    <w:rsid w:val="007F6619"/>
    <w:rsid w:val="0080033F"/>
    <w:rsid w:val="00800FA9"/>
    <w:rsid w:val="008012DB"/>
    <w:rsid w:val="008027CB"/>
    <w:rsid w:val="00804002"/>
    <w:rsid w:val="0080492A"/>
    <w:rsid w:val="00804D76"/>
    <w:rsid w:val="0080580F"/>
    <w:rsid w:val="00806199"/>
    <w:rsid w:val="00806467"/>
    <w:rsid w:val="008066F8"/>
    <w:rsid w:val="008075D3"/>
    <w:rsid w:val="00807E3E"/>
    <w:rsid w:val="00807F2A"/>
    <w:rsid w:val="008103AA"/>
    <w:rsid w:val="00810526"/>
    <w:rsid w:val="008106DF"/>
    <w:rsid w:val="00810858"/>
    <w:rsid w:val="00810A08"/>
    <w:rsid w:val="00810C81"/>
    <w:rsid w:val="00811A84"/>
    <w:rsid w:val="00811C33"/>
    <w:rsid w:val="00812380"/>
    <w:rsid w:val="008139C1"/>
    <w:rsid w:val="008140E5"/>
    <w:rsid w:val="00814815"/>
    <w:rsid w:val="00814EAC"/>
    <w:rsid w:val="0081721A"/>
    <w:rsid w:val="008173DB"/>
    <w:rsid w:val="00817E07"/>
    <w:rsid w:val="00820238"/>
    <w:rsid w:val="008207A2"/>
    <w:rsid w:val="00820C7F"/>
    <w:rsid w:val="0082114B"/>
    <w:rsid w:val="00821416"/>
    <w:rsid w:val="0082188F"/>
    <w:rsid w:val="00821941"/>
    <w:rsid w:val="0082203B"/>
    <w:rsid w:val="008249D3"/>
    <w:rsid w:val="008253E9"/>
    <w:rsid w:val="00826C0A"/>
    <w:rsid w:val="00827B75"/>
    <w:rsid w:val="00827B80"/>
    <w:rsid w:val="008301F9"/>
    <w:rsid w:val="0083115A"/>
    <w:rsid w:val="0083154C"/>
    <w:rsid w:val="00831EC7"/>
    <w:rsid w:val="00833876"/>
    <w:rsid w:val="00833918"/>
    <w:rsid w:val="00833BC0"/>
    <w:rsid w:val="008359FE"/>
    <w:rsid w:val="00835CB3"/>
    <w:rsid w:val="00835F56"/>
    <w:rsid w:val="008368A8"/>
    <w:rsid w:val="00836B97"/>
    <w:rsid w:val="00837093"/>
    <w:rsid w:val="0083768E"/>
    <w:rsid w:val="00837B1A"/>
    <w:rsid w:val="00840E8E"/>
    <w:rsid w:val="00842299"/>
    <w:rsid w:val="00842AE3"/>
    <w:rsid w:val="00842C82"/>
    <w:rsid w:val="00842E73"/>
    <w:rsid w:val="00843501"/>
    <w:rsid w:val="00844107"/>
    <w:rsid w:val="008446AA"/>
    <w:rsid w:val="00844A09"/>
    <w:rsid w:val="00844CCA"/>
    <w:rsid w:val="008462CE"/>
    <w:rsid w:val="0084691B"/>
    <w:rsid w:val="00850994"/>
    <w:rsid w:val="00851C86"/>
    <w:rsid w:val="00852253"/>
    <w:rsid w:val="00853727"/>
    <w:rsid w:val="0085401E"/>
    <w:rsid w:val="00860A49"/>
    <w:rsid w:val="00860F18"/>
    <w:rsid w:val="00861935"/>
    <w:rsid w:val="00863885"/>
    <w:rsid w:val="008639E7"/>
    <w:rsid w:val="00863B81"/>
    <w:rsid w:val="00864063"/>
    <w:rsid w:val="008649B4"/>
    <w:rsid w:val="00864A37"/>
    <w:rsid w:val="00864DC1"/>
    <w:rsid w:val="0086500D"/>
    <w:rsid w:val="008670AC"/>
    <w:rsid w:val="00867550"/>
    <w:rsid w:val="00870344"/>
    <w:rsid w:val="00871188"/>
    <w:rsid w:val="008718C2"/>
    <w:rsid w:val="00871CFA"/>
    <w:rsid w:val="00871F8E"/>
    <w:rsid w:val="008726F3"/>
    <w:rsid w:val="00873DEE"/>
    <w:rsid w:val="00874036"/>
    <w:rsid w:val="00876488"/>
    <w:rsid w:val="00876708"/>
    <w:rsid w:val="008767BD"/>
    <w:rsid w:val="00876A38"/>
    <w:rsid w:val="00876F7D"/>
    <w:rsid w:val="008771D7"/>
    <w:rsid w:val="008773C9"/>
    <w:rsid w:val="00880A7E"/>
    <w:rsid w:val="008811F7"/>
    <w:rsid w:val="0088367C"/>
    <w:rsid w:val="00883F00"/>
    <w:rsid w:val="0088451A"/>
    <w:rsid w:val="0088473C"/>
    <w:rsid w:val="00884D30"/>
    <w:rsid w:val="008859A5"/>
    <w:rsid w:val="0088611E"/>
    <w:rsid w:val="00887030"/>
    <w:rsid w:val="00887C4D"/>
    <w:rsid w:val="008904A7"/>
    <w:rsid w:val="008904C1"/>
    <w:rsid w:val="00891CBF"/>
    <w:rsid w:val="00891DE2"/>
    <w:rsid w:val="00892549"/>
    <w:rsid w:val="00893567"/>
    <w:rsid w:val="00897168"/>
    <w:rsid w:val="0089758D"/>
    <w:rsid w:val="008A0E42"/>
    <w:rsid w:val="008A26E7"/>
    <w:rsid w:val="008A4658"/>
    <w:rsid w:val="008A4DFB"/>
    <w:rsid w:val="008A55AF"/>
    <w:rsid w:val="008A6227"/>
    <w:rsid w:val="008A6509"/>
    <w:rsid w:val="008A7E24"/>
    <w:rsid w:val="008A7FF0"/>
    <w:rsid w:val="008B03BC"/>
    <w:rsid w:val="008B0CB9"/>
    <w:rsid w:val="008B1C6B"/>
    <w:rsid w:val="008B2366"/>
    <w:rsid w:val="008B263E"/>
    <w:rsid w:val="008B394B"/>
    <w:rsid w:val="008B3C86"/>
    <w:rsid w:val="008B4708"/>
    <w:rsid w:val="008B6323"/>
    <w:rsid w:val="008B6466"/>
    <w:rsid w:val="008B735D"/>
    <w:rsid w:val="008C1127"/>
    <w:rsid w:val="008C26E8"/>
    <w:rsid w:val="008C2917"/>
    <w:rsid w:val="008C34A2"/>
    <w:rsid w:val="008C42A8"/>
    <w:rsid w:val="008C536A"/>
    <w:rsid w:val="008C5BF3"/>
    <w:rsid w:val="008C616E"/>
    <w:rsid w:val="008C655D"/>
    <w:rsid w:val="008C7330"/>
    <w:rsid w:val="008D16CE"/>
    <w:rsid w:val="008D2A40"/>
    <w:rsid w:val="008D4BF7"/>
    <w:rsid w:val="008D72CF"/>
    <w:rsid w:val="008E1137"/>
    <w:rsid w:val="008E2739"/>
    <w:rsid w:val="008E2F81"/>
    <w:rsid w:val="008E3B9B"/>
    <w:rsid w:val="008E4061"/>
    <w:rsid w:val="008E47D8"/>
    <w:rsid w:val="008E563C"/>
    <w:rsid w:val="008F071F"/>
    <w:rsid w:val="008F1FF1"/>
    <w:rsid w:val="008F2241"/>
    <w:rsid w:val="008F368B"/>
    <w:rsid w:val="008F36A7"/>
    <w:rsid w:val="008F4021"/>
    <w:rsid w:val="008F49DA"/>
    <w:rsid w:val="008F6376"/>
    <w:rsid w:val="008F7BF5"/>
    <w:rsid w:val="00901DFB"/>
    <w:rsid w:val="00902A94"/>
    <w:rsid w:val="00902C49"/>
    <w:rsid w:val="0090315B"/>
    <w:rsid w:val="00903684"/>
    <w:rsid w:val="009052E9"/>
    <w:rsid w:val="00906036"/>
    <w:rsid w:val="00907E9F"/>
    <w:rsid w:val="00910A74"/>
    <w:rsid w:val="009118A9"/>
    <w:rsid w:val="00911D44"/>
    <w:rsid w:val="00911E5F"/>
    <w:rsid w:val="00914352"/>
    <w:rsid w:val="00914F4B"/>
    <w:rsid w:val="0091740E"/>
    <w:rsid w:val="009200C4"/>
    <w:rsid w:val="009204F2"/>
    <w:rsid w:val="00920716"/>
    <w:rsid w:val="00920889"/>
    <w:rsid w:val="00920960"/>
    <w:rsid w:val="00922FC0"/>
    <w:rsid w:val="00924A23"/>
    <w:rsid w:val="00924A62"/>
    <w:rsid w:val="00924B82"/>
    <w:rsid w:val="00924F9E"/>
    <w:rsid w:val="009252D8"/>
    <w:rsid w:val="00931767"/>
    <w:rsid w:val="00933D25"/>
    <w:rsid w:val="00934B94"/>
    <w:rsid w:val="00935D43"/>
    <w:rsid w:val="009364AF"/>
    <w:rsid w:val="00937799"/>
    <w:rsid w:val="0093790F"/>
    <w:rsid w:val="00937CF4"/>
    <w:rsid w:val="00940111"/>
    <w:rsid w:val="0094057A"/>
    <w:rsid w:val="009415DF"/>
    <w:rsid w:val="00942A28"/>
    <w:rsid w:val="009434E5"/>
    <w:rsid w:val="009436B2"/>
    <w:rsid w:val="009437E1"/>
    <w:rsid w:val="00943CC6"/>
    <w:rsid w:val="00943CF6"/>
    <w:rsid w:val="00944A27"/>
    <w:rsid w:val="00945391"/>
    <w:rsid w:val="009459DB"/>
    <w:rsid w:val="00946758"/>
    <w:rsid w:val="00946A1E"/>
    <w:rsid w:val="00950677"/>
    <w:rsid w:val="00952223"/>
    <w:rsid w:val="0095293D"/>
    <w:rsid w:val="00952AAA"/>
    <w:rsid w:val="00953597"/>
    <w:rsid w:val="00953775"/>
    <w:rsid w:val="0095398C"/>
    <w:rsid w:val="00953B5B"/>
    <w:rsid w:val="0095422C"/>
    <w:rsid w:val="0095544C"/>
    <w:rsid w:val="009564A5"/>
    <w:rsid w:val="009564C6"/>
    <w:rsid w:val="00960831"/>
    <w:rsid w:val="00961B26"/>
    <w:rsid w:val="00961C78"/>
    <w:rsid w:val="00962723"/>
    <w:rsid w:val="00962F02"/>
    <w:rsid w:val="00964DDD"/>
    <w:rsid w:val="00965AD4"/>
    <w:rsid w:val="00965F76"/>
    <w:rsid w:val="009669D1"/>
    <w:rsid w:val="00970769"/>
    <w:rsid w:val="009739C4"/>
    <w:rsid w:val="009741BA"/>
    <w:rsid w:val="009744E7"/>
    <w:rsid w:val="0097491B"/>
    <w:rsid w:val="00974AFD"/>
    <w:rsid w:val="00974FA3"/>
    <w:rsid w:val="00977410"/>
    <w:rsid w:val="00981A0B"/>
    <w:rsid w:val="00982461"/>
    <w:rsid w:val="00982C50"/>
    <w:rsid w:val="009831EE"/>
    <w:rsid w:val="00983747"/>
    <w:rsid w:val="009846F9"/>
    <w:rsid w:val="00984C31"/>
    <w:rsid w:val="00985AFB"/>
    <w:rsid w:val="00985F91"/>
    <w:rsid w:val="0098657A"/>
    <w:rsid w:val="00986720"/>
    <w:rsid w:val="00986A09"/>
    <w:rsid w:val="00986F21"/>
    <w:rsid w:val="009870F5"/>
    <w:rsid w:val="00990BF2"/>
    <w:rsid w:val="00992653"/>
    <w:rsid w:val="00993514"/>
    <w:rsid w:val="009936A6"/>
    <w:rsid w:val="00993FF1"/>
    <w:rsid w:val="009961DE"/>
    <w:rsid w:val="00996DE6"/>
    <w:rsid w:val="009979E2"/>
    <w:rsid w:val="009A08DF"/>
    <w:rsid w:val="009A0C55"/>
    <w:rsid w:val="009A0EC1"/>
    <w:rsid w:val="009A14DA"/>
    <w:rsid w:val="009A1B4A"/>
    <w:rsid w:val="009A1B81"/>
    <w:rsid w:val="009A2C1A"/>
    <w:rsid w:val="009A38C9"/>
    <w:rsid w:val="009A404E"/>
    <w:rsid w:val="009A4F23"/>
    <w:rsid w:val="009A504A"/>
    <w:rsid w:val="009A5222"/>
    <w:rsid w:val="009A6A90"/>
    <w:rsid w:val="009B1D02"/>
    <w:rsid w:val="009B347D"/>
    <w:rsid w:val="009B440C"/>
    <w:rsid w:val="009B4769"/>
    <w:rsid w:val="009B4F1A"/>
    <w:rsid w:val="009B5D0B"/>
    <w:rsid w:val="009B5E4A"/>
    <w:rsid w:val="009B6649"/>
    <w:rsid w:val="009B69FF"/>
    <w:rsid w:val="009B6CC3"/>
    <w:rsid w:val="009B6D93"/>
    <w:rsid w:val="009B754A"/>
    <w:rsid w:val="009C0E5D"/>
    <w:rsid w:val="009C13DE"/>
    <w:rsid w:val="009C177C"/>
    <w:rsid w:val="009C2784"/>
    <w:rsid w:val="009C28A0"/>
    <w:rsid w:val="009C3E1B"/>
    <w:rsid w:val="009C4274"/>
    <w:rsid w:val="009C4737"/>
    <w:rsid w:val="009C5009"/>
    <w:rsid w:val="009C5442"/>
    <w:rsid w:val="009C74FC"/>
    <w:rsid w:val="009D1D7D"/>
    <w:rsid w:val="009D2F22"/>
    <w:rsid w:val="009D53E2"/>
    <w:rsid w:val="009D5D81"/>
    <w:rsid w:val="009D740D"/>
    <w:rsid w:val="009E0813"/>
    <w:rsid w:val="009E3892"/>
    <w:rsid w:val="009E40C4"/>
    <w:rsid w:val="009E4E1D"/>
    <w:rsid w:val="009E5192"/>
    <w:rsid w:val="009E570D"/>
    <w:rsid w:val="009E65CD"/>
    <w:rsid w:val="009E66F9"/>
    <w:rsid w:val="009E702E"/>
    <w:rsid w:val="009E7ED4"/>
    <w:rsid w:val="009F0733"/>
    <w:rsid w:val="009F10EB"/>
    <w:rsid w:val="009F3821"/>
    <w:rsid w:val="009F3EE2"/>
    <w:rsid w:val="009F42BD"/>
    <w:rsid w:val="009F4963"/>
    <w:rsid w:val="009F51DA"/>
    <w:rsid w:val="009F6A0F"/>
    <w:rsid w:val="009F7622"/>
    <w:rsid w:val="00A01051"/>
    <w:rsid w:val="00A010D7"/>
    <w:rsid w:val="00A01173"/>
    <w:rsid w:val="00A011D9"/>
    <w:rsid w:val="00A02573"/>
    <w:rsid w:val="00A029DB"/>
    <w:rsid w:val="00A04DC7"/>
    <w:rsid w:val="00A070DE"/>
    <w:rsid w:val="00A07895"/>
    <w:rsid w:val="00A07FE3"/>
    <w:rsid w:val="00A10FB7"/>
    <w:rsid w:val="00A12496"/>
    <w:rsid w:val="00A14044"/>
    <w:rsid w:val="00A149C8"/>
    <w:rsid w:val="00A14DF7"/>
    <w:rsid w:val="00A15152"/>
    <w:rsid w:val="00A15D7C"/>
    <w:rsid w:val="00A161B3"/>
    <w:rsid w:val="00A1662C"/>
    <w:rsid w:val="00A172D9"/>
    <w:rsid w:val="00A175FD"/>
    <w:rsid w:val="00A17A6C"/>
    <w:rsid w:val="00A203F7"/>
    <w:rsid w:val="00A208EA"/>
    <w:rsid w:val="00A20A86"/>
    <w:rsid w:val="00A21C0B"/>
    <w:rsid w:val="00A253A6"/>
    <w:rsid w:val="00A25C00"/>
    <w:rsid w:val="00A25DE8"/>
    <w:rsid w:val="00A26CCB"/>
    <w:rsid w:val="00A26FC5"/>
    <w:rsid w:val="00A27912"/>
    <w:rsid w:val="00A27C90"/>
    <w:rsid w:val="00A30973"/>
    <w:rsid w:val="00A30E62"/>
    <w:rsid w:val="00A310C9"/>
    <w:rsid w:val="00A313CB"/>
    <w:rsid w:val="00A3164A"/>
    <w:rsid w:val="00A3166A"/>
    <w:rsid w:val="00A33242"/>
    <w:rsid w:val="00A33AC6"/>
    <w:rsid w:val="00A3499B"/>
    <w:rsid w:val="00A34C60"/>
    <w:rsid w:val="00A35495"/>
    <w:rsid w:val="00A357F4"/>
    <w:rsid w:val="00A361FB"/>
    <w:rsid w:val="00A36A1F"/>
    <w:rsid w:val="00A37E59"/>
    <w:rsid w:val="00A4055D"/>
    <w:rsid w:val="00A40B62"/>
    <w:rsid w:val="00A418D5"/>
    <w:rsid w:val="00A42078"/>
    <w:rsid w:val="00A42B0F"/>
    <w:rsid w:val="00A43F98"/>
    <w:rsid w:val="00A45456"/>
    <w:rsid w:val="00A45AC7"/>
    <w:rsid w:val="00A4686A"/>
    <w:rsid w:val="00A47C19"/>
    <w:rsid w:val="00A47EC6"/>
    <w:rsid w:val="00A50119"/>
    <w:rsid w:val="00A507FF"/>
    <w:rsid w:val="00A508D2"/>
    <w:rsid w:val="00A511E0"/>
    <w:rsid w:val="00A52DF5"/>
    <w:rsid w:val="00A533BE"/>
    <w:rsid w:val="00A53B3B"/>
    <w:rsid w:val="00A54155"/>
    <w:rsid w:val="00A54B0D"/>
    <w:rsid w:val="00A55267"/>
    <w:rsid w:val="00A5564D"/>
    <w:rsid w:val="00A5586B"/>
    <w:rsid w:val="00A57C2F"/>
    <w:rsid w:val="00A6104D"/>
    <w:rsid w:val="00A61B61"/>
    <w:rsid w:val="00A62862"/>
    <w:rsid w:val="00A636FC"/>
    <w:rsid w:val="00A63BB2"/>
    <w:rsid w:val="00A63FEB"/>
    <w:rsid w:val="00A64FF5"/>
    <w:rsid w:val="00A65A7C"/>
    <w:rsid w:val="00A65CB5"/>
    <w:rsid w:val="00A66F23"/>
    <w:rsid w:val="00A67A9E"/>
    <w:rsid w:val="00A70B76"/>
    <w:rsid w:val="00A70BF6"/>
    <w:rsid w:val="00A7171C"/>
    <w:rsid w:val="00A7224D"/>
    <w:rsid w:val="00A7343E"/>
    <w:rsid w:val="00A739E2"/>
    <w:rsid w:val="00A747E6"/>
    <w:rsid w:val="00A75363"/>
    <w:rsid w:val="00A7617F"/>
    <w:rsid w:val="00A761DE"/>
    <w:rsid w:val="00A771AA"/>
    <w:rsid w:val="00A77FA0"/>
    <w:rsid w:val="00A80022"/>
    <w:rsid w:val="00A8054A"/>
    <w:rsid w:val="00A810A2"/>
    <w:rsid w:val="00A81356"/>
    <w:rsid w:val="00A8163B"/>
    <w:rsid w:val="00A81FF6"/>
    <w:rsid w:val="00A8208D"/>
    <w:rsid w:val="00A8217C"/>
    <w:rsid w:val="00A82A40"/>
    <w:rsid w:val="00A8320B"/>
    <w:rsid w:val="00A83F92"/>
    <w:rsid w:val="00A84B68"/>
    <w:rsid w:val="00A84D80"/>
    <w:rsid w:val="00A85609"/>
    <w:rsid w:val="00A858A9"/>
    <w:rsid w:val="00A91AD4"/>
    <w:rsid w:val="00A91EB9"/>
    <w:rsid w:val="00A955CD"/>
    <w:rsid w:val="00A957C3"/>
    <w:rsid w:val="00A96001"/>
    <w:rsid w:val="00A96258"/>
    <w:rsid w:val="00A96A60"/>
    <w:rsid w:val="00A96A7D"/>
    <w:rsid w:val="00A96F34"/>
    <w:rsid w:val="00A977FE"/>
    <w:rsid w:val="00AA09C3"/>
    <w:rsid w:val="00AA120E"/>
    <w:rsid w:val="00AA2C0A"/>
    <w:rsid w:val="00AA2C9E"/>
    <w:rsid w:val="00AA3FAD"/>
    <w:rsid w:val="00AA4E08"/>
    <w:rsid w:val="00AA7AC7"/>
    <w:rsid w:val="00AA7C40"/>
    <w:rsid w:val="00AB0AC0"/>
    <w:rsid w:val="00AB173C"/>
    <w:rsid w:val="00AB2DF7"/>
    <w:rsid w:val="00AB3C19"/>
    <w:rsid w:val="00AB4E5F"/>
    <w:rsid w:val="00AB5E06"/>
    <w:rsid w:val="00AB6248"/>
    <w:rsid w:val="00AB6546"/>
    <w:rsid w:val="00AB7041"/>
    <w:rsid w:val="00AB7064"/>
    <w:rsid w:val="00AC034B"/>
    <w:rsid w:val="00AC1C78"/>
    <w:rsid w:val="00AC2558"/>
    <w:rsid w:val="00AC2931"/>
    <w:rsid w:val="00AC2B80"/>
    <w:rsid w:val="00AC49DC"/>
    <w:rsid w:val="00AC4E56"/>
    <w:rsid w:val="00AC6114"/>
    <w:rsid w:val="00AC63F7"/>
    <w:rsid w:val="00AD07D4"/>
    <w:rsid w:val="00AD1CDA"/>
    <w:rsid w:val="00AD2D85"/>
    <w:rsid w:val="00AD311D"/>
    <w:rsid w:val="00AD6A18"/>
    <w:rsid w:val="00AD77CD"/>
    <w:rsid w:val="00AE007A"/>
    <w:rsid w:val="00AE2A16"/>
    <w:rsid w:val="00AE3A1B"/>
    <w:rsid w:val="00AE3BD8"/>
    <w:rsid w:val="00AE402F"/>
    <w:rsid w:val="00AE4B8C"/>
    <w:rsid w:val="00AE4B9F"/>
    <w:rsid w:val="00AE5356"/>
    <w:rsid w:val="00AE5E7B"/>
    <w:rsid w:val="00AE6250"/>
    <w:rsid w:val="00AE62D9"/>
    <w:rsid w:val="00AE76F5"/>
    <w:rsid w:val="00AF0DF1"/>
    <w:rsid w:val="00AF21B0"/>
    <w:rsid w:val="00AF309E"/>
    <w:rsid w:val="00AF3366"/>
    <w:rsid w:val="00AF34EB"/>
    <w:rsid w:val="00AF35C2"/>
    <w:rsid w:val="00AF4063"/>
    <w:rsid w:val="00AF4D7E"/>
    <w:rsid w:val="00AF6C2A"/>
    <w:rsid w:val="00AF73AC"/>
    <w:rsid w:val="00AF7459"/>
    <w:rsid w:val="00B004E1"/>
    <w:rsid w:val="00B00F48"/>
    <w:rsid w:val="00B0110E"/>
    <w:rsid w:val="00B0161E"/>
    <w:rsid w:val="00B04459"/>
    <w:rsid w:val="00B04831"/>
    <w:rsid w:val="00B04F63"/>
    <w:rsid w:val="00B04F8E"/>
    <w:rsid w:val="00B05C49"/>
    <w:rsid w:val="00B06371"/>
    <w:rsid w:val="00B07C35"/>
    <w:rsid w:val="00B07DBF"/>
    <w:rsid w:val="00B107E1"/>
    <w:rsid w:val="00B112B3"/>
    <w:rsid w:val="00B1147B"/>
    <w:rsid w:val="00B12420"/>
    <w:rsid w:val="00B12816"/>
    <w:rsid w:val="00B12D07"/>
    <w:rsid w:val="00B13232"/>
    <w:rsid w:val="00B13BFA"/>
    <w:rsid w:val="00B1456C"/>
    <w:rsid w:val="00B14E6B"/>
    <w:rsid w:val="00B15380"/>
    <w:rsid w:val="00B15684"/>
    <w:rsid w:val="00B15F35"/>
    <w:rsid w:val="00B173B9"/>
    <w:rsid w:val="00B176AB"/>
    <w:rsid w:val="00B178C8"/>
    <w:rsid w:val="00B17DED"/>
    <w:rsid w:val="00B21E4C"/>
    <w:rsid w:val="00B21F70"/>
    <w:rsid w:val="00B22518"/>
    <w:rsid w:val="00B22C00"/>
    <w:rsid w:val="00B24650"/>
    <w:rsid w:val="00B25042"/>
    <w:rsid w:val="00B25407"/>
    <w:rsid w:val="00B2543E"/>
    <w:rsid w:val="00B2624B"/>
    <w:rsid w:val="00B268D2"/>
    <w:rsid w:val="00B26BEA"/>
    <w:rsid w:val="00B30C59"/>
    <w:rsid w:val="00B31731"/>
    <w:rsid w:val="00B321AE"/>
    <w:rsid w:val="00B35158"/>
    <w:rsid w:val="00B366DE"/>
    <w:rsid w:val="00B37137"/>
    <w:rsid w:val="00B371BB"/>
    <w:rsid w:val="00B4258F"/>
    <w:rsid w:val="00B44192"/>
    <w:rsid w:val="00B508C5"/>
    <w:rsid w:val="00B512ED"/>
    <w:rsid w:val="00B51535"/>
    <w:rsid w:val="00B52B61"/>
    <w:rsid w:val="00B538C2"/>
    <w:rsid w:val="00B53A58"/>
    <w:rsid w:val="00B53D9E"/>
    <w:rsid w:val="00B564F5"/>
    <w:rsid w:val="00B56509"/>
    <w:rsid w:val="00B5684A"/>
    <w:rsid w:val="00B573D5"/>
    <w:rsid w:val="00B57931"/>
    <w:rsid w:val="00B57F2F"/>
    <w:rsid w:val="00B60A27"/>
    <w:rsid w:val="00B62046"/>
    <w:rsid w:val="00B62DF2"/>
    <w:rsid w:val="00B63696"/>
    <w:rsid w:val="00B65690"/>
    <w:rsid w:val="00B6685F"/>
    <w:rsid w:val="00B67117"/>
    <w:rsid w:val="00B709DC"/>
    <w:rsid w:val="00B72419"/>
    <w:rsid w:val="00B72428"/>
    <w:rsid w:val="00B7294E"/>
    <w:rsid w:val="00B7585A"/>
    <w:rsid w:val="00B77C96"/>
    <w:rsid w:val="00B80168"/>
    <w:rsid w:val="00B8282C"/>
    <w:rsid w:val="00B8368D"/>
    <w:rsid w:val="00B83B5C"/>
    <w:rsid w:val="00B8508B"/>
    <w:rsid w:val="00B85A15"/>
    <w:rsid w:val="00B85AB7"/>
    <w:rsid w:val="00B86887"/>
    <w:rsid w:val="00B87425"/>
    <w:rsid w:val="00B87B6C"/>
    <w:rsid w:val="00B9222C"/>
    <w:rsid w:val="00B92830"/>
    <w:rsid w:val="00B92ECE"/>
    <w:rsid w:val="00B9323A"/>
    <w:rsid w:val="00B934CB"/>
    <w:rsid w:val="00B93F66"/>
    <w:rsid w:val="00B93FF1"/>
    <w:rsid w:val="00B953A7"/>
    <w:rsid w:val="00B96583"/>
    <w:rsid w:val="00B9704C"/>
    <w:rsid w:val="00B97D9C"/>
    <w:rsid w:val="00BA056F"/>
    <w:rsid w:val="00BA12D2"/>
    <w:rsid w:val="00BA1620"/>
    <w:rsid w:val="00BA3D78"/>
    <w:rsid w:val="00BB10EC"/>
    <w:rsid w:val="00BB36BC"/>
    <w:rsid w:val="00BB5285"/>
    <w:rsid w:val="00BB534C"/>
    <w:rsid w:val="00BB5ED9"/>
    <w:rsid w:val="00BB6166"/>
    <w:rsid w:val="00BB6B2D"/>
    <w:rsid w:val="00BB7617"/>
    <w:rsid w:val="00BC04B3"/>
    <w:rsid w:val="00BC05BA"/>
    <w:rsid w:val="00BC2AA5"/>
    <w:rsid w:val="00BC2C69"/>
    <w:rsid w:val="00BC31FD"/>
    <w:rsid w:val="00BC33D5"/>
    <w:rsid w:val="00BC33F4"/>
    <w:rsid w:val="00BC35B6"/>
    <w:rsid w:val="00BC4B48"/>
    <w:rsid w:val="00BC4B5A"/>
    <w:rsid w:val="00BC4C8E"/>
    <w:rsid w:val="00BC5718"/>
    <w:rsid w:val="00BC5948"/>
    <w:rsid w:val="00BC6215"/>
    <w:rsid w:val="00BC6606"/>
    <w:rsid w:val="00BC6977"/>
    <w:rsid w:val="00BC77C7"/>
    <w:rsid w:val="00BC7948"/>
    <w:rsid w:val="00BD0AFB"/>
    <w:rsid w:val="00BD2470"/>
    <w:rsid w:val="00BD65E7"/>
    <w:rsid w:val="00BD66C0"/>
    <w:rsid w:val="00BD6CA7"/>
    <w:rsid w:val="00BD7B14"/>
    <w:rsid w:val="00BD7CF6"/>
    <w:rsid w:val="00BE0B93"/>
    <w:rsid w:val="00BE1E6F"/>
    <w:rsid w:val="00BE300B"/>
    <w:rsid w:val="00BE3A51"/>
    <w:rsid w:val="00BE3F20"/>
    <w:rsid w:val="00BE40B9"/>
    <w:rsid w:val="00BE6364"/>
    <w:rsid w:val="00BE66B9"/>
    <w:rsid w:val="00BE6D1C"/>
    <w:rsid w:val="00BF0252"/>
    <w:rsid w:val="00BF1254"/>
    <w:rsid w:val="00BF285B"/>
    <w:rsid w:val="00BF363E"/>
    <w:rsid w:val="00BF4878"/>
    <w:rsid w:val="00BF53FE"/>
    <w:rsid w:val="00BF57B3"/>
    <w:rsid w:val="00BF59E2"/>
    <w:rsid w:val="00BF5AB2"/>
    <w:rsid w:val="00BF5E56"/>
    <w:rsid w:val="00BF615C"/>
    <w:rsid w:val="00BF74E3"/>
    <w:rsid w:val="00BF7AAC"/>
    <w:rsid w:val="00BF7D23"/>
    <w:rsid w:val="00BF7FAA"/>
    <w:rsid w:val="00C00031"/>
    <w:rsid w:val="00C00BF2"/>
    <w:rsid w:val="00C0109A"/>
    <w:rsid w:val="00C01E3E"/>
    <w:rsid w:val="00C02016"/>
    <w:rsid w:val="00C02AB7"/>
    <w:rsid w:val="00C02FEB"/>
    <w:rsid w:val="00C0336C"/>
    <w:rsid w:val="00C0385E"/>
    <w:rsid w:val="00C04123"/>
    <w:rsid w:val="00C0448A"/>
    <w:rsid w:val="00C06927"/>
    <w:rsid w:val="00C075AA"/>
    <w:rsid w:val="00C11C49"/>
    <w:rsid w:val="00C125C9"/>
    <w:rsid w:val="00C12DA5"/>
    <w:rsid w:val="00C12F79"/>
    <w:rsid w:val="00C13766"/>
    <w:rsid w:val="00C13EB5"/>
    <w:rsid w:val="00C14FCB"/>
    <w:rsid w:val="00C15409"/>
    <w:rsid w:val="00C1584B"/>
    <w:rsid w:val="00C15DD2"/>
    <w:rsid w:val="00C166DC"/>
    <w:rsid w:val="00C20459"/>
    <w:rsid w:val="00C21C9C"/>
    <w:rsid w:val="00C21EC3"/>
    <w:rsid w:val="00C226D8"/>
    <w:rsid w:val="00C23070"/>
    <w:rsid w:val="00C24610"/>
    <w:rsid w:val="00C264B2"/>
    <w:rsid w:val="00C270C8"/>
    <w:rsid w:val="00C276A0"/>
    <w:rsid w:val="00C30263"/>
    <w:rsid w:val="00C31844"/>
    <w:rsid w:val="00C319C2"/>
    <w:rsid w:val="00C33122"/>
    <w:rsid w:val="00C33550"/>
    <w:rsid w:val="00C352C4"/>
    <w:rsid w:val="00C35784"/>
    <w:rsid w:val="00C357DD"/>
    <w:rsid w:val="00C35D43"/>
    <w:rsid w:val="00C36499"/>
    <w:rsid w:val="00C36FAA"/>
    <w:rsid w:val="00C37404"/>
    <w:rsid w:val="00C37984"/>
    <w:rsid w:val="00C406A8"/>
    <w:rsid w:val="00C40BCF"/>
    <w:rsid w:val="00C40FB0"/>
    <w:rsid w:val="00C4121D"/>
    <w:rsid w:val="00C4228B"/>
    <w:rsid w:val="00C43D92"/>
    <w:rsid w:val="00C45B71"/>
    <w:rsid w:val="00C46026"/>
    <w:rsid w:val="00C462B7"/>
    <w:rsid w:val="00C469DB"/>
    <w:rsid w:val="00C47905"/>
    <w:rsid w:val="00C47AD3"/>
    <w:rsid w:val="00C522DB"/>
    <w:rsid w:val="00C52641"/>
    <w:rsid w:val="00C54BA1"/>
    <w:rsid w:val="00C55296"/>
    <w:rsid w:val="00C558A3"/>
    <w:rsid w:val="00C567A7"/>
    <w:rsid w:val="00C5681F"/>
    <w:rsid w:val="00C60DA2"/>
    <w:rsid w:val="00C60DF7"/>
    <w:rsid w:val="00C60FEC"/>
    <w:rsid w:val="00C612C3"/>
    <w:rsid w:val="00C61563"/>
    <w:rsid w:val="00C629FD"/>
    <w:rsid w:val="00C641D0"/>
    <w:rsid w:val="00C655A0"/>
    <w:rsid w:val="00C65AAF"/>
    <w:rsid w:val="00C6631D"/>
    <w:rsid w:val="00C66FC4"/>
    <w:rsid w:val="00C67933"/>
    <w:rsid w:val="00C67AC5"/>
    <w:rsid w:val="00C70521"/>
    <w:rsid w:val="00C70E76"/>
    <w:rsid w:val="00C70F24"/>
    <w:rsid w:val="00C71BB2"/>
    <w:rsid w:val="00C71D56"/>
    <w:rsid w:val="00C73062"/>
    <w:rsid w:val="00C73A37"/>
    <w:rsid w:val="00C7440C"/>
    <w:rsid w:val="00C74F94"/>
    <w:rsid w:val="00C75980"/>
    <w:rsid w:val="00C761F0"/>
    <w:rsid w:val="00C76760"/>
    <w:rsid w:val="00C76A95"/>
    <w:rsid w:val="00C76E2A"/>
    <w:rsid w:val="00C7754D"/>
    <w:rsid w:val="00C80E61"/>
    <w:rsid w:val="00C8406C"/>
    <w:rsid w:val="00C84B74"/>
    <w:rsid w:val="00C859D7"/>
    <w:rsid w:val="00C86E2E"/>
    <w:rsid w:val="00C924FC"/>
    <w:rsid w:val="00C926F9"/>
    <w:rsid w:val="00C93254"/>
    <w:rsid w:val="00C9369D"/>
    <w:rsid w:val="00C9422F"/>
    <w:rsid w:val="00C950B1"/>
    <w:rsid w:val="00C96196"/>
    <w:rsid w:val="00C9789B"/>
    <w:rsid w:val="00CA0934"/>
    <w:rsid w:val="00CA10E1"/>
    <w:rsid w:val="00CA1934"/>
    <w:rsid w:val="00CA1AA5"/>
    <w:rsid w:val="00CA2CD3"/>
    <w:rsid w:val="00CA5434"/>
    <w:rsid w:val="00CA648E"/>
    <w:rsid w:val="00CA66DD"/>
    <w:rsid w:val="00CA72CA"/>
    <w:rsid w:val="00CB031D"/>
    <w:rsid w:val="00CB068E"/>
    <w:rsid w:val="00CB2B63"/>
    <w:rsid w:val="00CB32C5"/>
    <w:rsid w:val="00CB51D9"/>
    <w:rsid w:val="00CB60A6"/>
    <w:rsid w:val="00CB6B76"/>
    <w:rsid w:val="00CB7608"/>
    <w:rsid w:val="00CC1444"/>
    <w:rsid w:val="00CC237E"/>
    <w:rsid w:val="00CC2CF9"/>
    <w:rsid w:val="00CC3235"/>
    <w:rsid w:val="00CC425C"/>
    <w:rsid w:val="00CC55A8"/>
    <w:rsid w:val="00CC5901"/>
    <w:rsid w:val="00CC6CE3"/>
    <w:rsid w:val="00CC6EE9"/>
    <w:rsid w:val="00CC7BE9"/>
    <w:rsid w:val="00CD129D"/>
    <w:rsid w:val="00CD205F"/>
    <w:rsid w:val="00CD2624"/>
    <w:rsid w:val="00CD2EB8"/>
    <w:rsid w:val="00CD3A1D"/>
    <w:rsid w:val="00CD3BCC"/>
    <w:rsid w:val="00CD486E"/>
    <w:rsid w:val="00CD48DA"/>
    <w:rsid w:val="00CD6AD3"/>
    <w:rsid w:val="00CD730C"/>
    <w:rsid w:val="00CD7A03"/>
    <w:rsid w:val="00CE04EC"/>
    <w:rsid w:val="00CE0D63"/>
    <w:rsid w:val="00CE1BE2"/>
    <w:rsid w:val="00CE1C46"/>
    <w:rsid w:val="00CE298B"/>
    <w:rsid w:val="00CE3747"/>
    <w:rsid w:val="00CE37D9"/>
    <w:rsid w:val="00CE57A5"/>
    <w:rsid w:val="00CE65B3"/>
    <w:rsid w:val="00CE6F5E"/>
    <w:rsid w:val="00CE709D"/>
    <w:rsid w:val="00CF01D1"/>
    <w:rsid w:val="00CF05EC"/>
    <w:rsid w:val="00CF0EE1"/>
    <w:rsid w:val="00CF1AC1"/>
    <w:rsid w:val="00CF3391"/>
    <w:rsid w:val="00CF392B"/>
    <w:rsid w:val="00CF3C0C"/>
    <w:rsid w:val="00CF4A79"/>
    <w:rsid w:val="00CF6004"/>
    <w:rsid w:val="00CF6C30"/>
    <w:rsid w:val="00CF6F2C"/>
    <w:rsid w:val="00CF70DA"/>
    <w:rsid w:val="00CF7926"/>
    <w:rsid w:val="00D01382"/>
    <w:rsid w:val="00D0261F"/>
    <w:rsid w:val="00D02F49"/>
    <w:rsid w:val="00D0372C"/>
    <w:rsid w:val="00D052DB"/>
    <w:rsid w:val="00D054BF"/>
    <w:rsid w:val="00D077BE"/>
    <w:rsid w:val="00D07FDA"/>
    <w:rsid w:val="00D10C7C"/>
    <w:rsid w:val="00D1193A"/>
    <w:rsid w:val="00D11BB5"/>
    <w:rsid w:val="00D1251B"/>
    <w:rsid w:val="00D12BF0"/>
    <w:rsid w:val="00D139F6"/>
    <w:rsid w:val="00D15E2D"/>
    <w:rsid w:val="00D162C6"/>
    <w:rsid w:val="00D16589"/>
    <w:rsid w:val="00D1782F"/>
    <w:rsid w:val="00D17B3E"/>
    <w:rsid w:val="00D17F11"/>
    <w:rsid w:val="00D2052C"/>
    <w:rsid w:val="00D21CF9"/>
    <w:rsid w:val="00D22523"/>
    <w:rsid w:val="00D262FB"/>
    <w:rsid w:val="00D27EE4"/>
    <w:rsid w:val="00D30071"/>
    <w:rsid w:val="00D30A64"/>
    <w:rsid w:val="00D345B0"/>
    <w:rsid w:val="00D3477B"/>
    <w:rsid w:val="00D34794"/>
    <w:rsid w:val="00D35BA9"/>
    <w:rsid w:val="00D37B91"/>
    <w:rsid w:val="00D4024A"/>
    <w:rsid w:val="00D40E0E"/>
    <w:rsid w:val="00D40F88"/>
    <w:rsid w:val="00D445D6"/>
    <w:rsid w:val="00D455D9"/>
    <w:rsid w:val="00D502FC"/>
    <w:rsid w:val="00D519C4"/>
    <w:rsid w:val="00D51A7D"/>
    <w:rsid w:val="00D51E24"/>
    <w:rsid w:val="00D54E69"/>
    <w:rsid w:val="00D57F4D"/>
    <w:rsid w:val="00D6016E"/>
    <w:rsid w:val="00D60917"/>
    <w:rsid w:val="00D60A49"/>
    <w:rsid w:val="00D614C2"/>
    <w:rsid w:val="00D62A0C"/>
    <w:rsid w:val="00D646EE"/>
    <w:rsid w:val="00D6661D"/>
    <w:rsid w:val="00D67239"/>
    <w:rsid w:val="00D67EE1"/>
    <w:rsid w:val="00D704CC"/>
    <w:rsid w:val="00D704E5"/>
    <w:rsid w:val="00D70617"/>
    <w:rsid w:val="00D720B0"/>
    <w:rsid w:val="00D73231"/>
    <w:rsid w:val="00D73DA1"/>
    <w:rsid w:val="00D73FD4"/>
    <w:rsid w:val="00D7517F"/>
    <w:rsid w:val="00D758AC"/>
    <w:rsid w:val="00D7739A"/>
    <w:rsid w:val="00D8166A"/>
    <w:rsid w:val="00D8256D"/>
    <w:rsid w:val="00D82DE7"/>
    <w:rsid w:val="00D8332C"/>
    <w:rsid w:val="00D83B73"/>
    <w:rsid w:val="00D841A1"/>
    <w:rsid w:val="00D84B1A"/>
    <w:rsid w:val="00D84ED9"/>
    <w:rsid w:val="00D853CD"/>
    <w:rsid w:val="00D878CA"/>
    <w:rsid w:val="00D90D72"/>
    <w:rsid w:val="00D929DB"/>
    <w:rsid w:val="00D92DE5"/>
    <w:rsid w:val="00D930A0"/>
    <w:rsid w:val="00D939E1"/>
    <w:rsid w:val="00D93C6B"/>
    <w:rsid w:val="00D93DA0"/>
    <w:rsid w:val="00D947BF"/>
    <w:rsid w:val="00D9509C"/>
    <w:rsid w:val="00D951DD"/>
    <w:rsid w:val="00D95729"/>
    <w:rsid w:val="00D959B4"/>
    <w:rsid w:val="00D97140"/>
    <w:rsid w:val="00D97514"/>
    <w:rsid w:val="00D978C8"/>
    <w:rsid w:val="00D97ADF"/>
    <w:rsid w:val="00DA11FA"/>
    <w:rsid w:val="00DA1614"/>
    <w:rsid w:val="00DA2012"/>
    <w:rsid w:val="00DA2F22"/>
    <w:rsid w:val="00DA3FCA"/>
    <w:rsid w:val="00DA5801"/>
    <w:rsid w:val="00DA706F"/>
    <w:rsid w:val="00DA792A"/>
    <w:rsid w:val="00DA79A4"/>
    <w:rsid w:val="00DB2040"/>
    <w:rsid w:val="00DB22A5"/>
    <w:rsid w:val="00DB22ED"/>
    <w:rsid w:val="00DB3112"/>
    <w:rsid w:val="00DB6083"/>
    <w:rsid w:val="00DB6836"/>
    <w:rsid w:val="00DC0F83"/>
    <w:rsid w:val="00DC19DE"/>
    <w:rsid w:val="00DC28B7"/>
    <w:rsid w:val="00DC3134"/>
    <w:rsid w:val="00DC3D7B"/>
    <w:rsid w:val="00DC4093"/>
    <w:rsid w:val="00DC40DE"/>
    <w:rsid w:val="00DC4D08"/>
    <w:rsid w:val="00DC63A9"/>
    <w:rsid w:val="00DC6620"/>
    <w:rsid w:val="00DC7271"/>
    <w:rsid w:val="00DC74C4"/>
    <w:rsid w:val="00DD0698"/>
    <w:rsid w:val="00DD100A"/>
    <w:rsid w:val="00DD19FC"/>
    <w:rsid w:val="00DD273B"/>
    <w:rsid w:val="00DD2C5A"/>
    <w:rsid w:val="00DD3114"/>
    <w:rsid w:val="00DD3A5A"/>
    <w:rsid w:val="00DD3CE3"/>
    <w:rsid w:val="00DD40B7"/>
    <w:rsid w:val="00DD417D"/>
    <w:rsid w:val="00DD4E1A"/>
    <w:rsid w:val="00DD4F92"/>
    <w:rsid w:val="00DD6ECF"/>
    <w:rsid w:val="00DD7A2B"/>
    <w:rsid w:val="00DE0CF4"/>
    <w:rsid w:val="00DE148C"/>
    <w:rsid w:val="00DE1BAF"/>
    <w:rsid w:val="00DE1FEC"/>
    <w:rsid w:val="00DE285B"/>
    <w:rsid w:val="00DE2B75"/>
    <w:rsid w:val="00DE2DA6"/>
    <w:rsid w:val="00DE2F23"/>
    <w:rsid w:val="00DE3382"/>
    <w:rsid w:val="00DE42A1"/>
    <w:rsid w:val="00DE49BD"/>
    <w:rsid w:val="00DE630F"/>
    <w:rsid w:val="00DE67C5"/>
    <w:rsid w:val="00DE69A1"/>
    <w:rsid w:val="00DE702E"/>
    <w:rsid w:val="00DE7C07"/>
    <w:rsid w:val="00DF0909"/>
    <w:rsid w:val="00DF10AB"/>
    <w:rsid w:val="00DF4984"/>
    <w:rsid w:val="00DF4ED3"/>
    <w:rsid w:val="00DF6C31"/>
    <w:rsid w:val="00DF7FE5"/>
    <w:rsid w:val="00E0033E"/>
    <w:rsid w:val="00E015DD"/>
    <w:rsid w:val="00E01B27"/>
    <w:rsid w:val="00E02D27"/>
    <w:rsid w:val="00E02F35"/>
    <w:rsid w:val="00E0310C"/>
    <w:rsid w:val="00E041BA"/>
    <w:rsid w:val="00E046D3"/>
    <w:rsid w:val="00E04E8F"/>
    <w:rsid w:val="00E05509"/>
    <w:rsid w:val="00E07294"/>
    <w:rsid w:val="00E07F90"/>
    <w:rsid w:val="00E10155"/>
    <w:rsid w:val="00E106D0"/>
    <w:rsid w:val="00E1089F"/>
    <w:rsid w:val="00E1136A"/>
    <w:rsid w:val="00E123B9"/>
    <w:rsid w:val="00E12FB4"/>
    <w:rsid w:val="00E1428E"/>
    <w:rsid w:val="00E142E8"/>
    <w:rsid w:val="00E14CE3"/>
    <w:rsid w:val="00E15BEE"/>
    <w:rsid w:val="00E164BF"/>
    <w:rsid w:val="00E2080E"/>
    <w:rsid w:val="00E2220F"/>
    <w:rsid w:val="00E222DC"/>
    <w:rsid w:val="00E226E5"/>
    <w:rsid w:val="00E22F9F"/>
    <w:rsid w:val="00E250D8"/>
    <w:rsid w:val="00E25BD1"/>
    <w:rsid w:val="00E26E00"/>
    <w:rsid w:val="00E303C1"/>
    <w:rsid w:val="00E30A5A"/>
    <w:rsid w:val="00E32E8C"/>
    <w:rsid w:val="00E34BA7"/>
    <w:rsid w:val="00E357F9"/>
    <w:rsid w:val="00E35D3A"/>
    <w:rsid w:val="00E36B5E"/>
    <w:rsid w:val="00E37D43"/>
    <w:rsid w:val="00E4039B"/>
    <w:rsid w:val="00E40A3A"/>
    <w:rsid w:val="00E41AA0"/>
    <w:rsid w:val="00E41EBD"/>
    <w:rsid w:val="00E4265A"/>
    <w:rsid w:val="00E44CFA"/>
    <w:rsid w:val="00E4582A"/>
    <w:rsid w:val="00E45EE4"/>
    <w:rsid w:val="00E47720"/>
    <w:rsid w:val="00E47AC4"/>
    <w:rsid w:val="00E47BBE"/>
    <w:rsid w:val="00E51A15"/>
    <w:rsid w:val="00E52D94"/>
    <w:rsid w:val="00E5332F"/>
    <w:rsid w:val="00E54702"/>
    <w:rsid w:val="00E553C9"/>
    <w:rsid w:val="00E55F42"/>
    <w:rsid w:val="00E56235"/>
    <w:rsid w:val="00E56B2C"/>
    <w:rsid w:val="00E573E0"/>
    <w:rsid w:val="00E57CEC"/>
    <w:rsid w:val="00E624BB"/>
    <w:rsid w:val="00E62A0B"/>
    <w:rsid w:val="00E633B8"/>
    <w:rsid w:val="00E64723"/>
    <w:rsid w:val="00E6530A"/>
    <w:rsid w:val="00E655AB"/>
    <w:rsid w:val="00E65C23"/>
    <w:rsid w:val="00E65C28"/>
    <w:rsid w:val="00E65FC4"/>
    <w:rsid w:val="00E670F8"/>
    <w:rsid w:val="00E67B1E"/>
    <w:rsid w:val="00E67D1A"/>
    <w:rsid w:val="00E705C7"/>
    <w:rsid w:val="00E70C33"/>
    <w:rsid w:val="00E70D73"/>
    <w:rsid w:val="00E716EF"/>
    <w:rsid w:val="00E71770"/>
    <w:rsid w:val="00E71FB9"/>
    <w:rsid w:val="00E7236C"/>
    <w:rsid w:val="00E72A6A"/>
    <w:rsid w:val="00E738C8"/>
    <w:rsid w:val="00E75340"/>
    <w:rsid w:val="00E757C0"/>
    <w:rsid w:val="00E76DD6"/>
    <w:rsid w:val="00E817B7"/>
    <w:rsid w:val="00E81C8B"/>
    <w:rsid w:val="00E83110"/>
    <w:rsid w:val="00E83F2D"/>
    <w:rsid w:val="00E84AAC"/>
    <w:rsid w:val="00E84EC0"/>
    <w:rsid w:val="00E850FC"/>
    <w:rsid w:val="00E85D8F"/>
    <w:rsid w:val="00E8608C"/>
    <w:rsid w:val="00E864C0"/>
    <w:rsid w:val="00E870AF"/>
    <w:rsid w:val="00E8714A"/>
    <w:rsid w:val="00E87A2A"/>
    <w:rsid w:val="00E92279"/>
    <w:rsid w:val="00E926DD"/>
    <w:rsid w:val="00E92DDE"/>
    <w:rsid w:val="00E94658"/>
    <w:rsid w:val="00E94B62"/>
    <w:rsid w:val="00E950EF"/>
    <w:rsid w:val="00E9641E"/>
    <w:rsid w:val="00E96B7D"/>
    <w:rsid w:val="00E97897"/>
    <w:rsid w:val="00EA00B7"/>
    <w:rsid w:val="00EA3D7A"/>
    <w:rsid w:val="00EA46C6"/>
    <w:rsid w:val="00EA4CF9"/>
    <w:rsid w:val="00EA503F"/>
    <w:rsid w:val="00EA521C"/>
    <w:rsid w:val="00EA6717"/>
    <w:rsid w:val="00EA6F0C"/>
    <w:rsid w:val="00EA7B0A"/>
    <w:rsid w:val="00EA7F1D"/>
    <w:rsid w:val="00EB04F5"/>
    <w:rsid w:val="00EB1608"/>
    <w:rsid w:val="00EB181C"/>
    <w:rsid w:val="00EB1CCD"/>
    <w:rsid w:val="00EB29E4"/>
    <w:rsid w:val="00EB2A12"/>
    <w:rsid w:val="00EB40CE"/>
    <w:rsid w:val="00EB4FD8"/>
    <w:rsid w:val="00EB624A"/>
    <w:rsid w:val="00EB7FB5"/>
    <w:rsid w:val="00EC00AC"/>
    <w:rsid w:val="00EC134C"/>
    <w:rsid w:val="00EC1469"/>
    <w:rsid w:val="00EC18EA"/>
    <w:rsid w:val="00EC202A"/>
    <w:rsid w:val="00EC219E"/>
    <w:rsid w:val="00EC2216"/>
    <w:rsid w:val="00EC333D"/>
    <w:rsid w:val="00EC3CBA"/>
    <w:rsid w:val="00EC3DAD"/>
    <w:rsid w:val="00EC5726"/>
    <w:rsid w:val="00ED1497"/>
    <w:rsid w:val="00ED170F"/>
    <w:rsid w:val="00ED1835"/>
    <w:rsid w:val="00ED4459"/>
    <w:rsid w:val="00ED4778"/>
    <w:rsid w:val="00ED5CCD"/>
    <w:rsid w:val="00ED62DD"/>
    <w:rsid w:val="00ED700D"/>
    <w:rsid w:val="00EE0DD2"/>
    <w:rsid w:val="00EE15CD"/>
    <w:rsid w:val="00EE1701"/>
    <w:rsid w:val="00EE182C"/>
    <w:rsid w:val="00EE2280"/>
    <w:rsid w:val="00EE3566"/>
    <w:rsid w:val="00EE4378"/>
    <w:rsid w:val="00EE43BD"/>
    <w:rsid w:val="00EE4654"/>
    <w:rsid w:val="00EE4AF4"/>
    <w:rsid w:val="00EE5391"/>
    <w:rsid w:val="00EE7FF7"/>
    <w:rsid w:val="00EF05C1"/>
    <w:rsid w:val="00EF0AF9"/>
    <w:rsid w:val="00EF0C9F"/>
    <w:rsid w:val="00EF0EF8"/>
    <w:rsid w:val="00EF11B4"/>
    <w:rsid w:val="00EF160F"/>
    <w:rsid w:val="00EF1651"/>
    <w:rsid w:val="00EF1E86"/>
    <w:rsid w:val="00EF3B6F"/>
    <w:rsid w:val="00EF3C7E"/>
    <w:rsid w:val="00EF3CBA"/>
    <w:rsid w:val="00EF4529"/>
    <w:rsid w:val="00EF4626"/>
    <w:rsid w:val="00EF471A"/>
    <w:rsid w:val="00EF580D"/>
    <w:rsid w:val="00EF59C0"/>
    <w:rsid w:val="00EF5E08"/>
    <w:rsid w:val="00EF6849"/>
    <w:rsid w:val="00F010D5"/>
    <w:rsid w:val="00F0179C"/>
    <w:rsid w:val="00F0662A"/>
    <w:rsid w:val="00F06704"/>
    <w:rsid w:val="00F06EB4"/>
    <w:rsid w:val="00F0710D"/>
    <w:rsid w:val="00F113F2"/>
    <w:rsid w:val="00F115C7"/>
    <w:rsid w:val="00F121A2"/>
    <w:rsid w:val="00F1225B"/>
    <w:rsid w:val="00F12343"/>
    <w:rsid w:val="00F12D0D"/>
    <w:rsid w:val="00F137BE"/>
    <w:rsid w:val="00F143B3"/>
    <w:rsid w:val="00F14576"/>
    <w:rsid w:val="00F14A99"/>
    <w:rsid w:val="00F14B17"/>
    <w:rsid w:val="00F158C0"/>
    <w:rsid w:val="00F16F14"/>
    <w:rsid w:val="00F172E0"/>
    <w:rsid w:val="00F17E3C"/>
    <w:rsid w:val="00F208B0"/>
    <w:rsid w:val="00F21231"/>
    <w:rsid w:val="00F217DB"/>
    <w:rsid w:val="00F21B72"/>
    <w:rsid w:val="00F226B6"/>
    <w:rsid w:val="00F22C4A"/>
    <w:rsid w:val="00F2338E"/>
    <w:rsid w:val="00F233A8"/>
    <w:rsid w:val="00F2419C"/>
    <w:rsid w:val="00F24277"/>
    <w:rsid w:val="00F245B9"/>
    <w:rsid w:val="00F24D44"/>
    <w:rsid w:val="00F2506B"/>
    <w:rsid w:val="00F25686"/>
    <w:rsid w:val="00F26073"/>
    <w:rsid w:val="00F27D5E"/>
    <w:rsid w:val="00F31069"/>
    <w:rsid w:val="00F316FC"/>
    <w:rsid w:val="00F31D0C"/>
    <w:rsid w:val="00F32A8F"/>
    <w:rsid w:val="00F33F52"/>
    <w:rsid w:val="00F34133"/>
    <w:rsid w:val="00F35E70"/>
    <w:rsid w:val="00F36D3C"/>
    <w:rsid w:val="00F371BC"/>
    <w:rsid w:val="00F40C54"/>
    <w:rsid w:val="00F4141F"/>
    <w:rsid w:val="00F42472"/>
    <w:rsid w:val="00F44ECB"/>
    <w:rsid w:val="00F4684F"/>
    <w:rsid w:val="00F47804"/>
    <w:rsid w:val="00F479FB"/>
    <w:rsid w:val="00F47DCC"/>
    <w:rsid w:val="00F510D2"/>
    <w:rsid w:val="00F512A0"/>
    <w:rsid w:val="00F52070"/>
    <w:rsid w:val="00F524C4"/>
    <w:rsid w:val="00F53DD1"/>
    <w:rsid w:val="00F5458F"/>
    <w:rsid w:val="00F54651"/>
    <w:rsid w:val="00F546BA"/>
    <w:rsid w:val="00F5542F"/>
    <w:rsid w:val="00F56195"/>
    <w:rsid w:val="00F5698F"/>
    <w:rsid w:val="00F56AB4"/>
    <w:rsid w:val="00F56AC2"/>
    <w:rsid w:val="00F57ACC"/>
    <w:rsid w:val="00F60263"/>
    <w:rsid w:val="00F60360"/>
    <w:rsid w:val="00F62ED9"/>
    <w:rsid w:val="00F6375A"/>
    <w:rsid w:val="00F63DC1"/>
    <w:rsid w:val="00F6477C"/>
    <w:rsid w:val="00F647B0"/>
    <w:rsid w:val="00F64B50"/>
    <w:rsid w:val="00F64F82"/>
    <w:rsid w:val="00F6516B"/>
    <w:rsid w:val="00F65840"/>
    <w:rsid w:val="00F66250"/>
    <w:rsid w:val="00F70110"/>
    <w:rsid w:val="00F708D7"/>
    <w:rsid w:val="00F72990"/>
    <w:rsid w:val="00F740CD"/>
    <w:rsid w:val="00F75DF9"/>
    <w:rsid w:val="00F76790"/>
    <w:rsid w:val="00F76A61"/>
    <w:rsid w:val="00F77910"/>
    <w:rsid w:val="00F77E71"/>
    <w:rsid w:val="00F805FF"/>
    <w:rsid w:val="00F80CE9"/>
    <w:rsid w:val="00F8180C"/>
    <w:rsid w:val="00F81FBB"/>
    <w:rsid w:val="00F82029"/>
    <w:rsid w:val="00F8307B"/>
    <w:rsid w:val="00F8387B"/>
    <w:rsid w:val="00F84630"/>
    <w:rsid w:val="00F85FCC"/>
    <w:rsid w:val="00F86495"/>
    <w:rsid w:val="00F8759F"/>
    <w:rsid w:val="00F87BD8"/>
    <w:rsid w:val="00F910A7"/>
    <w:rsid w:val="00F9126B"/>
    <w:rsid w:val="00F91FF1"/>
    <w:rsid w:val="00F93027"/>
    <w:rsid w:val="00F93962"/>
    <w:rsid w:val="00F93AA6"/>
    <w:rsid w:val="00F94A12"/>
    <w:rsid w:val="00F94ECE"/>
    <w:rsid w:val="00F965C6"/>
    <w:rsid w:val="00F96883"/>
    <w:rsid w:val="00F97C94"/>
    <w:rsid w:val="00FA0215"/>
    <w:rsid w:val="00FA1014"/>
    <w:rsid w:val="00FA35EF"/>
    <w:rsid w:val="00FA3CB2"/>
    <w:rsid w:val="00FA3F26"/>
    <w:rsid w:val="00FA4FE6"/>
    <w:rsid w:val="00FA55B9"/>
    <w:rsid w:val="00FA673C"/>
    <w:rsid w:val="00FA68F5"/>
    <w:rsid w:val="00FA69D8"/>
    <w:rsid w:val="00FA7135"/>
    <w:rsid w:val="00FA7850"/>
    <w:rsid w:val="00FA7A4D"/>
    <w:rsid w:val="00FB0592"/>
    <w:rsid w:val="00FB0E17"/>
    <w:rsid w:val="00FB1AD5"/>
    <w:rsid w:val="00FB35B7"/>
    <w:rsid w:val="00FB3BC1"/>
    <w:rsid w:val="00FB5C61"/>
    <w:rsid w:val="00FB7CD1"/>
    <w:rsid w:val="00FB7D37"/>
    <w:rsid w:val="00FC05CA"/>
    <w:rsid w:val="00FC13C2"/>
    <w:rsid w:val="00FC1A1E"/>
    <w:rsid w:val="00FC1D38"/>
    <w:rsid w:val="00FC1FF8"/>
    <w:rsid w:val="00FC2322"/>
    <w:rsid w:val="00FC25C5"/>
    <w:rsid w:val="00FC42C8"/>
    <w:rsid w:val="00FC4A69"/>
    <w:rsid w:val="00FC5F2D"/>
    <w:rsid w:val="00FC6A4F"/>
    <w:rsid w:val="00FC7FAB"/>
    <w:rsid w:val="00FD2C06"/>
    <w:rsid w:val="00FD35BF"/>
    <w:rsid w:val="00FD39B0"/>
    <w:rsid w:val="00FD3BA6"/>
    <w:rsid w:val="00FD53AD"/>
    <w:rsid w:val="00FD65D7"/>
    <w:rsid w:val="00FE0612"/>
    <w:rsid w:val="00FE0FC9"/>
    <w:rsid w:val="00FE3C4D"/>
    <w:rsid w:val="00FE543B"/>
    <w:rsid w:val="00FE5969"/>
    <w:rsid w:val="00FE6113"/>
    <w:rsid w:val="00FE6D1C"/>
    <w:rsid w:val="00FE6F3F"/>
    <w:rsid w:val="00FE7209"/>
    <w:rsid w:val="00FE7E01"/>
    <w:rsid w:val="00FF0590"/>
    <w:rsid w:val="00FF1610"/>
    <w:rsid w:val="00FF21CE"/>
    <w:rsid w:val="00FF222E"/>
    <w:rsid w:val="00FF272F"/>
    <w:rsid w:val="00FF4A47"/>
    <w:rsid w:val="00FF598D"/>
    <w:rsid w:val="00FF62A7"/>
    <w:rsid w:val="00FF6415"/>
    <w:rsid w:val="00FF6860"/>
    <w:rsid w:val="00FF6EA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3DF6CB35"/>
  <w15:docId w15:val="{52D2B52D-B8DD-494E-BECF-4C07F0DA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BE3"/>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A11FA"/>
    <w:pPr>
      <w:keepNext/>
      <w:keepLines/>
      <w:spacing w:after="240"/>
      <w:ind w:left="720" w:hanging="720"/>
      <w:outlineLvl w:val="0"/>
    </w:pPr>
    <w:rPr>
      <w:rFonts w:eastAsiaTheme="majorEastAsia" w:cs="Times New Roman"/>
      <w:b/>
      <w:caps/>
      <w:szCs w:val="24"/>
    </w:rPr>
  </w:style>
  <w:style w:type="paragraph" w:styleId="Heading2">
    <w:name w:val="heading 2"/>
    <w:basedOn w:val="Normal"/>
    <w:next w:val="Normal"/>
    <w:link w:val="Heading2Char"/>
    <w:unhideWhenUsed/>
    <w:qFormat/>
    <w:rsid w:val="00286727"/>
    <w:pPr>
      <w:keepNext/>
      <w:keepLines/>
      <w:spacing w:after="240"/>
      <w:ind w:left="1440" w:hanging="720"/>
      <w:outlineLvl w:val="1"/>
    </w:pPr>
    <w:rPr>
      <w:rFonts w:eastAsia="Times New Roman" w:cs="Times New Roman"/>
      <w:b/>
      <w:bCs/>
      <w:szCs w:val="24"/>
    </w:rPr>
  </w:style>
  <w:style w:type="paragraph" w:styleId="Heading3">
    <w:name w:val="heading 3"/>
    <w:basedOn w:val="BodyTextIndent3"/>
    <w:next w:val="Normal"/>
    <w:link w:val="Heading3Char"/>
    <w:autoRedefine/>
    <w:uiPriority w:val="9"/>
    <w:unhideWhenUsed/>
    <w:qFormat/>
    <w:rsid w:val="002E0D83"/>
    <w:pPr>
      <w:widowControl w:val="0"/>
      <w:spacing w:after="240" w:line="240" w:lineRule="auto"/>
      <w:ind w:left="2160" w:hanging="720"/>
      <w:outlineLvl w:val="2"/>
    </w:pPr>
    <w:rPr>
      <w:b/>
      <w:bCs/>
      <w:szCs w:val="24"/>
    </w:rPr>
  </w:style>
  <w:style w:type="paragraph" w:styleId="Heading4">
    <w:name w:val="heading 4"/>
    <w:basedOn w:val="Normal"/>
    <w:next w:val="Normal"/>
    <w:link w:val="Heading4Char"/>
    <w:uiPriority w:val="9"/>
    <w:unhideWhenUsed/>
    <w:qFormat/>
    <w:rsid w:val="00950677"/>
    <w:pPr>
      <w:keepNext/>
      <w:keepLines/>
      <w:spacing w:after="240"/>
      <w:ind w:left="720"/>
      <w:outlineLvl w:val="3"/>
    </w:pPr>
    <w:rPr>
      <w:rFonts w:eastAsiaTheme="majorEastAsia" w:cs="Times New Roman"/>
      <w:b/>
      <w:iCs/>
    </w:rPr>
  </w:style>
  <w:style w:type="paragraph" w:styleId="Heading5">
    <w:name w:val="heading 5"/>
    <w:basedOn w:val="Normal"/>
    <w:next w:val="Normal"/>
    <w:link w:val="Heading5Char"/>
    <w:autoRedefine/>
    <w:uiPriority w:val="9"/>
    <w:unhideWhenUsed/>
    <w:qFormat/>
    <w:pPr>
      <w:keepNext/>
      <w:keepLines/>
      <w:spacing w:after="240"/>
      <w:ind w:left="3600" w:right="720" w:hanging="7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642E64"/>
    <w:pPr>
      <w:spacing w:after="120"/>
    </w:pPr>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642E64"/>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F113F2"/>
    <w:rPr>
      <w:color w:val="0000FF"/>
      <w:u w:val="single"/>
    </w:rPr>
  </w:style>
  <w:style w:type="character" w:customStyle="1" w:styleId="ssrfcpassagedeactivated">
    <w:name w:val="ss_rfcpassage_deactivated"/>
    <w:basedOn w:val="DefaultParagraphFont"/>
  </w:style>
  <w:style w:type="character" w:customStyle="1" w:styleId="ssit1">
    <w:name w:val="ss_it1"/>
    <w:basedOn w:val="DefaultParagraphFont"/>
    <w:rPr>
      <w:i/>
      <w:iCs/>
    </w:rPr>
  </w:style>
  <w:style w:type="character" w:customStyle="1" w:styleId="ssib1">
    <w:name w:val="ss_ib1"/>
    <w:basedOn w:val="DefaultParagraphFont"/>
    <w:rPr>
      <w:b/>
      <w:bCs/>
      <w:i/>
      <w:i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rsid w:val="00286727"/>
    <w:rPr>
      <w:rFonts w:ascii="Times New Roman" w:eastAsia="Times New Roman" w:hAnsi="Times New Roman" w:cs="Times New Roman"/>
      <w:b/>
      <w:bCs/>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character" w:customStyle="1" w:styleId="ssleftalign">
    <w:name w:val="ss_leftalign"/>
    <w:basedOn w:val="DefaultParagraphFont"/>
  </w:style>
  <w:style w:type="character" w:customStyle="1" w:styleId="sssh">
    <w:name w:val="ss_sh"/>
    <w:basedOn w:val="DefaultParagraphFont"/>
  </w:style>
  <w:style w:type="character" w:customStyle="1" w:styleId="ssib">
    <w:name w:val="ss_ib"/>
    <w:basedOn w:val="DefaultParagraphFont"/>
  </w:style>
  <w:style w:type="character" w:customStyle="1" w:styleId="ssit">
    <w:name w:val="ss_it"/>
    <w:basedOn w:val="DefaultParagraphFont"/>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A11FA"/>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2E0D8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950677"/>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1D2572"/>
    <w:pPr>
      <w:tabs>
        <w:tab w:val="left" w:pos="720"/>
        <w:tab w:val="decimal" w:leader="dot" w:pos="9360"/>
      </w:tabs>
      <w:spacing w:after="240"/>
      <w:outlineLvl w:val="0"/>
    </w:pPr>
    <w:rPr>
      <w:caps/>
    </w:rPr>
  </w:style>
  <w:style w:type="paragraph" w:styleId="TOC2">
    <w:name w:val="toc 2"/>
    <w:basedOn w:val="Normal"/>
    <w:next w:val="Normal"/>
    <w:autoRedefine/>
    <w:uiPriority w:val="39"/>
    <w:unhideWhenUsed/>
    <w:qFormat/>
    <w:rsid w:val="008859A5"/>
    <w:pPr>
      <w:tabs>
        <w:tab w:val="left" w:pos="720"/>
        <w:tab w:val="left" w:pos="1440"/>
        <w:tab w:val="decimal" w:leader="dot" w:pos="9360"/>
      </w:tabs>
      <w:spacing w:after="240"/>
      <w:ind w:left="1440" w:hanging="720"/>
      <w:outlineLvl w:val="1"/>
    </w:pPr>
  </w:style>
  <w:style w:type="paragraph" w:styleId="TOC3">
    <w:name w:val="toc 3"/>
    <w:basedOn w:val="Normal"/>
    <w:next w:val="Normal"/>
    <w:autoRedefine/>
    <w:uiPriority w:val="39"/>
    <w:unhideWhenUsed/>
    <w:rsid w:val="0001744C"/>
    <w:pPr>
      <w:tabs>
        <w:tab w:val="left" w:pos="720"/>
        <w:tab w:val="left" w:pos="1440"/>
        <w:tab w:val="left" w:pos="2160"/>
        <w:tab w:val="decimal" w:leader="dot" w:pos="9360"/>
      </w:tabs>
      <w:spacing w:after="240"/>
      <w:ind w:left="2160" w:hanging="720"/>
    </w:pPr>
  </w:style>
  <w:style w:type="paragraph" w:styleId="TOC4">
    <w:name w:val="toc 4"/>
    <w:basedOn w:val="Normal"/>
    <w:next w:val="Normal"/>
    <w:autoRedefine/>
    <w:uiPriority w:val="39"/>
    <w:unhideWhenUsed/>
    <w:rsid w:val="002654E3"/>
    <w:pPr>
      <w:spacing w:after="240"/>
      <w:ind w:left="720"/>
    </w:pPr>
  </w:style>
  <w:style w:type="character" w:customStyle="1" w:styleId="Heading5Char">
    <w:name w:val="Heading 5 Char"/>
    <w:basedOn w:val="DefaultParagraphFont"/>
    <w:link w:val="Heading5"/>
    <w:uiPriority w:val="9"/>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odyTextIndent3">
    <w:name w:val="Body Text Indent 3"/>
    <w:basedOn w:val="Normal"/>
    <w:link w:val="BodyTextIndent3Char"/>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2">
    <w:name w:val="Unresolved Mention2"/>
    <w:basedOn w:val="DefaultParagraphFont"/>
    <w:uiPriority w:val="99"/>
    <w:rPr>
      <w:color w:val="605E5C"/>
      <w:shd w:val="clear" w:color="auto" w:fill="E1DFDD"/>
    </w:rPr>
  </w:style>
  <w:style w:type="character" w:customStyle="1" w:styleId="AnswerChar">
    <w:name w:val="Answer Char"/>
    <w:link w:val="Answer"/>
    <w:lock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pPr>
      <w:spacing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pPr>
      <w:ind w:left="720" w:hanging="360"/>
      <w:contextualSpacing/>
    </w:pPr>
  </w:style>
  <w:style w:type="character" w:customStyle="1" w:styleId="UnresolvedMention3">
    <w:name w:val="Unresolved Mention3"/>
    <w:basedOn w:val="DefaultParagraphFont"/>
    <w:uiPriority w:val="99"/>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Revision">
    <w:name w:val="Revision"/>
    <w:hidden/>
    <w:uiPriority w:val="99"/>
    <w:semiHidden/>
    <w:pPr>
      <w:spacing w:after="0" w:line="240" w:lineRule="auto"/>
    </w:pPr>
  </w:style>
  <w:style w:type="paragraph" w:customStyle="1" w:styleId="xmsonormal">
    <w:name w:val="x_msonormal"/>
    <w:basedOn w:val="Normal"/>
    <w:rPr>
      <w:rFonts w:ascii="Verdana" w:hAnsi="Verdana" w:cs="Calibri"/>
      <w:color w:val="00277A"/>
      <w:szCs w:val="24"/>
    </w:rPr>
  </w:style>
  <w:style w:type="character" w:customStyle="1" w:styleId="xmsofootnotereference">
    <w:name w:val="x_msofootnotereference"/>
    <w:basedOn w:val="DefaultParagraphFont"/>
    <w:rPr>
      <w:vertAlign w:val="superscript"/>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style>
  <w:style w:type="character" w:styleId="PlaceholderText">
    <w:name w:val="Placeholder Text"/>
    <w:basedOn w:val="DefaultParagraphFont"/>
    <w:uiPriority w:val="99"/>
    <w:semiHidden/>
    <w:rsid w:val="006667AB"/>
    <w:rPr>
      <w:color w:val="808080"/>
    </w:rPr>
  </w:style>
  <w:style w:type="paragraph" w:styleId="NormalWeb">
    <w:name w:val="Normal (Web)"/>
    <w:basedOn w:val="Normal"/>
    <w:uiPriority w:val="99"/>
    <w:unhideWhenUsed/>
    <w:rsid w:val="0038677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rsid w:val="005C0220"/>
    <w:rPr>
      <w:color w:val="605E5C"/>
      <w:shd w:val="clear" w:color="auto" w:fill="E1DFDD"/>
    </w:rPr>
  </w:style>
  <w:style w:type="character" w:customStyle="1" w:styleId="UnresolvedMention5">
    <w:name w:val="Unresolved Mention5"/>
    <w:basedOn w:val="DefaultParagraphFont"/>
    <w:uiPriority w:val="99"/>
    <w:rsid w:val="00F85FCC"/>
    <w:rPr>
      <w:color w:val="605E5C"/>
      <w:shd w:val="clear" w:color="auto" w:fill="E1DFDD"/>
    </w:rPr>
  </w:style>
  <w:style w:type="character" w:customStyle="1" w:styleId="UnresolvedMention6">
    <w:name w:val="Unresolved Mention6"/>
    <w:basedOn w:val="DefaultParagraphFont"/>
    <w:uiPriority w:val="99"/>
    <w:rsid w:val="00117621"/>
    <w:rPr>
      <w:color w:val="605E5C"/>
      <w:shd w:val="clear" w:color="auto" w:fill="E1DFDD"/>
    </w:rPr>
  </w:style>
  <w:style w:type="character" w:customStyle="1" w:styleId="UnresolvedMention7">
    <w:name w:val="Unresolved Mention7"/>
    <w:basedOn w:val="DefaultParagraphFont"/>
    <w:uiPriority w:val="99"/>
    <w:rsid w:val="00FC25C5"/>
    <w:rPr>
      <w:color w:val="605E5C"/>
      <w:shd w:val="clear" w:color="auto" w:fill="E1DFDD"/>
    </w:rPr>
  </w:style>
  <w:style w:type="table" w:customStyle="1" w:styleId="TableGrid2">
    <w:name w:val="Table Grid2"/>
    <w:basedOn w:val="TableNormal"/>
    <w:next w:val="TableGrid"/>
    <w:uiPriority w:val="39"/>
    <w:rsid w:val="006B463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rsid w:val="000945CC"/>
    <w:rPr>
      <w:color w:val="605E5C"/>
      <w:shd w:val="clear" w:color="auto" w:fill="E1DFDD"/>
    </w:rPr>
  </w:style>
  <w:style w:type="paragraph" w:styleId="PlainText">
    <w:name w:val="Plain Text"/>
    <w:basedOn w:val="Normal"/>
    <w:link w:val="PlainTextChar"/>
    <w:uiPriority w:val="99"/>
    <w:unhideWhenUsed/>
    <w:rsid w:val="00762059"/>
    <w:rPr>
      <w:rFonts w:ascii="Calibri" w:hAnsi="Calibri" w:cs="Calibri"/>
      <w:szCs w:val="24"/>
    </w:rPr>
  </w:style>
  <w:style w:type="character" w:customStyle="1" w:styleId="PlainTextChar">
    <w:name w:val="Plain Text Char"/>
    <w:basedOn w:val="DefaultParagraphFont"/>
    <w:link w:val="PlainText"/>
    <w:uiPriority w:val="99"/>
    <w:rsid w:val="00762059"/>
    <w:rPr>
      <w:rFonts w:ascii="Calibri" w:hAnsi="Calibri" w:cs="Calibri"/>
      <w:sz w:val="24"/>
      <w:szCs w:val="24"/>
    </w:rPr>
  </w:style>
  <w:style w:type="character" w:customStyle="1" w:styleId="UnresolvedMention9">
    <w:name w:val="Unresolved Mention9"/>
    <w:basedOn w:val="DefaultParagraphFont"/>
    <w:uiPriority w:val="99"/>
    <w:rsid w:val="00144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yperlink" Target="mailto:thomas.lindgren@ohioago.gov" TargetMode="External" /><Relationship Id="rId17" Type="http://schemas.openxmlformats.org/officeDocument/2006/relationships/hyperlink" Target="mailto:amy.botschnerobrien@ohioago.gov" TargetMode="External" /><Relationship Id="rId18" Type="http://schemas.openxmlformats.org/officeDocument/2006/relationships/hyperlink" Target="mailto:emcconnell@elpc.org" TargetMode="External" /><Relationship Id="rId19" Type="http://schemas.openxmlformats.org/officeDocument/2006/relationships/hyperlink" Target="mailto:bojko@carpenterlipps.com" TargetMode="External" /><Relationship Id="rId2" Type="http://schemas.openxmlformats.org/officeDocument/2006/relationships/settings" Target="settings.xml" /><Relationship Id="rId20" Type="http://schemas.openxmlformats.org/officeDocument/2006/relationships/hyperlink" Target="mailto:stacie.cathcart@igs.com" TargetMode="External" /><Relationship Id="rId21" Type="http://schemas.openxmlformats.org/officeDocument/2006/relationships/hyperlink" Target="mailto:michael.nugent@igs.com" TargetMode="External" /><Relationship Id="rId22" Type="http://schemas.openxmlformats.org/officeDocument/2006/relationships/hyperlink" Target="mailto:dproano@bakerlaw.com" TargetMode="External" /><Relationship Id="rId23" Type="http://schemas.openxmlformats.org/officeDocument/2006/relationships/hyperlink" Target="mailto:ahaque@bakerlaw.com" TargetMode="External" /><Relationship Id="rId24" Type="http://schemas.openxmlformats.org/officeDocument/2006/relationships/hyperlink" Target="mailto:eprouty@bakerlaw.com" TargetMode="External" /><Relationship Id="rId25" Type="http://schemas.openxmlformats.org/officeDocument/2006/relationships/hyperlink" Target="mailto:tdougherty@theoec.org" TargetMode="External" /><Relationship Id="rId26" Type="http://schemas.openxmlformats.org/officeDocument/2006/relationships/hyperlink" Target="mailto:nbobb@keglerbrown.com" TargetMode="External" /><Relationship Id="rId27" Type="http://schemas.openxmlformats.org/officeDocument/2006/relationships/hyperlink" Target="mailto:Paul@carpenterlipps.com" TargetMode="External" /><Relationship Id="rId28" Type="http://schemas.openxmlformats.org/officeDocument/2006/relationships/hyperlink" Target="mailto:megan.addison@puco.ohio.gov" TargetMode="External" /><Relationship Id="rId29" Type="http://schemas.openxmlformats.org/officeDocument/2006/relationships/hyperlink" Target="mailto:greg.price@puco.ohio.gov" TargetMode="External" /><Relationship Id="rId3" Type="http://schemas.openxmlformats.org/officeDocument/2006/relationships/webSettings" Target="webSettings.xml" /><Relationship Id="rId30" Type="http://schemas.openxmlformats.org/officeDocument/2006/relationships/hyperlink" Target="mailto:jacqueline.st.john@puco.ohio.gov" TargetMode="External" /><Relationship Id="rId31" Type="http://schemas.openxmlformats.org/officeDocument/2006/relationships/hyperlink" Target="mailto:cwatchorn@firstenergycorp.com" TargetMode="External" /><Relationship Id="rId32" Type="http://schemas.openxmlformats.org/officeDocument/2006/relationships/hyperlink" Target="mailto:talexander@beneschlaw.com" TargetMode="External" /><Relationship Id="rId33" Type="http://schemas.openxmlformats.org/officeDocument/2006/relationships/hyperlink" Target="mailto:mkeaney@beneschlaw.com" TargetMode="External" /><Relationship Id="rId34" Type="http://schemas.openxmlformats.org/officeDocument/2006/relationships/hyperlink" Target="mailto:mkurtz@BKLlawfirm.com" TargetMode="External" /><Relationship Id="rId35" Type="http://schemas.openxmlformats.org/officeDocument/2006/relationships/hyperlink" Target="mailto:kboehm@BKLlawfirm.com" TargetMode="External" /><Relationship Id="rId36" Type="http://schemas.openxmlformats.org/officeDocument/2006/relationships/hyperlink" Target="mailto:jkylercohn@BKLlawfirm.com" TargetMode="External" /><Relationship Id="rId37" Type="http://schemas.openxmlformats.org/officeDocument/2006/relationships/hyperlink" Target="mailto:trhayslaw@gmail.com" TargetMode="External" /><Relationship Id="rId38" Type="http://schemas.openxmlformats.org/officeDocument/2006/relationships/hyperlink" Target="mailto:leslie.kovacik@toledo.oh.gov" TargetMode="External" /><Relationship Id="rId39" Type="http://schemas.openxmlformats.org/officeDocument/2006/relationships/hyperlink" Target="mailto:knordstrom@theOEC.org" TargetMode="External" /><Relationship Id="rId4" Type="http://schemas.openxmlformats.org/officeDocument/2006/relationships/fontTable" Target="fontTable.xml" /><Relationship Id="rId40" Type="http://schemas.openxmlformats.org/officeDocument/2006/relationships/hyperlink" Target="mailto:ctavenor@theOEC.org" TargetMode="External" /><Relationship Id="rId41" Type="http://schemas.openxmlformats.org/officeDocument/2006/relationships/hyperlink" Target="mailto:todd.schafer@outlook.com" TargetMode="External" /><Relationship Id="rId42" Type="http://schemas.openxmlformats.org/officeDocument/2006/relationships/hyperlink" Target="mailto:little@litohio.com" TargetMode="External" /><Relationship Id="rId43" Type="http://schemas.openxmlformats.org/officeDocument/2006/relationships/hyperlink" Target="mailto:hogan@litohio.com" TargetMode="External" /><Relationship Id="rId44" Type="http://schemas.openxmlformats.org/officeDocument/2006/relationships/hyperlink" Target="mailto:ktreadway@oneenergyllc.com" TargetMode="External" /><Relationship Id="rId45" Type="http://schemas.openxmlformats.org/officeDocument/2006/relationships/hyperlink" Target="mailto:mpritchard@mcneeslaw.com" TargetMode="External" /><Relationship Id="rId46" Type="http://schemas.openxmlformats.org/officeDocument/2006/relationships/hyperlink" Target="mailto:awalke@mcneeslaw.com" TargetMode="External" /><Relationship Id="rId47" Type="http://schemas.openxmlformats.org/officeDocument/2006/relationships/hyperlink" Target="mailto:cgrundmann@spilmanlaw.com" TargetMode="External" /><Relationship Id="rId48" Type="http://schemas.openxmlformats.org/officeDocument/2006/relationships/hyperlink" Target="mailto:dwilliamson@spilmanlaw.com" TargetMode="External" /><Relationship Id="rId49" Type="http://schemas.openxmlformats.org/officeDocument/2006/relationships/hyperlink" Target="mailto:slee@spilmanlaw.com" TargetMode="External" /><Relationship Id="rId5" Type="http://schemas.openxmlformats.org/officeDocument/2006/relationships/customXml" Target="../customXml/item1.xml" /><Relationship Id="rId50" Type="http://schemas.openxmlformats.org/officeDocument/2006/relationships/hyperlink" Target="mailto:dstinson@brickergraydon.com" TargetMode="External" /><Relationship Id="rId51" Type="http://schemas.openxmlformats.org/officeDocument/2006/relationships/hyperlink" Target="mailto:gkrassen@nopec.org" TargetMode="External" /><Relationship Id="rId52" Type="http://schemas.openxmlformats.org/officeDocument/2006/relationships/theme" Target="theme/theme1.xml" /><Relationship Id="rId53" Type="http://schemas.openxmlformats.org/officeDocument/2006/relationships/numbering" Target="numbering.xml" /><Relationship Id="rId54" Type="http://schemas.openxmlformats.org/officeDocument/2006/relationships/styles" Target="styles.xml" /><Relationship Id="rId6" Type="http://schemas.openxmlformats.org/officeDocument/2006/relationships/hyperlink" Target="mailto:william.michael@occ.ohio.gov" TargetMode="External" /><Relationship Id="rId7" Type="http://schemas.openxmlformats.org/officeDocument/2006/relationships/hyperlink" Target="mailto:donald.kral@occ.ohio.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gcc02.safelinks.protection.outlook.com/?url=https%3A%2F%2Fwww.cleveland.com%2Fopinion%2F2023%2F10%2Fus-attorney-investigating-firstenergyhb-6-scandal-needs-to-let-ratepayer-probes-proceed-ashley-brown.html&amp;data=05%7C01%7CAngela.OBrien%40occ.ohio.gov%7C3e667091252f4e7b531208dbe796e06d%7C50f8fcc494d84f0784eb36ed57c7c8a2%7C0%7C0%7C638358407414547917%7CUnknown%7CTWFpbGZsb3d8eyJWIjoiMC4wLjAwMDAiLCJQIjoiV2luMzIiLCJBTiI6Ik1haWwiLCJXVCI6Mn0%3D%7C3000%7C%7C%7C&amp;sdata=O8V095U3hxkoXx%2BjZQeJLz1%2FCVT7gH2YpSzuiZ0s64c%3D&amp;reserved=0" TargetMode="External" /><Relationship Id="rId2" Type="http://schemas.openxmlformats.org/officeDocument/2006/relationships/hyperlink" Target="https://gcc02.safelinks.protection.outlook.com/?url=https%3A%2F%2Fwww.cleveland.com%2Fopinion%2F2023%2F10%2Fpuco-needs-to-do-its-duty-by-ratepayers-and-the-us-attorney-needs-to-get-out-of-the-way-editorial.html&amp;data=05%7C01%7CAngela.OBrien%40occ.ohio.gov%7C3e667091252f4e7b531208dbe796e06d%7C50f8fcc494d84f0784eb36ed57c7c8a2%7C0%7C0%7C638358407414547917%7CUnknown%7CTWFpbGZsb3d8eyJWIjoiMC4wLjAwMDAiLCJQIjoiV2luMzIiLCJBTiI6Ik1haWwiLCJXVCI6Mn0%3D%7C3000%7C%7C%7C&amp;sdata=G3XqwolnrV3HgNRopbb0HLkMJoNUgVIzeCNWstsm18g%3D&amp;reserved=0" TargetMode="External" /><Relationship Id="rId3" Type="http://schemas.openxmlformats.org/officeDocument/2006/relationships/hyperlink" Target="https://apnews.com/article/ohio-bribery-investigation-householder-randazzo-puco-113274f88e7a53843e98a86f07d0844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4893</Words>
  <Characters>27895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2024-01-22T20:27:32Z</dcterms:created>
  <dcterms:modified xsi:type="dcterms:W3CDTF">2024-01-22T20:27:32Z</dcterms:modified>
</cp:coreProperties>
</file>