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54737" w:rsidRPr="0070059A" w:rsidP="00754737">
      <w:pPr>
        <w:spacing w:after="0" w:line="240" w:lineRule="auto"/>
        <w:jc w:val="center"/>
        <w:rPr>
          <w:rFonts w:cs="Times New Roman"/>
          <w:b/>
          <w:szCs w:val="24"/>
        </w:rPr>
      </w:pPr>
      <w:bookmarkStart w:id="0" w:name="_GoBack"/>
      <w:bookmarkEnd w:id="0"/>
      <w:r w:rsidRPr="0070059A">
        <w:rPr>
          <w:rFonts w:cs="Times New Roman"/>
          <w:b/>
          <w:szCs w:val="24"/>
        </w:rPr>
        <w:t>BEFORE</w:t>
      </w:r>
    </w:p>
    <w:p w:rsidR="00754737" w:rsidRPr="0070059A" w:rsidP="00754737">
      <w:pPr>
        <w:spacing w:after="0" w:line="240" w:lineRule="auto"/>
        <w:jc w:val="center"/>
        <w:rPr>
          <w:rFonts w:cs="Times New Roman"/>
          <w:b/>
          <w:szCs w:val="24"/>
        </w:rPr>
      </w:pPr>
      <w:r w:rsidRPr="0070059A">
        <w:rPr>
          <w:rFonts w:cs="Times New Roman"/>
          <w:b/>
          <w:szCs w:val="24"/>
        </w:rPr>
        <w:t>THE PUBLIC UTILITIES COMMISSION OF OHIO</w:t>
      </w:r>
    </w:p>
    <w:p w:rsidR="00754737" w:rsidRPr="0070059A" w:rsidP="00754737">
      <w:pPr>
        <w:spacing w:after="0" w:line="240" w:lineRule="auto"/>
        <w:jc w:val="center"/>
        <w:rPr>
          <w:rFonts w:cs="Times New Roman"/>
          <w:b/>
          <w:szCs w:val="24"/>
        </w:rPr>
      </w:pPr>
    </w:p>
    <w:tbl>
      <w:tblPr>
        <w:tblW w:w="10358" w:type="dxa"/>
        <w:tblLook w:val="01E0"/>
      </w:tblPr>
      <w:tblGrid>
        <w:gridCol w:w="5238"/>
        <w:gridCol w:w="480"/>
        <w:gridCol w:w="4640"/>
      </w:tblGrid>
      <w:tr w:rsidTr="00016CE2">
        <w:tblPrEx>
          <w:tblW w:w="10358" w:type="dxa"/>
          <w:tblLook w:val="01E0"/>
        </w:tblPrEx>
        <w:trPr>
          <w:trHeight w:val="807"/>
        </w:trPr>
        <w:tc>
          <w:tcPr>
            <w:tcW w:w="5238" w:type="dxa"/>
            <w:shd w:val="clear" w:color="auto" w:fill="auto"/>
          </w:tcPr>
          <w:p w:rsidR="00754737" w:rsidRPr="0070059A" w:rsidP="00016CE2">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an Increase in Electric Distribution Rates.</w:t>
            </w:r>
          </w:p>
          <w:p w:rsidR="00754737" w:rsidRPr="0070059A" w:rsidP="00016CE2">
            <w:pPr>
              <w:autoSpaceDE w:val="0"/>
              <w:autoSpaceDN w:val="0"/>
              <w:adjustRightInd w:val="0"/>
              <w:spacing w:after="0" w:line="240" w:lineRule="auto"/>
              <w:rPr>
                <w:rFonts w:cs="Times New Roman"/>
                <w:szCs w:val="24"/>
              </w:rPr>
            </w:pPr>
          </w:p>
          <w:p w:rsidR="00754737" w:rsidRPr="0070059A" w:rsidP="00016CE2">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Approval to Change Accounting Methods.</w:t>
            </w:r>
          </w:p>
          <w:p w:rsidR="00754737" w:rsidRPr="0070059A" w:rsidP="00016CE2">
            <w:pPr>
              <w:autoSpaceDE w:val="0"/>
              <w:autoSpaceDN w:val="0"/>
              <w:adjustRightInd w:val="0"/>
              <w:spacing w:after="0" w:line="240" w:lineRule="auto"/>
              <w:rPr>
                <w:rFonts w:cs="Times New Roman"/>
                <w:szCs w:val="24"/>
              </w:rPr>
            </w:pPr>
          </w:p>
          <w:p w:rsidR="00754737" w:rsidRPr="0070059A" w:rsidP="00016CE2">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Tariff Approval.</w:t>
            </w:r>
          </w:p>
        </w:tc>
        <w:tc>
          <w:tcPr>
            <w:tcW w:w="480" w:type="dxa"/>
            <w:shd w:val="clear" w:color="auto" w:fill="auto"/>
          </w:tcPr>
          <w:p w:rsidR="00754737"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754737"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754737"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754737" w:rsidRPr="0070059A" w:rsidP="00016CE2">
            <w:pPr>
              <w:pStyle w:val="HTMLPreformatted"/>
              <w:rPr>
                <w:rFonts w:ascii="Times New Roman" w:hAnsi="Times New Roman" w:cs="Times New Roman"/>
                <w:sz w:val="24"/>
                <w:szCs w:val="24"/>
              </w:rPr>
            </w:pPr>
          </w:p>
          <w:p w:rsidR="00754737"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754737"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754737"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754737" w:rsidRPr="0070059A" w:rsidP="00016CE2">
            <w:pPr>
              <w:pStyle w:val="HTMLPreformatted"/>
              <w:rPr>
                <w:rFonts w:ascii="Times New Roman" w:hAnsi="Times New Roman" w:cs="Times New Roman"/>
                <w:sz w:val="24"/>
                <w:szCs w:val="24"/>
              </w:rPr>
            </w:pPr>
          </w:p>
          <w:p w:rsidR="00754737"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754737"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tc>
        <w:tc>
          <w:tcPr>
            <w:tcW w:w="4640" w:type="dxa"/>
            <w:shd w:val="clear" w:color="auto" w:fill="auto"/>
          </w:tcPr>
          <w:p w:rsidR="00754737" w:rsidRPr="0070059A" w:rsidP="00016CE2">
            <w:pPr>
              <w:autoSpaceDE w:val="0"/>
              <w:autoSpaceDN w:val="0"/>
              <w:adjustRightInd w:val="0"/>
              <w:spacing w:after="0" w:line="240" w:lineRule="auto"/>
              <w:rPr>
                <w:rFonts w:cs="Times New Roman"/>
                <w:szCs w:val="24"/>
              </w:rPr>
            </w:pPr>
          </w:p>
          <w:p w:rsidR="00754737" w:rsidRPr="0070059A" w:rsidP="00016CE2">
            <w:pPr>
              <w:autoSpaceDE w:val="0"/>
              <w:autoSpaceDN w:val="0"/>
              <w:adjustRightInd w:val="0"/>
              <w:spacing w:after="0" w:line="240" w:lineRule="auto"/>
              <w:rPr>
                <w:rFonts w:cs="Times New Roman"/>
                <w:szCs w:val="24"/>
              </w:rPr>
            </w:pPr>
            <w:r w:rsidRPr="0070059A">
              <w:rPr>
                <w:rFonts w:cs="Times New Roman"/>
                <w:szCs w:val="24"/>
              </w:rPr>
              <w:t>Case No. 15-1830-EL-AIR</w:t>
            </w:r>
          </w:p>
          <w:p w:rsidR="00754737" w:rsidRPr="0070059A" w:rsidP="00016CE2">
            <w:pPr>
              <w:autoSpaceDE w:val="0"/>
              <w:autoSpaceDN w:val="0"/>
              <w:adjustRightInd w:val="0"/>
              <w:spacing w:after="0" w:line="240" w:lineRule="auto"/>
              <w:rPr>
                <w:rFonts w:cs="Times New Roman"/>
                <w:szCs w:val="24"/>
              </w:rPr>
            </w:pPr>
          </w:p>
          <w:p w:rsidR="00754737" w:rsidRPr="0070059A" w:rsidP="00016CE2">
            <w:pPr>
              <w:autoSpaceDE w:val="0"/>
              <w:autoSpaceDN w:val="0"/>
              <w:adjustRightInd w:val="0"/>
              <w:spacing w:after="0" w:line="240" w:lineRule="auto"/>
              <w:rPr>
                <w:rFonts w:cs="Times New Roman"/>
                <w:szCs w:val="24"/>
              </w:rPr>
            </w:pPr>
          </w:p>
          <w:p w:rsidR="00754737" w:rsidRPr="0070059A" w:rsidP="00016CE2">
            <w:pPr>
              <w:autoSpaceDE w:val="0"/>
              <w:autoSpaceDN w:val="0"/>
              <w:adjustRightInd w:val="0"/>
              <w:spacing w:after="0" w:line="240" w:lineRule="auto"/>
              <w:rPr>
                <w:rFonts w:cs="Times New Roman"/>
                <w:szCs w:val="24"/>
              </w:rPr>
            </w:pPr>
          </w:p>
          <w:p w:rsidR="00754737" w:rsidRPr="0070059A" w:rsidP="00016CE2">
            <w:pPr>
              <w:autoSpaceDE w:val="0"/>
              <w:autoSpaceDN w:val="0"/>
              <w:adjustRightInd w:val="0"/>
              <w:spacing w:after="0" w:line="240" w:lineRule="auto"/>
              <w:rPr>
                <w:rFonts w:cs="Times New Roman"/>
                <w:szCs w:val="24"/>
              </w:rPr>
            </w:pPr>
            <w:r w:rsidRPr="0070059A">
              <w:rPr>
                <w:rFonts w:cs="Times New Roman"/>
                <w:szCs w:val="24"/>
              </w:rPr>
              <w:t>Case No. 15-1831-EL-AAM</w:t>
            </w:r>
          </w:p>
          <w:p w:rsidR="00754737" w:rsidRPr="0070059A" w:rsidP="00016CE2">
            <w:pPr>
              <w:spacing w:after="0" w:line="240" w:lineRule="auto"/>
              <w:rPr>
                <w:rFonts w:cs="Times New Roman"/>
                <w:szCs w:val="24"/>
              </w:rPr>
            </w:pPr>
          </w:p>
          <w:p w:rsidR="00754737" w:rsidRPr="0070059A" w:rsidP="00016CE2">
            <w:pPr>
              <w:spacing w:after="0" w:line="240" w:lineRule="auto"/>
              <w:rPr>
                <w:rFonts w:cs="Times New Roman"/>
                <w:szCs w:val="24"/>
              </w:rPr>
            </w:pPr>
          </w:p>
          <w:p w:rsidR="00754737" w:rsidRPr="0070059A" w:rsidP="00016CE2">
            <w:pPr>
              <w:spacing w:after="0" w:line="240" w:lineRule="auto"/>
              <w:rPr>
                <w:rFonts w:cs="Times New Roman"/>
                <w:szCs w:val="24"/>
              </w:rPr>
            </w:pPr>
            <w:r w:rsidRPr="0070059A">
              <w:rPr>
                <w:rFonts w:cs="Times New Roman"/>
                <w:szCs w:val="24"/>
              </w:rPr>
              <w:t>Case No. 15-1832-EL-ATA</w:t>
            </w:r>
          </w:p>
          <w:p w:rsidR="00754737" w:rsidRPr="0070059A" w:rsidP="00016CE2">
            <w:pPr>
              <w:pStyle w:val="HTMLPreformatted"/>
              <w:rPr>
                <w:rFonts w:ascii="Times New Roman" w:hAnsi="Times New Roman" w:cs="Times New Roman"/>
                <w:sz w:val="24"/>
                <w:szCs w:val="24"/>
              </w:rPr>
            </w:pPr>
          </w:p>
        </w:tc>
      </w:tr>
    </w:tbl>
    <w:p w:rsidR="006F040C" w:rsidRPr="0009183C" w:rsidP="006F040C">
      <w:pPr>
        <w:pStyle w:val="HTMLPreformatted"/>
        <w:pBdr>
          <w:bottom w:val="single" w:sz="12" w:space="1" w:color="auto"/>
        </w:pBdr>
        <w:rPr>
          <w:rFonts w:ascii="Times New Roman" w:hAnsi="Times New Roman" w:cs="Times New Roman"/>
          <w:b/>
          <w:bCs/>
          <w:sz w:val="24"/>
          <w:szCs w:val="24"/>
        </w:rPr>
      </w:pPr>
    </w:p>
    <w:p w:rsidR="006F040C" w:rsidP="006F040C">
      <w:pPr>
        <w:pStyle w:val="HTMLPreformatted"/>
        <w:rPr>
          <w:rFonts w:ascii="Times New Roman" w:hAnsi="Times New Roman" w:cs="Times New Roman"/>
          <w:b/>
          <w:bCs/>
          <w:i/>
          <w:sz w:val="24"/>
          <w:szCs w:val="24"/>
        </w:rPr>
      </w:pPr>
    </w:p>
    <w:p w:rsidR="006F040C" w:rsidRPr="0009183C" w:rsidP="006F040C">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MOTION TO STRIKE </w:t>
      </w:r>
      <w:r w:rsidR="00EB710C">
        <w:rPr>
          <w:rFonts w:ascii="Times New Roman" w:hAnsi="Times New Roman" w:cs="Times New Roman"/>
          <w:b/>
          <w:bCs/>
          <w:sz w:val="24"/>
          <w:szCs w:val="24"/>
        </w:rPr>
        <w:t xml:space="preserve">DIRECT TESTIMONY OF </w:t>
      </w:r>
      <w:r w:rsidR="006731EF">
        <w:rPr>
          <w:rFonts w:ascii="Times New Roman" w:hAnsi="Times New Roman" w:cs="Times New Roman"/>
          <w:b/>
          <w:bCs/>
          <w:sz w:val="24"/>
          <w:szCs w:val="24"/>
        </w:rPr>
        <w:t>J. EDWARD HESS</w:t>
      </w:r>
      <w:r w:rsidR="00ED14A2">
        <w:rPr>
          <w:rFonts w:ascii="Times New Roman" w:hAnsi="Times New Roman" w:cs="Times New Roman"/>
          <w:b/>
          <w:bCs/>
          <w:sz w:val="24"/>
          <w:szCs w:val="24"/>
        </w:rPr>
        <w:br/>
      </w:r>
      <w:r w:rsidRPr="0009183C">
        <w:rPr>
          <w:rFonts w:ascii="Times New Roman" w:hAnsi="Times New Roman" w:cs="Times New Roman"/>
          <w:b/>
          <w:bCs/>
          <w:sz w:val="24"/>
          <w:szCs w:val="24"/>
        </w:rPr>
        <w:t xml:space="preserve">BY </w:t>
      </w:r>
    </w:p>
    <w:p w:rsidR="006F040C" w:rsidRPr="0009183C" w:rsidP="006F040C">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THE OFFICE OF THE OHIO CONSUMERS</w:t>
      </w:r>
      <w:r>
        <w:rPr>
          <w:rFonts w:ascii="Times New Roman" w:hAnsi="Times New Roman" w:cs="Times New Roman"/>
          <w:b/>
          <w:bCs/>
          <w:sz w:val="24"/>
          <w:szCs w:val="24"/>
        </w:rPr>
        <w:t>'</w:t>
      </w:r>
      <w:r w:rsidRPr="0009183C">
        <w:rPr>
          <w:rFonts w:ascii="Times New Roman" w:hAnsi="Times New Roman" w:cs="Times New Roman"/>
          <w:b/>
          <w:bCs/>
          <w:sz w:val="24"/>
          <w:szCs w:val="24"/>
        </w:rPr>
        <w:t xml:space="preserve"> COUNSEL</w:t>
      </w:r>
    </w:p>
    <w:p w:rsidR="006F040C" w:rsidRPr="0009183C" w:rsidP="006F040C">
      <w:pPr>
        <w:pStyle w:val="HTMLPreformatted"/>
        <w:pBdr>
          <w:bottom w:val="single" w:sz="12" w:space="1" w:color="auto"/>
        </w:pBdr>
        <w:jc w:val="center"/>
        <w:rPr>
          <w:rFonts w:ascii="Times New Roman" w:hAnsi="Times New Roman" w:cs="Times New Roman"/>
          <w:b/>
          <w:bCs/>
          <w:sz w:val="24"/>
          <w:szCs w:val="24"/>
        </w:rPr>
      </w:pPr>
    </w:p>
    <w:p w:rsidR="00017874" w:rsidP="00F17368">
      <w:pPr>
        <w:spacing w:after="0" w:line="240" w:lineRule="auto"/>
        <w:ind w:left="3600" w:firstLine="720"/>
        <w:rPr>
          <w:rFonts w:eastAsiaTheme="minorEastAsia" w:cs="Times New Roman"/>
          <w:szCs w:val="24"/>
        </w:rPr>
      </w:pPr>
    </w:p>
    <w:p w:rsidR="006731EF" w:rsidP="00566085">
      <w:pPr>
        <w:spacing w:after="0" w:line="480" w:lineRule="auto"/>
        <w:ind w:firstLine="720"/>
        <w:rPr>
          <w:rFonts w:eastAsiaTheme="minorEastAsia" w:cs="Times New Roman"/>
          <w:szCs w:val="24"/>
        </w:rPr>
      </w:pPr>
      <w:r>
        <w:rPr>
          <w:rFonts w:eastAsiaTheme="minorEastAsia" w:cs="Times New Roman"/>
          <w:szCs w:val="24"/>
        </w:rPr>
        <w:t>T</w:t>
      </w:r>
      <w:r w:rsidR="00A76EB8">
        <w:rPr>
          <w:rFonts w:eastAsiaTheme="minorEastAsia" w:cs="Times New Roman"/>
          <w:szCs w:val="24"/>
        </w:rPr>
        <w:t>he Office of the Ohio Consumers’ Counsel (“OCC”) moves to strike t</w:t>
      </w:r>
      <w:r>
        <w:rPr>
          <w:rFonts w:eastAsiaTheme="minorEastAsia" w:cs="Times New Roman"/>
          <w:szCs w:val="24"/>
        </w:rPr>
        <w:t xml:space="preserve">he </w:t>
      </w:r>
      <w:r w:rsidR="00E41C16">
        <w:rPr>
          <w:rFonts w:eastAsiaTheme="minorEastAsia" w:cs="Times New Roman"/>
          <w:szCs w:val="24"/>
        </w:rPr>
        <w:t>d</w:t>
      </w:r>
      <w:r>
        <w:rPr>
          <w:rFonts w:eastAsiaTheme="minorEastAsia" w:cs="Times New Roman"/>
          <w:szCs w:val="24"/>
        </w:rPr>
        <w:t xml:space="preserve">irect </w:t>
      </w:r>
      <w:r w:rsidR="00E41C16">
        <w:rPr>
          <w:rFonts w:eastAsiaTheme="minorEastAsia" w:cs="Times New Roman"/>
          <w:szCs w:val="24"/>
        </w:rPr>
        <w:t>t</w:t>
      </w:r>
      <w:r>
        <w:rPr>
          <w:rFonts w:eastAsiaTheme="minorEastAsia" w:cs="Times New Roman"/>
          <w:szCs w:val="24"/>
        </w:rPr>
        <w:t>estimony of J. Edward Hess</w:t>
      </w:r>
      <w:r w:rsidR="00A67BB9">
        <w:rPr>
          <w:rFonts w:eastAsiaTheme="minorEastAsia" w:cs="Times New Roman"/>
          <w:szCs w:val="24"/>
        </w:rPr>
        <w:t>, filed on behalf of marketers</w:t>
      </w:r>
      <w:r w:rsidR="00A76EB8">
        <w:rPr>
          <w:rFonts w:eastAsiaTheme="minorEastAsia" w:cs="Times New Roman"/>
          <w:szCs w:val="24"/>
        </w:rPr>
        <w:t>.</w:t>
      </w:r>
      <w:r>
        <w:rPr>
          <w:rFonts w:eastAsiaTheme="minorEastAsia" w:cs="Times New Roman"/>
          <w:szCs w:val="24"/>
        </w:rPr>
        <w:t xml:space="preserve"> </w:t>
      </w:r>
      <w:r w:rsidR="00F262F1">
        <w:rPr>
          <w:rFonts w:eastAsiaTheme="minorEastAsia" w:cs="Times New Roman"/>
          <w:szCs w:val="24"/>
        </w:rPr>
        <w:t>In the testimony</w:t>
      </w:r>
      <w:r w:rsidR="00CB7184">
        <w:rPr>
          <w:rFonts w:eastAsiaTheme="minorEastAsia" w:cs="Times New Roman"/>
          <w:szCs w:val="24"/>
        </w:rPr>
        <w:t>,</w:t>
      </w:r>
      <w:r w:rsidR="00F262F1">
        <w:rPr>
          <w:rFonts w:eastAsiaTheme="minorEastAsia" w:cs="Times New Roman"/>
          <w:szCs w:val="24"/>
        </w:rPr>
        <w:t xml:space="preserve"> Mr. Hess</w:t>
      </w:r>
      <w:r w:rsidR="003A206E">
        <w:rPr>
          <w:rFonts w:eastAsiaTheme="minorEastAsia" w:cs="Times New Roman"/>
          <w:szCs w:val="24"/>
        </w:rPr>
        <w:t xml:space="preserve"> </w:t>
      </w:r>
      <w:r>
        <w:rPr>
          <w:rFonts w:eastAsiaTheme="minorEastAsia" w:cs="Times New Roman"/>
          <w:szCs w:val="24"/>
        </w:rPr>
        <w:t>proposes single-issue ratemaking</w:t>
      </w:r>
      <w:r w:rsidR="00F262F1">
        <w:rPr>
          <w:rFonts w:eastAsiaTheme="minorEastAsia" w:cs="Times New Roman"/>
          <w:szCs w:val="24"/>
        </w:rPr>
        <w:t xml:space="preserve"> that </w:t>
      </w:r>
      <w:r w:rsidR="000A0ED7">
        <w:rPr>
          <w:rFonts w:eastAsiaTheme="minorEastAsia" w:cs="Times New Roman"/>
          <w:szCs w:val="24"/>
        </w:rPr>
        <w:t>would be unlawful in this</w:t>
      </w:r>
      <w:r w:rsidR="00F262F1">
        <w:rPr>
          <w:rFonts w:eastAsiaTheme="minorEastAsia" w:cs="Times New Roman"/>
          <w:szCs w:val="24"/>
        </w:rPr>
        <w:t xml:space="preserve"> rate case</w:t>
      </w:r>
      <w:r w:rsidR="00C57B3C">
        <w:rPr>
          <w:rFonts w:eastAsiaTheme="minorEastAsia" w:cs="Times New Roman"/>
          <w:szCs w:val="24"/>
        </w:rPr>
        <w:t xml:space="preserve">. The proposal is designed to increase the </w:t>
      </w:r>
      <w:r w:rsidR="001F7242">
        <w:rPr>
          <w:rFonts w:eastAsiaTheme="minorEastAsia" w:cs="Times New Roman"/>
          <w:szCs w:val="24"/>
        </w:rPr>
        <w:t>price</w:t>
      </w:r>
      <w:r w:rsidR="00C57B3C">
        <w:rPr>
          <w:rFonts w:eastAsiaTheme="minorEastAsia" w:cs="Times New Roman"/>
          <w:szCs w:val="24"/>
        </w:rPr>
        <w:t xml:space="preserve"> of </w:t>
      </w:r>
      <w:r w:rsidR="001F7242">
        <w:rPr>
          <w:rFonts w:eastAsiaTheme="minorEastAsia" w:cs="Times New Roman"/>
          <w:szCs w:val="24"/>
        </w:rPr>
        <w:t xml:space="preserve">the standard service offer (“SSO” or the “standard offer”) of </w:t>
      </w:r>
      <w:r w:rsidR="00C57B3C">
        <w:rPr>
          <w:rFonts w:eastAsiaTheme="minorEastAsia" w:cs="Times New Roman"/>
          <w:szCs w:val="24"/>
        </w:rPr>
        <w:t>the Dayton Power and Light Company (“DP&amp;L”)</w:t>
      </w:r>
      <w:r w:rsidR="001F7242">
        <w:rPr>
          <w:rFonts w:eastAsiaTheme="minorEastAsia" w:cs="Times New Roman"/>
          <w:szCs w:val="24"/>
        </w:rPr>
        <w:t>.</w:t>
      </w:r>
      <w:r w:rsidR="00C57B3C">
        <w:rPr>
          <w:rFonts w:eastAsiaTheme="minorEastAsia" w:cs="Times New Roman"/>
          <w:szCs w:val="24"/>
        </w:rPr>
        <w:t xml:space="preserve"> </w:t>
      </w:r>
      <w:r w:rsidR="00D81FDA">
        <w:rPr>
          <w:rFonts w:eastAsiaTheme="minorEastAsia" w:cs="Times New Roman"/>
          <w:szCs w:val="24"/>
        </w:rPr>
        <w:t>Thus,</w:t>
      </w:r>
      <w:r w:rsidR="001F7242">
        <w:rPr>
          <w:rFonts w:eastAsiaTheme="minorEastAsia" w:cs="Times New Roman"/>
          <w:szCs w:val="24"/>
        </w:rPr>
        <w:t xml:space="preserve"> the proposal would</w:t>
      </w:r>
      <w:r w:rsidR="00C57B3C">
        <w:rPr>
          <w:rFonts w:eastAsiaTheme="minorEastAsia" w:cs="Times New Roman"/>
          <w:szCs w:val="24"/>
        </w:rPr>
        <w:t xml:space="preserve"> provide a competitive advantage to energy suppliers like Interstate Gas Supply (“IGS”) and the members of the Retail Energy Supply Association (“RESA”), who sponsor the </w:t>
      </w:r>
      <w:r w:rsidR="001F7242">
        <w:rPr>
          <w:rFonts w:eastAsiaTheme="minorEastAsia" w:cs="Times New Roman"/>
          <w:szCs w:val="24"/>
        </w:rPr>
        <w:t>t</w:t>
      </w:r>
      <w:r w:rsidR="00C57B3C">
        <w:rPr>
          <w:rFonts w:eastAsiaTheme="minorEastAsia" w:cs="Times New Roman"/>
          <w:szCs w:val="24"/>
        </w:rPr>
        <w:t xml:space="preserve">estimony. Because the </w:t>
      </w:r>
      <w:r w:rsidR="00EC511F">
        <w:rPr>
          <w:rFonts w:eastAsiaTheme="minorEastAsia" w:cs="Times New Roman"/>
          <w:szCs w:val="24"/>
        </w:rPr>
        <w:t xml:space="preserve">PUCO has no authority to approve single-issue ratemaking as part of DP&amp;L’s distribution rate case, the PUCO has no jurisdiction to consider Mr. Hess’s testimony. The testimony </w:t>
      </w:r>
      <w:r>
        <w:rPr>
          <w:rFonts w:eastAsiaTheme="minorEastAsia" w:cs="Times New Roman"/>
          <w:szCs w:val="24"/>
        </w:rPr>
        <w:t>is</w:t>
      </w:r>
      <w:r w:rsidR="006F1355">
        <w:rPr>
          <w:rFonts w:eastAsiaTheme="minorEastAsia" w:cs="Times New Roman"/>
          <w:szCs w:val="24"/>
        </w:rPr>
        <w:t xml:space="preserve"> </w:t>
      </w:r>
      <w:r w:rsidR="00EC511F">
        <w:rPr>
          <w:rFonts w:eastAsiaTheme="minorEastAsia" w:cs="Times New Roman"/>
          <w:szCs w:val="24"/>
        </w:rPr>
        <w:t xml:space="preserve">also </w:t>
      </w:r>
      <w:r w:rsidR="006F1355">
        <w:rPr>
          <w:rFonts w:eastAsiaTheme="minorEastAsia" w:cs="Times New Roman"/>
          <w:szCs w:val="24"/>
        </w:rPr>
        <w:t>irrelevant under Ohio Rules of Evidence 401 and 402</w:t>
      </w:r>
      <w:r>
        <w:rPr>
          <w:rFonts w:eastAsiaTheme="minorEastAsia" w:cs="Times New Roman"/>
          <w:szCs w:val="24"/>
        </w:rPr>
        <w:t>. On behalf of the 4</w:t>
      </w:r>
      <w:r w:rsidR="00CB7184">
        <w:rPr>
          <w:rFonts w:eastAsiaTheme="minorEastAsia" w:cs="Times New Roman"/>
          <w:szCs w:val="24"/>
        </w:rPr>
        <w:t>60</w:t>
      </w:r>
      <w:r>
        <w:rPr>
          <w:rFonts w:eastAsiaTheme="minorEastAsia" w:cs="Times New Roman"/>
          <w:szCs w:val="24"/>
        </w:rPr>
        <w:t xml:space="preserve">,000 residential </w:t>
      </w:r>
      <w:r w:rsidR="00C57B3C">
        <w:rPr>
          <w:rFonts w:eastAsiaTheme="minorEastAsia" w:cs="Times New Roman"/>
          <w:szCs w:val="24"/>
        </w:rPr>
        <w:t xml:space="preserve">DP&amp;L </w:t>
      </w:r>
      <w:r>
        <w:rPr>
          <w:rFonts w:eastAsiaTheme="minorEastAsia" w:cs="Times New Roman"/>
          <w:szCs w:val="24"/>
        </w:rPr>
        <w:t xml:space="preserve">customers, OCC </w:t>
      </w:r>
      <w:r w:rsidR="006F1355">
        <w:rPr>
          <w:rFonts w:eastAsiaTheme="minorEastAsia" w:cs="Times New Roman"/>
          <w:szCs w:val="24"/>
        </w:rPr>
        <w:t xml:space="preserve">asks </w:t>
      </w:r>
      <w:r>
        <w:rPr>
          <w:rFonts w:eastAsiaTheme="minorEastAsia" w:cs="Times New Roman"/>
          <w:szCs w:val="24"/>
        </w:rPr>
        <w:t xml:space="preserve">the Public Utilities Commission of Ohio (“PUCO”) </w:t>
      </w:r>
      <w:r>
        <w:rPr>
          <w:rFonts w:eastAsiaTheme="minorEastAsia" w:cs="Times New Roman"/>
          <w:szCs w:val="24"/>
        </w:rPr>
        <w:t>to</w:t>
      </w:r>
      <w:r>
        <w:rPr>
          <w:rFonts w:eastAsiaTheme="minorEastAsia" w:cs="Times New Roman"/>
          <w:szCs w:val="24"/>
        </w:rPr>
        <w:t xml:space="preserve"> strik</w:t>
      </w:r>
      <w:r>
        <w:rPr>
          <w:rFonts w:eastAsiaTheme="minorEastAsia" w:cs="Times New Roman"/>
          <w:szCs w:val="24"/>
        </w:rPr>
        <w:t>e</w:t>
      </w:r>
      <w:r>
        <w:rPr>
          <w:rFonts w:eastAsiaTheme="minorEastAsia" w:cs="Times New Roman"/>
          <w:szCs w:val="24"/>
        </w:rPr>
        <w:t xml:space="preserve"> th</w:t>
      </w:r>
      <w:r w:rsidR="00536A68">
        <w:rPr>
          <w:rFonts w:eastAsiaTheme="minorEastAsia" w:cs="Times New Roman"/>
          <w:szCs w:val="24"/>
        </w:rPr>
        <w:t>is t</w:t>
      </w:r>
      <w:r>
        <w:rPr>
          <w:rFonts w:eastAsiaTheme="minorEastAsia" w:cs="Times New Roman"/>
          <w:szCs w:val="24"/>
        </w:rPr>
        <w:t>estimony.</w:t>
      </w:r>
    </w:p>
    <w:p w:rsidR="00ED14A2" w:rsidP="00566085">
      <w:pPr>
        <w:spacing w:after="0" w:line="480" w:lineRule="auto"/>
        <w:ind w:firstLine="720"/>
        <w:rPr>
          <w:rFonts w:eastAsiaTheme="minorEastAsia" w:cs="Times New Roman"/>
          <w:szCs w:val="24"/>
        </w:rPr>
      </w:pPr>
    </w:p>
    <w:p w:rsidR="00AD1A60" w:rsidP="00F17368">
      <w:pPr>
        <w:spacing w:after="0" w:line="240" w:lineRule="auto"/>
        <w:ind w:left="3600" w:firstLine="720"/>
        <w:rPr>
          <w:rFonts w:eastAsiaTheme="minorEastAsia" w:cs="Times New Roman"/>
          <w:szCs w:val="24"/>
        </w:rPr>
        <w:sectPr w:rsidSect="00CF2E6B">
          <w:pgSz w:w="12240" w:h="15840"/>
          <w:pgMar w:top="1440" w:right="1800" w:bottom="1440" w:left="1800" w:header="720" w:footer="720" w:gutter="0"/>
          <w:pgNumType w:start="2"/>
          <w:cols w:space="720"/>
          <w:docGrid w:linePitch="360"/>
        </w:sectPr>
      </w:pPr>
    </w:p>
    <w:p w:rsidR="00AD1A60" w:rsidP="00F17368">
      <w:pPr>
        <w:spacing w:after="0" w:line="240" w:lineRule="auto"/>
        <w:ind w:left="3600" w:firstLine="720"/>
        <w:rPr>
          <w:rFonts w:eastAsiaTheme="minorEastAsia" w:cs="Times New Roman"/>
          <w:szCs w:val="24"/>
        </w:rPr>
      </w:pPr>
    </w:p>
    <w:p w:rsidR="00AD1A60" w:rsidP="00F17368">
      <w:pPr>
        <w:spacing w:after="0" w:line="240" w:lineRule="auto"/>
        <w:ind w:left="3600" w:firstLine="720"/>
        <w:rPr>
          <w:rFonts w:eastAsiaTheme="minorEastAsia" w:cs="Times New Roman"/>
          <w:szCs w:val="24"/>
        </w:rPr>
      </w:pPr>
    </w:p>
    <w:p w:rsidR="00036C8C" w:rsidP="00F17368">
      <w:pPr>
        <w:spacing w:after="0" w:line="240" w:lineRule="auto"/>
        <w:ind w:left="3600" w:firstLine="720"/>
        <w:rPr>
          <w:rFonts w:eastAsiaTheme="minorEastAsia" w:cs="Times New Roman"/>
          <w:szCs w:val="24"/>
        </w:rPr>
      </w:pPr>
      <w:r>
        <w:rPr>
          <w:rFonts w:eastAsiaTheme="minorEastAsia" w:cs="Times New Roman"/>
          <w:szCs w:val="24"/>
        </w:rPr>
        <w:t>Respectfully submitted,</w:t>
      </w:r>
    </w:p>
    <w:p w:rsidR="00036C8C" w:rsidP="00F17368">
      <w:pPr>
        <w:spacing w:after="0" w:line="240" w:lineRule="auto"/>
        <w:ind w:left="3600" w:firstLine="720"/>
        <w:rPr>
          <w:rFonts w:eastAsiaTheme="minorEastAsia" w:cs="Times New Roman"/>
          <w:szCs w:val="24"/>
        </w:rPr>
      </w:pPr>
    </w:p>
    <w:p w:rsidR="00754737" w:rsidRPr="0070059A" w:rsidP="00754737">
      <w:pPr>
        <w:spacing w:after="0" w:line="240" w:lineRule="auto"/>
        <w:ind w:left="3600" w:firstLine="720"/>
        <w:rPr>
          <w:rFonts w:eastAsiaTheme="minorEastAsia" w:cs="Times New Roman"/>
          <w:szCs w:val="24"/>
        </w:rPr>
      </w:pPr>
      <w:r w:rsidRPr="0070059A">
        <w:rPr>
          <w:rFonts w:eastAsiaTheme="minorEastAsia" w:cs="Times New Roman"/>
          <w:szCs w:val="24"/>
        </w:rPr>
        <w:t>BRUCE WESTON (0016973)</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OHIO CONSUMERS' COUNSEL</w:t>
      </w:r>
    </w:p>
    <w:p w:rsidR="00754737" w:rsidRPr="0070059A" w:rsidP="00754737">
      <w:pPr>
        <w:spacing w:after="0" w:line="240" w:lineRule="auto"/>
        <w:ind w:firstLine="4320"/>
        <w:rPr>
          <w:rFonts w:eastAsiaTheme="minorEastAsia" w:cs="Times New Roman"/>
          <w:szCs w:val="24"/>
        </w:rPr>
      </w:pPr>
    </w:p>
    <w:p w:rsidR="00AD1A60" w:rsidRPr="00AD1A60" w:rsidP="00754737">
      <w:pPr>
        <w:spacing w:after="0" w:line="240" w:lineRule="auto"/>
        <w:ind w:firstLine="4320"/>
        <w:rPr>
          <w:rFonts w:eastAsiaTheme="minorEastAsia" w:cs="Times New Roman"/>
          <w:i/>
          <w:szCs w:val="24"/>
          <w:u w:val="single"/>
        </w:rPr>
      </w:pPr>
      <w:r>
        <w:rPr>
          <w:rFonts w:eastAsiaTheme="minorEastAsia" w:cs="Times New Roman"/>
          <w:i/>
          <w:szCs w:val="24"/>
          <w:u w:val="single"/>
        </w:rPr>
        <w:t>/s/ Christopher Healey______</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Christopher Healey (0086027)</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Counsel of Record</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Terry L. Etter (0067445)</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Assistant Consumers' Counsel</w:t>
      </w:r>
    </w:p>
    <w:p w:rsidR="00754737" w:rsidRPr="0070059A" w:rsidP="00754737">
      <w:pPr>
        <w:spacing w:after="0" w:line="240" w:lineRule="auto"/>
        <w:ind w:firstLine="4320"/>
        <w:rPr>
          <w:rFonts w:eastAsiaTheme="minorEastAsia" w:cs="Times New Roman"/>
          <w:szCs w:val="24"/>
        </w:rPr>
      </w:pPr>
    </w:p>
    <w:p w:rsidR="00754737" w:rsidRPr="0070059A" w:rsidP="00754737">
      <w:pPr>
        <w:spacing w:after="0" w:line="240" w:lineRule="auto"/>
        <w:ind w:firstLine="4320"/>
        <w:rPr>
          <w:rFonts w:eastAsiaTheme="minorEastAsia" w:cs="Times New Roman"/>
          <w:b/>
          <w:szCs w:val="24"/>
        </w:rPr>
      </w:pPr>
      <w:r w:rsidRPr="0070059A">
        <w:rPr>
          <w:rFonts w:eastAsiaTheme="minorEastAsia" w:cs="Times New Roman"/>
          <w:b/>
          <w:szCs w:val="24"/>
        </w:rPr>
        <w:t>Office of the Ohio Consumers' Counsel</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65 East State Street, 7th Floor</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Columbus, Ohio 43215</w:t>
      </w:r>
      <w:r w:rsidR="000619F4">
        <w:rPr>
          <w:rFonts w:eastAsiaTheme="minorEastAsia" w:cs="Times New Roman"/>
          <w:szCs w:val="24"/>
        </w:rPr>
        <w:t>-4213</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Telephone [Healey]: 614-466-9571</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Telephone [Etter]: 614-466-7964</w:t>
      </w:r>
    </w:p>
    <w:p w:rsidR="00754737" w:rsidRPr="00AD1A60" w:rsidP="00754737">
      <w:pPr>
        <w:spacing w:after="0" w:line="240" w:lineRule="auto"/>
        <w:ind w:firstLine="4320"/>
        <w:rPr>
          <w:rStyle w:val="Hyperlink"/>
          <w:rFonts w:eastAsiaTheme="minorEastAsia" w:cs="Times New Roman"/>
          <w:color w:val="auto"/>
          <w:szCs w:val="24"/>
          <w:u w:val="none"/>
        </w:rPr>
      </w:pPr>
      <w:r w:rsidRPr="00AD1A60">
        <w:rPr>
          <w:rStyle w:val="DefaultParagraphFont"/>
          <w:rFonts w:eastAsiaTheme="minorEastAsia" w:cs="Times New Roman"/>
          <w:color w:val="auto"/>
          <w:szCs w:val="24"/>
          <w:u w:val="none"/>
        </w:rPr>
        <w:t>christopher.healey@occ.ohio.gov</w:t>
      </w:r>
    </w:p>
    <w:p w:rsidR="00754737" w:rsidRPr="00AD1A60" w:rsidP="00754737">
      <w:pPr>
        <w:spacing w:after="0" w:line="240" w:lineRule="auto"/>
        <w:ind w:firstLine="4320"/>
        <w:rPr>
          <w:rStyle w:val="Hyperlink"/>
          <w:rFonts w:eastAsiaTheme="minorEastAsia" w:cs="Times New Roman"/>
          <w:color w:val="auto"/>
          <w:szCs w:val="24"/>
          <w:u w:val="none"/>
        </w:rPr>
      </w:pPr>
      <w:r w:rsidRPr="00AD1A60">
        <w:rPr>
          <w:rStyle w:val="DefaultParagraphFont"/>
          <w:rFonts w:eastAsiaTheme="minorEastAsia" w:cs="Times New Roman"/>
          <w:color w:val="auto"/>
          <w:szCs w:val="24"/>
          <w:u w:val="none"/>
        </w:rPr>
        <w:t>terry.etter@occ.ohio.gov</w:t>
      </w:r>
    </w:p>
    <w:p w:rsidR="00754737" w:rsidRPr="00EE19CA" w:rsidP="00754737">
      <w:pPr>
        <w:spacing w:after="0" w:line="240" w:lineRule="auto"/>
        <w:ind w:firstLine="4320"/>
        <w:rPr>
          <w:rFonts w:eastAsiaTheme="minorEastAsia" w:cs="Times New Roman"/>
          <w:szCs w:val="24"/>
        </w:rPr>
      </w:pPr>
      <w:r w:rsidRPr="00EE19CA">
        <w:rPr>
          <w:rStyle w:val="Hyperlink"/>
          <w:rFonts w:eastAsiaTheme="minorEastAsia" w:cs="Times New Roman"/>
          <w:color w:val="auto"/>
          <w:szCs w:val="24"/>
          <w:u w:val="none"/>
        </w:rPr>
        <w:t>(</w:t>
      </w:r>
      <w:r w:rsidR="00D81FDA">
        <w:rPr>
          <w:rStyle w:val="Hyperlink"/>
          <w:rFonts w:eastAsiaTheme="minorEastAsia" w:cs="Times New Roman"/>
          <w:color w:val="auto"/>
          <w:szCs w:val="24"/>
          <w:u w:val="none"/>
        </w:rPr>
        <w:t>will accept service via email</w:t>
      </w:r>
      <w:r w:rsidRPr="00EE19CA">
        <w:rPr>
          <w:rStyle w:val="Hyperlink"/>
          <w:rFonts w:eastAsiaTheme="minorEastAsia" w:cs="Times New Roman"/>
          <w:color w:val="auto"/>
          <w:szCs w:val="24"/>
          <w:u w:val="none"/>
        </w:rPr>
        <w:t>)</w:t>
      </w:r>
    </w:p>
    <w:p w:rsidR="00D81FDA" w:rsidP="00552164">
      <w:pPr>
        <w:spacing w:after="0" w:line="240" w:lineRule="auto"/>
        <w:jc w:val="center"/>
        <w:rPr>
          <w:rFonts w:cs="Times New Roman"/>
          <w:b/>
          <w:szCs w:val="24"/>
        </w:rPr>
        <w:sectPr w:rsidSect="00D81FDA">
          <w:footerReference w:type="default" r:id="rId5"/>
          <w:pgSz w:w="12240" w:h="15840"/>
          <w:pgMar w:top="1440" w:right="1800" w:bottom="1440" w:left="1800" w:header="720" w:footer="720" w:gutter="0"/>
          <w:pgNumType w:start="2"/>
          <w:cols w:space="720"/>
          <w:docGrid w:linePitch="360"/>
        </w:sectPr>
      </w:pPr>
    </w:p>
    <w:p w:rsidR="00552164" w:rsidRPr="0070059A" w:rsidP="00D81FDA">
      <w:pPr>
        <w:spacing w:after="0" w:line="240" w:lineRule="auto"/>
        <w:jc w:val="center"/>
        <w:rPr>
          <w:rFonts w:cs="Times New Roman"/>
          <w:b/>
          <w:szCs w:val="24"/>
        </w:rPr>
      </w:pPr>
      <w:r w:rsidRPr="0070059A">
        <w:rPr>
          <w:rFonts w:cs="Times New Roman"/>
          <w:b/>
          <w:szCs w:val="24"/>
        </w:rPr>
        <w:t>BEFORE</w:t>
      </w:r>
    </w:p>
    <w:p w:rsidR="00552164" w:rsidRPr="0070059A" w:rsidP="00552164">
      <w:pPr>
        <w:spacing w:after="0" w:line="240" w:lineRule="auto"/>
        <w:jc w:val="center"/>
        <w:rPr>
          <w:rFonts w:cs="Times New Roman"/>
          <w:b/>
          <w:szCs w:val="24"/>
        </w:rPr>
      </w:pPr>
      <w:r w:rsidRPr="0070059A">
        <w:rPr>
          <w:rFonts w:cs="Times New Roman"/>
          <w:b/>
          <w:szCs w:val="24"/>
        </w:rPr>
        <w:t>THE PUBLIC UTILITIES COMMISSION OF OHIO</w:t>
      </w:r>
    </w:p>
    <w:p w:rsidR="00552164" w:rsidRPr="0070059A" w:rsidP="00552164">
      <w:pPr>
        <w:spacing w:after="0" w:line="240" w:lineRule="auto"/>
        <w:jc w:val="center"/>
        <w:rPr>
          <w:rFonts w:cs="Times New Roman"/>
          <w:b/>
          <w:szCs w:val="24"/>
        </w:rPr>
      </w:pPr>
    </w:p>
    <w:tbl>
      <w:tblPr>
        <w:tblW w:w="10358" w:type="dxa"/>
        <w:tblLook w:val="01E0"/>
      </w:tblPr>
      <w:tblGrid>
        <w:gridCol w:w="5238"/>
        <w:gridCol w:w="480"/>
        <w:gridCol w:w="4640"/>
      </w:tblGrid>
      <w:tr w:rsidTr="00016CE2">
        <w:tblPrEx>
          <w:tblW w:w="10358" w:type="dxa"/>
          <w:tblLook w:val="01E0"/>
        </w:tblPrEx>
        <w:trPr>
          <w:trHeight w:val="807"/>
        </w:trPr>
        <w:tc>
          <w:tcPr>
            <w:tcW w:w="5238" w:type="dxa"/>
            <w:shd w:val="clear" w:color="auto" w:fill="auto"/>
          </w:tcPr>
          <w:p w:rsidR="00552164" w:rsidRPr="0070059A" w:rsidP="00016CE2">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an Increase in Electric Distribution Rates.</w:t>
            </w:r>
          </w:p>
          <w:p w:rsidR="00552164" w:rsidRPr="0070059A" w:rsidP="00016CE2">
            <w:pPr>
              <w:autoSpaceDE w:val="0"/>
              <w:autoSpaceDN w:val="0"/>
              <w:adjustRightInd w:val="0"/>
              <w:spacing w:after="0" w:line="240" w:lineRule="auto"/>
              <w:rPr>
                <w:rFonts w:cs="Times New Roman"/>
                <w:szCs w:val="24"/>
              </w:rPr>
            </w:pPr>
          </w:p>
          <w:p w:rsidR="00552164" w:rsidRPr="0070059A" w:rsidP="00016CE2">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Approval to Change Accounting Methods.</w:t>
            </w:r>
          </w:p>
          <w:p w:rsidR="00552164" w:rsidRPr="0070059A" w:rsidP="00016CE2">
            <w:pPr>
              <w:autoSpaceDE w:val="0"/>
              <w:autoSpaceDN w:val="0"/>
              <w:adjustRightInd w:val="0"/>
              <w:spacing w:after="0" w:line="240" w:lineRule="auto"/>
              <w:rPr>
                <w:rFonts w:cs="Times New Roman"/>
                <w:szCs w:val="24"/>
              </w:rPr>
            </w:pPr>
          </w:p>
          <w:p w:rsidR="00552164" w:rsidRPr="0070059A" w:rsidP="00016CE2">
            <w:pPr>
              <w:autoSpaceDE w:val="0"/>
              <w:autoSpaceDN w:val="0"/>
              <w:adjustRightInd w:val="0"/>
              <w:spacing w:after="0" w:line="240" w:lineRule="auto"/>
              <w:rPr>
                <w:rFonts w:cs="Times New Roman"/>
                <w:szCs w:val="24"/>
              </w:rPr>
            </w:pPr>
            <w:r w:rsidRPr="0070059A">
              <w:rPr>
                <w:rFonts w:cs="Times New Roman"/>
                <w:szCs w:val="24"/>
              </w:rPr>
              <w:t>In the Matter of the Application of the Dayton Power and Light Company for Tariff Approval.</w:t>
            </w:r>
          </w:p>
        </w:tc>
        <w:tc>
          <w:tcPr>
            <w:tcW w:w="480" w:type="dxa"/>
            <w:shd w:val="clear" w:color="auto" w:fill="auto"/>
          </w:tcPr>
          <w:p w:rsidR="00552164"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52164"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52164"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52164" w:rsidRPr="0070059A" w:rsidP="00016CE2">
            <w:pPr>
              <w:pStyle w:val="HTMLPreformatted"/>
              <w:rPr>
                <w:rFonts w:ascii="Times New Roman" w:hAnsi="Times New Roman" w:cs="Times New Roman"/>
                <w:sz w:val="24"/>
                <w:szCs w:val="24"/>
              </w:rPr>
            </w:pPr>
          </w:p>
          <w:p w:rsidR="00552164"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52164"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52164"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52164" w:rsidRPr="0070059A" w:rsidP="00016CE2">
            <w:pPr>
              <w:pStyle w:val="HTMLPreformatted"/>
              <w:rPr>
                <w:rFonts w:ascii="Times New Roman" w:hAnsi="Times New Roman" w:cs="Times New Roman"/>
                <w:sz w:val="24"/>
                <w:szCs w:val="24"/>
              </w:rPr>
            </w:pPr>
          </w:p>
          <w:p w:rsidR="00552164"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p w:rsidR="00552164" w:rsidRPr="0070059A" w:rsidP="00016CE2">
            <w:pPr>
              <w:pStyle w:val="HTMLPreformatted"/>
              <w:rPr>
                <w:rFonts w:ascii="Times New Roman" w:hAnsi="Times New Roman" w:cs="Times New Roman"/>
                <w:sz w:val="24"/>
                <w:szCs w:val="24"/>
              </w:rPr>
            </w:pPr>
            <w:r w:rsidRPr="0070059A">
              <w:rPr>
                <w:rFonts w:ascii="Times New Roman" w:hAnsi="Times New Roman" w:cs="Times New Roman"/>
                <w:sz w:val="24"/>
                <w:szCs w:val="24"/>
              </w:rPr>
              <w:t>)</w:t>
            </w:r>
          </w:p>
        </w:tc>
        <w:tc>
          <w:tcPr>
            <w:tcW w:w="4640" w:type="dxa"/>
            <w:shd w:val="clear" w:color="auto" w:fill="auto"/>
          </w:tcPr>
          <w:p w:rsidR="00552164" w:rsidRPr="0070059A" w:rsidP="00016CE2">
            <w:pPr>
              <w:autoSpaceDE w:val="0"/>
              <w:autoSpaceDN w:val="0"/>
              <w:adjustRightInd w:val="0"/>
              <w:spacing w:after="0" w:line="240" w:lineRule="auto"/>
              <w:rPr>
                <w:rFonts w:cs="Times New Roman"/>
                <w:szCs w:val="24"/>
              </w:rPr>
            </w:pPr>
          </w:p>
          <w:p w:rsidR="00552164" w:rsidRPr="0070059A" w:rsidP="00016CE2">
            <w:pPr>
              <w:autoSpaceDE w:val="0"/>
              <w:autoSpaceDN w:val="0"/>
              <w:adjustRightInd w:val="0"/>
              <w:spacing w:after="0" w:line="240" w:lineRule="auto"/>
              <w:rPr>
                <w:rFonts w:cs="Times New Roman"/>
                <w:szCs w:val="24"/>
              </w:rPr>
            </w:pPr>
            <w:r w:rsidRPr="0070059A">
              <w:rPr>
                <w:rFonts w:cs="Times New Roman"/>
                <w:szCs w:val="24"/>
              </w:rPr>
              <w:t>Case No. 15-1830-EL-AIR</w:t>
            </w:r>
          </w:p>
          <w:p w:rsidR="00552164" w:rsidRPr="0070059A" w:rsidP="00016CE2">
            <w:pPr>
              <w:autoSpaceDE w:val="0"/>
              <w:autoSpaceDN w:val="0"/>
              <w:adjustRightInd w:val="0"/>
              <w:spacing w:after="0" w:line="240" w:lineRule="auto"/>
              <w:rPr>
                <w:rFonts w:cs="Times New Roman"/>
                <w:szCs w:val="24"/>
              </w:rPr>
            </w:pPr>
          </w:p>
          <w:p w:rsidR="00552164" w:rsidRPr="0070059A" w:rsidP="00016CE2">
            <w:pPr>
              <w:autoSpaceDE w:val="0"/>
              <w:autoSpaceDN w:val="0"/>
              <w:adjustRightInd w:val="0"/>
              <w:spacing w:after="0" w:line="240" w:lineRule="auto"/>
              <w:rPr>
                <w:rFonts w:cs="Times New Roman"/>
                <w:szCs w:val="24"/>
              </w:rPr>
            </w:pPr>
          </w:p>
          <w:p w:rsidR="00552164" w:rsidRPr="0070059A" w:rsidP="00016CE2">
            <w:pPr>
              <w:autoSpaceDE w:val="0"/>
              <w:autoSpaceDN w:val="0"/>
              <w:adjustRightInd w:val="0"/>
              <w:spacing w:after="0" w:line="240" w:lineRule="auto"/>
              <w:rPr>
                <w:rFonts w:cs="Times New Roman"/>
                <w:szCs w:val="24"/>
              </w:rPr>
            </w:pPr>
          </w:p>
          <w:p w:rsidR="00552164" w:rsidRPr="0070059A" w:rsidP="00016CE2">
            <w:pPr>
              <w:autoSpaceDE w:val="0"/>
              <w:autoSpaceDN w:val="0"/>
              <w:adjustRightInd w:val="0"/>
              <w:spacing w:after="0" w:line="240" w:lineRule="auto"/>
              <w:rPr>
                <w:rFonts w:cs="Times New Roman"/>
                <w:szCs w:val="24"/>
              </w:rPr>
            </w:pPr>
            <w:r w:rsidRPr="0070059A">
              <w:rPr>
                <w:rFonts w:cs="Times New Roman"/>
                <w:szCs w:val="24"/>
              </w:rPr>
              <w:t>Case No. 15-1831-EL-AAM</w:t>
            </w:r>
          </w:p>
          <w:p w:rsidR="00552164" w:rsidRPr="0070059A" w:rsidP="00016CE2">
            <w:pPr>
              <w:spacing w:after="0" w:line="240" w:lineRule="auto"/>
              <w:rPr>
                <w:rFonts w:cs="Times New Roman"/>
                <w:szCs w:val="24"/>
              </w:rPr>
            </w:pPr>
          </w:p>
          <w:p w:rsidR="00552164" w:rsidRPr="0070059A" w:rsidP="00016CE2">
            <w:pPr>
              <w:spacing w:after="0" w:line="240" w:lineRule="auto"/>
              <w:rPr>
                <w:rFonts w:cs="Times New Roman"/>
                <w:szCs w:val="24"/>
              </w:rPr>
            </w:pPr>
          </w:p>
          <w:p w:rsidR="00552164" w:rsidRPr="0070059A" w:rsidP="00016CE2">
            <w:pPr>
              <w:spacing w:after="0" w:line="240" w:lineRule="auto"/>
              <w:rPr>
                <w:rFonts w:cs="Times New Roman"/>
                <w:szCs w:val="24"/>
              </w:rPr>
            </w:pPr>
            <w:r w:rsidRPr="0070059A">
              <w:rPr>
                <w:rFonts w:cs="Times New Roman"/>
                <w:szCs w:val="24"/>
              </w:rPr>
              <w:t>Case No. 15-1832-EL-ATA</w:t>
            </w:r>
          </w:p>
          <w:p w:rsidR="00552164" w:rsidRPr="0070059A" w:rsidP="00016CE2">
            <w:pPr>
              <w:pStyle w:val="HTMLPreformatted"/>
              <w:rPr>
                <w:rFonts w:ascii="Times New Roman" w:hAnsi="Times New Roman" w:cs="Times New Roman"/>
                <w:sz w:val="24"/>
                <w:szCs w:val="24"/>
              </w:rPr>
            </w:pPr>
          </w:p>
        </w:tc>
      </w:tr>
    </w:tbl>
    <w:p w:rsidR="00552164" w:rsidRPr="0009183C" w:rsidP="00552164">
      <w:pPr>
        <w:pStyle w:val="HTMLPreformatted"/>
        <w:pBdr>
          <w:bottom w:val="single" w:sz="12" w:space="1" w:color="auto"/>
        </w:pBdr>
        <w:rPr>
          <w:rFonts w:ascii="Times New Roman" w:hAnsi="Times New Roman" w:cs="Times New Roman"/>
          <w:b/>
          <w:bCs/>
          <w:sz w:val="24"/>
          <w:szCs w:val="24"/>
        </w:rPr>
      </w:pPr>
    </w:p>
    <w:p w:rsidR="006F040C" w:rsidRPr="0009183C" w:rsidP="006F040C">
      <w:pPr>
        <w:pStyle w:val="HTMLPreformatted"/>
        <w:rPr>
          <w:rFonts w:ascii="Times New Roman" w:hAnsi="Times New Roman" w:cs="Times New Roman"/>
          <w:b/>
          <w:bCs/>
          <w:i/>
          <w:sz w:val="24"/>
          <w:szCs w:val="24"/>
        </w:rPr>
      </w:pPr>
    </w:p>
    <w:p w:rsidR="00D40E80" w:rsidRPr="0009183C" w:rsidP="00D40E80">
      <w:pPr>
        <w:pStyle w:val="HTMLPreformatted"/>
        <w:pBdr>
          <w:bottom w:val="single" w:sz="12" w:space="1" w:color="auto"/>
        </w:pBdr>
        <w:jc w:val="center"/>
        <w:rPr>
          <w:rFonts w:ascii="Times New Roman" w:hAnsi="Times New Roman" w:cs="Times New Roman"/>
          <w:b/>
          <w:bCs/>
          <w:sz w:val="24"/>
          <w:szCs w:val="24"/>
        </w:rPr>
      </w:pPr>
      <w:r>
        <w:rPr>
          <w:rFonts w:ascii="Times New Roman" w:hAnsi="Times New Roman" w:cs="Times New Roman"/>
          <w:b/>
          <w:bCs/>
          <w:sz w:val="24"/>
          <w:szCs w:val="24"/>
        </w:rPr>
        <w:t xml:space="preserve">MEMORANDUM IN SUPPORT OF </w:t>
      </w:r>
      <w:r w:rsidR="006731EF">
        <w:rPr>
          <w:rFonts w:ascii="Times New Roman" w:hAnsi="Times New Roman" w:cs="Times New Roman"/>
          <w:b/>
          <w:bCs/>
          <w:sz w:val="24"/>
          <w:szCs w:val="24"/>
        </w:rPr>
        <w:t>MOTION TO STRIKE DIRECT TESTIMONY OF J. EDWARD HESS</w:t>
      </w:r>
    </w:p>
    <w:p w:rsidR="00D40E80" w:rsidRPr="0009183C" w:rsidP="00D40E80">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 xml:space="preserve">BY </w:t>
      </w:r>
    </w:p>
    <w:p w:rsidR="00D40E80" w:rsidP="00D40E80">
      <w:pPr>
        <w:pStyle w:val="HTMLPreformatted"/>
        <w:pBdr>
          <w:bottom w:val="single" w:sz="12" w:space="1" w:color="auto"/>
        </w:pBdr>
        <w:jc w:val="center"/>
        <w:rPr>
          <w:rFonts w:ascii="Times New Roman" w:hAnsi="Times New Roman" w:cs="Times New Roman"/>
          <w:b/>
          <w:bCs/>
          <w:sz w:val="24"/>
          <w:szCs w:val="24"/>
        </w:rPr>
      </w:pPr>
      <w:r w:rsidRPr="0009183C">
        <w:rPr>
          <w:rFonts w:ascii="Times New Roman" w:hAnsi="Times New Roman" w:cs="Times New Roman"/>
          <w:b/>
          <w:bCs/>
          <w:sz w:val="24"/>
          <w:szCs w:val="24"/>
        </w:rPr>
        <w:t>THE OFFICE OF THE OHIO CONSUMERS</w:t>
      </w:r>
      <w:r>
        <w:rPr>
          <w:rFonts w:ascii="Times New Roman" w:hAnsi="Times New Roman" w:cs="Times New Roman"/>
          <w:b/>
          <w:bCs/>
          <w:sz w:val="24"/>
          <w:szCs w:val="24"/>
        </w:rPr>
        <w:t>'</w:t>
      </w:r>
      <w:r w:rsidRPr="0009183C">
        <w:rPr>
          <w:rFonts w:ascii="Times New Roman" w:hAnsi="Times New Roman" w:cs="Times New Roman"/>
          <w:b/>
          <w:bCs/>
          <w:sz w:val="24"/>
          <w:szCs w:val="24"/>
        </w:rPr>
        <w:t xml:space="preserve"> COUNSEL</w:t>
      </w:r>
    </w:p>
    <w:p w:rsidR="006F040C" w:rsidRPr="0009183C" w:rsidP="006F040C">
      <w:pPr>
        <w:pStyle w:val="HTMLPreformatted"/>
        <w:pBdr>
          <w:bottom w:val="single" w:sz="12" w:space="1" w:color="auto"/>
        </w:pBdr>
        <w:jc w:val="center"/>
        <w:rPr>
          <w:rFonts w:ascii="Times New Roman" w:hAnsi="Times New Roman" w:cs="Times New Roman"/>
          <w:b/>
          <w:bCs/>
          <w:sz w:val="24"/>
          <w:szCs w:val="24"/>
        </w:rPr>
      </w:pPr>
    </w:p>
    <w:p w:rsidR="00152EEB" w:rsidP="0008162B">
      <w:pPr>
        <w:spacing w:after="0" w:line="240" w:lineRule="auto"/>
        <w:ind w:firstLine="720"/>
        <w:rPr>
          <w:rFonts w:cs="Times New Roman"/>
          <w:szCs w:val="24"/>
        </w:rPr>
      </w:pPr>
    </w:p>
    <w:p w:rsidR="00A3532C" w:rsidRPr="00A3532C" w:rsidP="00833C81">
      <w:pPr>
        <w:pStyle w:val="Heading1"/>
        <w:rPr>
          <w:rFonts w:cs="Times New Roman"/>
          <w:b w:val="0"/>
          <w:szCs w:val="24"/>
        </w:rPr>
      </w:pPr>
      <w:r>
        <w:rPr>
          <w:rFonts w:cs="Times New Roman"/>
          <w:szCs w:val="24"/>
        </w:rPr>
        <w:t>I.</w:t>
      </w:r>
      <w:r>
        <w:rPr>
          <w:rFonts w:cs="Times New Roman"/>
          <w:szCs w:val="24"/>
        </w:rPr>
        <w:tab/>
        <w:t>BACKGROUND</w:t>
      </w:r>
      <w:r w:rsidR="00833C81">
        <w:rPr>
          <w:rFonts w:cs="Times New Roman"/>
          <w:b w:val="0"/>
          <w:szCs w:val="24"/>
        </w:rPr>
        <w:t xml:space="preserve"> AND INTRODUCTION</w:t>
      </w:r>
    </w:p>
    <w:p w:rsidR="00A3532C" w:rsidP="00736029">
      <w:pPr>
        <w:spacing w:after="0" w:line="480" w:lineRule="auto"/>
        <w:ind w:firstLine="720"/>
        <w:rPr>
          <w:rFonts w:cs="Times New Roman"/>
          <w:szCs w:val="24"/>
        </w:rPr>
      </w:pPr>
      <w:r>
        <w:rPr>
          <w:rFonts w:cs="Times New Roman"/>
          <w:szCs w:val="24"/>
        </w:rPr>
        <w:t>IGS and e</w:t>
      </w:r>
      <w:r w:rsidR="003A206E">
        <w:rPr>
          <w:rFonts w:cs="Times New Roman"/>
          <w:szCs w:val="24"/>
        </w:rPr>
        <w:t xml:space="preserve">nergy marketers at </w:t>
      </w:r>
      <w:r w:rsidR="005B1F7E">
        <w:rPr>
          <w:rFonts w:cs="Times New Roman"/>
          <w:szCs w:val="24"/>
        </w:rPr>
        <w:t xml:space="preserve">RESA jointly filed the </w:t>
      </w:r>
      <w:r w:rsidR="00757A9A">
        <w:rPr>
          <w:rFonts w:cs="Times New Roman"/>
          <w:szCs w:val="24"/>
        </w:rPr>
        <w:t>Hess Testimony</w:t>
      </w:r>
      <w:r w:rsidR="005B1F7E">
        <w:rPr>
          <w:rFonts w:cs="Times New Roman"/>
          <w:szCs w:val="24"/>
        </w:rPr>
        <w:t xml:space="preserve">. Mr. Hess believes that certain of </w:t>
      </w:r>
      <w:r w:rsidR="00C60E62">
        <w:rPr>
          <w:rFonts w:cs="Times New Roman"/>
          <w:szCs w:val="24"/>
        </w:rPr>
        <w:t>DP&amp;L’s</w:t>
      </w:r>
      <w:r w:rsidR="005B1F7E">
        <w:rPr>
          <w:rFonts w:cs="Times New Roman"/>
          <w:szCs w:val="24"/>
        </w:rPr>
        <w:t xml:space="preserve"> distribution costs should be allocated only to those customers who take generation from its standard offer and not those customers who have signed a contract with a third</w:t>
      </w:r>
      <w:r w:rsidR="00A76EB8">
        <w:rPr>
          <w:rFonts w:cs="Times New Roman"/>
          <w:szCs w:val="24"/>
        </w:rPr>
        <w:t>-</w:t>
      </w:r>
      <w:r w:rsidR="005B1F7E">
        <w:rPr>
          <w:rFonts w:cs="Times New Roman"/>
          <w:szCs w:val="24"/>
        </w:rPr>
        <w:t>party generation marketer</w:t>
      </w:r>
      <w:r>
        <w:rPr>
          <w:rStyle w:val="FootnoteReference"/>
          <w:rFonts w:cs="Times New Roman"/>
          <w:szCs w:val="24"/>
        </w:rPr>
        <w:footnoteReference w:id="2"/>
      </w:r>
      <w:r w:rsidR="005B1F7E">
        <w:rPr>
          <w:rFonts w:cs="Times New Roman"/>
          <w:szCs w:val="24"/>
        </w:rPr>
        <w:t xml:space="preserve"> (like IGS or </w:t>
      </w:r>
      <w:r w:rsidR="00A76EB8">
        <w:rPr>
          <w:rFonts w:cs="Times New Roman"/>
          <w:szCs w:val="24"/>
        </w:rPr>
        <w:t xml:space="preserve">other </w:t>
      </w:r>
      <w:r w:rsidR="005B1F7E">
        <w:rPr>
          <w:rFonts w:cs="Times New Roman"/>
          <w:szCs w:val="24"/>
        </w:rPr>
        <w:t>RESA members).</w:t>
      </w:r>
      <w:r>
        <w:rPr>
          <w:rStyle w:val="FootnoteReference"/>
          <w:rFonts w:cs="Times New Roman"/>
          <w:szCs w:val="24"/>
        </w:rPr>
        <w:footnoteReference w:id="3"/>
      </w:r>
    </w:p>
    <w:p w:rsidR="00D81FDA" w:rsidP="00736029">
      <w:pPr>
        <w:spacing w:after="0" w:line="480" w:lineRule="auto"/>
        <w:ind w:firstLine="720"/>
        <w:rPr>
          <w:rFonts w:cs="Times New Roman"/>
          <w:szCs w:val="24"/>
        </w:rPr>
        <w:sectPr w:rsidSect="00D81FDA">
          <w:footerReference w:type="default" r:id="rId6"/>
          <w:pgSz w:w="12240" w:h="15840"/>
          <w:pgMar w:top="1440" w:right="1800" w:bottom="1440" w:left="1800" w:header="720" w:footer="720" w:gutter="0"/>
          <w:pgNumType w:start="1"/>
          <w:cols w:space="720"/>
          <w:docGrid w:linePitch="360"/>
        </w:sectPr>
      </w:pPr>
      <w:r>
        <w:rPr>
          <w:rFonts w:cs="Times New Roman"/>
          <w:szCs w:val="24"/>
        </w:rPr>
        <w:t xml:space="preserve">Thus, Mr. Hess recommends that the PUCO establish two </w:t>
      </w:r>
      <w:r w:rsidR="000376AF">
        <w:rPr>
          <w:rFonts w:cs="Times New Roman"/>
          <w:szCs w:val="24"/>
        </w:rPr>
        <w:t xml:space="preserve">new </w:t>
      </w:r>
      <w:r>
        <w:rPr>
          <w:rFonts w:cs="Times New Roman"/>
          <w:szCs w:val="24"/>
        </w:rPr>
        <w:t>riders for DP&amp;L’s customers: (1) “a credit rider for all customers allowing them to avoid distribution costs that support the SSO administrative and processing costs,” and (2) “an avoidable rider that collects these costs directly from non-shopping customers.”</w:t>
      </w:r>
      <w:r>
        <w:rPr>
          <w:rStyle w:val="FootnoteReference"/>
          <w:rFonts w:cs="Times New Roman"/>
          <w:szCs w:val="24"/>
        </w:rPr>
        <w:footnoteReference w:id="4"/>
      </w:r>
      <w:r w:rsidR="0019316F">
        <w:rPr>
          <w:rFonts w:cs="Times New Roman"/>
          <w:szCs w:val="24"/>
        </w:rPr>
        <w:t xml:space="preserve"> </w:t>
      </w:r>
      <w:r w:rsidR="00C57B3C">
        <w:rPr>
          <w:rFonts w:cs="Times New Roman"/>
          <w:szCs w:val="24"/>
        </w:rPr>
        <w:t xml:space="preserve">Mr. Hess does not </w:t>
      </w:r>
    </w:p>
    <w:p w:rsidR="00C57B3C" w:rsidP="00D81FDA">
      <w:pPr>
        <w:spacing w:after="0" w:line="480" w:lineRule="auto"/>
        <w:rPr>
          <w:rFonts w:cs="Times New Roman"/>
          <w:szCs w:val="24"/>
        </w:rPr>
      </w:pPr>
      <w:r>
        <w:rPr>
          <w:rFonts w:cs="Times New Roman"/>
          <w:szCs w:val="24"/>
        </w:rPr>
        <w:t>propose any adjustment allowing SSO customers to avoid distribution costs that support Choice administrative and processing costs</w:t>
      </w:r>
      <w:r w:rsidR="00A937FA">
        <w:rPr>
          <w:rFonts w:cs="Times New Roman"/>
          <w:szCs w:val="24"/>
        </w:rPr>
        <w:t>. Nor does he propose</w:t>
      </w:r>
      <w:r>
        <w:rPr>
          <w:rFonts w:cs="Times New Roman"/>
          <w:szCs w:val="24"/>
        </w:rPr>
        <w:t xml:space="preserve"> an avoidable rider that collects those costs directly from shopping customers.</w:t>
      </w:r>
    </w:p>
    <w:p w:rsidR="005B1F7E" w:rsidP="00736029">
      <w:pPr>
        <w:spacing w:after="0" w:line="480" w:lineRule="auto"/>
        <w:ind w:firstLine="720"/>
        <w:rPr>
          <w:rFonts w:cs="Times New Roman"/>
          <w:szCs w:val="24"/>
        </w:rPr>
      </w:pPr>
      <w:r>
        <w:rPr>
          <w:rFonts w:cs="Times New Roman"/>
          <w:szCs w:val="24"/>
        </w:rPr>
        <w:t xml:space="preserve">The result of Mr. Hess’s proposal is that the typical residential customer using 1,000 kWh per month </w:t>
      </w:r>
      <w:r w:rsidR="0096280B">
        <w:rPr>
          <w:rFonts w:cs="Times New Roman"/>
          <w:szCs w:val="24"/>
        </w:rPr>
        <w:t xml:space="preserve">from DP&amp;L’s standard offer </w:t>
      </w:r>
      <w:r>
        <w:rPr>
          <w:rFonts w:cs="Times New Roman"/>
          <w:szCs w:val="24"/>
        </w:rPr>
        <w:t>would pay an additional $19 per year.</w:t>
      </w:r>
      <w:r>
        <w:rPr>
          <w:rStyle w:val="FootnoteReference"/>
          <w:rFonts w:cs="Times New Roman"/>
          <w:szCs w:val="24"/>
        </w:rPr>
        <w:footnoteReference w:id="5"/>
      </w:r>
      <w:r>
        <w:rPr>
          <w:rFonts w:cs="Times New Roman"/>
          <w:szCs w:val="24"/>
        </w:rPr>
        <w:t xml:space="preserve"> At the same time, the typical </w:t>
      </w:r>
      <w:r w:rsidR="0096280B">
        <w:rPr>
          <w:rFonts w:cs="Times New Roman"/>
          <w:szCs w:val="24"/>
        </w:rPr>
        <w:t xml:space="preserve">marketer </w:t>
      </w:r>
      <w:r>
        <w:rPr>
          <w:rFonts w:cs="Times New Roman"/>
          <w:szCs w:val="24"/>
        </w:rPr>
        <w:t>customer using 1,000 kWh would receive a $24 annual discount.</w:t>
      </w:r>
      <w:r>
        <w:rPr>
          <w:rStyle w:val="FootnoteReference"/>
          <w:rFonts w:cs="Times New Roman"/>
          <w:szCs w:val="24"/>
        </w:rPr>
        <w:footnoteReference w:id="6"/>
      </w:r>
      <w:r>
        <w:rPr>
          <w:rFonts w:cs="Times New Roman"/>
          <w:szCs w:val="24"/>
        </w:rPr>
        <w:t xml:space="preserve"> Th</w:t>
      </w:r>
      <w:r w:rsidR="00C57B3C">
        <w:rPr>
          <w:rFonts w:cs="Times New Roman"/>
          <w:szCs w:val="24"/>
        </w:rPr>
        <w:t>e</w:t>
      </w:r>
      <w:r w:rsidR="004862B1">
        <w:rPr>
          <w:rFonts w:cs="Times New Roman"/>
          <w:szCs w:val="24"/>
        </w:rPr>
        <w:t xml:space="preserve"> </w:t>
      </w:r>
      <w:r>
        <w:rPr>
          <w:rFonts w:cs="Times New Roman"/>
          <w:szCs w:val="24"/>
        </w:rPr>
        <w:t xml:space="preserve">$43 </w:t>
      </w:r>
      <w:r w:rsidR="00EC511F">
        <w:rPr>
          <w:rFonts w:cs="Times New Roman"/>
          <w:szCs w:val="24"/>
        </w:rPr>
        <w:t>differential between what standard offer customers and Choice customers pay under the proposal</w:t>
      </w:r>
      <w:r>
        <w:rPr>
          <w:rFonts w:cs="Times New Roman"/>
          <w:szCs w:val="24"/>
        </w:rPr>
        <w:t xml:space="preserve"> </w:t>
      </w:r>
      <w:r w:rsidR="004862B1">
        <w:rPr>
          <w:rFonts w:cs="Times New Roman"/>
          <w:szCs w:val="24"/>
        </w:rPr>
        <w:t xml:space="preserve">would </w:t>
      </w:r>
      <w:r>
        <w:rPr>
          <w:rFonts w:cs="Times New Roman"/>
          <w:szCs w:val="24"/>
        </w:rPr>
        <w:t xml:space="preserve">encourage customers to leave the </w:t>
      </w:r>
      <w:r w:rsidR="004862B1">
        <w:rPr>
          <w:rFonts w:cs="Times New Roman"/>
          <w:szCs w:val="24"/>
        </w:rPr>
        <w:t>standard offer</w:t>
      </w:r>
      <w:r>
        <w:rPr>
          <w:rFonts w:cs="Times New Roman"/>
          <w:szCs w:val="24"/>
        </w:rPr>
        <w:t xml:space="preserve"> and sign a contract with marketers, like IGS or other RESA members.</w:t>
      </w:r>
    </w:p>
    <w:p w:rsidR="00EC511F" w:rsidP="00736029">
      <w:pPr>
        <w:spacing w:after="0" w:line="480" w:lineRule="auto"/>
        <w:ind w:firstLine="720"/>
        <w:rPr>
          <w:rFonts w:cs="Times New Roman"/>
          <w:szCs w:val="24"/>
        </w:rPr>
      </w:pPr>
      <w:r>
        <w:rPr>
          <w:rFonts w:cs="Times New Roman"/>
          <w:szCs w:val="24"/>
        </w:rPr>
        <w:t>The PUCO should strike Mr. Hess’s testimony. His proposal for two new riders is single</w:t>
      </w:r>
      <w:r w:rsidR="00A76EB8">
        <w:rPr>
          <w:rFonts w:cs="Times New Roman"/>
          <w:szCs w:val="24"/>
        </w:rPr>
        <w:t>-</w:t>
      </w:r>
      <w:r>
        <w:rPr>
          <w:rFonts w:cs="Times New Roman"/>
          <w:szCs w:val="24"/>
        </w:rPr>
        <w:t>issue ratemaking, and single</w:t>
      </w:r>
      <w:r w:rsidR="00A76EB8">
        <w:rPr>
          <w:rFonts w:cs="Times New Roman"/>
          <w:szCs w:val="24"/>
        </w:rPr>
        <w:t>-</w:t>
      </w:r>
      <w:r>
        <w:rPr>
          <w:rFonts w:cs="Times New Roman"/>
          <w:szCs w:val="24"/>
        </w:rPr>
        <w:t>issue ratemaking is not allowed in base rate cases governed by R.C. 4909.15. The PUCO lacks authority to approve Mr. Hess’s proposal here</w:t>
      </w:r>
      <w:r>
        <w:rPr>
          <w:rFonts w:cs="Times New Roman"/>
          <w:szCs w:val="24"/>
        </w:rPr>
        <w:t>.</w:t>
      </w:r>
    </w:p>
    <w:p w:rsidR="00833C81" w:rsidP="00736029">
      <w:pPr>
        <w:spacing w:after="0" w:line="480" w:lineRule="auto"/>
        <w:ind w:firstLine="720"/>
        <w:rPr>
          <w:rFonts w:cs="Times New Roman"/>
          <w:szCs w:val="24"/>
        </w:rPr>
      </w:pPr>
      <w:r>
        <w:rPr>
          <w:rFonts w:cs="Times New Roman"/>
          <w:szCs w:val="24"/>
        </w:rPr>
        <w:t xml:space="preserve">His testimony is also irrelevant and inadmissible under </w:t>
      </w:r>
      <w:r>
        <w:rPr>
          <w:rFonts w:cs="Times New Roman"/>
          <w:szCs w:val="24"/>
        </w:rPr>
        <w:t>Ohio Rule</w:t>
      </w:r>
      <w:r w:rsidR="00C60E62">
        <w:rPr>
          <w:rFonts w:cs="Times New Roman"/>
          <w:szCs w:val="24"/>
        </w:rPr>
        <w:t>s</w:t>
      </w:r>
      <w:r>
        <w:rPr>
          <w:rFonts w:cs="Times New Roman"/>
          <w:szCs w:val="24"/>
        </w:rPr>
        <w:t xml:space="preserve"> of Evidence </w:t>
      </w:r>
      <w:r w:rsidR="00C60E62">
        <w:rPr>
          <w:rFonts w:cs="Times New Roman"/>
          <w:szCs w:val="24"/>
        </w:rPr>
        <w:t>401</w:t>
      </w:r>
      <w:r>
        <w:rPr>
          <w:rStyle w:val="FootnoteReference"/>
          <w:rFonts w:cs="Times New Roman"/>
          <w:szCs w:val="24"/>
        </w:rPr>
        <w:footnoteReference w:id="7"/>
      </w:r>
      <w:r w:rsidR="00C60E62">
        <w:rPr>
          <w:rFonts w:cs="Times New Roman"/>
          <w:szCs w:val="24"/>
        </w:rPr>
        <w:t xml:space="preserve"> and </w:t>
      </w:r>
      <w:r>
        <w:rPr>
          <w:rFonts w:cs="Times New Roman"/>
          <w:szCs w:val="24"/>
        </w:rPr>
        <w:t>402</w:t>
      </w:r>
      <w:r w:rsidR="00C60E62">
        <w:rPr>
          <w:rFonts w:cs="Times New Roman"/>
          <w:szCs w:val="24"/>
        </w:rPr>
        <w:t>.</w:t>
      </w:r>
      <w:r>
        <w:rPr>
          <w:rStyle w:val="FootnoteReference"/>
          <w:rFonts w:cs="Times New Roman"/>
          <w:szCs w:val="24"/>
        </w:rPr>
        <w:footnoteReference w:id="8"/>
      </w:r>
      <w:r>
        <w:rPr>
          <w:rFonts w:cs="Times New Roman"/>
          <w:szCs w:val="24"/>
        </w:rPr>
        <w:t xml:space="preserve"> There is nothing in Mr. Hess’s testimony that is “of consequence”</w:t>
      </w:r>
      <w:r>
        <w:rPr>
          <w:rStyle w:val="FootnoteReference"/>
          <w:rFonts w:cs="Times New Roman"/>
          <w:szCs w:val="24"/>
        </w:rPr>
        <w:footnoteReference w:id="9"/>
      </w:r>
      <w:r>
        <w:rPr>
          <w:rFonts w:cs="Times New Roman"/>
          <w:szCs w:val="24"/>
        </w:rPr>
        <w:t xml:space="preserve"> in this case because his testimony goes to issues beyond the PUCO’s authority.</w:t>
      </w:r>
    </w:p>
    <w:p w:rsidR="002D305C" w:rsidRPr="002D305C" w:rsidP="00A3170A">
      <w:pPr>
        <w:keepNext/>
        <w:keepLines/>
        <w:spacing w:after="240" w:line="240" w:lineRule="auto"/>
        <w:rPr>
          <w:rFonts w:cs="Times New Roman"/>
          <w:b/>
          <w:szCs w:val="24"/>
        </w:rPr>
      </w:pPr>
      <w:r>
        <w:rPr>
          <w:rFonts w:cs="Times New Roman"/>
          <w:b/>
          <w:szCs w:val="24"/>
        </w:rPr>
        <w:t>II.</w:t>
      </w:r>
      <w:r>
        <w:rPr>
          <w:rFonts w:cs="Times New Roman"/>
          <w:b/>
          <w:szCs w:val="24"/>
        </w:rPr>
        <w:tab/>
        <w:t>ARGUMENT</w:t>
      </w:r>
    </w:p>
    <w:p w:rsidR="00A85236" w:rsidRPr="00A85236" w:rsidP="000619F4">
      <w:pPr>
        <w:keepNext/>
        <w:keepLines/>
        <w:spacing w:after="240" w:line="240" w:lineRule="auto"/>
        <w:ind w:left="1440" w:right="720" w:hanging="720"/>
        <w:rPr>
          <w:rFonts w:cs="Times New Roman"/>
          <w:b/>
          <w:szCs w:val="24"/>
        </w:rPr>
      </w:pPr>
      <w:r>
        <w:rPr>
          <w:rFonts w:cs="Times New Roman"/>
          <w:b/>
          <w:szCs w:val="24"/>
        </w:rPr>
        <w:t>A.</w:t>
      </w:r>
      <w:r>
        <w:rPr>
          <w:rFonts w:cs="Times New Roman"/>
          <w:b/>
          <w:szCs w:val="24"/>
        </w:rPr>
        <w:tab/>
      </w:r>
      <w:r w:rsidR="00925F92">
        <w:rPr>
          <w:rFonts w:cs="Times New Roman"/>
          <w:b/>
          <w:szCs w:val="24"/>
        </w:rPr>
        <w:t xml:space="preserve">On behalf of marketers, </w:t>
      </w:r>
      <w:r w:rsidR="006942AD">
        <w:rPr>
          <w:rFonts w:cs="Times New Roman"/>
          <w:b/>
          <w:szCs w:val="24"/>
        </w:rPr>
        <w:t>Mr. Hess proposes single-issue ratemaking, which is unlawful under R.C. 4909.15 in a base rate case</w:t>
      </w:r>
      <w:r>
        <w:rPr>
          <w:rFonts w:cs="Times New Roman"/>
          <w:b/>
          <w:szCs w:val="24"/>
        </w:rPr>
        <w:t>.</w:t>
      </w:r>
    </w:p>
    <w:p w:rsidR="000619F4" w:rsidP="00736029">
      <w:pPr>
        <w:spacing w:after="0" w:line="480" w:lineRule="auto"/>
        <w:ind w:firstLine="720"/>
        <w:rPr>
          <w:rFonts w:cs="Times New Roman"/>
          <w:szCs w:val="24"/>
        </w:rPr>
      </w:pPr>
      <w:r>
        <w:rPr>
          <w:rFonts w:cs="Times New Roman"/>
          <w:szCs w:val="24"/>
        </w:rPr>
        <w:t>T</w:t>
      </w:r>
      <w:r w:rsidR="00484DB8">
        <w:rPr>
          <w:rFonts w:cs="Times New Roman"/>
          <w:szCs w:val="24"/>
        </w:rPr>
        <w:t>he PUCO is a creature of statute that may only exercise the authority granted to it by the Ohio General Assembly.</w:t>
      </w:r>
      <w:r>
        <w:rPr>
          <w:rStyle w:val="FootnoteReference"/>
          <w:rFonts w:cs="Times New Roman"/>
          <w:szCs w:val="24"/>
        </w:rPr>
        <w:footnoteReference w:id="10"/>
      </w:r>
      <w:r w:rsidR="00484DB8">
        <w:rPr>
          <w:rFonts w:cs="Times New Roman"/>
          <w:szCs w:val="24"/>
        </w:rPr>
        <w:t xml:space="preserve"> </w:t>
      </w:r>
      <w:r w:rsidR="00A47BC5">
        <w:rPr>
          <w:rFonts w:cs="Times New Roman"/>
          <w:szCs w:val="24"/>
        </w:rPr>
        <w:t xml:space="preserve">The Supreme Court of Ohio, in </w:t>
      </w:r>
      <w:r w:rsidR="00A47BC5">
        <w:rPr>
          <w:rFonts w:cs="Times New Roman"/>
          <w:i/>
          <w:szCs w:val="24"/>
        </w:rPr>
        <w:t>Columbus Southern Power Co. v. PUCO</w:t>
      </w:r>
      <w:r w:rsidR="00A47BC5">
        <w:rPr>
          <w:rFonts w:cs="Times New Roman"/>
          <w:szCs w:val="24"/>
        </w:rPr>
        <w:t>,</w:t>
      </w:r>
      <w:r>
        <w:rPr>
          <w:rStyle w:val="FootnoteReference"/>
          <w:rFonts w:cs="Times New Roman"/>
          <w:szCs w:val="24"/>
        </w:rPr>
        <w:footnoteReference w:id="11"/>
      </w:r>
      <w:r w:rsidR="00A47BC5">
        <w:rPr>
          <w:rFonts w:cs="Times New Roman"/>
          <w:szCs w:val="24"/>
        </w:rPr>
        <w:t xml:space="preserve"> explained how this general rule applies to R.C. 4909.15:</w:t>
      </w:r>
    </w:p>
    <w:p w:rsidR="00A47BC5" w:rsidRPr="00A47BC5" w:rsidP="000D6603">
      <w:pPr>
        <w:keepLines/>
        <w:spacing w:after="240" w:line="240" w:lineRule="auto"/>
        <w:ind w:left="1440" w:right="720"/>
        <w:jc w:val="both"/>
        <w:rPr>
          <w:rFonts w:cs="Times New Roman"/>
          <w:szCs w:val="24"/>
        </w:rPr>
      </w:pPr>
      <w:r>
        <w:rPr>
          <w:rFonts w:cs="Times New Roman"/>
          <w:szCs w:val="24"/>
        </w:rPr>
        <w:t>While the General Assembly has delegated authority to the PUCO to set just and reasonable rates for public utilities under its jurisdiction, it has done so by providing a detailed, comprehensive and, as construed by this court, mandatory ratemaking formula under R.C. 4909.15.</w:t>
      </w:r>
      <w:r>
        <w:rPr>
          <w:rStyle w:val="FootnoteReference"/>
          <w:rFonts w:cs="Times New Roman"/>
          <w:szCs w:val="24"/>
        </w:rPr>
        <w:footnoteReference w:id="12"/>
      </w:r>
    </w:p>
    <w:p w:rsidR="00632104" w:rsidRPr="009D17BC" w:rsidP="00632104">
      <w:pPr>
        <w:spacing w:after="0" w:line="480" w:lineRule="auto"/>
        <w:ind w:firstLine="720"/>
        <w:rPr>
          <w:rFonts w:cs="Times New Roman"/>
          <w:szCs w:val="24"/>
        </w:rPr>
      </w:pPr>
      <w:r>
        <w:rPr>
          <w:rFonts w:cs="Times New Roman"/>
          <w:szCs w:val="24"/>
        </w:rPr>
        <w:t xml:space="preserve">This detailed, comprehensive ratemaking formula provides that distribution rates </w:t>
      </w:r>
      <w:r w:rsidR="00C60E62">
        <w:rPr>
          <w:rFonts w:cs="Times New Roman"/>
          <w:szCs w:val="24"/>
        </w:rPr>
        <w:t>are</w:t>
      </w:r>
      <w:r>
        <w:rPr>
          <w:rFonts w:cs="Times New Roman"/>
          <w:szCs w:val="24"/>
        </w:rPr>
        <w:t xml:space="preserve"> set </w:t>
      </w:r>
      <w:r w:rsidR="00C60E62">
        <w:rPr>
          <w:rFonts w:cs="Times New Roman"/>
          <w:szCs w:val="24"/>
        </w:rPr>
        <w:t>based on</w:t>
      </w:r>
      <w:r>
        <w:rPr>
          <w:rFonts w:cs="Times New Roman"/>
          <w:szCs w:val="24"/>
        </w:rPr>
        <w:t xml:space="preserve"> (i) the value of the utility’s property used and useful in rendering service to customers as of a date certain, (ii) the utility’s revenues and expenses during a test period, and (iii) the opportunity</w:t>
      </w:r>
      <w:r w:rsidR="005F113C">
        <w:rPr>
          <w:rFonts w:cs="Times New Roman"/>
          <w:szCs w:val="24"/>
        </w:rPr>
        <w:t xml:space="preserve"> for the utility</w:t>
      </w:r>
      <w:r>
        <w:rPr>
          <w:rFonts w:cs="Times New Roman"/>
          <w:szCs w:val="24"/>
        </w:rPr>
        <w:t xml:space="preserve"> to earn a fair and reasonable rate of return.</w:t>
      </w:r>
      <w:r>
        <w:rPr>
          <w:rStyle w:val="FootnoteReference"/>
          <w:rFonts w:cs="Times New Roman"/>
          <w:szCs w:val="24"/>
        </w:rPr>
        <w:footnoteReference w:id="13"/>
      </w:r>
    </w:p>
    <w:p w:rsidR="0036724A" w:rsidP="00632104">
      <w:pPr>
        <w:spacing w:after="0" w:line="480" w:lineRule="auto"/>
        <w:ind w:firstLine="720"/>
        <w:rPr>
          <w:rFonts w:cs="Times New Roman"/>
          <w:szCs w:val="24"/>
        </w:rPr>
      </w:pPr>
      <w:r>
        <w:rPr>
          <w:rFonts w:cs="Times New Roman"/>
          <w:szCs w:val="24"/>
        </w:rPr>
        <w:t>Utilities may also</w:t>
      </w:r>
      <w:r>
        <w:rPr>
          <w:rFonts w:cs="Times New Roman"/>
          <w:szCs w:val="24"/>
        </w:rPr>
        <w:t xml:space="preserve"> charge customers under a separate statutory scheme found in R.C. 4928.143. Under this statute, the PUCO may authorize additional charges to customers under an electric security plan, or ESP. An ESP may include, among other things, single</w:t>
      </w:r>
      <w:r w:rsidR="00A76EB8">
        <w:rPr>
          <w:rFonts w:cs="Times New Roman"/>
          <w:szCs w:val="24"/>
        </w:rPr>
        <w:t>-</w:t>
      </w:r>
      <w:r>
        <w:rPr>
          <w:rFonts w:cs="Times New Roman"/>
          <w:szCs w:val="24"/>
        </w:rPr>
        <w:t>issue ratemaking: “Notwithstanding any other provision of Title [49] if the Revised Code to the contrary ... (2) [An electric security] plan may provide for or include, without limitation, any of the following ... (h) Provisions regarding the utility’s distribution service, including ... provisions regarding single issue ratemaking.”</w:t>
      </w:r>
      <w:r>
        <w:rPr>
          <w:rStyle w:val="FootnoteReference"/>
          <w:rFonts w:cs="Times New Roman"/>
          <w:szCs w:val="24"/>
        </w:rPr>
        <w:footnoteReference w:id="14"/>
      </w:r>
    </w:p>
    <w:p w:rsidR="0042541E" w:rsidP="0042541E">
      <w:pPr>
        <w:spacing w:after="0" w:line="480" w:lineRule="auto"/>
        <w:ind w:firstLine="720"/>
        <w:rPr>
          <w:rFonts w:cs="Times New Roman"/>
          <w:szCs w:val="24"/>
        </w:rPr>
      </w:pPr>
      <w:r>
        <w:rPr>
          <w:rFonts w:cs="Times New Roman"/>
          <w:szCs w:val="24"/>
        </w:rPr>
        <w:t xml:space="preserve">Notably, the words “single issue ratemaking” appear nowhere in the law that applies to base rate cases, R.C. 4909.15. </w:t>
      </w:r>
      <w:r w:rsidR="005F113C">
        <w:rPr>
          <w:rFonts w:cs="Times New Roman"/>
          <w:szCs w:val="24"/>
        </w:rPr>
        <w:t>The PUCO recognized</w:t>
      </w:r>
      <w:r>
        <w:rPr>
          <w:rFonts w:cs="Times New Roman"/>
          <w:szCs w:val="24"/>
        </w:rPr>
        <w:t xml:space="preserve"> the distinction between base rate cases under R.C. 4909.15, which do not allow single</w:t>
      </w:r>
      <w:r w:rsidR="00A76EB8">
        <w:rPr>
          <w:rFonts w:cs="Times New Roman"/>
          <w:szCs w:val="24"/>
        </w:rPr>
        <w:t>-i</w:t>
      </w:r>
      <w:r>
        <w:rPr>
          <w:rFonts w:cs="Times New Roman"/>
          <w:szCs w:val="24"/>
        </w:rPr>
        <w:t>ssue ratemaking, and ESP cases under R.C. 4928.143, which do</w:t>
      </w:r>
      <w:r w:rsidR="005F113C">
        <w:rPr>
          <w:rFonts w:cs="Times New Roman"/>
          <w:szCs w:val="24"/>
        </w:rPr>
        <w:t>:</w:t>
      </w:r>
      <w:r w:rsidR="00C60E62">
        <w:rPr>
          <w:rFonts w:cs="Times New Roman"/>
          <w:szCs w:val="24"/>
        </w:rPr>
        <w:t xml:space="preserve"> “</w:t>
      </w:r>
      <w:r w:rsidR="005F113C">
        <w:rPr>
          <w:rFonts w:cs="Times New Roman"/>
          <w:szCs w:val="24"/>
        </w:rPr>
        <w:t xml:space="preserve">[S]ingle-issue ratemaking and incentive ratemaking is not authorized by R.C. Chapter 4909; however, R.C. 4928.143(B)(2)(h) explicitly authorize </w:t>
      </w:r>
      <w:r w:rsidR="00C60E62">
        <w:rPr>
          <w:rFonts w:cs="Times New Roman"/>
          <w:szCs w:val="24"/>
        </w:rPr>
        <w:t>‘</w:t>
      </w:r>
      <w:r w:rsidR="005F113C">
        <w:rPr>
          <w:rFonts w:cs="Times New Roman"/>
          <w:szCs w:val="24"/>
        </w:rPr>
        <w:t>single issue ratemaking</w:t>
      </w:r>
      <w:r w:rsidR="00C60E62">
        <w:rPr>
          <w:rFonts w:cs="Times New Roman"/>
          <w:szCs w:val="24"/>
        </w:rPr>
        <w:t>’</w:t>
      </w:r>
      <w:r w:rsidR="005F113C">
        <w:rPr>
          <w:rFonts w:cs="Times New Roman"/>
          <w:szCs w:val="24"/>
        </w:rPr>
        <w:t xml:space="preserve"> and </w:t>
      </w:r>
      <w:r w:rsidR="00C60E62">
        <w:rPr>
          <w:rFonts w:cs="Times New Roman"/>
          <w:szCs w:val="24"/>
        </w:rPr>
        <w:t>‘</w:t>
      </w:r>
      <w:r w:rsidR="005F113C">
        <w:rPr>
          <w:rFonts w:cs="Times New Roman"/>
          <w:szCs w:val="24"/>
        </w:rPr>
        <w:t>incentive ratemaking.</w:t>
      </w:r>
      <w:r w:rsidR="00C60E62">
        <w:rPr>
          <w:rFonts w:cs="Times New Roman"/>
          <w:szCs w:val="24"/>
        </w:rPr>
        <w:t>’</w:t>
      </w:r>
      <w:r>
        <w:rPr>
          <w:rStyle w:val="FootnoteReference"/>
          <w:rFonts w:cs="Times New Roman"/>
          <w:szCs w:val="24"/>
        </w:rPr>
        <w:footnoteReference w:id="15"/>
      </w:r>
      <w:r w:rsidR="00C60E62">
        <w:rPr>
          <w:rFonts w:cs="Times New Roman"/>
          <w:szCs w:val="24"/>
        </w:rPr>
        <w:t xml:space="preserve"> </w:t>
      </w:r>
      <w:r w:rsidR="00C14589">
        <w:rPr>
          <w:rFonts w:cs="Times New Roman"/>
          <w:szCs w:val="24"/>
        </w:rPr>
        <w:t>Ohio’s 2008 energy law allowing single-issue ratemaking (and other utility-friendly rate mechanisms that disfavor consumers) is more than accommodating enough for electric utilities</w:t>
      </w:r>
      <w:r w:rsidR="00CB7184">
        <w:rPr>
          <w:rFonts w:cs="Times New Roman"/>
          <w:szCs w:val="24"/>
        </w:rPr>
        <w:t>—</w:t>
      </w:r>
      <w:r w:rsidR="00C14589">
        <w:rPr>
          <w:rFonts w:cs="Times New Roman"/>
          <w:szCs w:val="24"/>
        </w:rPr>
        <w:t xml:space="preserve">without </w:t>
      </w:r>
      <w:r w:rsidRPr="00C14589" w:rsidR="00C14589">
        <w:rPr>
          <w:rFonts w:cs="Times New Roman"/>
          <w:i/>
          <w:szCs w:val="24"/>
        </w:rPr>
        <w:t>ultra vires</w:t>
      </w:r>
      <w:r w:rsidR="00C14589">
        <w:rPr>
          <w:rFonts w:cs="Times New Roman"/>
          <w:szCs w:val="24"/>
        </w:rPr>
        <w:t xml:space="preserve"> expansion of that ratemaking into base rate cases. </w:t>
      </w:r>
    </w:p>
    <w:p w:rsidR="00EA6B42" w:rsidRPr="0042541E" w:rsidP="0042541E">
      <w:pPr>
        <w:spacing w:after="0" w:line="480" w:lineRule="auto"/>
        <w:ind w:firstLine="720"/>
        <w:rPr>
          <w:rFonts w:cs="Times New Roman"/>
          <w:szCs w:val="24"/>
        </w:rPr>
      </w:pPr>
      <w:r>
        <w:rPr>
          <w:rFonts w:cs="Times New Roman"/>
          <w:szCs w:val="24"/>
        </w:rPr>
        <w:t xml:space="preserve">The Supreme Court of Ohio, in </w:t>
      </w:r>
      <w:r>
        <w:rPr>
          <w:rFonts w:cs="Times New Roman"/>
          <w:i/>
          <w:szCs w:val="24"/>
        </w:rPr>
        <w:t>Pike Natural Gas Company v. PUCO</w:t>
      </w:r>
      <w:r w:rsidRPr="00EA6B42">
        <w:rPr>
          <w:rFonts w:cs="Times New Roman"/>
          <w:szCs w:val="24"/>
        </w:rPr>
        <w:t>,</w:t>
      </w:r>
      <w:r>
        <w:rPr>
          <w:rFonts w:cs="Times New Roman"/>
          <w:szCs w:val="24"/>
        </w:rPr>
        <w:t xml:space="preserve"> found that the PUCO can only approve a single-issue adjustment clause </w:t>
      </w:r>
      <w:r w:rsidRPr="00A937FA">
        <w:rPr>
          <w:rFonts w:cs="Times New Roman"/>
          <w:szCs w:val="24"/>
        </w:rPr>
        <w:t>when authorized by statute</w:t>
      </w:r>
      <w:r>
        <w:rPr>
          <w:rFonts w:cs="Times New Roman"/>
          <w:szCs w:val="24"/>
        </w:rPr>
        <w:t>.</w:t>
      </w:r>
      <w:r>
        <w:rPr>
          <w:rStyle w:val="FootnoteReference"/>
          <w:rFonts w:cs="Times New Roman"/>
          <w:szCs w:val="24"/>
        </w:rPr>
        <w:footnoteReference w:id="16"/>
      </w:r>
      <w:r>
        <w:rPr>
          <w:rFonts w:cs="Times New Roman"/>
          <w:szCs w:val="24"/>
        </w:rPr>
        <w:t xml:space="preserve"> There, the utility proposed an excise tax adjustment clause that would </w:t>
      </w:r>
      <w:r w:rsidR="00A937FA">
        <w:rPr>
          <w:rFonts w:cs="Times New Roman"/>
          <w:szCs w:val="24"/>
        </w:rPr>
        <w:t xml:space="preserve">have </w:t>
      </w:r>
      <w:r>
        <w:rPr>
          <w:rFonts w:cs="Times New Roman"/>
          <w:szCs w:val="24"/>
        </w:rPr>
        <w:t>allow</w:t>
      </w:r>
      <w:r w:rsidR="00A937FA">
        <w:rPr>
          <w:rFonts w:cs="Times New Roman"/>
          <w:szCs w:val="24"/>
        </w:rPr>
        <w:t>ed</w:t>
      </w:r>
      <w:r>
        <w:rPr>
          <w:rFonts w:cs="Times New Roman"/>
          <w:szCs w:val="24"/>
        </w:rPr>
        <w:t xml:space="preserve"> it to “pass through immediately to its customers any increase in state excise taxes resulting from increased gas costs.”</w:t>
      </w:r>
      <w:r>
        <w:rPr>
          <w:rStyle w:val="FootnoteReference"/>
          <w:rFonts w:cs="Times New Roman"/>
          <w:szCs w:val="24"/>
        </w:rPr>
        <w:footnoteReference w:id="17"/>
      </w:r>
      <w:r>
        <w:rPr>
          <w:rFonts w:cs="Times New Roman"/>
          <w:szCs w:val="24"/>
        </w:rPr>
        <w:t xml:space="preserve"> The Court found that this adjustment clause—the same as a “rider” using today’s terminology—was unlawful because there was no statute specifically authorizing it.</w:t>
      </w:r>
      <w:r>
        <w:rPr>
          <w:rStyle w:val="FootnoteReference"/>
          <w:rFonts w:cs="Times New Roman"/>
          <w:szCs w:val="24"/>
        </w:rPr>
        <w:footnoteReference w:id="18"/>
      </w:r>
    </w:p>
    <w:p w:rsidR="009D17BC" w:rsidRPr="009D17BC" w:rsidP="00632104">
      <w:pPr>
        <w:spacing w:after="0" w:line="480" w:lineRule="auto"/>
        <w:ind w:firstLine="720"/>
        <w:rPr>
          <w:rFonts w:cs="Times New Roman"/>
        </w:rPr>
      </w:pPr>
      <w:r>
        <w:rPr>
          <w:rFonts w:cs="Times New Roman"/>
          <w:szCs w:val="24"/>
        </w:rPr>
        <w:t xml:space="preserve">This interpretation is consistent with general principles of statutory construction, as described by both the Supreme Court of Ohio and United States Supreme Court. </w:t>
      </w:r>
      <w:r>
        <w:rPr>
          <w:rFonts w:cs="Times New Roman"/>
          <w:i/>
          <w:szCs w:val="24"/>
        </w:rPr>
        <w:t>See, e.g., NACCO Indus</w:t>
      </w:r>
      <w:r w:rsidR="00A937FA">
        <w:rPr>
          <w:rFonts w:cs="Times New Roman"/>
          <w:i/>
          <w:szCs w:val="24"/>
        </w:rPr>
        <w:t>.</w:t>
      </w:r>
      <w:r>
        <w:rPr>
          <w:rFonts w:cs="Times New Roman"/>
          <w:i/>
          <w:szCs w:val="24"/>
        </w:rPr>
        <w:t xml:space="preserve"> v. Tracy</w:t>
      </w:r>
      <w:r>
        <w:rPr>
          <w:rFonts w:cs="Times New Roman"/>
          <w:szCs w:val="24"/>
        </w:rPr>
        <w:t>, 79 Ohio St. 3d 314, 316 (1997) (</w:t>
      </w:r>
      <w:r w:rsidRPr="004C70E0">
        <w:rPr>
          <w:rFonts w:cs="Times New Roman"/>
        </w:rPr>
        <w:t>“Congress is generally presumed to act intentionally and purposely when it includes particular language in one section of a statute but omits it in another.”)</w:t>
      </w:r>
      <w:r>
        <w:rPr>
          <w:rFonts w:cs="Times New Roman"/>
        </w:rPr>
        <w:t xml:space="preserve">; </w:t>
      </w:r>
      <w:r w:rsidRPr="004C70E0">
        <w:rPr>
          <w:rFonts w:cs="Times New Roman"/>
          <w:i/>
        </w:rPr>
        <w:t>Keene Corp. v. United States</w:t>
      </w:r>
      <w:r w:rsidRPr="004C70E0">
        <w:rPr>
          <w:rFonts w:cs="Times New Roman"/>
        </w:rPr>
        <w:t>, 508 U.S. 200, 208 (1993) (“Where Congress includes particular language in one section of a statute but omits it in another ..., it is generally presumed that Congress acts intentionally and purposely in the disparate inclusion or exclusion.”).</w:t>
      </w:r>
      <w:r>
        <w:rPr>
          <w:rStyle w:val="FootnoteReference"/>
          <w:rFonts w:cs="Times New Roman"/>
        </w:rPr>
        <w:footnoteReference w:id="19"/>
      </w:r>
    </w:p>
    <w:p w:rsidR="00C50491" w:rsidP="00736029">
      <w:pPr>
        <w:spacing w:after="0" w:line="480" w:lineRule="auto"/>
        <w:ind w:firstLine="720"/>
        <w:rPr>
          <w:rFonts w:cs="Times New Roman"/>
          <w:szCs w:val="24"/>
        </w:rPr>
      </w:pPr>
      <w:r>
        <w:rPr>
          <w:rFonts w:cs="Times New Roman"/>
          <w:szCs w:val="24"/>
        </w:rPr>
        <w:t>RESA/IGS witness Hess proposes two new riders</w:t>
      </w:r>
      <w:r w:rsidR="00B367EE">
        <w:rPr>
          <w:rFonts w:cs="Times New Roman"/>
          <w:szCs w:val="24"/>
        </w:rPr>
        <w:t xml:space="preserve"> </w:t>
      </w:r>
      <w:r>
        <w:rPr>
          <w:rFonts w:cs="Times New Roman"/>
          <w:szCs w:val="24"/>
        </w:rPr>
        <w:t>for DP&amp;L</w:t>
      </w:r>
      <w:r>
        <w:rPr>
          <w:rFonts w:cs="Times New Roman"/>
          <w:szCs w:val="24"/>
        </w:rPr>
        <w:t xml:space="preserve"> customers</w:t>
      </w:r>
      <w:r>
        <w:rPr>
          <w:rFonts w:cs="Times New Roman"/>
          <w:szCs w:val="24"/>
        </w:rPr>
        <w:t>: (i) a “credit rider for all customers allowing them to avoid distribution costs that support the SSO administrative and processing costs” and (ii) “an avoidable rider that collects these costs directly from non-shopping customers.”</w:t>
      </w:r>
      <w:r>
        <w:rPr>
          <w:rStyle w:val="FootnoteReference"/>
          <w:rFonts w:cs="Times New Roman"/>
          <w:szCs w:val="24"/>
        </w:rPr>
        <w:footnoteReference w:id="20"/>
      </w:r>
      <w:r>
        <w:rPr>
          <w:rFonts w:cs="Times New Roman"/>
          <w:szCs w:val="24"/>
        </w:rPr>
        <w:t xml:space="preserve"> </w:t>
      </w:r>
      <w:r>
        <w:rPr>
          <w:rFonts w:cs="Times New Roman"/>
          <w:szCs w:val="24"/>
        </w:rPr>
        <w:t>This is unlawful</w:t>
      </w:r>
      <w:r>
        <w:rPr>
          <w:rFonts w:cs="Times New Roman"/>
          <w:szCs w:val="24"/>
        </w:rPr>
        <w:t xml:space="preserve"> single</w:t>
      </w:r>
      <w:r w:rsidR="00A76EB8">
        <w:rPr>
          <w:rFonts w:cs="Times New Roman"/>
          <w:szCs w:val="24"/>
        </w:rPr>
        <w:t>-issue ratemaking. Single-</w:t>
      </w:r>
      <w:r>
        <w:rPr>
          <w:rFonts w:cs="Times New Roman"/>
          <w:szCs w:val="24"/>
        </w:rPr>
        <w:t>issue ratemaking is allowed in ESP cases.</w:t>
      </w:r>
      <w:r>
        <w:rPr>
          <w:rStyle w:val="FootnoteReference"/>
          <w:rFonts w:cs="Times New Roman"/>
          <w:szCs w:val="24"/>
        </w:rPr>
        <w:footnoteReference w:id="21"/>
      </w:r>
      <w:r>
        <w:rPr>
          <w:rFonts w:cs="Times New Roman"/>
          <w:szCs w:val="24"/>
        </w:rPr>
        <w:t xml:space="preserve"> This is not an ESP case; it is a base rate case governed by R.C. 4909, where single</w:t>
      </w:r>
      <w:r w:rsidR="00A76EB8">
        <w:rPr>
          <w:rFonts w:cs="Times New Roman"/>
          <w:szCs w:val="24"/>
        </w:rPr>
        <w:t>-</w:t>
      </w:r>
      <w:r>
        <w:rPr>
          <w:rFonts w:cs="Times New Roman"/>
          <w:szCs w:val="24"/>
        </w:rPr>
        <w:t>issue ratemaking is unlawful. The PUCO lacks the authority to approve</w:t>
      </w:r>
      <w:r w:rsidR="00A76EB8">
        <w:rPr>
          <w:rFonts w:cs="Times New Roman"/>
          <w:szCs w:val="24"/>
        </w:rPr>
        <w:t xml:space="preserve"> Mr. Hess’s proposal for single-</w:t>
      </w:r>
      <w:r>
        <w:rPr>
          <w:rFonts w:cs="Times New Roman"/>
          <w:szCs w:val="24"/>
        </w:rPr>
        <w:t xml:space="preserve">issue ratemaking in this case. It should strike his </w:t>
      </w:r>
      <w:r w:rsidR="00C60E62">
        <w:rPr>
          <w:rFonts w:cs="Times New Roman"/>
          <w:szCs w:val="24"/>
        </w:rPr>
        <w:t xml:space="preserve">irrelevant </w:t>
      </w:r>
      <w:r>
        <w:rPr>
          <w:rFonts w:cs="Times New Roman"/>
          <w:szCs w:val="24"/>
        </w:rPr>
        <w:t>testimony.</w:t>
      </w:r>
      <w:r>
        <w:rPr>
          <w:rStyle w:val="FootnoteReference"/>
          <w:rFonts w:cs="Times New Roman"/>
          <w:szCs w:val="24"/>
        </w:rPr>
        <w:footnoteReference w:id="22"/>
      </w:r>
      <w:r w:rsidR="00951BEA">
        <w:rPr>
          <w:rFonts w:cs="Times New Roman"/>
          <w:szCs w:val="24"/>
        </w:rPr>
        <w:t xml:space="preserve"> </w:t>
      </w:r>
    </w:p>
    <w:p w:rsidR="00D81FDA" w:rsidP="00D81FDA">
      <w:pPr>
        <w:spacing w:after="0" w:line="240" w:lineRule="auto"/>
        <w:ind w:firstLine="720"/>
        <w:rPr>
          <w:rFonts w:cs="Times New Roman"/>
          <w:szCs w:val="24"/>
        </w:rPr>
      </w:pPr>
    </w:p>
    <w:p w:rsidR="00250EB0" w:rsidRPr="00250EB0" w:rsidP="00692E7D">
      <w:pPr>
        <w:pStyle w:val="Heading1"/>
      </w:pPr>
      <w:bookmarkStart w:id="1" w:name="_Toc496786176"/>
      <w:r>
        <w:t>III.</w:t>
      </w:r>
      <w:r>
        <w:tab/>
        <w:t>CONCLUSION</w:t>
      </w:r>
      <w:bookmarkEnd w:id="1"/>
    </w:p>
    <w:p w:rsidR="00B16721" w:rsidP="001D19E3">
      <w:pPr>
        <w:spacing w:after="0" w:line="480" w:lineRule="auto"/>
        <w:ind w:firstLine="720"/>
        <w:rPr>
          <w:rFonts w:cs="Times New Roman"/>
          <w:szCs w:val="24"/>
        </w:rPr>
      </w:pPr>
      <w:r>
        <w:rPr>
          <w:rFonts w:cs="Times New Roman"/>
          <w:szCs w:val="24"/>
        </w:rPr>
        <w:t>Mr. Hess’s testimony</w:t>
      </w:r>
      <w:r w:rsidR="00FB22E2">
        <w:rPr>
          <w:rFonts w:cs="Times New Roman"/>
          <w:szCs w:val="24"/>
        </w:rPr>
        <w:t xml:space="preserve"> (for marketers who do not like the availability of the standard offer for consumers)</w:t>
      </w:r>
      <w:r>
        <w:rPr>
          <w:rFonts w:cs="Times New Roman"/>
          <w:szCs w:val="24"/>
        </w:rPr>
        <w:t xml:space="preserve"> proposes unlawful single</w:t>
      </w:r>
      <w:r w:rsidR="00A76EB8">
        <w:rPr>
          <w:rFonts w:cs="Times New Roman"/>
          <w:szCs w:val="24"/>
        </w:rPr>
        <w:t>-</w:t>
      </w:r>
      <w:r>
        <w:rPr>
          <w:rFonts w:cs="Times New Roman"/>
          <w:szCs w:val="24"/>
        </w:rPr>
        <w:t>issue ratemaking</w:t>
      </w:r>
      <w:r w:rsidR="007412DB">
        <w:rPr>
          <w:rFonts w:cs="Times New Roman"/>
          <w:szCs w:val="24"/>
        </w:rPr>
        <w:t xml:space="preserve"> that would inflate the </w:t>
      </w:r>
      <w:r w:rsidR="00B9042B">
        <w:rPr>
          <w:rFonts w:cs="Times New Roman"/>
          <w:szCs w:val="24"/>
        </w:rPr>
        <w:t xml:space="preserve">amount that customers pay for the </w:t>
      </w:r>
      <w:r w:rsidR="007412DB">
        <w:rPr>
          <w:rFonts w:cs="Times New Roman"/>
          <w:szCs w:val="24"/>
        </w:rPr>
        <w:t xml:space="preserve">competitive standard service offer. </w:t>
      </w:r>
      <w:r w:rsidR="006F1355">
        <w:rPr>
          <w:rFonts w:cs="Times New Roman"/>
          <w:szCs w:val="24"/>
        </w:rPr>
        <w:t xml:space="preserve">The </w:t>
      </w:r>
      <w:r w:rsidR="00EC511F">
        <w:rPr>
          <w:rFonts w:cs="Times New Roman"/>
          <w:szCs w:val="24"/>
        </w:rPr>
        <w:t xml:space="preserve">PUCO has no authority to approve what Mr. Hess proposes, and the </w:t>
      </w:r>
      <w:r w:rsidR="006F1355">
        <w:rPr>
          <w:rFonts w:cs="Times New Roman"/>
          <w:szCs w:val="24"/>
        </w:rPr>
        <w:t xml:space="preserve">testimony is irrelevant and inadmissible under Ohio Rules of Evidence 401 and 402. </w:t>
      </w:r>
      <w:r w:rsidR="00757A9A">
        <w:rPr>
          <w:rFonts w:cs="Times New Roman"/>
          <w:szCs w:val="24"/>
        </w:rPr>
        <w:t>The</w:t>
      </w:r>
      <w:r>
        <w:rPr>
          <w:rFonts w:cs="Times New Roman"/>
          <w:szCs w:val="24"/>
        </w:rPr>
        <w:t xml:space="preserve"> PUCO should strike his testimony.</w:t>
      </w:r>
    </w:p>
    <w:p w:rsidR="001721D0" w:rsidP="001D19E3">
      <w:pPr>
        <w:spacing w:after="0" w:line="480" w:lineRule="auto"/>
        <w:ind w:firstLine="720"/>
        <w:rPr>
          <w:rFonts w:cs="Times New Roman"/>
          <w:szCs w:val="24"/>
        </w:rPr>
      </w:pPr>
    </w:p>
    <w:p w:rsidR="000F54E5" w:rsidRPr="0009183C" w:rsidP="00757A9A">
      <w:pPr>
        <w:keepNext/>
        <w:spacing w:after="0" w:line="480" w:lineRule="auto"/>
        <w:ind w:firstLine="4320"/>
        <w:rPr>
          <w:rFonts w:cs="Times New Roman"/>
          <w:szCs w:val="24"/>
        </w:rPr>
      </w:pPr>
      <w:r w:rsidRPr="0009183C">
        <w:rPr>
          <w:rFonts w:cs="Times New Roman"/>
          <w:szCs w:val="24"/>
        </w:rPr>
        <w:t>Respectfully submitted,</w:t>
      </w:r>
    </w:p>
    <w:p w:rsidR="00754737" w:rsidRPr="0070059A" w:rsidP="00754737">
      <w:pPr>
        <w:spacing w:after="0" w:line="240" w:lineRule="auto"/>
        <w:ind w:left="3600" w:firstLine="720"/>
        <w:rPr>
          <w:rFonts w:eastAsiaTheme="minorEastAsia" w:cs="Times New Roman"/>
          <w:szCs w:val="24"/>
        </w:rPr>
      </w:pPr>
      <w:r w:rsidRPr="0070059A">
        <w:rPr>
          <w:rFonts w:eastAsiaTheme="minorEastAsia" w:cs="Times New Roman"/>
          <w:szCs w:val="24"/>
        </w:rPr>
        <w:t>BRUCE WESTON (0016973)</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OHIO CONSUMERS' COUNSEL</w:t>
      </w:r>
    </w:p>
    <w:p w:rsidR="00754737" w:rsidRPr="0070059A" w:rsidP="00754737">
      <w:pPr>
        <w:spacing w:after="0" w:line="240" w:lineRule="auto"/>
        <w:ind w:firstLine="4320"/>
        <w:rPr>
          <w:rFonts w:eastAsiaTheme="minorEastAsia" w:cs="Times New Roman"/>
          <w:szCs w:val="24"/>
        </w:rPr>
      </w:pPr>
    </w:p>
    <w:p w:rsidR="00754737" w:rsidRPr="00754737" w:rsidP="00754737">
      <w:pPr>
        <w:spacing w:after="0" w:line="240" w:lineRule="auto"/>
        <w:ind w:firstLine="4320"/>
        <w:rPr>
          <w:rFonts w:eastAsiaTheme="minorEastAsia" w:cs="Times New Roman"/>
          <w:i/>
          <w:szCs w:val="24"/>
          <w:u w:val="single"/>
        </w:rPr>
      </w:pPr>
      <w:r>
        <w:rPr>
          <w:rFonts w:eastAsiaTheme="minorEastAsia" w:cs="Times New Roman"/>
          <w:i/>
          <w:szCs w:val="24"/>
          <w:u w:val="single"/>
        </w:rPr>
        <w:t>/s/ Christopher Healey</w:t>
      </w:r>
      <w:r>
        <w:rPr>
          <w:rFonts w:eastAsiaTheme="minorEastAsia" w:cs="Times New Roman"/>
          <w:i/>
          <w:szCs w:val="24"/>
          <w:u w:val="single"/>
        </w:rPr>
        <w:tab/>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Christopher Healey (0086027)</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Counsel of Record</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Terry L. Etter (0067445)</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Assistant Consumers' Counsel</w:t>
      </w:r>
    </w:p>
    <w:p w:rsidR="00754737" w:rsidRPr="0070059A" w:rsidP="00754737">
      <w:pPr>
        <w:spacing w:after="0" w:line="240" w:lineRule="auto"/>
        <w:ind w:firstLine="4320"/>
        <w:rPr>
          <w:rFonts w:eastAsiaTheme="minorEastAsia" w:cs="Times New Roman"/>
          <w:szCs w:val="24"/>
        </w:rPr>
      </w:pPr>
    </w:p>
    <w:p w:rsidR="00754737" w:rsidRPr="0070059A" w:rsidP="00754737">
      <w:pPr>
        <w:spacing w:after="0" w:line="240" w:lineRule="auto"/>
        <w:ind w:firstLine="4320"/>
        <w:rPr>
          <w:rFonts w:eastAsiaTheme="minorEastAsia" w:cs="Times New Roman"/>
          <w:b/>
          <w:szCs w:val="24"/>
        </w:rPr>
      </w:pPr>
      <w:r w:rsidRPr="0070059A">
        <w:rPr>
          <w:rFonts w:eastAsiaTheme="minorEastAsia" w:cs="Times New Roman"/>
          <w:b/>
          <w:szCs w:val="24"/>
        </w:rPr>
        <w:t>Office of the Ohio Consumers' Counsel</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65 East State Street, 7th Floor</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Columbus, Ohio 43215</w:t>
      </w:r>
      <w:r w:rsidR="000619F4">
        <w:rPr>
          <w:rFonts w:eastAsiaTheme="minorEastAsia" w:cs="Times New Roman"/>
          <w:szCs w:val="24"/>
        </w:rPr>
        <w:t>-4213</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Telephone [Healey]: 614-466-9571</w:t>
      </w:r>
    </w:p>
    <w:p w:rsidR="00754737" w:rsidRPr="0070059A" w:rsidP="00754737">
      <w:pPr>
        <w:spacing w:after="0" w:line="240" w:lineRule="auto"/>
        <w:ind w:firstLine="4320"/>
        <w:rPr>
          <w:rFonts w:eastAsiaTheme="minorEastAsia" w:cs="Times New Roman"/>
          <w:szCs w:val="24"/>
        </w:rPr>
      </w:pPr>
      <w:r w:rsidRPr="0070059A">
        <w:rPr>
          <w:rFonts w:eastAsiaTheme="minorEastAsia" w:cs="Times New Roman"/>
          <w:szCs w:val="24"/>
        </w:rPr>
        <w:t>Telephone [Etter]: 614-466-7964</w:t>
      </w:r>
    </w:p>
    <w:p w:rsidR="00754737" w:rsidRPr="00AD1A60" w:rsidP="00754737">
      <w:pPr>
        <w:spacing w:after="0" w:line="240" w:lineRule="auto"/>
        <w:ind w:firstLine="4320"/>
        <w:rPr>
          <w:rStyle w:val="Hyperlink"/>
          <w:rFonts w:eastAsiaTheme="minorEastAsia" w:cs="Times New Roman"/>
          <w:color w:val="auto"/>
          <w:szCs w:val="24"/>
          <w:u w:val="none"/>
        </w:rPr>
      </w:pPr>
      <w:r w:rsidRPr="00AD1A60">
        <w:rPr>
          <w:rStyle w:val="DefaultParagraphFont"/>
          <w:rFonts w:eastAsiaTheme="minorEastAsia" w:cs="Times New Roman"/>
          <w:color w:val="auto"/>
          <w:szCs w:val="24"/>
          <w:u w:val="none"/>
        </w:rPr>
        <w:t>christopher.healey@occ.ohio.gov</w:t>
      </w:r>
    </w:p>
    <w:p w:rsidR="00754737" w:rsidRPr="00AD1A60" w:rsidP="00754737">
      <w:pPr>
        <w:spacing w:after="0" w:line="240" w:lineRule="auto"/>
        <w:ind w:firstLine="4320"/>
        <w:rPr>
          <w:rStyle w:val="Hyperlink"/>
          <w:rFonts w:eastAsiaTheme="minorEastAsia" w:cs="Times New Roman"/>
          <w:color w:val="auto"/>
          <w:szCs w:val="24"/>
          <w:u w:val="none"/>
        </w:rPr>
      </w:pPr>
      <w:r w:rsidRPr="00AD1A60">
        <w:rPr>
          <w:rStyle w:val="DefaultParagraphFont"/>
          <w:rFonts w:eastAsiaTheme="minorEastAsia" w:cs="Times New Roman"/>
          <w:color w:val="auto"/>
          <w:szCs w:val="24"/>
          <w:u w:val="none"/>
        </w:rPr>
        <w:t>terry.etter@occ.ohio.gov</w:t>
      </w:r>
    </w:p>
    <w:p w:rsidR="00754737" w:rsidRPr="00EE19CA" w:rsidP="00754737">
      <w:pPr>
        <w:spacing w:after="0" w:line="240" w:lineRule="auto"/>
        <w:ind w:firstLine="4320"/>
        <w:rPr>
          <w:rFonts w:eastAsiaTheme="minorEastAsia" w:cs="Times New Roman"/>
          <w:szCs w:val="24"/>
        </w:rPr>
      </w:pPr>
      <w:r w:rsidRPr="00EE19CA">
        <w:rPr>
          <w:rStyle w:val="Hyperlink"/>
          <w:rFonts w:eastAsiaTheme="minorEastAsia" w:cs="Times New Roman"/>
          <w:color w:val="auto"/>
          <w:szCs w:val="24"/>
          <w:u w:val="none"/>
        </w:rPr>
        <w:t>(</w:t>
      </w:r>
      <w:r w:rsidR="00D81FDA">
        <w:rPr>
          <w:rStyle w:val="Hyperlink"/>
          <w:rFonts w:eastAsiaTheme="minorEastAsia" w:cs="Times New Roman"/>
          <w:color w:val="auto"/>
          <w:szCs w:val="24"/>
          <w:u w:val="none"/>
        </w:rPr>
        <w:t>will accept service via email</w:t>
      </w:r>
      <w:r w:rsidRPr="00EE19CA">
        <w:rPr>
          <w:rStyle w:val="Hyperlink"/>
          <w:rFonts w:eastAsiaTheme="minorEastAsia" w:cs="Times New Roman"/>
          <w:color w:val="auto"/>
          <w:szCs w:val="24"/>
          <w:u w:val="none"/>
        </w:rPr>
        <w:t>)</w:t>
      </w:r>
    </w:p>
    <w:p w:rsidR="00BB37CC" w:rsidRPr="00E35B5D" w:rsidP="00BB37CC">
      <w:pPr>
        <w:spacing w:after="0" w:line="240" w:lineRule="auto"/>
        <w:ind w:left="4320"/>
        <w:rPr>
          <w:szCs w:val="24"/>
        </w:rPr>
      </w:pPr>
    </w:p>
    <w:p w:rsidR="00F33D8D">
      <w:pPr>
        <w:rPr>
          <w:rFonts w:eastAsiaTheme="minorEastAsia" w:cs="Times New Roman"/>
          <w:b/>
          <w:szCs w:val="24"/>
          <w:u w:val="single"/>
        </w:rPr>
      </w:pPr>
    </w:p>
    <w:p w:rsidR="00AD1A60" w:rsidP="00076C62">
      <w:pPr>
        <w:spacing w:after="0" w:line="480" w:lineRule="auto"/>
        <w:ind w:firstLine="720"/>
        <w:jc w:val="center"/>
        <w:rPr>
          <w:rFonts w:eastAsiaTheme="minorEastAsia" w:cs="Times New Roman"/>
          <w:b/>
          <w:szCs w:val="24"/>
          <w:u w:val="single"/>
        </w:rPr>
        <w:sectPr w:rsidSect="00D81FDA">
          <w:footerReference w:type="default" r:id="rId7"/>
          <w:pgSz w:w="12240" w:h="15840"/>
          <w:pgMar w:top="1440" w:right="1800" w:bottom="1440" w:left="1800" w:header="720" w:footer="720" w:gutter="0"/>
          <w:pgNumType w:start="2"/>
          <w:cols w:space="720"/>
          <w:docGrid w:linePitch="360"/>
        </w:sectPr>
      </w:pPr>
    </w:p>
    <w:p w:rsidR="00076C62" w:rsidRPr="0009183C" w:rsidP="00076C62">
      <w:pPr>
        <w:spacing w:after="0" w:line="480" w:lineRule="auto"/>
        <w:ind w:firstLine="720"/>
        <w:jc w:val="center"/>
        <w:rPr>
          <w:rFonts w:eastAsiaTheme="minorEastAsia" w:cs="Times New Roman"/>
          <w:b/>
          <w:szCs w:val="24"/>
          <w:u w:val="single"/>
        </w:rPr>
      </w:pPr>
      <w:r w:rsidRPr="0009183C">
        <w:rPr>
          <w:rFonts w:eastAsiaTheme="minorEastAsia" w:cs="Times New Roman"/>
          <w:b/>
          <w:szCs w:val="24"/>
          <w:u w:val="single"/>
        </w:rPr>
        <w:t>CERTIFICATE OF SERVICE</w:t>
      </w:r>
    </w:p>
    <w:p w:rsidR="00076C62" w:rsidRPr="0009183C" w:rsidP="00076C62">
      <w:pPr>
        <w:spacing w:after="0" w:line="480" w:lineRule="auto"/>
        <w:ind w:firstLine="720"/>
        <w:rPr>
          <w:rFonts w:eastAsiaTheme="minorEastAsia" w:cs="Times New Roman"/>
          <w:szCs w:val="24"/>
        </w:rPr>
      </w:pPr>
      <w:r w:rsidRPr="0009183C">
        <w:rPr>
          <w:rFonts w:eastAsiaTheme="minorEastAsia" w:cs="Times New Roman"/>
          <w:szCs w:val="24"/>
        </w:rPr>
        <w:t>I hereby certify that a copy of th</w:t>
      </w:r>
      <w:r>
        <w:rPr>
          <w:rFonts w:eastAsiaTheme="minorEastAsia" w:cs="Times New Roman"/>
          <w:szCs w:val="24"/>
        </w:rPr>
        <w:t>is Motion to Strike was</w:t>
      </w:r>
      <w:r w:rsidRPr="0009183C">
        <w:rPr>
          <w:rFonts w:eastAsiaTheme="minorEastAsia" w:cs="Times New Roman"/>
          <w:szCs w:val="24"/>
        </w:rPr>
        <w:t xml:space="preserve"> served on the persons stated below via electronic transmission, this </w:t>
      </w:r>
      <w:r w:rsidR="00CB7184">
        <w:rPr>
          <w:rFonts w:eastAsiaTheme="minorEastAsia" w:cs="Times New Roman"/>
          <w:szCs w:val="24"/>
        </w:rPr>
        <w:t>2nd</w:t>
      </w:r>
      <w:r w:rsidRPr="0009183C">
        <w:rPr>
          <w:rFonts w:eastAsiaTheme="minorEastAsia" w:cs="Times New Roman"/>
          <w:szCs w:val="24"/>
        </w:rPr>
        <w:t xml:space="preserve"> day of </w:t>
      </w:r>
      <w:r w:rsidR="007678D0">
        <w:rPr>
          <w:rFonts w:eastAsiaTheme="minorEastAsia" w:cs="Times New Roman"/>
          <w:szCs w:val="24"/>
        </w:rPr>
        <w:t>May</w:t>
      </w:r>
      <w:r w:rsidRPr="0009183C" w:rsidR="007678D0">
        <w:rPr>
          <w:rFonts w:eastAsiaTheme="minorEastAsia" w:cs="Times New Roman"/>
          <w:szCs w:val="24"/>
        </w:rPr>
        <w:t xml:space="preserve"> </w:t>
      </w:r>
      <w:r>
        <w:rPr>
          <w:rFonts w:eastAsiaTheme="minorEastAsia" w:cs="Times New Roman"/>
          <w:szCs w:val="24"/>
        </w:rPr>
        <w:t>201</w:t>
      </w:r>
      <w:r w:rsidR="00B16721">
        <w:rPr>
          <w:rFonts w:eastAsiaTheme="minorEastAsia" w:cs="Times New Roman"/>
          <w:szCs w:val="24"/>
        </w:rPr>
        <w:t>8</w:t>
      </w:r>
      <w:r w:rsidRPr="0009183C">
        <w:rPr>
          <w:rFonts w:eastAsiaTheme="minorEastAsia" w:cs="Times New Roman"/>
          <w:szCs w:val="24"/>
        </w:rPr>
        <w:t>.</w:t>
      </w:r>
    </w:p>
    <w:p w:rsidR="00076C62" w:rsidRPr="00BB37CC" w:rsidP="00076C62">
      <w:pPr>
        <w:spacing w:after="0" w:line="240" w:lineRule="auto"/>
        <w:ind w:firstLine="720"/>
        <w:rPr>
          <w:rFonts w:eastAsiaTheme="minorEastAsia" w:cs="Times New Roman"/>
          <w:i/>
          <w:szCs w:val="24"/>
        </w:rPr>
      </w:pP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BB37CC">
        <w:rPr>
          <w:rFonts w:eastAsiaTheme="minorEastAsia" w:cs="Times New Roman"/>
          <w:i/>
          <w:szCs w:val="24"/>
          <w:u w:val="single"/>
        </w:rPr>
        <w:t xml:space="preserve">/s/ </w:t>
      </w:r>
      <w:r w:rsidR="00B16721">
        <w:rPr>
          <w:rFonts w:eastAsiaTheme="minorEastAsia" w:cs="Times New Roman"/>
          <w:i/>
          <w:szCs w:val="24"/>
          <w:u w:val="single"/>
        </w:rPr>
        <w:t>Christopher Healey</w:t>
      </w:r>
      <w:r w:rsidR="00AD1A60">
        <w:rPr>
          <w:rFonts w:eastAsiaTheme="minorEastAsia" w:cs="Times New Roman"/>
          <w:i/>
          <w:szCs w:val="24"/>
          <w:u w:val="single"/>
        </w:rPr>
        <w:tab/>
      </w:r>
    </w:p>
    <w:p w:rsidR="00076C62" w:rsidRPr="0009183C" w:rsidP="00076C62">
      <w:pPr>
        <w:spacing w:after="0" w:line="240" w:lineRule="auto"/>
        <w:ind w:firstLine="720"/>
        <w:rPr>
          <w:rFonts w:eastAsiaTheme="minorEastAsia" w:cs="Times New Roman"/>
          <w:szCs w:val="24"/>
        </w:rPr>
      </w:pP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00B16721">
        <w:rPr>
          <w:rFonts w:eastAsiaTheme="minorEastAsia" w:cs="Times New Roman"/>
          <w:szCs w:val="24"/>
        </w:rPr>
        <w:t>Christopher Healey</w:t>
      </w:r>
    </w:p>
    <w:p w:rsidR="00076C62" w:rsidRPr="0009183C" w:rsidP="00076C62">
      <w:pPr>
        <w:spacing w:after="0" w:line="240" w:lineRule="auto"/>
        <w:ind w:firstLine="720"/>
        <w:rPr>
          <w:rFonts w:eastAsiaTheme="minorEastAsia" w:cs="Times New Roman"/>
          <w:szCs w:val="24"/>
        </w:rPr>
      </w:pP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r>
      <w:r w:rsidRPr="0009183C">
        <w:rPr>
          <w:rFonts w:eastAsiaTheme="minorEastAsia" w:cs="Times New Roman"/>
          <w:szCs w:val="24"/>
        </w:rPr>
        <w:tab/>
        <w:t>Assistant Consumers</w:t>
      </w:r>
      <w:r>
        <w:rPr>
          <w:rFonts w:eastAsiaTheme="minorEastAsia" w:cs="Times New Roman"/>
          <w:szCs w:val="24"/>
        </w:rPr>
        <w:t>'</w:t>
      </w:r>
      <w:r w:rsidRPr="0009183C">
        <w:rPr>
          <w:rFonts w:eastAsiaTheme="minorEastAsia" w:cs="Times New Roman"/>
          <w:szCs w:val="24"/>
        </w:rPr>
        <w:t xml:space="preserve"> Counsel</w:t>
      </w:r>
    </w:p>
    <w:p w:rsidR="00076C62" w:rsidP="00576752">
      <w:pPr>
        <w:spacing w:after="0" w:line="480" w:lineRule="auto"/>
        <w:ind w:firstLine="720"/>
        <w:jc w:val="center"/>
        <w:rPr>
          <w:rFonts w:eastAsiaTheme="minorEastAsia" w:cs="Times New Roman"/>
          <w:szCs w:val="24"/>
        </w:rPr>
      </w:pPr>
    </w:p>
    <w:p w:rsidR="00017874" w:rsidRPr="00D81FDA" w:rsidP="00017874">
      <w:pPr>
        <w:spacing w:after="0" w:line="240" w:lineRule="auto"/>
        <w:ind w:firstLine="720"/>
        <w:jc w:val="center"/>
        <w:rPr>
          <w:rFonts w:eastAsiaTheme="minorEastAsia"/>
          <w:b/>
          <w:szCs w:val="24"/>
          <w:u w:val="single"/>
        </w:rPr>
      </w:pPr>
      <w:r w:rsidRPr="00D81FDA">
        <w:rPr>
          <w:rFonts w:eastAsiaTheme="minorEastAsia"/>
          <w:b/>
          <w:szCs w:val="24"/>
          <w:u w:val="single"/>
        </w:rPr>
        <w:t>SERVICE LIST</w:t>
      </w:r>
    </w:p>
    <w:p w:rsidR="00017874" w:rsidRPr="000D39C7" w:rsidP="00017874">
      <w:pPr>
        <w:pStyle w:val="CommentText"/>
        <w:rPr>
          <w:b/>
          <w:u w:val="single"/>
        </w:rPr>
      </w:pPr>
    </w:p>
    <w:tbl>
      <w:tblPr>
        <w:tblStyle w:val="TableGrid"/>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4269"/>
      </w:tblGrid>
      <w:tr w:rsidTr="00D81FDA">
        <w:tblPrEx>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78" w:type="dxa"/>
          </w:tcPr>
          <w:p w:rsidR="00AD1A60" w:rsidRPr="00E96F6D" w:rsidP="00F949CD">
            <w:pPr>
              <w:autoSpaceDE w:val="0"/>
              <w:autoSpaceDN w:val="0"/>
              <w:adjustRightInd w:val="0"/>
              <w:rPr>
                <w:rFonts w:cs="Times New Roman"/>
                <w:szCs w:val="24"/>
              </w:rPr>
            </w:pPr>
            <w:r>
              <w:rPr>
                <w:rFonts w:cs="Times New Roman"/>
                <w:szCs w:val="24"/>
              </w:rPr>
              <w:t>Thomas.mcnamee@ohioattorneygeneral.gov</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Bojko@carpenterlipps.com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ORourke@carpenterlipps.com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ghiloni@carpenterlipps.com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sechler@carpenterlipps.com</w:t>
            </w:r>
            <w:r w:rsidRPr="00E96F6D">
              <w:rPr>
                <w:rFonts w:cs="Times New Roman"/>
                <w:szCs w:val="24"/>
              </w:rPr>
              <w:t xml:space="preserve"> </w:t>
            </w:r>
            <w:r w:rsidRPr="00E96F6D">
              <w:rPr>
                <w:rStyle w:val="DefaultParagraphFont"/>
                <w:rFonts w:cs="Times New Roman"/>
                <w:color w:val="auto"/>
                <w:szCs w:val="24"/>
                <w:u w:val="none"/>
              </w:rPr>
              <w:t xml:space="preserve"> </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dboehm@BKLlawfirm.com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mkurtz@BKLlawfirm.com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jkylercohn@BKLlawfirm.com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sam@mwncmh.com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fdarr@mwncmh.com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mpritchard@mwncmh.com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jlang@calfee.com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talexander@calfee.com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slesser@calfee.com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jvickers@elpc.org</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tdougherty@theOEC.org</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mleppla@theOEC.org</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jfinnigan@edf.org</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swilliams@nrdc.org</w:t>
            </w:r>
            <w:r w:rsidRPr="00E96F6D">
              <w:rPr>
                <w:rFonts w:cs="Times New Roman"/>
                <w:szCs w:val="24"/>
              </w:rPr>
              <w:t xml:space="preserve"> </w:t>
            </w:r>
          </w:p>
          <w:p w:rsidR="00AD1A60" w:rsidRPr="00E96F6D" w:rsidP="00F949CD">
            <w:pPr>
              <w:rPr>
                <w:rFonts w:cs="Times New Roman"/>
                <w:szCs w:val="24"/>
              </w:rPr>
            </w:pPr>
            <w:r w:rsidRPr="00E96F6D">
              <w:rPr>
                <w:rStyle w:val="DefaultParagraphFont"/>
                <w:rFonts w:cs="Times New Roman"/>
                <w:color w:val="auto"/>
                <w:szCs w:val="24"/>
                <w:u w:val="none"/>
              </w:rPr>
              <w:t>rdove@attorneydove.com</w:t>
            </w:r>
            <w:r w:rsidRPr="00E96F6D">
              <w:rPr>
                <w:rFonts w:cs="Times New Roman"/>
                <w:szCs w:val="24"/>
              </w:rPr>
              <w:t xml:space="preserve"> </w:t>
            </w:r>
            <w:r w:rsidRPr="00E96F6D">
              <w:rPr>
                <w:rStyle w:val="DefaultParagraphFont"/>
                <w:rFonts w:cs="Times New Roman"/>
                <w:color w:val="auto"/>
                <w:szCs w:val="24"/>
                <w:u w:val="none"/>
              </w:rPr>
              <w:t xml:space="preserve"> </w:t>
            </w:r>
          </w:p>
          <w:p w:rsidR="00AD1A60" w:rsidRPr="00E96F6D" w:rsidP="00F949CD">
            <w:pPr>
              <w:rPr>
                <w:rFonts w:cs="Times New Roman"/>
                <w:szCs w:val="24"/>
              </w:rPr>
            </w:pPr>
            <w:r w:rsidRPr="00E96F6D">
              <w:rPr>
                <w:rStyle w:val="DefaultParagraphFont"/>
                <w:rFonts w:cs="Times New Roman"/>
                <w:color w:val="auto"/>
                <w:szCs w:val="24"/>
                <w:u w:val="none"/>
              </w:rPr>
              <w:t>kfield@elpc.org</w:t>
            </w:r>
            <w:r w:rsidRPr="00E96F6D">
              <w:rPr>
                <w:rFonts w:cs="Times New Roman"/>
                <w:szCs w:val="24"/>
              </w:rPr>
              <w:t xml:space="preserve"> </w:t>
            </w:r>
          </w:p>
          <w:p w:rsidR="00AD1A60" w:rsidRPr="00E96F6D" w:rsidP="00F949CD">
            <w:pPr>
              <w:rPr>
                <w:rFonts w:cs="Times New Roman"/>
                <w:szCs w:val="24"/>
              </w:rPr>
            </w:pPr>
            <w:r w:rsidRPr="00E96F6D">
              <w:rPr>
                <w:rStyle w:val="DefaultParagraphFont"/>
                <w:rFonts w:cs="Times New Roman"/>
                <w:color w:val="auto"/>
                <w:szCs w:val="24"/>
                <w:u w:val="none"/>
              </w:rPr>
              <w:t>mfleisher@elpc.org</w:t>
            </w:r>
            <w:r w:rsidRPr="00E96F6D">
              <w:rPr>
                <w:rFonts w:cs="Times New Roman"/>
                <w:szCs w:val="24"/>
              </w:rPr>
              <w:t xml:space="preserve"> </w:t>
            </w:r>
          </w:p>
          <w:p w:rsidR="00AD1A60" w:rsidRPr="00E96F6D" w:rsidP="00F949CD">
            <w:pPr>
              <w:rPr>
                <w:rFonts w:cs="Times New Roman"/>
                <w:szCs w:val="24"/>
              </w:rPr>
            </w:pPr>
          </w:p>
          <w:p w:rsidR="00AD1A60" w:rsidRPr="00E96F6D" w:rsidP="00F949CD">
            <w:pPr>
              <w:autoSpaceDE w:val="0"/>
              <w:autoSpaceDN w:val="0"/>
              <w:adjustRightInd w:val="0"/>
              <w:rPr>
                <w:rFonts w:cs="Times New Roman"/>
                <w:szCs w:val="24"/>
              </w:rPr>
            </w:pPr>
            <w:r w:rsidRPr="00E96F6D">
              <w:rPr>
                <w:rFonts w:cs="Times New Roman"/>
                <w:szCs w:val="24"/>
              </w:rPr>
              <w:t>Attorney Examiners:</w:t>
            </w:r>
          </w:p>
          <w:p w:rsidR="00AD1A60" w:rsidP="00F949CD">
            <w:pPr>
              <w:rPr>
                <w:rFonts w:cs="Times New Roman"/>
                <w:szCs w:val="24"/>
              </w:rPr>
            </w:pPr>
            <w:r w:rsidRPr="00E96F6D">
              <w:rPr>
                <w:rStyle w:val="DefaultParagraphFont"/>
                <w:rFonts w:cs="Times New Roman"/>
                <w:color w:val="auto"/>
                <w:szCs w:val="24"/>
                <w:u w:val="none"/>
              </w:rPr>
              <w:t>gregory.price@puc.state.oh.us</w:t>
            </w:r>
            <w:r w:rsidRPr="00E96F6D">
              <w:rPr>
                <w:rFonts w:cs="Times New Roman"/>
                <w:szCs w:val="24"/>
              </w:rPr>
              <w:t xml:space="preserve"> </w:t>
            </w:r>
          </w:p>
          <w:p w:rsidR="00AD1A60" w:rsidRPr="00E96F6D" w:rsidP="00F949CD">
            <w:pPr>
              <w:rPr>
                <w:rFonts w:cs="Times New Roman"/>
                <w:szCs w:val="24"/>
              </w:rPr>
            </w:pPr>
            <w:r>
              <w:rPr>
                <w:rFonts w:cs="Times New Roman"/>
                <w:szCs w:val="24"/>
              </w:rPr>
              <w:t>patricia.schabo@puc.state.oh.us</w:t>
            </w:r>
          </w:p>
        </w:tc>
        <w:tc>
          <w:tcPr>
            <w:tcW w:w="4269" w:type="dxa"/>
          </w:tcPr>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Michael.schuler@aes.com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djireland@ficlaw.com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jsharkey@ficlaw.com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Kurt.Helfrich@ThompsonHine.com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Stephanie.Chmiel@ThompsonHine.com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Michael.Austin@ThompsonHine.com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mfleisher@elpc.org</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dparram@taftlaw.com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thomas.jernigan.3@us.af.mil</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cmooney@ohiopartners.org</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dborchers@bricker.com</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mwarnock@bricker.com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ejacobs@ablelaw.org</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joliker@igsenergy.com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lhawrot@spilmanlaw.com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dwilliamson@spilmanlaw.com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Style w:val="DefaultParagraphFont"/>
                <w:rFonts w:cs="Times New Roman"/>
                <w:color w:val="auto"/>
                <w:szCs w:val="24"/>
                <w:u w:val="none"/>
              </w:rPr>
              <w:t>charris@spilmanlaw.com</w:t>
            </w:r>
            <w:r w:rsidRPr="00E96F6D">
              <w:rPr>
                <w:rFonts w:cs="Times New Roman"/>
                <w:szCs w:val="24"/>
              </w:rPr>
              <w:t xml:space="preserve"> </w:t>
            </w:r>
          </w:p>
          <w:p w:rsidR="00AD1A60" w:rsidRPr="00E96F6D" w:rsidP="00F949CD">
            <w:pPr>
              <w:autoSpaceDE w:val="0"/>
              <w:autoSpaceDN w:val="0"/>
              <w:adjustRightInd w:val="0"/>
              <w:rPr>
                <w:rFonts w:cs="Times New Roman"/>
                <w:szCs w:val="24"/>
              </w:rPr>
            </w:pPr>
            <w:r w:rsidRPr="00E96F6D">
              <w:rPr>
                <w:rFonts w:cs="Times New Roman"/>
                <w:szCs w:val="24"/>
              </w:rPr>
              <w:t>mjsettineri@vorys.com</w:t>
            </w:r>
          </w:p>
          <w:p w:rsidR="00AD1A60" w:rsidRPr="00E96F6D" w:rsidP="00F949CD">
            <w:pPr>
              <w:rPr>
                <w:rFonts w:cs="Times New Roman"/>
                <w:szCs w:val="24"/>
              </w:rPr>
            </w:pPr>
            <w:r w:rsidRPr="00E96F6D">
              <w:rPr>
                <w:rStyle w:val="DefaultParagraphFont"/>
                <w:rFonts w:cs="Times New Roman"/>
                <w:color w:val="auto"/>
                <w:szCs w:val="24"/>
                <w:u w:val="none"/>
              </w:rPr>
              <w:t>glpetrucci@vorys.com</w:t>
            </w:r>
          </w:p>
          <w:p w:rsidR="00AD1A60" w:rsidRPr="00E96F6D" w:rsidP="00F949CD">
            <w:pPr>
              <w:autoSpaceDE w:val="0"/>
              <w:autoSpaceDN w:val="0"/>
              <w:adjustRightInd w:val="0"/>
              <w:rPr>
                <w:rFonts w:cs="Times New Roman"/>
                <w:szCs w:val="24"/>
              </w:rPr>
            </w:pPr>
            <w:r w:rsidRPr="00E96F6D">
              <w:rPr>
                <w:rFonts w:cs="Times New Roman"/>
                <w:szCs w:val="24"/>
              </w:rPr>
              <w:t>whitt@whitt-sturtevant.com</w:t>
            </w:r>
          </w:p>
          <w:p w:rsidR="00AD1A60" w:rsidRPr="00E96F6D" w:rsidP="00F949CD">
            <w:pPr>
              <w:autoSpaceDE w:val="0"/>
              <w:autoSpaceDN w:val="0"/>
              <w:adjustRightInd w:val="0"/>
              <w:rPr>
                <w:rFonts w:cs="Times New Roman"/>
                <w:szCs w:val="24"/>
              </w:rPr>
            </w:pPr>
            <w:r w:rsidRPr="00E96F6D">
              <w:rPr>
                <w:rFonts w:cs="Times New Roman"/>
                <w:szCs w:val="24"/>
              </w:rPr>
              <w:t>campbell@whitt-sturtevant.com</w:t>
            </w:r>
          </w:p>
          <w:p w:rsidR="00AD1A60" w:rsidRPr="00E96F6D" w:rsidP="00F949CD">
            <w:pPr>
              <w:rPr>
                <w:rFonts w:cs="Times New Roman"/>
                <w:szCs w:val="24"/>
              </w:rPr>
            </w:pPr>
            <w:r w:rsidRPr="00E96F6D">
              <w:rPr>
                <w:rStyle w:val="DefaultParagraphFont"/>
                <w:rFonts w:cs="Times New Roman"/>
                <w:color w:val="auto"/>
                <w:szCs w:val="24"/>
                <w:u w:val="none"/>
              </w:rPr>
              <w:t>glover@whitt-sturtevant.com</w:t>
            </w:r>
          </w:p>
          <w:p w:rsidR="00AD1A60" w:rsidRPr="00E96F6D" w:rsidP="00F949CD">
            <w:pPr>
              <w:rPr>
                <w:rFonts w:cs="Times New Roman"/>
                <w:szCs w:val="24"/>
              </w:rPr>
            </w:pPr>
            <w:r w:rsidRPr="00E96F6D">
              <w:rPr>
                <w:rStyle w:val="DefaultParagraphFont"/>
                <w:rFonts w:cs="Times New Roman"/>
                <w:color w:val="auto"/>
                <w:szCs w:val="24"/>
                <w:u w:val="none"/>
              </w:rPr>
              <w:t>jdoll@djflawfirm.com</w:t>
            </w:r>
          </w:p>
          <w:p w:rsidR="00AD1A60" w:rsidRPr="00E96F6D" w:rsidP="00F949CD">
            <w:pPr>
              <w:rPr>
                <w:rFonts w:cs="Times New Roman"/>
                <w:szCs w:val="24"/>
              </w:rPr>
            </w:pPr>
          </w:p>
          <w:p w:rsidR="00AD1A60" w:rsidRPr="00E96F6D" w:rsidP="00F949CD">
            <w:pPr>
              <w:rPr>
                <w:rFonts w:cs="Times New Roman"/>
                <w:szCs w:val="24"/>
              </w:rPr>
            </w:pPr>
          </w:p>
          <w:p w:rsidR="00AD1A60" w:rsidRPr="00E96F6D" w:rsidP="00F949CD">
            <w:pPr>
              <w:rPr>
                <w:rFonts w:cs="Times New Roman"/>
                <w:szCs w:val="24"/>
              </w:rPr>
            </w:pPr>
          </w:p>
        </w:tc>
      </w:tr>
    </w:tbl>
    <w:p w:rsidR="00017874" w:rsidRPr="000D39C7" w:rsidP="00017874"/>
    <w:sectPr w:rsidSect="00AA4EEE">
      <w:footerReference w:type="default" r:id="rId8"/>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3204845"/>
      <w:docPartObj>
        <w:docPartGallery w:val="Page Numbers (Bottom of Page)"/>
        <w:docPartUnique/>
      </w:docPartObj>
    </w:sdtPr>
    <w:sdtEndPr>
      <w:rPr>
        <w:noProof/>
      </w:rPr>
    </w:sdtEndPr>
    <w:sdtContent>
      <w:p w:rsidR="00D81FDA">
        <w:pPr>
          <w:pStyle w:val="Footer"/>
          <w:jc w:val="center"/>
        </w:pPr>
        <w:r>
          <w:fldChar w:fldCharType="begin"/>
        </w:r>
        <w:r>
          <w:instrText xml:space="preserve"> PAGE   \* MERGEFORMAT </w:instrText>
        </w:r>
        <w:r>
          <w:fldChar w:fldCharType="separate"/>
        </w:r>
        <w:r w:rsidR="00FB1CE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FD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6856374"/>
      <w:docPartObj>
        <w:docPartGallery w:val="Page Numbers (Bottom of Page)"/>
        <w:docPartUnique/>
      </w:docPartObj>
    </w:sdtPr>
    <w:sdtEndPr>
      <w:rPr>
        <w:noProof/>
      </w:rPr>
    </w:sdtEndPr>
    <w:sdtContent>
      <w:p w:rsidR="00D81FD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1A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F495B" w:rsidP="00076C62">
      <w:pPr>
        <w:spacing w:after="0" w:line="240" w:lineRule="auto"/>
      </w:pPr>
      <w:r>
        <w:separator/>
      </w:r>
    </w:p>
  </w:footnote>
  <w:footnote w:type="continuationSeparator" w:id="1">
    <w:p w:rsidR="00EF495B" w:rsidP="00076C62">
      <w:pPr>
        <w:spacing w:after="0" w:line="240" w:lineRule="auto"/>
      </w:pPr>
      <w:r>
        <w:continuationSeparator/>
      </w:r>
    </w:p>
  </w:footnote>
  <w:footnote w:id="2">
    <w:p w:rsidR="00A937FA"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Customers who sign a contract with a marketer are referred to as “shopping” customers or “Choice” customers. </w:t>
      </w:r>
      <w:r w:rsidRPr="00543C39">
        <w:rPr>
          <w:rFonts w:ascii="Times New Roman" w:hAnsi="Times New Roman" w:cs="Times New Roman"/>
          <w:i/>
        </w:rPr>
        <w:t>See</w:t>
      </w:r>
      <w:r w:rsidRPr="00543C39">
        <w:rPr>
          <w:rFonts w:ascii="Times New Roman" w:hAnsi="Times New Roman" w:cs="Times New Roman"/>
        </w:rPr>
        <w:t xml:space="preserve"> </w:t>
      </w:r>
      <w:r w:rsidRPr="00543C39">
        <w:rPr>
          <w:rStyle w:val="DefaultParagraphFont"/>
          <w:rFonts w:ascii="Times New Roman" w:hAnsi="Times New Roman" w:cs="Times New Roman"/>
        </w:rPr>
        <w:t>http://www.energychoice.ohio.gov</w:t>
      </w:r>
      <w:r w:rsidRPr="00543C39">
        <w:rPr>
          <w:rFonts w:ascii="Times New Roman" w:hAnsi="Times New Roman" w:cs="Times New Roman"/>
        </w:rPr>
        <w:t xml:space="preserve">. </w:t>
      </w:r>
    </w:p>
  </w:footnote>
  <w:footnote w:id="3">
    <w:p w:rsidR="005B1F7E"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Hess Testimony at 4.</w:t>
      </w:r>
    </w:p>
  </w:footnote>
  <w:footnote w:id="4">
    <w:p w:rsidR="005B1F7E"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sidR="00757A9A">
        <w:rPr>
          <w:rFonts w:ascii="Times New Roman" w:hAnsi="Times New Roman" w:cs="Times New Roman"/>
          <w:i/>
        </w:rPr>
        <w:t>Id.</w:t>
      </w:r>
      <w:r w:rsidRPr="00543C39">
        <w:rPr>
          <w:rFonts w:ascii="Times New Roman" w:hAnsi="Times New Roman" w:cs="Times New Roman"/>
        </w:rPr>
        <w:t xml:space="preserve"> at 5:4-9.</w:t>
      </w:r>
    </w:p>
  </w:footnote>
  <w:footnote w:id="5">
    <w:p w:rsidR="0019316F"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Pr>
          <w:rFonts w:ascii="Times New Roman" w:hAnsi="Times New Roman" w:cs="Times New Roman"/>
          <w:i/>
        </w:rPr>
        <w:t>See</w:t>
      </w:r>
      <w:r w:rsidRPr="00543C39">
        <w:rPr>
          <w:rFonts w:ascii="Times New Roman" w:hAnsi="Times New Roman" w:cs="Times New Roman"/>
        </w:rPr>
        <w:t xml:space="preserve"> </w:t>
      </w:r>
      <w:r w:rsidRPr="00543C39" w:rsidR="00A76EB8">
        <w:rPr>
          <w:rFonts w:ascii="Times New Roman" w:hAnsi="Times New Roman" w:cs="Times New Roman"/>
          <w:i/>
        </w:rPr>
        <w:t xml:space="preserve">id. </w:t>
      </w:r>
      <w:r w:rsidRPr="00543C39">
        <w:rPr>
          <w:rFonts w:ascii="Times New Roman" w:hAnsi="Times New Roman" w:cs="Times New Roman"/>
        </w:rPr>
        <w:t>at JEH 1 (12 * (1,000 * ($0.003585 - 0.0020050)) = $18.96)</w:t>
      </w:r>
      <w:r w:rsidRPr="00543C39" w:rsidR="00757A9A">
        <w:rPr>
          <w:rFonts w:ascii="Times New Roman" w:hAnsi="Times New Roman" w:cs="Times New Roman"/>
        </w:rPr>
        <w:t>.</w:t>
      </w:r>
    </w:p>
  </w:footnote>
  <w:footnote w:id="6">
    <w:p w:rsidR="0019316F"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Pr>
          <w:rFonts w:ascii="Times New Roman" w:hAnsi="Times New Roman" w:cs="Times New Roman"/>
          <w:i/>
        </w:rPr>
        <w:t>Id.</w:t>
      </w:r>
      <w:r w:rsidRPr="00543C39">
        <w:rPr>
          <w:rFonts w:ascii="Times New Roman" w:hAnsi="Times New Roman" w:cs="Times New Roman"/>
        </w:rPr>
        <w:t xml:space="preserve"> (12 * (1,000 * -0.0020050) = -$24.06). </w:t>
      </w:r>
      <w:r w:rsidRPr="00543C39" w:rsidR="00BF1F84">
        <w:rPr>
          <w:rFonts w:ascii="Times New Roman" w:hAnsi="Times New Roman" w:cs="Times New Roman"/>
          <w:i/>
        </w:rPr>
        <w:t>See also</w:t>
      </w:r>
      <w:r w:rsidRPr="00543C39" w:rsidR="00BF1F84">
        <w:rPr>
          <w:rFonts w:ascii="Times New Roman" w:hAnsi="Times New Roman" w:cs="Times New Roman"/>
        </w:rPr>
        <w:t xml:space="preserve"> </w:t>
      </w:r>
      <w:r w:rsidRPr="00543C39" w:rsidR="00A76EB8">
        <w:rPr>
          <w:rFonts w:ascii="Times New Roman" w:hAnsi="Times New Roman" w:cs="Times New Roman"/>
          <w:i/>
        </w:rPr>
        <w:t xml:space="preserve">id. </w:t>
      </w:r>
      <w:r w:rsidRPr="00543C39" w:rsidR="00BF1F84">
        <w:rPr>
          <w:rFonts w:ascii="Times New Roman" w:hAnsi="Times New Roman" w:cs="Times New Roman"/>
        </w:rPr>
        <w:t>at 13:5-6 (“The net impact to SSO customers is an increase and the net impact to shopping customers is a decrease.”).</w:t>
      </w:r>
    </w:p>
  </w:footnote>
  <w:footnote w:id="7">
    <w:p w:rsidR="00C60E62"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Ohio R. Evid</w:t>
      </w:r>
      <w:r w:rsidRPr="00543C39" w:rsidR="00A76EB8">
        <w:rPr>
          <w:rFonts w:ascii="Times New Roman" w:hAnsi="Times New Roman" w:cs="Times New Roman"/>
        </w:rPr>
        <w:t>.</w:t>
      </w:r>
      <w:r w:rsidRPr="00543C39">
        <w:rPr>
          <w:rFonts w:ascii="Times New Roman" w:hAnsi="Times New Roman" w:cs="Times New Roman"/>
        </w:rPr>
        <w:t xml:space="preserve"> 401 (“‘Relevant evidence’ means evidence having any tendency to make the existence of any fact that is of consequence to the determination of the action more probably or less probable than it would be without the evidence.”).</w:t>
      </w:r>
    </w:p>
  </w:footnote>
  <w:footnote w:id="8">
    <w:p w:rsidR="00C60E62"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Ohio R. Evid. 402 (“Evidence which is not relevant is not admissible.”).</w:t>
      </w:r>
    </w:p>
  </w:footnote>
  <w:footnote w:id="9">
    <w:p w:rsidR="00543C39"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Ohio R. Evid. 401.</w:t>
      </w:r>
    </w:p>
  </w:footnote>
  <w:footnote w:id="10">
    <w:p w:rsidR="00484DB8"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Pr>
          <w:rFonts w:ascii="Times New Roman" w:hAnsi="Times New Roman" w:cs="Times New Roman"/>
          <w:i/>
        </w:rPr>
        <w:t>See, e.g., Disc. Cellular, Inc. v. PUCO</w:t>
      </w:r>
      <w:r w:rsidRPr="00543C39">
        <w:rPr>
          <w:rFonts w:ascii="Times New Roman" w:hAnsi="Times New Roman" w:cs="Times New Roman"/>
        </w:rPr>
        <w:t>, 112 Ohio St. 3d 360, 373 (2007).</w:t>
      </w:r>
    </w:p>
  </w:footnote>
  <w:footnote w:id="11">
    <w:p w:rsidR="00A47BC5"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67 Ohio St. 3d 535 (1993).</w:t>
      </w:r>
    </w:p>
  </w:footnote>
  <w:footnote w:id="12">
    <w:p w:rsidR="00A47BC5"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Pr>
          <w:rFonts w:ascii="Times New Roman" w:hAnsi="Times New Roman" w:cs="Times New Roman"/>
          <w:i/>
        </w:rPr>
        <w:t>Id.</w:t>
      </w:r>
      <w:r w:rsidRPr="00543C39">
        <w:rPr>
          <w:rFonts w:ascii="Times New Roman" w:hAnsi="Times New Roman" w:cs="Times New Roman"/>
        </w:rPr>
        <w:t xml:space="preserve"> at 537.</w:t>
      </w:r>
    </w:p>
  </w:footnote>
  <w:footnote w:id="13">
    <w:p w:rsidR="0036724A"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R.C. 4909.15(B).</w:t>
      </w:r>
    </w:p>
  </w:footnote>
  <w:footnote w:id="14">
    <w:p w:rsidR="0036724A"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R.C. 4928.143(B)(2)(h).</w:t>
      </w:r>
    </w:p>
  </w:footnote>
  <w:footnote w:id="15">
    <w:p w:rsidR="005F113C"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Pr>
          <w:rFonts w:ascii="Times New Roman" w:hAnsi="Times New Roman" w:cs="Times New Roman"/>
          <w:i/>
        </w:rPr>
        <w:t>In re Application of [FirstEnergy] for Authority to Provide a Standard Service Offer</w:t>
      </w:r>
      <w:r w:rsidRPr="00543C39">
        <w:rPr>
          <w:rFonts w:ascii="Times New Roman" w:hAnsi="Times New Roman" w:cs="Times New Roman"/>
        </w:rPr>
        <w:t>, Case No. 14-1297-EL-SSO, Fifth Entry on Rehearing ¶ 290 (Oct. 12, 2016).</w:t>
      </w:r>
    </w:p>
  </w:footnote>
  <w:footnote w:id="16">
    <w:p w:rsidR="00EA6B42"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68 Ohio St. 2d 181, 183 (1981).</w:t>
      </w:r>
    </w:p>
  </w:footnote>
  <w:footnote w:id="17">
    <w:p w:rsidR="00EA6B42"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Pr>
          <w:rFonts w:ascii="Times New Roman" w:hAnsi="Times New Roman" w:cs="Times New Roman"/>
          <w:i/>
        </w:rPr>
        <w:t>Id.</w:t>
      </w:r>
    </w:p>
  </w:footnote>
  <w:footnote w:id="18">
    <w:p w:rsidR="00EA6B42"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Pr>
          <w:rFonts w:ascii="Times New Roman" w:hAnsi="Times New Roman" w:cs="Times New Roman"/>
          <w:i/>
        </w:rPr>
        <w:t>Id.</w:t>
      </w:r>
      <w:r w:rsidRPr="00543C39">
        <w:rPr>
          <w:rFonts w:ascii="Times New Roman" w:hAnsi="Times New Roman" w:cs="Times New Roman"/>
        </w:rPr>
        <w:t xml:space="preserve"> at 183-87.</w:t>
      </w:r>
    </w:p>
  </w:footnote>
  <w:footnote w:id="19">
    <w:p w:rsidR="00177EBD"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Pr>
          <w:rFonts w:ascii="Times New Roman" w:hAnsi="Times New Roman" w:cs="Times New Roman"/>
          <w:i/>
        </w:rPr>
        <w:t>See also</w:t>
      </w:r>
      <w:r w:rsidRPr="00543C39">
        <w:rPr>
          <w:rFonts w:ascii="Times New Roman" w:hAnsi="Times New Roman" w:cs="Times New Roman"/>
        </w:rPr>
        <w:t xml:space="preserve"> R.C. 1.42</w:t>
      </w:r>
      <w:r w:rsidRPr="00543C39" w:rsidR="00936299">
        <w:rPr>
          <w:rFonts w:ascii="Times New Roman" w:hAnsi="Times New Roman" w:cs="Times New Roman"/>
        </w:rPr>
        <w:t xml:space="preserve"> (“Words and phrases shall be read in context....”)</w:t>
      </w:r>
      <w:r w:rsidRPr="00543C39">
        <w:rPr>
          <w:rFonts w:ascii="Times New Roman" w:hAnsi="Times New Roman" w:cs="Times New Roman"/>
        </w:rPr>
        <w:t>.</w:t>
      </w:r>
    </w:p>
  </w:footnote>
  <w:footnote w:id="20">
    <w:p w:rsidR="006942AD"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Hess Testimony at 5.</w:t>
      </w:r>
    </w:p>
  </w:footnote>
  <w:footnote w:id="21">
    <w:p w:rsidR="00C50491"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w:t>
      </w:r>
      <w:r w:rsidRPr="00543C39" w:rsidR="00C60E62">
        <w:rPr>
          <w:rFonts w:ascii="Times New Roman" w:hAnsi="Times New Roman" w:cs="Times New Roman"/>
        </w:rPr>
        <w:t>R.C. 4928.143(B)(2)(h).</w:t>
      </w:r>
    </w:p>
  </w:footnote>
  <w:footnote w:id="22">
    <w:p w:rsidR="00C60E62" w:rsidRPr="00543C39" w:rsidP="00543C39">
      <w:pPr>
        <w:pStyle w:val="FootnoteText"/>
        <w:spacing w:after="120"/>
        <w:rPr>
          <w:rFonts w:ascii="Times New Roman" w:hAnsi="Times New Roman" w:cs="Times New Roman"/>
        </w:rPr>
      </w:pPr>
      <w:r w:rsidRPr="00543C39">
        <w:rPr>
          <w:rStyle w:val="FootnoteReference"/>
          <w:rFonts w:ascii="Times New Roman" w:hAnsi="Times New Roman" w:cs="Times New Roman"/>
        </w:rPr>
        <w:footnoteRef/>
      </w:r>
      <w:r w:rsidRPr="00543C39">
        <w:rPr>
          <w:rFonts w:ascii="Times New Roman" w:hAnsi="Times New Roman" w:cs="Times New Roman"/>
        </w:rPr>
        <w:t xml:space="preserve"> Ohio R. Evid. 401, 402.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852F47"/>
    <w:multiLevelType w:val="hybridMultilevel"/>
    <w:tmpl w:val="D8689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341C49C1"/>
    <w:multiLevelType w:val="hybridMultilevel"/>
    <w:tmpl w:val="80BC26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91A7B00"/>
    <w:multiLevelType w:val="hybridMultilevel"/>
    <w:tmpl w:val="F58E0A3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EDB64E8"/>
    <w:multiLevelType w:val="hybridMultilevel"/>
    <w:tmpl w:val="DAF81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8"/>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Formatting/>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EC0ED8"/>
    <w:pPr>
      <w:keepNext/>
      <w:keepLines/>
      <w:spacing w:after="240" w:line="240" w:lineRule="auto"/>
      <w:ind w:left="720" w:hanging="720"/>
      <w:outlineLvl w:val="0"/>
    </w:pPr>
    <w:rPr>
      <w:rFonts w:ascii="Times New Roman Bold" w:hAnsi="Times New Roman Bold" w:eastAsiaTheme="majorEastAsia" w:cstheme="majorBidi"/>
      <w:b/>
      <w:bCs/>
      <w:szCs w:val="28"/>
    </w:rPr>
  </w:style>
  <w:style w:type="paragraph" w:styleId="Heading2">
    <w:name w:val="heading 2"/>
    <w:basedOn w:val="Normal"/>
    <w:next w:val="Normal"/>
    <w:link w:val="Heading2Char"/>
    <w:autoRedefine/>
    <w:uiPriority w:val="9"/>
    <w:unhideWhenUsed/>
    <w:qFormat/>
    <w:rsid w:val="00A85236"/>
    <w:pPr>
      <w:keepNext/>
      <w:keepLines/>
      <w:spacing w:after="240" w:line="240" w:lineRule="auto"/>
      <w:ind w:left="144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FF4CEC"/>
    <w:pPr>
      <w:keepNext/>
      <w:spacing w:after="240" w:line="240" w:lineRule="auto"/>
      <w:outlineLvl w:val="2"/>
    </w:pPr>
    <w:rPr>
      <w:rFonts w:ascii="Times New Roman Bold" w:hAnsi="Times New Roman Bold" w:eastAsiaTheme="majorEastAsia" w:cstheme="majorBidi"/>
      <w:b/>
      <w:bCs/>
      <w:szCs w:val="20"/>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4CEC"/>
    <w:rPr>
      <w:rFonts w:ascii="Times New Roman Bold" w:hAnsi="Times New Roman Bold" w:eastAsiaTheme="majorEastAsia" w:cstheme="majorBidi"/>
      <w:b/>
      <w:bCs/>
      <w:sz w:val="24"/>
      <w:szCs w:val="20"/>
    </w:rPr>
  </w:style>
  <w:style w:type="character" w:styleId="Hyperlink">
    <w:name w:val="Hyperlink"/>
    <w:basedOn w:val="DefaultParagraphFont"/>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F040C"/>
    <w:rPr>
      <w:rFonts w:ascii="Courier New" w:eastAsia="Courier New" w:hAnsi="Courier New" w:cs="Courier New"/>
      <w:sz w:val="20"/>
      <w:szCs w:val="20"/>
    </w:rPr>
  </w:style>
  <w:style w:type="paragraph" w:styleId="FootnoteText">
    <w:name w:val="footnote text"/>
    <w:basedOn w:val="Normal"/>
    <w:link w:val="FootnoteTextChar"/>
    <w:uiPriority w:val="99"/>
    <w:semiHidden/>
    <w:unhideWhenUsed/>
    <w:rsid w:val="00076C6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76C62"/>
    <w:rPr>
      <w:sz w:val="20"/>
      <w:szCs w:val="20"/>
    </w:rPr>
  </w:style>
  <w:style w:type="character" w:styleId="FootnoteReference">
    <w:name w:val="footnote reference"/>
    <w:basedOn w:val="DefaultParagraphFont"/>
    <w:uiPriority w:val="99"/>
    <w:semiHidden/>
    <w:unhideWhenUsed/>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EC0ED8"/>
    <w:rPr>
      <w:rFonts w:ascii="Times New Roman Bold" w:hAnsi="Times New Roman Bold" w:eastAsiaTheme="majorEastAsia" w:cstheme="majorBidi"/>
      <w:b/>
      <w:bCs/>
      <w:sz w:val="24"/>
      <w:szCs w:val="28"/>
    </w:rPr>
  </w:style>
  <w:style w:type="character" w:customStyle="1" w:styleId="Heading2Char">
    <w:name w:val="Heading 2 Char"/>
    <w:basedOn w:val="DefaultParagraphFont"/>
    <w:link w:val="Heading2"/>
    <w:uiPriority w:val="9"/>
    <w:rsid w:val="00A85236"/>
    <w:rPr>
      <w:rFonts w:ascii="Times New Roman" w:hAnsi="Times New Roman" w:eastAsiaTheme="majorEastAsia" w:cstheme="majorBidi"/>
      <w:b/>
      <w:bCs/>
      <w:sz w:val="24"/>
      <w:szCs w:val="26"/>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semiHidden/>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semiHidden/>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4EEE"/>
    <w:pPr>
      <w:tabs>
        <w:tab w:val="left" w:pos="720"/>
        <w:tab w:val="decimal" w:leader="dot" w:pos="8640"/>
      </w:tabs>
      <w:spacing w:after="240" w:line="240" w:lineRule="auto"/>
      <w:ind w:left="720" w:hanging="720"/>
      <w:outlineLvl w:val="0"/>
    </w:pPr>
    <w:rPr>
      <w:caps/>
    </w:rPr>
  </w:style>
  <w:style w:type="paragraph" w:styleId="TOC2">
    <w:name w:val="toc 2"/>
    <w:basedOn w:val="Normal"/>
    <w:next w:val="Normal"/>
    <w:autoRedefine/>
    <w:uiPriority w:val="39"/>
    <w:unhideWhenUsed/>
    <w:rsid w:val="00AA4EEE"/>
    <w:pPr>
      <w:tabs>
        <w:tab w:val="left" w:pos="720"/>
        <w:tab w:val="decimal" w:leader="dot" w:pos="8640"/>
      </w:tabs>
      <w:spacing w:after="240" w:line="240" w:lineRule="auto"/>
      <w:ind w:left="1440" w:hanging="720"/>
      <w:outlineLvl w:val="1"/>
    </w:pPr>
  </w:style>
  <w:style w:type="paragraph" w:styleId="TOC3">
    <w:name w:val="toc 3"/>
    <w:basedOn w:val="Normal"/>
    <w:next w:val="Normal"/>
    <w:autoRedefine/>
    <w:uiPriority w:val="39"/>
    <w:unhideWhenUsed/>
    <w:qFormat/>
    <w:rsid w:val="00FF4CEC"/>
    <w:pPr>
      <w:tabs>
        <w:tab w:val="decimal" w:leader="dot" w:pos="8640"/>
      </w:tabs>
      <w:spacing w:after="240" w:line="240" w:lineRule="auto"/>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DP L 15-1830 - Motion to Strike Hess Testimony  (00054819.DOCX;4)</vt:lpstr>
    </vt:vector>
  </TitlesOfParts>
  <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2018-05-02T20:56:03Z</dcterms:created>
  <dcterms:modified xsi:type="dcterms:W3CDTF">2018-05-02T20:56:03Z</dcterms:modified>
</cp:coreProperties>
</file>