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60B8E" w14:textId="77777777" w:rsidR="00686833" w:rsidRPr="00686833" w:rsidRDefault="00686833" w:rsidP="00686833">
      <w:pPr>
        <w:jc w:val="center"/>
        <w:rPr>
          <w:rFonts w:ascii="Times New Roman" w:hAnsi="Times New Roman" w:cs="Times New Roman"/>
          <w:b/>
        </w:rPr>
      </w:pPr>
      <w:r w:rsidRPr="00686833">
        <w:rPr>
          <w:rFonts w:ascii="Times New Roman" w:hAnsi="Times New Roman" w:cs="Times New Roman"/>
          <w:b/>
        </w:rPr>
        <w:t>BEFORE</w:t>
      </w:r>
    </w:p>
    <w:p w14:paraId="42A6375A" w14:textId="77777777" w:rsidR="00686833" w:rsidRPr="00686833" w:rsidRDefault="00686833" w:rsidP="00686833">
      <w:pPr>
        <w:jc w:val="center"/>
        <w:rPr>
          <w:rFonts w:ascii="Times New Roman" w:hAnsi="Times New Roman" w:cs="Times New Roman"/>
          <w:b/>
        </w:rPr>
      </w:pPr>
      <w:r w:rsidRPr="00686833">
        <w:rPr>
          <w:rFonts w:ascii="Times New Roman" w:hAnsi="Times New Roman" w:cs="Times New Roman"/>
          <w:b/>
        </w:rPr>
        <w:t>THE PUBLIC UTILITIES COMMISSION OF OHIO</w:t>
      </w:r>
    </w:p>
    <w:p w14:paraId="7DA65FB1" w14:textId="77777777" w:rsidR="00686833" w:rsidRPr="00686833" w:rsidRDefault="00686833" w:rsidP="00686833">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686833" w:rsidRPr="00686833" w14:paraId="78214E6F" w14:textId="77777777" w:rsidTr="006366CA">
        <w:tc>
          <w:tcPr>
            <w:tcW w:w="4608" w:type="dxa"/>
          </w:tcPr>
          <w:p w14:paraId="72B20DFF" w14:textId="77777777" w:rsidR="00686833" w:rsidRPr="00686833" w:rsidRDefault="00686833" w:rsidP="006366CA">
            <w:pPr>
              <w:rPr>
                <w:rFonts w:ascii="Times New Roman" w:hAnsi="Times New Roman" w:cs="Times New Roman"/>
              </w:rPr>
            </w:pPr>
            <w:r w:rsidRPr="00686833">
              <w:rPr>
                <w:rFonts w:ascii="Times New Roman" w:hAnsi="Times New Roman" w:cs="Times New Roman"/>
              </w:rPr>
              <w:t>In the Matter of the Joint Motion to Modify the June 18, 2008 Opinion and Order in Case No. 07-1224-GA-EXM.</w:t>
            </w:r>
          </w:p>
        </w:tc>
        <w:tc>
          <w:tcPr>
            <w:tcW w:w="360" w:type="dxa"/>
          </w:tcPr>
          <w:p w14:paraId="33CFE3DA" w14:textId="77777777" w:rsidR="00686833" w:rsidRPr="00686833" w:rsidRDefault="00686833" w:rsidP="006366CA">
            <w:pPr>
              <w:jc w:val="center"/>
              <w:rPr>
                <w:rFonts w:ascii="Times New Roman" w:hAnsi="Times New Roman" w:cs="Times New Roman"/>
              </w:rPr>
            </w:pPr>
            <w:r w:rsidRPr="00686833">
              <w:rPr>
                <w:rFonts w:ascii="Times New Roman" w:hAnsi="Times New Roman" w:cs="Times New Roman"/>
              </w:rPr>
              <w:t>)</w:t>
            </w:r>
          </w:p>
          <w:p w14:paraId="4964F18B" w14:textId="77777777" w:rsidR="00686833" w:rsidRPr="00686833" w:rsidRDefault="00686833" w:rsidP="006366CA">
            <w:pPr>
              <w:jc w:val="center"/>
              <w:rPr>
                <w:rFonts w:ascii="Times New Roman" w:hAnsi="Times New Roman" w:cs="Times New Roman"/>
              </w:rPr>
            </w:pPr>
            <w:r w:rsidRPr="00686833">
              <w:rPr>
                <w:rFonts w:ascii="Times New Roman" w:hAnsi="Times New Roman" w:cs="Times New Roman"/>
              </w:rPr>
              <w:t>)</w:t>
            </w:r>
          </w:p>
          <w:p w14:paraId="4093490C" w14:textId="77777777" w:rsidR="00686833" w:rsidRPr="00686833" w:rsidRDefault="00686833" w:rsidP="006366CA">
            <w:pPr>
              <w:jc w:val="center"/>
              <w:rPr>
                <w:rFonts w:ascii="Times New Roman" w:hAnsi="Times New Roman" w:cs="Times New Roman"/>
              </w:rPr>
            </w:pPr>
            <w:r w:rsidRPr="00686833">
              <w:rPr>
                <w:rFonts w:ascii="Times New Roman" w:hAnsi="Times New Roman" w:cs="Times New Roman"/>
              </w:rPr>
              <w:t>)</w:t>
            </w:r>
          </w:p>
          <w:p w14:paraId="6D662C3F" w14:textId="77777777" w:rsidR="00686833" w:rsidRPr="00686833" w:rsidRDefault="00686833" w:rsidP="006366CA">
            <w:pPr>
              <w:jc w:val="center"/>
              <w:rPr>
                <w:rFonts w:ascii="Times New Roman" w:hAnsi="Times New Roman" w:cs="Times New Roman"/>
              </w:rPr>
            </w:pPr>
          </w:p>
        </w:tc>
        <w:tc>
          <w:tcPr>
            <w:tcW w:w="4608" w:type="dxa"/>
          </w:tcPr>
          <w:p w14:paraId="03BC5365" w14:textId="77777777" w:rsidR="00686833" w:rsidRPr="00686833" w:rsidRDefault="00686833" w:rsidP="006366CA">
            <w:pPr>
              <w:ind w:firstLine="612"/>
              <w:rPr>
                <w:rFonts w:ascii="Times New Roman" w:hAnsi="Times New Roman" w:cs="Times New Roman"/>
              </w:rPr>
            </w:pPr>
          </w:p>
          <w:p w14:paraId="6AD7E962" w14:textId="77777777" w:rsidR="00686833" w:rsidRPr="00686833" w:rsidRDefault="00686833" w:rsidP="006366CA">
            <w:pPr>
              <w:ind w:firstLine="612"/>
              <w:rPr>
                <w:rFonts w:ascii="Times New Roman" w:hAnsi="Times New Roman" w:cs="Times New Roman"/>
              </w:rPr>
            </w:pPr>
            <w:r w:rsidRPr="00686833">
              <w:rPr>
                <w:rFonts w:ascii="Times New Roman" w:hAnsi="Times New Roman" w:cs="Times New Roman"/>
              </w:rPr>
              <w:t>Case No. 12-1842-GA-EXM</w:t>
            </w:r>
          </w:p>
        </w:tc>
      </w:tr>
    </w:tbl>
    <w:p w14:paraId="30CADFA7" w14:textId="77777777" w:rsidR="00686833" w:rsidRPr="00686833" w:rsidRDefault="00686833" w:rsidP="00686833">
      <w:pPr>
        <w:jc w:val="center"/>
        <w:rPr>
          <w:rFonts w:ascii="Times New Roman" w:hAnsi="Times New Roman" w:cs="Times New Roman"/>
          <w:b/>
        </w:rPr>
      </w:pPr>
    </w:p>
    <w:p w14:paraId="3ED77D62" w14:textId="40BBA12E" w:rsidR="00E05C6A" w:rsidRDefault="00686833" w:rsidP="00E05C6A">
      <w:pPr>
        <w:jc w:val="center"/>
        <w:rPr>
          <w:rFonts w:ascii="Times New Roman" w:hAnsi="Times New Roman" w:cs="Times New Roman"/>
          <w:b/>
        </w:rPr>
      </w:pPr>
      <w:r>
        <w:rPr>
          <w:rFonts w:ascii="Times New Roman" w:hAnsi="Times New Roman" w:cs="Times New Roman"/>
          <w:b/>
        </w:rPr>
        <w:t xml:space="preserve">MEMORANDUM CONTRA OHIO PARTNERS </w:t>
      </w:r>
      <w:r>
        <w:rPr>
          <w:rFonts w:ascii="Times New Roman" w:hAnsi="Times New Roman" w:cs="Times New Roman"/>
          <w:b/>
        </w:rPr>
        <w:br/>
        <w:t xml:space="preserve">FOR AFFORDABLE ENERGY’S MOTION TO DISMISS ON BEHALF </w:t>
      </w:r>
      <w:r>
        <w:rPr>
          <w:rFonts w:ascii="Times New Roman" w:hAnsi="Times New Roman" w:cs="Times New Roman"/>
          <w:b/>
        </w:rPr>
        <w:br/>
      </w:r>
      <w:r w:rsidRPr="00686833">
        <w:rPr>
          <w:rFonts w:ascii="Times New Roman" w:hAnsi="Times New Roman" w:cs="Times New Roman"/>
          <w:b/>
          <w:u w:val="single"/>
        </w:rPr>
        <w:t>OF THE EAST OHIO GAS COMPANY D/B/A DOMINION EAST OHIO</w:t>
      </w:r>
    </w:p>
    <w:p w14:paraId="5DC1C1D0" w14:textId="77777777" w:rsidR="00AE4328" w:rsidRDefault="00AE4328" w:rsidP="00E05C6A">
      <w:pPr>
        <w:jc w:val="center"/>
        <w:rPr>
          <w:rFonts w:ascii="Times New Roman" w:hAnsi="Times New Roman" w:cs="Times New Roman"/>
          <w:b/>
        </w:rPr>
      </w:pPr>
    </w:p>
    <w:p w14:paraId="6EB82D46" w14:textId="2AADD942" w:rsidR="00686833" w:rsidRDefault="00686833" w:rsidP="00686833">
      <w:pPr>
        <w:pStyle w:val="MemoHeading1"/>
      </w:pPr>
      <w:r>
        <w:t>introduction</w:t>
      </w:r>
    </w:p>
    <w:p w14:paraId="46A46352" w14:textId="24DA7869" w:rsidR="00686833" w:rsidRDefault="00686833" w:rsidP="00686833">
      <w:pPr>
        <w:pStyle w:val="MemoBodyText"/>
      </w:pPr>
      <w:r>
        <w:t>On June 15, 2012, The East Ohio Gas Company d/b/a Dominion East Ohio (“DEO”) and the Ohio Gas Marketers</w:t>
      </w:r>
      <w:r w:rsidR="00311FDE">
        <w:t xml:space="preserve"> Group (“OGMG”) (collectively, </w:t>
      </w:r>
      <w:bookmarkStart w:id="0" w:name="_GoBack"/>
      <w:bookmarkEnd w:id="0"/>
      <w:r w:rsidR="00311FDE">
        <w:t>“</w:t>
      </w:r>
      <w:r w:rsidR="00751C66">
        <w:t xml:space="preserve">the </w:t>
      </w:r>
      <w:r>
        <w:t xml:space="preserve">Joint Movants”) filed a </w:t>
      </w:r>
      <w:r w:rsidRPr="008B5023">
        <w:t>Joint Motion to Modify Order Granting Exemption</w:t>
      </w:r>
      <w:r>
        <w:t xml:space="preserve">.  About two weeks later, the Ohio Partners for Affordable Energy (“OPAE”) responded with a Motion to Intervene and to Dismiss.  </w:t>
      </w:r>
    </w:p>
    <w:p w14:paraId="2B831BC1" w14:textId="6041E9B6" w:rsidR="00686833" w:rsidRDefault="00686833" w:rsidP="00686833">
      <w:pPr>
        <w:pStyle w:val="MemoBodyText"/>
      </w:pPr>
      <w:r>
        <w:t xml:space="preserve">The motion to dismiss must be denied.  First, it is procedurally improper.  Rather than accept the allegations in the challenged pleadings as true, OPAE contests them at every point.  While that may be appropriate in a post-hearing brief, it is </w:t>
      </w:r>
      <w:r w:rsidR="006366CA">
        <w:t>im</w:t>
      </w:r>
      <w:r>
        <w:t xml:space="preserve">proper when one is seeking to dismiss a pleading </w:t>
      </w:r>
      <w:r w:rsidR="006366CA">
        <w:t>preemptively</w:t>
      </w:r>
      <w:r>
        <w:t xml:space="preserve">.  </w:t>
      </w:r>
      <w:r w:rsidR="006366CA">
        <w:t>Beyond its dispute of the fact- and merits-based issues, OPAE articu</w:t>
      </w:r>
      <w:r w:rsidR="008B6135">
        <w:t>lates no basis for dismissal.  And n</w:t>
      </w:r>
      <w:r w:rsidR="006366CA">
        <w:t xml:space="preserve">ot only do OPAE’s </w:t>
      </w:r>
      <w:r w:rsidR="002848B3">
        <w:t xml:space="preserve">arguments </w:t>
      </w:r>
      <w:r w:rsidR="006366CA">
        <w:t>fail to justify dismissal, they are simply incorrect</w:t>
      </w:r>
      <w:r>
        <w:t xml:space="preserve">.  </w:t>
      </w:r>
    </w:p>
    <w:p w14:paraId="6A747225" w14:textId="104BE5FD" w:rsidR="00686833" w:rsidRPr="008B5023" w:rsidRDefault="00686833" w:rsidP="00686833">
      <w:pPr>
        <w:pStyle w:val="MemoHeading1"/>
      </w:pPr>
      <w:r>
        <w:t>argument</w:t>
      </w:r>
    </w:p>
    <w:p w14:paraId="5FCC8238" w14:textId="4BE0934D" w:rsidR="00686833" w:rsidRDefault="00686833" w:rsidP="00686833">
      <w:pPr>
        <w:pStyle w:val="MemoHeading2"/>
      </w:pPr>
      <w:r>
        <w:t xml:space="preserve">OPAE’s motion to dismiss is procedurally improper because it disputes </w:t>
      </w:r>
      <w:r w:rsidR="002848B3">
        <w:t xml:space="preserve">the allegations of the Joint Motion </w:t>
      </w:r>
      <w:r>
        <w:t>rather than accept them as true.</w:t>
      </w:r>
    </w:p>
    <w:p w14:paraId="43AC86A5" w14:textId="063332B5" w:rsidR="00686833" w:rsidRDefault="00686833" w:rsidP="00686833">
      <w:pPr>
        <w:pStyle w:val="MemoBodyText"/>
      </w:pPr>
      <w:r>
        <w:t xml:space="preserve">None of OPAE’s arguments, even if they had merit, would justify dismissing </w:t>
      </w:r>
      <w:r w:rsidR="006366CA">
        <w:t>this case</w:t>
      </w:r>
      <w:r>
        <w:t xml:space="preserve">.  “[W]hen a motion to dismiss is being considered, all material allegations must be accepted as true and construed in favor of the non-moving party.”  </w:t>
      </w:r>
      <w:r w:rsidRPr="004D4A99">
        <w:rPr>
          <w:i/>
        </w:rPr>
        <w:t>K&amp;D Group, Inc. v. Cleveland Thermal Steam Dist</w:t>
      </w:r>
      <w:r>
        <w:rPr>
          <w:i/>
        </w:rPr>
        <w:t>.</w:t>
      </w:r>
      <w:r>
        <w:t xml:space="preserve">, Case No. 11-898-HT-CSS, 2012 Ohio PUC LEXIS 531, Entry at *11 (May 30, </w:t>
      </w:r>
      <w:r>
        <w:lastRenderedPageBreak/>
        <w:t>2012).  But rather than “accept . . . as true” the allegations</w:t>
      </w:r>
      <w:r w:rsidR="006366CA">
        <w:t xml:space="preserve"> in the Joint Motion</w:t>
      </w:r>
      <w:r>
        <w:t xml:space="preserve">, </w:t>
      </w:r>
      <w:r w:rsidRPr="004D4A99">
        <w:rPr>
          <w:i/>
        </w:rPr>
        <w:t>id</w:t>
      </w:r>
      <w:r>
        <w:t xml:space="preserve">., </w:t>
      </w:r>
      <w:r w:rsidRPr="004D4A99">
        <w:t>OPAE</w:t>
      </w:r>
      <w:r>
        <w:t xml:space="preserve"> openly </w:t>
      </w:r>
      <w:r w:rsidRPr="008B6135">
        <w:t>contests</w:t>
      </w:r>
      <w:r>
        <w:t xml:space="preserve"> them.  </w:t>
      </w:r>
      <w:r w:rsidR="006366CA">
        <w:t xml:space="preserve">Although </w:t>
      </w:r>
      <w:r>
        <w:t xml:space="preserve">disagreeing on all counts may serve OPAE’s editorial purposes, it is counterproductive in a motion to dismiss.  </w:t>
      </w:r>
    </w:p>
    <w:p w14:paraId="4CB63BC9" w14:textId="20D28FBB" w:rsidR="00686833" w:rsidRDefault="006366CA" w:rsidP="00686833">
      <w:pPr>
        <w:pStyle w:val="MemoBodyText"/>
      </w:pPr>
      <w:r>
        <w:t xml:space="preserve">None of the grounds put forth by </w:t>
      </w:r>
      <w:r w:rsidR="00686833">
        <w:t xml:space="preserve">OPAE </w:t>
      </w:r>
      <w:r>
        <w:t>establish that this case should be preemptively dismissed</w:t>
      </w:r>
      <w:r w:rsidR="00686833">
        <w:t xml:space="preserve">. </w:t>
      </w:r>
      <w:r>
        <w:t xml:space="preserve"> </w:t>
      </w:r>
      <w:r w:rsidR="00686833">
        <w:t>OPAE’s first ground for dismissal is that DEO and the Marketers have not “</w:t>
      </w:r>
      <w:r w:rsidR="00686833" w:rsidRPr="00051F45">
        <w:t xml:space="preserve">demonstrated that </w:t>
      </w:r>
      <w:r w:rsidR="00686833">
        <w:t xml:space="preserve">[they are] </w:t>
      </w:r>
      <w:r w:rsidR="00686833" w:rsidRPr="00051F45">
        <w:t>adversely affected by the current alternative regulation plan</w:t>
      </w:r>
      <w:r w:rsidR="00686833">
        <w:t>.”  (OPAE Memo. at 4.)  DEO disagrees</w:t>
      </w:r>
      <w:r>
        <w:t xml:space="preserve"> with that assertion and with the interpretation of law behind it.  B</w:t>
      </w:r>
      <w:r w:rsidR="00686833">
        <w:t>ut even were OPAE correct</w:t>
      </w:r>
      <w:r>
        <w:t xml:space="preserve"> as to both</w:t>
      </w:r>
      <w:r w:rsidR="00686833">
        <w:t xml:space="preserve">, </w:t>
      </w:r>
      <w:r>
        <w:t xml:space="preserve">the </w:t>
      </w:r>
      <w:r w:rsidR="00686833">
        <w:t xml:space="preserve">lack of a </w:t>
      </w:r>
      <w:r>
        <w:t>“</w:t>
      </w:r>
      <w:r w:rsidR="00686833">
        <w:t>demonstrated</w:t>
      </w:r>
      <w:r>
        <w:t>”</w:t>
      </w:r>
      <w:r w:rsidR="00686833">
        <w:t xml:space="preserve"> fact </w:t>
      </w:r>
      <w:r>
        <w:t xml:space="preserve">at this stage of the proceedings would not call for dismissal, </w:t>
      </w:r>
      <w:r w:rsidR="00686833">
        <w:t xml:space="preserve">but </w:t>
      </w:r>
      <w:r>
        <w:t xml:space="preserve">for </w:t>
      </w:r>
      <w:r w:rsidR="00686833">
        <w:t xml:space="preserve">a hearing and an opportunity to make </w:t>
      </w:r>
      <w:r>
        <w:t xml:space="preserve">the </w:t>
      </w:r>
      <w:r w:rsidR="00686833">
        <w:t xml:space="preserve">demonstration.  </w:t>
      </w:r>
    </w:p>
    <w:p w14:paraId="062071AE" w14:textId="7647FAB1" w:rsidR="00686833" w:rsidRDefault="00686833" w:rsidP="00686833">
      <w:pPr>
        <w:pStyle w:val="MemoBodyText"/>
      </w:pPr>
      <w:r>
        <w:t xml:space="preserve">OPAE’s second ground is that the “motion is based on </w:t>
      </w:r>
      <w:r w:rsidRPr="003A74AF">
        <w:t>a false premise that the findings upon which the June 18, 2008 exemption order was based are no longer valid</w:t>
      </w:r>
      <w:r>
        <w:t>.”  (</w:t>
      </w:r>
      <w:r w:rsidRPr="008D1131">
        <w:rPr>
          <w:i/>
        </w:rPr>
        <w:t>Id</w:t>
      </w:r>
      <w:r>
        <w:t xml:space="preserve">. at </w:t>
      </w:r>
      <w:r w:rsidRPr="008D1131">
        <w:t>4</w:t>
      </w:r>
      <w:r>
        <w:t xml:space="preserve">.)  Again, OPAE is plainly not “accepting as true” this factual allegation in the Joint Motion.  Whether </w:t>
      </w:r>
      <w:r w:rsidR="006366CA">
        <w:t>a given “</w:t>
      </w:r>
      <w:r>
        <w:t>premise</w:t>
      </w:r>
      <w:r w:rsidR="006366CA">
        <w:t>”</w:t>
      </w:r>
      <w:r>
        <w:t xml:space="preserve"> is </w:t>
      </w:r>
      <w:r w:rsidR="006366CA">
        <w:t>“</w:t>
      </w:r>
      <w:r>
        <w:t>false</w:t>
      </w:r>
      <w:r w:rsidR="006366CA">
        <w:t>”</w:t>
      </w:r>
      <w:r>
        <w:t xml:space="preserve"> is a factual, merits issue, not a basis for cutting short the proceeding.  </w:t>
      </w:r>
    </w:p>
    <w:p w14:paraId="25B5C3A7" w14:textId="6FDF7874" w:rsidR="00686833" w:rsidRDefault="006366CA" w:rsidP="00686833">
      <w:pPr>
        <w:pStyle w:val="MemoBodyText"/>
      </w:pPr>
      <w:r>
        <w:t xml:space="preserve">The same goes for </w:t>
      </w:r>
      <w:r w:rsidR="00686833">
        <w:t>OPAE’s third ground</w:t>
      </w:r>
      <w:r>
        <w:t xml:space="preserve">, in which OPAE disputes </w:t>
      </w:r>
      <w:r w:rsidR="00686833">
        <w:t>the Joint Movants’ assertion that the Joint Motion will further state policy.  (</w:t>
      </w:r>
      <w:r w:rsidR="00686833" w:rsidRPr="008D1131">
        <w:rPr>
          <w:i/>
        </w:rPr>
        <w:t>Id</w:t>
      </w:r>
      <w:r>
        <w:t>. at 8.)  Again, disputing how the law applies to certain facts is eminently appropriate</w:t>
      </w:r>
      <w:r w:rsidR="00686833">
        <w:t xml:space="preserve"> </w:t>
      </w:r>
      <w:r>
        <w:t xml:space="preserve">during a </w:t>
      </w:r>
      <w:r w:rsidR="00686833">
        <w:t xml:space="preserve">hearing and </w:t>
      </w:r>
      <w:r>
        <w:t xml:space="preserve">in post-hearing </w:t>
      </w:r>
      <w:r w:rsidR="00686833">
        <w:t>brief</w:t>
      </w:r>
      <w:r>
        <w:t>s</w:t>
      </w:r>
      <w:r w:rsidR="00686833">
        <w:t xml:space="preserve">; </w:t>
      </w:r>
      <w:r>
        <w:t>but such a dispute is an improper ground</w:t>
      </w:r>
      <w:r w:rsidR="00686833">
        <w:t xml:space="preserve"> for dismissal.</w:t>
      </w:r>
    </w:p>
    <w:p w14:paraId="491FB449" w14:textId="77777777" w:rsidR="00686833" w:rsidRDefault="00686833" w:rsidP="00686833">
      <w:pPr>
        <w:pStyle w:val="MemoBodyText"/>
      </w:pPr>
      <w:r>
        <w:t>OPAE’s fourth and final ground for dismissal is that the stipulation “</w:t>
      </w:r>
      <w:r w:rsidRPr="008D1131">
        <w:t>is not the product of serious bargaining among interested groups.</w:t>
      </w:r>
      <w:r>
        <w:t>”  (</w:t>
      </w:r>
      <w:r w:rsidRPr="008D1131">
        <w:rPr>
          <w:i/>
        </w:rPr>
        <w:t>Id</w:t>
      </w:r>
      <w:r>
        <w:t xml:space="preserve">. at 9.)  Once again, this is a question of fact, not a ground for preemptive dismissal.  </w:t>
      </w:r>
    </w:p>
    <w:p w14:paraId="60542D75" w14:textId="01A7F6BB" w:rsidR="00686833" w:rsidRDefault="006366CA" w:rsidP="00686833">
      <w:pPr>
        <w:pStyle w:val="MemoBodyText"/>
      </w:pPr>
      <w:r>
        <w:lastRenderedPageBreak/>
        <w:t>W</w:t>
      </w:r>
      <w:r w:rsidR="00686833">
        <w:t>hile OPAE</w:t>
      </w:r>
      <w:r>
        <w:t>’s motion</w:t>
      </w:r>
      <w:r w:rsidR="00686833">
        <w:t xml:space="preserve"> </w:t>
      </w:r>
      <w:r w:rsidR="002848B3">
        <w:t>succeeds</w:t>
      </w:r>
      <w:r>
        <w:t xml:space="preserve"> in registering OPAE’s </w:t>
      </w:r>
      <w:r w:rsidR="00686833">
        <w:t xml:space="preserve">views, it </w:t>
      </w:r>
      <w:r w:rsidR="002848B3">
        <w:t>fails</w:t>
      </w:r>
      <w:r>
        <w:t xml:space="preserve"> to provide</w:t>
      </w:r>
      <w:r w:rsidR="00686833">
        <w:t xml:space="preserve"> </w:t>
      </w:r>
      <w:r>
        <w:t xml:space="preserve">any </w:t>
      </w:r>
      <w:r w:rsidR="00686833">
        <w:t xml:space="preserve">basis for dismissing </w:t>
      </w:r>
      <w:r w:rsidR="002848B3">
        <w:t>the case</w:t>
      </w:r>
      <w:r w:rsidR="00686833">
        <w:t xml:space="preserve">. </w:t>
      </w:r>
      <w:r w:rsidR="002848B3">
        <w:t xml:space="preserve"> OPAE has not shown that this case does not belong before the Commission.  However the issues </w:t>
      </w:r>
      <w:r w:rsidR="008B6135">
        <w:t>in</w:t>
      </w:r>
      <w:r w:rsidR="002848B3">
        <w:t xml:space="preserve"> this case are ultimately resolved, they should proceed for resolution.</w:t>
      </w:r>
    </w:p>
    <w:p w14:paraId="1860D2A6" w14:textId="75196C31" w:rsidR="00686833" w:rsidRDefault="008B6135" w:rsidP="00686833">
      <w:pPr>
        <w:pStyle w:val="MemoHeading2"/>
      </w:pPr>
      <w:r>
        <w:t>OPAE’s arguments lack</w:t>
      </w:r>
      <w:r w:rsidR="00686833">
        <w:t xml:space="preserve"> merit.</w:t>
      </w:r>
    </w:p>
    <w:p w14:paraId="557DE86B" w14:textId="23B11936" w:rsidR="00686833" w:rsidRPr="00CD0672" w:rsidRDefault="002848B3" w:rsidP="00686833">
      <w:pPr>
        <w:pStyle w:val="MemoBodyText"/>
      </w:pPr>
      <w:r>
        <w:t>O</w:t>
      </w:r>
      <w:r w:rsidR="002915CF">
        <w:t>PAE’s arguments</w:t>
      </w:r>
      <w:r w:rsidR="008B6135">
        <w:t xml:space="preserve"> do not justify dismissal; they</w:t>
      </w:r>
      <w:r w:rsidR="002915CF">
        <w:t xml:space="preserve"> are also incorrect.</w:t>
      </w:r>
    </w:p>
    <w:p w14:paraId="5A4A40F6" w14:textId="087692DC" w:rsidR="00686833" w:rsidRDefault="002915CF" w:rsidP="00686833">
      <w:pPr>
        <w:pStyle w:val="MemoHeading3"/>
      </w:pPr>
      <w:r>
        <w:t xml:space="preserve">The Joint Movants </w:t>
      </w:r>
      <w:r w:rsidR="002848B3">
        <w:t>a</w:t>
      </w:r>
      <w:r>
        <w:t>re eligible to file the Joint Motion</w:t>
      </w:r>
      <w:r w:rsidR="00686833">
        <w:t>.</w:t>
      </w:r>
    </w:p>
    <w:p w14:paraId="6DAB1360" w14:textId="6D27175D" w:rsidR="00686833" w:rsidRDefault="002915CF" w:rsidP="00686833">
      <w:pPr>
        <w:pStyle w:val="MemoBodyText"/>
      </w:pPr>
      <w:r>
        <w:t>Relying on R.C. 4929.08(A), OPAE asserts tha</w:t>
      </w:r>
      <w:r w:rsidR="00686833">
        <w:t xml:space="preserve">t the Joint Movants are not “eligible” to file the motion because they are not “adversely affected” by the exemption order.  (OPAE Memo. at 3–4.)  </w:t>
      </w:r>
    </w:p>
    <w:p w14:paraId="57134D4C" w14:textId="3C41C96E" w:rsidR="00686833" w:rsidRDefault="00686833" w:rsidP="00686833">
      <w:pPr>
        <w:pStyle w:val="MemoBodyText"/>
      </w:pPr>
      <w:r>
        <w:t xml:space="preserve">First, OPAE </w:t>
      </w:r>
      <w:r w:rsidR="002915CF">
        <w:t>misconstrues this language of the statute</w:t>
      </w:r>
      <w:r>
        <w:t xml:space="preserve">.  R.C. 4929.08(A) authorizes </w:t>
      </w:r>
      <w:r w:rsidRPr="00CD0672">
        <w:t xml:space="preserve">the </w:t>
      </w:r>
      <w:r>
        <w:t>Commission to modify any exemption order “</w:t>
      </w:r>
      <w:r w:rsidRPr="00CD0672">
        <w:t>upon its own motion or upon the motion of any person adversely affected by such exemption</w:t>
      </w:r>
      <w:r>
        <w:t xml:space="preserve">,” after notice and hearing.  </w:t>
      </w:r>
      <w:r w:rsidR="002915CF">
        <w:t>As a structural matter</w:t>
      </w:r>
      <w:r>
        <w:t xml:space="preserve">, </w:t>
      </w:r>
      <w:r w:rsidR="002915CF">
        <w:t xml:space="preserve">this </w:t>
      </w:r>
      <w:r>
        <w:t xml:space="preserve">clause </w:t>
      </w:r>
      <w:r w:rsidR="002915CF">
        <w:t xml:space="preserve">does not operate as </w:t>
      </w:r>
      <w:r>
        <w:t xml:space="preserve">a </w:t>
      </w:r>
      <w:r w:rsidRPr="002915CF">
        <w:rPr>
          <w:i/>
        </w:rPr>
        <w:t xml:space="preserve">limit </w:t>
      </w:r>
      <w:r w:rsidR="002915CF">
        <w:t xml:space="preserve">on the Commission.  </w:t>
      </w:r>
      <w:r>
        <w:t xml:space="preserve">Rather, this </w:t>
      </w:r>
      <w:r w:rsidR="002915CF">
        <w:t xml:space="preserve">is </w:t>
      </w:r>
      <w:r w:rsidR="002915CF">
        <w:rPr>
          <w:i/>
        </w:rPr>
        <w:t xml:space="preserve">authorizing </w:t>
      </w:r>
      <w:r>
        <w:t>language</w:t>
      </w:r>
      <w:r w:rsidR="002915CF">
        <w:t>, clarifying</w:t>
      </w:r>
      <w:r>
        <w:t xml:space="preserve"> that the Commission’s authority may be exercised on “its own” or in response to </w:t>
      </w:r>
      <w:r w:rsidR="002915CF">
        <w:t xml:space="preserve">a </w:t>
      </w:r>
      <w:r>
        <w:t>motion</w:t>
      </w:r>
      <w:r w:rsidR="002915CF">
        <w:t xml:space="preserve"> by “any person adversely affected.”  </w:t>
      </w:r>
      <w:r>
        <w:t xml:space="preserve">The </w:t>
      </w:r>
      <w:r w:rsidR="002915CF">
        <w:t xml:space="preserve">phrase </w:t>
      </w:r>
      <w:r>
        <w:t xml:space="preserve">“any person” does not suggest narrowness, and, logically, any party asking the Commission to </w:t>
      </w:r>
      <w:r w:rsidRPr="00CD0672">
        <w:rPr>
          <w:i/>
        </w:rPr>
        <w:t xml:space="preserve">modify </w:t>
      </w:r>
      <w:r>
        <w:t xml:space="preserve">an order must find it “adverse” in some regard. </w:t>
      </w:r>
      <w:r w:rsidR="002915CF">
        <w:t xml:space="preserve"> Proving the point, </w:t>
      </w:r>
      <w:r>
        <w:t xml:space="preserve">the statute </w:t>
      </w:r>
      <w:r w:rsidR="002915CF">
        <w:t xml:space="preserve">elsewhere </w:t>
      </w:r>
      <w:r>
        <w:t xml:space="preserve">sets forth two mandatory conditions, </w:t>
      </w:r>
      <w:r w:rsidR="002915CF">
        <w:t xml:space="preserve">but </w:t>
      </w:r>
      <w:r>
        <w:t xml:space="preserve">an “adverse effect” finding is not one of them.  </w:t>
      </w:r>
      <w:r>
        <w:rPr>
          <w:i/>
        </w:rPr>
        <w:t xml:space="preserve">See </w:t>
      </w:r>
      <w:r>
        <w:t xml:space="preserve">R.C. 4929.08(A)(1) &amp; (2).  In short, </w:t>
      </w:r>
      <w:r w:rsidR="008B6135">
        <w:t>this language authorizes action;</w:t>
      </w:r>
      <w:r>
        <w:t xml:space="preserve"> it does not limit the Commission.  </w:t>
      </w:r>
    </w:p>
    <w:p w14:paraId="1A894D87" w14:textId="5790A9E3" w:rsidR="00686833" w:rsidRDefault="002915CF" w:rsidP="00686833">
      <w:pPr>
        <w:pStyle w:val="MemoBodyText"/>
      </w:pPr>
      <w:r>
        <w:t>Moreover</w:t>
      </w:r>
      <w:r w:rsidR="00686833">
        <w:t xml:space="preserve">, even if an independent “adverse effect” showing were required, </w:t>
      </w:r>
      <w:r>
        <w:t xml:space="preserve">it has been shown.  The Joint Movants, each one an active participant in the state’s natural gas markets and each one directly affected if retail competition fails to </w:t>
      </w:r>
      <w:r w:rsidR="00484095">
        <w:t>thrive</w:t>
      </w:r>
      <w:r>
        <w:t>, explained in detail that the current system is hindering</w:t>
      </w:r>
      <w:r w:rsidR="002557CC">
        <w:t xml:space="preserve"> the development of full retail competition</w:t>
      </w:r>
      <w:r>
        <w:t>.</w:t>
      </w:r>
      <w:r w:rsidR="00484095">
        <w:t xml:space="preserve">  (</w:t>
      </w:r>
      <w:r w:rsidR="00484095">
        <w:rPr>
          <w:i/>
        </w:rPr>
        <w:t xml:space="preserve">See </w:t>
      </w:r>
      <w:r w:rsidR="00484095">
        <w:t>Joint Mot. at 4-5.)</w:t>
      </w:r>
      <w:r>
        <w:t xml:space="preserve">  </w:t>
      </w:r>
      <w:r w:rsidR="00484095">
        <w:t xml:space="preserve">Indeed, </w:t>
      </w:r>
      <w:r w:rsidR="00686833">
        <w:lastRenderedPageBreak/>
        <w:t xml:space="preserve">OPAE </w:t>
      </w:r>
      <w:r w:rsidR="008B6135">
        <w:rPr>
          <w:i/>
        </w:rPr>
        <w:t>concedes</w:t>
      </w:r>
      <w:r w:rsidR="00686833" w:rsidRPr="00484095">
        <w:rPr>
          <w:i/>
        </w:rPr>
        <w:t xml:space="preserve"> </w:t>
      </w:r>
      <w:r w:rsidR="00686833">
        <w:t xml:space="preserve">an </w:t>
      </w:r>
      <w:r w:rsidR="00484095">
        <w:t xml:space="preserve">adverse </w:t>
      </w:r>
      <w:r w:rsidR="00686833">
        <w:t xml:space="preserve">effect elsewhere in its filing.  </w:t>
      </w:r>
      <w:r w:rsidR="00484095">
        <w:t xml:space="preserve">It </w:t>
      </w:r>
      <w:r w:rsidR="00686833">
        <w:t>admits that granting the Joint Motion will further “[t]</w:t>
      </w:r>
      <w:r w:rsidR="00686833" w:rsidRPr="00A2682B">
        <w:t>he interest of marketers</w:t>
      </w:r>
      <w:r w:rsidR="00686833">
        <w:t>” to serve “</w:t>
      </w:r>
      <w:r w:rsidR="00686833" w:rsidRPr="00A2682B">
        <w:t>more customers</w:t>
      </w:r>
      <w:r w:rsidR="00686833">
        <w:t xml:space="preserve">” than under the existing order.  (OPAE Memo. at 7–8.)  This plainly acknowledges that a moving party is adversely affected by the current order, which even under OPAE’s </w:t>
      </w:r>
      <w:r w:rsidR="00484095">
        <w:t xml:space="preserve">misconstrual </w:t>
      </w:r>
      <w:r w:rsidR="00686833">
        <w:t xml:space="preserve">of R.C. 4929.08(A) is sufficient to allow the motion to proceed.  </w:t>
      </w:r>
    </w:p>
    <w:p w14:paraId="2070039E" w14:textId="77777777" w:rsidR="00686833" w:rsidRDefault="00686833" w:rsidP="00686833">
      <w:pPr>
        <w:pStyle w:val="MemoBodyText"/>
      </w:pPr>
      <w:r>
        <w:t>OPAE’s first ground lacks merit and should be rejected.</w:t>
      </w:r>
    </w:p>
    <w:p w14:paraId="04479A7F" w14:textId="77777777" w:rsidR="00686833" w:rsidRDefault="00686833" w:rsidP="00686833">
      <w:pPr>
        <w:pStyle w:val="MemoHeading3"/>
      </w:pPr>
      <w:r>
        <w:t xml:space="preserve">OPAE has not shown that the findings on which the Exemption Order was based remain valid.  </w:t>
      </w:r>
    </w:p>
    <w:p w14:paraId="49FEA24C" w14:textId="01AC0109" w:rsidR="00686833" w:rsidRDefault="002848B3" w:rsidP="00686833">
      <w:pPr>
        <w:pStyle w:val="MemoBodyText"/>
      </w:pPr>
      <w:r>
        <w:t>For</w:t>
      </w:r>
      <w:r w:rsidR="002557CC">
        <w:t xml:space="preserve"> its second ground, OPAE</w:t>
      </w:r>
      <w:r w:rsidR="00686833">
        <w:t xml:space="preserve"> </w:t>
      </w:r>
      <w:r w:rsidR="002557CC">
        <w:t xml:space="preserve">asserts </w:t>
      </w:r>
      <w:r w:rsidR="00686833">
        <w:t xml:space="preserve">that none of the findings in </w:t>
      </w:r>
      <w:r>
        <w:t xml:space="preserve">the </w:t>
      </w:r>
      <w:r w:rsidR="00686833">
        <w:t>June 18, 2008 Exemption Order are invalid.  (OPAE Memo. at 4–7.)  It has not made this showing.</w:t>
      </w:r>
    </w:p>
    <w:p w14:paraId="48A5253C" w14:textId="3EB05BCF" w:rsidR="00686833" w:rsidRDefault="00686833" w:rsidP="00686833">
      <w:pPr>
        <w:pStyle w:val="MemoBodyText"/>
      </w:pPr>
      <w:r>
        <w:t>Before the Commission may modify an exemption order, it must “determine[]</w:t>
      </w:r>
      <w:r w:rsidRPr="006070E7">
        <w:t xml:space="preserve"> that the findings upon which the order was based are no longer valid</w:t>
      </w:r>
      <w:r>
        <w:t xml:space="preserve">.”  R.C. 4929.08(A)(1).  This does not mean that the Commission must be able to quote some sentence in the order that has been conclusively refuted.  </w:t>
      </w:r>
      <w:r w:rsidR="002557CC">
        <w:t xml:space="preserve">While that would be sufficient, it is not necessary.  </w:t>
      </w:r>
      <w:r>
        <w:t xml:space="preserve">The statute speaks more broadly to the findings </w:t>
      </w:r>
      <w:r w:rsidRPr="00C227A0">
        <w:rPr>
          <w:i/>
        </w:rPr>
        <w:t xml:space="preserve">underlying </w:t>
      </w:r>
      <w:r>
        <w:t>the order (those “upon which the order was based”), and it does not require that these findings be express</w:t>
      </w:r>
      <w:r w:rsidR="002848B3">
        <w:t>ly stated</w:t>
      </w:r>
      <w:r>
        <w:t xml:space="preserve">.  If those findings </w:t>
      </w:r>
      <w:r w:rsidRPr="00C227A0">
        <w:rPr>
          <w:i/>
        </w:rPr>
        <w:t xml:space="preserve">were </w:t>
      </w:r>
      <w:r>
        <w:t xml:space="preserve">required to be express, it would significantly limit the Commission’s ability to exercise continuing jurisdiction to modify orders.  </w:t>
      </w:r>
    </w:p>
    <w:p w14:paraId="029250A8" w14:textId="3CEDE173" w:rsidR="00686833" w:rsidRDefault="004854AE" w:rsidP="00686833">
      <w:pPr>
        <w:pStyle w:val="MemoBodyText"/>
      </w:pPr>
      <w:r>
        <w:t>In the Joint Motion, t</w:t>
      </w:r>
      <w:r w:rsidR="00686833">
        <w:t xml:space="preserve">he </w:t>
      </w:r>
      <w:r>
        <w:t>m</w:t>
      </w:r>
      <w:r w:rsidR="00686833">
        <w:t xml:space="preserve">ovants cited DEO’s application and testimony in Case 07-1224, which demonstrated an expectation that SCO service would end sometime in 2010.  OPAE criticizes DEO’s citation of </w:t>
      </w:r>
      <w:r w:rsidR="002848B3">
        <w:t xml:space="preserve">the </w:t>
      </w:r>
      <w:r w:rsidR="00686833">
        <w:t>application and testimony</w:t>
      </w:r>
      <w:r>
        <w:t xml:space="preserve"> as not reflecting findings of the Commission</w:t>
      </w:r>
      <w:r w:rsidR="00686833">
        <w:t xml:space="preserve">, but the Commission </w:t>
      </w:r>
      <w:r w:rsidR="00686833" w:rsidRPr="0020194E">
        <w:rPr>
          <w:i/>
        </w:rPr>
        <w:t xml:space="preserve">expressly </w:t>
      </w:r>
      <w:r w:rsidR="00686833">
        <w:t>relied on both in issuing the exemption order.  The stipulation recommended “approval of the Application as filed” (Case 07-1224 Stip. at 3), and the Commission specifically relied on “</w:t>
      </w:r>
      <w:r w:rsidR="00686833" w:rsidRPr="006070E7">
        <w:t>this application, the stipulati</w:t>
      </w:r>
      <w:r w:rsidR="00686833">
        <w:t xml:space="preserve">on, and the testimony on </w:t>
      </w:r>
      <w:r w:rsidR="00686833">
        <w:lastRenderedPageBreak/>
        <w:t>record” in approving the stipulation.  Case 07-1224 Order at 20.  The expectations set forth in those documents, however, have not materialized, which is why modification is necessary.</w:t>
      </w:r>
    </w:p>
    <w:p w14:paraId="422CF90D" w14:textId="3EC423B5" w:rsidR="00686833" w:rsidRDefault="00686833" w:rsidP="00686833">
      <w:pPr>
        <w:pStyle w:val="MemoBodyText"/>
      </w:pPr>
      <w:r>
        <w:t>OPAE also notes that the stipulation in Case 07-1224 required further proceedings before moving beyond SCO service.  Based on this, OPAE argues that t</w:t>
      </w:r>
      <w:r w:rsidRPr="0081452B">
        <w:t xml:space="preserve">he Commission </w:t>
      </w:r>
      <w:r>
        <w:t>“</w:t>
      </w:r>
      <w:r w:rsidRPr="0081452B">
        <w:t>did not find that there would be no SCO service after 2011</w:t>
      </w:r>
      <w:r w:rsidR="002557CC">
        <w:t>.</w:t>
      </w:r>
      <w:r>
        <w:t>”</w:t>
      </w:r>
      <w:r w:rsidR="002557CC">
        <w:t xml:space="preserve">  (OPAE Memo. at 6.)  </w:t>
      </w:r>
      <w:r>
        <w:t xml:space="preserve">OPAE </w:t>
      </w:r>
      <w:r w:rsidR="002557CC">
        <w:t xml:space="preserve">then </w:t>
      </w:r>
      <w:r w:rsidR="002848B3">
        <w:t xml:space="preserve">equates </w:t>
      </w:r>
      <w:r w:rsidR="002557CC">
        <w:t>this</w:t>
      </w:r>
      <w:r w:rsidR="002848B3">
        <w:t xml:space="preserve"> </w:t>
      </w:r>
      <w:r w:rsidR="002848B3" w:rsidRPr="002848B3">
        <w:t xml:space="preserve">lack </w:t>
      </w:r>
      <w:r w:rsidR="002848B3">
        <w:t>of a finding</w:t>
      </w:r>
      <w:r w:rsidR="002557CC">
        <w:t xml:space="preserve"> </w:t>
      </w:r>
      <w:r w:rsidR="002848B3">
        <w:t xml:space="preserve">with </w:t>
      </w:r>
      <w:r w:rsidR="002557CC">
        <w:t xml:space="preserve">an </w:t>
      </w:r>
      <w:r w:rsidR="002557CC" w:rsidRPr="002848B3">
        <w:t xml:space="preserve">affirmative </w:t>
      </w:r>
      <w:r>
        <w:t>finding that SCO service would continue past 2011.  (</w:t>
      </w:r>
      <w:r w:rsidR="002557CC" w:rsidRPr="002557CC">
        <w:rPr>
          <w:i/>
        </w:rPr>
        <w:t>Id</w:t>
      </w:r>
      <w:r>
        <w:t xml:space="preserve">.)  Thus, </w:t>
      </w:r>
      <w:r w:rsidR="002848B3">
        <w:t>OPAE concludes</w:t>
      </w:r>
      <w:r>
        <w:t xml:space="preserve">, </w:t>
      </w:r>
      <w:r w:rsidR="002848B3">
        <w:t xml:space="preserve">the </w:t>
      </w:r>
      <w:r>
        <w:t>“finding”</w:t>
      </w:r>
      <w:r w:rsidR="002557CC">
        <w:t xml:space="preserve"> that SCO service would continue</w:t>
      </w:r>
      <w:r>
        <w:t xml:space="preserve"> remains valid, </w:t>
      </w:r>
      <w:r w:rsidR="002848B3">
        <w:t xml:space="preserve">and </w:t>
      </w:r>
      <w:r w:rsidR="002557CC">
        <w:t xml:space="preserve">the requested </w:t>
      </w:r>
      <w:r>
        <w:t xml:space="preserve">modification is improper.  </w:t>
      </w:r>
    </w:p>
    <w:p w14:paraId="1CCF5982" w14:textId="7E99D3C9" w:rsidR="00CE3850" w:rsidRDefault="00CE3850" w:rsidP="00686833">
      <w:pPr>
        <w:pStyle w:val="MemoBodyText"/>
      </w:pPr>
      <w:r>
        <w:t xml:space="preserve">It takes </w:t>
      </w:r>
      <w:r w:rsidRPr="002557CC">
        <w:t xml:space="preserve">a </w:t>
      </w:r>
      <w:r>
        <w:t xml:space="preserve">severely </w:t>
      </w:r>
      <w:r w:rsidRPr="002557CC">
        <w:t xml:space="preserve">tortured argument </w:t>
      </w:r>
      <w:r>
        <w:t xml:space="preserve">to insist that the very </w:t>
      </w:r>
      <w:r w:rsidRPr="002848B3">
        <w:t xml:space="preserve">language </w:t>
      </w:r>
      <w:r w:rsidRPr="002848B3">
        <w:rPr>
          <w:i/>
        </w:rPr>
        <w:t xml:space="preserve">calling for </w:t>
      </w:r>
      <w:r w:rsidRPr="002557CC">
        <w:t xml:space="preserve">additional proceedings </w:t>
      </w:r>
      <w:r>
        <w:t xml:space="preserve">requires </w:t>
      </w:r>
      <w:r w:rsidRPr="002848B3">
        <w:rPr>
          <w:i/>
        </w:rPr>
        <w:t xml:space="preserve">dismissing </w:t>
      </w:r>
      <w:r w:rsidR="002848B3">
        <w:t>them</w:t>
      </w:r>
      <w:r w:rsidRPr="002557CC">
        <w:t>.</w:t>
      </w:r>
      <w:r>
        <w:t xml:space="preserve">  </w:t>
      </w:r>
      <w:r w:rsidR="002848B3">
        <w:t xml:space="preserve">Indeed, the logic of </w:t>
      </w:r>
      <w:r>
        <w:t xml:space="preserve">OPAE’s </w:t>
      </w:r>
      <w:r w:rsidR="00686833">
        <w:t xml:space="preserve">argument would render modification impossible in every case.  </w:t>
      </w:r>
      <w:r w:rsidR="002848B3">
        <w:t>The Joint Movants are seeking to modify the part of the Exemption Order that allows SCO service to continue indefinitely.  I</w:t>
      </w:r>
      <w:r w:rsidR="00686833">
        <w:t xml:space="preserve">f </w:t>
      </w:r>
      <w:r w:rsidR="002848B3">
        <w:t xml:space="preserve">OPAE is correct that </w:t>
      </w:r>
      <w:r w:rsidR="00686833">
        <w:t xml:space="preserve">the very </w:t>
      </w:r>
      <w:r w:rsidR="002848B3">
        <w:t xml:space="preserve">provision </w:t>
      </w:r>
      <w:r w:rsidR="00686833">
        <w:t xml:space="preserve">of the order to be modified is </w:t>
      </w:r>
      <w:r w:rsidR="002557CC">
        <w:t xml:space="preserve">deemed </w:t>
      </w:r>
      <w:r w:rsidR="00686833">
        <w:t xml:space="preserve">a </w:t>
      </w:r>
      <w:r w:rsidR="002557CC">
        <w:t>“</w:t>
      </w:r>
      <w:r w:rsidR="00686833">
        <w:t>finding,</w:t>
      </w:r>
      <w:r w:rsidR="002557CC">
        <w:t>”</w:t>
      </w:r>
      <w:r w:rsidR="00686833">
        <w:t xml:space="preserve"> and </w:t>
      </w:r>
      <w:r w:rsidR="002848B3">
        <w:t xml:space="preserve">that </w:t>
      </w:r>
      <w:r w:rsidR="00686833">
        <w:t xml:space="preserve">the need to modify </w:t>
      </w:r>
      <w:r w:rsidR="002848B3">
        <w:t xml:space="preserve">that provision </w:t>
      </w:r>
      <w:r w:rsidR="002557CC">
        <w:t xml:space="preserve">proves </w:t>
      </w:r>
      <w:r w:rsidR="004854AE">
        <w:t>the finding’s</w:t>
      </w:r>
      <w:r w:rsidR="002557CC">
        <w:t xml:space="preserve"> </w:t>
      </w:r>
      <w:r w:rsidR="00686833">
        <w:t>valid</w:t>
      </w:r>
      <w:r w:rsidR="002557CC">
        <w:t>ity</w:t>
      </w:r>
      <w:r w:rsidR="00686833">
        <w:t xml:space="preserve">, </w:t>
      </w:r>
      <w:r w:rsidR="002557CC">
        <w:t xml:space="preserve">then </w:t>
      </w:r>
      <w:r w:rsidR="00686833">
        <w:t xml:space="preserve">there can </w:t>
      </w:r>
      <w:r w:rsidR="00686833" w:rsidRPr="002557CC">
        <w:rPr>
          <w:i/>
        </w:rPr>
        <w:t xml:space="preserve">never </w:t>
      </w:r>
      <w:r w:rsidR="00686833">
        <w:t xml:space="preserve">be a modification.  </w:t>
      </w:r>
      <w:r w:rsidR="002557CC">
        <w:t xml:space="preserve">But </w:t>
      </w:r>
      <w:r w:rsidR="00686833">
        <w:t xml:space="preserve">the </w:t>
      </w:r>
      <w:r w:rsidR="004854AE">
        <w:t xml:space="preserve">entire, plain </w:t>
      </w:r>
      <w:r w:rsidR="00CF3B69">
        <w:t xml:space="preserve">point of the </w:t>
      </w:r>
      <w:r w:rsidR="002557CC">
        <w:t xml:space="preserve">law </w:t>
      </w:r>
      <w:r w:rsidR="00CF3B69">
        <w:t xml:space="preserve">is to permit </w:t>
      </w:r>
      <w:r w:rsidR="00686833">
        <w:t>m</w:t>
      </w:r>
      <w:r w:rsidR="002848B3">
        <w:t xml:space="preserve">odification of exemption orders.  Because </w:t>
      </w:r>
      <w:r w:rsidR="00686833">
        <w:t>OPAE’s argument would nullify that law</w:t>
      </w:r>
      <w:r w:rsidR="002557CC">
        <w:t>, it must be rejected</w:t>
      </w:r>
      <w:r w:rsidR="00686833">
        <w:t xml:space="preserve">.  </w:t>
      </w:r>
      <w:r w:rsidR="004854AE">
        <w:rPr>
          <w:i/>
        </w:rPr>
        <w:t xml:space="preserve">See </w:t>
      </w:r>
      <w:r w:rsidR="00CF3B69">
        <w:t>R.C. 1.47(B) (“</w:t>
      </w:r>
      <w:r w:rsidR="00CF3B69" w:rsidRPr="00CF3B69">
        <w:t>The entire statute is intended to be effective</w:t>
      </w:r>
      <w:r w:rsidR="00CF3B69">
        <w:t>”).</w:t>
      </w:r>
    </w:p>
    <w:p w14:paraId="0F069B7C" w14:textId="211BFA4F" w:rsidR="00686833" w:rsidRDefault="00686833" w:rsidP="00686833">
      <w:pPr>
        <w:pStyle w:val="MemoBodyText"/>
      </w:pPr>
      <w:r>
        <w:t xml:space="preserve">The fact that the Case 07-1224 stipulation called for additional proceedings </w:t>
      </w:r>
      <w:r w:rsidR="002848B3">
        <w:t xml:space="preserve">before ending SCO service </w:t>
      </w:r>
      <w:r>
        <w:t xml:space="preserve">is why the Joint Movants are here.  </w:t>
      </w:r>
      <w:r w:rsidR="00CE3850">
        <w:t>It is not a basis for dismissing the case.</w:t>
      </w:r>
    </w:p>
    <w:p w14:paraId="0B87AD8E" w14:textId="440154CD" w:rsidR="00686833" w:rsidRDefault="00686833" w:rsidP="00686833">
      <w:pPr>
        <w:pStyle w:val="MemoHeading3"/>
      </w:pPr>
      <w:r>
        <w:t>OPAE’s policy argument is unsupported</w:t>
      </w:r>
      <w:r w:rsidR="004854AE">
        <w:t xml:space="preserve"> and misses the point of the Joint Motion</w:t>
      </w:r>
      <w:r>
        <w:t>.</w:t>
      </w:r>
    </w:p>
    <w:p w14:paraId="6F19DB54" w14:textId="7B710D84" w:rsidR="00686833" w:rsidRDefault="00CF3B69" w:rsidP="00686833">
      <w:pPr>
        <w:pStyle w:val="MemoBodyText"/>
      </w:pPr>
      <w:r>
        <w:t>OPAE</w:t>
      </w:r>
      <w:r w:rsidR="00686833">
        <w:t xml:space="preserve"> argues that the “joint </w:t>
      </w:r>
      <w:r w:rsidR="00686833" w:rsidRPr="00502D1B">
        <w:t>motion does not comport with the state of Ohio’s energy policy</w:t>
      </w:r>
      <w:r w:rsidR="00686833">
        <w:t xml:space="preserve">.”  (OPAE Memo. at 7.)  But its policy argument </w:t>
      </w:r>
      <w:r w:rsidR="00CE3850">
        <w:t xml:space="preserve">boils down to the assertion </w:t>
      </w:r>
      <w:r w:rsidR="00686833">
        <w:t xml:space="preserve">that </w:t>
      </w:r>
      <w:r w:rsidR="00686833">
        <w:lastRenderedPageBreak/>
        <w:t>“[c]</w:t>
      </w:r>
      <w:r w:rsidR="00686833" w:rsidRPr="00502D1B">
        <w:t>ustomers who have not chosen a marketer clearly d</w:t>
      </w:r>
      <w:r w:rsidR="00686833">
        <w:t>o not want to choose a marketer,” and that “</w:t>
      </w:r>
      <w:r w:rsidR="00686833" w:rsidRPr="00502D1B">
        <w:t>promotion of competition requires an SCO option</w:t>
      </w:r>
      <w:r w:rsidR="00686833">
        <w:t>.”  (</w:t>
      </w:r>
      <w:r w:rsidR="00686833">
        <w:rPr>
          <w:i/>
        </w:rPr>
        <w:t>Id</w:t>
      </w:r>
      <w:r w:rsidR="00686833">
        <w:t>. at 7–8.)</w:t>
      </w:r>
    </w:p>
    <w:p w14:paraId="4E000EF0" w14:textId="695549DC" w:rsidR="00686833" w:rsidRDefault="00686833" w:rsidP="00686833">
      <w:pPr>
        <w:pStyle w:val="MemoBodyText"/>
      </w:pPr>
      <w:r>
        <w:t xml:space="preserve">First, OPAE’s competing policy argument is not, in fact, an argument.  It is a flat statement of its views, containing </w:t>
      </w:r>
      <w:r w:rsidR="00CF3B69">
        <w:t>neither any</w:t>
      </w:r>
      <w:r>
        <w:t xml:space="preserve"> citation of legal authority nor any argument based on those authorities.  While OPAE may have an opportunity to develop those arguments later, they are conclusory and undeveloped</w:t>
      </w:r>
      <w:r w:rsidR="00CE3850">
        <w:t>,</w:t>
      </w:r>
      <w:r>
        <w:t xml:space="preserve"> and </w:t>
      </w:r>
      <w:r w:rsidR="00CE3850">
        <w:t xml:space="preserve">they </w:t>
      </w:r>
      <w:r>
        <w:t xml:space="preserve">provide no basis for any action at present—other than </w:t>
      </w:r>
      <w:r w:rsidR="00CE3850">
        <w:t xml:space="preserve">denying </w:t>
      </w:r>
      <w:r>
        <w:t>OPAE’s motion.</w:t>
      </w:r>
    </w:p>
    <w:p w14:paraId="7349FCE7" w14:textId="716ADC99" w:rsidR="00686833" w:rsidRPr="00CF3B69" w:rsidRDefault="00686833" w:rsidP="00686833">
      <w:pPr>
        <w:pStyle w:val="MemoBodyText"/>
      </w:pPr>
      <w:r>
        <w:t xml:space="preserve">Moreover, OPAE’s </w:t>
      </w:r>
      <w:r w:rsidR="00CE3850">
        <w:t>argument</w:t>
      </w:r>
      <w:r>
        <w:t xml:space="preserve"> misses the point of the Joint Motion entirely.  Whether Ohio</w:t>
      </w:r>
      <w:r w:rsidR="00CE3850">
        <w:t>’s pro-competitive</w:t>
      </w:r>
      <w:r>
        <w:t xml:space="preserve"> policy is advanced or hindered by DEO’s continuing presence in the supply market is precisely the matter to be explored by yet another cautious, incremental step towards full retail competition.  As the Joint Movants explained, “The consequences of a fully-competitive market need to be understood before there is any further movement toward a fully-competitive residential market.”  (Joint Memo. at 4.)  And the “information gleaned from a full exit for [non-residential] customers will provide valuable insight into whether it would be appropriate to fully exit the merchant function for [all] customers.”  (</w:t>
      </w:r>
      <w:r>
        <w:rPr>
          <w:i/>
        </w:rPr>
        <w:t>Id</w:t>
      </w:r>
      <w:r w:rsidR="00CE3850">
        <w:t xml:space="preserve">. at 1.)  OPAE has reflexively opposed this course from the beginning.  </w:t>
      </w:r>
      <w:r w:rsidR="00CF3B69">
        <w:t>H</w:t>
      </w:r>
      <w:r w:rsidR="00CE3850">
        <w:t>ad OPAE’s views been heeded, none of the significant benefits accomplished by Phase 1 and those that followed would have been realized.</w:t>
      </w:r>
      <w:r w:rsidR="00CF3B69">
        <w:t xml:space="preserve">  That should be borne in mind as </w:t>
      </w:r>
      <w:r w:rsidR="004854AE">
        <w:t>OPAE</w:t>
      </w:r>
      <w:r w:rsidR="00CF3B69">
        <w:t xml:space="preserve"> cries wolf yet again.  </w:t>
      </w:r>
    </w:p>
    <w:p w14:paraId="78782373" w14:textId="77777777" w:rsidR="00686833" w:rsidRDefault="00686833" w:rsidP="00686833">
      <w:pPr>
        <w:pStyle w:val="MemoBodyText"/>
      </w:pPr>
      <w:r>
        <w:t>OPAE’s third ground in opposition to the motion should be disregarded.</w:t>
      </w:r>
    </w:p>
    <w:p w14:paraId="33F4E498" w14:textId="77777777" w:rsidR="00686833" w:rsidRDefault="00686833" w:rsidP="00686833">
      <w:pPr>
        <w:pStyle w:val="MemoHeading3"/>
      </w:pPr>
      <w:r>
        <w:t xml:space="preserve">OPAE was </w:t>
      </w:r>
      <w:r w:rsidRPr="00751A9B">
        <w:rPr>
          <w:i/>
        </w:rPr>
        <w:t xml:space="preserve">not </w:t>
      </w:r>
      <w:r>
        <w:t>“</w:t>
      </w:r>
      <w:r w:rsidRPr="00751A9B">
        <w:t>excluded from the negotiations that led to the Stipulation filed in this case</w:t>
      </w:r>
      <w:r>
        <w:t xml:space="preserve">.”  </w:t>
      </w:r>
    </w:p>
    <w:p w14:paraId="54F271C3" w14:textId="77777777" w:rsidR="00686833" w:rsidRDefault="00686833" w:rsidP="00686833">
      <w:pPr>
        <w:pStyle w:val="MemoBodyText"/>
      </w:pPr>
      <w:r>
        <w:t>Finally, OPAE argues that “</w:t>
      </w:r>
      <w:r w:rsidRPr="002854BA">
        <w:t xml:space="preserve">the Commission should be concerned that one of the three signatories to the Stipulation </w:t>
      </w:r>
      <w:r>
        <w:t xml:space="preserve">[meaning OCC] </w:t>
      </w:r>
      <w:r w:rsidRPr="002854BA">
        <w:t>has no interest in this case</w:t>
      </w:r>
      <w:r>
        <w:t>.”  (OPAE Memo. at 8.)  In passing, OPAE suggests that it was “excluded from the negotiations.”  (</w:t>
      </w:r>
      <w:r>
        <w:rPr>
          <w:i/>
        </w:rPr>
        <w:t>Id</w:t>
      </w:r>
      <w:r>
        <w:t xml:space="preserve">.)  </w:t>
      </w:r>
    </w:p>
    <w:p w14:paraId="740317CF" w14:textId="77777777" w:rsidR="00686833" w:rsidRDefault="00686833" w:rsidP="00686833">
      <w:pPr>
        <w:pStyle w:val="MemoBodyText"/>
      </w:pPr>
      <w:r>
        <w:lastRenderedPageBreak/>
        <w:t>First, simply reading the stipulation disproves the notion that OCC “has no interest in this case.”  (</w:t>
      </w:r>
      <w:r w:rsidRPr="00770AA5">
        <w:rPr>
          <w:i/>
        </w:rPr>
        <w:t>Id</w:t>
      </w:r>
      <w:r>
        <w:t xml:space="preserve">.)  </w:t>
      </w:r>
      <w:r w:rsidRPr="00770AA5">
        <w:t>In</w:t>
      </w:r>
      <w:r>
        <w:t xml:space="preserve"> the stipulation, OCC negotiated several concessions in the event of any future </w:t>
      </w:r>
      <w:r>
        <w:rPr>
          <w:i/>
        </w:rPr>
        <w:t xml:space="preserve">residential </w:t>
      </w:r>
      <w:r>
        <w:t>exit.  (</w:t>
      </w:r>
      <w:r>
        <w:rPr>
          <w:i/>
        </w:rPr>
        <w:t xml:space="preserve">See </w:t>
      </w:r>
      <w:r>
        <w:t xml:space="preserve">Stip. at 3.)  Moreover, as just discussed, granting the Joint Motion will provide valuable insight into the operation of a post-SCO market, and this will help OCC understand the issues better in the event a </w:t>
      </w:r>
      <w:r w:rsidRPr="00770AA5">
        <w:t xml:space="preserve">residential </w:t>
      </w:r>
      <w:r>
        <w:t>exit is proposed.  And to that end, OCC secured provisions in the Stipulation to enable it to study and examine certain data pertaining to the proposed non-residential exit.  (</w:t>
      </w:r>
      <w:r>
        <w:rPr>
          <w:i/>
        </w:rPr>
        <w:t>See id</w:t>
      </w:r>
      <w:r>
        <w:t xml:space="preserve">. at 4–5.) </w:t>
      </w:r>
    </w:p>
    <w:p w14:paraId="35B55577" w14:textId="7B75E0A0" w:rsidR="00686833" w:rsidRDefault="00686833" w:rsidP="00686833">
      <w:pPr>
        <w:pStyle w:val="MemoBodyText"/>
      </w:pPr>
      <w:r>
        <w:t xml:space="preserve">Whether </w:t>
      </w:r>
      <w:r w:rsidRPr="009E6076">
        <w:rPr>
          <w:i/>
        </w:rPr>
        <w:t>OPAE</w:t>
      </w:r>
      <w:r>
        <w:t xml:space="preserve"> has a significant interest in this case is open to question.  It asserts that “</w:t>
      </w:r>
      <w:r w:rsidRPr="009E6076">
        <w:t>OPAE members are non-residential ratepayers of Dominion.</w:t>
      </w:r>
      <w:r>
        <w:t xml:space="preserve">”  (OPAE Memo. in Support of Mot. to Intervene at 2.)  But it provides no examples of such ratepayers.  Its website suggests that its ratepayer constituency is limited to households.  </w:t>
      </w:r>
      <w:r w:rsidR="00002E08">
        <w:t>It states that OPAE</w:t>
      </w:r>
      <w:r>
        <w:t xml:space="preserve"> “</w:t>
      </w:r>
      <w:r w:rsidRPr="0007019F">
        <w:t>advocate</w:t>
      </w:r>
      <w:r>
        <w:t>[s]</w:t>
      </w:r>
      <w:r w:rsidRPr="0007019F">
        <w:t xml:space="preserve"> for affordable energy policies for </w:t>
      </w:r>
      <w:r w:rsidRPr="00002E08">
        <w:rPr>
          <w:i/>
        </w:rPr>
        <w:t>moderate and low-income Ohioans</w:t>
      </w:r>
      <w:r>
        <w:t>” and that its member agencies provide certain “</w:t>
      </w:r>
      <w:r w:rsidRPr="0007019F">
        <w:t xml:space="preserve">services to over 400,000 </w:t>
      </w:r>
      <w:r w:rsidRPr="0007019F">
        <w:rPr>
          <w:i/>
        </w:rPr>
        <w:t xml:space="preserve">households </w:t>
      </w:r>
      <w:r w:rsidRPr="0007019F">
        <w:t>statewide annually.</w:t>
      </w:r>
      <w:r>
        <w:t xml:space="preserve">”  </w:t>
      </w:r>
      <w:r w:rsidR="00002E08">
        <w:t>(</w:t>
      </w:r>
      <w:r>
        <w:t>Ohio Partners for Affordable Energy Homepage, http://www.</w:t>
      </w:r>
      <w:r w:rsidR="00311FDE">
        <w:t>ohiopartners.org (last visited July 13, 2012</w:t>
      </w:r>
      <w:r w:rsidR="00002E08">
        <w:t>) (emphases added).)</w:t>
      </w:r>
      <w:r w:rsidR="00CF3B69">
        <w:t xml:space="preserve">  The terms “household” and “moderate to low-income Ohioan” do not generally call to mind commercial interests.  </w:t>
      </w:r>
    </w:p>
    <w:p w14:paraId="089C740D" w14:textId="4BE04DDE" w:rsidR="00686833" w:rsidRPr="009E6076" w:rsidRDefault="00686833" w:rsidP="00686833">
      <w:pPr>
        <w:pStyle w:val="MemoBodyText"/>
      </w:pPr>
      <w:r>
        <w:t>Given these facts, i</w:t>
      </w:r>
      <w:r w:rsidRPr="0007019F">
        <w:t xml:space="preserve">t is unclear whether OPAE has standing to represent the interests of non-residential </w:t>
      </w:r>
      <w:r>
        <w:t>ratepayers in this case</w:t>
      </w:r>
      <w:r w:rsidRPr="0007019F">
        <w:t>.</w:t>
      </w:r>
      <w:r>
        <w:t xml:space="preserve">  “</w:t>
      </w:r>
      <w:r w:rsidRPr="008B5023">
        <w:t>To have stan</w:t>
      </w:r>
      <w:r>
        <w:t xml:space="preserve">ding, the general rule is that </w:t>
      </w:r>
      <w:r w:rsidRPr="008B5023">
        <w:t>a litigant must assert its own rights, n</w:t>
      </w:r>
      <w:r>
        <w:t xml:space="preserve">ot the claims of third parties.”  </w:t>
      </w:r>
      <w:r w:rsidRPr="008B5023">
        <w:rPr>
          <w:i/>
        </w:rPr>
        <w:t xml:space="preserve">Util. Serv. Partners v. </w:t>
      </w:r>
      <w:r>
        <w:rPr>
          <w:i/>
        </w:rPr>
        <w:t>Pub. Util. Comm.</w:t>
      </w:r>
      <w:r w:rsidRPr="008B5023">
        <w:t>, 124 Ohio St. 3d 284, 2009</w:t>
      </w:r>
      <w:r>
        <w:t xml:space="preserve">-Ohio-6764, ¶ 49 (internal quotations and citations omitted).  </w:t>
      </w:r>
      <w:r w:rsidR="00002E08">
        <w:t xml:space="preserve">Depending on the procedural entry ultimately issued by the Commission, </w:t>
      </w:r>
      <w:r>
        <w:t>DEO may seek discovery to determine whether OPAE in fact repres</w:t>
      </w:r>
      <w:r w:rsidR="00002E08">
        <w:t xml:space="preserve">ents non-residential ratepayers to determine whether it may appropriately </w:t>
      </w:r>
      <w:r w:rsidR="00CF3B69">
        <w:t xml:space="preserve">take certain positions and </w:t>
      </w:r>
      <w:r w:rsidR="00002E08">
        <w:t xml:space="preserve">raise </w:t>
      </w:r>
      <w:r w:rsidR="00CF3B69">
        <w:t xml:space="preserve">certain </w:t>
      </w:r>
      <w:r w:rsidR="00002E08">
        <w:t>arguments in this case</w:t>
      </w:r>
      <w:r>
        <w:t xml:space="preserve">.  </w:t>
      </w:r>
    </w:p>
    <w:p w14:paraId="751CC493" w14:textId="77182160" w:rsidR="00686833" w:rsidRDefault="00686833" w:rsidP="00686833">
      <w:pPr>
        <w:pStyle w:val="MemoBodyText"/>
      </w:pPr>
      <w:r>
        <w:lastRenderedPageBreak/>
        <w:t xml:space="preserve">Finally, OPAE’s assertion that it was “excluded from negotiations” is simply and demonstrably false.  First, as the e-mail attached to this memorandum as Attachment A shows, OPAE (through David Rinebolt) made clear </w:t>
      </w:r>
      <w:r w:rsidR="00CF3B69">
        <w:t xml:space="preserve">early on </w:t>
      </w:r>
      <w:r>
        <w:t xml:space="preserve">that it had no interest in being part of settlement negotiations:  </w:t>
      </w:r>
    </w:p>
    <w:p w14:paraId="6BAE41E5" w14:textId="77777777" w:rsidR="00686833" w:rsidRDefault="00686833" w:rsidP="00686833">
      <w:pPr>
        <w:pStyle w:val="MemoBodyText"/>
        <w:spacing w:after="240" w:line="240" w:lineRule="auto"/>
        <w:ind w:left="720" w:right="720" w:firstLine="0"/>
      </w:pPr>
      <w:r w:rsidRPr="009E6076">
        <w:t>Although OPAE was not able to attend the meeting on the 15</w:t>
      </w:r>
      <w:r w:rsidRPr="009E6076">
        <w:rPr>
          <w:vertAlign w:val="superscript"/>
        </w:rPr>
        <w:t>th</w:t>
      </w:r>
      <w:r w:rsidRPr="009E6076">
        <w:t>, I want to make our position clear.  OPAE will oppose any effort to exit the merchant function.  The difference between the SSO and SCO was too fine a line to make a decent legal argument.  Full exit opens a wide array of legal options and we will use them.</w:t>
      </w:r>
    </w:p>
    <w:p w14:paraId="1722F032" w14:textId="2B9DBBAA" w:rsidR="00686833" w:rsidRDefault="00002E08" w:rsidP="00686833">
      <w:pPr>
        <w:pStyle w:val="MemoBodyText"/>
        <w:ind w:firstLine="0"/>
      </w:pPr>
      <w:r>
        <w:t>(Attachment</w:t>
      </w:r>
      <w:r w:rsidR="00686833">
        <w:t xml:space="preserve"> A (e-mail from Mr. Rinebolt to </w:t>
      </w:r>
      <w:r w:rsidR="00CF3B69">
        <w:t>numerous recipients</w:t>
      </w:r>
      <w:r w:rsidR="00686833">
        <w:t>, dated April 21, 2010).)  Neverthe</w:t>
      </w:r>
      <w:r>
        <w:t>less, DEO kept OPAE in the loop</w:t>
      </w:r>
      <w:r w:rsidR="00686833">
        <w:t xml:space="preserve"> and circulated a draft stipulation to it on January 17, 2012, roughly five months before the final stipulation was filed.  (</w:t>
      </w:r>
      <w:r w:rsidR="00686833">
        <w:rPr>
          <w:i/>
        </w:rPr>
        <w:t xml:space="preserve">See </w:t>
      </w:r>
      <w:r>
        <w:t>Attachment</w:t>
      </w:r>
      <w:r w:rsidR="00686833">
        <w:t xml:space="preserve"> B (e-mail from Melissa Thompson, counsel for DEO, to Ms. Mooney, counsel for OPAE</w:t>
      </w:r>
      <w:r w:rsidR="00CF3B69">
        <w:t>, and other recipients</w:t>
      </w:r>
      <w:r w:rsidR="004854AE">
        <w:t>)</w:t>
      </w:r>
      <w:r w:rsidR="00686833">
        <w:t xml:space="preserve">.)  Again, OPAE did not avail itself of any opportunity to participate in settlement negotiations.  </w:t>
      </w:r>
    </w:p>
    <w:p w14:paraId="32656756" w14:textId="512C814E" w:rsidR="00686833" w:rsidRDefault="00686833" w:rsidP="00686833">
      <w:pPr>
        <w:pStyle w:val="MemoBodyText"/>
      </w:pPr>
      <w:r>
        <w:t xml:space="preserve">These are not the only instances in which DEO attempted to involve OPAE in the negotiation process, but they suffice to refute OPAE’s assertion </w:t>
      </w:r>
      <w:r w:rsidR="00002E08">
        <w:t xml:space="preserve">that it was “excluded.”  </w:t>
      </w:r>
    </w:p>
    <w:p w14:paraId="773A186B" w14:textId="77777777" w:rsidR="00686833" w:rsidRDefault="00686833" w:rsidP="00686833">
      <w:pPr>
        <w:pStyle w:val="MemoHeading1"/>
      </w:pPr>
      <w:r>
        <w:t>Conclusion</w:t>
      </w:r>
    </w:p>
    <w:p w14:paraId="22BBDFD1" w14:textId="1A664E33" w:rsidR="00AE4328" w:rsidRDefault="00686833" w:rsidP="00686833">
      <w:pPr>
        <w:pStyle w:val="MemoBodyText"/>
      </w:pPr>
      <w:r>
        <w:t>In conclusion, none of OPAE’s arguments for dismissing the Joint Motion have merit.  The motion should be denied.</w:t>
      </w:r>
    </w:p>
    <w:p w14:paraId="2CC66211" w14:textId="7E36415E" w:rsidR="0032154A" w:rsidRPr="0032154A" w:rsidRDefault="0032154A" w:rsidP="0032154A">
      <w:pPr>
        <w:tabs>
          <w:tab w:val="left" w:pos="5040"/>
        </w:tabs>
        <w:rPr>
          <w:rFonts w:ascii="Times New Roman" w:hAnsi="Times New Roman" w:cs="Times New Roman"/>
        </w:rPr>
      </w:pPr>
      <w:r>
        <w:rPr>
          <w:rFonts w:ascii="Times New Roman" w:hAnsi="Times New Roman" w:cs="Times New Roman"/>
        </w:rPr>
        <w:t>Dated:</w:t>
      </w:r>
      <w:r w:rsidR="00686833">
        <w:rPr>
          <w:rFonts w:ascii="Times New Roman" w:hAnsi="Times New Roman" w:cs="Times New Roman"/>
        </w:rPr>
        <w:t xml:space="preserve"> July 13,</w:t>
      </w:r>
      <w:r w:rsidR="00AE4328">
        <w:rPr>
          <w:rFonts w:ascii="Times New Roman" w:hAnsi="Times New Roman" w:cs="Times New Roman"/>
        </w:rPr>
        <w:t xml:space="preserve"> 2012</w:t>
      </w:r>
      <w:r>
        <w:rPr>
          <w:rFonts w:ascii="Times New Roman" w:hAnsi="Times New Roman" w:cs="Times New Roman"/>
        </w:rPr>
        <w:tab/>
        <w:t>Respectfully submitted,</w:t>
      </w:r>
    </w:p>
    <w:p w14:paraId="737C3B6B" w14:textId="77777777" w:rsidR="0032154A" w:rsidRPr="0032154A" w:rsidRDefault="0032154A" w:rsidP="0032154A">
      <w:pPr>
        <w:ind w:left="5040"/>
        <w:rPr>
          <w:rFonts w:ascii="Times New Roman" w:hAnsi="Times New Roman" w:cs="Times New Roman"/>
        </w:rPr>
      </w:pPr>
    </w:p>
    <w:p w14:paraId="000065CC" w14:textId="05EE12B5" w:rsidR="0032154A" w:rsidRPr="0032154A" w:rsidRDefault="00AE4328" w:rsidP="0032154A">
      <w:pPr>
        <w:ind w:left="5040"/>
        <w:rPr>
          <w:rFonts w:ascii="Times New Roman" w:hAnsi="Times New Roman" w:cs="Times New Roman"/>
        </w:rPr>
      </w:pPr>
      <w:r>
        <w:rPr>
          <w:rFonts w:ascii="Times New Roman" w:hAnsi="Times New Roman" w:cs="Times New Roman"/>
          <w:u w:val="single"/>
        </w:rPr>
        <w:t xml:space="preserve">/s/ </w:t>
      </w:r>
      <w:r w:rsidR="00002E08">
        <w:rPr>
          <w:rFonts w:ascii="Times New Roman" w:hAnsi="Times New Roman" w:cs="Times New Roman"/>
          <w:u w:val="single"/>
        </w:rPr>
        <w:t>Mark A. Whitt</w:t>
      </w:r>
      <w:r w:rsidR="00C84E7C">
        <w:rPr>
          <w:rFonts w:ascii="Times New Roman" w:hAnsi="Times New Roman" w:cs="Times New Roman"/>
          <w:u w:val="single"/>
        </w:rPr>
        <w:tab/>
      </w:r>
      <w:r w:rsidR="00C84E7C">
        <w:rPr>
          <w:rFonts w:ascii="Times New Roman" w:hAnsi="Times New Roman" w:cs="Times New Roman"/>
          <w:u w:val="single"/>
        </w:rPr>
        <w:tab/>
      </w:r>
      <w:r w:rsidR="00C84E7C">
        <w:rPr>
          <w:rFonts w:ascii="Times New Roman" w:hAnsi="Times New Roman" w:cs="Times New Roman"/>
          <w:u w:val="single"/>
        </w:rPr>
        <w:tab/>
      </w:r>
      <w:r w:rsidR="0032154A" w:rsidRPr="0032154A">
        <w:rPr>
          <w:rFonts w:ascii="Times New Roman" w:hAnsi="Times New Roman" w:cs="Times New Roman"/>
          <w:u w:val="single"/>
        </w:rPr>
        <w:tab/>
      </w:r>
    </w:p>
    <w:p w14:paraId="46709FD0" w14:textId="77777777" w:rsidR="00C84E7C" w:rsidRDefault="00C84E7C" w:rsidP="00C84E7C">
      <w:pPr>
        <w:keepLines/>
        <w:ind w:left="5040"/>
        <w:rPr>
          <w:rFonts w:ascii="Times New Roman" w:hAnsi="Times New Roman"/>
        </w:rPr>
      </w:pPr>
      <w:r>
        <w:rPr>
          <w:rFonts w:ascii="Times New Roman" w:hAnsi="Times New Roman"/>
        </w:rPr>
        <w:t>Mark A. Whitt (Counsel of Record)</w:t>
      </w:r>
    </w:p>
    <w:p w14:paraId="69AFBE6F" w14:textId="77777777" w:rsidR="00C84E7C" w:rsidRDefault="00C84E7C" w:rsidP="00C84E7C">
      <w:pPr>
        <w:keepLines/>
        <w:ind w:left="5040"/>
        <w:rPr>
          <w:rFonts w:ascii="Times New Roman" w:hAnsi="Times New Roman"/>
        </w:rPr>
      </w:pPr>
      <w:r>
        <w:rPr>
          <w:rFonts w:ascii="Times New Roman" w:hAnsi="Times New Roman"/>
        </w:rPr>
        <w:t>Andrew J. Campbell</w:t>
      </w:r>
    </w:p>
    <w:p w14:paraId="16299A4B" w14:textId="77777777" w:rsidR="00C84E7C" w:rsidRDefault="00C84E7C" w:rsidP="00C84E7C">
      <w:pPr>
        <w:keepLines/>
        <w:ind w:left="5040"/>
        <w:rPr>
          <w:rFonts w:ascii="Times New Roman" w:hAnsi="Times New Roman"/>
        </w:rPr>
      </w:pPr>
      <w:r>
        <w:rPr>
          <w:rFonts w:ascii="Times New Roman" w:hAnsi="Times New Roman"/>
        </w:rPr>
        <w:t>Melissa L. Thompson</w:t>
      </w:r>
    </w:p>
    <w:p w14:paraId="5510ED49" w14:textId="77777777" w:rsidR="00C84E7C" w:rsidRDefault="00C84E7C" w:rsidP="00C84E7C">
      <w:pPr>
        <w:keepLines/>
        <w:ind w:left="5040"/>
        <w:rPr>
          <w:rFonts w:ascii="Times New Roman" w:hAnsi="Times New Roman"/>
        </w:rPr>
      </w:pPr>
      <w:r>
        <w:rPr>
          <w:rFonts w:ascii="Times New Roman" w:hAnsi="Times New Roman"/>
        </w:rPr>
        <w:t>WHITT STURTEVANT LLP</w:t>
      </w:r>
    </w:p>
    <w:p w14:paraId="056BF2A6" w14:textId="77777777" w:rsidR="00C84E7C" w:rsidRDefault="00C84E7C" w:rsidP="00C84E7C">
      <w:pPr>
        <w:keepLines/>
        <w:ind w:left="5040"/>
        <w:rPr>
          <w:rFonts w:ascii="Times New Roman" w:hAnsi="Times New Roman"/>
        </w:rPr>
      </w:pPr>
      <w:r>
        <w:rPr>
          <w:rFonts w:ascii="Times New Roman" w:hAnsi="Times New Roman"/>
        </w:rPr>
        <w:t>PNC Plaza, Suite 2020</w:t>
      </w:r>
    </w:p>
    <w:p w14:paraId="194877B7" w14:textId="77777777" w:rsidR="00C84E7C" w:rsidRDefault="00C84E7C" w:rsidP="00C84E7C">
      <w:pPr>
        <w:keepLines/>
        <w:ind w:left="5040"/>
        <w:rPr>
          <w:rFonts w:ascii="Times New Roman" w:hAnsi="Times New Roman"/>
        </w:rPr>
      </w:pPr>
      <w:r>
        <w:rPr>
          <w:rFonts w:ascii="Times New Roman" w:hAnsi="Times New Roman"/>
        </w:rPr>
        <w:t>155 East Broad Street</w:t>
      </w:r>
    </w:p>
    <w:p w14:paraId="0C255DCF" w14:textId="77777777" w:rsidR="00C84E7C" w:rsidRDefault="00C84E7C" w:rsidP="00C84E7C">
      <w:pPr>
        <w:keepLines/>
        <w:ind w:left="5040"/>
        <w:rPr>
          <w:rFonts w:ascii="Times New Roman" w:hAnsi="Times New Roman"/>
        </w:rPr>
      </w:pPr>
      <w:r>
        <w:rPr>
          <w:rFonts w:ascii="Times New Roman" w:hAnsi="Times New Roman"/>
        </w:rPr>
        <w:t>Columbus, Ohio 43215</w:t>
      </w:r>
    </w:p>
    <w:p w14:paraId="108C75C4" w14:textId="77777777" w:rsidR="00C84E7C" w:rsidRDefault="00C84E7C" w:rsidP="00C84E7C">
      <w:pPr>
        <w:keepLines/>
        <w:ind w:left="5040"/>
        <w:rPr>
          <w:rFonts w:ascii="Times New Roman" w:hAnsi="Times New Roman"/>
        </w:rPr>
      </w:pPr>
      <w:r>
        <w:rPr>
          <w:rFonts w:ascii="Times New Roman" w:hAnsi="Times New Roman"/>
        </w:rPr>
        <w:t>Telephone: (614) 224-3911</w:t>
      </w:r>
    </w:p>
    <w:p w14:paraId="778E9014" w14:textId="77777777" w:rsidR="00C84E7C" w:rsidRDefault="00C84E7C" w:rsidP="00C84E7C">
      <w:pPr>
        <w:keepLines/>
        <w:ind w:left="5040"/>
        <w:rPr>
          <w:rFonts w:ascii="Times New Roman" w:hAnsi="Times New Roman"/>
        </w:rPr>
      </w:pPr>
      <w:r>
        <w:rPr>
          <w:rFonts w:ascii="Times New Roman" w:hAnsi="Times New Roman"/>
        </w:rPr>
        <w:t>Facsimile:  (614) 224-3960</w:t>
      </w:r>
    </w:p>
    <w:p w14:paraId="333A5217" w14:textId="77777777" w:rsidR="00C84E7C" w:rsidRDefault="00C84E7C" w:rsidP="00C84E7C">
      <w:pPr>
        <w:keepLines/>
        <w:ind w:left="5040"/>
        <w:rPr>
          <w:rFonts w:ascii="Times New Roman" w:hAnsi="Times New Roman"/>
        </w:rPr>
      </w:pPr>
      <w:r>
        <w:rPr>
          <w:rFonts w:ascii="Times New Roman" w:hAnsi="Times New Roman"/>
        </w:rPr>
        <w:t>whitt@whitt-sturtevant.com</w:t>
      </w:r>
    </w:p>
    <w:p w14:paraId="5F6C1BE3" w14:textId="77777777" w:rsidR="00C84E7C" w:rsidRDefault="00C84E7C" w:rsidP="00C84E7C">
      <w:pPr>
        <w:keepLines/>
        <w:ind w:left="5040"/>
        <w:rPr>
          <w:rFonts w:ascii="Times New Roman" w:hAnsi="Times New Roman"/>
        </w:rPr>
      </w:pPr>
      <w:r>
        <w:rPr>
          <w:rFonts w:ascii="Times New Roman" w:hAnsi="Times New Roman"/>
        </w:rPr>
        <w:lastRenderedPageBreak/>
        <w:t>campbell@whitt-sturtevant.com</w:t>
      </w:r>
    </w:p>
    <w:p w14:paraId="5176C402" w14:textId="77777777" w:rsidR="00C84E7C" w:rsidRDefault="00C84E7C" w:rsidP="00C84E7C">
      <w:pPr>
        <w:keepLines/>
        <w:ind w:left="5040"/>
        <w:rPr>
          <w:rFonts w:ascii="Times New Roman" w:hAnsi="Times New Roman"/>
        </w:rPr>
      </w:pPr>
      <w:r>
        <w:rPr>
          <w:rFonts w:ascii="Times New Roman" w:hAnsi="Times New Roman"/>
        </w:rPr>
        <w:t>thompson@whitt-sturtevant.com</w:t>
      </w:r>
    </w:p>
    <w:p w14:paraId="544A53D2" w14:textId="77777777" w:rsidR="00C84E7C" w:rsidRDefault="00C84E7C" w:rsidP="00C84E7C">
      <w:pPr>
        <w:ind w:left="5040"/>
        <w:rPr>
          <w:rFonts w:ascii="Times New Roman" w:hAnsi="Times New Roman" w:cs="Times New Roman"/>
        </w:rPr>
      </w:pPr>
    </w:p>
    <w:p w14:paraId="05FB4C54" w14:textId="2D1A4B79" w:rsidR="00AE4328" w:rsidRPr="00CC5293" w:rsidRDefault="00C84E7C" w:rsidP="00C84E7C">
      <w:pPr>
        <w:ind w:left="5040"/>
        <w:rPr>
          <w:rFonts w:ascii="Times New Roman" w:hAnsi="Times New Roman" w:cs="Times New Roman"/>
        </w:rPr>
      </w:pPr>
      <w:r>
        <w:rPr>
          <w:rFonts w:ascii="Times New Roman" w:hAnsi="Times New Roman" w:cs="Times New Roman"/>
        </w:rPr>
        <w:t>ATTORNEYS FOR</w:t>
      </w:r>
      <w:r w:rsidR="00686833">
        <w:rPr>
          <w:rFonts w:ascii="Times New Roman" w:hAnsi="Times New Roman" w:cs="Times New Roman"/>
        </w:rPr>
        <w:t xml:space="preserve"> THE EAST OHIO GAS COMPANY D/B/A DOMINION EAST OHIO</w:t>
      </w:r>
    </w:p>
    <w:p w14:paraId="4D79FB2C" w14:textId="3DFD8EFF" w:rsidR="0032154A" w:rsidRDefault="0032154A" w:rsidP="0032154A">
      <w:pPr>
        <w:ind w:left="5040"/>
        <w:rPr>
          <w:rFonts w:ascii="Times New Roman" w:hAnsi="Times New Roman" w:cs="Times New Roman"/>
        </w:rPr>
      </w:pPr>
    </w:p>
    <w:p w14:paraId="5BA5A2FF" w14:textId="77777777" w:rsidR="00A8215C" w:rsidRDefault="00A8215C" w:rsidP="0032154A">
      <w:pPr>
        <w:ind w:left="5040"/>
        <w:rPr>
          <w:rFonts w:ascii="Times New Roman" w:hAnsi="Times New Roman" w:cs="Times New Roman"/>
        </w:rPr>
        <w:sectPr w:rsidR="00A8215C" w:rsidSect="0032154A">
          <w:footerReference w:type="default" r:id="rId9"/>
          <w:pgSz w:w="12240" w:h="15840"/>
          <w:pgMar w:top="1440" w:right="1440" w:bottom="1440" w:left="1440" w:header="720" w:footer="720" w:gutter="0"/>
          <w:cols w:space="720"/>
          <w:titlePg/>
          <w:docGrid w:linePitch="360"/>
        </w:sectPr>
      </w:pPr>
    </w:p>
    <w:p w14:paraId="7C6AEC92" w14:textId="77777777" w:rsidR="00A8215C" w:rsidRDefault="00A8215C" w:rsidP="00A8215C">
      <w:pPr>
        <w:jc w:val="center"/>
        <w:rPr>
          <w:rFonts w:ascii="Times New Roman" w:hAnsi="Times New Roman" w:cs="Times New Roman"/>
        </w:rPr>
      </w:pPr>
      <w:r>
        <w:rPr>
          <w:rFonts w:ascii="Times New Roman" w:hAnsi="Times New Roman" w:cs="Times New Roman"/>
          <w:b/>
          <w:u w:val="single"/>
        </w:rPr>
        <w:lastRenderedPageBreak/>
        <w:t>CERTIFICATE OF SERVICE</w:t>
      </w:r>
    </w:p>
    <w:p w14:paraId="2D02985F" w14:textId="77777777" w:rsidR="00A8215C" w:rsidRDefault="00A8215C" w:rsidP="00A8215C">
      <w:pPr>
        <w:jc w:val="center"/>
        <w:rPr>
          <w:rFonts w:ascii="Times New Roman" w:hAnsi="Times New Roman" w:cs="Times New Roman"/>
        </w:rPr>
      </w:pPr>
    </w:p>
    <w:p w14:paraId="579C4DC0" w14:textId="7916A6E4" w:rsidR="00A8215C" w:rsidRDefault="00A8215C" w:rsidP="00A8215C">
      <w:pPr>
        <w:spacing w:line="480" w:lineRule="auto"/>
        <w:rPr>
          <w:rFonts w:ascii="Times New Roman" w:hAnsi="Times New Roman" w:cs="Times New Roman"/>
        </w:rPr>
      </w:pPr>
      <w:r>
        <w:rPr>
          <w:rFonts w:ascii="Times New Roman" w:hAnsi="Times New Roman" w:cs="Times New Roman"/>
        </w:rPr>
        <w:tab/>
        <w:t xml:space="preserve">I hereby certify that a copy of </w:t>
      </w:r>
      <w:r w:rsidR="00002E08">
        <w:rPr>
          <w:rFonts w:ascii="Times New Roman" w:hAnsi="Times New Roman" w:cs="Times New Roman"/>
        </w:rPr>
        <w:t xml:space="preserve">DEO’s Memorandum Contra OPAE’s Motion to Dismiss </w:t>
      </w:r>
      <w:r>
        <w:rPr>
          <w:rFonts w:ascii="Times New Roman" w:hAnsi="Times New Roman" w:cs="Times New Roman"/>
        </w:rPr>
        <w:t xml:space="preserve">was served by electronic mail this </w:t>
      </w:r>
      <w:r w:rsidR="00002E08">
        <w:rPr>
          <w:rFonts w:ascii="Times New Roman" w:hAnsi="Times New Roman" w:cs="Times New Roman"/>
        </w:rPr>
        <w:t xml:space="preserve">13th </w:t>
      </w:r>
      <w:r>
        <w:rPr>
          <w:rFonts w:ascii="Times New Roman" w:hAnsi="Times New Roman" w:cs="Times New Roman"/>
        </w:rPr>
        <w:t xml:space="preserve">day of </w:t>
      </w:r>
      <w:r w:rsidR="00002E08">
        <w:rPr>
          <w:rFonts w:ascii="Times New Roman" w:hAnsi="Times New Roman" w:cs="Times New Roman"/>
        </w:rPr>
        <w:t>July</w:t>
      </w:r>
      <w:r>
        <w:rPr>
          <w:rFonts w:ascii="Times New Roman" w:hAnsi="Times New Roman" w:cs="Times New Roman"/>
        </w:rPr>
        <w:t xml:space="preserve">, </w:t>
      </w:r>
      <w:r w:rsidR="00AE4328">
        <w:rPr>
          <w:rFonts w:ascii="Times New Roman" w:hAnsi="Times New Roman" w:cs="Times New Roman"/>
        </w:rPr>
        <w:t xml:space="preserve">2012 </w:t>
      </w:r>
      <w:r w:rsidRPr="00C56BDD">
        <w:rPr>
          <w:rFonts w:ascii="Times New Roman" w:hAnsi="Times New Roman" w:cs="Times New Roman"/>
        </w:rPr>
        <w:t>to</w:t>
      </w:r>
      <w:r>
        <w:rPr>
          <w:rFonts w:ascii="Times New Roman" w:hAnsi="Times New Roman" w:cs="Times New Roman"/>
        </w:rPr>
        <w:t xml:space="preserv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2E08" w:rsidRPr="00002E08" w14:paraId="60540B2E" w14:textId="77777777" w:rsidTr="002848B3">
        <w:tc>
          <w:tcPr>
            <w:tcW w:w="4788" w:type="dxa"/>
          </w:tcPr>
          <w:p w14:paraId="370E8946"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Stephen Reilly</w:t>
            </w:r>
          </w:p>
          <w:p w14:paraId="43B519A5"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Devin Parram</w:t>
            </w:r>
          </w:p>
          <w:p w14:paraId="15A5B944"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Office of the Ohio Attorney General</w:t>
            </w:r>
          </w:p>
          <w:p w14:paraId="11C135E1"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Public Utilities Section</w:t>
            </w:r>
          </w:p>
          <w:p w14:paraId="3C3CB9DA"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180 East Broad Street, 6th Floor</w:t>
            </w:r>
          </w:p>
          <w:p w14:paraId="00B2B41F"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Columbus, Ohio 43215</w:t>
            </w:r>
          </w:p>
          <w:p w14:paraId="62B4A728"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stephen.reilly@puc.state.oh.us</w:t>
            </w:r>
          </w:p>
          <w:p w14:paraId="477D9594"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devin.parram@puc.state.oh.us</w:t>
            </w:r>
          </w:p>
          <w:p w14:paraId="37E03139" w14:textId="77777777" w:rsidR="00002E08" w:rsidRPr="00002E08" w:rsidRDefault="00002E08" w:rsidP="002848B3">
            <w:pPr>
              <w:rPr>
                <w:rFonts w:ascii="Times New Roman" w:hAnsi="Times New Roman" w:cs="Times New Roman"/>
              </w:rPr>
            </w:pPr>
          </w:p>
        </w:tc>
        <w:tc>
          <w:tcPr>
            <w:tcW w:w="4788" w:type="dxa"/>
          </w:tcPr>
          <w:p w14:paraId="2ECD251C"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Joseph P. Serio</w:t>
            </w:r>
          </w:p>
          <w:p w14:paraId="0F156F01"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Larry S. Sauer</w:t>
            </w:r>
          </w:p>
          <w:p w14:paraId="445025F2"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Office of the Ohio Consumers' Counsel</w:t>
            </w:r>
          </w:p>
          <w:p w14:paraId="51CC91AD"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10 West Broad Street, Suite 1800</w:t>
            </w:r>
          </w:p>
          <w:p w14:paraId="2FFD6EBE"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Columbus, Ohio 43215-3485</w:t>
            </w:r>
          </w:p>
          <w:p w14:paraId="288E4126"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serio@occ.state.oh.us</w:t>
            </w:r>
          </w:p>
          <w:p w14:paraId="74660546"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sauer@occ.state.oh.us</w:t>
            </w:r>
          </w:p>
          <w:p w14:paraId="08E550A9" w14:textId="77777777" w:rsidR="00002E08" w:rsidRPr="00002E08" w:rsidRDefault="00002E08" w:rsidP="002848B3">
            <w:pPr>
              <w:rPr>
                <w:rFonts w:ascii="Times New Roman" w:hAnsi="Times New Roman" w:cs="Times New Roman"/>
              </w:rPr>
            </w:pPr>
          </w:p>
        </w:tc>
      </w:tr>
      <w:tr w:rsidR="00002E08" w:rsidRPr="00002E08" w14:paraId="5045904A" w14:textId="77777777" w:rsidTr="002848B3">
        <w:tc>
          <w:tcPr>
            <w:tcW w:w="4788" w:type="dxa"/>
          </w:tcPr>
          <w:p w14:paraId="133DCEDD"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Barth E. Royer</w:t>
            </w:r>
          </w:p>
          <w:p w14:paraId="45359E05"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Bell &amp; Royer Co., LPA</w:t>
            </w:r>
          </w:p>
          <w:p w14:paraId="34FC0653"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33 South Grant Avenue</w:t>
            </w:r>
          </w:p>
          <w:p w14:paraId="438B7631"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Columbus, Ohio 43215-3900</w:t>
            </w:r>
          </w:p>
          <w:p w14:paraId="5842200C"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BarthRoyer@aol.com</w:t>
            </w:r>
          </w:p>
        </w:tc>
        <w:tc>
          <w:tcPr>
            <w:tcW w:w="4788" w:type="dxa"/>
          </w:tcPr>
          <w:p w14:paraId="7BD45BED"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Colleen L. Mooney</w:t>
            </w:r>
          </w:p>
          <w:p w14:paraId="1CD77EB2"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Ohio Partners for Affordable Energy</w:t>
            </w:r>
          </w:p>
          <w:p w14:paraId="12244636"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231 West Lima Street</w:t>
            </w:r>
          </w:p>
          <w:p w14:paraId="14A64D67"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P.O. Box 1793</w:t>
            </w:r>
          </w:p>
          <w:p w14:paraId="4AF41C58"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Findlay, Ohio 45839-1793</w:t>
            </w:r>
          </w:p>
          <w:p w14:paraId="11F03117"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cmooney2@columbus.rr.com</w:t>
            </w:r>
          </w:p>
          <w:p w14:paraId="46980005" w14:textId="77777777" w:rsidR="00002E08" w:rsidRPr="00002E08" w:rsidRDefault="00002E08" w:rsidP="002848B3">
            <w:pPr>
              <w:rPr>
                <w:rFonts w:ascii="Times New Roman" w:hAnsi="Times New Roman" w:cs="Times New Roman"/>
              </w:rPr>
            </w:pPr>
          </w:p>
        </w:tc>
      </w:tr>
      <w:tr w:rsidR="00002E08" w:rsidRPr="00002E08" w14:paraId="6ADDFF15" w14:textId="77777777" w:rsidTr="002848B3">
        <w:tc>
          <w:tcPr>
            <w:tcW w:w="4788" w:type="dxa"/>
          </w:tcPr>
          <w:p w14:paraId="17BD43DF"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Samuel C. Randazzo</w:t>
            </w:r>
          </w:p>
          <w:p w14:paraId="52E18572"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Joseph E. Oliker</w:t>
            </w:r>
          </w:p>
          <w:p w14:paraId="30C95289"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Frank P. Darr</w:t>
            </w:r>
          </w:p>
          <w:p w14:paraId="36702FBB"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McNees Wallace &amp; Nurick LLC</w:t>
            </w:r>
          </w:p>
          <w:p w14:paraId="08E3EA3C"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21 East State Street, 17th Floor</w:t>
            </w:r>
          </w:p>
          <w:p w14:paraId="2A9DB659"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Columbus, Ohio 43215</w:t>
            </w:r>
          </w:p>
          <w:p w14:paraId="7F6930CC"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sam@mwncmh.com</w:t>
            </w:r>
          </w:p>
          <w:p w14:paraId="0181F25B"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joliker@mwncmh.com</w:t>
            </w:r>
          </w:p>
          <w:p w14:paraId="713B446E"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fdarr@mwncmh.com</w:t>
            </w:r>
          </w:p>
          <w:p w14:paraId="09BD12B9" w14:textId="77777777" w:rsidR="00002E08" w:rsidRPr="00002E08" w:rsidRDefault="00002E08" w:rsidP="002848B3">
            <w:pPr>
              <w:rPr>
                <w:rFonts w:ascii="Times New Roman" w:hAnsi="Times New Roman" w:cs="Times New Roman"/>
              </w:rPr>
            </w:pPr>
          </w:p>
        </w:tc>
        <w:tc>
          <w:tcPr>
            <w:tcW w:w="4788" w:type="dxa"/>
          </w:tcPr>
          <w:p w14:paraId="3583EB4B"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M. Howard Petricoff</w:t>
            </w:r>
          </w:p>
          <w:p w14:paraId="20E67CE8"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Stephen M. Howard</w:t>
            </w:r>
          </w:p>
          <w:p w14:paraId="45528FE5"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Vorys, Sater, Seymour and Pease LLP</w:t>
            </w:r>
          </w:p>
          <w:p w14:paraId="0B672633"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52 East Gay Street</w:t>
            </w:r>
          </w:p>
          <w:p w14:paraId="0F313C7C"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P.O. Box 1008</w:t>
            </w:r>
          </w:p>
          <w:p w14:paraId="6EEA1F3C"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Columbus, Ohio 43216-1008</w:t>
            </w:r>
          </w:p>
          <w:p w14:paraId="26BD37DC"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mhpetricoff@vorys.com</w:t>
            </w:r>
          </w:p>
          <w:p w14:paraId="4414BE86"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smhoward@vorys.com</w:t>
            </w:r>
          </w:p>
        </w:tc>
      </w:tr>
      <w:tr w:rsidR="00002E08" w:rsidRPr="00002E08" w14:paraId="57CB8FC8" w14:textId="77777777" w:rsidTr="002848B3">
        <w:tc>
          <w:tcPr>
            <w:tcW w:w="4788" w:type="dxa"/>
          </w:tcPr>
          <w:p w14:paraId="618FB1C0"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Craig Goodman</w:t>
            </w:r>
          </w:p>
          <w:p w14:paraId="60A30CF5"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National Energy Marketers Association</w:t>
            </w:r>
          </w:p>
          <w:p w14:paraId="6A34F6A8"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3333 K Street, N.W., Suite 110</w:t>
            </w:r>
          </w:p>
          <w:p w14:paraId="0CE77B34"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Washington, D.C. 20007</w:t>
            </w:r>
          </w:p>
          <w:p w14:paraId="276E2A25"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cgoodman@energymarketers.com</w:t>
            </w:r>
          </w:p>
        </w:tc>
        <w:tc>
          <w:tcPr>
            <w:tcW w:w="4788" w:type="dxa"/>
          </w:tcPr>
          <w:p w14:paraId="4853A662"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Thomas J. O'Brien</w:t>
            </w:r>
          </w:p>
          <w:p w14:paraId="4C22C861"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Bricker &amp; Eckler LLP</w:t>
            </w:r>
          </w:p>
          <w:p w14:paraId="6D6E15B7"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100 South Third Street</w:t>
            </w:r>
          </w:p>
          <w:p w14:paraId="3343FD93"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Columbus, Ohio 43215-4291</w:t>
            </w:r>
          </w:p>
          <w:p w14:paraId="5263C00D" w14:textId="77777777" w:rsidR="00002E08" w:rsidRPr="00002E08" w:rsidRDefault="00002E08" w:rsidP="002848B3">
            <w:pPr>
              <w:rPr>
                <w:rFonts w:ascii="Times New Roman" w:hAnsi="Times New Roman" w:cs="Times New Roman"/>
              </w:rPr>
            </w:pPr>
            <w:r w:rsidRPr="00002E08">
              <w:rPr>
                <w:rFonts w:ascii="Times New Roman" w:hAnsi="Times New Roman" w:cs="Times New Roman"/>
              </w:rPr>
              <w:t>tobrien@bricker.com</w:t>
            </w:r>
          </w:p>
        </w:tc>
      </w:tr>
    </w:tbl>
    <w:p w14:paraId="3757DC6D" w14:textId="77777777" w:rsidR="00002E08" w:rsidRPr="00002E08" w:rsidRDefault="00002E08" w:rsidP="00002E08">
      <w:pPr>
        <w:spacing w:line="480" w:lineRule="auto"/>
        <w:rPr>
          <w:rFonts w:ascii="Times New Roman" w:hAnsi="Times New Roman" w:cs="Times New Roman"/>
        </w:rPr>
      </w:pPr>
    </w:p>
    <w:p w14:paraId="40B0033C" w14:textId="4952444B" w:rsidR="00002E08" w:rsidRPr="00002E08" w:rsidRDefault="00002E08" w:rsidP="00002E08">
      <w:pPr>
        <w:ind w:left="4770"/>
        <w:rPr>
          <w:rFonts w:ascii="Times New Roman" w:hAnsi="Times New Roman" w:cs="Times New Roman"/>
        </w:rPr>
      </w:pPr>
      <w:r>
        <w:rPr>
          <w:rFonts w:ascii="Times New Roman" w:hAnsi="Times New Roman" w:cs="Times New Roman"/>
          <w:u w:val="single"/>
        </w:rPr>
        <w:t>/s/ Melissa L. Thompson</w:t>
      </w:r>
      <w:r w:rsidRPr="00002E08">
        <w:rPr>
          <w:rFonts w:ascii="Times New Roman" w:hAnsi="Times New Roman" w:cs="Times New Roman"/>
          <w:u w:val="single"/>
        </w:rPr>
        <w:tab/>
      </w:r>
      <w:r w:rsidRPr="00002E08">
        <w:rPr>
          <w:rFonts w:ascii="Times New Roman" w:hAnsi="Times New Roman" w:cs="Times New Roman"/>
          <w:u w:val="single"/>
        </w:rPr>
        <w:tab/>
      </w:r>
      <w:r w:rsidRPr="00002E08">
        <w:rPr>
          <w:rFonts w:ascii="Times New Roman" w:hAnsi="Times New Roman" w:cs="Times New Roman"/>
          <w:u w:val="single"/>
        </w:rPr>
        <w:tab/>
      </w:r>
      <w:r w:rsidRPr="00002E08">
        <w:rPr>
          <w:rFonts w:ascii="Times New Roman" w:hAnsi="Times New Roman" w:cs="Times New Roman"/>
          <w:u w:val="single"/>
        </w:rPr>
        <w:tab/>
      </w:r>
    </w:p>
    <w:p w14:paraId="3B78F322" w14:textId="77777777" w:rsidR="00002E08" w:rsidRPr="00002E08" w:rsidRDefault="00002E08" w:rsidP="00002E08">
      <w:pPr>
        <w:ind w:left="4770"/>
        <w:rPr>
          <w:rFonts w:ascii="Times New Roman" w:hAnsi="Times New Roman" w:cs="Times New Roman"/>
        </w:rPr>
      </w:pPr>
      <w:r w:rsidRPr="00002E08">
        <w:rPr>
          <w:rFonts w:ascii="Times New Roman" w:hAnsi="Times New Roman" w:cs="Times New Roman"/>
        </w:rPr>
        <w:t>One of the Attorneys for The East Ohio Gas Company d/b/a Dominion East Ohio</w:t>
      </w:r>
    </w:p>
    <w:p w14:paraId="4DDBCDCC" w14:textId="19BE5D50" w:rsidR="00A8215C" w:rsidRPr="00002E08" w:rsidRDefault="00A8215C" w:rsidP="00002E08">
      <w:pPr>
        <w:spacing w:line="480" w:lineRule="auto"/>
        <w:rPr>
          <w:rFonts w:ascii="Times New Roman" w:hAnsi="Times New Roman" w:cs="Times New Roman"/>
        </w:rPr>
      </w:pPr>
    </w:p>
    <w:sectPr w:rsidR="00A8215C" w:rsidRPr="00002E08" w:rsidSect="0032154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A9D1" w14:textId="77777777" w:rsidR="00311FDE" w:rsidRDefault="00311FDE" w:rsidP="0032154A">
      <w:r>
        <w:separator/>
      </w:r>
    </w:p>
  </w:endnote>
  <w:endnote w:type="continuationSeparator" w:id="0">
    <w:p w14:paraId="4C70BE38" w14:textId="77777777" w:rsidR="00311FDE" w:rsidRDefault="00311FDE"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41F3" w14:textId="77777777" w:rsidR="00311FDE" w:rsidRPr="0032154A" w:rsidRDefault="00311FDE" w:rsidP="0032154A">
    <w:pPr>
      <w:pStyle w:val="Footer"/>
      <w:jc w:val="center"/>
      <w:rPr>
        <w:rFonts w:ascii="Times New Roman" w:hAnsi="Times New Roman" w:cs="Times New Roman"/>
      </w:rPr>
    </w:pPr>
    <w:r w:rsidRPr="0032154A">
      <w:rPr>
        <w:rStyle w:val="PageNumber"/>
        <w:rFonts w:ascii="Times New Roman" w:hAnsi="Times New Roman" w:cs="Times New Roman"/>
      </w:rPr>
      <w:fldChar w:fldCharType="begin"/>
    </w:r>
    <w:r w:rsidRPr="0032154A">
      <w:rPr>
        <w:rStyle w:val="PageNumber"/>
        <w:rFonts w:ascii="Times New Roman" w:hAnsi="Times New Roman" w:cs="Times New Roman"/>
      </w:rPr>
      <w:instrText xml:space="preserve"> PAGE </w:instrText>
    </w:r>
    <w:r w:rsidRPr="0032154A">
      <w:rPr>
        <w:rStyle w:val="PageNumber"/>
        <w:rFonts w:ascii="Times New Roman" w:hAnsi="Times New Roman" w:cs="Times New Roman"/>
      </w:rPr>
      <w:fldChar w:fldCharType="separate"/>
    </w:r>
    <w:r>
      <w:rPr>
        <w:rStyle w:val="PageNumber"/>
        <w:rFonts w:ascii="Times New Roman" w:hAnsi="Times New Roman" w:cs="Times New Roman"/>
        <w:noProof/>
      </w:rPr>
      <w:t>2</w:t>
    </w:r>
    <w:r w:rsidRPr="0032154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F968" w14:textId="77777777" w:rsidR="00311FDE" w:rsidRDefault="00311FDE" w:rsidP="0032154A">
      <w:r>
        <w:separator/>
      </w:r>
    </w:p>
  </w:footnote>
  <w:footnote w:type="continuationSeparator" w:id="0">
    <w:p w14:paraId="5075A2D1" w14:textId="77777777" w:rsidR="00311FDE" w:rsidRDefault="00311FDE"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E2"/>
    <w:rsid w:val="00002E08"/>
    <w:rsid w:val="000127D6"/>
    <w:rsid w:val="00020DF7"/>
    <w:rsid w:val="000213CC"/>
    <w:rsid w:val="0002146F"/>
    <w:rsid w:val="0007068D"/>
    <w:rsid w:val="000A288D"/>
    <w:rsid w:val="000B3928"/>
    <w:rsid w:val="000C463A"/>
    <w:rsid w:val="000D6365"/>
    <w:rsid w:val="000E56C8"/>
    <w:rsid w:val="00115568"/>
    <w:rsid w:val="00185310"/>
    <w:rsid w:val="001C04B0"/>
    <w:rsid w:val="001C2978"/>
    <w:rsid w:val="001C5A8F"/>
    <w:rsid w:val="001C75E2"/>
    <w:rsid w:val="00200600"/>
    <w:rsid w:val="0022361A"/>
    <w:rsid w:val="002557CC"/>
    <w:rsid w:val="002848B3"/>
    <w:rsid w:val="002915CF"/>
    <w:rsid w:val="002A5ACF"/>
    <w:rsid w:val="002C52DA"/>
    <w:rsid w:val="002F78A9"/>
    <w:rsid w:val="00311FDE"/>
    <w:rsid w:val="00314522"/>
    <w:rsid w:val="0032154A"/>
    <w:rsid w:val="00321A8D"/>
    <w:rsid w:val="00326992"/>
    <w:rsid w:val="003355C7"/>
    <w:rsid w:val="00357D60"/>
    <w:rsid w:val="0044167D"/>
    <w:rsid w:val="00472357"/>
    <w:rsid w:val="004773F5"/>
    <w:rsid w:val="00484095"/>
    <w:rsid w:val="004854AE"/>
    <w:rsid w:val="004A0D8B"/>
    <w:rsid w:val="004D37FA"/>
    <w:rsid w:val="005353F0"/>
    <w:rsid w:val="00547FE7"/>
    <w:rsid w:val="0055112A"/>
    <w:rsid w:val="00554664"/>
    <w:rsid w:val="00575F07"/>
    <w:rsid w:val="005A317E"/>
    <w:rsid w:val="005A4751"/>
    <w:rsid w:val="005B111C"/>
    <w:rsid w:val="005B6400"/>
    <w:rsid w:val="005C32EE"/>
    <w:rsid w:val="005D368E"/>
    <w:rsid w:val="00600B90"/>
    <w:rsid w:val="006366CA"/>
    <w:rsid w:val="00644998"/>
    <w:rsid w:val="006456C7"/>
    <w:rsid w:val="006558AB"/>
    <w:rsid w:val="00657CEE"/>
    <w:rsid w:val="00686833"/>
    <w:rsid w:val="00697433"/>
    <w:rsid w:val="006D0B91"/>
    <w:rsid w:val="006D28C1"/>
    <w:rsid w:val="006E03F9"/>
    <w:rsid w:val="0071539B"/>
    <w:rsid w:val="0072150D"/>
    <w:rsid w:val="00721C9A"/>
    <w:rsid w:val="0072651D"/>
    <w:rsid w:val="00751C66"/>
    <w:rsid w:val="00795452"/>
    <w:rsid w:val="007F3219"/>
    <w:rsid w:val="007F4B37"/>
    <w:rsid w:val="00804023"/>
    <w:rsid w:val="00836971"/>
    <w:rsid w:val="008554E9"/>
    <w:rsid w:val="00867185"/>
    <w:rsid w:val="00873F93"/>
    <w:rsid w:val="00877A88"/>
    <w:rsid w:val="00890483"/>
    <w:rsid w:val="008A5BCF"/>
    <w:rsid w:val="008A7499"/>
    <w:rsid w:val="008B32AE"/>
    <w:rsid w:val="008B6135"/>
    <w:rsid w:val="008C1D84"/>
    <w:rsid w:val="008C357A"/>
    <w:rsid w:val="008E7532"/>
    <w:rsid w:val="00905A5F"/>
    <w:rsid w:val="00914D4F"/>
    <w:rsid w:val="00925ED3"/>
    <w:rsid w:val="00937130"/>
    <w:rsid w:val="009601B6"/>
    <w:rsid w:val="00975368"/>
    <w:rsid w:val="00996F91"/>
    <w:rsid w:val="009A409D"/>
    <w:rsid w:val="009B1541"/>
    <w:rsid w:val="009B4728"/>
    <w:rsid w:val="009C02F1"/>
    <w:rsid w:val="009C37E8"/>
    <w:rsid w:val="009C386A"/>
    <w:rsid w:val="009C3876"/>
    <w:rsid w:val="009E6F3C"/>
    <w:rsid w:val="00A11350"/>
    <w:rsid w:val="00A32837"/>
    <w:rsid w:val="00A35B7B"/>
    <w:rsid w:val="00A404A4"/>
    <w:rsid w:val="00A43054"/>
    <w:rsid w:val="00A54C4E"/>
    <w:rsid w:val="00A573AD"/>
    <w:rsid w:val="00A60317"/>
    <w:rsid w:val="00A77EE5"/>
    <w:rsid w:val="00A8215C"/>
    <w:rsid w:val="00A95046"/>
    <w:rsid w:val="00A975C4"/>
    <w:rsid w:val="00AA3D1D"/>
    <w:rsid w:val="00AA7B74"/>
    <w:rsid w:val="00AB1388"/>
    <w:rsid w:val="00AD1445"/>
    <w:rsid w:val="00AE4328"/>
    <w:rsid w:val="00AF001A"/>
    <w:rsid w:val="00B0188B"/>
    <w:rsid w:val="00B133A1"/>
    <w:rsid w:val="00B22994"/>
    <w:rsid w:val="00B253E4"/>
    <w:rsid w:val="00B566FB"/>
    <w:rsid w:val="00B6183A"/>
    <w:rsid w:val="00B85C90"/>
    <w:rsid w:val="00B948BC"/>
    <w:rsid w:val="00B97FCD"/>
    <w:rsid w:val="00BA2274"/>
    <w:rsid w:val="00BB286F"/>
    <w:rsid w:val="00BE6588"/>
    <w:rsid w:val="00C07D65"/>
    <w:rsid w:val="00C246CC"/>
    <w:rsid w:val="00C46F19"/>
    <w:rsid w:val="00C56BDD"/>
    <w:rsid w:val="00C67A12"/>
    <w:rsid w:val="00C67AF7"/>
    <w:rsid w:val="00C84E7C"/>
    <w:rsid w:val="00C96B44"/>
    <w:rsid w:val="00CB6AD0"/>
    <w:rsid w:val="00CC5293"/>
    <w:rsid w:val="00CD56B4"/>
    <w:rsid w:val="00CE3850"/>
    <w:rsid w:val="00CF3B69"/>
    <w:rsid w:val="00D02712"/>
    <w:rsid w:val="00D76BD9"/>
    <w:rsid w:val="00D86C75"/>
    <w:rsid w:val="00D874A1"/>
    <w:rsid w:val="00D93E59"/>
    <w:rsid w:val="00DC72F5"/>
    <w:rsid w:val="00DF7BDE"/>
    <w:rsid w:val="00E05C6A"/>
    <w:rsid w:val="00E105F8"/>
    <w:rsid w:val="00E40A14"/>
    <w:rsid w:val="00E62E7B"/>
    <w:rsid w:val="00E72BE2"/>
    <w:rsid w:val="00EE4CDB"/>
    <w:rsid w:val="00F02EF6"/>
    <w:rsid w:val="00F06866"/>
    <w:rsid w:val="00F16639"/>
    <w:rsid w:val="00F24A15"/>
    <w:rsid w:val="00F82D76"/>
    <w:rsid w:val="00FA20C6"/>
    <w:rsid w:val="00FA437D"/>
    <w:rsid w:val="00FB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7B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pbell:Library:Application%20Support:Microsoft:Office:User%20Templates:My%20Templates:Mo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6CB5-350C-D94A-8B66-D425B847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 Template.dotx</Template>
  <TotalTime>0</TotalTime>
  <Pages>10</Pages>
  <Words>4467</Words>
  <Characters>12108</Characters>
  <Application>Microsoft Macintosh Word</Application>
  <DocSecurity>0</DocSecurity>
  <Lines>232</Lines>
  <Paragraphs>1</Paragraphs>
  <ScaleCrop>false</ScaleCrop>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Melissa Thompson</cp:lastModifiedBy>
  <cp:revision>3</cp:revision>
  <cp:lastPrinted>2012-07-13T18:54:00Z</cp:lastPrinted>
  <dcterms:created xsi:type="dcterms:W3CDTF">2012-07-13T19:24:00Z</dcterms:created>
  <dcterms:modified xsi:type="dcterms:W3CDTF">2012-07-13T19:24:00Z</dcterms:modified>
</cp:coreProperties>
</file>