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6A" w:rsidRDefault="00DE546A" w:rsidP="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bookmarkStart w:id="0" w:name="_GoBack"/>
      <w:bookmarkEnd w:id="0"/>
      <w:r>
        <w:rPr>
          <w:rFonts w:eastAsia="Courier New" w:cs="Courier New"/>
          <w:b/>
          <w:bCs/>
        </w:rPr>
        <w:t>BEFORE</w:t>
      </w:r>
    </w:p>
    <w:p w:rsidR="00DE546A" w:rsidRDefault="00DE546A" w:rsidP="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Pr>
          <w:rFonts w:eastAsia="Courier New" w:cs="Courier New"/>
          <w:b/>
          <w:bCs/>
        </w:rPr>
        <w:t>THE PUBLIC UTILITIES COMMISSION OF OHIO</w:t>
      </w:r>
    </w:p>
    <w:p w:rsidR="00DE546A" w:rsidRDefault="00DE546A" w:rsidP="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9092" w:type="dxa"/>
        <w:tblLook w:val="01E0" w:firstRow="1" w:lastRow="1" w:firstColumn="1" w:lastColumn="1" w:noHBand="0" w:noVBand="0"/>
      </w:tblPr>
      <w:tblGrid>
        <w:gridCol w:w="4396"/>
        <w:gridCol w:w="296"/>
        <w:gridCol w:w="4400"/>
      </w:tblGrid>
      <w:tr w:rsidR="00DE546A" w:rsidTr="00DE546A">
        <w:trPr>
          <w:trHeight w:val="807"/>
        </w:trPr>
        <w:tc>
          <w:tcPr>
            <w:tcW w:w="4396" w:type="dxa"/>
            <w:hideMark/>
          </w:tcPr>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4"/>
              </w:rPr>
            </w:pPr>
            <w:r>
              <w:rPr>
                <w:rFonts w:eastAsia="Courier New"/>
                <w:szCs w:val="24"/>
              </w:rPr>
              <w:t xml:space="preserve">In the Matter of The </w:t>
            </w:r>
            <w:r w:rsidR="00BF3EC8">
              <w:rPr>
                <w:rFonts w:eastAsia="Courier New"/>
                <w:szCs w:val="24"/>
              </w:rPr>
              <w:t xml:space="preserve">Application of The </w:t>
            </w:r>
            <w:r>
              <w:rPr>
                <w:rFonts w:eastAsia="Courier New"/>
                <w:szCs w:val="24"/>
              </w:rPr>
              <w:t xml:space="preserve">East Ohio Gas Company d/b/a Dominion East Ohio for Approval of an Alternative Form of Regulation. </w:t>
            </w:r>
          </w:p>
        </w:tc>
        <w:tc>
          <w:tcPr>
            <w:tcW w:w="296" w:type="dxa"/>
            <w:hideMark/>
          </w:tcPr>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tc>
        <w:tc>
          <w:tcPr>
            <w:tcW w:w="4400" w:type="dxa"/>
          </w:tcPr>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Case No. 15-0362-GA-ALT</w:t>
            </w:r>
          </w:p>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DE546A" w:rsidRDefault="00D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c>
      </w:tr>
    </w:tbl>
    <w:p w:rsidR="00DE546A" w:rsidRDefault="00DE546A" w:rsidP="00DE546A"/>
    <w:p w:rsidR="004B1FF3" w:rsidRDefault="004B1FF3" w:rsidP="00DE546A"/>
    <w:p w:rsidR="00DE546A" w:rsidRDefault="00DE546A" w:rsidP="00DE546A">
      <w:pPr>
        <w:pBdr>
          <w:top w:val="single" w:sz="12" w:space="1" w:color="auto"/>
        </w:pBdr>
      </w:pPr>
    </w:p>
    <w:p w:rsidR="00DE546A" w:rsidRDefault="00813AC1" w:rsidP="00DE546A">
      <w:pPr>
        <w:jc w:val="center"/>
        <w:rPr>
          <w:b/>
        </w:rPr>
      </w:pPr>
      <w:r>
        <w:rPr>
          <w:b/>
        </w:rPr>
        <w:t>INITIAL BRIEF</w:t>
      </w:r>
    </w:p>
    <w:p w:rsidR="00DE546A" w:rsidRDefault="00DE546A" w:rsidP="00DE546A">
      <w:pPr>
        <w:jc w:val="center"/>
        <w:rPr>
          <w:b/>
        </w:rPr>
      </w:pPr>
      <w:r>
        <w:rPr>
          <w:b/>
        </w:rPr>
        <w:t>BY</w:t>
      </w:r>
    </w:p>
    <w:p w:rsidR="00DE546A" w:rsidRDefault="00DE546A" w:rsidP="00DE546A">
      <w:pPr>
        <w:jc w:val="center"/>
        <w:rPr>
          <w:b/>
        </w:rPr>
      </w:pPr>
      <w:r>
        <w:rPr>
          <w:b/>
        </w:rPr>
        <w:t>THE OFFICE OF THE OHIO CONSUMERS’ COUNSEL</w:t>
      </w:r>
    </w:p>
    <w:p w:rsidR="00DE546A" w:rsidRDefault="00DE546A" w:rsidP="00DE546A">
      <w:pPr>
        <w:pBdr>
          <w:bottom w:val="single" w:sz="12" w:space="1" w:color="auto"/>
        </w:pBdr>
      </w:pPr>
    </w:p>
    <w:p w:rsidR="00DE546A" w:rsidRDefault="00DE546A" w:rsidP="00DE546A"/>
    <w:p w:rsidR="004B1FF3" w:rsidRDefault="004B1FF3" w:rsidP="00DE546A"/>
    <w:p w:rsidR="004B1FF3" w:rsidRDefault="004B1FF3" w:rsidP="00DE546A"/>
    <w:p w:rsidR="004B1FF3" w:rsidRDefault="004B1FF3" w:rsidP="00DE546A"/>
    <w:p w:rsidR="004B1FF3" w:rsidRDefault="004B1FF3" w:rsidP="00DE546A"/>
    <w:p w:rsidR="004B1FF3" w:rsidRDefault="004B1FF3" w:rsidP="00DE546A"/>
    <w:p w:rsidR="004B1FF3" w:rsidRDefault="004B1FF3" w:rsidP="00DE546A"/>
    <w:p w:rsidR="004B1FF3" w:rsidRDefault="004B1FF3" w:rsidP="00DE546A"/>
    <w:p w:rsidR="004B1FF3" w:rsidRDefault="004B1FF3" w:rsidP="00DE546A"/>
    <w:p w:rsidR="004B1FF3" w:rsidRDefault="004B1FF3" w:rsidP="00DE546A"/>
    <w:p w:rsidR="004B1FF3" w:rsidRDefault="004B1FF3" w:rsidP="00DE546A"/>
    <w:p w:rsidR="004B1FF3" w:rsidRDefault="004B1FF3" w:rsidP="00DE546A"/>
    <w:p w:rsidR="00813AC1" w:rsidRPr="007822A8" w:rsidRDefault="00813AC1" w:rsidP="00813AC1">
      <w:pPr>
        <w:tabs>
          <w:tab w:val="left" w:pos="4320"/>
        </w:tabs>
        <w:spacing w:before="240"/>
        <w:rPr>
          <w:szCs w:val="24"/>
        </w:rPr>
      </w:pPr>
      <w:r>
        <w:rPr>
          <w:szCs w:val="24"/>
        </w:rPr>
        <w:tab/>
      </w:r>
      <w:r w:rsidRPr="007822A8">
        <w:rPr>
          <w:szCs w:val="24"/>
        </w:rPr>
        <w:t>BRUCE J. WESTON</w:t>
      </w:r>
      <w:r w:rsidR="00364C03">
        <w:rPr>
          <w:szCs w:val="24"/>
        </w:rPr>
        <w:t xml:space="preserve"> </w:t>
      </w:r>
      <w:r w:rsidR="00364C03" w:rsidRPr="00364C03">
        <w:rPr>
          <w:szCs w:val="24"/>
        </w:rPr>
        <w:t>(0016973)</w:t>
      </w:r>
    </w:p>
    <w:p w:rsidR="00813AC1" w:rsidRPr="007822A8" w:rsidRDefault="00813AC1" w:rsidP="00813AC1">
      <w:pPr>
        <w:tabs>
          <w:tab w:val="left" w:pos="4320"/>
        </w:tabs>
        <w:rPr>
          <w:szCs w:val="24"/>
        </w:rPr>
      </w:pPr>
      <w:r w:rsidRPr="007822A8">
        <w:rPr>
          <w:szCs w:val="24"/>
        </w:rPr>
        <w:tab/>
        <w:t>OHIO CONSUMERS’ COUNSEL</w:t>
      </w:r>
    </w:p>
    <w:p w:rsidR="00813AC1" w:rsidRPr="007822A8" w:rsidRDefault="00813AC1" w:rsidP="00813AC1">
      <w:pPr>
        <w:tabs>
          <w:tab w:val="left" w:pos="4320"/>
        </w:tabs>
        <w:rPr>
          <w:szCs w:val="24"/>
        </w:rPr>
      </w:pPr>
      <w:r w:rsidRPr="007822A8">
        <w:rPr>
          <w:szCs w:val="24"/>
        </w:rPr>
        <w:tab/>
      </w:r>
    </w:p>
    <w:p w:rsidR="00813AC1" w:rsidRPr="003C2FFA" w:rsidRDefault="00813AC1" w:rsidP="00813AC1">
      <w:pPr>
        <w:ind w:left="4320" w:right="-378"/>
        <w:rPr>
          <w:szCs w:val="24"/>
        </w:rPr>
      </w:pPr>
      <w:r w:rsidRPr="003C2FFA">
        <w:rPr>
          <w:szCs w:val="24"/>
        </w:rPr>
        <w:t>Jodi J. Bair</w:t>
      </w:r>
      <w:r w:rsidR="00496AC0">
        <w:rPr>
          <w:szCs w:val="24"/>
        </w:rPr>
        <w:t xml:space="preserve"> </w:t>
      </w:r>
      <w:r w:rsidRPr="003C2FFA">
        <w:rPr>
          <w:szCs w:val="24"/>
        </w:rPr>
        <w:t>(0062921)</w:t>
      </w:r>
    </w:p>
    <w:p w:rsidR="00813AC1" w:rsidRPr="00496AC0" w:rsidRDefault="00813AC1" w:rsidP="00813AC1">
      <w:pPr>
        <w:ind w:left="4320"/>
        <w:rPr>
          <w:i/>
        </w:rPr>
      </w:pPr>
      <w:r w:rsidRPr="00496AC0">
        <w:rPr>
          <w:i/>
          <w:szCs w:val="24"/>
        </w:rPr>
        <w:t>Counsel of Record</w:t>
      </w:r>
      <w:r w:rsidRPr="00496AC0">
        <w:rPr>
          <w:i/>
        </w:rPr>
        <w:t xml:space="preserve"> </w:t>
      </w:r>
    </w:p>
    <w:p w:rsidR="00813AC1" w:rsidRPr="003C2FFA" w:rsidRDefault="00813AC1" w:rsidP="00813AC1">
      <w:pPr>
        <w:ind w:left="4320"/>
      </w:pPr>
      <w:r w:rsidRPr="003C2FFA">
        <w:t>Ajay K. Kumar (0092208)</w:t>
      </w:r>
    </w:p>
    <w:p w:rsidR="004B1FF3" w:rsidRPr="003C2FFA" w:rsidRDefault="004B1FF3" w:rsidP="004B1FF3">
      <w:pPr>
        <w:ind w:left="4320"/>
      </w:pPr>
      <w:r w:rsidRPr="003C2FFA">
        <w:t>Assistant Consumers’ Counsel</w:t>
      </w:r>
    </w:p>
    <w:p w:rsidR="00813AC1" w:rsidRPr="003C2FFA" w:rsidRDefault="00813AC1" w:rsidP="00813AC1">
      <w:pPr>
        <w:ind w:left="4320" w:right="-180"/>
        <w:rPr>
          <w:b/>
        </w:rPr>
      </w:pPr>
    </w:p>
    <w:p w:rsidR="00813AC1" w:rsidRPr="003C2FFA" w:rsidRDefault="00813AC1" w:rsidP="00813AC1">
      <w:pPr>
        <w:ind w:left="4320" w:right="-180"/>
      </w:pPr>
      <w:r w:rsidRPr="003C2FFA">
        <w:rPr>
          <w:b/>
        </w:rPr>
        <w:t>Office of the Ohio Consumers’ Counsel</w:t>
      </w:r>
    </w:p>
    <w:p w:rsidR="00813AC1" w:rsidRPr="003C2FFA" w:rsidRDefault="00813AC1" w:rsidP="00813AC1">
      <w:pPr>
        <w:ind w:left="4320"/>
      </w:pPr>
      <w:r w:rsidRPr="003C2FFA">
        <w:t>10 West Broad Street, Suite 1800</w:t>
      </w:r>
    </w:p>
    <w:p w:rsidR="00813AC1" w:rsidRPr="003C2FFA" w:rsidRDefault="00813AC1" w:rsidP="00813AC1">
      <w:pPr>
        <w:ind w:left="4320"/>
      </w:pPr>
      <w:r w:rsidRPr="003C2FFA">
        <w:t>Columbus, Ohio 43215-3485</w:t>
      </w:r>
    </w:p>
    <w:p w:rsidR="00813AC1" w:rsidRPr="003C2FFA" w:rsidRDefault="00813AC1" w:rsidP="00813AC1">
      <w:r w:rsidRPr="003C2FFA">
        <w:tab/>
      </w:r>
      <w:r w:rsidRPr="003C2FFA">
        <w:tab/>
      </w:r>
      <w:r w:rsidRPr="003C2FFA">
        <w:tab/>
      </w:r>
      <w:r w:rsidRPr="003C2FFA">
        <w:tab/>
      </w:r>
      <w:r w:rsidRPr="003C2FFA">
        <w:tab/>
      </w:r>
      <w:r w:rsidRPr="003C2FFA">
        <w:tab/>
        <w:t>(614) 466-9559 – Bair Direct</w:t>
      </w:r>
    </w:p>
    <w:p w:rsidR="00813AC1" w:rsidRPr="003C2FFA" w:rsidRDefault="00813AC1" w:rsidP="00813AC1">
      <w:r w:rsidRPr="003C2FFA">
        <w:tab/>
      </w:r>
      <w:r w:rsidRPr="003C2FFA">
        <w:tab/>
      </w:r>
      <w:r w:rsidRPr="003C2FFA">
        <w:tab/>
      </w:r>
      <w:r w:rsidRPr="003C2FFA">
        <w:tab/>
      </w:r>
      <w:r w:rsidRPr="003C2FFA">
        <w:tab/>
      </w:r>
      <w:r w:rsidRPr="003C2FFA">
        <w:tab/>
        <w:t>(614) 466-1292 – Kumar Direct</w:t>
      </w:r>
    </w:p>
    <w:p w:rsidR="00813AC1" w:rsidRPr="003C2FFA" w:rsidRDefault="00813AC1" w:rsidP="00813AC1">
      <w:r w:rsidRPr="003C2FFA">
        <w:tab/>
      </w:r>
      <w:r w:rsidRPr="003C2FFA">
        <w:tab/>
      </w:r>
      <w:r w:rsidRPr="003C2FFA">
        <w:tab/>
      </w:r>
      <w:r w:rsidRPr="003C2FFA">
        <w:tab/>
      </w:r>
      <w:r w:rsidRPr="003C2FFA">
        <w:tab/>
      </w:r>
      <w:r w:rsidRPr="003C2FFA">
        <w:tab/>
      </w:r>
      <w:hyperlink r:id="rId8" w:history="1">
        <w:r w:rsidRPr="003C2FFA">
          <w:rPr>
            <w:color w:val="0000FF"/>
            <w:u w:val="single"/>
          </w:rPr>
          <w:t>Jodi.bair@occ.ohio.gov</w:t>
        </w:r>
      </w:hyperlink>
    </w:p>
    <w:p w:rsidR="00813AC1" w:rsidRPr="003C2FFA" w:rsidRDefault="00813AC1" w:rsidP="00813AC1">
      <w:r w:rsidRPr="003C2FFA">
        <w:tab/>
      </w:r>
      <w:r w:rsidRPr="003C2FFA">
        <w:tab/>
      </w:r>
      <w:r w:rsidRPr="003C2FFA">
        <w:tab/>
      </w:r>
      <w:r w:rsidRPr="003C2FFA">
        <w:tab/>
      </w:r>
      <w:r w:rsidRPr="003C2FFA">
        <w:tab/>
      </w:r>
      <w:r w:rsidRPr="003C2FFA">
        <w:tab/>
        <w:t>(will accept service via email)</w:t>
      </w:r>
    </w:p>
    <w:p w:rsidR="00813AC1" w:rsidRPr="003C2FFA" w:rsidRDefault="00813AC1" w:rsidP="00813AC1">
      <w:r w:rsidRPr="003C2FFA">
        <w:tab/>
      </w:r>
      <w:r w:rsidRPr="003C2FFA">
        <w:tab/>
      </w:r>
      <w:r w:rsidRPr="003C2FFA">
        <w:tab/>
      </w:r>
      <w:r w:rsidRPr="003C2FFA">
        <w:tab/>
      </w:r>
      <w:r w:rsidRPr="003C2FFA">
        <w:tab/>
      </w:r>
      <w:r w:rsidRPr="003C2FFA">
        <w:tab/>
      </w:r>
      <w:hyperlink r:id="rId9" w:history="1">
        <w:r w:rsidRPr="003C2FFA">
          <w:rPr>
            <w:color w:val="0000FF"/>
            <w:u w:val="single"/>
          </w:rPr>
          <w:t>Ajay.kumar@occ.ohio.gov</w:t>
        </w:r>
      </w:hyperlink>
    </w:p>
    <w:p w:rsidR="00813AC1" w:rsidRPr="003C2FFA" w:rsidRDefault="00813AC1" w:rsidP="00813AC1">
      <w:r w:rsidRPr="003C2FFA">
        <w:tab/>
      </w:r>
      <w:r w:rsidRPr="003C2FFA">
        <w:tab/>
      </w:r>
      <w:r w:rsidRPr="003C2FFA">
        <w:tab/>
      </w:r>
      <w:r w:rsidRPr="003C2FFA">
        <w:tab/>
      </w:r>
      <w:r w:rsidRPr="003C2FFA">
        <w:tab/>
      </w:r>
      <w:r w:rsidRPr="003C2FFA">
        <w:tab/>
        <w:t>(will accept service via email)</w:t>
      </w:r>
    </w:p>
    <w:p w:rsidR="004B1FF3" w:rsidRDefault="00813AC1" w:rsidP="00813AC1">
      <w:pPr>
        <w:spacing w:after="200" w:line="276" w:lineRule="auto"/>
        <w:sectPr w:rsidR="004B1FF3" w:rsidSect="004B1FF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360"/>
        </w:sectPr>
      </w:pPr>
      <w:r>
        <w:br w:type="page"/>
      </w:r>
    </w:p>
    <w:p w:rsidR="00AD5875" w:rsidRPr="001942CB" w:rsidRDefault="00813AC1" w:rsidP="00AD5875">
      <w:pPr>
        <w:pStyle w:val="BodyTextIndent"/>
        <w:jc w:val="center"/>
        <w:rPr>
          <w:b/>
          <w:bCs/>
          <w:szCs w:val="24"/>
          <w:u w:val="single"/>
        </w:rPr>
      </w:pPr>
      <w:r w:rsidRPr="001942CB">
        <w:rPr>
          <w:b/>
          <w:bCs/>
          <w:szCs w:val="24"/>
          <w:u w:val="single"/>
        </w:rPr>
        <w:lastRenderedPageBreak/>
        <w:t>TABLE OF CONTENTS</w:t>
      </w:r>
    </w:p>
    <w:p w:rsidR="001C7FAE" w:rsidRDefault="001942CB" w:rsidP="001942CB">
      <w:pPr>
        <w:pStyle w:val="BodyTextIndent"/>
        <w:ind w:right="-90"/>
        <w:jc w:val="right"/>
        <w:rPr>
          <w:bCs/>
          <w:szCs w:val="24"/>
          <w:u w:val="single"/>
        </w:rPr>
      </w:pPr>
      <w:r w:rsidRPr="001942CB">
        <w:rPr>
          <w:bCs/>
          <w:szCs w:val="24"/>
          <w:u w:val="single"/>
        </w:rPr>
        <w:t>Page</w:t>
      </w:r>
    </w:p>
    <w:p w:rsidR="00CF5F4D" w:rsidRPr="001942CB" w:rsidRDefault="00CF5F4D" w:rsidP="001942CB">
      <w:pPr>
        <w:pStyle w:val="BodyTextIndent"/>
        <w:ind w:right="-90"/>
        <w:jc w:val="right"/>
        <w:rPr>
          <w:bCs/>
          <w:szCs w:val="24"/>
          <w:u w:val="single"/>
        </w:rPr>
      </w:pPr>
    </w:p>
    <w:p w:rsidR="00CF5F4D" w:rsidRDefault="001565DE">
      <w:pPr>
        <w:pStyle w:val="TOC1"/>
        <w:rPr>
          <w:rFonts w:asciiTheme="minorHAnsi" w:eastAsiaTheme="minorEastAsia" w:hAnsiTheme="minorHAnsi" w:cstheme="minorBidi"/>
          <w:caps w:val="0"/>
          <w:noProof/>
          <w:sz w:val="22"/>
          <w:szCs w:val="22"/>
        </w:rPr>
      </w:pPr>
      <w:r>
        <w:rPr>
          <w:b/>
          <w:bCs/>
          <w:szCs w:val="24"/>
          <w:u w:val="single"/>
        </w:rPr>
        <w:fldChar w:fldCharType="begin"/>
      </w:r>
      <w:r>
        <w:rPr>
          <w:b/>
          <w:bCs/>
          <w:szCs w:val="24"/>
          <w:u w:val="single"/>
        </w:rPr>
        <w:instrText xml:space="preserve"> TOC \o "1-3" \h \z \u </w:instrText>
      </w:r>
      <w:r>
        <w:rPr>
          <w:b/>
          <w:bCs/>
          <w:szCs w:val="24"/>
          <w:u w:val="single"/>
        </w:rPr>
        <w:fldChar w:fldCharType="separate"/>
      </w:r>
      <w:hyperlink w:anchor="_Toc445824332" w:history="1">
        <w:r w:rsidR="00CF5F4D" w:rsidRPr="0021079A">
          <w:rPr>
            <w:rStyle w:val="Hyperlink"/>
            <w:noProof/>
          </w:rPr>
          <w:t>I.</w:t>
        </w:r>
        <w:r w:rsidR="00CF5F4D">
          <w:rPr>
            <w:rFonts w:asciiTheme="minorHAnsi" w:eastAsiaTheme="minorEastAsia" w:hAnsiTheme="minorHAnsi" w:cstheme="minorBidi"/>
            <w:caps w:val="0"/>
            <w:noProof/>
            <w:sz w:val="22"/>
            <w:szCs w:val="22"/>
          </w:rPr>
          <w:tab/>
        </w:r>
        <w:r w:rsidR="00CF5F4D" w:rsidRPr="0021079A">
          <w:rPr>
            <w:rStyle w:val="Hyperlink"/>
            <w:noProof/>
          </w:rPr>
          <w:t>Introduction</w:t>
        </w:r>
        <w:r w:rsidR="00CF5F4D">
          <w:rPr>
            <w:noProof/>
            <w:webHidden/>
          </w:rPr>
          <w:tab/>
        </w:r>
        <w:r w:rsidR="00CF5F4D">
          <w:rPr>
            <w:noProof/>
            <w:webHidden/>
          </w:rPr>
          <w:fldChar w:fldCharType="begin"/>
        </w:r>
        <w:r w:rsidR="00CF5F4D">
          <w:rPr>
            <w:noProof/>
            <w:webHidden/>
          </w:rPr>
          <w:instrText xml:space="preserve"> PAGEREF _Toc445824332 \h </w:instrText>
        </w:r>
        <w:r w:rsidR="00CF5F4D">
          <w:rPr>
            <w:noProof/>
            <w:webHidden/>
          </w:rPr>
        </w:r>
        <w:r w:rsidR="00CF5F4D">
          <w:rPr>
            <w:noProof/>
            <w:webHidden/>
          </w:rPr>
          <w:fldChar w:fldCharType="separate"/>
        </w:r>
        <w:r w:rsidR="00E56FD8">
          <w:rPr>
            <w:noProof/>
            <w:webHidden/>
          </w:rPr>
          <w:t>1</w:t>
        </w:r>
        <w:r w:rsidR="00CF5F4D">
          <w:rPr>
            <w:noProof/>
            <w:webHidden/>
          </w:rPr>
          <w:fldChar w:fldCharType="end"/>
        </w:r>
      </w:hyperlink>
    </w:p>
    <w:p w:rsidR="00CF5F4D" w:rsidRDefault="00103C77">
      <w:pPr>
        <w:pStyle w:val="TOC1"/>
        <w:rPr>
          <w:rFonts w:asciiTheme="minorHAnsi" w:eastAsiaTheme="minorEastAsia" w:hAnsiTheme="minorHAnsi" w:cstheme="minorBidi"/>
          <w:caps w:val="0"/>
          <w:noProof/>
          <w:sz w:val="22"/>
          <w:szCs w:val="22"/>
        </w:rPr>
      </w:pPr>
      <w:hyperlink w:anchor="_Toc445824333" w:history="1">
        <w:r w:rsidR="00CF5F4D" w:rsidRPr="0021079A">
          <w:rPr>
            <w:rStyle w:val="Hyperlink"/>
            <w:noProof/>
          </w:rPr>
          <w:t>II.</w:t>
        </w:r>
        <w:r w:rsidR="00CF5F4D">
          <w:rPr>
            <w:rFonts w:asciiTheme="minorHAnsi" w:eastAsiaTheme="minorEastAsia" w:hAnsiTheme="minorHAnsi" w:cstheme="minorBidi"/>
            <w:caps w:val="0"/>
            <w:noProof/>
            <w:sz w:val="22"/>
            <w:szCs w:val="22"/>
          </w:rPr>
          <w:tab/>
        </w:r>
        <w:r w:rsidR="00CF5F4D" w:rsidRPr="0021079A">
          <w:rPr>
            <w:rStyle w:val="Hyperlink"/>
            <w:noProof/>
          </w:rPr>
          <w:t>Background</w:t>
        </w:r>
        <w:r w:rsidR="00CF5F4D">
          <w:rPr>
            <w:noProof/>
            <w:webHidden/>
          </w:rPr>
          <w:tab/>
        </w:r>
        <w:r w:rsidR="00CF5F4D">
          <w:rPr>
            <w:noProof/>
            <w:webHidden/>
          </w:rPr>
          <w:fldChar w:fldCharType="begin"/>
        </w:r>
        <w:r w:rsidR="00CF5F4D">
          <w:rPr>
            <w:noProof/>
            <w:webHidden/>
          </w:rPr>
          <w:instrText xml:space="preserve"> PAGEREF _Toc445824333 \h </w:instrText>
        </w:r>
        <w:r w:rsidR="00CF5F4D">
          <w:rPr>
            <w:noProof/>
            <w:webHidden/>
          </w:rPr>
        </w:r>
        <w:r w:rsidR="00CF5F4D">
          <w:rPr>
            <w:noProof/>
            <w:webHidden/>
          </w:rPr>
          <w:fldChar w:fldCharType="separate"/>
        </w:r>
        <w:r w:rsidR="00E56FD8">
          <w:rPr>
            <w:noProof/>
            <w:webHidden/>
          </w:rPr>
          <w:t>2</w:t>
        </w:r>
        <w:r w:rsidR="00CF5F4D">
          <w:rPr>
            <w:noProof/>
            <w:webHidden/>
          </w:rPr>
          <w:fldChar w:fldCharType="end"/>
        </w:r>
      </w:hyperlink>
    </w:p>
    <w:p w:rsidR="00CF5F4D" w:rsidRDefault="00103C77">
      <w:pPr>
        <w:pStyle w:val="TOC1"/>
        <w:rPr>
          <w:rFonts w:asciiTheme="minorHAnsi" w:eastAsiaTheme="minorEastAsia" w:hAnsiTheme="minorHAnsi" w:cstheme="minorBidi"/>
          <w:caps w:val="0"/>
          <w:noProof/>
          <w:sz w:val="22"/>
          <w:szCs w:val="22"/>
        </w:rPr>
      </w:pPr>
      <w:hyperlink w:anchor="_Toc445824334" w:history="1">
        <w:r w:rsidR="00CF5F4D" w:rsidRPr="0021079A">
          <w:rPr>
            <w:rStyle w:val="Hyperlink"/>
            <w:noProof/>
          </w:rPr>
          <w:t>III.</w:t>
        </w:r>
        <w:r w:rsidR="00CF5F4D">
          <w:rPr>
            <w:rFonts w:asciiTheme="minorHAnsi" w:eastAsiaTheme="minorEastAsia" w:hAnsiTheme="minorHAnsi" w:cstheme="minorBidi"/>
            <w:caps w:val="0"/>
            <w:noProof/>
            <w:sz w:val="22"/>
            <w:szCs w:val="22"/>
          </w:rPr>
          <w:tab/>
        </w:r>
        <w:r w:rsidR="00CF5F4D" w:rsidRPr="0021079A">
          <w:rPr>
            <w:rStyle w:val="Hyperlink"/>
            <w:noProof/>
          </w:rPr>
          <w:t>Standard of Review</w:t>
        </w:r>
        <w:r w:rsidR="00CF5F4D">
          <w:rPr>
            <w:noProof/>
            <w:webHidden/>
          </w:rPr>
          <w:tab/>
        </w:r>
        <w:r w:rsidR="00CF5F4D">
          <w:rPr>
            <w:noProof/>
            <w:webHidden/>
          </w:rPr>
          <w:fldChar w:fldCharType="begin"/>
        </w:r>
        <w:r w:rsidR="00CF5F4D">
          <w:rPr>
            <w:noProof/>
            <w:webHidden/>
          </w:rPr>
          <w:instrText xml:space="preserve"> PAGEREF _Toc445824334 \h </w:instrText>
        </w:r>
        <w:r w:rsidR="00CF5F4D">
          <w:rPr>
            <w:noProof/>
            <w:webHidden/>
          </w:rPr>
        </w:r>
        <w:r w:rsidR="00CF5F4D">
          <w:rPr>
            <w:noProof/>
            <w:webHidden/>
          </w:rPr>
          <w:fldChar w:fldCharType="separate"/>
        </w:r>
        <w:r w:rsidR="00E56FD8">
          <w:rPr>
            <w:noProof/>
            <w:webHidden/>
          </w:rPr>
          <w:t>6</w:t>
        </w:r>
        <w:r w:rsidR="00CF5F4D">
          <w:rPr>
            <w:noProof/>
            <w:webHidden/>
          </w:rPr>
          <w:fldChar w:fldCharType="end"/>
        </w:r>
      </w:hyperlink>
    </w:p>
    <w:p w:rsidR="00CF5F4D" w:rsidRDefault="00103C77">
      <w:pPr>
        <w:pStyle w:val="TOC1"/>
        <w:rPr>
          <w:rFonts w:asciiTheme="minorHAnsi" w:eastAsiaTheme="minorEastAsia" w:hAnsiTheme="minorHAnsi" w:cstheme="minorBidi"/>
          <w:caps w:val="0"/>
          <w:noProof/>
          <w:sz w:val="22"/>
          <w:szCs w:val="22"/>
        </w:rPr>
      </w:pPr>
      <w:hyperlink w:anchor="_Toc445824335" w:history="1">
        <w:r w:rsidR="00CF5F4D" w:rsidRPr="0021079A">
          <w:rPr>
            <w:rStyle w:val="Hyperlink"/>
            <w:noProof/>
          </w:rPr>
          <w:t>IV.</w:t>
        </w:r>
        <w:r w:rsidR="00CF5F4D">
          <w:rPr>
            <w:rFonts w:asciiTheme="minorHAnsi" w:eastAsiaTheme="minorEastAsia" w:hAnsiTheme="minorHAnsi" w:cstheme="minorBidi"/>
            <w:caps w:val="0"/>
            <w:noProof/>
            <w:sz w:val="22"/>
            <w:szCs w:val="22"/>
          </w:rPr>
          <w:tab/>
        </w:r>
        <w:r w:rsidR="00CF5F4D" w:rsidRPr="0021079A">
          <w:rPr>
            <w:rStyle w:val="Hyperlink"/>
            <w:noProof/>
          </w:rPr>
          <w:t>RECOMMENDATIONS</w:t>
        </w:r>
        <w:r w:rsidR="00CF5F4D">
          <w:rPr>
            <w:noProof/>
            <w:webHidden/>
          </w:rPr>
          <w:tab/>
        </w:r>
        <w:r w:rsidR="00CF5F4D">
          <w:rPr>
            <w:noProof/>
            <w:webHidden/>
          </w:rPr>
          <w:fldChar w:fldCharType="begin"/>
        </w:r>
        <w:r w:rsidR="00CF5F4D">
          <w:rPr>
            <w:noProof/>
            <w:webHidden/>
          </w:rPr>
          <w:instrText xml:space="preserve"> PAGEREF _Toc445824335 \h </w:instrText>
        </w:r>
        <w:r w:rsidR="00CF5F4D">
          <w:rPr>
            <w:noProof/>
            <w:webHidden/>
          </w:rPr>
        </w:r>
        <w:r w:rsidR="00CF5F4D">
          <w:rPr>
            <w:noProof/>
            <w:webHidden/>
          </w:rPr>
          <w:fldChar w:fldCharType="separate"/>
        </w:r>
        <w:r w:rsidR="00E56FD8">
          <w:rPr>
            <w:noProof/>
            <w:webHidden/>
          </w:rPr>
          <w:t>7</w:t>
        </w:r>
        <w:r w:rsidR="00CF5F4D">
          <w:rPr>
            <w:noProof/>
            <w:webHidden/>
          </w:rPr>
          <w:fldChar w:fldCharType="end"/>
        </w:r>
      </w:hyperlink>
    </w:p>
    <w:p w:rsidR="00CF5F4D" w:rsidRDefault="00103C77">
      <w:pPr>
        <w:pStyle w:val="TOC2"/>
        <w:tabs>
          <w:tab w:val="left" w:pos="1440"/>
        </w:tabs>
        <w:rPr>
          <w:rFonts w:asciiTheme="minorHAnsi" w:eastAsiaTheme="minorEastAsia" w:hAnsiTheme="minorHAnsi" w:cstheme="minorBidi"/>
          <w:noProof/>
          <w:sz w:val="22"/>
          <w:szCs w:val="22"/>
        </w:rPr>
      </w:pPr>
      <w:hyperlink w:anchor="_Toc445824336" w:history="1">
        <w:r w:rsidR="00CF5F4D" w:rsidRPr="0021079A">
          <w:rPr>
            <w:rStyle w:val="Hyperlink"/>
            <w:noProof/>
          </w:rPr>
          <w:t>A.</w:t>
        </w:r>
        <w:r w:rsidR="00CF5F4D">
          <w:rPr>
            <w:rFonts w:asciiTheme="minorHAnsi" w:eastAsiaTheme="minorEastAsia" w:hAnsiTheme="minorHAnsi" w:cstheme="minorBidi"/>
            <w:noProof/>
            <w:sz w:val="22"/>
            <w:szCs w:val="22"/>
          </w:rPr>
          <w:tab/>
        </w:r>
        <w:r w:rsidR="00CF5F4D" w:rsidRPr="0021079A">
          <w:rPr>
            <w:rStyle w:val="Hyperlink"/>
            <w:noProof/>
          </w:rPr>
          <w:t xml:space="preserve">The Stipulation that was signed by Dominion and the PUCO Staff </w:t>
        </w:r>
        <w:r w:rsidR="00CF5F4D">
          <w:rPr>
            <w:rStyle w:val="Hyperlink"/>
            <w:noProof/>
          </w:rPr>
          <w:br/>
        </w:r>
        <w:r w:rsidR="00CF5F4D" w:rsidRPr="0021079A">
          <w:rPr>
            <w:rStyle w:val="Hyperlink"/>
            <w:noProof/>
          </w:rPr>
          <w:t>was not the product of serious bargaining among parties with diverse interests.</w:t>
        </w:r>
        <w:r w:rsidR="00CF5F4D">
          <w:rPr>
            <w:noProof/>
            <w:webHidden/>
          </w:rPr>
          <w:tab/>
        </w:r>
        <w:r w:rsidR="00CF5F4D">
          <w:rPr>
            <w:noProof/>
            <w:webHidden/>
          </w:rPr>
          <w:fldChar w:fldCharType="begin"/>
        </w:r>
        <w:r w:rsidR="00CF5F4D">
          <w:rPr>
            <w:noProof/>
            <w:webHidden/>
          </w:rPr>
          <w:instrText xml:space="preserve"> PAGEREF _Toc445824336 \h </w:instrText>
        </w:r>
        <w:r w:rsidR="00CF5F4D">
          <w:rPr>
            <w:noProof/>
            <w:webHidden/>
          </w:rPr>
        </w:r>
        <w:r w:rsidR="00CF5F4D">
          <w:rPr>
            <w:noProof/>
            <w:webHidden/>
          </w:rPr>
          <w:fldChar w:fldCharType="separate"/>
        </w:r>
        <w:r w:rsidR="00E56FD8">
          <w:rPr>
            <w:noProof/>
            <w:webHidden/>
          </w:rPr>
          <w:t>8</w:t>
        </w:r>
        <w:r w:rsidR="00CF5F4D">
          <w:rPr>
            <w:noProof/>
            <w:webHidden/>
          </w:rPr>
          <w:fldChar w:fldCharType="end"/>
        </w:r>
      </w:hyperlink>
    </w:p>
    <w:p w:rsidR="00CF5F4D" w:rsidRDefault="00103C77">
      <w:pPr>
        <w:pStyle w:val="TOC2"/>
        <w:tabs>
          <w:tab w:val="left" w:pos="1440"/>
        </w:tabs>
        <w:rPr>
          <w:rFonts w:asciiTheme="minorHAnsi" w:eastAsiaTheme="minorEastAsia" w:hAnsiTheme="minorHAnsi" w:cstheme="minorBidi"/>
          <w:noProof/>
          <w:sz w:val="22"/>
          <w:szCs w:val="22"/>
        </w:rPr>
      </w:pPr>
      <w:hyperlink w:anchor="_Toc445824337" w:history="1">
        <w:r w:rsidR="00CF5F4D" w:rsidRPr="0021079A">
          <w:rPr>
            <w:rStyle w:val="Hyperlink"/>
            <w:noProof/>
          </w:rPr>
          <w:t>B.</w:t>
        </w:r>
        <w:r w:rsidR="00CF5F4D">
          <w:rPr>
            <w:rFonts w:asciiTheme="minorHAnsi" w:eastAsiaTheme="minorEastAsia" w:hAnsiTheme="minorHAnsi" w:cstheme="minorBidi"/>
            <w:noProof/>
            <w:sz w:val="22"/>
            <w:szCs w:val="22"/>
          </w:rPr>
          <w:tab/>
        </w:r>
        <w:r w:rsidR="00CF5F4D" w:rsidRPr="0021079A">
          <w:rPr>
            <w:rStyle w:val="Hyperlink"/>
            <w:noProof/>
          </w:rPr>
          <w:t xml:space="preserve">The Stipulation represents a drastic increase in costs for consumers </w:t>
        </w:r>
        <w:r w:rsidR="00CF5F4D">
          <w:rPr>
            <w:rStyle w:val="Hyperlink"/>
            <w:noProof/>
          </w:rPr>
          <w:br/>
        </w:r>
        <w:r w:rsidR="00CF5F4D" w:rsidRPr="0021079A">
          <w:rPr>
            <w:rStyle w:val="Hyperlink"/>
            <w:noProof/>
          </w:rPr>
          <w:t>and is not in the public interest.</w:t>
        </w:r>
        <w:r w:rsidR="00CF5F4D">
          <w:rPr>
            <w:noProof/>
            <w:webHidden/>
          </w:rPr>
          <w:tab/>
        </w:r>
        <w:r w:rsidR="00CF5F4D">
          <w:rPr>
            <w:noProof/>
            <w:webHidden/>
          </w:rPr>
          <w:fldChar w:fldCharType="begin"/>
        </w:r>
        <w:r w:rsidR="00CF5F4D">
          <w:rPr>
            <w:noProof/>
            <w:webHidden/>
          </w:rPr>
          <w:instrText xml:space="preserve"> PAGEREF _Toc445824337 \h </w:instrText>
        </w:r>
        <w:r w:rsidR="00CF5F4D">
          <w:rPr>
            <w:noProof/>
            <w:webHidden/>
          </w:rPr>
        </w:r>
        <w:r w:rsidR="00CF5F4D">
          <w:rPr>
            <w:noProof/>
            <w:webHidden/>
          </w:rPr>
          <w:fldChar w:fldCharType="separate"/>
        </w:r>
        <w:r w:rsidR="00E56FD8">
          <w:rPr>
            <w:noProof/>
            <w:webHidden/>
          </w:rPr>
          <w:t>9</w:t>
        </w:r>
        <w:r w:rsidR="00CF5F4D">
          <w:rPr>
            <w:noProof/>
            <w:webHidden/>
          </w:rPr>
          <w:fldChar w:fldCharType="end"/>
        </w:r>
      </w:hyperlink>
    </w:p>
    <w:p w:rsidR="00CF5F4D" w:rsidRDefault="00103C77">
      <w:pPr>
        <w:pStyle w:val="TOC2"/>
        <w:tabs>
          <w:tab w:val="left" w:pos="1440"/>
        </w:tabs>
        <w:rPr>
          <w:rFonts w:asciiTheme="minorHAnsi" w:eastAsiaTheme="minorEastAsia" w:hAnsiTheme="minorHAnsi" w:cstheme="minorBidi"/>
          <w:noProof/>
          <w:sz w:val="22"/>
          <w:szCs w:val="22"/>
        </w:rPr>
      </w:pPr>
      <w:hyperlink w:anchor="_Toc445824338" w:history="1">
        <w:r w:rsidR="00CF5F4D" w:rsidRPr="0021079A">
          <w:rPr>
            <w:rStyle w:val="Hyperlink"/>
            <w:noProof/>
          </w:rPr>
          <w:t>C.</w:t>
        </w:r>
        <w:r w:rsidR="00CF5F4D">
          <w:rPr>
            <w:rFonts w:asciiTheme="minorHAnsi" w:eastAsiaTheme="minorEastAsia" w:hAnsiTheme="minorHAnsi" w:cstheme="minorBidi"/>
            <w:noProof/>
            <w:sz w:val="22"/>
            <w:szCs w:val="22"/>
          </w:rPr>
          <w:tab/>
        </w:r>
        <w:r w:rsidR="00CF5F4D" w:rsidRPr="0021079A">
          <w:rPr>
            <w:rStyle w:val="Hyperlink"/>
            <w:noProof/>
          </w:rPr>
          <w:t xml:space="preserve">The stipulation violates regulatory principles and policy and should </w:t>
        </w:r>
        <w:r w:rsidR="00CF5F4D">
          <w:rPr>
            <w:rStyle w:val="Hyperlink"/>
            <w:noProof/>
          </w:rPr>
          <w:br/>
        </w:r>
        <w:r w:rsidR="00CF5F4D" w:rsidRPr="0021079A">
          <w:rPr>
            <w:rStyle w:val="Hyperlink"/>
            <w:noProof/>
          </w:rPr>
          <w:t>be rejected to protect consumers.</w:t>
        </w:r>
        <w:r w:rsidR="00CF5F4D">
          <w:rPr>
            <w:noProof/>
            <w:webHidden/>
          </w:rPr>
          <w:tab/>
        </w:r>
        <w:r w:rsidR="00CF5F4D">
          <w:rPr>
            <w:noProof/>
            <w:webHidden/>
          </w:rPr>
          <w:fldChar w:fldCharType="begin"/>
        </w:r>
        <w:r w:rsidR="00CF5F4D">
          <w:rPr>
            <w:noProof/>
            <w:webHidden/>
          </w:rPr>
          <w:instrText xml:space="preserve"> PAGEREF _Toc445824338 \h </w:instrText>
        </w:r>
        <w:r w:rsidR="00CF5F4D">
          <w:rPr>
            <w:noProof/>
            <w:webHidden/>
          </w:rPr>
        </w:r>
        <w:r w:rsidR="00CF5F4D">
          <w:rPr>
            <w:noProof/>
            <w:webHidden/>
          </w:rPr>
          <w:fldChar w:fldCharType="separate"/>
        </w:r>
        <w:r w:rsidR="00E56FD8">
          <w:rPr>
            <w:noProof/>
            <w:webHidden/>
          </w:rPr>
          <w:t>11</w:t>
        </w:r>
        <w:r w:rsidR="00CF5F4D">
          <w:rPr>
            <w:noProof/>
            <w:webHidden/>
          </w:rPr>
          <w:fldChar w:fldCharType="end"/>
        </w:r>
      </w:hyperlink>
    </w:p>
    <w:p w:rsidR="00CF5F4D" w:rsidRDefault="00103C77">
      <w:pPr>
        <w:pStyle w:val="TOC3"/>
        <w:tabs>
          <w:tab w:val="left" w:pos="2160"/>
        </w:tabs>
        <w:rPr>
          <w:rFonts w:asciiTheme="minorHAnsi" w:eastAsiaTheme="minorEastAsia" w:hAnsiTheme="minorHAnsi" w:cstheme="minorBidi"/>
          <w:noProof/>
          <w:sz w:val="22"/>
          <w:szCs w:val="22"/>
        </w:rPr>
      </w:pPr>
      <w:hyperlink w:anchor="_Toc445824339" w:history="1">
        <w:r w:rsidR="00CF5F4D" w:rsidRPr="0021079A">
          <w:rPr>
            <w:rStyle w:val="Hyperlink"/>
            <w:noProof/>
          </w:rPr>
          <w:t>1.</w:t>
        </w:r>
        <w:r w:rsidR="00CF5F4D">
          <w:rPr>
            <w:rFonts w:asciiTheme="minorHAnsi" w:eastAsiaTheme="minorEastAsia" w:hAnsiTheme="minorHAnsi" w:cstheme="minorBidi"/>
            <w:noProof/>
            <w:sz w:val="22"/>
            <w:szCs w:val="22"/>
          </w:rPr>
          <w:tab/>
        </w:r>
        <w:r w:rsidR="00CF5F4D" w:rsidRPr="0021079A">
          <w:rPr>
            <w:rStyle w:val="Hyperlink"/>
            <w:noProof/>
          </w:rPr>
          <w:t xml:space="preserve">The 25-year target for the program is unnecessarily arbitrary </w:t>
        </w:r>
        <w:r w:rsidR="00CF5F4D">
          <w:rPr>
            <w:rStyle w:val="Hyperlink"/>
            <w:noProof/>
          </w:rPr>
          <w:br/>
        </w:r>
        <w:r w:rsidR="00CF5F4D" w:rsidRPr="0021079A">
          <w:rPr>
            <w:rStyle w:val="Hyperlink"/>
            <w:noProof/>
          </w:rPr>
          <w:t>and will costs customers too much.</w:t>
        </w:r>
        <w:r w:rsidR="00CF5F4D">
          <w:rPr>
            <w:noProof/>
            <w:webHidden/>
          </w:rPr>
          <w:tab/>
        </w:r>
        <w:r w:rsidR="00CF5F4D">
          <w:rPr>
            <w:noProof/>
            <w:webHidden/>
          </w:rPr>
          <w:fldChar w:fldCharType="begin"/>
        </w:r>
        <w:r w:rsidR="00CF5F4D">
          <w:rPr>
            <w:noProof/>
            <w:webHidden/>
          </w:rPr>
          <w:instrText xml:space="preserve"> PAGEREF _Toc445824339 \h </w:instrText>
        </w:r>
        <w:r w:rsidR="00CF5F4D">
          <w:rPr>
            <w:noProof/>
            <w:webHidden/>
          </w:rPr>
        </w:r>
        <w:r w:rsidR="00CF5F4D">
          <w:rPr>
            <w:noProof/>
            <w:webHidden/>
          </w:rPr>
          <w:fldChar w:fldCharType="separate"/>
        </w:r>
        <w:r w:rsidR="00E56FD8">
          <w:rPr>
            <w:noProof/>
            <w:webHidden/>
          </w:rPr>
          <w:t>12</w:t>
        </w:r>
        <w:r w:rsidR="00CF5F4D">
          <w:rPr>
            <w:noProof/>
            <w:webHidden/>
          </w:rPr>
          <w:fldChar w:fldCharType="end"/>
        </w:r>
      </w:hyperlink>
    </w:p>
    <w:p w:rsidR="00CF5F4D" w:rsidRDefault="00103C77">
      <w:pPr>
        <w:pStyle w:val="TOC3"/>
        <w:tabs>
          <w:tab w:val="left" w:pos="2160"/>
        </w:tabs>
        <w:rPr>
          <w:rFonts w:asciiTheme="minorHAnsi" w:eastAsiaTheme="minorEastAsia" w:hAnsiTheme="minorHAnsi" w:cstheme="minorBidi"/>
          <w:noProof/>
          <w:sz w:val="22"/>
          <w:szCs w:val="22"/>
        </w:rPr>
      </w:pPr>
      <w:hyperlink w:anchor="_Toc445824340" w:history="1">
        <w:r w:rsidR="00CF5F4D" w:rsidRPr="0021079A">
          <w:rPr>
            <w:rStyle w:val="Hyperlink"/>
            <w:noProof/>
          </w:rPr>
          <w:t>2.</w:t>
        </w:r>
        <w:r w:rsidR="00CF5F4D">
          <w:rPr>
            <w:rFonts w:asciiTheme="minorHAnsi" w:eastAsiaTheme="minorEastAsia" w:hAnsiTheme="minorHAnsi" w:cstheme="minorBidi"/>
            <w:noProof/>
            <w:sz w:val="22"/>
            <w:szCs w:val="22"/>
          </w:rPr>
          <w:tab/>
        </w:r>
        <w:r w:rsidR="00CF5F4D" w:rsidRPr="0021079A">
          <w:rPr>
            <w:rStyle w:val="Hyperlink"/>
            <w:noProof/>
          </w:rPr>
          <w:t>Dominion’s costs have nearly doubled, raising concerns about whether the program is being managed improperly, to the detriment of customers who must pay for the program.</w:t>
        </w:r>
        <w:r w:rsidR="00CF5F4D">
          <w:rPr>
            <w:noProof/>
            <w:webHidden/>
          </w:rPr>
          <w:tab/>
        </w:r>
        <w:r w:rsidR="00CF5F4D">
          <w:rPr>
            <w:noProof/>
            <w:webHidden/>
          </w:rPr>
          <w:fldChar w:fldCharType="begin"/>
        </w:r>
        <w:r w:rsidR="00CF5F4D">
          <w:rPr>
            <w:noProof/>
            <w:webHidden/>
          </w:rPr>
          <w:instrText xml:space="preserve"> PAGEREF _Toc445824340 \h </w:instrText>
        </w:r>
        <w:r w:rsidR="00CF5F4D">
          <w:rPr>
            <w:noProof/>
            <w:webHidden/>
          </w:rPr>
        </w:r>
        <w:r w:rsidR="00CF5F4D">
          <w:rPr>
            <w:noProof/>
            <w:webHidden/>
          </w:rPr>
          <w:fldChar w:fldCharType="separate"/>
        </w:r>
        <w:r w:rsidR="00E56FD8">
          <w:rPr>
            <w:noProof/>
            <w:webHidden/>
          </w:rPr>
          <w:t>14</w:t>
        </w:r>
        <w:r w:rsidR="00CF5F4D">
          <w:rPr>
            <w:noProof/>
            <w:webHidden/>
          </w:rPr>
          <w:fldChar w:fldCharType="end"/>
        </w:r>
      </w:hyperlink>
    </w:p>
    <w:p w:rsidR="00CF5F4D" w:rsidRDefault="00103C77">
      <w:pPr>
        <w:pStyle w:val="TOC3"/>
        <w:tabs>
          <w:tab w:val="left" w:pos="2160"/>
        </w:tabs>
        <w:rPr>
          <w:rFonts w:asciiTheme="minorHAnsi" w:eastAsiaTheme="minorEastAsia" w:hAnsiTheme="minorHAnsi" w:cstheme="minorBidi"/>
          <w:noProof/>
          <w:sz w:val="22"/>
          <w:szCs w:val="22"/>
        </w:rPr>
      </w:pPr>
      <w:hyperlink w:anchor="_Toc445824341" w:history="1">
        <w:r w:rsidR="00CF5F4D" w:rsidRPr="0021079A">
          <w:rPr>
            <w:rStyle w:val="Hyperlink"/>
            <w:noProof/>
          </w:rPr>
          <w:t>3.</w:t>
        </w:r>
        <w:r w:rsidR="00CF5F4D">
          <w:rPr>
            <w:rFonts w:asciiTheme="minorHAnsi" w:eastAsiaTheme="minorEastAsia" w:hAnsiTheme="minorHAnsi" w:cstheme="minorBidi"/>
            <w:noProof/>
            <w:sz w:val="22"/>
            <w:szCs w:val="22"/>
          </w:rPr>
          <w:tab/>
        </w:r>
        <w:r w:rsidR="00CF5F4D" w:rsidRPr="0021079A">
          <w:rPr>
            <w:rStyle w:val="Hyperlink"/>
            <w:noProof/>
          </w:rPr>
          <w:t>To protect customers, the PUCO should order a review of Dominion's expenses and revenues, including profits that customers pay.</w:t>
        </w:r>
        <w:r w:rsidR="00CF5F4D">
          <w:rPr>
            <w:noProof/>
            <w:webHidden/>
          </w:rPr>
          <w:tab/>
        </w:r>
        <w:r w:rsidR="00CF5F4D">
          <w:rPr>
            <w:noProof/>
            <w:webHidden/>
          </w:rPr>
          <w:fldChar w:fldCharType="begin"/>
        </w:r>
        <w:r w:rsidR="00CF5F4D">
          <w:rPr>
            <w:noProof/>
            <w:webHidden/>
          </w:rPr>
          <w:instrText xml:space="preserve"> PAGEREF _Toc445824341 \h </w:instrText>
        </w:r>
        <w:r w:rsidR="00CF5F4D">
          <w:rPr>
            <w:noProof/>
            <w:webHidden/>
          </w:rPr>
        </w:r>
        <w:r w:rsidR="00CF5F4D">
          <w:rPr>
            <w:noProof/>
            <w:webHidden/>
          </w:rPr>
          <w:fldChar w:fldCharType="separate"/>
        </w:r>
        <w:r w:rsidR="00E56FD8">
          <w:rPr>
            <w:noProof/>
            <w:webHidden/>
          </w:rPr>
          <w:t>16</w:t>
        </w:r>
        <w:r w:rsidR="00CF5F4D">
          <w:rPr>
            <w:noProof/>
            <w:webHidden/>
          </w:rPr>
          <w:fldChar w:fldCharType="end"/>
        </w:r>
      </w:hyperlink>
    </w:p>
    <w:p w:rsidR="00CF5F4D" w:rsidRDefault="00103C77">
      <w:pPr>
        <w:pStyle w:val="TOC1"/>
        <w:rPr>
          <w:rFonts w:asciiTheme="minorHAnsi" w:eastAsiaTheme="minorEastAsia" w:hAnsiTheme="minorHAnsi" w:cstheme="minorBidi"/>
          <w:caps w:val="0"/>
          <w:noProof/>
          <w:sz w:val="22"/>
          <w:szCs w:val="22"/>
        </w:rPr>
      </w:pPr>
      <w:hyperlink w:anchor="_Toc445824342" w:history="1">
        <w:r w:rsidR="00CF5F4D" w:rsidRPr="0021079A">
          <w:rPr>
            <w:rStyle w:val="Hyperlink"/>
            <w:noProof/>
          </w:rPr>
          <w:t>V.</w:t>
        </w:r>
        <w:r w:rsidR="00CF5F4D">
          <w:rPr>
            <w:rFonts w:asciiTheme="minorHAnsi" w:eastAsiaTheme="minorEastAsia" w:hAnsiTheme="minorHAnsi" w:cstheme="minorBidi"/>
            <w:caps w:val="0"/>
            <w:noProof/>
            <w:sz w:val="22"/>
            <w:szCs w:val="22"/>
          </w:rPr>
          <w:tab/>
        </w:r>
        <w:r w:rsidR="00CF5F4D" w:rsidRPr="0021079A">
          <w:rPr>
            <w:rStyle w:val="Hyperlink"/>
            <w:noProof/>
          </w:rPr>
          <w:t>Conclusion</w:t>
        </w:r>
        <w:r w:rsidR="00CF5F4D">
          <w:rPr>
            <w:noProof/>
            <w:webHidden/>
          </w:rPr>
          <w:tab/>
        </w:r>
        <w:r w:rsidR="00CF5F4D">
          <w:rPr>
            <w:noProof/>
            <w:webHidden/>
          </w:rPr>
          <w:fldChar w:fldCharType="begin"/>
        </w:r>
        <w:r w:rsidR="00CF5F4D">
          <w:rPr>
            <w:noProof/>
            <w:webHidden/>
          </w:rPr>
          <w:instrText xml:space="preserve"> PAGEREF _Toc445824342 \h </w:instrText>
        </w:r>
        <w:r w:rsidR="00CF5F4D">
          <w:rPr>
            <w:noProof/>
            <w:webHidden/>
          </w:rPr>
        </w:r>
        <w:r w:rsidR="00CF5F4D">
          <w:rPr>
            <w:noProof/>
            <w:webHidden/>
          </w:rPr>
          <w:fldChar w:fldCharType="separate"/>
        </w:r>
        <w:r w:rsidR="00E56FD8">
          <w:rPr>
            <w:noProof/>
            <w:webHidden/>
          </w:rPr>
          <w:t>17</w:t>
        </w:r>
        <w:r w:rsidR="00CF5F4D">
          <w:rPr>
            <w:noProof/>
            <w:webHidden/>
          </w:rPr>
          <w:fldChar w:fldCharType="end"/>
        </w:r>
      </w:hyperlink>
    </w:p>
    <w:p w:rsidR="005C0D18" w:rsidRDefault="001565DE" w:rsidP="005C0D18">
      <w:pPr>
        <w:pStyle w:val="BodyTextIndent"/>
        <w:jc w:val="both"/>
        <w:rPr>
          <w:b/>
          <w:bCs/>
          <w:szCs w:val="24"/>
          <w:u w:val="single"/>
        </w:rPr>
        <w:sectPr w:rsidR="005C0D18" w:rsidSect="004B1FF3">
          <w:footerReference w:type="first" r:id="rId16"/>
          <w:pgSz w:w="12240" w:h="15840"/>
          <w:pgMar w:top="1440" w:right="1800" w:bottom="1440" w:left="1800" w:header="720" w:footer="720" w:gutter="0"/>
          <w:pgNumType w:fmt="lowerRoman" w:start="1"/>
          <w:cols w:space="720"/>
          <w:titlePg/>
          <w:docGrid w:linePitch="360"/>
        </w:sectPr>
      </w:pPr>
      <w:r>
        <w:rPr>
          <w:b/>
          <w:bCs/>
          <w:szCs w:val="24"/>
          <w:u w:val="single"/>
        </w:rPr>
        <w:fldChar w:fldCharType="end"/>
      </w:r>
    </w:p>
    <w:p w:rsidR="00364C03" w:rsidRDefault="00364C03" w:rsidP="0036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r>
        <w:rPr>
          <w:rFonts w:eastAsia="Courier New" w:cs="Courier New"/>
          <w:b/>
          <w:bCs/>
        </w:rPr>
        <w:lastRenderedPageBreak/>
        <w:t>BEFORE</w:t>
      </w:r>
    </w:p>
    <w:p w:rsidR="00364C03" w:rsidRDefault="00364C03" w:rsidP="0036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Pr>
          <w:rFonts w:eastAsia="Courier New" w:cs="Courier New"/>
          <w:b/>
          <w:bCs/>
        </w:rPr>
        <w:t>THE PUBLIC UTILITIES COMMISSION OF OHIO</w:t>
      </w:r>
    </w:p>
    <w:p w:rsidR="00364C03" w:rsidRDefault="00364C03" w:rsidP="0036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9092" w:type="dxa"/>
        <w:tblLook w:val="01E0" w:firstRow="1" w:lastRow="1" w:firstColumn="1" w:lastColumn="1" w:noHBand="0" w:noVBand="0"/>
      </w:tblPr>
      <w:tblGrid>
        <w:gridCol w:w="4396"/>
        <w:gridCol w:w="296"/>
        <w:gridCol w:w="4400"/>
      </w:tblGrid>
      <w:tr w:rsidR="00364C03" w:rsidTr="000009EA">
        <w:trPr>
          <w:trHeight w:val="807"/>
        </w:trPr>
        <w:tc>
          <w:tcPr>
            <w:tcW w:w="4396" w:type="dxa"/>
            <w:hideMark/>
          </w:tcPr>
          <w:p w:rsidR="00364C03" w:rsidRDefault="00BF3EC8"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4"/>
              </w:rPr>
            </w:pPr>
            <w:r>
              <w:rPr>
                <w:rFonts w:eastAsia="Courier New"/>
                <w:szCs w:val="24"/>
              </w:rPr>
              <w:t>In the Matter of The Application of The East Ohio Gas Company d/b/a Dominion East Ohio for Approval of an Alternative Form of Regulation.</w:t>
            </w:r>
          </w:p>
        </w:tc>
        <w:tc>
          <w:tcPr>
            <w:tcW w:w="296" w:type="dxa"/>
            <w:hideMark/>
          </w:tcPr>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tc>
        <w:tc>
          <w:tcPr>
            <w:tcW w:w="4400" w:type="dxa"/>
          </w:tcPr>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Case No. 15-0362-GA-ALT</w:t>
            </w:r>
          </w:p>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364C03" w:rsidRDefault="00364C03" w:rsidP="000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c>
      </w:tr>
    </w:tbl>
    <w:p w:rsidR="00364C03" w:rsidRDefault="00364C03" w:rsidP="00364C03"/>
    <w:p w:rsidR="00364C03" w:rsidRDefault="00364C03" w:rsidP="00364C03">
      <w:pPr>
        <w:pBdr>
          <w:top w:val="single" w:sz="12" w:space="1" w:color="auto"/>
        </w:pBdr>
      </w:pPr>
    </w:p>
    <w:p w:rsidR="00364C03" w:rsidRDefault="00364C03" w:rsidP="00364C03">
      <w:pPr>
        <w:jc w:val="center"/>
        <w:rPr>
          <w:b/>
        </w:rPr>
      </w:pPr>
      <w:r>
        <w:rPr>
          <w:b/>
        </w:rPr>
        <w:t>INITIAL BRIEF</w:t>
      </w:r>
    </w:p>
    <w:p w:rsidR="00364C03" w:rsidRDefault="00364C03" w:rsidP="00364C03">
      <w:pPr>
        <w:jc w:val="center"/>
        <w:rPr>
          <w:b/>
        </w:rPr>
      </w:pPr>
      <w:r>
        <w:rPr>
          <w:b/>
        </w:rPr>
        <w:t>BY</w:t>
      </w:r>
    </w:p>
    <w:p w:rsidR="00364C03" w:rsidRDefault="00364C03" w:rsidP="00364C03">
      <w:pPr>
        <w:jc w:val="center"/>
        <w:rPr>
          <w:b/>
        </w:rPr>
      </w:pPr>
      <w:r>
        <w:rPr>
          <w:b/>
        </w:rPr>
        <w:t>THE OFFICE OF THE OHIO CONSUMERS’ COUNSEL</w:t>
      </w:r>
    </w:p>
    <w:p w:rsidR="00364C03" w:rsidRDefault="00364C03" w:rsidP="00364C03">
      <w:pPr>
        <w:pBdr>
          <w:bottom w:val="single" w:sz="12" w:space="1" w:color="auto"/>
        </w:pBdr>
      </w:pPr>
    </w:p>
    <w:p w:rsidR="00364C03" w:rsidRDefault="00364C03" w:rsidP="00364C03"/>
    <w:p w:rsidR="00C6325E" w:rsidRPr="00C6325E" w:rsidRDefault="005A7D39" w:rsidP="00C6325E">
      <w:pPr>
        <w:pStyle w:val="Heading1"/>
      </w:pPr>
      <w:bookmarkStart w:id="1" w:name="_Toc444787517"/>
      <w:bookmarkStart w:id="2" w:name="_Toc445824332"/>
      <w:r w:rsidRPr="00FD6092">
        <w:t>Introduction</w:t>
      </w:r>
      <w:bookmarkEnd w:id="1"/>
      <w:bookmarkEnd w:id="2"/>
    </w:p>
    <w:p w:rsidR="00786943" w:rsidRDefault="00290C8A" w:rsidP="00396CA2">
      <w:pPr>
        <w:spacing w:line="480" w:lineRule="auto"/>
        <w:ind w:firstLine="720"/>
      </w:pPr>
      <w:r>
        <w:t xml:space="preserve">Dominion East Ohio (“Dominion” or “Utility”) has filed an application seeking to </w:t>
      </w:r>
      <w:r w:rsidR="0029720D">
        <w:t xml:space="preserve">raise </w:t>
      </w:r>
      <w:r>
        <w:t xml:space="preserve">rates </w:t>
      </w:r>
      <w:r w:rsidR="00D84EA0">
        <w:t>to residential customers</w:t>
      </w:r>
      <w:r w:rsidR="00CA65FC">
        <w:t xml:space="preserve">, </w:t>
      </w:r>
      <w:r w:rsidR="009463C1">
        <w:t xml:space="preserve">where rates </w:t>
      </w:r>
      <w:r w:rsidR="00803286">
        <w:t>could</w:t>
      </w:r>
      <w:r w:rsidR="009463C1">
        <w:t xml:space="preserve"> soar from</w:t>
      </w:r>
      <w:r w:rsidR="00CA65FC">
        <w:t xml:space="preserve"> $</w:t>
      </w:r>
      <w:r w:rsidR="00803286">
        <w:t>6.70</w:t>
      </w:r>
      <w:r w:rsidR="00803286">
        <w:rPr>
          <w:rStyle w:val="FootnoteReference"/>
        </w:rPr>
        <w:footnoteReference w:id="1"/>
      </w:r>
      <w:r w:rsidR="00CA65FC">
        <w:t xml:space="preserve"> today to $17.</w:t>
      </w:r>
      <w:r w:rsidR="00803286">
        <w:t>20</w:t>
      </w:r>
      <w:r w:rsidR="00803286">
        <w:rPr>
          <w:rStyle w:val="FootnoteReference"/>
        </w:rPr>
        <w:footnoteReference w:id="2"/>
      </w:r>
      <w:r w:rsidR="00CA65FC">
        <w:t xml:space="preserve"> per month by 2021, for pipeline replacement</w:t>
      </w:r>
      <w:r w:rsidR="00251960">
        <w:t>.</w:t>
      </w:r>
      <w:r w:rsidR="00575F0E">
        <w:t xml:space="preserve"> That is a lot of money for 1.1 million Dominion</w:t>
      </w:r>
      <w:r w:rsidR="005E4D83">
        <w:t xml:space="preserve"> consumers</w:t>
      </w:r>
      <w:r w:rsidR="00575F0E">
        <w:t xml:space="preserve"> to pay.</w:t>
      </w:r>
      <w:r w:rsidR="00251960">
        <w:t xml:space="preserve"> </w:t>
      </w:r>
      <w:r w:rsidR="00AC5570">
        <w:t>Instead of imposing these</w:t>
      </w:r>
      <w:r w:rsidR="005E4D83">
        <w:t xml:space="preserve"> high</w:t>
      </w:r>
      <w:r w:rsidR="00AC5570">
        <w:t xml:space="preserve"> rate increases on consumers now, t</w:t>
      </w:r>
      <w:r w:rsidR="00CA65FC">
        <w:t xml:space="preserve">he Public Utilities Commission of Ohio (“PUCO” or “Commission”) should </w:t>
      </w:r>
      <w:r w:rsidR="00AC5570">
        <w:t xml:space="preserve">first review Dominion’s </w:t>
      </w:r>
      <w:r w:rsidR="005E4D83">
        <w:t>operations</w:t>
      </w:r>
      <w:r w:rsidR="00AC5570">
        <w:t xml:space="preserve"> to ensure that </w:t>
      </w:r>
      <w:r w:rsidR="005E4D83">
        <w:t>customers will not be charged for excessive profits</w:t>
      </w:r>
      <w:r w:rsidR="00AC5570">
        <w:t>.</w:t>
      </w:r>
    </w:p>
    <w:p w:rsidR="00857840" w:rsidRDefault="00D84EA0" w:rsidP="00396CA2">
      <w:pPr>
        <w:spacing w:line="480" w:lineRule="auto"/>
        <w:ind w:firstLine="720"/>
      </w:pPr>
      <w:r>
        <w:t>The increase sought from customers pertains to the Utility</w:t>
      </w:r>
      <w:r w:rsidR="00617F25">
        <w:t>’s</w:t>
      </w:r>
      <w:r>
        <w:t xml:space="preserve"> </w:t>
      </w:r>
      <w:r w:rsidR="00290C8A">
        <w:t>Pipeline Infrastructure Replacement (“PIR”) cost recovery charge</w:t>
      </w:r>
      <w:r>
        <w:t>.</w:t>
      </w:r>
      <w:r w:rsidR="0055001E">
        <w:rPr>
          <w:rStyle w:val="FootnoteReference"/>
        </w:rPr>
        <w:footnoteReference w:id="3"/>
      </w:r>
      <w:r w:rsidR="00290C8A">
        <w:t xml:space="preserve"> </w:t>
      </w:r>
      <w:r w:rsidR="000F391E">
        <w:t>The PIR program was initiated in 2008</w:t>
      </w:r>
      <w:r w:rsidR="005D5249">
        <w:t>.  S</w:t>
      </w:r>
      <w:r w:rsidR="000F391E">
        <w:t xml:space="preserve">ince its inception, consumers have </w:t>
      </w:r>
      <w:r w:rsidR="005D5249">
        <w:t>paid</w:t>
      </w:r>
      <w:r w:rsidR="000F391E">
        <w:t xml:space="preserve"> over $1 billion</w:t>
      </w:r>
      <w:r w:rsidR="000F391E">
        <w:rPr>
          <w:rStyle w:val="FootnoteReference"/>
        </w:rPr>
        <w:footnoteReference w:id="4"/>
      </w:r>
      <w:r w:rsidR="000F391E">
        <w:t xml:space="preserve"> </w:t>
      </w:r>
      <w:r w:rsidR="005D5249">
        <w:t>for</w:t>
      </w:r>
      <w:r w:rsidR="000F391E">
        <w:t xml:space="preserve"> the program</w:t>
      </w:r>
      <w:r w:rsidR="005D5249">
        <w:t xml:space="preserve">.  </w:t>
      </w:r>
    </w:p>
    <w:p w:rsidR="005D5249" w:rsidRDefault="00857840" w:rsidP="00F23EB4">
      <w:pPr>
        <w:spacing w:line="480" w:lineRule="auto"/>
      </w:pPr>
      <w:r>
        <w:br w:type="page"/>
      </w:r>
      <w:r w:rsidR="005D5249">
        <w:lastRenderedPageBreak/>
        <w:t>A</w:t>
      </w:r>
      <w:r w:rsidR="000F391E">
        <w:t>nd, if this increase is approved, the total investment paid for by Dominion’s customers will be over $2 billion dollars.</w:t>
      </w:r>
      <w:r w:rsidR="000F391E">
        <w:rPr>
          <w:rStyle w:val="FootnoteReference"/>
        </w:rPr>
        <w:footnoteReference w:id="5"/>
      </w:r>
      <w:r w:rsidR="000F391E">
        <w:t xml:space="preserve"> </w:t>
      </w:r>
    </w:p>
    <w:p w:rsidR="007A3E74" w:rsidRDefault="00290C8A" w:rsidP="00F23EB4">
      <w:pPr>
        <w:spacing w:line="480" w:lineRule="auto"/>
        <w:ind w:firstLine="720"/>
      </w:pPr>
      <w:r>
        <w:t>The Office of the Ohio Consumers’ Counsel</w:t>
      </w:r>
      <w:r w:rsidR="006566AC">
        <w:t xml:space="preserve"> (“OCC”)</w:t>
      </w:r>
      <w:r>
        <w:t xml:space="preserve">, </w:t>
      </w:r>
      <w:r w:rsidR="00D84EA0">
        <w:t xml:space="preserve">representing </w:t>
      </w:r>
      <w:r w:rsidR="0029720D">
        <w:t xml:space="preserve">Dominion’s </w:t>
      </w:r>
      <w:r>
        <w:t xml:space="preserve">1.1 million residential gas customers, </w:t>
      </w:r>
      <w:r w:rsidR="00D84EA0">
        <w:t>opposes the Utility's application.</w:t>
      </w:r>
      <w:r>
        <w:t xml:space="preserve"> </w:t>
      </w:r>
      <w:r w:rsidR="007A3E74">
        <w:t xml:space="preserve"> OCC recommends that the PUCO fr</w:t>
      </w:r>
      <w:r w:rsidR="000E283A">
        <w:t xml:space="preserve">eeze the current PIR Rider cap </w:t>
      </w:r>
      <w:r w:rsidR="007A3E74">
        <w:t>($</w:t>
      </w:r>
      <w:r w:rsidR="00D26752">
        <w:t>1.40</w:t>
      </w:r>
      <w:r w:rsidR="002D3CAD">
        <w:t xml:space="preserve">) </w:t>
      </w:r>
      <w:r w:rsidR="007A3E74">
        <w:t xml:space="preserve">for the next five-year PIR period.   Additionally, customers should receive the full value of maintenance savings derived from fewer leak repairs.  </w:t>
      </w:r>
      <w:r w:rsidR="00786943">
        <w:t>T</w:t>
      </w:r>
      <w:r w:rsidR="007A3E74">
        <w:t>he PUCO should order a third-party audit of Dominion’s PIR program to determine what has caused such drastic cost increases in the PIR program.</w:t>
      </w:r>
      <w:r w:rsidR="007A3E74">
        <w:rPr>
          <w:rStyle w:val="FootnoteReference"/>
        </w:rPr>
        <w:footnoteReference w:id="6"/>
      </w:r>
      <w:r w:rsidR="007A3E74">
        <w:t xml:space="preserve">  </w:t>
      </w:r>
      <w:r w:rsidR="00786943">
        <w:t>Prior to increasing the dollars collected from customers, t</w:t>
      </w:r>
      <w:r w:rsidR="007F3346">
        <w:t>he PUCO should undertak</w:t>
      </w:r>
      <w:r w:rsidR="0004658A">
        <w:t xml:space="preserve">e </w:t>
      </w:r>
      <w:r w:rsidR="007F3346">
        <w:t xml:space="preserve">a holistic review of Dominion's </w:t>
      </w:r>
      <w:r w:rsidR="005D0068">
        <w:t>operations (including profits)</w:t>
      </w:r>
      <w:r w:rsidR="007F3346">
        <w:t>.</w:t>
      </w:r>
    </w:p>
    <w:p w:rsidR="00290C8A" w:rsidRDefault="00290C8A" w:rsidP="007831EE">
      <w:pPr>
        <w:ind w:firstLine="720"/>
      </w:pPr>
    </w:p>
    <w:p w:rsidR="00364C03" w:rsidRDefault="00364C03" w:rsidP="00FD6092">
      <w:pPr>
        <w:pStyle w:val="Heading1"/>
      </w:pPr>
      <w:bookmarkStart w:id="3" w:name="_Toc444787518"/>
      <w:bookmarkStart w:id="4" w:name="_Toc445824333"/>
      <w:r>
        <w:t>Background</w:t>
      </w:r>
      <w:bookmarkEnd w:id="3"/>
      <w:bookmarkEnd w:id="4"/>
    </w:p>
    <w:p w:rsidR="006014B8" w:rsidRDefault="00D10A35" w:rsidP="00D10A35">
      <w:pPr>
        <w:spacing w:line="480" w:lineRule="auto"/>
        <w:ind w:firstLine="720"/>
      </w:pPr>
      <w:r>
        <w:t>Dominion’s PIR program was first approved</w:t>
      </w:r>
      <w:r w:rsidR="00534EA6">
        <w:t xml:space="preserve"> by the PUCO</w:t>
      </w:r>
      <w:r>
        <w:t xml:space="preserve"> in October of 2008</w:t>
      </w:r>
      <w:r w:rsidR="00786943">
        <w:t>.  Under the program</w:t>
      </w:r>
      <w:r>
        <w:t xml:space="preserve">, </w:t>
      </w:r>
      <w:r w:rsidR="00786943">
        <w:t xml:space="preserve">Dominion sought to </w:t>
      </w:r>
      <w:r>
        <w:t>replace</w:t>
      </w:r>
      <w:r w:rsidR="00D84EA0">
        <w:t xml:space="preserve"> </w:t>
      </w:r>
      <w:r>
        <w:t>4,122 miles of bare steel, cast iron and other pipeli</w:t>
      </w:r>
      <w:r w:rsidR="00145066">
        <w:t>ne types over a 25-year period.</w:t>
      </w:r>
      <w:r w:rsidR="00145066">
        <w:rPr>
          <w:rStyle w:val="FootnoteReference"/>
        </w:rPr>
        <w:footnoteReference w:id="7"/>
      </w:r>
      <w:r w:rsidR="00534EA6">
        <w:t xml:space="preserve"> </w:t>
      </w:r>
      <w:r w:rsidR="00786943">
        <w:t xml:space="preserve"> Its</w:t>
      </w:r>
      <w:r w:rsidR="00534EA6">
        <w:t xml:space="preserve"> program allowed for the accelerated replacement of aging pipe and ineffectively coated pipe to prevent corrosion and reduce leak rates.</w:t>
      </w:r>
      <w:r w:rsidR="00534EA6">
        <w:rPr>
          <w:rStyle w:val="FootnoteReference"/>
        </w:rPr>
        <w:footnoteReference w:id="8"/>
      </w:r>
      <w:r w:rsidR="00534EA6">
        <w:t xml:space="preserve"> </w:t>
      </w:r>
      <w:r w:rsidR="00EA7D55">
        <w:t xml:space="preserve">The PUCO </w:t>
      </w:r>
      <w:r w:rsidR="00E34BB5">
        <w:t xml:space="preserve">allowed </w:t>
      </w:r>
      <w:r w:rsidR="00EA7D55">
        <w:t xml:space="preserve"> Dominion </w:t>
      </w:r>
      <w:r w:rsidR="00E34BB5">
        <w:t xml:space="preserve">to </w:t>
      </w:r>
      <w:r w:rsidR="00EA7D55">
        <w:t>implement the PIR program “for an initial five-year period or until the effective date of new base rates resulting from the filing of an application to increase base rates resulting from the filing of an application to increase base rates, whichever comes first. At that time DEO may request continuation of the PIR program beyond the initial term.”</w:t>
      </w:r>
      <w:r w:rsidR="00EA7D55">
        <w:rPr>
          <w:rStyle w:val="FootnoteReference"/>
        </w:rPr>
        <w:footnoteReference w:id="9"/>
      </w:r>
      <w:r w:rsidR="00EA7D55">
        <w:t xml:space="preserve"> </w:t>
      </w:r>
    </w:p>
    <w:p w:rsidR="000E283A" w:rsidRDefault="00EA7D55" w:rsidP="00D10A35">
      <w:pPr>
        <w:spacing w:line="480" w:lineRule="auto"/>
        <w:ind w:firstLine="720"/>
      </w:pPr>
      <w:r>
        <w:t>But Dominion did not wait to file a base rate case</w:t>
      </w:r>
      <w:r w:rsidR="00E34BB5">
        <w:t>.  N</w:t>
      </w:r>
      <w:r>
        <w:t>or did it wait until the end of the initial five-year program</w:t>
      </w:r>
      <w:r w:rsidR="00E34BB5">
        <w:t xml:space="preserve"> to ask for more money</w:t>
      </w:r>
      <w:r>
        <w:t xml:space="preserve">. On March 31, 2011, Dominion filed a Motion to Modify the PUCO’s order approving the PIR program, </w:t>
      </w:r>
      <w:r w:rsidR="005D5249">
        <w:t>under</w:t>
      </w:r>
      <w:r>
        <w:t xml:space="preserve"> R.C. 4929.08.</w:t>
      </w:r>
      <w:r>
        <w:rPr>
          <w:rStyle w:val="FootnoteReference"/>
        </w:rPr>
        <w:footnoteReference w:id="10"/>
      </w:r>
      <w:r w:rsidR="00B52BB7">
        <w:t xml:space="preserve"> </w:t>
      </w:r>
      <w:r w:rsidR="00E241ED">
        <w:t xml:space="preserve">In </w:t>
      </w:r>
      <w:r w:rsidR="005D5249">
        <w:t>its</w:t>
      </w:r>
      <w:r w:rsidR="00E241ED">
        <w:t xml:space="preserve"> 2011 Application, Dominion explained that since the beginning of the PIR program, it found additional pipe that needed to be replaced on an accelerated basis</w:t>
      </w:r>
      <w:r w:rsidR="005D5249">
        <w:t xml:space="preserve">.  Because of this, Dominion </w:t>
      </w:r>
      <w:r w:rsidR="00E241ED">
        <w:t xml:space="preserve">asked the PUCO </w:t>
      </w:r>
      <w:r w:rsidR="005D5249">
        <w:t>to increase</w:t>
      </w:r>
      <w:r w:rsidR="00E241ED">
        <w:t xml:space="preserve"> the annual </w:t>
      </w:r>
      <w:r w:rsidR="005D5249">
        <w:t>amount the</w:t>
      </w:r>
      <w:r w:rsidR="005E6034">
        <w:t xml:space="preserve"> utility could charge customers</w:t>
      </w:r>
      <w:r w:rsidR="00E241ED">
        <w:t>.</w:t>
      </w:r>
      <w:r w:rsidR="00E241ED">
        <w:rPr>
          <w:rStyle w:val="FootnoteReference"/>
        </w:rPr>
        <w:footnoteReference w:id="11"/>
      </w:r>
      <w:r w:rsidR="00E241ED">
        <w:t xml:space="preserve"> </w:t>
      </w:r>
      <w:r w:rsidR="00A4770E">
        <w:t xml:space="preserve">The PUCO </w:t>
      </w:r>
      <w:r w:rsidR="00E34BB5">
        <w:t xml:space="preserve">relented and </w:t>
      </w:r>
      <w:r w:rsidR="005D5249">
        <w:t>allowed</w:t>
      </w:r>
      <w:r w:rsidR="00A4770E">
        <w:t xml:space="preserve"> annual adjustments to the PIR charge</w:t>
      </w:r>
      <w:r w:rsidR="00E34BB5">
        <w:t>.  But it ruled that the annual increases in charges we</w:t>
      </w:r>
      <w:r w:rsidR="005D5249">
        <w:t xml:space="preserve">re </w:t>
      </w:r>
      <w:r w:rsidR="00A4770E">
        <w:t xml:space="preserve">not </w:t>
      </w:r>
      <w:r w:rsidR="005D5249">
        <w:t xml:space="preserve">to </w:t>
      </w:r>
      <w:r w:rsidR="00A4770E">
        <w:t>exceed the most recently authorized level by more than $1.40</w:t>
      </w:r>
      <w:r w:rsidR="005D5249">
        <w:t xml:space="preserve"> per year</w:t>
      </w:r>
      <w:r w:rsidR="00A4770E">
        <w:rPr>
          <w:rStyle w:val="FootnoteReference"/>
        </w:rPr>
        <w:footnoteReference w:id="12"/>
      </w:r>
      <w:r w:rsidR="00A4770E">
        <w:t xml:space="preserve"> </w:t>
      </w:r>
      <w:r w:rsidR="00B52BB7">
        <w:t>These incremental increases have been capped at $1.40 (the current rate cap).</w:t>
      </w:r>
      <w:r w:rsidR="00692CD5">
        <w:rPr>
          <w:rStyle w:val="FootnoteReference"/>
        </w:rPr>
        <w:footnoteReference w:id="13"/>
      </w:r>
    </w:p>
    <w:p w:rsidR="00560FDB" w:rsidRDefault="000E283A" w:rsidP="000E283A">
      <w:pPr>
        <w:spacing w:after="200" w:line="276" w:lineRule="auto"/>
      </w:pPr>
      <w:r>
        <w:br w:type="page"/>
      </w:r>
    </w:p>
    <w:tbl>
      <w:tblPr>
        <w:tblStyle w:val="MediumList2"/>
        <w:tblW w:w="0" w:type="auto"/>
        <w:tblInd w:w="1728" w:type="dxa"/>
        <w:tblLook w:val="04A0" w:firstRow="1" w:lastRow="0" w:firstColumn="1" w:lastColumn="0" w:noHBand="0" w:noVBand="1"/>
      </w:tblPr>
      <w:tblGrid>
        <w:gridCol w:w="1818"/>
        <w:gridCol w:w="2622"/>
        <w:gridCol w:w="2058"/>
      </w:tblGrid>
      <w:tr w:rsidR="00560FDB" w:rsidRPr="00714196" w:rsidTr="00BE7F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8" w:type="dxa"/>
          </w:tcPr>
          <w:p w:rsidR="00560FDB" w:rsidRPr="00714196" w:rsidRDefault="00560FDB" w:rsidP="00FB1FC2">
            <w:pPr>
              <w:rPr>
                <w:b/>
              </w:rPr>
            </w:pPr>
            <w:r>
              <w:rPr>
                <w:b/>
              </w:rPr>
              <w:t>Effective Date</w:t>
            </w:r>
          </w:p>
        </w:tc>
        <w:tc>
          <w:tcPr>
            <w:tcW w:w="2622" w:type="dxa"/>
          </w:tcPr>
          <w:p w:rsidR="00560FDB" w:rsidRPr="00714196" w:rsidRDefault="00560FDB" w:rsidP="00560FDB">
            <w:pPr>
              <w:cnfStyle w:val="100000000000" w:firstRow="1" w:lastRow="0" w:firstColumn="0" w:lastColumn="0" w:oddVBand="0" w:evenVBand="0" w:oddHBand="0" w:evenHBand="0" w:firstRowFirstColumn="0" w:firstRowLastColumn="0" w:lastRowFirstColumn="0" w:lastRowLastColumn="0"/>
              <w:rPr>
                <w:b/>
              </w:rPr>
            </w:pPr>
            <w:r w:rsidRPr="00714196">
              <w:rPr>
                <w:b/>
              </w:rPr>
              <w:t xml:space="preserve">Residential Increase </w:t>
            </w:r>
            <w:r w:rsidRPr="00714196">
              <w:t>(per customer)</w:t>
            </w:r>
          </w:p>
        </w:tc>
        <w:tc>
          <w:tcPr>
            <w:tcW w:w="2058" w:type="dxa"/>
          </w:tcPr>
          <w:p w:rsidR="00560FDB" w:rsidRPr="00714196" w:rsidRDefault="00560FDB" w:rsidP="00446DD6">
            <w:pPr>
              <w:cnfStyle w:val="100000000000" w:firstRow="1" w:lastRow="0" w:firstColumn="0" w:lastColumn="0" w:oddVBand="0" w:evenVBand="0" w:oddHBand="0" w:evenHBand="0" w:firstRowFirstColumn="0" w:firstRowLastColumn="0" w:lastRowFirstColumn="0" w:lastRowLastColumn="0"/>
              <w:rPr>
                <w:b/>
              </w:rPr>
            </w:pPr>
            <w:r w:rsidRPr="00714196">
              <w:rPr>
                <w:b/>
              </w:rPr>
              <w:t xml:space="preserve">Total Residential Charge for PIR </w:t>
            </w:r>
            <w:r w:rsidRPr="00714196">
              <w:t>(per customer)</w:t>
            </w:r>
          </w:p>
        </w:tc>
      </w:tr>
      <w:tr w:rsidR="00560FDB" w:rsidTr="00BE7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560FDB" w:rsidRDefault="00560FDB" w:rsidP="00FB1FC2">
            <w:r>
              <w:t>Jan. 4, 2010</w:t>
            </w:r>
          </w:p>
        </w:tc>
        <w:tc>
          <w:tcPr>
            <w:tcW w:w="2622" w:type="dxa"/>
          </w:tcPr>
          <w:p w:rsidR="00560FDB" w:rsidRDefault="00560FDB" w:rsidP="00560FDB">
            <w:pPr>
              <w:cnfStyle w:val="000000100000" w:firstRow="0" w:lastRow="0" w:firstColumn="0" w:lastColumn="0" w:oddVBand="0" w:evenVBand="0" w:oddHBand="1" w:evenHBand="0" w:firstRowFirstColumn="0" w:firstRowLastColumn="0" w:lastRowFirstColumn="0" w:lastRowLastColumn="0"/>
            </w:pPr>
            <w:r>
              <w:t>----</w:t>
            </w:r>
          </w:p>
        </w:tc>
        <w:tc>
          <w:tcPr>
            <w:tcW w:w="2058" w:type="dxa"/>
          </w:tcPr>
          <w:p w:rsidR="00560FDB" w:rsidRDefault="00560FDB" w:rsidP="00FB1FC2">
            <w:pPr>
              <w:cnfStyle w:val="000000100000" w:firstRow="0" w:lastRow="0" w:firstColumn="0" w:lastColumn="0" w:oddVBand="0" w:evenVBand="0" w:oddHBand="1" w:evenHBand="0" w:firstRowFirstColumn="0" w:firstRowLastColumn="0" w:lastRowFirstColumn="0" w:lastRowLastColumn="0"/>
            </w:pPr>
            <w:r>
              <w:t>$0.72/month</w:t>
            </w:r>
            <w:r>
              <w:rPr>
                <w:rStyle w:val="FootnoteReference"/>
              </w:rPr>
              <w:footnoteReference w:id="14"/>
            </w:r>
          </w:p>
        </w:tc>
      </w:tr>
      <w:tr w:rsidR="00560FDB" w:rsidTr="00BE7F47">
        <w:tc>
          <w:tcPr>
            <w:cnfStyle w:val="001000000000" w:firstRow="0" w:lastRow="0" w:firstColumn="1" w:lastColumn="0" w:oddVBand="0" w:evenVBand="0" w:oddHBand="0" w:evenHBand="0" w:firstRowFirstColumn="0" w:firstRowLastColumn="0" w:lastRowFirstColumn="0" w:lastRowLastColumn="0"/>
            <w:tcW w:w="1818" w:type="dxa"/>
          </w:tcPr>
          <w:p w:rsidR="00560FDB" w:rsidRDefault="00560FDB" w:rsidP="00FB1FC2">
            <w:r>
              <w:t>Nov. 5, 2010</w:t>
            </w:r>
          </w:p>
        </w:tc>
        <w:tc>
          <w:tcPr>
            <w:tcW w:w="2622" w:type="dxa"/>
          </w:tcPr>
          <w:p w:rsidR="00560FDB" w:rsidRDefault="00560FDB" w:rsidP="00560FDB">
            <w:pPr>
              <w:cnfStyle w:val="000000000000" w:firstRow="0" w:lastRow="0" w:firstColumn="0" w:lastColumn="0" w:oddVBand="0" w:evenVBand="0" w:oddHBand="0" w:evenHBand="0" w:firstRowFirstColumn="0" w:firstRowLastColumn="0" w:lastRowFirstColumn="0" w:lastRowLastColumn="0"/>
            </w:pPr>
            <w:r>
              <w:t>$0.86/month</w:t>
            </w:r>
          </w:p>
        </w:tc>
        <w:tc>
          <w:tcPr>
            <w:tcW w:w="2058" w:type="dxa"/>
          </w:tcPr>
          <w:p w:rsidR="00560FDB" w:rsidRDefault="00560FDB" w:rsidP="00FB1FC2">
            <w:pPr>
              <w:cnfStyle w:val="000000000000" w:firstRow="0" w:lastRow="0" w:firstColumn="0" w:lastColumn="0" w:oddVBand="0" w:evenVBand="0" w:oddHBand="0" w:evenHBand="0" w:firstRowFirstColumn="0" w:firstRowLastColumn="0" w:lastRowFirstColumn="0" w:lastRowLastColumn="0"/>
            </w:pPr>
            <w:r>
              <w:t>$1.58/month</w:t>
            </w:r>
            <w:r>
              <w:rPr>
                <w:rStyle w:val="FootnoteReference"/>
              </w:rPr>
              <w:footnoteReference w:id="15"/>
            </w:r>
          </w:p>
        </w:tc>
      </w:tr>
      <w:tr w:rsidR="00560FDB" w:rsidTr="00BE7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560FDB" w:rsidRDefault="00560FDB" w:rsidP="00FB1FC2">
            <w:r>
              <w:t>May 4, 2012</w:t>
            </w:r>
          </w:p>
        </w:tc>
        <w:tc>
          <w:tcPr>
            <w:tcW w:w="2622" w:type="dxa"/>
          </w:tcPr>
          <w:p w:rsidR="00560FDB" w:rsidRDefault="00560FDB" w:rsidP="00FB1FC2">
            <w:pPr>
              <w:cnfStyle w:val="000000100000" w:firstRow="0" w:lastRow="0" w:firstColumn="0" w:lastColumn="0" w:oddVBand="0" w:evenVBand="0" w:oddHBand="1" w:evenHBand="0" w:firstRowFirstColumn="0" w:firstRowLastColumn="0" w:lastRowFirstColumn="0" w:lastRowLastColumn="0"/>
            </w:pPr>
            <w:r>
              <w:t>$1.22/month</w:t>
            </w:r>
          </w:p>
        </w:tc>
        <w:tc>
          <w:tcPr>
            <w:tcW w:w="2058" w:type="dxa"/>
          </w:tcPr>
          <w:p w:rsidR="00560FDB" w:rsidRDefault="00560FDB" w:rsidP="00FB1FC2">
            <w:pPr>
              <w:cnfStyle w:val="000000100000" w:firstRow="0" w:lastRow="0" w:firstColumn="0" w:lastColumn="0" w:oddVBand="0" w:evenVBand="0" w:oddHBand="1" w:evenHBand="0" w:firstRowFirstColumn="0" w:firstRowLastColumn="0" w:lastRowFirstColumn="0" w:lastRowLastColumn="0"/>
            </w:pPr>
            <w:r>
              <w:t>$2.80/month</w:t>
            </w:r>
            <w:r>
              <w:rPr>
                <w:rStyle w:val="FootnoteReference"/>
              </w:rPr>
              <w:footnoteReference w:id="16"/>
            </w:r>
          </w:p>
        </w:tc>
      </w:tr>
      <w:tr w:rsidR="00560FDB" w:rsidTr="00BE7F47">
        <w:tc>
          <w:tcPr>
            <w:cnfStyle w:val="001000000000" w:firstRow="0" w:lastRow="0" w:firstColumn="1" w:lastColumn="0" w:oddVBand="0" w:evenVBand="0" w:oddHBand="0" w:evenHBand="0" w:firstRowFirstColumn="0" w:firstRowLastColumn="0" w:lastRowFirstColumn="0" w:lastRowLastColumn="0"/>
            <w:tcW w:w="1818" w:type="dxa"/>
          </w:tcPr>
          <w:p w:rsidR="00560FDB" w:rsidRDefault="00560FDB" w:rsidP="00FB1FC2">
            <w:r>
              <w:t>May 7, 2013</w:t>
            </w:r>
          </w:p>
        </w:tc>
        <w:tc>
          <w:tcPr>
            <w:tcW w:w="2622" w:type="dxa"/>
          </w:tcPr>
          <w:p w:rsidR="00560FDB" w:rsidRDefault="00560FDB" w:rsidP="00FB1FC2">
            <w:pPr>
              <w:cnfStyle w:val="000000000000" w:firstRow="0" w:lastRow="0" w:firstColumn="0" w:lastColumn="0" w:oddVBand="0" w:evenVBand="0" w:oddHBand="0" w:evenHBand="0" w:firstRowFirstColumn="0" w:firstRowLastColumn="0" w:lastRowFirstColumn="0" w:lastRowLastColumn="0"/>
            </w:pPr>
            <w:r>
              <w:t>$1.26/month</w:t>
            </w:r>
          </w:p>
        </w:tc>
        <w:tc>
          <w:tcPr>
            <w:tcW w:w="2058" w:type="dxa"/>
          </w:tcPr>
          <w:p w:rsidR="00560FDB" w:rsidRDefault="00560FDB" w:rsidP="00FB1FC2">
            <w:pPr>
              <w:cnfStyle w:val="000000000000" w:firstRow="0" w:lastRow="0" w:firstColumn="0" w:lastColumn="0" w:oddVBand="0" w:evenVBand="0" w:oddHBand="0" w:evenHBand="0" w:firstRowFirstColumn="0" w:firstRowLastColumn="0" w:lastRowFirstColumn="0" w:lastRowLastColumn="0"/>
            </w:pPr>
            <w:r>
              <w:t>$4.06/month</w:t>
            </w:r>
            <w:r>
              <w:rPr>
                <w:rStyle w:val="FootnoteReference"/>
              </w:rPr>
              <w:footnoteReference w:id="17"/>
            </w:r>
          </w:p>
        </w:tc>
      </w:tr>
      <w:tr w:rsidR="00560FDB" w:rsidTr="00BE7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560FDB" w:rsidRDefault="00560FDB" w:rsidP="00FB1FC2">
            <w:r>
              <w:t>May 6, 2014</w:t>
            </w:r>
          </w:p>
        </w:tc>
        <w:tc>
          <w:tcPr>
            <w:tcW w:w="2622" w:type="dxa"/>
          </w:tcPr>
          <w:p w:rsidR="00560FDB" w:rsidRDefault="00560FDB" w:rsidP="00FB1FC2">
            <w:pPr>
              <w:cnfStyle w:val="000000100000" w:firstRow="0" w:lastRow="0" w:firstColumn="0" w:lastColumn="0" w:oddVBand="0" w:evenVBand="0" w:oddHBand="1" w:evenHBand="0" w:firstRowFirstColumn="0" w:firstRowLastColumn="0" w:lastRowFirstColumn="0" w:lastRowLastColumn="0"/>
            </w:pPr>
            <w:r>
              <w:t>$1.38/month</w:t>
            </w:r>
          </w:p>
        </w:tc>
        <w:tc>
          <w:tcPr>
            <w:tcW w:w="2058" w:type="dxa"/>
          </w:tcPr>
          <w:p w:rsidR="00560FDB" w:rsidRDefault="00560FDB" w:rsidP="00FB1FC2">
            <w:pPr>
              <w:cnfStyle w:val="000000100000" w:firstRow="0" w:lastRow="0" w:firstColumn="0" w:lastColumn="0" w:oddVBand="0" w:evenVBand="0" w:oddHBand="1" w:evenHBand="0" w:firstRowFirstColumn="0" w:firstRowLastColumn="0" w:lastRowFirstColumn="0" w:lastRowLastColumn="0"/>
            </w:pPr>
            <w:r>
              <w:t>$5.44/month</w:t>
            </w:r>
            <w:r>
              <w:rPr>
                <w:rStyle w:val="FootnoteReference"/>
              </w:rPr>
              <w:footnoteReference w:id="18"/>
            </w:r>
          </w:p>
        </w:tc>
      </w:tr>
      <w:tr w:rsidR="00560FDB" w:rsidTr="00BE7F47">
        <w:tc>
          <w:tcPr>
            <w:cnfStyle w:val="001000000000" w:firstRow="0" w:lastRow="0" w:firstColumn="1" w:lastColumn="0" w:oddVBand="0" w:evenVBand="0" w:oddHBand="0" w:evenHBand="0" w:firstRowFirstColumn="0" w:firstRowLastColumn="0" w:lastRowFirstColumn="0" w:lastRowLastColumn="0"/>
            <w:tcW w:w="1818" w:type="dxa"/>
          </w:tcPr>
          <w:p w:rsidR="00560FDB" w:rsidRDefault="00560FDB" w:rsidP="00FB1FC2">
            <w:r>
              <w:t>May 6, 2015</w:t>
            </w:r>
          </w:p>
        </w:tc>
        <w:tc>
          <w:tcPr>
            <w:tcW w:w="2622" w:type="dxa"/>
          </w:tcPr>
          <w:p w:rsidR="00560FDB" w:rsidRDefault="00560FDB" w:rsidP="00FB1FC2">
            <w:pPr>
              <w:cnfStyle w:val="000000000000" w:firstRow="0" w:lastRow="0" w:firstColumn="0" w:lastColumn="0" w:oddVBand="0" w:evenVBand="0" w:oddHBand="0" w:evenHBand="0" w:firstRowFirstColumn="0" w:firstRowLastColumn="0" w:lastRowFirstColumn="0" w:lastRowLastColumn="0"/>
            </w:pPr>
            <w:r>
              <w:t>$1.33/month</w:t>
            </w:r>
          </w:p>
        </w:tc>
        <w:tc>
          <w:tcPr>
            <w:tcW w:w="2058" w:type="dxa"/>
          </w:tcPr>
          <w:p w:rsidR="00560FDB" w:rsidRDefault="00560FDB" w:rsidP="00FB1FC2">
            <w:pPr>
              <w:cnfStyle w:val="000000000000" w:firstRow="0" w:lastRow="0" w:firstColumn="0" w:lastColumn="0" w:oddVBand="0" w:evenVBand="0" w:oddHBand="0" w:evenHBand="0" w:firstRowFirstColumn="0" w:firstRowLastColumn="0" w:lastRowFirstColumn="0" w:lastRowLastColumn="0"/>
            </w:pPr>
            <w:r>
              <w:t>$6.70/month</w:t>
            </w:r>
            <w:r>
              <w:rPr>
                <w:rStyle w:val="FootnoteReference"/>
              </w:rPr>
              <w:footnoteReference w:id="19"/>
            </w:r>
          </w:p>
        </w:tc>
      </w:tr>
    </w:tbl>
    <w:p w:rsidR="000E283A" w:rsidRDefault="000E283A" w:rsidP="00BE7F47">
      <w:pPr>
        <w:spacing w:line="480" w:lineRule="auto"/>
      </w:pPr>
    </w:p>
    <w:p w:rsidR="000E283A" w:rsidRDefault="004F4ECE" w:rsidP="000E283A">
      <w:pPr>
        <w:spacing w:line="480" w:lineRule="auto"/>
        <w:ind w:firstLine="720"/>
      </w:pPr>
      <w:r>
        <w:t>The current</w:t>
      </w:r>
      <w:r w:rsidR="00B52BB7">
        <w:t xml:space="preserve"> total</w:t>
      </w:r>
      <w:r>
        <w:t xml:space="preserve"> charge per residential customer </w:t>
      </w:r>
      <w:r w:rsidR="00760A0E">
        <w:t>for the PIR program</w:t>
      </w:r>
      <w:r w:rsidR="00B52BB7">
        <w:t xml:space="preserve"> is</w:t>
      </w:r>
      <w:r w:rsidR="00760A0E">
        <w:t xml:space="preserve"> $</w:t>
      </w:r>
      <w:r>
        <w:t>6.70</w:t>
      </w:r>
      <w:r w:rsidR="00760A0E">
        <w:t>/month</w:t>
      </w:r>
      <w:r>
        <w:t>.</w:t>
      </w:r>
      <w:r>
        <w:rPr>
          <w:rStyle w:val="FootnoteReference"/>
        </w:rPr>
        <w:footnoteReference w:id="20"/>
      </w:r>
      <w:r w:rsidR="00184AF5">
        <w:t xml:space="preserve"> However, Dominion has already filed</w:t>
      </w:r>
      <w:r w:rsidR="00B52BB7">
        <w:t>, in a separate filing,</w:t>
      </w:r>
      <w:r w:rsidR="00184AF5">
        <w:t xml:space="preserve"> to increase this charge</w:t>
      </w:r>
      <w:r w:rsidR="00714196">
        <w:t xml:space="preserve"> under existing rate caps</w:t>
      </w:r>
      <w:r w:rsidR="00184AF5">
        <w:t xml:space="preserve"> to $8.12/month.</w:t>
      </w:r>
      <w:r w:rsidR="00184AF5">
        <w:rPr>
          <w:rStyle w:val="FootnoteReference"/>
        </w:rPr>
        <w:footnoteReference w:id="21"/>
      </w:r>
      <w:r w:rsidR="005D5249">
        <w:t xml:space="preserve">  </w:t>
      </w:r>
      <w:r w:rsidR="00617F25">
        <w:t xml:space="preserve">This $8.12 charge per month is part of </w:t>
      </w:r>
    </w:p>
    <w:p w:rsidR="00CF5F4D" w:rsidRDefault="00CF5F4D">
      <w:pPr>
        <w:spacing w:after="200" w:line="276" w:lineRule="auto"/>
      </w:pPr>
      <w:r>
        <w:br w:type="page"/>
      </w:r>
    </w:p>
    <w:p w:rsidR="005D5249" w:rsidRDefault="00617F25" w:rsidP="00F23EB4">
      <w:pPr>
        <w:spacing w:line="480" w:lineRule="auto"/>
      </w:pPr>
      <w:r>
        <w:t xml:space="preserve">Dominion’s reauthorization approved in 2011. With PUCO approval, residential customers will begin paying </w:t>
      </w:r>
      <w:r w:rsidR="005D5249">
        <w:t>$8.12 per month beginning</w:t>
      </w:r>
      <w:r>
        <w:t xml:space="preserve"> in</w:t>
      </w:r>
      <w:r w:rsidR="00C73627">
        <w:t xml:space="preserve"> May 2016.</w:t>
      </w:r>
      <w:r w:rsidR="00C73627">
        <w:rPr>
          <w:rStyle w:val="FootnoteReference"/>
        </w:rPr>
        <w:footnoteReference w:id="22"/>
      </w:r>
      <w:r w:rsidR="00BE7F47">
        <w:t xml:space="preserve"> </w:t>
      </w:r>
    </w:p>
    <w:p w:rsidR="0085457F" w:rsidRDefault="00E34BB5" w:rsidP="00F23EB4">
      <w:pPr>
        <w:spacing w:line="480" w:lineRule="auto"/>
        <w:ind w:firstLine="720"/>
      </w:pPr>
      <w:r>
        <w:t xml:space="preserve">Dominion now claims that in the last 5 years, there has been a dramatic increase in costs that requires more investment and more customer funding.  </w:t>
      </w:r>
      <w:r w:rsidR="0085457F">
        <w:t xml:space="preserve">Dominion filed this case </w:t>
      </w:r>
      <w:r w:rsidR="000E283A">
        <w:t xml:space="preserve">in February </w:t>
      </w:r>
      <w:r>
        <w:t>of 2015, s</w:t>
      </w:r>
      <w:r w:rsidR="0085457F">
        <w:t>eeking a reauthorization of the PIR program</w:t>
      </w:r>
      <w:r w:rsidR="007509DD">
        <w:t xml:space="preserve"> (as part of the five year reauthorization required by the PUCO)</w:t>
      </w:r>
      <w:r>
        <w:t>.</w:t>
      </w:r>
      <w:r w:rsidR="007509DD">
        <w:rPr>
          <w:rStyle w:val="FootnoteReference"/>
        </w:rPr>
        <w:footnoteReference w:id="23"/>
      </w:r>
      <w:r w:rsidR="0085457F">
        <w:t xml:space="preserve"> </w:t>
      </w:r>
      <w:r>
        <w:t xml:space="preserve">Dominion </w:t>
      </w:r>
      <w:r w:rsidR="002105EE">
        <w:t>propose</w:t>
      </w:r>
      <w:r>
        <w:t xml:space="preserve">s to </w:t>
      </w:r>
      <w:r w:rsidR="002105EE">
        <w:t xml:space="preserve">increasing the </w:t>
      </w:r>
      <w:r w:rsidR="000E283A">
        <w:t>rates</w:t>
      </w:r>
      <w:r w:rsidR="002105EE">
        <w:t xml:space="preserve"> to residential consumers</w:t>
      </w:r>
      <w:r w:rsidR="00714196">
        <w:t xml:space="preserve"> (by increasing the residential rate caps)</w:t>
      </w:r>
      <w:r w:rsidR="002105EE">
        <w:t xml:space="preserve"> in order to increase the </w:t>
      </w:r>
      <w:r>
        <w:t xml:space="preserve">its </w:t>
      </w:r>
      <w:r w:rsidR="002105EE">
        <w:t xml:space="preserve">investment in the PIR program and </w:t>
      </w:r>
      <w:r w:rsidR="00616E1E">
        <w:t>meet the 25-year goal</w:t>
      </w:r>
      <w:r>
        <w:t>.</w:t>
      </w:r>
      <w:r w:rsidR="00616E1E">
        <w:t>.</w:t>
      </w:r>
      <w:r w:rsidR="00616E1E">
        <w:rPr>
          <w:rStyle w:val="FootnoteReference"/>
        </w:rPr>
        <w:footnoteReference w:id="24"/>
      </w:r>
      <w:r w:rsidR="00616E1E">
        <w:t xml:space="preserve"> </w:t>
      </w:r>
      <w:r w:rsidR="000620C0">
        <w:t>Therefore, Dominion propose</w:t>
      </w:r>
      <w:r w:rsidR="007A3E74">
        <w:t>s</w:t>
      </w:r>
      <w:r w:rsidR="000620C0">
        <w:t xml:space="preserve"> the following cost increases:</w:t>
      </w:r>
      <w:r w:rsidR="006566AC">
        <w:rPr>
          <w:rStyle w:val="FootnoteReference"/>
        </w:rPr>
        <w:footnoteReference w:id="25"/>
      </w:r>
    </w:p>
    <w:tbl>
      <w:tblPr>
        <w:tblStyle w:val="MediumList2"/>
        <w:tblW w:w="0" w:type="auto"/>
        <w:tblLook w:val="04A0" w:firstRow="1" w:lastRow="0" w:firstColumn="1" w:lastColumn="0" w:noHBand="0" w:noVBand="1"/>
      </w:tblPr>
      <w:tblGrid>
        <w:gridCol w:w="1818"/>
        <w:gridCol w:w="2250"/>
        <w:gridCol w:w="2622"/>
        <w:gridCol w:w="2058"/>
      </w:tblGrid>
      <w:tr w:rsidR="00184AF5" w:rsidTr="006953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8" w:type="dxa"/>
          </w:tcPr>
          <w:p w:rsidR="00184AF5" w:rsidRPr="00714196" w:rsidRDefault="00184AF5" w:rsidP="000620C0">
            <w:pPr>
              <w:rPr>
                <w:b/>
              </w:rPr>
            </w:pPr>
            <w:r w:rsidRPr="00714196">
              <w:rPr>
                <w:b/>
              </w:rPr>
              <w:t>Investment Year</w:t>
            </w:r>
          </w:p>
        </w:tc>
        <w:tc>
          <w:tcPr>
            <w:tcW w:w="2250" w:type="dxa"/>
          </w:tcPr>
          <w:p w:rsidR="00184AF5" w:rsidRPr="00714196" w:rsidRDefault="00184AF5" w:rsidP="003D474B">
            <w:pPr>
              <w:cnfStyle w:val="100000000000" w:firstRow="1" w:lastRow="0" w:firstColumn="0" w:lastColumn="0" w:oddVBand="0" w:evenVBand="0" w:oddHBand="0" w:evenHBand="0" w:firstRowFirstColumn="0" w:firstRowLastColumn="0" w:lastRowFirstColumn="0" w:lastRowLastColumn="0"/>
              <w:rPr>
                <w:b/>
              </w:rPr>
            </w:pPr>
            <w:r w:rsidRPr="00714196">
              <w:rPr>
                <w:b/>
              </w:rPr>
              <w:t>Estimated Capital Investment</w:t>
            </w:r>
            <w:r w:rsidRPr="00714196">
              <w:rPr>
                <w:rStyle w:val="FootnoteReference"/>
                <w:b/>
              </w:rPr>
              <w:footnoteReference w:id="26"/>
            </w:r>
          </w:p>
        </w:tc>
        <w:tc>
          <w:tcPr>
            <w:tcW w:w="2622" w:type="dxa"/>
          </w:tcPr>
          <w:p w:rsidR="00184AF5" w:rsidRPr="00714196" w:rsidRDefault="00184AF5" w:rsidP="000620C0">
            <w:pPr>
              <w:cnfStyle w:val="100000000000" w:firstRow="1" w:lastRow="0" w:firstColumn="0" w:lastColumn="0" w:oddVBand="0" w:evenVBand="0" w:oddHBand="0" w:evenHBand="0" w:firstRowFirstColumn="0" w:firstRowLastColumn="0" w:lastRowFirstColumn="0" w:lastRowLastColumn="0"/>
              <w:rPr>
                <w:b/>
              </w:rPr>
            </w:pPr>
            <w:r w:rsidRPr="00714196">
              <w:rPr>
                <w:b/>
              </w:rPr>
              <w:t xml:space="preserve">Proposed Residential Rate Cap Increase </w:t>
            </w:r>
            <w:r w:rsidRPr="00714196">
              <w:t>(per customer)</w:t>
            </w:r>
          </w:p>
        </w:tc>
        <w:tc>
          <w:tcPr>
            <w:tcW w:w="2058" w:type="dxa"/>
          </w:tcPr>
          <w:p w:rsidR="00184AF5" w:rsidRPr="00714196" w:rsidRDefault="00184AF5" w:rsidP="000620C0">
            <w:pPr>
              <w:cnfStyle w:val="100000000000" w:firstRow="1" w:lastRow="0" w:firstColumn="0" w:lastColumn="0" w:oddVBand="0" w:evenVBand="0" w:oddHBand="0" w:evenHBand="0" w:firstRowFirstColumn="0" w:firstRowLastColumn="0" w:lastRowFirstColumn="0" w:lastRowLastColumn="0"/>
              <w:rPr>
                <w:b/>
              </w:rPr>
            </w:pPr>
            <w:r w:rsidRPr="00714196">
              <w:rPr>
                <w:b/>
              </w:rPr>
              <w:t xml:space="preserve">Total Residential Charge for PIR </w:t>
            </w:r>
            <w:r w:rsidRPr="00714196">
              <w:t>(per customer)</w:t>
            </w:r>
            <w:r w:rsidRPr="00714196">
              <w:rPr>
                <w:rStyle w:val="FootnoteReference"/>
                <w:b/>
              </w:rPr>
              <w:footnoteReference w:id="27"/>
            </w:r>
          </w:p>
        </w:tc>
      </w:tr>
      <w:tr w:rsidR="00184AF5" w:rsidTr="00695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84AF5" w:rsidRDefault="00184AF5" w:rsidP="000620C0">
            <w:r>
              <w:t>2017</w:t>
            </w:r>
          </w:p>
        </w:tc>
        <w:tc>
          <w:tcPr>
            <w:tcW w:w="2250" w:type="dxa"/>
          </w:tcPr>
          <w:p w:rsidR="00184AF5" w:rsidRDefault="00184AF5" w:rsidP="007509DD">
            <w:pPr>
              <w:cnfStyle w:val="000000100000" w:firstRow="0" w:lastRow="0" w:firstColumn="0" w:lastColumn="0" w:oddVBand="0" w:evenVBand="0" w:oddHBand="1" w:evenHBand="0" w:firstRowFirstColumn="0" w:firstRowLastColumn="0" w:lastRowFirstColumn="0" w:lastRowLastColumn="0"/>
            </w:pPr>
            <w:r>
              <w:t>$</w:t>
            </w:r>
            <w:r w:rsidR="007509DD">
              <w:t>180</w:t>
            </w:r>
            <w:r>
              <w:t xml:space="preserve"> million</w:t>
            </w:r>
          </w:p>
        </w:tc>
        <w:tc>
          <w:tcPr>
            <w:tcW w:w="2622" w:type="dxa"/>
          </w:tcPr>
          <w:p w:rsidR="00184AF5" w:rsidRDefault="00184AF5" w:rsidP="000620C0">
            <w:pPr>
              <w:cnfStyle w:val="000000100000" w:firstRow="0" w:lastRow="0" w:firstColumn="0" w:lastColumn="0" w:oddVBand="0" w:evenVBand="0" w:oddHBand="1" w:evenHBand="0" w:firstRowFirstColumn="0" w:firstRowLastColumn="0" w:lastRowFirstColumn="0" w:lastRowLastColumn="0"/>
            </w:pPr>
            <w:r>
              <w:t>$1.75/month</w:t>
            </w:r>
          </w:p>
        </w:tc>
        <w:tc>
          <w:tcPr>
            <w:tcW w:w="2058" w:type="dxa"/>
          </w:tcPr>
          <w:p w:rsidR="00184AF5" w:rsidRDefault="00184AF5" w:rsidP="000620C0">
            <w:pPr>
              <w:cnfStyle w:val="000000100000" w:firstRow="0" w:lastRow="0" w:firstColumn="0" w:lastColumn="0" w:oddVBand="0" w:evenVBand="0" w:oddHBand="1" w:evenHBand="0" w:firstRowFirstColumn="0" w:firstRowLastColumn="0" w:lastRowFirstColumn="0" w:lastRowLastColumn="0"/>
            </w:pPr>
            <w:r>
              <w:t>$9.86/month</w:t>
            </w:r>
          </w:p>
        </w:tc>
      </w:tr>
      <w:tr w:rsidR="00184AF5" w:rsidTr="006953C5">
        <w:tc>
          <w:tcPr>
            <w:cnfStyle w:val="001000000000" w:firstRow="0" w:lastRow="0" w:firstColumn="1" w:lastColumn="0" w:oddVBand="0" w:evenVBand="0" w:oddHBand="0" w:evenHBand="0" w:firstRowFirstColumn="0" w:firstRowLastColumn="0" w:lastRowFirstColumn="0" w:lastRowLastColumn="0"/>
            <w:tcW w:w="1818" w:type="dxa"/>
          </w:tcPr>
          <w:p w:rsidR="00184AF5" w:rsidRDefault="00184AF5" w:rsidP="000620C0">
            <w:r>
              <w:t>2018</w:t>
            </w:r>
          </w:p>
        </w:tc>
        <w:tc>
          <w:tcPr>
            <w:tcW w:w="2250" w:type="dxa"/>
          </w:tcPr>
          <w:p w:rsidR="00184AF5" w:rsidRDefault="00184AF5" w:rsidP="000620C0">
            <w:pPr>
              <w:cnfStyle w:val="000000000000" w:firstRow="0" w:lastRow="0" w:firstColumn="0" w:lastColumn="0" w:oddVBand="0" w:evenVBand="0" w:oddHBand="0" w:evenHBand="0" w:firstRowFirstColumn="0" w:firstRowLastColumn="0" w:lastRowFirstColumn="0" w:lastRowLastColumn="0"/>
            </w:pPr>
            <w:r>
              <w:t>$</w:t>
            </w:r>
            <w:r w:rsidR="007509DD">
              <w:t>200</w:t>
            </w:r>
            <w:r>
              <w:t xml:space="preserve"> million</w:t>
            </w:r>
          </w:p>
        </w:tc>
        <w:tc>
          <w:tcPr>
            <w:tcW w:w="2622" w:type="dxa"/>
          </w:tcPr>
          <w:p w:rsidR="00184AF5" w:rsidRDefault="00184AF5" w:rsidP="000620C0">
            <w:pPr>
              <w:cnfStyle w:val="000000000000" w:firstRow="0" w:lastRow="0" w:firstColumn="0" w:lastColumn="0" w:oddVBand="0" w:evenVBand="0" w:oddHBand="0" w:evenHBand="0" w:firstRowFirstColumn="0" w:firstRowLastColumn="0" w:lastRowFirstColumn="0" w:lastRowLastColumn="0"/>
            </w:pPr>
            <w:r>
              <w:t>$1.82/month</w:t>
            </w:r>
          </w:p>
        </w:tc>
        <w:tc>
          <w:tcPr>
            <w:tcW w:w="2058" w:type="dxa"/>
          </w:tcPr>
          <w:p w:rsidR="00184AF5" w:rsidRDefault="00184AF5" w:rsidP="000620C0">
            <w:pPr>
              <w:cnfStyle w:val="000000000000" w:firstRow="0" w:lastRow="0" w:firstColumn="0" w:lastColumn="0" w:oddVBand="0" w:evenVBand="0" w:oddHBand="0" w:evenHBand="0" w:firstRowFirstColumn="0" w:firstRowLastColumn="0" w:lastRowFirstColumn="0" w:lastRowLastColumn="0"/>
            </w:pPr>
            <w:r>
              <w:t>$</w:t>
            </w:r>
            <w:r w:rsidR="00D94481">
              <w:t>11.68</w:t>
            </w:r>
            <w:r>
              <w:t>/month</w:t>
            </w:r>
          </w:p>
        </w:tc>
      </w:tr>
      <w:tr w:rsidR="00184AF5" w:rsidTr="00695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84AF5" w:rsidRDefault="00184AF5" w:rsidP="000620C0">
            <w:r>
              <w:t>2019</w:t>
            </w:r>
          </w:p>
        </w:tc>
        <w:tc>
          <w:tcPr>
            <w:tcW w:w="2250" w:type="dxa"/>
          </w:tcPr>
          <w:p w:rsidR="00184AF5" w:rsidRDefault="00184AF5" w:rsidP="000620C0">
            <w:pPr>
              <w:cnfStyle w:val="000000100000" w:firstRow="0" w:lastRow="0" w:firstColumn="0" w:lastColumn="0" w:oddVBand="0" w:evenVBand="0" w:oddHBand="1" w:evenHBand="0" w:firstRowFirstColumn="0" w:firstRowLastColumn="0" w:lastRowFirstColumn="0" w:lastRowLastColumn="0"/>
            </w:pPr>
            <w:r>
              <w:t>$</w:t>
            </w:r>
            <w:r w:rsidR="007509DD">
              <w:t>206</w:t>
            </w:r>
            <w:r>
              <w:t xml:space="preserve"> million</w:t>
            </w:r>
          </w:p>
        </w:tc>
        <w:tc>
          <w:tcPr>
            <w:tcW w:w="2622" w:type="dxa"/>
          </w:tcPr>
          <w:p w:rsidR="00184AF5" w:rsidRDefault="00184AF5" w:rsidP="000620C0">
            <w:pPr>
              <w:cnfStyle w:val="000000100000" w:firstRow="0" w:lastRow="0" w:firstColumn="0" w:lastColumn="0" w:oddVBand="0" w:evenVBand="0" w:oddHBand="1" w:evenHBand="0" w:firstRowFirstColumn="0" w:firstRowLastColumn="0" w:lastRowFirstColumn="0" w:lastRowLastColumn="0"/>
            </w:pPr>
            <w:r>
              <w:t>$1.83/month</w:t>
            </w:r>
          </w:p>
        </w:tc>
        <w:tc>
          <w:tcPr>
            <w:tcW w:w="2058" w:type="dxa"/>
          </w:tcPr>
          <w:p w:rsidR="00184AF5" w:rsidRDefault="00D94481" w:rsidP="000620C0">
            <w:pPr>
              <w:cnfStyle w:val="000000100000" w:firstRow="0" w:lastRow="0" w:firstColumn="0" w:lastColumn="0" w:oddVBand="0" w:evenVBand="0" w:oddHBand="1" w:evenHBand="0" w:firstRowFirstColumn="0" w:firstRowLastColumn="0" w:lastRowFirstColumn="0" w:lastRowLastColumn="0"/>
            </w:pPr>
            <w:r>
              <w:t>$13.51/month</w:t>
            </w:r>
          </w:p>
        </w:tc>
      </w:tr>
      <w:tr w:rsidR="00184AF5" w:rsidTr="006953C5">
        <w:tc>
          <w:tcPr>
            <w:cnfStyle w:val="001000000000" w:firstRow="0" w:lastRow="0" w:firstColumn="1" w:lastColumn="0" w:oddVBand="0" w:evenVBand="0" w:oddHBand="0" w:evenHBand="0" w:firstRowFirstColumn="0" w:firstRowLastColumn="0" w:lastRowFirstColumn="0" w:lastRowLastColumn="0"/>
            <w:tcW w:w="1818" w:type="dxa"/>
          </w:tcPr>
          <w:p w:rsidR="00184AF5" w:rsidRDefault="00184AF5" w:rsidP="000620C0">
            <w:r>
              <w:t>2020</w:t>
            </w:r>
          </w:p>
        </w:tc>
        <w:tc>
          <w:tcPr>
            <w:tcW w:w="2250" w:type="dxa"/>
          </w:tcPr>
          <w:p w:rsidR="00184AF5" w:rsidRDefault="00184AF5" w:rsidP="000620C0">
            <w:pPr>
              <w:cnfStyle w:val="000000000000" w:firstRow="0" w:lastRow="0" w:firstColumn="0" w:lastColumn="0" w:oddVBand="0" w:evenVBand="0" w:oddHBand="0" w:evenHBand="0" w:firstRowFirstColumn="0" w:firstRowLastColumn="0" w:lastRowFirstColumn="0" w:lastRowLastColumn="0"/>
            </w:pPr>
            <w:r>
              <w:t>$</w:t>
            </w:r>
            <w:r w:rsidR="007509DD">
              <w:t>212</w:t>
            </w:r>
            <w:r>
              <w:t xml:space="preserve"> million</w:t>
            </w:r>
          </w:p>
        </w:tc>
        <w:tc>
          <w:tcPr>
            <w:tcW w:w="2622" w:type="dxa"/>
          </w:tcPr>
          <w:p w:rsidR="00184AF5" w:rsidRDefault="00184AF5" w:rsidP="000620C0">
            <w:pPr>
              <w:cnfStyle w:val="000000000000" w:firstRow="0" w:lastRow="0" w:firstColumn="0" w:lastColumn="0" w:oddVBand="0" w:evenVBand="0" w:oddHBand="0" w:evenHBand="0" w:firstRowFirstColumn="0" w:firstRowLastColumn="0" w:lastRowFirstColumn="0" w:lastRowLastColumn="0"/>
            </w:pPr>
            <w:r>
              <w:t>$1.84/month</w:t>
            </w:r>
          </w:p>
        </w:tc>
        <w:tc>
          <w:tcPr>
            <w:tcW w:w="2058" w:type="dxa"/>
          </w:tcPr>
          <w:p w:rsidR="00184AF5" w:rsidRDefault="00D94481" w:rsidP="000620C0">
            <w:pPr>
              <w:cnfStyle w:val="000000000000" w:firstRow="0" w:lastRow="0" w:firstColumn="0" w:lastColumn="0" w:oddVBand="0" w:evenVBand="0" w:oddHBand="0" w:evenHBand="0" w:firstRowFirstColumn="0" w:firstRowLastColumn="0" w:lastRowFirstColumn="0" w:lastRowLastColumn="0"/>
            </w:pPr>
            <w:r>
              <w:t>$15.35/month</w:t>
            </w:r>
          </w:p>
        </w:tc>
      </w:tr>
      <w:tr w:rsidR="00184AF5" w:rsidTr="00695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84AF5" w:rsidRDefault="00184AF5" w:rsidP="000620C0">
            <w:r>
              <w:t>2021</w:t>
            </w:r>
          </w:p>
        </w:tc>
        <w:tc>
          <w:tcPr>
            <w:tcW w:w="2250" w:type="dxa"/>
          </w:tcPr>
          <w:p w:rsidR="00184AF5" w:rsidRDefault="00184AF5" w:rsidP="000620C0">
            <w:pPr>
              <w:cnfStyle w:val="000000100000" w:firstRow="0" w:lastRow="0" w:firstColumn="0" w:lastColumn="0" w:oddVBand="0" w:evenVBand="0" w:oddHBand="1" w:evenHBand="0" w:firstRowFirstColumn="0" w:firstRowLastColumn="0" w:lastRowFirstColumn="0" w:lastRowLastColumn="0"/>
            </w:pPr>
            <w:r>
              <w:t>$</w:t>
            </w:r>
            <w:r w:rsidR="007509DD">
              <w:t>219</w:t>
            </w:r>
            <w:r>
              <w:t xml:space="preserve"> million</w:t>
            </w:r>
          </w:p>
        </w:tc>
        <w:tc>
          <w:tcPr>
            <w:tcW w:w="2622" w:type="dxa"/>
          </w:tcPr>
          <w:p w:rsidR="00184AF5" w:rsidRDefault="00184AF5" w:rsidP="000620C0">
            <w:pPr>
              <w:cnfStyle w:val="000000100000" w:firstRow="0" w:lastRow="0" w:firstColumn="0" w:lastColumn="0" w:oddVBand="0" w:evenVBand="0" w:oddHBand="1" w:evenHBand="0" w:firstRowFirstColumn="0" w:firstRowLastColumn="0" w:lastRowFirstColumn="0" w:lastRowLastColumn="0"/>
            </w:pPr>
            <w:r>
              <w:t>$1.85/month</w:t>
            </w:r>
          </w:p>
        </w:tc>
        <w:tc>
          <w:tcPr>
            <w:tcW w:w="2058" w:type="dxa"/>
          </w:tcPr>
          <w:p w:rsidR="00184AF5" w:rsidRDefault="00D94481" w:rsidP="000620C0">
            <w:pPr>
              <w:cnfStyle w:val="000000100000" w:firstRow="0" w:lastRow="0" w:firstColumn="0" w:lastColumn="0" w:oddVBand="0" w:evenVBand="0" w:oddHBand="1" w:evenHBand="0" w:firstRowFirstColumn="0" w:firstRowLastColumn="0" w:lastRowFirstColumn="0" w:lastRowLastColumn="0"/>
            </w:pPr>
            <w:r>
              <w:t>$17.20/month</w:t>
            </w:r>
          </w:p>
        </w:tc>
      </w:tr>
    </w:tbl>
    <w:p w:rsidR="006566AC" w:rsidRDefault="006566AC" w:rsidP="006566AC"/>
    <w:p w:rsidR="00EE24EC" w:rsidRDefault="006566AC" w:rsidP="003102A3">
      <w:pPr>
        <w:spacing w:line="480" w:lineRule="auto"/>
      </w:pPr>
      <w:r>
        <w:t>The chart above shows the proposed increases in investment and the</w:t>
      </w:r>
      <w:r w:rsidR="00FC7967">
        <w:t xml:space="preserve"> corresponding</w:t>
      </w:r>
      <w:r>
        <w:t xml:space="preserve"> </w:t>
      </w:r>
      <w:r w:rsidRPr="004F4ECE">
        <w:t xml:space="preserve">increases that customers would </w:t>
      </w:r>
      <w:r w:rsidR="00617F25">
        <w:t xml:space="preserve">pay on their monthly bills </w:t>
      </w:r>
      <w:r>
        <w:t>under the program as proposed.</w:t>
      </w:r>
      <w:r w:rsidR="004F4ECE">
        <w:t xml:space="preserve"> </w:t>
      </w:r>
      <w:r w:rsidR="007A3E74">
        <w:t>Note that in 2021, Dominion will be collecting $17.20 per month from its customers, a far cry from the .72 cents per month paid by customers in 2010</w:t>
      </w:r>
      <w:r w:rsidR="005633B4">
        <w:t>.</w:t>
      </w:r>
      <w:r w:rsidR="007A3E74">
        <w:t xml:space="preserve">  </w:t>
      </w:r>
    </w:p>
    <w:p w:rsidR="004B1FF3" w:rsidRDefault="00392C73" w:rsidP="000E283A">
      <w:pPr>
        <w:spacing w:line="480" w:lineRule="auto"/>
        <w:ind w:firstLine="720"/>
      </w:pPr>
      <w:r>
        <w:t xml:space="preserve">OCC </w:t>
      </w:r>
      <w:r w:rsidR="006566AC">
        <w:t>intervened and filed comments</w:t>
      </w:r>
      <w:r w:rsidR="00253E15">
        <w:t xml:space="preserve"> and testimony</w:t>
      </w:r>
      <w:r w:rsidR="006566AC">
        <w:t xml:space="preserve"> opposing this </w:t>
      </w:r>
      <w:r w:rsidR="007A3E74">
        <w:t xml:space="preserve">very significant </w:t>
      </w:r>
      <w:r w:rsidR="006111C1">
        <w:t>rate increase to residential customers</w:t>
      </w:r>
      <w:r w:rsidR="006566AC">
        <w:t>.</w:t>
      </w:r>
      <w:r w:rsidR="00965492">
        <w:rPr>
          <w:rStyle w:val="FootnoteReference"/>
        </w:rPr>
        <w:footnoteReference w:id="28"/>
      </w:r>
      <w:r w:rsidR="006566AC">
        <w:t xml:space="preserve"> In August of 2015, the staff of the PUCO filed a report recommending “that the Commission approve DEO’s proposals to increase PIR Program investments and raise the rate caps as the Company recommends.”</w:t>
      </w:r>
      <w:r w:rsidR="006566AC">
        <w:rPr>
          <w:rStyle w:val="FootnoteReference"/>
        </w:rPr>
        <w:footnoteReference w:id="29"/>
      </w:r>
      <w:r w:rsidR="00253E15">
        <w:t xml:space="preserve"> Subsequently Staff signed</w:t>
      </w:r>
      <w:r w:rsidR="006566AC">
        <w:t xml:space="preserve"> </w:t>
      </w:r>
      <w:r w:rsidR="007D2C05">
        <w:t xml:space="preserve">a stipulation with Dominion </w:t>
      </w:r>
      <w:r w:rsidR="00EE24EC">
        <w:t xml:space="preserve">consistent with that recommendation. </w:t>
      </w:r>
      <w:r w:rsidR="00253E15">
        <w:rPr>
          <w:rStyle w:val="FootnoteReference"/>
        </w:rPr>
        <w:footnoteReference w:id="30"/>
      </w:r>
      <w:r w:rsidR="007D2C05">
        <w:t xml:space="preserve"> The </w:t>
      </w:r>
      <w:r w:rsidR="00EE24EC">
        <w:t>Stipulation differs only slightly from D</w:t>
      </w:r>
      <w:r w:rsidR="008B16D6">
        <w:t xml:space="preserve">ominion’s </w:t>
      </w:r>
      <w:r w:rsidR="00EE24EC">
        <w:t xml:space="preserve">application because it </w:t>
      </w:r>
      <w:r w:rsidR="008B16D6">
        <w:t>flow</w:t>
      </w:r>
      <w:r w:rsidR="00B651E7">
        <w:t>s</w:t>
      </w:r>
      <w:r w:rsidR="008B16D6">
        <w:t xml:space="preserve"> back all O&amp;M savings to customers</w:t>
      </w:r>
      <w:r w:rsidR="00EE24EC">
        <w:t>.  Dominion's application had proposed</w:t>
      </w:r>
      <w:r w:rsidR="008B16D6">
        <w:t xml:space="preserve"> sharing these savings between the Utility and consumers.</w:t>
      </w:r>
      <w:r w:rsidR="008B16D6">
        <w:rPr>
          <w:rStyle w:val="FootnoteReference"/>
        </w:rPr>
        <w:footnoteReference w:id="31"/>
      </w:r>
    </w:p>
    <w:p w:rsidR="007831EE" w:rsidRDefault="007831EE" w:rsidP="007831EE">
      <w:pPr>
        <w:ind w:firstLine="720"/>
      </w:pPr>
    </w:p>
    <w:p w:rsidR="00A7761D" w:rsidRPr="00A7761D" w:rsidRDefault="00364C03" w:rsidP="00A7761D">
      <w:pPr>
        <w:pStyle w:val="Heading1"/>
      </w:pPr>
      <w:bookmarkStart w:id="5" w:name="_Toc444787519"/>
      <w:bookmarkStart w:id="6" w:name="_Toc445824334"/>
      <w:r>
        <w:t>Standard of Review</w:t>
      </w:r>
      <w:bookmarkEnd w:id="5"/>
      <w:bookmarkEnd w:id="6"/>
      <w:r>
        <w:t xml:space="preserve"> </w:t>
      </w:r>
    </w:p>
    <w:p w:rsidR="00461D11" w:rsidRPr="00F05B9B" w:rsidRDefault="006712D1" w:rsidP="003102A3">
      <w:pPr>
        <w:autoSpaceDE w:val="0"/>
        <w:autoSpaceDN w:val="0"/>
        <w:adjustRightInd w:val="0"/>
        <w:spacing w:line="480" w:lineRule="auto"/>
        <w:ind w:firstLine="720"/>
        <w:rPr>
          <w:szCs w:val="24"/>
        </w:rPr>
      </w:pPr>
      <w:r>
        <w:t>Dominion seek</w:t>
      </w:r>
      <w:r w:rsidR="00EE24EC">
        <w:t>s</w:t>
      </w:r>
      <w:r>
        <w:t xml:space="preserve"> approval </w:t>
      </w:r>
      <w:r w:rsidR="00EE24EC">
        <w:t xml:space="preserve">for its rate increase </w:t>
      </w:r>
      <w:r>
        <w:t xml:space="preserve">under </w:t>
      </w:r>
      <w:r w:rsidR="00392C73">
        <w:t>Ohio</w:t>
      </w:r>
      <w:r w:rsidR="004F4ECE">
        <w:t xml:space="preserve"> law </w:t>
      </w:r>
      <w:r w:rsidR="00EE24EC">
        <w:t xml:space="preserve">that allows </w:t>
      </w:r>
      <w:r w:rsidR="00760A0E">
        <w:t>natural gas distribution utilities</w:t>
      </w:r>
      <w:r w:rsidR="00EE24EC">
        <w:t xml:space="preserve"> to increase rates by filing an alternative rate plan</w:t>
      </w:r>
      <w:r w:rsidR="00760A0E">
        <w:t>.</w:t>
      </w:r>
      <w:r w:rsidR="00760A0E">
        <w:rPr>
          <w:rStyle w:val="FootnoteReference"/>
        </w:rPr>
        <w:footnoteReference w:id="32"/>
      </w:r>
      <w:r w:rsidR="00760A0E">
        <w:t xml:space="preserve"> </w:t>
      </w:r>
      <w:r w:rsidR="00EE24EC">
        <w:t>When an alternative rate plan is filed, the utility bears the b</w:t>
      </w:r>
      <w:r w:rsidR="00760A0E">
        <w:t xml:space="preserve">urden of proof to </w:t>
      </w:r>
      <w:r w:rsidR="00EE24EC">
        <w:t>show</w:t>
      </w:r>
      <w:r w:rsidR="007F3346">
        <w:t>,</w:t>
      </w:r>
      <w:r w:rsidR="00EE24EC">
        <w:rPr>
          <w:rStyle w:val="FootnoteReference"/>
        </w:rPr>
        <w:footnoteReference w:id="33"/>
      </w:r>
      <w:r w:rsidR="007F3346">
        <w:t xml:space="preserve"> inter alia, </w:t>
      </w:r>
      <w:r w:rsidR="00760A0E">
        <w:t>that the rate increase is just and reasonable.</w:t>
      </w:r>
      <w:r w:rsidR="00760A0E">
        <w:rPr>
          <w:rStyle w:val="FootnoteReference"/>
        </w:rPr>
        <w:footnoteReference w:id="34"/>
      </w:r>
      <w:r w:rsidR="007F3346">
        <w:t xml:space="preserve"> Under</w:t>
      </w:r>
      <w:r w:rsidR="00617F25">
        <w:t xml:space="preserve"> Ohio’s laws governing alternative rate plans for gas companies, natural gas must be available to consumers at a reasonable price. </w:t>
      </w:r>
      <w:r w:rsidR="00461D11">
        <w:t>Further, the stipulation</w:t>
      </w:r>
      <w:r w:rsidR="003102A3">
        <w:t xml:space="preserve"> is reviewed under</w:t>
      </w:r>
      <w:r w:rsidR="00461D11">
        <w:t xml:space="preserve"> </w:t>
      </w:r>
      <w:r w:rsidR="003102A3">
        <w:t>the standards that the</w:t>
      </w:r>
      <w:r w:rsidR="00461D11" w:rsidRPr="00F05B9B">
        <w:rPr>
          <w:szCs w:val="24"/>
        </w:rPr>
        <w:t xml:space="preserve"> Ohio Supreme Court stated in </w:t>
      </w:r>
      <w:r w:rsidR="00461D11" w:rsidRPr="00F05B9B">
        <w:rPr>
          <w:i/>
          <w:szCs w:val="24"/>
        </w:rPr>
        <w:t>Duff v. Pub. Util. Comm.</w:t>
      </w:r>
      <w:r w:rsidR="00253E15">
        <w:rPr>
          <w:szCs w:val="24"/>
        </w:rPr>
        <w:t>:</w:t>
      </w:r>
      <w:r w:rsidR="00461D11" w:rsidRPr="00F05B9B">
        <w:rPr>
          <w:szCs w:val="24"/>
        </w:rPr>
        <w:t xml:space="preserve"> </w:t>
      </w:r>
      <w:r w:rsidR="00461D11">
        <w:rPr>
          <w:szCs w:val="24"/>
        </w:rPr>
        <w:t xml:space="preserve">that </w:t>
      </w:r>
      <w:r w:rsidR="00461D11" w:rsidRPr="00F05B9B">
        <w:rPr>
          <w:szCs w:val="24"/>
        </w:rPr>
        <w:t xml:space="preserve">a stipulation is merely a recommendation that is not legally binding upon the </w:t>
      </w:r>
      <w:r w:rsidR="00461D11">
        <w:rPr>
          <w:szCs w:val="24"/>
        </w:rPr>
        <w:t>PUCO</w:t>
      </w:r>
      <w:r w:rsidR="00461D11" w:rsidRPr="00F05B9B">
        <w:rPr>
          <w:szCs w:val="24"/>
        </w:rPr>
        <w:t>.</w:t>
      </w:r>
      <w:r w:rsidR="00253E15">
        <w:rPr>
          <w:rStyle w:val="FootnoteReference"/>
          <w:szCs w:val="24"/>
        </w:rPr>
        <w:footnoteReference w:id="35"/>
      </w:r>
      <w:r w:rsidR="00461D11">
        <w:rPr>
          <w:szCs w:val="24"/>
        </w:rPr>
        <w:t xml:space="preserve"> </w:t>
      </w:r>
      <w:r w:rsidR="00461D11" w:rsidRPr="00F05B9B">
        <w:rPr>
          <w:szCs w:val="24"/>
        </w:rPr>
        <w:t xml:space="preserve"> The </w:t>
      </w:r>
      <w:r w:rsidR="00461D11">
        <w:rPr>
          <w:szCs w:val="24"/>
        </w:rPr>
        <w:t>PUCO</w:t>
      </w:r>
      <w:r w:rsidR="00461D11" w:rsidRPr="00F05B9B">
        <w:rPr>
          <w:szCs w:val="24"/>
        </w:rPr>
        <w:t xml:space="preserve"> “may take the stipulation into consideration, but must determine what is just and reasonable from the evidence presented at the hearing.”</w:t>
      </w:r>
      <w:r w:rsidR="00461D11">
        <w:rPr>
          <w:rStyle w:val="FootnoteReference"/>
          <w:szCs w:val="24"/>
        </w:rPr>
        <w:footnoteReference w:id="36"/>
      </w:r>
      <w:r w:rsidR="003102A3">
        <w:rPr>
          <w:i/>
          <w:szCs w:val="24"/>
        </w:rPr>
        <w:t xml:space="preserve"> </w:t>
      </w:r>
      <w:r w:rsidR="003102A3">
        <w:rPr>
          <w:szCs w:val="24"/>
        </w:rPr>
        <w:t>The PUCO has also adopted the following</w:t>
      </w:r>
      <w:r w:rsidR="00392C73">
        <w:rPr>
          <w:szCs w:val="24"/>
        </w:rPr>
        <w:t xml:space="preserve"> three-part</w:t>
      </w:r>
      <w:r w:rsidR="003102A3">
        <w:rPr>
          <w:szCs w:val="24"/>
        </w:rPr>
        <w:t xml:space="preserve"> test that it uses to evaluate settlements:</w:t>
      </w:r>
      <w:r w:rsidR="00461D11" w:rsidRPr="00F05B9B">
        <w:rPr>
          <w:rStyle w:val="FootnoteReference"/>
        </w:rPr>
        <w:footnoteReference w:id="37"/>
      </w:r>
    </w:p>
    <w:p w:rsidR="00461D11" w:rsidRPr="008A1D4C" w:rsidRDefault="00461D11" w:rsidP="00F23EB4">
      <w:pPr>
        <w:pStyle w:val="ListParagraph"/>
        <w:numPr>
          <w:ilvl w:val="0"/>
          <w:numId w:val="4"/>
        </w:numPr>
        <w:autoSpaceDE w:val="0"/>
        <w:autoSpaceDN w:val="0"/>
        <w:adjustRightInd w:val="0"/>
        <w:spacing w:line="480" w:lineRule="auto"/>
        <w:ind w:left="2160" w:right="720" w:hanging="720"/>
        <w:rPr>
          <w:szCs w:val="24"/>
        </w:rPr>
      </w:pPr>
      <w:r w:rsidRPr="00D149A8">
        <w:rPr>
          <w:szCs w:val="24"/>
        </w:rPr>
        <w:t>Is the settlement a product of serious bargaining among capable, knowledgeable parties, where there is diversity of interests among the stipulating parties?</w:t>
      </w:r>
    </w:p>
    <w:p w:rsidR="00D149A8" w:rsidRPr="00D149A8" w:rsidRDefault="00D149A8" w:rsidP="00F23EB4">
      <w:pPr>
        <w:pStyle w:val="ListParagraph"/>
        <w:numPr>
          <w:ilvl w:val="0"/>
          <w:numId w:val="4"/>
        </w:numPr>
        <w:autoSpaceDE w:val="0"/>
        <w:autoSpaceDN w:val="0"/>
        <w:adjustRightInd w:val="0"/>
        <w:spacing w:line="480" w:lineRule="auto"/>
        <w:ind w:left="2160" w:right="720" w:hanging="720"/>
        <w:rPr>
          <w:szCs w:val="24"/>
        </w:rPr>
      </w:pPr>
      <w:r w:rsidRPr="00F05B9B">
        <w:rPr>
          <w:szCs w:val="24"/>
        </w:rPr>
        <w:t>Does the settlement, as a package, benefit ratepayers and the public interest?</w:t>
      </w:r>
    </w:p>
    <w:p w:rsidR="00A85E33" w:rsidRPr="00A85E33" w:rsidRDefault="00461D11" w:rsidP="00F23EB4">
      <w:pPr>
        <w:pStyle w:val="ListParagraph"/>
        <w:numPr>
          <w:ilvl w:val="0"/>
          <w:numId w:val="4"/>
        </w:numPr>
        <w:autoSpaceDE w:val="0"/>
        <w:autoSpaceDN w:val="0"/>
        <w:adjustRightInd w:val="0"/>
        <w:spacing w:line="480" w:lineRule="auto"/>
        <w:ind w:left="2160" w:right="720" w:hanging="720"/>
        <w:rPr>
          <w:szCs w:val="24"/>
        </w:rPr>
      </w:pPr>
      <w:r w:rsidRPr="00F05B9B">
        <w:rPr>
          <w:szCs w:val="24"/>
        </w:rPr>
        <w:t>Does the settlement package violate any important regulatory principle or practice?</w:t>
      </w:r>
      <w:r>
        <w:rPr>
          <w:szCs w:val="24"/>
        </w:rPr>
        <w:tab/>
      </w:r>
    </w:p>
    <w:p w:rsidR="004B1FF3" w:rsidRDefault="00A85E33" w:rsidP="000E283A">
      <w:pPr>
        <w:tabs>
          <w:tab w:val="left" w:pos="7920"/>
        </w:tabs>
        <w:autoSpaceDE w:val="0"/>
        <w:autoSpaceDN w:val="0"/>
        <w:adjustRightInd w:val="0"/>
        <w:spacing w:line="480" w:lineRule="auto"/>
        <w:ind w:right="720"/>
        <w:rPr>
          <w:szCs w:val="24"/>
        </w:rPr>
      </w:pPr>
      <w:r>
        <w:rPr>
          <w:szCs w:val="24"/>
        </w:rPr>
        <w:t>In reviewing settlement agreements, the PUCO has noted that its “primary concern is that the stipulation is in the public interest.”</w:t>
      </w:r>
      <w:r>
        <w:rPr>
          <w:rStyle w:val="FootnoteReference"/>
          <w:szCs w:val="24"/>
        </w:rPr>
        <w:footnoteReference w:id="38"/>
      </w:r>
    </w:p>
    <w:p w:rsidR="00857840" w:rsidRPr="00F05B9B" w:rsidRDefault="00857840" w:rsidP="00857840">
      <w:pPr>
        <w:tabs>
          <w:tab w:val="left" w:pos="7920"/>
        </w:tabs>
        <w:autoSpaceDE w:val="0"/>
        <w:autoSpaceDN w:val="0"/>
        <w:adjustRightInd w:val="0"/>
        <w:ind w:right="720"/>
        <w:rPr>
          <w:szCs w:val="24"/>
        </w:rPr>
      </w:pPr>
    </w:p>
    <w:p w:rsidR="00692CD5" w:rsidRPr="00A7761D" w:rsidRDefault="006E5C9C" w:rsidP="00A7761D">
      <w:pPr>
        <w:pStyle w:val="Heading1"/>
      </w:pPr>
      <w:bookmarkStart w:id="7" w:name="_Toc445824335"/>
      <w:r>
        <w:t>RECO</w:t>
      </w:r>
      <w:r w:rsidR="00FD3EB0">
        <w:t>M</w:t>
      </w:r>
      <w:r>
        <w:t>MENDATIONS</w:t>
      </w:r>
      <w:bookmarkEnd w:id="7"/>
    </w:p>
    <w:p w:rsidR="006E5C9C" w:rsidRDefault="003102A3" w:rsidP="000E283A">
      <w:pPr>
        <w:autoSpaceDE w:val="0"/>
        <w:autoSpaceDN w:val="0"/>
        <w:adjustRightInd w:val="0"/>
        <w:spacing w:line="480" w:lineRule="auto"/>
        <w:ind w:firstLine="720"/>
      </w:pPr>
      <w:r>
        <w:t>OCC recommends that the PUCO reject the stipulation that was filed between Do</w:t>
      </w:r>
      <w:r w:rsidR="00392C73">
        <w:t>minion and the PUCO staff</w:t>
      </w:r>
      <w:r>
        <w:t xml:space="preserve"> because it has fail</w:t>
      </w:r>
      <w:r w:rsidR="006111C1">
        <w:t xml:space="preserve">s </w:t>
      </w:r>
      <w:r w:rsidR="00FC7967">
        <w:t>the</w:t>
      </w:r>
      <w:r w:rsidR="006111C1">
        <w:t xml:space="preserve"> PUCO's </w:t>
      </w:r>
      <w:r w:rsidR="00FC7967">
        <w:t>three-part test</w:t>
      </w:r>
      <w:r w:rsidR="006111C1">
        <w:t>.</w:t>
      </w:r>
      <w:r w:rsidR="00FC7967">
        <w:t xml:space="preserve"> The stipulation </w:t>
      </w:r>
      <w:r w:rsidR="000A6290">
        <w:t>is not the product of serious bargai</w:t>
      </w:r>
      <w:r w:rsidR="00BE7F47">
        <w:t>ning among parties with diverse</w:t>
      </w:r>
      <w:r w:rsidR="00FC7967">
        <w:t xml:space="preserve"> interests </w:t>
      </w:r>
      <w:r w:rsidR="006111C1">
        <w:t>--</w:t>
      </w:r>
      <w:r w:rsidR="00FC7967">
        <w:t xml:space="preserve"> only the staff of the PUCO and Dominion signed the stipulation.</w:t>
      </w:r>
      <w:r w:rsidR="000A6290">
        <w:t xml:space="preserve"> These</w:t>
      </w:r>
      <w:r w:rsidR="00FC7967">
        <w:t xml:space="preserve"> cost increases are not necessary</w:t>
      </w:r>
      <w:r w:rsidR="006111C1">
        <w:t xml:space="preserve">. And thus, not in the public interest.  </w:t>
      </w:r>
      <w:r w:rsidR="007F3346">
        <w:t xml:space="preserve">Adding $17.20 to residential consumers’ monthly bills is unjust and unreasonable and will not contribute to reasonable prices for customers. </w:t>
      </w:r>
      <w:r w:rsidR="007F3346">
        <w:rPr>
          <w:rStyle w:val="FootnoteReference"/>
        </w:rPr>
        <w:footnoteReference w:id="39"/>
      </w:r>
      <w:r w:rsidR="006111C1">
        <w:t xml:space="preserve">  As such, they </w:t>
      </w:r>
      <w:r w:rsidR="000A6290">
        <w:t>violat</w:t>
      </w:r>
      <w:r w:rsidR="006111C1">
        <w:t xml:space="preserve">e </w:t>
      </w:r>
      <w:r w:rsidR="000A6290">
        <w:t>regulatory principles and practice</w:t>
      </w:r>
      <w:r w:rsidR="006111C1">
        <w:t>s</w:t>
      </w:r>
      <w:r w:rsidR="000A6290">
        <w:t xml:space="preserve">. </w:t>
      </w:r>
      <w:r w:rsidR="006111C1">
        <w:t>T</w:t>
      </w:r>
      <w:r w:rsidR="00FC7967">
        <w:t>he PUCO should reject this stipulation and</w:t>
      </w:r>
      <w:r w:rsidR="00B651E7">
        <w:t xml:space="preserve"> reject</w:t>
      </w:r>
      <w:r w:rsidR="00FC7967">
        <w:t xml:space="preserve"> Dominion’s application </w:t>
      </w:r>
      <w:r w:rsidR="006111C1">
        <w:t xml:space="preserve">to substantially increase rates to customers. </w:t>
      </w:r>
    </w:p>
    <w:p w:rsidR="0004658A" w:rsidRDefault="006E5C9C" w:rsidP="0004658A">
      <w:pPr>
        <w:spacing w:line="480" w:lineRule="auto"/>
        <w:ind w:firstLine="720"/>
      </w:pPr>
      <w:r>
        <w:t xml:space="preserve">OCC further recommends that the PUCO instead modify the Utility’s proposal.  The PUCO should freeze the current PIR Rider cap for the next five-year PIR period. </w:t>
      </w:r>
      <w:r w:rsidR="006111C1">
        <w:t xml:space="preserve">A freeze on the amount of money collected from customers </w:t>
      </w:r>
      <w:r>
        <w:t xml:space="preserve">is just and reasonable because the </w:t>
      </w:r>
      <w:r w:rsidR="006111C1">
        <w:t>target</w:t>
      </w:r>
      <w:r>
        <w:t xml:space="preserve"> to complete the program in 25 years is arbitrary</w:t>
      </w:r>
      <w:r w:rsidR="006111C1">
        <w:t xml:space="preserve">.  It is also </w:t>
      </w:r>
      <w:r>
        <w:t xml:space="preserve">not justified because leak rates are down.  </w:t>
      </w:r>
      <w:r w:rsidR="00887075">
        <w:t xml:space="preserve">In addition, customers should receive the full value of maintenance savings derived from fewer leak repairs.  </w:t>
      </w:r>
      <w:r w:rsidR="006111C1">
        <w:t>This means that all savings should be used to offset the cost of the program.  Additionally, t</w:t>
      </w:r>
      <w:r w:rsidR="00FC7967">
        <w:t xml:space="preserve">he </w:t>
      </w:r>
      <w:r w:rsidR="00A90E64">
        <w:t>PUCO should order a third-party audit</w:t>
      </w:r>
      <w:r w:rsidR="00FC7967">
        <w:t xml:space="preserve"> </w:t>
      </w:r>
      <w:r w:rsidR="00B651E7">
        <w:t xml:space="preserve">of Dominion’s PIR program to determine </w:t>
      </w:r>
      <w:r w:rsidR="00FC7967">
        <w:t>what has caused such drastic cost increases in the PIR program.</w:t>
      </w:r>
      <w:r w:rsidR="00FC7967">
        <w:rPr>
          <w:rStyle w:val="FootnoteReference"/>
        </w:rPr>
        <w:footnoteReference w:id="40"/>
      </w:r>
      <w:bookmarkStart w:id="8" w:name="_Toc444787521"/>
      <w:r w:rsidR="0004658A">
        <w:t xml:space="preserve">  Finally, the PUCO should commit to a review of Dominion's </w:t>
      </w:r>
      <w:r w:rsidR="006111C1">
        <w:t xml:space="preserve">rates </w:t>
      </w:r>
      <w:r w:rsidR="006C5BB8">
        <w:t xml:space="preserve">(including profits) </w:t>
      </w:r>
      <w:r w:rsidR="006111C1">
        <w:t xml:space="preserve">prior to </w:t>
      </w:r>
      <w:r w:rsidR="006C5BB8">
        <w:t xml:space="preserve">charging customers for </w:t>
      </w:r>
      <w:r w:rsidR="006111C1">
        <w:t xml:space="preserve">any more </w:t>
      </w:r>
      <w:r w:rsidR="006C5BB8">
        <w:t xml:space="preserve">pipeline </w:t>
      </w:r>
      <w:r w:rsidR="006111C1">
        <w:t xml:space="preserve">investment.  </w:t>
      </w:r>
    </w:p>
    <w:p w:rsidR="007A48CE" w:rsidRPr="007A48CE" w:rsidRDefault="00364C03" w:rsidP="004B1FF3">
      <w:pPr>
        <w:pStyle w:val="Heading2"/>
      </w:pPr>
      <w:bookmarkStart w:id="9" w:name="_Toc445824336"/>
      <w:r w:rsidRPr="00FD6092">
        <w:t xml:space="preserve">The Stipulation that was signed </w:t>
      </w:r>
      <w:r w:rsidR="00B651E7" w:rsidRPr="00FD6092">
        <w:t xml:space="preserve">by </w:t>
      </w:r>
      <w:r w:rsidRPr="00FD6092">
        <w:t xml:space="preserve">Dominion and </w:t>
      </w:r>
      <w:r w:rsidR="000A6290">
        <w:t xml:space="preserve">the PUCO </w:t>
      </w:r>
      <w:r w:rsidRPr="00FD6092">
        <w:t xml:space="preserve">Staff </w:t>
      </w:r>
      <w:r w:rsidR="000A6290">
        <w:t xml:space="preserve">was not the product of serious bargaining among parties with </w:t>
      </w:r>
      <w:r w:rsidRPr="00FD6092">
        <w:t>diverse interests</w:t>
      </w:r>
      <w:r w:rsidR="007A48CE" w:rsidRPr="00FD6092">
        <w:t>.</w:t>
      </w:r>
      <w:bookmarkEnd w:id="8"/>
      <w:bookmarkEnd w:id="9"/>
    </w:p>
    <w:p w:rsidR="000A6290" w:rsidRDefault="00364C03" w:rsidP="002551F7">
      <w:pPr>
        <w:spacing w:line="480" w:lineRule="auto"/>
        <w:ind w:firstLine="720"/>
      </w:pPr>
      <w:r>
        <w:t xml:space="preserve"> </w:t>
      </w:r>
      <w:r w:rsidR="00AC2923">
        <w:t>The stipulation was signed by only the PUCO</w:t>
      </w:r>
      <w:r w:rsidR="0004658A">
        <w:t xml:space="preserve"> Staff </w:t>
      </w:r>
      <w:r w:rsidR="00AC2923">
        <w:t>and the Utility</w:t>
      </w:r>
      <w:r w:rsidR="000A6290">
        <w:t xml:space="preserve">.  But there were </w:t>
      </w:r>
      <w:r w:rsidR="00AC2923">
        <w:t>five parties</w:t>
      </w:r>
      <w:r w:rsidR="0004658A">
        <w:t xml:space="preserve"> participating </w:t>
      </w:r>
      <w:r w:rsidR="00AC2923">
        <w:t>in this proceeding.</w:t>
      </w:r>
      <w:r w:rsidR="00AC2923">
        <w:rPr>
          <w:rStyle w:val="FootnoteReference"/>
        </w:rPr>
        <w:footnoteReference w:id="41"/>
      </w:r>
      <w:r w:rsidR="00AC2923">
        <w:t xml:space="preserve"> </w:t>
      </w:r>
      <w:r w:rsidR="00B651E7">
        <w:t>The other non-signatory intervenors in this case</w:t>
      </w:r>
      <w:r w:rsidR="000A6290">
        <w:t xml:space="preserve">, besides OCC, </w:t>
      </w:r>
      <w:r w:rsidR="00B651E7">
        <w:t xml:space="preserve">are the Industrial Energy Users-Ohio (“IEU”) and Ohio Partners for Affordable Energy (“OPAE”). </w:t>
      </w:r>
    </w:p>
    <w:p w:rsidR="00364C03" w:rsidRDefault="0004658A" w:rsidP="002551F7">
      <w:pPr>
        <w:spacing w:line="480" w:lineRule="auto"/>
        <w:ind w:firstLine="720"/>
      </w:pPr>
      <w:r>
        <w:t>A</w:t>
      </w:r>
      <w:r w:rsidR="001B4688">
        <w:t xml:space="preserve"> stipulation </w:t>
      </w:r>
      <w:r>
        <w:t xml:space="preserve">must be shown to </w:t>
      </w:r>
      <w:r w:rsidR="001B4688">
        <w:t xml:space="preserve">be the “product of serious bargaining among capable, </w:t>
      </w:r>
      <w:r w:rsidR="00057AB9">
        <w:t>knowledgeable parties”</w:t>
      </w:r>
      <w:r>
        <w:t xml:space="preserve"> with diverse interest</w:t>
      </w:r>
      <w:r w:rsidR="006111C1">
        <w:t>s</w:t>
      </w:r>
      <w:r>
        <w:t xml:space="preserve">.  But in </w:t>
      </w:r>
      <w:r w:rsidR="00584F9F">
        <w:t>this proceeding, only the PUCO staff and Dominion have signed this stipulation.</w:t>
      </w:r>
      <w:r w:rsidR="00584F9F">
        <w:rPr>
          <w:rStyle w:val="FootnoteReference"/>
        </w:rPr>
        <w:footnoteReference w:id="42"/>
      </w:r>
      <w:r w:rsidR="00584F9F">
        <w:t xml:space="preserve"> </w:t>
      </w:r>
      <w:r w:rsidR="006111C1">
        <w:t xml:space="preserve">No </w:t>
      </w:r>
      <w:r w:rsidR="005E6034">
        <w:t>classes</w:t>
      </w:r>
      <w:r w:rsidR="00584F9F">
        <w:t xml:space="preserve"> of customers</w:t>
      </w:r>
      <w:r>
        <w:t xml:space="preserve"> (</w:t>
      </w:r>
      <w:r w:rsidR="00584F9F">
        <w:t>residential, industrial or commercial</w:t>
      </w:r>
      <w:r>
        <w:t xml:space="preserve">) </w:t>
      </w:r>
      <w:r w:rsidR="006111C1">
        <w:t xml:space="preserve">were represented by the signatories.  </w:t>
      </w:r>
      <w:r w:rsidR="000A6290">
        <w:t xml:space="preserve">Indeed, no party that would pay the increased rates agreed to by </w:t>
      </w:r>
      <w:r w:rsidR="006111C1">
        <w:t xml:space="preserve">the PUCO </w:t>
      </w:r>
      <w:r w:rsidR="000A6290">
        <w:t>Staff and the Utility signed the stipulation.  The Staff and the Utility do not have diverse interests as required by the PUCO.</w:t>
      </w:r>
      <w:r w:rsidR="000A6290">
        <w:rPr>
          <w:rStyle w:val="FootnoteReference"/>
        </w:rPr>
        <w:footnoteReference w:id="43"/>
      </w:r>
      <w:r w:rsidR="000A6290">
        <w:t xml:space="preserve"> </w:t>
      </w:r>
      <w:r w:rsidR="00584F9F">
        <w:t>Therefore, the stipulation fails this prong of the test</w:t>
      </w:r>
      <w:r>
        <w:t xml:space="preserve">.  The stipulation </w:t>
      </w:r>
      <w:r w:rsidR="00584F9F">
        <w:t xml:space="preserve">should be rejected by the PUCO. </w:t>
      </w:r>
    </w:p>
    <w:p w:rsidR="00692CD5" w:rsidRPr="000D730B" w:rsidRDefault="00692CD5" w:rsidP="00692CD5">
      <w:pPr>
        <w:pStyle w:val="Heading2"/>
      </w:pPr>
      <w:bookmarkStart w:id="10" w:name="_Toc445824337"/>
      <w:bookmarkStart w:id="11" w:name="_Toc444787522"/>
      <w:r>
        <w:t>The Stipulation represents a drastic increase in costs for consumers and is not in the public interest.</w:t>
      </w:r>
      <w:bookmarkEnd w:id="10"/>
    </w:p>
    <w:p w:rsidR="00CE114E" w:rsidRDefault="0004658A" w:rsidP="00692CD5">
      <w:pPr>
        <w:spacing w:line="480" w:lineRule="auto"/>
        <w:ind w:firstLine="720"/>
      </w:pPr>
      <w:r>
        <w:t xml:space="preserve">The </w:t>
      </w:r>
      <w:r w:rsidR="00692CD5">
        <w:t>drastic increase in costs raise</w:t>
      </w:r>
      <w:r>
        <w:t>s</w:t>
      </w:r>
      <w:r w:rsidR="00692CD5">
        <w:t xml:space="preserve"> questions about Dominion’s management policies</w:t>
      </w:r>
      <w:r>
        <w:t>.  Consider that in January 2010, customers were paying .72 cents per month, or $8.64 per year</w:t>
      </w:r>
      <w:r w:rsidR="00CE114E">
        <w:t>.  F</w:t>
      </w:r>
      <w:r>
        <w:t xml:space="preserve">ive years later, </w:t>
      </w:r>
      <w:r w:rsidR="00CE114E">
        <w:t>customer</w:t>
      </w:r>
      <w:r w:rsidR="000E283A">
        <w:t>s began to pay $6.70 per month,</w:t>
      </w:r>
      <w:r w:rsidR="00CE114E">
        <w:t xml:space="preserve"> or $80.40 per year, a ten-fold increase in rates.  By the end of 2021, if the Stipulation is approved, customers </w:t>
      </w:r>
      <w:r w:rsidR="009B5116">
        <w:t>could</w:t>
      </w:r>
      <w:r w:rsidR="00CE114E">
        <w:t xml:space="preserve"> pay a whopping $17.20 per month, or $206.40 per year.  All without a review of Dominion's other expenses and revenues.  </w:t>
      </w:r>
    </w:p>
    <w:p w:rsidR="007D5BBF" w:rsidRDefault="00CE114E" w:rsidP="00692CD5">
      <w:pPr>
        <w:spacing w:line="480" w:lineRule="auto"/>
        <w:ind w:firstLine="720"/>
      </w:pPr>
      <w:r>
        <w:t>OCC Witness O'Neil</w:t>
      </w:r>
      <w:r w:rsidR="00FD3EB0">
        <w:t>l</w:t>
      </w:r>
      <w:r>
        <w:t xml:space="preserve"> testified that </w:t>
      </w:r>
      <w:r w:rsidR="00692CD5">
        <w:t>the factors that Dominion claims are causing the increase are short-lived and not likely to see a reversal.</w:t>
      </w:r>
      <w:r w:rsidR="00692CD5">
        <w:rPr>
          <w:rStyle w:val="FootnoteReference"/>
        </w:rPr>
        <w:footnoteReference w:id="44"/>
      </w:r>
      <w:r w:rsidR="00692CD5">
        <w:t xml:space="preserve"> If these costs are likely to decrease (instead of increase), then it would be premature to set customers rates at </w:t>
      </w:r>
      <w:r>
        <w:t>such an inflated level.  If left as pr</w:t>
      </w:r>
      <w:r w:rsidR="006111C1">
        <w:t xml:space="preserve">oposed in </w:t>
      </w:r>
      <w:r>
        <w:t>the Stipulation, the rates for the PIR wil</w:t>
      </w:r>
      <w:r w:rsidR="00692CD5">
        <w:t xml:space="preserve">l not be representative of actual costs in effect when customers are paying future rates. </w:t>
      </w:r>
      <w:r>
        <w:t>This is another basis for the PUCO to find</w:t>
      </w:r>
      <w:r w:rsidR="00692CD5">
        <w:t xml:space="preserve"> this stipulation </w:t>
      </w:r>
      <w:r w:rsidR="007D5BBF">
        <w:t xml:space="preserve">is not in the public </w:t>
      </w:r>
    </w:p>
    <w:p w:rsidR="00692CD5" w:rsidRDefault="00692CD5" w:rsidP="00692CD5">
      <w:pPr>
        <w:spacing w:line="480" w:lineRule="auto"/>
        <w:ind w:firstLine="720"/>
      </w:pPr>
      <w:r>
        <w:t>For instance, Dominion claims that the growth in shale development in Ohio has increased demand for the contractors who construct and work on these types of infrastructure programs.</w:t>
      </w:r>
      <w:r>
        <w:rPr>
          <w:rStyle w:val="FootnoteReference"/>
        </w:rPr>
        <w:footnoteReference w:id="45"/>
      </w:r>
      <w:r>
        <w:t xml:space="preserve"> But OCC Witness O'Neill testified that labor costs are likely to se</w:t>
      </w:r>
      <w:r w:rsidR="00BE7F47">
        <w:t xml:space="preserve">e drop at the same time as the </w:t>
      </w:r>
      <w:r>
        <w:t>price of oil and gas drops.</w:t>
      </w:r>
      <w:r>
        <w:rPr>
          <w:rStyle w:val="FootnoteReference"/>
        </w:rPr>
        <w:footnoteReference w:id="46"/>
      </w:r>
      <w:r>
        <w:t xml:space="preserve"> The drop in the oil price has caused a drop in rig count, which will increase the availability of labor and construction resources and drop the cost of these resources.</w:t>
      </w:r>
      <w:r>
        <w:rPr>
          <w:rStyle w:val="FootnoteReference"/>
        </w:rPr>
        <w:footnoteReference w:id="47"/>
      </w:r>
      <w:r>
        <w:t xml:space="preserve"> </w:t>
      </w:r>
    </w:p>
    <w:p w:rsidR="00692CD5" w:rsidRDefault="00692CD5" w:rsidP="00692CD5">
      <w:pPr>
        <w:spacing w:line="480" w:lineRule="auto"/>
        <w:ind w:firstLine="720"/>
      </w:pPr>
      <w:r>
        <w:t>The resulting drop in production may prevent construction resources from being strained in the future.</w:t>
      </w:r>
      <w:r>
        <w:rPr>
          <w:rStyle w:val="FootnoteReference"/>
        </w:rPr>
        <w:footnoteReference w:id="48"/>
      </w:r>
      <w:r>
        <w:t xml:space="preserve"> Duke’s Accelerated Mains Replacement Program has also been concluded, thereby freeing up more labor resources as well.</w:t>
      </w:r>
      <w:r>
        <w:rPr>
          <w:rStyle w:val="FootnoteReference"/>
        </w:rPr>
        <w:footnoteReference w:id="49"/>
      </w:r>
      <w:r>
        <w:t xml:space="preserve"> But Dominion did not take these recent events into account and is relying on old forecasts from before the crash in oil prices.</w:t>
      </w:r>
      <w:r>
        <w:rPr>
          <w:rStyle w:val="FootnoteReference"/>
        </w:rPr>
        <w:footnoteReference w:id="50"/>
      </w:r>
      <w:r>
        <w:t xml:space="preserve"> </w:t>
      </w:r>
    </w:p>
    <w:p w:rsidR="000E283A" w:rsidRDefault="00692CD5" w:rsidP="00692CD5">
      <w:pPr>
        <w:spacing w:line="480" w:lineRule="auto"/>
        <w:ind w:firstLine="720"/>
      </w:pPr>
      <w:r>
        <w:t>Furthermore OCC witness O’Neill questioned the prudence of Dominion charging forward with an accelerated program, when labor resources are scarce, driving up th</w:t>
      </w:r>
      <w:r w:rsidR="000E283A">
        <w:t xml:space="preserve">e ultimate costs to customers. </w:t>
      </w:r>
      <w:r>
        <w:t>OCC Witness O'Nei</w:t>
      </w:r>
      <w:r w:rsidR="00FD3EB0">
        <w:t>l</w:t>
      </w:r>
      <w:r>
        <w:t xml:space="preserve">l testified: </w:t>
      </w:r>
    </w:p>
    <w:p w:rsidR="00692CD5" w:rsidRDefault="000E283A" w:rsidP="000E283A">
      <w:pPr>
        <w:spacing w:after="200" w:line="276" w:lineRule="auto"/>
      </w:pPr>
      <w:r>
        <w:br w:type="page"/>
      </w:r>
    </w:p>
    <w:p w:rsidR="00692CD5" w:rsidRDefault="00692CD5" w:rsidP="00692CD5">
      <w:pPr>
        <w:ind w:left="1440" w:right="720"/>
      </w:pPr>
      <w:r>
        <w:t>…</w:t>
      </w:r>
      <w:r w:rsidRPr="00426F59">
        <w:t>Dominion is fully aware that the scale of its program is a factor in driving up its costs and rates to consumers.  It certainly makes no sense at all to accelerate a program that is already facing cost pressures because it em</w:t>
      </w:r>
      <w:r>
        <w:t>ployed scarce labor resources…</w:t>
      </w:r>
      <w:r w:rsidRPr="00426F59">
        <w:t>a solution to the problem caused by an accelerated program is not to accelerate it some more.</w:t>
      </w:r>
      <w:r>
        <w:rPr>
          <w:rStyle w:val="FootnoteReference"/>
        </w:rPr>
        <w:footnoteReference w:id="51"/>
      </w:r>
    </w:p>
    <w:p w:rsidR="00692CD5" w:rsidRDefault="00692CD5" w:rsidP="00692CD5">
      <w:pPr>
        <w:ind w:left="1440" w:right="720"/>
      </w:pPr>
    </w:p>
    <w:p w:rsidR="00692CD5" w:rsidRDefault="00692CD5" w:rsidP="00692CD5">
      <w:pPr>
        <w:spacing w:line="480" w:lineRule="auto"/>
      </w:pPr>
      <w:r>
        <w:t xml:space="preserve">A program that is facing increasing costs that may be due to constrained construction resources should not be further constraining those resources by increasing investment and accelerating its program. </w:t>
      </w:r>
    </w:p>
    <w:p w:rsidR="00692CD5" w:rsidRDefault="00692CD5" w:rsidP="00692CD5">
      <w:pPr>
        <w:spacing w:line="480" w:lineRule="auto"/>
        <w:ind w:firstLine="720"/>
      </w:pPr>
      <w:r>
        <w:t>Additionally, Dominion's logic in piling extra costs onto customers' bills now when the price of natural gas is low is flawed. This logic has been described by OCC witness O’Neill as “odious and misguided.”</w:t>
      </w:r>
      <w:r>
        <w:rPr>
          <w:rStyle w:val="FootnoteReference"/>
        </w:rPr>
        <w:footnoteReference w:id="52"/>
      </w:r>
      <w:r>
        <w:t xml:space="preserve"> He goes on to explain:</w:t>
      </w:r>
    </w:p>
    <w:p w:rsidR="00692CD5" w:rsidRDefault="00692CD5" w:rsidP="00692CD5">
      <w:pPr>
        <w:ind w:left="1440" w:right="720"/>
      </w:pPr>
      <w:r w:rsidRPr="00892645">
        <w:t>The timing of asset renewal should be based on the need, and accelerating the renewal just wastes money by spending it before it is needed.  With the declining leak rates under the current program, it is clear that there is no need to ‘double down’ now in the hopes that consumers will not notice the upcharge in the face of lower commodity costs.</w:t>
      </w:r>
      <w:r>
        <w:rPr>
          <w:rStyle w:val="FootnoteReference"/>
        </w:rPr>
        <w:footnoteReference w:id="53"/>
      </w:r>
    </w:p>
    <w:p w:rsidR="00692CD5" w:rsidRDefault="00692CD5" w:rsidP="00692CD5"/>
    <w:p w:rsidR="00692CD5" w:rsidRDefault="00692CD5" w:rsidP="00692CD5">
      <w:pPr>
        <w:spacing w:line="480" w:lineRule="auto"/>
      </w:pPr>
      <w:r>
        <w:t xml:space="preserve">Customers should be allowed to benefit from the lower gas prices produced by the competitive market.  They should not be forced to endure another rate hike, simply because natural gas prices are low. The PUCO should reject the stipulation and not allow Dominion to raise its PIR rate cap for residential customers. </w:t>
      </w:r>
    </w:p>
    <w:p w:rsidR="007A48CE" w:rsidRPr="007A48CE" w:rsidRDefault="00593DB3" w:rsidP="004B1FF3">
      <w:pPr>
        <w:pStyle w:val="Heading2"/>
      </w:pPr>
      <w:bookmarkStart w:id="12" w:name="_Toc445824338"/>
      <w:r>
        <w:t>The stipulation violates regulatory principles and policy</w:t>
      </w:r>
      <w:r w:rsidR="007A48CE">
        <w:t xml:space="preserve"> and should be rejected to protect consumers.</w:t>
      </w:r>
      <w:bookmarkEnd w:id="11"/>
      <w:bookmarkEnd w:id="12"/>
    </w:p>
    <w:p w:rsidR="00593DB3" w:rsidRDefault="00593DB3" w:rsidP="00593DB3">
      <w:pPr>
        <w:spacing w:line="480" w:lineRule="auto"/>
        <w:ind w:firstLine="720"/>
      </w:pPr>
      <w:r>
        <w:t>Under the standard of review articulated in Ohio law, this alternative ratemaking increase must be just and reasonable, and the burden is on the utility to prove that it is just and reasonable.</w:t>
      </w:r>
      <w:r>
        <w:rPr>
          <w:rStyle w:val="FootnoteReference"/>
        </w:rPr>
        <w:footnoteReference w:id="54"/>
      </w:r>
      <w:r>
        <w:t xml:space="preserve"> Dominion has not met that burden</w:t>
      </w:r>
      <w:r w:rsidR="000A6290">
        <w:t xml:space="preserve">, </w:t>
      </w:r>
      <w:r>
        <w:t xml:space="preserve">and </w:t>
      </w:r>
      <w:r w:rsidR="00D149A8">
        <w:t>this filing has revealed</w:t>
      </w:r>
      <w:r>
        <w:t xml:space="preserve"> some serious </w:t>
      </w:r>
      <w:r w:rsidR="00D149A8">
        <w:t>issues with</w:t>
      </w:r>
      <w:r>
        <w:t xml:space="preserve"> the program. </w:t>
      </w:r>
      <w:r w:rsidR="007D5BBF">
        <w:t xml:space="preserve">  In particular, </w:t>
      </w:r>
      <w:r w:rsidR="00286B6A">
        <w:t>Dominion</w:t>
      </w:r>
      <w:r w:rsidR="002309C0">
        <w:t xml:space="preserve"> </w:t>
      </w:r>
      <w:r w:rsidR="00286B6A">
        <w:t xml:space="preserve">has insisted on meeting an arbitrary 25-year standard and has not </w:t>
      </w:r>
      <w:r w:rsidR="007D5BBF">
        <w:t>justified the</w:t>
      </w:r>
      <w:r w:rsidR="00286B6A">
        <w:t xml:space="preserve"> doubling of the costs of </w:t>
      </w:r>
      <w:r w:rsidR="007D5BBF">
        <w:t xml:space="preserve">its </w:t>
      </w:r>
      <w:r w:rsidR="00286B6A">
        <w:t>pipeline program.</w:t>
      </w:r>
      <w:r w:rsidR="00286B6A">
        <w:rPr>
          <w:rStyle w:val="FootnoteReference"/>
        </w:rPr>
        <w:footnoteReference w:id="55"/>
      </w:r>
      <w:r w:rsidR="00286B6A">
        <w:t xml:space="preserve"> </w:t>
      </w:r>
    </w:p>
    <w:p w:rsidR="00286B6A" w:rsidRDefault="00286B6A" w:rsidP="004B1FF3">
      <w:pPr>
        <w:pStyle w:val="Heading3"/>
      </w:pPr>
      <w:bookmarkStart w:id="13" w:name="_Toc444787523"/>
      <w:bookmarkStart w:id="14" w:name="_Toc445824339"/>
      <w:r w:rsidRPr="002A7E5E">
        <w:t>The 25-year target for the program is unnecessarily arbitrary</w:t>
      </w:r>
      <w:r w:rsidR="00A456FE">
        <w:t xml:space="preserve"> and will costs customers too much</w:t>
      </w:r>
      <w:r w:rsidR="007A48CE">
        <w:t>.</w:t>
      </w:r>
      <w:bookmarkEnd w:id="13"/>
      <w:bookmarkEnd w:id="14"/>
    </w:p>
    <w:p w:rsidR="00BE7F47" w:rsidRDefault="000D730B" w:rsidP="00032B9C">
      <w:pPr>
        <w:spacing w:line="480" w:lineRule="auto"/>
        <w:ind w:firstLine="720"/>
      </w:pPr>
      <w:r>
        <w:t xml:space="preserve">The main driver of the price increase for residential consumers is </w:t>
      </w:r>
      <w:r w:rsidR="00032B9C">
        <w:t>the increased investment necessary to meet the 25-year</w:t>
      </w:r>
      <w:r w:rsidR="002309C0">
        <w:t xml:space="preserve"> goal</w:t>
      </w:r>
      <w:r w:rsidR="00D149A8">
        <w:t xml:space="preserve"> that Dominion insists on meeting</w:t>
      </w:r>
      <w:r w:rsidR="00032B9C">
        <w:rPr>
          <w:rStyle w:val="FootnoteReference"/>
        </w:rPr>
        <w:footnoteReference w:id="56"/>
      </w:r>
      <w:r w:rsidR="00032B9C">
        <w:t xml:space="preserve"> However, neither Dominion nor</w:t>
      </w:r>
      <w:r w:rsidR="002309C0">
        <w:t xml:space="preserve"> the</w:t>
      </w:r>
      <w:r w:rsidR="00032B9C">
        <w:t xml:space="preserve"> PU</w:t>
      </w:r>
      <w:r w:rsidR="00B651E7">
        <w:t>C</w:t>
      </w:r>
      <w:r w:rsidR="00032B9C">
        <w:t xml:space="preserve">O staff have thoroughly articulated exactly why it </w:t>
      </w:r>
      <w:r w:rsidR="007D5BBF">
        <w:t xml:space="preserve">must </w:t>
      </w:r>
      <w:r w:rsidR="00032B9C">
        <w:t>meet the 25-year goal. As stated by OCC witness O’Neill:</w:t>
      </w:r>
    </w:p>
    <w:p w:rsidR="000D730B" w:rsidRDefault="00032B9C" w:rsidP="004B1FF3">
      <w:pPr>
        <w:ind w:left="1440" w:right="720"/>
      </w:pPr>
      <w:r>
        <w:t xml:space="preserve">The selection of a 25-year target should never have been construed as a strict deadline, but rather a reasonable goal that would lead to a reasonable </w:t>
      </w:r>
      <w:r w:rsidR="0028251F">
        <w:t>level of funding, e.g. pipeline replacement equal to approximately four percent per year.</w:t>
      </w:r>
      <w:r w:rsidR="000009EA">
        <w:t xml:space="preserve"> However</w:t>
      </w:r>
      <w:r w:rsidR="002309C0">
        <w:t>, now that the costs of achieving</w:t>
      </w:r>
      <w:r w:rsidR="000009EA">
        <w:t xml:space="preserve"> that goal have increased considerably, maintaining that level of replacement for the next five years would be harmful to Dominion’s customers. Given that the reason for these cost increases is potentially due to a tight labor market the goal itself deserves reconsideration. Yet I am not aware of evidence from the Staff or Dominion that demonstrates that the 25-year goal was preferred over another timeframe.</w:t>
      </w:r>
      <w:r w:rsidR="0028251F">
        <w:rPr>
          <w:rStyle w:val="FootnoteReference"/>
        </w:rPr>
        <w:footnoteReference w:id="57"/>
      </w:r>
      <w:r>
        <w:t xml:space="preserve"> </w:t>
      </w:r>
    </w:p>
    <w:p w:rsidR="000009EA" w:rsidRDefault="000009EA" w:rsidP="000009EA"/>
    <w:p w:rsidR="000009EA" w:rsidRDefault="000009EA" w:rsidP="000009EA">
      <w:pPr>
        <w:spacing w:line="480" w:lineRule="auto"/>
      </w:pPr>
      <w:r>
        <w:t>Dominion has provided no evidence to support a 25-year timeframe</w:t>
      </w:r>
      <w:r w:rsidR="007D5BBF">
        <w:t>.  N</w:t>
      </w:r>
      <w:r>
        <w:t xml:space="preserve">or have they conducted any modeling to show what </w:t>
      </w:r>
      <w:r w:rsidR="00CE114E">
        <w:t xml:space="preserve">are alternative </w:t>
      </w:r>
      <w:r>
        <w:t xml:space="preserve">replacement scenarios </w:t>
      </w:r>
      <w:r w:rsidR="00CE114E">
        <w:t xml:space="preserve">that would require less </w:t>
      </w:r>
      <w:r w:rsidR="00A456FE">
        <w:t xml:space="preserve">investment by customers </w:t>
      </w:r>
      <w:r>
        <w:t>(three or four percent, instead of five percent).</w:t>
      </w:r>
      <w:r>
        <w:rPr>
          <w:rStyle w:val="FootnoteReference"/>
        </w:rPr>
        <w:footnoteReference w:id="58"/>
      </w:r>
      <w:r>
        <w:t xml:space="preserve"> </w:t>
      </w:r>
      <w:r w:rsidR="000E2213">
        <w:t xml:space="preserve">Dominion has provided no support to their assertion that it is necessary to impose a 25-year </w:t>
      </w:r>
      <w:r w:rsidR="00D149A8">
        <w:t>timeframe</w:t>
      </w:r>
      <w:r w:rsidR="002309C0">
        <w:t xml:space="preserve"> and </w:t>
      </w:r>
      <w:r w:rsidR="007D5BBF">
        <w:t xml:space="preserve">significantly </w:t>
      </w:r>
      <w:r w:rsidR="002309C0">
        <w:t>increase costs for</w:t>
      </w:r>
      <w:r w:rsidR="000E2213">
        <w:t xml:space="preserve"> consumers. </w:t>
      </w:r>
    </w:p>
    <w:p w:rsidR="007D5BBF" w:rsidRDefault="00F85911" w:rsidP="00E624BD">
      <w:pPr>
        <w:spacing w:line="480" w:lineRule="auto"/>
        <w:ind w:firstLine="720"/>
      </w:pPr>
      <w:r>
        <w:t>The or</w:t>
      </w:r>
      <w:r w:rsidR="00271996">
        <w:t>iginal 2</w:t>
      </w:r>
      <w:r w:rsidR="00B651E7">
        <w:t>5</w:t>
      </w:r>
      <w:r w:rsidR="00FD3EB0">
        <w:t>-</w:t>
      </w:r>
      <w:r w:rsidR="00271996">
        <w:t>year timeframe was based on the “shortest manageable time-frame” as recommended by a</w:t>
      </w:r>
      <w:r w:rsidR="00B651E7">
        <w:t xml:space="preserve"> Black and Vea</w:t>
      </w:r>
      <w:r w:rsidR="00711C90">
        <w:t>t</w:t>
      </w:r>
      <w:r w:rsidR="00B651E7">
        <w:t>ch</w:t>
      </w:r>
      <w:r w:rsidR="00271996">
        <w:t xml:space="preserve"> report that was filed in </w:t>
      </w:r>
      <w:r w:rsidR="008D60E5">
        <w:t xml:space="preserve">2008, in </w:t>
      </w:r>
      <w:r w:rsidR="00271996">
        <w:t>Dominion’s last rate case.</w:t>
      </w:r>
      <w:r w:rsidR="00271996">
        <w:rPr>
          <w:rStyle w:val="FootnoteReference"/>
        </w:rPr>
        <w:footnoteReference w:id="59"/>
      </w:r>
      <w:r w:rsidR="00271996">
        <w:t xml:space="preserve"> That report urged that if the rate of corrosion leaks per mile increased, then the program might need to be accelerated.</w:t>
      </w:r>
      <w:r w:rsidR="00271996">
        <w:rPr>
          <w:rStyle w:val="FootnoteReference"/>
        </w:rPr>
        <w:footnoteReference w:id="60"/>
      </w:r>
      <w:r w:rsidR="00271996">
        <w:t xml:space="preserve"> </w:t>
      </w:r>
    </w:p>
    <w:p w:rsidR="00F85911" w:rsidRDefault="00271996" w:rsidP="00E624BD">
      <w:pPr>
        <w:spacing w:line="480" w:lineRule="auto"/>
        <w:ind w:firstLine="720"/>
      </w:pPr>
      <w:r>
        <w:t>However, the opposite has turned out to be true</w:t>
      </w:r>
      <w:r w:rsidR="008D60E5">
        <w:t>.  T</w:t>
      </w:r>
      <w:r>
        <w:t xml:space="preserve">he corrosion leak rate has declined from </w:t>
      </w:r>
      <w:r w:rsidR="00E00345">
        <w:t>0</w:t>
      </w:r>
      <w:r>
        <w:t xml:space="preserve">.87 leaks per mile (2009) to </w:t>
      </w:r>
      <w:r w:rsidR="00E00345">
        <w:t>0</w:t>
      </w:r>
      <w:r>
        <w:t>.51 leaks per mile (2014).</w:t>
      </w:r>
      <w:r>
        <w:rPr>
          <w:rStyle w:val="FootnoteReference"/>
        </w:rPr>
        <w:footnoteReference w:id="61"/>
      </w:r>
      <w:r>
        <w:t xml:space="preserve"> It is not necessary to maintain the </w:t>
      </w:r>
      <w:r w:rsidR="008D60E5">
        <w:t xml:space="preserve">vigorous </w:t>
      </w:r>
      <w:r>
        <w:t xml:space="preserve">pace of this program as the </w:t>
      </w:r>
      <w:r w:rsidR="00E00345">
        <w:t>leak rate continues to decline</w:t>
      </w:r>
      <w:r w:rsidR="008D60E5">
        <w:t xml:space="preserve">.  This is </w:t>
      </w:r>
      <w:r w:rsidR="00E00345">
        <w:t xml:space="preserve">especially </w:t>
      </w:r>
      <w:r w:rsidR="008D60E5">
        <w:t xml:space="preserve">so </w:t>
      </w:r>
      <w:r w:rsidR="00E00345">
        <w:t>w</w:t>
      </w:r>
      <w:r w:rsidR="002309C0">
        <w:t xml:space="preserve">hen it </w:t>
      </w:r>
      <w:r w:rsidR="008D60E5">
        <w:t>causes customers rates to soar to over $200 per year.</w:t>
      </w:r>
      <w:r w:rsidR="00E00345">
        <w:rPr>
          <w:rStyle w:val="FootnoteReference"/>
        </w:rPr>
        <w:footnoteReference w:id="62"/>
      </w:r>
    </w:p>
    <w:p w:rsidR="000E2213" w:rsidRDefault="000E2213" w:rsidP="00E624BD">
      <w:pPr>
        <w:spacing w:line="480" w:lineRule="auto"/>
        <w:ind w:firstLine="720"/>
      </w:pPr>
      <w:r>
        <w:t xml:space="preserve">Furthermore, OCC witness O’Neill asserts that it is likely that </w:t>
      </w:r>
      <w:r w:rsidR="007D5BBF">
        <w:t xml:space="preserve">a less aggressive replacement schedule </w:t>
      </w:r>
      <w:r>
        <w:t>would not appreciably harm the program</w:t>
      </w:r>
      <w:r w:rsidR="002309C0">
        <w:t>:</w:t>
      </w:r>
      <w:r>
        <w:t xml:space="preserve"> </w:t>
      </w:r>
    </w:p>
    <w:p w:rsidR="000E2213" w:rsidRDefault="000E2213" w:rsidP="004B1FF3">
      <w:pPr>
        <w:ind w:left="1440" w:right="720"/>
      </w:pPr>
      <w:r>
        <w:t>[B]</w:t>
      </w:r>
      <w:r w:rsidRPr="000E2213">
        <w:t>ased on models that I have previously developed for use elsewhere and also models developed by others, that even under a three percent replacement program, leaks in the 25th year would decrease substantially, and, assuming the prioritization of pipe replacement would be based mainly on the “worst first” criterion (and somewhat based on street openings, etc.), the pipe left in year 25 of such a program would be expected to be some of the best pipe of that type in the system</w:t>
      </w:r>
      <w:r>
        <w:t>.</w:t>
      </w:r>
      <w:r w:rsidRPr="000E2213">
        <w:t xml:space="preserve"> Therefore, delaying a few</w:t>
      </w:r>
      <w:r>
        <w:t xml:space="preserve"> </w:t>
      </w:r>
      <w:r w:rsidRPr="000E2213">
        <w:t>years to replace the last 10-15 percent of the original inventory would not affect leak rates or risk appreciably, and would be consistent with the regulatory principle of gradualism.</w:t>
      </w:r>
      <w:r>
        <w:rPr>
          <w:rStyle w:val="FootnoteReference"/>
        </w:rPr>
        <w:footnoteReference w:id="63"/>
      </w:r>
    </w:p>
    <w:p w:rsidR="000E2213" w:rsidRDefault="000E2213" w:rsidP="000E2213">
      <w:pPr>
        <w:ind w:left="720"/>
      </w:pPr>
    </w:p>
    <w:p w:rsidR="00F85911" w:rsidRDefault="00F85911" w:rsidP="00F85911">
      <w:pPr>
        <w:spacing w:line="480" w:lineRule="auto"/>
      </w:pPr>
      <w:r>
        <w:t>In fact</w:t>
      </w:r>
      <w:r w:rsidR="001053B2">
        <w:t>,</w:t>
      </w:r>
      <w:r>
        <w:t xml:space="preserve"> </w:t>
      </w:r>
      <w:r w:rsidR="007D5BBF">
        <w:t xml:space="preserve">other utilities have extended their replacement programs.  For instance, </w:t>
      </w:r>
      <w:r>
        <w:t xml:space="preserve">Duke Energy Ohio </w:t>
      </w:r>
      <w:r w:rsidR="001053B2">
        <w:t>extended the duration of its</w:t>
      </w:r>
      <w:r>
        <w:t xml:space="preserve"> pipeline replacement program without raising the rates for consumers.</w:t>
      </w:r>
      <w:r>
        <w:rPr>
          <w:rStyle w:val="FootnoteReference"/>
        </w:rPr>
        <w:footnoteReference w:id="64"/>
      </w:r>
      <w:r w:rsidR="009D2012">
        <w:t xml:space="preserve"> </w:t>
      </w:r>
      <w:r w:rsidR="00E00345">
        <w:t>Columbia Gas in Kentucky</w:t>
      </w:r>
      <w:r w:rsidR="00E00345">
        <w:rPr>
          <w:rStyle w:val="FootnoteReference"/>
        </w:rPr>
        <w:footnoteReference w:id="65"/>
      </w:r>
      <w:r w:rsidR="00E00345">
        <w:t>, and the Atlanta Gas Light Company</w:t>
      </w:r>
      <w:r w:rsidR="00E00345">
        <w:rPr>
          <w:rStyle w:val="FootnoteReference"/>
        </w:rPr>
        <w:footnoteReference w:id="66"/>
      </w:r>
      <w:r w:rsidR="00E00345">
        <w:t xml:space="preserve"> have </w:t>
      </w:r>
      <w:r w:rsidR="009D2012">
        <w:t>also been required to</w:t>
      </w:r>
      <w:r w:rsidR="00E00345">
        <w:t xml:space="preserve"> extend their pipeline replacement programs. </w:t>
      </w:r>
      <w:r w:rsidR="007D5BBF">
        <w:tab/>
      </w:r>
      <w:r w:rsidR="00E00345">
        <w:t xml:space="preserve">Dominion has provided no justification for why their program must stay at 25-years, and the associated cost increase has not shown to be prudent or just and reasonable. </w:t>
      </w:r>
      <w:r w:rsidR="007D5BBF">
        <w:t xml:space="preserve">  </w:t>
      </w:r>
    </w:p>
    <w:p w:rsidR="00CA08A5" w:rsidRPr="002A7E5E" w:rsidRDefault="00286B6A" w:rsidP="004B1FF3">
      <w:pPr>
        <w:pStyle w:val="Heading3"/>
      </w:pPr>
      <w:bookmarkStart w:id="15" w:name="_Toc444787524"/>
      <w:bookmarkStart w:id="16" w:name="_Toc445824340"/>
      <w:r w:rsidRPr="002A7E5E">
        <w:t xml:space="preserve">Dominion’s costs have nearly doubled, raising concerns about </w:t>
      </w:r>
      <w:r w:rsidR="00A456FE">
        <w:t xml:space="preserve">whether the </w:t>
      </w:r>
      <w:r w:rsidR="00692CD5">
        <w:t>program</w:t>
      </w:r>
      <w:r w:rsidR="00A456FE">
        <w:t xml:space="preserve"> is being managed improperly, to the detriment of customers who must pay for the </w:t>
      </w:r>
      <w:r w:rsidRPr="002A7E5E">
        <w:t>program</w:t>
      </w:r>
      <w:r w:rsidR="007A48CE" w:rsidRPr="002A7E5E">
        <w:t>.</w:t>
      </w:r>
      <w:bookmarkEnd w:id="15"/>
      <w:bookmarkEnd w:id="16"/>
    </w:p>
    <w:p w:rsidR="00286B6A" w:rsidRDefault="00CA08A5" w:rsidP="00B51287">
      <w:pPr>
        <w:spacing w:line="480" w:lineRule="auto"/>
        <w:ind w:firstLine="720"/>
      </w:pPr>
      <w:r>
        <w:t xml:space="preserve">Of course, the other driver for Dominion’s requested increase has been the drastic increase in costs. </w:t>
      </w:r>
      <w:r w:rsidR="00B51287">
        <w:t>Regulatory policy requires that investments be used, useful and prudent.</w:t>
      </w:r>
      <w:r w:rsidR="00B51287">
        <w:rPr>
          <w:rStyle w:val="FootnoteReference"/>
        </w:rPr>
        <w:footnoteReference w:id="67"/>
      </w:r>
      <w:r w:rsidR="00B51287">
        <w:t xml:space="preserve"> Dominion’s drastic increase in costs calls into question the prudency of the costs that have been incurred in this PIR program. There have been instances in other pipeline replacement programs where a</w:t>
      </w:r>
      <w:r w:rsidR="00D149A8">
        <w:t xml:space="preserve"> drastic increase</w:t>
      </w:r>
      <w:r w:rsidR="00B51287">
        <w:t xml:space="preserve"> in costs resulted in an investigation </w:t>
      </w:r>
      <w:r w:rsidR="00711C90">
        <w:t xml:space="preserve">that </w:t>
      </w:r>
      <w:r w:rsidR="00B51287">
        <w:t>found deficiencies in the utility’s cost management</w:t>
      </w:r>
      <w:r w:rsidR="00730B5E">
        <w:t xml:space="preserve"> practices.</w:t>
      </w:r>
      <w:r w:rsidR="00730B5E">
        <w:rPr>
          <w:rStyle w:val="FootnoteReference"/>
        </w:rPr>
        <w:footnoteReference w:id="68"/>
      </w:r>
      <w:r w:rsidR="00B51287">
        <w:t xml:space="preserve"> </w:t>
      </w:r>
      <w:r w:rsidR="00730B5E">
        <w:t xml:space="preserve">Approving an increase in residential rate caps when there has been such a drastic increase in costs </w:t>
      </w:r>
      <w:r w:rsidR="009D197E">
        <w:t>is a violation of regulatory policy</w:t>
      </w:r>
      <w:r w:rsidR="009A5D3B">
        <w:rPr>
          <w:rStyle w:val="FootnoteReference"/>
        </w:rPr>
        <w:footnoteReference w:id="69"/>
      </w:r>
      <w:r w:rsidR="009D197E">
        <w:t xml:space="preserve"> and the PUCO should reject the stipulation. </w:t>
      </w:r>
      <w:r w:rsidR="003F0713">
        <w:t xml:space="preserve">At </w:t>
      </w:r>
      <w:r w:rsidR="00711C90">
        <w:t>the very least, if the PUCO is considering allowing an increase, it must order a comprehensive in-depth audit to closely examine the reasons for this unusually large increase request.</w:t>
      </w:r>
      <w:r w:rsidR="008D60E5">
        <w:t xml:space="preserve">  It should conduct such an investigation in the context of a holistic review of Dominion's expenses and revenues.  </w:t>
      </w:r>
    </w:p>
    <w:p w:rsidR="009D197E" w:rsidRDefault="009D197E" w:rsidP="00B51287">
      <w:pPr>
        <w:spacing w:line="480" w:lineRule="auto"/>
        <w:ind w:firstLine="720"/>
      </w:pPr>
      <w:r>
        <w:t>Dominion</w:t>
      </w:r>
      <w:r w:rsidR="00A456FE">
        <w:t xml:space="preserve"> has no </w:t>
      </w:r>
      <w:r w:rsidR="00711C90">
        <w:t xml:space="preserve">explanation or rationale to explain </w:t>
      </w:r>
      <w:r w:rsidR="00A456FE">
        <w:t xml:space="preserve">why its costs have </w:t>
      </w:r>
      <w:r w:rsidR="00711C90">
        <w:t>nearly doubl</w:t>
      </w:r>
      <w:r w:rsidR="00A456FE">
        <w:t>ed since the program began.</w:t>
      </w:r>
      <w:r w:rsidR="00170E05">
        <w:rPr>
          <w:rStyle w:val="FootnoteReference"/>
        </w:rPr>
        <w:footnoteReference w:id="70"/>
      </w:r>
      <w:r w:rsidR="00711C90">
        <w:t xml:space="preserve"> </w:t>
      </w:r>
      <w:r>
        <w:t xml:space="preserve"> Discovery responses to OCC </w:t>
      </w:r>
      <w:r w:rsidR="00711C90">
        <w:t>demonstrate</w:t>
      </w:r>
      <w:r>
        <w:t xml:space="preserve"> th</w:t>
      </w:r>
      <w:r w:rsidR="003937A5">
        <w:t>is.</w:t>
      </w:r>
      <w:r w:rsidR="008D60E5">
        <w:rPr>
          <w:rStyle w:val="FootnoteReference"/>
        </w:rPr>
        <w:footnoteReference w:id="71"/>
      </w:r>
      <w:r w:rsidR="003937A5">
        <w:t xml:space="preserve"> </w:t>
      </w:r>
      <w:r w:rsidR="007A48CE">
        <w:t xml:space="preserve">This is deeply troubling because the burden of proof lies squarely with the </w:t>
      </w:r>
      <w:r w:rsidR="00A03F95">
        <w:t>Utility</w:t>
      </w:r>
      <w:r w:rsidR="008D60E5">
        <w:t xml:space="preserve">.  If </w:t>
      </w:r>
      <w:r w:rsidR="00A03F95">
        <w:t xml:space="preserve">it is </w:t>
      </w:r>
      <w:r w:rsidR="007A48CE">
        <w:t xml:space="preserve">unable to prove what is causing </w:t>
      </w:r>
      <w:r w:rsidR="00A03F95">
        <w:t xml:space="preserve">its </w:t>
      </w:r>
      <w:r w:rsidR="007A48CE">
        <w:t xml:space="preserve">increase in costs, </w:t>
      </w:r>
      <w:r w:rsidR="00A03F95">
        <w:t xml:space="preserve">it </w:t>
      </w:r>
      <w:r w:rsidR="007A48CE">
        <w:t xml:space="preserve">should not be allowed to increase the rates </w:t>
      </w:r>
      <w:r w:rsidR="00A03F95">
        <w:t>it</w:t>
      </w:r>
      <w:r w:rsidR="008D60E5">
        <w:t xml:space="preserve"> charges </w:t>
      </w:r>
      <w:r w:rsidR="007A48CE">
        <w:t>customers. As OCC witness O’Neill stated, “a good rule of thumb might be: no</w:t>
      </w:r>
      <w:r w:rsidR="002309C0">
        <w:t>t</w:t>
      </w:r>
      <w:r w:rsidR="007A48CE">
        <w:t xml:space="preserve"> proven, not granted.”</w:t>
      </w:r>
      <w:r w:rsidR="007A48CE">
        <w:rPr>
          <w:rStyle w:val="FootnoteReference"/>
        </w:rPr>
        <w:footnoteReference w:id="72"/>
      </w:r>
    </w:p>
    <w:p w:rsidR="00C460B9" w:rsidRDefault="007A48CE" w:rsidP="00956753">
      <w:pPr>
        <w:spacing w:line="480" w:lineRule="auto"/>
        <w:ind w:firstLine="720"/>
      </w:pPr>
      <w:r>
        <w:t xml:space="preserve">Dominion contends that their cost management practices are effective because </w:t>
      </w:r>
      <w:r w:rsidR="008D60E5">
        <w:t>it bids out its w</w:t>
      </w:r>
      <w:r>
        <w:t xml:space="preserve">ork to </w:t>
      </w:r>
      <w:r w:rsidR="000B0314">
        <w:t>contractors</w:t>
      </w:r>
      <w:r w:rsidR="000E283A">
        <w:t xml:space="preserve">. </w:t>
      </w:r>
      <w:r w:rsidR="008D60E5">
        <w:t>H</w:t>
      </w:r>
      <w:r w:rsidR="00253E15">
        <w:t>owever, this “argument substitutes good procurement for good cost management.”</w:t>
      </w:r>
      <w:r w:rsidR="00253E15">
        <w:rPr>
          <w:rStyle w:val="FootnoteReference"/>
        </w:rPr>
        <w:footnoteReference w:id="73"/>
      </w:r>
      <w:r w:rsidR="00956753">
        <w:t xml:space="preserve"> Cost management requires more than just a good bidding </w:t>
      </w:r>
      <w:r w:rsidR="00A4212C">
        <w:t>process</w:t>
      </w:r>
      <w:r w:rsidR="008D60E5">
        <w:t>.  P</w:t>
      </w:r>
      <w:r w:rsidR="00956753">
        <w:t xml:space="preserve">roper control of contractors </w:t>
      </w:r>
      <w:r w:rsidR="003937A5">
        <w:t xml:space="preserve">is needed </w:t>
      </w:r>
      <w:r w:rsidR="00956753">
        <w:t>to ensure that there is effective cost management throughout the process.</w:t>
      </w:r>
      <w:r w:rsidR="00956753">
        <w:rPr>
          <w:rStyle w:val="FootnoteReference"/>
        </w:rPr>
        <w:footnoteReference w:id="74"/>
      </w:r>
      <w:r w:rsidR="00956753">
        <w:t xml:space="preserve"> In fact Dominion states that “</w:t>
      </w:r>
      <w:r w:rsidR="00A03F95">
        <w:t>[g]</w:t>
      </w:r>
      <w:r w:rsidR="00956753">
        <w:t>iven the volume of PIR work, individual cost elements cannot be broken out and precisely quantified.”</w:t>
      </w:r>
      <w:r w:rsidR="00956753">
        <w:rPr>
          <w:rStyle w:val="FootnoteReference"/>
        </w:rPr>
        <w:footnoteReference w:id="75"/>
      </w:r>
      <w:r w:rsidR="00956753">
        <w:t xml:space="preserve"> OCC witness O’Neill </w:t>
      </w:r>
      <w:r w:rsidR="003937A5">
        <w:t xml:space="preserve">testified </w:t>
      </w:r>
      <w:r w:rsidR="00956753">
        <w:t>that this was a “surprising admission of lack of proper documentation” and “symptomatic of poor control.”</w:t>
      </w:r>
      <w:r w:rsidR="00956753">
        <w:rPr>
          <w:rStyle w:val="FootnoteReference"/>
        </w:rPr>
        <w:footnoteReference w:id="76"/>
      </w:r>
    </w:p>
    <w:p w:rsidR="003573CC" w:rsidRDefault="00956753" w:rsidP="00956753">
      <w:pPr>
        <w:spacing w:line="480" w:lineRule="auto"/>
        <w:ind w:firstLine="720"/>
      </w:pPr>
      <w:r>
        <w:t xml:space="preserve">Dominion has failed to reasonably determine why </w:t>
      </w:r>
      <w:r w:rsidR="00A03F95">
        <w:t xml:space="preserve">its </w:t>
      </w:r>
      <w:r>
        <w:t>costs are increasing</w:t>
      </w:r>
      <w:r w:rsidR="008D60E5">
        <w:t xml:space="preserve">. </w:t>
      </w:r>
      <w:r w:rsidR="003573CC">
        <w:t>Consequently, i</w:t>
      </w:r>
      <w:r w:rsidR="008D60E5">
        <w:t xml:space="preserve">t would violate </w:t>
      </w:r>
      <w:r>
        <w:t xml:space="preserve">regulatory policy to approve this </w:t>
      </w:r>
      <w:r w:rsidR="00A03F95">
        <w:t>S</w:t>
      </w:r>
      <w:r>
        <w:t>tipulation and allow Dominion to increase rates for customers</w:t>
      </w:r>
      <w:r w:rsidR="003573CC">
        <w:t xml:space="preserve"> for such costs.</w:t>
      </w:r>
      <w:r w:rsidR="001053B2">
        <w:t xml:space="preserve"> Such an increase would be unjust and unreasonable and violation of the policy goals and requirements set out by Ohio law.</w:t>
      </w:r>
      <w:r w:rsidR="001053B2">
        <w:rPr>
          <w:rStyle w:val="FootnoteReference"/>
        </w:rPr>
        <w:footnoteReference w:id="77"/>
      </w:r>
      <w:r>
        <w:t xml:space="preserve"> </w:t>
      </w:r>
    </w:p>
    <w:p w:rsidR="007A48CE" w:rsidRDefault="009A3D9D" w:rsidP="00956753">
      <w:pPr>
        <w:spacing w:line="480" w:lineRule="auto"/>
        <w:ind w:firstLine="720"/>
      </w:pPr>
      <w:r>
        <w:t xml:space="preserve">Dominion </w:t>
      </w:r>
      <w:r w:rsidR="001053B2">
        <w:t xml:space="preserve">has failed to provide </w:t>
      </w:r>
      <w:r w:rsidR="003573CC">
        <w:t xml:space="preserve">detailed </w:t>
      </w:r>
      <w:r w:rsidR="001053B2">
        <w:t xml:space="preserve">evidence </w:t>
      </w:r>
      <w:r>
        <w:t xml:space="preserve">on </w:t>
      </w:r>
      <w:r w:rsidR="003573CC">
        <w:t xml:space="preserve">cost </w:t>
      </w:r>
      <w:r>
        <w:t>management,</w:t>
      </w:r>
      <w:r w:rsidR="001053B2">
        <w:rPr>
          <w:rStyle w:val="FootnoteReference"/>
        </w:rPr>
        <w:footnoteReference w:id="78"/>
      </w:r>
      <w:r>
        <w:t xml:space="preserve"> </w:t>
      </w:r>
      <w:r w:rsidR="003573CC">
        <w:t xml:space="preserve">The PUCO </w:t>
      </w:r>
      <w:r>
        <w:t xml:space="preserve">should order that a third-party audit the costs </w:t>
      </w:r>
      <w:r w:rsidR="00A03F95">
        <w:t xml:space="preserve">of </w:t>
      </w:r>
      <w:r>
        <w:t>the program and determine the</w:t>
      </w:r>
      <w:r w:rsidR="00A03F95">
        <w:t xml:space="preserve"> cause of the </w:t>
      </w:r>
      <w:r>
        <w:t xml:space="preserve">drastic increase in costs. </w:t>
      </w:r>
    </w:p>
    <w:p w:rsidR="003573CC" w:rsidRPr="000E283A" w:rsidRDefault="003573CC" w:rsidP="000E283A">
      <w:pPr>
        <w:pStyle w:val="Heading3"/>
      </w:pPr>
      <w:bookmarkStart w:id="17" w:name="_Toc445824341"/>
      <w:r w:rsidRPr="000E283A">
        <w:rPr>
          <w:rStyle w:val="Heading3Char"/>
        </w:rPr>
        <w:t>To protect customers, the PUCO should order</w:t>
      </w:r>
      <w:r w:rsidR="008D0AD6">
        <w:rPr>
          <w:rStyle w:val="Heading3Char"/>
        </w:rPr>
        <w:t xml:space="preserve"> </w:t>
      </w:r>
      <w:r w:rsidRPr="000E283A">
        <w:rPr>
          <w:rStyle w:val="Heading3Char"/>
        </w:rPr>
        <w:t>a review of Dominion's expenses and revenues</w:t>
      </w:r>
      <w:r w:rsidR="008D0AD6">
        <w:rPr>
          <w:rStyle w:val="Heading3Char"/>
        </w:rPr>
        <w:t>, including profits</w:t>
      </w:r>
      <w:r w:rsidR="003F173A">
        <w:rPr>
          <w:rStyle w:val="Heading3Char"/>
        </w:rPr>
        <w:t xml:space="preserve"> that customers pay</w:t>
      </w:r>
      <w:r w:rsidRPr="000E283A">
        <w:rPr>
          <w:rStyle w:val="Heading3Char"/>
        </w:rPr>
        <w:t>.</w:t>
      </w:r>
      <w:bookmarkEnd w:id="17"/>
    </w:p>
    <w:p w:rsidR="003573CC" w:rsidRDefault="003573CC" w:rsidP="000E283A">
      <w:pPr>
        <w:spacing w:line="480" w:lineRule="auto"/>
        <w:ind w:firstLine="720"/>
      </w:pPr>
      <w:r>
        <w:t xml:space="preserve">Dominion's application </w:t>
      </w:r>
      <w:r w:rsidR="007F3346">
        <w:t>constitutes a request for single issue ratemaking. But single issue ratemaking, coupled with base distribution rates that have not been revie</w:t>
      </w:r>
      <w:r>
        <w:t>wed in eight</w:t>
      </w:r>
      <w:r w:rsidR="005C0D18">
        <w:t xml:space="preserve"> years, does not make for good </w:t>
      </w:r>
      <w:r w:rsidR="007F3346">
        <w:t xml:space="preserve">public policy.  </w:t>
      </w:r>
      <w:r w:rsidR="00786943">
        <w:t>This is e</w:t>
      </w:r>
      <w:r>
        <w:t xml:space="preserve">specially </w:t>
      </w:r>
      <w:r w:rsidR="00786943">
        <w:t xml:space="preserve">so </w:t>
      </w:r>
      <w:r>
        <w:t>when a utility is seeking further rate increases to customers during the next six years</w:t>
      </w:r>
      <w:r w:rsidR="00786943">
        <w:t xml:space="preserve"> (through 2021)</w:t>
      </w:r>
      <w:r w:rsidR="007235B2">
        <w:t xml:space="preserve"> without committing to a thorough review of its expenses, revenues, and earnings</w:t>
      </w:r>
      <w:r>
        <w:t xml:space="preserve">.  </w:t>
      </w:r>
    </w:p>
    <w:p w:rsidR="007F3346" w:rsidRDefault="007F3346" w:rsidP="000E283A">
      <w:pPr>
        <w:spacing w:line="480" w:lineRule="auto"/>
        <w:ind w:firstLine="720"/>
      </w:pPr>
      <w:r>
        <w:t xml:space="preserve">While an application like Dominion's looks at one particular category of expenses, it fails to assess any counterbalancing reductions in expenses.   Some costs of providing distribution gas service may have decreased since the last Dominion base rate case. But because those lower costs are not a part of the PIR, customers are stuck paying the higher rate resulting from the single issue ratemaking.  </w:t>
      </w:r>
    </w:p>
    <w:p w:rsidR="007F3346" w:rsidRDefault="009A5F2B" w:rsidP="00956753">
      <w:pPr>
        <w:spacing w:line="480" w:lineRule="auto"/>
        <w:ind w:firstLine="720"/>
      </w:pPr>
      <w:r>
        <w:t>T</w:t>
      </w:r>
      <w:r w:rsidR="00786943">
        <w:t xml:space="preserve">he PUCO require a review of Dominion prior to increasing the PIR funds collected from customers.  </w:t>
      </w:r>
    </w:p>
    <w:p w:rsidR="000E283A" w:rsidRDefault="000E283A" w:rsidP="000E283A">
      <w:pPr>
        <w:ind w:firstLine="720"/>
      </w:pPr>
    </w:p>
    <w:p w:rsidR="00A7761D" w:rsidRPr="00A7761D" w:rsidRDefault="00813AC1" w:rsidP="00A7761D">
      <w:pPr>
        <w:pStyle w:val="Heading1"/>
      </w:pPr>
      <w:bookmarkStart w:id="18" w:name="_Toc444787526"/>
      <w:bookmarkStart w:id="19" w:name="_Toc445824342"/>
      <w:r>
        <w:t>Conclusion</w:t>
      </w:r>
      <w:bookmarkEnd w:id="18"/>
      <w:bookmarkEnd w:id="19"/>
    </w:p>
    <w:p w:rsidR="007235B2" w:rsidRDefault="009A3D9D" w:rsidP="009A3D9D">
      <w:pPr>
        <w:spacing w:line="480" w:lineRule="auto"/>
        <w:ind w:firstLine="720"/>
      </w:pPr>
      <w:r>
        <w:t xml:space="preserve">The </w:t>
      </w:r>
      <w:r w:rsidR="00AA2BA3">
        <w:t>S</w:t>
      </w:r>
      <w:r>
        <w:t xml:space="preserve">tipulation that Dominion </w:t>
      </w:r>
      <w:r w:rsidR="00AA2BA3">
        <w:t xml:space="preserve">and Staff </w:t>
      </w:r>
      <w:r>
        <w:t xml:space="preserve">filed in this case fails to meet the standard for approval that has been set by the </w:t>
      </w:r>
      <w:r w:rsidR="006511CA">
        <w:t>PUCO</w:t>
      </w:r>
      <w:r w:rsidR="007235B2">
        <w:t>.  It</w:t>
      </w:r>
      <w:r w:rsidR="006511CA">
        <w:t xml:space="preserve"> should be rejected. Since only </w:t>
      </w:r>
      <w:r w:rsidR="007235B2">
        <w:t xml:space="preserve">the </w:t>
      </w:r>
      <w:r w:rsidR="006511CA">
        <w:t>PUCO staff and Dominion have signed the stipulation, there is no diversity of interests</w:t>
      </w:r>
      <w:r w:rsidR="007235B2">
        <w:t>.  It</w:t>
      </w:r>
      <w:r w:rsidR="006511CA">
        <w:t xml:space="preserve"> fails the first part of the test. It </w:t>
      </w:r>
      <w:r w:rsidR="007235B2">
        <w:t xml:space="preserve">also </w:t>
      </w:r>
      <w:r w:rsidR="006511CA">
        <w:t xml:space="preserve">violates regulatory policy because Dominion has failed to show that it is a just and reasonable increase for the PIR program. </w:t>
      </w:r>
      <w:r w:rsidR="007235B2">
        <w:t>S</w:t>
      </w:r>
      <w:r w:rsidR="006511CA">
        <w:t xml:space="preserve">uch a drastic </w:t>
      </w:r>
      <w:r w:rsidR="007235B2">
        <w:t xml:space="preserve">unjustified </w:t>
      </w:r>
      <w:r w:rsidR="006511CA">
        <w:t xml:space="preserve">increase in rates is simply not in the public interest. </w:t>
      </w:r>
    </w:p>
    <w:p w:rsidR="00813AC1" w:rsidRPr="00813AC1" w:rsidRDefault="007235B2" w:rsidP="009A3D9D">
      <w:pPr>
        <w:spacing w:line="480" w:lineRule="auto"/>
        <w:ind w:firstLine="720"/>
      </w:pPr>
      <w:r>
        <w:t>OCC recommends that t</w:t>
      </w:r>
      <w:r w:rsidR="00AA2BA3">
        <w:t xml:space="preserve">he </w:t>
      </w:r>
      <w:r>
        <w:t xml:space="preserve">PUCO maintain the current capped PIR rates.  Further, the PUCO should investigate the </w:t>
      </w:r>
      <w:r w:rsidR="00AA2BA3">
        <w:t>increased costs of the PIR program</w:t>
      </w:r>
      <w:r>
        <w:t>.</w:t>
      </w:r>
      <w:r w:rsidR="00786943">
        <w:t xml:space="preserve">  The PUCO should </w:t>
      </w:r>
      <w:r>
        <w:t xml:space="preserve">also </w:t>
      </w:r>
      <w:r w:rsidR="00786943">
        <w:t xml:space="preserve">require a holistic review of Dominion's rates prior to increasing the PIR funds collected from customers.  </w:t>
      </w:r>
    </w:p>
    <w:p w:rsidR="00714196" w:rsidRDefault="00714196" w:rsidP="00496AC0">
      <w:pPr>
        <w:tabs>
          <w:tab w:val="left" w:pos="4320"/>
        </w:tabs>
        <w:rPr>
          <w:szCs w:val="24"/>
        </w:rPr>
      </w:pPr>
    </w:p>
    <w:p w:rsidR="00692CD5" w:rsidRDefault="00692CD5">
      <w:pPr>
        <w:spacing w:after="200" w:line="276" w:lineRule="auto"/>
        <w:rPr>
          <w:szCs w:val="24"/>
        </w:rPr>
      </w:pPr>
      <w:r>
        <w:rPr>
          <w:szCs w:val="24"/>
        </w:rPr>
        <w:br w:type="page"/>
      </w:r>
    </w:p>
    <w:p w:rsidR="00496AC0" w:rsidRDefault="00813AC1" w:rsidP="00496AC0">
      <w:pPr>
        <w:tabs>
          <w:tab w:val="left" w:pos="4320"/>
        </w:tabs>
        <w:rPr>
          <w:szCs w:val="24"/>
        </w:rPr>
      </w:pPr>
      <w:r w:rsidRPr="007822A8">
        <w:rPr>
          <w:szCs w:val="24"/>
        </w:rPr>
        <w:tab/>
      </w:r>
      <w:r w:rsidR="00496AC0" w:rsidRPr="00496AC0">
        <w:rPr>
          <w:szCs w:val="24"/>
        </w:rPr>
        <w:t>Respectfully submitted,</w:t>
      </w:r>
    </w:p>
    <w:p w:rsidR="004B1FF3" w:rsidRPr="00496AC0" w:rsidRDefault="004B1FF3" w:rsidP="00496AC0">
      <w:pPr>
        <w:tabs>
          <w:tab w:val="left" w:pos="4320"/>
        </w:tabs>
        <w:rPr>
          <w:szCs w:val="24"/>
        </w:rPr>
      </w:pPr>
    </w:p>
    <w:p w:rsidR="00496AC0" w:rsidRPr="00496AC0" w:rsidRDefault="00496AC0" w:rsidP="00496AC0">
      <w:pPr>
        <w:tabs>
          <w:tab w:val="left" w:pos="4320"/>
        </w:tabs>
        <w:rPr>
          <w:szCs w:val="24"/>
        </w:rPr>
      </w:pPr>
      <w:r>
        <w:rPr>
          <w:szCs w:val="24"/>
        </w:rPr>
        <w:tab/>
      </w:r>
      <w:r w:rsidRPr="00496AC0">
        <w:rPr>
          <w:szCs w:val="24"/>
        </w:rPr>
        <w:t>BRUCE J. WESTON (0016973)</w:t>
      </w:r>
    </w:p>
    <w:p w:rsidR="00496AC0" w:rsidRDefault="00496AC0" w:rsidP="00813AC1">
      <w:pPr>
        <w:tabs>
          <w:tab w:val="left" w:pos="4320"/>
        </w:tabs>
        <w:rPr>
          <w:szCs w:val="24"/>
        </w:rPr>
      </w:pPr>
      <w:r>
        <w:rPr>
          <w:szCs w:val="24"/>
        </w:rPr>
        <w:tab/>
      </w:r>
      <w:r w:rsidRPr="00496AC0">
        <w:rPr>
          <w:szCs w:val="24"/>
        </w:rPr>
        <w:t>OHIO CONSUMERS’ COUNSEL</w:t>
      </w:r>
    </w:p>
    <w:p w:rsidR="00496AC0" w:rsidRDefault="00496AC0" w:rsidP="00813AC1">
      <w:pPr>
        <w:tabs>
          <w:tab w:val="left" w:pos="4320"/>
        </w:tabs>
        <w:rPr>
          <w:szCs w:val="24"/>
        </w:rPr>
      </w:pPr>
    </w:p>
    <w:p w:rsidR="00813AC1" w:rsidRPr="00496AC0" w:rsidRDefault="00496AC0" w:rsidP="00813AC1">
      <w:pPr>
        <w:tabs>
          <w:tab w:val="left" w:pos="4320"/>
        </w:tabs>
        <w:rPr>
          <w:i/>
          <w:szCs w:val="24"/>
          <w:u w:val="single"/>
        </w:rPr>
      </w:pPr>
      <w:r>
        <w:rPr>
          <w:i/>
          <w:szCs w:val="24"/>
        </w:rPr>
        <w:tab/>
      </w:r>
      <w:r w:rsidR="00803286">
        <w:rPr>
          <w:i/>
          <w:szCs w:val="24"/>
          <w:u w:val="single"/>
        </w:rPr>
        <w:t> /s/ Jodi J. Bair</w:t>
      </w:r>
      <w:r w:rsidRPr="00496AC0">
        <w:rPr>
          <w:i/>
          <w:szCs w:val="24"/>
          <w:u w:val="single"/>
        </w:rPr>
        <w:t>                   </w:t>
      </w:r>
    </w:p>
    <w:p w:rsidR="00813AC1" w:rsidRPr="003C2FFA" w:rsidRDefault="00813AC1" w:rsidP="00813AC1">
      <w:pPr>
        <w:ind w:left="4320" w:right="-378"/>
        <w:rPr>
          <w:szCs w:val="24"/>
        </w:rPr>
      </w:pPr>
      <w:r w:rsidRPr="003C2FFA">
        <w:rPr>
          <w:szCs w:val="24"/>
        </w:rPr>
        <w:t>Jodi J. Bair</w:t>
      </w:r>
      <w:r>
        <w:rPr>
          <w:szCs w:val="24"/>
        </w:rPr>
        <w:t xml:space="preserve"> </w:t>
      </w:r>
      <w:r w:rsidRPr="003C2FFA">
        <w:rPr>
          <w:szCs w:val="24"/>
        </w:rPr>
        <w:t>(0062921)</w:t>
      </w:r>
    </w:p>
    <w:p w:rsidR="00813AC1" w:rsidRDefault="00813AC1" w:rsidP="00813AC1">
      <w:pPr>
        <w:ind w:left="4320"/>
      </w:pPr>
      <w:r w:rsidRPr="003C2FFA">
        <w:rPr>
          <w:szCs w:val="24"/>
        </w:rPr>
        <w:t>Counsel of Record</w:t>
      </w:r>
      <w:r w:rsidRPr="003C2FFA">
        <w:t xml:space="preserve"> </w:t>
      </w:r>
    </w:p>
    <w:p w:rsidR="00813AC1" w:rsidRDefault="00813AC1" w:rsidP="00813AC1">
      <w:pPr>
        <w:ind w:left="4320"/>
      </w:pPr>
      <w:r w:rsidRPr="003C2FFA">
        <w:t>Ajay K. Kumar (0092208)</w:t>
      </w:r>
    </w:p>
    <w:p w:rsidR="004B1FF3" w:rsidRPr="003C2FFA" w:rsidRDefault="004B1FF3" w:rsidP="00813AC1">
      <w:pPr>
        <w:ind w:left="4320"/>
      </w:pPr>
      <w:r w:rsidRPr="003C2FFA">
        <w:t>Assistant Consumers’ Counsel</w:t>
      </w:r>
    </w:p>
    <w:p w:rsidR="00813AC1" w:rsidRPr="003C2FFA" w:rsidRDefault="00813AC1" w:rsidP="00813AC1">
      <w:pPr>
        <w:ind w:left="4320" w:right="-180"/>
        <w:rPr>
          <w:b/>
        </w:rPr>
      </w:pPr>
    </w:p>
    <w:p w:rsidR="00813AC1" w:rsidRPr="003C2FFA" w:rsidRDefault="00813AC1" w:rsidP="00813AC1">
      <w:pPr>
        <w:ind w:left="4320" w:right="-180"/>
      </w:pPr>
      <w:r w:rsidRPr="003C2FFA">
        <w:rPr>
          <w:b/>
        </w:rPr>
        <w:t>Office of the Ohio Consumers’ Counsel</w:t>
      </w:r>
    </w:p>
    <w:p w:rsidR="00813AC1" w:rsidRPr="003C2FFA" w:rsidRDefault="00813AC1" w:rsidP="00813AC1">
      <w:pPr>
        <w:ind w:left="4320"/>
      </w:pPr>
      <w:r w:rsidRPr="003C2FFA">
        <w:t>10 West Broad Street, Suite 1800</w:t>
      </w:r>
    </w:p>
    <w:p w:rsidR="00813AC1" w:rsidRPr="003C2FFA" w:rsidRDefault="00813AC1" w:rsidP="00813AC1">
      <w:pPr>
        <w:ind w:left="4320"/>
      </w:pPr>
      <w:r w:rsidRPr="003C2FFA">
        <w:t>Columbus, Ohio 43215-3485</w:t>
      </w:r>
    </w:p>
    <w:p w:rsidR="00813AC1" w:rsidRPr="003C2FFA" w:rsidRDefault="00813AC1" w:rsidP="00813AC1">
      <w:r w:rsidRPr="003C2FFA">
        <w:tab/>
      </w:r>
      <w:r w:rsidRPr="003C2FFA">
        <w:tab/>
      </w:r>
      <w:r w:rsidRPr="003C2FFA">
        <w:tab/>
      </w:r>
      <w:r w:rsidRPr="003C2FFA">
        <w:tab/>
      </w:r>
      <w:r w:rsidRPr="003C2FFA">
        <w:tab/>
      </w:r>
      <w:r w:rsidRPr="003C2FFA">
        <w:tab/>
        <w:t>(614) 466-9559 – Bair Direct</w:t>
      </w:r>
    </w:p>
    <w:p w:rsidR="00813AC1" w:rsidRPr="003C2FFA" w:rsidRDefault="00813AC1" w:rsidP="00813AC1">
      <w:r w:rsidRPr="003C2FFA">
        <w:tab/>
      </w:r>
      <w:r w:rsidRPr="003C2FFA">
        <w:tab/>
      </w:r>
      <w:r w:rsidRPr="003C2FFA">
        <w:tab/>
      </w:r>
      <w:r w:rsidRPr="003C2FFA">
        <w:tab/>
      </w:r>
      <w:r w:rsidRPr="003C2FFA">
        <w:tab/>
      </w:r>
      <w:r w:rsidRPr="003C2FFA">
        <w:tab/>
        <w:t>(614) 466-1292 – Kumar Direct</w:t>
      </w:r>
    </w:p>
    <w:p w:rsidR="00813AC1" w:rsidRPr="003C2FFA" w:rsidRDefault="00813AC1" w:rsidP="00813AC1">
      <w:r w:rsidRPr="003C2FFA">
        <w:tab/>
      </w:r>
      <w:r w:rsidRPr="003C2FFA">
        <w:tab/>
      </w:r>
      <w:r w:rsidRPr="003C2FFA">
        <w:tab/>
      </w:r>
      <w:r w:rsidRPr="003C2FFA">
        <w:tab/>
      </w:r>
      <w:r w:rsidRPr="003C2FFA">
        <w:tab/>
      </w:r>
      <w:r w:rsidRPr="003C2FFA">
        <w:tab/>
      </w:r>
      <w:hyperlink r:id="rId17" w:history="1">
        <w:r w:rsidRPr="003C2FFA">
          <w:rPr>
            <w:color w:val="0000FF"/>
            <w:u w:val="single"/>
          </w:rPr>
          <w:t>Jodi.bair@occ.ohio.gov</w:t>
        </w:r>
      </w:hyperlink>
    </w:p>
    <w:p w:rsidR="00813AC1" w:rsidRPr="003C2FFA" w:rsidRDefault="00813AC1" w:rsidP="00813AC1">
      <w:r w:rsidRPr="003C2FFA">
        <w:tab/>
      </w:r>
      <w:r w:rsidRPr="003C2FFA">
        <w:tab/>
      </w:r>
      <w:r w:rsidRPr="003C2FFA">
        <w:tab/>
      </w:r>
      <w:r w:rsidRPr="003C2FFA">
        <w:tab/>
      </w:r>
      <w:r w:rsidRPr="003C2FFA">
        <w:tab/>
      </w:r>
      <w:r w:rsidRPr="003C2FFA">
        <w:tab/>
        <w:t>(will accept service via email)</w:t>
      </w:r>
    </w:p>
    <w:p w:rsidR="00813AC1" w:rsidRPr="003C2FFA" w:rsidRDefault="00813AC1" w:rsidP="00813AC1">
      <w:r w:rsidRPr="003C2FFA">
        <w:tab/>
      </w:r>
      <w:r w:rsidRPr="003C2FFA">
        <w:tab/>
      </w:r>
      <w:r w:rsidRPr="003C2FFA">
        <w:tab/>
      </w:r>
      <w:r w:rsidRPr="003C2FFA">
        <w:tab/>
      </w:r>
      <w:r w:rsidRPr="003C2FFA">
        <w:tab/>
      </w:r>
      <w:r w:rsidRPr="003C2FFA">
        <w:tab/>
      </w:r>
      <w:hyperlink r:id="rId18" w:history="1">
        <w:r w:rsidRPr="003C2FFA">
          <w:rPr>
            <w:color w:val="0000FF"/>
            <w:u w:val="single"/>
          </w:rPr>
          <w:t>Ajay.kumar@occ.ohio.gov</w:t>
        </w:r>
      </w:hyperlink>
    </w:p>
    <w:p w:rsidR="00813AC1" w:rsidRPr="003C2FFA" w:rsidRDefault="00813AC1" w:rsidP="00813AC1">
      <w:r w:rsidRPr="003C2FFA">
        <w:tab/>
      </w:r>
      <w:r w:rsidRPr="003C2FFA">
        <w:tab/>
      </w:r>
      <w:r w:rsidRPr="003C2FFA">
        <w:tab/>
      </w:r>
      <w:r w:rsidRPr="003C2FFA">
        <w:tab/>
      </w:r>
      <w:r w:rsidRPr="003C2FFA">
        <w:tab/>
      </w:r>
      <w:r w:rsidRPr="003C2FFA">
        <w:tab/>
        <w:t>(will accept service via email)</w:t>
      </w:r>
    </w:p>
    <w:p w:rsidR="002A7E5E" w:rsidRDefault="002A7E5E" w:rsidP="00813AC1">
      <w:pPr>
        <w:jc w:val="center"/>
        <w:rPr>
          <w:b/>
          <w:bCs/>
          <w:u w:val="single"/>
        </w:rPr>
        <w:sectPr w:rsidR="002A7E5E" w:rsidSect="004B1FF3">
          <w:pgSz w:w="12240" w:h="15840"/>
          <w:pgMar w:top="1440" w:right="1800" w:bottom="1440" w:left="1800" w:header="720" w:footer="720" w:gutter="0"/>
          <w:pgNumType w:start="1"/>
          <w:cols w:space="720"/>
          <w:docGrid w:linePitch="360"/>
        </w:sectPr>
      </w:pPr>
    </w:p>
    <w:p w:rsidR="00813AC1" w:rsidRPr="002B7204" w:rsidRDefault="00813AC1" w:rsidP="00813AC1">
      <w:pPr>
        <w:jc w:val="center"/>
        <w:rPr>
          <w:b/>
          <w:bCs/>
          <w:u w:val="single"/>
        </w:rPr>
      </w:pPr>
      <w:r w:rsidRPr="002B7204">
        <w:rPr>
          <w:b/>
          <w:bCs/>
          <w:u w:val="single"/>
        </w:rPr>
        <w:t>CERTIFICATE OF SERVICE</w:t>
      </w:r>
    </w:p>
    <w:p w:rsidR="00813AC1" w:rsidRPr="002B7204" w:rsidRDefault="00813AC1" w:rsidP="00813AC1">
      <w:pPr>
        <w:spacing w:line="480" w:lineRule="atLeast"/>
      </w:pPr>
      <w:r w:rsidRPr="002B7204">
        <w:tab/>
        <w:t xml:space="preserve">I hereby certify that a copy of </w:t>
      </w:r>
      <w:r w:rsidR="00956753">
        <w:t xml:space="preserve">this </w:t>
      </w:r>
      <w:r w:rsidR="00956753">
        <w:rPr>
          <w:i/>
        </w:rPr>
        <w:t>Initial Brief</w:t>
      </w:r>
      <w:r>
        <w:t xml:space="preserve"> ha</w:t>
      </w:r>
      <w:r w:rsidR="00956753">
        <w:t>s</w:t>
      </w:r>
      <w:r>
        <w:t xml:space="preserve"> been </w:t>
      </w:r>
      <w:r w:rsidRPr="002B7204">
        <w:t xml:space="preserve">served on the persons stated below </w:t>
      </w:r>
      <w:r w:rsidRPr="00F23EB4">
        <w:t>via</w:t>
      </w:r>
      <w:r w:rsidRPr="002B7204">
        <w:t xml:space="preserve"> electronic transmission, this </w:t>
      </w:r>
      <w:r w:rsidR="0085457F">
        <w:t>15th</w:t>
      </w:r>
      <w:r w:rsidRPr="002B7204">
        <w:t xml:space="preserve"> day of </w:t>
      </w:r>
      <w:r>
        <w:t>March</w:t>
      </w:r>
      <w:r w:rsidR="0085457F">
        <w:t>,</w:t>
      </w:r>
      <w:r>
        <w:t xml:space="preserve"> 2016</w:t>
      </w:r>
      <w:r w:rsidRPr="002B7204">
        <w:t>.</w:t>
      </w:r>
    </w:p>
    <w:p w:rsidR="00813AC1" w:rsidRPr="002B7204" w:rsidRDefault="00813AC1" w:rsidP="00813AC1">
      <w:pPr>
        <w:spacing w:line="480" w:lineRule="atLeast"/>
      </w:pPr>
    </w:p>
    <w:p w:rsidR="00813AC1" w:rsidRPr="002B7204" w:rsidRDefault="00813AC1" w:rsidP="00813AC1">
      <w:pPr>
        <w:tabs>
          <w:tab w:val="left" w:pos="4320"/>
        </w:tabs>
        <w:rPr>
          <w:i/>
          <w:u w:val="single"/>
        </w:rPr>
      </w:pPr>
      <w:r w:rsidRPr="002B7204">
        <w:tab/>
      </w:r>
      <w:r w:rsidR="00496AC0">
        <w:rPr>
          <w:i/>
          <w:u w:val="single"/>
        </w:rPr>
        <w:t>/s/ Ajay Kumar</w:t>
      </w:r>
      <w:r w:rsidRPr="002B7204">
        <w:rPr>
          <w:i/>
          <w:u w:val="single"/>
        </w:rPr>
        <w:tab/>
      </w:r>
    </w:p>
    <w:p w:rsidR="00813AC1" w:rsidRPr="002B7204" w:rsidRDefault="00813AC1" w:rsidP="00813AC1">
      <w:pPr>
        <w:tabs>
          <w:tab w:val="left" w:pos="4320"/>
        </w:tabs>
      </w:pPr>
      <w:r w:rsidRPr="002B7204">
        <w:tab/>
      </w:r>
      <w:r w:rsidR="00496AC0">
        <w:t>Ajay Kumar</w:t>
      </w:r>
    </w:p>
    <w:p w:rsidR="004B1FF3" w:rsidRPr="003C2FFA" w:rsidRDefault="004B1FF3" w:rsidP="004B1FF3">
      <w:pPr>
        <w:ind w:left="4320"/>
      </w:pPr>
      <w:r w:rsidRPr="003C2FFA">
        <w:t>Assistant Consumers’ Counsel</w:t>
      </w:r>
    </w:p>
    <w:p w:rsidR="00813AC1" w:rsidRPr="002B7204" w:rsidRDefault="00813AC1" w:rsidP="00813AC1">
      <w:pPr>
        <w:tabs>
          <w:tab w:val="left" w:pos="4320"/>
        </w:tabs>
      </w:pPr>
    </w:p>
    <w:p w:rsidR="00813AC1" w:rsidRPr="002B7204" w:rsidRDefault="00813AC1" w:rsidP="00813AC1"/>
    <w:p w:rsidR="00813AC1" w:rsidRPr="002B7204" w:rsidRDefault="00813AC1" w:rsidP="00813AC1">
      <w:pPr>
        <w:rPr>
          <w:szCs w:val="24"/>
        </w:rPr>
      </w:pPr>
    </w:p>
    <w:p w:rsidR="00813AC1" w:rsidRPr="002B7204" w:rsidRDefault="00813AC1" w:rsidP="00813AC1">
      <w:pPr>
        <w:jc w:val="center"/>
        <w:rPr>
          <w:b/>
          <w:szCs w:val="24"/>
          <w:u w:val="single"/>
        </w:rPr>
      </w:pPr>
      <w:r w:rsidRPr="002B7204">
        <w:rPr>
          <w:b/>
          <w:szCs w:val="24"/>
          <w:u w:val="single"/>
        </w:rPr>
        <w:t>SERVICE LIST</w:t>
      </w:r>
    </w:p>
    <w:p w:rsidR="00813AC1" w:rsidRPr="002B7204" w:rsidRDefault="00813AC1" w:rsidP="00813AC1">
      <w:pPr>
        <w:jc w:val="center"/>
        <w:rPr>
          <w:b/>
          <w:szCs w:val="24"/>
          <w:u w:val="single"/>
        </w:rPr>
      </w:pPr>
    </w:p>
    <w:p w:rsidR="00813AC1" w:rsidRPr="002B7204" w:rsidRDefault="00813AC1" w:rsidP="00813AC1">
      <w:pPr>
        <w:jc w:val="center"/>
        <w:rPr>
          <w:b/>
          <w:szCs w:val="24"/>
          <w:u w:val="single"/>
        </w:rPr>
      </w:pPr>
    </w:p>
    <w:p w:rsidR="00813AC1" w:rsidRPr="002B7204" w:rsidRDefault="00813AC1" w:rsidP="00813AC1">
      <w:pPr>
        <w:jc w:val="center"/>
        <w:rPr>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813AC1" w:rsidRPr="002B7204" w:rsidTr="000009EA">
        <w:tc>
          <w:tcPr>
            <w:tcW w:w="4428" w:type="dxa"/>
          </w:tcPr>
          <w:p w:rsidR="00BE7F47" w:rsidRDefault="00BE7F47" w:rsidP="000009EA">
            <w:pPr>
              <w:jc w:val="both"/>
              <w:rPr>
                <w:bCs/>
              </w:rPr>
            </w:pPr>
            <w:r>
              <w:rPr>
                <w:bCs/>
              </w:rPr>
              <w:t>William.wright@puc.state.oh.us</w:t>
            </w:r>
          </w:p>
          <w:p w:rsidR="00813AC1" w:rsidRDefault="002105EE" w:rsidP="000009EA">
            <w:pPr>
              <w:jc w:val="both"/>
              <w:rPr>
                <w:bCs/>
              </w:rPr>
            </w:pPr>
            <w:r>
              <w:rPr>
                <w:bCs/>
              </w:rPr>
              <w:t>steven.beeler</w:t>
            </w:r>
            <w:r w:rsidR="00813AC1" w:rsidRPr="00711FD7">
              <w:rPr>
                <w:bCs/>
              </w:rPr>
              <w:t>@puc.state.oh.us</w:t>
            </w:r>
          </w:p>
          <w:p w:rsidR="00813AC1" w:rsidRDefault="00813AC1" w:rsidP="000009EA">
            <w:pPr>
              <w:autoSpaceDE w:val="0"/>
              <w:autoSpaceDN w:val="0"/>
              <w:adjustRightInd w:val="0"/>
              <w:rPr>
                <w:rFonts w:eastAsiaTheme="minorHAnsi"/>
                <w:szCs w:val="24"/>
              </w:rPr>
            </w:pPr>
            <w:r w:rsidRPr="00711FD7">
              <w:rPr>
                <w:rFonts w:eastAsiaTheme="minorHAnsi"/>
                <w:szCs w:val="24"/>
              </w:rPr>
              <w:t>fdarr@mwncmh.com</w:t>
            </w:r>
          </w:p>
          <w:p w:rsidR="00813AC1" w:rsidRDefault="00813AC1" w:rsidP="000009EA">
            <w:pPr>
              <w:autoSpaceDE w:val="0"/>
              <w:autoSpaceDN w:val="0"/>
              <w:adjustRightInd w:val="0"/>
              <w:rPr>
                <w:rFonts w:eastAsiaTheme="minorHAnsi"/>
                <w:szCs w:val="24"/>
              </w:rPr>
            </w:pPr>
            <w:r w:rsidRPr="00711FD7">
              <w:rPr>
                <w:rFonts w:eastAsiaTheme="minorHAnsi"/>
                <w:szCs w:val="24"/>
              </w:rPr>
              <w:t>mpritchard@mwncmh.com</w:t>
            </w:r>
          </w:p>
          <w:p w:rsidR="00813AC1" w:rsidRPr="002B7204" w:rsidRDefault="00813AC1" w:rsidP="000009EA">
            <w:pPr>
              <w:autoSpaceDE w:val="0"/>
              <w:autoSpaceDN w:val="0"/>
              <w:adjustRightInd w:val="0"/>
              <w:rPr>
                <w:bCs/>
              </w:rPr>
            </w:pPr>
            <w:r w:rsidRPr="00711FD7">
              <w:rPr>
                <w:rFonts w:eastAsiaTheme="minorHAnsi"/>
                <w:szCs w:val="24"/>
              </w:rPr>
              <w:t>cmooney@ohiopartners.org</w:t>
            </w:r>
          </w:p>
          <w:p w:rsidR="00813AC1" w:rsidRPr="002B7204" w:rsidRDefault="00813AC1" w:rsidP="000009EA">
            <w:pPr>
              <w:jc w:val="both"/>
              <w:rPr>
                <w:bCs/>
              </w:rPr>
            </w:pPr>
          </w:p>
        </w:tc>
        <w:tc>
          <w:tcPr>
            <w:tcW w:w="4428" w:type="dxa"/>
          </w:tcPr>
          <w:p w:rsidR="00813AC1" w:rsidRDefault="00813AC1" w:rsidP="000009EA">
            <w:pPr>
              <w:autoSpaceDE w:val="0"/>
              <w:autoSpaceDN w:val="0"/>
              <w:adjustRightInd w:val="0"/>
              <w:rPr>
                <w:rFonts w:eastAsiaTheme="minorHAnsi"/>
                <w:szCs w:val="24"/>
              </w:rPr>
            </w:pPr>
            <w:r w:rsidRPr="00711FD7">
              <w:rPr>
                <w:rFonts w:eastAsiaTheme="minorHAnsi"/>
                <w:szCs w:val="24"/>
              </w:rPr>
              <w:t>whitt@whitt-sturtevant.com</w:t>
            </w:r>
          </w:p>
          <w:p w:rsidR="00813AC1" w:rsidRDefault="00813AC1" w:rsidP="000009EA">
            <w:pPr>
              <w:autoSpaceDE w:val="0"/>
              <w:autoSpaceDN w:val="0"/>
              <w:adjustRightInd w:val="0"/>
              <w:rPr>
                <w:rFonts w:eastAsiaTheme="minorHAnsi"/>
                <w:szCs w:val="24"/>
              </w:rPr>
            </w:pPr>
            <w:r w:rsidRPr="00711FD7">
              <w:rPr>
                <w:rFonts w:eastAsiaTheme="minorHAnsi"/>
                <w:szCs w:val="24"/>
              </w:rPr>
              <w:t>campbell@whitt-sturtevant.com</w:t>
            </w:r>
          </w:p>
          <w:p w:rsidR="00813AC1" w:rsidRDefault="00813AC1" w:rsidP="000009EA">
            <w:pPr>
              <w:autoSpaceDE w:val="0"/>
              <w:autoSpaceDN w:val="0"/>
              <w:adjustRightInd w:val="0"/>
              <w:rPr>
                <w:rFonts w:eastAsiaTheme="minorHAnsi"/>
                <w:szCs w:val="24"/>
              </w:rPr>
            </w:pPr>
            <w:r w:rsidRPr="00711FD7">
              <w:rPr>
                <w:rFonts w:eastAsiaTheme="minorHAnsi"/>
                <w:szCs w:val="24"/>
              </w:rPr>
              <w:t>glover@whitt-sturtevant.com</w:t>
            </w:r>
          </w:p>
          <w:p w:rsidR="00813AC1" w:rsidRPr="002B7204" w:rsidRDefault="00813AC1" w:rsidP="000009EA">
            <w:pPr>
              <w:autoSpaceDE w:val="0"/>
              <w:autoSpaceDN w:val="0"/>
              <w:adjustRightInd w:val="0"/>
              <w:rPr>
                <w:rFonts w:eastAsiaTheme="minorHAnsi"/>
                <w:szCs w:val="24"/>
              </w:rPr>
            </w:pPr>
          </w:p>
          <w:p w:rsidR="00813AC1" w:rsidRPr="002B7204" w:rsidRDefault="00813AC1" w:rsidP="000009EA">
            <w:pPr>
              <w:jc w:val="both"/>
              <w:rPr>
                <w:bCs/>
              </w:rPr>
            </w:pPr>
          </w:p>
        </w:tc>
      </w:tr>
      <w:tr w:rsidR="00813AC1" w:rsidRPr="002B7204" w:rsidTr="000009EA">
        <w:tc>
          <w:tcPr>
            <w:tcW w:w="4428" w:type="dxa"/>
          </w:tcPr>
          <w:p w:rsidR="00813AC1" w:rsidRDefault="00813AC1" w:rsidP="000009EA">
            <w:pPr>
              <w:autoSpaceDE w:val="0"/>
              <w:autoSpaceDN w:val="0"/>
              <w:adjustRightInd w:val="0"/>
              <w:rPr>
                <w:rFonts w:eastAsiaTheme="minorHAnsi"/>
                <w:szCs w:val="24"/>
              </w:rPr>
            </w:pPr>
            <w:r>
              <w:rPr>
                <w:rFonts w:eastAsiaTheme="minorHAnsi"/>
                <w:szCs w:val="24"/>
              </w:rPr>
              <w:t>Attorney Examiner:</w:t>
            </w:r>
          </w:p>
          <w:p w:rsidR="00813AC1" w:rsidRDefault="00813AC1" w:rsidP="000009EA">
            <w:pPr>
              <w:autoSpaceDE w:val="0"/>
              <w:autoSpaceDN w:val="0"/>
              <w:adjustRightInd w:val="0"/>
              <w:rPr>
                <w:rFonts w:eastAsiaTheme="minorHAnsi"/>
                <w:szCs w:val="24"/>
              </w:rPr>
            </w:pPr>
          </w:p>
          <w:p w:rsidR="00813AC1" w:rsidRDefault="00813AC1" w:rsidP="000009EA">
            <w:pPr>
              <w:autoSpaceDE w:val="0"/>
              <w:autoSpaceDN w:val="0"/>
              <w:adjustRightInd w:val="0"/>
              <w:rPr>
                <w:rFonts w:eastAsiaTheme="minorHAnsi"/>
                <w:szCs w:val="24"/>
              </w:rPr>
            </w:pPr>
            <w:r w:rsidRPr="00711FD7">
              <w:rPr>
                <w:rFonts w:eastAsiaTheme="minorHAnsi"/>
                <w:szCs w:val="24"/>
              </w:rPr>
              <w:t>Mandy.willey@puc.state.oh.us</w:t>
            </w:r>
          </w:p>
          <w:p w:rsidR="00813AC1" w:rsidRPr="002B7204" w:rsidRDefault="00813AC1" w:rsidP="000009EA">
            <w:pPr>
              <w:autoSpaceDE w:val="0"/>
              <w:autoSpaceDN w:val="0"/>
              <w:adjustRightInd w:val="0"/>
              <w:rPr>
                <w:rFonts w:eastAsiaTheme="minorHAnsi"/>
                <w:szCs w:val="24"/>
              </w:rPr>
            </w:pPr>
          </w:p>
        </w:tc>
        <w:tc>
          <w:tcPr>
            <w:tcW w:w="4428" w:type="dxa"/>
          </w:tcPr>
          <w:p w:rsidR="00813AC1" w:rsidRPr="002B7204" w:rsidRDefault="00813AC1" w:rsidP="000009EA">
            <w:pPr>
              <w:autoSpaceDE w:val="0"/>
              <w:autoSpaceDN w:val="0"/>
              <w:adjustRightInd w:val="0"/>
              <w:rPr>
                <w:rFonts w:eastAsiaTheme="minorHAnsi"/>
                <w:szCs w:val="24"/>
              </w:rPr>
            </w:pPr>
          </w:p>
        </w:tc>
      </w:tr>
    </w:tbl>
    <w:p w:rsidR="00813AC1" w:rsidRPr="002B7204" w:rsidRDefault="00813AC1" w:rsidP="00813AC1"/>
    <w:p w:rsidR="00813AC1" w:rsidRDefault="00813AC1" w:rsidP="00813AC1">
      <w:pPr>
        <w:pStyle w:val="BodyTextIndent3"/>
        <w:widowControl w:val="0"/>
        <w:spacing w:line="480" w:lineRule="auto"/>
      </w:pPr>
    </w:p>
    <w:p w:rsidR="007C4B94" w:rsidRDefault="007C4B94"/>
    <w:sectPr w:rsidR="007C4B94" w:rsidSect="004B1FF3">
      <w:footerReference w:type="default" r:id="rId1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7F" w:rsidRDefault="00973E7F" w:rsidP="00813AC1">
      <w:r>
        <w:separator/>
      </w:r>
    </w:p>
  </w:endnote>
  <w:endnote w:type="continuationSeparator" w:id="0">
    <w:p w:rsidR="00973E7F" w:rsidRDefault="00973E7F" w:rsidP="0081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D8" w:rsidRDefault="00E56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4728"/>
      <w:docPartObj>
        <w:docPartGallery w:val="Page Numbers (Bottom of Page)"/>
        <w:docPartUnique/>
      </w:docPartObj>
    </w:sdtPr>
    <w:sdtEndPr>
      <w:rPr>
        <w:noProof/>
      </w:rPr>
    </w:sdtEndPr>
    <w:sdtContent>
      <w:p w:rsidR="005C0D18" w:rsidRDefault="005C0D18">
        <w:pPr>
          <w:pStyle w:val="Footer"/>
          <w:jc w:val="center"/>
        </w:pPr>
        <w:r>
          <w:fldChar w:fldCharType="begin"/>
        </w:r>
        <w:r>
          <w:instrText xml:space="preserve"> PAGE   \* MERGEFORMAT </w:instrText>
        </w:r>
        <w:r>
          <w:fldChar w:fldCharType="separate"/>
        </w:r>
        <w:r w:rsidR="00103C77">
          <w:rPr>
            <w:noProof/>
          </w:rPr>
          <w:t>1</w:t>
        </w:r>
        <w:r>
          <w:rPr>
            <w:noProof/>
          </w:rPr>
          <w:fldChar w:fldCharType="end"/>
        </w:r>
      </w:p>
    </w:sdtContent>
  </w:sdt>
  <w:p w:rsidR="005C0D18" w:rsidRDefault="005C0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18" w:rsidRDefault="005C0D18">
    <w:pPr>
      <w:pStyle w:val="Footer"/>
      <w:jc w:val="center"/>
    </w:pPr>
  </w:p>
  <w:p w:rsidR="005C0D18" w:rsidRDefault="005C0D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924216"/>
      <w:docPartObj>
        <w:docPartGallery w:val="Page Numbers (Bottom of Page)"/>
        <w:docPartUnique/>
      </w:docPartObj>
    </w:sdtPr>
    <w:sdtEndPr>
      <w:rPr>
        <w:noProof/>
      </w:rPr>
    </w:sdtEndPr>
    <w:sdtContent>
      <w:p w:rsidR="005C0D18" w:rsidRDefault="005C0D18">
        <w:pPr>
          <w:pStyle w:val="Footer"/>
          <w:jc w:val="center"/>
        </w:pPr>
        <w:r>
          <w:fldChar w:fldCharType="begin"/>
        </w:r>
        <w:r>
          <w:instrText xml:space="preserve"> PAGE   \* MERGEFORMAT </w:instrText>
        </w:r>
        <w:r>
          <w:fldChar w:fldCharType="separate"/>
        </w:r>
        <w:r w:rsidR="00103C77">
          <w:rPr>
            <w:noProof/>
          </w:rPr>
          <w:t>i</w:t>
        </w:r>
        <w:r>
          <w:rPr>
            <w:noProof/>
          </w:rPr>
          <w:fldChar w:fldCharType="end"/>
        </w:r>
      </w:p>
    </w:sdtContent>
  </w:sdt>
  <w:p w:rsidR="005C0D18" w:rsidRDefault="005C0D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18" w:rsidRDefault="005C0D18">
    <w:pPr>
      <w:pStyle w:val="Footer"/>
      <w:jc w:val="center"/>
    </w:pPr>
  </w:p>
  <w:p w:rsidR="005C0D18" w:rsidRDefault="005C0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7F" w:rsidRDefault="00973E7F" w:rsidP="00813AC1">
      <w:r>
        <w:separator/>
      </w:r>
    </w:p>
  </w:footnote>
  <w:footnote w:type="continuationSeparator" w:id="0">
    <w:p w:rsidR="00973E7F" w:rsidRDefault="00973E7F" w:rsidP="00813AC1">
      <w:r>
        <w:continuationSeparator/>
      </w:r>
    </w:p>
  </w:footnote>
  <w:footnote w:id="1">
    <w:p w:rsidR="00803286" w:rsidRDefault="00803286">
      <w:pPr>
        <w:pStyle w:val="FootnoteText"/>
      </w:pPr>
      <w:r>
        <w:rPr>
          <w:rStyle w:val="FootnoteReference"/>
        </w:rPr>
        <w:footnoteRef/>
      </w:r>
      <w:r>
        <w:t xml:space="preserve"> </w:t>
      </w:r>
      <w:r w:rsidRPr="00200242">
        <w:t>East Ohio Gas Company Tariff, Tariff Sheet PIR-1 (Eighth Revised Tariff sheet, in effect on May 6, 2015).</w:t>
      </w:r>
    </w:p>
  </w:footnote>
  <w:footnote w:id="2">
    <w:p w:rsidR="00803286" w:rsidRPr="00803286" w:rsidRDefault="00803286">
      <w:pPr>
        <w:pStyle w:val="FootnoteText"/>
        <w:rPr>
          <w:i/>
        </w:rPr>
      </w:pPr>
      <w:r>
        <w:rPr>
          <w:rStyle w:val="FootnoteReference"/>
        </w:rPr>
        <w:footnoteRef/>
      </w:r>
      <w:r>
        <w:t xml:space="preserve"> </w:t>
      </w:r>
      <w:r>
        <w:rPr>
          <w:i/>
        </w:rPr>
        <w:t>See,</w:t>
      </w:r>
      <w:r>
        <w:t xml:space="preserve"> </w:t>
      </w:r>
      <w:r>
        <w:rPr>
          <w:i/>
        </w:rPr>
        <w:t xml:space="preserve">infra </w:t>
      </w:r>
      <w:r w:rsidRPr="00803286">
        <w:t>page 5</w:t>
      </w:r>
      <w:r>
        <w:t xml:space="preserve"> for the full calculation of the impact on rates of Dominion’s PIR proposed application</w:t>
      </w:r>
      <w:r w:rsidR="00CF5F4D">
        <w:t>.</w:t>
      </w:r>
    </w:p>
  </w:footnote>
  <w:footnote w:id="3">
    <w:p w:rsidR="005C0D18" w:rsidRPr="00200242" w:rsidRDefault="005C0D18" w:rsidP="00200242">
      <w:pPr>
        <w:pStyle w:val="FootnoteText"/>
        <w:spacing w:after="120"/>
      </w:pPr>
      <w:r w:rsidRPr="00200242">
        <w:rPr>
          <w:rStyle w:val="FootnoteReference"/>
        </w:rPr>
        <w:footnoteRef/>
      </w:r>
      <w:r w:rsidRPr="00200242">
        <w:t xml:space="preserve"> DEO Ex. 1 at 7 (Frisic Direct). </w:t>
      </w:r>
    </w:p>
  </w:footnote>
  <w:footnote w:id="4">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Cost Recovery Charge and Related Matters, Case No. 15-1987-GA-RDR</w:t>
      </w:r>
      <w:r w:rsidRPr="00200242">
        <w:t>, Application at Att. A, Schedule 1 (Feb. 29, 2016).</w:t>
      </w:r>
    </w:p>
  </w:footnote>
  <w:footnote w:id="5">
    <w:p w:rsidR="005C0D18" w:rsidRPr="00200242" w:rsidRDefault="005C0D18" w:rsidP="00200242">
      <w:pPr>
        <w:pStyle w:val="FootnoteText"/>
        <w:spacing w:after="120"/>
      </w:pPr>
      <w:r w:rsidRPr="00200242">
        <w:rPr>
          <w:rStyle w:val="FootnoteReference"/>
        </w:rPr>
        <w:footnoteRef/>
      </w:r>
      <w:r w:rsidRPr="00200242">
        <w:t xml:space="preserve"> </w:t>
      </w:r>
      <w:r w:rsidR="007D5EEF" w:rsidRPr="00200242">
        <w:rPr>
          <w:i/>
        </w:rPr>
        <w:t>See</w:t>
      </w:r>
      <w:r w:rsidR="007D5EEF" w:rsidRPr="00200242">
        <w:t xml:space="preserve"> </w:t>
      </w:r>
      <w:r w:rsidRPr="00200242">
        <w:t xml:space="preserve">Staff </w:t>
      </w:r>
      <w:r w:rsidR="007D5EEF" w:rsidRPr="00200242">
        <w:t>Ex. 2</w:t>
      </w:r>
      <w:r w:rsidRPr="00200242">
        <w:t xml:space="preserve"> at 5 (total</w:t>
      </w:r>
      <w:r w:rsidR="007D5EEF" w:rsidRPr="00200242">
        <w:t>ing the Estimated Capital Investment at</w:t>
      </w:r>
      <w:r w:rsidRPr="00200242">
        <w:t xml:space="preserve"> $1.017 billion</w:t>
      </w:r>
      <w:r w:rsidR="007D5EEF" w:rsidRPr="00200242">
        <w:t xml:space="preserve"> and adding the $1 billion already invested); </w:t>
      </w:r>
      <w:r w:rsidR="007D5EEF" w:rsidRPr="00200242">
        <w:rPr>
          <w:i/>
        </w:rPr>
        <w:t>See</w:t>
      </w:r>
      <w:r w:rsidRPr="00200242">
        <w:t xml:space="preserve"> </w:t>
      </w:r>
      <w:r w:rsidRPr="00200242">
        <w:rPr>
          <w:i/>
        </w:rPr>
        <w:t>In the Matter of the Application of The East Ohio Gas Company d/b/a Dominion East Ohio to Adjust its Pipeline Infrastructure Replacement</w:t>
      </w:r>
      <w:r w:rsidR="007831EE" w:rsidRPr="00200242">
        <w:rPr>
          <w:i/>
        </w:rPr>
        <w:t>.</w:t>
      </w:r>
      <w:r w:rsidRPr="00200242">
        <w:rPr>
          <w:i/>
        </w:rPr>
        <w:t xml:space="preserve"> Cost Recovery Charge and Related Matters</w:t>
      </w:r>
      <w:r w:rsidRPr="00200242">
        <w:t>, Case No. 15-1987-GA-RDR, Application at Att. A, Schedule 1 (Feb. 29, 2016)</w:t>
      </w:r>
      <w:r w:rsidR="007D5EEF" w:rsidRPr="00200242">
        <w:t>(Showing roughly $1 billion already invested in the program)</w:t>
      </w:r>
      <w:r w:rsidRPr="00200242">
        <w:t>.</w:t>
      </w:r>
    </w:p>
  </w:footnote>
  <w:footnote w:id="6">
    <w:p w:rsidR="005C0D18" w:rsidRPr="00200242" w:rsidRDefault="005C0D18" w:rsidP="00200242">
      <w:pPr>
        <w:pStyle w:val="FootnoteText"/>
        <w:spacing w:after="120"/>
      </w:pPr>
      <w:r w:rsidRPr="00200242">
        <w:rPr>
          <w:rStyle w:val="FootnoteReference"/>
        </w:rPr>
        <w:footnoteRef/>
      </w:r>
      <w:r w:rsidRPr="00200242">
        <w:t xml:space="preserve"> OCC Ex. 3 at 30 (O’Neill Direct). </w:t>
      </w:r>
    </w:p>
  </w:footnote>
  <w:footnote w:id="7">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for Authority to Increase Rates for its Gas Distribution Service,</w:t>
      </w:r>
      <w:r w:rsidRPr="00200242">
        <w:t xml:space="preserve"> Case No. 07-829-GA-AIR, Opinion and Order at 9-10 (Oct. 15, 2007).</w:t>
      </w:r>
    </w:p>
  </w:footnote>
  <w:footnote w:id="8">
    <w:p w:rsidR="005C0D18" w:rsidRPr="00200242" w:rsidRDefault="005C0D18" w:rsidP="00200242">
      <w:pPr>
        <w:pStyle w:val="FootnoteText"/>
        <w:spacing w:after="120"/>
      </w:pPr>
      <w:r w:rsidRPr="00200242">
        <w:rPr>
          <w:rStyle w:val="FootnoteReference"/>
        </w:rPr>
        <w:footnoteRef/>
      </w:r>
      <w:r w:rsidRPr="00200242">
        <w:t xml:space="preserve"> DEO Ex. 1 at 3 (Frisic Direct). </w:t>
      </w:r>
    </w:p>
  </w:footnote>
  <w:footnote w:id="9">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for Authority to Increase Rates for its Gas Distribution Service,</w:t>
      </w:r>
      <w:r w:rsidRPr="00200242">
        <w:t xml:space="preserve"> Case No. 07-829-GA-AIR, Opinion and Order at 9 (Oct. 15, 2007).</w:t>
      </w:r>
    </w:p>
  </w:footnote>
  <w:footnote w:id="10">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for Approval to Modify and Further Accelerate its Pipeline Infrastructure Replacement Program and to Recover the Associated Costs</w:t>
      </w:r>
      <w:r w:rsidRPr="00200242">
        <w:t>, Case No. 11-2401-GA-ALT. Opinion and Order at 2 (Aug. 3, 2011).</w:t>
      </w:r>
    </w:p>
  </w:footnote>
  <w:footnote w:id="11">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Id</w:t>
      </w:r>
      <w:r w:rsidRPr="00200242">
        <w:t>, at 3.</w:t>
      </w:r>
    </w:p>
  </w:footnote>
  <w:footnote w:id="12">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Id</w:t>
      </w:r>
      <w:r w:rsidRPr="00200242">
        <w:t>. at 6.</w:t>
      </w:r>
    </w:p>
  </w:footnote>
  <w:footnote w:id="13">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Id.</w:t>
      </w:r>
    </w:p>
  </w:footnote>
  <w:footnote w:id="14">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Program Cost Recovery Charge</w:t>
      </w:r>
      <w:r w:rsidRPr="00200242">
        <w:t xml:space="preserve">, Case No. 09-458-GA-RDR, Final Pipeline Infrastructure Replacement ("PIR") Cost Recovery Charge tariff (Dec. 21, 2009). </w:t>
      </w:r>
    </w:p>
  </w:footnote>
  <w:footnote w:id="15">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Program Cost Recovery Charge</w:t>
      </w:r>
      <w:r w:rsidRPr="00200242">
        <w:t xml:space="preserve">, Case No. 10-733-GA-RDR, Opinion and Order at 4 (Nov. 3, 2010). </w:t>
      </w:r>
    </w:p>
  </w:footnote>
  <w:footnote w:id="16">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Program Cost Recovery Charge</w:t>
      </w:r>
      <w:r w:rsidRPr="00200242">
        <w:t>, Case No. 12-812-GA-RDR, Opinion and Order at 4 (April 25, 2012).</w:t>
      </w:r>
    </w:p>
  </w:footnote>
  <w:footnote w:id="17">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Program Cost Recovery Charge</w:t>
      </w:r>
      <w:r w:rsidRPr="00200242">
        <w:t>, Case No. 12-3125-GA-RDR, Opinion and Order at 4 (April 24, 2013).</w:t>
      </w:r>
    </w:p>
  </w:footnote>
  <w:footnote w:id="18">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Program Cost Recovery Charge</w:t>
      </w:r>
      <w:r w:rsidRPr="00200242">
        <w:t>, Case No. 13-2320-GA-RDR, Opinion and Order at 2 (April 23, 2014).</w:t>
      </w:r>
    </w:p>
  </w:footnote>
  <w:footnote w:id="19">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Program Cost Recovery Charge</w:t>
      </w:r>
      <w:r w:rsidRPr="00200242">
        <w:t>, Case No. 14-2134-GA-RDR, Opinion and Order at 2 (April 22, 2015).</w:t>
      </w:r>
    </w:p>
  </w:footnote>
  <w:footnote w:id="20">
    <w:p w:rsidR="005C0D18" w:rsidRPr="00200242" w:rsidRDefault="005C0D18" w:rsidP="00200242">
      <w:pPr>
        <w:pStyle w:val="FootnoteText"/>
        <w:spacing w:after="120"/>
      </w:pPr>
      <w:r w:rsidRPr="00200242">
        <w:rPr>
          <w:rStyle w:val="FootnoteReference"/>
        </w:rPr>
        <w:footnoteRef/>
      </w:r>
      <w:r w:rsidRPr="00200242">
        <w:t xml:space="preserve"> East Ohio Gas Company Tariff, Tariff Sheet PIR-1 (Eighth Revised Tariff sheet, in effect on May 6, 2015).</w:t>
      </w:r>
    </w:p>
  </w:footnote>
  <w:footnote w:id="21">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East Ohio Gas Company d/b/a Dominion East Ohio to Adjust its Pipeline Infrastructure Replacement Cost Recovery Charge</w:t>
      </w:r>
      <w:r w:rsidRPr="00200242">
        <w:t xml:space="preserve">, Case No. 15-1987-GA-RDR, Application at Attachment B (February 29, 2016). </w:t>
      </w:r>
    </w:p>
  </w:footnote>
  <w:footnote w:id="22">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 In the Matter of the Application of The East Ohio Gas Company d/b/a Dominion East Ohio for Approval to Modify and Further Accelerate its Pipeline Infrastructure Replacement Program and to Recover the Associated Costs</w:t>
      </w:r>
      <w:r w:rsidRPr="00200242">
        <w:t>, Case No. 11-2401-GA-ALT, Stipulation and Recommendation at 4 (July 15, 2011).</w:t>
      </w:r>
    </w:p>
  </w:footnote>
  <w:footnote w:id="23">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w:t>
      </w:r>
      <w:r w:rsidRPr="00200242">
        <w:rPr>
          <w:i/>
        </w:rPr>
        <w:t>In the Matter of the Application of The East Ohio Gas Company d/b/a Dominion East Ohio for Authority to Increase Rates for its Gas Distribution Service,</w:t>
      </w:r>
      <w:r w:rsidRPr="00200242">
        <w:t xml:space="preserve"> Case No. 07-829-GA-AIR, Opinion and Order at 9-10 (Oct. 15, 2008).</w:t>
      </w:r>
    </w:p>
  </w:footnote>
  <w:footnote w:id="24">
    <w:p w:rsidR="005C0D18" w:rsidRPr="00200242" w:rsidRDefault="005C0D18" w:rsidP="00200242">
      <w:pPr>
        <w:pStyle w:val="FootnoteText"/>
        <w:spacing w:after="120"/>
      </w:pPr>
      <w:r w:rsidRPr="00200242">
        <w:rPr>
          <w:rStyle w:val="FootnoteReference"/>
        </w:rPr>
        <w:footnoteRef/>
      </w:r>
      <w:r w:rsidRPr="00200242">
        <w:t xml:space="preserve"> DEO Ex. 5 at 6 (Application filed March 31, 2015).</w:t>
      </w:r>
    </w:p>
  </w:footnote>
  <w:footnote w:id="25">
    <w:p w:rsidR="005C0D18" w:rsidRPr="00200242" w:rsidRDefault="005C0D18" w:rsidP="00200242">
      <w:pPr>
        <w:pStyle w:val="FootnoteText"/>
        <w:spacing w:after="120"/>
      </w:pPr>
      <w:r w:rsidRPr="00200242">
        <w:rPr>
          <w:rStyle w:val="FootnoteReference"/>
        </w:rPr>
        <w:footnoteRef/>
      </w:r>
      <w:r w:rsidRPr="00200242">
        <w:t xml:space="preserve"> Staff Ex. 2 at 5 (Staff Report). </w:t>
      </w:r>
    </w:p>
  </w:footnote>
  <w:footnote w:id="26">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Staff Ex. 2 at 5 (Staff Report).  </w:t>
      </w:r>
    </w:p>
  </w:footnote>
  <w:footnote w:id="27">
    <w:p w:rsidR="005C0D18" w:rsidRPr="00200242" w:rsidRDefault="005C0D18" w:rsidP="00200242">
      <w:pPr>
        <w:pStyle w:val="FootnoteText"/>
        <w:spacing w:after="120"/>
      </w:pPr>
      <w:r w:rsidRPr="00200242">
        <w:rPr>
          <w:rStyle w:val="FootnoteReference"/>
        </w:rPr>
        <w:footnoteRef/>
      </w:r>
      <w:r w:rsidRPr="00200242">
        <w:t xml:space="preserve"> These numbers are calculated by showing the cumulative increase based on the caps indicated in Staff Ex. 1 at 5 added to the proposed charge of $8.12 ( e.g. $8.12+$1.75=$9.87, $9.87+$1.82=$11.68). These numbers also assume approval of Dominion’s increase as applied in for in Case No. 15-1987-GA-RDR. </w:t>
      </w:r>
    </w:p>
  </w:footnote>
  <w:footnote w:id="28">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OCC Ex. 1 (Comments by the OCC); OCC Ex. 2 (Objections to the Staff Report by the OCC). </w:t>
      </w:r>
    </w:p>
  </w:footnote>
  <w:footnote w:id="29">
    <w:p w:rsidR="005C0D18" w:rsidRPr="00200242" w:rsidRDefault="005C0D18" w:rsidP="00200242">
      <w:pPr>
        <w:pStyle w:val="FootnoteText"/>
        <w:spacing w:after="120"/>
      </w:pPr>
      <w:r w:rsidRPr="00200242">
        <w:rPr>
          <w:rStyle w:val="FootnoteReference"/>
        </w:rPr>
        <w:footnoteRef/>
      </w:r>
      <w:r w:rsidRPr="00200242">
        <w:t xml:space="preserve"> Staff Ex. 2 at 8 (Staff Report). </w:t>
      </w:r>
    </w:p>
  </w:footnote>
  <w:footnote w:id="30">
    <w:p w:rsidR="005C0D18" w:rsidRPr="00200242" w:rsidRDefault="005C0D18" w:rsidP="00200242">
      <w:pPr>
        <w:pStyle w:val="FootnoteText"/>
        <w:spacing w:after="120"/>
      </w:pPr>
      <w:r w:rsidRPr="00200242">
        <w:rPr>
          <w:rStyle w:val="FootnoteReference"/>
        </w:rPr>
        <w:footnoteRef/>
      </w:r>
      <w:r w:rsidRPr="00200242">
        <w:t xml:space="preserve"> Joint Ex. 1 (Stipulation and Recommendation). </w:t>
      </w:r>
    </w:p>
  </w:footnote>
  <w:footnote w:id="31">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 xml:space="preserve">See </w:t>
      </w:r>
      <w:r w:rsidR="007D5EEF" w:rsidRPr="00200242">
        <w:rPr>
          <w:i/>
        </w:rPr>
        <w:t>Id.</w:t>
      </w:r>
      <w:r w:rsidRPr="00200242">
        <w:t xml:space="preserve"> at 2 (Stipulation and Recommendation). The stipulation states that the O&amp;M savings will be calculated in accordance with the PUCO opinion and order in the 09-458-GA-RDR which allows for all savings to be flowed back to the consumer. </w:t>
      </w:r>
      <w:r w:rsidRPr="00200242">
        <w:rPr>
          <w:i/>
        </w:rPr>
        <w:t>See</w:t>
      </w:r>
      <w:r w:rsidRPr="00200242">
        <w:t xml:space="preserve"> </w:t>
      </w:r>
      <w:r w:rsidRPr="00200242">
        <w:rPr>
          <w:i/>
        </w:rPr>
        <w:t>In the Matter of the Application of The East Ohio Gas Company d/b/a Dominion East Ohio to Adjust its Pipeline Infrastructure Replacement Program Cost Recovery Charge and Related Matters</w:t>
      </w:r>
      <w:r w:rsidRPr="00200242">
        <w:t xml:space="preserve">, Case No. 09-458-GA-RDR, Opinion and Order at 11 (Dec. 16, 2009). </w:t>
      </w:r>
    </w:p>
  </w:footnote>
  <w:footnote w:id="32">
    <w:p w:rsidR="005C0D18" w:rsidRPr="00200242" w:rsidRDefault="005C0D18" w:rsidP="00200242">
      <w:pPr>
        <w:pStyle w:val="FootnoteText"/>
        <w:spacing w:after="120"/>
      </w:pPr>
      <w:r w:rsidRPr="00200242">
        <w:rPr>
          <w:rStyle w:val="FootnoteReference"/>
        </w:rPr>
        <w:footnoteRef/>
      </w:r>
      <w:r w:rsidRPr="00200242">
        <w:t xml:space="preserve"> R.C. §4929.05.</w:t>
      </w:r>
    </w:p>
  </w:footnote>
  <w:footnote w:id="33">
    <w:p w:rsidR="005C0D18" w:rsidRPr="00200242" w:rsidRDefault="005C0D18" w:rsidP="00200242">
      <w:pPr>
        <w:pStyle w:val="FootnoteText"/>
        <w:spacing w:after="120"/>
      </w:pPr>
      <w:r w:rsidRPr="00200242">
        <w:rPr>
          <w:rStyle w:val="FootnoteReference"/>
        </w:rPr>
        <w:footnoteRef/>
      </w:r>
      <w:r w:rsidRPr="00200242">
        <w:t xml:space="preserve"> The Utility must also show compliance with R.C. §4905.35 (regarding the prohibition on discrimination); R.C. §4929.02 (compliance with state policy regarding natural gas utilities); </w:t>
      </w:r>
      <w:r w:rsidRPr="00200242">
        <w:rPr>
          <w:i/>
        </w:rPr>
        <w:t xml:space="preserve">See </w:t>
      </w:r>
      <w:r w:rsidRPr="00200242">
        <w:t>R.C. §4929.05.</w:t>
      </w:r>
    </w:p>
  </w:footnote>
  <w:footnote w:id="34">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R.C. §4929.05(3)(C).</w:t>
      </w:r>
    </w:p>
  </w:footnote>
  <w:footnote w:id="35">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Duff v. Pub. Util. Comm</w:t>
      </w:r>
      <w:r w:rsidRPr="00200242">
        <w:t xml:space="preserve">., 56 Ohio St.2d 367 (1978); </w:t>
      </w:r>
      <w:r w:rsidRPr="00200242">
        <w:rPr>
          <w:i/>
        </w:rPr>
        <w:t>see also</w:t>
      </w:r>
      <w:r w:rsidRPr="00200242">
        <w:t xml:space="preserve"> Ohio Adm. Code 4901-1-30(E). </w:t>
      </w:r>
    </w:p>
  </w:footnote>
  <w:footnote w:id="36">
    <w:p w:rsidR="005C0D18" w:rsidRPr="00200242" w:rsidRDefault="005C0D18" w:rsidP="00200242">
      <w:pPr>
        <w:pStyle w:val="FootnoteText"/>
        <w:spacing w:after="120"/>
        <w:rPr>
          <w:i/>
        </w:rPr>
      </w:pPr>
      <w:r w:rsidRPr="00200242">
        <w:rPr>
          <w:rStyle w:val="FootnoteReference"/>
        </w:rPr>
        <w:footnoteRef/>
      </w:r>
      <w:r w:rsidRPr="00200242">
        <w:t xml:space="preserve"> </w:t>
      </w:r>
      <w:r w:rsidRPr="00200242">
        <w:rPr>
          <w:i/>
        </w:rPr>
        <w:t>See id.</w:t>
      </w:r>
    </w:p>
  </w:footnote>
  <w:footnote w:id="37">
    <w:p w:rsidR="005C0D18" w:rsidRPr="00200242" w:rsidRDefault="005C0D18" w:rsidP="00200242">
      <w:pPr>
        <w:pStyle w:val="FootnoteText"/>
        <w:spacing w:after="120"/>
      </w:pPr>
      <w:r w:rsidRPr="00200242">
        <w:rPr>
          <w:i/>
        </w:rPr>
        <w:t xml:space="preserve"> </w:t>
      </w:r>
      <w:r w:rsidRPr="00200242">
        <w:rPr>
          <w:rStyle w:val="FootnoteReference"/>
        </w:rPr>
        <w:footnoteRef/>
      </w:r>
      <w:r w:rsidRPr="00200242">
        <w:rPr>
          <w:i/>
        </w:rPr>
        <w:t xml:space="preserve"> Consumers’ Counsel v. Pub. Util. Comm.</w:t>
      </w:r>
      <w:r w:rsidRPr="00200242">
        <w:t xml:space="preserve">, 64 Ohio St.3d 123, 126 (1992). The Commission also often takes into account the “diversity of interests” as part of the first part of the stipulation assessment. </w:t>
      </w:r>
      <w:r w:rsidRPr="00200242">
        <w:rPr>
          <w:i/>
        </w:rPr>
        <w:t>See</w:t>
      </w:r>
      <w:r w:rsidRPr="00200242">
        <w:t xml:space="preserve"> </w:t>
      </w:r>
      <w:r w:rsidRPr="00200242">
        <w:rPr>
          <w:i/>
        </w:rPr>
        <w:t>In the Matter of the Application of Ohio Edison Company, The Cleveland Electric Illuminating Company, and The Toledo Edison Company for Authority to Establish a Standard Service Offer, Case No. 10-388-EL-SSO</w:t>
      </w:r>
      <w:r w:rsidRPr="00200242">
        <w:t xml:space="preserve">, Opinion and Order at 48 (August 25, 2010). </w:t>
      </w:r>
    </w:p>
  </w:footnote>
  <w:footnote w:id="38">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In the Matter of the Application of The Cincinnati Gas &amp; Electric Company for an Increase in Electric Rates in its Service Areas</w:t>
      </w:r>
      <w:r w:rsidRPr="00200242">
        <w:t>, Case No. 91-410-EL-AIR, Order at 3 (April 14, 1994).</w:t>
      </w:r>
    </w:p>
  </w:footnote>
  <w:footnote w:id="39">
    <w:p w:rsidR="005C0D18" w:rsidRPr="00200242" w:rsidRDefault="005C0D18" w:rsidP="00200242">
      <w:pPr>
        <w:pStyle w:val="FootnoteText"/>
        <w:spacing w:after="120"/>
      </w:pPr>
      <w:r w:rsidRPr="00200242">
        <w:rPr>
          <w:rStyle w:val="FootnoteReference"/>
        </w:rPr>
        <w:footnoteRef/>
      </w:r>
      <w:r w:rsidRPr="00200242">
        <w:t xml:space="preserve"> R.C. §4929.02(A)(2).</w:t>
      </w:r>
    </w:p>
  </w:footnote>
  <w:footnote w:id="40">
    <w:p w:rsidR="005C0D18" w:rsidRPr="00200242" w:rsidRDefault="005C0D18" w:rsidP="00200242">
      <w:pPr>
        <w:pStyle w:val="FootnoteText"/>
        <w:spacing w:after="120"/>
      </w:pPr>
      <w:r w:rsidRPr="00200242">
        <w:rPr>
          <w:rStyle w:val="FootnoteReference"/>
        </w:rPr>
        <w:footnoteRef/>
      </w:r>
      <w:r w:rsidRPr="00200242">
        <w:t xml:space="preserve"> OCC Ex. 3 at 30 (O’Neill Direct). </w:t>
      </w:r>
    </w:p>
  </w:footnote>
  <w:footnote w:id="41">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Joint Ex. 1 at 5 (Recommendation and Stipulation). </w:t>
      </w:r>
    </w:p>
  </w:footnote>
  <w:footnote w:id="42">
    <w:p w:rsidR="005C0D18" w:rsidRPr="00200242" w:rsidRDefault="005C0D18" w:rsidP="00200242">
      <w:pPr>
        <w:pStyle w:val="FootnoteText"/>
        <w:spacing w:after="120"/>
      </w:pPr>
      <w:r w:rsidRPr="00200242">
        <w:rPr>
          <w:rStyle w:val="FootnoteReference"/>
        </w:rPr>
        <w:footnoteRef/>
      </w:r>
      <w:r w:rsidRPr="00200242">
        <w:t xml:space="preserve"> Joint Ex. 1 at 5 (Stipulation and Recommendation). </w:t>
      </w:r>
    </w:p>
  </w:footnote>
  <w:footnote w:id="43">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w:t>
      </w:r>
      <w:r w:rsidRPr="00200242">
        <w:rPr>
          <w:i/>
        </w:rPr>
        <w:t>In the Matter of the Application of Ohio Edison Company, The Cleveland Electric Illuminating Company, and The Toledo Edison Company for Authority to Establish a Standard Service Offer, Case No. 10-388-EL-SSO</w:t>
      </w:r>
      <w:r w:rsidRPr="00200242">
        <w:t xml:space="preserve">, Opinion and Order at 48 (August 25, 2010). </w:t>
      </w:r>
    </w:p>
  </w:footnote>
  <w:footnote w:id="44">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 xml:space="preserve">See </w:t>
      </w:r>
      <w:r w:rsidRPr="00200242">
        <w:t xml:space="preserve">OCC Ex. 3 at 18 (O’Neill Direct). </w:t>
      </w:r>
    </w:p>
  </w:footnote>
  <w:footnote w:id="45">
    <w:p w:rsidR="005C0D18" w:rsidRPr="00200242" w:rsidRDefault="005C0D18" w:rsidP="00200242">
      <w:pPr>
        <w:pStyle w:val="FootnoteText"/>
        <w:spacing w:after="120"/>
      </w:pPr>
      <w:r w:rsidRPr="00200242">
        <w:rPr>
          <w:rStyle w:val="FootnoteReference"/>
        </w:rPr>
        <w:footnoteRef/>
      </w:r>
      <w:r w:rsidRPr="00200242">
        <w:t xml:space="preserve"> DEO Ex. 2 at 5 (Reed Direct). </w:t>
      </w:r>
    </w:p>
  </w:footnote>
  <w:footnote w:id="46">
    <w:p w:rsidR="005C0D18" w:rsidRPr="00200242" w:rsidRDefault="005C0D18" w:rsidP="00200242">
      <w:pPr>
        <w:pStyle w:val="FootnoteText"/>
        <w:spacing w:after="120"/>
      </w:pPr>
      <w:r w:rsidRPr="00200242">
        <w:rPr>
          <w:rStyle w:val="FootnoteReference"/>
        </w:rPr>
        <w:footnoteRef/>
      </w:r>
      <w:r w:rsidRPr="00200242">
        <w:t xml:space="preserve"> OCC Ex. 3 at 19 (O’Neill Direct). </w:t>
      </w:r>
    </w:p>
  </w:footnote>
  <w:footnote w:id="47">
    <w:p w:rsidR="005C0D18" w:rsidRPr="00200242" w:rsidRDefault="005C0D18" w:rsidP="00200242">
      <w:pPr>
        <w:pStyle w:val="FootnoteText"/>
        <w:spacing w:after="120"/>
      </w:pPr>
      <w:r w:rsidRPr="00200242">
        <w:rPr>
          <w:rStyle w:val="FootnoteReference"/>
        </w:rPr>
        <w:footnoteRef/>
      </w:r>
      <w:r w:rsidR="007D5EEF" w:rsidRPr="00200242">
        <w:t xml:space="preserve"> </w:t>
      </w:r>
      <w:r w:rsidR="007D5EEF" w:rsidRPr="00200242">
        <w:rPr>
          <w:i/>
        </w:rPr>
        <w:t>Id.</w:t>
      </w:r>
      <w:r w:rsidRPr="00200242">
        <w:t xml:space="preserve"> at 20. </w:t>
      </w:r>
    </w:p>
  </w:footnote>
  <w:footnote w:id="48">
    <w:p w:rsidR="005C0D18" w:rsidRPr="00200242" w:rsidRDefault="005C0D18" w:rsidP="00200242">
      <w:pPr>
        <w:pStyle w:val="FootnoteText"/>
        <w:spacing w:after="120"/>
      </w:pPr>
      <w:r w:rsidRPr="00200242">
        <w:rPr>
          <w:rStyle w:val="FootnoteReference"/>
        </w:rPr>
        <w:footnoteRef/>
      </w:r>
      <w:r w:rsidR="007D5EEF" w:rsidRPr="00200242">
        <w:rPr>
          <w:i/>
        </w:rPr>
        <w:t xml:space="preserve"> Id.</w:t>
      </w:r>
      <w:r w:rsidRPr="00200242">
        <w:t xml:space="preserve"> at 21.</w:t>
      </w:r>
    </w:p>
  </w:footnote>
  <w:footnote w:id="49">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 In the Matter of the Application of Duke Energy Ohio, Inc. for an Adjustment to Rider AMRP Rates to Recover Costs Incurred in 2010</w:t>
      </w:r>
      <w:r w:rsidRPr="00200242">
        <w:t>, Case No. 10-2788-GA-RDR, Opinion and Order at 8 (May 4, 2011).</w:t>
      </w:r>
    </w:p>
  </w:footnote>
  <w:footnote w:id="50">
    <w:p w:rsidR="005C0D18" w:rsidRPr="00200242" w:rsidRDefault="005C0D18" w:rsidP="00200242">
      <w:pPr>
        <w:pStyle w:val="FootnoteText"/>
        <w:spacing w:after="120"/>
      </w:pPr>
      <w:r w:rsidRPr="00200242">
        <w:rPr>
          <w:rStyle w:val="FootnoteReference"/>
        </w:rPr>
        <w:footnoteRef/>
      </w:r>
      <w:r w:rsidRPr="00200242">
        <w:t xml:space="preserve"> OCC Ex. 3 at 21 (O’Neill Direct).</w:t>
      </w:r>
    </w:p>
  </w:footnote>
  <w:footnote w:id="51">
    <w:p w:rsidR="005C0D18" w:rsidRPr="00200242" w:rsidRDefault="005C0D18" w:rsidP="00200242">
      <w:pPr>
        <w:pStyle w:val="FootnoteText"/>
        <w:spacing w:after="120"/>
      </w:pPr>
      <w:r w:rsidRPr="00200242">
        <w:rPr>
          <w:rStyle w:val="FootnoteReference"/>
        </w:rPr>
        <w:footnoteRef/>
      </w:r>
      <w:r w:rsidR="00803286">
        <w:t xml:space="preserve"> OCC</w:t>
      </w:r>
      <w:r w:rsidRPr="00200242">
        <w:t xml:space="preserve"> Ex. 3 at 22 (O’Neill Direct).</w:t>
      </w:r>
    </w:p>
  </w:footnote>
  <w:footnote w:id="52">
    <w:p w:rsidR="005C0D18" w:rsidRPr="00200242" w:rsidRDefault="005C0D18" w:rsidP="00200242">
      <w:pPr>
        <w:pStyle w:val="FootnoteText"/>
        <w:spacing w:after="120"/>
      </w:pPr>
      <w:r w:rsidRPr="00200242">
        <w:rPr>
          <w:rStyle w:val="FootnoteReference"/>
        </w:rPr>
        <w:footnoteRef/>
      </w:r>
      <w:r w:rsidRPr="00200242">
        <w:t xml:space="preserve"> </w:t>
      </w:r>
      <w:r w:rsidR="00803286">
        <w:rPr>
          <w:i/>
        </w:rPr>
        <w:t>Id.</w:t>
      </w:r>
      <w:r w:rsidRPr="00200242">
        <w:t xml:space="preserve"> at 28. </w:t>
      </w:r>
    </w:p>
  </w:footnote>
  <w:footnote w:id="53">
    <w:p w:rsidR="005C0D18" w:rsidRPr="00200242" w:rsidRDefault="005C0D18" w:rsidP="00200242">
      <w:pPr>
        <w:pStyle w:val="FootnoteText"/>
        <w:spacing w:after="120"/>
      </w:pPr>
      <w:r w:rsidRPr="00200242">
        <w:rPr>
          <w:rStyle w:val="FootnoteReference"/>
        </w:rPr>
        <w:footnoteRef/>
      </w:r>
      <w:r w:rsidRPr="00200242">
        <w:t xml:space="preserve"> </w:t>
      </w:r>
      <w:r w:rsidR="007D5EEF" w:rsidRPr="00200242">
        <w:rPr>
          <w:i/>
        </w:rPr>
        <w:t xml:space="preserve">Id. </w:t>
      </w:r>
      <w:r w:rsidR="007D5EEF" w:rsidRPr="00200242">
        <w:t>at 28-29</w:t>
      </w:r>
      <w:r w:rsidRPr="00200242">
        <w:t xml:space="preserve">. </w:t>
      </w:r>
    </w:p>
  </w:footnote>
  <w:footnote w:id="54">
    <w:p w:rsidR="005C0D18" w:rsidRPr="00200242" w:rsidRDefault="005C0D18" w:rsidP="00200242">
      <w:pPr>
        <w:pStyle w:val="FootnoteText"/>
        <w:spacing w:after="120"/>
      </w:pPr>
      <w:r w:rsidRPr="00200242">
        <w:rPr>
          <w:rStyle w:val="FootnoteReference"/>
        </w:rPr>
        <w:footnoteRef/>
      </w:r>
      <w:r w:rsidRPr="00200242">
        <w:t xml:space="preserve"> R.C. §4928.05.</w:t>
      </w:r>
    </w:p>
  </w:footnote>
  <w:footnote w:id="55">
    <w:p w:rsidR="005C0D18" w:rsidRPr="00200242" w:rsidRDefault="005C0D18" w:rsidP="00200242">
      <w:pPr>
        <w:pStyle w:val="FootnoteText"/>
        <w:spacing w:after="120"/>
      </w:pPr>
      <w:r w:rsidRPr="00200242">
        <w:rPr>
          <w:rStyle w:val="FootnoteReference"/>
        </w:rPr>
        <w:footnoteRef/>
      </w:r>
      <w:r w:rsidRPr="00200242">
        <w:t xml:space="preserve"> OCC Ex. 4 at 3 (O’Neill Supplemental). </w:t>
      </w:r>
    </w:p>
  </w:footnote>
  <w:footnote w:id="56">
    <w:p w:rsidR="005C0D18" w:rsidRPr="00200242" w:rsidRDefault="005C0D18" w:rsidP="00200242">
      <w:pPr>
        <w:pStyle w:val="FootnoteText"/>
        <w:spacing w:after="120"/>
      </w:pPr>
      <w:r w:rsidRPr="00200242">
        <w:rPr>
          <w:rStyle w:val="FootnoteReference"/>
        </w:rPr>
        <w:footnoteRef/>
      </w:r>
      <w:r w:rsidRPr="00200242">
        <w:t xml:space="preserve"> DEO Ex. 1 at 7 (Frisic Direct). </w:t>
      </w:r>
    </w:p>
  </w:footnote>
  <w:footnote w:id="57">
    <w:p w:rsidR="005C0D18" w:rsidRPr="00200242" w:rsidRDefault="005C0D18" w:rsidP="00200242">
      <w:pPr>
        <w:pStyle w:val="FootnoteText"/>
        <w:spacing w:after="120"/>
      </w:pPr>
      <w:r w:rsidRPr="00200242">
        <w:rPr>
          <w:rStyle w:val="FootnoteReference"/>
        </w:rPr>
        <w:footnoteRef/>
      </w:r>
      <w:r w:rsidRPr="00200242">
        <w:t xml:space="preserve"> OCC Ex. 4 at 5 (O’Neill Supplemental). </w:t>
      </w:r>
    </w:p>
  </w:footnote>
  <w:footnote w:id="58">
    <w:p w:rsidR="005C0D18" w:rsidRPr="00200242" w:rsidRDefault="005C0D18" w:rsidP="00200242">
      <w:pPr>
        <w:pStyle w:val="FootnoteText"/>
        <w:spacing w:after="120"/>
      </w:pPr>
      <w:r w:rsidRPr="00200242">
        <w:rPr>
          <w:rStyle w:val="FootnoteReference"/>
        </w:rPr>
        <w:footnoteRef/>
      </w:r>
      <w:r w:rsidR="007D5EEF" w:rsidRPr="00200242">
        <w:t xml:space="preserve"> </w:t>
      </w:r>
      <w:r w:rsidR="007D5EEF" w:rsidRPr="00200242">
        <w:rPr>
          <w:i/>
        </w:rPr>
        <w:t>Id.</w:t>
      </w:r>
      <w:r w:rsidR="007D5EEF" w:rsidRPr="00200242">
        <w:t xml:space="preserve"> at 5-6</w:t>
      </w:r>
      <w:r w:rsidRPr="00200242">
        <w:t xml:space="preserve">. </w:t>
      </w:r>
    </w:p>
  </w:footnote>
  <w:footnote w:id="59">
    <w:p w:rsidR="005C0D18" w:rsidRPr="00200242" w:rsidRDefault="005C0D18" w:rsidP="00200242">
      <w:pPr>
        <w:pStyle w:val="FootnoteText"/>
        <w:spacing w:after="120"/>
      </w:pPr>
      <w:r w:rsidRPr="00200242">
        <w:rPr>
          <w:rStyle w:val="FootnoteReference"/>
        </w:rPr>
        <w:footnoteRef/>
      </w:r>
      <w:r w:rsidRPr="00200242">
        <w:t xml:space="preserve"> OCC Ex. 4 at 7-8 (O’Neill Supplemental). </w:t>
      </w:r>
    </w:p>
  </w:footnote>
  <w:footnote w:id="60">
    <w:p w:rsidR="005C0D18" w:rsidRPr="00200242" w:rsidRDefault="005C0D18" w:rsidP="00200242">
      <w:pPr>
        <w:pStyle w:val="FootnoteText"/>
        <w:spacing w:after="120"/>
      </w:pPr>
      <w:r w:rsidRPr="00200242">
        <w:rPr>
          <w:rStyle w:val="FootnoteReference"/>
        </w:rPr>
        <w:footnoteRef/>
      </w:r>
      <w:r w:rsidR="007D5EEF" w:rsidRPr="00200242">
        <w:t xml:space="preserve"> </w:t>
      </w:r>
      <w:r w:rsidR="007D5EEF" w:rsidRPr="00200242">
        <w:rPr>
          <w:i/>
        </w:rPr>
        <w:t>Id.</w:t>
      </w:r>
      <w:r w:rsidRPr="00200242">
        <w:t xml:space="preserve"> at 8.</w:t>
      </w:r>
    </w:p>
  </w:footnote>
  <w:footnote w:id="61">
    <w:p w:rsidR="005C0D18" w:rsidRPr="00200242" w:rsidRDefault="005C0D18" w:rsidP="00200242">
      <w:pPr>
        <w:pStyle w:val="FootnoteText"/>
        <w:spacing w:after="120"/>
      </w:pPr>
      <w:r w:rsidRPr="00200242">
        <w:rPr>
          <w:rStyle w:val="FootnoteReference"/>
        </w:rPr>
        <w:footnoteRef/>
      </w:r>
      <w:r w:rsidRPr="00200242">
        <w:t xml:space="preserve"> </w:t>
      </w:r>
      <w:r w:rsidR="007D5EEF" w:rsidRPr="00200242">
        <w:rPr>
          <w:i/>
        </w:rPr>
        <w:t>Id.</w:t>
      </w:r>
      <w:r w:rsidR="007D5EEF" w:rsidRPr="00200242">
        <w:t xml:space="preserve"> at </w:t>
      </w:r>
      <w:r w:rsidRPr="00200242">
        <w:t xml:space="preserve">9.  </w:t>
      </w:r>
    </w:p>
  </w:footnote>
  <w:footnote w:id="62">
    <w:p w:rsidR="005C0D18" w:rsidRPr="00200242" w:rsidRDefault="005C0D18" w:rsidP="00200242">
      <w:pPr>
        <w:pStyle w:val="FootnoteText"/>
        <w:spacing w:after="120"/>
      </w:pPr>
      <w:r w:rsidRPr="00200242">
        <w:rPr>
          <w:rStyle w:val="FootnoteReference"/>
        </w:rPr>
        <w:footnoteRef/>
      </w:r>
      <w:r w:rsidRPr="00200242">
        <w:t xml:space="preserve"> </w:t>
      </w:r>
      <w:r w:rsidR="007D5EEF" w:rsidRPr="00200242">
        <w:rPr>
          <w:i/>
        </w:rPr>
        <w:t>Id</w:t>
      </w:r>
      <w:r w:rsidRPr="00200242">
        <w:t>.</w:t>
      </w:r>
    </w:p>
  </w:footnote>
  <w:footnote w:id="63">
    <w:p w:rsidR="005C0D18" w:rsidRPr="00200242" w:rsidRDefault="005C0D18" w:rsidP="00200242">
      <w:pPr>
        <w:pStyle w:val="FootnoteText"/>
        <w:spacing w:after="120"/>
      </w:pPr>
      <w:r w:rsidRPr="00200242">
        <w:rPr>
          <w:rStyle w:val="FootnoteReference"/>
        </w:rPr>
        <w:footnoteRef/>
      </w:r>
      <w:r w:rsidR="007D5EEF" w:rsidRPr="00200242">
        <w:t xml:space="preserve"> </w:t>
      </w:r>
      <w:r w:rsidR="007D5EEF" w:rsidRPr="00200242">
        <w:rPr>
          <w:i/>
        </w:rPr>
        <w:t>Id.</w:t>
      </w:r>
      <w:r w:rsidRPr="00200242">
        <w:t xml:space="preserve"> at 6. </w:t>
      </w:r>
    </w:p>
  </w:footnote>
  <w:footnote w:id="64">
    <w:p w:rsidR="005C0D18" w:rsidRPr="00200242" w:rsidRDefault="005C0D18" w:rsidP="00200242">
      <w:pPr>
        <w:pStyle w:val="FootnoteText"/>
        <w:spacing w:after="120"/>
      </w:pPr>
      <w:r w:rsidRPr="00200242">
        <w:rPr>
          <w:rStyle w:val="FootnoteReference"/>
        </w:rPr>
        <w:footnoteRef/>
      </w:r>
      <w:r w:rsidRPr="00200242">
        <w:t xml:space="preserve"> OCC Ex. 4 at 6 (O’Neill Supplemental).</w:t>
      </w:r>
    </w:p>
  </w:footnote>
  <w:footnote w:id="65">
    <w:p w:rsidR="005C0D18" w:rsidRPr="00200242" w:rsidRDefault="005C0D18" w:rsidP="00200242">
      <w:pPr>
        <w:pStyle w:val="FootnoteText"/>
        <w:spacing w:after="120"/>
      </w:pPr>
      <w:r w:rsidRPr="00200242">
        <w:rPr>
          <w:rStyle w:val="FootnoteReference"/>
        </w:rPr>
        <w:footnoteRef/>
      </w:r>
      <w:r w:rsidR="007D5EEF" w:rsidRPr="00200242">
        <w:t xml:space="preserve"> </w:t>
      </w:r>
      <w:r w:rsidR="007D5EEF" w:rsidRPr="00200242">
        <w:rPr>
          <w:i/>
        </w:rPr>
        <w:t>Id.</w:t>
      </w:r>
      <w:r w:rsidR="007D5EEF" w:rsidRPr="00200242">
        <w:t xml:space="preserve"> at 10</w:t>
      </w:r>
      <w:r w:rsidRPr="00200242">
        <w:t xml:space="preserve">, citing </w:t>
      </w:r>
      <w:r w:rsidRPr="00200242">
        <w:rPr>
          <w:i/>
        </w:rPr>
        <w:t>In The Matter of an Adjustment of Gas Rates of Columbia Gas of Kentucky, Inc.</w:t>
      </w:r>
      <w:r w:rsidRPr="00200242">
        <w:t>, Kentucky Public Service Commission, Case No. 2009-00141, Volume 7, Direct Testimony of Steven Vitale.</w:t>
      </w:r>
    </w:p>
  </w:footnote>
  <w:footnote w:id="66">
    <w:p w:rsidR="005C0D18" w:rsidRPr="00200242" w:rsidRDefault="005C0D18" w:rsidP="00200242">
      <w:pPr>
        <w:pStyle w:val="FootnoteText"/>
        <w:spacing w:after="120"/>
      </w:pPr>
      <w:r w:rsidRPr="00200242">
        <w:rPr>
          <w:rStyle w:val="FootnoteReference"/>
        </w:rPr>
        <w:footnoteRef/>
      </w:r>
      <w:r w:rsidR="007D5EEF" w:rsidRPr="00200242">
        <w:t xml:space="preserve"> </w:t>
      </w:r>
      <w:r w:rsidR="007D5EEF" w:rsidRPr="00200242">
        <w:rPr>
          <w:i/>
        </w:rPr>
        <w:t>Id.</w:t>
      </w:r>
      <w:r w:rsidR="007D5EEF" w:rsidRPr="00200242">
        <w:t xml:space="preserve"> </w:t>
      </w:r>
      <w:r w:rsidRPr="00200242">
        <w:t>at 6</w:t>
      </w:r>
      <w:r w:rsidR="007D5EEF" w:rsidRPr="00200242">
        <w:t>,</w:t>
      </w:r>
      <w:r w:rsidRPr="00200242">
        <w:t xml:space="preserve"> citing </w:t>
      </w:r>
      <w:r w:rsidRPr="00200242">
        <w:rPr>
          <w:i/>
        </w:rPr>
        <w:t>In the Matter of Atlanta Gas Light Company</w:t>
      </w:r>
      <w:r w:rsidRPr="00200242">
        <w:t>, GA PSC docket 8516-U, Order (July 21, 1998).</w:t>
      </w:r>
    </w:p>
  </w:footnote>
  <w:footnote w:id="67">
    <w:p w:rsidR="005C0D18" w:rsidRPr="00200242" w:rsidRDefault="005C0D18" w:rsidP="00200242">
      <w:pPr>
        <w:pStyle w:val="FootnoteText"/>
        <w:spacing w:after="120"/>
      </w:pPr>
      <w:r w:rsidRPr="00200242">
        <w:rPr>
          <w:rStyle w:val="FootnoteReference"/>
        </w:rPr>
        <w:footnoteRef/>
      </w:r>
      <w:r w:rsidR="00F23EB4">
        <w:t xml:space="preserve"> </w:t>
      </w:r>
      <w:r w:rsidRPr="00200242">
        <w:rPr>
          <w:i/>
        </w:rPr>
        <w:t>See</w:t>
      </w:r>
      <w:r w:rsidRPr="00200242">
        <w:t xml:space="preserve"> R.C. §4909.154 (Requiring that “In fixing the just, reasonable, and compensatory rates…the public utilities commission shall not allow such operating and maintenance expenses of a public utility as are incurred by the utility through management policies or administrative practices that the commission considers imprudent.”).</w:t>
      </w:r>
    </w:p>
  </w:footnote>
  <w:footnote w:id="68">
    <w:p w:rsidR="005C0D18" w:rsidRPr="00200242" w:rsidRDefault="005C0D18" w:rsidP="00200242">
      <w:pPr>
        <w:pStyle w:val="FootnoteText"/>
        <w:spacing w:after="120"/>
      </w:pPr>
      <w:r w:rsidRPr="00200242">
        <w:rPr>
          <w:rStyle w:val="FootnoteReference"/>
        </w:rPr>
        <w:footnoteRef/>
      </w:r>
      <w:r w:rsidRPr="00200242">
        <w:t xml:space="preserve"> An explosion in costs in Peoples Gas Light &amp; Coke of Chicago for their accelerated main replacement program was seen to be so alarming that a third-party audit was conducted. This audit found that the utility was deficient in its cost management, and allowed contractors too much control over the program. </w:t>
      </w:r>
      <w:r w:rsidRPr="00200242">
        <w:rPr>
          <w:i/>
        </w:rPr>
        <w:t>See</w:t>
      </w:r>
      <w:r w:rsidRPr="00200242">
        <w:t xml:space="preserve"> OCC Ex. 3 at 23 (O’Neill Direct). </w:t>
      </w:r>
    </w:p>
  </w:footnote>
  <w:footnote w:id="69">
    <w:p w:rsidR="005C0D18" w:rsidRPr="00200242" w:rsidRDefault="005C0D18" w:rsidP="00200242">
      <w:pPr>
        <w:pStyle w:val="FootnoteText"/>
        <w:spacing w:after="120"/>
      </w:pPr>
      <w:r w:rsidRPr="00200242">
        <w:rPr>
          <w:rStyle w:val="FootnoteReference"/>
        </w:rPr>
        <w:footnoteRef/>
      </w:r>
      <w:r w:rsidRPr="00200242">
        <w:t xml:space="preserve"> Such an action would not be in compliance with the promotion of “adequate, reliable and reasonably priced gas service,” or be a “just and reasonable” increase. </w:t>
      </w:r>
      <w:r w:rsidRPr="00200242">
        <w:rPr>
          <w:i/>
        </w:rPr>
        <w:t>See</w:t>
      </w:r>
      <w:r w:rsidRPr="00200242">
        <w:t xml:space="preserve"> R.C. §4929.02(A)(1); R.C. §4929.05 (A)(3).</w:t>
      </w:r>
    </w:p>
  </w:footnote>
  <w:footnote w:id="70">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 xml:space="preserve">See </w:t>
      </w:r>
      <w:r w:rsidRPr="00200242">
        <w:t xml:space="preserve">OCC Ex. 3 at 26-27 (O’Neill Direct). </w:t>
      </w:r>
    </w:p>
  </w:footnote>
  <w:footnote w:id="71">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Id.</w:t>
      </w:r>
    </w:p>
  </w:footnote>
  <w:footnote w:id="72">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OCC Ex. 3 at 26-27 (O’Neill Direct).</w:t>
      </w:r>
    </w:p>
  </w:footnote>
  <w:footnote w:id="73">
    <w:p w:rsidR="005C0D18" w:rsidRPr="00200242" w:rsidRDefault="005C0D18" w:rsidP="00200242">
      <w:pPr>
        <w:pStyle w:val="FootnoteText"/>
        <w:spacing w:after="120"/>
      </w:pPr>
      <w:r w:rsidRPr="00200242">
        <w:rPr>
          <w:rStyle w:val="FootnoteReference"/>
        </w:rPr>
        <w:footnoteRef/>
      </w:r>
      <w:r w:rsidR="006A3126" w:rsidRPr="00200242">
        <w:t xml:space="preserve"> </w:t>
      </w:r>
      <w:r w:rsidR="006A3126" w:rsidRPr="00200242">
        <w:rPr>
          <w:i/>
        </w:rPr>
        <w:t>Id.</w:t>
      </w:r>
      <w:r w:rsidR="006A3126" w:rsidRPr="00200242">
        <w:t xml:space="preserve"> at 29</w:t>
      </w:r>
      <w:r w:rsidRPr="00200242">
        <w:t>.</w:t>
      </w:r>
    </w:p>
  </w:footnote>
  <w:footnote w:id="74">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w:t>
      </w:r>
      <w:r w:rsidR="006A3126" w:rsidRPr="00200242">
        <w:rPr>
          <w:i/>
        </w:rPr>
        <w:t>Id.</w:t>
      </w:r>
    </w:p>
  </w:footnote>
  <w:footnote w:id="75">
    <w:p w:rsidR="005C0D18" w:rsidRPr="00200242" w:rsidRDefault="005C0D18" w:rsidP="00200242">
      <w:pPr>
        <w:pStyle w:val="FootnoteText"/>
        <w:spacing w:after="120"/>
      </w:pPr>
      <w:r w:rsidRPr="00200242">
        <w:rPr>
          <w:rStyle w:val="FootnoteReference"/>
        </w:rPr>
        <w:footnoteRef/>
      </w:r>
      <w:r w:rsidRPr="00200242">
        <w:t xml:space="preserve"> DEO Ex. 4 at 4 (Reed Supplemental). </w:t>
      </w:r>
    </w:p>
  </w:footnote>
  <w:footnote w:id="76">
    <w:p w:rsidR="005C0D18" w:rsidRPr="00200242" w:rsidRDefault="005C0D18" w:rsidP="00200242">
      <w:pPr>
        <w:pStyle w:val="FootnoteText"/>
        <w:spacing w:after="120"/>
      </w:pPr>
      <w:r w:rsidRPr="00200242">
        <w:rPr>
          <w:rStyle w:val="FootnoteReference"/>
        </w:rPr>
        <w:footnoteRef/>
      </w:r>
      <w:r w:rsidRPr="00200242">
        <w:t xml:space="preserve"> OCC Ex. 3 at 29 (O’Neill Direct). </w:t>
      </w:r>
    </w:p>
  </w:footnote>
  <w:footnote w:id="77">
    <w:p w:rsidR="005C0D18" w:rsidRPr="00200242" w:rsidRDefault="005C0D18" w:rsidP="00200242">
      <w:pPr>
        <w:pStyle w:val="FootnoteText"/>
        <w:spacing w:after="120"/>
      </w:pPr>
      <w:r w:rsidRPr="00200242">
        <w:rPr>
          <w:rStyle w:val="FootnoteReference"/>
        </w:rPr>
        <w:footnoteRef/>
      </w:r>
      <w:r w:rsidRPr="00200242">
        <w:t xml:space="preserve"> </w:t>
      </w:r>
      <w:r w:rsidRPr="00200242">
        <w:rPr>
          <w:i/>
        </w:rPr>
        <w:t>See</w:t>
      </w:r>
      <w:r w:rsidRPr="00200242">
        <w:t xml:space="preserve"> R.C. §4929.05 (requiring the alternative rate plan be “just and reasonable.”).</w:t>
      </w:r>
    </w:p>
  </w:footnote>
  <w:footnote w:id="78">
    <w:p w:rsidR="005C0D18" w:rsidRPr="00200242" w:rsidRDefault="005C0D18" w:rsidP="00200242">
      <w:pPr>
        <w:pStyle w:val="FootnoteText"/>
        <w:spacing w:after="120"/>
      </w:pPr>
      <w:r w:rsidRPr="00200242">
        <w:rPr>
          <w:rStyle w:val="FootnoteReference"/>
        </w:rPr>
        <w:footnoteRef/>
      </w:r>
      <w:r w:rsidR="006A3126" w:rsidRPr="00200242">
        <w:t xml:space="preserve"> OCC Ex. 3 at 26-27 (O’Neill Direct)</w:t>
      </w:r>
      <w:r w:rsidRPr="0020024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D8" w:rsidRDefault="00E56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D8" w:rsidRDefault="00E56F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D8" w:rsidRDefault="00E56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21FB7"/>
    <w:multiLevelType w:val="hybridMultilevel"/>
    <w:tmpl w:val="5CD6E20E"/>
    <w:lvl w:ilvl="0" w:tplc="F786677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44EEF"/>
    <w:multiLevelType w:val="hybridMultilevel"/>
    <w:tmpl w:val="5F944138"/>
    <w:lvl w:ilvl="0" w:tplc="78B66B32">
      <w:start w:val="1"/>
      <w:numFmt w:val="upperLetter"/>
      <w:pStyle w:val="Heading2"/>
      <w:lvlText w:val="%1."/>
      <w:lvlJc w:val="left"/>
      <w:pPr>
        <w:ind w:left="61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525AFA"/>
    <w:multiLevelType w:val="hybridMultilevel"/>
    <w:tmpl w:val="6F10553A"/>
    <w:lvl w:ilvl="0" w:tplc="ED464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DB625BF"/>
    <w:multiLevelType w:val="hybridMultilevel"/>
    <w:tmpl w:val="DCCE538C"/>
    <w:lvl w:ilvl="0" w:tplc="A85C7164">
      <w:start w:val="1"/>
      <w:numFmt w:val="decimal"/>
      <w:pStyle w:val="Heading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6A"/>
    <w:rsid w:val="000009EA"/>
    <w:rsid w:val="00032B9C"/>
    <w:rsid w:val="0004658A"/>
    <w:rsid w:val="00053CD4"/>
    <w:rsid w:val="00057AB9"/>
    <w:rsid w:val="00061CEB"/>
    <w:rsid w:val="000620C0"/>
    <w:rsid w:val="000A6290"/>
    <w:rsid w:val="000B0314"/>
    <w:rsid w:val="000D0CE5"/>
    <w:rsid w:val="000D475C"/>
    <w:rsid w:val="000D730B"/>
    <w:rsid w:val="000E2213"/>
    <w:rsid w:val="000E283A"/>
    <w:rsid w:val="000F391E"/>
    <w:rsid w:val="000F7E12"/>
    <w:rsid w:val="00103C77"/>
    <w:rsid w:val="001053B2"/>
    <w:rsid w:val="00110CB6"/>
    <w:rsid w:val="001269E2"/>
    <w:rsid w:val="00127893"/>
    <w:rsid w:val="001359AF"/>
    <w:rsid w:val="00145066"/>
    <w:rsid w:val="001565DE"/>
    <w:rsid w:val="00170E05"/>
    <w:rsid w:val="00184AF5"/>
    <w:rsid w:val="001942CB"/>
    <w:rsid w:val="001B4688"/>
    <w:rsid w:val="001C7FAE"/>
    <w:rsid w:val="001D3384"/>
    <w:rsid w:val="00200242"/>
    <w:rsid w:val="002105EE"/>
    <w:rsid w:val="002308EB"/>
    <w:rsid w:val="002309C0"/>
    <w:rsid w:val="00233B31"/>
    <w:rsid w:val="00240588"/>
    <w:rsid w:val="0024235C"/>
    <w:rsid w:val="00246341"/>
    <w:rsid w:val="00251960"/>
    <w:rsid w:val="00253E15"/>
    <w:rsid w:val="002551F7"/>
    <w:rsid w:val="00271996"/>
    <w:rsid w:val="00277DB6"/>
    <w:rsid w:val="0028251F"/>
    <w:rsid w:val="00286B6A"/>
    <w:rsid w:val="00290C8A"/>
    <w:rsid w:val="0029720D"/>
    <w:rsid w:val="002A7E5E"/>
    <w:rsid w:val="002D3CAD"/>
    <w:rsid w:val="002E0615"/>
    <w:rsid w:val="002F72E0"/>
    <w:rsid w:val="003102A3"/>
    <w:rsid w:val="0032022B"/>
    <w:rsid w:val="003573CC"/>
    <w:rsid w:val="00364C03"/>
    <w:rsid w:val="00392C73"/>
    <w:rsid w:val="003937A5"/>
    <w:rsid w:val="00396CA2"/>
    <w:rsid w:val="003D474B"/>
    <w:rsid w:val="003D5871"/>
    <w:rsid w:val="003E753D"/>
    <w:rsid w:val="003F0713"/>
    <w:rsid w:val="003F173A"/>
    <w:rsid w:val="00426F59"/>
    <w:rsid w:val="00442A7E"/>
    <w:rsid w:val="00446DD6"/>
    <w:rsid w:val="00461D11"/>
    <w:rsid w:val="00482A07"/>
    <w:rsid w:val="00496AC0"/>
    <w:rsid w:val="004B1FF3"/>
    <w:rsid w:val="004B5ABE"/>
    <w:rsid w:val="004C433E"/>
    <w:rsid w:val="004D032C"/>
    <w:rsid w:val="004D449B"/>
    <w:rsid w:val="004D6628"/>
    <w:rsid w:val="004E3C13"/>
    <w:rsid w:val="004F2797"/>
    <w:rsid w:val="004F4ECE"/>
    <w:rsid w:val="00534EA6"/>
    <w:rsid w:val="0055001E"/>
    <w:rsid w:val="00560FDB"/>
    <w:rsid w:val="005633B4"/>
    <w:rsid w:val="00575F0E"/>
    <w:rsid w:val="00584F9F"/>
    <w:rsid w:val="00591F86"/>
    <w:rsid w:val="00593DB3"/>
    <w:rsid w:val="005A7D39"/>
    <w:rsid w:val="005C0D18"/>
    <w:rsid w:val="005D0068"/>
    <w:rsid w:val="005D5249"/>
    <w:rsid w:val="005D5D1B"/>
    <w:rsid w:val="005E4D83"/>
    <w:rsid w:val="005E6034"/>
    <w:rsid w:val="006014B8"/>
    <w:rsid w:val="0060605F"/>
    <w:rsid w:val="0060707C"/>
    <w:rsid w:val="006111C1"/>
    <w:rsid w:val="00616E1E"/>
    <w:rsid w:val="00617F25"/>
    <w:rsid w:val="006506EF"/>
    <w:rsid w:val="006511CA"/>
    <w:rsid w:val="006566AC"/>
    <w:rsid w:val="006712D1"/>
    <w:rsid w:val="00692CD5"/>
    <w:rsid w:val="006953C5"/>
    <w:rsid w:val="006A3126"/>
    <w:rsid w:val="006A687B"/>
    <w:rsid w:val="006C5BB8"/>
    <w:rsid w:val="006D0A26"/>
    <w:rsid w:val="006E093D"/>
    <w:rsid w:val="006E423F"/>
    <w:rsid w:val="006E5C9C"/>
    <w:rsid w:val="00711C90"/>
    <w:rsid w:val="00714196"/>
    <w:rsid w:val="007235B2"/>
    <w:rsid w:val="007262E4"/>
    <w:rsid w:val="00730B5E"/>
    <w:rsid w:val="007509DD"/>
    <w:rsid w:val="00760A0E"/>
    <w:rsid w:val="00781128"/>
    <w:rsid w:val="007831EE"/>
    <w:rsid w:val="00786943"/>
    <w:rsid w:val="007A3C1F"/>
    <w:rsid w:val="007A3E74"/>
    <w:rsid w:val="007A48CE"/>
    <w:rsid w:val="007C4B94"/>
    <w:rsid w:val="007D2C05"/>
    <w:rsid w:val="007D5BBF"/>
    <w:rsid w:val="007D5EEF"/>
    <w:rsid w:val="007F3346"/>
    <w:rsid w:val="00803286"/>
    <w:rsid w:val="00803962"/>
    <w:rsid w:val="00813AC1"/>
    <w:rsid w:val="00841553"/>
    <w:rsid w:val="0085457F"/>
    <w:rsid w:val="00857840"/>
    <w:rsid w:val="00861947"/>
    <w:rsid w:val="00876E1B"/>
    <w:rsid w:val="00882890"/>
    <w:rsid w:val="00887075"/>
    <w:rsid w:val="00892645"/>
    <w:rsid w:val="008A1D4C"/>
    <w:rsid w:val="008B16D6"/>
    <w:rsid w:val="008D0AD6"/>
    <w:rsid w:val="008D60E5"/>
    <w:rsid w:val="009069E5"/>
    <w:rsid w:val="009463C1"/>
    <w:rsid w:val="00956753"/>
    <w:rsid w:val="00965492"/>
    <w:rsid w:val="009707F8"/>
    <w:rsid w:val="009710F6"/>
    <w:rsid w:val="00973E7F"/>
    <w:rsid w:val="009A0D56"/>
    <w:rsid w:val="009A3D9D"/>
    <w:rsid w:val="009A5D3B"/>
    <w:rsid w:val="009A5F2B"/>
    <w:rsid w:val="009B5116"/>
    <w:rsid w:val="009B73FD"/>
    <w:rsid w:val="009C2412"/>
    <w:rsid w:val="009D197E"/>
    <w:rsid w:val="009D2012"/>
    <w:rsid w:val="009F061D"/>
    <w:rsid w:val="009F620C"/>
    <w:rsid w:val="00A03F95"/>
    <w:rsid w:val="00A40649"/>
    <w:rsid w:val="00A4212C"/>
    <w:rsid w:val="00A456FE"/>
    <w:rsid w:val="00A4770E"/>
    <w:rsid w:val="00A54E5A"/>
    <w:rsid w:val="00A56233"/>
    <w:rsid w:val="00A7761D"/>
    <w:rsid w:val="00A85E33"/>
    <w:rsid w:val="00A90E64"/>
    <w:rsid w:val="00A926B5"/>
    <w:rsid w:val="00AA2BA3"/>
    <w:rsid w:val="00AA4405"/>
    <w:rsid w:val="00AB1979"/>
    <w:rsid w:val="00AB1E5E"/>
    <w:rsid w:val="00AB304D"/>
    <w:rsid w:val="00AC2923"/>
    <w:rsid w:val="00AC332D"/>
    <w:rsid w:val="00AC5570"/>
    <w:rsid w:val="00AD5875"/>
    <w:rsid w:val="00AE4BCA"/>
    <w:rsid w:val="00B37D97"/>
    <w:rsid w:val="00B51287"/>
    <w:rsid w:val="00B52BB7"/>
    <w:rsid w:val="00B564D6"/>
    <w:rsid w:val="00B651E7"/>
    <w:rsid w:val="00B73DD4"/>
    <w:rsid w:val="00BA15E1"/>
    <w:rsid w:val="00BE5ED8"/>
    <w:rsid w:val="00BE7F47"/>
    <w:rsid w:val="00BF3EC8"/>
    <w:rsid w:val="00C03FDB"/>
    <w:rsid w:val="00C20380"/>
    <w:rsid w:val="00C4453C"/>
    <w:rsid w:val="00C460B9"/>
    <w:rsid w:val="00C51D27"/>
    <w:rsid w:val="00C6325E"/>
    <w:rsid w:val="00C706E6"/>
    <w:rsid w:val="00C73627"/>
    <w:rsid w:val="00C76C8B"/>
    <w:rsid w:val="00C96B8C"/>
    <w:rsid w:val="00CA08A5"/>
    <w:rsid w:val="00CA65FC"/>
    <w:rsid w:val="00CC6CC1"/>
    <w:rsid w:val="00CC7195"/>
    <w:rsid w:val="00CE114E"/>
    <w:rsid w:val="00CF33ED"/>
    <w:rsid w:val="00CF5F4D"/>
    <w:rsid w:val="00D10A35"/>
    <w:rsid w:val="00D149A8"/>
    <w:rsid w:val="00D254DA"/>
    <w:rsid w:val="00D26752"/>
    <w:rsid w:val="00D5215C"/>
    <w:rsid w:val="00D676B5"/>
    <w:rsid w:val="00D84EA0"/>
    <w:rsid w:val="00D94481"/>
    <w:rsid w:val="00DC67B1"/>
    <w:rsid w:val="00DE546A"/>
    <w:rsid w:val="00E00345"/>
    <w:rsid w:val="00E241ED"/>
    <w:rsid w:val="00E34BB5"/>
    <w:rsid w:val="00E56FD8"/>
    <w:rsid w:val="00E578CE"/>
    <w:rsid w:val="00E624BD"/>
    <w:rsid w:val="00E922AD"/>
    <w:rsid w:val="00EA7D55"/>
    <w:rsid w:val="00EB4610"/>
    <w:rsid w:val="00EE24EC"/>
    <w:rsid w:val="00EF32EF"/>
    <w:rsid w:val="00F06027"/>
    <w:rsid w:val="00F23EB4"/>
    <w:rsid w:val="00F44E82"/>
    <w:rsid w:val="00F45B2C"/>
    <w:rsid w:val="00F5088E"/>
    <w:rsid w:val="00F85911"/>
    <w:rsid w:val="00FB1FC2"/>
    <w:rsid w:val="00FB3045"/>
    <w:rsid w:val="00FC5AA8"/>
    <w:rsid w:val="00FC7967"/>
    <w:rsid w:val="00FD3EB0"/>
    <w:rsid w:val="00FD6092"/>
    <w:rsid w:val="00FE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C0D18"/>
    <w:pPr>
      <w:keepNext/>
      <w:keepLines/>
      <w:numPr>
        <w:numId w:val="1"/>
      </w:numPr>
      <w:spacing w:after="240"/>
      <w:ind w:left="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4B1FF3"/>
    <w:pPr>
      <w:keepNext/>
      <w:keepLines/>
      <w:numPr>
        <w:numId w:val="2"/>
      </w:numPr>
      <w:spacing w:after="240"/>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unhideWhenUsed/>
    <w:qFormat/>
    <w:rsid w:val="004B1FF3"/>
    <w:pPr>
      <w:keepNext/>
      <w:keepLines/>
      <w:numPr>
        <w:numId w:val="3"/>
      </w:numPr>
      <w:tabs>
        <w:tab w:val="left" w:pos="720"/>
        <w:tab w:val="left" w:pos="1440"/>
        <w:tab w:val="decimal" w:leader="dot" w:pos="8640"/>
      </w:tabs>
      <w:spacing w:after="240"/>
      <w:ind w:left="2160" w:right="72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FF3"/>
    <w:rPr>
      <w:rFonts w:ascii="Times New Roman Bold" w:eastAsiaTheme="majorEastAsia" w:hAnsi="Times New Roman Bold" w:cstheme="majorBidi"/>
      <w:b/>
      <w:bCs/>
      <w:sz w:val="24"/>
      <w:szCs w:val="20"/>
    </w:rPr>
  </w:style>
  <w:style w:type="character" w:customStyle="1" w:styleId="Heading1Char">
    <w:name w:val="Heading 1 Char"/>
    <w:basedOn w:val="DefaultParagraphFont"/>
    <w:link w:val="Heading1"/>
    <w:uiPriority w:val="9"/>
    <w:rsid w:val="005C0D1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4B1FF3"/>
    <w:rPr>
      <w:rFonts w:ascii="Times New Roman Bold" w:eastAsiaTheme="majorEastAsia" w:hAnsi="Times New Roman Bold" w:cstheme="majorBidi"/>
      <w:b/>
      <w:bCs/>
      <w:sz w:val="24"/>
      <w:szCs w:val="26"/>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fn"/>
    <w:basedOn w:val="Normal"/>
    <w:link w:val="FootnoteTextChar"/>
    <w:uiPriority w:val="99"/>
    <w:unhideWhenUsed/>
    <w:rsid w:val="00813AC1"/>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 Char Char,fn Char"/>
    <w:basedOn w:val="DefaultParagraphFont"/>
    <w:link w:val="FootnoteText"/>
    <w:uiPriority w:val="99"/>
    <w:rsid w:val="00813AC1"/>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813AC1"/>
    <w:pPr>
      <w:spacing w:line="480" w:lineRule="atLeast"/>
      <w:ind w:firstLine="720"/>
    </w:pPr>
  </w:style>
  <w:style w:type="character" w:customStyle="1" w:styleId="BodyTextIndent3Char">
    <w:name w:val="Body Text Indent 3 Char"/>
    <w:basedOn w:val="DefaultParagraphFont"/>
    <w:link w:val="BodyTextIndent3"/>
    <w:rsid w:val="00813AC1"/>
    <w:rPr>
      <w:rFonts w:ascii="Times New Roman" w:eastAsia="Times New Roman" w:hAnsi="Times New Roman" w:cs="Times New Roman"/>
      <w:sz w:val="24"/>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uiPriority w:val="99"/>
    <w:unhideWhenUsed/>
    <w:rsid w:val="00813AC1"/>
    <w:rPr>
      <w:vertAlign w:val="superscript"/>
    </w:rPr>
  </w:style>
  <w:style w:type="table" w:styleId="TableGrid">
    <w:name w:val="Table Grid"/>
    <w:basedOn w:val="TableNormal"/>
    <w:uiPriority w:val="59"/>
    <w:rsid w:val="0081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AC1"/>
    <w:pPr>
      <w:tabs>
        <w:tab w:val="center" w:pos="4680"/>
        <w:tab w:val="right" w:pos="9360"/>
      </w:tabs>
    </w:pPr>
  </w:style>
  <w:style w:type="character" w:customStyle="1" w:styleId="HeaderChar">
    <w:name w:val="Header Char"/>
    <w:basedOn w:val="DefaultParagraphFont"/>
    <w:link w:val="Header"/>
    <w:uiPriority w:val="99"/>
    <w:rsid w:val="00813AC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13AC1"/>
    <w:pPr>
      <w:tabs>
        <w:tab w:val="center" w:pos="4680"/>
        <w:tab w:val="right" w:pos="9360"/>
      </w:tabs>
    </w:pPr>
  </w:style>
  <w:style w:type="character" w:customStyle="1" w:styleId="FooterChar">
    <w:name w:val="Footer Char"/>
    <w:basedOn w:val="DefaultParagraphFont"/>
    <w:link w:val="Footer"/>
    <w:uiPriority w:val="99"/>
    <w:rsid w:val="00813AC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13AC1"/>
    <w:pPr>
      <w:spacing w:after="120"/>
      <w:ind w:left="360"/>
    </w:pPr>
  </w:style>
  <w:style w:type="character" w:customStyle="1" w:styleId="BodyTextIndentChar">
    <w:name w:val="Body Text Indent Char"/>
    <w:basedOn w:val="DefaultParagraphFont"/>
    <w:link w:val="BodyTextIndent"/>
    <w:uiPriority w:val="99"/>
    <w:semiHidden/>
    <w:rsid w:val="00813AC1"/>
    <w:rPr>
      <w:rFonts w:ascii="Times New Roman" w:eastAsia="Times New Roman" w:hAnsi="Times New Roman" w:cs="Times New Roman"/>
      <w:sz w:val="24"/>
      <w:szCs w:val="20"/>
    </w:rPr>
  </w:style>
  <w:style w:type="paragraph" w:styleId="ListParagraph">
    <w:name w:val="List Paragraph"/>
    <w:basedOn w:val="Normal"/>
    <w:uiPriority w:val="34"/>
    <w:qFormat/>
    <w:rsid w:val="00364C03"/>
    <w:pPr>
      <w:ind w:left="720"/>
      <w:contextualSpacing/>
    </w:pPr>
  </w:style>
  <w:style w:type="paragraph" w:styleId="TOCHeading">
    <w:name w:val="TOC Heading"/>
    <w:basedOn w:val="Heading1"/>
    <w:next w:val="Normal"/>
    <w:uiPriority w:val="39"/>
    <w:unhideWhenUsed/>
    <w:qFormat/>
    <w:rsid w:val="005A7D39"/>
    <w:pPr>
      <w:numPr>
        <w:numId w:val="0"/>
      </w:numPr>
      <w:spacing w:before="480"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1565DE"/>
    <w:pPr>
      <w:tabs>
        <w:tab w:val="decimal" w:leader="dot" w:pos="8640"/>
      </w:tabs>
      <w:spacing w:after="240"/>
      <w:ind w:left="720" w:hanging="720"/>
      <w:outlineLvl w:val="0"/>
    </w:pPr>
    <w:rPr>
      <w:caps/>
    </w:rPr>
  </w:style>
  <w:style w:type="paragraph" w:styleId="TOC2">
    <w:name w:val="toc 2"/>
    <w:basedOn w:val="Normal"/>
    <w:next w:val="Normal"/>
    <w:autoRedefine/>
    <w:uiPriority w:val="39"/>
    <w:unhideWhenUsed/>
    <w:rsid w:val="005C0D18"/>
    <w:pPr>
      <w:tabs>
        <w:tab w:val="decimal" w:leader="dot" w:pos="8640"/>
      </w:tabs>
      <w:spacing w:after="240"/>
      <w:ind w:left="1440" w:hanging="720"/>
    </w:pPr>
  </w:style>
  <w:style w:type="character" w:styleId="Hyperlink">
    <w:name w:val="Hyperlink"/>
    <w:basedOn w:val="DefaultParagraphFont"/>
    <w:uiPriority w:val="99"/>
    <w:unhideWhenUsed/>
    <w:rsid w:val="005A7D39"/>
    <w:rPr>
      <w:color w:val="0000FF" w:themeColor="hyperlink"/>
      <w:u w:val="single"/>
    </w:rPr>
  </w:style>
  <w:style w:type="paragraph" w:styleId="BalloonText">
    <w:name w:val="Balloon Text"/>
    <w:basedOn w:val="Normal"/>
    <w:link w:val="BalloonTextChar"/>
    <w:uiPriority w:val="99"/>
    <w:semiHidden/>
    <w:unhideWhenUsed/>
    <w:rsid w:val="005A7D39"/>
    <w:rPr>
      <w:rFonts w:ascii="Tahoma" w:hAnsi="Tahoma" w:cs="Tahoma"/>
      <w:sz w:val="16"/>
      <w:szCs w:val="16"/>
    </w:rPr>
  </w:style>
  <w:style w:type="character" w:customStyle="1" w:styleId="BalloonTextChar">
    <w:name w:val="Balloon Text Char"/>
    <w:basedOn w:val="DefaultParagraphFont"/>
    <w:link w:val="BalloonText"/>
    <w:uiPriority w:val="99"/>
    <w:semiHidden/>
    <w:rsid w:val="005A7D39"/>
    <w:rPr>
      <w:rFonts w:ascii="Tahoma" w:eastAsia="Times New Roman" w:hAnsi="Tahoma" w:cs="Tahoma"/>
      <w:sz w:val="16"/>
      <w:szCs w:val="16"/>
    </w:rPr>
  </w:style>
  <w:style w:type="table" w:styleId="LightShading">
    <w:name w:val="Light Shading"/>
    <w:basedOn w:val="TableNormal"/>
    <w:uiPriority w:val="60"/>
    <w:rsid w:val="00760A0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760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5C0D18"/>
    <w:pPr>
      <w:tabs>
        <w:tab w:val="decimal" w:leader="dot" w:pos="8640"/>
      </w:tabs>
      <w:spacing w:after="240"/>
      <w:ind w:left="2160" w:hanging="720"/>
    </w:pPr>
  </w:style>
  <w:style w:type="character" w:styleId="CommentReference">
    <w:name w:val="annotation reference"/>
    <w:basedOn w:val="DefaultParagraphFont"/>
    <w:uiPriority w:val="99"/>
    <w:semiHidden/>
    <w:unhideWhenUsed/>
    <w:rsid w:val="003F0713"/>
    <w:rPr>
      <w:sz w:val="16"/>
      <w:szCs w:val="16"/>
    </w:rPr>
  </w:style>
  <w:style w:type="paragraph" w:styleId="CommentText">
    <w:name w:val="annotation text"/>
    <w:basedOn w:val="Normal"/>
    <w:link w:val="CommentTextChar"/>
    <w:uiPriority w:val="99"/>
    <w:semiHidden/>
    <w:unhideWhenUsed/>
    <w:rsid w:val="003F0713"/>
    <w:rPr>
      <w:sz w:val="20"/>
    </w:rPr>
  </w:style>
  <w:style w:type="character" w:customStyle="1" w:styleId="CommentTextChar">
    <w:name w:val="Comment Text Char"/>
    <w:basedOn w:val="DefaultParagraphFont"/>
    <w:link w:val="CommentText"/>
    <w:uiPriority w:val="99"/>
    <w:semiHidden/>
    <w:rsid w:val="003F07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713"/>
    <w:rPr>
      <w:b/>
      <w:bCs/>
    </w:rPr>
  </w:style>
  <w:style w:type="character" w:customStyle="1" w:styleId="CommentSubjectChar">
    <w:name w:val="Comment Subject Char"/>
    <w:basedOn w:val="CommentTextChar"/>
    <w:link w:val="CommentSubject"/>
    <w:uiPriority w:val="99"/>
    <w:semiHidden/>
    <w:rsid w:val="003F0713"/>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2A7E5E"/>
    <w:rPr>
      <w:sz w:val="20"/>
    </w:rPr>
  </w:style>
  <w:style w:type="character" w:customStyle="1" w:styleId="EndnoteTextChar">
    <w:name w:val="Endnote Text Char"/>
    <w:basedOn w:val="DefaultParagraphFont"/>
    <w:link w:val="EndnoteText"/>
    <w:uiPriority w:val="99"/>
    <w:semiHidden/>
    <w:rsid w:val="002A7E5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A7E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C0D18"/>
    <w:pPr>
      <w:keepNext/>
      <w:keepLines/>
      <w:numPr>
        <w:numId w:val="1"/>
      </w:numPr>
      <w:spacing w:after="240"/>
      <w:ind w:left="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4B1FF3"/>
    <w:pPr>
      <w:keepNext/>
      <w:keepLines/>
      <w:numPr>
        <w:numId w:val="2"/>
      </w:numPr>
      <w:spacing w:after="240"/>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unhideWhenUsed/>
    <w:qFormat/>
    <w:rsid w:val="004B1FF3"/>
    <w:pPr>
      <w:keepNext/>
      <w:keepLines/>
      <w:numPr>
        <w:numId w:val="3"/>
      </w:numPr>
      <w:tabs>
        <w:tab w:val="left" w:pos="720"/>
        <w:tab w:val="left" w:pos="1440"/>
        <w:tab w:val="decimal" w:leader="dot" w:pos="8640"/>
      </w:tabs>
      <w:spacing w:after="240"/>
      <w:ind w:left="2160" w:right="72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FF3"/>
    <w:rPr>
      <w:rFonts w:ascii="Times New Roman Bold" w:eastAsiaTheme="majorEastAsia" w:hAnsi="Times New Roman Bold" w:cstheme="majorBidi"/>
      <w:b/>
      <w:bCs/>
      <w:sz w:val="24"/>
      <w:szCs w:val="20"/>
    </w:rPr>
  </w:style>
  <w:style w:type="character" w:customStyle="1" w:styleId="Heading1Char">
    <w:name w:val="Heading 1 Char"/>
    <w:basedOn w:val="DefaultParagraphFont"/>
    <w:link w:val="Heading1"/>
    <w:uiPriority w:val="9"/>
    <w:rsid w:val="005C0D1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4B1FF3"/>
    <w:rPr>
      <w:rFonts w:ascii="Times New Roman Bold" w:eastAsiaTheme="majorEastAsia" w:hAnsi="Times New Roman Bold" w:cstheme="majorBidi"/>
      <w:b/>
      <w:bCs/>
      <w:sz w:val="24"/>
      <w:szCs w:val="26"/>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fn"/>
    <w:basedOn w:val="Normal"/>
    <w:link w:val="FootnoteTextChar"/>
    <w:uiPriority w:val="99"/>
    <w:unhideWhenUsed/>
    <w:rsid w:val="00813AC1"/>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 Char Char,fn Char"/>
    <w:basedOn w:val="DefaultParagraphFont"/>
    <w:link w:val="FootnoteText"/>
    <w:uiPriority w:val="99"/>
    <w:rsid w:val="00813AC1"/>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813AC1"/>
    <w:pPr>
      <w:spacing w:line="480" w:lineRule="atLeast"/>
      <w:ind w:firstLine="720"/>
    </w:pPr>
  </w:style>
  <w:style w:type="character" w:customStyle="1" w:styleId="BodyTextIndent3Char">
    <w:name w:val="Body Text Indent 3 Char"/>
    <w:basedOn w:val="DefaultParagraphFont"/>
    <w:link w:val="BodyTextIndent3"/>
    <w:rsid w:val="00813AC1"/>
    <w:rPr>
      <w:rFonts w:ascii="Times New Roman" w:eastAsia="Times New Roman" w:hAnsi="Times New Roman" w:cs="Times New Roman"/>
      <w:sz w:val="24"/>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uiPriority w:val="99"/>
    <w:unhideWhenUsed/>
    <w:rsid w:val="00813AC1"/>
    <w:rPr>
      <w:vertAlign w:val="superscript"/>
    </w:rPr>
  </w:style>
  <w:style w:type="table" w:styleId="TableGrid">
    <w:name w:val="Table Grid"/>
    <w:basedOn w:val="TableNormal"/>
    <w:uiPriority w:val="59"/>
    <w:rsid w:val="0081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AC1"/>
    <w:pPr>
      <w:tabs>
        <w:tab w:val="center" w:pos="4680"/>
        <w:tab w:val="right" w:pos="9360"/>
      </w:tabs>
    </w:pPr>
  </w:style>
  <w:style w:type="character" w:customStyle="1" w:styleId="HeaderChar">
    <w:name w:val="Header Char"/>
    <w:basedOn w:val="DefaultParagraphFont"/>
    <w:link w:val="Header"/>
    <w:uiPriority w:val="99"/>
    <w:rsid w:val="00813AC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13AC1"/>
    <w:pPr>
      <w:tabs>
        <w:tab w:val="center" w:pos="4680"/>
        <w:tab w:val="right" w:pos="9360"/>
      </w:tabs>
    </w:pPr>
  </w:style>
  <w:style w:type="character" w:customStyle="1" w:styleId="FooterChar">
    <w:name w:val="Footer Char"/>
    <w:basedOn w:val="DefaultParagraphFont"/>
    <w:link w:val="Footer"/>
    <w:uiPriority w:val="99"/>
    <w:rsid w:val="00813AC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13AC1"/>
    <w:pPr>
      <w:spacing w:after="120"/>
      <w:ind w:left="360"/>
    </w:pPr>
  </w:style>
  <w:style w:type="character" w:customStyle="1" w:styleId="BodyTextIndentChar">
    <w:name w:val="Body Text Indent Char"/>
    <w:basedOn w:val="DefaultParagraphFont"/>
    <w:link w:val="BodyTextIndent"/>
    <w:uiPriority w:val="99"/>
    <w:semiHidden/>
    <w:rsid w:val="00813AC1"/>
    <w:rPr>
      <w:rFonts w:ascii="Times New Roman" w:eastAsia="Times New Roman" w:hAnsi="Times New Roman" w:cs="Times New Roman"/>
      <w:sz w:val="24"/>
      <w:szCs w:val="20"/>
    </w:rPr>
  </w:style>
  <w:style w:type="paragraph" w:styleId="ListParagraph">
    <w:name w:val="List Paragraph"/>
    <w:basedOn w:val="Normal"/>
    <w:uiPriority w:val="34"/>
    <w:qFormat/>
    <w:rsid w:val="00364C03"/>
    <w:pPr>
      <w:ind w:left="720"/>
      <w:contextualSpacing/>
    </w:pPr>
  </w:style>
  <w:style w:type="paragraph" w:styleId="TOCHeading">
    <w:name w:val="TOC Heading"/>
    <w:basedOn w:val="Heading1"/>
    <w:next w:val="Normal"/>
    <w:uiPriority w:val="39"/>
    <w:unhideWhenUsed/>
    <w:qFormat/>
    <w:rsid w:val="005A7D39"/>
    <w:pPr>
      <w:numPr>
        <w:numId w:val="0"/>
      </w:numPr>
      <w:spacing w:before="480"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1565DE"/>
    <w:pPr>
      <w:tabs>
        <w:tab w:val="decimal" w:leader="dot" w:pos="8640"/>
      </w:tabs>
      <w:spacing w:after="240"/>
      <w:ind w:left="720" w:hanging="720"/>
      <w:outlineLvl w:val="0"/>
    </w:pPr>
    <w:rPr>
      <w:caps/>
    </w:rPr>
  </w:style>
  <w:style w:type="paragraph" w:styleId="TOC2">
    <w:name w:val="toc 2"/>
    <w:basedOn w:val="Normal"/>
    <w:next w:val="Normal"/>
    <w:autoRedefine/>
    <w:uiPriority w:val="39"/>
    <w:unhideWhenUsed/>
    <w:rsid w:val="005C0D18"/>
    <w:pPr>
      <w:tabs>
        <w:tab w:val="decimal" w:leader="dot" w:pos="8640"/>
      </w:tabs>
      <w:spacing w:after="240"/>
      <w:ind w:left="1440" w:hanging="720"/>
    </w:pPr>
  </w:style>
  <w:style w:type="character" w:styleId="Hyperlink">
    <w:name w:val="Hyperlink"/>
    <w:basedOn w:val="DefaultParagraphFont"/>
    <w:uiPriority w:val="99"/>
    <w:unhideWhenUsed/>
    <w:rsid w:val="005A7D39"/>
    <w:rPr>
      <w:color w:val="0000FF" w:themeColor="hyperlink"/>
      <w:u w:val="single"/>
    </w:rPr>
  </w:style>
  <w:style w:type="paragraph" w:styleId="BalloonText">
    <w:name w:val="Balloon Text"/>
    <w:basedOn w:val="Normal"/>
    <w:link w:val="BalloonTextChar"/>
    <w:uiPriority w:val="99"/>
    <w:semiHidden/>
    <w:unhideWhenUsed/>
    <w:rsid w:val="005A7D39"/>
    <w:rPr>
      <w:rFonts w:ascii="Tahoma" w:hAnsi="Tahoma" w:cs="Tahoma"/>
      <w:sz w:val="16"/>
      <w:szCs w:val="16"/>
    </w:rPr>
  </w:style>
  <w:style w:type="character" w:customStyle="1" w:styleId="BalloonTextChar">
    <w:name w:val="Balloon Text Char"/>
    <w:basedOn w:val="DefaultParagraphFont"/>
    <w:link w:val="BalloonText"/>
    <w:uiPriority w:val="99"/>
    <w:semiHidden/>
    <w:rsid w:val="005A7D39"/>
    <w:rPr>
      <w:rFonts w:ascii="Tahoma" w:eastAsia="Times New Roman" w:hAnsi="Tahoma" w:cs="Tahoma"/>
      <w:sz w:val="16"/>
      <w:szCs w:val="16"/>
    </w:rPr>
  </w:style>
  <w:style w:type="table" w:styleId="LightShading">
    <w:name w:val="Light Shading"/>
    <w:basedOn w:val="TableNormal"/>
    <w:uiPriority w:val="60"/>
    <w:rsid w:val="00760A0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760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5C0D18"/>
    <w:pPr>
      <w:tabs>
        <w:tab w:val="decimal" w:leader="dot" w:pos="8640"/>
      </w:tabs>
      <w:spacing w:after="240"/>
      <w:ind w:left="2160" w:hanging="720"/>
    </w:pPr>
  </w:style>
  <w:style w:type="character" w:styleId="CommentReference">
    <w:name w:val="annotation reference"/>
    <w:basedOn w:val="DefaultParagraphFont"/>
    <w:uiPriority w:val="99"/>
    <w:semiHidden/>
    <w:unhideWhenUsed/>
    <w:rsid w:val="003F0713"/>
    <w:rPr>
      <w:sz w:val="16"/>
      <w:szCs w:val="16"/>
    </w:rPr>
  </w:style>
  <w:style w:type="paragraph" w:styleId="CommentText">
    <w:name w:val="annotation text"/>
    <w:basedOn w:val="Normal"/>
    <w:link w:val="CommentTextChar"/>
    <w:uiPriority w:val="99"/>
    <w:semiHidden/>
    <w:unhideWhenUsed/>
    <w:rsid w:val="003F0713"/>
    <w:rPr>
      <w:sz w:val="20"/>
    </w:rPr>
  </w:style>
  <w:style w:type="character" w:customStyle="1" w:styleId="CommentTextChar">
    <w:name w:val="Comment Text Char"/>
    <w:basedOn w:val="DefaultParagraphFont"/>
    <w:link w:val="CommentText"/>
    <w:uiPriority w:val="99"/>
    <w:semiHidden/>
    <w:rsid w:val="003F07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713"/>
    <w:rPr>
      <w:b/>
      <w:bCs/>
    </w:rPr>
  </w:style>
  <w:style w:type="character" w:customStyle="1" w:styleId="CommentSubjectChar">
    <w:name w:val="Comment Subject Char"/>
    <w:basedOn w:val="CommentTextChar"/>
    <w:link w:val="CommentSubject"/>
    <w:uiPriority w:val="99"/>
    <w:semiHidden/>
    <w:rsid w:val="003F0713"/>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2A7E5E"/>
    <w:rPr>
      <w:sz w:val="20"/>
    </w:rPr>
  </w:style>
  <w:style w:type="character" w:customStyle="1" w:styleId="EndnoteTextChar">
    <w:name w:val="Endnote Text Char"/>
    <w:basedOn w:val="DefaultParagraphFont"/>
    <w:link w:val="EndnoteText"/>
    <w:uiPriority w:val="99"/>
    <w:semiHidden/>
    <w:rsid w:val="002A7E5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A7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5421">
      <w:bodyDiv w:val="1"/>
      <w:marLeft w:val="0"/>
      <w:marRight w:val="0"/>
      <w:marTop w:val="0"/>
      <w:marBottom w:val="0"/>
      <w:divBdr>
        <w:top w:val="none" w:sz="0" w:space="0" w:color="auto"/>
        <w:left w:val="none" w:sz="0" w:space="0" w:color="auto"/>
        <w:bottom w:val="none" w:sz="0" w:space="0" w:color="auto"/>
        <w:right w:val="none" w:sz="0" w:space="0" w:color="auto"/>
      </w:divBdr>
    </w:div>
    <w:div w:id="14423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bair@occ.ohio.gov" TargetMode="External"/><Relationship Id="rId13" Type="http://schemas.openxmlformats.org/officeDocument/2006/relationships/footer" Target="footer2.xml"/><Relationship Id="rId18" Type="http://schemas.openxmlformats.org/officeDocument/2006/relationships/hyperlink" Target="mailto:Ajay.kumar@occ.ohio.go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odi.bair@occ.ohio.gov"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Ajay.kumar@occ.ohio.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3909</Words>
  <Characters>20939</Characters>
  <Application>Microsoft Office Word</Application>
  <DocSecurity>0</DocSecurity>
  <Lines>516</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2016-03-15T18:22:00Z</cp:lastPrinted>
  <dcterms:created xsi:type="dcterms:W3CDTF">2016-03-15T20:58:00Z</dcterms:created>
  <dcterms:modified xsi:type="dcterms:W3CDTF">2016-03-15T20:58:00Z</dcterms:modified>
  <cp:category> </cp:category>
  <cp:contentStatus> </cp:contentStatus>
</cp:coreProperties>
</file>