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40B60" w:rsidRPr="00466DAD" w:rsidP="00140B60" w14:paraId="3086E0F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66DAD">
        <w:rPr>
          <w:rFonts w:ascii="Times New Roman" w:hAnsi="Times New Roman" w:cs="Times New Roman"/>
          <w:b/>
          <w:bCs/>
          <w:sz w:val="24"/>
          <w:szCs w:val="24"/>
        </w:rPr>
        <w:t>BEFORE</w:t>
      </w:r>
    </w:p>
    <w:p w:rsidR="00140B60" w:rsidRPr="00466DAD" w:rsidP="00140B60" w14:paraId="4171FECF" w14:textId="77777777">
      <w:pPr>
        <w:pStyle w:val="HTMLPreformatted"/>
        <w:jc w:val="center"/>
        <w:rPr>
          <w:rFonts w:ascii="Times New Roman" w:hAnsi="Times New Roman" w:cs="Times New Roman"/>
          <w:b/>
          <w:bCs/>
          <w:sz w:val="24"/>
          <w:szCs w:val="24"/>
        </w:rPr>
      </w:pPr>
      <w:r w:rsidRPr="00466DAD">
        <w:rPr>
          <w:rFonts w:ascii="Times New Roman" w:hAnsi="Times New Roman" w:cs="Times New Roman"/>
          <w:b/>
          <w:bCs/>
          <w:sz w:val="24"/>
          <w:szCs w:val="24"/>
        </w:rPr>
        <w:t>THE PUBLIC UTILITIES COMMISSION OF OHIO</w:t>
      </w:r>
    </w:p>
    <w:p w:rsidR="00140B60" w:rsidRPr="00466DAD" w:rsidP="00140B60" w14:paraId="4D492E2E"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3C6E9404" w14:textId="77777777" w:rsidTr="00EE1D34">
        <w:tblPrEx>
          <w:tblW w:w="9360" w:type="dxa"/>
          <w:tblLook w:val="01E0"/>
        </w:tblPrEx>
        <w:trPr>
          <w:trHeight w:val="807"/>
        </w:trPr>
        <w:tc>
          <w:tcPr>
            <w:tcW w:w="4590" w:type="dxa"/>
            <w:shd w:val="clear" w:color="auto" w:fill="auto"/>
          </w:tcPr>
          <w:p w:rsidR="00140B60" w:rsidRPr="00466DAD" w:rsidP="00140B60" w14:paraId="0B7D7288"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In the Matter of the Review of the Power Purchase Agreement Rider of Ohio Power Company for 2018.</w:t>
            </w:r>
          </w:p>
          <w:p w:rsidR="00140B60" w:rsidRPr="00466DAD" w:rsidP="00140B60" w14:paraId="669F7A62" w14:textId="77777777">
            <w:pPr>
              <w:pStyle w:val="HTMLPreformatted"/>
              <w:rPr>
                <w:rFonts w:ascii="Times New Roman" w:hAnsi="Times New Roman" w:cs="Times New Roman"/>
                <w:sz w:val="24"/>
                <w:szCs w:val="24"/>
              </w:rPr>
            </w:pPr>
          </w:p>
          <w:p w:rsidR="00140B60" w:rsidRPr="00466DAD" w:rsidP="00140B60" w14:paraId="0F26FD89"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140B60" w:rsidRPr="00466DAD" w:rsidP="00140B60" w14:paraId="65D934E1"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58CE79D9"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04255912"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27D6B5D9" w14:textId="77777777">
            <w:pPr>
              <w:pStyle w:val="HTMLPreformatted"/>
              <w:rPr>
                <w:rFonts w:ascii="Times New Roman" w:hAnsi="Times New Roman" w:cs="Times New Roman"/>
                <w:sz w:val="24"/>
                <w:szCs w:val="24"/>
              </w:rPr>
            </w:pPr>
          </w:p>
          <w:p w:rsidR="00140B60" w:rsidRPr="00466DAD" w:rsidP="00140B60" w14:paraId="730B030C"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0880CC90"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503464B0"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EE1D34" w:rsidRPr="00466DAD" w:rsidP="00140B60" w14:paraId="05078C82" w14:textId="77777777">
            <w:pPr>
              <w:pStyle w:val="HTMLPreformatted"/>
              <w:rPr>
                <w:rFonts w:ascii="Times New Roman" w:hAnsi="Times New Roman" w:cs="Times New Roman"/>
                <w:sz w:val="24"/>
                <w:szCs w:val="24"/>
              </w:rPr>
            </w:pPr>
          </w:p>
          <w:p w:rsidR="00EE1D34" w:rsidRPr="00466DAD" w:rsidP="00140B60" w14:paraId="0DA5FF2B" w14:textId="77777777">
            <w:pPr>
              <w:pStyle w:val="HTMLPreformatted"/>
              <w:rPr>
                <w:rFonts w:ascii="Times New Roman" w:hAnsi="Times New Roman" w:cs="Times New Roman"/>
                <w:sz w:val="24"/>
                <w:szCs w:val="24"/>
              </w:rPr>
            </w:pPr>
          </w:p>
        </w:tc>
        <w:tc>
          <w:tcPr>
            <w:tcW w:w="4410" w:type="dxa"/>
            <w:shd w:val="clear" w:color="auto" w:fill="auto"/>
          </w:tcPr>
          <w:p w:rsidR="00140B60" w:rsidRPr="00466DAD" w:rsidP="00140B60" w14:paraId="343AC0FB" w14:textId="77777777">
            <w:pPr>
              <w:pStyle w:val="HTMLPreformatted"/>
              <w:rPr>
                <w:rFonts w:ascii="Times New Roman" w:hAnsi="Times New Roman" w:cs="Times New Roman"/>
                <w:sz w:val="24"/>
                <w:szCs w:val="24"/>
              </w:rPr>
            </w:pPr>
          </w:p>
          <w:p w:rsidR="00140B60" w:rsidRPr="00466DAD" w:rsidP="00140B60" w14:paraId="4D0A250A"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Case No. 18-1004-EL-RDR</w:t>
            </w:r>
          </w:p>
          <w:p w:rsidR="00140B60" w:rsidRPr="00466DAD" w:rsidP="00140B60" w14:paraId="193BD1E4" w14:textId="77777777">
            <w:pPr>
              <w:pStyle w:val="HTMLPreformatted"/>
              <w:rPr>
                <w:rFonts w:ascii="Times New Roman" w:hAnsi="Times New Roman" w:cs="Times New Roman"/>
                <w:sz w:val="24"/>
                <w:szCs w:val="24"/>
              </w:rPr>
            </w:pPr>
          </w:p>
          <w:p w:rsidR="00140B60" w:rsidRPr="00466DAD" w:rsidP="00140B60" w14:paraId="26EFE8D4" w14:textId="77777777">
            <w:pPr>
              <w:pStyle w:val="HTMLPreformatted"/>
              <w:rPr>
                <w:rFonts w:ascii="Times New Roman" w:hAnsi="Times New Roman" w:cs="Times New Roman"/>
                <w:sz w:val="24"/>
                <w:szCs w:val="24"/>
              </w:rPr>
            </w:pPr>
          </w:p>
          <w:p w:rsidR="00140B60" w:rsidRPr="00466DAD" w:rsidP="00140B60" w14:paraId="5CC3CE0D" w14:textId="77777777">
            <w:pPr>
              <w:pStyle w:val="HTMLPreformatted"/>
              <w:rPr>
                <w:rFonts w:ascii="Times New Roman" w:hAnsi="Times New Roman" w:cs="Times New Roman"/>
                <w:sz w:val="24"/>
                <w:szCs w:val="24"/>
              </w:rPr>
            </w:pPr>
          </w:p>
          <w:p w:rsidR="00140B60" w:rsidRPr="00466DAD" w:rsidP="00140B60" w14:paraId="5EC4BC09"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Case No. 18-1759-EL-RDR</w:t>
            </w:r>
          </w:p>
        </w:tc>
      </w:tr>
    </w:tbl>
    <w:p w:rsidR="00140B60" w:rsidRPr="00466DAD" w:rsidP="00140B60" w14:paraId="793122C2" w14:textId="77777777">
      <w:pPr>
        <w:pStyle w:val="HTMLPreformatted"/>
        <w:pBdr>
          <w:top w:val="single" w:sz="12" w:space="1" w:color="auto"/>
        </w:pBdr>
        <w:rPr>
          <w:rFonts w:ascii="Times New Roman" w:hAnsi="Times New Roman" w:cs="Times New Roman"/>
          <w:sz w:val="24"/>
          <w:szCs w:val="24"/>
        </w:rPr>
      </w:pPr>
    </w:p>
    <w:p w:rsidR="00B52C13" w:rsidRPr="00466DAD" w:rsidP="00140B60" w14:paraId="6D0F6D5A" w14:textId="2776DF0D">
      <w:pPr>
        <w:jc w:val="center"/>
        <w:rPr>
          <w:rFonts w:ascii="Times New Roman" w:eastAsia="Times New Roman" w:hAnsi="Times New Roman" w:cs="Times New Roman"/>
          <w:b/>
          <w:bCs/>
          <w:w w:val="90"/>
          <w:sz w:val="24"/>
          <w:szCs w:val="24"/>
        </w:rPr>
      </w:pPr>
      <w:r w:rsidRPr="00466DAD">
        <w:rPr>
          <w:rFonts w:ascii="Times New Roman" w:eastAsia="Times New Roman" w:hAnsi="Times New Roman" w:cs="Times New Roman"/>
          <w:b/>
          <w:bCs/>
          <w:w w:val="90"/>
          <w:sz w:val="24"/>
          <w:szCs w:val="24"/>
        </w:rPr>
        <w:t>REPLY</w:t>
      </w:r>
      <w:r w:rsidRPr="00466DAD" w:rsidR="00C401BF">
        <w:rPr>
          <w:rFonts w:ascii="Times New Roman" w:eastAsia="Times New Roman" w:hAnsi="Times New Roman" w:cs="Times New Roman"/>
          <w:b/>
          <w:bCs/>
          <w:w w:val="90"/>
          <w:sz w:val="24"/>
          <w:szCs w:val="24"/>
        </w:rPr>
        <w:t xml:space="preserve"> COMMENTS</w:t>
      </w:r>
      <w:r w:rsidRPr="00466DAD" w:rsidR="006E765A">
        <w:rPr>
          <w:rFonts w:ascii="Times New Roman" w:eastAsia="Times New Roman" w:hAnsi="Times New Roman" w:cs="Times New Roman"/>
          <w:b/>
          <w:bCs/>
          <w:w w:val="90"/>
          <w:sz w:val="24"/>
          <w:szCs w:val="24"/>
        </w:rPr>
        <w:t xml:space="preserve"> TO PROTECT CONSUMERS FROM </w:t>
      </w:r>
      <w:r w:rsidRPr="00466DAD" w:rsidR="000D531E">
        <w:rPr>
          <w:rFonts w:ascii="Times New Roman" w:eastAsia="Times New Roman" w:hAnsi="Times New Roman" w:cs="Times New Roman"/>
          <w:b/>
          <w:bCs/>
          <w:w w:val="90"/>
          <w:sz w:val="24"/>
          <w:szCs w:val="24"/>
        </w:rPr>
        <w:t xml:space="preserve">AEP’S </w:t>
      </w:r>
      <w:r w:rsidRPr="00466DAD" w:rsidR="006E765A">
        <w:rPr>
          <w:rFonts w:ascii="Times New Roman" w:eastAsia="Times New Roman" w:hAnsi="Times New Roman" w:cs="Times New Roman"/>
          <w:b/>
          <w:bCs/>
          <w:w w:val="90"/>
          <w:sz w:val="24"/>
          <w:szCs w:val="24"/>
        </w:rPr>
        <w:t>COAL PLANT CHARGES</w:t>
      </w:r>
    </w:p>
    <w:p w:rsidR="00140B60" w:rsidRPr="00466DAD" w:rsidP="00140B60" w14:paraId="03E2FFB9" w14:textId="77777777">
      <w:pPr>
        <w:jc w:val="center"/>
        <w:rPr>
          <w:rFonts w:ascii="Times New Roman" w:eastAsia="Times New Roman" w:hAnsi="Times New Roman" w:cs="Times New Roman"/>
          <w:b/>
          <w:bCs/>
          <w:sz w:val="24"/>
          <w:szCs w:val="24"/>
        </w:rPr>
      </w:pPr>
      <w:r w:rsidRPr="00466DAD">
        <w:rPr>
          <w:rFonts w:ascii="Times New Roman" w:eastAsia="Times New Roman" w:hAnsi="Times New Roman" w:cs="Times New Roman"/>
          <w:b/>
          <w:bCs/>
          <w:w w:val="90"/>
          <w:sz w:val="24"/>
          <w:szCs w:val="24"/>
        </w:rPr>
        <w:t>BY</w:t>
      </w:r>
    </w:p>
    <w:p w:rsidR="00140B60" w:rsidRPr="00466DAD" w:rsidP="00140B60" w14:paraId="36791095" w14:textId="77777777">
      <w:pPr>
        <w:jc w:val="center"/>
        <w:rPr>
          <w:rFonts w:ascii="Times New Roman" w:hAnsi="Times New Roman" w:cs="Times New Roman"/>
          <w:b/>
          <w:bCs/>
          <w:sz w:val="24"/>
          <w:szCs w:val="24"/>
        </w:rPr>
      </w:pPr>
      <w:r w:rsidRPr="00466DAD">
        <w:rPr>
          <w:rFonts w:ascii="Times New Roman" w:hAnsi="Times New Roman" w:cs="Times New Roman"/>
          <w:b/>
          <w:bCs/>
          <w:w w:val="105"/>
          <w:sz w:val="24"/>
          <w:szCs w:val="24"/>
        </w:rPr>
        <w:t>OFFICE</w:t>
      </w:r>
      <w:r w:rsidRPr="00466DAD">
        <w:rPr>
          <w:rFonts w:ascii="Times New Roman" w:hAnsi="Times New Roman" w:cs="Times New Roman"/>
          <w:b/>
          <w:bCs/>
          <w:spacing w:val="1"/>
          <w:w w:val="105"/>
          <w:sz w:val="24"/>
          <w:szCs w:val="24"/>
        </w:rPr>
        <w:t xml:space="preserve"> </w:t>
      </w:r>
      <w:r w:rsidRPr="00466DAD">
        <w:rPr>
          <w:rFonts w:ascii="Times New Roman" w:hAnsi="Times New Roman" w:cs="Times New Roman"/>
          <w:b/>
          <w:bCs/>
          <w:w w:val="105"/>
          <w:sz w:val="24"/>
          <w:szCs w:val="24"/>
        </w:rPr>
        <w:t>OF</w:t>
      </w:r>
      <w:r w:rsidRPr="00466DAD">
        <w:rPr>
          <w:rFonts w:ascii="Times New Roman" w:hAnsi="Times New Roman" w:cs="Times New Roman"/>
          <w:b/>
          <w:bCs/>
          <w:spacing w:val="-23"/>
          <w:w w:val="105"/>
          <w:sz w:val="24"/>
          <w:szCs w:val="24"/>
        </w:rPr>
        <w:t xml:space="preserve"> </w:t>
      </w:r>
      <w:r w:rsidRPr="00466DAD">
        <w:rPr>
          <w:rFonts w:ascii="Times New Roman" w:hAnsi="Times New Roman" w:cs="Times New Roman"/>
          <w:b/>
          <w:bCs/>
          <w:w w:val="105"/>
          <w:sz w:val="24"/>
          <w:szCs w:val="24"/>
        </w:rPr>
        <w:t>THE</w:t>
      </w:r>
      <w:r w:rsidRPr="00466DAD">
        <w:rPr>
          <w:rFonts w:ascii="Times New Roman" w:hAnsi="Times New Roman" w:cs="Times New Roman"/>
          <w:b/>
          <w:bCs/>
          <w:spacing w:val="-9"/>
          <w:w w:val="105"/>
          <w:sz w:val="24"/>
          <w:szCs w:val="24"/>
        </w:rPr>
        <w:t xml:space="preserve"> </w:t>
      </w:r>
      <w:r w:rsidRPr="00466DAD">
        <w:rPr>
          <w:rFonts w:ascii="Times New Roman" w:hAnsi="Times New Roman" w:cs="Times New Roman"/>
          <w:b/>
          <w:bCs/>
          <w:w w:val="105"/>
          <w:sz w:val="24"/>
          <w:szCs w:val="24"/>
        </w:rPr>
        <w:t>OHIO</w:t>
      </w:r>
      <w:r w:rsidRPr="00466DAD">
        <w:rPr>
          <w:rFonts w:ascii="Times New Roman" w:hAnsi="Times New Roman" w:cs="Times New Roman"/>
          <w:b/>
          <w:bCs/>
          <w:spacing w:val="1"/>
          <w:w w:val="105"/>
          <w:sz w:val="24"/>
          <w:szCs w:val="24"/>
        </w:rPr>
        <w:t xml:space="preserve"> </w:t>
      </w:r>
      <w:r w:rsidRPr="00466DAD">
        <w:rPr>
          <w:rFonts w:ascii="Times New Roman" w:hAnsi="Times New Roman" w:cs="Times New Roman"/>
          <w:b/>
          <w:bCs/>
          <w:w w:val="105"/>
          <w:sz w:val="24"/>
          <w:szCs w:val="24"/>
        </w:rPr>
        <w:t>CONSUMERS'</w:t>
      </w:r>
      <w:r w:rsidRPr="00466DAD">
        <w:rPr>
          <w:rFonts w:ascii="Times New Roman" w:hAnsi="Times New Roman" w:cs="Times New Roman"/>
          <w:b/>
          <w:bCs/>
          <w:spacing w:val="21"/>
          <w:w w:val="105"/>
          <w:sz w:val="24"/>
          <w:szCs w:val="24"/>
        </w:rPr>
        <w:t xml:space="preserve"> </w:t>
      </w:r>
      <w:r w:rsidRPr="00466DAD">
        <w:rPr>
          <w:rFonts w:ascii="Times New Roman" w:hAnsi="Times New Roman" w:cs="Times New Roman"/>
          <w:b/>
          <w:bCs/>
          <w:w w:val="105"/>
          <w:sz w:val="24"/>
          <w:szCs w:val="24"/>
        </w:rPr>
        <w:t>COUNSEL</w:t>
      </w:r>
    </w:p>
    <w:p w:rsidR="00140B60" w:rsidRPr="00466DAD" w:rsidP="00140B60" w14:paraId="5D7DFCB1" w14:textId="77777777">
      <w:pPr>
        <w:pBdr>
          <w:bottom w:val="single" w:sz="12" w:space="1" w:color="auto"/>
        </w:pBdr>
        <w:tabs>
          <w:tab w:val="left" w:pos="4320"/>
        </w:tabs>
        <w:rPr>
          <w:rFonts w:ascii="Times New Roman" w:hAnsi="Times New Roman" w:cs="Times New Roman"/>
          <w:sz w:val="24"/>
          <w:szCs w:val="24"/>
        </w:rPr>
      </w:pPr>
    </w:p>
    <w:p w:rsidR="00140B60" w:rsidRPr="00466DAD" w:rsidP="00140B60" w14:paraId="455406F7" w14:textId="77777777">
      <w:pPr>
        <w:tabs>
          <w:tab w:val="left" w:pos="4320"/>
        </w:tabs>
        <w:rPr>
          <w:rFonts w:ascii="Times New Roman" w:hAnsi="Times New Roman" w:cs="Times New Roman"/>
          <w:sz w:val="24"/>
          <w:szCs w:val="24"/>
        </w:rPr>
      </w:pPr>
    </w:p>
    <w:p w:rsidR="00140B60" w:rsidRPr="00466DAD" w:rsidP="00E34345" w14:paraId="439C047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EE1D34" w:rsidRPr="00466DAD" w:rsidP="00140B60" w14:paraId="53639DFF" w14:textId="77777777">
      <w:pPr>
        <w:pStyle w:val="Footer"/>
        <w:tabs>
          <w:tab w:val="left" w:pos="4320"/>
        </w:tabs>
        <w:ind w:left="4320"/>
        <w:rPr>
          <w:rFonts w:ascii="Times New Roman" w:hAnsi="Times New Roman" w:cs="Times New Roman"/>
          <w:sz w:val="24"/>
          <w:szCs w:val="24"/>
        </w:rPr>
      </w:pPr>
    </w:p>
    <w:p w:rsidR="00EE1D34" w:rsidRPr="00466DAD" w:rsidP="00140B60" w14:paraId="2FB120E5" w14:textId="77777777">
      <w:pPr>
        <w:pStyle w:val="Footer"/>
        <w:tabs>
          <w:tab w:val="left" w:pos="4320"/>
        </w:tabs>
        <w:ind w:left="4320"/>
        <w:rPr>
          <w:rFonts w:ascii="Times New Roman" w:hAnsi="Times New Roman" w:cs="Times New Roman"/>
          <w:sz w:val="24"/>
          <w:szCs w:val="24"/>
        </w:rPr>
      </w:pPr>
    </w:p>
    <w:p w:rsidR="00140B60" w:rsidRPr="00466DAD" w:rsidP="00140B60" w14:paraId="3947C231" w14:textId="77777777">
      <w:pPr>
        <w:pStyle w:val="Foote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Bruce Weston (0016973)</w:t>
      </w:r>
    </w:p>
    <w:p w:rsidR="00140B60" w:rsidRPr="00466DAD" w:rsidP="00140B60" w14:paraId="10F192D7"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Ohio Consumers’ Counsel</w:t>
      </w:r>
    </w:p>
    <w:p w:rsidR="00140B60" w:rsidRPr="00466DAD" w:rsidP="00140B60" w14:paraId="1E9B0F0F" w14:textId="77777777">
      <w:pPr>
        <w:pStyle w:val="ListParagraph"/>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ab/>
      </w:r>
    </w:p>
    <w:p w:rsidR="00140B60" w:rsidRPr="00466DAD" w:rsidP="00140B60" w14:paraId="3D9D7AD5"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Christopher Healey (0086027)</w:t>
      </w:r>
    </w:p>
    <w:p w:rsidR="00140B60" w:rsidRPr="00466DAD" w:rsidP="00140B60" w14:paraId="5D7E02B0"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Counsel of Record</w:t>
      </w:r>
    </w:p>
    <w:p w:rsidR="00140B60" w:rsidRPr="00466DAD" w:rsidP="00140B60" w14:paraId="4639F473"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William Michael (0070921)</w:t>
      </w:r>
    </w:p>
    <w:p w:rsidR="00140B60" w:rsidRPr="00466DAD" w:rsidP="00140B60" w14:paraId="3863C9CD"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John Finnigan (0018689)</w:t>
      </w:r>
      <w:r w:rsidRPr="00466DAD">
        <w:rPr>
          <w:rFonts w:ascii="Times New Roman" w:hAnsi="Times New Roman" w:cs="Times New Roman"/>
          <w:sz w:val="24"/>
          <w:szCs w:val="24"/>
        </w:rPr>
        <w:br/>
        <w:t>Assistant Consumers’ Counsel</w:t>
      </w:r>
    </w:p>
    <w:p w:rsidR="00AE3DA5" w:rsidRPr="00466DAD" w14:paraId="67419822" w14:textId="77777777">
      <w:pPr>
        <w:rPr>
          <w:rFonts w:ascii="Times New Roman" w:hAnsi="Times New Roman" w:cs="Times New Roman"/>
          <w:sz w:val="24"/>
          <w:szCs w:val="24"/>
        </w:rPr>
      </w:pPr>
    </w:p>
    <w:p w:rsidR="00140B60" w:rsidRPr="00466DAD" w:rsidP="00140B60" w14:paraId="5A76484F" w14:textId="77777777">
      <w:pPr>
        <w:tabs>
          <w:tab w:val="left" w:pos="4320"/>
        </w:tabs>
        <w:ind w:left="4320"/>
        <w:rPr>
          <w:rFonts w:ascii="Times New Roman" w:hAnsi="Times New Roman" w:cs="Times New Roman"/>
          <w:b/>
          <w:bCs/>
          <w:sz w:val="24"/>
          <w:szCs w:val="24"/>
        </w:rPr>
      </w:pPr>
      <w:r w:rsidRPr="00466DAD">
        <w:rPr>
          <w:rFonts w:ascii="Times New Roman" w:hAnsi="Times New Roman" w:cs="Times New Roman"/>
          <w:b/>
          <w:sz w:val="24"/>
          <w:szCs w:val="24"/>
        </w:rPr>
        <w:t>Office of the Ohio Consumers’ Counsel</w:t>
      </w:r>
    </w:p>
    <w:p w:rsidR="00140B60" w:rsidRPr="00466DAD" w:rsidP="00140B60" w14:paraId="06C0F77D" w14:textId="77777777">
      <w:pPr>
        <w:ind w:left="4320"/>
        <w:rPr>
          <w:rFonts w:ascii="Times New Roman" w:hAnsi="Times New Roman" w:cs="Times New Roman"/>
          <w:sz w:val="24"/>
          <w:szCs w:val="24"/>
        </w:rPr>
      </w:pPr>
      <w:r w:rsidRPr="00466DAD">
        <w:rPr>
          <w:rFonts w:ascii="Times New Roman" w:hAnsi="Times New Roman" w:cs="Times New Roman"/>
          <w:sz w:val="24"/>
          <w:szCs w:val="24"/>
        </w:rPr>
        <w:t xml:space="preserve">65 East State Street, </w:t>
      </w:r>
      <w:r w:rsidRPr="00466DAD" w:rsidR="00753316">
        <w:rPr>
          <w:rFonts w:ascii="Times New Roman" w:hAnsi="Times New Roman" w:cs="Times New Roman"/>
          <w:sz w:val="24"/>
          <w:szCs w:val="24"/>
        </w:rPr>
        <w:t>Suite 700</w:t>
      </w:r>
    </w:p>
    <w:p w:rsidR="00140B60" w:rsidRPr="00466DAD" w:rsidP="00140B60" w14:paraId="33E32265" w14:textId="77777777">
      <w:pPr>
        <w:ind w:left="4320"/>
        <w:rPr>
          <w:rFonts w:ascii="Times New Roman" w:hAnsi="Times New Roman" w:cs="Times New Roman"/>
          <w:sz w:val="24"/>
          <w:szCs w:val="24"/>
        </w:rPr>
      </w:pPr>
      <w:r w:rsidRPr="00466DAD">
        <w:rPr>
          <w:rFonts w:ascii="Times New Roman" w:hAnsi="Times New Roman" w:cs="Times New Roman"/>
          <w:sz w:val="24"/>
          <w:szCs w:val="24"/>
        </w:rPr>
        <w:t>Columbus, Ohio 43215</w:t>
      </w:r>
    </w:p>
    <w:p w:rsidR="00140B60" w:rsidRPr="00466DAD" w:rsidP="00140B60" w14:paraId="2BAB4812" w14:textId="77777777">
      <w:pPr>
        <w:autoSpaceDE w:val="0"/>
        <w:autoSpaceDN w:val="0"/>
        <w:adjustRightInd w:val="0"/>
        <w:ind w:left="4320"/>
        <w:rPr>
          <w:rFonts w:ascii="Times New Roman" w:hAnsi="Times New Roman" w:cs="Times New Roman"/>
          <w:sz w:val="24"/>
          <w:szCs w:val="24"/>
        </w:rPr>
      </w:pPr>
      <w:r w:rsidRPr="00466DAD">
        <w:rPr>
          <w:rFonts w:ascii="Times New Roman" w:hAnsi="Times New Roman" w:cs="Times New Roman"/>
          <w:sz w:val="24"/>
          <w:szCs w:val="24"/>
        </w:rPr>
        <w:t>Telephone [Healey]: (614) 466-9571</w:t>
      </w:r>
    </w:p>
    <w:p w:rsidR="00140B60" w:rsidRPr="00466DAD" w:rsidP="00140B60" w14:paraId="64F8AA09" w14:textId="77777777">
      <w:pPr>
        <w:autoSpaceDE w:val="0"/>
        <w:autoSpaceDN w:val="0"/>
        <w:adjustRightInd w:val="0"/>
        <w:ind w:left="4320"/>
        <w:rPr>
          <w:rFonts w:ascii="Times New Roman" w:hAnsi="Times New Roman" w:cs="Times New Roman"/>
          <w:sz w:val="24"/>
          <w:szCs w:val="24"/>
        </w:rPr>
      </w:pPr>
      <w:r w:rsidRPr="00466DAD">
        <w:rPr>
          <w:rFonts w:ascii="Times New Roman" w:hAnsi="Times New Roman" w:cs="Times New Roman"/>
          <w:sz w:val="24"/>
          <w:szCs w:val="24"/>
        </w:rPr>
        <w:t>Telephone [Michael]: (614) 466-1291</w:t>
      </w:r>
    </w:p>
    <w:p w:rsidR="00140B60" w:rsidRPr="00466DAD" w:rsidP="00140B60" w14:paraId="32A010C2" w14:textId="77777777">
      <w:pPr>
        <w:pStyle w:val="ListParagraph"/>
        <w:autoSpaceDE w:val="0"/>
        <w:autoSpaceDN w:val="0"/>
        <w:adjustRightInd w:val="0"/>
        <w:ind w:left="4320"/>
        <w:rPr>
          <w:rFonts w:ascii="Times New Roman" w:hAnsi="Times New Roman" w:cs="Times New Roman"/>
          <w:sz w:val="24"/>
          <w:szCs w:val="24"/>
        </w:rPr>
      </w:pPr>
      <w:r w:rsidRPr="00466DAD">
        <w:rPr>
          <w:rFonts w:ascii="Times New Roman" w:hAnsi="Times New Roman" w:cs="Times New Roman"/>
          <w:sz w:val="24"/>
          <w:szCs w:val="24"/>
        </w:rPr>
        <w:t>Telephone [Finnigan]: (614) 466-9585</w:t>
      </w:r>
    </w:p>
    <w:p w:rsidR="00140B60" w:rsidRPr="00466DAD" w:rsidP="00140B60" w14:paraId="41AFB51F" w14:textId="77777777">
      <w:pPr>
        <w:pStyle w:val="ListParagraph"/>
        <w:autoSpaceDE w:val="0"/>
        <w:autoSpaceDN w:val="0"/>
        <w:adjustRightInd w:val="0"/>
        <w:ind w:left="4320"/>
        <w:rPr>
          <w:rFonts w:ascii="Times New Roman" w:hAnsi="Times New Roman" w:cs="Times New Roman"/>
          <w:color w:val="0000FF"/>
          <w:sz w:val="24"/>
          <w:szCs w:val="24"/>
          <w:u w:val="single"/>
        </w:rPr>
      </w:pPr>
      <w:r w:rsidRPr="00466DAD">
        <w:rPr>
          <w:rFonts w:ascii="Times New Roman" w:hAnsi="Times New Roman" w:cs="Times New Roman"/>
          <w:color w:val="0000FF"/>
          <w:sz w:val="24"/>
          <w:szCs w:val="24"/>
          <w:u w:val="single"/>
        </w:rPr>
        <w:t>christopher.healey@occ.ohio.gov</w:t>
      </w:r>
    </w:p>
    <w:p w:rsidR="00140B60" w:rsidRPr="00466DAD" w:rsidP="00140B60" w14:paraId="0CC44D84" w14:textId="77777777">
      <w:pPr>
        <w:pStyle w:val="ListParagraph"/>
        <w:autoSpaceDE w:val="0"/>
        <w:autoSpaceDN w:val="0"/>
        <w:adjustRightInd w:val="0"/>
        <w:ind w:left="4320"/>
        <w:rPr>
          <w:rStyle w:val="Hyperlink"/>
          <w:rFonts w:ascii="Times New Roman" w:hAnsi="Times New Roman" w:cs="Times New Roman"/>
          <w:sz w:val="24"/>
          <w:szCs w:val="24"/>
        </w:rPr>
      </w:pPr>
      <w:r w:rsidRPr="00466DAD">
        <w:rPr>
          <w:rFonts w:ascii="Times New Roman" w:hAnsi="Times New Roman" w:cs="Times New Roman"/>
          <w:color w:val="0000FF"/>
          <w:sz w:val="24"/>
          <w:szCs w:val="24"/>
          <w:u w:val="single"/>
        </w:rPr>
        <w:t>william.michael@occ.ohio.gov</w:t>
      </w:r>
    </w:p>
    <w:p w:rsidR="00140B60" w:rsidRPr="00466DAD" w:rsidP="00140B60" w14:paraId="61DE7FF7" w14:textId="77777777">
      <w:pPr>
        <w:pStyle w:val="ListParagraph"/>
        <w:autoSpaceDE w:val="0"/>
        <w:autoSpaceDN w:val="0"/>
        <w:adjustRightInd w:val="0"/>
        <w:ind w:left="4320"/>
        <w:rPr>
          <w:rStyle w:val="Hyperlink"/>
          <w:rFonts w:ascii="Times New Roman" w:hAnsi="Times New Roman" w:cs="Times New Roman"/>
          <w:sz w:val="24"/>
          <w:szCs w:val="24"/>
        </w:rPr>
      </w:pPr>
      <w:r w:rsidRPr="00466DAD">
        <w:rPr>
          <w:rFonts w:ascii="Times New Roman" w:hAnsi="Times New Roman" w:cs="Times New Roman"/>
          <w:color w:val="0000FF"/>
          <w:sz w:val="24"/>
          <w:szCs w:val="24"/>
          <w:u w:val="single"/>
        </w:rPr>
        <w:t>john.finnigan@occ.ohio.gov</w:t>
      </w:r>
    </w:p>
    <w:p w:rsidR="00140B60" w:rsidRPr="00466DAD" w:rsidP="00EE1D34" w14:paraId="2FE01DB8" w14:textId="3FB5F85A">
      <w:pPr>
        <w:autoSpaceDE w:val="0"/>
        <w:autoSpaceDN w:val="0"/>
        <w:adjustRightInd w:val="0"/>
        <w:rPr>
          <w:rStyle w:val="Hyperlink"/>
          <w:rFonts w:ascii="Times New Roman" w:hAnsi="Times New Roman" w:cs="Times New Roman"/>
          <w:color w:val="auto"/>
          <w:sz w:val="24"/>
          <w:szCs w:val="24"/>
          <w:u w:val="none"/>
        </w:rPr>
      </w:pPr>
      <w:r w:rsidRPr="00466DAD">
        <w:rPr>
          <w:rStyle w:val="Hyperlink"/>
          <w:rFonts w:ascii="Times New Roman" w:hAnsi="Times New Roman" w:cs="Times New Roman"/>
          <w:color w:val="auto"/>
          <w:sz w:val="24"/>
          <w:szCs w:val="24"/>
          <w:u w:val="none"/>
        </w:rPr>
        <w:t>Dec</w:t>
      </w:r>
      <w:r w:rsidRPr="00466DAD" w:rsidR="00C401BF">
        <w:rPr>
          <w:rStyle w:val="Hyperlink"/>
          <w:rFonts w:ascii="Times New Roman" w:hAnsi="Times New Roman" w:cs="Times New Roman"/>
          <w:color w:val="auto"/>
          <w:sz w:val="24"/>
          <w:szCs w:val="24"/>
          <w:u w:val="none"/>
        </w:rPr>
        <w:t xml:space="preserve">ember </w:t>
      </w:r>
      <w:r w:rsidRPr="00466DAD">
        <w:rPr>
          <w:rStyle w:val="Hyperlink"/>
          <w:rFonts w:ascii="Times New Roman" w:hAnsi="Times New Roman" w:cs="Times New Roman"/>
          <w:color w:val="auto"/>
          <w:sz w:val="24"/>
          <w:szCs w:val="24"/>
          <w:u w:val="none"/>
        </w:rPr>
        <w:t>3</w:t>
      </w:r>
      <w:r w:rsidRPr="00466DAD" w:rsidR="00C401BF">
        <w:rPr>
          <w:rStyle w:val="Hyperlink"/>
          <w:rFonts w:ascii="Times New Roman" w:hAnsi="Times New Roman" w:cs="Times New Roman"/>
          <w:color w:val="auto"/>
          <w:sz w:val="24"/>
          <w:szCs w:val="24"/>
          <w:u w:val="none"/>
        </w:rPr>
        <w:t>, 2021</w:t>
      </w:r>
      <w:r w:rsidRPr="00466DAD" w:rsidR="00C401BF">
        <w:rPr>
          <w:rStyle w:val="Hyperlink"/>
          <w:rFonts w:ascii="Times New Roman" w:hAnsi="Times New Roman" w:cs="Times New Roman"/>
          <w:color w:val="auto"/>
          <w:sz w:val="24"/>
          <w:szCs w:val="24"/>
          <w:u w:val="none"/>
        </w:rPr>
        <w:tab/>
      </w:r>
      <w:r w:rsidRPr="00466DAD" w:rsidR="00C401BF">
        <w:rPr>
          <w:rStyle w:val="Hyperlink"/>
          <w:rFonts w:ascii="Times New Roman" w:hAnsi="Times New Roman" w:cs="Times New Roman"/>
          <w:color w:val="auto"/>
          <w:sz w:val="24"/>
          <w:szCs w:val="24"/>
          <w:u w:val="none"/>
        </w:rPr>
        <w:tab/>
      </w:r>
      <w:r w:rsidRPr="00466DAD" w:rsidR="00C401BF">
        <w:rPr>
          <w:rStyle w:val="Hyperlink"/>
          <w:rFonts w:ascii="Times New Roman" w:hAnsi="Times New Roman" w:cs="Times New Roman"/>
          <w:color w:val="auto"/>
          <w:sz w:val="24"/>
          <w:szCs w:val="24"/>
          <w:u w:val="none"/>
        </w:rPr>
        <w:tab/>
      </w:r>
      <w:r w:rsidRPr="00466DAD" w:rsidR="00C401BF">
        <w:rPr>
          <w:rStyle w:val="Hyperlink"/>
          <w:rFonts w:ascii="Times New Roman" w:hAnsi="Times New Roman" w:cs="Times New Roman"/>
          <w:color w:val="auto"/>
          <w:sz w:val="24"/>
          <w:szCs w:val="24"/>
          <w:u w:val="none"/>
        </w:rPr>
        <w:tab/>
        <w:t>(willing to accept service by e-mail)</w:t>
      </w:r>
    </w:p>
    <w:p w:rsidR="00543857" w:rsidRPr="00466DAD" w:rsidP="00EE1D34" w14:paraId="43E0E067" w14:textId="77777777">
      <w:pPr>
        <w:autoSpaceDE w:val="0"/>
        <w:autoSpaceDN w:val="0"/>
        <w:adjustRightInd w:val="0"/>
        <w:rPr>
          <w:rStyle w:val="Hyperlink"/>
          <w:rFonts w:ascii="Times New Roman" w:hAnsi="Times New Roman" w:cs="Times New Roman"/>
          <w:color w:val="auto"/>
          <w:sz w:val="24"/>
          <w:szCs w:val="24"/>
          <w:u w:val="none"/>
        </w:rPr>
      </w:pPr>
    </w:p>
    <w:p w:rsidR="00501B37" w:rsidRPr="00466DAD" w:rsidP="00EE1D34" w14:paraId="250DB0FA" w14:textId="77777777">
      <w:pPr>
        <w:autoSpaceDE w:val="0"/>
        <w:autoSpaceDN w:val="0"/>
        <w:adjustRightInd w:val="0"/>
        <w:rPr>
          <w:rStyle w:val="Hyperlink"/>
          <w:rFonts w:ascii="Times New Roman" w:hAnsi="Times New Roman" w:cs="Times New Roman"/>
          <w:color w:val="auto"/>
          <w:sz w:val="24"/>
          <w:szCs w:val="24"/>
          <w:u w:val="none"/>
        </w:rPr>
        <w:sectPr w:rsidSect="00E17C81">
          <w:footerReference w:type="even" r:id="rId6"/>
          <w:footerReference w:type="default" r:id="rId7"/>
          <w:pgSz w:w="12240" w:h="15840"/>
          <w:pgMar w:top="1440" w:right="1440" w:bottom="1440" w:left="1440" w:header="1547" w:footer="432" w:gutter="0"/>
          <w:pgNumType w:start="2"/>
          <w:cols w:space="720"/>
          <w:docGrid w:linePitch="299"/>
        </w:sectPr>
      </w:pPr>
    </w:p>
    <w:p w:rsidR="00543857" w:rsidRPr="00466DAD" w:rsidP="00543857" w14:paraId="194B2D55" w14:textId="77777777">
      <w:pPr>
        <w:autoSpaceDE w:val="0"/>
        <w:autoSpaceDN w:val="0"/>
        <w:adjustRightInd w:val="0"/>
        <w:jc w:val="center"/>
        <w:rPr>
          <w:rStyle w:val="Hyperlink"/>
          <w:rFonts w:ascii="Times New Roman" w:hAnsi="Times New Roman" w:cs="Times New Roman"/>
          <w:b/>
          <w:bCs/>
          <w:color w:val="auto"/>
          <w:sz w:val="24"/>
          <w:szCs w:val="24"/>
        </w:rPr>
      </w:pPr>
      <w:r w:rsidRPr="00466DAD">
        <w:rPr>
          <w:rStyle w:val="Hyperlink"/>
          <w:rFonts w:ascii="Times New Roman" w:hAnsi="Times New Roman" w:cs="Times New Roman"/>
          <w:b/>
          <w:bCs/>
          <w:color w:val="auto"/>
          <w:sz w:val="24"/>
          <w:szCs w:val="24"/>
        </w:rPr>
        <w:t>TABLE OF CONTENTS</w:t>
      </w:r>
    </w:p>
    <w:p w:rsidR="00543857" w:rsidRPr="00466DAD" w:rsidP="00543857" w14:paraId="7416C66E" w14:textId="77777777">
      <w:pPr>
        <w:autoSpaceDE w:val="0"/>
        <w:autoSpaceDN w:val="0"/>
        <w:adjustRightInd w:val="0"/>
        <w:jc w:val="center"/>
        <w:rPr>
          <w:rStyle w:val="Hyperlink"/>
          <w:rFonts w:ascii="Times New Roman" w:hAnsi="Times New Roman" w:cs="Times New Roman"/>
          <w:b/>
          <w:bCs/>
          <w:color w:val="auto"/>
          <w:sz w:val="24"/>
          <w:szCs w:val="24"/>
          <w:u w:val="none"/>
        </w:rPr>
      </w:pP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Pr>
          <w:rStyle w:val="Hyperlink"/>
          <w:rFonts w:ascii="Times New Roman" w:hAnsi="Times New Roman" w:cs="Times New Roman"/>
          <w:color w:val="auto"/>
          <w:sz w:val="24"/>
          <w:szCs w:val="24"/>
          <w:u w:val="none"/>
        </w:rPr>
        <w:tab/>
      </w:r>
      <w:r w:rsidRPr="00466DAD" w:rsidR="00501B37">
        <w:rPr>
          <w:rStyle w:val="Hyperlink"/>
          <w:rFonts w:ascii="Times New Roman" w:hAnsi="Times New Roman" w:cs="Times New Roman"/>
          <w:color w:val="auto"/>
          <w:sz w:val="24"/>
          <w:szCs w:val="24"/>
          <w:u w:val="none"/>
        </w:rPr>
        <w:t xml:space="preserve">           </w:t>
      </w:r>
      <w:r w:rsidRPr="00466DAD">
        <w:rPr>
          <w:rStyle w:val="Hyperlink"/>
          <w:rFonts w:ascii="Times New Roman" w:hAnsi="Times New Roman" w:cs="Times New Roman"/>
          <w:b/>
          <w:bCs/>
          <w:color w:val="auto"/>
          <w:sz w:val="24"/>
          <w:szCs w:val="24"/>
          <w:u w:val="none"/>
        </w:rPr>
        <w:t>PAGE</w:t>
      </w:r>
    </w:p>
    <w:p w:rsidR="00543857" w:rsidRPr="00466DAD" w:rsidP="00543857" w14:paraId="28C75EC7" w14:textId="77777777">
      <w:pPr>
        <w:autoSpaceDE w:val="0"/>
        <w:autoSpaceDN w:val="0"/>
        <w:adjustRightInd w:val="0"/>
        <w:jc w:val="center"/>
        <w:rPr>
          <w:rStyle w:val="Hyperlink"/>
          <w:rFonts w:ascii="Times New Roman" w:hAnsi="Times New Roman" w:cs="Times New Roman"/>
          <w:color w:val="auto"/>
          <w:sz w:val="24"/>
          <w:szCs w:val="24"/>
          <w:u w:val="none"/>
        </w:rPr>
      </w:pPr>
    </w:p>
    <w:p w:rsidR="00466DAD" w14:paraId="73B82BBB" w14:textId="6D927B36">
      <w:pPr>
        <w:pStyle w:val="TOC1"/>
        <w:rPr>
          <w:rFonts w:asciiTheme="minorHAnsi" w:eastAsiaTheme="minorEastAsia" w:hAnsiTheme="minorHAnsi"/>
          <w:caps w:val="0"/>
          <w:noProof/>
          <w:sz w:val="22"/>
        </w:rPr>
      </w:pPr>
      <w:r w:rsidRPr="00466DAD">
        <w:rPr>
          <w:rFonts w:cs="Times New Roman"/>
          <w:b/>
          <w:bCs/>
          <w:szCs w:val="24"/>
        </w:rPr>
        <w:fldChar w:fldCharType="begin"/>
      </w:r>
      <w:r w:rsidRPr="00466DAD">
        <w:rPr>
          <w:rFonts w:cs="Times New Roman"/>
          <w:b/>
          <w:bCs/>
          <w:szCs w:val="24"/>
        </w:rPr>
        <w:instrText xml:space="preserve"> TOC \o "1-3" \h \z \u </w:instrText>
      </w:r>
      <w:r w:rsidRPr="00466DAD">
        <w:rPr>
          <w:rFonts w:cs="Times New Roman"/>
          <w:b/>
          <w:bCs/>
          <w:szCs w:val="24"/>
        </w:rPr>
        <w:fldChar w:fldCharType="separate"/>
      </w:r>
      <w:hyperlink w:anchor="_Toc89419005" w:history="1">
        <w:r w:rsidRPr="008C455E">
          <w:rPr>
            <w:rStyle w:val="Hyperlink"/>
            <w:rFonts w:cs="Times New Roman"/>
            <w:noProof/>
          </w:rPr>
          <w:t>I.</w:t>
        </w:r>
        <w:r>
          <w:rPr>
            <w:rFonts w:asciiTheme="minorHAnsi" w:eastAsiaTheme="minorEastAsia" w:hAnsiTheme="minorHAnsi"/>
            <w:caps w:val="0"/>
            <w:noProof/>
            <w:sz w:val="22"/>
          </w:rPr>
          <w:tab/>
        </w:r>
        <w:r w:rsidRPr="008C455E">
          <w:rPr>
            <w:rStyle w:val="Hyperlink"/>
            <w:rFonts w:cs="Times New Roman"/>
            <w:noProof/>
          </w:rPr>
          <w:t>INTRODUCTION</w:t>
        </w:r>
        <w:r>
          <w:rPr>
            <w:noProof/>
            <w:webHidden/>
          </w:rPr>
          <w:tab/>
        </w:r>
        <w:r>
          <w:rPr>
            <w:noProof/>
            <w:webHidden/>
          </w:rPr>
          <w:fldChar w:fldCharType="begin"/>
        </w:r>
        <w:r>
          <w:rPr>
            <w:noProof/>
            <w:webHidden/>
          </w:rPr>
          <w:instrText xml:space="preserve"> PAGEREF _Toc89419005 \h </w:instrText>
        </w:r>
        <w:r>
          <w:rPr>
            <w:noProof/>
            <w:webHidden/>
          </w:rPr>
          <w:fldChar w:fldCharType="separate"/>
        </w:r>
        <w:r>
          <w:rPr>
            <w:noProof/>
            <w:webHidden/>
          </w:rPr>
          <w:t>1</w:t>
        </w:r>
        <w:r>
          <w:rPr>
            <w:noProof/>
            <w:webHidden/>
          </w:rPr>
          <w:fldChar w:fldCharType="end"/>
        </w:r>
      </w:hyperlink>
    </w:p>
    <w:p w:rsidR="00466DAD" w14:paraId="7B72ACED" w14:textId="1883828A">
      <w:pPr>
        <w:pStyle w:val="TOC1"/>
        <w:rPr>
          <w:rFonts w:asciiTheme="minorHAnsi" w:eastAsiaTheme="minorEastAsia" w:hAnsiTheme="minorHAnsi"/>
          <w:caps w:val="0"/>
          <w:noProof/>
          <w:sz w:val="22"/>
        </w:rPr>
      </w:pPr>
      <w:hyperlink w:anchor="_Toc89419006" w:history="1">
        <w:r w:rsidRPr="008C455E">
          <w:rPr>
            <w:rStyle w:val="Hyperlink"/>
            <w:rFonts w:cs="Times New Roman"/>
            <w:noProof/>
          </w:rPr>
          <w:t>II.</w:t>
        </w:r>
        <w:r>
          <w:rPr>
            <w:rFonts w:asciiTheme="minorHAnsi" w:eastAsiaTheme="minorEastAsia" w:hAnsiTheme="minorHAnsi"/>
            <w:caps w:val="0"/>
            <w:noProof/>
            <w:sz w:val="22"/>
          </w:rPr>
          <w:tab/>
        </w:r>
        <w:r w:rsidRPr="008C455E">
          <w:rPr>
            <w:rStyle w:val="Hyperlink"/>
            <w:rFonts w:cs="Times New Roman"/>
            <w:noProof/>
          </w:rPr>
          <w:t>RECOMMENDATIONS</w:t>
        </w:r>
        <w:r>
          <w:rPr>
            <w:noProof/>
            <w:webHidden/>
          </w:rPr>
          <w:tab/>
        </w:r>
        <w:r>
          <w:rPr>
            <w:noProof/>
            <w:webHidden/>
          </w:rPr>
          <w:fldChar w:fldCharType="begin"/>
        </w:r>
        <w:r>
          <w:rPr>
            <w:noProof/>
            <w:webHidden/>
          </w:rPr>
          <w:instrText xml:space="preserve"> PAGEREF _Toc89419006 \h </w:instrText>
        </w:r>
        <w:r>
          <w:rPr>
            <w:noProof/>
            <w:webHidden/>
          </w:rPr>
          <w:fldChar w:fldCharType="separate"/>
        </w:r>
        <w:r>
          <w:rPr>
            <w:noProof/>
            <w:webHidden/>
          </w:rPr>
          <w:t>1</w:t>
        </w:r>
        <w:r>
          <w:rPr>
            <w:noProof/>
            <w:webHidden/>
          </w:rPr>
          <w:fldChar w:fldCharType="end"/>
        </w:r>
      </w:hyperlink>
    </w:p>
    <w:p w:rsidR="00466DAD" w14:paraId="7960F402" w14:textId="33CE6FCD">
      <w:pPr>
        <w:pStyle w:val="TOC2"/>
        <w:tabs>
          <w:tab w:val="left" w:pos="1440"/>
        </w:tabs>
        <w:rPr>
          <w:rFonts w:asciiTheme="minorHAnsi" w:eastAsiaTheme="minorEastAsia" w:hAnsiTheme="minorHAnsi"/>
          <w:noProof/>
          <w:sz w:val="22"/>
        </w:rPr>
      </w:pPr>
      <w:hyperlink w:anchor="_Toc89419007" w:history="1">
        <w:r w:rsidRPr="008C455E">
          <w:rPr>
            <w:rStyle w:val="Hyperlink"/>
            <w:rFonts w:cs="Times New Roman"/>
            <w:noProof/>
          </w:rPr>
          <w:t>A.</w:t>
        </w:r>
        <w:r>
          <w:rPr>
            <w:rFonts w:asciiTheme="minorHAnsi" w:eastAsiaTheme="minorEastAsia" w:hAnsiTheme="minorHAnsi"/>
            <w:noProof/>
            <w:sz w:val="22"/>
          </w:rPr>
          <w:tab/>
        </w:r>
        <w:r w:rsidRPr="008C455E">
          <w:rPr>
            <w:rStyle w:val="Hyperlink"/>
            <w:rFonts w:cs="Times New Roman"/>
            <w:noProof/>
          </w:rPr>
          <w:t>To protect consumers, the PUCO should restore the Auditor’s original recommendations that the OVEC plants are “not in the best interests of the ratepayers.”</w:t>
        </w:r>
        <w:r>
          <w:rPr>
            <w:noProof/>
            <w:webHidden/>
          </w:rPr>
          <w:tab/>
        </w:r>
        <w:r>
          <w:rPr>
            <w:noProof/>
            <w:webHidden/>
          </w:rPr>
          <w:fldChar w:fldCharType="begin"/>
        </w:r>
        <w:r>
          <w:rPr>
            <w:noProof/>
            <w:webHidden/>
          </w:rPr>
          <w:instrText xml:space="preserve"> PAGEREF _Toc89419007 \h </w:instrText>
        </w:r>
        <w:r>
          <w:rPr>
            <w:noProof/>
            <w:webHidden/>
          </w:rPr>
          <w:fldChar w:fldCharType="separate"/>
        </w:r>
        <w:r>
          <w:rPr>
            <w:noProof/>
            <w:webHidden/>
          </w:rPr>
          <w:t>1</w:t>
        </w:r>
        <w:r>
          <w:rPr>
            <w:noProof/>
            <w:webHidden/>
          </w:rPr>
          <w:fldChar w:fldCharType="end"/>
        </w:r>
      </w:hyperlink>
    </w:p>
    <w:p w:rsidR="00466DAD" w14:paraId="177DF0EF" w14:textId="1F3E42AE">
      <w:pPr>
        <w:pStyle w:val="TOC2"/>
        <w:tabs>
          <w:tab w:val="left" w:pos="1440"/>
        </w:tabs>
        <w:rPr>
          <w:rFonts w:asciiTheme="minorHAnsi" w:eastAsiaTheme="minorEastAsia" w:hAnsiTheme="minorHAnsi"/>
          <w:noProof/>
          <w:sz w:val="22"/>
        </w:rPr>
      </w:pPr>
      <w:hyperlink w:anchor="_Toc89419008" w:history="1">
        <w:r w:rsidRPr="008C455E">
          <w:rPr>
            <w:rStyle w:val="Hyperlink"/>
            <w:rFonts w:cs="Times New Roman"/>
            <w:bCs/>
            <w:noProof/>
          </w:rPr>
          <w:t>B.</w:t>
        </w:r>
        <w:r>
          <w:rPr>
            <w:rFonts w:asciiTheme="minorHAnsi" w:eastAsiaTheme="minorEastAsia" w:hAnsiTheme="minorHAnsi"/>
            <w:noProof/>
            <w:sz w:val="22"/>
          </w:rPr>
          <w:tab/>
        </w:r>
        <w:r w:rsidRPr="008C455E">
          <w:rPr>
            <w:rStyle w:val="Hyperlink"/>
            <w:rFonts w:cs="Times New Roman"/>
            <w:noProof/>
          </w:rPr>
          <w:t>To protect consumers, the PUCO should disallow all OVEC costs collected by AEP because the costs are above the PJM market price, the consumer protection of competitive bidding was not used, and AEP failed to demonstrate that the costs were reasonable.</w:t>
        </w:r>
        <w:r>
          <w:rPr>
            <w:noProof/>
            <w:webHidden/>
          </w:rPr>
          <w:tab/>
        </w:r>
        <w:r>
          <w:rPr>
            <w:noProof/>
            <w:webHidden/>
          </w:rPr>
          <w:fldChar w:fldCharType="begin"/>
        </w:r>
        <w:r>
          <w:rPr>
            <w:noProof/>
            <w:webHidden/>
          </w:rPr>
          <w:instrText xml:space="preserve"> PAGEREF _Toc89419008 \h </w:instrText>
        </w:r>
        <w:r>
          <w:rPr>
            <w:noProof/>
            <w:webHidden/>
          </w:rPr>
          <w:fldChar w:fldCharType="separate"/>
        </w:r>
        <w:r>
          <w:rPr>
            <w:noProof/>
            <w:webHidden/>
          </w:rPr>
          <w:t>2</w:t>
        </w:r>
        <w:r>
          <w:rPr>
            <w:noProof/>
            <w:webHidden/>
          </w:rPr>
          <w:fldChar w:fldCharType="end"/>
        </w:r>
      </w:hyperlink>
    </w:p>
    <w:p w:rsidR="00466DAD" w14:paraId="5590AC35" w14:textId="7CE7771A">
      <w:pPr>
        <w:pStyle w:val="TOC3"/>
        <w:tabs>
          <w:tab w:val="left" w:pos="2160"/>
        </w:tabs>
        <w:rPr>
          <w:rFonts w:asciiTheme="minorHAnsi" w:eastAsiaTheme="minorEastAsia" w:hAnsiTheme="minorHAnsi"/>
          <w:noProof/>
          <w:sz w:val="22"/>
        </w:rPr>
      </w:pPr>
      <w:hyperlink w:anchor="_Toc89419009" w:history="1">
        <w:r w:rsidRPr="008C455E">
          <w:rPr>
            <w:rStyle w:val="Hyperlink"/>
            <w:rFonts w:cs="Times New Roman"/>
            <w:bCs/>
            <w:noProof/>
          </w:rPr>
          <w:t>1.</w:t>
        </w:r>
        <w:r>
          <w:rPr>
            <w:rFonts w:asciiTheme="minorHAnsi" w:eastAsiaTheme="minorEastAsia" w:hAnsiTheme="minorHAnsi"/>
            <w:noProof/>
            <w:sz w:val="22"/>
          </w:rPr>
          <w:tab/>
        </w:r>
        <w:r w:rsidRPr="008C455E">
          <w:rPr>
            <w:rStyle w:val="Hyperlink"/>
            <w:rFonts w:cs="Times New Roman"/>
            <w:noProof/>
          </w:rPr>
          <w:t>The PUCO should disallow AEP’s charges for OVEC costs in excess of PJM market prices because the costs are imprudent</w:t>
        </w:r>
        <w:r>
          <w:rPr>
            <w:noProof/>
            <w:webHidden/>
          </w:rPr>
          <w:tab/>
        </w:r>
        <w:r>
          <w:rPr>
            <w:noProof/>
            <w:webHidden/>
          </w:rPr>
          <w:fldChar w:fldCharType="begin"/>
        </w:r>
        <w:r>
          <w:rPr>
            <w:noProof/>
            <w:webHidden/>
          </w:rPr>
          <w:instrText xml:space="preserve"> PAGEREF _Toc89419009 \h </w:instrText>
        </w:r>
        <w:r>
          <w:rPr>
            <w:noProof/>
            <w:webHidden/>
          </w:rPr>
          <w:fldChar w:fldCharType="separate"/>
        </w:r>
        <w:r>
          <w:rPr>
            <w:noProof/>
            <w:webHidden/>
          </w:rPr>
          <w:t>5</w:t>
        </w:r>
        <w:r>
          <w:rPr>
            <w:noProof/>
            <w:webHidden/>
          </w:rPr>
          <w:fldChar w:fldCharType="end"/>
        </w:r>
      </w:hyperlink>
    </w:p>
    <w:p w:rsidR="00466DAD" w14:paraId="2A2B4D9D" w14:textId="03F88558">
      <w:pPr>
        <w:pStyle w:val="TOC3"/>
        <w:tabs>
          <w:tab w:val="left" w:pos="2160"/>
        </w:tabs>
        <w:rPr>
          <w:rFonts w:asciiTheme="minorHAnsi" w:eastAsiaTheme="minorEastAsia" w:hAnsiTheme="minorHAnsi"/>
          <w:noProof/>
          <w:sz w:val="22"/>
        </w:rPr>
      </w:pPr>
      <w:hyperlink w:anchor="_Toc89419010" w:history="1">
        <w:r w:rsidRPr="008C455E">
          <w:rPr>
            <w:rStyle w:val="Hyperlink"/>
            <w:rFonts w:cs="Times New Roman"/>
            <w:bCs/>
            <w:noProof/>
          </w:rPr>
          <w:t>2.</w:t>
        </w:r>
        <w:r>
          <w:rPr>
            <w:rFonts w:asciiTheme="minorHAnsi" w:eastAsiaTheme="minorEastAsia" w:hAnsiTheme="minorHAnsi"/>
            <w:noProof/>
            <w:sz w:val="22"/>
          </w:rPr>
          <w:tab/>
        </w:r>
        <w:r w:rsidRPr="008C455E">
          <w:rPr>
            <w:rStyle w:val="Hyperlink"/>
            <w:rFonts w:cs="Times New Roman"/>
            <w:noProof/>
          </w:rPr>
          <w:t>The PUCO should disallow AEP’s charges for OVEC costs in excess of PJM market prices due to actual OVEC losses in 2019 being substantially higher than projected</w:t>
        </w:r>
        <w:r>
          <w:rPr>
            <w:noProof/>
            <w:webHidden/>
          </w:rPr>
          <w:tab/>
        </w:r>
        <w:r>
          <w:rPr>
            <w:noProof/>
            <w:webHidden/>
          </w:rPr>
          <w:fldChar w:fldCharType="begin"/>
        </w:r>
        <w:r>
          <w:rPr>
            <w:noProof/>
            <w:webHidden/>
          </w:rPr>
          <w:instrText xml:space="preserve"> PAGEREF _Toc89419010 \h </w:instrText>
        </w:r>
        <w:r>
          <w:rPr>
            <w:noProof/>
            <w:webHidden/>
          </w:rPr>
          <w:fldChar w:fldCharType="separate"/>
        </w:r>
        <w:r>
          <w:rPr>
            <w:noProof/>
            <w:webHidden/>
          </w:rPr>
          <w:t>5</w:t>
        </w:r>
        <w:r>
          <w:rPr>
            <w:noProof/>
            <w:webHidden/>
          </w:rPr>
          <w:fldChar w:fldCharType="end"/>
        </w:r>
      </w:hyperlink>
    </w:p>
    <w:p w:rsidR="00466DAD" w14:paraId="5A4D4A23" w14:textId="7D890F1C">
      <w:pPr>
        <w:pStyle w:val="TOC3"/>
        <w:tabs>
          <w:tab w:val="left" w:pos="2160"/>
        </w:tabs>
        <w:rPr>
          <w:rFonts w:asciiTheme="minorHAnsi" w:eastAsiaTheme="minorEastAsia" w:hAnsiTheme="minorHAnsi"/>
          <w:noProof/>
          <w:sz w:val="22"/>
        </w:rPr>
      </w:pPr>
      <w:hyperlink w:anchor="_Toc89419011" w:history="1">
        <w:r w:rsidRPr="008C455E">
          <w:rPr>
            <w:rStyle w:val="Hyperlink"/>
            <w:rFonts w:cs="Times New Roman"/>
            <w:bCs/>
            <w:noProof/>
          </w:rPr>
          <w:t>3.</w:t>
        </w:r>
        <w:r>
          <w:rPr>
            <w:rFonts w:asciiTheme="minorHAnsi" w:eastAsiaTheme="minorEastAsia" w:hAnsiTheme="minorHAnsi"/>
            <w:noProof/>
            <w:sz w:val="22"/>
          </w:rPr>
          <w:tab/>
        </w:r>
        <w:r w:rsidRPr="008C455E">
          <w:rPr>
            <w:rStyle w:val="Hyperlink"/>
            <w:rFonts w:cs="Times New Roman"/>
            <w:noProof/>
          </w:rPr>
          <w:t>The PUCO should disallow AEP’s charges for OVEC costs in excess of PJM market prices due to new EPA rules that will substantially increase OVEC’s costs</w:t>
        </w:r>
        <w:r>
          <w:rPr>
            <w:noProof/>
            <w:webHidden/>
          </w:rPr>
          <w:tab/>
        </w:r>
        <w:r>
          <w:rPr>
            <w:noProof/>
            <w:webHidden/>
          </w:rPr>
          <w:fldChar w:fldCharType="begin"/>
        </w:r>
        <w:r>
          <w:rPr>
            <w:noProof/>
            <w:webHidden/>
          </w:rPr>
          <w:instrText xml:space="preserve"> PAGEREF _Toc89419011 \h </w:instrText>
        </w:r>
        <w:r>
          <w:rPr>
            <w:noProof/>
            <w:webHidden/>
          </w:rPr>
          <w:fldChar w:fldCharType="separate"/>
        </w:r>
        <w:r>
          <w:rPr>
            <w:noProof/>
            <w:webHidden/>
          </w:rPr>
          <w:t>7</w:t>
        </w:r>
        <w:r>
          <w:rPr>
            <w:noProof/>
            <w:webHidden/>
          </w:rPr>
          <w:fldChar w:fldCharType="end"/>
        </w:r>
      </w:hyperlink>
    </w:p>
    <w:p w:rsidR="00466DAD" w14:paraId="62221334" w14:textId="75775417">
      <w:pPr>
        <w:pStyle w:val="TOC3"/>
        <w:tabs>
          <w:tab w:val="left" w:pos="2160"/>
        </w:tabs>
        <w:rPr>
          <w:rFonts w:asciiTheme="minorHAnsi" w:eastAsiaTheme="minorEastAsia" w:hAnsiTheme="minorHAnsi"/>
          <w:noProof/>
          <w:sz w:val="22"/>
        </w:rPr>
      </w:pPr>
      <w:hyperlink w:anchor="_Toc89419012" w:history="1">
        <w:r w:rsidRPr="008C455E">
          <w:rPr>
            <w:rStyle w:val="Hyperlink"/>
            <w:rFonts w:cs="Times New Roman"/>
            <w:noProof/>
          </w:rPr>
          <w:t>4.</w:t>
        </w:r>
        <w:r>
          <w:rPr>
            <w:rFonts w:asciiTheme="minorHAnsi" w:eastAsiaTheme="minorEastAsia" w:hAnsiTheme="minorHAnsi"/>
            <w:noProof/>
            <w:sz w:val="22"/>
          </w:rPr>
          <w:tab/>
        </w:r>
        <w:r w:rsidRPr="008C455E">
          <w:rPr>
            <w:rStyle w:val="Hyperlink"/>
            <w:rFonts w:cs="Times New Roman"/>
            <w:noProof/>
          </w:rPr>
          <w:t>The PUCO should disallow AEP charges for OVEC costs in excess of PJM market prices for reasons similar to the Michigan Public Service Commission’s recent “warning” to an AEP affiliate on potential future denial of charges for OVEC.</w:t>
        </w:r>
        <w:r>
          <w:rPr>
            <w:noProof/>
            <w:webHidden/>
          </w:rPr>
          <w:tab/>
        </w:r>
        <w:r>
          <w:rPr>
            <w:noProof/>
            <w:webHidden/>
          </w:rPr>
          <w:fldChar w:fldCharType="begin"/>
        </w:r>
        <w:r>
          <w:rPr>
            <w:noProof/>
            <w:webHidden/>
          </w:rPr>
          <w:instrText xml:space="preserve"> PAGEREF _Toc89419012 \h </w:instrText>
        </w:r>
        <w:r>
          <w:rPr>
            <w:noProof/>
            <w:webHidden/>
          </w:rPr>
          <w:fldChar w:fldCharType="separate"/>
        </w:r>
        <w:r>
          <w:rPr>
            <w:noProof/>
            <w:webHidden/>
          </w:rPr>
          <w:t>8</w:t>
        </w:r>
        <w:r>
          <w:rPr>
            <w:noProof/>
            <w:webHidden/>
          </w:rPr>
          <w:fldChar w:fldCharType="end"/>
        </w:r>
      </w:hyperlink>
    </w:p>
    <w:p w:rsidR="00466DAD" w14:paraId="5047A0B5" w14:textId="7E7879D6">
      <w:pPr>
        <w:pStyle w:val="TOC2"/>
        <w:tabs>
          <w:tab w:val="left" w:pos="1440"/>
        </w:tabs>
        <w:rPr>
          <w:rFonts w:asciiTheme="minorHAnsi" w:eastAsiaTheme="minorEastAsia" w:hAnsiTheme="minorHAnsi"/>
          <w:noProof/>
          <w:sz w:val="22"/>
        </w:rPr>
      </w:pPr>
      <w:hyperlink w:anchor="_Toc89419013" w:history="1">
        <w:r w:rsidRPr="008C455E">
          <w:rPr>
            <w:rStyle w:val="Hyperlink"/>
            <w:rFonts w:cs="Times New Roman"/>
            <w:noProof/>
          </w:rPr>
          <w:t>C.</w:t>
        </w:r>
        <w:r>
          <w:rPr>
            <w:rFonts w:asciiTheme="minorHAnsi" w:eastAsiaTheme="minorEastAsia" w:hAnsiTheme="minorHAnsi"/>
            <w:noProof/>
            <w:sz w:val="22"/>
          </w:rPr>
          <w:tab/>
        </w:r>
        <w:r w:rsidRPr="008C455E">
          <w:rPr>
            <w:rStyle w:val="Hyperlink"/>
            <w:rFonts w:cs="Times New Roman"/>
            <w:noProof/>
          </w:rPr>
          <w:t>To protect consumers, the PUCO should disallow any costs collected by AEP that result from OVEC’s imprudent practices in managing the plants.</w:t>
        </w:r>
        <w:r>
          <w:rPr>
            <w:noProof/>
            <w:webHidden/>
          </w:rPr>
          <w:tab/>
        </w:r>
        <w:r>
          <w:rPr>
            <w:noProof/>
            <w:webHidden/>
          </w:rPr>
          <w:fldChar w:fldCharType="begin"/>
        </w:r>
        <w:r>
          <w:rPr>
            <w:noProof/>
            <w:webHidden/>
          </w:rPr>
          <w:instrText xml:space="preserve"> PAGEREF _Toc89419013 \h </w:instrText>
        </w:r>
        <w:r>
          <w:rPr>
            <w:noProof/>
            <w:webHidden/>
          </w:rPr>
          <w:fldChar w:fldCharType="separate"/>
        </w:r>
        <w:r>
          <w:rPr>
            <w:noProof/>
            <w:webHidden/>
          </w:rPr>
          <w:t>9</w:t>
        </w:r>
        <w:r>
          <w:rPr>
            <w:noProof/>
            <w:webHidden/>
          </w:rPr>
          <w:fldChar w:fldCharType="end"/>
        </w:r>
      </w:hyperlink>
    </w:p>
    <w:p w:rsidR="00466DAD" w14:paraId="66ED3264" w14:textId="765CFE7C">
      <w:pPr>
        <w:pStyle w:val="TOC1"/>
        <w:rPr>
          <w:rFonts w:asciiTheme="minorHAnsi" w:eastAsiaTheme="minorEastAsia" w:hAnsiTheme="minorHAnsi"/>
          <w:caps w:val="0"/>
          <w:noProof/>
          <w:sz w:val="22"/>
        </w:rPr>
      </w:pPr>
      <w:hyperlink w:anchor="_Toc89419014" w:history="1">
        <w:r w:rsidRPr="008C455E">
          <w:rPr>
            <w:rStyle w:val="Hyperlink"/>
            <w:rFonts w:cs="Times New Roman"/>
            <w:noProof/>
          </w:rPr>
          <w:t>III.</w:t>
        </w:r>
        <w:r>
          <w:rPr>
            <w:rFonts w:asciiTheme="minorHAnsi" w:eastAsiaTheme="minorEastAsia" w:hAnsiTheme="minorHAnsi"/>
            <w:caps w:val="0"/>
            <w:noProof/>
            <w:sz w:val="22"/>
          </w:rPr>
          <w:tab/>
        </w:r>
        <w:r w:rsidRPr="008C455E">
          <w:rPr>
            <w:rStyle w:val="Hyperlink"/>
            <w:rFonts w:cs="Times New Roman"/>
            <w:noProof/>
          </w:rPr>
          <w:t>CONCLUSION</w:t>
        </w:r>
        <w:r>
          <w:rPr>
            <w:noProof/>
            <w:webHidden/>
          </w:rPr>
          <w:tab/>
        </w:r>
        <w:r>
          <w:rPr>
            <w:noProof/>
            <w:webHidden/>
          </w:rPr>
          <w:fldChar w:fldCharType="begin"/>
        </w:r>
        <w:r>
          <w:rPr>
            <w:noProof/>
            <w:webHidden/>
          </w:rPr>
          <w:instrText xml:space="preserve"> PAGEREF _Toc89419014 \h </w:instrText>
        </w:r>
        <w:r>
          <w:rPr>
            <w:noProof/>
            <w:webHidden/>
          </w:rPr>
          <w:fldChar w:fldCharType="separate"/>
        </w:r>
        <w:r>
          <w:rPr>
            <w:noProof/>
            <w:webHidden/>
          </w:rPr>
          <w:t>10</w:t>
        </w:r>
        <w:r>
          <w:rPr>
            <w:noProof/>
            <w:webHidden/>
          </w:rPr>
          <w:fldChar w:fldCharType="end"/>
        </w:r>
      </w:hyperlink>
    </w:p>
    <w:p w:rsidR="00140B60" w:rsidRPr="00466DAD" w:rsidP="00E34345" w14:paraId="323C780A" w14:textId="34B323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66DAD">
        <w:rPr>
          <w:rFonts w:ascii="Times New Roman" w:hAnsi="Times New Roman" w:cs="Times New Roman"/>
          <w:b/>
          <w:bCs/>
          <w:sz w:val="24"/>
          <w:szCs w:val="24"/>
        </w:rPr>
        <w:fldChar w:fldCharType="end"/>
      </w:r>
    </w:p>
    <w:p w:rsidR="00140B60" w:rsidRPr="00466DAD" w:rsidP="00E34345" w14:paraId="54D5F41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140B60" w:rsidRPr="00466DAD" w:rsidP="00E34345" w14:paraId="2F021C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sectPr w:rsidSect="00501B37">
          <w:footerReference w:type="default" r:id="rId8"/>
          <w:pgSz w:w="12240" w:h="15840"/>
          <w:pgMar w:top="1440" w:right="1440" w:bottom="1440" w:left="1440" w:header="1547" w:footer="432" w:gutter="0"/>
          <w:pgNumType w:fmt="lowerRoman" w:start="1"/>
          <w:cols w:space="720"/>
          <w:docGrid w:linePitch="299"/>
        </w:sectPr>
      </w:pPr>
    </w:p>
    <w:p w:rsidR="004065F9" w:rsidRPr="00466DAD" w:rsidP="00E34345" w14:paraId="7EFCF40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66DAD">
        <w:rPr>
          <w:rFonts w:ascii="Times New Roman" w:hAnsi="Times New Roman" w:cs="Times New Roman"/>
          <w:b/>
          <w:bCs/>
          <w:sz w:val="24"/>
          <w:szCs w:val="24"/>
        </w:rPr>
        <w:t>BEFORE</w:t>
      </w:r>
    </w:p>
    <w:p w:rsidR="004065F9" w:rsidRPr="00466DAD" w:rsidP="004065F9" w14:paraId="492B720F" w14:textId="77777777">
      <w:pPr>
        <w:pStyle w:val="HTMLPreformatted"/>
        <w:jc w:val="center"/>
        <w:rPr>
          <w:rFonts w:ascii="Times New Roman" w:hAnsi="Times New Roman" w:cs="Times New Roman"/>
          <w:b/>
          <w:bCs/>
          <w:sz w:val="24"/>
          <w:szCs w:val="24"/>
        </w:rPr>
      </w:pPr>
      <w:r w:rsidRPr="00466DAD">
        <w:rPr>
          <w:rFonts w:ascii="Times New Roman" w:hAnsi="Times New Roman" w:cs="Times New Roman"/>
          <w:b/>
          <w:bCs/>
          <w:sz w:val="24"/>
          <w:szCs w:val="24"/>
        </w:rPr>
        <w:t>THE PUBLIC UTILITIES COMMISSION OF OHIO</w:t>
      </w:r>
    </w:p>
    <w:p w:rsidR="00140B60" w:rsidRPr="00466DAD" w:rsidP="00140B60" w14:paraId="22C3937A"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35A3BA4A" w14:textId="77777777" w:rsidTr="00140B60">
        <w:tblPrEx>
          <w:tblW w:w="9360" w:type="dxa"/>
          <w:tblLook w:val="01E0"/>
        </w:tblPrEx>
        <w:trPr>
          <w:trHeight w:val="807"/>
        </w:trPr>
        <w:tc>
          <w:tcPr>
            <w:tcW w:w="4590" w:type="dxa"/>
            <w:shd w:val="clear" w:color="auto" w:fill="auto"/>
          </w:tcPr>
          <w:p w:rsidR="00140B60" w:rsidRPr="00466DAD" w:rsidP="00140B60" w14:paraId="43FD639F"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In the Matter of the Review of the Power Purchase Agreement Rider of Ohio Power Company for 2018.</w:t>
            </w:r>
          </w:p>
          <w:p w:rsidR="00140B60" w:rsidRPr="00466DAD" w:rsidP="00140B60" w14:paraId="6AE39C5B" w14:textId="77777777">
            <w:pPr>
              <w:pStyle w:val="HTMLPreformatted"/>
              <w:rPr>
                <w:rFonts w:ascii="Times New Roman" w:hAnsi="Times New Roman" w:cs="Times New Roman"/>
                <w:sz w:val="24"/>
                <w:szCs w:val="24"/>
              </w:rPr>
            </w:pPr>
          </w:p>
          <w:p w:rsidR="00140B60" w:rsidRPr="00466DAD" w:rsidP="00140B60" w14:paraId="38F247D8"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140B60" w:rsidRPr="00466DAD" w:rsidP="00140B60" w14:paraId="41BAFBD1"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3D5B4C4E"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728B1BD5"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5DB7AFDD" w14:textId="77777777">
            <w:pPr>
              <w:pStyle w:val="HTMLPreformatted"/>
              <w:rPr>
                <w:rFonts w:ascii="Times New Roman" w:hAnsi="Times New Roman" w:cs="Times New Roman"/>
                <w:sz w:val="24"/>
                <w:szCs w:val="24"/>
              </w:rPr>
            </w:pPr>
          </w:p>
          <w:p w:rsidR="00140B60" w:rsidRPr="00466DAD" w:rsidP="00140B60" w14:paraId="6AE2AA4B"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14ABE680"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p w:rsidR="00140B60" w:rsidRPr="00466DAD" w:rsidP="00140B60" w14:paraId="21B67BAB"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w:t>
            </w:r>
          </w:p>
        </w:tc>
        <w:tc>
          <w:tcPr>
            <w:tcW w:w="4410" w:type="dxa"/>
            <w:shd w:val="clear" w:color="auto" w:fill="auto"/>
          </w:tcPr>
          <w:p w:rsidR="00140B60" w:rsidRPr="00466DAD" w:rsidP="00140B60" w14:paraId="70B30751" w14:textId="77777777">
            <w:pPr>
              <w:pStyle w:val="HTMLPreformatted"/>
              <w:rPr>
                <w:rFonts w:ascii="Times New Roman" w:hAnsi="Times New Roman" w:cs="Times New Roman"/>
                <w:sz w:val="24"/>
                <w:szCs w:val="24"/>
              </w:rPr>
            </w:pPr>
          </w:p>
          <w:p w:rsidR="00140B60" w:rsidRPr="00466DAD" w:rsidP="00140B60" w14:paraId="1F2C911C"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Case No. 18-1004-EL-RDR</w:t>
            </w:r>
          </w:p>
          <w:p w:rsidR="00140B60" w:rsidRPr="00466DAD" w:rsidP="00140B60" w14:paraId="0BC79B31" w14:textId="77777777">
            <w:pPr>
              <w:pStyle w:val="HTMLPreformatted"/>
              <w:rPr>
                <w:rFonts w:ascii="Times New Roman" w:hAnsi="Times New Roman" w:cs="Times New Roman"/>
                <w:sz w:val="24"/>
                <w:szCs w:val="24"/>
              </w:rPr>
            </w:pPr>
          </w:p>
          <w:p w:rsidR="00140B60" w:rsidRPr="00466DAD" w:rsidP="00140B60" w14:paraId="03996D3D" w14:textId="77777777">
            <w:pPr>
              <w:pStyle w:val="HTMLPreformatted"/>
              <w:rPr>
                <w:rFonts w:ascii="Times New Roman" w:hAnsi="Times New Roman" w:cs="Times New Roman"/>
                <w:sz w:val="24"/>
                <w:szCs w:val="24"/>
              </w:rPr>
            </w:pPr>
          </w:p>
          <w:p w:rsidR="00140B60" w:rsidRPr="00466DAD" w:rsidP="00140B60" w14:paraId="300066BF" w14:textId="77777777">
            <w:pPr>
              <w:pStyle w:val="HTMLPreformatted"/>
              <w:rPr>
                <w:rFonts w:ascii="Times New Roman" w:hAnsi="Times New Roman" w:cs="Times New Roman"/>
                <w:sz w:val="24"/>
                <w:szCs w:val="24"/>
              </w:rPr>
            </w:pPr>
          </w:p>
          <w:p w:rsidR="00140B60" w:rsidRPr="00466DAD" w:rsidP="00140B60" w14:paraId="1A727FF6" w14:textId="77777777">
            <w:pPr>
              <w:pStyle w:val="HTMLPreformatted"/>
              <w:rPr>
                <w:rFonts w:ascii="Times New Roman" w:hAnsi="Times New Roman" w:cs="Times New Roman"/>
                <w:sz w:val="24"/>
                <w:szCs w:val="24"/>
              </w:rPr>
            </w:pPr>
            <w:r w:rsidRPr="00466DAD">
              <w:rPr>
                <w:rFonts w:ascii="Times New Roman" w:hAnsi="Times New Roman" w:cs="Times New Roman"/>
                <w:sz w:val="24"/>
                <w:szCs w:val="24"/>
              </w:rPr>
              <w:t>Case No. 18-1759-EL-RDR</w:t>
            </w:r>
          </w:p>
        </w:tc>
      </w:tr>
    </w:tbl>
    <w:p w:rsidR="00140B60" w:rsidRPr="00466DAD" w:rsidP="00140B60" w14:paraId="652E6C04" w14:textId="77777777">
      <w:pPr>
        <w:pStyle w:val="HTMLPreformatted"/>
        <w:rPr>
          <w:rFonts w:ascii="Times New Roman" w:hAnsi="Times New Roman" w:cs="Times New Roman"/>
          <w:sz w:val="24"/>
          <w:szCs w:val="24"/>
        </w:rPr>
      </w:pPr>
    </w:p>
    <w:p w:rsidR="004065F9" w:rsidRPr="00466DAD" w:rsidP="004065F9" w14:paraId="40F2CC11" w14:textId="77777777">
      <w:pPr>
        <w:pStyle w:val="HTMLPreformatted"/>
        <w:pBdr>
          <w:top w:val="single" w:sz="12" w:space="1" w:color="auto"/>
        </w:pBdr>
        <w:rPr>
          <w:rFonts w:ascii="Times New Roman" w:hAnsi="Times New Roman" w:cs="Times New Roman"/>
          <w:sz w:val="24"/>
          <w:szCs w:val="24"/>
        </w:rPr>
      </w:pPr>
    </w:p>
    <w:p w:rsidR="00B52C13" w:rsidRPr="00466DAD" w:rsidP="00CE5A89" w14:paraId="3D8B7042" w14:textId="2E2D2FD5">
      <w:pPr>
        <w:jc w:val="center"/>
        <w:rPr>
          <w:rFonts w:ascii="Times New Roman" w:hAnsi="Times New Roman" w:cs="Times New Roman"/>
          <w:b/>
          <w:bCs/>
          <w:sz w:val="24"/>
          <w:szCs w:val="24"/>
        </w:rPr>
      </w:pPr>
      <w:bookmarkStart w:id="0" w:name="_Hlk83824422"/>
      <w:r w:rsidRPr="00466DAD">
        <w:rPr>
          <w:rFonts w:ascii="Times New Roman" w:hAnsi="Times New Roman" w:cs="Times New Roman"/>
          <w:b/>
          <w:bCs/>
          <w:sz w:val="24"/>
          <w:szCs w:val="24"/>
        </w:rPr>
        <w:t>REPLY</w:t>
      </w:r>
      <w:r w:rsidRPr="00466DAD" w:rsidR="00C401BF">
        <w:rPr>
          <w:rFonts w:ascii="Times New Roman" w:hAnsi="Times New Roman" w:cs="Times New Roman"/>
          <w:b/>
          <w:bCs/>
          <w:sz w:val="24"/>
          <w:szCs w:val="24"/>
        </w:rPr>
        <w:t xml:space="preserve"> COMMENTS</w:t>
      </w:r>
      <w:r w:rsidRPr="00466DAD" w:rsidR="006E765A">
        <w:rPr>
          <w:rFonts w:ascii="Times New Roman" w:hAnsi="Times New Roman" w:cs="Times New Roman"/>
          <w:b/>
          <w:bCs/>
          <w:sz w:val="24"/>
          <w:szCs w:val="24"/>
        </w:rPr>
        <w:t xml:space="preserve"> TO PROTECT CONSUMERS FROM AEP’S COAL PLANT CHARGES</w:t>
      </w:r>
    </w:p>
    <w:p w:rsidR="004065F9" w:rsidRPr="00466DAD" w:rsidP="00CE5A89" w14:paraId="295E63C7" w14:textId="77777777">
      <w:pPr>
        <w:jc w:val="center"/>
        <w:rPr>
          <w:rFonts w:ascii="Times New Roman" w:eastAsia="Times New Roman" w:hAnsi="Times New Roman" w:cs="Times New Roman"/>
          <w:b/>
          <w:bCs/>
          <w:sz w:val="24"/>
          <w:szCs w:val="24"/>
        </w:rPr>
      </w:pPr>
      <w:r w:rsidRPr="00466DAD">
        <w:rPr>
          <w:rFonts w:ascii="Times New Roman" w:eastAsia="Times New Roman" w:hAnsi="Times New Roman" w:cs="Times New Roman"/>
          <w:b/>
          <w:bCs/>
          <w:w w:val="90"/>
          <w:sz w:val="24"/>
          <w:szCs w:val="24"/>
        </w:rPr>
        <w:t>BY</w:t>
      </w:r>
    </w:p>
    <w:p w:rsidR="004065F9" w:rsidRPr="00466DAD" w:rsidP="00CE5A89" w14:paraId="25268DEE" w14:textId="77777777">
      <w:pPr>
        <w:jc w:val="center"/>
        <w:rPr>
          <w:rFonts w:ascii="Times New Roman" w:hAnsi="Times New Roman" w:cs="Times New Roman"/>
          <w:b/>
          <w:bCs/>
          <w:sz w:val="24"/>
          <w:szCs w:val="24"/>
        </w:rPr>
      </w:pPr>
      <w:r w:rsidRPr="00466DAD">
        <w:rPr>
          <w:rFonts w:ascii="Times New Roman" w:hAnsi="Times New Roman" w:cs="Times New Roman"/>
          <w:b/>
          <w:bCs/>
          <w:w w:val="105"/>
          <w:sz w:val="24"/>
          <w:szCs w:val="24"/>
        </w:rPr>
        <w:t>OFFICE</w:t>
      </w:r>
      <w:r w:rsidRPr="00466DAD">
        <w:rPr>
          <w:rFonts w:ascii="Times New Roman" w:hAnsi="Times New Roman" w:cs="Times New Roman"/>
          <w:b/>
          <w:bCs/>
          <w:spacing w:val="1"/>
          <w:w w:val="105"/>
          <w:sz w:val="24"/>
          <w:szCs w:val="24"/>
        </w:rPr>
        <w:t xml:space="preserve"> </w:t>
      </w:r>
      <w:r w:rsidRPr="00466DAD">
        <w:rPr>
          <w:rFonts w:ascii="Times New Roman" w:hAnsi="Times New Roman" w:cs="Times New Roman"/>
          <w:b/>
          <w:bCs/>
          <w:w w:val="105"/>
          <w:sz w:val="24"/>
          <w:szCs w:val="24"/>
        </w:rPr>
        <w:t>OF</w:t>
      </w:r>
      <w:r w:rsidRPr="00466DAD">
        <w:rPr>
          <w:rFonts w:ascii="Times New Roman" w:hAnsi="Times New Roman" w:cs="Times New Roman"/>
          <w:b/>
          <w:bCs/>
          <w:spacing w:val="-23"/>
          <w:w w:val="105"/>
          <w:sz w:val="24"/>
          <w:szCs w:val="24"/>
        </w:rPr>
        <w:t xml:space="preserve"> </w:t>
      </w:r>
      <w:r w:rsidRPr="00466DAD">
        <w:rPr>
          <w:rFonts w:ascii="Times New Roman" w:hAnsi="Times New Roman" w:cs="Times New Roman"/>
          <w:b/>
          <w:bCs/>
          <w:w w:val="105"/>
          <w:sz w:val="24"/>
          <w:szCs w:val="24"/>
        </w:rPr>
        <w:t>THE</w:t>
      </w:r>
      <w:r w:rsidRPr="00466DAD">
        <w:rPr>
          <w:rFonts w:ascii="Times New Roman" w:hAnsi="Times New Roman" w:cs="Times New Roman"/>
          <w:b/>
          <w:bCs/>
          <w:spacing w:val="-9"/>
          <w:w w:val="105"/>
          <w:sz w:val="24"/>
          <w:szCs w:val="24"/>
        </w:rPr>
        <w:t xml:space="preserve"> </w:t>
      </w:r>
      <w:r w:rsidRPr="00466DAD">
        <w:rPr>
          <w:rFonts w:ascii="Times New Roman" w:hAnsi="Times New Roman" w:cs="Times New Roman"/>
          <w:b/>
          <w:bCs/>
          <w:w w:val="105"/>
          <w:sz w:val="24"/>
          <w:szCs w:val="24"/>
        </w:rPr>
        <w:t>OHIO</w:t>
      </w:r>
      <w:r w:rsidRPr="00466DAD">
        <w:rPr>
          <w:rFonts w:ascii="Times New Roman" w:hAnsi="Times New Roman" w:cs="Times New Roman"/>
          <w:b/>
          <w:bCs/>
          <w:spacing w:val="1"/>
          <w:w w:val="105"/>
          <w:sz w:val="24"/>
          <w:szCs w:val="24"/>
        </w:rPr>
        <w:t xml:space="preserve"> </w:t>
      </w:r>
      <w:r w:rsidRPr="00466DAD">
        <w:rPr>
          <w:rFonts w:ascii="Times New Roman" w:hAnsi="Times New Roman" w:cs="Times New Roman"/>
          <w:b/>
          <w:bCs/>
          <w:w w:val="105"/>
          <w:sz w:val="24"/>
          <w:szCs w:val="24"/>
        </w:rPr>
        <w:t>CONSUMERS'</w:t>
      </w:r>
      <w:r w:rsidRPr="00466DAD">
        <w:rPr>
          <w:rFonts w:ascii="Times New Roman" w:hAnsi="Times New Roman" w:cs="Times New Roman"/>
          <w:b/>
          <w:bCs/>
          <w:spacing w:val="21"/>
          <w:w w:val="105"/>
          <w:sz w:val="24"/>
          <w:szCs w:val="24"/>
        </w:rPr>
        <w:t xml:space="preserve"> </w:t>
      </w:r>
      <w:r w:rsidRPr="00466DAD">
        <w:rPr>
          <w:rFonts w:ascii="Times New Roman" w:hAnsi="Times New Roman" w:cs="Times New Roman"/>
          <w:b/>
          <w:bCs/>
          <w:w w:val="105"/>
          <w:sz w:val="24"/>
          <w:szCs w:val="24"/>
        </w:rPr>
        <w:t>COUNSEL</w:t>
      </w:r>
    </w:p>
    <w:bookmarkEnd w:id="0"/>
    <w:p w:rsidR="004065F9" w:rsidRPr="00466DAD" w:rsidP="004065F9" w14:paraId="531FA59F" w14:textId="77777777">
      <w:pPr>
        <w:pBdr>
          <w:bottom w:val="single" w:sz="12" w:space="1" w:color="auto"/>
        </w:pBdr>
        <w:tabs>
          <w:tab w:val="left" w:pos="4320"/>
        </w:tabs>
        <w:rPr>
          <w:rFonts w:ascii="Times New Roman" w:hAnsi="Times New Roman" w:cs="Times New Roman"/>
          <w:sz w:val="24"/>
          <w:szCs w:val="24"/>
        </w:rPr>
      </w:pPr>
    </w:p>
    <w:p w:rsidR="00466D7E" w:rsidRPr="00466DAD" w:rsidP="00EE1D34" w14:paraId="0021AD84" w14:textId="77777777">
      <w:pPr>
        <w:pStyle w:val="BodyText"/>
        <w:ind w:left="0" w:firstLine="720"/>
        <w:rPr>
          <w:rFonts w:cs="Times New Roman"/>
          <w:color w:val="1F1F1F"/>
          <w:sz w:val="24"/>
          <w:szCs w:val="24"/>
        </w:rPr>
      </w:pPr>
    </w:p>
    <w:p w:rsidR="00466D7E" w:rsidRPr="00466DAD" w:rsidP="00501B37" w14:paraId="270A51E2" w14:textId="77777777">
      <w:pPr>
        <w:pStyle w:val="Heading1"/>
        <w:rPr>
          <w:rFonts w:ascii="Times New Roman" w:hAnsi="Times New Roman" w:cs="Times New Roman"/>
          <w:szCs w:val="24"/>
        </w:rPr>
      </w:pPr>
      <w:bookmarkStart w:id="1" w:name="_Toc89418714"/>
      <w:bookmarkStart w:id="2" w:name="_Toc89419005"/>
      <w:r w:rsidRPr="00466DAD">
        <w:rPr>
          <w:rFonts w:ascii="Times New Roman" w:hAnsi="Times New Roman" w:cs="Times New Roman"/>
          <w:szCs w:val="24"/>
        </w:rPr>
        <w:t>I.</w:t>
      </w:r>
      <w:r w:rsidRPr="00466DAD">
        <w:rPr>
          <w:rFonts w:ascii="Times New Roman" w:hAnsi="Times New Roman" w:cs="Times New Roman"/>
          <w:szCs w:val="24"/>
        </w:rPr>
        <w:tab/>
        <w:t>INTRODUCTION</w:t>
      </w:r>
      <w:bookmarkEnd w:id="1"/>
      <w:bookmarkEnd w:id="2"/>
    </w:p>
    <w:p w:rsidR="00B93912" w:rsidRPr="00466DAD" w:rsidP="009163FF" w14:paraId="7C061205" w14:textId="5D96867E">
      <w:pPr>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 xml:space="preserve">The Office of the Ohio Consumers’ Counsel (“OCC”) submits the following </w:t>
      </w:r>
      <w:r w:rsidRPr="00466DAD" w:rsidR="003D40DD">
        <w:rPr>
          <w:rFonts w:ascii="Times New Roman" w:hAnsi="Times New Roman" w:cs="Times New Roman"/>
          <w:sz w:val="24"/>
          <w:szCs w:val="24"/>
        </w:rPr>
        <w:t xml:space="preserve">consumer protection </w:t>
      </w:r>
      <w:r w:rsidRPr="00466DAD">
        <w:rPr>
          <w:rFonts w:ascii="Times New Roman" w:hAnsi="Times New Roman" w:cs="Times New Roman"/>
          <w:sz w:val="24"/>
          <w:szCs w:val="24"/>
        </w:rPr>
        <w:t>reply comments.</w:t>
      </w:r>
    </w:p>
    <w:p w:rsidR="007C65C2" w:rsidRPr="00466DAD" w:rsidP="005B3CE8" w14:paraId="0FEE4EF8" w14:textId="3B801C7B">
      <w:pPr>
        <w:pStyle w:val="Heading1"/>
        <w:rPr>
          <w:rFonts w:ascii="Times New Roman" w:hAnsi="Times New Roman" w:cs="Times New Roman"/>
          <w:szCs w:val="24"/>
        </w:rPr>
      </w:pPr>
      <w:bookmarkStart w:id="3" w:name="_Toc83906357"/>
      <w:bookmarkStart w:id="4" w:name="_Toc89418715"/>
      <w:bookmarkStart w:id="5" w:name="_Toc89419006"/>
      <w:bookmarkStart w:id="6" w:name="_Hlk73625886"/>
      <w:r w:rsidRPr="00466DAD">
        <w:rPr>
          <w:rFonts w:ascii="Times New Roman" w:hAnsi="Times New Roman" w:cs="Times New Roman"/>
          <w:szCs w:val="24"/>
        </w:rPr>
        <w:t>II.</w:t>
      </w:r>
      <w:r w:rsidRPr="00466DAD">
        <w:rPr>
          <w:rFonts w:ascii="Times New Roman" w:hAnsi="Times New Roman" w:cs="Times New Roman"/>
          <w:szCs w:val="24"/>
        </w:rPr>
        <w:tab/>
      </w:r>
      <w:r w:rsidRPr="00466DAD" w:rsidR="001047C6">
        <w:rPr>
          <w:rFonts w:ascii="Times New Roman" w:hAnsi="Times New Roman" w:cs="Times New Roman"/>
          <w:szCs w:val="24"/>
        </w:rPr>
        <w:t>RECOMMENDATIONS</w:t>
      </w:r>
      <w:bookmarkEnd w:id="3"/>
      <w:bookmarkEnd w:id="4"/>
      <w:bookmarkEnd w:id="5"/>
    </w:p>
    <w:p w:rsidR="00D23B5D" w:rsidRPr="00466DAD" w:rsidP="00C53C04" w14:paraId="44582B07" w14:textId="1112FC72">
      <w:pPr>
        <w:pStyle w:val="Heading2"/>
        <w:rPr>
          <w:rFonts w:ascii="Times New Roman" w:hAnsi="Times New Roman" w:cs="Times New Roman"/>
          <w:color w:val="000000"/>
        </w:rPr>
      </w:pPr>
      <w:bookmarkStart w:id="7" w:name="_Toc83906358"/>
      <w:bookmarkStart w:id="8" w:name="_Toc89418716"/>
      <w:bookmarkStart w:id="9" w:name="_Toc89419007"/>
      <w:r w:rsidRPr="00466DAD">
        <w:rPr>
          <w:rFonts w:ascii="Times New Roman" w:hAnsi="Times New Roman" w:cs="Times New Roman"/>
        </w:rPr>
        <w:t>T</w:t>
      </w:r>
      <w:r w:rsidRPr="00466DAD" w:rsidR="003D40DD">
        <w:rPr>
          <w:rFonts w:ascii="Times New Roman" w:hAnsi="Times New Roman" w:cs="Times New Roman"/>
        </w:rPr>
        <w:t>o protect consumers, t</w:t>
      </w:r>
      <w:r w:rsidRPr="00466DAD" w:rsidR="007C65C2">
        <w:rPr>
          <w:rFonts w:ascii="Times New Roman" w:hAnsi="Times New Roman" w:cs="Times New Roman"/>
        </w:rPr>
        <w:t>he PUCO</w:t>
      </w:r>
      <w:r w:rsidRPr="00466DAD" w:rsidR="002F73E0">
        <w:rPr>
          <w:rFonts w:ascii="Times New Roman" w:hAnsi="Times New Roman" w:cs="Times New Roman"/>
        </w:rPr>
        <w:t xml:space="preserve"> should </w:t>
      </w:r>
      <w:r w:rsidRPr="00466DAD">
        <w:rPr>
          <w:rFonts w:ascii="Times New Roman" w:hAnsi="Times New Roman" w:cs="Times New Roman"/>
        </w:rPr>
        <w:t xml:space="preserve">restore </w:t>
      </w:r>
      <w:r w:rsidRPr="00466DAD" w:rsidR="006E3A4B">
        <w:rPr>
          <w:rFonts w:ascii="Times New Roman" w:hAnsi="Times New Roman" w:cs="Times New Roman"/>
        </w:rPr>
        <w:t>the A</w:t>
      </w:r>
      <w:r w:rsidRPr="00466DAD" w:rsidR="00E21C8D">
        <w:rPr>
          <w:rFonts w:ascii="Times New Roman" w:hAnsi="Times New Roman" w:cs="Times New Roman"/>
        </w:rPr>
        <w:t xml:space="preserve">uditor’s </w:t>
      </w:r>
      <w:r w:rsidRPr="00466DAD" w:rsidR="00E17FB0">
        <w:rPr>
          <w:rFonts w:ascii="Times New Roman" w:hAnsi="Times New Roman" w:cs="Times New Roman"/>
        </w:rPr>
        <w:t xml:space="preserve">original </w:t>
      </w:r>
      <w:r w:rsidRPr="00466DAD" w:rsidR="00092D60">
        <w:rPr>
          <w:rFonts w:ascii="Times New Roman" w:hAnsi="Times New Roman" w:cs="Times New Roman"/>
        </w:rPr>
        <w:t xml:space="preserve">recommendations that the OVEC plants are </w:t>
      </w:r>
      <w:r w:rsidRPr="00466DAD" w:rsidR="005B3330">
        <w:rPr>
          <w:rFonts w:ascii="Times New Roman" w:hAnsi="Times New Roman" w:cs="Times New Roman"/>
        </w:rPr>
        <w:t>“</w:t>
      </w:r>
      <w:r w:rsidRPr="00466DAD" w:rsidR="00092D60">
        <w:rPr>
          <w:rFonts w:ascii="Times New Roman" w:hAnsi="Times New Roman" w:cs="Times New Roman"/>
        </w:rPr>
        <w:t xml:space="preserve">not in the best interests of </w:t>
      </w:r>
      <w:r w:rsidRPr="00466DAD" w:rsidR="005B3330">
        <w:rPr>
          <w:rFonts w:ascii="Times New Roman" w:hAnsi="Times New Roman" w:cs="Times New Roman"/>
        </w:rPr>
        <w:t>the ratepayers</w:t>
      </w:r>
      <w:r w:rsidRPr="00466DAD" w:rsidR="00092D60">
        <w:rPr>
          <w:rFonts w:ascii="Times New Roman" w:hAnsi="Times New Roman" w:cs="Times New Roman"/>
        </w:rPr>
        <w:t>.</w:t>
      </w:r>
      <w:bookmarkEnd w:id="7"/>
      <w:r w:rsidRPr="00466DAD" w:rsidR="005B3330">
        <w:rPr>
          <w:rFonts w:ascii="Times New Roman" w:hAnsi="Times New Roman" w:cs="Times New Roman"/>
        </w:rPr>
        <w:t>”</w:t>
      </w:r>
      <w:bookmarkEnd w:id="8"/>
      <w:bookmarkEnd w:id="9"/>
    </w:p>
    <w:p w:rsidR="009163FF" w:rsidRPr="00466DAD" w:rsidP="009163FF" w14:paraId="42BC2D20" w14:textId="7DCD322C">
      <w:pPr>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OCC recommended in its initial comments that the PUCO should restore to London Economics International LLC’s (“LEI”) audit report the two sentences containing the auditor’s original recommendations</w:t>
      </w:r>
      <w:r w:rsidRPr="00466DAD" w:rsidR="007E4979">
        <w:rPr>
          <w:rFonts w:ascii="Times New Roman" w:hAnsi="Times New Roman" w:cs="Times New Roman"/>
          <w:sz w:val="24"/>
          <w:szCs w:val="24"/>
        </w:rPr>
        <w:t>. The LEI recommendations were</w:t>
      </w:r>
      <w:r w:rsidRPr="00466DAD">
        <w:rPr>
          <w:rFonts w:ascii="Times New Roman" w:hAnsi="Times New Roman" w:cs="Times New Roman"/>
          <w:sz w:val="24"/>
          <w:szCs w:val="24"/>
        </w:rPr>
        <w:t xml:space="preserve"> that the Ohio Valley Electric Corporation (“OVEC”) plants are “not in the best interests of the ratepayers.”</w:t>
      </w:r>
      <w:r>
        <w:rPr>
          <w:rStyle w:val="FootnoteReference"/>
          <w:rFonts w:ascii="Times New Roman" w:hAnsi="Times New Roman" w:cs="Times New Roman"/>
          <w:sz w:val="24"/>
          <w:szCs w:val="24"/>
        </w:rPr>
        <w:footnoteReference w:id="2"/>
      </w:r>
      <w:r w:rsidRPr="00466DAD">
        <w:rPr>
          <w:rFonts w:ascii="Times New Roman" w:hAnsi="Times New Roman" w:cs="Times New Roman"/>
          <w:sz w:val="24"/>
          <w:szCs w:val="24"/>
        </w:rPr>
        <w:t xml:space="preserve">   </w:t>
      </w:r>
    </w:p>
    <w:p w:rsidR="009163FF" w:rsidRPr="00466DAD" w:rsidP="009163FF" w14:paraId="481BED01" w14:textId="11C6FDD6">
      <w:pPr>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AEP did not address this issue in its initial comments.  OCC notes, however, that when the auditor originally deleted the sentences, Mr. Nourse sent this email: “Glad you are deleting that sentence….”</w:t>
      </w:r>
      <w:r>
        <w:rPr>
          <w:rStyle w:val="FootnoteReference"/>
          <w:rFonts w:ascii="Times New Roman" w:hAnsi="Times New Roman" w:cs="Times New Roman"/>
          <w:sz w:val="24"/>
          <w:szCs w:val="24"/>
        </w:rPr>
        <w:footnoteReference w:id="3"/>
      </w:r>
      <w:r w:rsidRPr="00466DAD">
        <w:rPr>
          <w:rFonts w:ascii="Times New Roman" w:hAnsi="Times New Roman" w:cs="Times New Roman"/>
          <w:sz w:val="24"/>
          <w:szCs w:val="24"/>
        </w:rPr>
        <w:t xml:space="preserve">  So AEP presumably opposes OCC’s recommendation</w:t>
      </w:r>
      <w:r w:rsidRPr="00466DAD" w:rsidR="002760AC">
        <w:rPr>
          <w:rFonts w:ascii="Times New Roman" w:hAnsi="Times New Roman" w:cs="Times New Roman"/>
          <w:sz w:val="24"/>
          <w:szCs w:val="24"/>
        </w:rPr>
        <w:t xml:space="preserve"> due to the favorable response to the edit</w:t>
      </w:r>
      <w:r w:rsidRPr="00466DAD">
        <w:rPr>
          <w:rFonts w:ascii="Times New Roman" w:hAnsi="Times New Roman" w:cs="Times New Roman"/>
          <w:sz w:val="24"/>
          <w:szCs w:val="24"/>
        </w:rPr>
        <w:t xml:space="preserve">.  Other intervenors, however, support OCC’s recommendation.  </w:t>
      </w:r>
    </w:p>
    <w:p w:rsidR="009163FF" w:rsidRPr="00466DAD" w:rsidP="009163FF" w14:paraId="72602B08" w14:textId="51E951E3">
      <w:pPr>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The Kroger Co. and the Ohio Manufacturers’ Association Energy Group (“Kroger/OMAEG”) noted that the PUCO’s prudency review was meant to determine whether running the plants was “in the best interests of retail ratepayers</w:t>
      </w:r>
      <w:r w:rsidRPr="00466DAD" w:rsidR="003D40DD">
        <w:rPr>
          <w:rFonts w:ascii="Times New Roman" w:hAnsi="Times New Roman" w:cs="Times New Roman"/>
          <w:sz w:val="24"/>
          <w:szCs w:val="24"/>
        </w:rPr>
        <w:t>.</w:t>
      </w:r>
      <w:r w:rsidRPr="00466DAD">
        <w:rPr>
          <w:rFonts w:ascii="Times New Roman" w:hAnsi="Times New Roman" w:cs="Times New Roman"/>
          <w:sz w:val="24"/>
          <w:szCs w:val="24"/>
        </w:rPr>
        <w:t xml:space="preserve">” </w:t>
      </w:r>
      <w:r w:rsidRPr="00466DAD" w:rsidR="003D40DD">
        <w:rPr>
          <w:rFonts w:ascii="Times New Roman" w:hAnsi="Times New Roman" w:cs="Times New Roman"/>
          <w:sz w:val="24"/>
          <w:szCs w:val="24"/>
        </w:rPr>
        <w:t xml:space="preserve">Kroger/OMAEG assert that </w:t>
      </w:r>
      <w:r w:rsidRPr="00466DAD">
        <w:rPr>
          <w:rFonts w:ascii="Times New Roman" w:hAnsi="Times New Roman" w:cs="Times New Roman"/>
          <w:sz w:val="24"/>
          <w:szCs w:val="24"/>
        </w:rPr>
        <w:t>the sentences should be restored because they went to the auditor’s ultimate conclusion on this issue.</w:t>
      </w:r>
      <w:r>
        <w:rPr>
          <w:rStyle w:val="FootnoteReference"/>
          <w:rFonts w:ascii="Times New Roman" w:hAnsi="Times New Roman" w:cs="Times New Roman"/>
          <w:sz w:val="24"/>
          <w:szCs w:val="24"/>
        </w:rPr>
        <w:footnoteReference w:id="4"/>
      </w:r>
      <w:r w:rsidRPr="00466DAD">
        <w:rPr>
          <w:rFonts w:ascii="Times New Roman" w:hAnsi="Times New Roman" w:cs="Times New Roman"/>
          <w:sz w:val="24"/>
          <w:szCs w:val="24"/>
        </w:rPr>
        <w:t xml:space="preserve">   The Natural Resources Defense Council (“NRDC”) noted that </w:t>
      </w:r>
      <w:r w:rsidRPr="00466DAD" w:rsidR="003D40DD">
        <w:rPr>
          <w:rFonts w:ascii="Times New Roman" w:hAnsi="Times New Roman" w:cs="Times New Roman"/>
          <w:sz w:val="24"/>
          <w:szCs w:val="24"/>
        </w:rPr>
        <w:t xml:space="preserve">the PUCO </w:t>
      </w:r>
      <w:r w:rsidRPr="00466DAD">
        <w:rPr>
          <w:rFonts w:ascii="Times New Roman" w:hAnsi="Times New Roman" w:cs="Times New Roman"/>
          <w:sz w:val="24"/>
          <w:szCs w:val="24"/>
        </w:rPr>
        <w:t xml:space="preserve">“should either reinstate the auditor’s original conclusion or order a new audit devoid of substantive interference by the </w:t>
      </w:r>
      <w:r w:rsidRPr="00466DAD" w:rsidR="007E4979">
        <w:rPr>
          <w:rFonts w:ascii="Times New Roman" w:hAnsi="Times New Roman" w:cs="Times New Roman"/>
          <w:sz w:val="24"/>
          <w:szCs w:val="24"/>
        </w:rPr>
        <w:t xml:space="preserve">PUCO’s </w:t>
      </w:r>
      <w:r w:rsidRPr="00466DAD">
        <w:rPr>
          <w:rFonts w:ascii="Times New Roman" w:hAnsi="Times New Roman" w:cs="Times New Roman"/>
          <w:sz w:val="24"/>
          <w:szCs w:val="24"/>
        </w:rPr>
        <w:t>Staff in the auditor’s conclusions.”</w:t>
      </w:r>
      <w:r>
        <w:rPr>
          <w:rStyle w:val="FootnoteReference"/>
          <w:rFonts w:ascii="Times New Roman" w:hAnsi="Times New Roman" w:cs="Times New Roman"/>
          <w:sz w:val="24"/>
          <w:szCs w:val="24"/>
        </w:rPr>
        <w:footnoteReference w:id="5"/>
      </w:r>
    </w:p>
    <w:p w:rsidR="009163FF" w:rsidRPr="00466DAD" w:rsidP="009163FF" w14:paraId="6C8CE9F2" w14:textId="3C1BE0E9">
      <w:pPr>
        <w:pStyle w:val="Heading2"/>
        <w:rPr>
          <w:rFonts w:ascii="Times New Roman" w:hAnsi="Times New Roman" w:cs="Times New Roman"/>
          <w:bCs/>
        </w:rPr>
      </w:pPr>
      <w:bookmarkStart w:id="10" w:name="_Toc89418717"/>
      <w:bookmarkStart w:id="11" w:name="_Toc89419008"/>
      <w:r w:rsidRPr="00466DAD">
        <w:rPr>
          <w:rFonts w:ascii="Times New Roman" w:hAnsi="Times New Roman" w:cs="Times New Roman"/>
        </w:rPr>
        <w:t xml:space="preserve">To protect consumers, the PUCO should disallow all </w:t>
      </w:r>
      <w:r w:rsidRPr="00466DAD" w:rsidR="006E3A4B">
        <w:rPr>
          <w:rFonts w:ascii="Times New Roman" w:hAnsi="Times New Roman" w:cs="Times New Roman"/>
        </w:rPr>
        <w:t xml:space="preserve">OVEC </w:t>
      </w:r>
      <w:r w:rsidRPr="00466DAD">
        <w:rPr>
          <w:rFonts w:ascii="Times New Roman" w:hAnsi="Times New Roman" w:cs="Times New Roman"/>
        </w:rPr>
        <w:t>costs collected by AEP because the costs are above the PJM market price, the consumer protection of competitive bidding was not used, and AEP failed to demonstrate that the costs were reasonable.</w:t>
      </w:r>
      <w:bookmarkEnd w:id="10"/>
      <w:bookmarkEnd w:id="11"/>
    </w:p>
    <w:p w:rsidR="00306F96" w:rsidRPr="00466DAD" w:rsidP="009163FF" w14:paraId="0C7BDBAF" w14:textId="77777777">
      <w:pPr>
        <w:pStyle w:val="ListParagraph"/>
        <w:spacing w:line="480" w:lineRule="auto"/>
        <w:rPr>
          <w:rFonts w:ascii="Times New Roman" w:hAnsi="Times New Roman" w:cs="Times New Roman"/>
          <w:sz w:val="24"/>
          <w:szCs w:val="24"/>
        </w:rPr>
      </w:pPr>
      <w:r w:rsidRPr="00466DAD">
        <w:rPr>
          <w:rFonts w:ascii="Times New Roman" w:hAnsi="Times New Roman" w:cs="Times New Roman"/>
          <w:b/>
          <w:bCs/>
          <w:sz w:val="24"/>
          <w:szCs w:val="24"/>
        </w:rPr>
        <w:tab/>
      </w:r>
      <w:r w:rsidRPr="00466DAD">
        <w:rPr>
          <w:rFonts w:ascii="Times New Roman" w:hAnsi="Times New Roman" w:cs="Times New Roman"/>
          <w:sz w:val="24"/>
          <w:szCs w:val="24"/>
        </w:rPr>
        <w:t xml:space="preserve">OCC recommended that the PUCO should disallow all costs collected by AEP </w:t>
      </w:r>
      <w:r w:rsidRPr="00466DAD">
        <w:rPr>
          <w:rFonts w:ascii="Times New Roman" w:hAnsi="Times New Roman" w:cs="Times New Roman"/>
          <w:sz w:val="24"/>
          <w:szCs w:val="24"/>
        </w:rPr>
        <w:br/>
        <w:t xml:space="preserve">because the costs are above the PJM market price and AEP failed to demonstrate that the costs </w:t>
      </w:r>
      <w:r w:rsidRPr="00466DAD">
        <w:rPr>
          <w:rFonts w:ascii="Times New Roman" w:hAnsi="Times New Roman" w:cs="Times New Roman"/>
          <w:sz w:val="24"/>
          <w:szCs w:val="24"/>
        </w:rPr>
        <w:br/>
        <w:t>were reasonable.</w:t>
      </w:r>
      <w:r>
        <w:rPr>
          <w:rStyle w:val="FootnoteReference"/>
          <w:rFonts w:ascii="Times New Roman" w:hAnsi="Times New Roman" w:cs="Times New Roman"/>
          <w:sz w:val="24"/>
          <w:szCs w:val="24"/>
        </w:rPr>
        <w:footnoteReference w:id="6"/>
      </w:r>
      <w:r w:rsidRPr="00466DAD">
        <w:rPr>
          <w:rFonts w:ascii="Times New Roman" w:hAnsi="Times New Roman" w:cs="Times New Roman"/>
          <w:sz w:val="24"/>
          <w:szCs w:val="24"/>
        </w:rPr>
        <w:t xml:space="preserve">  NRDC made the same recommendation, noting that “such a </w:t>
      </w:r>
      <w:r w:rsidRPr="00466DAD">
        <w:rPr>
          <w:rFonts w:ascii="Times New Roman" w:hAnsi="Times New Roman" w:cs="Times New Roman"/>
          <w:sz w:val="24"/>
          <w:szCs w:val="24"/>
        </w:rPr>
        <w:br/>
        <w:t>remedy is a standard one for inter-affiliate transactions, such as OVEC sales and payments.”</w:t>
      </w:r>
      <w:r>
        <w:rPr>
          <w:rStyle w:val="FootnoteReference"/>
          <w:rFonts w:ascii="Times New Roman" w:hAnsi="Times New Roman" w:cs="Times New Roman"/>
          <w:sz w:val="24"/>
          <w:szCs w:val="24"/>
        </w:rPr>
        <w:footnoteReference w:id="7"/>
      </w:r>
      <w:r w:rsidRPr="00466DAD">
        <w:rPr>
          <w:rFonts w:ascii="Times New Roman" w:hAnsi="Times New Roman" w:cs="Times New Roman"/>
          <w:sz w:val="24"/>
          <w:szCs w:val="24"/>
        </w:rPr>
        <w:t xml:space="preserve">  NRDC cites </w:t>
      </w:r>
      <w:r w:rsidRPr="00466DAD" w:rsidR="00524130">
        <w:rPr>
          <w:rFonts w:ascii="Times New Roman" w:hAnsi="Times New Roman" w:cs="Times New Roman"/>
          <w:sz w:val="24"/>
          <w:szCs w:val="24"/>
        </w:rPr>
        <w:t xml:space="preserve">a recent order by </w:t>
      </w:r>
      <w:r w:rsidRPr="00466DAD">
        <w:rPr>
          <w:rFonts w:ascii="Times New Roman" w:hAnsi="Times New Roman" w:cs="Times New Roman"/>
          <w:sz w:val="24"/>
          <w:szCs w:val="24"/>
        </w:rPr>
        <w:t xml:space="preserve">the Michigan Public Service Commission (“MPSC”) </w:t>
      </w:r>
      <w:r w:rsidRPr="00466DAD" w:rsidR="00675A65">
        <w:rPr>
          <w:rFonts w:ascii="Times New Roman" w:hAnsi="Times New Roman" w:cs="Times New Roman"/>
          <w:sz w:val="24"/>
          <w:szCs w:val="24"/>
        </w:rPr>
        <w:t xml:space="preserve">warning AEP </w:t>
      </w:r>
    </w:p>
    <w:p w:rsidR="00306F96" w:rsidRPr="00466DAD" w14:paraId="60AE0325" w14:textId="77777777">
      <w:pPr>
        <w:rPr>
          <w:rFonts w:ascii="Times New Roman" w:hAnsi="Times New Roman" w:cs="Times New Roman"/>
          <w:sz w:val="24"/>
          <w:szCs w:val="24"/>
        </w:rPr>
      </w:pPr>
      <w:r w:rsidRPr="00466DAD">
        <w:rPr>
          <w:rFonts w:ascii="Times New Roman" w:hAnsi="Times New Roman" w:cs="Times New Roman"/>
          <w:sz w:val="24"/>
          <w:szCs w:val="24"/>
        </w:rPr>
        <w:br w:type="page"/>
      </w:r>
    </w:p>
    <w:p w:rsidR="007E4979" w:rsidRPr="00466DAD" w:rsidP="009163FF" w14:paraId="337C3FC3" w14:textId="06A77130">
      <w:pPr>
        <w:pStyle w:val="ListParagraph"/>
        <w:spacing w:line="480" w:lineRule="auto"/>
        <w:rPr>
          <w:rFonts w:ascii="Times New Roman" w:hAnsi="Times New Roman" w:cs="Times New Roman"/>
          <w:sz w:val="24"/>
          <w:szCs w:val="24"/>
        </w:rPr>
      </w:pPr>
      <w:r w:rsidRPr="00466DAD">
        <w:rPr>
          <w:rFonts w:ascii="Times New Roman" w:hAnsi="Times New Roman" w:cs="Times New Roman"/>
          <w:sz w:val="24"/>
          <w:szCs w:val="24"/>
        </w:rPr>
        <w:t>that it will likely disallow future</w:t>
      </w:r>
      <w:r w:rsidRPr="00466DAD" w:rsidR="00524130">
        <w:rPr>
          <w:rFonts w:ascii="Times New Roman" w:hAnsi="Times New Roman" w:cs="Times New Roman"/>
          <w:sz w:val="24"/>
          <w:szCs w:val="24"/>
        </w:rPr>
        <w:t xml:space="preserve"> OVEC costs</w:t>
      </w:r>
      <w:r w:rsidRPr="00466DAD" w:rsidR="009163FF">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466DAD" w:rsidR="009163FF">
        <w:rPr>
          <w:rFonts w:ascii="Times New Roman" w:hAnsi="Times New Roman" w:cs="Times New Roman"/>
          <w:sz w:val="24"/>
          <w:szCs w:val="24"/>
        </w:rPr>
        <w:t xml:space="preserve">  </w:t>
      </w:r>
      <w:r w:rsidRPr="00466DAD">
        <w:rPr>
          <w:rFonts w:ascii="Times New Roman" w:hAnsi="Times New Roman" w:cs="Times New Roman"/>
          <w:sz w:val="24"/>
          <w:szCs w:val="24"/>
        </w:rPr>
        <w:t xml:space="preserve">This </w:t>
      </w:r>
      <w:r w:rsidRPr="00466DAD" w:rsidR="009163FF">
        <w:rPr>
          <w:rFonts w:ascii="Times New Roman" w:hAnsi="Times New Roman" w:cs="Times New Roman"/>
          <w:sz w:val="24"/>
          <w:szCs w:val="24"/>
        </w:rPr>
        <w:t>NRDC recommendation</w:t>
      </w:r>
      <w:r w:rsidRPr="00466DAD">
        <w:rPr>
          <w:rFonts w:ascii="Times New Roman" w:hAnsi="Times New Roman" w:cs="Times New Roman"/>
          <w:sz w:val="24"/>
          <w:szCs w:val="24"/>
        </w:rPr>
        <w:t xml:space="preserve"> and the OCC recommendation should be adopted</w:t>
      </w:r>
      <w:r w:rsidRPr="00466DAD" w:rsidR="009163FF">
        <w:rPr>
          <w:rFonts w:ascii="Times New Roman" w:hAnsi="Times New Roman" w:cs="Times New Roman"/>
          <w:sz w:val="24"/>
          <w:szCs w:val="24"/>
        </w:rPr>
        <w:t xml:space="preserve">.  </w:t>
      </w:r>
    </w:p>
    <w:p w:rsidR="009163FF" w:rsidRPr="00466DAD" w:rsidP="00440A70" w14:paraId="74F7E7EA" w14:textId="498A9ECB">
      <w:pPr>
        <w:pStyle w:val="ListParagraph"/>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In its initial comments, OCC cited a FERC ruling that disallowed AEP’s request to recover above-market OVEC costs.</w:t>
      </w:r>
      <w:r>
        <w:rPr>
          <w:rStyle w:val="FootnoteReference"/>
          <w:rFonts w:ascii="Times New Roman" w:hAnsi="Times New Roman" w:cs="Times New Roman"/>
          <w:sz w:val="24"/>
          <w:szCs w:val="24"/>
        </w:rPr>
        <w:footnoteReference w:id="9"/>
      </w:r>
      <w:r w:rsidRPr="00466DAD">
        <w:rPr>
          <w:rFonts w:ascii="Times New Roman" w:hAnsi="Times New Roman" w:cs="Times New Roman"/>
          <w:sz w:val="24"/>
          <w:szCs w:val="24"/>
        </w:rPr>
        <w:t xml:space="preserve">  The MPSC </w:t>
      </w:r>
      <w:r w:rsidRPr="00466DAD" w:rsidR="00300373">
        <w:rPr>
          <w:rFonts w:ascii="Times New Roman" w:hAnsi="Times New Roman" w:cs="Times New Roman"/>
          <w:sz w:val="24"/>
          <w:szCs w:val="24"/>
        </w:rPr>
        <w:t>order</w:t>
      </w:r>
      <w:r w:rsidRPr="00466DAD">
        <w:rPr>
          <w:rFonts w:ascii="Times New Roman" w:hAnsi="Times New Roman" w:cs="Times New Roman"/>
          <w:sz w:val="24"/>
          <w:szCs w:val="24"/>
        </w:rPr>
        <w:t xml:space="preserve"> is additional authority for the proposition that AEP should not be allowed to </w:t>
      </w:r>
      <w:r w:rsidRPr="00466DAD" w:rsidR="00171C3E">
        <w:rPr>
          <w:rFonts w:ascii="Times New Roman" w:hAnsi="Times New Roman" w:cs="Times New Roman"/>
          <w:sz w:val="24"/>
          <w:szCs w:val="24"/>
        </w:rPr>
        <w:t>collect</w:t>
      </w:r>
      <w:r w:rsidRPr="00466DAD">
        <w:rPr>
          <w:rFonts w:ascii="Times New Roman" w:hAnsi="Times New Roman" w:cs="Times New Roman"/>
          <w:sz w:val="24"/>
          <w:szCs w:val="24"/>
        </w:rPr>
        <w:t xml:space="preserve"> any OVEC costs above PJM market prices</w:t>
      </w:r>
      <w:r w:rsidRPr="00466DAD" w:rsidR="00171C3E">
        <w:rPr>
          <w:rFonts w:ascii="Times New Roman" w:hAnsi="Times New Roman" w:cs="Times New Roman"/>
          <w:sz w:val="24"/>
          <w:szCs w:val="24"/>
        </w:rPr>
        <w:t xml:space="preserve"> from consumers</w:t>
      </w:r>
      <w:r w:rsidRPr="00466DAD">
        <w:rPr>
          <w:rFonts w:ascii="Times New Roman" w:hAnsi="Times New Roman" w:cs="Times New Roman"/>
          <w:sz w:val="24"/>
          <w:szCs w:val="24"/>
        </w:rPr>
        <w:t>.</w:t>
      </w:r>
    </w:p>
    <w:p w:rsidR="009163FF" w:rsidRPr="00466DAD" w:rsidP="009163FF" w14:paraId="12627FB5" w14:textId="77640DD9">
      <w:pPr>
        <w:pStyle w:val="ListParagraph"/>
        <w:spacing w:line="480" w:lineRule="auto"/>
        <w:rPr>
          <w:rFonts w:ascii="Times New Roman" w:hAnsi="Times New Roman" w:cs="Times New Roman"/>
          <w:sz w:val="24"/>
          <w:szCs w:val="24"/>
        </w:rPr>
      </w:pPr>
      <w:r w:rsidRPr="00466DAD">
        <w:rPr>
          <w:rFonts w:ascii="Times New Roman" w:hAnsi="Times New Roman" w:cs="Times New Roman"/>
          <w:sz w:val="24"/>
          <w:szCs w:val="24"/>
        </w:rPr>
        <w:tab/>
        <w:t xml:space="preserve">When the PUCO </w:t>
      </w:r>
      <w:r w:rsidRPr="00466DAD" w:rsidR="000A6538">
        <w:rPr>
          <w:rFonts w:ascii="Times New Roman" w:hAnsi="Times New Roman" w:cs="Times New Roman"/>
          <w:sz w:val="24"/>
          <w:szCs w:val="24"/>
        </w:rPr>
        <w:t xml:space="preserve">allowed AEP to charge consumers for </w:t>
      </w:r>
      <w:r w:rsidRPr="00466DAD" w:rsidR="003D40DD">
        <w:rPr>
          <w:rFonts w:ascii="Times New Roman" w:hAnsi="Times New Roman" w:cs="Times New Roman"/>
          <w:sz w:val="24"/>
          <w:szCs w:val="24"/>
        </w:rPr>
        <w:t xml:space="preserve">OVEC </w:t>
      </w:r>
      <w:r w:rsidRPr="00466DAD" w:rsidR="000A6538">
        <w:rPr>
          <w:rFonts w:ascii="Times New Roman" w:hAnsi="Times New Roman" w:cs="Times New Roman"/>
          <w:sz w:val="24"/>
          <w:szCs w:val="24"/>
        </w:rPr>
        <w:t>losses</w:t>
      </w:r>
      <w:r w:rsidRPr="00466DAD">
        <w:rPr>
          <w:rFonts w:ascii="Times New Roman" w:hAnsi="Times New Roman" w:cs="Times New Roman"/>
          <w:sz w:val="24"/>
          <w:szCs w:val="24"/>
        </w:rPr>
        <w:t xml:space="preserve">, Chair Haque stated that </w:t>
      </w:r>
      <w:r w:rsidRPr="00466DAD" w:rsidR="00300373">
        <w:rPr>
          <w:rFonts w:ascii="Times New Roman" w:hAnsi="Times New Roman" w:cs="Times New Roman"/>
          <w:sz w:val="24"/>
          <w:szCs w:val="24"/>
        </w:rPr>
        <w:t>the OVEC rider “should not be perceived as a blank check, and consumers should not be treated like a trust account.”</w:t>
      </w:r>
      <w:r>
        <w:rPr>
          <w:rStyle w:val="FootnoteReference"/>
          <w:rFonts w:ascii="Times New Roman" w:hAnsi="Times New Roman" w:cs="Times New Roman"/>
          <w:sz w:val="24"/>
          <w:szCs w:val="24"/>
        </w:rPr>
        <w:footnoteReference w:id="10"/>
      </w:r>
      <w:r w:rsidRPr="00466DAD" w:rsidR="00300373">
        <w:rPr>
          <w:rFonts w:ascii="Times New Roman" w:hAnsi="Times New Roman" w:cs="Times New Roman"/>
          <w:sz w:val="24"/>
          <w:szCs w:val="24"/>
        </w:rPr>
        <w:t xml:space="preserve">  He also stated that </w:t>
      </w:r>
      <w:r w:rsidRPr="00466DAD">
        <w:rPr>
          <w:rFonts w:ascii="Times New Roman" w:hAnsi="Times New Roman" w:cs="Times New Roman"/>
          <w:sz w:val="24"/>
          <w:szCs w:val="24"/>
        </w:rPr>
        <w:t xml:space="preserve">the so-called “hedge” provided by the OVEC plants would be illusory (and therefore unjust and unreasonable) if consumers will not receive any bill credits under the </w:t>
      </w:r>
      <w:r w:rsidRPr="00466DAD" w:rsidR="003D40DD">
        <w:rPr>
          <w:rFonts w:ascii="Times New Roman" w:hAnsi="Times New Roman" w:cs="Times New Roman"/>
          <w:sz w:val="24"/>
          <w:szCs w:val="24"/>
        </w:rPr>
        <w:t xml:space="preserve">OVEC charge </w:t>
      </w:r>
      <w:r w:rsidRPr="00466DAD">
        <w:rPr>
          <w:rFonts w:ascii="Times New Roman" w:hAnsi="Times New Roman" w:cs="Times New Roman"/>
          <w:sz w:val="24"/>
          <w:szCs w:val="24"/>
        </w:rPr>
        <w:t>mechanism:</w:t>
      </w:r>
    </w:p>
    <w:p w:rsidR="009163FF" w:rsidRPr="00466DAD" w:rsidP="009163FF" w14:paraId="67C9F661" w14:textId="77777777">
      <w:pPr>
        <w:pStyle w:val="ListParagraph"/>
        <w:ind w:left="1440" w:right="1440"/>
        <w:rPr>
          <w:rFonts w:ascii="Times New Roman" w:hAnsi="Times New Roman" w:cs="Times New Roman"/>
          <w:sz w:val="24"/>
          <w:szCs w:val="24"/>
        </w:rPr>
      </w:pPr>
      <w:r w:rsidRPr="00466DAD">
        <w:rPr>
          <w:rFonts w:ascii="Times New Roman" w:hAnsi="Times New Roman" w:cs="Times New Roman"/>
          <w:sz w:val="24"/>
          <w:szCs w:val="24"/>
        </w:rPr>
        <w:t xml:space="preserve">After a period of charges, I expect to see credits from the PPA </w:t>
      </w:r>
      <w:r w:rsidRPr="00466DAD">
        <w:rPr>
          <w:rFonts w:ascii="Times New Roman" w:hAnsi="Times New Roman" w:cs="Times New Roman"/>
          <w:sz w:val="24"/>
          <w:szCs w:val="24"/>
        </w:rPr>
        <w:br/>
        <w:t xml:space="preserve">riders. I'm not going to give definitive timelines, but that is my expectation. If this mechanism is truly a hedge, wherein consumers will pay when market prices are low, but will be credited money back when market prices are high, then </w:t>
      </w:r>
      <w:r w:rsidRPr="00466DAD">
        <w:rPr>
          <w:rFonts w:ascii="Times New Roman" w:hAnsi="Times New Roman" w:cs="Times New Roman"/>
          <w:i/>
          <w:iCs/>
          <w:sz w:val="24"/>
          <w:szCs w:val="24"/>
        </w:rPr>
        <w:t xml:space="preserve">what exactly is the point of </w:t>
      </w:r>
      <w:r w:rsidRPr="00466DAD">
        <w:rPr>
          <w:rFonts w:ascii="Times New Roman" w:hAnsi="Times New Roman" w:cs="Times New Roman"/>
          <w:i/>
          <w:iCs/>
          <w:sz w:val="24"/>
          <w:szCs w:val="24"/>
        </w:rPr>
        <w:br/>
        <w:t>the hedge if ratepayers never experience the credits? If ratepayers never experience the credits, then the PPA rider mechanism would then act as a somewhat illusory insurance policy.</w:t>
      </w:r>
      <w:r>
        <w:rPr>
          <w:rStyle w:val="FootnoteReference"/>
          <w:rFonts w:ascii="Times New Roman" w:hAnsi="Times New Roman" w:cs="Times New Roman"/>
          <w:sz w:val="24"/>
          <w:szCs w:val="24"/>
        </w:rPr>
        <w:footnoteReference w:id="11"/>
      </w:r>
      <w:r w:rsidRPr="00466DAD">
        <w:rPr>
          <w:rFonts w:ascii="Times New Roman" w:hAnsi="Times New Roman" w:cs="Times New Roman"/>
          <w:sz w:val="24"/>
          <w:szCs w:val="24"/>
        </w:rPr>
        <w:t xml:space="preserve"> </w:t>
      </w:r>
    </w:p>
    <w:p w:rsidR="009163FF" w:rsidRPr="00466DAD" w:rsidP="009163FF" w14:paraId="49FDC6D9" w14:textId="77777777">
      <w:pPr>
        <w:ind w:right="1440"/>
        <w:rPr>
          <w:rFonts w:ascii="Times New Roman" w:hAnsi="Times New Roman" w:cs="Times New Roman"/>
          <w:sz w:val="24"/>
          <w:szCs w:val="24"/>
        </w:rPr>
      </w:pPr>
    </w:p>
    <w:p w:rsidR="009163FF" w:rsidRPr="00466DAD" w:rsidP="009163FF" w14:paraId="27C243FB" w14:textId="54743FE8">
      <w:pPr>
        <w:spacing w:line="480" w:lineRule="auto"/>
        <w:rPr>
          <w:rFonts w:ascii="Times New Roman" w:hAnsi="Times New Roman" w:cs="Times New Roman"/>
          <w:sz w:val="24"/>
          <w:szCs w:val="24"/>
        </w:rPr>
      </w:pPr>
      <w:r w:rsidRPr="00466DAD">
        <w:rPr>
          <w:rFonts w:ascii="Times New Roman" w:hAnsi="Times New Roman" w:cs="Times New Roman"/>
          <w:sz w:val="24"/>
          <w:szCs w:val="24"/>
        </w:rPr>
        <w:tab/>
        <w:t>Commissioner Trombold</w:t>
      </w:r>
      <w:r w:rsidRPr="00466DAD" w:rsidR="00B522A9">
        <w:rPr>
          <w:rFonts w:ascii="Times New Roman" w:hAnsi="Times New Roman" w:cs="Times New Roman"/>
          <w:sz w:val="24"/>
          <w:szCs w:val="24"/>
        </w:rPr>
        <w:t>,</w:t>
      </w:r>
      <w:r w:rsidRPr="00466DAD">
        <w:rPr>
          <w:rFonts w:ascii="Times New Roman" w:hAnsi="Times New Roman" w:cs="Times New Roman"/>
          <w:sz w:val="24"/>
          <w:szCs w:val="24"/>
        </w:rPr>
        <w:t xml:space="preserve"> along with Commissioner Haque, fully expected the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 xml:space="preserve">to be a net credit to consumers over the life of the </w:t>
      </w:r>
      <w:r w:rsidRPr="00466DAD" w:rsidR="009721E9">
        <w:rPr>
          <w:rFonts w:ascii="Times New Roman" w:hAnsi="Times New Roman" w:cs="Times New Roman"/>
          <w:sz w:val="24"/>
          <w:szCs w:val="24"/>
        </w:rPr>
        <w:t>charge</w:t>
      </w:r>
      <w:r w:rsidRPr="00466DAD">
        <w:rPr>
          <w:rFonts w:ascii="Times New Roman" w:hAnsi="Times New Roman" w:cs="Times New Roman"/>
          <w:sz w:val="24"/>
          <w:szCs w:val="24"/>
        </w:rPr>
        <w:t>:</w:t>
      </w:r>
    </w:p>
    <w:p w:rsidR="009163FF" w:rsidRPr="00466DAD" w:rsidP="009163FF" w14:paraId="62B6C328" w14:textId="77777777">
      <w:pPr>
        <w:ind w:left="1440" w:right="1440"/>
        <w:rPr>
          <w:rFonts w:ascii="Times New Roman" w:hAnsi="Times New Roman" w:cs="Times New Roman"/>
          <w:sz w:val="24"/>
          <w:szCs w:val="24"/>
        </w:rPr>
      </w:pPr>
      <w:r w:rsidRPr="00466DAD">
        <w:rPr>
          <w:rFonts w:ascii="Times New Roman" w:hAnsi="Times New Roman" w:cs="Times New Roman"/>
          <w:sz w:val="24"/>
          <w:szCs w:val="24"/>
        </w:rPr>
        <w:t xml:space="preserve">The PPA mechanism proposed by the Company is designed to operate as a financial hedge against such price volatility, wherein consumers pay more when market prices are low but pay less when market prices are high. Based on the forecasts submitted by the </w:t>
      </w:r>
      <w:r w:rsidRPr="00466DAD">
        <w:rPr>
          <w:rFonts w:ascii="Times New Roman" w:hAnsi="Times New Roman" w:cs="Times New Roman"/>
          <w:sz w:val="24"/>
          <w:szCs w:val="24"/>
        </w:rPr>
        <w:br/>
        <w:t xml:space="preserve">Company and evidence in the record, </w:t>
      </w:r>
      <w:r w:rsidRPr="00466DAD">
        <w:rPr>
          <w:rFonts w:ascii="Times New Roman" w:hAnsi="Times New Roman" w:cs="Times New Roman"/>
          <w:i/>
          <w:iCs/>
          <w:sz w:val="24"/>
          <w:szCs w:val="24"/>
        </w:rPr>
        <w:t>it is my clear expectation, just as it is Commissioner Haque's, that the PPA rider approved today will result in a credit (i.e. benefit) to ratepayers over the next eight years</w:t>
      </w:r>
      <w:r w:rsidRPr="00466DAD">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466DAD">
        <w:rPr>
          <w:rFonts w:ascii="Times New Roman" w:hAnsi="Times New Roman" w:cs="Times New Roman"/>
          <w:sz w:val="24"/>
          <w:szCs w:val="24"/>
        </w:rPr>
        <w:t xml:space="preserve"> </w:t>
      </w:r>
    </w:p>
    <w:p w:rsidR="00B83104" w:rsidRPr="00466DAD" w:rsidP="00306F96" w14:paraId="4AED897E" w14:textId="77777777">
      <w:pPr>
        <w:pStyle w:val="ListParagraph"/>
        <w:rPr>
          <w:rFonts w:ascii="Times New Roman" w:hAnsi="Times New Roman" w:cs="Times New Roman"/>
          <w:sz w:val="24"/>
          <w:szCs w:val="24"/>
        </w:rPr>
      </w:pPr>
      <w:r w:rsidRPr="00466DAD">
        <w:rPr>
          <w:rFonts w:ascii="Times New Roman" w:hAnsi="Times New Roman" w:cs="Times New Roman"/>
          <w:sz w:val="24"/>
          <w:szCs w:val="24"/>
        </w:rPr>
        <w:tab/>
      </w:r>
    </w:p>
    <w:p w:rsidR="009163FF" w:rsidRPr="00466DAD" w:rsidP="00440A70" w14:paraId="2C0EC371" w14:textId="317D3E35">
      <w:pPr>
        <w:pStyle w:val="ListParagraph"/>
        <w:spacing w:line="480" w:lineRule="auto"/>
        <w:rPr>
          <w:rFonts w:ascii="Times New Roman" w:hAnsi="Times New Roman" w:cs="Times New Roman"/>
          <w:sz w:val="24"/>
          <w:szCs w:val="24"/>
        </w:rPr>
      </w:pPr>
      <w:r w:rsidRPr="00466DAD">
        <w:rPr>
          <w:rFonts w:ascii="Times New Roman" w:hAnsi="Times New Roman" w:cs="Times New Roman"/>
          <w:sz w:val="24"/>
          <w:szCs w:val="24"/>
        </w:rPr>
        <w:tab/>
        <w:t xml:space="preserve">AEP </w:t>
      </w:r>
      <w:r w:rsidRPr="00466DAD" w:rsidR="00B522A9">
        <w:rPr>
          <w:rFonts w:ascii="Times New Roman" w:hAnsi="Times New Roman" w:cs="Times New Roman"/>
          <w:sz w:val="24"/>
          <w:szCs w:val="24"/>
        </w:rPr>
        <w:t>asserted</w:t>
      </w:r>
      <w:r w:rsidRPr="00466DAD">
        <w:rPr>
          <w:rFonts w:ascii="Times New Roman" w:hAnsi="Times New Roman" w:cs="Times New Roman"/>
          <w:sz w:val="24"/>
          <w:szCs w:val="24"/>
        </w:rPr>
        <w:t xml:space="preserve"> that “[n]either the Auditor nor the intervenors can selectively challenge individual components nor the ICPA payment terms approved by the FERC.”</w:t>
      </w:r>
      <w:r>
        <w:rPr>
          <w:rStyle w:val="FootnoteReference"/>
          <w:rFonts w:ascii="Times New Roman" w:hAnsi="Times New Roman" w:cs="Times New Roman"/>
          <w:sz w:val="24"/>
          <w:szCs w:val="24"/>
        </w:rPr>
        <w:footnoteReference w:id="13"/>
      </w:r>
      <w:r w:rsidRPr="00466DAD">
        <w:rPr>
          <w:rFonts w:ascii="Times New Roman" w:hAnsi="Times New Roman" w:cs="Times New Roman"/>
          <w:sz w:val="24"/>
          <w:szCs w:val="24"/>
        </w:rPr>
        <w:t xml:space="preserve">  </w:t>
      </w:r>
      <w:r w:rsidRPr="00466DAD">
        <w:rPr>
          <w:rFonts w:ascii="Times New Roman" w:hAnsi="Times New Roman" w:cs="Times New Roman"/>
          <w:sz w:val="24"/>
          <w:szCs w:val="24"/>
        </w:rPr>
        <w:t xml:space="preserve"> </w:t>
      </w:r>
      <w:r w:rsidRPr="00466DAD">
        <w:rPr>
          <w:rFonts w:ascii="Times New Roman" w:hAnsi="Times New Roman" w:cs="Times New Roman"/>
          <w:sz w:val="24"/>
          <w:szCs w:val="24"/>
        </w:rPr>
        <w:t>AEP’s position that the PUCO cannot modify its prior order is just wrong.  The Ohio Supreme Court rejected this argument when AEP tried to raise it in a</w:t>
      </w:r>
      <w:r w:rsidRPr="00466DAD" w:rsidR="00586CAB">
        <w:rPr>
          <w:rFonts w:ascii="Times New Roman" w:hAnsi="Times New Roman" w:cs="Times New Roman"/>
          <w:sz w:val="24"/>
          <w:szCs w:val="24"/>
        </w:rPr>
        <w:t>nother</w:t>
      </w:r>
      <w:r w:rsidRPr="00466DAD">
        <w:rPr>
          <w:rFonts w:ascii="Times New Roman" w:hAnsi="Times New Roman" w:cs="Times New Roman"/>
          <w:sz w:val="24"/>
          <w:szCs w:val="24"/>
        </w:rPr>
        <w:t xml:space="preserve"> case:</w:t>
      </w:r>
    </w:p>
    <w:p w:rsidR="009163FF" w:rsidRPr="00466DAD" w:rsidP="009163FF" w14:paraId="4D6C8451" w14:textId="29205C31">
      <w:pPr>
        <w:ind w:left="1440" w:right="1440"/>
        <w:rPr>
          <w:rFonts w:ascii="Times New Roman" w:hAnsi="Times New Roman" w:cs="Times New Roman"/>
          <w:b/>
          <w:bCs/>
          <w:sz w:val="24"/>
          <w:szCs w:val="24"/>
        </w:rPr>
      </w:pPr>
      <w:r w:rsidRPr="00466DAD">
        <w:rPr>
          <w:rFonts w:ascii="Times New Roman" w:hAnsi="Times New Roman" w:cs="Times New Roman"/>
          <w:b/>
          <w:bCs/>
          <w:sz w:val="24"/>
          <w:szCs w:val="24"/>
        </w:rPr>
        <w:t>The commission is entitled to modify a prior order, provided that it explains the change and the new regulatory course is permissible</w:t>
      </w:r>
      <w:r w:rsidRPr="00466DAD" w:rsidR="00DF6229">
        <w:rPr>
          <w:rFonts w:ascii="Times New Roman" w:hAnsi="Times New Roman" w:cs="Times New Roman"/>
          <w:b/>
          <w:bCs/>
          <w:sz w:val="24"/>
          <w:szCs w:val="24"/>
        </w:rPr>
        <w:t>.</w:t>
      </w:r>
    </w:p>
    <w:p w:rsidR="009163FF" w:rsidRPr="00466DAD" w:rsidP="009163FF" w14:paraId="571CEF17" w14:textId="77777777">
      <w:pPr>
        <w:ind w:left="1440" w:right="1440"/>
        <w:rPr>
          <w:rFonts w:ascii="Times New Roman" w:hAnsi="Times New Roman" w:cs="Times New Roman"/>
          <w:sz w:val="24"/>
          <w:szCs w:val="24"/>
        </w:rPr>
      </w:pPr>
      <w:r w:rsidRPr="00466DAD">
        <w:rPr>
          <w:rFonts w:ascii="Times New Roman" w:hAnsi="Times New Roman" w:cs="Times New Roman"/>
          <w:sz w:val="24"/>
          <w:szCs w:val="24"/>
        </w:rPr>
        <w:t xml:space="preserve"> </w:t>
      </w:r>
      <w:r w:rsidRPr="00466DAD">
        <w:rPr>
          <w:rFonts w:ascii="Times New Roman" w:hAnsi="Times New Roman" w:cs="Times New Roman"/>
          <w:sz w:val="24"/>
          <w:szCs w:val="24"/>
        </w:rPr>
        <w:br/>
        <w:t xml:space="preserve">We have instructed the commission to ‘respect its own precedents </w:t>
      </w:r>
      <w:r w:rsidRPr="00466DAD">
        <w:rPr>
          <w:rFonts w:ascii="Times New Roman" w:hAnsi="Times New Roman" w:cs="Times New Roman"/>
          <w:sz w:val="24"/>
          <w:szCs w:val="24"/>
        </w:rPr>
        <w:br/>
        <w:t>in its decisions to assure the predictability which is essential in all areas of the law, including administrative law.’ This does not mean, however, that the commission may never revisit a particular decision, only that if the commission does change course, it must explain why. ‘When the commission has made a lawful order, it is bound by certain institutional constraints to justify that change before such order may be changed or modified.’  The court has not set the explanatory hurdle very high. In a case in which the commission did not follow its earlier precedent, we said that if the commission had put ‘[a] few simple sentences’ in its order to explain why the earlier case was no longer controlling, it would have been sufficient.</w:t>
      </w:r>
      <w:r>
        <w:rPr>
          <w:rStyle w:val="FootnoteReference"/>
          <w:rFonts w:ascii="Times New Roman" w:hAnsi="Times New Roman" w:cs="Times New Roman"/>
          <w:sz w:val="24"/>
          <w:szCs w:val="24"/>
        </w:rPr>
        <w:footnoteReference w:id="14"/>
      </w:r>
      <w:r w:rsidRPr="00466DAD">
        <w:rPr>
          <w:rFonts w:ascii="Times New Roman" w:hAnsi="Times New Roman" w:cs="Times New Roman"/>
          <w:sz w:val="24"/>
          <w:szCs w:val="24"/>
        </w:rPr>
        <w:t xml:space="preserve"> </w:t>
      </w:r>
    </w:p>
    <w:p w:rsidR="009163FF" w:rsidRPr="00466DAD" w:rsidP="009163FF" w14:paraId="0C0D3321" w14:textId="77777777">
      <w:pPr>
        <w:rPr>
          <w:rFonts w:ascii="Times New Roman" w:hAnsi="Times New Roman" w:cs="Times New Roman"/>
          <w:b/>
          <w:bCs/>
          <w:sz w:val="24"/>
          <w:szCs w:val="24"/>
        </w:rPr>
      </w:pPr>
    </w:p>
    <w:p w:rsidR="009163FF" w:rsidRPr="00466DAD" w:rsidP="009163FF" w14:paraId="716F306F" w14:textId="762D58D3">
      <w:pPr>
        <w:spacing w:line="480" w:lineRule="auto"/>
        <w:rPr>
          <w:rFonts w:ascii="Times New Roman" w:hAnsi="Times New Roman" w:cs="Times New Roman"/>
          <w:sz w:val="24"/>
          <w:szCs w:val="24"/>
        </w:rPr>
      </w:pPr>
      <w:r w:rsidRPr="00466DAD">
        <w:rPr>
          <w:rFonts w:ascii="Times New Roman" w:hAnsi="Times New Roman" w:cs="Times New Roman"/>
          <w:b/>
          <w:bCs/>
          <w:sz w:val="24"/>
          <w:szCs w:val="24"/>
        </w:rPr>
        <w:tab/>
      </w:r>
      <w:r w:rsidRPr="00466DAD">
        <w:rPr>
          <w:rFonts w:ascii="Times New Roman" w:hAnsi="Times New Roman" w:cs="Times New Roman"/>
          <w:sz w:val="24"/>
          <w:szCs w:val="24"/>
        </w:rPr>
        <w:t>The PUCO could easily supply “a few simple sentences” to reverse its earlier order allowing AEP to collect the OVEC charges.  Commissioners Trombold and Haque expressly noted</w:t>
      </w:r>
      <w:r w:rsidRPr="00466DAD" w:rsidR="00236E89">
        <w:rPr>
          <w:rFonts w:ascii="Times New Roman" w:hAnsi="Times New Roman" w:cs="Times New Roman"/>
          <w:sz w:val="24"/>
          <w:szCs w:val="24"/>
        </w:rPr>
        <w:t xml:space="preserve"> that</w:t>
      </w:r>
      <w:r w:rsidRPr="00466DAD">
        <w:rPr>
          <w:rFonts w:ascii="Times New Roman" w:hAnsi="Times New Roman" w:cs="Times New Roman"/>
          <w:sz w:val="24"/>
          <w:szCs w:val="24"/>
        </w:rPr>
        <w:t xml:space="preserve"> the PUCO’s approval of the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 xml:space="preserve">was predicated on </w:t>
      </w:r>
      <w:r w:rsidRPr="00466DAD" w:rsidR="00236E89">
        <w:rPr>
          <w:rFonts w:ascii="Times New Roman" w:hAnsi="Times New Roman" w:cs="Times New Roman"/>
          <w:sz w:val="24"/>
          <w:szCs w:val="24"/>
        </w:rPr>
        <w:t xml:space="preserve">an </w:t>
      </w:r>
      <w:r w:rsidRPr="00466DAD">
        <w:rPr>
          <w:rFonts w:ascii="Times New Roman" w:hAnsi="Times New Roman" w:cs="Times New Roman"/>
          <w:sz w:val="24"/>
          <w:szCs w:val="24"/>
        </w:rPr>
        <w:t>expectation</w:t>
      </w:r>
      <w:r w:rsidRPr="00466DAD" w:rsidR="00236E89">
        <w:rPr>
          <w:rFonts w:ascii="Times New Roman" w:hAnsi="Times New Roman" w:cs="Times New Roman"/>
          <w:sz w:val="24"/>
          <w:szCs w:val="24"/>
        </w:rPr>
        <w:t>.</w:t>
      </w:r>
      <w:r w:rsidRPr="00466DAD">
        <w:rPr>
          <w:rFonts w:ascii="Times New Roman" w:hAnsi="Times New Roman" w:cs="Times New Roman"/>
          <w:sz w:val="24"/>
          <w:szCs w:val="24"/>
        </w:rPr>
        <w:t xml:space="preserve"> </w:t>
      </w:r>
      <w:r w:rsidRPr="00466DAD" w:rsidR="00236E89">
        <w:rPr>
          <w:rFonts w:ascii="Times New Roman" w:hAnsi="Times New Roman" w:cs="Times New Roman"/>
          <w:sz w:val="24"/>
          <w:szCs w:val="24"/>
        </w:rPr>
        <w:t>That expectation</w:t>
      </w:r>
      <w:r w:rsidRPr="00466DAD">
        <w:rPr>
          <w:rFonts w:ascii="Times New Roman" w:hAnsi="Times New Roman" w:cs="Times New Roman"/>
          <w:sz w:val="24"/>
          <w:szCs w:val="24"/>
        </w:rPr>
        <w:t xml:space="preserve">, per AEP’s representation in the underlying case, </w:t>
      </w:r>
      <w:r w:rsidRPr="00466DAD" w:rsidR="00236E89">
        <w:rPr>
          <w:rFonts w:ascii="Times New Roman" w:hAnsi="Times New Roman" w:cs="Times New Roman"/>
          <w:sz w:val="24"/>
          <w:szCs w:val="24"/>
        </w:rPr>
        <w:t xml:space="preserve">was that </w:t>
      </w:r>
      <w:r w:rsidRPr="00466DAD">
        <w:rPr>
          <w:rFonts w:ascii="Times New Roman" w:hAnsi="Times New Roman" w:cs="Times New Roman"/>
          <w:sz w:val="24"/>
          <w:szCs w:val="24"/>
        </w:rPr>
        <w:t xml:space="preserve">the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would result in a net credit to consumers over the life of the rider.</w:t>
      </w:r>
      <w:r w:rsidRPr="00466DAD" w:rsidR="002760AC">
        <w:rPr>
          <w:rFonts w:ascii="Times New Roman" w:hAnsi="Times New Roman" w:cs="Times New Roman"/>
          <w:sz w:val="24"/>
          <w:szCs w:val="24"/>
        </w:rPr>
        <w:t xml:space="preserve"> Consumers have yet to see anything but additional charges on </w:t>
      </w:r>
      <w:r w:rsidRPr="00466DAD" w:rsidR="00236E89">
        <w:rPr>
          <w:rFonts w:ascii="Times New Roman" w:hAnsi="Times New Roman" w:cs="Times New Roman"/>
          <w:sz w:val="24"/>
          <w:szCs w:val="24"/>
        </w:rPr>
        <w:t>their</w:t>
      </w:r>
      <w:r w:rsidRPr="00466DAD" w:rsidR="002760AC">
        <w:rPr>
          <w:rFonts w:ascii="Times New Roman" w:hAnsi="Times New Roman" w:cs="Times New Roman"/>
          <w:sz w:val="24"/>
          <w:szCs w:val="24"/>
        </w:rPr>
        <w:t xml:space="preserve"> bills, no</w:t>
      </w:r>
      <w:r w:rsidRPr="00466DAD" w:rsidR="00236E89">
        <w:rPr>
          <w:rFonts w:ascii="Times New Roman" w:hAnsi="Times New Roman" w:cs="Times New Roman"/>
          <w:sz w:val="24"/>
          <w:szCs w:val="24"/>
        </w:rPr>
        <w:t>t</w:t>
      </w:r>
      <w:r w:rsidRPr="00466DAD" w:rsidR="002760AC">
        <w:rPr>
          <w:rFonts w:ascii="Times New Roman" w:hAnsi="Times New Roman" w:cs="Times New Roman"/>
          <w:sz w:val="24"/>
          <w:szCs w:val="24"/>
        </w:rPr>
        <w:t xml:space="preserve"> credits. </w:t>
      </w:r>
    </w:p>
    <w:p w:rsidR="009163FF" w:rsidRPr="00466DAD" w:rsidP="009163FF" w14:paraId="51A1FC0C" w14:textId="7B4C3281">
      <w:pPr>
        <w:spacing w:line="480" w:lineRule="auto"/>
        <w:rPr>
          <w:rFonts w:ascii="Times New Roman" w:hAnsi="Times New Roman" w:cs="Times New Roman"/>
          <w:sz w:val="24"/>
          <w:szCs w:val="24"/>
        </w:rPr>
      </w:pPr>
      <w:r w:rsidRPr="00466DAD">
        <w:rPr>
          <w:rFonts w:ascii="Times New Roman" w:hAnsi="Times New Roman" w:cs="Times New Roman"/>
          <w:sz w:val="24"/>
          <w:szCs w:val="24"/>
        </w:rPr>
        <w:tab/>
      </w:r>
      <w:r w:rsidRPr="00466DAD" w:rsidR="00236E89">
        <w:rPr>
          <w:rFonts w:ascii="Times New Roman" w:hAnsi="Times New Roman" w:cs="Times New Roman"/>
          <w:sz w:val="24"/>
          <w:szCs w:val="24"/>
        </w:rPr>
        <w:t>Moreover, s</w:t>
      </w:r>
      <w:r w:rsidRPr="00466DAD">
        <w:rPr>
          <w:rFonts w:ascii="Times New Roman" w:hAnsi="Times New Roman" w:cs="Times New Roman"/>
          <w:sz w:val="24"/>
          <w:szCs w:val="24"/>
        </w:rPr>
        <w:t>ubsequent events have completely changed this outlook, a</w:t>
      </w:r>
      <w:r w:rsidRPr="00466DAD" w:rsidR="00DB2665">
        <w:rPr>
          <w:rFonts w:ascii="Times New Roman" w:hAnsi="Times New Roman" w:cs="Times New Roman"/>
          <w:sz w:val="24"/>
          <w:szCs w:val="24"/>
        </w:rPr>
        <w:t>s discussed more fully below.</w:t>
      </w:r>
    </w:p>
    <w:p w:rsidR="00B83104" w:rsidRPr="00466DAD" w:rsidP="00306F96" w14:paraId="0D4D9EE4" w14:textId="2B02448E">
      <w:pPr>
        <w:pStyle w:val="ListParagraph"/>
        <w:numPr>
          <w:ilvl w:val="0"/>
          <w:numId w:val="20"/>
        </w:numPr>
        <w:ind w:left="2160" w:hanging="720"/>
        <w:rPr>
          <w:rFonts w:ascii="Times New Roman" w:hAnsi="Times New Roman" w:cs="Times New Roman"/>
          <w:b/>
          <w:bCs/>
          <w:sz w:val="24"/>
          <w:szCs w:val="24"/>
        </w:rPr>
      </w:pPr>
      <w:bookmarkStart w:id="12" w:name="_Toc89419009"/>
      <w:r w:rsidRPr="00466DAD">
        <w:rPr>
          <w:rStyle w:val="Heading3Char"/>
          <w:rFonts w:ascii="Times New Roman" w:hAnsi="Times New Roman" w:cs="Times New Roman"/>
        </w:rPr>
        <w:t>The PUCO should disallow AEP’s charges for OVEC costs in excess of PJM market prices because the costs are imprudent</w:t>
      </w:r>
      <w:bookmarkEnd w:id="12"/>
      <w:r w:rsidRPr="00466DAD" w:rsidR="00650F05">
        <w:rPr>
          <w:rFonts w:ascii="Times New Roman" w:hAnsi="Times New Roman" w:cs="Times New Roman"/>
          <w:b/>
          <w:bCs/>
          <w:sz w:val="24"/>
          <w:szCs w:val="24"/>
        </w:rPr>
        <w:t>.</w:t>
      </w:r>
    </w:p>
    <w:p w:rsidR="00650F05" w:rsidRPr="00466DAD" w:rsidP="00440A70" w14:paraId="795B5ABB" w14:textId="77777777">
      <w:pPr>
        <w:pStyle w:val="ListParagraph"/>
        <w:ind w:left="720"/>
        <w:rPr>
          <w:rFonts w:ascii="Times New Roman" w:hAnsi="Times New Roman" w:cs="Times New Roman"/>
          <w:b/>
          <w:bCs/>
          <w:sz w:val="24"/>
          <w:szCs w:val="24"/>
        </w:rPr>
      </w:pPr>
    </w:p>
    <w:p w:rsidR="00305DEE" w:rsidRPr="00466DAD" w:rsidP="009163FF" w14:paraId="2CCADF5E" w14:textId="0B878613">
      <w:pPr>
        <w:spacing w:line="480" w:lineRule="auto"/>
        <w:rPr>
          <w:rFonts w:ascii="Times New Roman" w:hAnsi="Times New Roman" w:cs="Times New Roman"/>
          <w:sz w:val="24"/>
          <w:szCs w:val="24"/>
        </w:rPr>
      </w:pPr>
      <w:r w:rsidRPr="00466DAD">
        <w:rPr>
          <w:rFonts w:ascii="Times New Roman" w:hAnsi="Times New Roman" w:cs="Times New Roman"/>
          <w:sz w:val="24"/>
          <w:szCs w:val="24"/>
        </w:rPr>
        <w:tab/>
      </w:r>
      <w:r w:rsidRPr="00466DAD" w:rsidR="00650F05">
        <w:rPr>
          <w:rFonts w:ascii="Times New Roman" w:hAnsi="Times New Roman" w:cs="Times New Roman"/>
          <w:sz w:val="24"/>
          <w:szCs w:val="24"/>
        </w:rPr>
        <w:t>T</w:t>
      </w:r>
      <w:r w:rsidRPr="00466DAD">
        <w:rPr>
          <w:rFonts w:ascii="Times New Roman" w:hAnsi="Times New Roman" w:cs="Times New Roman"/>
          <w:sz w:val="24"/>
          <w:szCs w:val="24"/>
        </w:rPr>
        <w:t xml:space="preserve">he independent auditor’s draft report stated that the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was “not in the best interest of ratepayers.”  The auditor reached this conclusion because “the OVEC plants cost more than they earn.”</w:t>
      </w:r>
      <w:r>
        <w:rPr>
          <w:rStyle w:val="FootnoteReference"/>
          <w:rFonts w:ascii="Times New Roman" w:hAnsi="Times New Roman" w:cs="Times New Roman"/>
          <w:sz w:val="24"/>
          <w:szCs w:val="24"/>
        </w:rPr>
        <w:footnoteReference w:id="15"/>
      </w:r>
      <w:r w:rsidRPr="00466DAD">
        <w:rPr>
          <w:rFonts w:ascii="Times New Roman" w:hAnsi="Times New Roman" w:cs="Times New Roman"/>
          <w:sz w:val="24"/>
          <w:szCs w:val="24"/>
        </w:rPr>
        <w:t xml:space="preserve">  The auditor identified a serious flaw in AEP’s original OVEC projections that projected a net credit over the life of the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 AEP’s projection was based on a levelized cost of entry of $96.53/MWh.</w:t>
      </w:r>
      <w:r>
        <w:rPr>
          <w:rStyle w:val="FootnoteReference"/>
          <w:rFonts w:ascii="Times New Roman" w:hAnsi="Times New Roman" w:cs="Times New Roman"/>
          <w:sz w:val="24"/>
          <w:szCs w:val="24"/>
        </w:rPr>
        <w:footnoteReference w:id="16"/>
      </w:r>
      <w:r w:rsidRPr="00466DAD">
        <w:rPr>
          <w:rFonts w:ascii="Times New Roman" w:hAnsi="Times New Roman" w:cs="Times New Roman"/>
          <w:sz w:val="24"/>
          <w:szCs w:val="24"/>
        </w:rPr>
        <w:t xml:space="preserve">  The auditor noted that the true levelized cost of entry was only $50.00/MWh, indicating that the OVEC plants “are not viable” in a competitive context (</w:t>
      </w:r>
      <w:r w:rsidRPr="00466DAD">
        <w:rPr>
          <w:rFonts w:ascii="Times New Roman" w:hAnsi="Times New Roman" w:cs="Times New Roman"/>
          <w:i/>
          <w:iCs/>
          <w:sz w:val="24"/>
          <w:szCs w:val="24"/>
        </w:rPr>
        <w:t xml:space="preserve">i.e., </w:t>
      </w:r>
      <w:r w:rsidRPr="00466DAD">
        <w:rPr>
          <w:rFonts w:ascii="Times New Roman" w:hAnsi="Times New Roman" w:cs="Times New Roman"/>
          <w:sz w:val="24"/>
          <w:szCs w:val="24"/>
        </w:rPr>
        <w:t>will not result in a net credit for consumers).</w:t>
      </w:r>
      <w:r>
        <w:rPr>
          <w:rStyle w:val="FootnoteReference"/>
          <w:rFonts w:ascii="Times New Roman" w:hAnsi="Times New Roman" w:cs="Times New Roman"/>
          <w:sz w:val="24"/>
          <w:szCs w:val="24"/>
        </w:rPr>
        <w:footnoteReference w:id="17"/>
      </w:r>
      <w:r w:rsidRPr="00466DAD">
        <w:rPr>
          <w:rFonts w:ascii="Times New Roman" w:hAnsi="Times New Roman" w:cs="Times New Roman"/>
          <w:sz w:val="24"/>
          <w:szCs w:val="24"/>
        </w:rPr>
        <w:t xml:space="preserve">  </w:t>
      </w:r>
    </w:p>
    <w:p w:rsidR="009163FF" w:rsidRPr="00466DAD" w:rsidP="00440A70" w14:paraId="50FA8C8A" w14:textId="424D5BE3">
      <w:pPr>
        <w:spacing w:line="480" w:lineRule="auto"/>
        <w:ind w:firstLine="360"/>
        <w:rPr>
          <w:rFonts w:ascii="Times New Roman" w:hAnsi="Times New Roman" w:cs="Times New Roman"/>
          <w:sz w:val="24"/>
          <w:szCs w:val="24"/>
        </w:rPr>
      </w:pPr>
      <w:r w:rsidRPr="00466DAD">
        <w:rPr>
          <w:rFonts w:ascii="Times New Roman" w:hAnsi="Times New Roman" w:cs="Times New Roman"/>
          <w:sz w:val="24"/>
          <w:szCs w:val="24"/>
        </w:rPr>
        <w:t xml:space="preserve">Given the auditor’s analysis that AEP’s projection of a net credit is based on a flawed assumption, it is now apparent that the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will not be a net credit to consumers</w:t>
      </w:r>
      <w:r w:rsidRPr="00466DAD" w:rsidR="002760AC">
        <w:rPr>
          <w:rFonts w:ascii="Times New Roman" w:hAnsi="Times New Roman" w:cs="Times New Roman"/>
          <w:sz w:val="24"/>
          <w:szCs w:val="24"/>
        </w:rPr>
        <w:t>. T</w:t>
      </w:r>
      <w:r w:rsidRPr="00466DAD">
        <w:rPr>
          <w:rFonts w:ascii="Times New Roman" w:hAnsi="Times New Roman" w:cs="Times New Roman"/>
          <w:sz w:val="24"/>
          <w:szCs w:val="24"/>
        </w:rPr>
        <w:t xml:space="preserve">he PUCO should disallow any above-market OVEC costs. </w:t>
      </w:r>
    </w:p>
    <w:p w:rsidR="009163FF" w:rsidRPr="00466DAD" w:rsidP="00306F96" w14:paraId="6B2E3F27" w14:textId="2B6E0A89">
      <w:pPr>
        <w:pStyle w:val="ListParagraph"/>
        <w:numPr>
          <w:ilvl w:val="0"/>
          <w:numId w:val="20"/>
        </w:numPr>
        <w:ind w:left="2160" w:hanging="720"/>
        <w:rPr>
          <w:rFonts w:ascii="Times New Roman" w:hAnsi="Times New Roman" w:cs="Times New Roman"/>
          <w:b/>
          <w:bCs/>
          <w:sz w:val="24"/>
          <w:szCs w:val="24"/>
        </w:rPr>
      </w:pPr>
      <w:bookmarkStart w:id="13" w:name="_Toc89419010"/>
      <w:r w:rsidRPr="00466DAD">
        <w:rPr>
          <w:rStyle w:val="Heading3Char"/>
          <w:rFonts w:ascii="Times New Roman" w:hAnsi="Times New Roman" w:cs="Times New Roman"/>
        </w:rPr>
        <w:t xml:space="preserve">The PUCO </w:t>
      </w:r>
      <w:r w:rsidRPr="00466DAD" w:rsidR="00306F96">
        <w:rPr>
          <w:rStyle w:val="Heading3Char"/>
          <w:rFonts w:ascii="Times New Roman" w:hAnsi="Times New Roman" w:cs="Times New Roman"/>
        </w:rPr>
        <w:t>should disallow AEP’s charges for OVEC costs in excess of PJM market prices due to actual OVEC losses in 2019 being substantially higher than projected</w:t>
      </w:r>
      <w:bookmarkEnd w:id="13"/>
      <w:r w:rsidRPr="00466DAD" w:rsidR="00DB2665">
        <w:rPr>
          <w:rFonts w:ascii="Times New Roman" w:hAnsi="Times New Roman" w:cs="Times New Roman"/>
          <w:b/>
          <w:bCs/>
          <w:sz w:val="24"/>
          <w:szCs w:val="24"/>
        </w:rPr>
        <w:t>.</w:t>
      </w:r>
    </w:p>
    <w:p w:rsidR="00B83104" w:rsidRPr="00466DAD" w:rsidP="00440A70" w14:paraId="745C347E" w14:textId="77777777">
      <w:pPr>
        <w:pStyle w:val="ListParagraph"/>
        <w:ind w:left="720"/>
        <w:rPr>
          <w:rFonts w:ascii="Times New Roman" w:hAnsi="Times New Roman" w:cs="Times New Roman"/>
          <w:sz w:val="24"/>
          <w:szCs w:val="24"/>
        </w:rPr>
      </w:pPr>
    </w:p>
    <w:p w:rsidR="009163FF" w:rsidRPr="00466DAD" w:rsidP="009163FF" w14:paraId="6839B05B" w14:textId="5CA86C8D">
      <w:pPr>
        <w:spacing w:line="480" w:lineRule="auto"/>
        <w:rPr>
          <w:rFonts w:ascii="Times New Roman" w:hAnsi="Times New Roman" w:cs="Times New Roman"/>
          <w:sz w:val="24"/>
          <w:szCs w:val="24"/>
        </w:rPr>
      </w:pPr>
      <w:r w:rsidRPr="00466DAD">
        <w:rPr>
          <w:rFonts w:ascii="Times New Roman" w:hAnsi="Times New Roman" w:cs="Times New Roman"/>
          <w:sz w:val="24"/>
          <w:szCs w:val="24"/>
        </w:rPr>
        <w:tab/>
        <w:t xml:space="preserve">OVEC’s actual results in 2019 were far worse than expected. </w:t>
      </w:r>
      <w:r w:rsidRPr="00466DAD" w:rsidR="00B16D5C">
        <w:rPr>
          <w:rFonts w:ascii="Times New Roman" w:hAnsi="Times New Roman" w:cs="Times New Roman"/>
          <w:sz w:val="24"/>
          <w:szCs w:val="24"/>
        </w:rPr>
        <w:t>When seeking approval for the OVEC riders, the utilities under-estimated the charges.  For example,</w:t>
      </w:r>
      <w:r w:rsidRPr="00466DAD">
        <w:rPr>
          <w:rFonts w:ascii="Times New Roman" w:hAnsi="Times New Roman" w:cs="Times New Roman"/>
          <w:sz w:val="24"/>
          <w:szCs w:val="24"/>
        </w:rPr>
        <w:t xml:space="preserve"> Duke projected that its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 xml:space="preserve">costs would be $18 million above PJM market prices when the PUCO approved the </w:t>
      </w:r>
      <w:r w:rsidRPr="00466DAD" w:rsidR="009721E9">
        <w:rPr>
          <w:rFonts w:ascii="Times New Roman" w:hAnsi="Times New Roman" w:cs="Times New Roman"/>
          <w:sz w:val="24"/>
          <w:szCs w:val="24"/>
        </w:rPr>
        <w:t>charge.  But</w:t>
      </w:r>
      <w:r w:rsidRPr="00466DAD">
        <w:rPr>
          <w:rFonts w:ascii="Times New Roman" w:hAnsi="Times New Roman" w:cs="Times New Roman"/>
          <w:sz w:val="24"/>
          <w:szCs w:val="24"/>
        </w:rPr>
        <w:t xml:space="preserve"> in fact, Duke’s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costs were $24.6 million above PJM market prices.</w:t>
      </w:r>
      <w:r>
        <w:rPr>
          <w:rStyle w:val="FootnoteReference"/>
          <w:rFonts w:ascii="Times New Roman" w:hAnsi="Times New Roman" w:cs="Times New Roman"/>
          <w:sz w:val="24"/>
          <w:szCs w:val="24"/>
        </w:rPr>
        <w:footnoteReference w:id="18"/>
      </w:r>
      <w:r w:rsidRPr="00466DAD">
        <w:rPr>
          <w:rFonts w:ascii="Times New Roman" w:hAnsi="Times New Roman" w:cs="Times New Roman"/>
          <w:sz w:val="24"/>
          <w:szCs w:val="24"/>
        </w:rPr>
        <w:t xml:space="preserve"> This is more than 130% above the estimate that Duke had provided just one year earlier.  </w:t>
      </w:r>
    </w:p>
    <w:p w:rsidR="009163FF" w:rsidRPr="00466DAD" w:rsidP="009163FF" w14:paraId="082F7033" w14:textId="24F4906D">
      <w:pPr>
        <w:spacing w:line="480" w:lineRule="auto"/>
        <w:rPr>
          <w:rFonts w:ascii="Times New Roman" w:hAnsi="Times New Roman" w:cs="Times New Roman"/>
          <w:sz w:val="24"/>
          <w:szCs w:val="24"/>
        </w:rPr>
      </w:pPr>
      <w:r w:rsidRPr="00466DAD">
        <w:rPr>
          <w:rFonts w:ascii="Times New Roman" w:hAnsi="Times New Roman" w:cs="Times New Roman"/>
          <w:sz w:val="24"/>
          <w:szCs w:val="24"/>
        </w:rPr>
        <w:tab/>
        <w:t>OVEC’s costs were about $118 million above PJM market prices in 2018</w:t>
      </w:r>
      <w:r w:rsidRPr="00466DAD" w:rsidR="009721E9">
        <w:rPr>
          <w:rFonts w:ascii="Times New Roman" w:hAnsi="Times New Roman" w:cs="Times New Roman"/>
          <w:sz w:val="24"/>
          <w:szCs w:val="24"/>
        </w:rPr>
        <w:t>.</w:t>
      </w:r>
      <w:r w:rsidRPr="00466DAD">
        <w:rPr>
          <w:rFonts w:ascii="Times New Roman" w:hAnsi="Times New Roman" w:cs="Times New Roman"/>
          <w:sz w:val="24"/>
          <w:szCs w:val="24"/>
        </w:rPr>
        <w:t xml:space="preserve"> </w:t>
      </w:r>
      <w:r w:rsidRPr="00466DAD" w:rsidR="009721E9">
        <w:rPr>
          <w:rFonts w:ascii="Times New Roman" w:hAnsi="Times New Roman" w:cs="Times New Roman"/>
          <w:sz w:val="24"/>
          <w:szCs w:val="24"/>
        </w:rPr>
        <w:t xml:space="preserve"> B</w:t>
      </w:r>
      <w:r w:rsidRPr="00466DAD">
        <w:rPr>
          <w:rFonts w:ascii="Times New Roman" w:hAnsi="Times New Roman" w:cs="Times New Roman"/>
          <w:sz w:val="24"/>
          <w:szCs w:val="24"/>
        </w:rPr>
        <w:t>ut by 2019 this amount had more than doubled such that OVEC’s costs were about $237 million above PJM market prices, as shown in Table 2 in Ms. Glick’s testimony in the Duke OVEC rider case:</w:t>
      </w:r>
      <w:r>
        <w:rPr>
          <w:rStyle w:val="FootnoteReference"/>
          <w:rFonts w:ascii="Times New Roman" w:hAnsi="Times New Roman" w:cs="Times New Roman"/>
          <w:sz w:val="24"/>
          <w:szCs w:val="24"/>
        </w:rPr>
        <w:footnoteReference w:id="19"/>
      </w:r>
    </w:p>
    <w:p w:rsidR="009163FF" w:rsidRPr="00466DAD" w:rsidP="009163FF" w14:paraId="26DDD504" w14:textId="77777777">
      <w:pPr>
        <w:spacing w:line="480" w:lineRule="auto"/>
        <w:rPr>
          <w:rFonts w:ascii="Times New Roman" w:hAnsi="Times New Roman" w:cs="Times New Roman"/>
          <w:sz w:val="24"/>
          <w:szCs w:val="24"/>
        </w:rPr>
      </w:pPr>
      <w:r w:rsidRPr="00466DAD">
        <w:rPr>
          <w:rFonts w:ascii="Times New Roman" w:hAnsi="Times New Roman" w:cs="Times New Roman"/>
          <w:sz w:val="24"/>
          <w:szCs w:val="24"/>
        </w:rPr>
        <w:tab/>
        <w:t>Another example of this worsening trend is the updated Runnerstone analysis.  Runnerstone’s 2020 analysis reported that Ohio utilities collected $159 million in OVEC subsidies through 2019, and projected that they would collect an additional $700 million in subsidies through 2030 plus another $700 million from 2030-2040.</w:t>
      </w:r>
      <w:r>
        <w:rPr>
          <w:rStyle w:val="FootnoteReference"/>
          <w:rFonts w:ascii="Times New Roman" w:hAnsi="Times New Roman" w:cs="Times New Roman"/>
          <w:sz w:val="24"/>
          <w:szCs w:val="24"/>
        </w:rPr>
        <w:footnoteReference w:id="20"/>
      </w:r>
      <w:r w:rsidRPr="00466DAD">
        <w:rPr>
          <w:rFonts w:ascii="Times New Roman" w:hAnsi="Times New Roman" w:cs="Times New Roman"/>
          <w:sz w:val="24"/>
          <w:szCs w:val="24"/>
        </w:rPr>
        <w:t xml:space="preserve">  When Runnerstone updated this analysis in September 2021, less than one year later, it concluded that the subsidy would double to $1.4 billion just for the period of 2020-2030.</w:t>
      </w:r>
      <w:r>
        <w:rPr>
          <w:rStyle w:val="FootnoteReference"/>
          <w:rFonts w:ascii="Times New Roman" w:hAnsi="Times New Roman" w:cs="Times New Roman"/>
          <w:sz w:val="24"/>
          <w:szCs w:val="24"/>
        </w:rPr>
        <w:footnoteReference w:id="21"/>
      </w:r>
      <w:r w:rsidRPr="00466DAD">
        <w:rPr>
          <w:rFonts w:ascii="Times New Roman" w:hAnsi="Times New Roman" w:cs="Times New Roman"/>
          <w:sz w:val="24"/>
          <w:szCs w:val="24"/>
        </w:rPr>
        <w:t xml:space="preserve"> </w:t>
      </w:r>
    </w:p>
    <w:p w:rsidR="009163FF" w:rsidRPr="00466DAD" w:rsidP="009163FF" w14:paraId="2741C4B5" w14:textId="1C4E0A29">
      <w:pPr>
        <w:spacing w:line="480" w:lineRule="auto"/>
        <w:rPr>
          <w:rFonts w:ascii="Times New Roman" w:hAnsi="Times New Roman" w:cs="Times New Roman"/>
          <w:sz w:val="24"/>
          <w:szCs w:val="24"/>
        </w:rPr>
      </w:pPr>
      <w:r w:rsidRPr="00466DAD">
        <w:rPr>
          <w:rFonts w:ascii="Times New Roman" w:hAnsi="Times New Roman" w:cs="Times New Roman"/>
          <w:sz w:val="24"/>
          <w:szCs w:val="24"/>
        </w:rPr>
        <w:tab/>
        <w:t xml:space="preserve">This Runnerstone graph shows </w:t>
      </w:r>
      <w:r w:rsidRPr="00466DAD" w:rsidR="009721E9">
        <w:rPr>
          <w:rFonts w:ascii="Times New Roman" w:hAnsi="Times New Roman" w:cs="Times New Roman"/>
          <w:sz w:val="24"/>
          <w:szCs w:val="24"/>
        </w:rPr>
        <w:t xml:space="preserve">that </w:t>
      </w:r>
      <w:r w:rsidRPr="00466DAD">
        <w:rPr>
          <w:rFonts w:ascii="Times New Roman" w:hAnsi="Times New Roman" w:cs="Times New Roman"/>
          <w:sz w:val="24"/>
          <w:szCs w:val="24"/>
        </w:rPr>
        <w:t>the annual increase in the OVEC subsidy has steadily – and substantially – increased since 2016:</w:t>
      </w:r>
    </w:p>
    <w:p w:rsidR="00C721D8" w:rsidRPr="00466DAD" w:rsidP="009163FF" w14:paraId="78E87DE4" w14:textId="77777777">
      <w:pPr>
        <w:spacing w:line="480" w:lineRule="auto"/>
        <w:rPr>
          <w:rFonts w:ascii="Times New Roman" w:hAnsi="Times New Roman" w:cs="Times New Roman"/>
          <w:sz w:val="24"/>
          <w:szCs w:val="24"/>
        </w:rPr>
      </w:pPr>
    </w:p>
    <w:p w:rsidR="00D20495" w:rsidRPr="00466DAD" w14:paraId="3C568C1E" w14:textId="77777777">
      <w:pPr>
        <w:rPr>
          <w:rFonts w:ascii="Times New Roman" w:hAnsi="Times New Roman" w:cs="Times New Roman"/>
          <w:b/>
          <w:bCs/>
          <w:sz w:val="24"/>
          <w:szCs w:val="24"/>
        </w:rPr>
      </w:pPr>
      <w:r w:rsidRPr="00466DAD">
        <w:rPr>
          <w:rFonts w:ascii="Times New Roman" w:hAnsi="Times New Roman" w:cs="Times New Roman"/>
          <w:b/>
          <w:bCs/>
          <w:sz w:val="24"/>
          <w:szCs w:val="24"/>
        </w:rPr>
        <w:br w:type="page"/>
      </w:r>
    </w:p>
    <w:p w:rsidR="009163FF" w:rsidRPr="00466DAD" w:rsidP="00634879" w14:paraId="03FE9182" w14:textId="20496FE6">
      <w:pPr>
        <w:spacing w:line="480" w:lineRule="auto"/>
        <w:jc w:val="center"/>
        <w:rPr>
          <w:rFonts w:ascii="Times New Roman" w:hAnsi="Times New Roman" w:cs="Times New Roman"/>
          <w:sz w:val="24"/>
          <w:szCs w:val="24"/>
        </w:rPr>
      </w:pPr>
      <w:r w:rsidRPr="00466DAD">
        <w:rPr>
          <w:rFonts w:ascii="Times New Roman" w:hAnsi="Times New Roman" w:cs="Times New Roman"/>
          <w:b/>
          <w:bCs/>
          <w:sz w:val="24"/>
          <w:szCs w:val="24"/>
        </w:rPr>
        <w:t>Figure 1: Annual OVEC Subsidy Collection</w:t>
      </w:r>
    </w:p>
    <w:p w:rsidR="009163FF" w:rsidRPr="00466DAD" w:rsidP="009163FF" w14:paraId="5820CEE3" w14:textId="77777777">
      <w:pPr>
        <w:spacing w:line="480" w:lineRule="auto"/>
        <w:rPr>
          <w:rFonts w:ascii="Times New Roman" w:hAnsi="Times New Roman" w:cs="Times New Roman"/>
          <w:sz w:val="24"/>
          <w:szCs w:val="24"/>
        </w:rPr>
      </w:pPr>
      <w:r w:rsidRPr="00466DAD">
        <w:rPr>
          <w:rFonts w:ascii="Times New Roman" w:hAnsi="Times New Roman" w:cs="Times New Roman"/>
          <w:noProof/>
          <w:sz w:val="24"/>
          <w:szCs w:val="24"/>
        </w:rPr>
        <w:drawing>
          <wp:inline distT="0" distB="0" distL="0" distR="0">
            <wp:extent cx="5657850" cy="265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6322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657850" cy="2654300"/>
                    </a:xfrm>
                    <a:prstGeom prst="rect">
                      <a:avLst/>
                    </a:prstGeom>
                    <a:noFill/>
                    <a:ln>
                      <a:noFill/>
                    </a:ln>
                  </pic:spPr>
                </pic:pic>
              </a:graphicData>
            </a:graphic>
          </wp:inline>
        </w:drawing>
      </w:r>
    </w:p>
    <w:p w:rsidR="009163FF" w:rsidRPr="00466DAD" w:rsidP="009163FF" w14:paraId="06B06695" w14:textId="4EC37B6D">
      <w:pPr>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T</w:t>
      </w:r>
      <w:r w:rsidRPr="00466DAD">
        <w:rPr>
          <w:rFonts w:ascii="Times New Roman" w:hAnsi="Times New Roman" w:cs="Times New Roman"/>
          <w:sz w:val="24"/>
          <w:szCs w:val="24"/>
        </w:rPr>
        <w:t>he actual performance of the OVEC plants has been much worse than projected</w:t>
      </w:r>
      <w:r w:rsidRPr="00466DAD">
        <w:rPr>
          <w:rFonts w:ascii="Times New Roman" w:hAnsi="Times New Roman" w:cs="Times New Roman"/>
          <w:sz w:val="24"/>
          <w:szCs w:val="24"/>
        </w:rPr>
        <w:t>.</w:t>
      </w:r>
      <w:r w:rsidRPr="00466DAD">
        <w:rPr>
          <w:rFonts w:ascii="Times New Roman" w:hAnsi="Times New Roman" w:cs="Times New Roman"/>
          <w:sz w:val="24"/>
          <w:szCs w:val="24"/>
        </w:rPr>
        <w:t xml:space="preserve"> </w:t>
      </w:r>
      <w:r w:rsidRPr="00466DAD">
        <w:rPr>
          <w:rFonts w:ascii="Times New Roman" w:hAnsi="Times New Roman" w:cs="Times New Roman"/>
          <w:sz w:val="24"/>
          <w:szCs w:val="24"/>
        </w:rPr>
        <w:t>T</w:t>
      </w:r>
      <w:r w:rsidRPr="00466DAD">
        <w:rPr>
          <w:rFonts w:ascii="Times New Roman" w:hAnsi="Times New Roman" w:cs="Times New Roman"/>
          <w:sz w:val="24"/>
          <w:szCs w:val="24"/>
        </w:rPr>
        <w:t>his is a long-term trend that will continue</w:t>
      </w:r>
      <w:r w:rsidRPr="00466DAD">
        <w:rPr>
          <w:rFonts w:ascii="Times New Roman" w:hAnsi="Times New Roman" w:cs="Times New Roman"/>
          <w:sz w:val="24"/>
          <w:szCs w:val="24"/>
        </w:rPr>
        <w:t>. I</w:t>
      </w:r>
      <w:r w:rsidRPr="00466DAD">
        <w:rPr>
          <w:rFonts w:ascii="Times New Roman" w:hAnsi="Times New Roman" w:cs="Times New Roman"/>
          <w:sz w:val="24"/>
          <w:szCs w:val="24"/>
        </w:rPr>
        <w:t xml:space="preserve">t is apparent that the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 xml:space="preserve">will not be a net credit to </w:t>
      </w:r>
      <w:r w:rsidRPr="00466DAD">
        <w:rPr>
          <w:rFonts w:ascii="Times New Roman" w:hAnsi="Times New Roman" w:cs="Times New Roman"/>
          <w:sz w:val="24"/>
          <w:szCs w:val="24"/>
        </w:rPr>
        <w:t xml:space="preserve">AEP’s </w:t>
      </w:r>
      <w:r w:rsidRPr="00466DAD">
        <w:rPr>
          <w:rFonts w:ascii="Times New Roman" w:hAnsi="Times New Roman" w:cs="Times New Roman"/>
          <w:sz w:val="24"/>
          <w:szCs w:val="24"/>
        </w:rPr>
        <w:t>consumers</w:t>
      </w:r>
      <w:r w:rsidRPr="00466DAD" w:rsidR="009721E9">
        <w:rPr>
          <w:rFonts w:ascii="Times New Roman" w:hAnsi="Times New Roman" w:cs="Times New Roman"/>
          <w:sz w:val="24"/>
          <w:szCs w:val="24"/>
        </w:rPr>
        <w:t>.</w:t>
      </w:r>
      <w:r w:rsidRPr="00466DAD">
        <w:rPr>
          <w:rFonts w:ascii="Times New Roman" w:hAnsi="Times New Roman" w:cs="Times New Roman"/>
          <w:sz w:val="24"/>
          <w:szCs w:val="24"/>
        </w:rPr>
        <w:t xml:space="preserve"> </w:t>
      </w:r>
      <w:r w:rsidRPr="00466DAD" w:rsidR="009721E9">
        <w:rPr>
          <w:rFonts w:ascii="Times New Roman" w:hAnsi="Times New Roman" w:cs="Times New Roman"/>
          <w:sz w:val="24"/>
          <w:szCs w:val="24"/>
        </w:rPr>
        <w:t xml:space="preserve"> T</w:t>
      </w:r>
      <w:r w:rsidRPr="00466DAD">
        <w:rPr>
          <w:rFonts w:ascii="Times New Roman" w:hAnsi="Times New Roman" w:cs="Times New Roman"/>
          <w:sz w:val="24"/>
          <w:szCs w:val="24"/>
        </w:rPr>
        <w:t xml:space="preserve">he PUCO should disallow any above-market OVEC costs. </w:t>
      </w:r>
    </w:p>
    <w:p w:rsidR="009163FF" w:rsidRPr="00466DAD" w:rsidP="00306F96" w14:paraId="385C2976" w14:textId="1781126F">
      <w:pPr>
        <w:pStyle w:val="ListParagraph"/>
        <w:numPr>
          <w:ilvl w:val="0"/>
          <w:numId w:val="20"/>
        </w:numPr>
        <w:ind w:left="2160" w:hanging="720"/>
        <w:rPr>
          <w:rFonts w:ascii="Times New Roman" w:hAnsi="Times New Roman" w:cs="Times New Roman"/>
          <w:b/>
          <w:bCs/>
          <w:sz w:val="24"/>
          <w:szCs w:val="24"/>
        </w:rPr>
      </w:pPr>
      <w:bookmarkStart w:id="14" w:name="_Toc89419011"/>
      <w:r w:rsidRPr="00466DAD">
        <w:rPr>
          <w:rStyle w:val="Heading3Char"/>
          <w:rFonts w:ascii="Times New Roman" w:hAnsi="Times New Roman" w:cs="Times New Roman"/>
        </w:rPr>
        <w:t xml:space="preserve">The PUCO </w:t>
      </w:r>
      <w:r w:rsidRPr="00466DAD" w:rsidR="00306F96">
        <w:rPr>
          <w:rStyle w:val="Heading3Char"/>
          <w:rFonts w:ascii="Times New Roman" w:hAnsi="Times New Roman" w:cs="Times New Roman"/>
        </w:rPr>
        <w:t>should disallow AEP’s charges for OVEC costs in excess of PJM market prices due to new EPA rules that will substantially increase OVEC’s costs</w:t>
      </w:r>
      <w:bookmarkEnd w:id="14"/>
      <w:r w:rsidRPr="00466DAD" w:rsidR="00DB2665">
        <w:rPr>
          <w:rFonts w:ascii="Times New Roman" w:hAnsi="Times New Roman" w:cs="Times New Roman"/>
          <w:b/>
          <w:bCs/>
          <w:sz w:val="24"/>
          <w:szCs w:val="24"/>
        </w:rPr>
        <w:t>.</w:t>
      </w:r>
    </w:p>
    <w:p w:rsidR="00B83104" w:rsidRPr="00466DAD" w:rsidP="00440A70" w14:paraId="6B2367F1" w14:textId="77777777">
      <w:pPr>
        <w:pStyle w:val="ListParagraph"/>
        <w:ind w:left="720"/>
        <w:rPr>
          <w:rFonts w:ascii="Times New Roman" w:hAnsi="Times New Roman" w:cs="Times New Roman"/>
          <w:b/>
          <w:bCs/>
          <w:sz w:val="24"/>
          <w:szCs w:val="24"/>
          <w:u w:val="single"/>
        </w:rPr>
      </w:pPr>
    </w:p>
    <w:p w:rsidR="00C721D8" w:rsidRPr="00466DAD" w:rsidP="009163FF" w14:paraId="688A637D" w14:textId="4DACE2F2">
      <w:pPr>
        <w:spacing w:line="480" w:lineRule="auto"/>
        <w:rPr>
          <w:rFonts w:ascii="Times New Roman" w:hAnsi="Times New Roman" w:cs="Times New Roman"/>
          <w:sz w:val="24"/>
          <w:szCs w:val="24"/>
        </w:rPr>
      </w:pPr>
      <w:r w:rsidRPr="00466DAD">
        <w:rPr>
          <w:rFonts w:ascii="Times New Roman" w:hAnsi="Times New Roman" w:cs="Times New Roman"/>
          <w:sz w:val="24"/>
          <w:szCs w:val="24"/>
        </w:rPr>
        <w:tab/>
        <w:t xml:space="preserve">After the PUCO approved AEP’s OVEC </w:t>
      </w:r>
      <w:r w:rsidRPr="00466DAD" w:rsidR="009721E9">
        <w:rPr>
          <w:rFonts w:ascii="Times New Roman" w:hAnsi="Times New Roman" w:cs="Times New Roman"/>
          <w:sz w:val="24"/>
          <w:szCs w:val="24"/>
        </w:rPr>
        <w:t>charge</w:t>
      </w:r>
      <w:r w:rsidRPr="00466DAD">
        <w:rPr>
          <w:rFonts w:ascii="Times New Roman" w:hAnsi="Times New Roman" w:cs="Times New Roman"/>
          <w:sz w:val="24"/>
          <w:szCs w:val="24"/>
        </w:rPr>
        <w:t xml:space="preserve">, the </w:t>
      </w:r>
      <w:r w:rsidRPr="00466DAD" w:rsidR="009134B2">
        <w:rPr>
          <w:rFonts w:ascii="Times New Roman" w:hAnsi="Times New Roman" w:cs="Times New Roman"/>
          <w:sz w:val="24"/>
          <w:szCs w:val="24"/>
        </w:rPr>
        <w:t xml:space="preserve">U.S. </w:t>
      </w:r>
      <w:r w:rsidRPr="00466DAD">
        <w:rPr>
          <w:rFonts w:ascii="Times New Roman" w:hAnsi="Times New Roman" w:cs="Times New Roman"/>
          <w:sz w:val="24"/>
          <w:szCs w:val="24"/>
        </w:rPr>
        <w:t>EPA finalized rules for Coal Combustion Residuals (“CCR”) and Effluent Limitation Guidelines (“ELG”).  These rules dramatically increased the cost of capital investment needed for environmental compliance.  This led many utilities to close their old, inefficient, costly coal plants like the OVEC plants.  For example, AEP issued this news release after the EPA finalized these rules:</w:t>
      </w:r>
    </w:p>
    <w:p w:rsidR="009163FF" w:rsidRPr="00466DAD" w:rsidP="00D20495" w14:paraId="5E9D8F99" w14:textId="597D9C11">
      <w:pPr>
        <w:ind w:left="1440" w:right="1440"/>
        <w:rPr>
          <w:rFonts w:ascii="Times New Roman" w:hAnsi="Times New Roman" w:cs="Times New Roman"/>
          <w:b/>
          <w:bCs/>
          <w:sz w:val="24"/>
          <w:szCs w:val="24"/>
        </w:rPr>
      </w:pPr>
      <w:r w:rsidRPr="00466DAD">
        <w:rPr>
          <w:rFonts w:ascii="Times New Roman" w:hAnsi="Times New Roman" w:cs="Times New Roman"/>
          <w:b/>
          <w:bCs/>
          <w:sz w:val="24"/>
          <w:szCs w:val="24"/>
        </w:rPr>
        <w:t>AEP CCR And ELG Compliance Plans Will Remove Additional 1,633 MW Of Coal-fueled Generation From Company Fleet</w:t>
      </w:r>
      <w:r w:rsidRPr="00466DAD" w:rsidR="00DF6229">
        <w:rPr>
          <w:rFonts w:ascii="Times New Roman" w:hAnsi="Times New Roman" w:cs="Times New Roman"/>
          <w:b/>
          <w:bCs/>
          <w:sz w:val="24"/>
          <w:szCs w:val="24"/>
        </w:rPr>
        <w:t>.</w:t>
      </w:r>
      <w:r w:rsidRPr="00466DAD">
        <w:rPr>
          <w:rFonts w:ascii="Times New Roman" w:hAnsi="Times New Roman" w:cs="Times New Roman"/>
          <w:b/>
          <w:bCs/>
          <w:sz w:val="24"/>
          <w:szCs w:val="24"/>
        </w:rPr>
        <w:t xml:space="preserve"> </w:t>
      </w:r>
    </w:p>
    <w:p w:rsidR="009163FF" w:rsidRPr="00466DAD" w:rsidP="009163FF" w14:paraId="5D9AC55C" w14:textId="77777777">
      <w:pPr>
        <w:pStyle w:val="NormalWeb"/>
        <w:ind w:left="1440" w:right="1440"/>
      </w:pPr>
      <w:r w:rsidRPr="00466DAD">
        <w:rPr>
          <w:rStyle w:val="xn-location"/>
        </w:rPr>
        <w:t>COLUMBUS, Ohio</w:t>
      </w:r>
      <w:r w:rsidRPr="00466DAD">
        <w:t xml:space="preserve">, </w:t>
      </w:r>
      <w:r w:rsidRPr="00466DAD">
        <w:rPr>
          <w:rStyle w:val="xn-chron"/>
        </w:rPr>
        <w:t>Nov. 5, 2020</w:t>
      </w:r>
      <w:r w:rsidRPr="00466DAD">
        <w:t xml:space="preserve"> /PRNewswire/ -- American Electric Power's (Nasdaq: </w:t>
      </w:r>
      <w:hyperlink r:id="rId10" w:anchor="financial-modal" w:history="1">
        <w:r w:rsidRPr="00466DAD">
          <w:rPr>
            <w:rStyle w:val="Hyperlink"/>
          </w:rPr>
          <w:t>AEP</w:t>
        </w:r>
      </w:hyperlink>
      <w:r w:rsidRPr="00466DAD">
        <w:t xml:space="preserve">) compliance plans for two recently revised environmental regulations will remove 1,633 megawatts (MW) of coal-fueled generation from its fleet by the end of 2028. </w:t>
      </w:r>
    </w:p>
    <w:p w:rsidR="009163FF" w:rsidRPr="00466DAD" w:rsidP="009163FF" w14:paraId="15924007" w14:textId="77777777">
      <w:pPr>
        <w:pStyle w:val="NormalWeb"/>
        <w:ind w:left="1440" w:right="1440"/>
      </w:pPr>
      <w:r w:rsidRPr="00466DAD">
        <w:t xml:space="preserve">AEP will file compliance plans this month for the U.S. Environmental Protection Agency's (EPA) Coal Combustion Residuals (CCR) rule. Those plans will indicate that the company will retire the Pirkey Plant (580 MW) in </w:t>
      </w:r>
      <w:r w:rsidRPr="00466DAD">
        <w:rPr>
          <w:rStyle w:val="xn-location"/>
        </w:rPr>
        <w:t>Hallsville, Texas</w:t>
      </w:r>
      <w:r w:rsidRPr="00466DAD">
        <w:t xml:space="preserve">, in 2023 and cease using coal at the Welsh Plant (1,053 MW), in </w:t>
      </w:r>
      <w:r w:rsidRPr="00466DAD">
        <w:rPr>
          <w:rStyle w:val="xn-location"/>
        </w:rPr>
        <w:t>Pittsburg, Texas</w:t>
      </w:r>
      <w:r w:rsidRPr="00466DAD">
        <w:t>, in 2028.</w:t>
      </w:r>
      <w:r>
        <w:rPr>
          <w:rStyle w:val="FootnoteReference"/>
        </w:rPr>
        <w:footnoteReference w:id="22"/>
      </w:r>
      <w:r w:rsidRPr="00466DAD">
        <w:t xml:space="preserve"> </w:t>
      </w:r>
    </w:p>
    <w:p w:rsidR="009163FF" w:rsidRPr="00466DAD" w:rsidP="009163FF" w14:paraId="26AF0BB6" w14:textId="5A8B4522">
      <w:pPr>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 xml:space="preserve">Given that these new EPA rules will dramatically increase OVEC’s costs, it is now apparent that the OVEC </w:t>
      </w:r>
      <w:r w:rsidRPr="00466DAD" w:rsidR="009721E9">
        <w:rPr>
          <w:rFonts w:ascii="Times New Roman" w:hAnsi="Times New Roman" w:cs="Times New Roman"/>
          <w:sz w:val="24"/>
          <w:szCs w:val="24"/>
        </w:rPr>
        <w:t xml:space="preserve">charge </w:t>
      </w:r>
      <w:r w:rsidRPr="00466DAD">
        <w:rPr>
          <w:rFonts w:ascii="Times New Roman" w:hAnsi="Times New Roman" w:cs="Times New Roman"/>
          <w:sz w:val="24"/>
          <w:szCs w:val="24"/>
        </w:rPr>
        <w:t>will not be a net credit to consumers</w:t>
      </w:r>
      <w:r w:rsidRPr="00466DAD" w:rsidR="009721E9">
        <w:rPr>
          <w:rFonts w:ascii="Times New Roman" w:hAnsi="Times New Roman" w:cs="Times New Roman"/>
          <w:sz w:val="24"/>
          <w:szCs w:val="24"/>
        </w:rPr>
        <w:t>.  T</w:t>
      </w:r>
      <w:r w:rsidRPr="00466DAD">
        <w:rPr>
          <w:rFonts w:ascii="Times New Roman" w:hAnsi="Times New Roman" w:cs="Times New Roman"/>
          <w:sz w:val="24"/>
          <w:szCs w:val="24"/>
        </w:rPr>
        <w:t xml:space="preserve">he PUCO should disallow any </w:t>
      </w:r>
      <w:r w:rsidRPr="00466DAD" w:rsidR="009134B2">
        <w:rPr>
          <w:rFonts w:ascii="Times New Roman" w:hAnsi="Times New Roman" w:cs="Times New Roman"/>
          <w:sz w:val="24"/>
          <w:szCs w:val="24"/>
        </w:rPr>
        <w:t xml:space="preserve">AEP charges for </w:t>
      </w:r>
      <w:r w:rsidRPr="00466DAD">
        <w:rPr>
          <w:rFonts w:ascii="Times New Roman" w:hAnsi="Times New Roman" w:cs="Times New Roman"/>
          <w:sz w:val="24"/>
          <w:szCs w:val="24"/>
        </w:rPr>
        <w:t xml:space="preserve">above-market OVEC costs. </w:t>
      </w:r>
    </w:p>
    <w:p w:rsidR="00E42537" w:rsidRPr="00466DAD" w:rsidP="00306F96" w14:paraId="03B075A3" w14:textId="14D137D1">
      <w:pPr>
        <w:pStyle w:val="Heading3"/>
        <w:rPr>
          <w:rFonts w:ascii="Times New Roman" w:hAnsi="Times New Roman" w:cs="Times New Roman"/>
          <w:u w:val="single"/>
        </w:rPr>
      </w:pPr>
      <w:bookmarkStart w:id="15" w:name="_Toc89419012"/>
      <w:r w:rsidRPr="00466DAD">
        <w:rPr>
          <w:rFonts w:ascii="Times New Roman" w:hAnsi="Times New Roman" w:cs="Times New Roman"/>
        </w:rPr>
        <w:t>4.</w:t>
      </w:r>
      <w:r w:rsidRPr="00466DAD">
        <w:rPr>
          <w:rFonts w:ascii="Times New Roman" w:hAnsi="Times New Roman" w:cs="Times New Roman"/>
        </w:rPr>
        <w:tab/>
      </w:r>
      <w:r w:rsidRPr="00466DAD" w:rsidR="00B83104">
        <w:rPr>
          <w:rFonts w:ascii="Times New Roman" w:hAnsi="Times New Roman" w:cs="Times New Roman"/>
        </w:rPr>
        <w:t xml:space="preserve">The PUCO </w:t>
      </w:r>
      <w:r w:rsidRPr="00466DAD">
        <w:rPr>
          <w:rFonts w:ascii="Times New Roman" w:hAnsi="Times New Roman" w:cs="Times New Roman"/>
        </w:rPr>
        <w:t>should disallow AEP charges for OVEC costs in excess of PJM market prices for reasons similar to the Michigan Public Service Commission’s recent “warning” to an AEP affiliate on potential future denial of charges for OVEC</w:t>
      </w:r>
      <w:r w:rsidRPr="00466DAD" w:rsidR="009134B2">
        <w:rPr>
          <w:rFonts w:ascii="Times New Roman" w:hAnsi="Times New Roman" w:cs="Times New Roman"/>
        </w:rPr>
        <w:t>.</w:t>
      </w:r>
      <w:bookmarkEnd w:id="15"/>
      <w:r w:rsidRPr="00466DAD">
        <w:rPr>
          <w:rFonts w:ascii="Times New Roman" w:hAnsi="Times New Roman" w:cs="Times New Roman"/>
        </w:rPr>
        <w:t xml:space="preserve"> </w:t>
      </w:r>
    </w:p>
    <w:p w:rsidR="009134B2" w:rsidRPr="00466DAD" w:rsidP="009134B2" w14:paraId="4698B483" w14:textId="1DF61A46">
      <w:pPr>
        <w:widowControl/>
        <w:spacing w:line="480" w:lineRule="auto"/>
        <w:rPr>
          <w:rFonts w:ascii="Times New Roman" w:eastAsia="Times New Roman" w:hAnsi="Times New Roman" w:cs="Times New Roman"/>
          <w:sz w:val="24"/>
          <w:szCs w:val="24"/>
        </w:rPr>
      </w:pPr>
      <w:r w:rsidRPr="00466DAD">
        <w:rPr>
          <w:rFonts w:ascii="Times New Roman" w:eastAsia="Times New Roman" w:hAnsi="Times New Roman" w:cs="Times New Roman"/>
          <w:sz w:val="24"/>
          <w:szCs w:val="24"/>
        </w:rPr>
        <w:t xml:space="preserve"> </w:t>
      </w:r>
      <w:r w:rsidRPr="00466DAD" w:rsidR="00F15655">
        <w:rPr>
          <w:rFonts w:ascii="Times New Roman" w:eastAsia="Times New Roman" w:hAnsi="Times New Roman" w:cs="Times New Roman"/>
          <w:sz w:val="24"/>
          <w:szCs w:val="24"/>
        </w:rPr>
        <w:tab/>
      </w:r>
      <w:r w:rsidRPr="00466DAD" w:rsidR="00DB2665">
        <w:rPr>
          <w:rFonts w:ascii="Times New Roman" w:eastAsia="Times New Roman" w:hAnsi="Times New Roman" w:cs="Times New Roman"/>
          <w:sz w:val="24"/>
          <w:szCs w:val="24"/>
        </w:rPr>
        <w:t>Another</w:t>
      </w:r>
      <w:r w:rsidRPr="00466DAD" w:rsidR="00F15655">
        <w:rPr>
          <w:rFonts w:ascii="Times New Roman" w:eastAsia="Times New Roman" w:hAnsi="Times New Roman" w:cs="Times New Roman"/>
          <w:sz w:val="24"/>
          <w:szCs w:val="24"/>
        </w:rPr>
        <w:t xml:space="preserve"> </w:t>
      </w:r>
      <w:r w:rsidRPr="00466DAD">
        <w:rPr>
          <w:rFonts w:ascii="Times New Roman" w:eastAsia="Times New Roman" w:hAnsi="Times New Roman" w:cs="Times New Roman"/>
          <w:sz w:val="24"/>
          <w:szCs w:val="24"/>
        </w:rPr>
        <w:t>reason to deny AEP charges to consumers for</w:t>
      </w:r>
      <w:r w:rsidRPr="00466DAD" w:rsidR="00F15655">
        <w:rPr>
          <w:rFonts w:ascii="Times New Roman" w:eastAsia="Times New Roman" w:hAnsi="Times New Roman" w:cs="Times New Roman"/>
          <w:sz w:val="24"/>
          <w:szCs w:val="24"/>
        </w:rPr>
        <w:t xml:space="preserve"> OVEC costs was highlighted in </w:t>
      </w:r>
      <w:r w:rsidRPr="00466DAD">
        <w:rPr>
          <w:rFonts w:ascii="Times New Roman" w:eastAsia="Times New Roman" w:hAnsi="Times New Roman" w:cs="Times New Roman"/>
          <w:sz w:val="24"/>
          <w:szCs w:val="24"/>
        </w:rPr>
        <w:t>a recent Michigan Public Service Commission (“MPSC”) order</w:t>
      </w:r>
      <w:r w:rsidRPr="00466DAD" w:rsidR="00F15655">
        <w:rPr>
          <w:rFonts w:ascii="Times New Roman" w:eastAsia="Times New Roman" w:hAnsi="Times New Roman" w:cs="Times New Roman"/>
          <w:sz w:val="24"/>
          <w:szCs w:val="24"/>
        </w:rPr>
        <w:t>.  This case</w:t>
      </w:r>
      <w:r w:rsidRPr="00466DAD">
        <w:rPr>
          <w:rFonts w:ascii="Times New Roman" w:eastAsia="Times New Roman" w:hAnsi="Times New Roman" w:cs="Times New Roman"/>
          <w:sz w:val="24"/>
          <w:szCs w:val="24"/>
        </w:rPr>
        <w:t xml:space="preserve"> involv</w:t>
      </w:r>
      <w:r w:rsidRPr="00466DAD" w:rsidR="00F15655">
        <w:rPr>
          <w:rFonts w:ascii="Times New Roman" w:eastAsia="Times New Roman" w:hAnsi="Times New Roman" w:cs="Times New Roman"/>
          <w:sz w:val="24"/>
          <w:szCs w:val="24"/>
        </w:rPr>
        <w:t>ed</w:t>
      </w:r>
      <w:r w:rsidRPr="00466DAD">
        <w:rPr>
          <w:rFonts w:ascii="Times New Roman" w:eastAsia="Times New Roman" w:hAnsi="Times New Roman" w:cs="Times New Roman"/>
          <w:sz w:val="24"/>
          <w:szCs w:val="24"/>
        </w:rPr>
        <w:t xml:space="preserve"> Indiana Michigan Power Company’s (an AEP affiliate) fuel adjustment clause</w:t>
      </w:r>
      <w:r w:rsidRPr="00466DAD">
        <w:rPr>
          <w:rFonts w:ascii="Times New Roman" w:eastAsia="Times New Roman" w:hAnsi="Times New Roman" w:cs="Times New Roman"/>
          <w:sz w:val="24"/>
          <w:szCs w:val="24"/>
        </w:rPr>
        <w:t>.</w:t>
      </w:r>
      <w:r w:rsidRPr="00466DAD">
        <w:rPr>
          <w:rFonts w:ascii="Times New Roman" w:eastAsia="Times New Roman" w:hAnsi="Times New Roman" w:cs="Times New Roman"/>
          <w:sz w:val="24"/>
          <w:szCs w:val="24"/>
        </w:rPr>
        <w:t xml:space="preserve"> </w:t>
      </w:r>
      <w:r w:rsidRPr="00466DAD">
        <w:rPr>
          <w:rFonts w:ascii="Times New Roman" w:eastAsia="Times New Roman" w:hAnsi="Times New Roman" w:cs="Times New Roman"/>
          <w:sz w:val="24"/>
          <w:szCs w:val="24"/>
        </w:rPr>
        <w:t>It</w:t>
      </w:r>
      <w:r w:rsidRPr="00466DAD">
        <w:rPr>
          <w:rFonts w:ascii="Times New Roman" w:eastAsia="Times New Roman" w:hAnsi="Times New Roman" w:cs="Times New Roman"/>
          <w:sz w:val="24"/>
          <w:szCs w:val="24"/>
        </w:rPr>
        <w:t xml:space="preserve"> included costs from the OVEC plants</w:t>
      </w:r>
      <w:r w:rsidRPr="00466DAD">
        <w:rPr>
          <w:rFonts w:ascii="Times New Roman" w:eastAsia="Times New Roman" w:hAnsi="Times New Roman" w:cs="Times New Roman"/>
          <w:sz w:val="24"/>
          <w:szCs w:val="24"/>
        </w:rPr>
        <w:t>.</w:t>
      </w:r>
      <w:r w:rsidRPr="00466DAD">
        <w:rPr>
          <w:rFonts w:ascii="Times New Roman" w:eastAsia="Times New Roman" w:hAnsi="Times New Roman" w:cs="Times New Roman"/>
          <w:sz w:val="24"/>
          <w:szCs w:val="24"/>
        </w:rPr>
        <w:t xml:space="preserve"> (Indiana Michigan receives 7.85% of OVEC’s output under the Inter-Company Power Agreement</w:t>
      </w:r>
      <w:r w:rsidRPr="00466DAD">
        <w:rPr>
          <w:rFonts w:ascii="Times New Roman" w:eastAsia="Times New Roman" w:hAnsi="Times New Roman" w:cs="Times New Roman"/>
          <w:sz w:val="24"/>
          <w:szCs w:val="24"/>
        </w:rPr>
        <w:t>.</w:t>
      </w:r>
      <w:r w:rsidRPr="00466DAD">
        <w:rPr>
          <w:rFonts w:ascii="Times New Roman" w:eastAsia="Times New Roman" w:hAnsi="Times New Roman" w:cs="Times New Roman"/>
          <w:sz w:val="24"/>
          <w:szCs w:val="24"/>
        </w:rPr>
        <w:t xml:space="preserve">) </w:t>
      </w:r>
    </w:p>
    <w:p w:rsidR="009134B2" w:rsidRPr="00466DAD" w:rsidP="00440A70" w14:paraId="331796D5" w14:textId="7E5A2240">
      <w:pPr>
        <w:widowControl/>
        <w:spacing w:line="480" w:lineRule="auto"/>
        <w:ind w:firstLine="720"/>
        <w:rPr>
          <w:rFonts w:ascii="Times New Roman" w:eastAsia="Times New Roman" w:hAnsi="Times New Roman" w:cs="Times New Roman"/>
          <w:sz w:val="24"/>
          <w:szCs w:val="24"/>
        </w:rPr>
      </w:pPr>
      <w:r w:rsidRPr="00466DAD">
        <w:rPr>
          <w:rFonts w:ascii="Times New Roman" w:eastAsia="Times New Roman" w:hAnsi="Times New Roman" w:cs="Times New Roman"/>
          <w:sz w:val="24"/>
          <w:szCs w:val="24"/>
        </w:rPr>
        <w:t>In that case, the MPSC reviewed several forecasts showing the OVEC’s costs for energy and capacity will exceed PJM market prices</w:t>
      </w:r>
      <w:r w:rsidRPr="00466DAD">
        <w:rPr>
          <w:rFonts w:ascii="Times New Roman" w:eastAsia="Times New Roman" w:hAnsi="Times New Roman" w:cs="Times New Roman"/>
          <w:sz w:val="24"/>
          <w:szCs w:val="24"/>
        </w:rPr>
        <w:t>.</w:t>
      </w:r>
      <w:r w:rsidRPr="00466DAD">
        <w:rPr>
          <w:rFonts w:ascii="Times New Roman" w:eastAsia="Times New Roman" w:hAnsi="Times New Roman" w:cs="Times New Roman"/>
          <w:sz w:val="24"/>
          <w:szCs w:val="24"/>
        </w:rPr>
        <w:t xml:space="preserve"> </w:t>
      </w:r>
      <w:r w:rsidRPr="00466DAD">
        <w:rPr>
          <w:rFonts w:ascii="Times New Roman" w:eastAsia="Times New Roman" w:hAnsi="Times New Roman" w:cs="Times New Roman"/>
          <w:sz w:val="24"/>
          <w:szCs w:val="24"/>
        </w:rPr>
        <w:t>T</w:t>
      </w:r>
      <w:r w:rsidRPr="00466DAD">
        <w:rPr>
          <w:rFonts w:ascii="Times New Roman" w:eastAsia="Times New Roman" w:hAnsi="Times New Roman" w:cs="Times New Roman"/>
          <w:sz w:val="24"/>
          <w:szCs w:val="24"/>
        </w:rPr>
        <w:t xml:space="preserve">herefore, the MPSC issued the following warning: </w:t>
      </w:r>
    </w:p>
    <w:p w:rsidR="009134B2" w:rsidRPr="00466DAD" w:rsidP="00440A70" w14:paraId="1C5F7B39" w14:textId="4D05358A">
      <w:pPr>
        <w:widowControl/>
        <w:ind w:left="1440" w:right="1080"/>
        <w:rPr>
          <w:rFonts w:ascii="Times New Roman" w:eastAsia="Times New Roman" w:hAnsi="Times New Roman" w:cs="Times New Roman"/>
          <w:sz w:val="24"/>
          <w:szCs w:val="24"/>
        </w:rPr>
      </w:pPr>
      <w:r w:rsidRPr="00466DAD">
        <w:rPr>
          <w:rFonts w:ascii="Times New Roman" w:eastAsia="Times New Roman" w:hAnsi="Times New Roman" w:cs="Times New Roman"/>
          <w:sz w:val="24"/>
          <w:szCs w:val="24"/>
        </w:rPr>
        <w:t>The company is put on notice that the Commission is unlikely to permit the utility to recover these uneconomic costs from its customers in rates, rate schedules, or PSCR factors established in the future without good faith efforts to manage existing contracts such as meaningful attempts to renegotiate contract provisions to ensure continued value for ratepayers.</w:t>
      </w:r>
      <w:r w:rsidRPr="00466DAD" w:rsidR="00F15655">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3"/>
      </w:r>
      <w:r w:rsidRPr="00466DAD" w:rsidR="00ED3FC8">
        <w:rPr>
          <w:rFonts w:ascii="Times New Roman" w:eastAsia="Times New Roman" w:hAnsi="Times New Roman" w:cs="Times New Roman"/>
          <w:sz w:val="24"/>
          <w:szCs w:val="24"/>
        </w:rPr>
        <w:t xml:space="preserve"> </w:t>
      </w:r>
    </w:p>
    <w:p w:rsidR="009134B2" w:rsidRPr="00466DAD" w:rsidP="00440A70" w14:paraId="26F345A4" w14:textId="77777777">
      <w:pPr>
        <w:widowControl/>
        <w:spacing w:line="480" w:lineRule="auto"/>
        <w:ind w:firstLine="720"/>
        <w:rPr>
          <w:rFonts w:ascii="Times New Roman" w:eastAsia="Times New Roman" w:hAnsi="Times New Roman" w:cs="Times New Roman"/>
          <w:sz w:val="24"/>
          <w:szCs w:val="24"/>
        </w:rPr>
      </w:pPr>
    </w:p>
    <w:p w:rsidR="00E42537" w:rsidRPr="00466DAD" w:rsidP="00440A70" w14:paraId="07643F46" w14:textId="30584494">
      <w:pPr>
        <w:widowControl/>
        <w:spacing w:line="480" w:lineRule="auto"/>
        <w:ind w:firstLine="720"/>
        <w:rPr>
          <w:rFonts w:ascii="Times New Roman" w:eastAsia="Times New Roman" w:hAnsi="Times New Roman" w:cs="Times New Roman"/>
          <w:sz w:val="24"/>
          <w:szCs w:val="24"/>
        </w:rPr>
      </w:pPr>
      <w:r w:rsidRPr="00466DAD">
        <w:rPr>
          <w:rFonts w:ascii="Times New Roman" w:eastAsia="Times New Roman" w:hAnsi="Times New Roman" w:cs="Times New Roman"/>
          <w:sz w:val="24"/>
          <w:szCs w:val="24"/>
        </w:rPr>
        <w:t xml:space="preserve">It appears that AEP made </w:t>
      </w:r>
      <w:r w:rsidRPr="00466DAD" w:rsidR="00B16D5C">
        <w:rPr>
          <w:rFonts w:ascii="Times New Roman" w:eastAsia="Times New Roman" w:hAnsi="Times New Roman" w:cs="Times New Roman"/>
          <w:sz w:val="24"/>
          <w:szCs w:val="24"/>
        </w:rPr>
        <w:t>no</w:t>
      </w:r>
      <w:r w:rsidRPr="00466DAD">
        <w:rPr>
          <w:rFonts w:ascii="Times New Roman" w:eastAsia="Times New Roman" w:hAnsi="Times New Roman" w:cs="Times New Roman"/>
          <w:sz w:val="24"/>
          <w:szCs w:val="24"/>
        </w:rPr>
        <w:t xml:space="preserve"> effort to </w:t>
      </w:r>
      <w:r w:rsidRPr="00466DAD">
        <w:rPr>
          <w:rFonts w:ascii="Times New Roman" w:eastAsia="Times New Roman" w:hAnsi="Times New Roman" w:cs="Times New Roman"/>
          <w:sz w:val="24"/>
          <w:szCs w:val="24"/>
        </w:rPr>
        <w:t xml:space="preserve">“renegotiate contract provisions to ensure continued value for ratepayers.” </w:t>
      </w:r>
      <w:r w:rsidRPr="00466DAD">
        <w:rPr>
          <w:rFonts w:ascii="Times New Roman" w:eastAsia="Times New Roman" w:hAnsi="Times New Roman" w:cs="Times New Roman"/>
          <w:sz w:val="24"/>
          <w:szCs w:val="24"/>
        </w:rPr>
        <w:t>The PUCO should disallow any OVEC costs that exceed PJM market prices.</w:t>
      </w:r>
    </w:p>
    <w:p w:rsidR="00D52DD4" w:rsidRPr="00466DAD" w:rsidP="00634879" w14:paraId="3A7EB8E5" w14:textId="40C5F82B">
      <w:pPr>
        <w:pStyle w:val="Heading2"/>
        <w:rPr>
          <w:rFonts w:ascii="Times New Roman" w:hAnsi="Times New Roman" w:cs="Times New Roman"/>
        </w:rPr>
      </w:pPr>
      <w:bookmarkStart w:id="16" w:name="_Toc89418718"/>
      <w:bookmarkStart w:id="17" w:name="_Toc89419013"/>
      <w:r w:rsidRPr="00466DAD">
        <w:rPr>
          <w:rFonts w:ascii="Times New Roman" w:hAnsi="Times New Roman" w:cs="Times New Roman"/>
        </w:rPr>
        <w:t>To protect consumers, the PUCO should disallow any costs collected by AEP that result from OVEC’s imprudent practices in managing the plants.</w:t>
      </w:r>
      <w:bookmarkEnd w:id="16"/>
      <w:bookmarkEnd w:id="17"/>
    </w:p>
    <w:p w:rsidR="00D20495" w:rsidRPr="00466DAD" w:rsidP="00306F96" w14:paraId="46ACFB27" w14:textId="6B6AB793">
      <w:pPr>
        <w:spacing w:line="480" w:lineRule="auto"/>
        <w:rPr>
          <w:rFonts w:ascii="Times New Roman" w:hAnsi="Times New Roman" w:cs="Times New Roman"/>
          <w:sz w:val="24"/>
          <w:szCs w:val="24"/>
        </w:rPr>
      </w:pPr>
      <w:r w:rsidRPr="00466DAD">
        <w:rPr>
          <w:rFonts w:ascii="Times New Roman" w:hAnsi="Times New Roman" w:cs="Times New Roman"/>
          <w:sz w:val="24"/>
          <w:szCs w:val="24"/>
        </w:rPr>
        <w:tab/>
      </w:r>
      <w:r w:rsidRPr="00466DAD" w:rsidR="00634879">
        <w:rPr>
          <w:rFonts w:ascii="Times New Roman" w:hAnsi="Times New Roman" w:cs="Times New Roman"/>
          <w:sz w:val="24"/>
          <w:szCs w:val="24"/>
        </w:rPr>
        <w:t>OCC’s initial comments noted that t</w:t>
      </w:r>
      <w:r w:rsidRPr="00466DAD">
        <w:rPr>
          <w:rFonts w:ascii="Times New Roman" w:hAnsi="Times New Roman" w:cs="Times New Roman"/>
          <w:sz w:val="24"/>
          <w:szCs w:val="24"/>
        </w:rPr>
        <w:t>he audit report identified a problem – OVEC operate</w:t>
      </w:r>
      <w:r w:rsidRPr="00466DAD" w:rsidR="00634879">
        <w:rPr>
          <w:rFonts w:ascii="Times New Roman" w:hAnsi="Times New Roman" w:cs="Times New Roman"/>
          <w:sz w:val="24"/>
          <w:szCs w:val="24"/>
        </w:rPr>
        <w:t>d</w:t>
      </w:r>
      <w:r w:rsidRPr="00466DAD">
        <w:rPr>
          <w:rFonts w:ascii="Times New Roman" w:hAnsi="Times New Roman" w:cs="Times New Roman"/>
          <w:sz w:val="24"/>
          <w:szCs w:val="24"/>
        </w:rPr>
        <w:t xml:space="preserve"> the plants (except one unit of the multi-unit plants) as “must-run” units in the PJM energy markets</w:t>
      </w:r>
      <w:r>
        <w:rPr>
          <w:rStyle w:val="FootnoteReference"/>
          <w:rFonts w:ascii="Times New Roman" w:hAnsi="Times New Roman" w:cs="Times New Roman"/>
          <w:sz w:val="24"/>
          <w:szCs w:val="24"/>
        </w:rPr>
        <w:footnoteReference w:id="24"/>
      </w:r>
      <w:r w:rsidRPr="00466DAD">
        <w:rPr>
          <w:rFonts w:ascii="Times New Roman" w:hAnsi="Times New Roman" w:cs="Times New Roman"/>
          <w:sz w:val="24"/>
          <w:szCs w:val="24"/>
        </w:rPr>
        <w:t xml:space="preserve"> during the audit period. </w:t>
      </w:r>
      <w:r w:rsidRPr="00466DAD" w:rsidR="007F35A7">
        <w:rPr>
          <w:rFonts w:ascii="Times New Roman" w:hAnsi="Times New Roman" w:cs="Times New Roman"/>
          <w:sz w:val="24"/>
          <w:szCs w:val="24"/>
        </w:rPr>
        <w:t xml:space="preserve">NRDC recommended that “the Commission should disallow all costs associated </w:t>
      </w:r>
      <w:r w:rsidRPr="00466DAD" w:rsidR="009721E9">
        <w:rPr>
          <w:rFonts w:ascii="Times New Roman" w:hAnsi="Times New Roman" w:cs="Times New Roman"/>
          <w:sz w:val="24"/>
          <w:szCs w:val="24"/>
        </w:rPr>
        <w:t>‘</w:t>
      </w:r>
      <w:r w:rsidRPr="00466DAD" w:rsidR="007F35A7">
        <w:rPr>
          <w:rFonts w:ascii="Times New Roman" w:hAnsi="Times New Roman" w:cs="Times New Roman"/>
          <w:sz w:val="24"/>
          <w:szCs w:val="24"/>
        </w:rPr>
        <w:t>must run</w:t>
      </w:r>
      <w:r w:rsidRPr="00466DAD" w:rsidR="009721E9">
        <w:rPr>
          <w:rFonts w:ascii="Times New Roman" w:hAnsi="Times New Roman" w:cs="Times New Roman"/>
          <w:sz w:val="24"/>
          <w:szCs w:val="24"/>
        </w:rPr>
        <w:t>’</w:t>
      </w:r>
      <w:r w:rsidRPr="00466DAD" w:rsidR="007F35A7">
        <w:rPr>
          <w:rFonts w:ascii="Times New Roman" w:hAnsi="Times New Roman" w:cs="Times New Roman"/>
          <w:sz w:val="24"/>
          <w:szCs w:val="24"/>
        </w:rPr>
        <w:t xml:space="preserve"> commitment decisions where OVEC suffers as net loss </w:t>
      </w:r>
    </w:p>
    <w:p w:rsidR="00D52DD4" w:rsidRPr="00466DAD" w:rsidP="00634879" w14:paraId="2906F2BB" w14:textId="32DF96E7">
      <w:pPr>
        <w:spacing w:line="480" w:lineRule="auto"/>
        <w:rPr>
          <w:rFonts w:ascii="Times New Roman" w:hAnsi="Times New Roman" w:cs="Times New Roman"/>
          <w:sz w:val="24"/>
          <w:szCs w:val="24"/>
        </w:rPr>
      </w:pPr>
      <w:r w:rsidRPr="00466DAD">
        <w:rPr>
          <w:rFonts w:ascii="Times New Roman" w:hAnsi="Times New Roman" w:cs="Times New Roman"/>
          <w:sz w:val="24"/>
          <w:szCs w:val="24"/>
        </w:rPr>
        <w:t>over a week or a month.”</w:t>
      </w:r>
      <w:r>
        <w:rPr>
          <w:rStyle w:val="FootnoteReference"/>
          <w:rFonts w:ascii="Times New Roman" w:hAnsi="Times New Roman" w:cs="Times New Roman"/>
          <w:sz w:val="24"/>
          <w:szCs w:val="24"/>
        </w:rPr>
        <w:footnoteReference w:id="25"/>
      </w:r>
      <w:r w:rsidRPr="00466DAD">
        <w:rPr>
          <w:rFonts w:ascii="Times New Roman" w:hAnsi="Times New Roman" w:cs="Times New Roman"/>
          <w:sz w:val="24"/>
          <w:szCs w:val="24"/>
        </w:rPr>
        <w:t xml:space="preserve"> Kroger/OMAEG recommended that an hourly economic dispatch simulation should be done to determine the amount of disallowance.</w:t>
      </w:r>
      <w:r>
        <w:rPr>
          <w:rStyle w:val="FootnoteReference"/>
          <w:rFonts w:ascii="Times New Roman" w:hAnsi="Times New Roman" w:cs="Times New Roman"/>
          <w:sz w:val="24"/>
          <w:szCs w:val="24"/>
        </w:rPr>
        <w:footnoteReference w:id="26"/>
      </w:r>
    </w:p>
    <w:p w:rsidR="007F35A7" w:rsidRPr="00466DAD" w:rsidP="00634879" w14:paraId="46B2580C" w14:textId="482AD891">
      <w:pPr>
        <w:spacing w:line="480" w:lineRule="auto"/>
        <w:rPr>
          <w:rFonts w:ascii="Times New Roman" w:hAnsi="Times New Roman" w:cs="Times New Roman"/>
          <w:sz w:val="24"/>
          <w:szCs w:val="24"/>
        </w:rPr>
      </w:pPr>
      <w:r w:rsidRPr="00466DAD">
        <w:rPr>
          <w:rFonts w:ascii="Times New Roman" w:hAnsi="Times New Roman" w:cs="Times New Roman"/>
          <w:sz w:val="24"/>
          <w:szCs w:val="24"/>
        </w:rPr>
        <w:tab/>
        <w:t>On this issue, AEP commented:</w:t>
      </w:r>
    </w:p>
    <w:p w:rsidR="00904A15" w:rsidRPr="00466DAD" w:rsidP="00020C3E" w14:paraId="0A9AC1E9" w14:textId="201C763E">
      <w:pPr>
        <w:ind w:left="1440" w:right="1440"/>
        <w:rPr>
          <w:rFonts w:ascii="Times New Roman" w:hAnsi="Times New Roman" w:cs="Times New Roman"/>
          <w:sz w:val="24"/>
          <w:szCs w:val="24"/>
        </w:rPr>
      </w:pPr>
      <w:r w:rsidRPr="00466DAD">
        <w:rPr>
          <w:rFonts w:ascii="Times New Roman" w:hAnsi="Times New Roman" w:cs="Times New Roman"/>
          <w:sz w:val="24"/>
          <w:szCs w:val="24"/>
        </w:rPr>
        <w:t>AEP Ohio does not control the activities of the committee and can only make its own recommendation to the OVEC sponsors. The result sought by this audit recommendation is not under the exclusive control of AEP Ohio.</w:t>
      </w:r>
      <w:r>
        <w:rPr>
          <w:rStyle w:val="FootnoteReference"/>
          <w:rFonts w:ascii="Times New Roman" w:hAnsi="Times New Roman" w:cs="Times New Roman"/>
          <w:sz w:val="24"/>
          <w:szCs w:val="24"/>
        </w:rPr>
        <w:footnoteReference w:id="27"/>
      </w:r>
    </w:p>
    <w:p w:rsidR="00020C3E" w:rsidRPr="00466DAD" w:rsidP="00020C3E" w14:paraId="7EF0FD90" w14:textId="77777777">
      <w:pPr>
        <w:ind w:left="1440" w:right="1440"/>
        <w:rPr>
          <w:rFonts w:ascii="Times New Roman" w:hAnsi="Times New Roman" w:cs="Times New Roman"/>
          <w:sz w:val="24"/>
          <w:szCs w:val="24"/>
        </w:rPr>
      </w:pPr>
    </w:p>
    <w:p w:rsidR="00020C3E" w:rsidRPr="00466DAD" w:rsidP="007F35A7" w14:paraId="38F8C02B" w14:textId="4A0A26E7">
      <w:pPr>
        <w:spacing w:line="480" w:lineRule="auto"/>
        <w:rPr>
          <w:rFonts w:ascii="Times New Roman" w:hAnsi="Times New Roman" w:cs="Times New Roman"/>
          <w:sz w:val="24"/>
          <w:szCs w:val="24"/>
        </w:rPr>
      </w:pPr>
      <w:r w:rsidRPr="00466DAD">
        <w:rPr>
          <w:rFonts w:ascii="Times New Roman" w:hAnsi="Times New Roman" w:cs="Times New Roman"/>
          <w:sz w:val="24"/>
          <w:szCs w:val="24"/>
        </w:rPr>
        <w:tab/>
      </w:r>
      <w:r w:rsidRPr="00466DAD">
        <w:rPr>
          <w:rFonts w:ascii="Times New Roman" w:hAnsi="Times New Roman" w:cs="Times New Roman"/>
          <w:sz w:val="24"/>
          <w:szCs w:val="24"/>
        </w:rPr>
        <w:t xml:space="preserve">AEP’s comment </w:t>
      </w:r>
      <w:r w:rsidRPr="00466DAD" w:rsidR="00E14FAC">
        <w:rPr>
          <w:rFonts w:ascii="Times New Roman" w:hAnsi="Times New Roman" w:cs="Times New Roman"/>
          <w:sz w:val="24"/>
          <w:szCs w:val="24"/>
        </w:rPr>
        <w:t>is disingenuous</w:t>
      </w:r>
      <w:r w:rsidRPr="00466DAD">
        <w:rPr>
          <w:rFonts w:ascii="Times New Roman" w:hAnsi="Times New Roman" w:cs="Times New Roman"/>
          <w:sz w:val="24"/>
          <w:szCs w:val="24"/>
        </w:rPr>
        <w:t xml:space="preserve">.  </w:t>
      </w:r>
      <w:r w:rsidRPr="00466DAD" w:rsidR="009721E9">
        <w:rPr>
          <w:rFonts w:ascii="Times New Roman" w:hAnsi="Times New Roman" w:cs="Times New Roman"/>
          <w:sz w:val="24"/>
          <w:szCs w:val="24"/>
        </w:rPr>
        <w:t xml:space="preserve">It </w:t>
      </w:r>
      <w:r w:rsidRPr="00466DAD" w:rsidR="00E14FAC">
        <w:rPr>
          <w:rFonts w:ascii="Times New Roman" w:hAnsi="Times New Roman" w:cs="Times New Roman"/>
          <w:sz w:val="24"/>
          <w:szCs w:val="24"/>
        </w:rPr>
        <w:t>is inconsistent with the PUCO’s expectations in</w:t>
      </w:r>
      <w:r w:rsidRPr="00466DAD">
        <w:rPr>
          <w:rFonts w:ascii="Times New Roman" w:hAnsi="Times New Roman" w:cs="Times New Roman"/>
          <w:sz w:val="24"/>
          <w:szCs w:val="24"/>
        </w:rPr>
        <w:t xml:space="preserve"> the PUCO ruling approving AEP’s OVEC </w:t>
      </w:r>
      <w:r w:rsidRPr="00466DAD" w:rsidR="009721E9">
        <w:rPr>
          <w:rFonts w:ascii="Times New Roman" w:hAnsi="Times New Roman" w:cs="Times New Roman"/>
          <w:sz w:val="24"/>
          <w:szCs w:val="24"/>
        </w:rPr>
        <w:t>charge</w:t>
      </w:r>
      <w:r w:rsidRPr="00466DAD" w:rsidR="005D2219">
        <w:rPr>
          <w:rFonts w:ascii="Times New Roman" w:hAnsi="Times New Roman" w:cs="Times New Roman"/>
          <w:sz w:val="24"/>
          <w:szCs w:val="24"/>
        </w:rPr>
        <w:t xml:space="preserve">, where </w:t>
      </w:r>
      <w:r w:rsidRPr="00466DAD">
        <w:rPr>
          <w:rFonts w:ascii="Times New Roman" w:hAnsi="Times New Roman" w:cs="Times New Roman"/>
          <w:sz w:val="24"/>
          <w:szCs w:val="24"/>
        </w:rPr>
        <w:t xml:space="preserve">Commissioner Trombold said: </w:t>
      </w:r>
    </w:p>
    <w:p w:rsidR="00020C3E" w:rsidRPr="00466DAD" w:rsidP="00020C3E" w14:paraId="1E95B072" w14:textId="77777777">
      <w:pPr>
        <w:ind w:left="1440" w:right="1440"/>
        <w:rPr>
          <w:rFonts w:ascii="Times New Roman" w:hAnsi="Times New Roman" w:cs="Times New Roman"/>
          <w:sz w:val="24"/>
          <w:szCs w:val="24"/>
        </w:rPr>
      </w:pPr>
      <w:r w:rsidRPr="00466DAD">
        <w:rPr>
          <w:rFonts w:ascii="Times New Roman" w:hAnsi="Times New Roman" w:cs="Times New Roman"/>
          <w:sz w:val="24"/>
          <w:szCs w:val="24"/>
        </w:rPr>
        <w:t xml:space="preserve">Based on the forecasts submitted by the Company and evidence in the record, </w:t>
      </w:r>
      <w:r w:rsidRPr="00466DAD">
        <w:rPr>
          <w:rFonts w:ascii="Times New Roman" w:hAnsi="Times New Roman" w:cs="Times New Roman"/>
          <w:i/>
          <w:iCs/>
          <w:sz w:val="24"/>
          <w:szCs w:val="24"/>
        </w:rPr>
        <w:t>it is my clear expectation, just as it is Commissioner Haque's, that the PPA rider approved today will result in a credit (i.e. benefit) to ratepayers over the next eight years.</w:t>
      </w:r>
      <w:r>
        <w:rPr>
          <w:rStyle w:val="FootnoteReference"/>
          <w:rFonts w:ascii="Times New Roman" w:hAnsi="Times New Roman" w:cs="Times New Roman"/>
          <w:sz w:val="24"/>
          <w:szCs w:val="24"/>
        </w:rPr>
        <w:footnoteReference w:id="28"/>
      </w:r>
      <w:r w:rsidRPr="00466DAD">
        <w:rPr>
          <w:rFonts w:ascii="Times New Roman" w:hAnsi="Times New Roman" w:cs="Times New Roman"/>
          <w:sz w:val="24"/>
          <w:szCs w:val="24"/>
        </w:rPr>
        <w:t xml:space="preserve">  </w:t>
      </w:r>
    </w:p>
    <w:p w:rsidR="00020C3E" w:rsidRPr="00466DAD" w:rsidP="00020C3E" w14:paraId="7821B523" w14:textId="77777777">
      <w:pPr>
        <w:ind w:right="1440"/>
        <w:rPr>
          <w:rFonts w:ascii="Times New Roman" w:hAnsi="Times New Roman" w:cs="Times New Roman"/>
          <w:sz w:val="24"/>
          <w:szCs w:val="24"/>
        </w:rPr>
      </w:pPr>
    </w:p>
    <w:p w:rsidR="007F35A7" w:rsidRPr="00466DAD" w:rsidP="00020C3E" w14:paraId="6F750A1A" w14:textId="7196785F">
      <w:pPr>
        <w:spacing w:line="480" w:lineRule="auto"/>
        <w:ind w:firstLine="720"/>
        <w:rPr>
          <w:rFonts w:ascii="Times New Roman" w:hAnsi="Times New Roman" w:cs="Times New Roman"/>
          <w:sz w:val="24"/>
          <w:szCs w:val="24"/>
        </w:rPr>
      </w:pPr>
      <w:r w:rsidRPr="00466DAD">
        <w:rPr>
          <w:rFonts w:ascii="Times New Roman" w:hAnsi="Times New Roman" w:cs="Times New Roman"/>
          <w:sz w:val="24"/>
          <w:szCs w:val="24"/>
        </w:rPr>
        <w:t>AEP sold this</w:t>
      </w:r>
      <w:r w:rsidRPr="00466DAD" w:rsidR="00147831">
        <w:rPr>
          <w:rFonts w:ascii="Times New Roman" w:hAnsi="Times New Roman" w:cs="Times New Roman"/>
          <w:sz w:val="24"/>
          <w:szCs w:val="24"/>
        </w:rPr>
        <w:t xml:space="preserve"> bailout</w:t>
      </w:r>
      <w:r w:rsidRPr="00466DAD">
        <w:rPr>
          <w:rFonts w:ascii="Times New Roman" w:hAnsi="Times New Roman" w:cs="Times New Roman"/>
          <w:sz w:val="24"/>
          <w:szCs w:val="24"/>
        </w:rPr>
        <w:t xml:space="preserve"> as a positive “hedge” for </w:t>
      </w:r>
      <w:r w:rsidRPr="00466DAD" w:rsidR="00147831">
        <w:rPr>
          <w:rFonts w:ascii="Times New Roman" w:hAnsi="Times New Roman" w:cs="Times New Roman"/>
          <w:sz w:val="24"/>
          <w:szCs w:val="24"/>
        </w:rPr>
        <w:t xml:space="preserve">alleged </w:t>
      </w:r>
      <w:r w:rsidRPr="00466DAD">
        <w:rPr>
          <w:rFonts w:ascii="Times New Roman" w:hAnsi="Times New Roman" w:cs="Times New Roman"/>
          <w:sz w:val="24"/>
          <w:szCs w:val="24"/>
        </w:rPr>
        <w:t>consumer</w:t>
      </w:r>
      <w:r w:rsidRPr="00466DAD" w:rsidR="00147831">
        <w:rPr>
          <w:rFonts w:ascii="Times New Roman" w:hAnsi="Times New Roman" w:cs="Times New Roman"/>
          <w:sz w:val="24"/>
          <w:szCs w:val="24"/>
        </w:rPr>
        <w:t xml:space="preserve"> benefits. The benefits are illusory.</w:t>
      </w:r>
      <w:r w:rsidRPr="00466DAD">
        <w:rPr>
          <w:rFonts w:ascii="Times New Roman" w:hAnsi="Times New Roman" w:cs="Times New Roman"/>
          <w:sz w:val="24"/>
          <w:szCs w:val="24"/>
        </w:rPr>
        <w:t xml:space="preserve"> </w:t>
      </w:r>
      <w:r w:rsidRPr="00466DAD" w:rsidR="00147831">
        <w:rPr>
          <w:rFonts w:ascii="Times New Roman" w:hAnsi="Times New Roman" w:cs="Times New Roman"/>
          <w:sz w:val="24"/>
          <w:szCs w:val="24"/>
        </w:rPr>
        <w:t>I</w:t>
      </w:r>
      <w:r w:rsidRPr="00466DAD">
        <w:rPr>
          <w:rFonts w:ascii="Times New Roman" w:hAnsi="Times New Roman" w:cs="Times New Roman"/>
          <w:sz w:val="24"/>
          <w:szCs w:val="24"/>
        </w:rPr>
        <w:t>n reality</w:t>
      </w:r>
      <w:r w:rsidRPr="00466DAD" w:rsidR="00147831">
        <w:rPr>
          <w:rFonts w:ascii="Times New Roman" w:hAnsi="Times New Roman" w:cs="Times New Roman"/>
          <w:sz w:val="24"/>
          <w:szCs w:val="24"/>
        </w:rPr>
        <w:t>,</w:t>
      </w:r>
      <w:r w:rsidRPr="00466DAD">
        <w:rPr>
          <w:rFonts w:ascii="Times New Roman" w:hAnsi="Times New Roman" w:cs="Times New Roman"/>
          <w:sz w:val="24"/>
          <w:szCs w:val="24"/>
        </w:rPr>
        <w:t xml:space="preserve"> it is another example of how </w:t>
      </w:r>
      <w:r w:rsidRPr="00466DAD" w:rsidR="00147831">
        <w:rPr>
          <w:rFonts w:ascii="Times New Roman" w:hAnsi="Times New Roman" w:cs="Times New Roman"/>
          <w:sz w:val="24"/>
          <w:szCs w:val="24"/>
        </w:rPr>
        <w:t xml:space="preserve">utilities win and </w:t>
      </w:r>
      <w:r w:rsidRPr="00466DAD">
        <w:rPr>
          <w:rFonts w:ascii="Times New Roman" w:hAnsi="Times New Roman" w:cs="Times New Roman"/>
          <w:sz w:val="24"/>
          <w:szCs w:val="24"/>
        </w:rPr>
        <w:t xml:space="preserve">consumers </w:t>
      </w:r>
      <w:r w:rsidRPr="00466DAD" w:rsidR="00147831">
        <w:rPr>
          <w:rFonts w:ascii="Times New Roman" w:hAnsi="Times New Roman" w:cs="Times New Roman"/>
          <w:sz w:val="24"/>
          <w:szCs w:val="24"/>
        </w:rPr>
        <w:t xml:space="preserve">lose at the PUCO. </w:t>
      </w:r>
    </w:p>
    <w:p w:rsidR="007B0889" w:rsidRPr="00466DAD" w:rsidP="00501B37" w14:paraId="1E2CB8D1" w14:textId="77777777">
      <w:pPr>
        <w:pStyle w:val="Heading1"/>
        <w:rPr>
          <w:rFonts w:ascii="Times New Roman" w:hAnsi="Times New Roman" w:cs="Times New Roman"/>
          <w:szCs w:val="24"/>
        </w:rPr>
      </w:pPr>
      <w:bookmarkStart w:id="18" w:name="_Toc83906359"/>
      <w:bookmarkStart w:id="19" w:name="_Toc89418719"/>
      <w:bookmarkStart w:id="20" w:name="_Toc89419014"/>
      <w:r w:rsidRPr="00466DAD">
        <w:rPr>
          <w:rFonts w:ascii="Times New Roman" w:hAnsi="Times New Roman" w:cs="Times New Roman"/>
          <w:szCs w:val="24"/>
        </w:rPr>
        <w:t>III.</w:t>
      </w:r>
      <w:r w:rsidRPr="00466DAD">
        <w:rPr>
          <w:rFonts w:ascii="Times New Roman" w:hAnsi="Times New Roman" w:cs="Times New Roman"/>
          <w:szCs w:val="24"/>
        </w:rPr>
        <w:tab/>
        <w:t>CONCLUSION</w:t>
      </w:r>
      <w:bookmarkEnd w:id="18"/>
      <w:bookmarkEnd w:id="19"/>
      <w:bookmarkEnd w:id="20"/>
    </w:p>
    <w:p w:rsidR="00AF3155" w:rsidRPr="00466DAD" w:rsidP="00F92403" w14:paraId="34BAF72E" w14:textId="47F43A90">
      <w:pPr>
        <w:pStyle w:val="BodyText"/>
        <w:spacing w:line="493" w:lineRule="auto"/>
        <w:ind w:firstLine="620"/>
        <w:rPr>
          <w:rFonts w:cs="Times New Roman"/>
          <w:sz w:val="24"/>
          <w:szCs w:val="24"/>
        </w:rPr>
      </w:pPr>
      <w:r w:rsidRPr="00466DAD">
        <w:rPr>
          <w:rFonts w:cs="Times New Roman"/>
          <w:color w:val="000000"/>
          <w:sz w:val="24"/>
          <w:szCs w:val="24"/>
        </w:rPr>
        <w:t xml:space="preserve">As recommended in OCC’s initial comments and as reinforced by other party’s initial comments as discussed herein, </w:t>
      </w:r>
      <w:r w:rsidRPr="00466DAD" w:rsidR="00C401BF">
        <w:rPr>
          <w:rFonts w:cs="Times New Roman"/>
          <w:color w:val="000000"/>
          <w:sz w:val="24"/>
          <w:szCs w:val="24"/>
        </w:rPr>
        <w:t xml:space="preserve">OCC </w:t>
      </w:r>
      <w:r w:rsidRPr="00466DAD" w:rsidR="00C401BF">
        <w:rPr>
          <w:rFonts w:cs="Times New Roman"/>
          <w:sz w:val="24"/>
          <w:szCs w:val="24"/>
        </w:rPr>
        <w:t xml:space="preserve">requests that the PUCO </w:t>
      </w:r>
      <w:r w:rsidRPr="00466DAD" w:rsidR="001B2B66">
        <w:rPr>
          <w:rFonts w:cs="Times New Roman"/>
          <w:sz w:val="24"/>
          <w:szCs w:val="24"/>
        </w:rPr>
        <w:t>restore</w:t>
      </w:r>
      <w:r w:rsidRPr="00466DAD" w:rsidR="00C401BF">
        <w:rPr>
          <w:rFonts w:cs="Times New Roman"/>
          <w:sz w:val="24"/>
          <w:szCs w:val="24"/>
        </w:rPr>
        <w:t xml:space="preserve"> the auditor’s original conclusion that the OVEC plants are not in the best interest of ratepayers.  The PUCO should disallow the entire amount </w:t>
      </w:r>
      <w:r w:rsidRPr="00466DAD" w:rsidR="00D75F81">
        <w:rPr>
          <w:rFonts w:cs="Times New Roman"/>
          <w:sz w:val="24"/>
          <w:szCs w:val="24"/>
        </w:rPr>
        <w:t xml:space="preserve">that AEP </w:t>
      </w:r>
      <w:r w:rsidRPr="00466DAD" w:rsidR="00C401BF">
        <w:rPr>
          <w:rFonts w:cs="Times New Roman"/>
          <w:sz w:val="24"/>
          <w:szCs w:val="24"/>
        </w:rPr>
        <w:t xml:space="preserve">collected </w:t>
      </w:r>
      <w:r w:rsidRPr="00466DAD" w:rsidR="00D75F81">
        <w:rPr>
          <w:rFonts w:cs="Times New Roman"/>
          <w:sz w:val="24"/>
          <w:szCs w:val="24"/>
        </w:rPr>
        <w:t xml:space="preserve">from consumers </w:t>
      </w:r>
      <w:r w:rsidRPr="00466DAD" w:rsidR="00FB699B">
        <w:rPr>
          <w:rFonts w:cs="Times New Roman"/>
          <w:sz w:val="24"/>
          <w:szCs w:val="24"/>
        </w:rPr>
        <w:t xml:space="preserve">for OVEC costs </w:t>
      </w:r>
      <w:r w:rsidRPr="00466DAD" w:rsidR="00C401BF">
        <w:rPr>
          <w:rFonts w:cs="Times New Roman"/>
          <w:sz w:val="24"/>
          <w:szCs w:val="24"/>
        </w:rPr>
        <w:t>in 2018 and 2019</w:t>
      </w:r>
      <w:r w:rsidRPr="00466DAD" w:rsidR="00D75F81">
        <w:rPr>
          <w:rFonts w:cs="Times New Roman"/>
          <w:sz w:val="24"/>
          <w:szCs w:val="24"/>
        </w:rPr>
        <w:t>.</w:t>
      </w:r>
      <w:r w:rsidRPr="00466DAD" w:rsidR="00C401BF">
        <w:rPr>
          <w:rFonts w:cs="Times New Roman"/>
          <w:sz w:val="24"/>
          <w:szCs w:val="24"/>
        </w:rPr>
        <w:t xml:space="preserve"> AEP failed to demonstrate that the costs </w:t>
      </w:r>
      <w:r w:rsidRPr="00466DAD" w:rsidR="0001388F">
        <w:rPr>
          <w:rFonts w:cs="Times New Roman"/>
          <w:sz w:val="24"/>
          <w:szCs w:val="24"/>
        </w:rPr>
        <w:t xml:space="preserve">to consumers </w:t>
      </w:r>
      <w:r w:rsidRPr="00466DAD" w:rsidR="00C401BF">
        <w:rPr>
          <w:rFonts w:cs="Times New Roman"/>
          <w:sz w:val="24"/>
          <w:szCs w:val="24"/>
        </w:rPr>
        <w:t>were reasonable</w:t>
      </w:r>
      <w:r w:rsidRPr="00466DAD" w:rsidR="00DE5EA5">
        <w:rPr>
          <w:rFonts w:cs="Times New Roman"/>
          <w:sz w:val="24"/>
          <w:szCs w:val="24"/>
        </w:rPr>
        <w:t xml:space="preserve"> and prudent</w:t>
      </w:r>
      <w:r w:rsidRPr="00466DAD" w:rsidR="00C401BF">
        <w:rPr>
          <w:rFonts w:cs="Times New Roman"/>
          <w:sz w:val="24"/>
          <w:szCs w:val="24"/>
        </w:rPr>
        <w:t xml:space="preserve">.  </w:t>
      </w:r>
    </w:p>
    <w:bookmarkEnd w:id="6"/>
    <w:p w:rsidR="00E24676" w:rsidRPr="00466DAD" w14:paraId="03A95D9B" w14:textId="77777777">
      <w:pPr>
        <w:rPr>
          <w:rFonts w:ascii="Times New Roman" w:hAnsi="Times New Roman" w:cs="Times New Roman"/>
          <w:sz w:val="24"/>
          <w:szCs w:val="24"/>
        </w:rPr>
      </w:pPr>
    </w:p>
    <w:p w:rsidR="007804DA" w:rsidRPr="00466DAD" w:rsidP="007804DA" w14:paraId="1378B823" w14:textId="77777777">
      <w:pPr>
        <w:spacing w:line="480" w:lineRule="auto"/>
        <w:ind w:left="4320"/>
        <w:rPr>
          <w:rFonts w:ascii="Times New Roman" w:hAnsi="Times New Roman" w:cs="Times New Roman"/>
          <w:sz w:val="24"/>
          <w:szCs w:val="24"/>
        </w:rPr>
      </w:pPr>
      <w:r w:rsidRPr="00466DAD">
        <w:rPr>
          <w:rFonts w:ascii="Times New Roman" w:hAnsi="Times New Roman" w:cs="Times New Roman"/>
          <w:sz w:val="24"/>
          <w:szCs w:val="24"/>
        </w:rPr>
        <w:t>Respectfully submitted,</w:t>
      </w:r>
    </w:p>
    <w:p w:rsidR="007804DA" w:rsidRPr="00466DAD" w:rsidP="007804DA" w14:paraId="193CCC5E" w14:textId="77777777">
      <w:pPr>
        <w:pStyle w:val="Foote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Bruce Weston (0016973)</w:t>
      </w:r>
    </w:p>
    <w:p w:rsidR="007804DA" w:rsidRPr="00466DAD" w:rsidP="007804DA" w14:paraId="4C78E7B9"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Ohio Consumers’ Counsel</w:t>
      </w:r>
    </w:p>
    <w:p w:rsidR="007804DA" w:rsidRPr="00466DAD" w:rsidP="007804DA" w14:paraId="555E792D" w14:textId="77777777">
      <w:pPr>
        <w:pStyle w:val="ListParagraph"/>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ab/>
      </w:r>
    </w:p>
    <w:p w:rsidR="007804DA" w:rsidRPr="00466DAD" w:rsidP="007804DA" w14:paraId="245B8C70" w14:textId="77777777">
      <w:pPr>
        <w:tabs>
          <w:tab w:val="left" w:pos="4320"/>
        </w:tabs>
        <w:ind w:left="4320"/>
        <w:rPr>
          <w:rFonts w:ascii="Times New Roman" w:hAnsi="Times New Roman" w:cs="Times New Roman"/>
          <w:i/>
          <w:iCs/>
          <w:sz w:val="24"/>
          <w:szCs w:val="24"/>
          <w:u w:val="single"/>
        </w:rPr>
      </w:pPr>
      <w:r w:rsidRPr="00466DAD">
        <w:rPr>
          <w:rFonts w:ascii="Times New Roman" w:hAnsi="Times New Roman" w:cs="Times New Roman"/>
          <w:i/>
          <w:iCs/>
          <w:sz w:val="24"/>
          <w:szCs w:val="24"/>
          <w:u w:val="single"/>
        </w:rPr>
        <w:t>/s/ John Finnigan</w:t>
      </w:r>
      <w:r w:rsidRPr="00466DAD">
        <w:rPr>
          <w:rFonts w:ascii="Times New Roman" w:hAnsi="Times New Roman" w:cs="Times New Roman"/>
          <w:i/>
          <w:iCs/>
          <w:sz w:val="24"/>
          <w:szCs w:val="24"/>
          <w:u w:val="single"/>
        </w:rPr>
        <w:tab/>
      </w:r>
    </w:p>
    <w:p w:rsidR="007804DA" w:rsidRPr="00466DAD" w:rsidP="007804DA" w14:paraId="67277D67"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Christopher Healey (0086027)</w:t>
      </w:r>
    </w:p>
    <w:p w:rsidR="007804DA" w:rsidRPr="00466DAD" w:rsidP="007804DA" w14:paraId="7102B4A7"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Counsel of Record</w:t>
      </w:r>
    </w:p>
    <w:p w:rsidR="007804DA" w:rsidRPr="00466DAD" w:rsidP="007804DA" w14:paraId="0FD95B83"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William Michael (0070921)</w:t>
      </w:r>
    </w:p>
    <w:p w:rsidR="007804DA" w:rsidRPr="00466DAD" w:rsidP="007804DA" w14:paraId="20987959" w14:textId="77777777">
      <w:pPr>
        <w:tabs>
          <w:tab w:val="left" w:pos="4320"/>
        </w:tabs>
        <w:ind w:left="4320"/>
        <w:rPr>
          <w:rFonts w:ascii="Times New Roman" w:hAnsi="Times New Roman" w:cs="Times New Roman"/>
          <w:sz w:val="24"/>
          <w:szCs w:val="24"/>
        </w:rPr>
      </w:pPr>
      <w:r w:rsidRPr="00466DAD">
        <w:rPr>
          <w:rFonts w:ascii="Times New Roman" w:hAnsi="Times New Roman" w:cs="Times New Roman"/>
          <w:sz w:val="24"/>
          <w:szCs w:val="24"/>
        </w:rPr>
        <w:t>John Finnigan (0018689)</w:t>
      </w:r>
      <w:r w:rsidRPr="00466DAD">
        <w:rPr>
          <w:rFonts w:ascii="Times New Roman" w:hAnsi="Times New Roman" w:cs="Times New Roman"/>
          <w:sz w:val="24"/>
          <w:szCs w:val="24"/>
        </w:rPr>
        <w:br/>
        <w:t>Assistant Consumers’ Counsel</w:t>
      </w:r>
    </w:p>
    <w:p w:rsidR="00543857" w:rsidRPr="00466DAD" w:rsidP="007804DA" w14:paraId="14740D1F" w14:textId="77777777">
      <w:pPr>
        <w:tabs>
          <w:tab w:val="left" w:pos="4320"/>
        </w:tabs>
        <w:ind w:left="4320"/>
        <w:rPr>
          <w:rFonts w:ascii="Times New Roman" w:hAnsi="Times New Roman" w:cs="Times New Roman"/>
          <w:b/>
          <w:sz w:val="24"/>
          <w:szCs w:val="24"/>
        </w:rPr>
      </w:pPr>
    </w:p>
    <w:p w:rsidR="007804DA" w:rsidRPr="00466DAD" w:rsidP="007804DA" w14:paraId="4328242C" w14:textId="77777777">
      <w:pPr>
        <w:tabs>
          <w:tab w:val="left" w:pos="4320"/>
        </w:tabs>
        <w:ind w:left="4320"/>
        <w:rPr>
          <w:rFonts w:ascii="Times New Roman" w:hAnsi="Times New Roman" w:cs="Times New Roman"/>
          <w:b/>
          <w:bCs/>
          <w:sz w:val="24"/>
          <w:szCs w:val="24"/>
        </w:rPr>
      </w:pPr>
      <w:r w:rsidRPr="00466DAD">
        <w:rPr>
          <w:rFonts w:ascii="Times New Roman" w:hAnsi="Times New Roman" w:cs="Times New Roman"/>
          <w:b/>
          <w:sz w:val="24"/>
          <w:szCs w:val="24"/>
        </w:rPr>
        <w:t>Office of the Ohio Consumers’ Counsel</w:t>
      </w:r>
    </w:p>
    <w:p w:rsidR="007804DA" w:rsidRPr="00466DAD" w:rsidP="007804DA" w14:paraId="76007184" w14:textId="77777777">
      <w:pPr>
        <w:ind w:left="4320"/>
        <w:rPr>
          <w:rFonts w:ascii="Times New Roman" w:hAnsi="Times New Roman" w:cs="Times New Roman"/>
          <w:sz w:val="24"/>
          <w:szCs w:val="24"/>
        </w:rPr>
      </w:pPr>
      <w:r w:rsidRPr="00466DAD">
        <w:rPr>
          <w:rFonts w:ascii="Times New Roman" w:hAnsi="Times New Roman" w:cs="Times New Roman"/>
          <w:sz w:val="24"/>
          <w:szCs w:val="24"/>
        </w:rPr>
        <w:t xml:space="preserve">65 East State Street, </w:t>
      </w:r>
      <w:r w:rsidRPr="00466DAD" w:rsidR="00753316">
        <w:rPr>
          <w:rFonts w:ascii="Times New Roman" w:hAnsi="Times New Roman" w:cs="Times New Roman"/>
          <w:sz w:val="24"/>
          <w:szCs w:val="24"/>
        </w:rPr>
        <w:t>Suite 700</w:t>
      </w:r>
    </w:p>
    <w:p w:rsidR="007804DA" w:rsidRPr="00466DAD" w:rsidP="007804DA" w14:paraId="0A0FC460" w14:textId="77777777">
      <w:pPr>
        <w:ind w:left="4320"/>
        <w:rPr>
          <w:rFonts w:ascii="Times New Roman" w:hAnsi="Times New Roman" w:cs="Times New Roman"/>
          <w:sz w:val="24"/>
          <w:szCs w:val="24"/>
        </w:rPr>
      </w:pPr>
      <w:r w:rsidRPr="00466DAD">
        <w:rPr>
          <w:rFonts w:ascii="Times New Roman" w:hAnsi="Times New Roman" w:cs="Times New Roman"/>
          <w:sz w:val="24"/>
          <w:szCs w:val="24"/>
        </w:rPr>
        <w:t>Columbus, Ohio 43215</w:t>
      </w:r>
    </w:p>
    <w:p w:rsidR="007804DA" w:rsidRPr="00466DAD" w:rsidP="007804DA" w14:paraId="19ED4E40" w14:textId="77777777">
      <w:pPr>
        <w:autoSpaceDE w:val="0"/>
        <w:autoSpaceDN w:val="0"/>
        <w:adjustRightInd w:val="0"/>
        <w:ind w:left="4320"/>
        <w:rPr>
          <w:rFonts w:ascii="Times New Roman" w:hAnsi="Times New Roman" w:cs="Times New Roman"/>
          <w:sz w:val="24"/>
          <w:szCs w:val="24"/>
        </w:rPr>
      </w:pPr>
      <w:r w:rsidRPr="00466DAD">
        <w:rPr>
          <w:rFonts w:ascii="Times New Roman" w:hAnsi="Times New Roman" w:cs="Times New Roman"/>
          <w:sz w:val="24"/>
          <w:szCs w:val="24"/>
        </w:rPr>
        <w:t>Telephone [Healey]: (614) 466-9571</w:t>
      </w:r>
    </w:p>
    <w:p w:rsidR="007804DA" w:rsidRPr="00466DAD" w:rsidP="007804DA" w14:paraId="3FDFA9A4" w14:textId="77777777">
      <w:pPr>
        <w:autoSpaceDE w:val="0"/>
        <w:autoSpaceDN w:val="0"/>
        <w:adjustRightInd w:val="0"/>
        <w:ind w:left="4320"/>
        <w:rPr>
          <w:rFonts w:ascii="Times New Roman" w:hAnsi="Times New Roman" w:cs="Times New Roman"/>
          <w:sz w:val="24"/>
          <w:szCs w:val="24"/>
        </w:rPr>
      </w:pPr>
      <w:r w:rsidRPr="00466DAD">
        <w:rPr>
          <w:rFonts w:ascii="Times New Roman" w:hAnsi="Times New Roman" w:cs="Times New Roman"/>
          <w:sz w:val="24"/>
          <w:szCs w:val="24"/>
        </w:rPr>
        <w:t>Telephone [Michael]: (614) 466-1291</w:t>
      </w:r>
    </w:p>
    <w:p w:rsidR="007804DA" w:rsidRPr="00466DAD" w:rsidP="007804DA" w14:paraId="027BE1DB" w14:textId="77777777">
      <w:pPr>
        <w:pStyle w:val="ListParagraph"/>
        <w:autoSpaceDE w:val="0"/>
        <w:autoSpaceDN w:val="0"/>
        <w:adjustRightInd w:val="0"/>
        <w:ind w:left="4320"/>
        <w:rPr>
          <w:rFonts w:ascii="Times New Roman" w:hAnsi="Times New Roman" w:cs="Times New Roman"/>
          <w:sz w:val="24"/>
          <w:szCs w:val="24"/>
        </w:rPr>
      </w:pPr>
      <w:r w:rsidRPr="00466DAD">
        <w:rPr>
          <w:rFonts w:ascii="Times New Roman" w:hAnsi="Times New Roman" w:cs="Times New Roman"/>
          <w:sz w:val="24"/>
          <w:szCs w:val="24"/>
        </w:rPr>
        <w:t>Telephone [Finnigan]: (614) 466-9585</w:t>
      </w:r>
    </w:p>
    <w:p w:rsidR="007804DA" w:rsidRPr="00466DAD" w:rsidP="007804DA" w14:paraId="659449E6" w14:textId="77777777">
      <w:pPr>
        <w:pStyle w:val="ListParagraph"/>
        <w:autoSpaceDE w:val="0"/>
        <w:autoSpaceDN w:val="0"/>
        <w:adjustRightInd w:val="0"/>
        <w:ind w:left="4320"/>
        <w:rPr>
          <w:rFonts w:ascii="Times New Roman" w:hAnsi="Times New Roman" w:cs="Times New Roman"/>
          <w:color w:val="0000FF"/>
          <w:sz w:val="24"/>
          <w:szCs w:val="24"/>
          <w:u w:val="single"/>
        </w:rPr>
      </w:pPr>
      <w:r w:rsidRPr="00466DAD">
        <w:rPr>
          <w:rFonts w:ascii="Times New Roman" w:hAnsi="Times New Roman" w:cs="Times New Roman"/>
          <w:color w:val="0000FF"/>
          <w:sz w:val="24"/>
          <w:szCs w:val="24"/>
          <w:u w:val="single"/>
        </w:rPr>
        <w:t>christopher.healey@occ.ohio.gov</w:t>
      </w:r>
    </w:p>
    <w:p w:rsidR="007804DA" w:rsidRPr="00466DAD" w:rsidP="007804DA" w14:paraId="04E3F75E" w14:textId="77777777">
      <w:pPr>
        <w:pStyle w:val="ListParagraph"/>
        <w:autoSpaceDE w:val="0"/>
        <w:autoSpaceDN w:val="0"/>
        <w:adjustRightInd w:val="0"/>
        <w:ind w:left="4320"/>
        <w:rPr>
          <w:rStyle w:val="Hyperlink"/>
          <w:rFonts w:ascii="Times New Roman" w:hAnsi="Times New Roman" w:cs="Times New Roman"/>
          <w:sz w:val="24"/>
          <w:szCs w:val="24"/>
        </w:rPr>
      </w:pPr>
      <w:r w:rsidRPr="00466DAD">
        <w:rPr>
          <w:rFonts w:ascii="Times New Roman" w:hAnsi="Times New Roman" w:cs="Times New Roman"/>
          <w:color w:val="0000FF"/>
          <w:sz w:val="24"/>
          <w:szCs w:val="24"/>
          <w:u w:val="single"/>
        </w:rPr>
        <w:t>william.michael@occ.ohio.gov</w:t>
      </w:r>
    </w:p>
    <w:p w:rsidR="007804DA" w:rsidRPr="00466DAD" w:rsidP="007804DA" w14:paraId="38959077" w14:textId="77777777">
      <w:pPr>
        <w:pStyle w:val="ListParagraph"/>
        <w:autoSpaceDE w:val="0"/>
        <w:autoSpaceDN w:val="0"/>
        <w:adjustRightInd w:val="0"/>
        <w:ind w:left="4320"/>
        <w:rPr>
          <w:rStyle w:val="Hyperlink"/>
          <w:rFonts w:ascii="Times New Roman" w:hAnsi="Times New Roman" w:cs="Times New Roman"/>
          <w:sz w:val="24"/>
          <w:szCs w:val="24"/>
        </w:rPr>
      </w:pPr>
      <w:r w:rsidRPr="00466DAD">
        <w:rPr>
          <w:rFonts w:ascii="Times New Roman" w:hAnsi="Times New Roman" w:cs="Times New Roman"/>
          <w:color w:val="0000FF"/>
          <w:sz w:val="24"/>
          <w:szCs w:val="24"/>
          <w:u w:val="single"/>
        </w:rPr>
        <w:t>john.finnigan@occ.ohio.gov</w:t>
      </w:r>
    </w:p>
    <w:p w:rsidR="007804DA" w:rsidRPr="00466DAD" w:rsidP="007804DA" w14:paraId="5CD3EB5D" w14:textId="77777777">
      <w:pPr>
        <w:pStyle w:val="ListParagraph"/>
        <w:autoSpaceDE w:val="0"/>
        <w:autoSpaceDN w:val="0"/>
        <w:adjustRightInd w:val="0"/>
        <w:ind w:left="4320"/>
        <w:rPr>
          <w:rStyle w:val="Hyperlink"/>
          <w:rFonts w:ascii="Times New Roman" w:hAnsi="Times New Roman" w:cs="Times New Roman"/>
          <w:color w:val="auto"/>
          <w:sz w:val="24"/>
          <w:szCs w:val="24"/>
          <w:u w:val="none"/>
        </w:rPr>
      </w:pPr>
      <w:r w:rsidRPr="00466DAD">
        <w:rPr>
          <w:rStyle w:val="Hyperlink"/>
          <w:rFonts w:ascii="Times New Roman" w:hAnsi="Times New Roman" w:cs="Times New Roman"/>
          <w:color w:val="auto"/>
          <w:sz w:val="24"/>
          <w:szCs w:val="24"/>
          <w:u w:val="none"/>
        </w:rPr>
        <w:t>(willing to accept service by e-mail)</w:t>
      </w:r>
    </w:p>
    <w:p w:rsidR="0061608D" w:rsidRPr="00466DAD" w:rsidP="00E24676" w14:paraId="48F92939" w14:textId="77777777">
      <w:pPr>
        <w:ind w:left="3600"/>
        <w:rPr>
          <w:rFonts w:ascii="Times New Roman" w:hAnsi="Times New Roman" w:cs="Times New Roman"/>
          <w:sz w:val="24"/>
          <w:szCs w:val="24"/>
        </w:rPr>
      </w:pPr>
    </w:p>
    <w:p w:rsidR="0061608D" w:rsidRPr="00466DAD" w:rsidP="00E24676" w14:paraId="19AF52C4" w14:textId="77777777">
      <w:pPr>
        <w:ind w:left="3600"/>
        <w:rPr>
          <w:rFonts w:ascii="Times New Roman" w:hAnsi="Times New Roman" w:cs="Times New Roman"/>
          <w:sz w:val="24"/>
          <w:szCs w:val="24"/>
        </w:rPr>
        <w:sectPr w:rsidSect="00E17C81">
          <w:headerReference w:type="even" r:id="rId11"/>
          <w:footerReference w:type="even" r:id="rId12"/>
          <w:footerReference w:type="default" r:id="rId13"/>
          <w:pgSz w:w="12240" w:h="15840"/>
          <w:pgMar w:top="1440" w:right="1440" w:bottom="1440" w:left="1440" w:header="1547" w:footer="432" w:gutter="0"/>
          <w:pgNumType w:start="1"/>
          <w:cols w:space="720"/>
          <w:docGrid w:linePitch="299"/>
        </w:sectPr>
      </w:pPr>
    </w:p>
    <w:p w:rsidR="0061608D" w:rsidRPr="00466DAD" w:rsidP="0061608D" w14:paraId="7606E19F" w14:textId="77777777">
      <w:pPr>
        <w:jc w:val="center"/>
        <w:rPr>
          <w:rFonts w:ascii="Times New Roman" w:hAnsi="Times New Roman" w:cs="Times New Roman"/>
          <w:b/>
          <w:sz w:val="24"/>
          <w:szCs w:val="24"/>
          <w:u w:val="single"/>
        </w:rPr>
      </w:pPr>
      <w:r w:rsidRPr="00466DAD">
        <w:rPr>
          <w:rFonts w:ascii="Times New Roman" w:hAnsi="Times New Roman" w:cs="Times New Roman"/>
          <w:b/>
          <w:sz w:val="24"/>
          <w:szCs w:val="24"/>
          <w:u w:val="single"/>
        </w:rPr>
        <w:t>CERTIFICATE OF SERVICE</w:t>
      </w:r>
    </w:p>
    <w:p w:rsidR="0061608D" w:rsidRPr="00466DAD" w:rsidP="0061608D" w14:paraId="010A885A" w14:textId="77777777">
      <w:pPr>
        <w:jc w:val="center"/>
        <w:rPr>
          <w:rFonts w:ascii="Times New Roman" w:hAnsi="Times New Roman" w:cs="Times New Roman"/>
          <w:bCs/>
          <w:sz w:val="24"/>
          <w:szCs w:val="24"/>
        </w:rPr>
      </w:pPr>
    </w:p>
    <w:p w:rsidR="0061608D" w:rsidRPr="00466DAD" w:rsidP="0061608D" w14:paraId="0C1D9447" w14:textId="5555BE0B">
      <w:pPr>
        <w:suppressAutoHyphens/>
        <w:spacing w:line="480" w:lineRule="auto"/>
        <w:ind w:firstLine="720"/>
        <w:rPr>
          <w:rFonts w:ascii="Times New Roman" w:hAnsi="Times New Roman" w:cs="Times New Roman"/>
          <w:spacing w:val="-3"/>
          <w:sz w:val="24"/>
          <w:szCs w:val="24"/>
        </w:rPr>
      </w:pPr>
      <w:r w:rsidRPr="00466DAD">
        <w:rPr>
          <w:rFonts w:ascii="Times New Roman" w:hAnsi="Times New Roman" w:cs="Times New Roman"/>
          <w:spacing w:val="-3"/>
          <w:sz w:val="24"/>
          <w:szCs w:val="24"/>
        </w:rPr>
        <w:t xml:space="preserve">It is hereby certified that a true copy of the foregoing </w:t>
      </w:r>
      <w:r w:rsidRPr="00466DAD" w:rsidR="00DB2665">
        <w:rPr>
          <w:rFonts w:ascii="Times New Roman" w:hAnsi="Times New Roman" w:cs="Times New Roman"/>
          <w:spacing w:val="-3"/>
          <w:sz w:val="24"/>
          <w:szCs w:val="24"/>
        </w:rPr>
        <w:t xml:space="preserve">Reply </w:t>
      </w:r>
      <w:r w:rsidRPr="00466DAD" w:rsidR="008479F9">
        <w:rPr>
          <w:rFonts w:ascii="Times New Roman" w:hAnsi="Times New Roman" w:cs="Times New Roman"/>
          <w:spacing w:val="-3"/>
          <w:sz w:val="24"/>
          <w:szCs w:val="24"/>
        </w:rPr>
        <w:t>Comments</w:t>
      </w:r>
      <w:r w:rsidRPr="00466DAD" w:rsidR="00FA4344">
        <w:rPr>
          <w:rFonts w:ascii="Times New Roman" w:hAnsi="Times New Roman" w:cs="Times New Roman"/>
          <w:spacing w:val="-3"/>
          <w:sz w:val="24"/>
          <w:szCs w:val="24"/>
        </w:rPr>
        <w:t xml:space="preserve"> </w:t>
      </w:r>
      <w:r w:rsidRPr="00466DAD">
        <w:rPr>
          <w:rFonts w:ascii="Times New Roman" w:hAnsi="Times New Roman" w:cs="Times New Roman"/>
          <w:spacing w:val="-3"/>
          <w:sz w:val="24"/>
          <w:szCs w:val="24"/>
        </w:rPr>
        <w:t xml:space="preserve">was served upon the persons listed below by electronic transmission this </w:t>
      </w:r>
      <w:r w:rsidRPr="00466DAD" w:rsidR="002C4ECD">
        <w:rPr>
          <w:rFonts w:ascii="Times New Roman" w:hAnsi="Times New Roman" w:cs="Times New Roman"/>
          <w:spacing w:val="-3"/>
          <w:sz w:val="24"/>
          <w:szCs w:val="24"/>
        </w:rPr>
        <w:t>3rd</w:t>
      </w:r>
      <w:r w:rsidRPr="00466DAD">
        <w:rPr>
          <w:rFonts w:ascii="Times New Roman" w:hAnsi="Times New Roman" w:cs="Times New Roman"/>
          <w:spacing w:val="-3"/>
          <w:sz w:val="24"/>
          <w:szCs w:val="24"/>
        </w:rPr>
        <w:t xml:space="preserve"> day of </w:t>
      </w:r>
      <w:r w:rsidRPr="00466DAD" w:rsidR="002C4ECD">
        <w:rPr>
          <w:rFonts w:ascii="Times New Roman" w:hAnsi="Times New Roman" w:cs="Times New Roman"/>
          <w:spacing w:val="-3"/>
          <w:sz w:val="24"/>
          <w:szCs w:val="24"/>
        </w:rPr>
        <w:t>Dec</w:t>
      </w:r>
      <w:r w:rsidRPr="00466DAD" w:rsidR="00AA023A">
        <w:rPr>
          <w:rFonts w:ascii="Times New Roman" w:hAnsi="Times New Roman" w:cs="Times New Roman"/>
          <w:spacing w:val="-3"/>
          <w:sz w:val="24"/>
          <w:szCs w:val="24"/>
        </w:rPr>
        <w:t>em</w:t>
      </w:r>
      <w:r w:rsidRPr="00466DAD" w:rsidR="003F75C1">
        <w:rPr>
          <w:rFonts w:ascii="Times New Roman" w:hAnsi="Times New Roman" w:cs="Times New Roman"/>
          <w:spacing w:val="-3"/>
          <w:sz w:val="24"/>
          <w:szCs w:val="24"/>
        </w:rPr>
        <w:t>ber</w:t>
      </w:r>
      <w:r w:rsidRPr="00466DAD">
        <w:rPr>
          <w:rFonts w:ascii="Times New Roman" w:hAnsi="Times New Roman" w:cs="Times New Roman"/>
          <w:spacing w:val="-3"/>
          <w:sz w:val="24"/>
          <w:szCs w:val="24"/>
        </w:rPr>
        <w:t xml:space="preserve"> 2021.</w:t>
      </w:r>
    </w:p>
    <w:p w:rsidR="007E0640" w:rsidRPr="00466DAD" w:rsidP="007E0640" w14:paraId="65CE2861" w14:textId="77777777">
      <w:pPr>
        <w:rPr>
          <w:rFonts w:ascii="Times New Roman" w:hAnsi="Times New Roman" w:cs="Times New Roman"/>
          <w:b/>
          <w:bCs/>
          <w:i/>
          <w:iCs/>
          <w:sz w:val="24"/>
          <w:szCs w:val="24"/>
          <w:u w:val="single"/>
        </w:rPr>
      </w:pP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i/>
          <w:iCs/>
          <w:sz w:val="24"/>
          <w:szCs w:val="24"/>
          <w:u w:val="single"/>
        </w:rPr>
        <w:t>/s/ John Finnigan</w:t>
      </w:r>
    </w:p>
    <w:p w:rsidR="007E0640" w:rsidRPr="00466DAD" w:rsidP="007E0640" w14:paraId="30F00C9C" w14:textId="77777777">
      <w:pPr>
        <w:rPr>
          <w:rFonts w:ascii="Times New Roman" w:hAnsi="Times New Roman" w:cs="Times New Roman"/>
          <w:b/>
          <w:bCs/>
          <w:sz w:val="24"/>
          <w:szCs w:val="24"/>
        </w:rPr>
      </w:pP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t>John Finnigan (0018689)</w:t>
      </w:r>
    </w:p>
    <w:p w:rsidR="007E0640" w:rsidRPr="00466DAD" w:rsidP="007E0640" w14:paraId="0420861B" w14:textId="77777777">
      <w:pPr>
        <w:rPr>
          <w:rFonts w:ascii="Times New Roman" w:hAnsi="Times New Roman" w:cs="Times New Roman"/>
          <w:b/>
          <w:bCs/>
          <w:sz w:val="24"/>
          <w:szCs w:val="24"/>
        </w:rPr>
      </w:pP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r>
      <w:r w:rsidRPr="00466DAD">
        <w:rPr>
          <w:rFonts w:ascii="Times New Roman" w:hAnsi="Times New Roman" w:cs="Times New Roman"/>
          <w:sz w:val="24"/>
          <w:szCs w:val="24"/>
        </w:rPr>
        <w:tab/>
        <w:t>Assistant Consumers’ Counsel</w:t>
      </w:r>
    </w:p>
    <w:p w:rsidR="0061608D" w:rsidRPr="00466DAD" w:rsidP="0061608D" w14:paraId="6EC56D95" w14:textId="77777777">
      <w:pPr>
        <w:pStyle w:val="EndnoteText"/>
        <w:widowControl/>
        <w:rPr>
          <w:rFonts w:ascii="Times New Roman" w:hAnsi="Times New Roman"/>
          <w:snapToGrid/>
          <w:szCs w:val="24"/>
        </w:rPr>
      </w:pPr>
    </w:p>
    <w:p w:rsidR="0061608D" w:rsidRPr="00466DAD" w:rsidP="0061608D" w14:paraId="2709DAAD" w14:textId="77777777">
      <w:pPr>
        <w:suppressLineNumbers/>
        <w:ind w:left="810"/>
        <w:rPr>
          <w:rFonts w:ascii="Times New Roman" w:hAnsi="Times New Roman" w:cs="Times New Roman"/>
          <w:sz w:val="24"/>
          <w:szCs w:val="24"/>
          <w:u w:val="single"/>
        </w:rPr>
      </w:pPr>
    </w:p>
    <w:p w:rsidR="0061608D" w:rsidRPr="00466DAD" w:rsidP="0061608D" w14:paraId="4016E7E7" w14:textId="77777777">
      <w:pPr>
        <w:suppressLineNumbers/>
        <w:rPr>
          <w:rFonts w:ascii="Times New Roman" w:hAnsi="Times New Roman" w:cs="Times New Roman"/>
          <w:sz w:val="24"/>
          <w:szCs w:val="24"/>
        </w:rPr>
      </w:pPr>
      <w:r w:rsidRPr="00466DAD">
        <w:rPr>
          <w:rFonts w:ascii="Times New Roman" w:hAnsi="Times New Roman" w:cs="Times New Roman"/>
          <w:sz w:val="24"/>
          <w:szCs w:val="24"/>
        </w:rPr>
        <w:t>The PUCO’s e-filing system will electronically serve notice of the filing of this document on the following parties:</w:t>
      </w:r>
    </w:p>
    <w:p w:rsidR="00501B37" w:rsidRPr="00466DAD" w:rsidP="00501B37" w14:paraId="49CB6694" w14:textId="77777777">
      <w:pPr>
        <w:pStyle w:val="CommentText"/>
        <w:jc w:val="center"/>
        <w:rPr>
          <w:rFonts w:ascii="Times New Roman" w:hAnsi="Times New Roman" w:cs="Times New Roman"/>
          <w:b/>
          <w:sz w:val="24"/>
          <w:szCs w:val="24"/>
          <w:u w:val="single"/>
        </w:rPr>
      </w:pPr>
    </w:p>
    <w:p w:rsidR="00501B37" w:rsidRPr="00466DAD" w:rsidP="00501B37" w14:paraId="1B2B178E" w14:textId="77777777">
      <w:pPr>
        <w:pStyle w:val="CommentText"/>
        <w:jc w:val="center"/>
        <w:rPr>
          <w:rFonts w:ascii="Times New Roman" w:hAnsi="Times New Roman" w:cs="Times New Roman"/>
          <w:b/>
          <w:sz w:val="24"/>
          <w:szCs w:val="24"/>
          <w:u w:val="single"/>
        </w:rPr>
      </w:pPr>
    </w:p>
    <w:p w:rsidR="003D71EE" w:rsidRPr="00466DAD" w:rsidP="00501B37" w14:paraId="5F33699E" w14:textId="77777777">
      <w:pPr>
        <w:pStyle w:val="CommentText"/>
        <w:jc w:val="center"/>
        <w:rPr>
          <w:rFonts w:ascii="Times New Roman" w:hAnsi="Times New Roman" w:cs="Times New Roman"/>
          <w:b/>
          <w:sz w:val="24"/>
          <w:szCs w:val="24"/>
          <w:u w:val="single"/>
        </w:rPr>
      </w:pPr>
    </w:p>
    <w:p w:rsidR="00501B37" w:rsidRPr="00466DAD" w:rsidP="00501B37" w14:paraId="5267B3BB" w14:textId="77777777">
      <w:pPr>
        <w:pStyle w:val="CommentText"/>
        <w:jc w:val="center"/>
        <w:rPr>
          <w:rFonts w:ascii="Times New Roman" w:hAnsi="Times New Roman" w:cs="Times New Roman"/>
          <w:b/>
          <w:sz w:val="24"/>
          <w:szCs w:val="24"/>
          <w:u w:val="single"/>
        </w:rPr>
      </w:pPr>
      <w:r w:rsidRPr="00466DAD">
        <w:rPr>
          <w:rFonts w:ascii="Times New Roman" w:hAnsi="Times New Roman" w:cs="Times New Roman"/>
          <w:b/>
          <w:sz w:val="24"/>
          <w:szCs w:val="24"/>
          <w:u w:val="single"/>
        </w:rPr>
        <w:t>SERVICE LIST</w:t>
      </w:r>
    </w:p>
    <w:p w:rsidR="00501B37" w:rsidRPr="00466DAD" w:rsidP="00501B37" w14:paraId="6F66E4E6" w14:textId="77777777">
      <w:pPr>
        <w:pStyle w:val="CommentText"/>
        <w:jc w:val="center"/>
        <w:rPr>
          <w:rFonts w:ascii="Times New Roman" w:hAnsi="Times New Roman" w:cs="Times New Roman"/>
          <w:b/>
          <w:sz w:val="24"/>
          <w:szCs w:val="24"/>
          <w:u w:val="single"/>
        </w:rPr>
      </w:pPr>
    </w:p>
    <w:p w:rsidR="00501B37" w:rsidRPr="00466DAD" w:rsidP="00501B37" w14:paraId="59682ED5" w14:textId="77777777">
      <w:pPr>
        <w:pStyle w:val="CommentText"/>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142E9ACF" w14:textId="77777777" w:rsidTr="00501B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501B37" w:rsidRPr="00466DAD" w:rsidP="00501B37" w14:paraId="0CD99526" w14:textId="77777777">
            <w:pPr>
              <w:pStyle w:val="BodyText"/>
              <w:ind w:left="-18"/>
              <w:rPr>
                <w:bCs/>
                <w:sz w:val="24"/>
                <w:szCs w:val="24"/>
              </w:rPr>
            </w:pPr>
            <w:hyperlink r:id="rId14" w:history="1">
              <w:r w:rsidRPr="00466DAD" w:rsidR="00C401BF">
                <w:rPr>
                  <w:rStyle w:val="Hyperlink"/>
                  <w:sz w:val="24"/>
                  <w:szCs w:val="24"/>
                </w:rPr>
                <w:t>kyle</w:t>
              </w:r>
              <w:r w:rsidRPr="00466DAD" w:rsidR="00C401BF">
                <w:rPr>
                  <w:rStyle w:val="Hyperlink"/>
                  <w:bCs/>
                  <w:sz w:val="24"/>
                  <w:szCs w:val="24"/>
                </w:rPr>
                <w:t>.kern@ohioAGO.gov</w:t>
              </w:r>
            </w:hyperlink>
          </w:p>
          <w:p w:rsidR="00501B37" w:rsidRPr="00466DAD" w:rsidP="00501B37" w14:paraId="123B7846" w14:textId="77777777">
            <w:pPr>
              <w:pStyle w:val="BodyText"/>
              <w:ind w:left="-18"/>
              <w:rPr>
                <w:bCs/>
                <w:sz w:val="24"/>
                <w:szCs w:val="24"/>
              </w:rPr>
            </w:pPr>
            <w:hyperlink r:id="rId15" w:history="1">
              <w:r w:rsidRPr="00466DAD" w:rsidR="00C401BF">
                <w:rPr>
                  <w:rStyle w:val="Hyperlink"/>
                  <w:bCs/>
                  <w:sz w:val="24"/>
                  <w:szCs w:val="24"/>
                </w:rPr>
                <w:t>thomas.lindgren@ohioAGO.gov</w:t>
              </w:r>
            </w:hyperlink>
          </w:p>
          <w:p w:rsidR="00501B37" w:rsidRPr="00466DAD" w:rsidP="00501B37" w14:paraId="0E81C204" w14:textId="77777777">
            <w:pPr>
              <w:autoSpaceDE w:val="0"/>
              <w:autoSpaceDN w:val="0"/>
              <w:adjustRightInd w:val="0"/>
              <w:ind w:left="-18"/>
              <w:rPr>
                <w:sz w:val="24"/>
                <w:szCs w:val="24"/>
              </w:rPr>
            </w:pPr>
            <w:hyperlink r:id="rId16" w:history="1">
              <w:r w:rsidRPr="00466DAD" w:rsidR="00C401BF">
                <w:rPr>
                  <w:rStyle w:val="Hyperlink"/>
                  <w:sz w:val="24"/>
                  <w:szCs w:val="24"/>
                </w:rPr>
                <w:t>mkurtz@BKLlawfirm.com</w:t>
              </w:r>
            </w:hyperlink>
          </w:p>
          <w:p w:rsidR="00501B37" w:rsidRPr="00466DAD" w:rsidP="00501B37" w14:paraId="22FCC9DA" w14:textId="77777777">
            <w:pPr>
              <w:autoSpaceDE w:val="0"/>
              <w:autoSpaceDN w:val="0"/>
              <w:adjustRightInd w:val="0"/>
              <w:ind w:left="-18"/>
              <w:rPr>
                <w:sz w:val="24"/>
                <w:szCs w:val="24"/>
              </w:rPr>
            </w:pPr>
            <w:hyperlink r:id="rId17" w:history="1">
              <w:r w:rsidRPr="00466DAD" w:rsidR="00C401BF">
                <w:rPr>
                  <w:rStyle w:val="Hyperlink"/>
                  <w:sz w:val="24"/>
                  <w:szCs w:val="24"/>
                </w:rPr>
                <w:t>kboehm@BKLlawfirm.com</w:t>
              </w:r>
            </w:hyperlink>
          </w:p>
          <w:p w:rsidR="00501B37" w:rsidRPr="00466DAD" w:rsidP="00501B37" w14:paraId="56D88517" w14:textId="77777777">
            <w:pPr>
              <w:pStyle w:val="BodyText"/>
              <w:ind w:left="-18"/>
              <w:rPr>
                <w:rFonts w:eastAsiaTheme="minorHAnsi"/>
                <w:sz w:val="24"/>
                <w:szCs w:val="24"/>
              </w:rPr>
            </w:pPr>
            <w:hyperlink r:id="rId18" w:history="1">
              <w:r w:rsidRPr="00466DAD" w:rsidR="00C401BF">
                <w:rPr>
                  <w:rStyle w:val="Hyperlink"/>
                  <w:rFonts w:eastAsiaTheme="minorHAnsi"/>
                  <w:sz w:val="24"/>
                  <w:szCs w:val="24"/>
                </w:rPr>
                <w:t>jkylercohn@BKLlawfirm.com</w:t>
              </w:r>
            </w:hyperlink>
          </w:p>
          <w:p w:rsidR="003D71EE" w:rsidRPr="00466DAD" w:rsidP="003D71EE" w14:paraId="4B76957A" w14:textId="77777777">
            <w:pPr>
              <w:autoSpaceDE w:val="0"/>
              <w:autoSpaceDN w:val="0"/>
              <w:adjustRightInd w:val="0"/>
              <w:rPr>
                <w:sz w:val="24"/>
                <w:szCs w:val="24"/>
              </w:rPr>
            </w:pPr>
            <w:hyperlink r:id="rId19" w:history="1">
              <w:r w:rsidRPr="00466DAD" w:rsidR="00C401BF">
                <w:rPr>
                  <w:rStyle w:val="Hyperlink"/>
                  <w:sz w:val="24"/>
                  <w:szCs w:val="24"/>
                </w:rPr>
                <w:t>rdove@keglerbrown.com</w:t>
              </w:r>
            </w:hyperlink>
          </w:p>
          <w:p w:rsidR="003D71EE" w:rsidRPr="00466DAD" w:rsidP="00501B37" w14:paraId="1F514629" w14:textId="77777777">
            <w:pPr>
              <w:pStyle w:val="BodyText"/>
              <w:ind w:left="-18"/>
              <w:rPr>
                <w:rFonts w:eastAsiaTheme="minorHAnsi"/>
                <w:sz w:val="24"/>
                <w:szCs w:val="24"/>
              </w:rPr>
            </w:pPr>
          </w:p>
          <w:p w:rsidR="00501B37" w:rsidRPr="00466DAD" w:rsidP="00501B37" w14:paraId="0BFD4866" w14:textId="77777777">
            <w:pPr>
              <w:pStyle w:val="BodyText"/>
              <w:ind w:left="-18"/>
              <w:rPr>
                <w:rStyle w:val="Hyperlink"/>
                <w:rFonts w:eastAsiaTheme="minorHAnsi"/>
                <w:sz w:val="24"/>
                <w:szCs w:val="24"/>
              </w:rPr>
            </w:pPr>
          </w:p>
          <w:p w:rsidR="00501B37" w:rsidRPr="00466DAD" w:rsidP="00501B37" w14:paraId="0ECF18B2" w14:textId="77777777">
            <w:pPr>
              <w:pStyle w:val="BodyText"/>
              <w:ind w:left="-18"/>
              <w:rPr>
                <w:bCs/>
                <w:sz w:val="24"/>
                <w:szCs w:val="24"/>
              </w:rPr>
            </w:pPr>
            <w:r w:rsidRPr="00466DAD">
              <w:rPr>
                <w:bCs/>
                <w:sz w:val="24"/>
                <w:szCs w:val="24"/>
              </w:rPr>
              <w:t>Attorney Examiners:</w:t>
            </w:r>
          </w:p>
          <w:p w:rsidR="00501B37" w:rsidRPr="00466DAD" w:rsidP="00501B37" w14:paraId="39F31B83" w14:textId="77777777">
            <w:pPr>
              <w:pStyle w:val="BodyText"/>
              <w:ind w:left="-18"/>
              <w:rPr>
                <w:bCs/>
                <w:sz w:val="24"/>
                <w:szCs w:val="24"/>
              </w:rPr>
            </w:pPr>
            <w:hyperlink r:id="rId20" w:history="1">
              <w:r w:rsidRPr="00466DAD" w:rsidR="00C401BF">
                <w:rPr>
                  <w:rStyle w:val="Hyperlink"/>
                  <w:sz w:val="24"/>
                  <w:szCs w:val="24"/>
                </w:rPr>
                <w:t>s</w:t>
              </w:r>
              <w:r w:rsidRPr="00466DAD" w:rsidR="00C401BF">
                <w:rPr>
                  <w:rStyle w:val="Hyperlink"/>
                  <w:bCs/>
                  <w:sz w:val="24"/>
                  <w:szCs w:val="24"/>
                </w:rPr>
                <w:t>arah.parrot@puco.ohio.gov</w:t>
              </w:r>
            </w:hyperlink>
          </w:p>
          <w:p w:rsidR="00501B37" w:rsidRPr="00466DAD" w:rsidP="00501B37" w14:paraId="3E7348EE" w14:textId="77777777">
            <w:pPr>
              <w:pStyle w:val="BodyText"/>
              <w:ind w:left="-18"/>
              <w:rPr>
                <w:bCs/>
                <w:sz w:val="24"/>
                <w:szCs w:val="24"/>
              </w:rPr>
            </w:pPr>
            <w:hyperlink r:id="rId21" w:history="1">
              <w:r w:rsidRPr="00466DAD" w:rsidR="00C401BF">
                <w:rPr>
                  <w:rStyle w:val="Hyperlink"/>
                  <w:sz w:val="24"/>
                  <w:szCs w:val="24"/>
                </w:rPr>
                <w:t>g</w:t>
              </w:r>
              <w:r w:rsidRPr="00466DAD" w:rsidR="00C401BF">
                <w:rPr>
                  <w:rStyle w:val="Hyperlink"/>
                  <w:bCs/>
                  <w:sz w:val="24"/>
                  <w:szCs w:val="24"/>
                </w:rPr>
                <w:t>reta.see@puco.ohio.gov</w:t>
              </w:r>
            </w:hyperlink>
          </w:p>
          <w:p w:rsidR="00501B37" w:rsidRPr="00466DAD" w:rsidP="00501B37" w14:paraId="67C1B238" w14:textId="77777777">
            <w:pPr>
              <w:pStyle w:val="BodyText"/>
              <w:ind w:left="-18"/>
              <w:rPr>
                <w:rStyle w:val="Hyperlink"/>
                <w:rFonts w:eastAsia="Courier New"/>
                <w:bCs/>
                <w:sz w:val="24"/>
                <w:szCs w:val="24"/>
              </w:rPr>
            </w:pPr>
          </w:p>
          <w:p w:rsidR="00501B37" w:rsidRPr="00466DAD" w:rsidP="00501B37" w14:paraId="0CDEED6E" w14:textId="77777777">
            <w:pPr>
              <w:pStyle w:val="BodyText"/>
              <w:rPr>
                <w:rStyle w:val="Hyperlink"/>
                <w:rFonts w:eastAsiaTheme="minorHAnsi"/>
                <w:sz w:val="24"/>
                <w:szCs w:val="24"/>
              </w:rPr>
            </w:pPr>
          </w:p>
          <w:p w:rsidR="00501B37" w:rsidRPr="00466DAD" w:rsidP="00501B37" w14:paraId="5F475BB1" w14:textId="77777777">
            <w:pPr>
              <w:pStyle w:val="CommentText"/>
              <w:jc w:val="center"/>
              <w:rPr>
                <w:b/>
                <w:sz w:val="24"/>
                <w:szCs w:val="24"/>
                <w:u w:val="single"/>
              </w:rPr>
            </w:pPr>
          </w:p>
          <w:p w:rsidR="00501B37" w:rsidRPr="00466DAD" w:rsidP="00501B37" w14:paraId="4F95811F" w14:textId="77777777">
            <w:pPr>
              <w:pStyle w:val="CommentText"/>
              <w:spacing w:line="276" w:lineRule="auto"/>
              <w:ind w:left="-18"/>
              <w:rPr>
                <w:rStyle w:val="Hyperlink"/>
                <w:rFonts w:eastAsia="Courier New"/>
                <w:b/>
                <w:sz w:val="24"/>
                <w:szCs w:val="24"/>
              </w:rPr>
            </w:pPr>
          </w:p>
          <w:p w:rsidR="00501B37" w:rsidRPr="00466DAD" w:rsidP="00501B37" w14:paraId="35876AB6" w14:textId="77777777">
            <w:pPr>
              <w:pStyle w:val="CommentText"/>
              <w:rPr>
                <w:bCs/>
                <w:sz w:val="24"/>
                <w:szCs w:val="24"/>
              </w:rPr>
            </w:pPr>
          </w:p>
        </w:tc>
        <w:tc>
          <w:tcPr>
            <w:tcW w:w="4675" w:type="dxa"/>
          </w:tcPr>
          <w:p w:rsidR="00501B37" w:rsidRPr="00466DAD" w:rsidP="00501B37" w14:paraId="2715A9E7" w14:textId="77777777">
            <w:pPr>
              <w:autoSpaceDE w:val="0"/>
              <w:autoSpaceDN w:val="0"/>
              <w:adjustRightInd w:val="0"/>
              <w:ind w:left="342"/>
              <w:rPr>
                <w:sz w:val="24"/>
                <w:szCs w:val="24"/>
              </w:rPr>
            </w:pPr>
            <w:hyperlink r:id="rId22" w:history="1">
              <w:r w:rsidRPr="00466DAD" w:rsidR="00C401BF">
                <w:rPr>
                  <w:rStyle w:val="Hyperlink"/>
                  <w:sz w:val="24"/>
                  <w:szCs w:val="24"/>
                </w:rPr>
                <w:t>stnourse@aep.com</w:t>
              </w:r>
            </w:hyperlink>
          </w:p>
          <w:p w:rsidR="00501B37" w:rsidRPr="00466DAD" w:rsidP="00501B37" w14:paraId="0523B7F9" w14:textId="77777777">
            <w:pPr>
              <w:autoSpaceDE w:val="0"/>
              <w:autoSpaceDN w:val="0"/>
              <w:adjustRightInd w:val="0"/>
              <w:ind w:left="342"/>
              <w:rPr>
                <w:sz w:val="24"/>
                <w:szCs w:val="24"/>
              </w:rPr>
            </w:pPr>
            <w:hyperlink r:id="rId23" w:history="1">
              <w:r w:rsidRPr="00466DAD" w:rsidR="00C401BF">
                <w:rPr>
                  <w:rStyle w:val="Hyperlink"/>
                  <w:sz w:val="24"/>
                  <w:szCs w:val="24"/>
                </w:rPr>
                <w:t>mpritchard@mcneeslaw.com</w:t>
              </w:r>
            </w:hyperlink>
          </w:p>
          <w:p w:rsidR="00501B37" w:rsidRPr="00466DAD" w:rsidP="00501B37" w14:paraId="46556FA6" w14:textId="77777777">
            <w:pPr>
              <w:autoSpaceDE w:val="0"/>
              <w:autoSpaceDN w:val="0"/>
              <w:adjustRightInd w:val="0"/>
              <w:ind w:left="342"/>
              <w:rPr>
                <w:sz w:val="24"/>
                <w:szCs w:val="24"/>
              </w:rPr>
            </w:pPr>
            <w:hyperlink r:id="rId24" w:history="1">
              <w:r w:rsidRPr="00466DAD" w:rsidR="00C401BF">
                <w:rPr>
                  <w:rStyle w:val="Hyperlink"/>
                  <w:sz w:val="24"/>
                  <w:szCs w:val="24"/>
                </w:rPr>
                <w:t>rglover@mcneeslaw.com</w:t>
              </w:r>
            </w:hyperlink>
          </w:p>
          <w:p w:rsidR="00501B37" w:rsidRPr="00466DAD" w:rsidP="00501B37" w14:paraId="56A902E1" w14:textId="77777777">
            <w:pPr>
              <w:autoSpaceDE w:val="0"/>
              <w:autoSpaceDN w:val="0"/>
              <w:adjustRightInd w:val="0"/>
              <w:ind w:left="342"/>
              <w:rPr>
                <w:sz w:val="24"/>
                <w:szCs w:val="24"/>
              </w:rPr>
            </w:pPr>
            <w:hyperlink r:id="rId25" w:history="1">
              <w:r w:rsidRPr="00466DAD" w:rsidR="00C401BF">
                <w:rPr>
                  <w:rStyle w:val="Hyperlink"/>
                  <w:sz w:val="24"/>
                  <w:szCs w:val="24"/>
                </w:rPr>
                <w:t>megan.wachpress@sierraclub.org</w:t>
              </w:r>
            </w:hyperlink>
          </w:p>
          <w:p w:rsidR="00501B37" w:rsidRPr="00466DAD" w:rsidP="00501B37" w14:paraId="2CE047D5" w14:textId="77777777">
            <w:pPr>
              <w:autoSpaceDE w:val="0"/>
              <w:autoSpaceDN w:val="0"/>
              <w:adjustRightInd w:val="0"/>
              <w:ind w:left="342"/>
              <w:rPr>
                <w:sz w:val="24"/>
                <w:szCs w:val="24"/>
              </w:rPr>
            </w:pPr>
            <w:hyperlink r:id="rId26" w:history="1">
              <w:r w:rsidRPr="00466DAD" w:rsidR="00C401BF">
                <w:rPr>
                  <w:rStyle w:val="Hyperlink"/>
                  <w:sz w:val="24"/>
                  <w:szCs w:val="24"/>
                </w:rPr>
                <w:t>bojko@carpenterlipps.com</w:t>
              </w:r>
            </w:hyperlink>
          </w:p>
          <w:p w:rsidR="00501B37" w:rsidRPr="00466DAD" w:rsidP="00501B37" w14:paraId="333084E8" w14:textId="77777777">
            <w:pPr>
              <w:autoSpaceDE w:val="0"/>
              <w:autoSpaceDN w:val="0"/>
              <w:adjustRightInd w:val="0"/>
              <w:ind w:left="342"/>
              <w:rPr>
                <w:sz w:val="24"/>
                <w:szCs w:val="24"/>
              </w:rPr>
            </w:pPr>
            <w:hyperlink r:id="rId27" w:history="1">
              <w:r w:rsidRPr="00466DAD" w:rsidR="00C401BF">
                <w:rPr>
                  <w:rStyle w:val="Hyperlink"/>
                  <w:sz w:val="24"/>
                  <w:szCs w:val="24"/>
                </w:rPr>
                <w:t>donadio@carpenterlipps.com</w:t>
              </w:r>
            </w:hyperlink>
          </w:p>
          <w:p w:rsidR="003D71EE" w:rsidRPr="00466DAD" w:rsidP="003D71EE" w14:paraId="6767798B" w14:textId="77777777">
            <w:pPr>
              <w:autoSpaceDE w:val="0"/>
              <w:autoSpaceDN w:val="0"/>
              <w:adjustRightInd w:val="0"/>
              <w:ind w:left="342"/>
              <w:rPr>
                <w:rStyle w:val="Hyperlink"/>
                <w:rFonts w:eastAsiaTheme="minorHAnsi"/>
                <w:sz w:val="24"/>
                <w:szCs w:val="24"/>
              </w:rPr>
            </w:pPr>
            <w:hyperlink r:id="rId28" w:history="1">
              <w:r w:rsidRPr="00466DAD" w:rsidR="00C401BF">
                <w:rPr>
                  <w:rStyle w:val="Hyperlink"/>
                  <w:rFonts w:eastAsiaTheme="minorHAnsi"/>
                  <w:sz w:val="24"/>
                  <w:szCs w:val="24"/>
                </w:rPr>
                <w:t>paul@carpenterlipps.com</w:t>
              </w:r>
            </w:hyperlink>
          </w:p>
          <w:p w:rsidR="003D71EE" w:rsidRPr="00466DAD" w:rsidP="00501B37" w14:paraId="07AEAB5B" w14:textId="77777777">
            <w:pPr>
              <w:autoSpaceDE w:val="0"/>
              <w:autoSpaceDN w:val="0"/>
              <w:adjustRightInd w:val="0"/>
              <w:ind w:left="342"/>
              <w:rPr>
                <w:sz w:val="24"/>
                <w:szCs w:val="24"/>
              </w:rPr>
            </w:pPr>
          </w:p>
          <w:p w:rsidR="00501B37" w:rsidRPr="00466DAD" w:rsidP="00501B37" w14:paraId="52F07E13" w14:textId="77777777">
            <w:pPr>
              <w:autoSpaceDE w:val="0"/>
              <w:autoSpaceDN w:val="0"/>
              <w:adjustRightInd w:val="0"/>
              <w:ind w:left="342"/>
              <w:rPr>
                <w:sz w:val="24"/>
                <w:szCs w:val="24"/>
              </w:rPr>
            </w:pPr>
          </w:p>
          <w:p w:rsidR="00501B37" w:rsidRPr="00466DAD" w:rsidP="00501B37" w14:paraId="6F218BB2" w14:textId="77777777">
            <w:pPr>
              <w:autoSpaceDE w:val="0"/>
              <w:autoSpaceDN w:val="0"/>
              <w:adjustRightInd w:val="0"/>
              <w:ind w:left="342"/>
              <w:rPr>
                <w:rStyle w:val="Hyperlink"/>
                <w:rFonts w:eastAsia="Courier New"/>
                <w:sz w:val="24"/>
                <w:szCs w:val="24"/>
              </w:rPr>
            </w:pPr>
          </w:p>
          <w:p w:rsidR="00501B37" w:rsidRPr="00466DAD" w:rsidP="00501B37" w14:paraId="74F921F9" w14:textId="77777777">
            <w:pPr>
              <w:autoSpaceDE w:val="0"/>
              <w:autoSpaceDN w:val="0"/>
              <w:adjustRightInd w:val="0"/>
              <w:ind w:left="1100"/>
              <w:rPr>
                <w:rStyle w:val="Hyperlink"/>
                <w:rFonts w:eastAsia="Courier New"/>
                <w:sz w:val="24"/>
                <w:szCs w:val="24"/>
              </w:rPr>
            </w:pPr>
          </w:p>
          <w:p w:rsidR="00501B37" w:rsidRPr="00466DAD" w:rsidP="00501B37" w14:paraId="14994678" w14:textId="77777777">
            <w:pPr>
              <w:autoSpaceDE w:val="0"/>
              <w:autoSpaceDN w:val="0"/>
              <w:adjustRightInd w:val="0"/>
              <w:ind w:left="1100"/>
              <w:rPr>
                <w:rStyle w:val="Hyperlink"/>
                <w:rFonts w:eastAsia="Courier New"/>
                <w:sz w:val="24"/>
                <w:szCs w:val="24"/>
              </w:rPr>
            </w:pPr>
          </w:p>
          <w:p w:rsidR="00501B37" w:rsidRPr="00466DAD" w:rsidP="00501B37" w14:paraId="57312A8E" w14:textId="77777777">
            <w:pPr>
              <w:autoSpaceDE w:val="0"/>
              <w:autoSpaceDN w:val="0"/>
              <w:adjustRightInd w:val="0"/>
              <w:ind w:left="1100"/>
              <w:rPr>
                <w:rStyle w:val="Hyperlink"/>
                <w:rFonts w:eastAsia="Courier New"/>
                <w:sz w:val="24"/>
                <w:szCs w:val="24"/>
              </w:rPr>
            </w:pPr>
          </w:p>
          <w:p w:rsidR="00501B37" w:rsidRPr="00466DAD" w:rsidP="00501B37" w14:paraId="143A75EF" w14:textId="77777777">
            <w:pPr>
              <w:pStyle w:val="CommentText"/>
              <w:spacing w:line="276" w:lineRule="auto"/>
              <w:ind w:left="360"/>
              <w:rPr>
                <w:rStyle w:val="Hyperlink"/>
                <w:rFonts w:eastAsia="Courier New"/>
                <w:sz w:val="24"/>
                <w:szCs w:val="24"/>
              </w:rPr>
            </w:pPr>
          </w:p>
          <w:p w:rsidR="00501B37" w:rsidRPr="00466DAD" w:rsidP="00501B37" w14:paraId="21CB1E54" w14:textId="77777777">
            <w:pPr>
              <w:autoSpaceDE w:val="0"/>
              <w:autoSpaceDN w:val="0"/>
              <w:adjustRightInd w:val="0"/>
              <w:ind w:left="1247"/>
              <w:rPr>
                <w:bCs/>
                <w:sz w:val="24"/>
                <w:szCs w:val="24"/>
              </w:rPr>
            </w:pPr>
          </w:p>
          <w:p w:rsidR="00501B37" w:rsidRPr="00466DAD" w:rsidP="00501B37" w14:paraId="08574174" w14:textId="77777777">
            <w:pPr>
              <w:autoSpaceDE w:val="0"/>
              <w:autoSpaceDN w:val="0"/>
              <w:adjustRightInd w:val="0"/>
              <w:ind w:left="1100"/>
              <w:rPr>
                <w:rStyle w:val="Hyperlink"/>
                <w:rFonts w:eastAsia="Courier New"/>
                <w:sz w:val="24"/>
                <w:szCs w:val="24"/>
              </w:rPr>
            </w:pPr>
          </w:p>
          <w:p w:rsidR="00501B37" w:rsidRPr="00466DAD" w:rsidP="00501B37" w14:paraId="1676B6D1" w14:textId="77777777">
            <w:pPr>
              <w:autoSpaceDE w:val="0"/>
              <w:autoSpaceDN w:val="0"/>
              <w:adjustRightInd w:val="0"/>
              <w:ind w:left="1100"/>
              <w:rPr>
                <w:rStyle w:val="Hyperlink"/>
                <w:rFonts w:eastAsia="Courier New"/>
                <w:bCs/>
                <w:sz w:val="24"/>
                <w:szCs w:val="24"/>
              </w:rPr>
            </w:pPr>
          </w:p>
          <w:p w:rsidR="00501B37" w:rsidRPr="00466DAD" w:rsidP="00501B37" w14:paraId="635021D4" w14:textId="77777777">
            <w:pPr>
              <w:pStyle w:val="CommentText"/>
              <w:rPr>
                <w:b/>
                <w:sz w:val="24"/>
                <w:szCs w:val="24"/>
                <w:u w:val="single"/>
              </w:rPr>
            </w:pPr>
          </w:p>
        </w:tc>
      </w:tr>
    </w:tbl>
    <w:p w:rsidR="0061608D" w:rsidRPr="00466DAD" w:rsidP="0061608D" w14:paraId="5AF5B40A" w14:textId="77777777">
      <w:pPr>
        <w:pStyle w:val="EndnoteText"/>
        <w:widowControl/>
        <w:rPr>
          <w:rFonts w:ascii="Times New Roman" w:hAnsi="Times New Roman"/>
          <w:snapToGrid/>
          <w:szCs w:val="24"/>
        </w:rPr>
      </w:pPr>
    </w:p>
    <w:p w:rsidR="0061608D" w:rsidRPr="00466DAD" w:rsidP="0061608D" w14:paraId="1F08D05B" w14:textId="77777777">
      <w:pPr>
        <w:pStyle w:val="CommentText"/>
        <w:rPr>
          <w:rFonts w:ascii="Times New Roman" w:hAnsi="Times New Roman" w:cs="Times New Roman"/>
          <w:sz w:val="24"/>
          <w:szCs w:val="24"/>
        </w:rPr>
      </w:pPr>
    </w:p>
    <w:p w:rsidR="007E0640" w:rsidRPr="00466DAD" w:rsidP="007E0640" w14:paraId="302DFC0A" w14:textId="77777777">
      <w:pPr>
        <w:pStyle w:val="CommentText"/>
        <w:rPr>
          <w:rFonts w:ascii="Times New Roman" w:hAnsi="Times New Roman" w:cs="Times New Roman"/>
          <w:sz w:val="24"/>
          <w:szCs w:val="24"/>
          <w:u w:val="single"/>
        </w:rPr>
      </w:pPr>
    </w:p>
    <w:p w:rsidR="00232054" w:rsidRPr="00466DAD" w:rsidP="0061608D" w14:paraId="6F2AE253" w14:textId="77777777">
      <w:pPr>
        <w:pStyle w:val="CommentText"/>
        <w:jc w:val="center"/>
        <w:rPr>
          <w:rFonts w:ascii="Times New Roman" w:hAnsi="Times New Roman" w:cs="Times New Roman"/>
          <w:b/>
          <w:sz w:val="24"/>
          <w:szCs w:val="24"/>
          <w:u w:val="single"/>
        </w:rPr>
      </w:pPr>
    </w:p>
    <w:sectPr w:rsidSect="007804DA">
      <w:pgSz w:w="12240" w:h="15840"/>
      <w:pgMar w:top="1440" w:right="1440" w:bottom="1440" w:left="1440" w:header="1547"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05" w14:paraId="1C9BE9C2" w14:textId="77777777">
    <w:pPr>
      <w:pStyle w:val="Footer"/>
      <w:jc w:val="center"/>
    </w:pPr>
  </w:p>
  <w:p w:rsidR="00650F05" w:rsidRPr="00061F3F" w14:paraId="24638208" w14:textId="7777777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9956251"/>
      <w:docPartObj>
        <w:docPartGallery w:val="Page Numbers (Bottom of Page)"/>
        <w:docPartUnique/>
      </w:docPartObj>
    </w:sdtPr>
    <w:sdtEndPr>
      <w:rPr>
        <w:noProof/>
      </w:rPr>
    </w:sdtEndPr>
    <w:sdtContent>
      <w:p w:rsidR="00650F05" w14:paraId="0A9D10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50F05" w:rsidRPr="00AE3DA5" w14:paraId="469970D1"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5343713"/>
      <w:docPartObj>
        <w:docPartGallery w:val="Page Numbers (Bottom of Page)"/>
        <w:docPartUnique/>
      </w:docPartObj>
    </w:sdtPr>
    <w:sdtEndPr>
      <w:rPr>
        <w:noProof/>
      </w:rPr>
    </w:sdtEndPr>
    <w:sdtContent>
      <w:p w:rsidR="00650F05" w14:paraId="50D1A8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50F05" w:rsidRPr="00AE3DA5" w14:paraId="1629E9A6" w14:textId="77777777">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5365231"/>
      <w:docPartObj>
        <w:docPartGallery w:val="Page Numbers (Bottom of Page)"/>
        <w:docPartUnique/>
      </w:docPartObj>
    </w:sdtPr>
    <w:sdtEndPr>
      <w:rPr>
        <w:rFonts w:ascii="Times New Roman" w:hAnsi="Times New Roman" w:cs="Times New Roman"/>
        <w:noProof/>
        <w:sz w:val="24"/>
        <w:szCs w:val="24"/>
      </w:rPr>
    </w:sdtEndPr>
    <w:sdtContent>
      <w:p w:rsidR="00650F05" w:rsidRPr="005F065E" w14:paraId="3E96DACF" w14:textId="77777777">
        <w:pPr>
          <w:pStyle w:val="Footer"/>
          <w:jc w:val="center"/>
          <w:rPr>
            <w:rFonts w:ascii="Times New Roman" w:hAnsi="Times New Roman" w:cs="Times New Roman"/>
            <w:sz w:val="24"/>
            <w:szCs w:val="24"/>
          </w:rPr>
        </w:pPr>
        <w:r w:rsidRPr="005F065E">
          <w:rPr>
            <w:rFonts w:ascii="Times New Roman" w:hAnsi="Times New Roman" w:cs="Times New Roman"/>
            <w:sz w:val="24"/>
            <w:szCs w:val="24"/>
          </w:rPr>
          <w:fldChar w:fldCharType="begin"/>
        </w:r>
        <w:r w:rsidRPr="005F065E">
          <w:rPr>
            <w:rFonts w:ascii="Times New Roman" w:hAnsi="Times New Roman" w:cs="Times New Roman"/>
            <w:sz w:val="24"/>
            <w:szCs w:val="24"/>
          </w:rPr>
          <w:instrText xml:space="preserve"> PAGE   \* MERGEFORMAT </w:instrText>
        </w:r>
        <w:r w:rsidRPr="005F065E">
          <w:rPr>
            <w:rFonts w:ascii="Times New Roman" w:hAnsi="Times New Roman" w:cs="Times New Roman"/>
            <w:sz w:val="24"/>
            <w:szCs w:val="24"/>
          </w:rPr>
          <w:fldChar w:fldCharType="separate"/>
        </w:r>
        <w:r w:rsidRPr="005F065E">
          <w:rPr>
            <w:rFonts w:ascii="Times New Roman" w:hAnsi="Times New Roman" w:cs="Times New Roman"/>
            <w:noProof/>
            <w:sz w:val="24"/>
            <w:szCs w:val="24"/>
          </w:rPr>
          <w:t>2</w:t>
        </w:r>
        <w:r w:rsidRPr="005F065E">
          <w:rPr>
            <w:rFonts w:ascii="Times New Roman" w:hAnsi="Times New Roman" w:cs="Times New Roman"/>
            <w:noProof/>
            <w:sz w:val="24"/>
            <w:szCs w:val="24"/>
          </w:rPr>
          <w:fldChar w:fldCharType="end"/>
        </w:r>
      </w:p>
    </w:sdtContent>
  </w:sdt>
  <w:p w:rsidR="00650F05" w:rsidRPr="00061F3F" w14:paraId="3C54FA56" w14:textId="77777777">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0052430"/>
      <w:docPartObj>
        <w:docPartGallery w:val="Page Numbers (Bottom of Page)"/>
        <w:docPartUnique/>
      </w:docPartObj>
    </w:sdtPr>
    <w:sdtEndPr>
      <w:rPr>
        <w:rFonts w:ascii="Times New Roman" w:hAnsi="Times New Roman" w:cs="Times New Roman"/>
        <w:noProof/>
        <w:sz w:val="24"/>
        <w:szCs w:val="24"/>
      </w:rPr>
    </w:sdtEndPr>
    <w:sdtContent>
      <w:p w:rsidR="00650F05" w:rsidRPr="00E17C81" w14:paraId="6551FADA" w14:textId="77777777">
        <w:pPr>
          <w:pStyle w:val="Footer"/>
          <w:jc w:val="center"/>
          <w:rPr>
            <w:rFonts w:ascii="Times New Roman" w:hAnsi="Times New Roman" w:cs="Times New Roman"/>
            <w:sz w:val="24"/>
            <w:szCs w:val="24"/>
          </w:rPr>
        </w:pPr>
        <w:r w:rsidRPr="00E17C81">
          <w:rPr>
            <w:rFonts w:ascii="Times New Roman" w:hAnsi="Times New Roman" w:cs="Times New Roman"/>
            <w:sz w:val="24"/>
            <w:szCs w:val="24"/>
          </w:rPr>
          <w:fldChar w:fldCharType="begin"/>
        </w:r>
        <w:r w:rsidRPr="00E17C81">
          <w:rPr>
            <w:rFonts w:ascii="Times New Roman" w:hAnsi="Times New Roman" w:cs="Times New Roman"/>
            <w:sz w:val="24"/>
            <w:szCs w:val="24"/>
          </w:rPr>
          <w:instrText xml:space="preserve"> PAGE   \* MERGEFORMAT </w:instrText>
        </w:r>
        <w:r w:rsidRPr="00E17C81">
          <w:rPr>
            <w:rFonts w:ascii="Times New Roman" w:hAnsi="Times New Roman" w:cs="Times New Roman"/>
            <w:sz w:val="24"/>
            <w:szCs w:val="24"/>
          </w:rPr>
          <w:fldChar w:fldCharType="separate"/>
        </w:r>
        <w:r w:rsidRPr="00E17C81">
          <w:rPr>
            <w:rFonts w:ascii="Times New Roman" w:hAnsi="Times New Roman" w:cs="Times New Roman"/>
            <w:noProof/>
            <w:sz w:val="24"/>
            <w:szCs w:val="24"/>
          </w:rPr>
          <w:t>2</w:t>
        </w:r>
        <w:r w:rsidRPr="00E17C81">
          <w:rPr>
            <w:rFonts w:ascii="Times New Roman" w:hAnsi="Times New Roman" w:cs="Times New Roman"/>
            <w:noProof/>
            <w:sz w:val="24"/>
            <w:szCs w:val="24"/>
          </w:rPr>
          <w:fldChar w:fldCharType="end"/>
        </w:r>
      </w:p>
    </w:sdtContent>
  </w:sdt>
  <w:p w:rsidR="00650F05" w14:paraId="151173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5316" w14:paraId="3773D3D3" w14:textId="77777777">
      <w:r>
        <w:separator/>
      </w:r>
    </w:p>
  </w:footnote>
  <w:footnote w:type="continuationSeparator" w:id="1">
    <w:p w:rsidR="00A45316" w14:paraId="0E3F1168" w14:textId="77777777">
      <w:r>
        <w:continuationSeparator/>
      </w:r>
    </w:p>
  </w:footnote>
  <w:footnote w:id="2">
    <w:p w:rsidR="00650F05" w:rsidP="00D20495" w14:paraId="50B148D8" w14:textId="77777777">
      <w:pPr>
        <w:pStyle w:val="FootnoteText"/>
        <w:spacing w:after="120"/>
      </w:pPr>
      <w:r>
        <w:rPr>
          <w:rStyle w:val="FootnoteReference"/>
        </w:rPr>
        <w:footnoteRef/>
      </w:r>
      <w:r>
        <w:t xml:space="preserve"> OCC Initial Comments at 2-6 (Nov. 12, 2021).</w:t>
      </w:r>
    </w:p>
  </w:footnote>
  <w:footnote w:id="3">
    <w:p w:rsidR="00650F05" w:rsidP="00D20495" w14:paraId="3C4470A5" w14:textId="77777777">
      <w:pPr>
        <w:pStyle w:val="FootnoteText"/>
        <w:spacing w:after="120"/>
      </w:pPr>
      <w:r>
        <w:rPr>
          <w:rStyle w:val="FootnoteReference"/>
        </w:rPr>
        <w:footnoteRef/>
      </w:r>
      <w:r>
        <w:t xml:space="preserve"> E</w:t>
      </w:r>
      <w:r w:rsidRPr="000031B5">
        <w:t>mail from Steven T. Nourse to Marie Fagan and Edward J. Locigno dated September 11, 2020.</w:t>
      </w:r>
    </w:p>
  </w:footnote>
  <w:footnote w:id="4">
    <w:p w:rsidR="00650F05" w:rsidP="00D20495" w14:paraId="28A22C2E" w14:textId="77777777">
      <w:pPr>
        <w:pStyle w:val="FootnoteText"/>
        <w:spacing w:after="120"/>
      </w:pPr>
      <w:r>
        <w:rPr>
          <w:rStyle w:val="FootnoteReference"/>
        </w:rPr>
        <w:footnoteRef/>
      </w:r>
      <w:r>
        <w:t xml:space="preserve"> Kroger/OMAEG Initial Comments at 5-6 (Nov. 12, 2021).</w:t>
      </w:r>
    </w:p>
  </w:footnote>
  <w:footnote w:id="5">
    <w:p w:rsidR="00650F05" w:rsidP="00D20495" w14:paraId="7085AA10" w14:textId="77777777">
      <w:pPr>
        <w:pStyle w:val="FootnoteText"/>
        <w:spacing w:after="120"/>
      </w:pPr>
      <w:r>
        <w:rPr>
          <w:rStyle w:val="FootnoteReference"/>
        </w:rPr>
        <w:footnoteRef/>
      </w:r>
      <w:r>
        <w:t xml:space="preserve"> NRDC Initial Comments at 5 (Nov. 12, 2021).</w:t>
      </w:r>
    </w:p>
  </w:footnote>
  <w:footnote w:id="6">
    <w:p w:rsidR="00650F05" w:rsidRPr="00676E87" w:rsidP="00D20495" w14:paraId="4604156A" w14:textId="77777777">
      <w:pPr>
        <w:pStyle w:val="FootnoteText"/>
        <w:spacing w:after="120"/>
      </w:pPr>
      <w:r>
        <w:rPr>
          <w:rStyle w:val="FootnoteReference"/>
        </w:rPr>
        <w:footnoteRef/>
      </w:r>
      <w:r>
        <w:t xml:space="preserve"> </w:t>
      </w:r>
      <w:r>
        <w:rPr>
          <w:i/>
          <w:iCs/>
        </w:rPr>
        <w:t xml:space="preserve">Id. </w:t>
      </w:r>
      <w:r>
        <w:t>at 6-8.</w:t>
      </w:r>
    </w:p>
  </w:footnote>
  <w:footnote w:id="7">
    <w:p w:rsidR="00650F05" w:rsidP="00D20495" w14:paraId="25B65688" w14:textId="5A59F9E8">
      <w:pPr>
        <w:pStyle w:val="FootnoteText"/>
        <w:spacing w:after="120"/>
      </w:pPr>
      <w:r>
        <w:rPr>
          <w:rStyle w:val="FootnoteReference"/>
        </w:rPr>
        <w:footnoteRef/>
      </w:r>
      <w:r>
        <w:t xml:space="preserve"> NRDC Initial Comments at 5 (Nov. 12, 2021), citing </w:t>
      </w:r>
      <w:r w:rsidRPr="00D901C2">
        <w:rPr>
          <w:i/>
          <w:iCs/>
        </w:rPr>
        <w:t>In the Matter of the Application of Indiana Michigan Power Company for Approval to Implement a Power Supply Cost Recovery Plan for the Twelve Months Ending December 31, 2021</w:t>
      </w:r>
      <w:r w:rsidRPr="00D901C2">
        <w:t>, Case No. U-20804, Order at 20 (Mich. Pub. Serv. Comm.) (Nov. 18, 2021).</w:t>
      </w:r>
      <w:r>
        <w:t>.</w:t>
      </w:r>
    </w:p>
  </w:footnote>
  <w:footnote w:id="8">
    <w:p w:rsidR="00650F05" w:rsidRPr="007E62C1" w:rsidP="00306F96" w14:paraId="5F225CC5" w14:textId="77777777">
      <w:pPr>
        <w:pStyle w:val="FootnoteText"/>
        <w:spacing w:after="120"/>
        <w:rPr>
          <w:i/>
          <w:iCs/>
        </w:rPr>
      </w:pPr>
      <w:r>
        <w:rPr>
          <w:rStyle w:val="FootnoteReference"/>
        </w:rPr>
        <w:footnoteRef/>
      </w:r>
      <w:r>
        <w:t xml:space="preserve"> </w:t>
      </w:r>
      <w:r>
        <w:rPr>
          <w:i/>
          <w:iCs/>
        </w:rPr>
        <w:t>Id.</w:t>
      </w:r>
    </w:p>
  </w:footnote>
  <w:footnote w:id="9">
    <w:p w:rsidR="00650F05" w:rsidRPr="007E62C1" w:rsidP="00306F96" w14:paraId="444DE8B4" w14:textId="77777777">
      <w:pPr>
        <w:pStyle w:val="FootnoteText"/>
        <w:spacing w:after="120"/>
      </w:pPr>
      <w:r>
        <w:rPr>
          <w:rStyle w:val="FootnoteReference"/>
        </w:rPr>
        <w:footnoteRef/>
      </w:r>
      <w:r>
        <w:t xml:space="preserve"> </w:t>
      </w:r>
      <w:r w:rsidRPr="007E62C1">
        <w:rPr>
          <w:i/>
          <w:iCs/>
        </w:rPr>
        <w:t>Electric Power Supply Ass’n v. AEP Generation Resources, Inc. and Ohio Power Company</w:t>
      </w:r>
      <w:r w:rsidRPr="007E62C1">
        <w:t xml:space="preserve">, 155 FERC ¶ 61,102 </w:t>
      </w:r>
      <w:r w:rsidRPr="007E62C1">
        <w:br/>
        <w:t>at ¶ 8 (Order granting complaint) (April 27, 2016).</w:t>
      </w:r>
      <w:r>
        <w:t xml:space="preserve">  </w:t>
      </w:r>
      <w:r>
        <w:rPr>
          <w:i/>
          <w:iCs/>
        </w:rPr>
        <w:t xml:space="preserve">See </w:t>
      </w:r>
      <w:r>
        <w:t>OCC Initial Comments at 7 (Nov. 12, 2021).</w:t>
      </w:r>
    </w:p>
  </w:footnote>
  <w:footnote w:id="10">
    <w:p w:rsidR="00650F05" w:rsidP="00306F96" w14:paraId="3948D2F3" w14:textId="7EF8DF31">
      <w:pPr>
        <w:pStyle w:val="FootnoteText"/>
        <w:spacing w:after="120"/>
      </w:pPr>
      <w:r>
        <w:rPr>
          <w:rStyle w:val="FootnoteReference"/>
        </w:rPr>
        <w:footnoteRef/>
      </w:r>
      <w:r>
        <w:t xml:space="preserve"> </w:t>
      </w:r>
      <w:r w:rsidRPr="00363050">
        <w:rPr>
          <w:i/>
          <w:iCs/>
        </w:rPr>
        <w:t>In the Matter of the Application Seeking Approval of Ohio Power Company's Proposal to Enter into an Affiliate Po</w:t>
      </w:r>
      <w:r>
        <w:rPr>
          <w:i/>
          <w:iCs/>
        </w:rPr>
        <w:t>w</w:t>
      </w:r>
      <w:r w:rsidRPr="00363050">
        <w:rPr>
          <w:i/>
          <w:iCs/>
        </w:rPr>
        <w:t>er Purchase Agreement for Inclusion in the Power Purchase Agreement Rider</w:t>
      </w:r>
      <w:r>
        <w:rPr>
          <w:i/>
          <w:iCs/>
        </w:rPr>
        <w:t xml:space="preserve">, </w:t>
      </w:r>
      <w:r>
        <w:t>Case No. 14-1693-EL-RDR. Opinion and Order, Concurring Opinion of Commissioner Asim Z. Haque at 5 (Mar. 31, 2016).</w:t>
      </w:r>
    </w:p>
  </w:footnote>
  <w:footnote w:id="11">
    <w:p w:rsidR="00650F05" w:rsidRPr="00363050" w:rsidP="00306F96" w14:paraId="02E1F3EB" w14:textId="46D48E2F">
      <w:pPr>
        <w:pStyle w:val="FootnoteText"/>
        <w:spacing w:after="120"/>
      </w:pPr>
      <w:r>
        <w:rPr>
          <w:rStyle w:val="FootnoteReference"/>
        </w:rPr>
        <w:footnoteRef/>
      </w:r>
      <w:r>
        <w:t xml:space="preserve"> </w:t>
      </w:r>
      <w:r w:rsidRPr="00363050">
        <w:rPr>
          <w:i/>
          <w:iCs/>
        </w:rPr>
        <w:t>I</w:t>
      </w:r>
      <w:r>
        <w:rPr>
          <w:i/>
          <w:iCs/>
        </w:rPr>
        <w:t>d.</w:t>
      </w:r>
      <w:r w:rsidRPr="00363050">
        <w:rPr>
          <w:i/>
          <w:iCs/>
        </w:rPr>
        <w:t xml:space="preserve"> </w:t>
      </w:r>
      <w:r>
        <w:t>4 (Emphasis added).</w:t>
      </w:r>
    </w:p>
  </w:footnote>
  <w:footnote w:id="12">
    <w:p w:rsidR="00650F05" w:rsidRPr="00140D48" w:rsidP="00D20495" w14:paraId="315727E2" w14:textId="77777777">
      <w:pPr>
        <w:pStyle w:val="FootnoteText"/>
        <w:spacing w:after="120"/>
      </w:pPr>
      <w:r>
        <w:rPr>
          <w:rStyle w:val="FootnoteReference"/>
        </w:rPr>
        <w:footnoteRef/>
      </w:r>
      <w:r>
        <w:t xml:space="preserve"> </w:t>
      </w:r>
      <w:r>
        <w:rPr>
          <w:i/>
          <w:iCs/>
        </w:rPr>
        <w:t xml:space="preserve">Id., </w:t>
      </w:r>
      <w:r>
        <w:t>Concurring Opinion of Commissioner M. Beth Trombold at 2 (Emphasis added).</w:t>
      </w:r>
    </w:p>
  </w:footnote>
  <w:footnote w:id="13">
    <w:p w:rsidR="00650F05" w:rsidP="00B83104" w14:paraId="42DB229D" w14:textId="77777777">
      <w:pPr>
        <w:pStyle w:val="FootnoteText"/>
        <w:spacing w:after="120"/>
      </w:pPr>
      <w:r>
        <w:rPr>
          <w:rStyle w:val="FootnoteReference"/>
        </w:rPr>
        <w:footnoteRef/>
      </w:r>
      <w:r>
        <w:t xml:space="preserve"> AEP Initial Comments at 3 (Nov. 12, 2021).</w:t>
      </w:r>
    </w:p>
  </w:footnote>
  <w:footnote w:id="14">
    <w:p w:rsidR="00650F05" w:rsidRPr="00D903EB" w:rsidP="00D20495" w14:paraId="77A1D4B4" w14:textId="77777777">
      <w:pPr>
        <w:pStyle w:val="FootnoteText"/>
        <w:spacing w:after="120"/>
      </w:pPr>
      <w:r>
        <w:rPr>
          <w:rStyle w:val="FootnoteReference"/>
        </w:rPr>
        <w:footnoteRef/>
      </w:r>
      <w:r>
        <w:t xml:space="preserve"> </w:t>
      </w:r>
      <w:r w:rsidRPr="00D903EB">
        <w:rPr>
          <w:i/>
          <w:iCs/>
        </w:rPr>
        <w:t>In re Application of Ohio Power Co</w:t>
      </w:r>
      <w:r w:rsidRPr="00D903EB">
        <w:t>., 144 Ohio St.3d 1, 2015-Ohio-2056</w:t>
      </w:r>
      <w:r>
        <w:t xml:space="preserve"> at ¶ 16 (Citations omitted).</w:t>
      </w:r>
    </w:p>
  </w:footnote>
  <w:footnote w:id="15">
    <w:p w:rsidR="00650F05" w:rsidP="00D20495" w14:paraId="1669F8CD" w14:textId="77777777">
      <w:pPr>
        <w:pStyle w:val="FootnoteText"/>
        <w:spacing w:after="120"/>
      </w:pPr>
      <w:r>
        <w:rPr>
          <w:rStyle w:val="FootnoteReference"/>
        </w:rPr>
        <w:footnoteRef/>
      </w:r>
      <w:r>
        <w:t xml:space="preserve"> Audit Report at 31 (Sept. 16, 2020).</w:t>
      </w:r>
    </w:p>
  </w:footnote>
  <w:footnote w:id="16">
    <w:p w:rsidR="00650F05" w:rsidRPr="00BA1E8A" w:rsidP="00D20495" w14:paraId="7A7A8A3D" w14:textId="77777777">
      <w:pPr>
        <w:pStyle w:val="FootnoteText"/>
        <w:spacing w:after="120"/>
      </w:pPr>
      <w:r>
        <w:rPr>
          <w:rStyle w:val="FootnoteReference"/>
        </w:rPr>
        <w:footnoteRef/>
      </w:r>
      <w:r>
        <w:t xml:space="preserve"> </w:t>
      </w:r>
      <w:r>
        <w:rPr>
          <w:i/>
          <w:iCs/>
        </w:rPr>
        <w:t>Id</w:t>
      </w:r>
      <w:r>
        <w:t xml:space="preserve">. at 21. </w:t>
      </w:r>
    </w:p>
  </w:footnote>
  <w:footnote w:id="17">
    <w:p w:rsidR="00650F05" w:rsidRPr="00BA1E8A" w:rsidP="00D20495" w14:paraId="4A164816" w14:textId="77777777">
      <w:pPr>
        <w:pStyle w:val="FootnoteText"/>
        <w:spacing w:after="120"/>
        <w:rPr>
          <w:i/>
          <w:iCs/>
        </w:rPr>
      </w:pPr>
      <w:r>
        <w:rPr>
          <w:rStyle w:val="FootnoteReference"/>
        </w:rPr>
        <w:footnoteRef/>
      </w:r>
      <w:r>
        <w:t xml:space="preserve"> </w:t>
      </w:r>
      <w:r>
        <w:rPr>
          <w:i/>
          <w:iCs/>
        </w:rPr>
        <w:t>Id.</w:t>
      </w:r>
    </w:p>
  </w:footnote>
  <w:footnote w:id="18">
    <w:p w:rsidR="00650F05" w:rsidP="00D20495" w14:paraId="2C00B81F" w14:textId="77777777">
      <w:pPr>
        <w:pStyle w:val="FootnoteText"/>
        <w:spacing w:after="120"/>
      </w:pPr>
      <w:r>
        <w:rPr>
          <w:rStyle w:val="FootnoteReference"/>
        </w:rPr>
        <w:footnoteRef/>
      </w:r>
      <w:r>
        <w:t xml:space="preserve"> </w:t>
      </w:r>
      <w:r>
        <w:rPr>
          <w:i/>
          <w:iCs/>
        </w:rPr>
        <w:t xml:space="preserve">In the Matter of the Review of the Reconciliation Rider of Duke Energy Ohio, Inc., </w:t>
      </w:r>
      <w:r>
        <w:t>Case No. 20-167-EL-RDR.  Testimony of John A. Seryak at 5 (Oct. 27, 2021).</w:t>
      </w:r>
    </w:p>
  </w:footnote>
  <w:footnote w:id="19">
    <w:p w:rsidR="00650F05" w:rsidP="00D20495" w14:paraId="32A44BDD" w14:textId="77777777">
      <w:pPr>
        <w:pStyle w:val="FootnoteText"/>
        <w:spacing w:after="120"/>
      </w:pPr>
      <w:r>
        <w:rPr>
          <w:rStyle w:val="FootnoteReference"/>
        </w:rPr>
        <w:footnoteRef/>
      </w:r>
      <w:r>
        <w:t xml:space="preserve"> </w:t>
      </w:r>
      <w:r>
        <w:rPr>
          <w:i/>
          <w:iCs/>
        </w:rPr>
        <w:t xml:space="preserve">In the Matter of the Review of the Reconciliation Rider of Duke Energy Ohio, Inc., </w:t>
      </w:r>
      <w:r>
        <w:t>Case No. 20-167-EL-RDR.  Testimony of Devi Glick at 17 (Oct. 26, 2021).</w:t>
      </w:r>
    </w:p>
  </w:footnote>
  <w:footnote w:id="20">
    <w:p w:rsidR="00650F05" w:rsidRPr="00D000A5" w:rsidP="00D20495" w14:paraId="63FF2584" w14:textId="77777777">
      <w:pPr>
        <w:pStyle w:val="FootnoteText"/>
        <w:spacing w:after="120"/>
      </w:pPr>
      <w:r>
        <w:rPr>
          <w:rStyle w:val="FootnoteReference"/>
        </w:rPr>
        <w:footnoteRef/>
      </w:r>
      <w:r>
        <w:t xml:space="preserve"> Runnerstone, LLC, </w:t>
      </w:r>
      <w:r>
        <w:rPr>
          <w:i/>
          <w:iCs/>
        </w:rPr>
        <w:t xml:space="preserve">Ohio’s Costly – and Worsening – OVEC Situation </w:t>
      </w:r>
      <w:r>
        <w:t>(Nov. 12, 2020).</w:t>
      </w:r>
    </w:p>
  </w:footnote>
  <w:footnote w:id="21">
    <w:p w:rsidR="00650F05" w:rsidRPr="00D000A5" w:rsidP="00D20495" w14:paraId="4E4F16B0" w14:textId="77777777">
      <w:pPr>
        <w:pStyle w:val="FootnoteText"/>
        <w:spacing w:after="120"/>
      </w:pPr>
      <w:r>
        <w:rPr>
          <w:rStyle w:val="FootnoteReference"/>
        </w:rPr>
        <w:footnoteRef/>
      </w:r>
      <w:r>
        <w:t xml:space="preserve"> Runerstone, LLC, </w:t>
      </w:r>
      <w:r>
        <w:rPr>
          <w:i/>
          <w:iCs/>
        </w:rPr>
        <w:t xml:space="preserve">While HB 6’s Remaining Provisions are Debated, Subsidies to Ohio Utilities Double to $150M Annually for Two Aged Coal Plants </w:t>
      </w:r>
      <w:r>
        <w:t>(Sept. 30, 2021).</w:t>
      </w:r>
    </w:p>
  </w:footnote>
  <w:footnote w:id="22">
    <w:p w:rsidR="00650F05" w:rsidRPr="00D20495" w:rsidP="00D20495" w14:paraId="7EFE129D" w14:textId="77777777">
      <w:pPr>
        <w:spacing w:after="120"/>
        <w:outlineLvl w:val="0"/>
        <w:rPr>
          <w:rFonts w:ascii="Times New Roman" w:hAnsi="Times New Roman" w:cs="Times New Roman"/>
          <w:sz w:val="20"/>
          <w:szCs w:val="20"/>
        </w:rPr>
      </w:pPr>
      <w:r w:rsidRPr="00D20495">
        <w:rPr>
          <w:rStyle w:val="FootnoteReference"/>
          <w:rFonts w:ascii="Times New Roman" w:hAnsi="Times New Roman" w:cs="Times New Roman"/>
          <w:sz w:val="20"/>
          <w:szCs w:val="20"/>
        </w:rPr>
        <w:footnoteRef/>
      </w:r>
      <w:r w:rsidRPr="00D20495">
        <w:rPr>
          <w:rFonts w:ascii="Times New Roman" w:hAnsi="Times New Roman" w:cs="Times New Roman"/>
          <w:sz w:val="20"/>
          <w:szCs w:val="20"/>
        </w:rPr>
        <w:t xml:space="preserve"> AEP News Release, </w:t>
      </w:r>
      <w:r w:rsidRPr="00D20495">
        <w:rPr>
          <w:rFonts w:ascii="Times New Roman" w:eastAsia="Times New Roman" w:hAnsi="Times New Roman" w:cs="Times New Roman"/>
          <w:bCs/>
          <w:i/>
          <w:iCs/>
          <w:kern w:val="36"/>
          <w:sz w:val="20"/>
          <w:szCs w:val="20"/>
        </w:rPr>
        <w:t>AEP CCR And ELG Compliance Plans Will Remove Additional 1,633 MW of Coal-fueled Generation from Company Fleet</w:t>
      </w:r>
      <w:r w:rsidRPr="00D20495">
        <w:rPr>
          <w:rFonts w:ascii="Times New Roman" w:eastAsia="Times New Roman" w:hAnsi="Times New Roman" w:cs="Times New Roman"/>
          <w:b/>
          <w:kern w:val="36"/>
          <w:sz w:val="20"/>
          <w:szCs w:val="20"/>
        </w:rPr>
        <w:t xml:space="preserve"> </w:t>
      </w:r>
      <w:r w:rsidRPr="00D20495">
        <w:rPr>
          <w:rFonts w:ascii="Times New Roman" w:eastAsia="Times New Roman" w:hAnsi="Times New Roman" w:cs="Times New Roman"/>
          <w:bCs/>
          <w:kern w:val="36"/>
          <w:sz w:val="20"/>
          <w:szCs w:val="20"/>
        </w:rPr>
        <w:t>(Nov. 5, 2020).</w:t>
      </w:r>
    </w:p>
  </w:footnote>
  <w:footnote w:id="23">
    <w:p w:rsidR="00650F05" w:rsidRPr="00F15655" w14:paraId="213DE31C" w14:textId="5C932F6F">
      <w:pPr>
        <w:pStyle w:val="FootnoteText"/>
      </w:pPr>
      <w:r>
        <w:rPr>
          <w:rStyle w:val="FootnoteReference"/>
        </w:rPr>
        <w:footnoteRef/>
      </w:r>
      <w:r>
        <w:t xml:space="preserve"> </w:t>
      </w:r>
      <w:r w:rsidRPr="00440A70">
        <w:rPr>
          <w:i/>
          <w:iCs/>
        </w:rPr>
        <w:t xml:space="preserve">In the Matter of the Application of Indiana Michigan Power Company for Approval to Implement a Power Supply </w:t>
      </w:r>
      <w:r w:rsidRPr="00440A70">
        <w:rPr>
          <w:i/>
          <w:iCs/>
        </w:rPr>
        <w:br/>
        <w:t>Cost Recovery Plan for the Twelve Months Ending December 31, 2021</w:t>
      </w:r>
      <w:r w:rsidRPr="00440A70">
        <w:t xml:space="preserve">, Case No. U-20804, Order at 20 (Mich. Pub. </w:t>
      </w:r>
      <w:r w:rsidRPr="00F15655">
        <w:br/>
      </w:r>
      <w:r w:rsidRPr="00440A70">
        <w:t>Serv. Comm.) (Nov. 18, 2021).</w:t>
      </w:r>
    </w:p>
  </w:footnote>
  <w:footnote w:id="24">
    <w:p w:rsidR="00650F05" w:rsidRPr="00D20495" w:rsidP="00D20495" w14:paraId="25D084BA" w14:textId="77777777">
      <w:pPr>
        <w:pStyle w:val="FootnoteText"/>
        <w:spacing w:after="120"/>
      </w:pPr>
      <w:r w:rsidRPr="00D20495">
        <w:rPr>
          <w:rStyle w:val="FootnoteReference"/>
        </w:rPr>
        <w:footnoteRef/>
      </w:r>
      <w:r w:rsidRPr="00D20495">
        <w:t xml:space="preserve"> </w:t>
      </w:r>
      <w:r w:rsidRPr="00D20495">
        <w:rPr>
          <w:i/>
          <w:iCs/>
        </w:rPr>
        <w:t>Id.</w:t>
      </w:r>
      <w:r w:rsidRPr="00D20495">
        <w:t>, Audit of the OVEC Power Purchase Agreement Rider of Ohio Power Company Prepared for Public Utilities Commission of Ohio at 44 (Sept. 16, 2020).</w:t>
      </w:r>
    </w:p>
  </w:footnote>
  <w:footnote w:id="25">
    <w:p w:rsidR="00650F05" w:rsidRPr="00D20495" w:rsidP="00D20495" w14:paraId="70B012F1" w14:textId="60399FD3">
      <w:pPr>
        <w:pStyle w:val="FootnoteText"/>
        <w:spacing w:after="120"/>
      </w:pPr>
      <w:r w:rsidRPr="00D20495">
        <w:rPr>
          <w:rStyle w:val="FootnoteReference"/>
        </w:rPr>
        <w:footnoteRef/>
      </w:r>
      <w:r w:rsidRPr="00D20495">
        <w:t xml:space="preserve"> NRDC Initial Comments at 1 (Nov. 12, 2021).</w:t>
      </w:r>
    </w:p>
  </w:footnote>
  <w:footnote w:id="26">
    <w:p w:rsidR="00650F05" w:rsidP="00D20495" w14:paraId="2B39A2F3" w14:textId="75A07C0A">
      <w:pPr>
        <w:pStyle w:val="FootnoteText"/>
        <w:spacing w:after="120"/>
      </w:pPr>
      <w:r>
        <w:rPr>
          <w:rStyle w:val="FootnoteReference"/>
        </w:rPr>
        <w:footnoteRef/>
      </w:r>
      <w:r>
        <w:t xml:space="preserve"> Kroger/OMAEG Initial Comments at 3-4 (Nov. 12, 2021).</w:t>
      </w:r>
    </w:p>
  </w:footnote>
  <w:footnote w:id="27">
    <w:p w:rsidR="00650F05" w:rsidP="00D20495" w14:paraId="10176DDB" w14:textId="0AE8C70A">
      <w:pPr>
        <w:pStyle w:val="FootnoteText"/>
        <w:spacing w:after="120"/>
      </w:pPr>
      <w:r>
        <w:rPr>
          <w:rStyle w:val="FootnoteReference"/>
        </w:rPr>
        <w:footnoteRef/>
      </w:r>
      <w:r>
        <w:t xml:space="preserve"> AEP Initial Comments at 4 (Nov. 12, 2020).</w:t>
      </w:r>
    </w:p>
  </w:footnote>
  <w:footnote w:id="28">
    <w:p w:rsidR="00650F05" w:rsidP="00D20495" w14:paraId="43541CC2" w14:textId="78116CF3">
      <w:pPr>
        <w:pStyle w:val="FootnoteText"/>
        <w:spacing w:after="120"/>
      </w:pPr>
      <w:r>
        <w:rPr>
          <w:rStyle w:val="FootnoteReference"/>
        </w:rPr>
        <w:footnoteRef/>
      </w:r>
      <w:r>
        <w:t xml:space="preserve"> </w:t>
      </w:r>
      <w:r w:rsidRPr="00363050">
        <w:rPr>
          <w:i/>
          <w:iCs/>
        </w:rPr>
        <w:t>In the Matter of the Application Seeking Approval of Ohio Power Company's Proposal to Enter into an Affiliate Po</w:t>
      </w:r>
      <w:r>
        <w:rPr>
          <w:i/>
          <w:iCs/>
        </w:rPr>
        <w:t>w</w:t>
      </w:r>
      <w:r w:rsidRPr="00363050">
        <w:rPr>
          <w:i/>
          <w:iCs/>
        </w:rPr>
        <w:t>er Purchase Agreement for Inclusion in the Power Purchase Agreement Rider</w:t>
      </w:r>
      <w:r>
        <w:rPr>
          <w:i/>
          <w:iCs/>
        </w:rPr>
        <w:t xml:space="preserve">, </w:t>
      </w:r>
      <w:r>
        <w:t>Case No. 14-1693-EL-RDR. Opinion and Order, Concurring Opinion of Commissioner M. Beth Trombold at 2 (Mar. 31, 2016)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05" w14:paraId="3D67619C" w14:textId="7777777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1106C0E"/>
    <w:multiLevelType w:val="hybridMultilevel"/>
    <w:tmpl w:val="D6263260"/>
    <w:lvl w:ilvl="0">
      <w:start w:val="614"/>
      <w:numFmt w:val="bullet"/>
      <w:lvlText w:val=""/>
      <w:lvlJc w:val="left"/>
      <w:pPr>
        <w:ind w:left="1800" w:hanging="360"/>
      </w:pPr>
      <w:rPr>
        <w:rFonts w:ascii="Symbol" w:hAnsi="Symbol" w:eastAsiaTheme="minorHAnsi" w:cs="Times New Roman" w:hint="default"/>
        <w:color w:val="00000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36BF7A74"/>
    <w:multiLevelType w:val="hybridMultilevel"/>
    <w:tmpl w:val="8E62D2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7F66276"/>
    <w:multiLevelType w:val="hybridMultilevel"/>
    <w:tmpl w:val="A538FCC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B3604E"/>
    <w:multiLevelType w:val="hybridMultilevel"/>
    <w:tmpl w:val="1BF28032"/>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0D623B"/>
    <w:multiLevelType w:val="hybridMultilevel"/>
    <w:tmpl w:val="E0D863BC"/>
    <w:lvl w:ilvl="0">
      <w:start w:val="1"/>
      <w:numFmt w:val="upperLetter"/>
      <w:pStyle w:val="Heading2"/>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CF3E88"/>
    <w:multiLevelType w:val="hybridMultilevel"/>
    <w:tmpl w:val="90BE30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17"/>
  </w:num>
  <w:num w:numId="3">
    <w:abstractNumId w:val="13"/>
  </w:num>
  <w:num w:numId="4">
    <w:abstractNumId w:val="4"/>
  </w:num>
  <w:num w:numId="5">
    <w:abstractNumId w:val="1"/>
  </w:num>
  <w:num w:numId="6">
    <w:abstractNumId w:val="18"/>
  </w:num>
  <w:num w:numId="7">
    <w:abstractNumId w:val="8"/>
  </w:num>
  <w:num w:numId="8">
    <w:abstractNumId w:val="10"/>
  </w:num>
  <w:num w:numId="9">
    <w:abstractNumId w:val="19"/>
  </w:num>
  <w:num w:numId="10">
    <w:abstractNumId w:val="0"/>
  </w:num>
  <w:num w:numId="11">
    <w:abstractNumId w:val="14"/>
  </w:num>
  <w:num w:numId="12">
    <w:abstractNumId w:val="16"/>
  </w:num>
  <w:num w:numId="13">
    <w:abstractNumId w:val="3"/>
  </w:num>
  <w:num w:numId="14">
    <w:abstractNumId w:val="7"/>
  </w:num>
  <w:num w:numId="15">
    <w:abstractNumId w:val="11"/>
  </w:num>
  <w:num w:numId="16">
    <w:abstractNumId w:val="5"/>
  </w:num>
  <w:num w:numId="17">
    <w:abstractNumId w:val="6"/>
  </w:num>
  <w:num w:numId="18">
    <w:abstractNumId w:val="12"/>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0"/>
    <w:rsid w:val="000006B6"/>
    <w:rsid w:val="000020B1"/>
    <w:rsid w:val="000031B5"/>
    <w:rsid w:val="00006BD0"/>
    <w:rsid w:val="0001388F"/>
    <w:rsid w:val="00013E08"/>
    <w:rsid w:val="00016E2E"/>
    <w:rsid w:val="00020C3E"/>
    <w:rsid w:val="00022727"/>
    <w:rsid w:val="0002313D"/>
    <w:rsid w:val="0002326F"/>
    <w:rsid w:val="00030BBD"/>
    <w:rsid w:val="00036B5D"/>
    <w:rsid w:val="00042C81"/>
    <w:rsid w:val="0004574A"/>
    <w:rsid w:val="00046E9D"/>
    <w:rsid w:val="000530FB"/>
    <w:rsid w:val="00060306"/>
    <w:rsid w:val="0006106D"/>
    <w:rsid w:val="00061B6B"/>
    <w:rsid w:val="00061F3F"/>
    <w:rsid w:val="00063D53"/>
    <w:rsid w:val="000706BE"/>
    <w:rsid w:val="000712FB"/>
    <w:rsid w:val="00084DF6"/>
    <w:rsid w:val="00086857"/>
    <w:rsid w:val="00087DA4"/>
    <w:rsid w:val="00092D60"/>
    <w:rsid w:val="00093715"/>
    <w:rsid w:val="00094EB4"/>
    <w:rsid w:val="000A0DED"/>
    <w:rsid w:val="000A1752"/>
    <w:rsid w:val="000A6538"/>
    <w:rsid w:val="000A76C7"/>
    <w:rsid w:val="000B36E1"/>
    <w:rsid w:val="000B589C"/>
    <w:rsid w:val="000B7004"/>
    <w:rsid w:val="000C188D"/>
    <w:rsid w:val="000C4535"/>
    <w:rsid w:val="000D531E"/>
    <w:rsid w:val="000E04F0"/>
    <w:rsid w:val="000E1412"/>
    <w:rsid w:val="000E5522"/>
    <w:rsid w:val="00100433"/>
    <w:rsid w:val="00100DD8"/>
    <w:rsid w:val="001028E5"/>
    <w:rsid w:val="001047C6"/>
    <w:rsid w:val="001060AE"/>
    <w:rsid w:val="0011225E"/>
    <w:rsid w:val="001159C3"/>
    <w:rsid w:val="0012162B"/>
    <w:rsid w:val="00130228"/>
    <w:rsid w:val="00130496"/>
    <w:rsid w:val="00131AC6"/>
    <w:rsid w:val="001331D5"/>
    <w:rsid w:val="00140B60"/>
    <w:rsid w:val="00140D48"/>
    <w:rsid w:val="00147831"/>
    <w:rsid w:val="0015570C"/>
    <w:rsid w:val="00156488"/>
    <w:rsid w:val="0016291E"/>
    <w:rsid w:val="00170F8E"/>
    <w:rsid w:val="00171C3E"/>
    <w:rsid w:val="0017384F"/>
    <w:rsid w:val="00177060"/>
    <w:rsid w:val="00180E16"/>
    <w:rsid w:val="00183619"/>
    <w:rsid w:val="0018795C"/>
    <w:rsid w:val="001928BF"/>
    <w:rsid w:val="001A38D0"/>
    <w:rsid w:val="001B1F6A"/>
    <w:rsid w:val="001B2970"/>
    <w:rsid w:val="001B2B66"/>
    <w:rsid w:val="001B687F"/>
    <w:rsid w:val="001D0026"/>
    <w:rsid w:val="001D0788"/>
    <w:rsid w:val="001D1EF1"/>
    <w:rsid w:val="001E3E9B"/>
    <w:rsid w:val="001E6EDA"/>
    <w:rsid w:val="001F1145"/>
    <w:rsid w:val="001F1FC3"/>
    <w:rsid w:val="001F3D48"/>
    <w:rsid w:val="001F5386"/>
    <w:rsid w:val="002018BE"/>
    <w:rsid w:val="002134F7"/>
    <w:rsid w:val="00217B93"/>
    <w:rsid w:val="002228B9"/>
    <w:rsid w:val="00223924"/>
    <w:rsid w:val="00224968"/>
    <w:rsid w:val="00227D70"/>
    <w:rsid w:val="002318E5"/>
    <w:rsid w:val="00232054"/>
    <w:rsid w:val="002340F6"/>
    <w:rsid w:val="00236E89"/>
    <w:rsid w:val="00237690"/>
    <w:rsid w:val="00242FD2"/>
    <w:rsid w:val="00244CA7"/>
    <w:rsid w:val="002457A3"/>
    <w:rsid w:val="0024619F"/>
    <w:rsid w:val="00246BC6"/>
    <w:rsid w:val="00257EC9"/>
    <w:rsid w:val="00262437"/>
    <w:rsid w:val="002627E4"/>
    <w:rsid w:val="00271CA4"/>
    <w:rsid w:val="00274842"/>
    <w:rsid w:val="00275D50"/>
    <w:rsid w:val="002760AC"/>
    <w:rsid w:val="0028233E"/>
    <w:rsid w:val="00282BEC"/>
    <w:rsid w:val="00287525"/>
    <w:rsid w:val="00290840"/>
    <w:rsid w:val="0029357A"/>
    <w:rsid w:val="002A41F0"/>
    <w:rsid w:val="002A7DE4"/>
    <w:rsid w:val="002B1F1E"/>
    <w:rsid w:val="002B6BD7"/>
    <w:rsid w:val="002B7843"/>
    <w:rsid w:val="002C138E"/>
    <w:rsid w:val="002C2004"/>
    <w:rsid w:val="002C4963"/>
    <w:rsid w:val="002C4ECD"/>
    <w:rsid w:val="002D529D"/>
    <w:rsid w:val="002E23E1"/>
    <w:rsid w:val="002E2513"/>
    <w:rsid w:val="002E4C61"/>
    <w:rsid w:val="002F06CA"/>
    <w:rsid w:val="002F10F1"/>
    <w:rsid w:val="002F3157"/>
    <w:rsid w:val="002F4168"/>
    <w:rsid w:val="002F53F2"/>
    <w:rsid w:val="002F73E0"/>
    <w:rsid w:val="00300373"/>
    <w:rsid w:val="00304657"/>
    <w:rsid w:val="00305DEE"/>
    <w:rsid w:val="00306F96"/>
    <w:rsid w:val="00342348"/>
    <w:rsid w:val="00346D8D"/>
    <w:rsid w:val="00355D9B"/>
    <w:rsid w:val="00360421"/>
    <w:rsid w:val="00363050"/>
    <w:rsid w:val="00367187"/>
    <w:rsid w:val="00370161"/>
    <w:rsid w:val="0037326E"/>
    <w:rsid w:val="00374E05"/>
    <w:rsid w:val="00377672"/>
    <w:rsid w:val="00382D85"/>
    <w:rsid w:val="00390191"/>
    <w:rsid w:val="00390718"/>
    <w:rsid w:val="00392B27"/>
    <w:rsid w:val="003940D0"/>
    <w:rsid w:val="003975CA"/>
    <w:rsid w:val="003977CD"/>
    <w:rsid w:val="003A234B"/>
    <w:rsid w:val="003A3E4A"/>
    <w:rsid w:val="003A620C"/>
    <w:rsid w:val="003B22E2"/>
    <w:rsid w:val="003B5938"/>
    <w:rsid w:val="003C15D6"/>
    <w:rsid w:val="003D3424"/>
    <w:rsid w:val="003D3621"/>
    <w:rsid w:val="003D40DD"/>
    <w:rsid w:val="003D71EE"/>
    <w:rsid w:val="003F2DDD"/>
    <w:rsid w:val="003F7433"/>
    <w:rsid w:val="003F75C1"/>
    <w:rsid w:val="003F779B"/>
    <w:rsid w:val="00400296"/>
    <w:rsid w:val="0040077C"/>
    <w:rsid w:val="00404B04"/>
    <w:rsid w:val="004065F9"/>
    <w:rsid w:val="0041560D"/>
    <w:rsid w:val="00424F22"/>
    <w:rsid w:val="0042512D"/>
    <w:rsid w:val="0043189E"/>
    <w:rsid w:val="0043367E"/>
    <w:rsid w:val="00440A70"/>
    <w:rsid w:val="00440D0C"/>
    <w:rsid w:val="00442061"/>
    <w:rsid w:val="004441CC"/>
    <w:rsid w:val="0044524D"/>
    <w:rsid w:val="00450261"/>
    <w:rsid w:val="004547F8"/>
    <w:rsid w:val="0046406A"/>
    <w:rsid w:val="0046677E"/>
    <w:rsid w:val="00466D7E"/>
    <w:rsid w:val="00466DAD"/>
    <w:rsid w:val="0046710B"/>
    <w:rsid w:val="0047399C"/>
    <w:rsid w:val="00482B36"/>
    <w:rsid w:val="00484C4B"/>
    <w:rsid w:val="00484E1B"/>
    <w:rsid w:val="00487AFA"/>
    <w:rsid w:val="00491294"/>
    <w:rsid w:val="0049196D"/>
    <w:rsid w:val="00492955"/>
    <w:rsid w:val="00494BFF"/>
    <w:rsid w:val="00496FA3"/>
    <w:rsid w:val="00497200"/>
    <w:rsid w:val="004A058D"/>
    <w:rsid w:val="004A1513"/>
    <w:rsid w:val="004B0E71"/>
    <w:rsid w:val="004B5FC7"/>
    <w:rsid w:val="004B730C"/>
    <w:rsid w:val="004C2859"/>
    <w:rsid w:val="004C3423"/>
    <w:rsid w:val="004C3EBD"/>
    <w:rsid w:val="004C6F66"/>
    <w:rsid w:val="004D346B"/>
    <w:rsid w:val="004D45B2"/>
    <w:rsid w:val="004D5CFC"/>
    <w:rsid w:val="004E2261"/>
    <w:rsid w:val="004E36D5"/>
    <w:rsid w:val="004E5303"/>
    <w:rsid w:val="004E708F"/>
    <w:rsid w:val="004F207C"/>
    <w:rsid w:val="004F243C"/>
    <w:rsid w:val="004F7CAF"/>
    <w:rsid w:val="0050199E"/>
    <w:rsid w:val="00501B37"/>
    <w:rsid w:val="005076AF"/>
    <w:rsid w:val="00515AB1"/>
    <w:rsid w:val="00520887"/>
    <w:rsid w:val="0052174C"/>
    <w:rsid w:val="00524130"/>
    <w:rsid w:val="005273AF"/>
    <w:rsid w:val="005313D5"/>
    <w:rsid w:val="00534F2B"/>
    <w:rsid w:val="00536C8A"/>
    <w:rsid w:val="00537020"/>
    <w:rsid w:val="00540E51"/>
    <w:rsid w:val="00540F43"/>
    <w:rsid w:val="00543857"/>
    <w:rsid w:val="0054448A"/>
    <w:rsid w:val="00544DB1"/>
    <w:rsid w:val="0054609C"/>
    <w:rsid w:val="00554170"/>
    <w:rsid w:val="00565310"/>
    <w:rsid w:val="005710C1"/>
    <w:rsid w:val="005732B2"/>
    <w:rsid w:val="005776CC"/>
    <w:rsid w:val="00580621"/>
    <w:rsid w:val="005817E4"/>
    <w:rsid w:val="0058507B"/>
    <w:rsid w:val="00586CAB"/>
    <w:rsid w:val="005909E6"/>
    <w:rsid w:val="00592911"/>
    <w:rsid w:val="005A6870"/>
    <w:rsid w:val="005A6E67"/>
    <w:rsid w:val="005B3330"/>
    <w:rsid w:val="005B3CE8"/>
    <w:rsid w:val="005C39AA"/>
    <w:rsid w:val="005C4F97"/>
    <w:rsid w:val="005D1728"/>
    <w:rsid w:val="005D2219"/>
    <w:rsid w:val="005E07D1"/>
    <w:rsid w:val="005E6EF5"/>
    <w:rsid w:val="005F065E"/>
    <w:rsid w:val="005F0A84"/>
    <w:rsid w:val="006025BB"/>
    <w:rsid w:val="00605F66"/>
    <w:rsid w:val="006079AF"/>
    <w:rsid w:val="00614CA2"/>
    <w:rsid w:val="0061608D"/>
    <w:rsid w:val="00621EFF"/>
    <w:rsid w:val="006229CB"/>
    <w:rsid w:val="006267FF"/>
    <w:rsid w:val="00633B05"/>
    <w:rsid w:val="00634879"/>
    <w:rsid w:val="00645B4B"/>
    <w:rsid w:val="00650F05"/>
    <w:rsid w:val="00662A6F"/>
    <w:rsid w:val="006646B0"/>
    <w:rsid w:val="006700F9"/>
    <w:rsid w:val="00675A65"/>
    <w:rsid w:val="00676E87"/>
    <w:rsid w:val="00685049"/>
    <w:rsid w:val="006852E0"/>
    <w:rsid w:val="00685B6B"/>
    <w:rsid w:val="00685DFC"/>
    <w:rsid w:val="0068781F"/>
    <w:rsid w:val="006956FD"/>
    <w:rsid w:val="006A49C9"/>
    <w:rsid w:val="006A73AD"/>
    <w:rsid w:val="006A7429"/>
    <w:rsid w:val="006B0651"/>
    <w:rsid w:val="006B0F0B"/>
    <w:rsid w:val="006B1AC9"/>
    <w:rsid w:val="006B77F2"/>
    <w:rsid w:val="006B7E28"/>
    <w:rsid w:val="006C0235"/>
    <w:rsid w:val="006C0287"/>
    <w:rsid w:val="006C1F8C"/>
    <w:rsid w:val="006C21FF"/>
    <w:rsid w:val="006C5955"/>
    <w:rsid w:val="006D00D2"/>
    <w:rsid w:val="006D3B6F"/>
    <w:rsid w:val="006D70A4"/>
    <w:rsid w:val="006E33BE"/>
    <w:rsid w:val="006E3A4B"/>
    <w:rsid w:val="006E765A"/>
    <w:rsid w:val="00705CB7"/>
    <w:rsid w:val="00706E73"/>
    <w:rsid w:val="00707222"/>
    <w:rsid w:val="007107D0"/>
    <w:rsid w:val="007255E9"/>
    <w:rsid w:val="00725B09"/>
    <w:rsid w:val="00730B1E"/>
    <w:rsid w:val="00731EB4"/>
    <w:rsid w:val="00736B2D"/>
    <w:rsid w:val="00740930"/>
    <w:rsid w:val="00745DA2"/>
    <w:rsid w:val="00747C76"/>
    <w:rsid w:val="00753316"/>
    <w:rsid w:val="007544DC"/>
    <w:rsid w:val="00754A6B"/>
    <w:rsid w:val="00760D27"/>
    <w:rsid w:val="00761DE3"/>
    <w:rsid w:val="0076690F"/>
    <w:rsid w:val="00766CD4"/>
    <w:rsid w:val="00770242"/>
    <w:rsid w:val="0077174C"/>
    <w:rsid w:val="007804DA"/>
    <w:rsid w:val="0078198C"/>
    <w:rsid w:val="00792991"/>
    <w:rsid w:val="00794636"/>
    <w:rsid w:val="007974A9"/>
    <w:rsid w:val="007A0A47"/>
    <w:rsid w:val="007A45A2"/>
    <w:rsid w:val="007B0889"/>
    <w:rsid w:val="007B4C3D"/>
    <w:rsid w:val="007B56F0"/>
    <w:rsid w:val="007B613F"/>
    <w:rsid w:val="007B7C87"/>
    <w:rsid w:val="007C1EEE"/>
    <w:rsid w:val="007C2711"/>
    <w:rsid w:val="007C65C2"/>
    <w:rsid w:val="007D349E"/>
    <w:rsid w:val="007D6750"/>
    <w:rsid w:val="007E0640"/>
    <w:rsid w:val="007E0D4E"/>
    <w:rsid w:val="007E1831"/>
    <w:rsid w:val="007E4952"/>
    <w:rsid w:val="007E4979"/>
    <w:rsid w:val="007E62C1"/>
    <w:rsid w:val="007E7D6A"/>
    <w:rsid w:val="007F23A8"/>
    <w:rsid w:val="007F35A7"/>
    <w:rsid w:val="00801425"/>
    <w:rsid w:val="00801775"/>
    <w:rsid w:val="00806289"/>
    <w:rsid w:val="0080705C"/>
    <w:rsid w:val="00812BD4"/>
    <w:rsid w:val="00814C04"/>
    <w:rsid w:val="0081561C"/>
    <w:rsid w:val="00833093"/>
    <w:rsid w:val="008356CD"/>
    <w:rsid w:val="0084089C"/>
    <w:rsid w:val="00841E5F"/>
    <w:rsid w:val="00841FAA"/>
    <w:rsid w:val="008479F9"/>
    <w:rsid w:val="00850664"/>
    <w:rsid w:val="00850D8B"/>
    <w:rsid w:val="00856931"/>
    <w:rsid w:val="008663AC"/>
    <w:rsid w:val="00866A77"/>
    <w:rsid w:val="00867BC9"/>
    <w:rsid w:val="00871C9B"/>
    <w:rsid w:val="008722F7"/>
    <w:rsid w:val="0087338F"/>
    <w:rsid w:val="0087556E"/>
    <w:rsid w:val="00880EA8"/>
    <w:rsid w:val="00882A96"/>
    <w:rsid w:val="008852C2"/>
    <w:rsid w:val="008856AF"/>
    <w:rsid w:val="00896B82"/>
    <w:rsid w:val="008A432F"/>
    <w:rsid w:val="008B78BB"/>
    <w:rsid w:val="008C2027"/>
    <w:rsid w:val="008C39E9"/>
    <w:rsid w:val="008C455E"/>
    <w:rsid w:val="008C4DE2"/>
    <w:rsid w:val="008D3280"/>
    <w:rsid w:val="008D3F54"/>
    <w:rsid w:val="008D5249"/>
    <w:rsid w:val="008E0305"/>
    <w:rsid w:val="008E0BA5"/>
    <w:rsid w:val="008E7B1D"/>
    <w:rsid w:val="008F01FE"/>
    <w:rsid w:val="008F083A"/>
    <w:rsid w:val="008F3C4D"/>
    <w:rsid w:val="00904A15"/>
    <w:rsid w:val="00905A68"/>
    <w:rsid w:val="009070DA"/>
    <w:rsid w:val="009134B2"/>
    <w:rsid w:val="0091354B"/>
    <w:rsid w:val="009163FF"/>
    <w:rsid w:val="00920C4D"/>
    <w:rsid w:val="00925B68"/>
    <w:rsid w:val="00927F89"/>
    <w:rsid w:val="00934171"/>
    <w:rsid w:val="009342DA"/>
    <w:rsid w:val="00946D73"/>
    <w:rsid w:val="009624CE"/>
    <w:rsid w:val="009671E8"/>
    <w:rsid w:val="009721E9"/>
    <w:rsid w:val="0097331E"/>
    <w:rsid w:val="00973328"/>
    <w:rsid w:val="00974C46"/>
    <w:rsid w:val="00974E6D"/>
    <w:rsid w:val="009767C7"/>
    <w:rsid w:val="00977DB5"/>
    <w:rsid w:val="00981F1F"/>
    <w:rsid w:val="00984D2E"/>
    <w:rsid w:val="00987EAF"/>
    <w:rsid w:val="009917E7"/>
    <w:rsid w:val="00994CE4"/>
    <w:rsid w:val="009C0954"/>
    <w:rsid w:val="009C44C3"/>
    <w:rsid w:val="009D59AF"/>
    <w:rsid w:val="009D7C85"/>
    <w:rsid w:val="009E21C6"/>
    <w:rsid w:val="009F2191"/>
    <w:rsid w:val="009F3762"/>
    <w:rsid w:val="00A02475"/>
    <w:rsid w:val="00A0743B"/>
    <w:rsid w:val="00A14378"/>
    <w:rsid w:val="00A15EBD"/>
    <w:rsid w:val="00A20897"/>
    <w:rsid w:val="00A208C6"/>
    <w:rsid w:val="00A21A51"/>
    <w:rsid w:val="00A22FD0"/>
    <w:rsid w:val="00A25503"/>
    <w:rsid w:val="00A26CFA"/>
    <w:rsid w:val="00A352A5"/>
    <w:rsid w:val="00A3549D"/>
    <w:rsid w:val="00A42D89"/>
    <w:rsid w:val="00A45316"/>
    <w:rsid w:val="00A46CCA"/>
    <w:rsid w:val="00A51CE1"/>
    <w:rsid w:val="00A56202"/>
    <w:rsid w:val="00A60608"/>
    <w:rsid w:val="00A61D58"/>
    <w:rsid w:val="00A6510D"/>
    <w:rsid w:val="00A71696"/>
    <w:rsid w:val="00A80A7B"/>
    <w:rsid w:val="00A82D84"/>
    <w:rsid w:val="00A8375F"/>
    <w:rsid w:val="00A94226"/>
    <w:rsid w:val="00AA023A"/>
    <w:rsid w:val="00AA3CA2"/>
    <w:rsid w:val="00AA5B96"/>
    <w:rsid w:val="00AB0E15"/>
    <w:rsid w:val="00AB1964"/>
    <w:rsid w:val="00AB4042"/>
    <w:rsid w:val="00AC1765"/>
    <w:rsid w:val="00AC40CC"/>
    <w:rsid w:val="00AD6075"/>
    <w:rsid w:val="00AE109A"/>
    <w:rsid w:val="00AE3DA5"/>
    <w:rsid w:val="00AF17F8"/>
    <w:rsid w:val="00AF1CC9"/>
    <w:rsid w:val="00AF3155"/>
    <w:rsid w:val="00AF6D52"/>
    <w:rsid w:val="00B016D2"/>
    <w:rsid w:val="00B0193F"/>
    <w:rsid w:val="00B02B6F"/>
    <w:rsid w:val="00B031C7"/>
    <w:rsid w:val="00B040D2"/>
    <w:rsid w:val="00B0436C"/>
    <w:rsid w:val="00B066EB"/>
    <w:rsid w:val="00B12C69"/>
    <w:rsid w:val="00B13090"/>
    <w:rsid w:val="00B13273"/>
    <w:rsid w:val="00B16D5C"/>
    <w:rsid w:val="00B17C08"/>
    <w:rsid w:val="00B20BFE"/>
    <w:rsid w:val="00B216AC"/>
    <w:rsid w:val="00B24704"/>
    <w:rsid w:val="00B26914"/>
    <w:rsid w:val="00B30E87"/>
    <w:rsid w:val="00B33A3C"/>
    <w:rsid w:val="00B3467E"/>
    <w:rsid w:val="00B356FB"/>
    <w:rsid w:val="00B4192B"/>
    <w:rsid w:val="00B41E4A"/>
    <w:rsid w:val="00B43571"/>
    <w:rsid w:val="00B45D06"/>
    <w:rsid w:val="00B4710B"/>
    <w:rsid w:val="00B522A9"/>
    <w:rsid w:val="00B522FC"/>
    <w:rsid w:val="00B52C13"/>
    <w:rsid w:val="00B54335"/>
    <w:rsid w:val="00B5470B"/>
    <w:rsid w:val="00B55123"/>
    <w:rsid w:val="00B74C28"/>
    <w:rsid w:val="00B83104"/>
    <w:rsid w:val="00B8334F"/>
    <w:rsid w:val="00B854FB"/>
    <w:rsid w:val="00B93912"/>
    <w:rsid w:val="00B95357"/>
    <w:rsid w:val="00B97CAF"/>
    <w:rsid w:val="00BA02EB"/>
    <w:rsid w:val="00BA1E8A"/>
    <w:rsid w:val="00BA264E"/>
    <w:rsid w:val="00BA2C7C"/>
    <w:rsid w:val="00BA30F5"/>
    <w:rsid w:val="00BA3121"/>
    <w:rsid w:val="00BB1639"/>
    <w:rsid w:val="00BB3F17"/>
    <w:rsid w:val="00BB4000"/>
    <w:rsid w:val="00BB4867"/>
    <w:rsid w:val="00BB6C31"/>
    <w:rsid w:val="00BB730D"/>
    <w:rsid w:val="00BC058E"/>
    <w:rsid w:val="00BC1E56"/>
    <w:rsid w:val="00BD0C11"/>
    <w:rsid w:val="00BD78A7"/>
    <w:rsid w:val="00BE622C"/>
    <w:rsid w:val="00BF0BFC"/>
    <w:rsid w:val="00C070B8"/>
    <w:rsid w:val="00C1393B"/>
    <w:rsid w:val="00C16847"/>
    <w:rsid w:val="00C23C23"/>
    <w:rsid w:val="00C267F9"/>
    <w:rsid w:val="00C31100"/>
    <w:rsid w:val="00C33526"/>
    <w:rsid w:val="00C34832"/>
    <w:rsid w:val="00C401BF"/>
    <w:rsid w:val="00C44815"/>
    <w:rsid w:val="00C455FF"/>
    <w:rsid w:val="00C46A20"/>
    <w:rsid w:val="00C47DBA"/>
    <w:rsid w:val="00C51F27"/>
    <w:rsid w:val="00C53A22"/>
    <w:rsid w:val="00C53C04"/>
    <w:rsid w:val="00C572DF"/>
    <w:rsid w:val="00C57F47"/>
    <w:rsid w:val="00C6249A"/>
    <w:rsid w:val="00C6303E"/>
    <w:rsid w:val="00C63A51"/>
    <w:rsid w:val="00C721D8"/>
    <w:rsid w:val="00C757D5"/>
    <w:rsid w:val="00C82ADC"/>
    <w:rsid w:val="00C84612"/>
    <w:rsid w:val="00C87E11"/>
    <w:rsid w:val="00CA7FCD"/>
    <w:rsid w:val="00CB2EBD"/>
    <w:rsid w:val="00CB3847"/>
    <w:rsid w:val="00CB7A47"/>
    <w:rsid w:val="00CC0A00"/>
    <w:rsid w:val="00CC1982"/>
    <w:rsid w:val="00CC2AFA"/>
    <w:rsid w:val="00CC6D8C"/>
    <w:rsid w:val="00CD0002"/>
    <w:rsid w:val="00CD4E25"/>
    <w:rsid w:val="00CE46AA"/>
    <w:rsid w:val="00CE5A89"/>
    <w:rsid w:val="00CE7843"/>
    <w:rsid w:val="00CF1C5B"/>
    <w:rsid w:val="00D000A5"/>
    <w:rsid w:val="00D00E88"/>
    <w:rsid w:val="00D020C8"/>
    <w:rsid w:val="00D0732E"/>
    <w:rsid w:val="00D1046E"/>
    <w:rsid w:val="00D12F7B"/>
    <w:rsid w:val="00D20495"/>
    <w:rsid w:val="00D23B5D"/>
    <w:rsid w:val="00D24C5C"/>
    <w:rsid w:val="00D33A45"/>
    <w:rsid w:val="00D33B67"/>
    <w:rsid w:val="00D40418"/>
    <w:rsid w:val="00D46441"/>
    <w:rsid w:val="00D52DD4"/>
    <w:rsid w:val="00D56CA1"/>
    <w:rsid w:val="00D637D0"/>
    <w:rsid w:val="00D64851"/>
    <w:rsid w:val="00D65020"/>
    <w:rsid w:val="00D65CD6"/>
    <w:rsid w:val="00D67865"/>
    <w:rsid w:val="00D67CCB"/>
    <w:rsid w:val="00D67EDC"/>
    <w:rsid w:val="00D71774"/>
    <w:rsid w:val="00D75F81"/>
    <w:rsid w:val="00D770A7"/>
    <w:rsid w:val="00D824DD"/>
    <w:rsid w:val="00D83443"/>
    <w:rsid w:val="00D901C2"/>
    <w:rsid w:val="00D903EB"/>
    <w:rsid w:val="00D950C4"/>
    <w:rsid w:val="00D97BCE"/>
    <w:rsid w:val="00DA1E3E"/>
    <w:rsid w:val="00DA24A1"/>
    <w:rsid w:val="00DA2C59"/>
    <w:rsid w:val="00DB02AE"/>
    <w:rsid w:val="00DB2665"/>
    <w:rsid w:val="00DB7E8D"/>
    <w:rsid w:val="00DC3C92"/>
    <w:rsid w:val="00DD15A7"/>
    <w:rsid w:val="00DD5A4B"/>
    <w:rsid w:val="00DE5EA5"/>
    <w:rsid w:val="00DE63E9"/>
    <w:rsid w:val="00DF540F"/>
    <w:rsid w:val="00DF6229"/>
    <w:rsid w:val="00E0462E"/>
    <w:rsid w:val="00E1003A"/>
    <w:rsid w:val="00E14F7A"/>
    <w:rsid w:val="00E14FAC"/>
    <w:rsid w:val="00E16DF4"/>
    <w:rsid w:val="00E17C81"/>
    <w:rsid w:val="00E17FB0"/>
    <w:rsid w:val="00E20D2A"/>
    <w:rsid w:val="00E21C8D"/>
    <w:rsid w:val="00E243C3"/>
    <w:rsid w:val="00E24676"/>
    <w:rsid w:val="00E34345"/>
    <w:rsid w:val="00E3740C"/>
    <w:rsid w:val="00E37E53"/>
    <w:rsid w:val="00E40B9F"/>
    <w:rsid w:val="00E41E02"/>
    <w:rsid w:val="00E42041"/>
    <w:rsid w:val="00E42537"/>
    <w:rsid w:val="00E50254"/>
    <w:rsid w:val="00E64B30"/>
    <w:rsid w:val="00E660A0"/>
    <w:rsid w:val="00E66D9A"/>
    <w:rsid w:val="00E75F95"/>
    <w:rsid w:val="00E76070"/>
    <w:rsid w:val="00E80DA4"/>
    <w:rsid w:val="00E8106C"/>
    <w:rsid w:val="00E87847"/>
    <w:rsid w:val="00E90583"/>
    <w:rsid w:val="00EA2109"/>
    <w:rsid w:val="00EA225E"/>
    <w:rsid w:val="00EB0B32"/>
    <w:rsid w:val="00EB2590"/>
    <w:rsid w:val="00EB6239"/>
    <w:rsid w:val="00EC2F32"/>
    <w:rsid w:val="00EC3185"/>
    <w:rsid w:val="00EC673F"/>
    <w:rsid w:val="00EC7C07"/>
    <w:rsid w:val="00ED2699"/>
    <w:rsid w:val="00ED3FC8"/>
    <w:rsid w:val="00ED4456"/>
    <w:rsid w:val="00EE1D34"/>
    <w:rsid w:val="00EE46FE"/>
    <w:rsid w:val="00EE5286"/>
    <w:rsid w:val="00F02FAC"/>
    <w:rsid w:val="00F02FF0"/>
    <w:rsid w:val="00F043DF"/>
    <w:rsid w:val="00F05D56"/>
    <w:rsid w:val="00F15655"/>
    <w:rsid w:val="00F228D1"/>
    <w:rsid w:val="00F2298F"/>
    <w:rsid w:val="00F24A78"/>
    <w:rsid w:val="00F24B10"/>
    <w:rsid w:val="00F25C77"/>
    <w:rsid w:val="00F3084F"/>
    <w:rsid w:val="00F30982"/>
    <w:rsid w:val="00F30DA3"/>
    <w:rsid w:val="00F325F6"/>
    <w:rsid w:val="00F375A9"/>
    <w:rsid w:val="00F44705"/>
    <w:rsid w:val="00F52782"/>
    <w:rsid w:val="00F531D5"/>
    <w:rsid w:val="00F62D95"/>
    <w:rsid w:val="00F63246"/>
    <w:rsid w:val="00F77B54"/>
    <w:rsid w:val="00F81588"/>
    <w:rsid w:val="00F821C1"/>
    <w:rsid w:val="00F8253A"/>
    <w:rsid w:val="00F92403"/>
    <w:rsid w:val="00F93A0D"/>
    <w:rsid w:val="00FA0D71"/>
    <w:rsid w:val="00FA0EA5"/>
    <w:rsid w:val="00FA4344"/>
    <w:rsid w:val="00FA4A82"/>
    <w:rsid w:val="00FA602C"/>
    <w:rsid w:val="00FA6997"/>
    <w:rsid w:val="00FB1600"/>
    <w:rsid w:val="00FB4292"/>
    <w:rsid w:val="00FB699B"/>
    <w:rsid w:val="00FC1B93"/>
    <w:rsid w:val="00FD01F0"/>
    <w:rsid w:val="00FD0D70"/>
    <w:rsid w:val="00FD46E3"/>
    <w:rsid w:val="00FE1875"/>
    <w:rsid w:val="00FE49AF"/>
    <w:rsid w:val="00FE584A"/>
    <w:rsid w:val="00FE684A"/>
    <w:rsid w:val="00FF5B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40"/>
  </w:style>
  <w:style w:type="paragraph" w:styleId="Heading1">
    <w:name w:val="heading 1"/>
    <w:basedOn w:val="Normal"/>
    <w:autoRedefine/>
    <w:uiPriority w:val="9"/>
    <w:qFormat/>
    <w:rsid w:val="00CE5A89"/>
    <w:pPr>
      <w:spacing w:after="240"/>
      <w:ind w:left="720" w:hanging="720"/>
      <w:outlineLvl w:val="0"/>
    </w:pPr>
    <w:rPr>
      <w:rFonts w:ascii="Times New Roman Bold" w:eastAsia="Times New Roman" w:hAnsi="Times New Roman Bold"/>
      <w:b/>
      <w:bCs/>
      <w:caps/>
      <w:sz w:val="24"/>
      <w:szCs w:val="25"/>
    </w:rPr>
  </w:style>
  <w:style w:type="paragraph" w:styleId="Heading2">
    <w:name w:val="heading 2"/>
    <w:basedOn w:val="Normal"/>
    <w:autoRedefine/>
    <w:uiPriority w:val="9"/>
    <w:unhideWhenUsed/>
    <w:qFormat/>
    <w:rsid w:val="00C53C04"/>
    <w:pPr>
      <w:widowControl/>
      <w:numPr>
        <w:numId w:val="18"/>
      </w:numPr>
      <w:autoSpaceDE w:val="0"/>
      <w:autoSpaceDN w:val="0"/>
      <w:adjustRightInd w:val="0"/>
      <w:spacing w:after="240"/>
      <w:ind w:left="1440" w:hanging="720"/>
      <w:outlineLvl w:val="1"/>
    </w:pPr>
    <w:rPr>
      <w:rFonts w:ascii="Times New Roman Bold" w:eastAsia="Times New Roman" w:hAnsi="Times New Roman Bold"/>
      <w:b/>
      <w:sz w:val="24"/>
      <w:szCs w:val="24"/>
    </w:rPr>
  </w:style>
  <w:style w:type="paragraph" w:styleId="Heading3">
    <w:name w:val="heading 3"/>
    <w:basedOn w:val="Normal"/>
    <w:next w:val="Normal"/>
    <w:link w:val="Heading3Char"/>
    <w:autoRedefine/>
    <w:uiPriority w:val="9"/>
    <w:unhideWhenUsed/>
    <w:qFormat/>
    <w:rsid w:val="00306F96"/>
    <w:pPr>
      <w:keepNext/>
      <w:keepLines/>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F"/>
    <w:rPr>
      <w:rFonts w:ascii="Segoe UI" w:hAnsi="Segoe UI" w:cs="Segoe UI"/>
      <w:sz w:val="18"/>
      <w:szCs w:val="18"/>
    </w:rPr>
  </w:style>
  <w:style w:type="character" w:styleId="CommentReference">
    <w:name w:val="annotation reference"/>
    <w:basedOn w:val="DefaultParagraphFont"/>
    <w:uiPriority w:val="99"/>
    <w:semiHidden/>
    <w:unhideWhenUsed/>
    <w:rsid w:val="00DF540F"/>
    <w:rPr>
      <w:sz w:val="16"/>
      <w:szCs w:val="16"/>
    </w:rPr>
  </w:style>
  <w:style w:type="paragraph" w:styleId="CommentText">
    <w:name w:val="annotation text"/>
    <w:basedOn w:val="Normal"/>
    <w:link w:val="CommentTextChar"/>
    <w:unhideWhenUsed/>
    <w:rsid w:val="00DF540F"/>
    <w:rPr>
      <w:sz w:val="20"/>
      <w:szCs w:val="20"/>
    </w:rPr>
  </w:style>
  <w:style w:type="character" w:customStyle="1" w:styleId="CommentTextChar">
    <w:name w:val="Comment Text Char"/>
    <w:basedOn w:val="DefaultParagraphFont"/>
    <w:link w:val="CommentText"/>
    <w:rsid w:val="00DF540F"/>
    <w:rPr>
      <w:sz w:val="20"/>
      <w:szCs w:val="20"/>
    </w:rPr>
  </w:style>
  <w:style w:type="paragraph" w:styleId="CommentSubject">
    <w:name w:val="annotation subject"/>
    <w:basedOn w:val="CommentText"/>
    <w:next w:val="CommentText"/>
    <w:link w:val="CommentSubjectChar"/>
    <w:uiPriority w:val="99"/>
    <w:semiHidden/>
    <w:unhideWhenUsed/>
    <w:rsid w:val="00DF540F"/>
    <w:rPr>
      <w:b/>
      <w:bCs/>
    </w:rPr>
  </w:style>
  <w:style w:type="character" w:customStyle="1" w:styleId="CommentSubjectChar">
    <w:name w:val="Comment Subject Char"/>
    <w:basedOn w:val="CommentTextChar"/>
    <w:link w:val="CommentSubject"/>
    <w:uiPriority w:val="99"/>
    <w:semiHidden/>
    <w:rsid w:val="00DF540F"/>
    <w:rPr>
      <w:b/>
      <w:bCs/>
      <w:sz w:val="20"/>
      <w:szCs w:val="20"/>
    </w:rPr>
  </w:style>
  <w:style w:type="paragraph" w:styleId="BodyTextIndent3">
    <w:name w:val="Body Text Indent 3"/>
    <w:basedOn w:val="Normal"/>
    <w:link w:val="BodyTextIndent3Char"/>
    <w:uiPriority w:val="99"/>
    <w:unhideWhenUsed/>
    <w:rsid w:val="00DF540F"/>
    <w:pPr>
      <w:spacing w:after="120"/>
      <w:ind w:left="360"/>
    </w:pPr>
    <w:rPr>
      <w:sz w:val="16"/>
      <w:szCs w:val="16"/>
    </w:rPr>
  </w:style>
  <w:style w:type="character" w:customStyle="1" w:styleId="BodyTextIndent3Char">
    <w:name w:val="Body Text Indent 3 Char"/>
    <w:basedOn w:val="DefaultParagraphFont"/>
    <w:link w:val="BodyTextIndent3"/>
    <w:uiPriority w:val="99"/>
    <w:rsid w:val="00DF540F"/>
    <w:rPr>
      <w:sz w:val="16"/>
      <w:szCs w:val="16"/>
    </w:rPr>
  </w:style>
  <w:style w:type="character" w:styleId="Hyperlink">
    <w:name w:val="Hyperlink"/>
    <w:uiPriority w:val="99"/>
    <w:rsid w:val="00DF540F"/>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sid w:val="00DF540F"/>
    <w:pPr>
      <w:widowControl/>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F540F"/>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sid w:val="00DF540F"/>
    <w:rPr>
      <w:vertAlign w:val="superscript"/>
    </w:rPr>
  </w:style>
  <w:style w:type="paragraph" w:styleId="HTMLPreformatted">
    <w:name w:val="HTML Preformatted"/>
    <w:aliases w:val=" Char,Char"/>
    <w:basedOn w:val="Normal"/>
    <w:link w:val="HTMLPreformattedChar"/>
    <w:rsid w:val="00406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065F9"/>
    <w:rPr>
      <w:rFonts w:ascii="Courier New" w:eastAsia="Courier New" w:hAnsi="Courier New" w:cs="Courier New"/>
      <w:sz w:val="20"/>
      <w:szCs w:val="20"/>
    </w:rPr>
  </w:style>
  <w:style w:type="paragraph" w:styleId="Header">
    <w:name w:val="header"/>
    <w:basedOn w:val="Normal"/>
    <w:link w:val="HeaderChar"/>
    <w:uiPriority w:val="99"/>
    <w:unhideWhenUsed/>
    <w:rsid w:val="004065F9"/>
    <w:pPr>
      <w:tabs>
        <w:tab w:val="center" w:pos="4680"/>
        <w:tab w:val="right" w:pos="9360"/>
      </w:tabs>
    </w:pPr>
  </w:style>
  <w:style w:type="character" w:customStyle="1" w:styleId="HeaderChar">
    <w:name w:val="Header Char"/>
    <w:basedOn w:val="DefaultParagraphFont"/>
    <w:link w:val="Header"/>
    <w:uiPriority w:val="99"/>
    <w:rsid w:val="004065F9"/>
  </w:style>
  <w:style w:type="paragraph" w:styleId="Footer">
    <w:name w:val="footer"/>
    <w:basedOn w:val="Normal"/>
    <w:link w:val="FooterChar"/>
    <w:uiPriority w:val="99"/>
    <w:unhideWhenUsed/>
    <w:rsid w:val="004065F9"/>
    <w:pPr>
      <w:tabs>
        <w:tab w:val="center" w:pos="4680"/>
        <w:tab w:val="right" w:pos="9360"/>
      </w:tabs>
    </w:pPr>
  </w:style>
  <w:style w:type="character" w:customStyle="1" w:styleId="FooterChar">
    <w:name w:val="Footer Char"/>
    <w:basedOn w:val="DefaultParagraphFont"/>
    <w:link w:val="Footer"/>
    <w:uiPriority w:val="99"/>
    <w:rsid w:val="004065F9"/>
  </w:style>
  <w:style w:type="paragraph" w:styleId="BodyTextIndent">
    <w:name w:val="Body Text Indent"/>
    <w:basedOn w:val="Normal"/>
    <w:link w:val="BodyTextIndentChar"/>
    <w:uiPriority w:val="99"/>
    <w:semiHidden/>
    <w:unhideWhenUsed/>
    <w:rsid w:val="00E34345"/>
    <w:pPr>
      <w:spacing w:after="120"/>
      <w:ind w:left="360"/>
    </w:pPr>
  </w:style>
  <w:style w:type="character" w:customStyle="1" w:styleId="BodyTextIndentChar">
    <w:name w:val="Body Text Indent Char"/>
    <w:basedOn w:val="DefaultParagraphFont"/>
    <w:link w:val="BodyTextIndent"/>
    <w:uiPriority w:val="99"/>
    <w:semiHidden/>
    <w:rsid w:val="00E34345"/>
  </w:style>
  <w:style w:type="paragraph" w:styleId="EndnoteText">
    <w:name w:val="endnote text"/>
    <w:basedOn w:val="Normal"/>
    <w:link w:val="EndnoteTextChar"/>
    <w:semiHidden/>
    <w:rsid w:val="00E50254"/>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50254"/>
    <w:rPr>
      <w:rFonts w:ascii="Courier New" w:eastAsia="Times New Roman" w:hAnsi="Courier New" w:cs="Times New Roman"/>
      <w:snapToGrid w:val="0"/>
      <w:sz w:val="24"/>
      <w:szCs w:val="20"/>
    </w:rPr>
  </w:style>
  <w:style w:type="table" w:styleId="TableGrid">
    <w:name w:val="Table Grid"/>
    <w:basedOn w:val="TableNormal"/>
    <w:uiPriority w:val="39"/>
    <w:rsid w:val="00E502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FB"/>
    <w:rPr>
      <w:color w:val="605E5C"/>
      <w:shd w:val="clear" w:color="auto" w:fill="E1DFDD"/>
    </w:rPr>
  </w:style>
  <w:style w:type="paragraph" w:styleId="NormalWeb">
    <w:name w:val="Normal (Web)"/>
    <w:basedOn w:val="Normal"/>
    <w:uiPriority w:val="99"/>
    <w:unhideWhenUsed/>
    <w:rsid w:val="00AC40CC"/>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6EB"/>
    <w:rPr>
      <w:color w:val="800080" w:themeColor="followedHyperlink"/>
      <w:u w:val="single"/>
    </w:rPr>
  </w:style>
  <w:style w:type="paragraph" w:styleId="TOC1">
    <w:name w:val="toc 1"/>
    <w:basedOn w:val="Normal"/>
    <w:next w:val="Normal"/>
    <w:autoRedefine/>
    <w:uiPriority w:val="39"/>
    <w:unhideWhenUsed/>
    <w:qFormat/>
    <w:rsid w:val="001E3E9B"/>
    <w:pPr>
      <w:tabs>
        <w:tab w:val="decimal" w:leader="dot" w:pos="9360"/>
      </w:tabs>
      <w:spacing w:after="240"/>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1E3E9B"/>
    <w:pPr>
      <w:tabs>
        <w:tab w:val="decimal" w:leader="dot" w:pos="9360"/>
      </w:tabs>
      <w:spacing w:after="240"/>
      <w:ind w:left="1440" w:hanging="720"/>
      <w:outlineLvl w:val="1"/>
    </w:pPr>
    <w:rPr>
      <w:rFonts w:ascii="Times New Roman" w:hAnsi="Times New Roman"/>
      <w:sz w:val="24"/>
    </w:rPr>
  </w:style>
  <w:style w:type="character" w:customStyle="1" w:styleId="markedcontent">
    <w:name w:val="markedcontent"/>
    <w:basedOn w:val="DefaultParagraphFont"/>
    <w:rsid w:val="00896B82"/>
  </w:style>
  <w:style w:type="paragraph" w:customStyle="1" w:styleId="BodyA">
    <w:name w:val="Body A"/>
    <w:rsid w:val="00130496"/>
    <w:pPr>
      <w:widowControl/>
      <w:pBdr>
        <w:top w:val="nil"/>
        <w:left w:val="nil"/>
        <w:bottom w:val="nil"/>
        <w:right w:val="nil"/>
        <w:between w:val="nil"/>
        <w:bar w:val="nil"/>
      </w:pBdr>
      <w:spacing w:line="480" w:lineRule="auto"/>
      <w:ind w:left="720" w:hanging="720"/>
    </w:pPr>
    <w:rPr>
      <w:rFonts w:ascii="Times New Roman" w:eastAsia="Arial Unicode MS" w:hAnsi="Arial Unicode MS" w:cs="Arial Unicode MS"/>
      <w:color w:val="000000"/>
      <w:sz w:val="24"/>
      <w:szCs w:val="24"/>
      <w:u w:color="000000"/>
      <w:bdr w:val="nil"/>
    </w:rPr>
  </w:style>
  <w:style w:type="paragraph" w:styleId="Caption">
    <w:name w:val="caption"/>
    <w:basedOn w:val="Normal"/>
    <w:next w:val="Normal"/>
    <w:unhideWhenUsed/>
    <w:qFormat/>
    <w:rsid w:val="00543857"/>
    <w:pPr>
      <w:widowControl/>
      <w:spacing w:after="80"/>
      <w:ind w:left="720" w:right="720"/>
    </w:pPr>
    <w:rPr>
      <w:rFonts w:ascii="Times New Roman" w:eastAsia="Times New Roman" w:hAnsi="Times New Roman" w:cs="Times New Roman"/>
      <w:b/>
      <w:bCs/>
      <w:sz w:val="20"/>
      <w:szCs w:val="20"/>
    </w:rPr>
  </w:style>
  <w:style w:type="paragraph" w:customStyle="1" w:styleId="A2">
    <w:name w:val="A2"/>
    <w:basedOn w:val="Normal"/>
    <w:qFormat/>
    <w:rsid w:val="006D00D2"/>
    <w:pPr>
      <w:widowControl/>
      <w:ind w:left="720"/>
    </w:pPr>
    <w:rPr>
      <w:rFonts w:ascii="Times New Roman" w:eastAsia="Times New Roman" w:hAnsi="Times New Roman" w:cs="Times New Roman"/>
      <w:sz w:val="24"/>
      <w:szCs w:val="20"/>
    </w:rPr>
  </w:style>
  <w:style w:type="character" w:customStyle="1" w:styleId="xn-location">
    <w:name w:val="xn-location"/>
    <w:basedOn w:val="DefaultParagraphFont"/>
    <w:rsid w:val="009163FF"/>
  </w:style>
  <w:style w:type="character" w:customStyle="1" w:styleId="xn-chron">
    <w:name w:val="xn-chron"/>
    <w:basedOn w:val="DefaultParagraphFont"/>
    <w:rsid w:val="009163FF"/>
  </w:style>
  <w:style w:type="paragraph" w:styleId="Revision">
    <w:name w:val="Revision"/>
    <w:hidden/>
    <w:uiPriority w:val="99"/>
    <w:semiHidden/>
    <w:rsid w:val="009134B2"/>
    <w:pPr>
      <w:widowControl/>
    </w:pPr>
  </w:style>
  <w:style w:type="character" w:customStyle="1" w:styleId="Heading3Char">
    <w:name w:val="Heading 3 Char"/>
    <w:basedOn w:val="DefaultParagraphFont"/>
    <w:link w:val="Heading3"/>
    <w:uiPriority w:val="9"/>
    <w:rsid w:val="00306F96"/>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qFormat/>
    <w:rsid w:val="00466DAD"/>
    <w:pPr>
      <w:tabs>
        <w:tab w:val="decimal" w:leader="dot" w:pos="9360"/>
      </w:tabs>
      <w:spacing w:after="240"/>
      <w:ind w:left="2160" w:hanging="720"/>
      <w:outlineLvl w:val="2"/>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rnewswire.com/news-releases/aep-ccr-and-elg-compliance-plans-will-remove-additional-1-633-mw-of-coal-fueled-generation-from-company-fleet-301167398.html" TargetMode="External" /><Relationship Id="rId11" Type="http://schemas.openxmlformats.org/officeDocument/2006/relationships/header" Target="header1.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yperlink" Target="mailto:kyle.kern@ohioAGO.gov" TargetMode="External" /><Relationship Id="rId15" Type="http://schemas.openxmlformats.org/officeDocument/2006/relationships/hyperlink" Target="mailto:thomas.lindgren@ohioAGO.gov" TargetMode="External" /><Relationship Id="rId16" Type="http://schemas.openxmlformats.org/officeDocument/2006/relationships/hyperlink" Target="mailto:mkurtz@BKLlawfirm.com" TargetMode="External" /><Relationship Id="rId17" Type="http://schemas.openxmlformats.org/officeDocument/2006/relationships/hyperlink" Target="mailto:kboehm@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sarah.parrot@puco.ohio.gov" TargetMode="External" /><Relationship Id="rId21" Type="http://schemas.openxmlformats.org/officeDocument/2006/relationships/hyperlink" Target="mailto:greta.see@puco.ohio.gov" TargetMode="External" /><Relationship Id="rId22" Type="http://schemas.openxmlformats.org/officeDocument/2006/relationships/hyperlink" Target="mailto:stnourse@aep.com" TargetMode="External" /><Relationship Id="rId23" Type="http://schemas.openxmlformats.org/officeDocument/2006/relationships/hyperlink" Target="mailto:mpritchard@mcneeslaw.com" TargetMode="External" /><Relationship Id="rId24" Type="http://schemas.openxmlformats.org/officeDocument/2006/relationships/hyperlink" Target="mailto:rglover@mcneeslaw.com" TargetMode="External" /><Relationship Id="rId25" Type="http://schemas.openxmlformats.org/officeDocument/2006/relationships/hyperlink" Target="mailto:megan.wachpress@sierraclub.org" TargetMode="External" /><Relationship Id="rId26" Type="http://schemas.openxmlformats.org/officeDocument/2006/relationships/hyperlink" Target="mailto:bojko@carpenterlipps.com" TargetMode="External" /><Relationship Id="rId27" Type="http://schemas.openxmlformats.org/officeDocument/2006/relationships/hyperlink" Target="mailto:donadio@carpenterlipps.com" TargetMode="External" /><Relationship Id="rId28" Type="http://schemas.openxmlformats.org/officeDocument/2006/relationships/hyperlink" Target="mailto:paul@carpenterlipps.com" TargetMode="Externa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1766-4E9E-4469-866F-66EDAFFD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18-1004 - OCC reply comments.docx  -  Read-Only.docx</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2021-12-03T15:16:57Z</dcterms:created>
  <dcterms:modified xsi:type="dcterms:W3CDTF">2021-12-03T15:16:57Z</dcterms:modified>
</cp:coreProperties>
</file>