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044B5" w:rsidRPr="007C48E4" w14:paraId="6ADA43A9" w14:textId="77777777">
      <w:pPr>
        <w:pStyle w:val="HTMLPreformatted"/>
        <w:jc w:val="center"/>
        <w:rPr>
          <w:rFonts w:ascii="Times New Roman" w:hAnsi="Times New Roman" w:cs="Times New Roman"/>
          <w:b/>
          <w:bCs/>
          <w:sz w:val="24"/>
          <w:szCs w:val="24"/>
        </w:rPr>
      </w:pPr>
      <w:r w:rsidRPr="007C48E4">
        <w:rPr>
          <w:rFonts w:ascii="Times New Roman" w:hAnsi="Times New Roman" w:cs="Times New Roman"/>
          <w:b/>
          <w:bCs/>
          <w:sz w:val="24"/>
          <w:szCs w:val="24"/>
        </w:rPr>
        <w:t>BEFORE</w:t>
      </w:r>
    </w:p>
    <w:p w:rsidR="00A044B5" w:rsidRPr="007C48E4" w14:paraId="5262A2BB" w14:textId="77777777">
      <w:pPr>
        <w:pStyle w:val="HTMLPreformatted"/>
        <w:jc w:val="center"/>
        <w:rPr>
          <w:rFonts w:ascii="Times New Roman" w:hAnsi="Times New Roman" w:cs="Times New Roman"/>
          <w:b/>
          <w:bCs/>
          <w:sz w:val="24"/>
          <w:szCs w:val="24"/>
        </w:rPr>
      </w:pPr>
      <w:r w:rsidRPr="007C48E4">
        <w:rPr>
          <w:rFonts w:ascii="Times New Roman" w:hAnsi="Times New Roman" w:cs="Times New Roman"/>
          <w:b/>
          <w:bCs/>
          <w:sz w:val="24"/>
          <w:szCs w:val="24"/>
        </w:rPr>
        <w:t>THE PUBLIC UTILITIES COMMISSION OF OHIO</w:t>
      </w:r>
    </w:p>
    <w:p w:rsidR="001D10F6" w:rsidRPr="007C48E4" w14:paraId="2D09AEFC" w14:textId="77777777">
      <w:pPr>
        <w:pStyle w:val="HTMLPreformatted"/>
        <w:jc w:val="center"/>
        <w:rPr>
          <w:rFonts w:ascii="Times New Roman" w:hAnsi="Times New Roman" w:cs="Times New Roman"/>
          <w:b/>
          <w:bCs/>
          <w:sz w:val="24"/>
          <w:szCs w:val="24"/>
        </w:rPr>
      </w:pPr>
    </w:p>
    <w:p w:rsidR="001D10F6" w:rsidRPr="007C48E4" w:rsidP="001D10F6" w14:paraId="678AC539"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Ohio Power Company</w:t>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51BD0714"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r w:rsidRPr="007C48E4">
        <w:rPr>
          <w:rFonts w:ascii="Times New Roman" w:hAnsi="Times New Roman" w:cs="Times New Roman"/>
          <w:sz w:val="24"/>
          <w:szCs w:val="24"/>
        </w:rPr>
        <w:tab/>
      </w:r>
    </w:p>
    <w:p w:rsidR="001D10F6" w:rsidRPr="007C48E4" w:rsidP="001D10F6" w14:paraId="5BC56F45"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 xml:space="preserve"> </w:t>
      </w:r>
      <w:r w:rsidRPr="007C48E4">
        <w:rPr>
          <w:rFonts w:ascii="Times New Roman" w:hAnsi="Times New Roman" w:cs="Times New Roman"/>
          <w:sz w:val="24"/>
          <w:szCs w:val="24"/>
        </w:rPr>
        <w:tab/>
        <w:t>Complainant,</w:t>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404A7E36"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r w:rsidRPr="007C48E4" w:rsidR="00E727BF">
        <w:rPr>
          <w:rFonts w:ascii="Times New Roman" w:hAnsi="Times New Roman" w:cs="Times New Roman"/>
          <w:sz w:val="24"/>
          <w:szCs w:val="24"/>
        </w:rPr>
        <w:tab/>
        <w:t>Case No. 21-990-EL-CSS</w:t>
      </w:r>
    </w:p>
    <w:p w:rsidR="001D10F6" w:rsidRPr="007C48E4" w:rsidP="001D10F6" w14:paraId="04D8B6C9" w14:textId="76F0ECF6">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7C48E4">
        <w:rPr>
          <w:rFonts w:ascii="Times New Roman" w:hAnsi="Times New Roman" w:cs="Times New Roman"/>
          <w:sz w:val="24"/>
          <w:szCs w:val="24"/>
        </w:rPr>
        <w:t>v.</w:t>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r w:rsidRPr="007C48E4" w:rsidR="00E727BF">
        <w:rPr>
          <w:rFonts w:ascii="Times New Roman" w:hAnsi="Times New Roman" w:cs="Times New Roman"/>
          <w:sz w:val="24"/>
          <w:szCs w:val="24"/>
        </w:rPr>
        <w:tab/>
      </w:r>
    </w:p>
    <w:p w:rsidR="001D10F6" w:rsidRPr="007C48E4" w:rsidP="001D10F6" w14:paraId="08E8F658"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6C3F3FB8"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Nationwide Energy Partners, LLC</w:t>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517C670F"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14:paraId="2C8A95F9"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t>Respondent.</w:t>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A044B5" w:rsidRPr="007C48E4" w14:paraId="5BA83E08" w14:textId="77777777">
      <w:pPr>
        <w:pStyle w:val="HTMLPreformatted"/>
        <w:rPr>
          <w:rFonts w:ascii="Times New Roman" w:hAnsi="Times New Roman" w:cs="Times New Roman"/>
          <w:sz w:val="24"/>
          <w:szCs w:val="24"/>
        </w:rPr>
      </w:pPr>
    </w:p>
    <w:p w:rsidR="00A044B5" w:rsidRPr="007C48E4" w14:paraId="6060AB2C" w14:textId="77777777">
      <w:pPr>
        <w:pStyle w:val="HTMLPreformatted"/>
        <w:pBdr>
          <w:top w:val="single" w:sz="12" w:space="1" w:color="auto"/>
        </w:pBdr>
        <w:rPr>
          <w:rFonts w:ascii="Times New Roman" w:hAnsi="Times New Roman" w:cs="Times New Roman"/>
          <w:sz w:val="24"/>
          <w:szCs w:val="24"/>
        </w:rPr>
      </w:pPr>
    </w:p>
    <w:p w:rsidR="00963C76" w:rsidRPr="007C48E4" w:rsidP="00963C76" w14:paraId="732AA031" w14:textId="3EC7D521">
      <w:pPr>
        <w:jc w:val="center"/>
        <w:rPr>
          <w:b/>
          <w:bCs/>
          <w:szCs w:val="24"/>
        </w:rPr>
      </w:pPr>
      <w:r w:rsidRPr="007C48E4">
        <w:rPr>
          <w:b/>
          <w:bCs/>
          <w:szCs w:val="24"/>
        </w:rPr>
        <w:t xml:space="preserve">MOTION </w:t>
      </w:r>
      <w:r w:rsidRPr="007C48E4" w:rsidR="00650C70">
        <w:rPr>
          <w:b/>
          <w:bCs/>
          <w:szCs w:val="24"/>
        </w:rPr>
        <w:t>FOR LEAVE TO FILE INSTANTER</w:t>
      </w:r>
      <w:r w:rsidRPr="007C48E4" w:rsidR="00F15475">
        <w:rPr>
          <w:b/>
          <w:bCs/>
          <w:szCs w:val="24"/>
        </w:rPr>
        <w:t xml:space="preserve"> </w:t>
      </w:r>
      <w:r w:rsidRPr="007C48E4" w:rsidR="00650C70">
        <w:rPr>
          <w:b/>
          <w:bCs/>
          <w:szCs w:val="24"/>
        </w:rPr>
        <w:t>AN APPLICATION FOR REHEARING</w:t>
      </w:r>
    </w:p>
    <w:p w:rsidR="00A044B5" w:rsidRPr="007C48E4" w14:paraId="45507382" w14:textId="77777777">
      <w:pPr>
        <w:jc w:val="center"/>
        <w:rPr>
          <w:b/>
          <w:bCs/>
          <w:szCs w:val="24"/>
        </w:rPr>
      </w:pPr>
      <w:r w:rsidRPr="007C48E4">
        <w:rPr>
          <w:b/>
          <w:bCs/>
          <w:szCs w:val="24"/>
        </w:rPr>
        <w:t>BY</w:t>
      </w:r>
    </w:p>
    <w:p w:rsidR="00A044B5" w:rsidRPr="007C48E4" w14:paraId="3A6C17DF" w14:textId="77777777">
      <w:pPr>
        <w:jc w:val="center"/>
        <w:rPr>
          <w:b/>
          <w:bCs/>
          <w:szCs w:val="24"/>
        </w:rPr>
      </w:pPr>
      <w:r w:rsidRPr="007C48E4">
        <w:rPr>
          <w:b/>
          <w:bCs/>
          <w:szCs w:val="24"/>
        </w:rPr>
        <w:t>OFFICE OF THE OHIO CONSUMERS’ COUNSEL</w:t>
      </w:r>
    </w:p>
    <w:p w:rsidR="00A044B5" w:rsidRPr="007C48E4" w14:paraId="5FDC9117" w14:textId="77777777">
      <w:pPr>
        <w:pBdr>
          <w:bottom w:val="single" w:sz="12" w:space="1" w:color="auto"/>
        </w:pBdr>
        <w:tabs>
          <w:tab w:val="left" w:pos="4320"/>
        </w:tabs>
        <w:rPr>
          <w:szCs w:val="24"/>
        </w:rPr>
      </w:pPr>
    </w:p>
    <w:p w:rsidR="00A044B5" w:rsidRPr="007C48E4" w14:paraId="2BB6F959" w14:textId="77777777">
      <w:pPr>
        <w:tabs>
          <w:tab w:val="left" w:pos="4320"/>
        </w:tabs>
        <w:rPr>
          <w:szCs w:val="24"/>
        </w:rPr>
      </w:pPr>
    </w:p>
    <w:p w:rsidR="00DE1877" w:rsidRPr="007C48E4" w:rsidP="0029144D" w14:paraId="0152F2EB" w14:textId="77777777">
      <w:pPr>
        <w:pStyle w:val="BodyTextIndent3"/>
        <w:widowControl w:val="0"/>
        <w:spacing w:line="480" w:lineRule="auto"/>
        <w:ind w:right="-312"/>
        <w:rPr>
          <w:szCs w:val="24"/>
        </w:rPr>
      </w:pPr>
      <w:r w:rsidRPr="007C48E4">
        <w:rPr>
          <w:szCs w:val="24"/>
        </w:rPr>
        <w:t>The Office of the Ohio Consumers’ Counsel (“OCC”) files this motion for leave to file the attached Application for Rehearing of the PUCO’s September 6, 2023 Order in this case.</w:t>
      </w:r>
      <w:r>
        <w:rPr>
          <w:rStyle w:val="FootnoteReference"/>
          <w:szCs w:val="24"/>
        </w:rPr>
        <w:footnoteReference w:id="2"/>
      </w:r>
      <w:r w:rsidRPr="007C48E4">
        <w:rPr>
          <w:szCs w:val="24"/>
        </w:rPr>
        <w:t xml:space="preserve"> The </w:t>
      </w:r>
      <w:r w:rsidRPr="007C48E4" w:rsidR="00A60C7B">
        <w:rPr>
          <w:szCs w:val="24"/>
        </w:rPr>
        <w:t>PUCO</w:t>
      </w:r>
      <w:r w:rsidRPr="007C48E4">
        <w:rPr>
          <w:szCs w:val="24"/>
        </w:rPr>
        <w:t>’s</w:t>
      </w:r>
      <w:r w:rsidRPr="007C48E4" w:rsidR="0029144D">
        <w:rPr>
          <w:szCs w:val="24"/>
        </w:rPr>
        <w:t xml:space="preserve"> </w:t>
      </w:r>
      <w:r w:rsidRPr="007C48E4" w:rsidR="00A60C7B">
        <w:rPr>
          <w:szCs w:val="24"/>
        </w:rPr>
        <w:t xml:space="preserve">Order </w:t>
      </w:r>
      <w:r w:rsidRPr="007C48E4" w:rsidR="00F65BAD">
        <w:rPr>
          <w:szCs w:val="24"/>
        </w:rPr>
        <w:t>could result in</w:t>
      </w:r>
      <w:r w:rsidRPr="007C48E4" w:rsidR="0029144D">
        <w:rPr>
          <w:szCs w:val="24"/>
        </w:rPr>
        <w:t xml:space="preserve"> </w:t>
      </w:r>
      <w:r w:rsidRPr="007C48E4" w:rsidR="00343C19">
        <w:rPr>
          <w:szCs w:val="24"/>
        </w:rPr>
        <w:t xml:space="preserve">over one thousand </w:t>
      </w:r>
      <w:r w:rsidRPr="007C48E4" w:rsidR="00A60C7B">
        <w:rPr>
          <w:szCs w:val="24"/>
        </w:rPr>
        <w:t xml:space="preserve">residential utility consumers at five apartment complexes </w:t>
      </w:r>
      <w:r w:rsidRPr="007C48E4">
        <w:rPr>
          <w:szCs w:val="24"/>
        </w:rPr>
        <w:t xml:space="preserve">that </w:t>
      </w:r>
      <w:r w:rsidRPr="007C48E4" w:rsidR="00A60C7B">
        <w:rPr>
          <w:szCs w:val="24"/>
        </w:rPr>
        <w:t>use Nationwide Energy Partners</w:t>
      </w:r>
      <w:r w:rsidRPr="007C48E4" w:rsidR="00AE516F">
        <w:rPr>
          <w:szCs w:val="24"/>
        </w:rPr>
        <w:t>’</w:t>
      </w:r>
      <w:r w:rsidRPr="007C48E4" w:rsidR="00A60C7B">
        <w:rPr>
          <w:szCs w:val="24"/>
        </w:rPr>
        <w:t xml:space="preserve"> (“NEP”)</w:t>
      </w:r>
      <w:r w:rsidRPr="007C48E4" w:rsidR="00AE516F">
        <w:rPr>
          <w:szCs w:val="24"/>
        </w:rPr>
        <w:t xml:space="preserve"> submetering</w:t>
      </w:r>
      <w:r w:rsidRPr="007C48E4">
        <w:rPr>
          <w:szCs w:val="24"/>
        </w:rPr>
        <w:t xml:space="preserve"> services</w:t>
      </w:r>
      <w:r w:rsidRPr="007C48E4" w:rsidR="00343C19">
        <w:rPr>
          <w:szCs w:val="24"/>
        </w:rPr>
        <w:t xml:space="preserve"> </w:t>
      </w:r>
      <w:r w:rsidRPr="007C48E4" w:rsidR="00F65BAD">
        <w:rPr>
          <w:szCs w:val="24"/>
        </w:rPr>
        <w:t xml:space="preserve">losing </w:t>
      </w:r>
      <w:r w:rsidRPr="007C48E4" w:rsidR="00343C19">
        <w:rPr>
          <w:szCs w:val="24"/>
        </w:rPr>
        <w:t>important</w:t>
      </w:r>
      <w:r w:rsidRPr="007C48E4" w:rsidR="00AE516F">
        <w:rPr>
          <w:szCs w:val="24"/>
        </w:rPr>
        <w:t xml:space="preserve"> </w:t>
      </w:r>
      <w:r w:rsidRPr="007C48E4" w:rsidR="00A60C7B">
        <w:rPr>
          <w:szCs w:val="24"/>
        </w:rPr>
        <w:t>consumer protections</w:t>
      </w:r>
      <w:r w:rsidRPr="007C48E4" w:rsidR="00AE516F">
        <w:rPr>
          <w:szCs w:val="24"/>
        </w:rPr>
        <w:t xml:space="preserve"> under Ohio law</w:t>
      </w:r>
      <w:r w:rsidRPr="007C48E4" w:rsidR="00A60C7B">
        <w:rPr>
          <w:szCs w:val="24"/>
        </w:rPr>
        <w:t>.</w:t>
      </w:r>
      <w:r>
        <w:rPr>
          <w:rStyle w:val="FootnoteReference"/>
          <w:szCs w:val="24"/>
        </w:rPr>
        <w:footnoteReference w:id="3"/>
      </w:r>
      <w:r w:rsidRPr="007C48E4" w:rsidR="00B31D25">
        <w:rPr>
          <w:szCs w:val="24"/>
        </w:rPr>
        <w:t xml:space="preserve"> </w:t>
      </w:r>
    </w:p>
    <w:p w:rsidR="003F6FB7" w:rsidRPr="007C48E4" w:rsidP="00343C19" w14:paraId="663DC9FB" w14:textId="0F4662D2">
      <w:pPr>
        <w:pStyle w:val="BodyTextIndent3"/>
        <w:widowControl w:val="0"/>
        <w:spacing w:line="480" w:lineRule="auto"/>
        <w:ind w:right="-312"/>
        <w:rPr>
          <w:szCs w:val="24"/>
        </w:rPr>
      </w:pPr>
      <w:r w:rsidRPr="007C48E4">
        <w:rPr>
          <w:szCs w:val="24"/>
        </w:rPr>
        <w:t>OCC intervened in this</w:t>
      </w:r>
      <w:r w:rsidRPr="007C48E4" w:rsidR="00E727BF">
        <w:rPr>
          <w:szCs w:val="24"/>
        </w:rPr>
        <w:t xml:space="preserve"> case</w:t>
      </w:r>
      <w:r w:rsidRPr="007C48E4" w:rsidR="0029144D">
        <w:rPr>
          <w:szCs w:val="24"/>
        </w:rPr>
        <w:t xml:space="preserve"> </w:t>
      </w:r>
      <w:r w:rsidRPr="007C48E4">
        <w:rPr>
          <w:szCs w:val="24"/>
        </w:rPr>
        <w:t xml:space="preserve">to </w:t>
      </w:r>
      <w:r w:rsidRPr="007C48E4" w:rsidR="0029144D">
        <w:rPr>
          <w:szCs w:val="24"/>
        </w:rPr>
        <w:t>give a voice to</w:t>
      </w:r>
      <w:r w:rsidRPr="007C48E4">
        <w:rPr>
          <w:szCs w:val="24"/>
        </w:rPr>
        <w:t xml:space="preserve"> the residential consumers</w:t>
      </w:r>
      <w:r w:rsidRPr="007C48E4" w:rsidR="00834FC6">
        <w:rPr>
          <w:szCs w:val="24"/>
        </w:rPr>
        <w:t xml:space="preserve"> who will be harmed by the PUCO’s Order</w:t>
      </w:r>
      <w:r w:rsidRPr="007C48E4" w:rsidR="00E727BF">
        <w:rPr>
          <w:szCs w:val="24"/>
        </w:rPr>
        <w:t xml:space="preserve">. </w:t>
      </w:r>
      <w:r w:rsidRPr="007C48E4" w:rsidR="00F2530E">
        <w:rPr>
          <w:szCs w:val="24"/>
        </w:rPr>
        <w:t>OCC’s intervention</w:t>
      </w:r>
      <w:r w:rsidRPr="007C48E4" w:rsidR="00834FC6">
        <w:rPr>
          <w:szCs w:val="24"/>
        </w:rPr>
        <w:t xml:space="preserve"> was wrongfully denied</w:t>
      </w:r>
      <w:r w:rsidRPr="007C48E4" w:rsidR="00F2530E">
        <w:rPr>
          <w:szCs w:val="24"/>
        </w:rPr>
        <w:t>.</w:t>
      </w:r>
      <w:r>
        <w:rPr>
          <w:rStyle w:val="FootnoteReference"/>
          <w:szCs w:val="24"/>
        </w:rPr>
        <w:footnoteReference w:id="4"/>
      </w:r>
      <w:r w:rsidRPr="007C48E4" w:rsidR="00A70D2E">
        <w:rPr>
          <w:szCs w:val="24"/>
        </w:rPr>
        <w:t xml:space="preserve"> In </w:t>
      </w:r>
      <w:r w:rsidRPr="007C48E4" w:rsidR="00834FC6">
        <w:rPr>
          <w:szCs w:val="24"/>
        </w:rPr>
        <w:t>the</w:t>
      </w:r>
      <w:r w:rsidRPr="007C48E4" w:rsidR="00A70D2E">
        <w:rPr>
          <w:szCs w:val="24"/>
        </w:rPr>
        <w:t xml:space="preserve"> Entry denying OCC’s intervention, Attorney Examiner </w:t>
      </w:r>
      <w:r w:rsidRPr="007C48E4" w:rsidR="006D6098">
        <w:rPr>
          <w:szCs w:val="24"/>
        </w:rPr>
        <w:t xml:space="preserve">Sandor </w:t>
      </w:r>
      <w:r w:rsidRPr="007C48E4" w:rsidR="00A70D2E">
        <w:rPr>
          <w:szCs w:val="24"/>
        </w:rPr>
        <w:t xml:space="preserve">stated that participation by the consumer advocate (OCC) will not “significantly contribute to the full development and </w:t>
      </w:r>
      <w:r w:rsidRPr="007C48E4" w:rsidR="00A70D2E">
        <w:rPr>
          <w:szCs w:val="24"/>
        </w:rPr>
        <w:t>equitable resolution of the case.”</w:t>
      </w:r>
      <w:r>
        <w:rPr>
          <w:rStyle w:val="FootnoteReference"/>
          <w:szCs w:val="24"/>
        </w:rPr>
        <w:footnoteReference w:id="5"/>
      </w:r>
      <w:r w:rsidRPr="007C48E4" w:rsidR="00F65BAD">
        <w:rPr>
          <w:szCs w:val="24"/>
        </w:rPr>
        <w:t xml:space="preserve"> However, there will be</w:t>
      </w:r>
      <w:r w:rsidRPr="007C48E4" w:rsidR="00E727BF">
        <w:rPr>
          <w:szCs w:val="24"/>
        </w:rPr>
        <w:t xml:space="preserve"> </w:t>
      </w:r>
      <w:r w:rsidRPr="007C48E4" w:rsidR="006D6098">
        <w:rPr>
          <w:szCs w:val="24"/>
        </w:rPr>
        <w:t xml:space="preserve">no equity for the residential consumers </w:t>
      </w:r>
      <w:r w:rsidR="00A3399A">
        <w:rPr>
          <w:szCs w:val="24"/>
        </w:rPr>
        <w:t xml:space="preserve">(who OCC represents) </w:t>
      </w:r>
      <w:r w:rsidRPr="007C48E4" w:rsidR="006D6098">
        <w:rPr>
          <w:szCs w:val="24"/>
        </w:rPr>
        <w:t xml:space="preserve">who </w:t>
      </w:r>
      <w:r w:rsidRPr="007C48E4" w:rsidR="00F65BAD">
        <w:rPr>
          <w:szCs w:val="24"/>
        </w:rPr>
        <w:t>may</w:t>
      </w:r>
      <w:r w:rsidRPr="007C48E4" w:rsidR="006D6098">
        <w:rPr>
          <w:szCs w:val="24"/>
        </w:rPr>
        <w:t xml:space="preserve"> lose</w:t>
      </w:r>
      <w:r w:rsidRPr="007C48E4" w:rsidR="00E727BF">
        <w:rPr>
          <w:szCs w:val="24"/>
        </w:rPr>
        <w:t xml:space="preserve"> </w:t>
      </w:r>
      <w:r w:rsidRPr="007C48E4" w:rsidR="00F65BAD">
        <w:rPr>
          <w:szCs w:val="24"/>
        </w:rPr>
        <w:t xml:space="preserve">consumer protection rights </w:t>
      </w:r>
      <w:r w:rsidRPr="007C48E4" w:rsidR="00BD28A0">
        <w:rPr>
          <w:szCs w:val="24"/>
        </w:rPr>
        <w:t>because</w:t>
      </w:r>
      <w:r w:rsidRPr="007C48E4" w:rsidR="006D6098">
        <w:rPr>
          <w:szCs w:val="24"/>
        </w:rPr>
        <w:t xml:space="preserve"> of the PUCO’s September 6 Order.</w:t>
      </w:r>
    </w:p>
    <w:p w:rsidR="00342F0A" w:rsidRPr="007C48E4" w:rsidP="00342F0A" w14:paraId="6B7A8D41" w14:textId="77777777">
      <w:pPr>
        <w:pStyle w:val="BodyTextIndent3"/>
        <w:widowControl w:val="0"/>
        <w:spacing w:line="480" w:lineRule="auto"/>
        <w:ind w:right="-312"/>
        <w:rPr>
          <w:szCs w:val="24"/>
        </w:rPr>
      </w:pPr>
      <w:r w:rsidRPr="007C48E4">
        <w:rPr>
          <w:szCs w:val="24"/>
        </w:rPr>
        <w:t xml:space="preserve">Residential utility consumers deserve to be heard and protected by the PUCO. </w:t>
      </w:r>
      <w:r w:rsidRPr="007C48E4" w:rsidR="00DE1877">
        <w:rPr>
          <w:szCs w:val="24"/>
        </w:rPr>
        <w:t>T</w:t>
      </w:r>
      <w:r w:rsidRPr="007C48E4" w:rsidR="00F65BAD">
        <w:rPr>
          <w:szCs w:val="24"/>
        </w:rPr>
        <w:t xml:space="preserve">hus, </w:t>
      </w:r>
      <w:r w:rsidRPr="007C48E4" w:rsidR="00DE1877">
        <w:rPr>
          <w:szCs w:val="24"/>
        </w:rPr>
        <w:t xml:space="preserve">the PUCO should grant </w:t>
      </w:r>
      <w:r w:rsidRPr="007C48E4" w:rsidR="0029144D">
        <w:rPr>
          <w:szCs w:val="24"/>
        </w:rPr>
        <w:t>OCC leave to file the attached Application for Rehearing</w:t>
      </w:r>
      <w:r w:rsidRPr="007C48E4" w:rsidR="000A47DD">
        <w:rPr>
          <w:szCs w:val="24"/>
        </w:rPr>
        <w:t xml:space="preserve"> in accordance with R.C. 4903.10</w:t>
      </w:r>
      <w:r w:rsidRPr="007C48E4" w:rsidR="00DE1877">
        <w:rPr>
          <w:szCs w:val="24"/>
        </w:rPr>
        <w:t xml:space="preserve">. </w:t>
      </w:r>
      <w:r w:rsidRPr="007C48E4" w:rsidR="00A044B5">
        <w:rPr>
          <w:szCs w:val="24"/>
        </w:rPr>
        <w:t>The reasons the P</w:t>
      </w:r>
      <w:r w:rsidRPr="007C48E4" w:rsidR="00DE1877">
        <w:rPr>
          <w:szCs w:val="24"/>
        </w:rPr>
        <w:t>UCO</w:t>
      </w:r>
      <w:r w:rsidRPr="007C48E4" w:rsidR="00A044B5">
        <w:rPr>
          <w:szCs w:val="24"/>
        </w:rPr>
        <w:t xml:space="preserve"> should grant OCC’s Motion are further set forth in the attached Memorandum in</w:t>
      </w:r>
      <w:r w:rsidRPr="007C48E4">
        <w:rPr>
          <w:szCs w:val="24"/>
        </w:rPr>
        <w:t xml:space="preserve"> </w:t>
      </w:r>
      <w:r w:rsidRPr="007C48E4" w:rsidR="00A044B5">
        <w:rPr>
          <w:szCs w:val="24"/>
        </w:rPr>
        <w:t>Support.</w:t>
      </w:r>
    </w:p>
    <w:p w:rsidR="002354D4" w:rsidRPr="007C48E4" w:rsidP="001615B3" w14:paraId="62054AB9" w14:textId="48F27FA2">
      <w:pPr>
        <w:pStyle w:val="BodyTextIndent3"/>
        <w:widowControl w:val="0"/>
        <w:spacing w:line="480" w:lineRule="auto"/>
        <w:ind w:left="3600" w:right="-312"/>
        <w:rPr>
          <w:szCs w:val="24"/>
        </w:rPr>
      </w:pPr>
      <w:r w:rsidRPr="007C48E4">
        <w:rPr>
          <w:szCs w:val="24"/>
        </w:rPr>
        <w:t>Respectfully submitted,</w:t>
      </w:r>
    </w:p>
    <w:p w:rsidR="002354D4" w:rsidRPr="007C48E4" w:rsidP="002354D4" w14:paraId="00108F80" w14:textId="77777777">
      <w:pPr>
        <w:ind w:left="4320"/>
        <w:jc w:val="both"/>
        <w:rPr>
          <w:szCs w:val="24"/>
        </w:rPr>
      </w:pPr>
      <w:r w:rsidRPr="007C48E4">
        <w:rPr>
          <w:szCs w:val="24"/>
        </w:rPr>
        <w:t xml:space="preserve">Maureen </w:t>
      </w:r>
      <w:r w:rsidRPr="007C48E4" w:rsidR="00F3384C">
        <w:rPr>
          <w:szCs w:val="24"/>
        </w:rPr>
        <w:t xml:space="preserve">R. </w:t>
      </w:r>
      <w:r w:rsidRPr="007C48E4">
        <w:rPr>
          <w:szCs w:val="24"/>
        </w:rPr>
        <w:t>Willis</w:t>
      </w:r>
      <w:r w:rsidRPr="007C48E4" w:rsidR="00F3384C">
        <w:rPr>
          <w:szCs w:val="24"/>
        </w:rPr>
        <w:t xml:space="preserve"> (0020847)</w:t>
      </w:r>
    </w:p>
    <w:p w:rsidR="002354D4" w:rsidRPr="007C48E4" w:rsidP="002354D4" w14:paraId="165DD162" w14:textId="77777777">
      <w:pPr>
        <w:tabs>
          <w:tab w:val="left" w:pos="4320"/>
        </w:tabs>
        <w:ind w:left="4320" w:hanging="450"/>
        <w:jc w:val="both"/>
        <w:rPr>
          <w:szCs w:val="24"/>
        </w:rPr>
      </w:pPr>
      <w:r w:rsidRPr="007C48E4">
        <w:rPr>
          <w:szCs w:val="24"/>
        </w:rPr>
        <w:tab/>
        <w:t>Ohio Consumers’ Counsel</w:t>
      </w:r>
    </w:p>
    <w:p w:rsidR="002354D4" w:rsidRPr="007C48E4" w:rsidP="002354D4" w14:paraId="283652B4" w14:textId="77777777">
      <w:pPr>
        <w:tabs>
          <w:tab w:val="left" w:pos="4320"/>
        </w:tabs>
        <w:ind w:left="4320"/>
        <w:jc w:val="both"/>
        <w:rPr>
          <w:szCs w:val="24"/>
        </w:rPr>
      </w:pPr>
    </w:p>
    <w:p w:rsidR="002354D4" w:rsidRPr="007C48E4" w:rsidP="002354D4" w14:paraId="470F8A11" w14:textId="56EAAFFF">
      <w:pPr>
        <w:tabs>
          <w:tab w:val="left" w:pos="4320"/>
        </w:tabs>
        <w:ind w:left="4320"/>
        <w:jc w:val="both"/>
        <w:rPr>
          <w:i/>
          <w:iCs/>
          <w:szCs w:val="24"/>
          <w:u w:val="single"/>
        </w:rPr>
      </w:pPr>
      <w:r w:rsidRPr="007C48E4">
        <w:rPr>
          <w:i/>
          <w:iCs/>
          <w:szCs w:val="24"/>
          <w:u w:val="single"/>
        </w:rPr>
        <w:t>/s/ Angela D. O’Brien</w:t>
      </w:r>
    </w:p>
    <w:p w:rsidR="002354D4" w:rsidP="002354D4" w14:paraId="3A308B2A" w14:textId="77777777">
      <w:pPr>
        <w:tabs>
          <w:tab w:val="left" w:pos="4320"/>
        </w:tabs>
        <w:ind w:left="4320"/>
        <w:jc w:val="both"/>
        <w:rPr>
          <w:szCs w:val="24"/>
        </w:rPr>
      </w:pPr>
      <w:r w:rsidRPr="007C48E4">
        <w:rPr>
          <w:szCs w:val="24"/>
        </w:rPr>
        <w:t>Angela D. O’Brien (0097579)</w:t>
      </w:r>
    </w:p>
    <w:p w:rsidR="00C84F97" w:rsidRPr="007C48E4" w:rsidP="00C84F97" w14:paraId="71B54597" w14:textId="1358E410">
      <w:pPr>
        <w:tabs>
          <w:tab w:val="left" w:pos="4320"/>
        </w:tabs>
        <w:ind w:left="4320"/>
        <w:jc w:val="both"/>
        <w:rPr>
          <w:szCs w:val="24"/>
        </w:rPr>
      </w:pPr>
      <w:r>
        <w:rPr>
          <w:szCs w:val="24"/>
        </w:rPr>
        <w:t>Deputy Consumers’ Counsel</w:t>
      </w:r>
    </w:p>
    <w:p w:rsidR="002354D4" w:rsidP="002354D4" w14:paraId="73578DB1" w14:textId="77777777">
      <w:pPr>
        <w:tabs>
          <w:tab w:val="left" w:pos="4320"/>
        </w:tabs>
        <w:ind w:left="4320"/>
        <w:jc w:val="both"/>
        <w:rPr>
          <w:szCs w:val="24"/>
        </w:rPr>
      </w:pPr>
      <w:r w:rsidRPr="007C48E4">
        <w:rPr>
          <w:szCs w:val="24"/>
        </w:rPr>
        <w:t>Counsel of Record</w:t>
      </w:r>
    </w:p>
    <w:p w:rsidR="002354D4" w:rsidRPr="007C48E4" w:rsidP="002354D4" w14:paraId="00E3AB6D" w14:textId="77777777">
      <w:pPr>
        <w:tabs>
          <w:tab w:val="left" w:pos="4320"/>
        </w:tabs>
        <w:ind w:left="4320"/>
        <w:jc w:val="both"/>
        <w:rPr>
          <w:szCs w:val="24"/>
        </w:rPr>
      </w:pPr>
      <w:r w:rsidRPr="007C48E4">
        <w:rPr>
          <w:szCs w:val="24"/>
        </w:rPr>
        <w:t>William J. Michael (0070921)</w:t>
      </w:r>
    </w:p>
    <w:p w:rsidR="002354D4" w:rsidRPr="007C48E4" w:rsidP="002354D4" w14:paraId="39342C45" w14:textId="77777777">
      <w:pPr>
        <w:tabs>
          <w:tab w:val="left" w:pos="3870"/>
          <w:tab w:val="left" w:pos="4320"/>
        </w:tabs>
        <w:ind w:left="4320"/>
        <w:jc w:val="both"/>
        <w:rPr>
          <w:szCs w:val="24"/>
        </w:rPr>
      </w:pPr>
      <w:r w:rsidRPr="007C48E4">
        <w:rPr>
          <w:szCs w:val="24"/>
        </w:rPr>
        <w:t>Assistant Consumers’ Counsel</w:t>
      </w:r>
    </w:p>
    <w:p w:rsidR="002354D4" w:rsidRPr="007C48E4" w:rsidP="002354D4" w14:paraId="21932B56" w14:textId="77777777">
      <w:pPr>
        <w:tabs>
          <w:tab w:val="left" w:pos="3870"/>
          <w:tab w:val="left" w:pos="4320"/>
        </w:tabs>
        <w:ind w:left="4320"/>
        <w:jc w:val="both"/>
        <w:rPr>
          <w:szCs w:val="24"/>
        </w:rPr>
      </w:pPr>
    </w:p>
    <w:p w:rsidR="002354D4" w:rsidRPr="007C48E4" w:rsidP="002354D4" w14:paraId="25F24023" w14:textId="77777777">
      <w:pPr>
        <w:ind w:left="4320"/>
        <w:jc w:val="both"/>
        <w:rPr>
          <w:b/>
          <w:bCs/>
          <w:szCs w:val="24"/>
        </w:rPr>
      </w:pPr>
      <w:r w:rsidRPr="007C48E4">
        <w:rPr>
          <w:b/>
          <w:bCs/>
          <w:szCs w:val="24"/>
        </w:rPr>
        <w:t>Office of the Ohio Consumers' Counsel</w:t>
      </w:r>
    </w:p>
    <w:p w:rsidR="002354D4" w:rsidRPr="007C48E4" w:rsidP="002354D4" w14:paraId="5993338A" w14:textId="3336C715">
      <w:pPr>
        <w:ind w:left="4320"/>
        <w:jc w:val="both"/>
        <w:rPr>
          <w:szCs w:val="24"/>
        </w:rPr>
      </w:pPr>
      <w:r w:rsidRPr="007C48E4">
        <w:rPr>
          <w:szCs w:val="24"/>
        </w:rPr>
        <w:t xml:space="preserve">65 East State Street, </w:t>
      </w:r>
      <w:r w:rsidR="002E7B20">
        <w:rPr>
          <w:szCs w:val="24"/>
        </w:rPr>
        <w:t>Suite 700</w:t>
      </w:r>
    </w:p>
    <w:p w:rsidR="002354D4" w:rsidRPr="007C48E4" w:rsidP="002354D4" w14:paraId="7F2D1124" w14:textId="04F98F13">
      <w:pPr>
        <w:ind w:left="4320"/>
        <w:jc w:val="both"/>
        <w:rPr>
          <w:szCs w:val="24"/>
        </w:rPr>
      </w:pPr>
      <w:r w:rsidRPr="007C48E4">
        <w:rPr>
          <w:szCs w:val="24"/>
        </w:rPr>
        <w:t>Columbus, Ohio 43215</w:t>
      </w:r>
    </w:p>
    <w:p w:rsidR="002354D4" w:rsidRPr="007C48E4" w:rsidP="002354D4" w14:paraId="7EF79460" w14:textId="77777777">
      <w:pPr>
        <w:autoSpaceDE w:val="0"/>
        <w:autoSpaceDN w:val="0"/>
        <w:adjustRightInd w:val="0"/>
        <w:ind w:left="4320"/>
        <w:jc w:val="both"/>
        <w:rPr>
          <w:szCs w:val="24"/>
        </w:rPr>
      </w:pPr>
      <w:r w:rsidRPr="007C48E4">
        <w:rPr>
          <w:szCs w:val="24"/>
        </w:rPr>
        <w:t>Telephone: [O’Brien]: (614) 466-9531</w:t>
      </w:r>
    </w:p>
    <w:p w:rsidR="002354D4" w:rsidRPr="007C48E4" w:rsidP="002354D4" w14:paraId="7B042247" w14:textId="77777777">
      <w:pPr>
        <w:autoSpaceDE w:val="0"/>
        <w:autoSpaceDN w:val="0"/>
        <w:adjustRightInd w:val="0"/>
        <w:ind w:left="4320"/>
        <w:jc w:val="both"/>
        <w:rPr>
          <w:szCs w:val="24"/>
        </w:rPr>
      </w:pPr>
      <w:r w:rsidRPr="007C48E4">
        <w:rPr>
          <w:szCs w:val="24"/>
        </w:rPr>
        <w:t>Telephone: [Michael]: (614) 466-1291</w:t>
      </w:r>
    </w:p>
    <w:p w:rsidR="002354D4" w:rsidRPr="007C48E4" w:rsidP="002354D4" w14:paraId="68A40449" w14:textId="77777777">
      <w:pPr>
        <w:ind w:left="4320"/>
        <w:jc w:val="both"/>
        <w:rPr>
          <w:szCs w:val="24"/>
        </w:rPr>
      </w:pPr>
      <w:hyperlink r:id="rId6" w:history="1">
        <w:r w:rsidRPr="007C48E4" w:rsidR="00DF4D99">
          <w:rPr>
            <w:rStyle w:val="Hyperlink"/>
            <w:szCs w:val="24"/>
          </w:rPr>
          <w:t>angela.obrien@occ.ohio.gov</w:t>
        </w:r>
      </w:hyperlink>
    </w:p>
    <w:p w:rsidR="002354D4" w:rsidRPr="007C48E4" w:rsidP="002354D4" w14:paraId="77456684" w14:textId="77777777">
      <w:pPr>
        <w:ind w:left="4320"/>
        <w:jc w:val="both"/>
        <w:rPr>
          <w:szCs w:val="24"/>
        </w:rPr>
      </w:pPr>
      <w:hyperlink r:id="rId7" w:history="1">
        <w:r w:rsidRPr="007C48E4" w:rsidR="00DF4D99">
          <w:rPr>
            <w:rStyle w:val="Hyperlink"/>
            <w:szCs w:val="24"/>
          </w:rPr>
          <w:t>william.michael@occ.ohio.gov</w:t>
        </w:r>
      </w:hyperlink>
    </w:p>
    <w:p w:rsidR="002354D4" w:rsidRPr="007C48E4" w:rsidP="002354D4" w14:paraId="3C7ADBC7" w14:textId="77777777">
      <w:pPr>
        <w:ind w:left="4320" w:hanging="4320"/>
        <w:jc w:val="both"/>
        <w:rPr>
          <w:szCs w:val="24"/>
        </w:rPr>
      </w:pPr>
      <w:r w:rsidRPr="007C48E4">
        <w:rPr>
          <w:szCs w:val="24"/>
        </w:rPr>
        <w:tab/>
        <w:t>(willing to accept service by e-mail)</w:t>
      </w:r>
    </w:p>
    <w:p w:rsidR="00A044B5" w:rsidRPr="007C48E4" w:rsidP="002354D4" w14:paraId="504E24A7" w14:textId="77777777">
      <w:pPr>
        <w:pStyle w:val="Footer"/>
        <w:tabs>
          <w:tab w:val="left" w:pos="4320"/>
          <w:tab w:val="clear" w:pos="8640"/>
        </w:tabs>
        <w:spacing w:before="240"/>
        <w:ind w:left="4320"/>
        <w:rPr>
          <w:sz w:val="24"/>
          <w:szCs w:val="24"/>
        </w:rPr>
      </w:pPr>
      <w:r w:rsidRPr="007C48E4">
        <w:rPr>
          <w:sz w:val="24"/>
          <w:szCs w:val="24"/>
        </w:rPr>
        <w:tab/>
      </w:r>
      <w:r w:rsidRPr="007C48E4">
        <w:rPr>
          <w:sz w:val="24"/>
          <w:szCs w:val="24"/>
        </w:rPr>
        <w:tab/>
      </w:r>
      <w:r w:rsidRPr="007C48E4">
        <w:rPr>
          <w:sz w:val="24"/>
          <w:szCs w:val="24"/>
        </w:rPr>
        <w:tab/>
      </w:r>
      <w:r w:rsidRPr="007C48E4">
        <w:rPr>
          <w:sz w:val="24"/>
          <w:szCs w:val="24"/>
        </w:rPr>
        <w:tab/>
      </w:r>
      <w:r w:rsidRPr="007C48E4">
        <w:rPr>
          <w:sz w:val="24"/>
          <w:szCs w:val="24"/>
        </w:rPr>
        <w:tab/>
      </w:r>
      <w:r w:rsidRPr="007C48E4">
        <w:rPr>
          <w:sz w:val="24"/>
          <w:szCs w:val="24"/>
        </w:rPr>
        <w:tab/>
      </w:r>
    </w:p>
    <w:p w:rsidR="00A044B5" w:rsidRPr="007C48E4" w14:paraId="60E0FFD2" w14:textId="77777777">
      <w:pPr>
        <w:rPr>
          <w:szCs w:val="24"/>
        </w:rPr>
      </w:pPr>
    </w:p>
    <w:p w:rsidR="00A044B5" w:rsidRPr="007C48E4" w14:paraId="32C2FD5F" w14:textId="77777777">
      <w:pPr>
        <w:rPr>
          <w:szCs w:val="24"/>
        </w:rPr>
      </w:pPr>
    </w:p>
    <w:p w:rsidR="00A044B5" w:rsidRPr="007C48E4" w14:paraId="7D7EF66E" w14:textId="77777777">
      <w:pPr>
        <w:rPr>
          <w:szCs w:val="24"/>
        </w:rPr>
      </w:pPr>
    </w:p>
    <w:p w:rsidR="00A044B5" w:rsidRPr="007C48E4" w14:paraId="0AC0E0C3" w14:textId="77777777">
      <w:pPr>
        <w:ind w:left="4320" w:firstLine="720"/>
        <w:jc w:val="both"/>
        <w:rPr>
          <w:szCs w:val="24"/>
        </w:rPr>
      </w:pPr>
    </w:p>
    <w:p w:rsidR="00A044B5" w:rsidRPr="007C48E4" w14:paraId="247B43A0" w14:textId="77777777">
      <w:pPr>
        <w:pStyle w:val="HTMLPreformatted"/>
        <w:jc w:val="center"/>
        <w:rPr>
          <w:rFonts w:ascii="Times New Roman" w:hAnsi="Times New Roman" w:cs="Times New Roman"/>
          <w:b/>
          <w:bCs/>
          <w:sz w:val="24"/>
          <w:szCs w:val="24"/>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65"/>
        </w:sectPr>
      </w:pPr>
    </w:p>
    <w:p w:rsidR="00A044B5" w:rsidRPr="007C48E4" w14:paraId="27DE201A" w14:textId="77777777">
      <w:pPr>
        <w:pStyle w:val="HTMLPreformatted"/>
        <w:jc w:val="center"/>
        <w:rPr>
          <w:rFonts w:ascii="Times New Roman" w:hAnsi="Times New Roman" w:cs="Times New Roman"/>
          <w:b/>
          <w:bCs/>
          <w:sz w:val="24"/>
          <w:szCs w:val="24"/>
        </w:rPr>
      </w:pPr>
      <w:r w:rsidRPr="007C48E4">
        <w:rPr>
          <w:rFonts w:ascii="Times New Roman" w:hAnsi="Times New Roman" w:cs="Times New Roman"/>
          <w:b/>
          <w:bCs/>
          <w:sz w:val="24"/>
          <w:szCs w:val="24"/>
        </w:rPr>
        <w:t>BEFORE</w:t>
      </w:r>
    </w:p>
    <w:p w:rsidR="00A044B5" w:rsidRPr="007C48E4" w14:paraId="0F824A28" w14:textId="77777777">
      <w:pPr>
        <w:pStyle w:val="HTMLPreformatted"/>
        <w:jc w:val="center"/>
        <w:rPr>
          <w:rFonts w:ascii="Times New Roman" w:hAnsi="Times New Roman" w:cs="Times New Roman"/>
          <w:b/>
          <w:bCs/>
          <w:sz w:val="24"/>
          <w:szCs w:val="24"/>
        </w:rPr>
      </w:pPr>
      <w:r w:rsidRPr="007C48E4">
        <w:rPr>
          <w:rFonts w:ascii="Times New Roman" w:hAnsi="Times New Roman" w:cs="Times New Roman"/>
          <w:b/>
          <w:bCs/>
          <w:sz w:val="24"/>
          <w:szCs w:val="24"/>
        </w:rPr>
        <w:t>THE PUBLIC UTILITIES COMMISSION OF OHIO</w:t>
      </w:r>
    </w:p>
    <w:p w:rsidR="001D10F6" w:rsidRPr="007C48E4" w14:paraId="1463A9AA" w14:textId="77777777">
      <w:pPr>
        <w:pStyle w:val="HTMLPreformatted"/>
        <w:jc w:val="center"/>
        <w:rPr>
          <w:rFonts w:ascii="Times New Roman" w:hAnsi="Times New Roman" w:cs="Times New Roman"/>
          <w:b/>
          <w:bCs/>
          <w:sz w:val="24"/>
          <w:szCs w:val="24"/>
        </w:rPr>
      </w:pPr>
    </w:p>
    <w:p w:rsidR="001D10F6" w:rsidRPr="007C48E4" w:rsidP="001D10F6" w14:paraId="4E709D06"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Ohio Power Company</w:t>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5144C6D8"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r w:rsidRPr="007C48E4">
        <w:rPr>
          <w:rFonts w:ascii="Times New Roman" w:hAnsi="Times New Roman" w:cs="Times New Roman"/>
          <w:sz w:val="24"/>
          <w:szCs w:val="24"/>
        </w:rPr>
        <w:tab/>
        <w:t>Case No. 21-990-EL-CSS</w:t>
      </w:r>
    </w:p>
    <w:p w:rsidR="001D10F6" w:rsidRPr="007C48E4" w:rsidP="001D10F6" w14:paraId="568D3A3D"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 xml:space="preserve"> </w:t>
      </w:r>
      <w:r w:rsidRPr="007C48E4">
        <w:rPr>
          <w:rFonts w:ascii="Times New Roman" w:hAnsi="Times New Roman" w:cs="Times New Roman"/>
          <w:sz w:val="24"/>
          <w:szCs w:val="24"/>
        </w:rPr>
        <w:tab/>
        <w:t>Complainant,</w:t>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030013F9"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350AFAD2" w14:textId="239B89E5">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7C48E4">
        <w:rPr>
          <w:rFonts w:ascii="Times New Roman" w:hAnsi="Times New Roman" w:cs="Times New Roman"/>
          <w:sz w:val="24"/>
          <w:szCs w:val="24"/>
        </w:rPr>
        <w:t>v.</w:t>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01450916"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507A3D59"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Nationwide Energy Partners, LLC</w:t>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7C906D8D"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1D10F6" w:rsidRPr="007C48E4" w:rsidP="001D10F6" w14:paraId="4BC7A6F1" w14:textId="77777777">
      <w:pPr>
        <w:pStyle w:val="HTMLPreformatted"/>
        <w:rPr>
          <w:rFonts w:ascii="Times New Roman" w:hAnsi="Times New Roman" w:cs="Times New Roman"/>
          <w:sz w:val="24"/>
          <w:szCs w:val="24"/>
        </w:rPr>
      </w:pPr>
      <w:r w:rsidRPr="007C48E4">
        <w:rPr>
          <w:rFonts w:ascii="Times New Roman" w:hAnsi="Times New Roman" w:cs="Times New Roman"/>
          <w:sz w:val="24"/>
          <w:szCs w:val="24"/>
        </w:rPr>
        <w:tab/>
        <w:t>Respondent.</w:t>
      </w:r>
      <w:r w:rsidRPr="007C48E4">
        <w:rPr>
          <w:rFonts w:ascii="Times New Roman" w:hAnsi="Times New Roman" w:cs="Times New Roman"/>
          <w:sz w:val="24"/>
          <w:szCs w:val="24"/>
        </w:rPr>
        <w:tab/>
      </w:r>
      <w:r w:rsidRPr="007C48E4">
        <w:rPr>
          <w:rFonts w:ascii="Times New Roman" w:hAnsi="Times New Roman" w:cs="Times New Roman"/>
          <w:sz w:val="24"/>
          <w:szCs w:val="24"/>
        </w:rPr>
        <w:tab/>
      </w:r>
      <w:r w:rsidRPr="007C48E4">
        <w:rPr>
          <w:rFonts w:ascii="Times New Roman" w:hAnsi="Times New Roman" w:cs="Times New Roman"/>
          <w:sz w:val="24"/>
          <w:szCs w:val="24"/>
        </w:rPr>
        <w:tab/>
        <w:t>)</w:t>
      </w:r>
    </w:p>
    <w:p w:rsidR="00A044B5" w:rsidRPr="007C48E4" w14:paraId="455C5AF8" w14:textId="77777777">
      <w:pPr>
        <w:pStyle w:val="Heading2"/>
        <w:pBdr>
          <w:bottom w:val="single" w:sz="12" w:space="1" w:color="auto"/>
        </w:pBdr>
        <w:jc w:val="left"/>
        <w:rPr>
          <w:b w:val="0"/>
          <w:szCs w:val="24"/>
        </w:rPr>
      </w:pPr>
    </w:p>
    <w:p w:rsidR="00A044B5" w:rsidRPr="007C48E4" w14:paraId="031AB9C2" w14:textId="77777777">
      <w:pPr>
        <w:pStyle w:val="Heading2"/>
        <w:rPr>
          <w:szCs w:val="24"/>
        </w:rPr>
      </w:pPr>
    </w:p>
    <w:p w:rsidR="00A044B5" w:rsidRPr="007C48E4" w14:paraId="3354FCE7" w14:textId="77777777">
      <w:pPr>
        <w:pStyle w:val="Heading2"/>
        <w:pBdr>
          <w:bottom w:val="single" w:sz="12" w:space="1" w:color="auto"/>
        </w:pBdr>
        <w:rPr>
          <w:szCs w:val="24"/>
        </w:rPr>
      </w:pPr>
      <w:r w:rsidRPr="007C48E4">
        <w:rPr>
          <w:szCs w:val="24"/>
        </w:rPr>
        <w:t>MEMORANDUM IN SUPPORT</w:t>
      </w:r>
      <w:r w:rsidRPr="007C48E4">
        <w:rPr>
          <w:szCs w:val="24"/>
        </w:rPr>
        <w:br/>
      </w:r>
    </w:p>
    <w:p w:rsidR="00A044B5" w:rsidRPr="007C48E4" w14:paraId="5E76F0F3" w14:textId="77777777">
      <w:pPr>
        <w:pStyle w:val="BodyTextIndent"/>
        <w:spacing w:line="240" w:lineRule="auto"/>
        <w:ind w:firstLine="0"/>
        <w:rPr>
          <w:b/>
          <w:bCs/>
          <w:szCs w:val="24"/>
        </w:rPr>
      </w:pPr>
    </w:p>
    <w:p w:rsidR="00F2530E" w:rsidRPr="007C48E4" w:rsidP="00F2530E" w14:paraId="1406929D" w14:textId="671F8531">
      <w:pPr>
        <w:spacing w:line="480" w:lineRule="auto"/>
        <w:ind w:firstLine="720"/>
        <w:rPr>
          <w:szCs w:val="24"/>
        </w:rPr>
      </w:pPr>
      <w:r w:rsidRPr="007C48E4">
        <w:rPr>
          <w:szCs w:val="24"/>
        </w:rPr>
        <w:t>T</w:t>
      </w:r>
      <w:r w:rsidRPr="007C48E4" w:rsidR="00413D6B">
        <w:rPr>
          <w:szCs w:val="24"/>
        </w:rPr>
        <w:t>he PUCO</w:t>
      </w:r>
      <w:r w:rsidRPr="007C48E4">
        <w:rPr>
          <w:szCs w:val="24"/>
        </w:rPr>
        <w:t xml:space="preserve"> issued an</w:t>
      </w:r>
      <w:r w:rsidRPr="007C48E4" w:rsidR="00413D6B">
        <w:rPr>
          <w:szCs w:val="24"/>
        </w:rPr>
        <w:t xml:space="preserve"> Order</w:t>
      </w:r>
      <w:r w:rsidRPr="007C48E4" w:rsidR="00E727BF">
        <w:rPr>
          <w:szCs w:val="24"/>
        </w:rPr>
        <w:t xml:space="preserve"> </w:t>
      </w:r>
      <w:r w:rsidRPr="007C48E4">
        <w:rPr>
          <w:szCs w:val="24"/>
        </w:rPr>
        <w:t xml:space="preserve">that </w:t>
      </w:r>
      <w:r w:rsidRPr="007C48E4" w:rsidR="00E727BF">
        <w:rPr>
          <w:szCs w:val="24"/>
        </w:rPr>
        <w:t>harms</w:t>
      </w:r>
      <w:r w:rsidRPr="007C48E4">
        <w:rPr>
          <w:szCs w:val="24"/>
        </w:rPr>
        <w:t xml:space="preserve"> </w:t>
      </w:r>
      <w:r w:rsidRPr="007C48E4" w:rsidR="00413D6B">
        <w:rPr>
          <w:szCs w:val="24"/>
        </w:rPr>
        <w:t>o</w:t>
      </w:r>
      <w:r w:rsidRPr="007C48E4" w:rsidR="00342F0A">
        <w:rPr>
          <w:szCs w:val="24"/>
        </w:rPr>
        <w:t xml:space="preserve">ver one thousand </w:t>
      </w:r>
      <w:r w:rsidRPr="007C48E4" w:rsidR="00F92022">
        <w:rPr>
          <w:szCs w:val="24"/>
        </w:rPr>
        <w:t>apartment complex residents</w:t>
      </w:r>
      <w:r w:rsidRPr="007C48E4">
        <w:rPr>
          <w:szCs w:val="24"/>
        </w:rPr>
        <w:t xml:space="preserve"> who receive submetered electric utility service from Nationwide Energy Partners (“NEP”). </w:t>
      </w:r>
      <w:r w:rsidRPr="007C48E4" w:rsidR="006D6098">
        <w:rPr>
          <w:szCs w:val="24"/>
        </w:rPr>
        <w:t xml:space="preserve">The PUCO </w:t>
      </w:r>
      <w:r w:rsidRPr="007C48E4" w:rsidR="00F65BAD">
        <w:rPr>
          <w:szCs w:val="24"/>
        </w:rPr>
        <w:t>plainly</w:t>
      </w:r>
      <w:r w:rsidRPr="007C48E4" w:rsidR="004557D7">
        <w:rPr>
          <w:szCs w:val="24"/>
        </w:rPr>
        <w:t xml:space="preserve"> states </w:t>
      </w:r>
      <w:r w:rsidRPr="007C48E4" w:rsidR="006D6098">
        <w:rPr>
          <w:szCs w:val="24"/>
        </w:rPr>
        <w:t xml:space="preserve">in the Order that these consumers </w:t>
      </w:r>
      <w:r w:rsidR="00783E79">
        <w:rPr>
          <w:szCs w:val="24"/>
        </w:rPr>
        <w:t xml:space="preserve">will </w:t>
      </w:r>
      <w:r w:rsidRPr="007C48E4" w:rsidR="006D6098">
        <w:rPr>
          <w:b/>
          <w:bCs/>
          <w:i/>
          <w:iCs/>
          <w:szCs w:val="24"/>
        </w:rPr>
        <w:t>lose rights under Ohio law</w:t>
      </w:r>
      <w:r w:rsidRPr="007C48E4" w:rsidR="006D6098">
        <w:rPr>
          <w:szCs w:val="24"/>
        </w:rPr>
        <w:t xml:space="preserve"> </w:t>
      </w:r>
      <w:r w:rsidRPr="007C48E4" w:rsidR="004557D7">
        <w:rPr>
          <w:szCs w:val="24"/>
        </w:rPr>
        <w:t>when the</w:t>
      </w:r>
      <w:r w:rsidRPr="007C48E4" w:rsidR="008C09BD">
        <w:rPr>
          <w:szCs w:val="24"/>
        </w:rPr>
        <w:t xml:space="preserve">ir landlords use </w:t>
      </w:r>
      <w:r w:rsidRPr="007C48E4" w:rsidR="006D6098">
        <w:rPr>
          <w:szCs w:val="24"/>
        </w:rPr>
        <w:t>NEP</w:t>
      </w:r>
      <w:r w:rsidRPr="007C48E4" w:rsidR="008C09BD">
        <w:rPr>
          <w:szCs w:val="24"/>
        </w:rPr>
        <w:t xml:space="preserve"> for</w:t>
      </w:r>
      <w:r w:rsidRPr="007C48E4" w:rsidR="006D6098">
        <w:rPr>
          <w:szCs w:val="24"/>
        </w:rPr>
        <w:t xml:space="preserve"> submetering </w:t>
      </w:r>
      <w:r w:rsidRPr="007C48E4" w:rsidR="004557D7">
        <w:rPr>
          <w:szCs w:val="24"/>
        </w:rPr>
        <w:t xml:space="preserve">electric utility </w:t>
      </w:r>
      <w:r w:rsidRPr="007C48E4" w:rsidR="006D6098">
        <w:rPr>
          <w:szCs w:val="24"/>
        </w:rPr>
        <w:t>service.</w:t>
      </w:r>
      <w:r>
        <w:rPr>
          <w:rStyle w:val="FootnoteReference"/>
          <w:szCs w:val="24"/>
        </w:rPr>
        <w:footnoteReference w:id="6"/>
      </w:r>
      <w:r w:rsidRPr="007C48E4" w:rsidR="006D6098">
        <w:rPr>
          <w:szCs w:val="24"/>
        </w:rPr>
        <w:t xml:space="preserve"> </w:t>
      </w:r>
      <w:r w:rsidRPr="007C48E4" w:rsidR="00F65BAD">
        <w:rPr>
          <w:szCs w:val="24"/>
        </w:rPr>
        <w:t>These r</w:t>
      </w:r>
      <w:r w:rsidRPr="007C48E4">
        <w:rPr>
          <w:szCs w:val="24"/>
        </w:rPr>
        <w:t>esidential consumers should have</w:t>
      </w:r>
      <w:r w:rsidRPr="007C48E4" w:rsidR="006D6098">
        <w:rPr>
          <w:szCs w:val="24"/>
        </w:rPr>
        <w:t xml:space="preserve"> </w:t>
      </w:r>
      <w:r w:rsidRPr="007C48E4" w:rsidR="00F65BAD">
        <w:rPr>
          <w:szCs w:val="24"/>
        </w:rPr>
        <w:t xml:space="preserve">had </w:t>
      </w:r>
      <w:r w:rsidRPr="007C48E4" w:rsidR="006D6098">
        <w:rPr>
          <w:szCs w:val="24"/>
        </w:rPr>
        <w:t>an opportunity to have</w:t>
      </w:r>
      <w:r w:rsidRPr="007C48E4">
        <w:rPr>
          <w:szCs w:val="24"/>
        </w:rPr>
        <w:t xml:space="preserve"> their voices heard through their state legal advocate (OCC)</w:t>
      </w:r>
      <w:r w:rsidRPr="007C48E4" w:rsidR="00F65BAD">
        <w:rPr>
          <w:szCs w:val="24"/>
        </w:rPr>
        <w:t xml:space="preserve"> during the proceeding</w:t>
      </w:r>
      <w:r w:rsidRPr="007C48E4" w:rsidR="00A30D6E">
        <w:rPr>
          <w:szCs w:val="24"/>
        </w:rPr>
        <w:t>.</w:t>
      </w:r>
      <w:r w:rsidRPr="007C48E4" w:rsidR="00156B16">
        <w:rPr>
          <w:szCs w:val="24"/>
        </w:rPr>
        <w:t xml:space="preserve"> The</w:t>
      </w:r>
      <w:r w:rsidRPr="007C48E4" w:rsidR="00A30D6E">
        <w:rPr>
          <w:szCs w:val="24"/>
        </w:rPr>
        <w:t xml:space="preserve"> PUCO should grant OCC’s motion for leave to file t</w:t>
      </w:r>
      <w:r w:rsidRPr="007C48E4">
        <w:rPr>
          <w:szCs w:val="24"/>
        </w:rPr>
        <w:t xml:space="preserve">he attached Application for Rehearing. </w:t>
      </w:r>
    </w:p>
    <w:p w:rsidR="007B41FC" w:rsidRPr="007C48E4" w:rsidP="00A30D6E" w14:paraId="5B335FEF" w14:textId="59471A59">
      <w:pPr>
        <w:spacing w:line="480" w:lineRule="auto"/>
        <w:ind w:firstLine="720"/>
        <w:rPr>
          <w:szCs w:val="24"/>
        </w:rPr>
      </w:pPr>
      <w:r w:rsidRPr="007C48E4">
        <w:rPr>
          <w:szCs w:val="24"/>
        </w:rPr>
        <w:t>R</w:t>
      </w:r>
      <w:r w:rsidRPr="007C48E4" w:rsidR="00F2530E">
        <w:rPr>
          <w:szCs w:val="24"/>
        </w:rPr>
        <w:t xml:space="preserve">esidential </w:t>
      </w:r>
      <w:r w:rsidRPr="007C48E4" w:rsidR="00A30D6E">
        <w:rPr>
          <w:szCs w:val="24"/>
        </w:rPr>
        <w:t xml:space="preserve">utility </w:t>
      </w:r>
      <w:r w:rsidRPr="007C48E4" w:rsidR="00F2530E">
        <w:rPr>
          <w:szCs w:val="24"/>
        </w:rPr>
        <w:t xml:space="preserve">consumers </w:t>
      </w:r>
      <w:r w:rsidRPr="007C48E4" w:rsidR="00F37058">
        <w:rPr>
          <w:szCs w:val="24"/>
        </w:rPr>
        <w:t xml:space="preserve">affected by the Order </w:t>
      </w:r>
      <w:r w:rsidR="00783E79">
        <w:rPr>
          <w:szCs w:val="24"/>
        </w:rPr>
        <w:t>will</w:t>
      </w:r>
      <w:r w:rsidRPr="007C48E4" w:rsidR="00A30D6E">
        <w:rPr>
          <w:szCs w:val="24"/>
        </w:rPr>
        <w:t xml:space="preserve"> lose important consumer protections under Ohio law that they would otherwise receive </w:t>
      </w:r>
      <w:r w:rsidRPr="007C48E4">
        <w:rPr>
          <w:szCs w:val="24"/>
        </w:rPr>
        <w:t xml:space="preserve">if they were served directly by </w:t>
      </w:r>
      <w:r w:rsidRPr="007C48E4" w:rsidR="00F37058">
        <w:rPr>
          <w:szCs w:val="24"/>
        </w:rPr>
        <w:t xml:space="preserve">PUCO-regulated electric utility </w:t>
      </w:r>
      <w:r w:rsidRPr="007C48E4" w:rsidR="00A30D6E">
        <w:rPr>
          <w:szCs w:val="24"/>
        </w:rPr>
        <w:t>AEP Ohio</w:t>
      </w:r>
      <w:r w:rsidRPr="007C48E4" w:rsidR="00F37058">
        <w:rPr>
          <w:szCs w:val="24"/>
        </w:rPr>
        <w:t>. The</w:t>
      </w:r>
      <w:r w:rsidRPr="007C48E4">
        <w:rPr>
          <w:szCs w:val="24"/>
        </w:rPr>
        <w:t xml:space="preserve"> only reason these consumers </w:t>
      </w:r>
      <w:r w:rsidR="00783E79">
        <w:rPr>
          <w:szCs w:val="24"/>
        </w:rPr>
        <w:t xml:space="preserve">are </w:t>
      </w:r>
      <w:r w:rsidRPr="007C48E4" w:rsidR="00F37058">
        <w:rPr>
          <w:szCs w:val="24"/>
        </w:rPr>
        <w:t>losing their</w:t>
      </w:r>
      <w:r w:rsidRPr="007C48E4">
        <w:rPr>
          <w:szCs w:val="24"/>
        </w:rPr>
        <w:t xml:space="preserve"> legal</w:t>
      </w:r>
      <w:r w:rsidRPr="007C48E4" w:rsidR="00F37058">
        <w:rPr>
          <w:szCs w:val="24"/>
        </w:rPr>
        <w:t xml:space="preserve"> rights</w:t>
      </w:r>
      <w:r w:rsidRPr="007C48E4">
        <w:rPr>
          <w:szCs w:val="24"/>
        </w:rPr>
        <w:t xml:space="preserve"> is</w:t>
      </w:r>
      <w:r w:rsidRPr="007C48E4" w:rsidR="00F37058">
        <w:rPr>
          <w:szCs w:val="24"/>
        </w:rPr>
        <w:t xml:space="preserve"> because they </w:t>
      </w:r>
      <w:r w:rsidRPr="007C48E4">
        <w:rPr>
          <w:szCs w:val="24"/>
        </w:rPr>
        <w:t xml:space="preserve">happen to </w:t>
      </w:r>
      <w:r w:rsidRPr="007C48E4" w:rsidR="00A30D6E">
        <w:rPr>
          <w:szCs w:val="24"/>
        </w:rPr>
        <w:t xml:space="preserve">live in an apartment complex where the landlord uses </w:t>
      </w:r>
      <w:r w:rsidRPr="007C48E4" w:rsidR="00F2530E">
        <w:rPr>
          <w:szCs w:val="24"/>
        </w:rPr>
        <w:t>NEP</w:t>
      </w:r>
      <w:r w:rsidRPr="007C48E4">
        <w:rPr>
          <w:szCs w:val="24"/>
        </w:rPr>
        <w:t>’s submetering service</w:t>
      </w:r>
      <w:r w:rsidRPr="007C48E4" w:rsidR="00A30D6E">
        <w:rPr>
          <w:szCs w:val="24"/>
        </w:rPr>
        <w:t>.</w:t>
      </w:r>
      <w:r>
        <w:rPr>
          <w:rStyle w:val="FootnoteReference"/>
          <w:szCs w:val="24"/>
        </w:rPr>
        <w:footnoteReference w:id="7"/>
      </w:r>
      <w:r w:rsidRPr="007C48E4" w:rsidR="009C4AF5">
        <w:rPr>
          <w:szCs w:val="24"/>
        </w:rPr>
        <w:t xml:space="preserve"> </w:t>
      </w:r>
      <w:r w:rsidRPr="007C48E4">
        <w:rPr>
          <w:szCs w:val="24"/>
        </w:rPr>
        <w:t>T</w:t>
      </w:r>
      <w:r w:rsidRPr="007C48E4" w:rsidR="00F2530E">
        <w:rPr>
          <w:szCs w:val="24"/>
        </w:rPr>
        <w:t xml:space="preserve">he </w:t>
      </w:r>
      <w:r w:rsidRPr="007C48E4" w:rsidR="00413D6B">
        <w:rPr>
          <w:szCs w:val="24"/>
        </w:rPr>
        <w:t>PUCO</w:t>
      </w:r>
      <w:r w:rsidRPr="007C48E4" w:rsidR="006661E4">
        <w:rPr>
          <w:szCs w:val="24"/>
        </w:rPr>
        <w:t xml:space="preserve"> directs</w:t>
      </w:r>
      <w:r w:rsidRPr="007C48E4" w:rsidR="00F37058">
        <w:rPr>
          <w:szCs w:val="24"/>
        </w:rPr>
        <w:t xml:space="preserve"> the</w:t>
      </w:r>
      <w:r w:rsidRPr="007C48E4" w:rsidR="00F92022">
        <w:rPr>
          <w:szCs w:val="24"/>
        </w:rPr>
        <w:t xml:space="preserve"> landlords of the</w:t>
      </w:r>
      <w:r w:rsidRPr="007C48E4" w:rsidR="00F37058">
        <w:rPr>
          <w:szCs w:val="24"/>
        </w:rPr>
        <w:t>se</w:t>
      </w:r>
      <w:r w:rsidRPr="007C48E4" w:rsidR="00F92022">
        <w:rPr>
          <w:szCs w:val="24"/>
        </w:rPr>
        <w:t xml:space="preserve"> </w:t>
      </w:r>
      <w:r w:rsidRPr="007C48E4" w:rsidR="00F37058">
        <w:rPr>
          <w:szCs w:val="24"/>
        </w:rPr>
        <w:t xml:space="preserve">NEP-submetered </w:t>
      </w:r>
      <w:r w:rsidRPr="007C48E4" w:rsidR="00F92022">
        <w:rPr>
          <w:szCs w:val="24"/>
        </w:rPr>
        <w:t xml:space="preserve">apartment complexes to notify </w:t>
      </w:r>
      <w:r w:rsidRPr="007C48E4" w:rsidR="00257E5B">
        <w:rPr>
          <w:szCs w:val="24"/>
        </w:rPr>
        <w:t xml:space="preserve">consumers </w:t>
      </w:r>
      <w:r w:rsidRPr="007C48E4" w:rsidR="00271DF4">
        <w:rPr>
          <w:szCs w:val="24"/>
        </w:rPr>
        <w:t xml:space="preserve">in their </w:t>
      </w:r>
      <w:r w:rsidRPr="007C48E4" w:rsidR="00F92022">
        <w:rPr>
          <w:szCs w:val="24"/>
        </w:rPr>
        <w:t>lease</w:t>
      </w:r>
      <w:r w:rsidRPr="007C48E4" w:rsidR="00271DF4">
        <w:rPr>
          <w:szCs w:val="24"/>
        </w:rPr>
        <w:t xml:space="preserve">s that </w:t>
      </w:r>
      <w:r w:rsidRPr="007C48E4" w:rsidR="00F92022">
        <w:rPr>
          <w:szCs w:val="24"/>
        </w:rPr>
        <w:t>they will “lose[] the rights under law associated with being under the [PUCO’s] jurisdiction.”</w:t>
      </w:r>
      <w:r>
        <w:rPr>
          <w:rStyle w:val="FootnoteReference"/>
          <w:szCs w:val="24"/>
        </w:rPr>
        <w:footnoteReference w:id="8"/>
      </w:r>
      <w:r w:rsidRPr="007C48E4" w:rsidR="00F92022">
        <w:rPr>
          <w:szCs w:val="24"/>
        </w:rPr>
        <w:t xml:space="preserve"> </w:t>
      </w:r>
      <w:r w:rsidRPr="007C48E4" w:rsidR="00A30D6E">
        <w:rPr>
          <w:szCs w:val="24"/>
        </w:rPr>
        <w:t xml:space="preserve">That is wrong and </w:t>
      </w:r>
      <w:r w:rsidRPr="007C48E4" w:rsidR="00F37058">
        <w:rPr>
          <w:szCs w:val="24"/>
        </w:rPr>
        <w:t xml:space="preserve">patently </w:t>
      </w:r>
      <w:r w:rsidRPr="007C48E4" w:rsidR="00A30D6E">
        <w:rPr>
          <w:szCs w:val="24"/>
        </w:rPr>
        <w:t>unfair</w:t>
      </w:r>
      <w:r w:rsidRPr="007C48E4">
        <w:rPr>
          <w:szCs w:val="24"/>
        </w:rPr>
        <w:t xml:space="preserve"> to consumers.</w:t>
      </w:r>
    </w:p>
    <w:p w:rsidR="00BE2086" w:rsidRPr="007C48E4" w:rsidP="006D6098" w14:paraId="5CF437ED" w14:textId="48352126">
      <w:pPr>
        <w:spacing w:line="480" w:lineRule="auto"/>
        <w:ind w:firstLine="720"/>
        <w:rPr>
          <w:szCs w:val="24"/>
        </w:rPr>
      </w:pPr>
      <w:r w:rsidRPr="007C48E4">
        <w:rPr>
          <w:szCs w:val="24"/>
        </w:rPr>
        <w:t xml:space="preserve">OCC moved to intervene in this case to </w:t>
      </w:r>
      <w:r w:rsidRPr="007C48E4" w:rsidR="00271DF4">
        <w:rPr>
          <w:szCs w:val="24"/>
        </w:rPr>
        <w:t>give a voice to the residential consumers</w:t>
      </w:r>
      <w:r w:rsidRPr="007C48E4" w:rsidR="00EA61E1">
        <w:rPr>
          <w:szCs w:val="24"/>
        </w:rPr>
        <w:t xml:space="preserve"> adversely affected by the PUCO’s Order</w:t>
      </w:r>
      <w:r w:rsidRPr="007C48E4" w:rsidR="00271DF4">
        <w:rPr>
          <w:szCs w:val="24"/>
        </w:rPr>
        <w:t xml:space="preserve">. </w:t>
      </w:r>
      <w:r w:rsidRPr="007C48E4" w:rsidR="00A30D6E">
        <w:rPr>
          <w:szCs w:val="24"/>
        </w:rPr>
        <w:t>Not surprisingly,</w:t>
      </w:r>
      <w:r w:rsidRPr="007C48E4" w:rsidR="00EA61E1">
        <w:rPr>
          <w:szCs w:val="24"/>
        </w:rPr>
        <w:t xml:space="preserve"> NEP opposed OCC’s </w:t>
      </w:r>
      <w:r w:rsidRPr="007C48E4" w:rsidR="00435E5B">
        <w:rPr>
          <w:szCs w:val="24"/>
        </w:rPr>
        <w:t>participation to</w:t>
      </w:r>
      <w:r w:rsidRPr="007C48E4" w:rsidR="00EA61E1">
        <w:rPr>
          <w:szCs w:val="24"/>
        </w:rPr>
        <w:t xml:space="preserve"> protect consumers</w:t>
      </w:r>
      <w:r w:rsidRPr="007C48E4" w:rsidR="00A30D6E">
        <w:rPr>
          <w:szCs w:val="24"/>
        </w:rPr>
        <w:t xml:space="preserve">. </w:t>
      </w:r>
      <w:r w:rsidRPr="007C48E4" w:rsidR="00F37058">
        <w:rPr>
          <w:szCs w:val="24"/>
        </w:rPr>
        <w:t>W</w:t>
      </w:r>
      <w:r w:rsidRPr="007C48E4" w:rsidR="00A30D6E">
        <w:rPr>
          <w:szCs w:val="24"/>
        </w:rPr>
        <w:t xml:space="preserve">hat was surprising was </w:t>
      </w:r>
      <w:r w:rsidRPr="007C48E4" w:rsidR="00A30D6E">
        <w:rPr>
          <w:b/>
          <w:bCs/>
          <w:i/>
          <w:iCs/>
          <w:szCs w:val="24"/>
        </w:rPr>
        <w:t xml:space="preserve">the </w:t>
      </w:r>
      <w:r w:rsidRPr="007C48E4" w:rsidR="00271DF4">
        <w:rPr>
          <w:b/>
          <w:bCs/>
          <w:i/>
          <w:iCs/>
          <w:szCs w:val="24"/>
        </w:rPr>
        <w:t>PUCO</w:t>
      </w:r>
      <w:r w:rsidRPr="007C48E4" w:rsidR="00A30D6E">
        <w:rPr>
          <w:b/>
          <w:bCs/>
          <w:i/>
          <w:iCs/>
          <w:szCs w:val="24"/>
        </w:rPr>
        <w:t>’s decision to silence residential consumers’ voice</w:t>
      </w:r>
      <w:r w:rsidRPr="007C48E4" w:rsidR="00A30D6E">
        <w:rPr>
          <w:szCs w:val="24"/>
        </w:rPr>
        <w:t xml:space="preserve"> in this matter by </w:t>
      </w:r>
      <w:r w:rsidRPr="007C48E4" w:rsidR="00271DF4">
        <w:rPr>
          <w:szCs w:val="24"/>
        </w:rPr>
        <w:t>den</w:t>
      </w:r>
      <w:r w:rsidRPr="007C48E4" w:rsidR="00A30D6E">
        <w:rPr>
          <w:szCs w:val="24"/>
        </w:rPr>
        <w:t>ying</w:t>
      </w:r>
      <w:r w:rsidRPr="007C48E4" w:rsidR="00271DF4">
        <w:rPr>
          <w:szCs w:val="24"/>
        </w:rPr>
        <w:t xml:space="preserve"> OCC’s intervention.</w:t>
      </w:r>
      <w:r>
        <w:rPr>
          <w:rStyle w:val="FootnoteReference"/>
          <w:szCs w:val="24"/>
        </w:rPr>
        <w:footnoteReference w:id="9"/>
      </w:r>
      <w:r w:rsidRPr="007C48E4" w:rsidR="00271DF4">
        <w:rPr>
          <w:szCs w:val="24"/>
        </w:rPr>
        <w:t xml:space="preserve"> </w:t>
      </w:r>
      <w:r w:rsidRPr="007C48E4">
        <w:rPr>
          <w:szCs w:val="24"/>
        </w:rPr>
        <w:t xml:space="preserve">OCC </w:t>
      </w:r>
      <w:r w:rsidR="00C00556">
        <w:rPr>
          <w:szCs w:val="24"/>
        </w:rPr>
        <w:t xml:space="preserve">filed </w:t>
      </w:r>
      <w:r w:rsidRPr="007C48E4">
        <w:rPr>
          <w:szCs w:val="24"/>
        </w:rPr>
        <w:t>an Interlocutory Appeal</w:t>
      </w:r>
      <w:r w:rsidRPr="007C48E4" w:rsidR="00F37058">
        <w:rPr>
          <w:szCs w:val="24"/>
        </w:rPr>
        <w:t xml:space="preserve"> </w:t>
      </w:r>
      <w:r w:rsidRPr="007C48E4">
        <w:rPr>
          <w:szCs w:val="24"/>
        </w:rPr>
        <w:t>to the PUCO Commissioners</w:t>
      </w:r>
      <w:r w:rsidRPr="007C48E4" w:rsidR="00156B16">
        <w:rPr>
          <w:szCs w:val="24"/>
        </w:rPr>
        <w:t xml:space="preserve"> challenging</w:t>
      </w:r>
      <w:r w:rsidRPr="007C48E4">
        <w:rPr>
          <w:szCs w:val="24"/>
        </w:rPr>
        <w:t xml:space="preserve"> the Attorney Examiner’s decision</w:t>
      </w:r>
      <w:r w:rsidRPr="007C48E4" w:rsidR="00F37058">
        <w:rPr>
          <w:szCs w:val="24"/>
        </w:rPr>
        <w:t xml:space="preserve"> </w:t>
      </w:r>
      <w:r w:rsidRPr="007C48E4" w:rsidR="00156B16">
        <w:rPr>
          <w:szCs w:val="24"/>
        </w:rPr>
        <w:t>to deny</w:t>
      </w:r>
      <w:r w:rsidRPr="007C48E4" w:rsidR="00F37058">
        <w:rPr>
          <w:szCs w:val="24"/>
        </w:rPr>
        <w:t xml:space="preserve"> OCC’s intervention</w:t>
      </w:r>
      <w:r w:rsidRPr="007C48E4" w:rsidR="004557D7">
        <w:rPr>
          <w:szCs w:val="24"/>
        </w:rPr>
        <w:t xml:space="preserve"> in this case</w:t>
      </w:r>
      <w:r w:rsidRPr="007C48E4">
        <w:rPr>
          <w:szCs w:val="24"/>
        </w:rPr>
        <w:t>.</w:t>
      </w:r>
      <w:r>
        <w:rPr>
          <w:rStyle w:val="FootnoteReference"/>
          <w:szCs w:val="24"/>
        </w:rPr>
        <w:footnoteReference w:id="10"/>
      </w:r>
      <w:r w:rsidRPr="007C48E4">
        <w:rPr>
          <w:szCs w:val="24"/>
        </w:rPr>
        <w:t xml:space="preserve"> </w:t>
      </w:r>
      <w:r w:rsidRPr="007C48E4" w:rsidR="00156B16">
        <w:rPr>
          <w:szCs w:val="24"/>
        </w:rPr>
        <w:t>But t</w:t>
      </w:r>
      <w:r w:rsidRPr="007C48E4">
        <w:rPr>
          <w:szCs w:val="24"/>
        </w:rPr>
        <w:t>he PUCO upheld the Attorney Examiner’s decision</w:t>
      </w:r>
      <w:r w:rsidRPr="007C48E4" w:rsidR="004557D7">
        <w:rPr>
          <w:szCs w:val="24"/>
        </w:rPr>
        <w:t>.</w:t>
      </w:r>
      <w:r>
        <w:rPr>
          <w:rStyle w:val="FootnoteReference"/>
          <w:szCs w:val="24"/>
        </w:rPr>
        <w:footnoteReference w:id="11"/>
      </w:r>
      <w:r w:rsidRPr="007C48E4" w:rsidR="00F37058">
        <w:rPr>
          <w:szCs w:val="24"/>
        </w:rPr>
        <w:t xml:space="preserve"> </w:t>
      </w:r>
      <w:r w:rsidRPr="007C48E4">
        <w:rPr>
          <w:szCs w:val="24"/>
        </w:rPr>
        <w:t>OCC filed an application for rehearing of the PUCO’s</w:t>
      </w:r>
      <w:r w:rsidRPr="007C48E4" w:rsidR="00156B16">
        <w:rPr>
          <w:szCs w:val="24"/>
        </w:rPr>
        <w:t xml:space="preserve"> decision</w:t>
      </w:r>
      <w:r w:rsidRPr="007C48E4">
        <w:rPr>
          <w:szCs w:val="24"/>
        </w:rPr>
        <w:t>.</w:t>
      </w:r>
      <w:r>
        <w:rPr>
          <w:rStyle w:val="FootnoteReference"/>
          <w:szCs w:val="24"/>
        </w:rPr>
        <w:footnoteReference w:id="12"/>
      </w:r>
      <w:r w:rsidRPr="007C48E4">
        <w:rPr>
          <w:szCs w:val="24"/>
        </w:rPr>
        <w:t xml:space="preserve"> </w:t>
      </w:r>
      <w:r w:rsidR="00C00556">
        <w:rPr>
          <w:szCs w:val="24"/>
        </w:rPr>
        <w:t xml:space="preserve">The </w:t>
      </w:r>
      <w:r w:rsidRPr="007C48E4">
        <w:rPr>
          <w:szCs w:val="24"/>
        </w:rPr>
        <w:t xml:space="preserve">PUCO never </w:t>
      </w:r>
      <w:r w:rsidRPr="007C48E4" w:rsidR="00156B16">
        <w:rPr>
          <w:szCs w:val="24"/>
        </w:rPr>
        <w:t xml:space="preserve">ruled on </w:t>
      </w:r>
      <w:r w:rsidRPr="007C48E4">
        <w:rPr>
          <w:szCs w:val="24"/>
        </w:rPr>
        <w:t xml:space="preserve">OCC’s application for rehearing, </w:t>
      </w:r>
      <w:r w:rsidRPr="007C48E4" w:rsidR="00156B16">
        <w:rPr>
          <w:szCs w:val="24"/>
        </w:rPr>
        <w:t xml:space="preserve">and it was </w:t>
      </w:r>
      <w:r w:rsidRPr="007C48E4">
        <w:rPr>
          <w:szCs w:val="24"/>
        </w:rPr>
        <w:t>den</w:t>
      </w:r>
      <w:r w:rsidRPr="007C48E4" w:rsidR="00156B16">
        <w:rPr>
          <w:szCs w:val="24"/>
        </w:rPr>
        <w:t>ied</w:t>
      </w:r>
      <w:r w:rsidRPr="007C48E4">
        <w:rPr>
          <w:szCs w:val="24"/>
        </w:rPr>
        <w:t xml:space="preserve"> by operation of law.</w:t>
      </w:r>
      <w:r>
        <w:rPr>
          <w:rStyle w:val="FootnoteReference"/>
          <w:szCs w:val="24"/>
        </w:rPr>
        <w:footnoteReference w:id="13"/>
      </w:r>
    </w:p>
    <w:p w:rsidR="006661E4" w:rsidRPr="007C48E4" w:rsidP="00D07166" w14:paraId="201272B7" w14:textId="1F00427C">
      <w:pPr>
        <w:spacing w:line="480" w:lineRule="auto"/>
        <w:ind w:firstLine="720"/>
        <w:rPr>
          <w:szCs w:val="24"/>
        </w:rPr>
      </w:pPr>
      <w:r w:rsidRPr="007C48E4">
        <w:rPr>
          <w:szCs w:val="24"/>
        </w:rPr>
        <w:t>Because OCC was denied intervention,</w:t>
      </w:r>
      <w:r w:rsidRPr="007C48E4" w:rsidR="007B41FC">
        <w:rPr>
          <w:szCs w:val="24"/>
        </w:rPr>
        <w:t xml:space="preserve"> </w:t>
      </w:r>
      <w:r w:rsidRPr="007C48E4" w:rsidR="00E10763">
        <w:rPr>
          <w:szCs w:val="24"/>
        </w:rPr>
        <w:t>it</w:t>
      </w:r>
      <w:r w:rsidRPr="007C48E4" w:rsidR="007B41FC">
        <w:rPr>
          <w:szCs w:val="24"/>
        </w:rPr>
        <w:t xml:space="preserve"> </w:t>
      </w:r>
      <w:r w:rsidRPr="007C48E4" w:rsidR="00413D6B">
        <w:rPr>
          <w:szCs w:val="24"/>
        </w:rPr>
        <w:t>is not a</w:t>
      </w:r>
      <w:r w:rsidRPr="007C48E4" w:rsidR="007B41FC">
        <w:rPr>
          <w:szCs w:val="24"/>
        </w:rPr>
        <w:t xml:space="preserve"> “party” </w:t>
      </w:r>
      <w:r w:rsidRPr="007C48E4" w:rsidR="00413D6B">
        <w:rPr>
          <w:szCs w:val="24"/>
        </w:rPr>
        <w:t>to</w:t>
      </w:r>
      <w:r w:rsidRPr="007C48E4" w:rsidR="007B41FC">
        <w:rPr>
          <w:szCs w:val="24"/>
        </w:rPr>
        <w:t xml:space="preserve"> this case</w:t>
      </w:r>
      <w:r w:rsidRPr="007C48E4" w:rsidR="00356224">
        <w:rPr>
          <w:szCs w:val="24"/>
        </w:rPr>
        <w:t>.</w:t>
      </w:r>
      <w:r>
        <w:rPr>
          <w:rStyle w:val="FootnoteReference"/>
          <w:szCs w:val="24"/>
        </w:rPr>
        <w:footnoteReference w:id="14"/>
      </w:r>
      <w:r w:rsidRPr="007C48E4">
        <w:rPr>
          <w:szCs w:val="24"/>
        </w:rPr>
        <w:t xml:space="preserve"> Thus, R.C. 4903.10</w:t>
      </w:r>
      <w:r w:rsidRPr="007C48E4" w:rsidR="00156B16">
        <w:rPr>
          <w:szCs w:val="24"/>
        </w:rPr>
        <w:t xml:space="preserve"> requires</w:t>
      </w:r>
      <w:r w:rsidRPr="007C48E4">
        <w:rPr>
          <w:szCs w:val="24"/>
        </w:rPr>
        <w:t xml:space="preserve"> OCC</w:t>
      </w:r>
      <w:r w:rsidRPr="007C48E4" w:rsidR="00156B16">
        <w:rPr>
          <w:szCs w:val="24"/>
        </w:rPr>
        <w:t xml:space="preserve"> to</w:t>
      </w:r>
      <w:r w:rsidRPr="007C48E4">
        <w:rPr>
          <w:szCs w:val="24"/>
        </w:rPr>
        <w:t xml:space="preserve"> seek leave from the PUCO </w:t>
      </w:r>
      <w:r w:rsidRPr="007C48E4" w:rsidR="00E10763">
        <w:rPr>
          <w:szCs w:val="24"/>
        </w:rPr>
        <w:t>to</w:t>
      </w:r>
      <w:r w:rsidRPr="007C48E4">
        <w:rPr>
          <w:szCs w:val="24"/>
        </w:rPr>
        <w:t xml:space="preserve"> file the Application for Rehearing of the PUCO’s Order. The PUCO should grant OCC’s Motion for Leave to file the attached Application for Rehearing Instanter. </w:t>
      </w:r>
      <w:r w:rsidRPr="007C48E4" w:rsidR="00E10763">
        <w:rPr>
          <w:szCs w:val="24"/>
        </w:rPr>
        <w:t>R</w:t>
      </w:r>
      <w:r w:rsidRPr="007C48E4">
        <w:rPr>
          <w:szCs w:val="24"/>
        </w:rPr>
        <w:t>esidential consumers</w:t>
      </w:r>
      <w:r w:rsidRPr="007C48E4" w:rsidR="00E10763">
        <w:rPr>
          <w:szCs w:val="24"/>
        </w:rPr>
        <w:t xml:space="preserve"> harmed by the </w:t>
      </w:r>
      <w:r w:rsidRPr="007C48E4">
        <w:rPr>
          <w:szCs w:val="24"/>
        </w:rPr>
        <w:t>PUCO’s Order have the right to be heard.</w:t>
      </w:r>
      <w:r w:rsidR="00EB3BE2">
        <w:rPr>
          <w:szCs w:val="24"/>
        </w:rPr>
        <w:t xml:space="preserve"> </w:t>
      </w:r>
    </w:p>
    <w:p w:rsidR="006661E4" w:rsidRPr="007C48E4" w:rsidP="00E504E1" w14:paraId="7EC7945E" w14:textId="36319B28">
      <w:pPr>
        <w:spacing w:line="480" w:lineRule="auto"/>
        <w:ind w:firstLine="720"/>
        <w:rPr>
          <w:szCs w:val="24"/>
        </w:rPr>
      </w:pPr>
      <w:r w:rsidRPr="007C48E4">
        <w:rPr>
          <w:szCs w:val="24"/>
        </w:rPr>
        <w:t>T</w:t>
      </w:r>
      <w:r w:rsidRPr="007C48E4" w:rsidR="00D67BF7">
        <w:rPr>
          <w:szCs w:val="24"/>
        </w:rPr>
        <w:t>he Ohio</w:t>
      </w:r>
      <w:r w:rsidR="00C00556">
        <w:rPr>
          <w:szCs w:val="24"/>
        </w:rPr>
        <w:t xml:space="preserve"> Supreme Court</w:t>
      </w:r>
      <w:r w:rsidRPr="007C48E4" w:rsidR="00D67BF7">
        <w:rPr>
          <w:szCs w:val="24"/>
        </w:rPr>
        <w:t xml:space="preserve"> has </w:t>
      </w:r>
      <w:bookmarkStart w:id="0" w:name="_Hlk147308243"/>
      <w:r w:rsidRPr="007C48E4" w:rsidR="00D67BF7">
        <w:rPr>
          <w:szCs w:val="24"/>
        </w:rPr>
        <w:t xml:space="preserve">held that under R.C. 4903.221, “intervention ought to be </w:t>
      </w:r>
      <w:r w:rsidRPr="007C48E4" w:rsidR="00D67BF7">
        <w:rPr>
          <w:b/>
          <w:bCs/>
          <w:i/>
          <w:iCs/>
          <w:szCs w:val="24"/>
        </w:rPr>
        <w:t>liberally allowed</w:t>
      </w:r>
      <w:r w:rsidRPr="007C48E4" w:rsidR="00D67BF7">
        <w:rPr>
          <w:szCs w:val="24"/>
        </w:rPr>
        <w:t xml:space="preserve"> so that the positions of all persons with a real and substantial interest in the proceedings can be considered by the PUCO.”</w:t>
      </w:r>
      <w:r>
        <w:rPr>
          <w:rStyle w:val="FootnoteReference"/>
          <w:szCs w:val="24"/>
        </w:rPr>
        <w:footnoteReference w:id="15"/>
      </w:r>
      <w:bookmarkEnd w:id="0"/>
      <w:r w:rsidRPr="007C48E4" w:rsidR="00D67BF7">
        <w:rPr>
          <w:szCs w:val="24"/>
        </w:rPr>
        <w:t xml:space="preserve"> In </w:t>
      </w:r>
      <w:r w:rsidRPr="007C48E4" w:rsidR="00D67BF7">
        <w:rPr>
          <w:i/>
          <w:iCs/>
          <w:szCs w:val="24"/>
        </w:rPr>
        <w:t>Ohio Consumers’ Counsel v. PUC</w:t>
      </w:r>
      <w:r w:rsidRPr="007C48E4" w:rsidR="00D67BF7">
        <w:rPr>
          <w:szCs w:val="24"/>
        </w:rPr>
        <w:t>, the Ohio Supreme Court held that the PUCO abused its discretion in denying intervention to OCC and reversed the PUCO. The Court relied on the reasons stated in OCC’s memoranda supporting intervention to conclude that intervention should have been granted.</w:t>
      </w:r>
      <w:r>
        <w:rPr>
          <w:rStyle w:val="FootnoteReference"/>
          <w:szCs w:val="24"/>
        </w:rPr>
        <w:footnoteReference w:id="16"/>
      </w:r>
      <w:r w:rsidRPr="007C48E4">
        <w:rPr>
          <w:szCs w:val="24"/>
        </w:rPr>
        <w:t xml:space="preserve"> </w:t>
      </w:r>
    </w:p>
    <w:p w:rsidR="00320C8F" w:rsidP="00320C8F" w14:paraId="23218561" w14:textId="77777777">
      <w:pPr>
        <w:spacing w:line="480" w:lineRule="auto"/>
        <w:ind w:firstLine="720"/>
        <w:rPr>
          <w:szCs w:val="24"/>
        </w:rPr>
      </w:pPr>
      <w:r w:rsidRPr="007C48E4">
        <w:rPr>
          <w:szCs w:val="24"/>
        </w:rPr>
        <w:t>The PUCO wrongfully denied residential consumers the opportunity to have their</w:t>
      </w:r>
      <w:r w:rsidRPr="007C48E4" w:rsidR="001F5039">
        <w:rPr>
          <w:szCs w:val="24"/>
        </w:rPr>
        <w:t xml:space="preserve"> voice heard and their</w:t>
      </w:r>
      <w:r w:rsidRPr="007C48E4">
        <w:rPr>
          <w:szCs w:val="24"/>
        </w:rPr>
        <w:t xml:space="preserve"> positions considered</w:t>
      </w:r>
      <w:r w:rsidRPr="007C48E4" w:rsidR="00F02AE0">
        <w:rPr>
          <w:szCs w:val="24"/>
        </w:rPr>
        <w:t xml:space="preserve"> through their state legal advocate, OCC</w:t>
      </w:r>
      <w:r w:rsidRPr="007C48E4">
        <w:rPr>
          <w:szCs w:val="24"/>
        </w:rPr>
        <w:t xml:space="preserve">. </w:t>
      </w:r>
      <w:r w:rsidRPr="007C48E4" w:rsidR="001F5039">
        <w:rPr>
          <w:szCs w:val="24"/>
        </w:rPr>
        <w:t xml:space="preserve">The PUCO should grant </w:t>
      </w:r>
      <w:r w:rsidRPr="007C48E4">
        <w:rPr>
          <w:szCs w:val="24"/>
        </w:rPr>
        <w:t>OCC</w:t>
      </w:r>
      <w:r w:rsidRPr="007C48E4" w:rsidR="001F5039">
        <w:rPr>
          <w:szCs w:val="24"/>
        </w:rPr>
        <w:t>’s Motion for</w:t>
      </w:r>
      <w:r w:rsidRPr="007C48E4">
        <w:rPr>
          <w:szCs w:val="24"/>
        </w:rPr>
        <w:t xml:space="preserve"> </w:t>
      </w:r>
      <w:r w:rsidRPr="007C48E4" w:rsidR="001F5039">
        <w:rPr>
          <w:szCs w:val="24"/>
        </w:rPr>
        <w:t>L</w:t>
      </w:r>
      <w:r w:rsidRPr="007C48E4">
        <w:rPr>
          <w:szCs w:val="24"/>
        </w:rPr>
        <w:t>eave to file an Application for Rehearing</w:t>
      </w:r>
      <w:r w:rsidRPr="007C48E4" w:rsidR="001F5039">
        <w:rPr>
          <w:szCs w:val="24"/>
        </w:rPr>
        <w:t xml:space="preserve"> </w:t>
      </w:r>
      <w:r w:rsidRPr="007C48E4" w:rsidR="00F02AE0">
        <w:rPr>
          <w:szCs w:val="24"/>
        </w:rPr>
        <w:t>I</w:t>
      </w:r>
      <w:r w:rsidRPr="007C48E4" w:rsidR="001F5039">
        <w:rPr>
          <w:szCs w:val="24"/>
        </w:rPr>
        <w:t>nstanter</w:t>
      </w:r>
      <w:r w:rsidRPr="007C48E4">
        <w:rPr>
          <w:szCs w:val="24"/>
        </w:rPr>
        <w:t xml:space="preserve"> of the PUCO’s September 6 Order</w:t>
      </w:r>
      <w:r w:rsidRPr="007C48E4" w:rsidR="001F5039">
        <w:rPr>
          <w:szCs w:val="24"/>
        </w:rPr>
        <w:t>.</w:t>
      </w:r>
      <w:r w:rsidRPr="007C48E4">
        <w:rPr>
          <w:szCs w:val="24"/>
        </w:rPr>
        <w:t xml:space="preserve"> </w:t>
      </w:r>
      <w:r w:rsidRPr="007C48E4" w:rsidR="001F5039">
        <w:rPr>
          <w:szCs w:val="24"/>
        </w:rPr>
        <w:t>Residential consumers subjected to NEP’s submetering services deserve to be heard.</w:t>
      </w:r>
    </w:p>
    <w:p w:rsidR="00644DDA" w:rsidP="00320C8F" w14:paraId="5E607D84" w14:textId="476C5C66">
      <w:pPr>
        <w:spacing w:line="480" w:lineRule="auto"/>
        <w:ind w:firstLine="720"/>
        <w:rPr>
          <w:szCs w:val="24"/>
        </w:rPr>
      </w:pPr>
      <w:r>
        <w:rPr>
          <w:szCs w:val="24"/>
        </w:rPr>
        <w:br w:type="page"/>
      </w:r>
    </w:p>
    <w:p w:rsidR="00644DDA" w:rsidRPr="007C48E4" w:rsidP="00644DDA" w14:paraId="1E721D44" w14:textId="4099911B">
      <w:pPr>
        <w:pStyle w:val="BodyTextIndent3"/>
        <w:widowControl w:val="0"/>
        <w:spacing w:line="480" w:lineRule="auto"/>
        <w:ind w:left="3600" w:right="-312"/>
        <w:rPr>
          <w:szCs w:val="24"/>
        </w:rPr>
      </w:pPr>
      <w:r w:rsidRPr="007C48E4">
        <w:rPr>
          <w:szCs w:val="24"/>
        </w:rPr>
        <w:t>Respectfully submitted,</w:t>
      </w:r>
    </w:p>
    <w:p w:rsidR="00644DDA" w:rsidRPr="007C48E4" w:rsidP="00644DDA" w14:paraId="1AD969C6" w14:textId="77777777">
      <w:pPr>
        <w:ind w:left="4320"/>
        <w:jc w:val="both"/>
        <w:rPr>
          <w:szCs w:val="24"/>
        </w:rPr>
      </w:pPr>
      <w:r w:rsidRPr="007C48E4">
        <w:rPr>
          <w:szCs w:val="24"/>
        </w:rPr>
        <w:t>Maureen R. Willis (0020847)</w:t>
      </w:r>
    </w:p>
    <w:p w:rsidR="00644DDA" w:rsidRPr="007C48E4" w:rsidP="00644DDA" w14:paraId="21BB8545" w14:textId="77777777">
      <w:pPr>
        <w:tabs>
          <w:tab w:val="left" w:pos="4320"/>
        </w:tabs>
        <w:ind w:left="4320" w:hanging="450"/>
        <w:jc w:val="both"/>
        <w:rPr>
          <w:szCs w:val="24"/>
        </w:rPr>
      </w:pPr>
      <w:r w:rsidRPr="007C48E4">
        <w:rPr>
          <w:szCs w:val="24"/>
        </w:rPr>
        <w:tab/>
        <w:t>Ohio Consumers’ Counsel</w:t>
      </w:r>
    </w:p>
    <w:p w:rsidR="00644DDA" w:rsidRPr="007C48E4" w:rsidP="00644DDA" w14:paraId="31F469F8" w14:textId="77777777">
      <w:pPr>
        <w:tabs>
          <w:tab w:val="left" w:pos="4320"/>
        </w:tabs>
        <w:ind w:left="4320"/>
        <w:jc w:val="both"/>
        <w:rPr>
          <w:szCs w:val="24"/>
        </w:rPr>
      </w:pPr>
    </w:p>
    <w:p w:rsidR="00644DDA" w:rsidRPr="007C48E4" w:rsidP="00644DDA" w14:paraId="08920C47" w14:textId="77777777">
      <w:pPr>
        <w:tabs>
          <w:tab w:val="left" w:pos="4320"/>
        </w:tabs>
        <w:ind w:left="4320"/>
        <w:jc w:val="both"/>
        <w:rPr>
          <w:i/>
          <w:iCs/>
          <w:szCs w:val="24"/>
          <w:u w:val="single"/>
        </w:rPr>
      </w:pPr>
      <w:r w:rsidRPr="007C48E4">
        <w:rPr>
          <w:i/>
          <w:iCs/>
          <w:szCs w:val="24"/>
          <w:u w:val="single"/>
        </w:rPr>
        <w:t>/s/ Angela D. O’Brien</w:t>
      </w:r>
    </w:p>
    <w:p w:rsidR="00644DDA" w:rsidP="00644DDA" w14:paraId="65EDABF6" w14:textId="77777777">
      <w:pPr>
        <w:tabs>
          <w:tab w:val="left" w:pos="4320"/>
        </w:tabs>
        <w:ind w:left="4320"/>
        <w:jc w:val="both"/>
        <w:rPr>
          <w:szCs w:val="24"/>
        </w:rPr>
      </w:pPr>
      <w:r w:rsidRPr="007C48E4">
        <w:rPr>
          <w:szCs w:val="24"/>
        </w:rPr>
        <w:t>Angela D. O’Brien (0097579)</w:t>
      </w:r>
    </w:p>
    <w:p w:rsidR="00644DDA" w:rsidRPr="007C48E4" w:rsidP="00644DDA" w14:paraId="69EAEC58" w14:textId="77777777">
      <w:pPr>
        <w:tabs>
          <w:tab w:val="left" w:pos="4320"/>
        </w:tabs>
        <w:ind w:left="4320"/>
        <w:jc w:val="both"/>
        <w:rPr>
          <w:szCs w:val="24"/>
        </w:rPr>
      </w:pPr>
      <w:r>
        <w:rPr>
          <w:szCs w:val="24"/>
        </w:rPr>
        <w:t>Deputy Consumers’ Counsel</w:t>
      </w:r>
    </w:p>
    <w:p w:rsidR="00644DDA" w:rsidP="00644DDA" w14:paraId="7479EABF" w14:textId="77777777">
      <w:pPr>
        <w:tabs>
          <w:tab w:val="left" w:pos="4320"/>
        </w:tabs>
        <w:ind w:left="4320"/>
        <w:jc w:val="both"/>
        <w:rPr>
          <w:szCs w:val="24"/>
        </w:rPr>
      </w:pPr>
      <w:r w:rsidRPr="007C48E4">
        <w:rPr>
          <w:szCs w:val="24"/>
        </w:rPr>
        <w:t>Counsel of Record</w:t>
      </w:r>
    </w:p>
    <w:p w:rsidR="00644DDA" w:rsidRPr="007C48E4" w:rsidP="00644DDA" w14:paraId="042F881E" w14:textId="77777777">
      <w:pPr>
        <w:tabs>
          <w:tab w:val="left" w:pos="4320"/>
        </w:tabs>
        <w:ind w:left="4320"/>
        <w:jc w:val="both"/>
        <w:rPr>
          <w:szCs w:val="24"/>
        </w:rPr>
      </w:pPr>
      <w:r w:rsidRPr="007C48E4">
        <w:rPr>
          <w:szCs w:val="24"/>
        </w:rPr>
        <w:t>William J. Michael (0070921)</w:t>
      </w:r>
    </w:p>
    <w:p w:rsidR="00644DDA" w:rsidRPr="007C48E4" w:rsidP="00644DDA" w14:paraId="2E859B93" w14:textId="77777777">
      <w:pPr>
        <w:tabs>
          <w:tab w:val="left" w:pos="3870"/>
          <w:tab w:val="left" w:pos="4320"/>
        </w:tabs>
        <w:ind w:left="4320"/>
        <w:jc w:val="both"/>
        <w:rPr>
          <w:szCs w:val="24"/>
        </w:rPr>
      </w:pPr>
      <w:r w:rsidRPr="007C48E4">
        <w:rPr>
          <w:szCs w:val="24"/>
        </w:rPr>
        <w:t>Assistant Consumers’ Counsel</w:t>
      </w:r>
    </w:p>
    <w:p w:rsidR="00644DDA" w:rsidRPr="007C48E4" w:rsidP="00644DDA" w14:paraId="56AE247A" w14:textId="77777777">
      <w:pPr>
        <w:tabs>
          <w:tab w:val="left" w:pos="3870"/>
          <w:tab w:val="left" w:pos="4320"/>
        </w:tabs>
        <w:ind w:left="4320"/>
        <w:jc w:val="both"/>
        <w:rPr>
          <w:szCs w:val="24"/>
        </w:rPr>
      </w:pPr>
    </w:p>
    <w:p w:rsidR="00644DDA" w:rsidRPr="007C48E4" w:rsidP="00644DDA" w14:paraId="71BA407F" w14:textId="77777777">
      <w:pPr>
        <w:ind w:left="4320"/>
        <w:jc w:val="both"/>
        <w:rPr>
          <w:b/>
          <w:bCs/>
          <w:szCs w:val="24"/>
        </w:rPr>
      </w:pPr>
      <w:r w:rsidRPr="007C48E4">
        <w:rPr>
          <w:b/>
          <w:bCs/>
          <w:szCs w:val="24"/>
        </w:rPr>
        <w:t>Office of the Ohio Consumers' Counsel</w:t>
      </w:r>
    </w:p>
    <w:p w:rsidR="00644DDA" w:rsidRPr="007C48E4" w:rsidP="00644DDA" w14:paraId="114942B9" w14:textId="77777777">
      <w:pPr>
        <w:ind w:left="4320"/>
        <w:jc w:val="both"/>
        <w:rPr>
          <w:szCs w:val="24"/>
        </w:rPr>
      </w:pPr>
      <w:r w:rsidRPr="007C48E4">
        <w:rPr>
          <w:szCs w:val="24"/>
        </w:rPr>
        <w:t xml:space="preserve">65 East State Street, </w:t>
      </w:r>
      <w:r>
        <w:rPr>
          <w:szCs w:val="24"/>
        </w:rPr>
        <w:t>Suite 700</w:t>
      </w:r>
    </w:p>
    <w:p w:rsidR="00644DDA" w:rsidRPr="007C48E4" w:rsidP="00644DDA" w14:paraId="42916CFA" w14:textId="77777777">
      <w:pPr>
        <w:ind w:left="4320"/>
        <w:jc w:val="both"/>
        <w:rPr>
          <w:szCs w:val="24"/>
        </w:rPr>
      </w:pPr>
      <w:r w:rsidRPr="007C48E4">
        <w:rPr>
          <w:szCs w:val="24"/>
        </w:rPr>
        <w:t>Columbus, Ohio 43215</w:t>
      </w:r>
    </w:p>
    <w:p w:rsidR="00644DDA" w:rsidRPr="007C48E4" w:rsidP="00644DDA" w14:paraId="600E8E62" w14:textId="77777777">
      <w:pPr>
        <w:autoSpaceDE w:val="0"/>
        <w:autoSpaceDN w:val="0"/>
        <w:adjustRightInd w:val="0"/>
        <w:ind w:left="4320"/>
        <w:jc w:val="both"/>
        <w:rPr>
          <w:szCs w:val="24"/>
        </w:rPr>
      </w:pPr>
      <w:r w:rsidRPr="007C48E4">
        <w:rPr>
          <w:szCs w:val="24"/>
        </w:rPr>
        <w:t>Telephone: [O’Brien]: (614) 466-9531</w:t>
      </w:r>
    </w:p>
    <w:p w:rsidR="00644DDA" w:rsidRPr="007C48E4" w:rsidP="00644DDA" w14:paraId="29791E18" w14:textId="77777777">
      <w:pPr>
        <w:autoSpaceDE w:val="0"/>
        <w:autoSpaceDN w:val="0"/>
        <w:adjustRightInd w:val="0"/>
        <w:ind w:left="4320"/>
        <w:jc w:val="both"/>
        <w:rPr>
          <w:szCs w:val="24"/>
        </w:rPr>
      </w:pPr>
      <w:r w:rsidRPr="007C48E4">
        <w:rPr>
          <w:szCs w:val="24"/>
        </w:rPr>
        <w:t>Telephone: [Michael]: (614) 466-1291</w:t>
      </w:r>
    </w:p>
    <w:p w:rsidR="00644DDA" w:rsidRPr="007C48E4" w:rsidP="00644DDA" w14:paraId="2684460D" w14:textId="77777777">
      <w:pPr>
        <w:ind w:left="4320"/>
        <w:jc w:val="both"/>
        <w:rPr>
          <w:szCs w:val="24"/>
        </w:rPr>
      </w:pPr>
      <w:hyperlink r:id="rId6" w:history="1">
        <w:r w:rsidRPr="007C48E4" w:rsidR="00DF4D99">
          <w:rPr>
            <w:rStyle w:val="Hyperlink"/>
            <w:szCs w:val="24"/>
          </w:rPr>
          <w:t>angela.obrien@occ.ohio.gov</w:t>
        </w:r>
      </w:hyperlink>
    </w:p>
    <w:p w:rsidR="00644DDA" w:rsidRPr="007C48E4" w:rsidP="00644DDA" w14:paraId="3B803791" w14:textId="77777777">
      <w:pPr>
        <w:ind w:left="4320"/>
        <w:jc w:val="both"/>
        <w:rPr>
          <w:szCs w:val="24"/>
        </w:rPr>
      </w:pPr>
      <w:hyperlink r:id="rId7" w:history="1">
        <w:r w:rsidRPr="007C48E4" w:rsidR="00DF4D99">
          <w:rPr>
            <w:rStyle w:val="Hyperlink"/>
            <w:szCs w:val="24"/>
          </w:rPr>
          <w:t>william.michael@occ.ohio.gov</w:t>
        </w:r>
      </w:hyperlink>
    </w:p>
    <w:p w:rsidR="00644DDA" w:rsidRPr="007C48E4" w:rsidP="00644DDA" w14:paraId="40E07D28" w14:textId="77777777">
      <w:pPr>
        <w:ind w:left="4320" w:hanging="4320"/>
        <w:jc w:val="both"/>
        <w:rPr>
          <w:szCs w:val="24"/>
        </w:rPr>
      </w:pPr>
      <w:r w:rsidRPr="007C48E4">
        <w:rPr>
          <w:szCs w:val="24"/>
        </w:rPr>
        <w:tab/>
        <w:t>(willing to accept service by e-mail)</w:t>
      </w:r>
    </w:p>
    <w:p w:rsidR="00A044B5" w:rsidRPr="007C48E4" w:rsidP="002354D4" w14:paraId="631FCBAE" w14:textId="77777777">
      <w:pPr>
        <w:pStyle w:val="BodyTextIndent3"/>
        <w:widowControl w:val="0"/>
        <w:spacing w:line="480" w:lineRule="auto"/>
        <w:ind w:left="3600" w:right="-672" w:firstLine="0"/>
        <w:rPr>
          <w:szCs w:val="24"/>
        </w:rPr>
      </w:pPr>
    </w:p>
    <w:p w:rsidR="00A044B5" w:rsidRPr="007C48E4" w14:paraId="55D5C3E0" w14:textId="77777777">
      <w:pPr>
        <w:rPr>
          <w:szCs w:val="24"/>
        </w:rPr>
      </w:pPr>
      <w:r w:rsidRPr="007C48E4">
        <w:rPr>
          <w:szCs w:val="24"/>
        </w:rPr>
        <w:tab/>
      </w:r>
      <w:r w:rsidRPr="007C48E4">
        <w:rPr>
          <w:szCs w:val="24"/>
        </w:rPr>
        <w:tab/>
      </w:r>
      <w:r w:rsidRPr="007C48E4">
        <w:rPr>
          <w:szCs w:val="24"/>
        </w:rPr>
        <w:tab/>
      </w:r>
      <w:r w:rsidRPr="007C48E4">
        <w:rPr>
          <w:szCs w:val="24"/>
        </w:rPr>
        <w:tab/>
      </w:r>
      <w:r w:rsidRPr="007C48E4">
        <w:rPr>
          <w:szCs w:val="24"/>
        </w:rPr>
        <w:tab/>
      </w:r>
      <w:r w:rsidRPr="007C48E4">
        <w:rPr>
          <w:szCs w:val="24"/>
        </w:rPr>
        <w:tab/>
      </w:r>
    </w:p>
    <w:p w:rsidR="00A044B5" w14:paraId="04C85746" w14:textId="77777777">
      <w:pPr>
        <w:jc w:val="center"/>
        <w:rPr>
          <w:b/>
          <w:bCs/>
          <w:szCs w:val="24"/>
          <w:u w:val="single"/>
        </w:rPr>
      </w:pPr>
      <w:r w:rsidRPr="007C48E4">
        <w:rPr>
          <w:szCs w:val="24"/>
        </w:rPr>
        <w:br w:type="page"/>
      </w:r>
      <w:r w:rsidRPr="007C48E4">
        <w:rPr>
          <w:b/>
          <w:bCs/>
          <w:szCs w:val="24"/>
          <w:u w:val="single"/>
        </w:rPr>
        <w:t>CERTIFICATE OF SERVICE</w:t>
      </w:r>
    </w:p>
    <w:p w:rsidR="00CD08E9" w:rsidRPr="007C48E4" w14:paraId="0C313AB9" w14:textId="77777777">
      <w:pPr>
        <w:jc w:val="center"/>
        <w:rPr>
          <w:b/>
          <w:bCs/>
          <w:szCs w:val="24"/>
          <w:u w:val="single"/>
        </w:rPr>
      </w:pPr>
    </w:p>
    <w:p w:rsidR="00CD08E9" w:rsidRPr="007C48E4" w:rsidP="00CD08E9" w14:paraId="272669B4" w14:textId="4BE1C050">
      <w:pPr>
        <w:spacing w:line="480" w:lineRule="auto"/>
        <w:contextualSpacing/>
        <w:rPr>
          <w:szCs w:val="24"/>
        </w:rPr>
      </w:pPr>
      <w:r w:rsidRPr="007C48E4">
        <w:rPr>
          <w:szCs w:val="24"/>
        </w:rPr>
        <w:tab/>
        <w:t xml:space="preserve">I hereby certify that a copy of this </w:t>
      </w:r>
      <w:r w:rsidRPr="007C48E4">
        <w:rPr>
          <w:iCs/>
          <w:szCs w:val="24"/>
        </w:rPr>
        <w:t xml:space="preserve">Motion </w:t>
      </w:r>
      <w:r w:rsidRPr="007C48E4" w:rsidR="004D38F2">
        <w:rPr>
          <w:iCs/>
          <w:szCs w:val="24"/>
        </w:rPr>
        <w:t>for Leave to File Instanter an Application for Rehearing</w:t>
      </w:r>
      <w:r w:rsidRPr="007C48E4">
        <w:rPr>
          <w:szCs w:val="24"/>
        </w:rPr>
        <w:t xml:space="preserve"> was served on the persons stated below </w:t>
      </w:r>
      <w:r w:rsidRPr="007C48E4">
        <w:rPr>
          <w:iCs/>
          <w:szCs w:val="24"/>
        </w:rPr>
        <w:t>via</w:t>
      </w:r>
      <w:r w:rsidRPr="007C48E4" w:rsidR="002A4912">
        <w:rPr>
          <w:szCs w:val="24"/>
        </w:rPr>
        <w:t xml:space="preserve"> electronic transmission</w:t>
      </w:r>
      <w:r w:rsidRPr="007C48E4">
        <w:rPr>
          <w:szCs w:val="24"/>
        </w:rPr>
        <w:t>, this</w:t>
      </w:r>
      <w:r w:rsidRPr="007C48E4" w:rsidR="00A501E8">
        <w:rPr>
          <w:szCs w:val="24"/>
        </w:rPr>
        <w:t xml:space="preserve"> </w:t>
      </w:r>
      <w:r w:rsidRPr="007C48E4" w:rsidR="004D38F2">
        <w:rPr>
          <w:szCs w:val="24"/>
        </w:rPr>
        <w:t>6</w:t>
      </w:r>
      <w:r w:rsidRPr="007C48E4" w:rsidR="00A501E8">
        <w:rPr>
          <w:szCs w:val="24"/>
          <w:vertAlign w:val="superscript"/>
        </w:rPr>
        <w:t>th</w:t>
      </w:r>
      <w:r w:rsidRPr="007C48E4" w:rsidR="00A501E8">
        <w:rPr>
          <w:szCs w:val="24"/>
        </w:rPr>
        <w:t xml:space="preserve"> </w:t>
      </w:r>
      <w:r w:rsidRPr="007C48E4">
        <w:rPr>
          <w:szCs w:val="24"/>
        </w:rPr>
        <w:t xml:space="preserve">day of </w:t>
      </w:r>
      <w:r w:rsidRPr="007C48E4" w:rsidR="002354D4">
        <w:rPr>
          <w:szCs w:val="24"/>
        </w:rPr>
        <w:t>October</w:t>
      </w:r>
      <w:r w:rsidRPr="007C48E4">
        <w:rPr>
          <w:szCs w:val="24"/>
        </w:rPr>
        <w:t xml:space="preserve"> 20</w:t>
      </w:r>
      <w:r w:rsidRPr="007C48E4" w:rsidR="002354D4">
        <w:rPr>
          <w:szCs w:val="24"/>
        </w:rPr>
        <w:t>2</w:t>
      </w:r>
      <w:r w:rsidRPr="007C48E4" w:rsidR="004D38F2">
        <w:rPr>
          <w:szCs w:val="24"/>
        </w:rPr>
        <w:t>3</w:t>
      </w:r>
      <w:r w:rsidRPr="007C48E4">
        <w:rPr>
          <w:szCs w:val="24"/>
        </w:rPr>
        <w:t>.</w:t>
      </w:r>
    </w:p>
    <w:p w:rsidR="00A044B5" w:rsidRPr="007C48E4" w14:paraId="27EA87A7" w14:textId="71FABEC5">
      <w:pPr>
        <w:tabs>
          <w:tab w:val="left" w:pos="4320"/>
        </w:tabs>
        <w:rPr>
          <w:i/>
          <w:iCs/>
          <w:szCs w:val="24"/>
          <w:u w:val="single"/>
        </w:rPr>
      </w:pPr>
      <w:r w:rsidRPr="007C48E4">
        <w:rPr>
          <w:szCs w:val="24"/>
        </w:rPr>
        <w:tab/>
      </w:r>
      <w:r w:rsidRPr="007C48E4" w:rsidR="002354D4">
        <w:rPr>
          <w:i/>
          <w:iCs/>
          <w:szCs w:val="24"/>
          <w:u w:val="single"/>
        </w:rPr>
        <w:t>/s/ Angela D. O’Brien</w:t>
      </w:r>
    </w:p>
    <w:p w:rsidR="00A044B5" w:rsidRPr="007C48E4" w14:paraId="6B62E55C" w14:textId="77777777">
      <w:pPr>
        <w:tabs>
          <w:tab w:val="left" w:pos="4320"/>
        </w:tabs>
        <w:rPr>
          <w:szCs w:val="24"/>
        </w:rPr>
      </w:pPr>
      <w:r w:rsidRPr="007C48E4">
        <w:rPr>
          <w:szCs w:val="24"/>
        </w:rPr>
        <w:tab/>
      </w:r>
      <w:r w:rsidRPr="007C48E4" w:rsidR="002354D4">
        <w:rPr>
          <w:szCs w:val="24"/>
        </w:rPr>
        <w:t>Angela D. O’Brien</w:t>
      </w:r>
    </w:p>
    <w:p w:rsidR="00A044B5" w:rsidRPr="007C48E4" w14:paraId="4C05F681" w14:textId="77777777">
      <w:pPr>
        <w:tabs>
          <w:tab w:val="left" w:pos="4320"/>
        </w:tabs>
        <w:rPr>
          <w:szCs w:val="24"/>
        </w:rPr>
      </w:pPr>
      <w:r w:rsidRPr="007C48E4">
        <w:rPr>
          <w:szCs w:val="24"/>
        </w:rPr>
        <w:tab/>
      </w:r>
      <w:r w:rsidRPr="007C48E4" w:rsidR="004D38F2">
        <w:rPr>
          <w:szCs w:val="24"/>
        </w:rPr>
        <w:t>Deputy</w:t>
      </w:r>
      <w:r w:rsidRPr="007C48E4">
        <w:rPr>
          <w:szCs w:val="24"/>
        </w:rPr>
        <w:t xml:space="preserve"> Consumers’ Counsel</w:t>
      </w:r>
    </w:p>
    <w:p w:rsidR="001D10F6" w:rsidRPr="007C48E4" w14:paraId="1BCE84EA" w14:textId="77777777">
      <w:pPr>
        <w:tabs>
          <w:tab w:val="left" w:pos="4320"/>
        </w:tabs>
        <w:rPr>
          <w:szCs w:val="24"/>
        </w:rPr>
      </w:pPr>
    </w:p>
    <w:p w:rsidR="00A044B5" w14:paraId="0DBA1B47" w14:textId="036F62DA">
      <w:pPr>
        <w:pStyle w:val="CommentText"/>
      </w:pPr>
      <w:r w:rsidRPr="007C48E4">
        <w:t>The PUCO’s e-filing system will electronically serve notice of the filing of this document on the following parties:</w:t>
      </w:r>
    </w:p>
    <w:p w:rsidR="001D0B66" w:rsidRPr="007C48E4" w14:paraId="42E22A77" w14:textId="77777777">
      <w:pPr>
        <w:pStyle w:val="CommentText"/>
      </w:pPr>
    </w:p>
    <w:p w:rsidR="00A044B5" w:rsidRPr="007C48E4" w14:paraId="37B53960" w14:textId="77777777">
      <w:pPr>
        <w:pStyle w:val="CommentText"/>
        <w:jc w:val="center"/>
        <w:rPr>
          <w:b/>
          <w:u w:val="single"/>
        </w:rPr>
      </w:pPr>
      <w:r w:rsidRPr="007C48E4">
        <w:rPr>
          <w:b/>
          <w:u w:val="single"/>
        </w:rPr>
        <w:t>SERVICE LIST</w:t>
      </w:r>
    </w:p>
    <w:p w:rsidR="008E11BE" w:rsidRPr="007C48E4" w14:paraId="3E66F5C3" w14:textId="77777777">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382"/>
        <w:gridCol w:w="4258"/>
      </w:tblGrid>
      <w:tr w14:paraId="650DFE59" w14:textId="77777777" w:rsidTr="00A07614">
        <w:tblPrEx>
          <w:tblW w:w="0" w:type="auto"/>
          <w:tblInd w:w="0" w:type="dxa"/>
          <w:tblCellMar>
            <w:top w:w="0" w:type="dxa"/>
            <w:left w:w="108" w:type="dxa"/>
            <w:bottom w:w="0" w:type="dxa"/>
            <w:right w:w="108" w:type="dxa"/>
          </w:tblCellMar>
          <w:tblLook w:val="04A0"/>
        </w:tblPrEx>
        <w:tc>
          <w:tcPr>
            <w:tcW w:w="4428" w:type="dxa"/>
            <w:shd w:val="clear" w:color="auto" w:fill="auto"/>
          </w:tcPr>
          <w:p w:rsidR="008E11BE" w:rsidRPr="007C48E4" w:rsidP="008E11BE" w14:paraId="0EEF042C" w14:textId="77777777">
            <w:pPr>
              <w:pStyle w:val="CommentText"/>
              <w:rPr>
                <w:bCs/>
                <w:sz w:val="24"/>
                <w:szCs w:val="24"/>
                <w:u w:val="single"/>
                <w:lang w:val="en-US" w:eastAsia="en-US" w:bidi="ar-SA"/>
              </w:rPr>
            </w:pPr>
            <w:hyperlink r:id="rId14" w:history="1">
              <w:r w:rsidRPr="007C48E4" w:rsidR="00DF4D99">
                <w:rPr>
                  <w:rStyle w:val="Hyperlink"/>
                  <w:bCs/>
                  <w:color w:val="0000FF"/>
                  <w:sz w:val="24"/>
                  <w:szCs w:val="24"/>
                  <w:u w:val="single"/>
                  <w:lang w:val="en-US" w:eastAsia="en-US" w:bidi="ar-SA"/>
                </w:rPr>
                <w:t>John.jones@ohioAGO.gov</w:t>
              </w:r>
            </w:hyperlink>
          </w:p>
          <w:p w:rsidR="00057F44" w:rsidP="00A07614" w14:paraId="145E801D" w14:textId="221A9A67">
            <w:pPr>
              <w:autoSpaceDE w:val="0"/>
              <w:autoSpaceDN w:val="0"/>
              <w:adjustRightInd w:val="0"/>
              <w:rPr>
                <w:sz w:val="24"/>
                <w:lang w:val="en-US" w:eastAsia="en-US" w:bidi="ar-SA"/>
              </w:rPr>
            </w:pPr>
            <w:hyperlink r:id="rId15" w:history="1">
              <w:r w:rsidRPr="00E16469" w:rsidR="00DF4D99">
                <w:rPr>
                  <w:rStyle w:val="Hyperlink"/>
                  <w:color w:val="0000FF"/>
                  <w:sz w:val="24"/>
                  <w:u w:val="single"/>
                  <w:lang w:val="en-US" w:eastAsia="en-US" w:bidi="ar-SA"/>
                </w:rPr>
                <w:t>mjsettineri@vorys.com</w:t>
              </w:r>
            </w:hyperlink>
          </w:p>
          <w:p w:rsidR="00057F44" w:rsidP="00A07614" w14:paraId="0C85F355" w14:textId="4B8945E7">
            <w:pPr>
              <w:autoSpaceDE w:val="0"/>
              <w:autoSpaceDN w:val="0"/>
              <w:adjustRightInd w:val="0"/>
              <w:rPr>
                <w:sz w:val="24"/>
                <w:lang w:val="en-US" w:eastAsia="en-US" w:bidi="ar-SA"/>
              </w:rPr>
            </w:pPr>
            <w:hyperlink r:id="rId16" w:history="1">
              <w:r w:rsidRPr="00E16469" w:rsidR="00DF4D99">
                <w:rPr>
                  <w:rStyle w:val="Hyperlink"/>
                  <w:color w:val="0000FF"/>
                  <w:sz w:val="24"/>
                  <w:u w:val="single"/>
                  <w:lang w:val="en-US" w:eastAsia="en-US" w:bidi="ar-SA"/>
                </w:rPr>
                <w:t>aasanyal@vorys.com</w:t>
              </w:r>
            </w:hyperlink>
          </w:p>
          <w:p w:rsidR="00057F44" w:rsidP="00A07614" w14:paraId="4A95EF5D" w14:textId="537B0005">
            <w:pPr>
              <w:autoSpaceDE w:val="0"/>
              <w:autoSpaceDN w:val="0"/>
              <w:adjustRightInd w:val="0"/>
              <w:rPr>
                <w:sz w:val="24"/>
                <w:lang w:val="en-US" w:eastAsia="en-US" w:bidi="ar-SA"/>
              </w:rPr>
            </w:pPr>
            <w:hyperlink r:id="rId17" w:history="1">
              <w:r w:rsidRPr="00E16469" w:rsidR="00DF4D99">
                <w:rPr>
                  <w:rStyle w:val="Hyperlink"/>
                  <w:color w:val="0000FF"/>
                  <w:sz w:val="24"/>
                  <w:u w:val="single"/>
                  <w:lang w:val="en-US" w:eastAsia="en-US" w:bidi="ar-SA"/>
                </w:rPr>
                <w:t>apguran@vorys.com</w:t>
              </w:r>
            </w:hyperlink>
          </w:p>
          <w:p w:rsidR="00B976E1" w:rsidP="00A07614" w14:paraId="2827E4EE" w14:textId="66257C14">
            <w:pPr>
              <w:autoSpaceDE w:val="0"/>
              <w:autoSpaceDN w:val="0"/>
              <w:adjustRightInd w:val="0"/>
              <w:rPr>
                <w:sz w:val="24"/>
                <w:lang w:val="en-US" w:eastAsia="en-US" w:bidi="ar-SA"/>
              </w:rPr>
            </w:pPr>
            <w:hyperlink r:id="rId18" w:history="1">
              <w:r w:rsidRPr="00E16469" w:rsidR="00057F44">
                <w:rPr>
                  <w:rStyle w:val="Hyperlink"/>
                  <w:color w:val="0000FF"/>
                  <w:sz w:val="24"/>
                  <w:u w:val="single"/>
                  <w:lang w:val="en-US" w:eastAsia="en-US" w:bidi="ar-SA"/>
                </w:rPr>
                <w:t>tjwhaling@vorys.com</w:t>
              </w:r>
            </w:hyperlink>
          </w:p>
          <w:p w:rsidR="00057F44" w:rsidP="00A07614" w14:paraId="2A3250CC" w14:textId="15230F2B">
            <w:pPr>
              <w:autoSpaceDE w:val="0"/>
              <w:autoSpaceDN w:val="0"/>
              <w:adjustRightInd w:val="0"/>
              <w:rPr>
                <w:rStyle w:val="Hyperlink"/>
                <w:color w:val="0000FF"/>
                <w:sz w:val="24"/>
                <w:u w:val="single"/>
                <w:lang w:val="en-US" w:eastAsia="en-US" w:bidi="ar-SA"/>
              </w:rPr>
            </w:pPr>
            <w:hyperlink r:id="rId19" w:history="1">
              <w:r w:rsidRPr="00E16469" w:rsidR="00DF4D99">
                <w:rPr>
                  <w:rStyle w:val="Hyperlink"/>
                  <w:color w:val="0000FF"/>
                  <w:sz w:val="24"/>
                  <w:u w:val="single"/>
                  <w:lang w:val="en-US" w:eastAsia="en-US" w:bidi="ar-SA"/>
                </w:rPr>
                <w:t>dromig@nationwideenergypartners.com</w:t>
              </w:r>
            </w:hyperlink>
          </w:p>
          <w:p w:rsidR="00057F44" w:rsidP="00A07614" w14:paraId="5B881258" w14:textId="77777777">
            <w:pPr>
              <w:autoSpaceDE w:val="0"/>
              <w:autoSpaceDN w:val="0"/>
              <w:adjustRightInd w:val="0"/>
              <w:rPr>
                <w:rStyle w:val="Hyperlink"/>
                <w:color w:val="0000FF"/>
                <w:sz w:val="24"/>
                <w:u w:val="single"/>
                <w:lang w:val="en-US" w:eastAsia="en-US" w:bidi="ar-SA"/>
              </w:rPr>
            </w:pPr>
          </w:p>
          <w:p w:rsidR="00B976E1" w:rsidRPr="00B976E1" w:rsidP="00A07614" w14:paraId="4501FEA3" w14:textId="76001975">
            <w:pPr>
              <w:autoSpaceDE w:val="0"/>
              <w:autoSpaceDN w:val="0"/>
              <w:adjustRightInd w:val="0"/>
              <w:rPr>
                <w:rStyle w:val="Hyperlink"/>
                <w:color w:val="auto"/>
                <w:sz w:val="24"/>
                <w:u w:val="none"/>
                <w:lang w:val="en-US" w:eastAsia="en-US" w:bidi="ar-SA"/>
              </w:rPr>
            </w:pPr>
            <w:r w:rsidRPr="00B976E1">
              <w:rPr>
                <w:rStyle w:val="Hyperlink"/>
                <w:color w:val="auto"/>
                <w:sz w:val="24"/>
                <w:u w:val="none"/>
                <w:lang w:val="en-US" w:eastAsia="en-US" w:bidi="ar-SA"/>
              </w:rPr>
              <w:t>Attorney Examiners:</w:t>
            </w:r>
          </w:p>
          <w:p w:rsidR="00B976E1" w:rsidP="00A07614" w14:paraId="59F87CF4" w14:textId="307DD8B0">
            <w:pPr>
              <w:autoSpaceDE w:val="0"/>
              <w:autoSpaceDN w:val="0"/>
              <w:adjustRightInd w:val="0"/>
              <w:rPr>
                <w:color w:val="0000FF"/>
                <w:sz w:val="24"/>
                <w:szCs w:val="24"/>
                <w:lang w:val="en-US" w:eastAsia="en-US" w:bidi="ar-SA"/>
              </w:rPr>
            </w:pPr>
            <w:hyperlink r:id="rId20" w:history="1">
              <w:r w:rsidRPr="00E16469" w:rsidR="00DF4D99">
                <w:rPr>
                  <w:rStyle w:val="Hyperlink"/>
                  <w:color w:val="0000FF"/>
                  <w:sz w:val="24"/>
                  <w:szCs w:val="24"/>
                  <w:u w:val="single"/>
                  <w:lang w:val="en-US" w:eastAsia="en-US" w:bidi="ar-SA"/>
                </w:rPr>
                <w:t>david.hicks@puco.ohio.gov</w:t>
              </w:r>
            </w:hyperlink>
          </w:p>
          <w:p w:rsidR="00B976E1" w:rsidP="00A07614" w14:paraId="5D0269D4" w14:textId="0C0E2D6D">
            <w:pPr>
              <w:autoSpaceDE w:val="0"/>
              <w:autoSpaceDN w:val="0"/>
              <w:adjustRightInd w:val="0"/>
              <w:rPr>
                <w:color w:val="0000FF"/>
                <w:sz w:val="24"/>
                <w:szCs w:val="24"/>
                <w:lang w:val="en-US" w:eastAsia="en-US" w:bidi="ar-SA"/>
              </w:rPr>
            </w:pPr>
            <w:hyperlink r:id="rId21" w:history="1">
              <w:r w:rsidRPr="00E16469" w:rsidR="00DF4D99">
                <w:rPr>
                  <w:rStyle w:val="Hyperlink"/>
                  <w:color w:val="0000FF"/>
                  <w:sz w:val="24"/>
                  <w:szCs w:val="24"/>
                  <w:u w:val="single"/>
                  <w:lang w:val="en-US" w:eastAsia="en-US" w:bidi="ar-SA"/>
                </w:rPr>
                <w:t>matthew.sandor@puco.ohio.gov</w:t>
              </w:r>
            </w:hyperlink>
          </w:p>
          <w:p w:rsidR="00B976E1" w:rsidRPr="007C48E4" w:rsidP="00A07614" w14:paraId="5CE9BBCF" w14:textId="77777777">
            <w:pPr>
              <w:autoSpaceDE w:val="0"/>
              <w:autoSpaceDN w:val="0"/>
              <w:adjustRightInd w:val="0"/>
              <w:rPr>
                <w:color w:val="0000FF"/>
                <w:sz w:val="24"/>
                <w:szCs w:val="24"/>
                <w:lang w:val="en-US" w:eastAsia="en-US" w:bidi="ar-SA"/>
              </w:rPr>
            </w:pPr>
          </w:p>
          <w:p w:rsidR="008E11BE" w:rsidRPr="007C48E4" w:rsidP="00A07614" w14:paraId="43205360" w14:textId="77777777">
            <w:pPr>
              <w:autoSpaceDE w:val="0"/>
              <w:autoSpaceDN w:val="0"/>
              <w:adjustRightInd w:val="0"/>
              <w:rPr>
                <w:color w:val="0000FF"/>
                <w:sz w:val="24"/>
                <w:szCs w:val="24"/>
                <w:lang w:val="en-US" w:eastAsia="en-US" w:bidi="ar-SA"/>
              </w:rPr>
            </w:pPr>
          </w:p>
          <w:p w:rsidR="008E11BE" w:rsidRPr="007C48E4" w:rsidP="008E11BE" w14:paraId="4A2B53C1" w14:textId="77777777">
            <w:pPr>
              <w:pStyle w:val="CommentText"/>
              <w:rPr>
                <w:bCs/>
                <w:sz w:val="24"/>
                <w:szCs w:val="24"/>
                <w:u w:val="single"/>
                <w:lang w:val="en-US" w:eastAsia="en-US" w:bidi="ar-SA"/>
              </w:rPr>
            </w:pPr>
          </w:p>
        </w:tc>
        <w:tc>
          <w:tcPr>
            <w:tcW w:w="4428" w:type="dxa"/>
            <w:shd w:val="clear" w:color="auto" w:fill="auto"/>
          </w:tcPr>
          <w:p w:rsidR="00300E0E" w:rsidP="00A07614" w14:paraId="7B38F0B2" w14:textId="77777777">
            <w:pPr>
              <w:autoSpaceDE w:val="0"/>
              <w:autoSpaceDN w:val="0"/>
              <w:adjustRightInd w:val="0"/>
              <w:rPr>
                <w:rStyle w:val="Hyperlink"/>
                <w:color w:val="0000FF"/>
                <w:sz w:val="24"/>
                <w:szCs w:val="24"/>
                <w:u w:val="single"/>
                <w:lang w:val="en-US" w:eastAsia="en-US" w:bidi="ar-SA"/>
              </w:rPr>
            </w:pPr>
            <w:hyperlink r:id="rId22" w:history="1">
              <w:r w:rsidRPr="007C48E4" w:rsidR="008E11BE">
                <w:rPr>
                  <w:rStyle w:val="Hyperlink"/>
                  <w:color w:val="0000FF"/>
                  <w:sz w:val="24"/>
                  <w:szCs w:val="24"/>
                  <w:u w:val="single"/>
                  <w:lang w:val="en-US" w:eastAsia="en-US" w:bidi="ar-SA"/>
                </w:rPr>
                <w:t>stnourse@aep.com</w:t>
              </w:r>
            </w:hyperlink>
          </w:p>
          <w:p w:rsidR="00D00F82" w:rsidP="00A07614" w14:paraId="337A287D" w14:textId="6D3FF47C">
            <w:pPr>
              <w:autoSpaceDE w:val="0"/>
              <w:autoSpaceDN w:val="0"/>
              <w:adjustRightInd w:val="0"/>
              <w:rPr>
                <w:color w:val="0563C2"/>
                <w:sz w:val="24"/>
                <w:szCs w:val="24"/>
                <w:lang w:val="en-US" w:eastAsia="en-US" w:bidi="ar-SA"/>
              </w:rPr>
            </w:pPr>
            <w:hyperlink r:id="rId23" w:history="1">
              <w:r w:rsidRPr="00E16469" w:rsidR="00DF4D99">
                <w:rPr>
                  <w:rStyle w:val="Hyperlink"/>
                  <w:color w:val="0000FF"/>
                  <w:sz w:val="24"/>
                  <w:szCs w:val="24"/>
                  <w:u w:val="single"/>
                  <w:lang w:val="en-US" w:eastAsia="en-US" w:bidi="ar-SA"/>
                </w:rPr>
                <w:t>mjschuler@aep.com</w:t>
              </w:r>
            </w:hyperlink>
          </w:p>
          <w:p w:rsidR="008E11BE" w:rsidRPr="007C48E4" w:rsidP="00A07614" w14:paraId="5276D7D8" w14:textId="77777777">
            <w:pPr>
              <w:autoSpaceDE w:val="0"/>
              <w:autoSpaceDN w:val="0"/>
              <w:adjustRightInd w:val="0"/>
              <w:rPr>
                <w:color w:val="0563C2"/>
                <w:sz w:val="24"/>
                <w:szCs w:val="24"/>
                <w:lang w:val="en-US" w:eastAsia="en-US" w:bidi="ar-SA"/>
              </w:rPr>
            </w:pPr>
            <w:hyperlink r:id="rId24" w:history="1">
              <w:r w:rsidRPr="007C48E4" w:rsidR="00392557">
                <w:rPr>
                  <w:rStyle w:val="Hyperlink"/>
                  <w:color w:val="0000FF"/>
                  <w:sz w:val="24"/>
                  <w:szCs w:val="24"/>
                  <w:u w:val="single"/>
                  <w:lang w:val="en-US" w:eastAsia="en-US" w:bidi="ar-SA"/>
                </w:rPr>
                <w:t>matthew@msmckenzieltd.com</w:t>
              </w:r>
            </w:hyperlink>
          </w:p>
          <w:p w:rsidR="00300E0E" w:rsidRPr="007C48E4" w:rsidP="00A07614" w14:paraId="34436AFC" w14:textId="77777777">
            <w:pPr>
              <w:autoSpaceDE w:val="0"/>
              <w:autoSpaceDN w:val="0"/>
              <w:adjustRightInd w:val="0"/>
              <w:rPr>
                <w:color w:val="0563C2"/>
                <w:sz w:val="24"/>
                <w:szCs w:val="24"/>
                <w:lang w:val="en-US" w:eastAsia="en-US" w:bidi="ar-SA"/>
              </w:rPr>
            </w:pPr>
          </w:p>
          <w:p w:rsidR="008E11BE" w:rsidRPr="007C48E4" w:rsidP="00A07614" w14:paraId="196C2682" w14:textId="77777777">
            <w:pPr>
              <w:autoSpaceDE w:val="0"/>
              <w:autoSpaceDN w:val="0"/>
              <w:adjustRightInd w:val="0"/>
              <w:rPr>
                <w:color w:val="0563C2"/>
                <w:sz w:val="24"/>
                <w:szCs w:val="24"/>
                <w:lang w:val="en-US" w:eastAsia="en-US" w:bidi="ar-SA"/>
              </w:rPr>
            </w:pPr>
          </w:p>
        </w:tc>
      </w:tr>
    </w:tbl>
    <w:p w:rsidR="008E11BE" w:rsidRPr="007C48E4" w14:paraId="64E39437" w14:textId="77777777">
      <w:pPr>
        <w:pStyle w:val="CommentText"/>
        <w:jc w:val="center"/>
        <w:rPr>
          <w:b/>
          <w:u w:val="single"/>
        </w:rPr>
      </w:pPr>
    </w:p>
    <w:p w:rsidR="00A044B5" w:rsidRPr="007C48E4" w14:paraId="09B9F3CD" w14:textId="77777777">
      <w:pPr>
        <w:pStyle w:val="BodyText"/>
        <w:rPr>
          <w:b/>
          <w:bCs/>
          <w:szCs w:val="24"/>
        </w:rPr>
      </w:pPr>
    </w:p>
    <w:p w:rsidR="00A044B5" w:rsidRPr="007C48E4" w14:paraId="3DCAAF94" w14:textId="77777777">
      <w:pPr>
        <w:pStyle w:val="BodyText"/>
        <w:rPr>
          <w:b/>
          <w:bCs/>
          <w:szCs w:val="24"/>
        </w:rPr>
      </w:pPr>
    </w:p>
    <w:sectPr w:rsidSect="008D1389">
      <w:headerReference w:type="even" r:id="rId25"/>
      <w:headerReference w:type="default" r:id="rId26"/>
      <w:footerReference w:type="default" r:id="rId27"/>
      <w:headerReference w:type="first" r:id="rId28"/>
      <w:footerReference w:type="first" r:id="rId29"/>
      <w:pgSz w:w="12240" w:h="15840"/>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43E97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005788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284B933"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20152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F2" w14:paraId="2D577F2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6061057"/>
      <w:docPartObj>
        <w:docPartGallery w:val="Page Numbers (Bottom of Page)"/>
        <w:docPartUnique/>
      </w:docPartObj>
    </w:sdtPr>
    <w:sdtEndPr>
      <w:rPr>
        <w:noProof/>
        <w:sz w:val="24"/>
        <w:szCs w:val="24"/>
      </w:rPr>
    </w:sdtEndPr>
    <w:sdtContent>
      <w:p w:rsidR="008D1389" w:rsidRPr="008D1389" w14:paraId="0BA085F7" w14:textId="68046A13">
        <w:pPr>
          <w:pStyle w:val="Footer"/>
          <w:jc w:val="center"/>
          <w:rPr>
            <w:sz w:val="24"/>
            <w:szCs w:val="24"/>
          </w:rPr>
        </w:pPr>
        <w:r w:rsidRPr="008D1389">
          <w:rPr>
            <w:sz w:val="24"/>
            <w:szCs w:val="24"/>
          </w:rPr>
          <w:fldChar w:fldCharType="begin"/>
        </w:r>
        <w:r w:rsidRPr="008D1389">
          <w:rPr>
            <w:sz w:val="24"/>
            <w:szCs w:val="24"/>
          </w:rPr>
          <w:instrText xml:space="preserve"> PAGE   \* MERGEFORMAT </w:instrText>
        </w:r>
        <w:r w:rsidRPr="008D1389">
          <w:rPr>
            <w:sz w:val="24"/>
            <w:szCs w:val="24"/>
          </w:rPr>
          <w:fldChar w:fldCharType="separate"/>
        </w:r>
        <w:r w:rsidRPr="008D1389">
          <w:rPr>
            <w:noProof/>
            <w:sz w:val="24"/>
            <w:szCs w:val="24"/>
          </w:rPr>
          <w:t>2</w:t>
        </w:r>
        <w:r w:rsidRPr="008D1389">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4AB2E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99" w14:paraId="1E2CEDDE" w14:textId="77777777">
      <w:r>
        <w:separator/>
      </w:r>
    </w:p>
  </w:footnote>
  <w:footnote w:type="continuationSeparator" w:id="1">
    <w:p w:rsidR="00DF4D99" w14:paraId="7F888B20" w14:textId="77777777">
      <w:r>
        <w:continuationSeparator/>
      </w:r>
    </w:p>
  </w:footnote>
  <w:footnote w:id="2">
    <w:p w:rsidR="003F6FB7" w:rsidP="00EB3BE2" w14:paraId="6958D495" w14:textId="77777777">
      <w:pPr>
        <w:pStyle w:val="FootnoteText"/>
        <w:spacing w:after="120"/>
      </w:pPr>
      <w:r>
        <w:rPr>
          <w:rStyle w:val="FootnoteReference"/>
        </w:rPr>
        <w:footnoteRef/>
      </w:r>
      <w:r>
        <w:t xml:space="preserve"> R.C. 4903.10.</w:t>
      </w:r>
    </w:p>
  </w:footnote>
  <w:footnote w:id="3">
    <w:p w:rsidR="00A60C7B" w:rsidRPr="00A60C7B" w:rsidP="00EB3BE2" w14:paraId="0FE05783" w14:textId="5B85DEB1">
      <w:pPr>
        <w:pStyle w:val="FootnoteText"/>
        <w:spacing w:after="120"/>
      </w:pPr>
      <w:r>
        <w:rPr>
          <w:rStyle w:val="FootnoteReference"/>
        </w:rPr>
        <w:footnoteRef/>
      </w:r>
      <w:r>
        <w:t xml:space="preserve"> Opinion and Order (Sept</w:t>
      </w:r>
      <w:r w:rsidR="008F45F7">
        <w:t>ember</w:t>
      </w:r>
      <w:r>
        <w:t xml:space="preserve"> 6, 2023), at ¶</w:t>
      </w:r>
      <w:r w:rsidR="00B31D25">
        <w:t xml:space="preserve"> 224.</w:t>
      </w:r>
    </w:p>
  </w:footnote>
  <w:footnote w:id="4">
    <w:p w:rsidR="003F6FB7" w:rsidRPr="00F0635C" w:rsidP="00EB3BE2" w14:paraId="2C89E7FA" w14:textId="718B27C5">
      <w:pPr>
        <w:pStyle w:val="FootnoteText"/>
        <w:spacing w:after="120"/>
      </w:pPr>
      <w:r>
        <w:rPr>
          <w:rStyle w:val="FootnoteReference"/>
        </w:rPr>
        <w:footnoteRef/>
      </w:r>
      <w:r>
        <w:t xml:space="preserve"> </w:t>
      </w:r>
      <w:r>
        <w:rPr>
          <w:i/>
          <w:iCs/>
        </w:rPr>
        <w:t>Id.</w:t>
      </w:r>
      <w:r>
        <w:t>, at</w:t>
      </w:r>
      <w:r>
        <w:rPr>
          <w:i/>
          <w:iCs/>
        </w:rPr>
        <w:t xml:space="preserve"> </w:t>
      </w:r>
      <w:r w:rsidR="00F0635C">
        <w:t xml:space="preserve">¶ 6; </w:t>
      </w:r>
      <w:r w:rsidR="00F0635C">
        <w:rPr>
          <w:i/>
          <w:iCs/>
        </w:rPr>
        <w:t>see also</w:t>
      </w:r>
      <w:r w:rsidR="00F0635C">
        <w:t xml:space="preserve"> OCC Application for Rehearing (Aug</w:t>
      </w:r>
      <w:r w:rsidR="008F45F7">
        <w:t>ust</w:t>
      </w:r>
      <w:r w:rsidR="00F0635C">
        <w:t xml:space="preserve"> 26, 2022); PUCO Entry (July 27, 2022); OCC Interlocutory Appeal (Feb</w:t>
      </w:r>
      <w:r w:rsidR="008F45F7">
        <w:t>ruary</w:t>
      </w:r>
      <w:r w:rsidR="00F0635C">
        <w:t xml:space="preserve"> 7, 2022). </w:t>
      </w:r>
    </w:p>
  </w:footnote>
  <w:footnote w:id="5">
    <w:p w:rsidR="00A70D2E" w:rsidP="00EB3BE2" w14:paraId="41951BD1" w14:textId="33370BE6">
      <w:pPr>
        <w:pStyle w:val="FootnoteText"/>
        <w:spacing w:after="120"/>
      </w:pPr>
      <w:r>
        <w:rPr>
          <w:rStyle w:val="FootnoteReference"/>
        </w:rPr>
        <w:footnoteRef/>
      </w:r>
      <w:r>
        <w:t xml:space="preserve"> Attorney Examiner Entry (</w:t>
      </w:r>
      <w:r w:rsidR="00D21088">
        <w:t>Jan</w:t>
      </w:r>
      <w:r w:rsidR="008F45F7">
        <w:t>uary</w:t>
      </w:r>
      <w:r w:rsidR="00D21088">
        <w:t xml:space="preserve"> 31, 2022), at ¶ 38. </w:t>
      </w:r>
    </w:p>
  </w:footnote>
  <w:footnote w:id="6">
    <w:p w:rsidR="006D6098" w:rsidP="00EB3BE2" w14:paraId="1058EB08" w14:textId="77777777">
      <w:pPr>
        <w:pStyle w:val="FootnoteText"/>
        <w:spacing w:after="120"/>
      </w:pPr>
      <w:r>
        <w:rPr>
          <w:rStyle w:val="FootnoteReference"/>
        </w:rPr>
        <w:footnoteRef/>
      </w:r>
      <w:r>
        <w:t xml:space="preserve"> Order, at ¶ 224.</w:t>
      </w:r>
    </w:p>
  </w:footnote>
  <w:footnote w:id="7">
    <w:p w:rsidR="009C4AF5" w:rsidP="00EB3BE2" w14:paraId="3E3D5E09" w14:textId="77777777">
      <w:pPr>
        <w:pStyle w:val="FootnoteText"/>
        <w:spacing w:after="120"/>
      </w:pPr>
      <w:r>
        <w:rPr>
          <w:rStyle w:val="FootnoteReference"/>
        </w:rPr>
        <w:footnoteRef/>
      </w:r>
      <w:r>
        <w:t xml:space="preserve"> Order, at ¶ 224. </w:t>
      </w:r>
    </w:p>
  </w:footnote>
  <w:footnote w:id="8">
    <w:p w:rsidR="00F92022" w:rsidRPr="00F92022" w:rsidP="00EB3BE2" w14:paraId="534D47B9" w14:textId="77777777">
      <w:pPr>
        <w:pStyle w:val="FootnoteText"/>
        <w:spacing w:after="120"/>
      </w:pPr>
      <w:r>
        <w:rPr>
          <w:rStyle w:val="FootnoteReference"/>
        </w:rPr>
        <w:footnoteRef/>
      </w:r>
      <w:r>
        <w:t xml:space="preserve"> </w:t>
      </w:r>
      <w:r>
        <w:rPr>
          <w:i/>
          <w:iCs/>
        </w:rPr>
        <w:t>Id.</w:t>
      </w:r>
      <w:r>
        <w:t>, at ¶ 224(1).</w:t>
      </w:r>
    </w:p>
  </w:footnote>
  <w:footnote w:id="9">
    <w:p w:rsidR="00343C19" w:rsidP="00EB3BE2" w14:paraId="56C576D9" w14:textId="036E9D79">
      <w:pPr>
        <w:pStyle w:val="FootnoteText"/>
        <w:spacing w:after="120"/>
      </w:pPr>
      <w:r>
        <w:rPr>
          <w:rStyle w:val="FootnoteReference"/>
        </w:rPr>
        <w:footnoteRef/>
      </w:r>
      <w:r>
        <w:t xml:space="preserve"> </w:t>
      </w:r>
      <w:r>
        <w:rPr>
          <w:i/>
          <w:iCs/>
        </w:rPr>
        <w:t>See</w:t>
      </w:r>
      <w:r>
        <w:t xml:space="preserve"> Order, at</w:t>
      </w:r>
      <w:r>
        <w:rPr>
          <w:i/>
          <w:iCs/>
        </w:rPr>
        <w:t xml:space="preserve"> </w:t>
      </w:r>
      <w:r>
        <w:t>¶ 6; OCC Application for Rehearing (Aug</w:t>
      </w:r>
      <w:r w:rsidR="008F45F7">
        <w:t>ust</w:t>
      </w:r>
      <w:r>
        <w:t>. 26, 2022); PUCO Entry (July 27, 2022); OCC Interlocutory Appeal (Feb</w:t>
      </w:r>
      <w:r w:rsidR="008F45F7">
        <w:t>ruary</w:t>
      </w:r>
      <w:r>
        <w:t xml:space="preserve"> 7, 2022).</w:t>
      </w:r>
    </w:p>
  </w:footnote>
  <w:footnote w:id="10">
    <w:p w:rsidR="00BE2086" w:rsidRPr="00D21088" w:rsidP="00EB3BE2" w14:paraId="706D3939" w14:textId="7DAA0E5A">
      <w:pPr>
        <w:pStyle w:val="FootnoteText"/>
        <w:spacing w:after="120"/>
      </w:pPr>
      <w:r>
        <w:rPr>
          <w:rStyle w:val="FootnoteReference"/>
        </w:rPr>
        <w:footnoteRef/>
      </w:r>
      <w:r>
        <w:t xml:space="preserve"> </w:t>
      </w:r>
      <w:r>
        <w:rPr>
          <w:i/>
          <w:iCs/>
        </w:rPr>
        <w:t xml:space="preserve">See </w:t>
      </w:r>
      <w:r>
        <w:t>OCC’s Interlocutory Appeal (to Commissioners) of PUCO’s Ruling Denying OCC’s Intervention to Represent Consumers (Feb</w:t>
      </w:r>
      <w:r w:rsidR="008F45F7">
        <w:t>ruary</w:t>
      </w:r>
      <w:r>
        <w:t xml:space="preserve"> 7, 2022).</w:t>
      </w:r>
    </w:p>
  </w:footnote>
  <w:footnote w:id="11">
    <w:p w:rsidR="00BE2086" w:rsidP="00EB3BE2" w14:paraId="29392A1B" w14:textId="77777777">
      <w:pPr>
        <w:pStyle w:val="FootnoteText"/>
        <w:spacing w:after="120"/>
      </w:pPr>
      <w:r>
        <w:rPr>
          <w:rStyle w:val="FootnoteReference"/>
        </w:rPr>
        <w:footnoteRef/>
      </w:r>
      <w:r>
        <w:t xml:space="preserve"> PUCO Entry (July 27, 2022).</w:t>
      </w:r>
    </w:p>
  </w:footnote>
  <w:footnote w:id="12">
    <w:p w:rsidR="00BE2086" w:rsidRPr="008506BE" w:rsidP="00EB3BE2" w14:paraId="111124F4" w14:textId="3160CEEB">
      <w:pPr>
        <w:pStyle w:val="FootnoteText"/>
        <w:spacing w:after="120"/>
      </w:pPr>
      <w:r>
        <w:rPr>
          <w:rStyle w:val="FootnoteReference"/>
        </w:rPr>
        <w:footnoteRef/>
      </w:r>
      <w:r>
        <w:t xml:space="preserve"> </w:t>
      </w:r>
      <w:r>
        <w:rPr>
          <w:i/>
          <w:iCs/>
        </w:rPr>
        <w:t xml:space="preserve">See </w:t>
      </w:r>
      <w:r>
        <w:t>OCC’s Application for Rehearing (Aug</w:t>
      </w:r>
      <w:r w:rsidR="008F45F7">
        <w:t>ust</w:t>
      </w:r>
      <w:r>
        <w:t xml:space="preserve"> 26, 2022).</w:t>
      </w:r>
    </w:p>
  </w:footnote>
  <w:footnote w:id="13">
    <w:p w:rsidR="00BE2086" w:rsidP="00EB3BE2" w14:paraId="59C361A2" w14:textId="77777777">
      <w:pPr>
        <w:pStyle w:val="FootnoteText"/>
        <w:spacing w:after="120"/>
      </w:pPr>
      <w:r>
        <w:rPr>
          <w:rStyle w:val="FootnoteReference"/>
        </w:rPr>
        <w:footnoteRef/>
      </w:r>
      <w:r>
        <w:t xml:space="preserve"> R.C. 4903.10.</w:t>
      </w:r>
    </w:p>
  </w:footnote>
  <w:footnote w:id="14">
    <w:p w:rsidR="00D07166" w:rsidP="00EB3BE2" w14:paraId="37855826" w14:textId="77777777">
      <w:pPr>
        <w:pStyle w:val="FootnoteText"/>
        <w:spacing w:after="120"/>
      </w:pPr>
      <w:r>
        <w:rPr>
          <w:rStyle w:val="FootnoteReference"/>
        </w:rPr>
        <w:footnoteRef/>
      </w:r>
      <w:r>
        <w:t xml:space="preserve"> O.A.C. 4901-1-</w:t>
      </w:r>
      <w:r w:rsidR="00834FC6">
        <w:t>10.</w:t>
      </w:r>
    </w:p>
  </w:footnote>
  <w:footnote w:id="15">
    <w:p w:rsidR="00D67BF7" w:rsidRPr="004D5481" w:rsidP="00EB3BE2" w14:paraId="11936A8C" w14:textId="77777777">
      <w:pPr>
        <w:pStyle w:val="FootnoteText"/>
        <w:spacing w:after="120"/>
      </w:pPr>
      <w:r w:rsidRPr="004D5481">
        <w:rPr>
          <w:rStyle w:val="FootnoteReference"/>
        </w:rPr>
        <w:footnoteRef/>
      </w:r>
      <w:r w:rsidRPr="004D5481">
        <w:t xml:space="preserve"> </w:t>
      </w:r>
      <w:r w:rsidRPr="004D5481">
        <w:rPr>
          <w:i/>
          <w:iCs/>
        </w:rPr>
        <w:t>Ohio Consumers Counsel v. Public Util. Comm.</w:t>
      </w:r>
      <w:r w:rsidRPr="004D5481">
        <w:t>, 111 Ohio St.3d 384, 2006-Ohio-5853, ¶ 20 (emphasis added).</w:t>
      </w:r>
    </w:p>
  </w:footnote>
  <w:footnote w:id="16">
    <w:p w:rsidR="00D67BF7" w:rsidRPr="004D5481" w:rsidP="00EB3BE2" w14:paraId="5F6B2DF0" w14:textId="77777777">
      <w:pPr>
        <w:pStyle w:val="FootnoteText"/>
        <w:spacing w:after="120"/>
      </w:pPr>
      <w:r w:rsidRPr="004D5481">
        <w:rPr>
          <w:rStyle w:val="FootnoteReference"/>
        </w:rPr>
        <w:footnoteRef/>
      </w:r>
      <w:r w:rsidRPr="004D5481">
        <w:t xml:space="preserve"> </w:t>
      </w:r>
      <w:r w:rsidRPr="004D5481">
        <w:rPr>
          <w:i/>
          <w:iCs/>
        </w:rPr>
        <w:t xml:space="preserve">Id. </w:t>
      </w:r>
      <w:r w:rsidRPr="004D5481">
        <w:t>at ¶¶</w:t>
      </w:r>
      <w:r>
        <w:t xml:space="preserve"> </w:t>
      </w:r>
      <w:r w:rsidRPr="004D5481">
        <w:t xml:space="preserve">18;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F2" w14:paraId="423922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DE4B43B"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F2" w14:paraId="0463B2C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6D7B3AE"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89BE2A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09E04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2306"/>
    <w:rsid w:val="00002C0B"/>
    <w:rsid w:val="000202FA"/>
    <w:rsid w:val="00057F44"/>
    <w:rsid w:val="00082870"/>
    <w:rsid w:val="000A47DD"/>
    <w:rsid w:val="000B619F"/>
    <w:rsid w:val="000C60BB"/>
    <w:rsid w:val="000E084F"/>
    <w:rsid w:val="000F5D67"/>
    <w:rsid w:val="00106791"/>
    <w:rsid w:val="00127F61"/>
    <w:rsid w:val="00130AD5"/>
    <w:rsid w:val="00156B16"/>
    <w:rsid w:val="001615B3"/>
    <w:rsid w:val="0018259B"/>
    <w:rsid w:val="001D0897"/>
    <w:rsid w:val="001D0B66"/>
    <w:rsid w:val="001D10F6"/>
    <w:rsid w:val="001D7927"/>
    <w:rsid w:val="001F5039"/>
    <w:rsid w:val="00201526"/>
    <w:rsid w:val="002218AF"/>
    <w:rsid w:val="002354D4"/>
    <w:rsid w:val="00257E5B"/>
    <w:rsid w:val="00270856"/>
    <w:rsid w:val="00271DF4"/>
    <w:rsid w:val="0027470E"/>
    <w:rsid w:val="0029144D"/>
    <w:rsid w:val="002A4912"/>
    <w:rsid w:val="002E7B20"/>
    <w:rsid w:val="002F4ED1"/>
    <w:rsid w:val="00300E0E"/>
    <w:rsid w:val="0031242C"/>
    <w:rsid w:val="00320C8F"/>
    <w:rsid w:val="003330AC"/>
    <w:rsid w:val="00342F0A"/>
    <w:rsid w:val="00343C19"/>
    <w:rsid w:val="00356224"/>
    <w:rsid w:val="003661A1"/>
    <w:rsid w:val="0036746E"/>
    <w:rsid w:val="00392557"/>
    <w:rsid w:val="003B7CA8"/>
    <w:rsid w:val="003F0FBF"/>
    <w:rsid w:val="003F6FB7"/>
    <w:rsid w:val="0040291D"/>
    <w:rsid w:val="00406AA4"/>
    <w:rsid w:val="004133D9"/>
    <w:rsid w:val="00413D6B"/>
    <w:rsid w:val="00416180"/>
    <w:rsid w:val="004211C0"/>
    <w:rsid w:val="00423C1C"/>
    <w:rsid w:val="00435E5B"/>
    <w:rsid w:val="004557D7"/>
    <w:rsid w:val="004875E4"/>
    <w:rsid w:val="00495479"/>
    <w:rsid w:val="004A75C4"/>
    <w:rsid w:val="004D38F2"/>
    <w:rsid w:val="004D5481"/>
    <w:rsid w:val="004E38A0"/>
    <w:rsid w:val="004F5AE6"/>
    <w:rsid w:val="0051520D"/>
    <w:rsid w:val="00572E94"/>
    <w:rsid w:val="005911A4"/>
    <w:rsid w:val="005A6744"/>
    <w:rsid w:val="005A7AA2"/>
    <w:rsid w:val="005F14AE"/>
    <w:rsid w:val="0062108F"/>
    <w:rsid w:val="00641070"/>
    <w:rsid w:val="00644DDA"/>
    <w:rsid w:val="00646528"/>
    <w:rsid w:val="00650C70"/>
    <w:rsid w:val="006661E4"/>
    <w:rsid w:val="006A16A5"/>
    <w:rsid w:val="006A7F5D"/>
    <w:rsid w:val="006D6098"/>
    <w:rsid w:val="006D71B6"/>
    <w:rsid w:val="006E0FA6"/>
    <w:rsid w:val="006E2D87"/>
    <w:rsid w:val="006F1457"/>
    <w:rsid w:val="006F3A5F"/>
    <w:rsid w:val="0070051D"/>
    <w:rsid w:val="00730C0C"/>
    <w:rsid w:val="00742403"/>
    <w:rsid w:val="00760DE9"/>
    <w:rsid w:val="00781346"/>
    <w:rsid w:val="00782E77"/>
    <w:rsid w:val="00783E79"/>
    <w:rsid w:val="007B377A"/>
    <w:rsid w:val="007B41FC"/>
    <w:rsid w:val="007C48E4"/>
    <w:rsid w:val="007C57EE"/>
    <w:rsid w:val="007D75D4"/>
    <w:rsid w:val="00816F11"/>
    <w:rsid w:val="00826275"/>
    <w:rsid w:val="00834FC6"/>
    <w:rsid w:val="00835555"/>
    <w:rsid w:val="008506BE"/>
    <w:rsid w:val="00896065"/>
    <w:rsid w:val="008B6A97"/>
    <w:rsid w:val="008C09BD"/>
    <w:rsid w:val="008D04F2"/>
    <w:rsid w:val="008D1389"/>
    <w:rsid w:val="008D3A4F"/>
    <w:rsid w:val="008D5074"/>
    <w:rsid w:val="008E11BE"/>
    <w:rsid w:val="008F4272"/>
    <w:rsid w:val="008F45F7"/>
    <w:rsid w:val="008F6975"/>
    <w:rsid w:val="00963C76"/>
    <w:rsid w:val="00980C1E"/>
    <w:rsid w:val="009B6D8B"/>
    <w:rsid w:val="009C4AF5"/>
    <w:rsid w:val="009C5B24"/>
    <w:rsid w:val="009D0269"/>
    <w:rsid w:val="00A044B5"/>
    <w:rsid w:val="00A055FB"/>
    <w:rsid w:val="00A07614"/>
    <w:rsid w:val="00A30D6E"/>
    <w:rsid w:val="00A3399A"/>
    <w:rsid w:val="00A501E8"/>
    <w:rsid w:val="00A549D7"/>
    <w:rsid w:val="00A5514C"/>
    <w:rsid w:val="00A60C7B"/>
    <w:rsid w:val="00A70D2E"/>
    <w:rsid w:val="00A744A9"/>
    <w:rsid w:val="00AA6B5D"/>
    <w:rsid w:val="00AC102B"/>
    <w:rsid w:val="00AD135E"/>
    <w:rsid w:val="00AE437E"/>
    <w:rsid w:val="00AE516F"/>
    <w:rsid w:val="00B31D25"/>
    <w:rsid w:val="00B85A95"/>
    <w:rsid w:val="00B976E1"/>
    <w:rsid w:val="00BA335C"/>
    <w:rsid w:val="00BC7AB9"/>
    <w:rsid w:val="00BD28A0"/>
    <w:rsid w:val="00BE2086"/>
    <w:rsid w:val="00BE28C9"/>
    <w:rsid w:val="00BE63F0"/>
    <w:rsid w:val="00C00556"/>
    <w:rsid w:val="00C00EB8"/>
    <w:rsid w:val="00C54DC0"/>
    <w:rsid w:val="00C83F42"/>
    <w:rsid w:val="00C84F97"/>
    <w:rsid w:val="00C910AC"/>
    <w:rsid w:val="00CA6A3D"/>
    <w:rsid w:val="00CC072E"/>
    <w:rsid w:val="00CC2A6F"/>
    <w:rsid w:val="00CD08E9"/>
    <w:rsid w:val="00CD7D3A"/>
    <w:rsid w:val="00D00F82"/>
    <w:rsid w:val="00D07166"/>
    <w:rsid w:val="00D21088"/>
    <w:rsid w:val="00D55177"/>
    <w:rsid w:val="00D57504"/>
    <w:rsid w:val="00D67BF7"/>
    <w:rsid w:val="00D74BAB"/>
    <w:rsid w:val="00D826E2"/>
    <w:rsid w:val="00D84C51"/>
    <w:rsid w:val="00D92BE0"/>
    <w:rsid w:val="00D93165"/>
    <w:rsid w:val="00D96E4D"/>
    <w:rsid w:val="00DC223B"/>
    <w:rsid w:val="00DE1877"/>
    <w:rsid w:val="00DE3BDA"/>
    <w:rsid w:val="00DF4D99"/>
    <w:rsid w:val="00E10763"/>
    <w:rsid w:val="00E14B3C"/>
    <w:rsid w:val="00E16469"/>
    <w:rsid w:val="00E504E1"/>
    <w:rsid w:val="00E565F3"/>
    <w:rsid w:val="00E626DE"/>
    <w:rsid w:val="00E727BF"/>
    <w:rsid w:val="00EA6050"/>
    <w:rsid w:val="00EA61E1"/>
    <w:rsid w:val="00EB3BE2"/>
    <w:rsid w:val="00ED6D7B"/>
    <w:rsid w:val="00EF3AD6"/>
    <w:rsid w:val="00EF6F54"/>
    <w:rsid w:val="00F02AE0"/>
    <w:rsid w:val="00F05C3B"/>
    <w:rsid w:val="00F0635C"/>
    <w:rsid w:val="00F1341B"/>
    <w:rsid w:val="00F15475"/>
    <w:rsid w:val="00F2530E"/>
    <w:rsid w:val="00F3297E"/>
    <w:rsid w:val="00F3384C"/>
    <w:rsid w:val="00F37058"/>
    <w:rsid w:val="00F40C28"/>
    <w:rsid w:val="00F5510F"/>
    <w:rsid w:val="00F65BAD"/>
    <w:rsid w:val="00F661B9"/>
    <w:rsid w:val="00F92022"/>
    <w:rsid w:val="00FB6D68"/>
    <w:rsid w:val="00FD12B3"/>
    <w:rsid w:val="00FD24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605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DA"/>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CommentTextChar">
    <w:name w:val="Comment Text Char"/>
    <w:link w:val="CommentText"/>
    <w:uiPriority w:val="99"/>
    <w:semiHidden/>
    <w:rsid w:val="001D10F6"/>
    <w:rPr>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rsid w:val="00D67BF7"/>
  </w:style>
  <w:style w:type="character" w:customStyle="1" w:styleId="FooterChar">
    <w:name w:val="Footer Char"/>
    <w:basedOn w:val="DefaultParagraphFont"/>
    <w:link w:val="Footer"/>
    <w:uiPriority w:val="99"/>
    <w:rsid w:val="008D1389"/>
  </w:style>
  <w:style w:type="paragraph" w:styleId="Revision">
    <w:name w:val="Revision"/>
    <w:hidden/>
    <w:uiPriority w:val="99"/>
    <w:semiHidden/>
    <w:rsid w:val="004029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John.jones@ohioAGO.gov" TargetMode="External" /><Relationship Id="rId15" Type="http://schemas.openxmlformats.org/officeDocument/2006/relationships/hyperlink" Target="mailto:mjsettineri@vorys.com" TargetMode="External" /><Relationship Id="rId16" Type="http://schemas.openxmlformats.org/officeDocument/2006/relationships/hyperlink" Target="mailto:aasanyal@vorys.com" TargetMode="External" /><Relationship Id="rId17" Type="http://schemas.openxmlformats.org/officeDocument/2006/relationships/hyperlink" Target="mailto:apguran@vorys.com" TargetMode="External" /><Relationship Id="rId18" Type="http://schemas.openxmlformats.org/officeDocument/2006/relationships/hyperlink" Target="mailto:tjwhaling@vorys.com" TargetMode="External" /><Relationship Id="rId19" Type="http://schemas.openxmlformats.org/officeDocument/2006/relationships/hyperlink" Target="mailto:dromig@nationwideenergypartners.com" TargetMode="External" /><Relationship Id="rId2" Type="http://schemas.openxmlformats.org/officeDocument/2006/relationships/settings" Target="settings.xml" /><Relationship Id="rId20" Type="http://schemas.openxmlformats.org/officeDocument/2006/relationships/hyperlink" Target="mailto:david.hicks@puco.ohio.gov" TargetMode="External" /><Relationship Id="rId21" Type="http://schemas.openxmlformats.org/officeDocument/2006/relationships/hyperlink" Target="mailto:matthew.sandor@puco.ohio.gov" TargetMode="External" /><Relationship Id="rId22" Type="http://schemas.openxmlformats.org/officeDocument/2006/relationships/hyperlink" Target="mailto:stnourse@aep.com" TargetMode="External" /><Relationship Id="rId23" Type="http://schemas.openxmlformats.org/officeDocument/2006/relationships/hyperlink" Target="mailto:mjschuler@aep.com" TargetMode="External" /><Relationship Id="rId24" Type="http://schemas.openxmlformats.org/officeDocument/2006/relationships/hyperlink" Target="mailto:matthew@msmckenzieltd.com" TargetMode="External" /><Relationship Id="rId25" Type="http://schemas.openxmlformats.org/officeDocument/2006/relationships/header" Target="header4.xml" /><Relationship Id="rId26" Type="http://schemas.openxmlformats.org/officeDocument/2006/relationships/header" Target="header5.xml" /><Relationship Id="rId27" Type="http://schemas.openxmlformats.org/officeDocument/2006/relationships/footer" Target="footer4.xml" /><Relationship Id="rId28" Type="http://schemas.openxmlformats.org/officeDocument/2006/relationships/header" Target="header6.xml" /><Relationship Id="rId29" Type="http://schemas.openxmlformats.org/officeDocument/2006/relationships/footer" Target="footer5.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illiam.michael@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C643-BCD0-4647-9014-8ECEF957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2023-10-06T17:22:23Z</dcterms:created>
  <dcterms:modified xsi:type="dcterms:W3CDTF">2023-10-06T17:22:23Z</dcterms:modified>
</cp:coreProperties>
</file>