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AD" w:rsidRPr="00D1743B" w:rsidRDefault="00D1743B" w:rsidP="00D1743B">
      <w:pPr>
        <w:spacing w:after="0" w:line="240" w:lineRule="auto"/>
        <w:jc w:val="center"/>
        <w:rPr>
          <w:b/>
        </w:rPr>
      </w:pPr>
      <w:r w:rsidRPr="00D1743B">
        <w:rPr>
          <w:b/>
        </w:rPr>
        <w:t>BEFORE</w:t>
      </w:r>
    </w:p>
    <w:p w:rsidR="00D1743B" w:rsidRPr="00D1743B" w:rsidRDefault="00D1743B" w:rsidP="00D1743B">
      <w:pPr>
        <w:spacing w:after="0" w:line="240" w:lineRule="auto"/>
        <w:jc w:val="center"/>
        <w:rPr>
          <w:b/>
        </w:rPr>
      </w:pPr>
    </w:p>
    <w:p w:rsidR="00D1743B" w:rsidRPr="00D1743B" w:rsidRDefault="00D1743B" w:rsidP="00D1743B">
      <w:pPr>
        <w:spacing w:after="0" w:line="240" w:lineRule="auto"/>
        <w:jc w:val="center"/>
        <w:rPr>
          <w:b/>
        </w:rPr>
      </w:pPr>
      <w:r w:rsidRPr="00D1743B">
        <w:rPr>
          <w:b/>
        </w:rPr>
        <w:t>THE PUBLIC UTILITIES COMMISSION OF OHIO</w:t>
      </w:r>
    </w:p>
    <w:p w:rsidR="00D1743B" w:rsidRDefault="00D1743B" w:rsidP="00620B9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876"/>
        <w:gridCol w:w="3192"/>
      </w:tblGrid>
      <w:tr w:rsidR="00D1743B" w:rsidTr="00D1743B">
        <w:tc>
          <w:tcPr>
            <w:tcW w:w="5508" w:type="dxa"/>
          </w:tcPr>
          <w:p w:rsidR="00D1743B" w:rsidRDefault="00D1743B" w:rsidP="00620B9B">
            <w:r>
              <w:t>In the Matter of the Commission’s Review of Chapter 4901:1-7, of the Ohio Administrative Code, Local Exchange Carrier-to-Carrier Rules</w:t>
            </w:r>
          </w:p>
        </w:tc>
        <w:tc>
          <w:tcPr>
            <w:tcW w:w="876" w:type="dxa"/>
          </w:tcPr>
          <w:p w:rsidR="00D1743B" w:rsidRDefault="00D1743B" w:rsidP="00D1743B">
            <w:pPr>
              <w:jc w:val="center"/>
            </w:pPr>
            <w:r>
              <w:t>)</w:t>
            </w:r>
          </w:p>
          <w:p w:rsidR="00D1743B" w:rsidRDefault="00D1743B" w:rsidP="00D1743B">
            <w:pPr>
              <w:jc w:val="center"/>
            </w:pPr>
            <w:r>
              <w:t>)</w:t>
            </w:r>
          </w:p>
          <w:p w:rsidR="00D1743B" w:rsidRDefault="00D1743B" w:rsidP="00D1743B">
            <w:pPr>
              <w:jc w:val="center"/>
            </w:pPr>
            <w:r>
              <w:t>)</w:t>
            </w:r>
          </w:p>
        </w:tc>
        <w:tc>
          <w:tcPr>
            <w:tcW w:w="3192" w:type="dxa"/>
          </w:tcPr>
          <w:p w:rsidR="00D1743B" w:rsidRDefault="00D1743B" w:rsidP="00620B9B"/>
          <w:p w:rsidR="00D1743B" w:rsidRDefault="00D1743B" w:rsidP="00620B9B">
            <w:r>
              <w:t>Case No. 12-922-TP-ORD</w:t>
            </w:r>
          </w:p>
        </w:tc>
      </w:tr>
    </w:tbl>
    <w:p w:rsidR="00D1743B" w:rsidRDefault="00D1743B" w:rsidP="00620B9B">
      <w:pPr>
        <w:spacing w:after="0" w:line="240" w:lineRule="auto"/>
      </w:pPr>
    </w:p>
    <w:p w:rsidR="00D1743B" w:rsidRDefault="00D1743B" w:rsidP="00620B9B">
      <w:pPr>
        <w:spacing w:after="0" w:line="240" w:lineRule="auto"/>
      </w:pPr>
    </w:p>
    <w:p w:rsidR="00D1743B" w:rsidRPr="00D1743B" w:rsidRDefault="00D1743B" w:rsidP="00D1743B">
      <w:pPr>
        <w:spacing w:after="0" w:line="240" w:lineRule="auto"/>
        <w:jc w:val="center"/>
        <w:rPr>
          <w:b/>
        </w:rPr>
      </w:pPr>
      <w:r w:rsidRPr="00D1743B">
        <w:rPr>
          <w:b/>
        </w:rPr>
        <w:t>VERIZON’S COMMENTS</w:t>
      </w:r>
    </w:p>
    <w:p w:rsidR="00D1743B" w:rsidRPr="00D1743B" w:rsidRDefault="00D1743B" w:rsidP="00D1743B">
      <w:pPr>
        <w:spacing w:after="0" w:line="240" w:lineRule="auto"/>
        <w:jc w:val="center"/>
        <w:rPr>
          <w:u w:val="single"/>
        </w:rPr>
      </w:pPr>
      <w:r w:rsidRPr="00D1743B">
        <w:rPr>
          <w:b/>
          <w:u w:val="single"/>
        </w:rPr>
        <w:t>ON PROPOSED CHANGES TO CARRIER-TO-CARRIER RULES</w:t>
      </w:r>
    </w:p>
    <w:p w:rsidR="00D1743B" w:rsidRDefault="00D1743B" w:rsidP="00620B9B">
      <w:pPr>
        <w:spacing w:after="0" w:line="240" w:lineRule="auto"/>
      </w:pPr>
    </w:p>
    <w:p w:rsidR="00D1743B" w:rsidRDefault="00D1743B" w:rsidP="00D95BB8">
      <w:pPr>
        <w:spacing w:after="0" w:line="480" w:lineRule="auto"/>
      </w:pPr>
      <w:r>
        <w:tab/>
      </w:r>
      <w:proofErr w:type="spellStart"/>
      <w:r>
        <w:t>MCImetro</w:t>
      </w:r>
      <w:proofErr w:type="spellEnd"/>
      <w:r>
        <w:t xml:space="preserve"> Access Transmission Services LLC d/b/a Verizon Access Transmission Services</w:t>
      </w:r>
      <w:r w:rsidR="009B2F9B">
        <w:t xml:space="preserve"> and MCI Communications Services, Inc. d/b/a Verizon Business Services</w:t>
      </w:r>
      <w:r>
        <w:t xml:space="preserve"> (</w:t>
      </w:r>
      <w:r w:rsidR="009B2F9B">
        <w:t xml:space="preserve">together, </w:t>
      </w:r>
      <w:r w:rsidR="00654C37">
        <w:t>“Verizon”)</w:t>
      </w:r>
      <w:r w:rsidR="001E6651">
        <w:t xml:space="preserve"> respectfully submit their comments regarding proposed amendments to Chapter 4901:1-7 </w:t>
      </w:r>
      <w:r w:rsidR="00FF43B5">
        <w:t>pursuant to the schedule set forth in the Commission’s March 21, 20</w:t>
      </w:r>
      <w:r w:rsidR="001E6651">
        <w:t>12 Entry in this case (“Entry”)</w:t>
      </w:r>
      <w:r w:rsidR="00D95BB8">
        <w:t>.</w:t>
      </w:r>
    </w:p>
    <w:p w:rsidR="002055B2" w:rsidRDefault="00D95BB8" w:rsidP="00D95BB8">
      <w:pPr>
        <w:spacing w:after="0" w:line="480" w:lineRule="auto"/>
      </w:pPr>
      <w:r>
        <w:tab/>
      </w:r>
      <w:r w:rsidR="00A65011">
        <w:t>T</w:t>
      </w:r>
      <w:r w:rsidR="00FF43B5">
        <w:t>he</w:t>
      </w:r>
      <w:r>
        <w:t xml:space="preserve"> proposed amendments are </w:t>
      </w:r>
      <w:r w:rsidR="00A65011">
        <w:t xml:space="preserve">generally </w:t>
      </w:r>
      <w:r>
        <w:t>appropriate and consistent with the purposes of Section 119.032, O.R.C. and Executive Order 2011-01K</w:t>
      </w:r>
      <w:r w:rsidR="004728BC">
        <w:t xml:space="preserve">.  However, </w:t>
      </w:r>
      <w:r w:rsidR="00654C37">
        <w:t xml:space="preserve">a few changes are necessary to avoid </w:t>
      </w:r>
      <w:r w:rsidR="004728BC">
        <w:t>conflict</w:t>
      </w:r>
      <w:r w:rsidR="00654C37">
        <w:t xml:space="preserve"> with federal</w:t>
      </w:r>
      <w:r w:rsidR="004728BC">
        <w:t xml:space="preserve"> law</w:t>
      </w:r>
      <w:r>
        <w:t xml:space="preserve">.  </w:t>
      </w:r>
      <w:r w:rsidR="004728BC">
        <w:t>An</w:t>
      </w:r>
      <w:r w:rsidR="00654C37">
        <w:t xml:space="preserve"> overarching </w:t>
      </w:r>
      <w:r w:rsidR="004728BC">
        <w:t>problem is</w:t>
      </w:r>
      <w:r w:rsidR="00654C37">
        <w:t xml:space="preserve"> that the </w:t>
      </w:r>
      <w:r w:rsidR="004728BC">
        <w:t xml:space="preserve">proposed rules </w:t>
      </w:r>
      <w:r w:rsidR="00A65011">
        <w:t xml:space="preserve">repeatedly </w:t>
      </w:r>
      <w:r w:rsidR="00654C37">
        <w:t xml:space="preserve">reference federal law as of a specific </w:t>
      </w:r>
      <w:r w:rsidR="00A65011">
        <w:t>point in time</w:t>
      </w:r>
      <w:r w:rsidR="00654C37">
        <w:t xml:space="preserve">, which could </w:t>
      </w:r>
      <w:r w:rsidR="006B298D">
        <w:t xml:space="preserve">put </w:t>
      </w:r>
      <w:r w:rsidR="00654C37">
        <w:t xml:space="preserve">the Commission </w:t>
      </w:r>
      <w:r w:rsidR="004728BC">
        <w:t xml:space="preserve">in the untenable position of </w:t>
      </w:r>
      <w:r w:rsidR="00654C37">
        <w:t>attempting to enforce federal law that has been superseded.  I</w:t>
      </w:r>
      <w:r>
        <w:t xml:space="preserve">n a few </w:t>
      </w:r>
      <w:r w:rsidR="00654C37">
        <w:t xml:space="preserve">other </w:t>
      </w:r>
      <w:r>
        <w:t xml:space="preserve">instances, the proposed amendments </w:t>
      </w:r>
      <w:r w:rsidR="004728BC">
        <w:t>could be construed</w:t>
      </w:r>
      <w:r>
        <w:t xml:space="preserve"> to prejudge federal law on </w:t>
      </w:r>
      <w:r w:rsidR="00654C37">
        <w:t>matters</w:t>
      </w:r>
      <w:r>
        <w:t xml:space="preserve"> currently pending before the Federal Communications Commission (“FCC”</w:t>
      </w:r>
      <w:r w:rsidR="002055B2">
        <w:t>).</w:t>
      </w:r>
      <w:r w:rsidR="0055200C">
        <w:t xml:space="preserve">  </w:t>
      </w:r>
      <w:r w:rsidR="00654C37">
        <w:t xml:space="preserve"> Verizon addresses these issues below.</w:t>
      </w:r>
    </w:p>
    <w:p w:rsidR="00654C37" w:rsidRPr="002055B2" w:rsidRDefault="00654C37" w:rsidP="00654C37">
      <w:pPr>
        <w:spacing w:after="0" w:line="480" w:lineRule="auto"/>
        <w:rPr>
          <w:b/>
          <w:u w:val="single"/>
        </w:rPr>
      </w:pPr>
      <w:r w:rsidRPr="002055B2">
        <w:rPr>
          <w:b/>
          <w:u w:val="single"/>
        </w:rPr>
        <w:t>4901:1-7-0</w:t>
      </w:r>
      <w:r>
        <w:rPr>
          <w:b/>
          <w:u w:val="single"/>
        </w:rPr>
        <w:t>2</w:t>
      </w:r>
      <w:r w:rsidRPr="002055B2">
        <w:rPr>
          <w:b/>
          <w:u w:val="single"/>
        </w:rPr>
        <w:tab/>
      </w:r>
      <w:r>
        <w:rPr>
          <w:b/>
          <w:u w:val="single"/>
        </w:rPr>
        <w:t>General Applicability</w:t>
      </w:r>
    </w:p>
    <w:p w:rsidR="00654C37" w:rsidRDefault="00654C37" w:rsidP="00654C37">
      <w:pPr>
        <w:spacing w:after="0" w:line="480" w:lineRule="auto"/>
      </w:pPr>
      <w:r>
        <w:tab/>
      </w:r>
      <w:r w:rsidR="00A65011">
        <w:t>P</w:t>
      </w:r>
      <w:r>
        <w:t>roposed 4901:1-7-02(A) state</w:t>
      </w:r>
      <w:r w:rsidR="004728BC">
        <w:t>s</w:t>
      </w:r>
      <w:r>
        <w:t xml:space="preserve"> that each citation to the federal statutes and code of federal regulations would incorporate that citation</w:t>
      </w:r>
      <w:r w:rsidR="001E6651">
        <w:t xml:space="preserve"> by reference</w:t>
      </w:r>
      <w:r>
        <w:t xml:space="preserve"> “as effective on November 30, 2012.”  While Verizon does not object to the Commission </w:t>
      </w:r>
      <w:r w:rsidR="00A65011">
        <w:t>referring to</w:t>
      </w:r>
      <w:r>
        <w:t xml:space="preserve"> federal law in </w:t>
      </w:r>
      <w:r w:rsidR="004728BC">
        <w:t>its</w:t>
      </w:r>
      <w:r>
        <w:t xml:space="preserve"> rules (as </w:t>
      </w:r>
      <w:r>
        <w:lastRenderedPageBreak/>
        <w:t xml:space="preserve">unnecessary as that may be, given that federal law’s applicability is not </w:t>
      </w:r>
      <w:r w:rsidR="004728BC">
        <w:t>contingent</w:t>
      </w:r>
      <w:r>
        <w:t xml:space="preserve"> </w:t>
      </w:r>
      <w:r w:rsidR="004728BC">
        <w:t>up</w:t>
      </w:r>
      <w:r>
        <w:t xml:space="preserve">on </w:t>
      </w:r>
      <w:r w:rsidR="004728BC">
        <w:t xml:space="preserve">state </w:t>
      </w:r>
      <w:r>
        <w:t xml:space="preserve">administrative rules incorporating it), it is highly problematic to incorporate that law </w:t>
      </w:r>
      <w:r w:rsidR="004728BC">
        <w:t xml:space="preserve">by reference </w:t>
      </w:r>
      <w:r>
        <w:t xml:space="preserve">as of a “frozen” date.  If the cited federal statutes and regulations are subsequently amended, the Commission would be in the untenable position of attempting to enforce superseded federal laws </w:t>
      </w:r>
      <w:r w:rsidR="006B298D">
        <w:t xml:space="preserve">that have been incorporated into </w:t>
      </w:r>
      <w:r>
        <w:t>its rules.</w:t>
      </w:r>
      <w:r w:rsidR="00F36EEB">
        <w:t xml:space="preserve">  </w:t>
      </w:r>
      <w:r>
        <w:t xml:space="preserve">This is particularly inappropriate given that </w:t>
      </w:r>
      <w:r w:rsidR="00FF43B5">
        <w:t xml:space="preserve">in the carrier-to-carrier realm, </w:t>
      </w:r>
      <w:r>
        <w:t xml:space="preserve">the Commission </w:t>
      </w:r>
      <w:r w:rsidR="00FF43B5">
        <w:t>general</w:t>
      </w:r>
      <w:r w:rsidR="00A65011">
        <w:t>ly</w:t>
      </w:r>
      <w:r>
        <w:t xml:space="preserve"> acts under authority</w:t>
      </w:r>
      <w:r w:rsidR="00FF43B5">
        <w:t xml:space="preserve"> delegated to it</w:t>
      </w:r>
      <w:r w:rsidR="001E6651">
        <w:t xml:space="preserve"> </w:t>
      </w:r>
      <w:r w:rsidR="00FF43B5">
        <w:t>by</w:t>
      </w:r>
      <w:r>
        <w:t xml:space="preserve"> federal law</w:t>
      </w:r>
      <w:r w:rsidR="001E6651">
        <w:t>,</w:t>
      </w:r>
      <w:r>
        <w:t xml:space="preserve"> to enforce federal law – not</w:t>
      </w:r>
      <w:r w:rsidR="004728BC">
        <w:t xml:space="preserve"> to enforce</w:t>
      </w:r>
      <w:r>
        <w:t xml:space="preserve"> </w:t>
      </w:r>
      <w:r w:rsidRPr="000632F6">
        <w:rPr>
          <w:i/>
        </w:rPr>
        <w:t>outdated</w:t>
      </w:r>
      <w:r>
        <w:t xml:space="preserve"> federal law.</w:t>
      </w:r>
      <w:r w:rsidR="001C3702">
        <w:rPr>
          <w:rStyle w:val="FootnoteReference"/>
        </w:rPr>
        <w:footnoteReference w:id="1"/>
      </w:r>
      <w:r>
        <w:t xml:space="preserve">  </w:t>
      </w:r>
      <w:r w:rsidR="00F36EEB">
        <w:t xml:space="preserve">Similarly, carriers would be in the equally untenable position of being forced to choose whether to </w:t>
      </w:r>
      <w:r w:rsidR="006B298D">
        <w:t xml:space="preserve">violate </w:t>
      </w:r>
      <w:r w:rsidR="00F36EEB">
        <w:t xml:space="preserve">state or federal law </w:t>
      </w:r>
      <w:r w:rsidR="00BB6BC3">
        <w:t>when</w:t>
      </w:r>
      <w:r w:rsidR="004728BC">
        <w:t xml:space="preserve"> </w:t>
      </w:r>
      <w:r w:rsidR="006B298D">
        <w:t xml:space="preserve">they conflict because </w:t>
      </w:r>
      <w:r w:rsidR="004728BC">
        <w:t xml:space="preserve">federal law has been amended </w:t>
      </w:r>
      <w:r w:rsidR="006B298D">
        <w:t xml:space="preserve">and </w:t>
      </w:r>
      <w:r w:rsidR="004728BC">
        <w:t>the Commission rule has not</w:t>
      </w:r>
      <w:r w:rsidR="00F36EEB">
        <w:t xml:space="preserve">.  </w:t>
      </w:r>
    </w:p>
    <w:p w:rsidR="00A65011" w:rsidRDefault="004728BC" w:rsidP="00654C37">
      <w:pPr>
        <w:spacing w:after="0" w:line="480" w:lineRule="auto"/>
        <w:ind w:firstLine="720"/>
      </w:pPr>
      <w:r>
        <w:t>When</w:t>
      </w:r>
      <w:r w:rsidR="000632F6">
        <w:t xml:space="preserve"> considering</w:t>
      </w:r>
      <w:r w:rsidR="00654C37">
        <w:t xml:space="preserve"> this </w:t>
      </w:r>
      <w:r w:rsidR="000632F6">
        <w:t>issue</w:t>
      </w:r>
      <w:r w:rsidR="00654C37">
        <w:t xml:space="preserve"> in Case No. 06-1344-TP-ORD, the Commission acknowledged </w:t>
      </w:r>
      <w:r w:rsidR="006B298D">
        <w:t xml:space="preserve">that </w:t>
      </w:r>
      <w:r>
        <w:t xml:space="preserve">these </w:t>
      </w:r>
      <w:r w:rsidR="00FF43B5">
        <w:t>concerns</w:t>
      </w:r>
      <w:r w:rsidR="006B298D">
        <w:t xml:space="preserve"> are valid</w:t>
      </w:r>
      <w:r w:rsidR="00654C37">
        <w:t xml:space="preserve">, </w:t>
      </w:r>
      <w:r w:rsidR="000632F6">
        <w:t xml:space="preserve">but concluded that the Commission’s waiver process would allow any carrier </w:t>
      </w:r>
      <w:r w:rsidR="0065285C">
        <w:t>concerned</w:t>
      </w:r>
      <w:r>
        <w:t xml:space="preserve"> about</w:t>
      </w:r>
      <w:r w:rsidR="000632F6">
        <w:t xml:space="preserve"> a conflict between a commission rule </w:t>
      </w:r>
      <w:r>
        <w:t>incorporating</w:t>
      </w:r>
      <w:r w:rsidR="000632F6">
        <w:t xml:space="preserve"> a sup</w:t>
      </w:r>
      <w:r>
        <w:t>erseded federal statute or rule</w:t>
      </w:r>
      <w:r w:rsidR="00FF43B5">
        <w:t>,</w:t>
      </w:r>
      <w:r w:rsidR="000632F6">
        <w:t xml:space="preserve"> and the </w:t>
      </w:r>
      <w:r w:rsidR="00FF43B5">
        <w:t>subsequently-</w:t>
      </w:r>
      <w:r w:rsidR="000632F6">
        <w:t xml:space="preserve">amended federal statute or rule, </w:t>
      </w:r>
      <w:r w:rsidR="0065285C">
        <w:t>to</w:t>
      </w:r>
      <w:r w:rsidR="000632F6">
        <w:t xml:space="preserve"> </w:t>
      </w:r>
      <w:r w:rsidR="0065285C">
        <w:t>seek</w:t>
      </w:r>
      <w:r w:rsidR="000632F6">
        <w:t xml:space="preserve"> a waiver.</w:t>
      </w:r>
      <w:r w:rsidR="000632F6">
        <w:rPr>
          <w:rStyle w:val="FootnoteReference"/>
        </w:rPr>
        <w:footnoteReference w:id="2"/>
      </w:r>
      <w:r w:rsidR="000632F6">
        <w:t xml:space="preserve">  However, forcing </w:t>
      </w:r>
      <w:r w:rsidR="0065285C">
        <w:t>every</w:t>
      </w:r>
      <w:r w:rsidR="000632F6">
        <w:t xml:space="preserve"> carrier to </w:t>
      </w:r>
      <w:r w:rsidR="00222187">
        <w:t xml:space="preserve">apply for </w:t>
      </w:r>
      <w:r w:rsidR="000632F6">
        <w:t xml:space="preserve">a formal waiver of obligations </w:t>
      </w:r>
      <w:r w:rsidR="00F36EEB">
        <w:t>arising out of</w:t>
      </w:r>
      <w:r w:rsidR="00A65011">
        <w:t xml:space="preserve"> an administrative rule’s </w:t>
      </w:r>
      <w:r w:rsidR="001E6651">
        <w:t>incorporation of</w:t>
      </w:r>
      <w:r w:rsidR="000632F6">
        <w:t xml:space="preserve"> a superseded federal</w:t>
      </w:r>
      <w:r w:rsidR="0065285C">
        <w:t xml:space="preserve"> statute or rule is wasteful,</w:t>
      </w:r>
      <w:r w:rsidR="000632F6">
        <w:t xml:space="preserve"> unnecessary</w:t>
      </w:r>
      <w:r w:rsidR="0065285C">
        <w:t xml:space="preserve"> and </w:t>
      </w:r>
      <w:r w:rsidR="000632F6">
        <w:t>wholly inconsistent with the goals of Executive Order 2011-01K</w:t>
      </w:r>
      <w:r w:rsidR="003D6827">
        <w:t xml:space="preserve"> (“EO2011-01K”)</w:t>
      </w:r>
      <w:r w:rsidR="000632F6">
        <w:t xml:space="preserve">, which the Commission </w:t>
      </w:r>
      <w:r w:rsidR="00FF43B5">
        <w:t>acknowledges</w:t>
      </w:r>
      <w:r w:rsidR="000632F6">
        <w:t xml:space="preserve"> </w:t>
      </w:r>
      <w:r w:rsidR="00F36EEB">
        <w:t>requires</w:t>
      </w:r>
      <w:r w:rsidR="000632F6">
        <w:t xml:space="preserve"> it to “review its rules to </w:t>
      </w:r>
      <w:r w:rsidR="00BB6BC3">
        <w:t>…</w:t>
      </w:r>
      <w:r w:rsidR="000632F6">
        <w:t xml:space="preserve"> </w:t>
      </w:r>
      <w:r w:rsidR="000632F6" w:rsidRPr="00F36EEB">
        <w:rPr>
          <w:i/>
        </w:rPr>
        <w:t xml:space="preserve">attempt to balance properly the critical objectives of regulation and the cost of compliance by the regulated </w:t>
      </w:r>
      <w:r w:rsidR="000632F6" w:rsidRPr="00F36EEB">
        <w:rPr>
          <w:i/>
        </w:rPr>
        <w:lastRenderedPageBreak/>
        <w:t>parties; and</w:t>
      </w:r>
      <w:r w:rsidR="000632F6" w:rsidRPr="000632F6">
        <w:rPr>
          <w:i/>
        </w:rPr>
        <w:t xml:space="preserve"> amend or rescind rules that are unnecessary, ineffective, contradictory, redundant, inefficient, or needlessly burdensome</w:t>
      </w:r>
      <w:r w:rsidR="000632F6">
        <w:t xml:space="preserve">, or that have had negative unintended consequences, or unnecessarily impede business growth.”  Entry at 1-2 (emphasis added).  </w:t>
      </w:r>
    </w:p>
    <w:p w:rsidR="00E24F97" w:rsidRDefault="00E24F97" w:rsidP="00654C37">
      <w:pPr>
        <w:spacing w:after="0" w:line="480" w:lineRule="auto"/>
        <w:ind w:firstLine="720"/>
      </w:pPr>
      <w:r>
        <w:t xml:space="preserve">As Governor Kasich stated in </w:t>
      </w:r>
      <w:r w:rsidR="003D6827">
        <w:t xml:space="preserve">EO2011-01K, “… complying with confusing, duplicative, or ineffective regulations strain[s] [small business] resources and divert effort from job creation and production.  In too many cases, Ohio’s regulatory framework has worked against, not with, these small businesses.”  </w:t>
      </w:r>
      <w:r w:rsidR="003D6827" w:rsidRPr="003D6827">
        <w:rPr>
          <w:i/>
        </w:rPr>
        <w:t>See</w:t>
      </w:r>
      <w:r w:rsidR="003D6827">
        <w:t xml:space="preserve"> EO2011-01K at 1.</w:t>
      </w:r>
      <w:r>
        <w:t xml:space="preserve"> </w:t>
      </w:r>
      <w:r w:rsidR="003D6827">
        <w:t xml:space="preserve"> </w:t>
      </w:r>
      <w:r w:rsidR="00A65011">
        <w:t>Governor Kasich</w:t>
      </w:r>
      <w:r w:rsidR="003D6827">
        <w:t xml:space="preserve"> continued as follows:</w:t>
      </w:r>
    </w:p>
    <w:p w:rsidR="003D6827" w:rsidRDefault="003D6827" w:rsidP="00996248">
      <w:pPr>
        <w:spacing w:after="0" w:line="240" w:lineRule="auto"/>
        <w:ind w:left="720" w:right="720"/>
      </w:pPr>
      <w:r>
        <w:t xml:space="preserve">All of Ohio benefits from regulations that are in the public interest and are enforced properly.  Protecting the public is always first and foremost, and </w:t>
      </w:r>
      <w:r w:rsidRPr="00BB6BC3">
        <w:rPr>
          <w:i/>
        </w:rPr>
        <w:t>regulatory compliance increases when regulations are easier to understand and to follow</w:t>
      </w:r>
      <w:r>
        <w:t xml:space="preserve">.  </w:t>
      </w:r>
    </w:p>
    <w:p w:rsidR="00996248" w:rsidRDefault="00996248" w:rsidP="00996248">
      <w:pPr>
        <w:spacing w:after="0" w:line="240" w:lineRule="auto"/>
        <w:ind w:left="720" w:right="720"/>
      </w:pPr>
    </w:p>
    <w:p w:rsidR="003D6827" w:rsidRDefault="003D6827" w:rsidP="00996248">
      <w:pPr>
        <w:spacing w:after="0" w:line="240" w:lineRule="auto"/>
        <w:ind w:left="720" w:right="720"/>
      </w:pPr>
      <w:r>
        <w:t xml:space="preserve">… Ohio’s regulatory process should be built on the foundations of transparency, accountability and performance.  </w:t>
      </w:r>
      <w:r w:rsidRPr="00BB6BC3">
        <w:rPr>
          <w:i/>
        </w:rPr>
        <w:t>Government must be held accountable to justify that every regulation in place serves a purpose and is implemented in the most effective manner possible</w:t>
      </w:r>
      <w:r>
        <w:t xml:space="preserve">.  </w:t>
      </w:r>
    </w:p>
    <w:p w:rsidR="00996248" w:rsidRDefault="00996248" w:rsidP="00996248">
      <w:pPr>
        <w:spacing w:after="0" w:line="240" w:lineRule="auto"/>
        <w:ind w:left="720" w:right="720"/>
      </w:pPr>
    </w:p>
    <w:p w:rsidR="003D6827" w:rsidRDefault="003D6827" w:rsidP="00996248">
      <w:pPr>
        <w:spacing w:after="0" w:line="240" w:lineRule="auto"/>
        <w:ind w:left="720" w:right="720"/>
      </w:pPr>
      <w:r>
        <w:t xml:space="preserve">… </w:t>
      </w:r>
      <w:r w:rsidRPr="00BB6BC3">
        <w:rPr>
          <w:i/>
        </w:rPr>
        <w:t>[Agencies should] [a]</w:t>
      </w:r>
      <w:proofErr w:type="spellStart"/>
      <w:r w:rsidRPr="00BB6BC3">
        <w:rPr>
          <w:i/>
        </w:rPr>
        <w:t>ttempt</w:t>
      </w:r>
      <w:proofErr w:type="spellEnd"/>
      <w:r w:rsidRPr="00BB6BC3">
        <w:rPr>
          <w:i/>
        </w:rPr>
        <w:t>, in all rules and regulations, to properly balance the critical objectives of the regulation and the cost of compliance by the regulated parties. …  All efforts shall be made to choose the regulation that accomplishes the regulatory objective and is least burdensome on small businesses</w:t>
      </w:r>
      <w:r>
        <w:t xml:space="preserve">. </w:t>
      </w:r>
    </w:p>
    <w:p w:rsidR="00996248" w:rsidRDefault="00996248" w:rsidP="00996248">
      <w:pPr>
        <w:spacing w:after="0" w:line="240" w:lineRule="auto"/>
        <w:ind w:left="720" w:right="720"/>
      </w:pPr>
    </w:p>
    <w:p w:rsidR="003D6827" w:rsidRDefault="003D6827" w:rsidP="003D6827">
      <w:pPr>
        <w:spacing w:after="0" w:line="480" w:lineRule="auto"/>
      </w:pPr>
      <w:r>
        <w:t>Id. at 1, 3</w:t>
      </w:r>
      <w:r w:rsidR="00BB6BC3">
        <w:t xml:space="preserve"> (emphasis added).</w:t>
      </w:r>
    </w:p>
    <w:p w:rsidR="00654C37" w:rsidRDefault="00F36EEB" w:rsidP="00996248">
      <w:pPr>
        <w:spacing w:after="0" w:line="480" w:lineRule="auto"/>
        <w:ind w:firstLine="720"/>
      </w:pPr>
      <w:r>
        <w:t xml:space="preserve">The approach that the Commission has taken in the past is contrary to the </w:t>
      </w:r>
      <w:r w:rsidR="001E6651">
        <w:t>Executive Order 2011-01K</w:t>
      </w:r>
      <w:r w:rsidR="00222187">
        <w:t>’s sound goals,</w:t>
      </w:r>
      <w:r>
        <w:t xml:space="preserve"> and the Commission should take this opportunity to rectify that.</w:t>
      </w:r>
      <w:r w:rsidR="00996248">
        <w:t xml:space="preserve">  </w:t>
      </w:r>
      <w:r w:rsidR="00654C37">
        <w:t xml:space="preserve">To </w:t>
      </w:r>
      <w:r>
        <w:t>do so</w:t>
      </w:r>
      <w:r w:rsidR="00654C37">
        <w:t xml:space="preserve">, the Commission should </w:t>
      </w:r>
      <w:r w:rsidR="00A65011">
        <w:t xml:space="preserve">simply </w:t>
      </w:r>
      <w:r w:rsidR="00654C37">
        <w:t>delete 4901:1-7-02(A) in its entirety and re-letter subsections (B) through (E) as (A) through (D), deleting “… , as effective in paragraph (A) of this rule” from newly re</w:t>
      </w:r>
      <w:r w:rsidR="001E6651">
        <w:t>-lettered</w:t>
      </w:r>
      <w:r w:rsidR="00654C37">
        <w:t xml:space="preserve"> subsection (A).  In addition, the Commission should delete “… , as effective in paragraph (A) of rule 4901:1-7-02 of the Administrative Code” from the following rules:</w:t>
      </w:r>
    </w:p>
    <w:p w:rsidR="00654C37" w:rsidRDefault="00654C37" w:rsidP="00654C37">
      <w:pPr>
        <w:spacing w:after="0" w:line="480" w:lineRule="auto"/>
        <w:ind w:left="1440"/>
      </w:pPr>
      <w:r>
        <w:lastRenderedPageBreak/>
        <w:t>4901:1-7-01(J), (N), (P) and (Q)</w:t>
      </w:r>
    </w:p>
    <w:p w:rsidR="00654C37" w:rsidRDefault="00654C37" w:rsidP="00654C37">
      <w:pPr>
        <w:spacing w:after="0" w:line="480" w:lineRule="auto"/>
        <w:ind w:left="1440"/>
      </w:pPr>
      <w:r>
        <w:t>4901:1-7-04(A), (B) and (D)</w:t>
      </w:r>
    </w:p>
    <w:p w:rsidR="00654C37" w:rsidRDefault="00654C37" w:rsidP="00654C37">
      <w:pPr>
        <w:spacing w:after="0" w:line="480" w:lineRule="auto"/>
        <w:ind w:left="1440"/>
      </w:pPr>
      <w:r>
        <w:t>4901:1-7-06(A)(1), (A)(4), (A)(5), (A)(6)(f)</w:t>
      </w:r>
    </w:p>
    <w:p w:rsidR="00654C37" w:rsidRDefault="00654C37" w:rsidP="00654C37">
      <w:pPr>
        <w:spacing w:after="0" w:line="480" w:lineRule="auto"/>
        <w:ind w:left="1440"/>
      </w:pPr>
      <w:r>
        <w:t>4901:1-7-07(A)(1), (A)(3), (D)(1) and (D)(2)</w:t>
      </w:r>
    </w:p>
    <w:p w:rsidR="00654C37" w:rsidRDefault="00654C37" w:rsidP="00654C37">
      <w:pPr>
        <w:spacing w:after="0" w:line="480" w:lineRule="auto"/>
        <w:ind w:left="1440"/>
      </w:pPr>
      <w:r>
        <w:t>4901:1-7-08</w:t>
      </w:r>
    </w:p>
    <w:p w:rsidR="00654C37" w:rsidRDefault="00654C37" w:rsidP="00654C37">
      <w:pPr>
        <w:spacing w:after="0" w:line="480" w:lineRule="auto"/>
        <w:ind w:left="1440"/>
      </w:pPr>
      <w:r>
        <w:t>4901:1-7-09(G)(4)(k) and (G)(4) (l)</w:t>
      </w:r>
    </w:p>
    <w:p w:rsidR="00654C37" w:rsidRDefault="00654C37" w:rsidP="00654C37">
      <w:pPr>
        <w:spacing w:after="0" w:line="480" w:lineRule="auto"/>
        <w:ind w:left="1440"/>
      </w:pPr>
      <w:r>
        <w:t>4901:1-7-11(C)</w:t>
      </w:r>
    </w:p>
    <w:p w:rsidR="00654C37" w:rsidRDefault="00654C37" w:rsidP="00654C37">
      <w:pPr>
        <w:spacing w:after="0" w:line="240" w:lineRule="auto"/>
        <w:ind w:left="1440"/>
      </w:pPr>
      <w:r>
        <w:t xml:space="preserve">4901:1-7-12(A)(1)(a), (A)(1)(b), (B)(2), (C)(2), (D)(1)(a), (D)(1)(b), (D)(3) and (D)(4)(d) </w:t>
      </w:r>
    </w:p>
    <w:p w:rsidR="00654C37" w:rsidRDefault="00654C37" w:rsidP="00654C37">
      <w:pPr>
        <w:spacing w:after="0" w:line="240" w:lineRule="auto"/>
        <w:ind w:left="1440"/>
      </w:pPr>
    </w:p>
    <w:p w:rsidR="00654C37" w:rsidRDefault="00654C37" w:rsidP="00654C37">
      <w:pPr>
        <w:spacing w:after="0" w:line="480" w:lineRule="auto"/>
        <w:ind w:left="1440"/>
      </w:pPr>
      <w:r>
        <w:t>4901:1-7-13(F)</w:t>
      </w:r>
    </w:p>
    <w:p w:rsidR="00654C37" w:rsidRDefault="00654C37" w:rsidP="00654C37">
      <w:pPr>
        <w:spacing w:after="0" w:line="480" w:lineRule="auto"/>
        <w:ind w:left="1440"/>
      </w:pPr>
      <w:r>
        <w:t>4901:1-7-14(A)(1), (C)</w:t>
      </w:r>
    </w:p>
    <w:p w:rsidR="00654C37" w:rsidRDefault="00654C37" w:rsidP="00654C37">
      <w:pPr>
        <w:spacing w:after="0" w:line="480" w:lineRule="auto"/>
        <w:ind w:left="1440"/>
      </w:pPr>
      <w:r>
        <w:t>4901:1-7-16(A) and (B)</w:t>
      </w:r>
    </w:p>
    <w:p w:rsidR="00654C37" w:rsidRDefault="00654C37" w:rsidP="00654C37">
      <w:pPr>
        <w:spacing w:after="0" w:line="480" w:lineRule="auto"/>
        <w:ind w:left="1440"/>
      </w:pPr>
      <w:r>
        <w:t>4901:1-7-17(A)(1) and (B)(2)(d)</w:t>
      </w:r>
    </w:p>
    <w:p w:rsidR="00654C37" w:rsidRDefault="00654C37" w:rsidP="00654C37">
      <w:pPr>
        <w:spacing w:after="0" w:line="480" w:lineRule="auto"/>
        <w:ind w:left="1440"/>
      </w:pPr>
      <w:r>
        <w:t>4901:1-7-21(E)(3)(a) and (E)(3)(d)</w:t>
      </w:r>
    </w:p>
    <w:p w:rsidR="00654C37" w:rsidRDefault="00654C37" w:rsidP="00654C37">
      <w:pPr>
        <w:spacing w:after="0" w:line="480" w:lineRule="auto"/>
        <w:ind w:left="1440"/>
      </w:pPr>
      <w:r>
        <w:t>4901:1-7-22(B)</w:t>
      </w:r>
    </w:p>
    <w:p w:rsidR="00654C37" w:rsidRDefault="00654C37" w:rsidP="00654C37">
      <w:pPr>
        <w:spacing w:after="0" w:line="480" w:lineRule="auto"/>
        <w:ind w:left="1440"/>
      </w:pPr>
      <w:r>
        <w:t>4901:1-7-23(B)</w:t>
      </w:r>
    </w:p>
    <w:p w:rsidR="00654C37" w:rsidRDefault="00654C37" w:rsidP="00654C37">
      <w:pPr>
        <w:spacing w:after="0" w:line="480" w:lineRule="auto"/>
        <w:ind w:left="1440"/>
      </w:pPr>
      <w:r>
        <w:t>4901:1-7-24(B)</w:t>
      </w:r>
    </w:p>
    <w:p w:rsidR="00654C37" w:rsidRDefault="00654C37" w:rsidP="00654C37">
      <w:pPr>
        <w:spacing w:after="0" w:line="480" w:lineRule="auto"/>
        <w:ind w:left="720" w:firstLine="720"/>
        <w:rPr>
          <w:b/>
          <w:u w:val="single"/>
        </w:rPr>
      </w:pPr>
      <w:r>
        <w:t>4901:1-7-26(A)(1)(a), (A)(1)(b) and (A)(2)(a)</w:t>
      </w:r>
    </w:p>
    <w:p w:rsidR="002055B2" w:rsidRPr="002055B2" w:rsidRDefault="002055B2" w:rsidP="00D95BB8">
      <w:pPr>
        <w:spacing w:after="0" w:line="480" w:lineRule="auto"/>
        <w:rPr>
          <w:b/>
          <w:u w:val="single"/>
        </w:rPr>
      </w:pPr>
      <w:r w:rsidRPr="002055B2">
        <w:rPr>
          <w:b/>
          <w:u w:val="single"/>
        </w:rPr>
        <w:t>4901:1-7-06</w:t>
      </w:r>
      <w:r w:rsidRPr="002055B2">
        <w:rPr>
          <w:b/>
          <w:u w:val="single"/>
        </w:rPr>
        <w:tab/>
        <w:t>Interconnection</w:t>
      </w:r>
    </w:p>
    <w:p w:rsidR="0015758E" w:rsidRDefault="002055B2" w:rsidP="00D95BB8">
      <w:pPr>
        <w:spacing w:after="0" w:line="480" w:lineRule="auto"/>
      </w:pPr>
      <w:r>
        <w:tab/>
      </w:r>
      <w:r w:rsidR="00D06908">
        <w:t>The proposed</w:t>
      </w:r>
      <w:r>
        <w:t xml:space="preserve"> </w:t>
      </w:r>
      <w:r w:rsidR="00FF43B5">
        <w:t xml:space="preserve">rule </w:t>
      </w:r>
      <w:r>
        <w:t xml:space="preserve">revisions would </w:t>
      </w:r>
      <w:r w:rsidR="00983E6B">
        <w:t>add</w:t>
      </w:r>
      <w:r>
        <w:t xml:space="preserve"> the following language </w:t>
      </w:r>
      <w:r w:rsidR="00983E6B">
        <w:t>to</w:t>
      </w:r>
      <w:r>
        <w:t xml:space="preserve"> 4901:1-7-06(A)(1), (A)(2) and (A)(3):  “regardless of the network technology</w:t>
      </w:r>
      <w:r w:rsidR="00D25C43">
        <w:t xml:space="preserve"> underlying the interconnection</w:t>
      </w:r>
      <w:r>
        <w:t xml:space="preserve"> …”  </w:t>
      </w:r>
      <w:r w:rsidR="006B298D">
        <w:t xml:space="preserve">The FCC has an open proceeding in which it is considering issues related to interconnection, in which it recently issued a Further Notice of Proposed Rulemaking.  That notice raised many questions related to interconnection for voice in IP format, including whether the FCC has the </w:t>
      </w:r>
      <w:r w:rsidR="006B298D">
        <w:lastRenderedPageBreak/>
        <w:t xml:space="preserve">authority to regulate those interconnection </w:t>
      </w:r>
      <w:r w:rsidR="00222187">
        <w:t xml:space="preserve">types </w:t>
      </w:r>
      <w:r w:rsidR="006B298D">
        <w:t xml:space="preserve">and what effects regulation would have on investment and broadband deployment.  The proposed rule revision </w:t>
      </w:r>
      <w:r>
        <w:t xml:space="preserve">could be interpreted </w:t>
      </w:r>
      <w:r w:rsidR="006B298D">
        <w:t xml:space="preserve">to suggest a result before the FCC considers recently filed comments and eventually renders a decision. </w:t>
      </w:r>
      <w:r w:rsidR="00222187">
        <w:t xml:space="preserve">The proposed rule revision is therefore premature at best, and the Commission should not </w:t>
      </w:r>
      <w:r w:rsidR="00D25C43">
        <w:t xml:space="preserve">implement rules </w:t>
      </w:r>
      <w:r w:rsidR="00685942">
        <w:t>that could be read to impose</w:t>
      </w:r>
      <w:r w:rsidR="00D25C43">
        <w:t xml:space="preserve"> requirements in </w:t>
      </w:r>
      <w:r w:rsidR="00FF43B5">
        <w:t>the IP interconnection</w:t>
      </w:r>
      <w:r w:rsidR="00D25C43">
        <w:t xml:space="preserve"> realm before the FCC </w:t>
      </w:r>
      <w:r w:rsidR="00222187">
        <w:t xml:space="preserve">addresses </w:t>
      </w:r>
      <w:r w:rsidR="00D25C43">
        <w:t>the issue.</w:t>
      </w:r>
      <w:r w:rsidR="001C3702">
        <w:rPr>
          <w:rStyle w:val="FootnoteReference"/>
        </w:rPr>
        <w:footnoteReference w:id="3"/>
      </w:r>
      <w:r w:rsidR="00681799">
        <w:t xml:space="preserve">  </w:t>
      </w:r>
      <w:r w:rsidR="00D25C43">
        <w:t xml:space="preserve">  </w:t>
      </w:r>
    </w:p>
    <w:p w:rsidR="0015758E" w:rsidRDefault="0015758E" w:rsidP="00D95BB8">
      <w:pPr>
        <w:spacing w:after="0" w:line="480" w:lineRule="auto"/>
      </w:pPr>
      <w:r>
        <w:tab/>
        <w:t xml:space="preserve">To address </w:t>
      </w:r>
      <w:r w:rsidR="00FF43B5">
        <w:t>this concern</w:t>
      </w:r>
      <w:r>
        <w:t>, Verizon suggests that the Commission replace</w:t>
      </w:r>
      <w:r w:rsidR="00FF43B5">
        <w:t xml:space="preserve"> the phrase</w:t>
      </w:r>
      <w:r>
        <w:t xml:space="preserve"> “regardless of the network technology </w:t>
      </w:r>
      <w:r w:rsidRPr="001E6651">
        <w:t>underlying the interconnection</w:t>
      </w:r>
      <w:r>
        <w:t xml:space="preserve">” with “regardless of the technology </w:t>
      </w:r>
      <w:r w:rsidRPr="001E6651">
        <w:t>used to serve the end user</w:t>
      </w:r>
      <w:r>
        <w:t xml:space="preserve">” </w:t>
      </w:r>
      <w:r w:rsidR="0081122B">
        <w:t xml:space="preserve">where the former appears </w:t>
      </w:r>
      <w:r>
        <w:t>in 4901:1-7-06(A)(1), (A)(2) and (A)(3).  This langu</w:t>
      </w:r>
      <w:r w:rsidR="00685942">
        <w:t xml:space="preserve">age would preserve the </w:t>
      </w:r>
      <w:r>
        <w:t>proposed amendments</w:t>
      </w:r>
      <w:r w:rsidR="00222187">
        <w:t>’ intent</w:t>
      </w:r>
      <w:r>
        <w:t xml:space="preserve"> without usurping the FCC’s authority to decide whether</w:t>
      </w:r>
      <w:r w:rsidR="00EB76C4">
        <w:t xml:space="preserve"> federal law requires</w:t>
      </w:r>
      <w:r>
        <w:t xml:space="preserve"> IP interconnection</w:t>
      </w:r>
      <w:r w:rsidR="00222187">
        <w:t xml:space="preserve"> for voice</w:t>
      </w:r>
      <w:r>
        <w:t>.</w:t>
      </w:r>
    </w:p>
    <w:p w:rsidR="00681799" w:rsidRDefault="00681799" w:rsidP="0081122B">
      <w:pPr>
        <w:spacing w:after="0" w:line="240" w:lineRule="auto"/>
        <w:ind w:left="1440" w:hanging="1440"/>
        <w:rPr>
          <w:b/>
          <w:u w:val="single"/>
        </w:rPr>
      </w:pPr>
    </w:p>
    <w:p w:rsidR="0081122B" w:rsidRPr="0071477A" w:rsidRDefault="0081122B" w:rsidP="0081122B">
      <w:pPr>
        <w:spacing w:after="0" w:line="240" w:lineRule="auto"/>
        <w:ind w:left="1440" w:hanging="1440"/>
        <w:rPr>
          <w:b/>
          <w:u w:val="single"/>
        </w:rPr>
      </w:pPr>
      <w:r w:rsidRPr="0071477A">
        <w:rPr>
          <w:b/>
          <w:u w:val="single"/>
        </w:rPr>
        <w:t>4901:1-7-12</w:t>
      </w:r>
      <w:r w:rsidRPr="0071477A">
        <w:rPr>
          <w:b/>
          <w:u w:val="single"/>
        </w:rPr>
        <w:tab/>
        <w:t>Compensation for the transport and termination of non-access telecommunications traffic</w:t>
      </w:r>
    </w:p>
    <w:p w:rsidR="0081122B" w:rsidRPr="0081122B" w:rsidRDefault="0081122B" w:rsidP="0081122B">
      <w:pPr>
        <w:spacing w:after="0" w:line="240" w:lineRule="auto"/>
        <w:ind w:left="1440" w:hanging="1440"/>
        <w:rPr>
          <w:b/>
        </w:rPr>
      </w:pPr>
    </w:p>
    <w:p w:rsidR="003778B0" w:rsidRDefault="0081122B" w:rsidP="0081122B">
      <w:pPr>
        <w:tabs>
          <w:tab w:val="left" w:pos="720"/>
        </w:tabs>
        <w:spacing w:after="0" w:line="480" w:lineRule="auto"/>
      </w:pPr>
      <w:r>
        <w:tab/>
      </w:r>
      <w:r w:rsidR="00681799">
        <w:t>I</w:t>
      </w:r>
      <w:r w:rsidR="000F05E1">
        <w:t xml:space="preserve">t is questionable that the Commission </w:t>
      </w:r>
      <w:r w:rsidR="00D86642">
        <w:t>should</w:t>
      </w:r>
      <w:r w:rsidR="000F05E1">
        <w:t xml:space="preserve"> retain any </w:t>
      </w:r>
      <w:r w:rsidR="003778B0">
        <w:t>carrier-to-carrier</w:t>
      </w:r>
      <w:r w:rsidR="000F05E1">
        <w:t xml:space="preserve"> compensation rules given that the FCC has now established an exclusive federal regime covering the subject.</w:t>
      </w:r>
      <w:r w:rsidR="000F05E1">
        <w:rPr>
          <w:rStyle w:val="FootnoteReference"/>
        </w:rPr>
        <w:footnoteReference w:id="4"/>
      </w:r>
      <w:r w:rsidR="000F05E1">
        <w:t xml:space="preserve">  While the FCC has </w:t>
      </w:r>
      <w:r w:rsidR="00681799">
        <w:t>given</w:t>
      </w:r>
      <w:r w:rsidR="000F05E1">
        <w:t xml:space="preserve"> state commissions </w:t>
      </w:r>
      <w:r w:rsidR="00681799">
        <w:t>a role in</w:t>
      </w:r>
      <w:r w:rsidR="000F05E1">
        <w:t xml:space="preserve"> implement</w:t>
      </w:r>
      <w:r w:rsidR="00222187">
        <w:t>ing</w:t>
      </w:r>
      <w:r w:rsidR="000F05E1">
        <w:t xml:space="preserve"> that new federal regime (</w:t>
      </w:r>
      <w:r w:rsidR="000F05E1" w:rsidRPr="003778B0">
        <w:rPr>
          <w:i/>
        </w:rPr>
        <w:t>see, e.g., FCC Order</w:t>
      </w:r>
      <w:r w:rsidR="000F05E1">
        <w:t xml:space="preserve">, </w:t>
      </w:r>
      <w:r w:rsidR="000F05E1">
        <w:rPr>
          <w:rFonts w:cs="Times New Roman"/>
        </w:rPr>
        <w:t>¶¶</w:t>
      </w:r>
      <w:r w:rsidR="000F05E1">
        <w:t xml:space="preserve"> </w:t>
      </w:r>
      <w:r w:rsidR="003778B0">
        <w:t>776, 790, 803, 813, 951, 967)</w:t>
      </w:r>
      <w:r w:rsidR="000F05E1">
        <w:t xml:space="preserve">, </w:t>
      </w:r>
      <w:r w:rsidR="0011752F">
        <w:t>t</w:t>
      </w:r>
      <w:r w:rsidR="003778B0">
        <w:t xml:space="preserve">he Commission need not </w:t>
      </w:r>
      <w:r w:rsidR="00681799">
        <w:t>maintain</w:t>
      </w:r>
      <w:r w:rsidR="003778B0">
        <w:t xml:space="preserve"> </w:t>
      </w:r>
      <w:r w:rsidR="00681799">
        <w:t>compensation</w:t>
      </w:r>
      <w:r w:rsidR="003778B0">
        <w:t xml:space="preserve"> rules that point to federal law</w:t>
      </w:r>
      <w:r w:rsidR="0011752F">
        <w:t xml:space="preserve">; </w:t>
      </w:r>
      <w:r w:rsidR="003778B0">
        <w:t>federal law exists i</w:t>
      </w:r>
      <w:r w:rsidR="00681799">
        <w:t>ndependently of the state rules</w:t>
      </w:r>
      <w:r w:rsidR="003778B0">
        <w:t xml:space="preserve"> and the Commission remains charged with enforcing federal law.</w:t>
      </w:r>
    </w:p>
    <w:p w:rsidR="00B26AF6" w:rsidRPr="000253F3" w:rsidRDefault="003778B0" w:rsidP="0081122B">
      <w:pPr>
        <w:tabs>
          <w:tab w:val="left" w:pos="720"/>
        </w:tabs>
        <w:spacing w:after="0" w:line="480" w:lineRule="auto"/>
      </w:pPr>
      <w:r>
        <w:lastRenderedPageBreak/>
        <w:tab/>
      </w:r>
      <w:r w:rsidR="003846CC" w:rsidRPr="000253F3">
        <w:t xml:space="preserve">Should the Commission </w:t>
      </w:r>
      <w:r w:rsidR="00D86642" w:rsidRPr="000253F3">
        <w:t xml:space="preserve">nevertheless </w:t>
      </w:r>
      <w:r w:rsidR="003846CC" w:rsidRPr="000253F3">
        <w:t>decide</w:t>
      </w:r>
      <w:r w:rsidRPr="000253F3">
        <w:t xml:space="preserve"> to retain 4901:</w:t>
      </w:r>
      <w:r w:rsidR="002C305B" w:rsidRPr="000253F3">
        <w:t xml:space="preserve">1-7-12, changes are necessary.  The </w:t>
      </w:r>
      <w:r w:rsidR="00B26AF6" w:rsidRPr="000253F3">
        <w:t>undefined</w:t>
      </w:r>
      <w:r w:rsidR="002C305B" w:rsidRPr="000253F3">
        <w:t xml:space="preserve"> </w:t>
      </w:r>
      <w:r w:rsidR="00774646" w:rsidRPr="000253F3">
        <w:t>term</w:t>
      </w:r>
      <w:r w:rsidR="002C305B" w:rsidRPr="000253F3">
        <w:t xml:space="preserve"> “non-access</w:t>
      </w:r>
      <w:r w:rsidR="00774646" w:rsidRPr="000253F3">
        <w:t xml:space="preserve"> reciprocal compensation</w:t>
      </w:r>
      <w:r w:rsidR="002C305B" w:rsidRPr="000253F3">
        <w:t xml:space="preserve">” throughout this section will create confusion.  </w:t>
      </w:r>
      <w:r w:rsidR="00B26AF6" w:rsidRPr="000253F3">
        <w:t>The Commission should add a definition to 4901:1-7-01 that reads as follows:</w:t>
      </w:r>
    </w:p>
    <w:p w:rsidR="00B26AF6" w:rsidRPr="00437791" w:rsidRDefault="00B26AF6" w:rsidP="00437791">
      <w:pPr>
        <w:spacing w:after="0" w:line="240" w:lineRule="auto"/>
        <w:ind w:left="1080" w:right="1080"/>
        <w:rPr>
          <w:highlight w:val="cyan"/>
        </w:rPr>
      </w:pPr>
      <w:r w:rsidRPr="00437791">
        <w:t xml:space="preserve">4901:1-7-01(xx) “Non-Access Reciprocal Compensation” has the meaning set forth in 47 </w:t>
      </w:r>
      <w:proofErr w:type="spellStart"/>
      <w:r w:rsidRPr="00437791">
        <w:t>C.F.R</w:t>
      </w:r>
      <w:proofErr w:type="spellEnd"/>
      <w:r w:rsidRPr="00437791">
        <w:t xml:space="preserve">. </w:t>
      </w:r>
      <w:r w:rsidRPr="00437791">
        <w:rPr>
          <w:rFonts w:cs="Times New Roman"/>
        </w:rPr>
        <w:t>§</w:t>
      </w:r>
      <w:r w:rsidRPr="00437791">
        <w:t xml:space="preserve"> 51.701(e).</w:t>
      </w:r>
    </w:p>
    <w:p w:rsidR="00BB6BC3" w:rsidRPr="00BB6BC3" w:rsidRDefault="00BB6BC3" w:rsidP="00BB6BC3">
      <w:pPr>
        <w:tabs>
          <w:tab w:val="left" w:pos="720"/>
        </w:tabs>
        <w:spacing w:after="0" w:line="240" w:lineRule="auto"/>
        <w:ind w:left="720" w:right="720"/>
        <w:rPr>
          <w:b/>
          <w:highlight w:val="cyan"/>
        </w:rPr>
      </w:pPr>
    </w:p>
    <w:p w:rsidR="0081122B" w:rsidRDefault="002C305B" w:rsidP="0081122B">
      <w:pPr>
        <w:tabs>
          <w:tab w:val="left" w:pos="720"/>
        </w:tabs>
        <w:spacing w:after="0" w:line="480" w:lineRule="auto"/>
      </w:pPr>
      <w:r>
        <w:tab/>
        <w:t>Next, t</w:t>
      </w:r>
      <w:r w:rsidR="0081122B">
        <w:t xml:space="preserve">he </w:t>
      </w:r>
      <w:r w:rsidR="00D25C43">
        <w:t>concern</w:t>
      </w:r>
      <w:r w:rsidR="0081122B">
        <w:t xml:space="preserve"> addressed above with respect to 4901:1-7-06 also </w:t>
      </w:r>
      <w:r w:rsidR="003F06F3">
        <w:t xml:space="preserve">arises from </w:t>
      </w:r>
      <w:r w:rsidR="00EB76C4">
        <w:t>the</w:t>
      </w:r>
      <w:r w:rsidR="003F06F3">
        <w:t xml:space="preserve"> proposed amendments to</w:t>
      </w:r>
      <w:r w:rsidR="0081122B">
        <w:t xml:space="preserve"> 4901:1-7-12.  </w:t>
      </w:r>
      <w:r w:rsidR="003846CC">
        <w:t>The proposed revisions</w:t>
      </w:r>
      <w:r w:rsidR="003F06F3">
        <w:t xml:space="preserve"> suggest inserting</w:t>
      </w:r>
      <w:r w:rsidR="0081122B">
        <w:t xml:space="preserve"> the phrase “regardless of the network technology </w:t>
      </w:r>
      <w:r w:rsidR="0081122B" w:rsidRPr="001E6651">
        <w:t xml:space="preserve">underlying the </w:t>
      </w:r>
      <w:r w:rsidR="00D25C43" w:rsidRPr="001E6651">
        <w:t xml:space="preserve">networks’ </w:t>
      </w:r>
      <w:r w:rsidR="0081122B" w:rsidRPr="001E6651">
        <w:t>interconnec</w:t>
      </w:r>
      <w:r w:rsidR="00D25C43" w:rsidRPr="001E6651">
        <w:t>tion</w:t>
      </w:r>
      <w:r w:rsidR="00D25C43">
        <w:t>” into 4901:1-7-12(A)(1)(a)</w:t>
      </w:r>
      <w:r w:rsidR="003F06F3">
        <w:t>.</w:t>
      </w:r>
      <w:r w:rsidR="00D25C43">
        <w:t xml:space="preserve"> </w:t>
      </w:r>
      <w:r w:rsidR="003F06F3">
        <w:t xml:space="preserve"> This could again be interpreted as imposing</w:t>
      </w:r>
      <w:r w:rsidR="003778B0">
        <w:t xml:space="preserve"> IP</w:t>
      </w:r>
      <w:r w:rsidR="003F06F3">
        <w:t xml:space="preserve"> interconnection obligations that the FCC has not determined exist.  Verizon proposes revising the language </w:t>
      </w:r>
      <w:r w:rsidR="00EB76C4">
        <w:t>to be</w:t>
      </w:r>
      <w:r w:rsidR="003F06F3">
        <w:t xml:space="preserve"> added to 4901:1-7-12(A)(1)(a) to read as follows:  </w:t>
      </w:r>
      <w:r w:rsidR="00D25C43">
        <w:t xml:space="preserve">“regardless of the network technology </w:t>
      </w:r>
      <w:r w:rsidR="00D25C43" w:rsidRPr="001E6651">
        <w:t>utilized by the telephone company to transport or terminate that traffic</w:t>
      </w:r>
      <w:r w:rsidR="00D25C43">
        <w:t>.”</w:t>
      </w:r>
      <w:r w:rsidR="003F06F3">
        <w:t xml:space="preserve">  This </w:t>
      </w:r>
      <w:r w:rsidR="00D06908">
        <w:t xml:space="preserve">revision </w:t>
      </w:r>
      <w:r w:rsidR="003778B0">
        <w:t>tracks</w:t>
      </w:r>
      <w:r w:rsidR="003F06F3">
        <w:t xml:space="preserve"> the language proposed in 4901:1-7-12(B)(2) </w:t>
      </w:r>
      <w:r w:rsidR="00EB76C4">
        <w:t>and preserves</w:t>
      </w:r>
      <w:r w:rsidR="003F06F3">
        <w:t xml:space="preserve"> </w:t>
      </w:r>
      <w:r w:rsidR="003778B0">
        <w:t xml:space="preserve">the </w:t>
      </w:r>
      <w:r w:rsidR="00ED103A">
        <w:t xml:space="preserve">rule’s </w:t>
      </w:r>
      <w:r w:rsidR="003F06F3">
        <w:t>intent</w:t>
      </w:r>
      <w:r w:rsidR="00ED103A">
        <w:t xml:space="preserve"> by </w:t>
      </w:r>
      <w:r w:rsidR="00837F4B">
        <w:t>recogniz</w:t>
      </w:r>
      <w:r w:rsidR="00ED103A">
        <w:t>ing</w:t>
      </w:r>
      <w:r w:rsidR="003F06F3">
        <w:t xml:space="preserve"> that the FCC has adopted a prospective inter</w:t>
      </w:r>
      <w:r w:rsidR="00EB76C4">
        <w:t xml:space="preserve">carrier compensation framework </w:t>
      </w:r>
      <w:r w:rsidR="003F06F3">
        <w:t>that brings VoIP-PSTN traffic within the section 251(b)(5) framework.</w:t>
      </w:r>
      <w:r w:rsidR="003F06F3">
        <w:rPr>
          <w:rStyle w:val="FootnoteReference"/>
        </w:rPr>
        <w:footnoteReference w:id="5"/>
      </w:r>
    </w:p>
    <w:p w:rsidR="00437791" w:rsidRDefault="00837F4B" w:rsidP="0081122B">
      <w:pPr>
        <w:tabs>
          <w:tab w:val="left" w:pos="720"/>
        </w:tabs>
        <w:spacing w:after="0" w:line="480" w:lineRule="auto"/>
      </w:pPr>
      <w:r>
        <w:tab/>
      </w:r>
      <w:r w:rsidR="003778B0">
        <w:t>A</w:t>
      </w:r>
      <w:r>
        <w:t xml:space="preserve"> </w:t>
      </w:r>
      <w:r w:rsidR="00BB6BC3">
        <w:t>final</w:t>
      </w:r>
      <w:r>
        <w:t xml:space="preserve"> concern regarding this section </w:t>
      </w:r>
      <w:r w:rsidR="003778B0">
        <w:t>relates to its proposal to enforce the FCC’s new signaling rules without regard to the outcome of pending rehearing/reconsideration and waiver petitions relating to those rules</w:t>
      </w:r>
      <w:r>
        <w:t xml:space="preserve">.  </w:t>
      </w:r>
      <w:r w:rsidR="003778B0">
        <w:t>P</w:t>
      </w:r>
      <w:r>
        <w:t>roposed 4901:1-7-12(B)(2) would require all transit providers to c</w:t>
      </w:r>
      <w:r w:rsidR="003778B0">
        <w:t xml:space="preserve">omply with 47 </w:t>
      </w:r>
      <w:proofErr w:type="spellStart"/>
      <w:r w:rsidR="003778B0">
        <w:t>C.F.R</w:t>
      </w:r>
      <w:proofErr w:type="spellEnd"/>
      <w:r w:rsidR="003778B0">
        <w:t>. 64.1601(a)</w:t>
      </w:r>
      <w:r w:rsidR="00EB76C4">
        <w:t xml:space="preserve"> </w:t>
      </w:r>
      <w:r>
        <w:t>as effective on November 30, 2012</w:t>
      </w:r>
      <w:r w:rsidR="0055200C">
        <w:t xml:space="preserve">.  </w:t>
      </w:r>
      <w:r w:rsidR="00EB76C4">
        <w:t xml:space="preserve">As discussed above, </w:t>
      </w:r>
      <w:r w:rsidR="003778B0">
        <w:t>requiring compliance with federal law as of a</w:t>
      </w:r>
      <w:r w:rsidR="00EB76C4">
        <w:t xml:space="preserve"> “frozen” date is a </w:t>
      </w:r>
      <w:r w:rsidR="00E24F97">
        <w:t xml:space="preserve">significant </w:t>
      </w:r>
      <w:r w:rsidR="00EB76C4">
        <w:t xml:space="preserve">problem in and of itself.  </w:t>
      </w:r>
      <w:r w:rsidR="00E24F97">
        <w:t>T</w:t>
      </w:r>
      <w:r w:rsidR="00EB76C4">
        <w:t xml:space="preserve">hat concern is </w:t>
      </w:r>
      <w:r w:rsidR="003778B0">
        <w:t xml:space="preserve">only </w:t>
      </w:r>
      <w:r w:rsidR="00EB76C4">
        <w:t xml:space="preserve">magnified here given </w:t>
      </w:r>
      <w:r w:rsidR="00E24F97">
        <w:t>the</w:t>
      </w:r>
      <w:r w:rsidR="0055200C">
        <w:t xml:space="preserve"> number of </w:t>
      </w:r>
      <w:r w:rsidR="00E24F97">
        <w:t xml:space="preserve">pending </w:t>
      </w:r>
      <w:r w:rsidR="0055200C">
        <w:t>rehearing/</w:t>
      </w:r>
      <w:r>
        <w:t>reconsideration</w:t>
      </w:r>
      <w:r w:rsidR="00E24F97">
        <w:t xml:space="preserve"> and waiver</w:t>
      </w:r>
      <w:r>
        <w:t xml:space="preserve"> petitions with respect to the </w:t>
      </w:r>
      <w:r w:rsidRPr="00837F4B">
        <w:rPr>
          <w:i/>
        </w:rPr>
        <w:t>FCC Order</w:t>
      </w:r>
      <w:r>
        <w:t xml:space="preserve">’s </w:t>
      </w:r>
      <w:r w:rsidR="0055200C">
        <w:t xml:space="preserve">new </w:t>
      </w:r>
      <w:r w:rsidR="0066616F">
        <w:t xml:space="preserve">signaling </w:t>
      </w:r>
      <w:r w:rsidR="0066616F">
        <w:lastRenderedPageBreak/>
        <w:t>requirements.</w:t>
      </w:r>
      <w:r w:rsidR="0066616F">
        <w:rPr>
          <w:rStyle w:val="FootnoteReference"/>
        </w:rPr>
        <w:footnoteReference w:id="6"/>
      </w:r>
      <w:r w:rsidR="0066616F">
        <w:t xml:space="preserve">  </w:t>
      </w:r>
      <w:r w:rsidR="0055200C">
        <w:t xml:space="preserve">Although 4901:1-7-12(B)(2) would apply only “where technically and economically feasible,” it is still problematic that the proposed rule would demand compliance with 47 </w:t>
      </w:r>
      <w:proofErr w:type="spellStart"/>
      <w:r w:rsidR="0055200C">
        <w:t>C.F.R</w:t>
      </w:r>
      <w:proofErr w:type="spellEnd"/>
      <w:r w:rsidR="0055200C">
        <w:t xml:space="preserve">. 64.1601(a) as it stands on November 30, 2012, even though the FCC may subsequently revise that rule and/or grant certain carriers waivers from </w:t>
      </w:r>
      <w:r w:rsidR="00437791">
        <w:t xml:space="preserve">compliance with portions of it.  </w:t>
      </w:r>
    </w:p>
    <w:p w:rsidR="0055200C" w:rsidRDefault="00437791" w:rsidP="0081122B">
      <w:pPr>
        <w:tabs>
          <w:tab w:val="left" w:pos="720"/>
        </w:tabs>
        <w:spacing w:after="0" w:line="480" w:lineRule="auto"/>
      </w:pPr>
      <w:r>
        <w:tab/>
      </w:r>
      <w:r w:rsidR="0055200C">
        <w:t>To address th</w:t>
      </w:r>
      <w:r w:rsidR="00BB6BC3">
        <w:t>is issue</w:t>
      </w:r>
      <w:r w:rsidR="0055200C">
        <w:t xml:space="preserve">, Verizon suggests that the Commission revise the first sentence of proposed 4901:1-7-12(B)(2) as follows:  “… comply with the signaling information delivery requirements outlined in 47 </w:t>
      </w:r>
      <w:proofErr w:type="spellStart"/>
      <w:r w:rsidR="0055200C">
        <w:t>C.F.R</w:t>
      </w:r>
      <w:proofErr w:type="spellEnd"/>
      <w:r w:rsidR="0055200C">
        <w:t>. 64.1601(a), as amended over time, and as limited by any waivers granted to specific c</w:t>
      </w:r>
      <w:r w:rsidR="003846CC">
        <w:t>arriers.”</w:t>
      </w:r>
    </w:p>
    <w:p w:rsidR="00774646" w:rsidRPr="0071477A" w:rsidRDefault="00774646" w:rsidP="00774646">
      <w:pPr>
        <w:spacing w:after="0" w:line="240" w:lineRule="auto"/>
        <w:ind w:left="1440" w:hanging="1440"/>
        <w:rPr>
          <w:b/>
          <w:u w:val="single"/>
        </w:rPr>
      </w:pPr>
      <w:r w:rsidRPr="0071477A">
        <w:rPr>
          <w:b/>
          <w:u w:val="single"/>
        </w:rPr>
        <w:t>4901:1-7-1</w:t>
      </w:r>
      <w:r>
        <w:rPr>
          <w:b/>
          <w:u w:val="single"/>
        </w:rPr>
        <w:t>4</w:t>
      </w:r>
      <w:r w:rsidRPr="0071477A">
        <w:rPr>
          <w:b/>
          <w:u w:val="single"/>
        </w:rPr>
        <w:tab/>
        <w:t xml:space="preserve">Compensation for </w:t>
      </w:r>
      <w:r>
        <w:rPr>
          <w:b/>
          <w:u w:val="single"/>
        </w:rPr>
        <w:t>intrastate access reciprocal compensation traffic and carrier-to-carrier tariff</w:t>
      </w:r>
    </w:p>
    <w:p w:rsidR="00774646" w:rsidRPr="0081122B" w:rsidRDefault="00774646" w:rsidP="00774646">
      <w:pPr>
        <w:spacing w:after="0" w:line="240" w:lineRule="auto"/>
        <w:ind w:left="1440" w:hanging="1440"/>
        <w:rPr>
          <w:b/>
        </w:rPr>
      </w:pPr>
    </w:p>
    <w:p w:rsidR="0001230D" w:rsidRPr="000253F3" w:rsidRDefault="00774646" w:rsidP="0001230D">
      <w:pPr>
        <w:tabs>
          <w:tab w:val="left" w:pos="720"/>
        </w:tabs>
        <w:spacing w:after="0" w:line="480" w:lineRule="auto"/>
      </w:pPr>
      <w:r>
        <w:tab/>
        <w:t>As with 4901:1-7-12 above, the undefined term “access recip</w:t>
      </w:r>
      <w:r w:rsidR="00437791">
        <w:t>rocal compensation</w:t>
      </w:r>
      <w:r w:rsidR="00222187">
        <w:t>,</w:t>
      </w:r>
      <w:r w:rsidR="00437791">
        <w:t xml:space="preserve">” </w:t>
      </w:r>
      <w:r w:rsidR="00222187">
        <w:t xml:space="preserve">which appears </w:t>
      </w:r>
      <w:r w:rsidR="00437791">
        <w:t xml:space="preserve">throughout </w:t>
      </w:r>
      <w:r>
        <w:t>4901:1-7-14</w:t>
      </w:r>
      <w:r w:rsidR="00222187">
        <w:t>,</w:t>
      </w:r>
      <w:r>
        <w:t xml:space="preserve"> is confusing</w:t>
      </w:r>
      <w:r w:rsidRPr="000253F3">
        <w:t xml:space="preserve">.  </w:t>
      </w:r>
      <w:r w:rsidR="0001230D" w:rsidRPr="000253F3">
        <w:t>The Commission should add a definition to 4901:1-7-01 that reads as follows:</w:t>
      </w:r>
    </w:p>
    <w:p w:rsidR="00774646" w:rsidRPr="00437791" w:rsidRDefault="0001230D" w:rsidP="00437791">
      <w:pPr>
        <w:spacing w:after="0" w:line="240" w:lineRule="auto"/>
        <w:ind w:left="1080" w:right="1080"/>
      </w:pPr>
      <w:r w:rsidRPr="00437791">
        <w:t xml:space="preserve">4901:1-7-01(xx) “Access Reciprocal Compensation” has the meaning set forth in 47 </w:t>
      </w:r>
      <w:proofErr w:type="spellStart"/>
      <w:r w:rsidRPr="00437791">
        <w:t>C.F.R</w:t>
      </w:r>
      <w:proofErr w:type="spellEnd"/>
      <w:r w:rsidRPr="00437791">
        <w:t xml:space="preserve">. </w:t>
      </w:r>
      <w:r w:rsidRPr="00437791">
        <w:rPr>
          <w:rFonts w:cs="Times New Roman"/>
        </w:rPr>
        <w:t>§</w:t>
      </w:r>
      <w:r w:rsidRPr="00437791">
        <w:t xml:space="preserve"> 51.903(h).</w:t>
      </w:r>
      <w:r w:rsidR="00136E9D" w:rsidRPr="00437791">
        <w:t xml:space="preserve">  </w:t>
      </w:r>
    </w:p>
    <w:p w:rsidR="00BB6BC3" w:rsidRPr="00BB6BC3" w:rsidRDefault="00BB6BC3" w:rsidP="00BB6BC3">
      <w:pPr>
        <w:tabs>
          <w:tab w:val="left" w:pos="720"/>
        </w:tabs>
        <w:spacing w:after="0" w:line="240" w:lineRule="auto"/>
        <w:ind w:left="720" w:right="720"/>
        <w:rPr>
          <w:b/>
        </w:rPr>
      </w:pPr>
    </w:p>
    <w:p w:rsidR="000B7875" w:rsidRDefault="0066616F" w:rsidP="00437791">
      <w:pPr>
        <w:spacing w:after="0" w:line="480" w:lineRule="auto"/>
        <w:jc w:val="center"/>
      </w:pPr>
      <w:r>
        <w:t>* * *</w:t>
      </w:r>
    </w:p>
    <w:p w:rsidR="0066616F" w:rsidRDefault="0066616F" w:rsidP="0071477A">
      <w:pPr>
        <w:spacing w:after="0" w:line="480" w:lineRule="auto"/>
      </w:pPr>
      <w:r>
        <w:tab/>
        <w:t>Verizon appreciates the opportunity to comment on the proposed amendments to the Commission’s carrier-to-carrier rules, and respectfully urges the Commission to adopt Verizon’s suggested revisions thereto.</w:t>
      </w:r>
    </w:p>
    <w:p w:rsidR="00E24F97" w:rsidRDefault="00E24F97" w:rsidP="0071477A">
      <w:pPr>
        <w:spacing w:after="0" w:line="480" w:lineRule="auto"/>
      </w:pPr>
    </w:p>
    <w:p w:rsidR="0066616F" w:rsidRDefault="0066616F" w:rsidP="0071477A">
      <w:pPr>
        <w:spacing w:after="0" w:line="480" w:lineRule="auto"/>
      </w:pPr>
      <w:r>
        <w:lastRenderedPageBreak/>
        <w:t>Dated:</w:t>
      </w:r>
      <w:r>
        <w:tab/>
      </w:r>
      <w:r>
        <w:tab/>
        <w:t>April 13, 2012</w:t>
      </w:r>
      <w:r>
        <w:tab/>
      </w:r>
      <w:r>
        <w:tab/>
      </w:r>
      <w:r>
        <w:tab/>
      </w:r>
    </w:p>
    <w:p w:rsidR="0066616F" w:rsidRPr="0066616F" w:rsidRDefault="0066616F" w:rsidP="0066616F">
      <w:pPr>
        <w:spacing w:after="0" w:line="240" w:lineRule="auto"/>
        <w:ind w:left="4320"/>
        <w:rPr>
          <w:b/>
        </w:rPr>
      </w:pPr>
      <w:proofErr w:type="spellStart"/>
      <w:r w:rsidRPr="0066616F">
        <w:rPr>
          <w:b/>
        </w:rPr>
        <w:t>MCIMETRO</w:t>
      </w:r>
      <w:proofErr w:type="spellEnd"/>
      <w:r w:rsidRPr="0066616F">
        <w:rPr>
          <w:b/>
        </w:rPr>
        <w:t xml:space="preserve"> ACCESS TRANSMISSION SERVICES LLC </w:t>
      </w:r>
      <w:r w:rsidR="00D06908">
        <w:rPr>
          <w:b/>
        </w:rPr>
        <w:t>d/b/a</w:t>
      </w:r>
      <w:r w:rsidRPr="0066616F">
        <w:rPr>
          <w:b/>
        </w:rPr>
        <w:t xml:space="preserve"> VERIZON ACCESS TRANSMISSION SERVICES and MCI COMMUNICATIONS SERVICES, INC. </w:t>
      </w:r>
      <w:r w:rsidR="00D06908">
        <w:rPr>
          <w:b/>
        </w:rPr>
        <w:t>d/b/a</w:t>
      </w:r>
      <w:r w:rsidRPr="0066616F">
        <w:rPr>
          <w:b/>
        </w:rPr>
        <w:t xml:space="preserve"> VERIZON BUSINESS SERVICES</w:t>
      </w:r>
    </w:p>
    <w:p w:rsidR="0066616F" w:rsidRDefault="0066616F" w:rsidP="0066616F">
      <w:pPr>
        <w:spacing w:after="0" w:line="480" w:lineRule="auto"/>
        <w:ind w:left="4320"/>
      </w:pPr>
    </w:p>
    <w:p w:rsidR="0066616F" w:rsidRPr="005E51FD" w:rsidRDefault="0066616F" w:rsidP="0066616F">
      <w:pPr>
        <w:pStyle w:val="Signature"/>
      </w:pPr>
      <w:r w:rsidRPr="005E51FD">
        <w:t>By:</w:t>
      </w:r>
      <w:r w:rsidRPr="005E51FD">
        <w:tab/>
      </w:r>
      <w:r w:rsidRPr="005E51FD">
        <w:rPr>
          <w:u w:val="single"/>
        </w:rPr>
        <w:t>/s/ Carolyn S. Flahive</w:t>
      </w:r>
      <w:r>
        <w:rPr>
          <w:u w:val="single"/>
        </w:rPr>
        <w:tab/>
      </w:r>
      <w:r>
        <w:rPr>
          <w:u w:val="single"/>
        </w:rPr>
        <w:tab/>
      </w:r>
      <w:r w:rsidRPr="005E51FD">
        <w:rPr>
          <w:u w:val="single"/>
        </w:rPr>
        <w:tab/>
      </w:r>
      <w:r w:rsidRPr="005E51FD">
        <w:tab/>
      </w:r>
    </w:p>
    <w:p w:rsidR="0066616F" w:rsidRPr="005E51FD" w:rsidRDefault="0066616F" w:rsidP="0066616F">
      <w:pPr>
        <w:pStyle w:val="Signature"/>
        <w:ind w:firstLine="720"/>
      </w:pPr>
      <w:r w:rsidRPr="005E51FD">
        <w:t>Carolyn S. Flahive</w:t>
      </w:r>
    </w:p>
    <w:p w:rsidR="0066616F" w:rsidRPr="005E51FD" w:rsidRDefault="0066616F" w:rsidP="0066616F">
      <w:pPr>
        <w:pStyle w:val="Signature"/>
      </w:pPr>
      <w:r>
        <w:tab/>
        <w:t>T</w:t>
      </w:r>
      <w:r w:rsidRPr="005E51FD">
        <w:t>HOMPSON HINE LLP</w:t>
      </w:r>
    </w:p>
    <w:p w:rsidR="0066616F" w:rsidRPr="005E51FD" w:rsidRDefault="0066616F" w:rsidP="0066616F">
      <w:pPr>
        <w:pStyle w:val="Signature"/>
      </w:pPr>
      <w:r w:rsidRPr="005E51FD">
        <w:tab/>
        <w:t>41 South High Street, Suite 1700</w:t>
      </w:r>
    </w:p>
    <w:p w:rsidR="0066616F" w:rsidRPr="005E51FD" w:rsidRDefault="0066616F" w:rsidP="0066616F">
      <w:pPr>
        <w:pStyle w:val="Signature"/>
      </w:pPr>
      <w:r w:rsidRPr="005E51FD">
        <w:tab/>
        <w:t>Columbus, Ohio  43215-6101</w:t>
      </w:r>
      <w:bookmarkStart w:id="0" w:name="_GoBack"/>
      <w:bookmarkEnd w:id="0"/>
    </w:p>
    <w:p w:rsidR="0066616F" w:rsidRDefault="0066616F" w:rsidP="0066616F">
      <w:pPr>
        <w:pStyle w:val="Signature"/>
      </w:pPr>
      <w:r w:rsidRPr="005E51FD">
        <w:tab/>
        <w:t>(614) 469-3294</w:t>
      </w:r>
    </w:p>
    <w:p w:rsidR="0066616F" w:rsidRDefault="0066616F" w:rsidP="0066616F">
      <w:pPr>
        <w:spacing w:after="0" w:line="480" w:lineRule="auto"/>
        <w:ind w:left="4320"/>
      </w:pPr>
      <w:r>
        <w:tab/>
        <w:t>Their Attorney</w:t>
      </w:r>
    </w:p>
    <w:p w:rsidR="000B7875" w:rsidRDefault="00C70E60" w:rsidP="0071477A">
      <w:pPr>
        <w:spacing w:after="0" w:line="480" w:lineRule="auto"/>
      </w:pPr>
      <w:r>
        <w:tab/>
      </w:r>
      <w:r>
        <w:tab/>
      </w:r>
      <w:r>
        <w:tab/>
      </w:r>
      <w:r>
        <w:tab/>
      </w:r>
      <w:r>
        <w:tab/>
      </w:r>
      <w:r>
        <w:tab/>
      </w:r>
      <w:r>
        <w:tab/>
        <w:t>Of Counsel:</w:t>
      </w:r>
    </w:p>
    <w:p w:rsidR="00C70E60" w:rsidRDefault="00C70E60" w:rsidP="00C70E60">
      <w:pPr>
        <w:spacing w:after="0" w:line="240" w:lineRule="auto"/>
        <w:ind w:left="5040"/>
        <w:jc w:val="both"/>
      </w:pPr>
      <w:r>
        <w:t>Deborah Kuhn</w:t>
      </w:r>
    </w:p>
    <w:p w:rsidR="00C70E60" w:rsidRDefault="00C70E60" w:rsidP="00C70E60">
      <w:pPr>
        <w:spacing w:after="0" w:line="240" w:lineRule="auto"/>
        <w:ind w:left="5040" w:right="-540"/>
      </w:pPr>
      <w:r>
        <w:t>Assistant General Counsel</w:t>
      </w:r>
    </w:p>
    <w:p w:rsidR="00C70E60" w:rsidRDefault="00C70E60" w:rsidP="00C70E60">
      <w:pPr>
        <w:spacing w:after="0" w:line="240" w:lineRule="auto"/>
        <w:ind w:left="5040"/>
      </w:pPr>
      <w:r>
        <w:t>Verizon</w:t>
      </w:r>
    </w:p>
    <w:p w:rsidR="00C70E60" w:rsidRDefault="00C70E60" w:rsidP="00C70E60">
      <w:pPr>
        <w:spacing w:after="0" w:line="240" w:lineRule="auto"/>
        <w:ind w:left="5040"/>
        <w:jc w:val="both"/>
      </w:pPr>
      <w:r>
        <w:t>205 North Michigan Avenue, 7</w:t>
      </w:r>
      <w:r>
        <w:rPr>
          <w:vertAlign w:val="superscript"/>
        </w:rPr>
        <w:t>th</w:t>
      </w:r>
      <w:r>
        <w:t xml:space="preserve"> Floor</w:t>
      </w:r>
    </w:p>
    <w:p w:rsidR="00C70E60" w:rsidRDefault="00C70E60" w:rsidP="00C70E60">
      <w:pPr>
        <w:spacing w:after="0" w:line="240" w:lineRule="auto"/>
        <w:ind w:left="5040"/>
        <w:jc w:val="both"/>
      </w:pPr>
      <w:r>
        <w:t>Chicago, Illinois 60601</w:t>
      </w:r>
    </w:p>
    <w:p w:rsidR="00C70E60" w:rsidRDefault="00C70E60" w:rsidP="00C70E60">
      <w:pPr>
        <w:spacing w:after="0" w:line="240" w:lineRule="auto"/>
        <w:ind w:left="5040"/>
        <w:jc w:val="both"/>
      </w:pPr>
      <w:r>
        <w:t>(312) 260-3326 (telephone)</w:t>
      </w:r>
    </w:p>
    <w:p w:rsidR="00C70E60" w:rsidRDefault="00C70E60" w:rsidP="00C70E60">
      <w:pPr>
        <w:spacing w:after="0" w:line="240" w:lineRule="auto"/>
        <w:ind w:left="5040"/>
        <w:jc w:val="both"/>
      </w:pPr>
      <w:r>
        <w:t>(312) 470-5571 (facsimile)</w:t>
      </w:r>
    </w:p>
    <w:p w:rsidR="00C70E60" w:rsidRDefault="00C70E60" w:rsidP="00C70E60">
      <w:pPr>
        <w:spacing w:after="0" w:line="480" w:lineRule="auto"/>
        <w:ind w:left="5040"/>
        <w:rPr>
          <w:rStyle w:val="Hyperlink"/>
        </w:rPr>
      </w:pPr>
      <w:r w:rsidRPr="0073780B">
        <w:rPr>
          <w:rFonts w:cs="Times New Roman"/>
        </w:rPr>
        <w:t>deborah.kuhn@verizon.com</w:t>
      </w:r>
      <w:r w:rsidR="0073780B">
        <w:rPr>
          <w:rStyle w:val="Hyperlink"/>
        </w:rPr>
        <w:t xml:space="preserve">  </w:t>
      </w:r>
    </w:p>
    <w:p w:rsidR="0073780B" w:rsidRDefault="0073780B" w:rsidP="00C70E60">
      <w:pPr>
        <w:spacing w:after="0" w:line="480" w:lineRule="auto"/>
        <w:ind w:left="5040"/>
        <w:rPr>
          <w:rStyle w:val="Hyperlink"/>
        </w:rPr>
      </w:pPr>
    </w:p>
    <w:p w:rsidR="0073780B" w:rsidRPr="000D59E5" w:rsidRDefault="0073780B" w:rsidP="0073780B">
      <w:pPr>
        <w:spacing w:after="0" w:line="480" w:lineRule="auto"/>
        <w:rPr>
          <w:rStyle w:val="Hyperlink"/>
          <w:color w:val="auto"/>
          <w:sz w:val="16"/>
          <w:szCs w:val="16"/>
          <w:u w:val="none"/>
        </w:rPr>
      </w:pPr>
      <w:r w:rsidRPr="000D59E5">
        <w:rPr>
          <w:rStyle w:val="Hyperlink"/>
          <w:color w:val="auto"/>
          <w:sz w:val="16"/>
          <w:szCs w:val="16"/>
          <w:u w:val="none"/>
        </w:rPr>
        <w:t>704336</w:t>
      </w:r>
    </w:p>
    <w:p w:rsidR="0073780B" w:rsidRDefault="0073780B" w:rsidP="00C70E60">
      <w:pPr>
        <w:spacing w:after="0" w:line="480" w:lineRule="auto"/>
        <w:ind w:left="5040"/>
        <w:rPr>
          <w:rStyle w:val="Hyperlink"/>
        </w:rPr>
      </w:pPr>
    </w:p>
    <w:p w:rsidR="0073780B" w:rsidRDefault="0073780B" w:rsidP="0073780B">
      <w:pPr>
        <w:spacing w:after="0" w:line="480" w:lineRule="auto"/>
        <w:rPr>
          <w:rStyle w:val="Hyperlink"/>
        </w:rPr>
      </w:pPr>
    </w:p>
    <w:p w:rsidR="0073780B" w:rsidRDefault="0073780B" w:rsidP="00C70E60">
      <w:pPr>
        <w:spacing w:after="0" w:line="480" w:lineRule="auto"/>
        <w:ind w:left="5040"/>
        <w:rPr>
          <w:rStyle w:val="Hyperlink"/>
        </w:rPr>
      </w:pPr>
    </w:p>
    <w:p w:rsidR="0073780B" w:rsidRDefault="0073780B" w:rsidP="0073780B">
      <w:pPr>
        <w:spacing w:after="0" w:line="480" w:lineRule="auto"/>
        <w:rPr>
          <w:rStyle w:val="Hyperlink"/>
        </w:rPr>
      </w:pPr>
    </w:p>
    <w:p w:rsidR="0073780B" w:rsidRDefault="0073780B" w:rsidP="00C70E60">
      <w:pPr>
        <w:spacing w:after="0" w:line="480" w:lineRule="auto"/>
        <w:ind w:left="5040"/>
        <w:rPr>
          <w:rStyle w:val="Hyperlink"/>
        </w:rPr>
      </w:pPr>
    </w:p>
    <w:p w:rsidR="0073780B" w:rsidRDefault="0073780B" w:rsidP="00C70E60">
      <w:pPr>
        <w:spacing w:after="0" w:line="480" w:lineRule="auto"/>
        <w:ind w:left="5040"/>
      </w:pPr>
    </w:p>
    <w:sectPr w:rsidR="0073780B" w:rsidSect="000B78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61" w:rsidRDefault="001F6961" w:rsidP="00620B9B">
      <w:pPr>
        <w:spacing w:after="0" w:line="240" w:lineRule="auto"/>
      </w:pPr>
      <w:r>
        <w:separator/>
      </w:r>
    </w:p>
  </w:endnote>
  <w:endnote w:type="continuationSeparator" w:id="0">
    <w:p w:rsidR="001F6961" w:rsidRDefault="001F6961" w:rsidP="0062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5259"/>
      <w:docPartObj>
        <w:docPartGallery w:val="Page Numbers (Bottom of Page)"/>
        <w:docPartUnique/>
      </w:docPartObj>
    </w:sdtPr>
    <w:sdtEndPr/>
    <w:sdtContent>
      <w:p w:rsidR="00136E9D" w:rsidRDefault="00BB258A">
        <w:pPr>
          <w:pStyle w:val="Footer"/>
          <w:jc w:val="center"/>
        </w:pPr>
        <w:r>
          <w:fldChar w:fldCharType="begin"/>
        </w:r>
        <w:r w:rsidR="00861E03">
          <w:instrText xml:space="preserve"> PAGE   \* MERGEFORMAT </w:instrText>
        </w:r>
        <w:r>
          <w:fldChar w:fldCharType="separate"/>
        </w:r>
        <w:r w:rsidR="00786030">
          <w:rPr>
            <w:noProof/>
          </w:rPr>
          <w:t>2</w:t>
        </w:r>
        <w:r>
          <w:rPr>
            <w:noProof/>
          </w:rPr>
          <w:fldChar w:fldCharType="end"/>
        </w:r>
      </w:p>
    </w:sdtContent>
  </w:sdt>
  <w:p w:rsidR="00136E9D" w:rsidRDefault="00136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61" w:rsidRDefault="001F6961" w:rsidP="00620B9B">
      <w:pPr>
        <w:spacing w:after="0" w:line="240" w:lineRule="auto"/>
      </w:pPr>
      <w:r>
        <w:separator/>
      </w:r>
    </w:p>
  </w:footnote>
  <w:footnote w:type="continuationSeparator" w:id="0">
    <w:p w:rsidR="001F6961" w:rsidRDefault="001F6961" w:rsidP="00620B9B">
      <w:pPr>
        <w:spacing w:after="0" w:line="240" w:lineRule="auto"/>
      </w:pPr>
      <w:r>
        <w:continuationSeparator/>
      </w:r>
    </w:p>
  </w:footnote>
  <w:footnote w:id="1">
    <w:p w:rsidR="00136E9D" w:rsidRDefault="00136E9D">
      <w:pPr>
        <w:pStyle w:val="FootnoteText"/>
      </w:pPr>
      <w:r>
        <w:rPr>
          <w:rStyle w:val="FootnoteReference"/>
        </w:rPr>
        <w:footnoteRef/>
      </w:r>
      <w:r>
        <w:t xml:space="preserve"> </w:t>
      </w:r>
      <w:r w:rsidRPr="001C3702">
        <w:rPr>
          <w:i/>
        </w:rPr>
        <w:t>See, e.g.</w:t>
      </w:r>
      <w:r>
        <w:t>, Section 4927.04, O.R.C., giving the Commission only “such power and jurisdiction as is reasonably necessary for it to perform the obligations authorized by or delegated to it under federal law, including federal regulations, which obligations include performing the acts of a state commission as defined in the ‘Communications Act of 1934,’ 48 Stat. 1064, 47 U.S.C. 153, as amended….”</w:t>
      </w:r>
    </w:p>
  </w:footnote>
  <w:footnote w:id="2">
    <w:p w:rsidR="00136E9D" w:rsidRDefault="00136E9D">
      <w:pPr>
        <w:pStyle w:val="FootnoteText"/>
      </w:pPr>
      <w:r>
        <w:rPr>
          <w:rStyle w:val="FootnoteReference"/>
        </w:rPr>
        <w:footnoteRef/>
      </w:r>
      <w:r>
        <w:t xml:space="preserve"> </w:t>
      </w:r>
      <w:r w:rsidRPr="000632F6">
        <w:rPr>
          <w:i/>
        </w:rPr>
        <w:t>See</w:t>
      </w:r>
      <w:r>
        <w:t xml:space="preserve"> Entry on Rehearing, </w:t>
      </w:r>
      <w:r w:rsidRPr="000632F6">
        <w:rPr>
          <w:i/>
        </w:rPr>
        <w:t>In the Matter of the Establishment of Carrier-to-Carrier Rules</w:t>
      </w:r>
      <w:r>
        <w:t xml:space="preserve">, Case No. 06-1344-TP-ORD (October 17, 2007) at </w:t>
      </w:r>
      <w:r>
        <w:rPr>
          <w:rFonts w:cs="Times New Roman"/>
        </w:rPr>
        <w:t>¶¶</w:t>
      </w:r>
      <w:r>
        <w:t xml:space="preserve"> 45-46.  The Commission also cited Section 121.75, O.R.C. as justification for its approach.  S</w:t>
      </w:r>
      <w:r w:rsidRPr="0065285C">
        <w:rPr>
          <w:i/>
        </w:rPr>
        <w:t>ee</w:t>
      </w:r>
      <w:r>
        <w:t xml:space="preserve"> Opinion and Order dated August 22, 2007 in Case. No. 06-1344-TP-ORD at p. 8.  However, that statute is relevant only if the Commission seeks to incorporate the text of a federal statute or rule into its own rules by reference without actually repeating the federal text within its rule.  Here, the Commission is not seeking to incorporate the text of federal law into state law – it intends to note federal laws that apply in their own right, regardless of whether state law “incorporates” them.  Moreover, nothing gives the Commission the right to enforce superseded federal laws.</w:t>
      </w:r>
    </w:p>
  </w:footnote>
  <w:footnote w:id="3">
    <w:p w:rsidR="00136E9D" w:rsidRDefault="00136E9D">
      <w:pPr>
        <w:pStyle w:val="FootnoteText"/>
      </w:pPr>
      <w:r>
        <w:rPr>
          <w:rStyle w:val="FootnoteReference"/>
        </w:rPr>
        <w:footnoteRef/>
      </w:r>
      <w:r>
        <w:t xml:space="preserve"> For example, Section 4905.042, O.R.C. prohibits the Commission from exercising “any jurisdiction over [advanced services and Internet protocol-enabled services] that is prohibited by, or is inconsistent with its jurisdiction under, federal law, including federal regulations.”</w:t>
      </w:r>
    </w:p>
  </w:footnote>
  <w:footnote w:id="4">
    <w:p w:rsidR="00136E9D" w:rsidRDefault="00136E9D">
      <w:pPr>
        <w:pStyle w:val="FootnoteText"/>
      </w:pPr>
      <w:r>
        <w:rPr>
          <w:rStyle w:val="FootnoteReference"/>
        </w:rPr>
        <w:footnoteRef/>
      </w:r>
      <w:r>
        <w:t xml:space="preserve"> </w:t>
      </w:r>
      <w:r w:rsidR="000253F3" w:rsidRPr="000253F3">
        <w:rPr>
          <w:rFonts w:cs="Times New Roman"/>
          <w:i/>
          <w:iCs/>
        </w:rPr>
        <w:t>See</w:t>
      </w:r>
      <w:r w:rsidR="000253F3" w:rsidRPr="000253F3">
        <w:rPr>
          <w:rFonts w:cs="Times New Roman"/>
        </w:rPr>
        <w:t xml:space="preserve"> </w:t>
      </w:r>
      <w:r w:rsidR="000253F3" w:rsidRPr="000253F3">
        <w:rPr>
          <w:rFonts w:cs="Times New Roman"/>
          <w:i/>
          <w:iCs/>
        </w:rPr>
        <w:t>generally</w:t>
      </w:r>
      <w:r w:rsidR="000253F3" w:rsidRPr="000253F3">
        <w:rPr>
          <w:rFonts w:cs="Times New Roman"/>
        </w:rPr>
        <w:t xml:space="preserve"> </w:t>
      </w:r>
      <w:r w:rsidR="000253F3" w:rsidRPr="000253F3">
        <w:rPr>
          <w:rFonts w:cs="Times New Roman"/>
          <w:i/>
          <w:iCs/>
        </w:rPr>
        <w:t>Connect America Fund</w:t>
      </w:r>
      <w:r w:rsidR="000253F3" w:rsidRPr="000253F3">
        <w:rPr>
          <w:rFonts w:cs="Times New Roman"/>
        </w:rPr>
        <w:t xml:space="preserve">, </w:t>
      </w:r>
      <w:r w:rsidR="000253F3" w:rsidRPr="000253F3">
        <w:rPr>
          <w:rFonts w:cs="Times New Roman"/>
          <w:i/>
          <w:iCs/>
        </w:rPr>
        <w:t>et al</w:t>
      </w:r>
      <w:r w:rsidR="000253F3" w:rsidRPr="000253F3">
        <w:rPr>
          <w:rFonts w:cs="Times New Roman"/>
        </w:rPr>
        <w:t xml:space="preserve">., Report and Order and Further Notice of Proposed Rulemaking, 26 FCC </w:t>
      </w:r>
      <w:proofErr w:type="spellStart"/>
      <w:r w:rsidR="000253F3" w:rsidRPr="000253F3">
        <w:rPr>
          <w:rFonts w:cs="Times New Roman"/>
        </w:rPr>
        <w:t>Rcd</w:t>
      </w:r>
      <w:proofErr w:type="spellEnd"/>
      <w:r w:rsidR="000253F3" w:rsidRPr="000253F3">
        <w:rPr>
          <w:rFonts w:cs="Times New Roman"/>
        </w:rPr>
        <w:t xml:space="preserve"> 17663 (2011) (“</w:t>
      </w:r>
      <w:r w:rsidR="000253F3" w:rsidRPr="000253F3">
        <w:rPr>
          <w:rFonts w:cs="Times New Roman"/>
          <w:i/>
          <w:iCs/>
        </w:rPr>
        <w:t>FCC Order</w:t>
      </w:r>
      <w:r w:rsidR="000253F3" w:rsidRPr="000253F3">
        <w:rPr>
          <w:rFonts w:cs="Times New Roman"/>
        </w:rPr>
        <w:t xml:space="preserve">”).  </w:t>
      </w:r>
      <w:r w:rsidRPr="000253F3">
        <w:t>In</w:t>
      </w:r>
      <w:r>
        <w:t xml:space="preserve"> that order, the FCC adopted “a uniform national bill-and-keep framework as the ultimate end state for all telecommunications traffic exchanged with a </w:t>
      </w:r>
      <w:proofErr w:type="spellStart"/>
      <w:r>
        <w:t>LEC</w:t>
      </w:r>
      <w:proofErr w:type="spellEnd"/>
      <w:r>
        <w:t xml:space="preserve">.”  </w:t>
      </w:r>
      <w:r w:rsidRPr="00681799">
        <w:rPr>
          <w:i/>
        </w:rPr>
        <w:t>Id</w:t>
      </w:r>
      <w:r>
        <w:t xml:space="preserve">., </w:t>
      </w:r>
      <w:r>
        <w:rPr>
          <w:rFonts w:cs="Times New Roman"/>
        </w:rPr>
        <w:t>¶</w:t>
      </w:r>
      <w:r>
        <w:t xml:space="preserve"> 34.</w:t>
      </w:r>
    </w:p>
  </w:footnote>
  <w:footnote w:id="5">
    <w:p w:rsidR="00136E9D" w:rsidRPr="003F06F3" w:rsidRDefault="00136E9D">
      <w:pPr>
        <w:pStyle w:val="FootnoteText"/>
      </w:pPr>
      <w:r w:rsidRPr="003F06F3">
        <w:rPr>
          <w:rStyle w:val="FootnoteReference"/>
        </w:rPr>
        <w:footnoteRef/>
      </w:r>
      <w:r w:rsidRPr="003F06F3">
        <w:t xml:space="preserve"> </w:t>
      </w:r>
      <w:r w:rsidRPr="003F06F3">
        <w:rPr>
          <w:i/>
        </w:rPr>
        <w:t>See</w:t>
      </w:r>
      <w:r w:rsidRPr="003F06F3">
        <w:t xml:space="preserve"> </w:t>
      </w:r>
      <w:r>
        <w:rPr>
          <w:i/>
          <w:iCs/>
        </w:rPr>
        <w:t>FCC Order</w:t>
      </w:r>
      <w:r>
        <w:t>, ¶ 943</w:t>
      </w:r>
      <w:r w:rsidRPr="003F06F3">
        <w:t>.</w:t>
      </w:r>
    </w:p>
  </w:footnote>
  <w:footnote w:id="6">
    <w:p w:rsidR="00136E9D" w:rsidRPr="000253F3" w:rsidRDefault="00136E9D" w:rsidP="0066616F">
      <w:pPr>
        <w:pStyle w:val="FootnoteText"/>
      </w:pPr>
      <w:r>
        <w:rPr>
          <w:rStyle w:val="FootnoteReference"/>
        </w:rPr>
        <w:footnoteRef/>
      </w:r>
      <w:r>
        <w:t xml:space="preserve"> </w:t>
      </w:r>
      <w:r w:rsidR="000253F3" w:rsidRPr="000253F3">
        <w:rPr>
          <w:rFonts w:cs="Times New Roman"/>
          <w:i/>
          <w:iCs/>
          <w:color w:val="010101"/>
        </w:rPr>
        <w:t>See</w:t>
      </w:r>
      <w:r w:rsidR="000253F3" w:rsidRPr="000253F3">
        <w:rPr>
          <w:rFonts w:cs="Times New Roman"/>
          <w:color w:val="010101"/>
        </w:rPr>
        <w:t xml:space="preserve">, </w:t>
      </w:r>
      <w:r w:rsidR="000253F3" w:rsidRPr="000253F3">
        <w:rPr>
          <w:rFonts w:cs="Times New Roman"/>
          <w:i/>
          <w:iCs/>
          <w:color w:val="010101"/>
        </w:rPr>
        <w:t>e.g.</w:t>
      </w:r>
      <w:r w:rsidR="000253F3" w:rsidRPr="000253F3">
        <w:rPr>
          <w:rFonts w:cs="Times New Roman"/>
          <w:color w:val="010101"/>
        </w:rPr>
        <w:t xml:space="preserve">, </w:t>
      </w:r>
      <w:proofErr w:type="spellStart"/>
      <w:r w:rsidR="000253F3" w:rsidRPr="000253F3">
        <w:rPr>
          <w:rFonts w:cs="Times New Roman"/>
          <w:i/>
          <w:iCs/>
        </w:rPr>
        <w:t>Wireline</w:t>
      </w:r>
      <w:proofErr w:type="spellEnd"/>
      <w:r w:rsidR="000253F3" w:rsidRPr="000253F3">
        <w:rPr>
          <w:rFonts w:cs="Times New Roman"/>
          <w:i/>
          <w:iCs/>
        </w:rPr>
        <w:t xml:space="preserve"> Competition Bureau Seeks Comment on Alaska Rural Coalition And </w:t>
      </w:r>
      <w:proofErr w:type="spellStart"/>
      <w:r w:rsidR="000253F3" w:rsidRPr="000253F3">
        <w:rPr>
          <w:rFonts w:cs="Times New Roman"/>
          <w:i/>
          <w:iCs/>
        </w:rPr>
        <w:t>Fairpoint</w:t>
      </w:r>
      <w:proofErr w:type="spellEnd"/>
      <w:r w:rsidR="000253F3" w:rsidRPr="000253F3">
        <w:rPr>
          <w:rFonts w:cs="Times New Roman"/>
          <w:i/>
          <w:iCs/>
        </w:rPr>
        <w:t xml:space="preserve"> Communications, Inc. Petitions for Limited Waiver of Call Signaling Rules</w:t>
      </w:r>
      <w:r w:rsidR="000253F3" w:rsidRPr="000253F3">
        <w:rPr>
          <w:rFonts w:cs="Times New Roman"/>
        </w:rPr>
        <w:t xml:space="preserve">, Public Notice, WC Docket No. 10-90, </w:t>
      </w:r>
      <w:r w:rsidR="000253F3" w:rsidRPr="000253F3">
        <w:rPr>
          <w:rFonts w:cs="Times New Roman"/>
          <w:i/>
          <w:iCs/>
        </w:rPr>
        <w:t>et al</w:t>
      </w:r>
      <w:r w:rsidR="000253F3" w:rsidRPr="000253F3">
        <w:rPr>
          <w:rFonts w:cs="Times New Roman"/>
        </w:rPr>
        <w:t>. (Apr. 4, 2012)</w:t>
      </w:r>
      <w:r w:rsidR="000253F3" w:rsidRPr="000253F3">
        <w:rPr>
          <w:rFonts w:cs="Times New Roman"/>
          <w:color w:val="010101"/>
        </w:rPr>
        <w:t xml:space="preserve">; </w:t>
      </w:r>
      <w:proofErr w:type="spellStart"/>
      <w:r w:rsidR="000253F3" w:rsidRPr="000253F3">
        <w:rPr>
          <w:rFonts w:cs="Times New Roman"/>
          <w:i/>
          <w:iCs/>
        </w:rPr>
        <w:t>Wireline</w:t>
      </w:r>
      <w:proofErr w:type="spellEnd"/>
      <w:r w:rsidR="000253F3" w:rsidRPr="000253F3">
        <w:rPr>
          <w:rFonts w:cs="Times New Roman"/>
          <w:i/>
          <w:iCs/>
        </w:rPr>
        <w:t xml:space="preserve"> Competition Bureau Seeks Comment On General Communication, Inc.'s Petition For Limited Waiver</w:t>
      </w:r>
      <w:r w:rsidR="000253F3" w:rsidRPr="000253F3">
        <w:rPr>
          <w:rFonts w:cs="Times New Roman"/>
        </w:rPr>
        <w:t xml:space="preserve">, Public Notice, WC Docket No. 10-90, </w:t>
      </w:r>
      <w:r w:rsidR="000253F3" w:rsidRPr="000253F3">
        <w:rPr>
          <w:rFonts w:cs="Times New Roman"/>
          <w:i/>
          <w:iCs/>
        </w:rPr>
        <w:t>et al</w:t>
      </w:r>
      <w:r w:rsidR="000253F3" w:rsidRPr="000253F3">
        <w:rPr>
          <w:rFonts w:cs="Times New Roman"/>
        </w:rPr>
        <w:t>. (Mar. 1, 2012)</w:t>
      </w:r>
      <w:r w:rsidR="000253F3" w:rsidRPr="000253F3">
        <w:rPr>
          <w:rFonts w:cs="Times New Roman"/>
          <w:color w:val="010101"/>
        </w:rPr>
        <w:t xml:space="preserve">; </w:t>
      </w:r>
      <w:proofErr w:type="spellStart"/>
      <w:r w:rsidR="000253F3" w:rsidRPr="000253F3">
        <w:rPr>
          <w:rFonts w:cs="Times New Roman"/>
          <w:i/>
          <w:iCs/>
          <w:color w:val="010101"/>
        </w:rPr>
        <w:t>Wireline</w:t>
      </w:r>
      <w:proofErr w:type="spellEnd"/>
      <w:r w:rsidR="000253F3" w:rsidRPr="000253F3">
        <w:rPr>
          <w:rFonts w:cs="Times New Roman"/>
          <w:i/>
          <w:iCs/>
          <w:color w:val="010101"/>
        </w:rPr>
        <w:t xml:space="preserve"> Competition Bureau Seeks Comment on </w:t>
      </w:r>
      <w:proofErr w:type="spellStart"/>
      <w:r w:rsidR="000253F3" w:rsidRPr="000253F3">
        <w:rPr>
          <w:rFonts w:cs="Times New Roman"/>
          <w:i/>
          <w:iCs/>
          <w:color w:val="010101"/>
        </w:rPr>
        <w:t>CenturyLink</w:t>
      </w:r>
      <w:proofErr w:type="spellEnd"/>
      <w:r w:rsidR="000253F3" w:rsidRPr="000253F3">
        <w:rPr>
          <w:rFonts w:cs="Times New Roman"/>
          <w:i/>
          <w:iCs/>
          <w:color w:val="010101"/>
        </w:rPr>
        <w:t xml:space="preserve"> Petition for Limited Waiver of Call Signaling Rules</w:t>
      </w:r>
      <w:r w:rsidR="000253F3" w:rsidRPr="000253F3">
        <w:rPr>
          <w:rFonts w:cs="Times New Roman"/>
          <w:color w:val="010101"/>
        </w:rPr>
        <w:t xml:space="preserve">, Public Notice, 27 FCC </w:t>
      </w:r>
      <w:proofErr w:type="spellStart"/>
      <w:r w:rsidR="000253F3" w:rsidRPr="000253F3">
        <w:rPr>
          <w:rFonts w:cs="Times New Roman"/>
          <w:color w:val="010101"/>
        </w:rPr>
        <w:t>Rcd</w:t>
      </w:r>
      <w:proofErr w:type="spellEnd"/>
      <w:r w:rsidR="000253F3" w:rsidRPr="000253F3">
        <w:rPr>
          <w:rFonts w:cs="Times New Roman"/>
          <w:color w:val="010101"/>
        </w:rPr>
        <w:t xml:space="preserve"> 466 (2012); </w:t>
      </w:r>
      <w:proofErr w:type="spellStart"/>
      <w:r w:rsidR="000253F3" w:rsidRPr="000253F3">
        <w:rPr>
          <w:rFonts w:cs="Times New Roman"/>
          <w:i/>
          <w:iCs/>
          <w:color w:val="010101"/>
        </w:rPr>
        <w:t>Wireline</w:t>
      </w:r>
      <w:proofErr w:type="spellEnd"/>
      <w:r w:rsidR="000253F3" w:rsidRPr="000253F3">
        <w:rPr>
          <w:rFonts w:cs="Times New Roman"/>
          <w:i/>
          <w:iCs/>
          <w:color w:val="010101"/>
        </w:rPr>
        <w:t xml:space="preserve"> Competition Bureau Seeks Comment on AT&amp;T Petition for Limited Waiver of Call Signaling Rules</w:t>
      </w:r>
      <w:r w:rsidR="000253F3" w:rsidRPr="000253F3">
        <w:rPr>
          <w:rFonts w:cs="Times New Roman"/>
          <w:color w:val="010101"/>
        </w:rPr>
        <w:t xml:space="preserve">, Public Notice, </w:t>
      </w:r>
      <w:r w:rsidR="000253F3" w:rsidRPr="000253F3">
        <w:rPr>
          <w:rFonts w:cs="Times New Roman"/>
        </w:rPr>
        <w:t xml:space="preserve">27 FCC </w:t>
      </w:r>
      <w:proofErr w:type="spellStart"/>
      <w:r w:rsidR="000253F3" w:rsidRPr="000253F3">
        <w:rPr>
          <w:rFonts w:cs="Times New Roman"/>
        </w:rPr>
        <w:t>Rcd</w:t>
      </w:r>
      <w:proofErr w:type="spellEnd"/>
      <w:r w:rsidR="000253F3" w:rsidRPr="000253F3">
        <w:rPr>
          <w:rFonts w:cs="Times New Roman"/>
        </w:rPr>
        <w:t xml:space="preserve"> 219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D95BB8"/>
    <w:rsid w:val="0001230D"/>
    <w:rsid w:val="000253F3"/>
    <w:rsid w:val="00026445"/>
    <w:rsid w:val="00034063"/>
    <w:rsid w:val="00061F5E"/>
    <w:rsid w:val="000632F6"/>
    <w:rsid w:val="0008540B"/>
    <w:rsid w:val="000A4835"/>
    <w:rsid w:val="000B7875"/>
    <w:rsid w:val="000D59E5"/>
    <w:rsid w:val="000F05E1"/>
    <w:rsid w:val="0011752F"/>
    <w:rsid w:val="00136E9D"/>
    <w:rsid w:val="0015758E"/>
    <w:rsid w:val="00177230"/>
    <w:rsid w:val="001C3702"/>
    <w:rsid w:val="001E6651"/>
    <w:rsid w:val="001F6961"/>
    <w:rsid w:val="002055B2"/>
    <w:rsid w:val="00222187"/>
    <w:rsid w:val="002C305B"/>
    <w:rsid w:val="002D7CAD"/>
    <w:rsid w:val="0032089B"/>
    <w:rsid w:val="003778B0"/>
    <w:rsid w:val="003846CC"/>
    <w:rsid w:val="003D6827"/>
    <w:rsid w:val="003F06F3"/>
    <w:rsid w:val="004315F8"/>
    <w:rsid w:val="00437791"/>
    <w:rsid w:val="00441AD9"/>
    <w:rsid w:val="004728BC"/>
    <w:rsid w:val="004815AC"/>
    <w:rsid w:val="0055200C"/>
    <w:rsid w:val="005A06A5"/>
    <w:rsid w:val="00620B9B"/>
    <w:rsid w:val="0065285C"/>
    <w:rsid w:val="00654C37"/>
    <w:rsid w:val="0066616F"/>
    <w:rsid w:val="00681799"/>
    <w:rsid w:val="00685942"/>
    <w:rsid w:val="006B298D"/>
    <w:rsid w:val="006C2138"/>
    <w:rsid w:val="00704531"/>
    <w:rsid w:val="0071477A"/>
    <w:rsid w:val="0073780B"/>
    <w:rsid w:val="00774646"/>
    <w:rsid w:val="007845B0"/>
    <w:rsid w:val="00786030"/>
    <w:rsid w:val="007A71C3"/>
    <w:rsid w:val="007E01C9"/>
    <w:rsid w:val="00807E45"/>
    <w:rsid w:val="0081122B"/>
    <w:rsid w:val="00837F4B"/>
    <w:rsid w:val="00861E03"/>
    <w:rsid w:val="0089111A"/>
    <w:rsid w:val="008D6D92"/>
    <w:rsid w:val="009627C5"/>
    <w:rsid w:val="00983E6B"/>
    <w:rsid w:val="00996248"/>
    <w:rsid w:val="009B2F9B"/>
    <w:rsid w:val="00A65011"/>
    <w:rsid w:val="00A70C9C"/>
    <w:rsid w:val="00AB2082"/>
    <w:rsid w:val="00B26AF6"/>
    <w:rsid w:val="00BB258A"/>
    <w:rsid w:val="00BB6BC3"/>
    <w:rsid w:val="00C70E60"/>
    <w:rsid w:val="00C92C5B"/>
    <w:rsid w:val="00CB556C"/>
    <w:rsid w:val="00CF2CAC"/>
    <w:rsid w:val="00D06908"/>
    <w:rsid w:val="00D1743B"/>
    <w:rsid w:val="00D25C43"/>
    <w:rsid w:val="00D55D2E"/>
    <w:rsid w:val="00D6422D"/>
    <w:rsid w:val="00D86642"/>
    <w:rsid w:val="00D95BB8"/>
    <w:rsid w:val="00DB258D"/>
    <w:rsid w:val="00E21DAF"/>
    <w:rsid w:val="00E24F97"/>
    <w:rsid w:val="00E3757C"/>
    <w:rsid w:val="00EB76C4"/>
    <w:rsid w:val="00ED103A"/>
    <w:rsid w:val="00F01AAB"/>
    <w:rsid w:val="00F36EEB"/>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B9B"/>
    <w:rPr>
      <w:sz w:val="20"/>
      <w:szCs w:val="20"/>
    </w:rPr>
  </w:style>
  <w:style w:type="character" w:styleId="FootnoteReference">
    <w:name w:val="footnote reference"/>
    <w:basedOn w:val="DefaultParagraphFont"/>
    <w:uiPriority w:val="99"/>
    <w:semiHidden/>
    <w:unhideWhenUsed/>
    <w:rsid w:val="00620B9B"/>
    <w:rPr>
      <w:vertAlign w:val="superscript"/>
    </w:rPr>
  </w:style>
  <w:style w:type="table" w:styleId="TableGrid">
    <w:name w:val="Table Grid"/>
    <w:basedOn w:val="TableNormal"/>
    <w:uiPriority w:val="59"/>
    <w:rsid w:val="00D17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F5E"/>
    <w:pPr>
      <w:ind w:left="720"/>
      <w:contextualSpacing/>
    </w:pPr>
  </w:style>
  <w:style w:type="paragraph" w:styleId="Header">
    <w:name w:val="header"/>
    <w:basedOn w:val="Normal"/>
    <w:link w:val="HeaderChar"/>
    <w:uiPriority w:val="99"/>
    <w:unhideWhenUsed/>
    <w:rsid w:val="000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75"/>
  </w:style>
  <w:style w:type="paragraph" w:styleId="Footer">
    <w:name w:val="footer"/>
    <w:basedOn w:val="Normal"/>
    <w:link w:val="FooterChar"/>
    <w:uiPriority w:val="99"/>
    <w:unhideWhenUsed/>
    <w:rsid w:val="000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75"/>
  </w:style>
  <w:style w:type="paragraph" w:styleId="Signature">
    <w:name w:val="Signature"/>
    <w:basedOn w:val="Normal"/>
    <w:link w:val="SignatureChar"/>
    <w:uiPriority w:val="99"/>
    <w:unhideWhenUsed/>
    <w:rsid w:val="0066616F"/>
    <w:pPr>
      <w:spacing w:after="0" w:line="240" w:lineRule="auto"/>
      <w:ind w:left="4320"/>
    </w:pPr>
    <w:rPr>
      <w:szCs w:val="24"/>
    </w:rPr>
  </w:style>
  <w:style w:type="character" w:customStyle="1" w:styleId="SignatureChar">
    <w:name w:val="Signature Char"/>
    <w:basedOn w:val="DefaultParagraphFont"/>
    <w:link w:val="Signature"/>
    <w:uiPriority w:val="99"/>
    <w:rsid w:val="0066616F"/>
    <w:rPr>
      <w:szCs w:val="24"/>
    </w:rPr>
  </w:style>
  <w:style w:type="paragraph" w:styleId="BalloonText">
    <w:name w:val="Balloon Text"/>
    <w:basedOn w:val="Normal"/>
    <w:link w:val="BalloonTextChar"/>
    <w:uiPriority w:val="99"/>
    <w:semiHidden/>
    <w:unhideWhenUsed/>
    <w:rsid w:val="000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F3"/>
    <w:rPr>
      <w:rFonts w:ascii="Tahoma" w:hAnsi="Tahoma" w:cs="Tahoma"/>
      <w:sz w:val="16"/>
      <w:szCs w:val="16"/>
    </w:rPr>
  </w:style>
  <w:style w:type="character" w:styleId="Hyperlink">
    <w:name w:val="Hyperlink"/>
    <w:basedOn w:val="DefaultParagraphFont"/>
    <w:uiPriority w:val="99"/>
    <w:rsid w:val="00C70E60"/>
    <w:rPr>
      <w:rFonts w:cs="Times New Roman"/>
      <w:color w:val="0000FF"/>
      <w:u w:val="single"/>
    </w:rPr>
  </w:style>
  <w:style w:type="character" w:customStyle="1" w:styleId="DocID">
    <w:name w:val="DocID"/>
    <w:basedOn w:val="DefaultParagraphFont"/>
    <w:rsid w:val="0073780B"/>
    <w:rPr>
      <w:rFonts w:ascii="Times New Roman" w:hAnsi="Times New Roman" w:cs="Times New Roman"/>
      <w:b w:val="0"/>
      <w:i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B9B"/>
    <w:rPr>
      <w:sz w:val="20"/>
      <w:szCs w:val="20"/>
    </w:rPr>
  </w:style>
  <w:style w:type="character" w:styleId="FootnoteReference">
    <w:name w:val="footnote reference"/>
    <w:basedOn w:val="DefaultParagraphFont"/>
    <w:uiPriority w:val="99"/>
    <w:semiHidden/>
    <w:unhideWhenUsed/>
    <w:rsid w:val="00620B9B"/>
    <w:rPr>
      <w:vertAlign w:val="superscript"/>
    </w:rPr>
  </w:style>
  <w:style w:type="table" w:styleId="TableGrid">
    <w:name w:val="Table Grid"/>
    <w:basedOn w:val="TableNormal"/>
    <w:uiPriority w:val="59"/>
    <w:rsid w:val="00D17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F5E"/>
    <w:pPr>
      <w:ind w:left="720"/>
      <w:contextualSpacing/>
    </w:pPr>
  </w:style>
  <w:style w:type="paragraph" w:styleId="Header">
    <w:name w:val="header"/>
    <w:basedOn w:val="Normal"/>
    <w:link w:val="HeaderChar"/>
    <w:uiPriority w:val="99"/>
    <w:unhideWhenUsed/>
    <w:rsid w:val="000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75"/>
  </w:style>
  <w:style w:type="paragraph" w:styleId="Footer">
    <w:name w:val="footer"/>
    <w:basedOn w:val="Normal"/>
    <w:link w:val="FooterChar"/>
    <w:uiPriority w:val="99"/>
    <w:unhideWhenUsed/>
    <w:rsid w:val="000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75"/>
  </w:style>
  <w:style w:type="paragraph" w:styleId="Signature">
    <w:name w:val="Signature"/>
    <w:basedOn w:val="Normal"/>
    <w:link w:val="SignatureChar"/>
    <w:uiPriority w:val="99"/>
    <w:unhideWhenUsed/>
    <w:rsid w:val="0066616F"/>
    <w:pPr>
      <w:spacing w:after="0" w:line="240" w:lineRule="auto"/>
      <w:ind w:left="4320"/>
    </w:pPr>
    <w:rPr>
      <w:szCs w:val="24"/>
    </w:rPr>
  </w:style>
  <w:style w:type="character" w:customStyle="1" w:styleId="SignatureChar">
    <w:name w:val="Signature Char"/>
    <w:basedOn w:val="DefaultParagraphFont"/>
    <w:link w:val="Signature"/>
    <w:uiPriority w:val="99"/>
    <w:rsid w:val="0066616F"/>
    <w:rPr>
      <w:szCs w:val="24"/>
    </w:rPr>
  </w:style>
  <w:style w:type="paragraph" w:styleId="BalloonText">
    <w:name w:val="Balloon Text"/>
    <w:basedOn w:val="Normal"/>
    <w:link w:val="BalloonTextChar"/>
    <w:uiPriority w:val="99"/>
    <w:semiHidden/>
    <w:unhideWhenUsed/>
    <w:rsid w:val="000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F3"/>
    <w:rPr>
      <w:rFonts w:ascii="Tahoma" w:hAnsi="Tahoma" w:cs="Tahoma"/>
      <w:sz w:val="16"/>
      <w:szCs w:val="16"/>
    </w:rPr>
  </w:style>
  <w:style w:type="character" w:styleId="Hyperlink">
    <w:name w:val="Hyperlink"/>
    <w:basedOn w:val="DefaultParagraphFont"/>
    <w:uiPriority w:val="99"/>
    <w:rsid w:val="00C70E60"/>
    <w:rPr>
      <w:rFonts w:cs="Times New Roman"/>
      <w:color w:val="0000FF"/>
      <w:u w:val="single"/>
    </w:rPr>
  </w:style>
  <w:style w:type="character" w:customStyle="1" w:styleId="DocID">
    <w:name w:val="DocID"/>
    <w:basedOn w:val="DefaultParagraphFont"/>
    <w:rsid w:val="0073780B"/>
    <w:rPr>
      <w:rFonts w:ascii="Times New Roman" w:hAnsi="Times New Roman" w:cs="Times New Roman"/>
      <w:b w:val="0"/>
      <w:i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3449D-F81A-4ACA-B69F-89A8E08D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1673</Words>
  <Characters>10078</Characters>
  <Application>Microsoft Office Word</Application>
  <DocSecurity>0</DocSecurity>
  <Lines>209</Lines>
  <Paragraphs>83</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Kuhn</dc:creator>
  <cp:lastModifiedBy>Brown, Jenny</cp:lastModifiedBy>
  <cp:revision>2</cp:revision>
  <cp:lastPrinted>2012-04-13T14:36:00Z</cp:lastPrinted>
  <dcterms:created xsi:type="dcterms:W3CDTF">2012-04-13T14:42:00Z</dcterms:created>
  <dcterms:modified xsi:type="dcterms:W3CDTF">2012-04-13T14:42:00Z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0FAA2wh0bY8CfKuVV7H0eQPqojXZEfEP5EPOVB5K7LTaSuaMkWJlq1sKtmSIvCoZ6Jv65WuyAc14p6ES
km9VmJo1+7ahAw4KiySUA0LEkZbnM9Iz0E15n2duGIFX1wzXxGLO8zeSPUnoNHvM1/7tPgz1680u
Zjhp/qwjwkUCZhzt2W+w4UnNbMvzH2tKMFrUC2JxPbKs2oQVWJ2wKY3AbDjFUpaRiPSSqC7Ff7Vk
IG2UZkEPxDCl/3iY6</vt:lpwstr>
  </property>
  <property fmtid="{D5CDD505-2E9C-101B-9397-08002B2CF9AE}" pid="3" name="MAIL_MSG_ID2">
    <vt:lpwstr>YnTQM7+T+HPQc2VLvEBiNfQqqYv7/VNwH2FZma6xO+4fMZRs6zaxUKciOUy
JdsMd0eyOOHj6gH6ZI7RJYwQCN66xEpDYqyHbTBCf0g94b1N+DBvFLLGrXE=</vt:lpwstr>
  </property>
  <property fmtid="{D5CDD505-2E9C-101B-9397-08002B2CF9AE}" pid="4" name="RESPONSE_SENDER_NAME">
    <vt:lpwstr>sAAAE9kkUq3pEoL7aGwNrbyWOX4flXxjahVkSBAAPIdWK20=</vt:lpwstr>
  </property>
  <property fmtid="{D5CDD505-2E9C-101B-9397-08002B2CF9AE}" pid="5" name="EMAIL_OWNER_ADDRESS">
    <vt:lpwstr>ABAAmJ+7jnJ2eOWw2eDA2CtIQ4A0oADLMKxsWvfRNLtl8JDMYYOUyPuljIdZArC1+7jD</vt:lpwstr>
  </property>
  <property fmtid="{D5CDD505-2E9C-101B-9397-08002B2CF9AE}" pid="6" name="DocID">
    <vt:lpwstr>704336.1</vt:lpwstr>
  </property>
</Properties>
</file>