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jpeg" ContentType="image/jpe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320"/>
      </w:pPr>
      <w:r>
        <w:rPr/>
        <w:t>Exhibit A-14 “Principle Officers, Directors &amp; Partners”</w:t>
      </w:r>
    </w:p>
    <w:p>
      <w:pPr>
        <w:pStyle w:val="BodyText"/>
        <w:rPr>
          <w:sz w:val="20"/>
        </w:rPr>
      </w:pPr>
    </w:p>
    <w:p>
      <w:pPr>
        <w:pStyle w:val="BodyText"/>
        <w:spacing w:before="1"/>
        <w:rPr>
          <w:sz w:val="29"/>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63"/>
        <w:gridCol w:w="4057"/>
      </w:tblGrid>
      <w:tr>
        <w:trPr>
          <w:trHeight w:val="6792" w:hRule="exact"/>
        </w:trPr>
        <w:tc>
          <w:tcPr>
            <w:tcW w:w="4463" w:type="dxa"/>
          </w:tcPr>
          <w:p>
            <w:pPr>
              <w:pStyle w:val="TableParagraph"/>
              <w:spacing w:line="257" w:lineRule="exact" w:before="1"/>
              <w:rPr>
                <w:b/>
                <w:sz w:val="22"/>
              </w:rPr>
            </w:pPr>
            <w:r>
              <w:rPr>
                <w:b/>
                <w:sz w:val="22"/>
              </w:rPr>
              <w:t>Steven Moffitt, President</w:t>
            </w:r>
          </w:p>
          <w:p>
            <w:pPr>
              <w:pStyle w:val="TableParagraph"/>
              <w:spacing w:line="257" w:lineRule="exact"/>
              <w:rPr>
                <w:sz w:val="22"/>
              </w:rPr>
            </w:pPr>
            <w:r>
              <w:rPr>
                <w:sz w:val="22"/>
              </w:rPr>
              <w:t>211 Carnegie Center</w:t>
            </w:r>
          </w:p>
          <w:p>
            <w:pPr>
              <w:pStyle w:val="TableParagraph"/>
              <w:spacing w:line="257" w:lineRule="exact" w:before="1"/>
              <w:rPr>
                <w:sz w:val="22"/>
              </w:rPr>
            </w:pPr>
            <w:r>
              <w:rPr>
                <w:sz w:val="22"/>
              </w:rPr>
              <w:t>Princeton, NJ 08540</w:t>
            </w:r>
          </w:p>
          <w:p>
            <w:pPr>
              <w:pStyle w:val="TableParagraph"/>
              <w:spacing w:line="257" w:lineRule="exact"/>
              <w:rPr>
                <w:sz w:val="22"/>
              </w:rPr>
            </w:pPr>
            <w:r>
              <w:rPr>
                <w:sz w:val="22"/>
              </w:rPr>
              <w:t>(609) 524-4500</w:t>
            </w:r>
          </w:p>
          <w:p>
            <w:pPr>
              <w:pStyle w:val="TableParagraph"/>
              <w:spacing w:line="257" w:lineRule="exact" w:before="121"/>
              <w:rPr>
                <w:b/>
                <w:sz w:val="22"/>
              </w:rPr>
            </w:pPr>
            <w:r>
              <w:rPr>
                <w:b/>
                <w:sz w:val="22"/>
              </w:rPr>
              <w:t>Clare H. Doyle, Secretary</w:t>
            </w:r>
          </w:p>
          <w:p>
            <w:pPr>
              <w:pStyle w:val="TableParagraph"/>
              <w:spacing w:line="257" w:lineRule="exact"/>
              <w:rPr>
                <w:sz w:val="22"/>
              </w:rPr>
            </w:pPr>
            <w:r>
              <w:rPr>
                <w:sz w:val="22"/>
              </w:rPr>
              <w:t>211 Carnegie Center</w:t>
            </w:r>
          </w:p>
          <w:p>
            <w:pPr>
              <w:pStyle w:val="TableParagraph"/>
              <w:spacing w:line="257" w:lineRule="exact" w:before="1"/>
              <w:rPr>
                <w:sz w:val="22"/>
              </w:rPr>
            </w:pPr>
            <w:r>
              <w:rPr>
                <w:sz w:val="22"/>
              </w:rPr>
              <w:t>Princeton, NJ 08540</w:t>
            </w:r>
          </w:p>
          <w:p>
            <w:pPr>
              <w:pStyle w:val="TableParagraph"/>
              <w:spacing w:line="257" w:lineRule="exact"/>
              <w:rPr>
                <w:sz w:val="22"/>
              </w:rPr>
            </w:pPr>
            <w:r>
              <w:rPr>
                <w:sz w:val="22"/>
              </w:rPr>
              <w:t>(609) 524-4500</w:t>
            </w:r>
          </w:p>
          <w:p>
            <w:pPr>
              <w:pStyle w:val="TableParagraph"/>
              <w:spacing w:line="257" w:lineRule="exact" w:before="122"/>
              <w:rPr>
                <w:b/>
                <w:sz w:val="22"/>
              </w:rPr>
            </w:pPr>
            <w:r>
              <w:rPr>
                <w:b/>
                <w:sz w:val="22"/>
              </w:rPr>
              <w:t>Deborah R. Fry, Assistant Secretary</w:t>
            </w:r>
          </w:p>
          <w:p>
            <w:pPr>
              <w:pStyle w:val="TableParagraph"/>
              <w:spacing w:line="257" w:lineRule="exact"/>
              <w:rPr>
                <w:sz w:val="22"/>
              </w:rPr>
            </w:pPr>
            <w:r>
              <w:rPr>
                <w:sz w:val="22"/>
              </w:rPr>
              <w:t>211 Carnegie Center</w:t>
            </w:r>
          </w:p>
          <w:p>
            <w:pPr>
              <w:pStyle w:val="TableParagraph"/>
              <w:spacing w:line="257" w:lineRule="exact" w:before="1"/>
              <w:rPr>
                <w:sz w:val="22"/>
              </w:rPr>
            </w:pPr>
            <w:r>
              <w:rPr>
                <w:sz w:val="22"/>
              </w:rPr>
              <w:t>Princeton, NJ 08540</w:t>
            </w:r>
          </w:p>
          <w:p>
            <w:pPr>
              <w:pStyle w:val="TableParagraph"/>
              <w:spacing w:line="257" w:lineRule="exact"/>
              <w:rPr>
                <w:sz w:val="22"/>
              </w:rPr>
            </w:pPr>
            <w:r>
              <w:rPr>
                <w:sz w:val="22"/>
              </w:rPr>
              <w:t>(609) 524-4500</w:t>
            </w:r>
          </w:p>
          <w:p>
            <w:pPr>
              <w:pStyle w:val="TableParagraph"/>
              <w:spacing w:line="257" w:lineRule="exact" w:before="121"/>
              <w:rPr>
                <w:b/>
                <w:sz w:val="22"/>
              </w:rPr>
            </w:pPr>
            <w:r>
              <w:rPr>
                <w:b/>
                <w:sz w:val="22"/>
              </w:rPr>
              <w:t>Judith Tompkins, Assistant Secretary</w:t>
            </w:r>
          </w:p>
          <w:p>
            <w:pPr>
              <w:pStyle w:val="TableParagraph"/>
              <w:spacing w:line="257" w:lineRule="exact"/>
              <w:rPr>
                <w:sz w:val="22"/>
              </w:rPr>
            </w:pPr>
            <w:r>
              <w:rPr>
                <w:sz w:val="22"/>
              </w:rPr>
              <w:t>211 Carnegie Center</w:t>
            </w:r>
          </w:p>
          <w:p>
            <w:pPr>
              <w:pStyle w:val="TableParagraph"/>
              <w:spacing w:line="257" w:lineRule="exact" w:before="1"/>
              <w:rPr>
                <w:sz w:val="22"/>
              </w:rPr>
            </w:pPr>
            <w:r>
              <w:rPr>
                <w:sz w:val="22"/>
              </w:rPr>
              <w:t>Princeton, NJ 08540</w:t>
            </w:r>
          </w:p>
          <w:p>
            <w:pPr>
              <w:pStyle w:val="TableParagraph"/>
              <w:spacing w:line="257" w:lineRule="exact"/>
              <w:rPr>
                <w:sz w:val="22"/>
              </w:rPr>
            </w:pPr>
            <w:r>
              <w:rPr>
                <w:sz w:val="22"/>
              </w:rPr>
              <w:t>(609) 524-4500</w:t>
            </w:r>
          </w:p>
          <w:p>
            <w:pPr>
              <w:pStyle w:val="TableParagraph"/>
              <w:spacing w:before="119"/>
              <w:rPr>
                <w:b/>
                <w:sz w:val="22"/>
              </w:rPr>
            </w:pPr>
            <w:r>
              <w:rPr>
                <w:b/>
                <w:sz w:val="22"/>
              </w:rPr>
              <w:t>Gaetan Frottie, Treasurer</w:t>
            </w:r>
          </w:p>
          <w:p>
            <w:pPr>
              <w:pStyle w:val="TableParagraph"/>
              <w:spacing w:line="257" w:lineRule="exact"/>
              <w:rPr>
                <w:sz w:val="22"/>
              </w:rPr>
            </w:pPr>
            <w:r>
              <w:rPr>
                <w:sz w:val="22"/>
              </w:rPr>
              <w:t>211 Carnegie Center</w:t>
            </w:r>
          </w:p>
          <w:p>
            <w:pPr>
              <w:pStyle w:val="TableParagraph"/>
              <w:spacing w:line="257" w:lineRule="exact"/>
              <w:rPr>
                <w:sz w:val="22"/>
              </w:rPr>
            </w:pPr>
            <w:r>
              <w:rPr>
                <w:sz w:val="22"/>
              </w:rPr>
              <w:t>Princeton, NJ 08540</w:t>
            </w:r>
          </w:p>
          <w:p>
            <w:pPr>
              <w:pStyle w:val="TableParagraph"/>
              <w:spacing w:before="2"/>
              <w:rPr>
                <w:sz w:val="22"/>
              </w:rPr>
            </w:pPr>
            <w:r>
              <w:rPr>
                <w:sz w:val="22"/>
              </w:rPr>
              <w:t>(609) 524-4500</w:t>
            </w:r>
          </w:p>
          <w:p>
            <w:pPr>
              <w:pStyle w:val="TableParagraph"/>
              <w:spacing w:before="119"/>
              <w:rPr>
                <w:b/>
                <w:sz w:val="22"/>
              </w:rPr>
            </w:pPr>
            <w:r>
              <w:rPr>
                <w:b/>
                <w:sz w:val="22"/>
              </w:rPr>
              <w:t>David Callen, Vice President</w:t>
            </w:r>
          </w:p>
          <w:p>
            <w:pPr>
              <w:pStyle w:val="TableParagraph"/>
              <w:spacing w:line="257" w:lineRule="exact" w:before="1"/>
              <w:rPr>
                <w:sz w:val="22"/>
              </w:rPr>
            </w:pPr>
            <w:r>
              <w:rPr>
                <w:sz w:val="22"/>
              </w:rPr>
              <w:t>211 Carnegie Center</w:t>
            </w:r>
          </w:p>
          <w:p>
            <w:pPr>
              <w:pStyle w:val="TableParagraph"/>
              <w:spacing w:line="257" w:lineRule="exact"/>
              <w:rPr>
                <w:sz w:val="22"/>
              </w:rPr>
            </w:pPr>
            <w:r>
              <w:rPr>
                <w:sz w:val="22"/>
              </w:rPr>
              <w:t>Princeton, NJ 08540</w:t>
            </w:r>
          </w:p>
          <w:p>
            <w:pPr>
              <w:pStyle w:val="TableParagraph"/>
              <w:spacing w:before="1"/>
              <w:rPr>
                <w:sz w:val="22"/>
              </w:rPr>
            </w:pPr>
            <w:r>
              <w:rPr>
                <w:sz w:val="22"/>
              </w:rPr>
              <w:t>(609) 524-4500</w:t>
            </w:r>
          </w:p>
        </w:tc>
        <w:tc>
          <w:tcPr>
            <w:tcW w:w="4057" w:type="dxa"/>
          </w:tcPr>
          <w:p>
            <w:pPr>
              <w:pStyle w:val="TableParagraph"/>
              <w:spacing w:line="257" w:lineRule="exact"/>
              <w:ind w:left="527"/>
              <w:rPr>
                <w:b/>
                <w:sz w:val="22"/>
              </w:rPr>
            </w:pPr>
            <w:r>
              <w:rPr>
                <w:b/>
                <w:sz w:val="22"/>
              </w:rPr>
              <w:t>Krisshna Koomar, Vice President</w:t>
            </w:r>
          </w:p>
          <w:p>
            <w:pPr>
              <w:pStyle w:val="TableParagraph"/>
              <w:spacing w:line="257" w:lineRule="exact"/>
              <w:ind w:left="527"/>
              <w:rPr>
                <w:sz w:val="22"/>
              </w:rPr>
            </w:pPr>
            <w:r>
              <w:rPr>
                <w:sz w:val="22"/>
              </w:rPr>
              <w:t>211 Carnegie Center</w:t>
            </w:r>
          </w:p>
          <w:p>
            <w:pPr>
              <w:pStyle w:val="TableParagraph"/>
              <w:spacing w:line="257" w:lineRule="exact" w:before="2"/>
              <w:ind w:left="527"/>
              <w:rPr>
                <w:sz w:val="22"/>
              </w:rPr>
            </w:pPr>
            <w:r>
              <w:rPr>
                <w:sz w:val="22"/>
              </w:rPr>
              <w:t>Princeton, NJ 08540</w:t>
            </w:r>
          </w:p>
          <w:p>
            <w:pPr>
              <w:pStyle w:val="TableParagraph"/>
              <w:spacing w:line="257" w:lineRule="exact"/>
              <w:ind w:left="527"/>
              <w:rPr>
                <w:sz w:val="22"/>
              </w:rPr>
            </w:pPr>
            <w:r>
              <w:rPr>
                <w:sz w:val="22"/>
              </w:rPr>
              <w:t>(609) 524-4500</w:t>
            </w:r>
          </w:p>
          <w:p>
            <w:pPr>
              <w:pStyle w:val="TableParagraph"/>
              <w:spacing w:line="257" w:lineRule="exact" w:before="121"/>
              <w:ind w:left="527"/>
              <w:rPr>
                <w:b/>
                <w:sz w:val="22"/>
              </w:rPr>
            </w:pPr>
            <w:r>
              <w:rPr>
                <w:b/>
                <w:sz w:val="22"/>
              </w:rPr>
              <w:t>Glen E. Mackey, Vice President</w:t>
            </w:r>
          </w:p>
          <w:p>
            <w:pPr>
              <w:pStyle w:val="TableParagraph"/>
              <w:spacing w:line="257" w:lineRule="exact"/>
              <w:ind w:left="527"/>
              <w:rPr>
                <w:sz w:val="22"/>
              </w:rPr>
            </w:pPr>
            <w:r>
              <w:rPr>
                <w:sz w:val="22"/>
              </w:rPr>
              <w:t>211 Carnegie Center</w:t>
            </w:r>
          </w:p>
          <w:p>
            <w:pPr>
              <w:pStyle w:val="TableParagraph"/>
              <w:spacing w:line="257" w:lineRule="exact" w:before="1"/>
              <w:ind w:left="527"/>
              <w:rPr>
                <w:sz w:val="22"/>
              </w:rPr>
            </w:pPr>
            <w:r>
              <w:rPr>
                <w:sz w:val="22"/>
              </w:rPr>
              <w:t>Princeton, NJ 08540</w:t>
            </w:r>
          </w:p>
          <w:p>
            <w:pPr>
              <w:pStyle w:val="TableParagraph"/>
              <w:spacing w:line="257" w:lineRule="exact"/>
              <w:ind w:left="527"/>
              <w:rPr>
                <w:sz w:val="22"/>
              </w:rPr>
            </w:pPr>
            <w:r>
              <w:rPr>
                <w:sz w:val="22"/>
              </w:rPr>
              <w:t>(609) 524-4500</w:t>
            </w:r>
          </w:p>
          <w:p>
            <w:pPr>
              <w:pStyle w:val="TableParagraph"/>
              <w:spacing w:line="257" w:lineRule="exact" w:before="121"/>
              <w:ind w:left="527"/>
              <w:rPr>
                <w:b/>
                <w:sz w:val="22"/>
              </w:rPr>
            </w:pPr>
            <w:r>
              <w:rPr>
                <w:b/>
                <w:sz w:val="22"/>
              </w:rPr>
              <w:t>Richard Mason, Vice President</w:t>
            </w:r>
          </w:p>
          <w:p>
            <w:pPr>
              <w:pStyle w:val="TableParagraph"/>
              <w:spacing w:line="257" w:lineRule="exact"/>
              <w:ind w:left="527"/>
              <w:rPr>
                <w:sz w:val="22"/>
              </w:rPr>
            </w:pPr>
            <w:r>
              <w:rPr>
                <w:sz w:val="22"/>
              </w:rPr>
              <w:t>211 Carnegie Center</w:t>
            </w:r>
          </w:p>
          <w:p>
            <w:pPr>
              <w:pStyle w:val="TableParagraph"/>
              <w:spacing w:line="257" w:lineRule="exact" w:before="2"/>
              <w:ind w:left="527"/>
              <w:rPr>
                <w:sz w:val="22"/>
              </w:rPr>
            </w:pPr>
            <w:r>
              <w:rPr>
                <w:sz w:val="22"/>
              </w:rPr>
              <w:t>Princeton, NJ 08540</w:t>
            </w:r>
          </w:p>
          <w:p>
            <w:pPr>
              <w:pStyle w:val="TableParagraph"/>
              <w:spacing w:line="257" w:lineRule="exact"/>
              <w:ind w:left="527"/>
              <w:rPr>
                <w:sz w:val="22"/>
              </w:rPr>
            </w:pPr>
            <w:r>
              <w:rPr>
                <w:sz w:val="22"/>
              </w:rPr>
              <w:t>(609) 524-4500</w:t>
            </w:r>
          </w:p>
        </w:tc>
      </w:tr>
    </w:tbl>
    <w:p>
      <w:pPr>
        <w:spacing w:after="0" w:line="257" w:lineRule="exact"/>
        <w:rPr>
          <w:sz w:val="22"/>
        </w:rPr>
        <w:sectPr>
          <w:footerReference w:type="default" r:id="rId5"/>
          <w:type w:val="continuous"/>
          <w:pgSz w:w="12240" w:h="15840"/>
          <w:pgMar w:footer="1389" w:top="1400" w:bottom="1580" w:left="1120" w:right="1320"/>
          <w:pgNumType w:start="1"/>
        </w:sectPr>
      </w:pPr>
    </w:p>
    <w:p>
      <w:pPr>
        <w:pStyle w:val="BodyText"/>
        <w:spacing w:before="39"/>
        <w:ind w:left="120"/>
      </w:pPr>
      <w:r>
        <w:rPr/>
        <w:t>Exhibit A-15 “Company History”</w:t>
      </w:r>
    </w:p>
    <w:p>
      <w:pPr>
        <w:pStyle w:val="BodyText"/>
      </w:pPr>
    </w:p>
    <w:p>
      <w:pPr>
        <w:pStyle w:val="BodyText"/>
      </w:pPr>
    </w:p>
    <w:p>
      <w:pPr>
        <w:pStyle w:val="BodyText"/>
        <w:spacing w:before="3"/>
        <w:rPr>
          <w:sz w:val="17"/>
        </w:rPr>
      </w:pPr>
    </w:p>
    <w:p>
      <w:pPr>
        <w:pStyle w:val="BodyText"/>
        <w:spacing w:line="276" w:lineRule="auto" w:before="1"/>
        <w:ind w:left="119" w:right="381"/>
      </w:pPr>
      <w:r>
        <w:rPr/>
        <w:t>REX’s commitment to making the industry better for suppliers, brokers and commercial customers started in 2006 when its founders were innovating the first web-based software solutions automating supplier back office functions and expediting energy quote turnaround.</w:t>
      </w:r>
    </w:p>
    <w:p>
      <w:pPr>
        <w:pStyle w:val="BodyText"/>
        <w:spacing w:before="4"/>
        <w:rPr>
          <w:sz w:val="16"/>
        </w:rPr>
      </w:pPr>
    </w:p>
    <w:p>
      <w:pPr>
        <w:pStyle w:val="BodyText"/>
        <w:spacing w:line="276" w:lineRule="auto"/>
        <w:ind w:left="119" w:right="281"/>
      </w:pPr>
      <w:r>
        <w:rPr/>
        <w:t>Developers of the industry’s first “broker portals,” REX’s leadership founded Energy Choice Solutions, LLC DBA EnergyWize in 2011 with an industry wide perspective of the inefficiencies hindering suppliers and brokers and the resulting impacts on customer choice, pricing and service quality. The company attracted hundreds of brokers and 50 leading energy suppliers.</w:t>
      </w:r>
    </w:p>
    <w:p>
      <w:pPr>
        <w:pStyle w:val="BodyText"/>
        <w:spacing w:before="3"/>
        <w:rPr>
          <w:sz w:val="16"/>
        </w:rPr>
      </w:pPr>
    </w:p>
    <w:p>
      <w:pPr>
        <w:pStyle w:val="BodyText"/>
        <w:spacing w:line="276" w:lineRule="auto" w:before="1"/>
        <w:ind w:left="119" w:right="770"/>
      </w:pPr>
      <w:r>
        <w:rPr/>
        <w:t>In 2015, EnergyWize was acquired by NRG Energy, Inc. and re-launched as Retail Energy Xchange, expanding its product and service offering to 21 states.</w:t>
      </w:r>
    </w:p>
    <w:p>
      <w:pPr>
        <w:spacing w:after="0" w:line="276" w:lineRule="auto"/>
        <w:sectPr>
          <w:pgSz w:w="12240" w:h="15840"/>
          <w:pgMar w:header="0" w:footer="1389" w:top="1400" w:bottom="1580" w:left="1320" w:right="1320"/>
        </w:sectPr>
      </w:pPr>
    </w:p>
    <w:p>
      <w:pPr>
        <w:pStyle w:val="BodyText"/>
        <w:spacing w:before="39"/>
        <w:ind w:left="120"/>
      </w:pPr>
      <w:r>
        <w:rPr/>
        <w:t>Exhibit A-16 “Articles of Incorporation and Bylaws”</w:t>
      </w:r>
    </w:p>
    <w:p>
      <w:pPr>
        <w:pStyle w:val="BodyText"/>
      </w:pPr>
    </w:p>
    <w:p>
      <w:pPr>
        <w:pStyle w:val="BodyText"/>
      </w:pPr>
    </w:p>
    <w:p>
      <w:pPr>
        <w:pStyle w:val="BodyText"/>
        <w:spacing w:before="3"/>
        <w:rPr>
          <w:sz w:val="17"/>
        </w:rPr>
      </w:pPr>
    </w:p>
    <w:p>
      <w:pPr>
        <w:pStyle w:val="BodyText"/>
        <w:spacing w:before="1"/>
        <w:ind w:left="120"/>
      </w:pPr>
      <w:r>
        <w:rPr/>
        <w:t>NRG ENERGY, INC. CORPORATE GOVERNANCE GUIDELINES</w:t>
      </w:r>
    </w:p>
    <w:p>
      <w:pPr>
        <w:pStyle w:val="BodyText"/>
        <w:spacing w:before="8"/>
        <w:rPr>
          <w:sz w:val="19"/>
        </w:rPr>
      </w:pPr>
    </w:p>
    <w:p>
      <w:pPr>
        <w:pStyle w:val="BodyText"/>
        <w:spacing w:line="276" w:lineRule="auto"/>
        <w:ind w:left="120" w:right="438"/>
      </w:pPr>
      <w:r>
        <w:rPr/>
        <w:t>Adopted by the Board of Directors on March 2, 2004, and as amended most recently on December 1, 2016</w:t>
      </w:r>
    </w:p>
    <w:p>
      <w:pPr>
        <w:pStyle w:val="BodyText"/>
      </w:pPr>
    </w:p>
    <w:p>
      <w:pPr>
        <w:pStyle w:val="BodyText"/>
      </w:pPr>
    </w:p>
    <w:p>
      <w:pPr>
        <w:pStyle w:val="ListParagraph"/>
        <w:numPr>
          <w:ilvl w:val="0"/>
          <w:numId w:val="1"/>
        </w:numPr>
        <w:tabs>
          <w:tab w:pos="839" w:val="left" w:leader="none"/>
          <w:tab w:pos="841" w:val="left" w:leader="none"/>
        </w:tabs>
        <w:spacing w:line="240" w:lineRule="auto" w:before="171" w:after="0"/>
        <w:ind w:left="840" w:right="0" w:hanging="720"/>
        <w:jc w:val="left"/>
        <w:rPr>
          <w:sz w:val="22"/>
        </w:rPr>
      </w:pPr>
      <w:r>
        <w:rPr>
          <w:sz w:val="22"/>
        </w:rPr>
        <w:t>ROLE AND COMPOSITION OF THE BOARD OF</w:t>
      </w:r>
      <w:r>
        <w:rPr>
          <w:spacing w:val="-16"/>
          <w:sz w:val="22"/>
        </w:rPr>
        <w:t> </w:t>
      </w:r>
      <w:r>
        <w:rPr>
          <w:sz w:val="22"/>
        </w:rPr>
        <w:t>DIRECTORS</w:t>
      </w:r>
    </w:p>
    <w:p>
      <w:pPr>
        <w:pStyle w:val="BodyText"/>
      </w:pPr>
    </w:p>
    <w:p>
      <w:pPr>
        <w:pStyle w:val="BodyText"/>
      </w:pPr>
    </w:p>
    <w:p>
      <w:pPr>
        <w:pStyle w:val="BodyText"/>
        <w:spacing w:before="4"/>
        <w:rPr>
          <w:sz w:val="17"/>
        </w:rPr>
      </w:pPr>
    </w:p>
    <w:p>
      <w:pPr>
        <w:pStyle w:val="BodyText"/>
        <w:ind w:left="120"/>
      </w:pPr>
      <w:r>
        <w:rPr/>
        <w:t>Role of the Board</w:t>
      </w:r>
    </w:p>
    <w:p>
      <w:pPr>
        <w:pStyle w:val="BodyText"/>
        <w:spacing w:before="8"/>
        <w:rPr>
          <w:sz w:val="19"/>
        </w:rPr>
      </w:pPr>
    </w:p>
    <w:p>
      <w:pPr>
        <w:pStyle w:val="BodyText"/>
        <w:spacing w:line="276" w:lineRule="auto"/>
        <w:ind w:left="120" w:right="207"/>
      </w:pPr>
      <w:r>
        <w:rPr/>
        <w:t>The Board of Directors, which is elected by the Company's stockholders, oversees the management of the Company and its business. The Board monitors the performance of senior management; selects, evaluates and compensates the Chief Executive Officer and oversees CEO succession planning; provides counsel and oversight on the selection, evaluation, development and compensation of senior management; reviews, approves and monitors fundamental financial and business strategies and major corporate actions; assesses major risks facing the Company and their management; and oversees processes for maintaining the integrity of the Company.</w:t>
      </w:r>
    </w:p>
    <w:p>
      <w:pPr>
        <w:pStyle w:val="BodyText"/>
        <w:spacing w:before="4"/>
        <w:rPr>
          <w:sz w:val="16"/>
        </w:rPr>
      </w:pPr>
    </w:p>
    <w:p>
      <w:pPr>
        <w:pStyle w:val="BodyText"/>
        <w:spacing w:line="276" w:lineRule="auto"/>
        <w:ind w:left="120" w:right="152"/>
      </w:pPr>
      <w:r>
        <w:rPr/>
        <w:t>The Board’s goals are to build long-term value for the Company’s stockholders, and to assure the vitality of the Company for its customers, suppliers, employees and other stakeholders.</w:t>
      </w:r>
    </w:p>
    <w:p>
      <w:pPr>
        <w:pStyle w:val="BodyText"/>
      </w:pPr>
    </w:p>
    <w:p>
      <w:pPr>
        <w:pStyle w:val="BodyText"/>
      </w:pPr>
    </w:p>
    <w:p>
      <w:pPr>
        <w:pStyle w:val="BodyText"/>
        <w:spacing w:before="171"/>
        <w:ind w:left="120"/>
      </w:pPr>
      <w:r>
        <w:rPr/>
        <w:t>Role of Directors</w:t>
      </w:r>
    </w:p>
    <w:p>
      <w:pPr>
        <w:pStyle w:val="BodyText"/>
        <w:spacing w:before="8"/>
        <w:rPr>
          <w:sz w:val="19"/>
        </w:rPr>
      </w:pPr>
    </w:p>
    <w:p>
      <w:pPr>
        <w:pStyle w:val="BodyText"/>
        <w:spacing w:line="276" w:lineRule="auto"/>
        <w:ind w:left="119" w:right="187"/>
      </w:pPr>
      <w:r>
        <w:rPr/>
        <w:t>A director is expected to spend the time and effort necessary to properly discharge such director's responsibilities, including those specified above. Accordingly, a director is expected to regularly attend meetings of the Board and committees on which such director sits, and to review prior to meetings material distributed in advance for such meetings. A director who is unable to attend a meeting (which it is understood will occur on occasion) is expected to notify the Chairman of the Board or the Chairman of the appropriate committee in advance of such meeting.</w:t>
      </w:r>
    </w:p>
    <w:p>
      <w:pPr>
        <w:pStyle w:val="BodyText"/>
      </w:pPr>
    </w:p>
    <w:p>
      <w:pPr>
        <w:pStyle w:val="BodyText"/>
      </w:pPr>
    </w:p>
    <w:p>
      <w:pPr>
        <w:pStyle w:val="BodyText"/>
        <w:spacing w:before="171"/>
        <w:ind w:left="119"/>
      </w:pPr>
      <w:r>
        <w:rPr/>
        <w:t>Size, Composition and Membership Criteria</w:t>
      </w:r>
    </w:p>
    <w:p>
      <w:pPr>
        <w:pStyle w:val="BodyText"/>
        <w:spacing w:before="7"/>
        <w:rPr>
          <w:sz w:val="19"/>
        </w:rPr>
      </w:pPr>
    </w:p>
    <w:p>
      <w:pPr>
        <w:pStyle w:val="BodyText"/>
        <w:spacing w:line="276" w:lineRule="auto" w:before="1"/>
        <w:ind w:left="119" w:right="374"/>
      </w:pPr>
      <w:r>
        <w:rPr/>
        <w:t>The Board is made up of a majority of independent directors. An “independent” director is a director who meets the definition of "independent director" under the listing standards of the New York Stock Exchange and is affirmatively determined to be “independent” by the Board. The Board is presently</w:t>
      </w:r>
    </w:p>
    <w:p>
      <w:pPr>
        <w:spacing w:after="0" w:line="276" w:lineRule="auto"/>
        <w:sectPr>
          <w:pgSz w:w="12240" w:h="15840"/>
          <w:pgMar w:header="0" w:footer="1389" w:top="1400" w:bottom="1580" w:left="1320" w:right="1320"/>
        </w:sectPr>
      </w:pPr>
    </w:p>
    <w:p>
      <w:pPr>
        <w:pStyle w:val="BodyText"/>
        <w:spacing w:line="276" w:lineRule="auto" w:before="39"/>
        <w:ind w:left="120" w:right="470"/>
      </w:pPr>
      <w:r>
        <w:rPr/>
        <w:t>composed of thirteen directors, and directors are elected annually at the Company’s annual meeting stockholders.</w:t>
      </w:r>
    </w:p>
    <w:p>
      <w:pPr>
        <w:pStyle w:val="BodyText"/>
      </w:pPr>
    </w:p>
    <w:p>
      <w:pPr>
        <w:pStyle w:val="BodyText"/>
      </w:pPr>
    </w:p>
    <w:p>
      <w:pPr>
        <w:pStyle w:val="BodyText"/>
        <w:spacing w:line="276" w:lineRule="auto" w:before="171"/>
        <w:ind w:left="120" w:right="171"/>
      </w:pPr>
      <w:r>
        <w:rPr/>
        <w:t>The Board membership criteria include, among other things, an individual's business experience and skills, independence, judgment, integrity, ability to commit sufficient time and attention to the activities of the Board and director tenure (as described below). The Governance and Nominating Committee of the Board considers these criteria in the context of an assessment of the perceived needs of the Board as a whole and seeks to achieve a diversity of occupational and personal backgrounds on the Board.</w:t>
      </w:r>
    </w:p>
    <w:p>
      <w:pPr>
        <w:pStyle w:val="BodyText"/>
      </w:pPr>
    </w:p>
    <w:p>
      <w:pPr>
        <w:pStyle w:val="BodyText"/>
      </w:pPr>
    </w:p>
    <w:p>
      <w:pPr>
        <w:pStyle w:val="BodyText"/>
        <w:spacing w:line="276" w:lineRule="auto" w:before="171"/>
        <w:ind w:left="120" w:right="224"/>
      </w:pPr>
      <w:r>
        <w:rPr/>
        <w:t>The Governance and Nominating Committee reviews the qualifications of director candidates in light of applicable Board membership criteria and recommends candidates to the Board for election by the stockholders at the annual meeting.</w:t>
      </w:r>
    </w:p>
    <w:p>
      <w:pPr>
        <w:pStyle w:val="BodyText"/>
      </w:pPr>
    </w:p>
    <w:p>
      <w:pPr>
        <w:pStyle w:val="BodyText"/>
      </w:pPr>
    </w:p>
    <w:p>
      <w:pPr>
        <w:pStyle w:val="BodyText"/>
        <w:spacing w:line="276" w:lineRule="auto" w:before="171"/>
        <w:ind w:left="119" w:right="234"/>
      </w:pPr>
      <w:r>
        <w:rPr/>
        <w:t>The Committee also considers nominations by stockholders who recommend candidates for election to the Board in compliance with the advance notice provisions in the Company's Bylaws, applicable Securities and Exchange Commission rules and regulations, and applicable securities market rules and regulations.</w:t>
      </w:r>
    </w:p>
    <w:p>
      <w:pPr>
        <w:pStyle w:val="BodyText"/>
      </w:pPr>
    </w:p>
    <w:p>
      <w:pPr>
        <w:pStyle w:val="BodyText"/>
      </w:pPr>
    </w:p>
    <w:p>
      <w:pPr>
        <w:pStyle w:val="BodyText"/>
        <w:spacing w:before="171"/>
        <w:ind w:left="119"/>
      </w:pPr>
      <w:r>
        <w:rPr/>
        <w:t>Board Leadership</w:t>
      </w:r>
    </w:p>
    <w:p>
      <w:pPr>
        <w:pStyle w:val="BodyText"/>
        <w:spacing w:before="7"/>
        <w:rPr>
          <w:sz w:val="19"/>
        </w:rPr>
      </w:pPr>
    </w:p>
    <w:p>
      <w:pPr>
        <w:pStyle w:val="BodyText"/>
        <w:spacing w:line="276" w:lineRule="auto" w:before="1"/>
        <w:ind w:left="119" w:right="167"/>
      </w:pPr>
      <w:r>
        <w:rPr/>
        <w:t>The Board believes that it is in the best interests of the Company for the Board to make a determination regarding whether or not to separate the roles of Chairman of the Board and CEO based upon the circumstances. Currently, the offices of Chairman and CEO are held by two individuals.</w:t>
      </w:r>
    </w:p>
    <w:p>
      <w:pPr>
        <w:pStyle w:val="BodyText"/>
      </w:pPr>
    </w:p>
    <w:p>
      <w:pPr>
        <w:pStyle w:val="BodyText"/>
      </w:pPr>
    </w:p>
    <w:p>
      <w:pPr>
        <w:pStyle w:val="BodyText"/>
        <w:spacing w:before="171"/>
        <w:ind w:left="119"/>
      </w:pPr>
      <w:r>
        <w:rPr/>
        <w:t>Change in Principal Occupation</w:t>
      </w:r>
    </w:p>
    <w:p>
      <w:pPr>
        <w:pStyle w:val="BodyText"/>
        <w:spacing w:before="7"/>
        <w:rPr>
          <w:sz w:val="19"/>
        </w:rPr>
      </w:pPr>
    </w:p>
    <w:p>
      <w:pPr>
        <w:pStyle w:val="BodyText"/>
        <w:spacing w:line="276" w:lineRule="auto"/>
        <w:ind w:left="119" w:right="155"/>
      </w:pPr>
      <w:r>
        <w:rPr/>
        <w:t>When a director's principal occupation or business association changes substantially during the director's tenure on the Board, the director should tender his or her resignation for consideration by the Governance and Nominating Committee. The Committee will recommend to the Board the action, if any, to be taken with respect to the offer of</w:t>
      </w:r>
      <w:r>
        <w:rPr>
          <w:spacing w:val="-20"/>
        </w:rPr>
        <w:t> </w:t>
      </w:r>
      <w:r>
        <w:rPr/>
        <w:t>resignation.</w:t>
      </w:r>
    </w:p>
    <w:p>
      <w:pPr>
        <w:pStyle w:val="BodyText"/>
      </w:pPr>
    </w:p>
    <w:p>
      <w:pPr>
        <w:pStyle w:val="BodyText"/>
      </w:pPr>
    </w:p>
    <w:p>
      <w:pPr>
        <w:pStyle w:val="BodyText"/>
        <w:spacing w:before="171"/>
        <w:ind w:left="119"/>
      </w:pPr>
      <w:r>
        <w:rPr/>
        <w:t>Director Tenure</w:t>
      </w:r>
    </w:p>
    <w:p>
      <w:pPr>
        <w:spacing w:after="0"/>
        <w:sectPr>
          <w:pgSz w:w="12240" w:h="15840"/>
          <w:pgMar w:header="0" w:footer="1389" w:top="1400" w:bottom="1580" w:left="1320" w:right="1320"/>
        </w:sectPr>
      </w:pPr>
    </w:p>
    <w:p>
      <w:pPr>
        <w:pStyle w:val="BodyText"/>
        <w:spacing w:line="276" w:lineRule="auto" w:before="39"/>
        <w:ind w:left="100" w:right="223"/>
      </w:pPr>
      <w:r>
        <w:rPr/>
        <w:t>It is the general policy of the Board that non-employee directors will not stand for re-election after reaching age 75. However, the Board upon the recommendation of the Governance and Nominating Committee may waive the requirement in any particular case or change the retirement age if it is in the Company's best interest.</w:t>
      </w:r>
    </w:p>
    <w:p>
      <w:pPr>
        <w:pStyle w:val="BodyText"/>
      </w:pPr>
    </w:p>
    <w:p>
      <w:pPr>
        <w:pStyle w:val="BodyText"/>
      </w:pPr>
    </w:p>
    <w:p>
      <w:pPr>
        <w:pStyle w:val="BodyText"/>
        <w:spacing w:before="171"/>
        <w:ind w:left="100"/>
      </w:pPr>
      <w:r>
        <w:rPr/>
        <w:t>Director Attendance at Annual Meetings of Stockholders</w:t>
      </w:r>
    </w:p>
    <w:p>
      <w:pPr>
        <w:pStyle w:val="BodyText"/>
      </w:pPr>
    </w:p>
    <w:p>
      <w:pPr>
        <w:pStyle w:val="BodyText"/>
      </w:pPr>
    </w:p>
    <w:p>
      <w:pPr>
        <w:pStyle w:val="BodyText"/>
        <w:spacing w:before="4"/>
        <w:rPr>
          <w:sz w:val="17"/>
        </w:rPr>
      </w:pPr>
    </w:p>
    <w:p>
      <w:pPr>
        <w:pStyle w:val="BodyText"/>
        <w:spacing w:line="276" w:lineRule="auto"/>
        <w:ind w:left="100" w:right="229"/>
      </w:pPr>
      <w:r>
        <w:rPr/>
        <w:t>Directors are invited and encouraged to attend the Company's annual meeting of stockholders. A director who is unable to attend the Company’s annual meeting of stockholders (which it is understood will occur on occasion) is expected to notify the Chairman of the Board in advance of the meeting.</w:t>
      </w:r>
    </w:p>
    <w:p>
      <w:pPr>
        <w:pStyle w:val="BodyText"/>
      </w:pPr>
    </w:p>
    <w:p>
      <w:pPr>
        <w:pStyle w:val="BodyText"/>
      </w:pPr>
    </w:p>
    <w:p>
      <w:pPr>
        <w:pStyle w:val="BodyText"/>
        <w:spacing w:before="173"/>
        <w:ind w:left="100"/>
      </w:pPr>
      <w:r>
        <w:rPr/>
        <w:t>Service on Other Boards</w:t>
      </w:r>
    </w:p>
    <w:p>
      <w:pPr>
        <w:pStyle w:val="BodyText"/>
        <w:spacing w:before="7"/>
        <w:rPr>
          <w:sz w:val="19"/>
        </w:rPr>
      </w:pPr>
    </w:p>
    <w:p>
      <w:pPr>
        <w:pStyle w:val="BodyText"/>
        <w:spacing w:line="276" w:lineRule="auto"/>
        <w:ind w:left="100" w:right="104"/>
      </w:pPr>
      <w:r>
        <w:rPr/>
        <w:t>A director who also serves in the capacity of a CEO or in an equivalent position should not serve on more than two boards of public companies in addition to the Company's Board, and other directors should not serve on more than four other boards of public companies in addition to the Company's Board. Current positions in excess of these limits may be maintained unless the Board determines that doing so would impair the director's service on the Company's Board.</w:t>
      </w:r>
    </w:p>
    <w:p>
      <w:pPr>
        <w:pStyle w:val="BodyText"/>
      </w:pPr>
    </w:p>
    <w:p>
      <w:pPr>
        <w:pStyle w:val="BodyText"/>
      </w:pPr>
    </w:p>
    <w:p>
      <w:pPr>
        <w:pStyle w:val="ListParagraph"/>
        <w:numPr>
          <w:ilvl w:val="0"/>
          <w:numId w:val="1"/>
        </w:numPr>
        <w:tabs>
          <w:tab w:pos="819" w:val="left" w:leader="none"/>
          <w:tab w:pos="821" w:val="left" w:leader="none"/>
        </w:tabs>
        <w:spacing w:line="240" w:lineRule="auto" w:before="171" w:after="0"/>
        <w:ind w:left="820" w:right="0" w:hanging="720"/>
        <w:jc w:val="left"/>
        <w:rPr>
          <w:sz w:val="22"/>
        </w:rPr>
      </w:pPr>
      <w:r>
        <w:rPr>
          <w:sz w:val="22"/>
        </w:rPr>
        <w:t>FUNCTIONING OF THE BOARD AND BOARD</w:t>
      </w:r>
      <w:r>
        <w:rPr>
          <w:spacing w:val="-14"/>
          <w:sz w:val="22"/>
        </w:rPr>
        <w:t> </w:t>
      </w:r>
      <w:r>
        <w:rPr>
          <w:sz w:val="22"/>
        </w:rPr>
        <w:t>MEETINGS</w:t>
      </w:r>
    </w:p>
    <w:p>
      <w:pPr>
        <w:pStyle w:val="BodyText"/>
      </w:pPr>
    </w:p>
    <w:p>
      <w:pPr>
        <w:pStyle w:val="BodyText"/>
      </w:pPr>
    </w:p>
    <w:p>
      <w:pPr>
        <w:pStyle w:val="BodyText"/>
        <w:spacing w:before="4"/>
        <w:rPr>
          <w:sz w:val="17"/>
        </w:rPr>
      </w:pPr>
    </w:p>
    <w:p>
      <w:pPr>
        <w:pStyle w:val="BodyText"/>
        <w:ind w:left="100"/>
      </w:pPr>
      <w:r>
        <w:rPr/>
        <w:t>Frequency of Meetings</w:t>
      </w:r>
    </w:p>
    <w:p>
      <w:pPr>
        <w:pStyle w:val="BodyText"/>
        <w:spacing w:before="8"/>
        <w:rPr>
          <w:sz w:val="19"/>
        </w:rPr>
      </w:pPr>
    </w:p>
    <w:p>
      <w:pPr>
        <w:pStyle w:val="BodyText"/>
        <w:spacing w:line="276" w:lineRule="auto"/>
        <w:ind w:left="100" w:right="369"/>
      </w:pPr>
      <w:r>
        <w:rPr/>
        <w:t>There shall be at least five regularly scheduled meetings of the Board each year. At least one regularly scheduled meeting of the Board shall be held quarterly.</w:t>
      </w:r>
    </w:p>
    <w:p>
      <w:pPr>
        <w:pStyle w:val="BodyText"/>
      </w:pPr>
    </w:p>
    <w:p>
      <w:pPr>
        <w:pStyle w:val="BodyText"/>
      </w:pPr>
    </w:p>
    <w:p>
      <w:pPr>
        <w:pStyle w:val="BodyText"/>
        <w:spacing w:before="171"/>
        <w:ind w:left="100"/>
      </w:pPr>
      <w:r>
        <w:rPr/>
        <w:t>Agendas</w:t>
      </w:r>
    </w:p>
    <w:p>
      <w:pPr>
        <w:pStyle w:val="BodyText"/>
        <w:spacing w:before="7"/>
        <w:rPr>
          <w:sz w:val="19"/>
        </w:rPr>
      </w:pPr>
    </w:p>
    <w:p>
      <w:pPr>
        <w:pStyle w:val="BodyText"/>
        <w:spacing w:line="276" w:lineRule="auto"/>
        <w:ind w:left="100" w:right="145"/>
      </w:pPr>
      <w:r>
        <w:rPr/>
        <w:t>The Chairman, in consultation with the CEO, sets the agenda for Board meetings with the understanding that certain items pertinent to the advisory and monitoring functions of the Board be brought to it periodically by the Chairman for review and/or decision. Agenda items that fall within the scope of responsibilities of a Board committee are reviewed with the chairman of that committee. Directors are encouraged to suggest the inclusion of items on the agenda.</w:t>
      </w:r>
    </w:p>
    <w:p>
      <w:pPr>
        <w:spacing w:after="0" w:line="276" w:lineRule="auto"/>
        <w:sectPr>
          <w:pgSz w:w="12240" w:h="15840"/>
          <w:pgMar w:header="0" w:footer="1389" w:top="1400" w:bottom="1580" w:left="1340" w:right="1320"/>
        </w:sectPr>
      </w:pPr>
    </w:p>
    <w:p>
      <w:pPr>
        <w:pStyle w:val="BodyText"/>
        <w:spacing w:before="39"/>
        <w:ind w:left="120"/>
      </w:pPr>
      <w:r>
        <w:rPr/>
        <w:t>Distribution of Board Materials</w:t>
      </w:r>
    </w:p>
    <w:p>
      <w:pPr>
        <w:pStyle w:val="BodyText"/>
        <w:spacing w:before="7"/>
        <w:rPr>
          <w:sz w:val="19"/>
        </w:rPr>
      </w:pPr>
    </w:p>
    <w:p>
      <w:pPr>
        <w:pStyle w:val="BodyText"/>
        <w:spacing w:line="276" w:lineRule="auto" w:before="1"/>
        <w:ind w:left="120" w:right="403"/>
      </w:pPr>
      <w:r>
        <w:rPr/>
        <w:t>Board materials related to agenda items are provided to directors sufficiently in advance of Board meetings to allow directors to review and prepare for discussion of the items at the meeting. In some cases, due to timing or the sensitive nature of an issue, materials are presented only at the Board meeting.</w:t>
      </w:r>
    </w:p>
    <w:p>
      <w:pPr>
        <w:pStyle w:val="BodyText"/>
      </w:pPr>
    </w:p>
    <w:p>
      <w:pPr>
        <w:pStyle w:val="BodyText"/>
      </w:pPr>
    </w:p>
    <w:p>
      <w:pPr>
        <w:pStyle w:val="BodyText"/>
        <w:spacing w:before="171"/>
        <w:ind w:left="120"/>
      </w:pPr>
      <w:r>
        <w:rPr/>
        <w:t>Director Access to Management and Employees</w:t>
      </w:r>
    </w:p>
    <w:p>
      <w:pPr>
        <w:pStyle w:val="BodyText"/>
        <w:spacing w:before="7"/>
        <w:rPr>
          <w:sz w:val="19"/>
        </w:rPr>
      </w:pPr>
    </w:p>
    <w:p>
      <w:pPr>
        <w:pStyle w:val="BodyText"/>
        <w:spacing w:line="276" w:lineRule="auto"/>
        <w:ind w:left="120" w:right="265"/>
      </w:pPr>
      <w:r>
        <w:rPr/>
        <w:t>At the invitation of the Board, members of senior management recommended by the Chairman or CEO may attend Board meetings or portions of meetings for the purpose of participating in discussions.</w:t>
      </w:r>
    </w:p>
    <w:p>
      <w:pPr>
        <w:pStyle w:val="BodyText"/>
        <w:spacing w:line="276" w:lineRule="auto"/>
        <w:ind w:left="120" w:right="100"/>
      </w:pPr>
      <w:r>
        <w:rPr/>
        <w:t>Generally, presentations of matters to be considered by the Board are made by the manager responsible for that area of the Company's operations. Directors also have full and free access to other members of management, to employees of the Company, and to the Company’s counsel, subject to their use of judgment to assure that this access is not distracting to the business operations of the Company.</w:t>
      </w:r>
    </w:p>
    <w:p>
      <w:pPr>
        <w:pStyle w:val="BodyText"/>
      </w:pPr>
    </w:p>
    <w:p>
      <w:pPr>
        <w:pStyle w:val="BodyText"/>
      </w:pPr>
    </w:p>
    <w:p>
      <w:pPr>
        <w:pStyle w:val="BodyText"/>
        <w:spacing w:before="174"/>
        <w:ind w:left="119"/>
      </w:pPr>
      <w:r>
        <w:rPr/>
        <w:t>Access to Outside Advisors</w:t>
      </w:r>
    </w:p>
    <w:p>
      <w:pPr>
        <w:pStyle w:val="BodyText"/>
      </w:pPr>
    </w:p>
    <w:p>
      <w:pPr>
        <w:pStyle w:val="BodyText"/>
      </w:pPr>
    </w:p>
    <w:p>
      <w:pPr>
        <w:pStyle w:val="BodyText"/>
        <w:spacing w:before="4"/>
        <w:rPr>
          <w:sz w:val="17"/>
        </w:rPr>
      </w:pPr>
    </w:p>
    <w:p>
      <w:pPr>
        <w:pStyle w:val="BodyText"/>
        <w:spacing w:line="273" w:lineRule="auto"/>
        <w:ind w:left="119" w:right="365"/>
      </w:pPr>
      <w:r>
        <w:rPr/>
        <w:t>The Board and its committees have the right to retain outside financial, legal or other advisors as they determine appropriate to assist them in the performance of their respective functions.</w:t>
      </w:r>
    </w:p>
    <w:p>
      <w:pPr>
        <w:pStyle w:val="BodyText"/>
      </w:pPr>
    </w:p>
    <w:p>
      <w:pPr>
        <w:pStyle w:val="BodyText"/>
      </w:pPr>
    </w:p>
    <w:p>
      <w:pPr>
        <w:pStyle w:val="BodyText"/>
        <w:spacing w:before="173"/>
        <w:ind w:left="119"/>
      </w:pPr>
      <w:r>
        <w:rPr/>
        <w:t>Executive Sessions of Non-Management Directors</w:t>
      </w:r>
    </w:p>
    <w:p>
      <w:pPr>
        <w:pStyle w:val="BodyText"/>
      </w:pPr>
    </w:p>
    <w:p>
      <w:pPr>
        <w:pStyle w:val="BodyText"/>
      </w:pPr>
    </w:p>
    <w:p>
      <w:pPr>
        <w:pStyle w:val="BodyText"/>
        <w:spacing w:before="3"/>
        <w:rPr>
          <w:sz w:val="17"/>
        </w:rPr>
      </w:pPr>
    </w:p>
    <w:p>
      <w:pPr>
        <w:pStyle w:val="BodyText"/>
        <w:spacing w:line="276" w:lineRule="auto"/>
        <w:ind w:left="119" w:right="279"/>
      </w:pPr>
      <w:r>
        <w:rPr/>
        <w:t>The non-management directors meet in executive session periodically during Board meetings. It is the policy of the Board that the Chairman presides at executive sessions; provided that if the Chairman is a member of management then it is the policy of the Board to elect a non- management director to preside at executive sessions.</w:t>
      </w:r>
    </w:p>
    <w:p>
      <w:pPr>
        <w:pStyle w:val="BodyText"/>
      </w:pPr>
    </w:p>
    <w:p>
      <w:pPr>
        <w:pStyle w:val="BodyText"/>
      </w:pPr>
    </w:p>
    <w:p>
      <w:pPr>
        <w:pStyle w:val="ListParagraph"/>
        <w:numPr>
          <w:ilvl w:val="0"/>
          <w:numId w:val="1"/>
        </w:numPr>
        <w:tabs>
          <w:tab w:pos="839" w:val="left" w:leader="none"/>
          <w:tab w:pos="840" w:val="left" w:leader="none"/>
        </w:tabs>
        <w:spacing w:line="240" w:lineRule="auto" w:before="171" w:after="0"/>
        <w:ind w:left="839" w:right="0" w:hanging="720"/>
        <w:jc w:val="left"/>
        <w:rPr>
          <w:sz w:val="22"/>
        </w:rPr>
      </w:pPr>
      <w:r>
        <w:rPr>
          <w:sz w:val="22"/>
        </w:rPr>
        <w:t>DIRECTOR</w:t>
      </w:r>
      <w:r>
        <w:rPr>
          <w:spacing w:val="-4"/>
          <w:sz w:val="22"/>
        </w:rPr>
        <w:t> </w:t>
      </w:r>
      <w:r>
        <w:rPr>
          <w:sz w:val="22"/>
        </w:rPr>
        <w:t>COMPENSATION</w:t>
      </w:r>
    </w:p>
    <w:p>
      <w:pPr>
        <w:pStyle w:val="BodyText"/>
        <w:spacing w:before="8"/>
        <w:rPr>
          <w:sz w:val="19"/>
        </w:rPr>
      </w:pPr>
    </w:p>
    <w:p>
      <w:pPr>
        <w:pStyle w:val="BodyText"/>
        <w:spacing w:line="276" w:lineRule="auto"/>
        <w:ind w:left="119" w:right="291"/>
        <w:jc w:val="both"/>
      </w:pPr>
      <w:r>
        <w:rPr/>
        <w:t>Non-employee directors are compensated in accordance with the Director Compensation Plan and the Directors Stock Option Plan. The Board believes that a significant portion of a director's compensation should be in equity to further the direct correlation of directors' and stockholders' interests. The Board</w:t>
      </w:r>
    </w:p>
    <w:p>
      <w:pPr>
        <w:spacing w:after="0" w:line="276" w:lineRule="auto"/>
        <w:jc w:val="both"/>
        <w:sectPr>
          <w:pgSz w:w="12240" w:h="15840"/>
          <w:pgMar w:header="0" w:footer="1389" w:top="1400" w:bottom="1580" w:left="1320" w:right="1320"/>
        </w:sectPr>
      </w:pPr>
    </w:p>
    <w:p>
      <w:pPr>
        <w:pStyle w:val="BodyText"/>
        <w:spacing w:line="276" w:lineRule="auto" w:before="39"/>
        <w:ind w:left="120" w:right="134"/>
      </w:pPr>
      <w:r>
        <w:rPr/>
        <w:t>reviews the amount and composition of director compensation from time to time and makes changes as appropriate.</w:t>
      </w:r>
    </w:p>
    <w:p>
      <w:pPr>
        <w:pStyle w:val="BodyText"/>
      </w:pPr>
    </w:p>
    <w:p>
      <w:pPr>
        <w:pStyle w:val="BodyText"/>
      </w:pPr>
    </w:p>
    <w:p>
      <w:pPr>
        <w:pStyle w:val="BodyText"/>
        <w:spacing w:line="273" w:lineRule="auto" w:before="171"/>
        <w:ind w:left="120" w:right="142"/>
      </w:pPr>
      <w:r>
        <w:rPr/>
        <w:t>Directors that are officers or employees of the Company do not receive any additional compensation for service on the Board.</w:t>
      </w:r>
    </w:p>
    <w:p>
      <w:pPr>
        <w:pStyle w:val="BodyText"/>
      </w:pPr>
    </w:p>
    <w:p>
      <w:pPr>
        <w:pStyle w:val="BodyText"/>
      </w:pPr>
    </w:p>
    <w:p>
      <w:pPr>
        <w:pStyle w:val="BodyText"/>
        <w:spacing w:line="276" w:lineRule="auto" w:before="174"/>
        <w:ind w:left="120" w:right="279"/>
      </w:pPr>
      <w:r>
        <w:rPr/>
        <w:t>Company policy and federal law prohibits the Company from directly or indirectly making any loan to a director or executive officer of the Company.</w:t>
      </w:r>
    </w:p>
    <w:p>
      <w:pPr>
        <w:pStyle w:val="BodyText"/>
      </w:pPr>
    </w:p>
    <w:p>
      <w:pPr>
        <w:pStyle w:val="BodyText"/>
      </w:pPr>
    </w:p>
    <w:p>
      <w:pPr>
        <w:pStyle w:val="ListParagraph"/>
        <w:numPr>
          <w:ilvl w:val="0"/>
          <w:numId w:val="1"/>
        </w:numPr>
        <w:tabs>
          <w:tab w:pos="840" w:val="left" w:leader="none"/>
          <w:tab w:pos="841" w:val="left" w:leader="none"/>
        </w:tabs>
        <w:spacing w:line="240" w:lineRule="auto" w:before="171" w:after="0"/>
        <w:ind w:left="840" w:right="0" w:hanging="720"/>
        <w:jc w:val="left"/>
        <w:rPr>
          <w:sz w:val="22"/>
        </w:rPr>
      </w:pPr>
      <w:r>
        <w:rPr>
          <w:sz w:val="22"/>
        </w:rPr>
        <w:t>STOCK OWNERSHIP</w:t>
      </w:r>
      <w:r>
        <w:rPr>
          <w:spacing w:val="-9"/>
          <w:sz w:val="22"/>
        </w:rPr>
        <w:t> </w:t>
      </w:r>
      <w:r>
        <w:rPr>
          <w:sz w:val="22"/>
        </w:rPr>
        <w:t>GUIDELINES</w:t>
      </w:r>
    </w:p>
    <w:p>
      <w:pPr>
        <w:pStyle w:val="BodyText"/>
        <w:spacing w:before="7"/>
        <w:rPr>
          <w:sz w:val="19"/>
        </w:rPr>
      </w:pPr>
    </w:p>
    <w:p>
      <w:pPr>
        <w:pStyle w:val="BodyText"/>
        <w:spacing w:line="276" w:lineRule="auto"/>
        <w:ind w:left="120" w:right="282"/>
      </w:pPr>
      <w:r>
        <w:rPr/>
        <w:t>Because a significant ownership stake leads to a stronger alignment of interests between directors and stockholders, each director is required to own a meaningful amount of Company stock, as specified in the Director Compensation Plan and the Directors Stock Option Plan.</w:t>
      </w:r>
    </w:p>
    <w:p>
      <w:pPr>
        <w:pStyle w:val="BodyText"/>
        <w:spacing w:before="3"/>
        <w:rPr>
          <w:sz w:val="16"/>
        </w:rPr>
      </w:pPr>
    </w:p>
    <w:p>
      <w:pPr>
        <w:pStyle w:val="BodyText"/>
        <w:ind w:left="120"/>
      </w:pPr>
      <w:r>
        <w:rPr/>
        <w:t>Exceptions to this requirement may be made by the Board under special circumstances.</w:t>
      </w:r>
    </w:p>
    <w:p>
      <w:pPr>
        <w:pStyle w:val="BodyText"/>
      </w:pPr>
    </w:p>
    <w:p>
      <w:pPr>
        <w:pStyle w:val="BodyText"/>
      </w:pPr>
    </w:p>
    <w:p>
      <w:pPr>
        <w:pStyle w:val="BodyText"/>
        <w:spacing w:before="3"/>
        <w:rPr>
          <w:sz w:val="17"/>
        </w:rPr>
      </w:pPr>
    </w:p>
    <w:p>
      <w:pPr>
        <w:pStyle w:val="ListParagraph"/>
        <w:numPr>
          <w:ilvl w:val="0"/>
          <w:numId w:val="1"/>
        </w:numPr>
        <w:tabs>
          <w:tab w:pos="840" w:val="left" w:leader="none"/>
          <w:tab w:pos="841" w:val="left" w:leader="none"/>
        </w:tabs>
        <w:spacing w:line="240" w:lineRule="auto" w:before="0" w:after="0"/>
        <w:ind w:left="840" w:right="0" w:hanging="720"/>
        <w:jc w:val="left"/>
        <w:rPr>
          <w:sz w:val="22"/>
        </w:rPr>
      </w:pPr>
      <w:r>
        <w:rPr>
          <w:sz w:val="22"/>
        </w:rPr>
        <w:t>SUCCESSION AND MANAGEMENT</w:t>
      </w:r>
      <w:r>
        <w:rPr>
          <w:spacing w:val="-14"/>
          <w:sz w:val="22"/>
        </w:rPr>
        <w:t> </w:t>
      </w:r>
      <w:r>
        <w:rPr>
          <w:sz w:val="22"/>
        </w:rPr>
        <w:t>DEVELOPMENT</w:t>
      </w:r>
    </w:p>
    <w:p>
      <w:pPr>
        <w:pStyle w:val="BodyText"/>
        <w:spacing w:before="7"/>
        <w:rPr>
          <w:sz w:val="19"/>
        </w:rPr>
      </w:pPr>
    </w:p>
    <w:p>
      <w:pPr>
        <w:pStyle w:val="BodyText"/>
        <w:spacing w:line="276" w:lineRule="auto"/>
        <w:ind w:left="120" w:right="384"/>
      </w:pPr>
      <w:r>
        <w:rPr/>
        <w:t>The CEO reports annually to the Board on the Company's program for succession and management development. The Board, in collaboration with the CEO, plans for succession to the position of CEO as well as certain other senior management positions.  The Board and the</w:t>
      </w:r>
    </w:p>
    <w:p>
      <w:pPr>
        <w:pStyle w:val="BodyText"/>
      </w:pPr>
    </w:p>
    <w:p>
      <w:pPr>
        <w:pStyle w:val="BodyText"/>
      </w:pPr>
    </w:p>
    <w:p>
      <w:pPr>
        <w:pStyle w:val="BodyText"/>
        <w:spacing w:line="276" w:lineRule="auto" w:before="170"/>
        <w:ind w:left="120" w:right="132"/>
      </w:pPr>
      <w:r>
        <w:rPr/>
        <w:t>Compensation Committee periodically review the Company's succession plans regarding the selection of individuals to fill these positions.</w:t>
      </w:r>
    </w:p>
    <w:p>
      <w:pPr>
        <w:pStyle w:val="BodyText"/>
      </w:pPr>
    </w:p>
    <w:p>
      <w:pPr>
        <w:pStyle w:val="BodyText"/>
      </w:pPr>
    </w:p>
    <w:p>
      <w:pPr>
        <w:pStyle w:val="ListParagraph"/>
        <w:numPr>
          <w:ilvl w:val="0"/>
          <w:numId w:val="1"/>
        </w:numPr>
        <w:tabs>
          <w:tab w:pos="840" w:val="left" w:leader="none"/>
          <w:tab w:pos="841" w:val="left" w:leader="none"/>
        </w:tabs>
        <w:spacing w:line="240" w:lineRule="auto" w:before="170" w:after="0"/>
        <w:ind w:left="840" w:right="0" w:hanging="720"/>
        <w:jc w:val="left"/>
        <w:rPr>
          <w:sz w:val="22"/>
        </w:rPr>
      </w:pPr>
      <w:r>
        <w:rPr>
          <w:sz w:val="22"/>
        </w:rPr>
        <w:t>FORMAL EVALUATION OF CEO AND OTHER EXECUTIVE</w:t>
      </w:r>
      <w:r>
        <w:rPr>
          <w:spacing w:val="-18"/>
          <w:sz w:val="22"/>
        </w:rPr>
        <w:t> </w:t>
      </w:r>
      <w:r>
        <w:rPr>
          <w:sz w:val="22"/>
        </w:rPr>
        <w:t>OFFICERS</w:t>
      </w:r>
    </w:p>
    <w:p>
      <w:pPr>
        <w:pStyle w:val="BodyText"/>
        <w:spacing w:before="7"/>
        <w:rPr>
          <w:sz w:val="19"/>
        </w:rPr>
      </w:pPr>
    </w:p>
    <w:p>
      <w:pPr>
        <w:pStyle w:val="BodyText"/>
        <w:spacing w:line="276" w:lineRule="auto"/>
        <w:ind w:left="119" w:right="129"/>
      </w:pPr>
      <w:r>
        <w:rPr/>
        <w:t>The Compensation Committee is responsible for setting annual and long-term performance goals for the CEO and for evaluating his performance against those goals.  The results of the evaluation are shared with the CEO and used by the Compensation Committee in considering his compensation.</w:t>
      </w:r>
    </w:p>
    <w:p>
      <w:pPr>
        <w:spacing w:after="0" w:line="276" w:lineRule="auto"/>
        <w:sectPr>
          <w:pgSz w:w="12240" w:h="15840"/>
          <w:pgMar w:header="0" w:footer="1389" w:top="1400" w:bottom="1580" w:left="1320" w:right="1320"/>
        </w:sectPr>
      </w:pPr>
    </w:p>
    <w:p>
      <w:pPr>
        <w:pStyle w:val="BodyText"/>
        <w:spacing w:line="276" w:lineRule="auto" w:before="39"/>
        <w:ind w:left="120" w:right="287"/>
      </w:pPr>
      <w:r>
        <w:rPr/>
        <w:t>The Compensation Committee also is responsible for reviewing and approving annual and long- term performance goals for other executive officers of the Company. The Committee, with the CEO, reviews the performance of these executive officers against the goals and sets the executive officers' compensation.</w:t>
      </w:r>
    </w:p>
    <w:p>
      <w:pPr>
        <w:pStyle w:val="BodyText"/>
      </w:pPr>
    </w:p>
    <w:p>
      <w:pPr>
        <w:pStyle w:val="BodyText"/>
      </w:pPr>
    </w:p>
    <w:p>
      <w:pPr>
        <w:pStyle w:val="ListParagraph"/>
        <w:numPr>
          <w:ilvl w:val="0"/>
          <w:numId w:val="1"/>
        </w:numPr>
        <w:tabs>
          <w:tab w:pos="839" w:val="left" w:leader="none"/>
          <w:tab w:pos="841" w:val="left" w:leader="none"/>
        </w:tabs>
        <w:spacing w:line="240" w:lineRule="auto" w:before="171" w:after="0"/>
        <w:ind w:left="840" w:right="0" w:hanging="720"/>
        <w:jc w:val="left"/>
        <w:rPr>
          <w:sz w:val="22"/>
        </w:rPr>
      </w:pPr>
      <w:r>
        <w:rPr>
          <w:sz w:val="22"/>
        </w:rPr>
        <w:t>DIRECTOR ORIENTATION AND CONTINUING</w:t>
      </w:r>
      <w:r>
        <w:rPr>
          <w:spacing w:val="-16"/>
          <w:sz w:val="22"/>
        </w:rPr>
        <w:t> </w:t>
      </w:r>
      <w:r>
        <w:rPr>
          <w:sz w:val="22"/>
        </w:rPr>
        <w:t>EDUCATION</w:t>
      </w:r>
    </w:p>
    <w:p>
      <w:pPr>
        <w:pStyle w:val="BodyText"/>
        <w:spacing w:before="8"/>
        <w:rPr>
          <w:sz w:val="19"/>
        </w:rPr>
      </w:pPr>
    </w:p>
    <w:p>
      <w:pPr>
        <w:pStyle w:val="BodyText"/>
        <w:spacing w:line="276" w:lineRule="auto"/>
        <w:ind w:left="120" w:right="544"/>
      </w:pPr>
      <w:r>
        <w:rPr/>
        <w:t>The Company has an orientation process for Board members that includes extensive materials and meetings with key management designed to familiarize new directors with the Company's business, operations, finances, and governance practices. The Board encourages directors to participate in education programs to assist them in performing their responsibilities as directors.</w:t>
      </w:r>
    </w:p>
    <w:p>
      <w:pPr>
        <w:pStyle w:val="BodyText"/>
      </w:pPr>
    </w:p>
    <w:p>
      <w:pPr>
        <w:pStyle w:val="BodyText"/>
      </w:pPr>
    </w:p>
    <w:p>
      <w:pPr>
        <w:pStyle w:val="ListParagraph"/>
        <w:numPr>
          <w:ilvl w:val="0"/>
          <w:numId w:val="1"/>
        </w:numPr>
        <w:tabs>
          <w:tab w:pos="840" w:val="left" w:leader="none"/>
          <w:tab w:pos="841" w:val="left" w:leader="none"/>
        </w:tabs>
        <w:spacing w:line="240" w:lineRule="auto" w:before="171" w:after="0"/>
        <w:ind w:left="840" w:right="0" w:hanging="720"/>
        <w:jc w:val="left"/>
        <w:rPr>
          <w:sz w:val="22"/>
        </w:rPr>
      </w:pPr>
      <w:r>
        <w:rPr>
          <w:sz w:val="22"/>
        </w:rPr>
        <w:t>ANNUAL PERFORMANCE</w:t>
      </w:r>
      <w:r>
        <w:rPr>
          <w:spacing w:val="-9"/>
          <w:sz w:val="22"/>
        </w:rPr>
        <w:t> </w:t>
      </w:r>
      <w:r>
        <w:rPr>
          <w:sz w:val="22"/>
        </w:rPr>
        <w:t>EVALUATION</w:t>
      </w:r>
    </w:p>
    <w:p>
      <w:pPr>
        <w:pStyle w:val="BodyText"/>
        <w:spacing w:before="7"/>
        <w:rPr>
          <w:sz w:val="19"/>
        </w:rPr>
      </w:pPr>
    </w:p>
    <w:p>
      <w:pPr>
        <w:pStyle w:val="BodyText"/>
        <w:spacing w:line="276" w:lineRule="auto" w:before="1"/>
        <w:ind w:left="120" w:right="516"/>
      </w:pPr>
      <w:r>
        <w:rPr/>
        <w:t>The Board and each of its committees conduct annual self-evaluations to assess their effectiveness. Individual directors are also evaluated by the Board. In connection with its self- evaluation, each committee reviews its charter. The Governance and Nominating Committee coordinates the Board’s self-evaluation.</w:t>
      </w:r>
    </w:p>
    <w:p>
      <w:pPr>
        <w:pStyle w:val="BodyText"/>
      </w:pPr>
    </w:p>
    <w:p>
      <w:pPr>
        <w:pStyle w:val="BodyText"/>
      </w:pPr>
    </w:p>
    <w:p>
      <w:pPr>
        <w:pStyle w:val="ListParagraph"/>
        <w:numPr>
          <w:ilvl w:val="0"/>
          <w:numId w:val="1"/>
        </w:numPr>
        <w:tabs>
          <w:tab w:pos="839" w:val="left" w:leader="none"/>
          <w:tab w:pos="841" w:val="left" w:leader="none"/>
        </w:tabs>
        <w:spacing w:line="240" w:lineRule="auto" w:before="171" w:after="0"/>
        <w:ind w:left="840" w:right="0" w:hanging="720"/>
        <w:jc w:val="left"/>
        <w:rPr>
          <w:sz w:val="22"/>
        </w:rPr>
      </w:pPr>
      <w:r>
        <w:rPr>
          <w:sz w:val="22"/>
        </w:rPr>
        <w:t>STRUCTURE AND FUNCTIONING OF</w:t>
      </w:r>
      <w:r>
        <w:rPr>
          <w:spacing w:val="-13"/>
          <w:sz w:val="22"/>
        </w:rPr>
        <w:t> </w:t>
      </w:r>
      <w:r>
        <w:rPr>
          <w:sz w:val="22"/>
        </w:rPr>
        <w:t>COMMITTEES</w:t>
      </w:r>
    </w:p>
    <w:p>
      <w:pPr>
        <w:pStyle w:val="BodyText"/>
      </w:pPr>
    </w:p>
    <w:p>
      <w:pPr>
        <w:pStyle w:val="BodyText"/>
      </w:pPr>
    </w:p>
    <w:p>
      <w:pPr>
        <w:pStyle w:val="BodyText"/>
        <w:spacing w:before="3"/>
        <w:rPr>
          <w:sz w:val="17"/>
        </w:rPr>
      </w:pPr>
    </w:p>
    <w:p>
      <w:pPr>
        <w:pStyle w:val="BodyText"/>
        <w:ind w:left="120"/>
      </w:pPr>
      <w:r>
        <w:rPr/>
        <w:t>Number, Structure and Independence of Committees</w:t>
      </w:r>
    </w:p>
    <w:p>
      <w:pPr>
        <w:pStyle w:val="BodyText"/>
      </w:pPr>
    </w:p>
    <w:p>
      <w:pPr>
        <w:pStyle w:val="BodyText"/>
      </w:pPr>
    </w:p>
    <w:p>
      <w:pPr>
        <w:pStyle w:val="BodyText"/>
        <w:spacing w:before="3"/>
        <w:rPr>
          <w:sz w:val="17"/>
        </w:rPr>
      </w:pPr>
    </w:p>
    <w:p>
      <w:pPr>
        <w:pStyle w:val="BodyText"/>
        <w:spacing w:line="276" w:lineRule="auto"/>
        <w:ind w:left="119" w:right="126"/>
      </w:pPr>
      <w:r>
        <w:rPr/>
        <w:t>The By-laws of the Company enable the Board of Directors, by majority vote, to form committees for any purpose and to delegate to such committees such power and authority as the Board deems appropriate. Currently the Board's standing committees are the Audit Committee, the Governance and Nominating Committee, the Compensation Committee, the Finance and Risk Management Committee, the Nuclear Oversight Committee and Nuclear Oversight Subcommittee. The Audit Committee, the Governance and Nominating and the Compensation Committee are made up solely of independent directors. In addition, directors who serve on the Audit Committee and Compensation Committee must be "independent" within the meaning of the applicable securities market independence criteria for audit committee and compensation committee members, respectively. Additionally, directors who serve on the Compensation Committee must qualify as "non-employee directors" for purposes of Rule 16b-3 under the Securities Exchange Act of 1934, as amended, and as "outside directors" for purposes of Section 162(m) of the Internal Revenue</w:t>
      </w:r>
      <w:r>
        <w:rPr>
          <w:spacing w:val="-13"/>
        </w:rPr>
        <w:t> </w:t>
      </w:r>
      <w:r>
        <w:rPr/>
        <w:t>Code.</w:t>
      </w:r>
    </w:p>
    <w:p>
      <w:pPr>
        <w:spacing w:after="0" w:line="276" w:lineRule="auto"/>
        <w:sectPr>
          <w:pgSz w:w="12240" w:h="15840"/>
          <w:pgMar w:header="0" w:footer="1389" w:top="1400" w:bottom="1580" w:left="1320" w:right="1320"/>
        </w:sectPr>
      </w:pPr>
    </w:p>
    <w:p>
      <w:pPr>
        <w:pStyle w:val="BodyText"/>
        <w:rPr>
          <w:sz w:val="20"/>
        </w:rPr>
      </w:pPr>
    </w:p>
    <w:p>
      <w:pPr>
        <w:pStyle w:val="BodyText"/>
        <w:spacing w:before="8"/>
        <w:rPr>
          <w:sz w:val="16"/>
        </w:rPr>
      </w:pPr>
    </w:p>
    <w:p>
      <w:pPr>
        <w:pStyle w:val="BodyText"/>
        <w:spacing w:line="276" w:lineRule="auto"/>
        <w:ind w:left="119" w:right="113"/>
      </w:pPr>
      <w:r>
        <w:rPr/>
        <w:t>The Board may also establish and maintain other committees of the Board from time to time as it deems necessary and appropriate, with such power and authority as the Board may determine.</w:t>
      </w:r>
    </w:p>
    <w:p>
      <w:pPr>
        <w:pStyle w:val="BodyText"/>
      </w:pPr>
    </w:p>
    <w:p>
      <w:pPr>
        <w:pStyle w:val="BodyText"/>
      </w:pPr>
    </w:p>
    <w:p>
      <w:pPr>
        <w:pStyle w:val="BodyText"/>
        <w:spacing w:before="171"/>
        <w:ind w:left="120"/>
      </w:pPr>
      <w:r>
        <w:rPr/>
        <w:t>Assignment and Rotation of Committee Members</w:t>
      </w:r>
    </w:p>
    <w:p>
      <w:pPr>
        <w:pStyle w:val="BodyText"/>
      </w:pPr>
    </w:p>
    <w:p>
      <w:pPr>
        <w:pStyle w:val="BodyText"/>
      </w:pPr>
    </w:p>
    <w:p>
      <w:pPr>
        <w:pStyle w:val="BodyText"/>
        <w:spacing w:before="4"/>
        <w:rPr>
          <w:sz w:val="17"/>
        </w:rPr>
      </w:pPr>
    </w:p>
    <w:p>
      <w:pPr>
        <w:pStyle w:val="BodyText"/>
        <w:spacing w:line="273" w:lineRule="auto"/>
        <w:ind w:left="120" w:right="765"/>
      </w:pPr>
      <w:r>
        <w:rPr/>
        <w:t>The Board is responsible for determining committee size, structure, composition and functioning. Committee members are appointed by the full Board.  Committee chairmen are elected by the</w:t>
      </w:r>
    </w:p>
    <w:p>
      <w:pPr>
        <w:pStyle w:val="BodyText"/>
      </w:pPr>
    </w:p>
    <w:p>
      <w:pPr>
        <w:pStyle w:val="BodyText"/>
      </w:pPr>
    </w:p>
    <w:p>
      <w:pPr>
        <w:pStyle w:val="BodyText"/>
        <w:spacing w:line="276" w:lineRule="auto" w:before="173"/>
        <w:ind w:left="120" w:right="993"/>
      </w:pPr>
      <w:r>
        <w:rPr/>
        <w:t>Board. It is the policy of the Board that consideration be given to rotating committee members periodically, but the Board does not believe that rotation should be mandated as a policy.</w:t>
      </w:r>
    </w:p>
    <w:p>
      <w:pPr>
        <w:pStyle w:val="BodyText"/>
      </w:pPr>
    </w:p>
    <w:p>
      <w:pPr>
        <w:pStyle w:val="BodyText"/>
      </w:pPr>
    </w:p>
    <w:p>
      <w:pPr>
        <w:pStyle w:val="BodyText"/>
        <w:spacing w:before="170"/>
        <w:ind w:left="120"/>
      </w:pPr>
      <w:r>
        <w:rPr/>
        <w:t>Responsibilities</w:t>
      </w:r>
    </w:p>
    <w:p>
      <w:pPr>
        <w:pStyle w:val="BodyText"/>
      </w:pPr>
    </w:p>
    <w:p>
      <w:pPr>
        <w:pStyle w:val="BodyText"/>
      </w:pPr>
    </w:p>
    <w:p>
      <w:pPr>
        <w:pStyle w:val="BodyText"/>
        <w:spacing w:before="3"/>
        <w:rPr>
          <w:sz w:val="17"/>
        </w:rPr>
      </w:pPr>
    </w:p>
    <w:p>
      <w:pPr>
        <w:pStyle w:val="BodyText"/>
        <w:spacing w:line="276" w:lineRule="auto"/>
        <w:ind w:left="120" w:right="139"/>
      </w:pPr>
      <w:r>
        <w:rPr/>
        <w:t>Each committee operates under a written charter that sets forth the purposes, goals and responsibilities of the committee as well as qualifications for committee membership. Committees report regularly to the full Board with respect to their activities. Each committee has the authority to retain outside advisors as it determines appropriate to assist it in the performance of its functions.</w:t>
      </w:r>
    </w:p>
    <w:p>
      <w:pPr>
        <w:pStyle w:val="BodyText"/>
      </w:pPr>
    </w:p>
    <w:p>
      <w:pPr>
        <w:pStyle w:val="BodyText"/>
      </w:pPr>
    </w:p>
    <w:p>
      <w:pPr>
        <w:pStyle w:val="BodyText"/>
        <w:spacing w:before="171"/>
        <w:ind w:left="120"/>
      </w:pPr>
      <w:r>
        <w:rPr/>
        <w:t>Meetings and Agendas</w:t>
      </w:r>
    </w:p>
    <w:p>
      <w:pPr>
        <w:pStyle w:val="BodyText"/>
      </w:pPr>
    </w:p>
    <w:p>
      <w:pPr>
        <w:pStyle w:val="BodyText"/>
      </w:pPr>
    </w:p>
    <w:p>
      <w:pPr>
        <w:pStyle w:val="BodyText"/>
        <w:spacing w:before="4"/>
        <w:rPr>
          <w:sz w:val="17"/>
        </w:rPr>
      </w:pPr>
    </w:p>
    <w:p>
      <w:pPr>
        <w:pStyle w:val="BodyText"/>
        <w:spacing w:line="276" w:lineRule="auto"/>
        <w:ind w:left="119" w:right="113"/>
      </w:pPr>
      <w:r>
        <w:rPr/>
        <w:t>The chairman of each committee determines the frequency, length and agenda of the committee's meetings. Materials related to agenda items are provided to committee members sufficiently in advance of meetings where necessary to allow the members to review and prepare for discussion of the items at the meeting. In some cases, due to timing or the sensitive nature of an issue, materials are presented only at the committee's meeting.</w:t>
      </w:r>
    </w:p>
    <w:p>
      <w:pPr>
        <w:pStyle w:val="BodyText"/>
      </w:pPr>
    </w:p>
    <w:p>
      <w:pPr>
        <w:pStyle w:val="BodyText"/>
      </w:pPr>
    </w:p>
    <w:p>
      <w:pPr>
        <w:pStyle w:val="BodyText"/>
        <w:spacing w:before="171"/>
        <w:ind w:left="120"/>
      </w:pPr>
      <w:r>
        <w:rPr/>
        <w:t>Annual Performance Evaluation</w:t>
      </w:r>
    </w:p>
    <w:p>
      <w:pPr>
        <w:spacing w:after="0"/>
        <w:sectPr>
          <w:pgSz w:w="12240" w:h="15840"/>
          <w:pgMar w:header="0" w:footer="1389" w:top="1500" w:bottom="1580" w:left="1320" w:right="1320"/>
        </w:sectPr>
      </w:pPr>
    </w:p>
    <w:p>
      <w:pPr>
        <w:pStyle w:val="BodyText"/>
        <w:spacing w:line="276" w:lineRule="auto" w:before="39"/>
        <w:ind w:left="120" w:right="270"/>
      </w:pPr>
      <w:r>
        <w:rPr/>
        <w:t>The Audit Committee, the Governance and Nominating Committee, the Compensation Committee, the Finance and Risk Management Committee and the Nuclear Oversight Subcommittee each conduct an annual self-evaluation to assess their performance against best practices standards.</w:t>
      </w:r>
    </w:p>
    <w:p>
      <w:pPr>
        <w:pStyle w:val="BodyText"/>
      </w:pPr>
    </w:p>
    <w:p>
      <w:pPr>
        <w:pStyle w:val="BodyText"/>
      </w:pPr>
    </w:p>
    <w:p>
      <w:pPr>
        <w:pStyle w:val="ListParagraph"/>
        <w:numPr>
          <w:ilvl w:val="0"/>
          <w:numId w:val="1"/>
        </w:numPr>
        <w:tabs>
          <w:tab w:pos="839" w:val="left" w:leader="none"/>
          <w:tab w:pos="841" w:val="left" w:leader="none"/>
        </w:tabs>
        <w:spacing w:line="240" w:lineRule="auto" w:before="171" w:after="0"/>
        <w:ind w:left="840" w:right="0" w:hanging="720"/>
        <w:jc w:val="left"/>
        <w:rPr>
          <w:sz w:val="22"/>
        </w:rPr>
      </w:pPr>
      <w:r>
        <w:rPr>
          <w:sz w:val="22"/>
        </w:rPr>
        <w:t>COMMUNICATIONS WITH</w:t>
      </w:r>
      <w:r>
        <w:rPr>
          <w:spacing w:val="-9"/>
          <w:sz w:val="22"/>
        </w:rPr>
        <w:t> </w:t>
      </w:r>
      <w:r>
        <w:rPr>
          <w:sz w:val="22"/>
        </w:rPr>
        <w:t>DIRECTORS</w:t>
      </w:r>
    </w:p>
    <w:p>
      <w:pPr>
        <w:pStyle w:val="BodyText"/>
      </w:pPr>
    </w:p>
    <w:p>
      <w:pPr>
        <w:pStyle w:val="BodyText"/>
      </w:pPr>
    </w:p>
    <w:p>
      <w:pPr>
        <w:pStyle w:val="BodyText"/>
        <w:spacing w:before="4"/>
        <w:rPr>
          <w:sz w:val="17"/>
        </w:rPr>
      </w:pPr>
    </w:p>
    <w:p>
      <w:pPr>
        <w:pStyle w:val="BodyText"/>
        <w:spacing w:line="276" w:lineRule="auto"/>
        <w:ind w:left="120" w:right="571"/>
      </w:pPr>
      <w:r>
        <w:rPr/>
        <w:t>As noted above, the Chairman (or if the Chairman is a member of management, a designated non- management director) has responsibility for chairing executive sessions of the Company's non- management directors. Stockholders and others may communicate with the Chairman or with our directors as a group by writing to them c/o the Corporate Secretary, NRG Energy, Inc., 804 Carnegie Center, Princeton, New Jersey 08540.</w:t>
      </w:r>
    </w:p>
    <w:p>
      <w:pPr>
        <w:pStyle w:val="BodyText"/>
      </w:pPr>
    </w:p>
    <w:p>
      <w:pPr>
        <w:pStyle w:val="BodyText"/>
      </w:pPr>
    </w:p>
    <w:p>
      <w:pPr>
        <w:pStyle w:val="ListParagraph"/>
        <w:numPr>
          <w:ilvl w:val="0"/>
          <w:numId w:val="1"/>
        </w:numPr>
        <w:tabs>
          <w:tab w:pos="839" w:val="left" w:leader="none"/>
          <w:tab w:pos="841" w:val="left" w:leader="none"/>
        </w:tabs>
        <w:spacing w:line="240" w:lineRule="auto" w:before="171" w:after="0"/>
        <w:ind w:left="840" w:right="0" w:hanging="720"/>
        <w:jc w:val="left"/>
        <w:rPr>
          <w:sz w:val="22"/>
        </w:rPr>
      </w:pPr>
      <w:r>
        <w:rPr>
          <w:sz w:val="22"/>
        </w:rPr>
        <w:t>PERIODIC REVIEW OF</w:t>
      </w:r>
      <w:r>
        <w:rPr>
          <w:spacing w:val="-11"/>
          <w:sz w:val="22"/>
        </w:rPr>
        <w:t> </w:t>
      </w:r>
      <w:r>
        <w:rPr>
          <w:sz w:val="22"/>
        </w:rPr>
        <w:t>GUIDELINES</w:t>
      </w:r>
    </w:p>
    <w:p>
      <w:pPr>
        <w:pStyle w:val="BodyText"/>
      </w:pPr>
    </w:p>
    <w:p>
      <w:pPr>
        <w:pStyle w:val="BodyText"/>
      </w:pPr>
    </w:p>
    <w:p>
      <w:pPr>
        <w:pStyle w:val="BodyText"/>
        <w:spacing w:before="3"/>
        <w:rPr>
          <w:sz w:val="17"/>
        </w:rPr>
      </w:pPr>
    </w:p>
    <w:p>
      <w:pPr>
        <w:pStyle w:val="BodyText"/>
        <w:spacing w:line="276" w:lineRule="auto" w:before="1"/>
        <w:ind w:left="120" w:right="247"/>
      </w:pPr>
      <w:r>
        <w:rPr/>
        <w:t>These guidelines shall be reviewed periodically by the Governance and Nominating Committee and any amendments shall be presented to the Board for adoption.</w:t>
      </w:r>
    </w:p>
    <w:p>
      <w:pPr>
        <w:spacing w:after="0" w:line="276" w:lineRule="auto"/>
        <w:sectPr>
          <w:footerReference w:type="default" r:id="rId6"/>
          <w:pgSz w:w="12240" w:h="15840"/>
          <w:pgMar w:footer="1389" w:header="0" w:top="1400" w:bottom="1580" w:left="1320" w:right="1320"/>
        </w:sectPr>
      </w:pPr>
    </w:p>
    <w:p>
      <w:pPr>
        <w:pStyle w:val="BodyText"/>
        <w:rPr>
          <w:sz w:val="20"/>
        </w:rPr>
      </w:pPr>
    </w:p>
    <w:p>
      <w:pPr>
        <w:pStyle w:val="BodyText"/>
        <w:spacing w:before="8"/>
        <w:rPr>
          <w:sz w:val="16"/>
        </w:rPr>
      </w:pPr>
    </w:p>
    <w:p>
      <w:pPr>
        <w:pStyle w:val="BodyText"/>
        <w:ind w:left="100"/>
      </w:pPr>
      <w:r>
        <w:rPr/>
        <w:t>Exhibit A-17 “Secretary of State”</w:t>
      </w:r>
    </w:p>
    <w:p>
      <w:pPr>
        <w:pStyle w:val="BodyText"/>
        <w:rPr>
          <w:sz w:val="20"/>
        </w:rPr>
      </w:pPr>
    </w:p>
    <w:p>
      <w:pPr>
        <w:pStyle w:val="BodyText"/>
        <w:rPr>
          <w:sz w:val="20"/>
        </w:rPr>
      </w:pPr>
    </w:p>
    <w:p>
      <w:pPr>
        <w:pStyle w:val="BodyText"/>
        <w:spacing w:before="2"/>
        <w:rPr>
          <w:sz w:val="18"/>
        </w:rPr>
      </w:pPr>
      <w:r>
        <w:rPr/>
        <w:drawing>
          <wp:anchor distT="0" distB="0" distL="0" distR="0" allowOverlap="1" layoutInCell="1" locked="0" behindDoc="0" simplePos="0" relativeHeight="0">
            <wp:simplePos x="0" y="0"/>
            <wp:positionH relativeFrom="page">
              <wp:posOffset>914400</wp:posOffset>
            </wp:positionH>
            <wp:positionV relativeFrom="paragraph">
              <wp:posOffset>165709</wp:posOffset>
            </wp:positionV>
            <wp:extent cx="5900541" cy="549897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5900541" cy="5498973"/>
                    </a:xfrm>
                    <a:prstGeom prst="rect">
                      <a:avLst/>
                    </a:prstGeom>
                  </pic:spPr>
                </pic:pic>
              </a:graphicData>
            </a:graphic>
          </wp:anchor>
        </w:drawing>
      </w:r>
    </w:p>
    <w:p>
      <w:pPr>
        <w:spacing w:after="0"/>
        <w:rPr>
          <w:sz w:val="18"/>
        </w:rPr>
        <w:sectPr>
          <w:footerReference w:type="default" r:id="rId7"/>
          <w:pgSz w:w="12240" w:h="15840"/>
          <w:pgMar w:footer="1389" w:header="0" w:top="1500" w:bottom="1580" w:left="1340" w:right="1320"/>
          <w:pgNumType w:start="11"/>
        </w:sectPr>
      </w:pPr>
    </w:p>
    <w:p>
      <w:pPr>
        <w:pStyle w:val="BodyText"/>
        <w:spacing w:before="39"/>
        <w:ind w:left="100"/>
      </w:pPr>
      <w:r>
        <w:rPr/>
        <w:t>Exhibit B-1 “Jurisdictions of Operations”</w:t>
      </w:r>
    </w:p>
    <w:p>
      <w:pPr>
        <w:pStyle w:val="BodyText"/>
        <w:spacing w:before="8"/>
        <w:rPr>
          <w:sz w:val="19"/>
        </w:rPr>
      </w:pPr>
    </w:p>
    <w:tbl>
      <w:tblPr>
        <w:tblW w:w="0" w:type="auto"/>
        <w:jc w:val="left"/>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7"/>
        <w:gridCol w:w="2860"/>
        <w:gridCol w:w="3871"/>
      </w:tblGrid>
      <w:tr>
        <w:trPr>
          <w:trHeight w:val="338" w:hRule="exact"/>
        </w:trPr>
        <w:tc>
          <w:tcPr>
            <w:tcW w:w="757" w:type="dxa"/>
            <w:tcBorders>
              <w:top w:val="nil"/>
              <w:left w:val="nil"/>
              <w:bottom w:val="nil"/>
              <w:right w:val="nil"/>
            </w:tcBorders>
            <w:shd w:val="clear" w:color="auto" w:fill="000000"/>
          </w:tcPr>
          <w:p>
            <w:pPr/>
          </w:p>
        </w:tc>
        <w:tc>
          <w:tcPr>
            <w:tcW w:w="2860" w:type="dxa"/>
            <w:tcBorders>
              <w:top w:val="nil"/>
              <w:left w:val="nil"/>
              <w:bottom w:val="nil"/>
              <w:right w:val="nil"/>
            </w:tcBorders>
            <w:shd w:val="clear" w:color="auto" w:fill="000000"/>
          </w:tcPr>
          <w:p>
            <w:pPr>
              <w:pStyle w:val="TableParagraph"/>
              <w:spacing w:before="18"/>
              <w:ind w:left="318"/>
              <w:rPr>
                <w:rFonts w:ascii="Calibri"/>
                <w:b/>
                <w:sz w:val="22"/>
              </w:rPr>
            </w:pPr>
            <w:r>
              <w:rPr>
                <w:rFonts w:ascii="Calibri"/>
                <w:b/>
                <w:color w:val="FFFFFF"/>
                <w:sz w:val="22"/>
              </w:rPr>
              <w:t>Electric Broker License</w:t>
            </w:r>
          </w:p>
        </w:tc>
        <w:tc>
          <w:tcPr>
            <w:tcW w:w="3871" w:type="dxa"/>
            <w:tcBorders>
              <w:top w:val="nil"/>
              <w:left w:val="nil"/>
              <w:bottom w:val="nil"/>
              <w:right w:val="nil"/>
            </w:tcBorders>
            <w:shd w:val="clear" w:color="auto" w:fill="000000"/>
          </w:tcPr>
          <w:p>
            <w:pPr>
              <w:pStyle w:val="TableParagraph"/>
              <w:spacing w:before="18"/>
              <w:ind w:left="494"/>
              <w:rPr>
                <w:rFonts w:ascii="Calibri"/>
                <w:b/>
                <w:sz w:val="22"/>
              </w:rPr>
            </w:pPr>
            <w:r>
              <w:rPr>
                <w:rFonts w:ascii="Calibri"/>
                <w:b/>
                <w:color w:val="FFFFFF"/>
                <w:sz w:val="22"/>
              </w:rPr>
              <w:t>Natural Gas Broker License</w:t>
            </w:r>
          </w:p>
        </w:tc>
      </w:tr>
      <w:tr>
        <w:trPr>
          <w:trHeight w:val="312" w:hRule="exact"/>
        </w:trPr>
        <w:tc>
          <w:tcPr>
            <w:tcW w:w="757" w:type="dxa"/>
            <w:tcBorders>
              <w:top w:val="nil"/>
              <w:right w:val="nil"/>
            </w:tcBorders>
          </w:tcPr>
          <w:p>
            <w:pPr>
              <w:pStyle w:val="TableParagraph"/>
              <w:spacing w:before="1"/>
              <w:ind w:left="98"/>
              <w:rPr>
                <w:rFonts w:ascii="Calibri"/>
                <w:b/>
                <w:sz w:val="22"/>
              </w:rPr>
            </w:pPr>
            <w:r>
              <w:rPr>
                <w:rFonts w:ascii="Calibri"/>
                <w:b/>
                <w:sz w:val="22"/>
              </w:rPr>
              <w:t>CA</w:t>
            </w:r>
          </w:p>
        </w:tc>
        <w:tc>
          <w:tcPr>
            <w:tcW w:w="2860" w:type="dxa"/>
            <w:tcBorders>
              <w:top w:val="nil"/>
              <w:left w:val="nil"/>
              <w:right w:val="nil"/>
            </w:tcBorders>
          </w:tcPr>
          <w:p>
            <w:pPr>
              <w:pStyle w:val="TableParagraph"/>
              <w:spacing w:before="1"/>
              <w:ind w:left="318"/>
              <w:rPr>
                <w:rFonts w:ascii="Calibri"/>
                <w:sz w:val="22"/>
              </w:rPr>
            </w:pPr>
            <w:r>
              <w:rPr>
                <w:rFonts w:ascii="Calibri"/>
                <w:sz w:val="22"/>
              </w:rPr>
              <w:t>Not Required</w:t>
            </w:r>
          </w:p>
        </w:tc>
        <w:tc>
          <w:tcPr>
            <w:tcW w:w="3871" w:type="dxa"/>
            <w:tcBorders>
              <w:top w:val="nil"/>
              <w:left w:val="nil"/>
            </w:tcBorders>
          </w:tcPr>
          <w:p>
            <w:pPr>
              <w:pStyle w:val="TableParagraph"/>
              <w:spacing w:before="1"/>
              <w:ind w:left="494"/>
              <w:rPr>
                <w:rFonts w:ascii="Calibri"/>
                <w:sz w:val="22"/>
              </w:rPr>
            </w:pPr>
            <w:r>
              <w:rPr>
                <w:rFonts w:ascii="Calibri"/>
                <w:sz w:val="22"/>
              </w:rPr>
              <w:t>Not Required</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CT</w:t>
            </w:r>
          </w:p>
        </w:tc>
        <w:tc>
          <w:tcPr>
            <w:tcW w:w="2860" w:type="dxa"/>
            <w:tcBorders>
              <w:left w:val="nil"/>
              <w:right w:val="nil"/>
            </w:tcBorders>
          </w:tcPr>
          <w:p>
            <w:pPr>
              <w:pStyle w:val="TableParagraph"/>
              <w:spacing w:line="268" w:lineRule="exact"/>
              <w:ind w:left="318"/>
              <w:rPr>
                <w:rFonts w:ascii="Calibri"/>
                <w:sz w:val="22"/>
              </w:rPr>
            </w:pPr>
            <w:r>
              <w:rPr>
                <w:rFonts w:ascii="Calibri"/>
                <w:sz w:val="22"/>
              </w:rPr>
              <w:t>Not Required</w:t>
            </w:r>
          </w:p>
        </w:tc>
        <w:tc>
          <w:tcPr>
            <w:tcW w:w="3871" w:type="dxa"/>
            <w:tcBorders>
              <w:left w:val="nil"/>
            </w:tcBorders>
          </w:tcPr>
          <w:p>
            <w:pPr>
              <w:pStyle w:val="TableParagraph"/>
              <w:spacing w:line="268" w:lineRule="exact"/>
              <w:ind w:left="494"/>
              <w:rPr>
                <w:rFonts w:ascii="Calibri"/>
                <w:sz w:val="22"/>
              </w:rPr>
            </w:pPr>
            <w:r>
              <w:rPr>
                <w:rFonts w:ascii="Calibri"/>
                <w:sz w:val="22"/>
              </w:rPr>
              <w:t>Not Required</w:t>
            </w:r>
          </w:p>
        </w:tc>
      </w:tr>
      <w:tr>
        <w:trPr>
          <w:trHeight w:val="557" w:hRule="exact"/>
        </w:trPr>
        <w:tc>
          <w:tcPr>
            <w:tcW w:w="757" w:type="dxa"/>
            <w:tcBorders>
              <w:right w:val="nil"/>
            </w:tcBorders>
          </w:tcPr>
          <w:p>
            <w:pPr>
              <w:pStyle w:val="TableParagraph"/>
              <w:spacing w:line="268" w:lineRule="exact"/>
              <w:ind w:left="98"/>
              <w:rPr>
                <w:rFonts w:ascii="Calibri"/>
                <w:b/>
                <w:sz w:val="22"/>
              </w:rPr>
            </w:pPr>
            <w:r>
              <w:rPr>
                <w:rFonts w:ascii="Calibri"/>
                <w:b/>
                <w:sz w:val="22"/>
              </w:rPr>
              <w:t>DC</w:t>
            </w:r>
          </w:p>
        </w:tc>
        <w:tc>
          <w:tcPr>
            <w:tcW w:w="2860" w:type="dxa"/>
            <w:tcBorders>
              <w:left w:val="nil"/>
              <w:right w:val="nil"/>
            </w:tcBorders>
          </w:tcPr>
          <w:p>
            <w:pPr>
              <w:pStyle w:val="TableParagraph"/>
              <w:spacing w:line="268" w:lineRule="exact"/>
              <w:ind w:left="318"/>
              <w:rPr>
                <w:rFonts w:ascii="Calibri"/>
                <w:sz w:val="22"/>
              </w:rPr>
            </w:pPr>
            <w:r>
              <w:rPr>
                <w:rFonts w:ascii="Calibri"/>
                <w:sz w:val="22"/>
              </w:rPr>
              <w:t>Case #EA2014-06, Order</w:t>
            </w:r>
          </w:p>
          <w:p>
            <w:pPr>
              <w:pStyle w:val="TableParagraph"/>
              <w:ind w:left="318"/>
              <w:rPr>
                <w:rFonts w:ascii="Calibri"/>
                <w:sz w:val="22"/>
              </w:rPr>
            </w:pPr>
            <w:r>
              <w:rPr>
                <w:rFonts w:ascii="Calibri"/>
                <w:sz w:val="22"/>
              </w:rPr>
              <w:t>#17494</w:t>
            </w:r>
          </w:p>
        </w:tc>
        <w:tc>
          <w:tcPr>
            <w:tcW w:w="3871" w:type="dxa"/>
            <w:tcBorders>
              <w:left w:val="nil"/>
            </w:tcBorders>
          </w:tcPr>
          <w:p>
            <w:pP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DE</w:t>
            </w:r>
          </w:p>
        </w:tc>
        <w:tc>
          <w:tcPr>
            <w:tcW w:w="2860" w:type="dxa"/>
            <w:tcBorders>
              <w:left w:val="nil"/>
              <w:right w:val="nil"/>
            </w:tcBorders>
          </w:tcPr>
          <w:p>
            <w:pPr>
              <w:pStyle w:val="TableParagraph"/>
              <w:spacing w:line="268" w:lineRule="exact"/>
              <w:ind w:left="318"/>
              <w:rPr>
                <w:rFonts w:ascii="Calibri"/>
                <w:sz w:val="22"/>
              </w:rPr>
            </w:pPr>
            <w:r>
              <w:rPr>
                <w:rFonts w:ascii="Calibri"/>
                <w:sz w:val="22"/>
              </w:rPr>
              <w:t>Not Required</w:t>
            </w:r>
          </w:p>
        </w:tc>
        <w:tc>
          <w:tcPr>
            <w:tcW w:w="3871" w:type="dxa"/>
            <w:tcBorders>
              <w:left w:val="nil"/>
            </w:tcBorders>
          </w:tcPr>
          <w:p>
            <w:pPr>
              <w:pStyle w:val="TableParagraph"/>
              <w:spacing w:line="268" w:lineRule="exact"/>
              <w:ind w:left="494"/>
              <w:rPr>
                <w:rFonts w:ascii="Calibri"/>
                <w:sz w:val="22"/>
              </w:rPr>
            </w:pPr>
            <w:r>
              <w:rPr>
                <w:rFonts w:ascii="Calibri"/>
                <w:sz w:val="22"/>
              </w:rPr>
              <w:t>Not Required</w:t>
            </w:r>
          </w:p>
        </w:tc>
      </w:tr>
      <w:tr>
        <w:trPr>
          <w:trHeight w:val="322" w:hRule="exact"/>
        </w:trPr>
        <w:tc>
          <w:tcPr>
            <w:tcW w:w="757" w:type="dxa"/>
            <w:tcBorders>
              <w:right w:val="nil"/>
            </w:tcBorders>
          </w:tcPr>
          <w:p>
            <w:pPr>
              <w:pStyle w:val="TableParagraph"/>
              <w:spacing w:before="1"/>
              <w:ind w:left="98"/>
              <w:rPr>
                <w:rFonts w:ascii="Calibri"/>
                <w:b/>
                <w:sz w:val="22"/>
              </w:rPr>
            </w:pPr>
            <w:r>
              <w:rPr>
                <w:rFonts w:ascii="Calibri"/>
                <w:b/>
                <w:sz w:val="22"/>
              </w:rPr>
              <w:t>IL</w:t>
            </w:r>
          </w:p>
        </w:tc>
        <w:tc>
          <w:tcPr>
            <w:tcW w:w="2860" w:type="dxa"/>
            <w:tcBorders>
              <w:left w:val="nil"/>
              <w:right w:val="nil"/>
            </w:tcBorders>
          </w:tcPr>
          <w:p>
            <w:pPr>
              <w:pStyle w:val="TableParagraph"/>
              <w:spacing w:before="1"/>
              <w:ind w:left="318"/>
              <w:rPr>
                <w:rFonts w:ascii="Calibri"/>
                <w:sz w:val="22"/>
              </w:rPr>
            </w:pPr>
            <w:r>
              <w:rPr>
                <w:rFonts w:ascii="Calibri"/>
                <w:sz w:val="22"/>
              </w:rPr>
              <w:t>Order #14-0256</w:t>
            </w:r>
          </w:p>
        </w:tc>
        <w:tc>
          <w:tcPr>
            <w:tcW w:w="3871" w:type="dxa"/>
            <w:tcBorders>
              <w:left w:val="nil"/>
            </w:tcBorders>
          </w:tcPr>
          <w:p>
            <w:pPr>
              <w:pStyle w:val="TableParagraph"/>
              <w:spacing w:before="1"/>
              <w:ind w:left="494"/>
              <w:rPr>
                <w:rFonts w:ascii="Calibri"/>
                <w:sz w:val="22"/>
              </w:rPr>
            </w:pPr>
            <w:r>
              <w:rPr>
                <w:rFonts w:ascii="Calibri"/>
                <w:sz w:val="22"/>
              </w:rPr>
              <w:t>Order #14-0256</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MA</w:t>
            </w:r>
          </w:p>
        </w:tc>
        <w:tc>
          <w:tcPr>
            <w:tcW w:w="2860" w:type="dxa"/>
            <w:tcBorders>
              <w:left w:val="nil"/>
              <w:right w:val="nil"/>
            </w:tcBorders>
          </w:tcPr>
          <w:p>
            <w:pPr>
              <w:pStyle w:val="TableParagraph"/>
              <w:spacing w:line="268" w:lineRule="exact"/>
              <w:ind w:left="318"/>
              <w:rPr>
                <w:rFonts w:ascii="Calibri"/>
                <w:sz w:val="22"/>
              </w:rPr>
            </w:pPr>
            <w:r>
              <w:rPr>
                <w:rFonts w:ascii="Calibri"/>
                <w:sz w:val="22"/>
              </w:rPr>
              <w:t>EB-420</w:t>
            </w:r>
          </w:p>
        </w:tc>
        <w:tc>
          <w:tcPr>
            <w:tcW w:w="3871" w:type="dxa"/>
            <w:tcBorders>
              <w:left w:val="nil"/>
            </w:tcBorders>
          </w:tcPr>
          <w:p>
            <w:pPr>
              <w:pStyle w:val="TableParagraph"/>
              <w:spacing w:line="268" w:lineRule="exact"/>
              <w:ind w:left="494"/>
              <w:rPr>
                <w:rFonts w:ascii="Calibri"/>
                <w:sz w:val="22"/>
              </w:rPr>
            </w:pPr>
            <w:r>
              <w:rPr>
                <w:rFonts w:ascii="Calibri"/>
                <w:sz w:val="22"/>
              </w:rPr>
              <w:t>RA # 112</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MD</w:t>
            </w:r>
          </w:p>
        </w:tc>
        <w:tc>
          <w:tcPr>
            <w:tcW w:w="2860" w:type="dxa"/>
            <w:tcBorders>
              <w:left w:val="nil"/>
              <w:right w:val="nil"/>
            </w:tcBorders>
          </w:tcPr>
          <w:p>
            <w:pPr>
              <w:pStyle w:val="TableParagraph"/>
              <w:spacing w:line="268" w:lineRule="exact"/>
              <w:ind w:left="318"/>
              <w:rPr>
                <w:rFonts w:ascii="Calibri"/>
                <w:sz w:val="22"/>
              </w:rPr>
            </w:pPr>
            <w:r>
              <w:rPr>
                <w:rFonts w:ascii="Calibri"/>
                <w:sz w:val="22"/>
              </w:rPr>
              <w:t>IR-3319</w:t>
            </w:r>
          </w:p>
        </w:tc>
        <w:tc>
          <w:tcPr>
            <w:tcW w:w="3871" w:type="dxa"/>
            <w:tcBorders>
              <w:left w:val="nil"/>
            </w:tcBorders>
          </w:tcPr>
          <w:p>
            <w:pPr>
              <w:pStyle w:val="TableParagraph"/>
              <w:spacing w:line="268" w:lineRule="exact"/>
              <w:ind w:left="494"/>
              <w:rPr>
                <w:rFonts w:ascii="Calibri"/>
                <w:sz w:val="22"/>
              </w:rPr>
            </w:pPr>
            <w:r>
              <w:rPr>
                <w:rFonts w:ascii="Calibri"/>
                <w:sz w:val="22"/>
              </w:rPr>
              <w:t>IR-3320</w:t>
            </w:r>
          </w:p>
        </w:tc>
      </w:tr>
      <w:tr>
        <w:trPr>
          <w:trHeight w:val="322" w:hRule="exact"/>
        </w:trPr>
        <w:tc>
          <w:tcPr>
            <w:tcW w:w="757" w:type="dxa"/>
            <w:tcBorders>
              <w:right w:val="nil"/>
            </w:tcBorders>
          </w:tcPr>
          <w:p>
            <w:pPr>
              <w:pStyle w:val="TableParagraph"/>
              <w:spacing w:before="1"/>
              <w:ind w:left="98"/>
              <w:rPr>
                <w:rFonts w:ascii="Calibri"/>
                <w:b/>
                <w:sz w:val="22"/>
              </w:rPr>
            </w:pPr>
            <w:r>
              <w:rPr>
                <w:rFonts w:ascii="Calibri"/>
                <w:b/>
                <w:sz w:val="22"/>
              </w:rPr>
              <w:t>ME</w:t>
            </w:r>
          </w:p>
        </w:tc>
        <w:tc>
          <w:tcPr>
            <w:tcW w:w="2860" w:type="dxa"/>
            <w:tcBorders>
              <w:left w:val="nil"/>
              <w:right w:val="nil"/>
            </w:tcBorders>
          </w:tcPr>
          <w:p>
            <w:pPr>
              <w:pStyle w:val="TableParagraph"/>
              <w:spacing w:before="1"/>
              <w:ind w:left="318"/>
              <w:rPr>
                <w:rFonts w:ascii="Calibri"/>
                <w:sz w:val="22"/>
              </w:rPr>
            </w:pPr>
            <w:r>
              <w:rPr>
                <w:rFonts w:ascii="Calibri"/>
                <w:sz w:val="22"/>
              </w:rPr>
              <w:t>2016-00168</w:t>
            </w:r>
          </w:p>
        </w:tc>
        <w:tc>
          <w:tcPr>
            <w:tcW w:w="3871" w:type="dxa"/>
            <w:tcBorders>
              <w:left w:val="nil"/>
            </w:tcBorders>
          </w:tcPr>
          <w:p>
            <w:pPr>
              <w:pStyle w:val="TableParagraph"/>
              <w:spacing w:before="1"/>
              <w:ind w:left="494"/>
              <w:rPr>
                <w:rFonts w:ascii="Calibri"/>
                <w:sz w:val="22"/>
              </w:rPr>
            </w:pPr>
            <w:r>
              <w:rPr>
                <w:rFonts w:ascii="Calibri"/>
                <w:sz w:val="22"/>
              </w:rPr>
              <w:t>Not Required</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NH</w:t>
            </w:r>
          </w:p>
        </w:tc>
        <w:tc>
          <w:tcPr>
            <w:tcW w:w="2860" w:type="dxa"/>
            <w:tcBorders>
              <w:left w:val="nil"/>
              <w:right w:val="nil"/>
            </w:tcBorders>
          </w:tcPr>
          <w:p>
            <w:pPr>
              <w:pStyle w:val="TableParagraph"/>
              <w:spacing w:line="268" w:lineRule="exact"/>
              <w:ind w:left="318"/>
              <w:rPr>
                <w:rFonts w:ascii="Calibri"/>
                <w:sz w:val="22"/>
              </w:rPr>
            </w:pPr>
            <w:r>
              <w:rPr>
                <w:rFonts w:ascii="Calibri"/>
                <w:sz w:val="22"/>
              </w:rPr>
              <w:t>DM 16-149</w:t>
            </w:r>
          </w:p>
        </w:tc>
        <w:tc>
          <w:tcPr>
            <w:tcW w:w="3871" w:type="dxa"/>
            <w:tcBorders>
              <w:left w:val="nil"/>
            </w:tcBorders>
          </w:tcPr>
          <w:p>
            <w:pPr>
              <w:pStyle w:val="TableParagraph"/>
              <w:spacing w:line="268" w:lineRule="exact"/>
              <w:ind w:left="494"/>
              <w:rPr>
                <w:rFonts w:ascii="Calibri"/>
                <w:sz w:val="22"/>
              </w:rPr>
            </w:pPr>
            <w:r>
              <w:rPr>
                <w:rFonts w:ascii="Calibri"/>
                <w:sz w:val="22"/>
              </w:rPr>
              <w:t>N/A</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NJ</w:t>
            </w:r>
          </w:p>
        </w:tc>
        <w:tc>
          <w:tcPr>
            <w:tcW w:w="2860" w:type="dxa"/>
            <w:tcBorders>
              <w:left w:val="nil"/>
              <w:right w:val="nil"/>
            </w:tcBorders>
          </w:tcPr>
          <w:p>
            <w:pPr>
              <w:pStyle w:val="TableParagraph"/>
              <w:spacing w:line="268" w:lineRule="exact"/>
              <w:ind w:left="318"/>
              <w:rPr>
                <w:rFonts w:ascii="Calibri"/>
                <w:sz w:val="22"/>
              </w:rPr>
            </w:pPr>
            <w:r>
              <w:rPr>
                <w:rFonts w:ascii="Calibri"/>
                <w:sz w:val="22"/>
              </w:rPr>
              <w:t>EA-0293</w:t>
            </w:r>
          </w:p>
        </w:tc>
        <w:tc>
          <w:tcPr>
            <w:tcW w:w="3871" w:type="dxa"/>
            <w:tcBorders>
              <w:left w:val="nil"/>
            </w:tcBorders>
          </w:tcPr>
          <w:p>
            <w:pPr>
              <w:pStyle w:val="TableParagraph"/>
              <w:spacing w:line="268" w:lineRule="exact"/>
              <w:ind w:left="494"/>
              <w:rPr>
                <w:rFonts w:ascii="Calibri"/>
                <w:sz w:val="22"/>
              </w:rPr>
            </w:pPr>
            <w:r>
              <w:rPr>
                <w:rFonts w:ascii="Calibri"/>
                <w:sz w:val="22"/>
              </w:rPr>
              <w:t>EA-0293</w:t>
            </w:r>
          </w:p>
        </w:tc>
      </w:tr>
      <w:tr>
        <w:trPr>
          <w:trHeight w:val="322" w:hRule="exact"/>
        </w:trPr>
        <w:tc>
          <w:tcPr>
            <w:tcW w:w="757" w:type="dxa"/>
            <w:tcBorders>
              <w:right w:val="nil"/>
            </w:tcBorders>
          </w:tcPr>
          <w:p>
            <w:pPr>
              <w:pStyle w:val="TableParagraph"/>
              <w:spacing w:before="1"/>
              <w:ind w:left="98"/>
              <w:rPr>
                <w:rFonts w:ascii="Calibri"/>
                <w:b/>
                <w:sz w:val="22"/>
              </w:rPr>
            </w:pPr>
            <w:r>
              <w:rPr>
                <w:rFonts w:ascii="Calibri"/>
                <w:b/>
                <w:sz w:val="22"/>
              </w:rPr>
              <w:t>NY</w:t>
            </w:r>
          </w:p>
        </w:tc>
        <w:tc>
          <w:tcPr>
            <w:tcW w:w="2860" w:type="dxa"/>
            <w:tcBorders>
              <w:left w:val="nil"/>
              <w:right w:val="nil"/>
            </w:tcBorders>
          </w:tcPr>
          <w:p>
            <w:pPr>
              <w:pStyle w:val="TableParagraph"/>
              <w:spacing w:before="1"/>
              <w:ind w:left="318"/>
              <w:rPr>
                <w:rFonts w:ascii="Calibri"/>
                <w:sz w:val="22"/>
              </w:rPr>
            </w:pPr>
            <w:r>
              <w:rPr>
                <w:rFonts w:ascii="Calibri"/>
                <w:sz w:val="22"/>
              </w:rPr>
              <w:t>Not Required</w:t>
            </w:r>
          </w:p>
        </w:tc>
        <w:tc>
          <w:tcPr>
            <w:tcW w:w="3871" w:type="dxa"/>
            <w:tcBorders>
              <w:left w:val="nil"/>
            </w:tcBorders>
          </w:tcPr>
          <w:p>
            <w:pPr>
              <w:pStyle w:val="TableParagraph"/>
              <w:spacing w:before="1"/>
              <w:ind w:left="494"/>
              <w:rPr>
                <w:rFonts w:ascii="Calibri"/>
                <w:sz w:val="22"/>
              </w:rPr>
            </w:pPr>
            <w:r>
              <w:rPr>
                <w:rFonts w:ascii="Calibri"/>
                <w:sz w:val="22"/>
              </w:rPr>
              <w:t>Not Required</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OH</w:t>
            </w:r>
          </w:p>
        </w:tc>
        <w:tc>
          <w:tcPr>
            <w:tcW w:w="2860" w:type="dxa"/>
            <w:tcBorders>
              <w:left w:val="nil"/>
              <w:right w:val="nil"/>
            </w:tcBorders>
          </w:tcPr>
          <w:p>
            <w:pPr>
              <w:pStyle w:val="TableParagraph"/>
              <w:spacing w:line="268" w:lineRule="exact"/>
              <w:ind w:left="318"/>
              <w:rPr>
                <w:rFonts w:ascii="Calibri"/>
                <w:sz w:val="22"/>
              </w:rPr>
            </w:pPr>
            <w:r>
              <w:rPr>
                <w:rFonts w:ascii="Calibri"/>
                <w:sz w:val="22"/>
              </w:rPr>
              <w:t>17-1268E</w:t>
            </w:r>
          </w:p>
        </w:tc>
        <w:tc>
          <w:tcPr>
            <w:tcW w:w="3871" w:type="dxa"/>
            <w:tcBorders>
              <w:left w:val="nil"/>
            </w:tcBorders>
          </w:tcPr>
          <w:p>
            <w:pPr>
              <w:pStyle w:val="TableParagraph"/>
              <w:spacing w:line="268" w:lineRule="exact"/>
              <w:ind w:left="494"/>
              <w:rPr>
                <w:rFonts w:ascii="Calibri"/>
                <w:sz w:val="22"/>
              </w:rPr>
            </w:pPr>
            <w:r>
              <w:rPr>
                <w:rFonts w:ascii="Calibri"/>
                <w:sz w:val="22"/>
              </w:rPr>
              <w:t>#14-349G (1)</w:t>
            </w: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PA</w:t>
            </w:r>
          </w:p>
        </w:tc>
        <w:tc>
          <w:tcPr>
            <w:tcW w:w="2860" w:type="dxa"/>
            <w:tcBorders>
              <w:left w:val="nil"/>
              <w:right w:val="nil"/>
            </w:tcBorders>
          </w:tcPr>
          <w:p>
            <w:pPr>
              <w:pStyle w:val="TableParagraph"/>
              <w:spacing w:line="268" w:lineRule="exact"/>
              <w:ind w:left="318"/>
              <w:rPr>
                <w:rFonts w:ascii="Calibri"/>
                <w:sz w:val="22"/>
              </w:rPr>
            </w:pPr>
            <w:r>
              <w:rPr>
                <w:rFonts w:ascii="Calibri"/>
                <w:sz w:val="22"/>
              </w:rPr>
              <w:t>A-2014-2425963</w:t>
            </w:r>
          </w:p>
        </w:tc>
        <w:tc>
          <w:tcPr>
            <w:tcW w:w="3871" w:type="dxa"/>
            <w:tcBorders>
              <w:left w:val="nil"/>
            </w:tcBorders>
          </w:tcPr>
          <w:p>
            <w:pPr>
              <w:pStyle w:val="TableParagraph"/>
              <w:spacing w:line="268" w:lineRule="exact"/>
              <w:ind w:left="494"/>
              <w:rPr>
                <w:rFonts w:ascii="Calibri"/>
                <w:sz w:val="22"/>
              </w:rPr>
            </w:pPr>
            <w:r>
              <w:rPr>
                <w:rFonts w:ascii="Calibri"/>
                <w:sz w:val="22"/>
              </w:rPr>
              <w:t>A-2014-2427220</w:t>
            </w:r>
          </w:p>
        </w:tc>
      </w:tr>
      <w:tr>
        <w:trPr>
          <w:trHeight w:val="322" w:hRule="exact"/>
        </w:trPr>
        <w:tc>
          <w:tcPr>
            <w:tcW w:w="757" w:type="dxa"/>
            <w:tcBorders>
              <w:right w:val="nil"/>
            </w:tcBorders>
          </w:tcPr>
          <w:p>
            <w:pPr>
              <w:pStyle w:val="TableParagraph"/>
              <w:spacing w:before="1"/>
              <w:ind w:left="98"/>
              <w:rPr>
                <w:rFonts w:ascii="Calibri"/>
                <w:b/>
                <w:sz w:val="22"/>
              </w:rPr>
            </w:pPr>
            <w:r>
              <w:rPr>
                <w:rFonts w:ascii="Calibri"/>
                <w:b/>
                <w:sz w:val="22"/>
              </w:rPr>
              <w:t>RI</w:t>
            </w:r>
          </w:p>
        </w:tc>
        <w:tc>
          <w:tcPr>
            <w:tcW w:w="2860" w:type="dxa"/>
            <w:tcBorders>
              <w:left w:val="nil"/>
              <w:right w:val="nil"/>
            </w:tcBorders>
          </w:tcPr>
          <w:p>
            <w:pPr>
              <w:pStyle w:val="TableParagraph"/>
              <w:spacing w:before="1"/>
              <w:ind w:left="318"/>
              <w:rPr>
                <w:rFonts w:ascii="Calibri"/>
                <w:sz w:val="22"/>
              </w:rPr>
            </w:pPr>
            <w:r>
              <w:rPr>
                <w:rFonts w:ascii="Calibri"/>
                <w:sz w:val="22"/>
              </w:rPr>
              <w:t>D-96-6 (U6)</w:t>
            </w:r>
          </w:p>
        </w:tc>
        <w:tc>
          <w:tcPr>
            <w:tcW w:w="3871" w:type="dxa"/>
            <w:tcBorders>
              <w:left w:val="nil"/>
            </w:tcBorders>
          </w:tcPr>
          <w:p>
            <w:pPr/>
          </w:p>
        </w:tc>
      </w:tr>
      <w:tr>
        <w:trPr>
          <w:trHeight w:val="319" w:hRule="exact"/>
        </w:trPr>
        <w:tc>
          <w:tcPr>
            <w:tcW w:w="757" w:type="dxa"/>
            <w:tcBorders>
              <w:right w:val="nil"/>
            </w:tcBorders>
          </w:tcPr>
          <w:p>
            <w:pPr>
              <w:pStyle w:val="TableParagraph"/>
              <w:spacing w:line="268" w:lineRule="exact"/>
              <w:ind w:left="98"/>
              <w:rPr>
                <w:rFonts w:ascii="Calibri"/>
                <w:b/>
                <w:sz w:val="22"/>
              </w:rPr>
            </w:pPr>
            <w:r>
              <w:rPr>
                <w:rFonts w:ascii="Calibri"/>
                <w:b/>
                <w:sz w:val="22"/>
              </w:rPr>
              <w:t>TX</w:t>
            </w:r>
          </w:p>
        </w:tc>
        <w:tc>
          <w:tcPr>
            <w:tcW w:w="2860" w:type="dxa"/>
            <w:tcBorders>
              <w:left w:val="nil"/>
              <w:right w:val="nil"/>
            </w:tcBorders>
          </w:tcPr>
          <w:p>
            <w:pPr>
              <w:pStyle w:val="TableParagraph"/>
              <w:spacing w:line="268" w:lineRule="exact"/>
              <w:ind w:left="318"/>
              <w:rPr>
                <w:rFonts w:ascii="Calibri"/>
                <w:sz w:val="22"/>
              </w:rPr>
            </w:pPr>
            <w:r>
              <w:rPr>
                <w:rFonts w:ascii="Calibri"/>
                <w:sz w:val="22"/>
              </w:rPr>
              <w:t>Not Required</w:t>
            </w:r>
          </w:p>
        </w:tc>
        <w:tc>
          <w:tcPr>
            <w:tcW w:w="3871" w:type="dxa"/>
            <w:tcBorders>
              <w:left w:val="nil"/>
            </w:tcBorders>
          </w:tcPr>
          <w:p>
            <w:pPr>
              <w:pStyle w:val="TableParagraph"/>
              <w:spacing w:line="268" w:lineRule="exact"/>
              <w:ind w:left="494"/>
              <w:rPr>
                <w:rFonts w:ascii="Calibri"/>
                <w:sz w:val="22"/>
              </w:rPr>
            </w:pPr>
            <w:r>
              <w:rPr>
                <w:rFonts w:ascii="Calibri"/>
                <w:sz w:val="22"/>
              </w:rPr>
              <w:t>Not Required</w:t>
            </w:r>
          </w:p>
        </w:tc>
      </w:tr>
    </w:tbl>
    <w:p>
      <w:pPr>
        <w:spacing w:after="0" w:line="268" w:lineRule="exact"/>
        <w:rPr>
          <w:rFonts w:ascii="Calibri"/>
          <w:sz w:val="22"/>
        </w:rPr>
        <w:sectPr>
          <w:pgSz w:w="12240" w:h="15840"/>
          <w:pgMar w:header="0" w:footer="1389" w:top="1400" w:bottom="1580" w:left="1340" w:right="1320"/>
        </w:sectPr>
      </w:pPr>
    </w:p>
    <w:p>
      <w:pPr>
        <w:pStyle w:val="BodyText"/>
        <w:spacing w:before="39"/>
        <w:ind w:left="100"/>
      </w:pPr>
      <w:r>
        <w:rPr/>
        <w:t>Exhibit B-2 “Experience &amp; Plans</w:t>
      </w:r>
    </w:p>
    <w:p>
      <w:pPr>
        <w:pStyle w:val="BodyText"/>
        <w:spacing w:before="1"/>
        <w:rPr>
          <w:sz w:val="26"/>
        </w:rPr>
      </w:pPr>
    </w:p>
    <w:p>
      <w:pPr>
        <w:pStyle w:val="BodyText"/>
        <w:spacing w:line="276" w:lineRule="auto"/>
        <w:ind w:left="819" w:right="311"/>
      </w:pPr>
      <w:r>
        <w:rPr/>
        <w:t>Energy Choice Solutions LLC d/b/a Retail Energy Xchange is an energy broker that holds contracts with leading retail electricity and natural gas suppliers and provides web-based sales productivity services, making it easier for sales agents to source and sell electricity and natural gas services to businesses.</w:t>
      </w:r>
    </w:p>
    <w:p>
      <w:pPr>
        <w:spacing w:after="0" w:line="276" w:lineRule="auto"/>
        <w:sectPr>
          <w:pgSz w:w="12240" w:h="15840"/>
          <w:pgMar w:header="0" w:footer="1389" w:top="1400" w:bottom="1580" w:left="1340" w:right="1320"/>
        </w:sectPr>
      </w:pPr>
    </w:p>
    <w:p>
      <w:pPr>
        <w:pStyle w:val="BodyText"/>
        <w:spacing w:before="39"/>
        <w:ind w:left="100"/>
      </w:pPr>
      <w:r>
        <w:rPr/>
        <w:t>Exhibit B-3 “Summary of Experience”</w:t>
      </w:r>
    </w:p>
    <w:p>
      <w:pPr>
        <w:pStyle w:val="BodyText"/>
        <w:spacing w:before="7"/>
        <w:rPr>
          <w:sz w:val="19"/>
        </w:rPr>
      </w:pPr>
    </w:p>
    <w:p>
      <w:pPr>
        <w:pStyle w:val="BodyText"/>
        <w:spacing w:line="276" w:lineRule="auto" w:before="1"/>
        <w:ind w:left="819" w:right="251"/>
      </w:pPr>
      <w:r>
        <w:rPr/>
        <w:t>Energy Choice Solutions LLC d/b/a Retail Energy Xchange agents have experience procuring gas service for businesses in Ohio and several other states. In Ohio, this experience includes procuring gas service in all utility areas including Columbia Gas of Ohio, Dominion East Ohio, Duke Energy Ohio, and Vectren Energy Delivery of Ohio. The chart below summarizes business customers by state that have signed gas contracts through agents utilizing the Energy Choice Solutions LLC d/b/a Retail Energy Xchange platform:</w:t>
      </w:r>
    </w:p>
    <w:p>
      <w:pPr>
        <w:pStyle w:val="BodyText"/>
        <w:spacing w:before="6" w:after="1"/>
        <w:rPr>
          <w:sz w:val="16"/>
        </w:rPr>
      </w:pPr>
    </w:p>
    <w:tbl>
      <w:tblPr>
        <w:tblW w:w="0" w:type="auto"/>
        <w:jc w:val="left"/>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9"/>
        <w:gridCol w:w="3240"/>
        <w:gridCol w:w="3511"/>
      </w:tblGrid>
      <w:tr>
        <w:trPr>
          <w:trHeight w:val="613" w:hRule="exact"/>
        </w:trPr>
        <w:tc>
          <w:tcPr>
            <w:tcW w:w="1519" w:type="dxa"/>
            <w:shd w:val="clear" w:color="auto" w:fill="BDD6EE"/>
          </w:tcPr>
          <w:p>
            <w:pPr>
              <w:pStyle w:val="TableParagraph"/>
              <w:spacing w:before="152"/>
              <w:ind w:left="475" w:right="475"/>
              <w:jc w:val="center"/>
              <w:rPr>
                <w:b/>
                <w:sz w:val="22"/>
              </w:rPr>
            </w:pPr>
            <w:r>
              <w:rPr>
                <w:b/>
                <w:sz w:val="22"/>
              </w:rPr>
              <w:t>State</w:t>
            </w:r>
          </w:p>
        </w:tc>
        <w:tc>
          <w:tcPr>
            <w:tcW w:w="3240" w:type="dxa"/>
            <w:shd w:val="clear" w:color="auto" w:fill="BDD6EE"/>
          </w:tcPr>
          <w:p>
            <w:pPr>
              <w:pStyle w:val="TableParagraph"/>
              <w:spacing w:line="273" w:lineRule="auto" w:before="3"/>
              <w:ind w:left="1070" w:right="254" w:hanging="797"/>
              <w:rPr>
                <w:b/>
                <w:sz w:val="22"/>
              </w:rPr>
            </w:pPr>
            <w:r>
              <w:rPr>
                <w:b/>
                <w:sz w:val="22"/>
              </w:rPr>
              <w:t># Commercial &amp; Industrial Customers</w:t>
            </w:r>
          </w:p>
        </w:tc>
        <w:tc>
          <w:tcPr>
            <w:tcW w:w="3511" w:type="dxa"/>
            <w:shd w:val="clear" w:color="auto" w:fill="BDD6EE"/>
          </w:tcPr>
          <w:p>
            <w:pPr>
              <w:pStyle w:val="TableParagraph"/>
              <w:spacing w:line="273" w:lineRule="auto" w:before="3"/>
              <w:ind w:left="213" w:right="199" w:firstLine="408"/>
              <w:rPr>
                <w:b/>
                <w:sz w:val="22"/>
              </w:rPr>
            </w:pPr>
            <w:r>
              <w:rPr>
                <w:b/>
                <w:sz w:val="22"/>
              </w:rPr>
              <w:t>Annual Gas Amount in Thousand Decatherms (MDth)</w:t>
            </w:r>
          </w:p>
        </w:tc>
      </w:tr>
      <w:tr>
        <w:trPr>
          <w:trHeight w:val="516" w:hRule="exact"/>
        </w:trPr>
        <w:tc>
          <w:tcPr>
            <w:tcW w:w="1519" w:type="dxa"/>
          </w:tcPr>
          <w:p>
            <w:pPr>
              <w:pStyle w:val="TableParagraph"/>
              <w:spacing w:before="103"/>
              <w:ind w:left="475" w:right="475"/>
              <w:jc w:val="center"/>
              <w:rPr>
                <w:sz w:val="22"/>
              </w:rPr>
            </w:pPr>
            <w:r>
              <w:rPr>
                <w:sz w:val="22"/>
              </w:rPr>
              <w:t>IN</w:t>
            </w:r>
          </w:p>
        </w:tc>
        <w:tc>
          <w:tcPr>
            <w:tcW w:w="3240" w:type="dxa"/>
          </w:tcPr>
          <w:p>
            <w:pPr>
              <w:pStyle w:val="TableParagraph"/>
              <w:spacing w:before="103"/>
              <w:ind w:left="0"/>
              <w:jc w:val="center"/>
              <w:rPr>
                <w:sz w:val="22"/>
              </w:rPr>
            </w:pPr>
            <w:r>
              <w:rPr>
                <w:w w:val="100"/>
                <w:sz w:val="22"/>
              </w:rPr>
              <w:t>1</w:t>
            </w:r>
          </w:p>
        </w:tc>
        <w:tc>
          <w:tcPr>
            <w:tcW w:w="3511" w:type="dxa"/>
          </w:tcPr>
          <w:p>
            <w:pPr>
              <w:pStyle w:val="TableParagraph"/>
              <w:spacing w:before="103"/>
              <w:ind w:left="1398" w:right="1398"/>
              <w:jc w:val="center"/>
              <w:rPr>
                <w:sz w:val="22"/>
              </w:rPr>
            </w:pPr>
            <w:r>
              <w:rPr>
                <w:sz w:val="22"/>
              </w:rPr>
              <w:t>19.72</w:t>
            </w:r>
          </w:p>
        </w:tc>
      </w:tr>
      <w:tr>
        <w:trPr>
          <w:trHeight w:val="514" w:hRule="exact"/>
        </w:trPr>
        <w:tc>
          <w:tcPr>
            <w:tcW w:w="1519" w:type="dxa"/>
          </w:tcPr>
          <w:p>
            <w:pPr>
              <w:pStyle w:val="TableParagraph"/>
              <w:spacing w:before="100"/>
              <w:ind w:left="475" w:right="474"/>
              <w:jc w:val="center"/>
              <w:rPr>
                <w:sz w:val="22"/>
              </w:rPr>
            </w:pPr>
            <w:r>
              <w:rPr>
                <w:sz w:val="22"/>
              </w:rPr>
              <w:t>IL</w:t>
            </w:r>
          </w:p>
        </w:tc>
        <w:tc>
          <w:tcPr>
            <w:tcW w:w="3240" w:type="dxa"/>
          </w:tcPr>
          <w:p>
            <w:pPr>
              <w:pStyle w:val="TableParagraph"/>
              <w:spacing w:before="100"/>
              <w:ind w:left="0"/>
              <w:jc w:val="center"/>
              <w:rPr>
                <w:sz w:val="22"/>
              </w:rPr>
            </w:pPr>
            <w:r>
              <w:rPr>
                <w:w w:val="100"/>
                <w:sz w:val="22"/>
              </w:rPr>
              <w:t>3</w:t>
            </w:r>
          </w:p>
        </w:tc>
        <w:tc>
          <w:tcPr>
            <w:tcW w:w="3511" w:type="dxa"/>
          </w:tcPr>
          <w:p>
            <w:pPr>
              <w:pStyle w:val="TableParagraph"/>
              <w:spacing w:before="100"/>
              <w:ind w:left="1398" w:right="1398"/>
              <w:jc w:val="center"/>
              <w:rPr>
                <w:sz w:val="22"/>
              </w:rPr>
            </w:pPr>
            <w:r>
              <w:rPr>
                <w:sz w:val="22"/>
              </w:rPr>
              <w:t>192.35</w:t>
            </w:r>
          </w:p>
        </w:tc>
      </w:tr>
      <w:tr>
        <w:trPr>
          <w:trHeight w:val="516" w:hRule="exact"/>
        </w:trPr>
        <w:tc>
          <w:tcPr>
            <w:tcW w:w="1519" w:type="dxa"/>
          </w:tcPr>
          <w:p>
            <w:pPr>
              <w:pStyle w:val="TableParagraph"/>
              <w:spacing w:before="103"/>
              <w:ind w:left="474" w:right="475"/>
              <w:jc w:val="center"/>
              <w:rPr>
                <w:sz w:val="22"/>
              </w:rPr>
            </w:pPr>
            <w:r>
              <w:rPr>
                <w:sz w:val="22"/>
              </w:rPr>
              <w:t>MA</w:t>
            </w:r>
          </w:p>
        </w:tc>
        <w:tc>
          <w:tcPr>
            <w:tcW w:w="3240" w:type="dxa"/>
          </w:tcPr>
          <w:p>
            <w:pPr>
              <w:pStyle w:val="TableParagraph"/>
              <w:spacing w:before="103"/>
              <w:ind w:left="0"/>
              <w:jc w:val="center"/>
              <w:rPr>
                <w:sz w:val="22"/>
              </w:rPr>
            </w:pPr>
            <w:r>
              <w:rPr>
                <w:w w:val="100"/>
                <w:sz w:val="22"/>
              </w:rPr>
              <w:t>5</w:t>
            </w:r>
          </w:p>
        </w:tc>
        <w:tc>
          <w:tcPr>
            <w:tcW w:w="3511" w:type="dxa"/>
          </w:tcPr>
          <w:p>
            <w:pPr>
              <w:pStyle w:val="TableParagraph"/>
              <w:spacing w:before="103"/>
              <w:ind w:left="1398" w:right="1398"/>
              <w:jc w:val="center"/>
              <w:rPr>
                <w:sz w:val="22"/>
              </w:rPr>
            </w:pPr>
            <w:r>
              <w:rPr>
                <w:sz w:val="22"/>
              </w:rPr>
              <w:t>87.01</w:t>
            </w:r>
          </w:p>
        </w:tc>
      </w:tr>
      <w:tr>
        <w:trPr>
          <w:trHeight w:val="514" w:hRule="exact"/>
        </w:trPr>
        <w:tc>
          <w:tcPr>
            <w:tcW w:w="1519" w:type="dxa"/>
          </w:tcPr>
          <w:p>
            <w:pPr>
              <w:pStyle w:val="TableParagraph"/>
              <w:spacing w:before="100"/>
              <w:ind w:left="475" w:right="473"/>
              <w:jc w:val="center"/>
              <w:rPr>
                <w:sz w:val="22"/>
              </w:rPr>
            </w:pPr>
            <w:r>
              <w:rPr>
                <w:sz w:val="22"/>
              </w:rPr>
              <w:t>NY</w:t>
            </w:r>
          </w:p>
        </w:tc>
        <w:tc>
          <w:tcPr>
            <w:tcW w:w="3240" w:type="dxa"/>
          </w:tcPr>
          <w:p>
            <w:pPr>
              <w:pStyle w:val="TableParagraph"/>
              <w:spacing w:before="100"/>
              <w:ind w:left="0"/>
              <w:jc w:val="center"/>
              <w:rPr>
                <w:sz w:val="22"/>
              </w:rPr>
            </w:pPr>
            <w:r>
              <w:rPr>
                <w:w w:val="100"/>
                <w:sz w:val="22"/>
              </w:rPr>
              <w:t>1</w:t>
            </w:r>
          </w:p>
        </w:tc>
        <w:tc>
          <w:tcPr>
            <w:tcW w:w="3511" w:type="dxa"/>
          </w:tcPr>
          <w:p>
            <w:pPr>
              <w:pStyle w:val="TableParagraph"/>
              <w:spacing w:before="100"/>
              <w:ind w:left="1398" w:right="1398"/>
              <w:jc w:val="center"/>
              <w:rPr>
                <w:sz w:val="22"/>
              </w:rPr>
            </w:pPr>
            <w:r>
              <w:rPr>
                <w:sz w:val="22"/>
              </w:rPr>
              <w:t>42.16</w:t>
            </w:r>
          </w:p>
        </w:tc>
      </w:tr>
      <w:tr>
        <w:trPr>
          <w:trHeight w:val="516" w:hRule="exact"/>
        </w:trPr>
        <w:tc>
          <w:tcPr>
            <w:tcW w:w="1519" w:type="dxa"/>
          </w:tcPr>
          <w:p>
            <w:pPr>
              <w:pStyle w:val="TableParagraph"/>
              <w:spacing w:before="103"/>
              <w:ind w:left="475" w:right="475"/>
              <w:jc w:val="center"/>
              <w:rPr>
                <w:sz w:val="22"/>
              </w:rPr>
            </w:pPr>
            <w:r>
              <w:rPr>
                <w:sz w:val="22"/>
              </w:rPr>
              <w:t>OH</w:t>
            </w:r>
          </w:p>
        </w:tc>
        <w:tc>
          <w:tcPr>
            <w:tcW w:w="3240" w:type="dxa"/>
          </w:tcPr>
          <w:p>
            <w:pPr>
              <w:pStyle w:val="TableParagraph"/>
              <w:spacing w:before="103"/>
              <w:ind w:left="0"/>
              <w:jc w:val="center"/>
              <w:rPr>
                <w:sz w:val="22"/>
              </w:rPr>
            </w:pPr>
            <w:r>
              <w:rPr>
                <w:w w:val="100"/>
                <w:sz w:val="22"/>
              </w:rPr>
              <w:t>5</w:t>
            </w:r>
          </w:p>
        </w:tc>
        <w:tc>
          <w:tcPr>
            <w:tcW w:w="3511" w:type="dxa"/>
          </w:tcPr>
          <w:p>
            <w:pPr>
              <w:pStyle w:val="TableParagraph"/>
              <w:spacing w:before="103"/>
              <w:ind w:left="1398" w:right="1398"/>
              <w:jc w:val="center"/>
              <w:rPr>
                <w:sz w:val="22"/>
              </w:rPr>
            </w:pPr>
            <w:r>
              <w:rPr>
                <w:sz w:val="22"/>
              </w:rPr>
              <w:t>15.51</w:t>
            </w:r>
          </w:p>
        </w:tc>
      </w:tr>
      <w:tr>
        <w:trPr>
          <w:trHeight w:val="516" w:hRule="exact"/>
        </w:trPr>
        <w:tc>
          <w:tcPr>
            <w:tcW w:w="1519" w:type="dxa"/>
          </w:tcPr>
          <w:p>
            <w:pPr>
              <w:pStyle w:val="TableParagraph"/>
              <w:spacing w:before="103"/>
              <w:ind w:left="475" w:right="475"/>
              <w:jc w:val="center"/>
              <w:rPr>
                <w:sz w:val="22"/>
              </w:rPr>
            </w:pPr>
            <w:r>
              <w:rPr>
                <w:sz w:val="22"/>
              </w:rPr>
              <w:t>PA</w:t>
            </w:r>
          </w:p>
        </w:tc>
        <w:tc>
          <w:tcPr>
            <w:tcW w:w="3240" w:type="dxa"/>
          </w:tcPr>
          <w:p>
            <w:pPr>
              <w:pStyle w:val="TableParagraph"/>
              <w:spacing w:before="103"/>
              <w:ind w:left="0"/>
              <w:jc w:val="center"/>
              <w:rPr>
                <w:sz w:val="22"/>
              </w:rPr>
            </w:pPr>
            <w:r>
              <w:rPr>
                <w:w w:val="100"/>
                <w:sz w:val="22"/>
              </w:rPr>
              <w:t>1</w:t>
            </w:r>
          </w:p>
        </w:tc>
        <w:tc>
          <w:tcPr>
            <w:tcW w:w="3511" w:type="dxa"/>
          </w:tcPr>
          <w:p>
            <w:pPr>
              <w:pStyle w:val="TableParagraph"/>
              <w:spacing w:before="103"/>
              <w:ind w:left="1398" w:right="1398"/>
              <w:jc w:val="center"/>
              <w:rPr>
                <w:sz w:val="22"/>
              </w:rPr>
            </w:pPr>
            <w:r>
              <w:rPr>
                <w:sz w:val="22"/>
              </w:rPr>
              <w:t>60.32</w:t>
            </w:r>
          </w:p>
        </w:tc>
      </w:tr>
    </w:tbl>
    <w:p>
      <w:pPr>
        <w:spacing w:after="0"/>
        <w:jc w:val="center"/>
        <w:rPr>
          <w:sz w:val="22"/>
        </w:rPr>
        <w:sectPr>
          <w:pgSz w:w="12240" w:h="15840"/>
          <w:pgMar w:header="0" w:footer="1389" w:top="1400" w:bottom="1580" w:left="1340" w:right="1320"/>
        </w:sectPr>
      </w:pPr>
    </w:p>
    <w:p>
      <w:pPr>
        <w:pStyle w:val="BodyText"/>
        <w:spacing w:line="453" w:lineRule="auto" w:before="39"/>
        <w:ind w:left="100" w:right="4555"/>
      </w:pPr>
      <w:r>
        <w:rPr/>
        <w:t>Exhibit B-4 “Disclosure of Liabilities and Investigations” N/A</w:t>
      </w:r>
    </w:p>
    <w:p>
      <w:pPr>
        <w:spacing w:after="0" w:line="453" w:lineRule="auto"/>
        <w:sectPr>
          <w:pgSz w:w="12240" w:h="15840"/>
          <w:pgMar w:header="0" w:footer="1389" w:top="1400" w:bottom="1580" w:left="1340" w:right="1320"/>
        </w:sectPr>
      </w:pPr>
    </w:p>
    <w:p>
      <w:pPr>
        <w:pStyle w:val="BodyText"/>
        <w:spacing w:line="451" w:lineRule="auto" w:before="39"/>
        <w:ind w:left="119" w:right="993"/>
      </w:pPr>
      <w:r>
        <w:rPr/>
        <w:t>Exhibit B-6 “Disclosure of Certification Denial, Curtailment, Suspension, or Revocation Certificate Expired on May 8</w:t>
      </w:r>
      <w:r>
        <w:rPr>
          <w:position w:val="8"/>
          <w:sz w:val="14"/>
        </w:rPr>
        <w:t>th </w:t>
      </w:r>
      <w:r>
        <w:rPr/>
        <w:t>2018, no letter of revocation or suspension has been received.</w:t>
      </w:r>
    </w:p>
    <w:p>
      <w:pPr>
        <w:spacing w:after="0" w:line="451" w:lineRule="auto"/>
        <w:sectPr>
          <w:pgSz w:w="12240" w:h="15840"/>
          <w:pgMar w:header="0" w:footer="1389" w:top="1400" w:bottom="1580" w:left="1320" w:right="1320"/>
        </w:sectPr>
      </w:pPr>
    </w:p>
    <w:p>
      <w:pPr>
        <w:pStyle w:val="BodyText"/>
        <w:spacing w:before="39"/>
        <w:ind w:left="120"/>
      </w:pPr>
      <w:r>
        <w:rPr/>
        <w:t>Exhibit C -1 “Annual Reports”</w:t>
      </w:r>
    </w:p>
    <w:p>
      <w:pPr>
        <w:pStyle w:val="BodyText"/>
      </w:pPr>
    </w:p>
    <w:p>
      <w:pPr>
        <w:pStyle w:val="BodyText"/>
      </w:pPr>
    </w:p>
    <w:p>
      <w:pPr>
        <w:pStyle w:val="BodyText"/>
        <w:spacing w:before="3"/>
        <w:rPr>
          <w:sz w:val="17"/>
        </w:rPr>
      </w:pPr>
    </w:p>
    <w:p>
      <w:pPr>
        <w:pStyle w:val="BodyText"/>
        <w:spacing w:line="453" w:lineRule="auto" w:before="1"/>
        <w:ind w:left="119" w:right="2928"/>
      </w:pPr>
      <w:r>
        <w:rPr/>
        <w:t>NRG’s Annual Reports can be found Online: </w:t>
      </w:r>
      <w:hyperlink r:id="rId9">
        <w:r>
          <w:rPr>
            <w:color w:val="0000FF"/>
            <w:u w:val="single" w:color="0000FF"/>
          </w:rPr>
          <w:t>http://investors.nrg.com/phoenix.zhtml?c=121544&amp;p=irol-reportsannual</w:t>
        </w:r>
      </w:hyperlink>
    </w:p>
    <w:p>
      <w:pPr>
        <w:spacing w:after="0" w:line="453" w:lineRule="auto"/>
        <w:sectPr>
          <w:pgSz w:w="12240" w:h="15840"/>
          <w:pgMar w:header="0" w:footer="1389" w:top="1400" w:bottom="1580" w:left="1320" w:right="1320"/>
        </w:sectPr>
      </w:pPr>
    </w:p>
    <w:p>
      <w:pPr>
        <w:pStyle w:val="BodyText"/>
        <w:spacing w:before="39"/>
        <w:ind w:left="100"/>
      </w:pPr>
      <w:r>
        <w:rPr/>
        <w:t>Exhibit C -2 “SEC Fillings”</w:t>
      </w:r>
    </w:p>
    <w:p>
      <w:pPr>
        <w:pStyle w:val="BodyText"/>
        <w:spacing w:before="7"/>
        <w:rPr>
          <w:sz w:val="19"/>
        </w:rPr>
      </w:pPr>
    </w:p>
    <w:p>
      <w:pPr>
        <w:pStyle w:val="BodyText"/>
        <w:spacing w:line="453" w:lineRule="auto" w:before="1"/>
        <w:ind w:left="100" w:right="3903"/>
      </w:pPr>
      <w:r>
        <w:rPr/>
        <w:t>NRG’s SEC Filings can be found Online: </w:t>
      </w:r>
      <w:hyperlink r:id="rId10">
        <w:r>
          <w:rPr>
            <w:color w:val="0000FF"/>
            <w:u w:val="single" w:color="0000FF"/>
          </w:rPr>
          <w:t>http://investors.nrg.com/phoenix.zhtml?c=121544&amp;p=irol-sec</w:t>
        </w:r>
      </w:hyperlink>
    </w:p>
    <w:p>
      <w:pPr>
        <w:spacing w:after="0" w:line="453" w:lineRule="auto"/>
        <w:sectPr>
          <w:pgSz w:w="12240" w:h="15840"/>
          <w:pgMar w:header="0" w:footer="1389" w:top="1400" w:bottom="1580" w:left="1340" w:right="1320"/>
        </w:sectPr>
      </w:pPr>
    </w:p>
    <w:p>
      <w:pPr>
        <w:pStyle w:val="BodyText"/>
        <w:spacing w:before="39"/>
        <w:ind w:left="120"/>
      </w:pPr>
      <w:r>
        <w:rPr/>
        <w:t>Exhibit C -3 “Financial Statements”</w:t>
      </w:r>
    </w:p>
    <w:p>
      <w:pPr>
        <w:pStyle w:val="BodyText"/>
        <w:spacing w:before="7"/>
        <w:rPr>
          <w:sz w:val="19"/>
        </w:rPr>
      </w:pPr>
    </w:p>
    <w:p>
      <w:pPr>
        <w:pStyle w:val="BodyText"/>
        <w:spacing w:line="453" w:lineRule="auto" w:before="1"/>
        <w:ind w:left="119" w:right="2260"/>
      </w:pPr>
      <w:r>
        <w:rPr/>
        <w:t>NRG’s Financial Statements can be found Online: </w:t>
      </w:r>
      <w:hyperlink r:id="rId11">
        <w:r>
          <w:rPr>
            <w:color w:val="0000FF"/>
            <w:u w:val="single" w:color="0000FF"/>
          </w:rPr>
          <w:t>http://investors.nrg.com/phoenix.zhtml?c=121544&amp;p=irol-newsEarnings&amp;nyo=0</w:t>
        </w:r>
      </w:hyperlink>
    </w:p>
    <w:p>
      <w:pPr>
        <w:spacing w:after="0" w:line="453" w:lineRule="auto"/>
        <w:sectPr>
          <w:pgSz w:w="12240" w:h="15840"/>
          <w:pgMar w:header="0" w:footer="1389" w:top="1400" w:bottom="1580" w:left="1320" w:right="1320"/>
        </w:sectPr>
      </w:pPr>
    </w:p>
    <w:p>
      <w:pPr>
        <w:pStyle w:val="BodyText"/>
        <w:spacing w:line="453" w:lineRule="auto" w:before="39"/>
        <w:ind w:left="119" w:right="6110"/>
      </w:pPr>
      <w:r>
        <w:rPr/>
        <w:t>Exhibit C -4 “Financial Arrangements” N/A</w:t>
      </w:r>
    </w:p>
    <w:p>
      <w:pPr>
        <w:spacing w:after="0" w:line="453" w:lineRule="auto"/>
        <w:sectPr>
          <w:footerReference w:type="default" r:id="rId12"/>
          <w:pgSz w:w="12240" w:h="15840"/>
          <w:pgMar w:footer="1389" w:header="0" w:top="1400" w:bottom="1580" w:left="1320" w:right="1320"/>
        </w:sectPr>
      </w:pPr>
    </w:p>
    <w:p>
      <w:pPr>
        <w:pStyle w:val="BodyText"/>
        <w:rPr>
          <w:sz w:val="20"/>
        </w:rPr>
      </w:pPr>
    </w:p>
    <w:p>
      <w:pPr>
        <w:pStyle w:val="BodyText"/>
        <w:spacing w:before="8"/>
        <w:rPr>
          <w:sz w:val="16"/>
        </w:rPr>
      </w:pPr>
    </w:p>
    <w:p>
      <w:pPr>
        <w:pStyle w:val="BodyText"/>
        <w:ind w:left="220"/>
      </w:pPr>
      <w:r>
        <w:rPr/>
        <w:t>Exhibit C -5 “Forecasted Financial Statements”</w:t>
      </w:r>
    </w:p>
    <w:p>
      <w:pPr>
        <w:pStyle w:val="BodyText"/>
        <w:spacing w:line="510" w:lineRule="atLeast"/>
        <w:ind w:left="220" w:right="4835"/>
      </w:pPr>
      <w:r>
        <w:rPr/>
        <w:t>The financial forecasts that follow were prepared by: Elizabeth Melisz – (716) 906-5140</w:t>
      </w:r>
    </w:p>
    <w:p>
      <w:pPr>
        <w:pStyle w:val="BodyText"/>
        <w:spacing w:before="2"/>
        <w:ind w:left="219"/>
      </w:pPr>
      <w:r>
        <w:rPr/>
        <w:t>4433 Genesee St.</w:t>
      </w:r>
    </w:p>
    <w:p>
      <w:pPr>
        <w:pStyle w:val="BodyText"/>
        <w:ind w:left="219"/>
      </w:pPr>
      <w:r>
        <w:rPr/>
        <w:t>Suite 401</w:t>
      </w:r>
    </w:p>
    <w:p>
      <w:pPr>
        <w:pStyle w:val="BodyText"/>
        <w:spacing w:line="693" w:lineRule="auto"/>
        <w:ind w:left="219" w:right="7928"/>
      </w:pPr>
      <w:r>
        <w:rPr/>
        <w:pict>
          <v:shape style="position:absolute;margin-left:66.360001pt;margin-top:64.376198pt;width:479.55pt;height:55.7pt;mso-position-horizontal-relative:page;mso-position-vertical-relative:paragraph;z-index:1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78" w:hRule="exact"/>
                    </w:trPr>
                    <w:tc>
                      <w:tcPr>
                        <w:tcW w:w="3192" w:type="dxa"/>
                        <w:tcBorders>
                          <w:top w:val="nil"/>
                          <w:left w:val="nil"/>
                        </w:tcBorders>
                      </w:tcPr>
                      <w:p>
                        <w:pPr/>
                      </w:p>
                    </w:tc>
                    <w:tc>
                      <w:tcPr>
                        <w:tcW w:w="3192" w:type="dxa"/>
                      </w:tcPr>
                      <w:p>
                        <w:pPr>
                          <w:pStyle w:val="TableParagraph"/>
                          <w:spacing w:line="268" w:lineRule="exact"/>
                          <w:ind w:left="2"/>
                          <w:jc w:val="center"/>
                          <w:rPr>
                            <w:rFonts w:ascii="Calibri"/>
                            <w:b/>
                            <w:sz w:val="22"/>
                          </w:rPr>
                        </w:pPr>
                        <w:r>
                          <w:rPr>
                            <w:rFonts w:ascii="Calibri"/>
                            <w:b/>
                            <w:sz w:val="22"/>
                          </w:rPr>
                          <w:t>2019</w:t>
                        </w:r>
                      </w:p>
                    </w:tc>
                    <w:tc>
                      <w:tcPr>
                        <w:tcW w:w="3192" w:type="dxa"/>
                      </w:tcPr>
                      <w:p>
                        <w:pPr>
                          <w:pStyle w:val="TableParagraph"/>
                          <w:spacing w:line="268" w:lineRule="exact"/>
                          <w:ind w:left="2"/>
                          <w:jc w:val="center"/>
                          <w:rPr>
                            <w:rFonts w:ascii="Calibri"/>
                            <w:b/>
                            <w:sz w:val="22"/>
                          </w:rPr>
                        </w:pPr>
                        <w:r>
                          <w:rPr>
                            <w:rFonts w:ascii="Calibri"/>
                            <w:b/>
                            <w:sz w:val="22"/>
                          </w:rPr>
                          <w:t>2020</w:t>
                        </w:r>
                      </w:p>
                    </w:tc>
                  </w:tr>
                  <w:tr>
                    <w:trPr>
                      <w:trHeight w:val="293" w:hRule="exact"/>
                    </w:trPr>
                    <w:tc>
                      <w:tcPr>
                        <w:tcW w:w="3192" w:type="dxa"/>
                        <w:tcBorders>
                          <w:bottom w:val="nil"/>
                        </w:tcBorders>
                      </w:tcPr>
                      <w:p>
                        <w:pPr>
                          <w:pStyle w:val="TableParagraph"/>
                          <w:spacing w:line="268" w:lineRule="exact"/>
                          <w:ind w:left="103"/>
                          <w:rPr>
                            <w:rFonts w:ascii="Calibri"/>
                            <w:sz w:val="22"/>
                          </w:rPr>
                        </w:pPr>
                        <w:r>
                          <w:rPr>
                            <w:rFonts w:ascii="Calibri"/>
                            <w:sz w:val="22"/>
                          </w:rPr>
                          <w:t>Revenue</w:t>
                        </w:r>
                      </w:p>
                    </w:tc>
                    <w:tc>
                      <w:tcPr>
                        <w:tcW w:w="3192" w:type="dxa"/>
                        <w:tcBorders>
                          <w:bottom w:val="nil"/>
                        </w:tcBorders>
                      </w:tcPr>
                      <w:p>
                        <w:pPr>
                          <w:pStyle w:val="TableParagraph"/>
                          <w:spacing w:line="268" w:lineRule="exact"/>
                          <w:ind w:left="0"/>
                          <w:jc w:val="center"/>
                          <w:rPr>
                            <w:rFonts w:ascii="Calibri"/>
                            <w:sz w:val="22"/>
                          </w:rPr>
                        </w:pPr>
                        <w:r>
                          <w:rPr>
                            <w:rFonts w:ascii="Calibri"/>
                            <w:sz w:val="22"/>
                          </w:rPr>
                          <w:t>$ 3,186.45</w:t>
                        </w:r>
                      </w:p>
                    </w:tc>
                    <w:tc>
                      <w:tcPr>
                        <w:tcW w:w="3192" w:type="dxa"/>
                        <w:tcBorders>
                          <w:bottom w:val="nil"/>
                        </w:tcBorders>
                      </w:tcPr>
                      <w:p>
                        <w:pPr>
                          <w:pStyle w:val="TableParagraph"/>
                          <w:spacing w:line="268" w:lineRule="exact"/>
                          <w:ind w:left="0"/>
                          <w:jc w:val="center"/>
                          <w:rPr>
                            <w:rFonts w:ascii="Calibri"/>
                            <w:sz w:val="22"/>
                          </w:rPr>
                        </w:pPr>
                        <w:r>
                          <w:rPr>
                            <w:rFonts w:ascii="Calibri"/>
                            <w:sz w:val="22"/>
                          </w:rPr>
                          <w:t>$ 2,609.60</w:t>
                        </w:r>
                      </w:p>
                    </w:tc>
                  </w:tr>
                  <w:tr>
                    <w:trPr>
                      <w:trHeight w:val="254" w:hRule="exact"/>
                    </w:trPr>
                    <w:tc>
                      <w:tcPr>
                        <w:tcW w:w="3192" w:type="dxa"/>
                        <w:tcBorders>
                          <w:top w:val="nil"/>
                        </w:tcBorders>
                      </w:tcPr>
                      <w:p>
                        <w:pPr>
                          <w:pStyle w:val="TableParagraph"/>
                          <w:spacing w:line="249" w:lineRule="exact"/>
                          <w:ind w:left="103"/>
                          <w:rPr>
                            <w:rFonts w:ascii="Calibri"/>
                            <w:sz w:val="22"/>
                          </w:rPr>
                        </w:pPr>
                        <w:r>
                          <w:rPr>
                            <w:rFonts w:ascii="Calibri"/>
                            <w:sz w:val="22"/>
                          </w:rPr>
                          <w:t>Less : Expenses</w:t>
                        </w:r>
                      </w:p>
                    </w:tc>
                    <w:tc>
                      <w:tcPr>
                        <w:tcW w:w="3192" w:type="dxa"/>
                        <w:tcBorders>
                          <w:top w:val="nil"/>
                        </w:tcBorders>
                      </w:tcPr>
                      <w:p>
                        <w:pPr>
                          <w:pStyle w:val="TableParagraph"/>
                          <w:spacing w:line="249" w:lineRule="exact"/>
                          <w:ind w:left="0"/>
                          <w:jc w:val="center"/>
                          <w:rPr>
                            <w:rFonts w:ascii="Calibri"/>
                            <w:sz w:val="22"/>
                          </w:rPr>
                        </w:pPr>
                        <w:r>
                          <w:rPr>
                            <w:rFonts w:ascii="Calibri"/>
                            <w:sz w:val="22"/>
                          </w:rPr>
                          <w:t>$ 2,288.05</w:t>
                        </w:r>
                      </w:p>
                    </w:tc>
                    <w:tc>
                      <w:tcPr>
                        <w:tcW w:w="3192" w:type="dxa"/>
                        <w:tcBorders>
                          <w:top w:val="nil"/>
                        </w:tcBorders>
                      </w:tcPr>
                      <w:p>
                        <w:pPr>
                          <w:pStyle w:val="TableParagraph"/>
                          <w:spacing w:line="249" w:lineRule="exact"/>
                          <w:ind w:left="0"/>
                          <w:jc w:val="center"/>
                          <w:rPr>
                            <w:rFonts w:ascii="Calibri"/>
                            <w:sz w:val="22"/>
                          </w:rPr>
                        </w:pPr>
                        <w:r>
                          <w:rPr>
                            <w:rFonts w:ascii="Calibri"/>
                            <w:sz w:val="22"/>
                          </w:rPr>
                          <w:t>$ 1,957.20</w:t>
                        </w:r>
                      </w:p>
                    </w:tc>
                  </w:tr>
                  <w:tr>
                    <w:trPr>
                      <w:trHeight w:val="278" w:hRule="exact"/>
                    </w:trPr>
                    <w:tc>
                      <w:tcPr>
                        <w:tcW w:w="3192" w:type="dxa"/>
                      </w:tcPr>
                      <w:p>
                        <w:pPr>
                          <w:pStyle w:val="TableParagraph"/>
                          <w:spacing w:line="268" w:lineRule="exact"/>
                          <w:ind w:left="103"/>
                          <w:rPr>
                            <w:rFonts w:ascii="Calibri"/>
                            <w:sz w:val="22"/>
                          </w:rPr>
                        </w:pPr>
                        <w:r>
                          <w:rPr>
                            <w:rFonts w:ascii="Calibri"/>
                            <w:sz w:val="22"/>
                          </w:rPr>
                          <w:t>Net Income</w:t>
                        </w:r>
                      </w:p>
                    </w:tc>
                    <w:tc>
                      <w:tcPr>
                        <w:tcW w:w="3192" w:type="dxa"/>
                      </w:tcPr>
                      <w:p>
                        <w:pPr>
                          <w:pStyle w:val="TableParagraph"/>
                          <w:tabs>
                            <w:tab w:pos="312" w:val="left" w:leader="none"/>
                          </w:tabs>
                          <w:spacing w:line="268" w:lineRule="exact"/>
                          <w:ind w:left="0"/>
                          <w:jc w:val="center"/>
                          <w:rPr>
                            <w:rFonts w:ascii="Calibri"/>
                            <w:sz w:val="22"/>
                          </w:rPr>
                        </w:pPr>
                        <w:r>
                          <w:rPr>
                            <w:rFonts w:ascii="Calibri"/>
                            <w:sz w:val="22"/>
                          </w:rPr>
                          <w:t>$</w:t>
                          <w:tab/>
                          <w:t>898.40</w:t>
                        </w:r>
                      </w:p>
                    </w:tc>
                    <w:tc>
                      <w:tcPr>
                        <w:tcW w:w="3192" w:type="dxa"/>
                      </w:tcPr>
                      <w:p>
                        <w:pPr>
                          <w:pStyle w:val="TableParagraph"/>
                          <w:tabs>
                            <w:tab w:pos="312" w:val="left" w:leader="none"/>
                          </w:tabs>
                          <w:spacing w:line="268" w:lineRule="exact"/>
                          <w:ind w:left="0"/>
                          <w:jc w:val="center"/>
                          <w:rPr>
                            <w:rFonts w:ascii="Calibri"/>
                            <w:sz w:val="22"/>
                          </w:rPr>
                        </w:pPr>
                        <w:r>
                          <w:rPr>
                            <w:rFonts w:ascii="Calibri"/>
                            <w:sz w:val="22"/>
                          </w:rPr>
                          <w:t>$</w:t>
                          <w:tab/>
                          <w:t>652.40</w:t>
                        </w:r>
                      </w:p>
                    </w:tc>
                  </w:tr>
                </w:tbl>
                <w:p>
                  <w:pPr>
                    <w:pStyle w:val="BodyText"/>
                  </w:pPr>
                </w:p>
              </w:txbxContent>
            </v:textbox>
            <w10:wrap type="none"/>
          </v:shape>
        </w:pict>
      </w:r>
      <w:r>
        <w:rPr/>
        <w:t>Buffalo, NY 14225 Income Projection</w:t>
      </w:r>
    </w:p>
    <w:p>
      <w:pPr>
        <w:spacing w:after="0" w:line="693" w:lineRule="auto"/>
        <w:sectPr>
          <w:footerReference w:type="default" r:id="rId13"/>
          <w:pgSz w:w="12240" w:h="15840"/>
          <w:pgMar w:footer="1329" w:header="0" w:top="1500" w:bottom="1520" w:left="1220" w:right="1220"/>
          <w:pgNumType w:start="21"/>
        </w:sectPr>
      </w:pPr>
    </w:p>
    <w:p>
      <w:pPr>
        <w:pStyle w:val="BodyText"/>
        <w:spacing w:before="39"/>
        <w:ind w:left="120"/>
      </w:pPr>
      <w:r>
        <w:rPr/>
        <w:t>Exhibit C-6 “Credit Rating”</w:t>
      </w:r>
    </w:p>
    <w:p>
      <w:pPr>
        <w:pStyle w:val="BodyText"/>
        <w:spacing w:before="7"/>
        <w:rPr>
          <w:sz w:val="19"/>
        </w:rPr>
      </w:pPr>
    </w:p>
    <w:p>
      <w:pPr>
        <w:pStyle w:val="BodyText"/>
        <w:spacing w:line="453" w:lineRule="auto" w:before="1"/>
        <w:ind w:left="120" w:right="5378"/>
      </w:pPr>
      <w:r>
        <w:rPr/>
        <w:t>NRG Energy Inc’s credit ratings are as follows: S&amp;P is BB-</w:t>
      </w:r>
    </w:p>
    <w:p>
      <w:pPr>
        <w:pStyle w:val="BodyText"/>
        <w:spacing w:before="1"/>
        <w:ind w:left="119"/>
      </w:pPr>
      <w:r>
        <w:rPr/>
        <w:t>Moody’s Ba3</w:t>
      </w:r>
    </w:p>
    <w:p>
      <w:pPr>
        <w:spacing w:after="0"/>
        <w:sectPr>
          <w:pgSz w:w="12240" w:h="15840"/>
          <w:pgMar w:header="0" w:footer="1329" w:top="1400" w:bottom="1580" w:left="1320" w:right="1320"/>
        </w:sectPr>
      </w:pPr>
    </w:p>
    <w:p>
      <w:pPr>
        <w:pStyle w:val="BodyText"/>
        <w:spacing w:before="39"/>
        <w:ind w:left="100"/>
      </w:pPr>
      <w:r>
        <w:rPr/>
        <w:pict>
          <v:group style="position:absolute;margin-left:72pt;margin-top:17.423738pt;width:439.5pt;height:605.85pt;mso-position-horizontal-relative:page;mso-position-vertical-relative:paragraph;z-index:1072;mso-wrap-distance-left:0;mso-wrap-distance-right:0" coordorigin="1440,348" coordsize="8790,12117">
            <v:shape style="position:absolute;left:1440;top:348;width:8754;height:7349" type="#_x0000_t75" stroked="false">
              <v:imagedata r:id="rId14" o:title=""/>
            </v:shape>
            <v:shape style="position:absolute;left:1440;top:7698;width:8790;height:4767" type="#_x0000_t75" stroked="false">
              <v:imagedata r:id="rId15" o:title=""/>
            </v:shape>
            <w10:wrap type="topAndBottom"/>
          </v:group>
        </w:pict>
      </w:r>
      <w:r>
        <w:rPr/>
        <w:t>Exhibit C-7 “Credit Report”</w:t>
      </w:r>
    </w:p>
    <w:p>
      <w:pPr>
        <w:spacing w:after="0"/>
        <w:sectPr>
          <w:pgSz w:w="12240" w:h="15840"/>
          <w:pgMar w:header="0" w:footer="1329" w:top="1400" w:bottom="1580" w:left="1340" w:right="1320"/>
        </w:sectPr>
      </w:pPr>
    </w:p>
    <w:p>
      <w:pPr>
        <w:pStyle w:val="BodyText"/>
        <w:ind w:left="100"/>
        <w:rPr>
          <w:sz w:val="20"/>
        </w:rPr>
      </w:pPr>
      <w:r>
        <w:rPr>
          <w:sz w:val="20"/>
        </w:rPr>
        <w:pict>
          <v:group style="width:421.45pt;height:612.75pt;mso-position-horizontal-relative:char;mso-position-vertical-relative:line" coordorigin="0,0" coordsize="8429,12255">
            <v:shape style="position:absolute;left:0;top:0;width:8249;height:6255" type="#_x0000_t75" stroked="false">
              <v:imagedata r:id="rId16" o:title=""/>
            </v:shape>
            <v:shape style="position:absolute;left:0;top:6255;width:8429;height:5999" type="#_x0000_t75" stroked="false">
              <v:imagedata r:id="rId17" o:title=""/>
            </v:shape>
          </v:group>
        </w:pict>
      </w:r>
      <w:r>
        <w:rPr>
          <w:sz w:val="20"/>
        </w:rPr>
      </w:r>
    </w:p>
    <w:p>
      <w:pPr>
        <w:spacing w:after="0"/>
        <w:rPr>
          <w:sz w:val="20"/>
        </w:rPr>
        <w:sectPr>
          <w:pgSz w:w="12240" w:h="15840"/>
          <w:pgMar w:header="0" w:footer="1329" w:top="1440" w:bottom="1520" w:left="1340" w:right="1320"/>
        </w:sectPr>
      </w:pPr>
    </w:p>
    <w:p>
      <w:pPr>
        <w:pStyle w:val="BodyText"/>
        <w:spacing w:before="4"/>
        <w:rPr>
          <w:rFonts w:ascii="Times New Roman"/>
          <w:sz w:val="17"/>
        </w:rPr>
      </w:pPr>
      <w:r>
        <w:rPr/>
        <w:pict>
          <v:shape style="position:absolute;margin-left:72pt;margin-top:72pt;width:455.4pt;height:648.6pt;mso-position-horizontal-relative:page;mso-position-vertical-relative:page;z-index:-27880"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3"/>
                    <w:rPr>
                      <w:rFonts w:ascii="Times New Roman"/>
                      <w:sz w:val="23"/>
                    </w:rPr>
                  </w:pPr>
                </w:p>
                <w:p>
                  <w:pPr>
                    <w:spacing w:line="193" w:lineRule="exact" w:before="0"/>
                    <w:ind w:left="2956" w:right="0" w:firstLine="0"/>
                    <w:jc w:val="left"/>
                    <w:rPr>
                      <w:sz w:val="16"/>
                    </w:rPr>
                  </w:pPr>
                  <w:r>
                    <w:rPr>
                      <w:color w:val="818181"/>
                      <w:sz w:val="16"/>
                    </w:rPr>
                    <w:t>Energy Choice Solutions LLC d/b/a Retail Energy Xchange_ Ohio CRNGS Broker/Aggregator Exh</w:t>
                  </w:r>
                </w:p>
              </w:txbxContent>
            </v:textbox>
            <w10:wrap type="none"/>
          </v:shape>
        </w:pict>
      </w:r>
      <w:r>
        <w:rPr/>
        <w:drawing>
          <wp:anchor distT="0" distB="0" distL="0" distR="0" allowOverlap="1" layoutInCell="1" locked="0" behindDoc="1" simplePos="0" relativeHeight="268407599">
            <wp:simplePos x="0" y="0"/>
            <wp:positionH relativeFrom="page">
              <wp:posOffset>914400</wp:posOffset>
            </wp:positionH>
            <wp:positionV relativeFrom="page">
              <wp:posOffset>914400</wp:posOffset>
            </wp:positionV>
            <wp:extent cx="5783567" cy="8229599"/>
            <wp:effectExtent l="0" t="0" r="0" b="0"/>
            <wp:wrapNone/>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9" cstate="print"/>
                    <a:stretch>
                      <a:fillRect/>
                    </a:stretch>
                  </pic:blipFill>
                  <pic:spPr>
                    <a:xfrm>
                      <a:off x="0" y="0"/>
                      <a:ext cx="5783567" cy="8229599"/>
                    </a:xfrm>
                    <a:prstGeom prst="rect">
                      <a:avLst/>
                    </a:prstGeom>
                  </pic:spPr>
                </pic:pic>
              </a:graphicData>
            </a:graphic>
          </wp:anchor>
        </w:drawing>
      </w:r>
    </w:p>
    <w:p>
      <w:pPr>
        <w:spacing w:after="0"/>
        <w:rPr>
          <w:rFonts w:ascii="Times New Roman"/>
          <w:sz w:val="17"/>
        </w:rPr>
        <w:sectPr>
          <w:footerReference w:type="default" r:id="rId18"/>
          <w:pgSz w:w="12240" w:h="15840"/>
          <w:pgMar w:footer="1329" w:header="0" w:top="1440" w:bottom="1520" w:left="1340" w:right="1320"/>
          <w:pgNumType w:start="25"/>
        </w:sectPr>
      </w:pPr>
    </w:p>
    <w:p>
      <w:pPr>
        <w:pStyle w:val="BodyText"/>
        <w:spacing w:before="4"/>
        <w:rPr>
          <w:rFonts w:ascii="Times New Roman"/>
          <w:sz w:val="17"/>
        </w:rPr>
      </w:pPr>
      <w:r>
        <w:rPr/>
        <w:pict>
          <v:shape style="position:absolute;margin-left:72pt;margin-top:72pt;width:460.45pt;height:648.6pt;mso-position-horizontal-relative:page;mso-position-vertical-relative:page;z-index:-27832"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3"/>
                    <w:rPr>
                      <w:rFonts w:ascii="Times New Roman"/>
                      <w:sz w:val="23"/>
                    </w:rPr>
                  </w:pPr>
                </w:p>
                <w:p>
                  <w:pPr>
                    <w:spacing w:line="193" w:lineRule="exact" w:before="0"/>
                    <w:ind w:left="2956" w:right="0" w:firstLine="0"/>
                    <w:jc w:val="left"/>
                    <w:rPr>
                      <w:sz w:val="16"/>
                    </w:rPr>
                  </w:pPr>
                  <w:r>
                    <w:rPr>
                      <w:color w:val="818181"/>
                      <w:sz w:val="16"/>
                    </w:rPr>
                    <w:t>Energy Choice Solutions LLC d/b/a Retail Energy Xchange_ Ohio CRNGS Broker/Aggregator Exhib</w:t>
                  </w:r>
                </w:p>
              </w:txbxContent>
            </v:textbox>
            <w10:wrap type="none"/>
          </v:shape>
        </w:pict>
      </w:r>
      <w:r>
        <w:rPr/>
        <w:drawing>
          <wp:anchor distT="0" distB="0" distL="0" distR="0" allowOverlap="1" layoutInCell="1" locked="0" behindDoc="1" simplePos="0" relativeHeight="268407647">
            <wp:simplePos x="0" y="0"/>
            <wp:positionH relativeFrom="page">
              <wp:posOffset>914400</wp:posOffset>
            </wp:positionH>
            <wp:positionV relativeFrom="page">
              <wp:posOffset>914400</wp:posOffset>
            </wp:positionV>
            <wp:extent cx="5808979" cy="8229599"/>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21" cstate="print"/>
                    <a:stretch>
                      <a:fillRect/>
                    </a:stretch>
                  </pic:blipFill>
                  <pic:spPr>
                    <a:xfrm>
                      <a:off x="0" y="0"/>
                      <a:ext cx="5808979" cy="8229599"/>
                    </a:xfrm>
                    <a:prstGeom prst="rect">
                      <a:avLst/>
                    </a:prstGeom>
                  </pic:spPr>
                </pic:pic>
              </a:graphicData>
            </a:graphic>
          </wp:anchor>
        </w:drawing>
      </w:r>
    </w:p>
    <w:p>
      <w:pPr>
        <w:spacing w:after="0"/>
        <w:rPr>
          <w:rFonts w:ascii="Times New Roman"/>
          <w:sz w:val="17"/>
        </w:rPr>
        <w:sectPr>
          <w:footerReference w:type="default" r:id="rId20"/>
          <w:pgSz w:w="12240" w:h="15840"/>
          <w:pgMar w:footer="1329" w:header="0" w:top="1440" w:bottom="1520" w:left="1340" w:right="1320"/>
          <w:pgNumType w:start="26"/>
        </w:sectPr>
      </w:pPr>
    </w:p>
    <w:p>
      <w:pPr>
        <w:pStyle w:val="BodyText"/>
        <w:spacing w:before="4"/>
        <w:rPr>
          <w:rFonts w:ascii="Times New Roman"/>
          <w:sz w:val="17"/>
        </w:rPr>
      </w:pPr>
      <w:r>
        <w:rPr/>
        <w:pict>
          <v:shape style="position:absolute;margin-left:72pt;margin-top:72.000061pt;width:450.25pt;height:648.6pt;mso-position-horizontal-relative:page;mso-position-vertical-relative:page;z-index:-27784"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3"/>
                    <w:rPr>
                      <w:rFonts w:ascii="Times New Roman"/>
                      <w:sz w:val="23"/>
                    </w:rPr>
                  </w:pPr>
                </w:p>
                <w:p>
                  <w:pPr>
                    <w:spacing w:line="193" w:lineRule="exact" w:before="0"/>
                    <w:ind w:left="2956" w:right="0" w:firstLine="0"/>
                    <w:jc w:val="left"/>
                    <w:rPr>
                      <w:sz w:val="16"/>
                    </w:rPr>
                  </w:pPr>
                  <w:r>
                    <w:rPr>
                      <w:color w:val="818181"/>
                      <w:sz w:val="16"/>
                    </w:rPr>
                    <w:t>Energy Choice Solutions LLC d/b/a Retail Energy Xchange_ Ohio CRNGS Broker/Aggregator Ex</w:t>
                  </w:r>
                </w:p>
              </w:txbxContent>
            </v:textbox>
            <w10:wrap type="none"/>
          </v:shape>
        </w:pict>
      </w:r>
      <w:r>
        <w:rPr/>
        <w:drawing>
          <wp:anchor distT="0" distB="0" distL="0" distR="0" allowOverlap="1" layoutInCell="1" locked="0" behindDoc="1" simplePos="0" relativeHeight="268407695">
            <wp:simplePos x="0" y="0"/>
            <wp:positionH relativeFrom="page">
              <wp:posOffset>914400</wp:posOffset>
            </wp:positionH>
            <wp:positionV relativeFrom="page">
              <wp:posOffset>914400</wp:posOffset>
            </wp:positionV>
            <wp:extent cx="5699124" cy="8229599"/>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23" cstate="print"/>
                    <a:stretch>
                      <a:fillRect/>
                    </a:stretch>
                  </pic:blipFill>
                  <pic:spPr>
                    <a:xfrm>
                      <a:off x="0" y="0"/>
                      <a:ext cx="5699124" cy="8229599"/>
                    </a:xfrm>
                    <a:prstGeom prst="rect">
                      <a:avLst/>
                    </a:prstGeom>
                  </pic:spPr>
                </pic:pic>
              </a:graphicData>
            </a:graphic>
          </wp:anchor>
        </w:drawing>
      </w:r>
    </w:p>
    <w:p>
      <w:pPr>
        <w:spacing w:after="0"/>
        <w:rPr>
          <w:rFonts w:ascii="Times New Roman"/>
          <w:sz w:val="17"/>
        </w:rPr>
        <w:sectPr>
          <w:footerReference w:type="default" r:id="rId22"/>
          <w:pgSz w:w="12240" w:h="15840"/>
          <w:pgMar w:footer="1329" w:header="0" w:top="1440" w:bottom="1520" w:left="1340" w:right="1320"/>
          <w:pgNumType w:start="27"/>
        </w:sectPr>
      </w:pPr>
    </w:p>
    <w:p>
      <w:pPr>
        <w:pStyle w:val="BodyText"/>
        <w:ind w:left="100"/>
        <w:rPr>
          <w:rFonts w:ascii="Times New Roman"/>
          <w:sz w:val="20"/>
        </w:rPr>
      </w:pPr>
      <w:r>
        <w:rPr>
          <w:rFonts w:ascii="Times New Roman"/>
          <w:sz w:val="20"/>
        </w:rPr>
        <w:drawing>
          <wp:inline distT="0" distB="0" distL="0" distR="0">
            <wp:extent cx="5762625" cy="8105775"/>
            <wp:effectExtent l="0" t="0" r="0" b="0"/>
            <wp:docPr id="9" name="image9.png" descr=""/>
            <wp:cNvGraphicFramePr>
              <a:graphicFrameLocks noChangeAspect="1"/>
            </wp:cNvGraphicFramePr>
            <a:graphic>
              <a:graphicData uri="http://schemas.openxmlformats.org/drawingml/2006/picture">
                <pic:pic>
                  <pic:nvPicPr>
                    <pic:cNvPr id="10" name="image9.png"/>
                    <pic:cNvPicPr/>
                  </pic:nvPicPr>
                  <pic:blipFill>
                    <a:blip r:embed="rId25" cstate="print"/>
                    <a:stretch>
                      <a:fillRect/>
                    </a:stretch>
                  </pic:blipFill>
                  <pic:spPr>
                    <a:xfrm>
                      <a:off x="0" y="0"/>
                      <a:ext cx="5762625" cy="8105775"/>
                    </a:xfrm>
                    <a:prstGeom prst="rect">
                      <a:avLst/>
                    </a:prstGeom>
                  </pic:spPr>
                </pic:pic>
              </a:graphicData>
            </a:graphic>
          </wp:inline>
        </w:drawing>
      </w:r>
      <w:r>
        <w:rPr>
          <w:rFonts w:ascii="Times New Roman"/>
          <w:sz w:val="20"/>
        </w:rPr>
      </w:r>
    </w:p>
    <w:p>
      <w:pPr>
        <w:spacing w:after="0"/>
        <w:rPr>
          <w:rFonts w:ascii="Times New Roman"/>
          <w:sz w:val="20"/>
        </w:rPr>
        <w:sectPr>
          <w:footerReference w:type="default" r:id="rId24"/>
          <w:pgSz w:w="12240" w:h="15840"/>
          <w:pgMar w:footer="1329" w:header="0" w:top="1440" w:bottom="1520" w:left="1340" w:right="1320"/>
          <w:pgNumType w:start="28"/>
        </w:sectPr>
      </w:pPr>
    </w:p>
    <w:p>
      <w:pPr>
        <w:pStyle w:val="BodyText"/>
        <w:spacing w:before="39"/>
        <w:ind w:left="100"/>
      </w:pPr>
      <w:r>
        <w:rPr/>
        <w:t>Exhibit C-8 “Bankruptcy Information”</w:t>
      </w:r>
    </w:p>
    <w:p>
      <w:pPr>
        <w:pStyle w:val="BodyText"/>
        <w:spacing w:before="7"/>
        <w:rPr>
          <w:sz w:val="19"/>
        </w:rPr>
      </w:pPr>
    </w:p>
    <w:p>
      <w:pPr>
        <w:pStyle w:val="BodyText"/>
        <w:spacing w:line="276" w:lineRule="auto" w:before="1"/>
        <w:ind w:left="100" w:right="113"/>
      </w:pPr>
      <w:r>
        <w:rPr/>
        <w:t>Applicant Energy Choice Solutions, LLC, its parent and affiliates have not been the subject of any reorganizations, protection from creditors, or any other form of bankruptcy filings this year or within the past two years.</w:t>
      </w:r>
    </w:p>
    <w:p>
      <w:pPr>
        <w:spacing w:after="0" w:line="276" w:lineRule="auto"/>
        <w:sectPr>
          <w:pgSz w:w="12240" w:h="15840"/>
          <w:pgMar w:header="0" w:footer="1329" w:top="1400" w:bottom="1520" w:left="1340" w:right="1320"/>
        </w:sectPr>
      </w:pPr>
    </w:p>
    <w:p>
      <w:pPr>
        <w:pStyle w:val="BodyText"/>
        <w:spacing w:before="39"/>
        <w:ind w:left="120"/>
      </w:pPr>
      <w:r>
        <w:rPr/>
        <w:t>Exhibit C-9 “Merger Information”</w:t>
      </w:r>
    </w:p>
    <w:p>
      <w:pPr>
        <w:pStyle w:val="BodyText"/>
        <w:spacing w:before="7"/>
        <w:rPr>
          <w:sz w:val="19"/>
        </w:rPr>
      </w:pPr>
    </w:p>
    <w:p>
      <w:pPr>
        <w:pStyle w:val="BodyText"/>
        <w:spacing w:before="1"/>
        <w:ind w:left="119"/>
      </w:pPr>
      <w:r>
        <w:rPr/>
        <w:t>Energy Choice Solutions was acquired by NRG Energy, Inc. on 7/17/2015.</w:t>
      </w:r>
    </w:p>
    <w:p>
      <w:pPr>
        <w:spacing w:after="0"/>
        <w:sectPr>
          <w:footerReference w:type="default" r:id="rId26"/>
          <w:pgSz w:w="12240" w:h="15840"/>
          <w:pgMar w:footer="1389" w:header="0" w:top="1400" w:bottom="1580" w:left="1320" w:right="1320"/>
        </w:sectPr>
      </w:pPr>
    </w:p>
    <w:p>
      <w:pPr>
        <w:pStyle w:val="BodyText"/>
        <w:spacing w:before="39"/>
        <w:ind w:left="100"/>
      </w:pPr>
      <w:r>
        <w:rPr/>
        <w:t>Exhibit C-10 Corporate Structure</w:t>
      </w:r>
    </w:p>
    <w:p>
      <w:pPr>
        <w:pStyle w:val="BodyText"/>
        <w:spacing w:before="7"/>
        <w:rPr>
          <w:sz w:val="19"/>
        </w:rPr>
      </w:pPr>
    </w:p>
    <w:p>
      <w:pPr>
        <w:pStyle w:val="BodyText"/>
        <w:spacing w:line="276" w:lineRule="auto" w:before="1"/>
        <w:ind w:left="820" w:right="223"/>
        <w:rPr>
          <w:rFonts w:ascii="Times New Roman"/>
          <w:i/>
        </w:rPr>
      </w:pPr>
      <w:r>
        <w:rPr/>
        <w:t>Energy Choice Solutions LLC d/b/a Retail Energy Xchange, a Texas limited liability company, is 100% owned by NRG Advisory Services LLC, a Delaware limited liability company. NRG Advisory Services LLC is 100% owned by NRG Energy, Inc. NRG Energy, Inc. is a publicly-held corporation traded on the New York stock exchange under the symbol NRG</w:t>
      </w:r>
      <w:r>
        <w:rPr>
          <w:rFonts w:ascii="Times New Roman"/>
          <w:i/>
        </w:rPr>
        <w:t>.</w:t>
      </w:r>
    </w:p>
    <w:p>
      <w:pPr>
        <w:pStyle w:val="BodyText"/>
        <w:spacing w:before="1"/>
        <w:rPr>
          <w:rFonts w:ascii="Times New Roman"/>
          <w:i/>
          <w:sz w:val="18"/>
        </w:rPr>
      </w:pPr>
      <w:r>
        <w:rPr/>
        <w:pict>
          <v:group style="position:absolute;margin-left:193.296005pt;margin-top:12.3614pt;width:234.45pt;height:258.5pt;mso-position-horizontal-relative:page;mso-position-vertical-relative:paragraph;z-index:1456;mso-wrap-distance-left:0;mso-wrap-distance-right:0" coordorigin="3866,247" coordsize="4689,5170">
            <v:shape style="position:absolute;left:5919;top:900;width:133;height:583" coordorigin="5919,900" coordsize="133,583" path="m6052,900l6052,1483,5919,1483e" filled="false" stroked="true" strokeweight="2pt" strokecolor="#163862">
              <v:path arrowok="t"/>
              <v:stroke dashstyle="solid"/>
            </v:shape>
            <v:line style="position:absolute" from="6052,900" to="6052,2066" stroked="true" strokeweight="2pt" strokecolor="#163862">
              <v:stroke dashstyle="solid"/>
            </v:line>
            <v:rect style="position:absolute;left:5418;top:267;width:1267;height:633" filled="true" fillcolor="#ffffff" stroked="false">
              <v:fill type="solid"/>
            </v:rect>
            <v:rect style="position:absolute;left:5418;top:267;width:1267;height:633" filled="false" stroked="true" strokeweight="2pt" strokecolor="#1b4171">
              <v:stroke dashstyle="solid"/>
            </v:rect>
            <v:line style="position:absolute" from="6052,2699" to="6052,2965" stroked="true" strokeweight="2pt" strokecolor="#1b4171">
              <v:stroke dashstyle="solid"/>
            </v:line>
            <v:rect style="position:absolute;left:5418;top:2066;width:1267;height:633" filled="false" stroked="true" strokeweight="2pt" strokecolor="#1b4171">
              <v:stroke dashstyle="solid"/>
            </v:rect>
            <v:shape style="position:absolute;left:6052;top:3598;width:1533;height:266" coordorigin="6052,3598" coordsize="1533,266" path="m6052,3598l6052,3731,7584,3731,7584,3864e" filled="false" stroked="true" strokeweight="2pt" strokecolor="#1b4171">
              <v:path arrowok="t"/>
              <v:stroke dashstyle="solid"/>
            </v:shape>
            <v:line style="position:absolute" from="6052,3598" to="6052,3864" stroked="true" strokeweight="2pt" strokecolor="#1b4171">
              <v:stroke dashstyle="solid"/>
            </v:line>
            <v:shape style="position:absolute;left:4519;top:3598;width:1533;height:266" coordorigin="4519,3598" coordsize="1533,266" path="m6052,3598l6052,3731,4519,3731,4519,3864e" filled="false" stroked="true" strokeweight="2pt" strokecolor="#1b4171">
              <v:path arrowok="t"/>
              <v:stroke dashstyle="solid"/>
            </v:shape>
            <v:rect style="position:absolute;left:5418;top:2965;width:1267;height:633" filled="true" fillcolor="#ffffff" stroked="false">
              <v:fill type="solid"/>
            </v:rect>
            <v:rect style="position:absolute;left:5418;top:2965;width:1267;height:633" filled="false" stroked="true" strokeweight="2pt" strokecolor="#1b4171">
              <v:stroke dashstyle="solid"/>
            </v:rect>
            <v:rect style="position:absolute;left:3886;top:3864;width:1267;height:633" filled="true" fillcolor="#ffffff" stroked="false">
              <v:fill type="solid"/>
            </v:rect>
            <v:rect style="position:absolute;left:3886;top:3864;width:1267;height:633" filled="false" stroked="true" strokeweight="2pt" strokecolor="#1b4171">
              <v:stroke dashstyle="solid"/>
            </v:rect>
            <v:rect style="position:absolute;left:5418;top:3864;width:1267;height:633" filled="true" fillcolor="#ffffff" stroked="false">
              <v:fill type="solid"/>
            </v:rect>
            <v:rect style="position:absolute;left:5418;top:3864;width:1267;height:633" filled="false" stroked="true" strokeweight="2pt" strokecolor="#1b4171">
              <v:stroke dashstyle="solid"/>
            </v:rect>
            <v:shape style="position:absolute;left:7078;top:4497;width:190;height:583" coordorigin="7078,4497" coordsize="190,583" path="m7078,4497l7078,5080,7268,5080e" filled="false" stroked="true" strokeweight="2pt" strokecolor="#1b4171">
              <v:path arrowok="t"/>
              <v:stroke dashstyle="solid"/>
            </v:shape>
            <v:rect style="position:absolute;left:6951;top:3864;width:1267;height:633" filled="true" fillcolor="#ffffff" stroked="false">
              <v:fill type="solid"/>
            </v:rect>
            <v:rect style="position:absolute;left:6951;top:3864;width:1267;height:633" filled="false" stroked="true" strokeweight="2pt" strokecolor="#1b4171">
              <v:stroke dashstyle="solid"/>
            </v:rect>
            <v:rect style="position:absolute;left:7268;top:4763;width:1267;height:633" filled="true" fillcolor="#ffffff" stroked="false">
              <v:fill type="solid"/>
            </v:rect>
            <v:rect style="position:absolute;left:7268;top:4763;width:1267;height:633" filled="false" stroked="true" strokeweight="2pt" strokecolor="#1b4171">
              <v:stroke dashstyle="solid"/>
            </v:rect>
            <v:rect style="position:absolute;left:4652;top:1166;width:1267;height:633" filled="true" fillcolor="#ffffff" stroked="false">
              <v:fill type="solid"/>
            </v:rect>
            <v:rect style="position:absolute;left:4652;top:1166;width:1267;height:633" filled="false" stroked="true" strokeweight="2pt" strokecolor="#1b4171">
              <v:stroke dashstyle="solid"/>
            </v:rect>
            <v:shape style="position:absolute;left:5418;top:267;width:1267;height:634" type="#_x0000_t202" filled="false" stroked="false">
              <v:textbox inset="0,0,0,0">
                <w:txbxContent>
                  <w:p>
                    <w:pPr>
                      <w:spacing w:line="240" w:lineRule="auto" w:before="11"/>
                      <w:rPr>
                        <w:rFonts w:ascii="Times New Roman"/>
                        <w:i/>
                        <w:sz w:val="16"/>
                      </w:rPr>
                    </w:pPr>
                  </w:p>
                  <w:p>
                    <w:pPr>
                      <w:spacing w:before="0"/>
                      <w:ind w:left="30" w:right="0" w:firstLine="0"/>
                      <w:jc w:val="left"/>
                      <w:rPr>
                        <w:sz w:val="18"/>
                      </w:rPr>
                    </w:pPr>
                    <w:r>
                      <w:rPr>
                        <w:color w:val="1F497D"/>
                        <w:sz w:val="18"/>
                      </w:rPr>
                      <w:t>President &amp; CEO</w:t>
                    </w:r>
                  </w:p>
                </w:txbxContent>
              </v:textbox>
              <w10:wrap type="none"/>
            </v:shape>
            <v:shape style="position:absolute;left:4652;top:1166;width:1267;height:634" type="#_x0000_t202" filled="false" stroked="false">
              <v:textbox inset="0,0,0,0">
                <w:txbxContent>
                  <w:p>
                    <w:pPr>
                      <w:spacing w:line="200" w:lineRule="exact" w:before="107"/>
                      <w:ind w:left="297" w:right="0" w:hanging="159"/>
                      <w:jc w:val="left"/>
                      <w:rPr>
                        <w:sz w:val="18"/>
                      </w:rPr>
                    </w:pPr>
                    <w:r>
                      <w:rPr>
                        <w:color w:val="1F497D"/>
                        <w:sz w:val="18"/>
                      </w:rPr>
                      <w:t>SVP, Business Solutions</w:t>
                    </w:r>
                  </w:p>
                </w:txbxContent>
              </v:textbox>
              <w10:wrap type="none"/>
            </v:shape>
            <v:shape style="position:absolute;left:5418;top:2066;width:1267;height:634" type="#_x0000_t202" filled="false" stroked="false">
              <v:textbox inset="0,0,0,0">
                <w:txbxContent>
                  <w:p>
                    <w:pPr>
                      <w:spacing w:line="216" w:lineRule="auto" w:before="14"/>
                      <w:ind w:left="25" w:right="24" w:firstLine="0"/>
                      <w:jc w:val="center"/>
                      <w:rPr>
                        <w:sz w:val="18"/>
                      </w:rPr>
                    </w:pPr>
                    <w:r>
                      <w:rPr>
                        <w:color w:val="1F497D"/>
                        <w:sz w:val="18"/>
                      </w:rPr>
                      <w:t>President Distributed Energy Solutions</w:t>
                    </w:r>
                  </w:p>
                </w:txbxContent>
              </v:textbox>
              <w10:wrap type="none"/>
            </v:shape>
            <v:shape style="position:absolute;left:5418;top:2965;width:1267;height:634" type="#_x0000_t202" filled="false" stroked="false">
              <v:textbox inset="0,0,0,0">
                <w:txbxContent>
                  <w:p>
                    <w:pPr>
                      <w:spacing w:line="200" w:lineRule="exact" w:before="107"/>
                      <w:ind w:left="152" w:right="133" w:firstLine="84"/>
                      <w:jc w:val="left"/>
                      <w:rPr>
                        <w:sz w:val="18"/>
                      </w:rPr>
                    </w:pPr>
                    <w:r>
                      <w:rPr>
                        <w:color w:val="1F497D"/>
                        <w:sz w:val="18"/>
                      </w:rPr>
                      <w:t>Director of Procurement</w:t>
                    </w:r>
                  </w:p>
                </w:txbxContent>
              </v:textbox>
              <w10:wrap type="none"/>
            </v:shape>
            <v:shape style="position:absolute;left:3886;top:3864;width:1267;height:634" type="#_x0000_t202" filled="false" stroked="false">
              <v:textbox inset="0,0,0,0">
                <w:txbxContent>
                  <w:p>
                    <w:pPr>
                      <w:spacing w:line="200" w:lineRule="exact" w:before="107"/>
                      <w:ind w:left="428" w:right="119" w:hanging="291"/>
                      <w:jc w:val="left"/>
                      <w:rPr>
                        <w:sz w:val="18"/>
                      </w:rPr>
                    </w:pPr>
                    <w:r>
                      <w:rPr>
                        <w:color w:val="1F497D"/>
                        <w:sz w:val="18"/>
                      </w:rPr>
                      <w:t>Development Team</w:t>
                    </w:r>
                  </w:p>
                </w:txbxContent>
              </v:textbox>
              <w10:wrap type="none"/>
            </v:shape>
            <v:shape style="position:absolute;left:5418;top:3864;width:1267;height:634" type="#_x0000_t202" filled="false" stroked="false">
              <v:textbox inset="0,0,0,0">
                <w:txbxContent>
                  <w:p>
                    <w:pPr>
                      <w:spacing w:line="240" w:lineRule="auto" w:before="11"/>
                      <w:rPr>
                        <w:rFonts w:ascii="Times New Roman"/>
                        <w:i/>
                        <w:sz w:val="16"/>
                      </w:rPr>
                    </w:pPr>
                  </w:p>
                  <w:p>
                    <w:pPr>
                      <w:spacing w:before="0"/>
                      <w:ind w:left="289" w:right="0" w:firstLine="0"/>
                      <w:jc w:val="left"/>
                      <w:rPr>
                        <w:sz w:val="18"/>
                      </w:rPr>
                    </w:pPr>
                    <w:r>
                      <w:rPr>
                        <w:color w:val="1F497D"/>
                        <w:sz w:val="18"/>
                      </w:rPr>
                      <w:t>REX Sales</w:t>
                    </w:r>
                  </w:p>
                </w:txbxContent>
              </v:textbox>
              <w10:wrap type="none"/>
            </v:shape>
            <v:shape style="position:absolute;left:6951;top:3864;width:1267;height:634" type="#_x0000_t202" filled="false" stroked="false">
              <v:textbox inset="0,0,0,0">
                <w:txbxContent>
                  <w:p>
                    <w:pPr>
                      <w:spacing w:line="200" w:lineRule="exact" w:before="107"/>
                      <w:ind w:left="30" w:right="-2" w:hanging="15"/>
                      <w:jc w:val="left"/>
                      <w:rPr>
                        <w:sz w:val="18"/>
                      </w:rPr>
                    </w:pPr>
                    <w:r>
                      <w:rPr>
                        <w:color w:val="1F497D"/>
                        <w:sz w:val="18"/>
                      </w:rPr>
                      <w:t>Manager Market Operations Desk</w:t>
                    </w:r>
                  </w:p>
                </w:txbxContent>
              </v:textbox>
              <w10:wrap type="none"/>
            </v:shape>
            <v:shape style="position:absolute;left:7268;top:4763;width:1267;height:634" type="#_x0000_t202" filled="false" stroked="false">
              <v:textbox inset="0,0,0,0">
                <w:txbxContent>
                  <w:p>
                    <w:pPr>
                      <w:spacing w:line="216" w:lineRule="auto" w:before="14"/>
                      <w:ind w:left="25" w:right="24" w:firstLine="0"/>
                      <w:jc w:val="center"/>
                      <w:rPr>
                        <w:sz w:val="18"/>
                      </w:rPr>
                    </w:pPr>
                    <w:r>
                      <w:rPr>
                        <w:color w:val="1F497D"/>
                        <w:sz w:val="18"/>
                      </w:rPr>
                      <w:t>Market Operations Desk Analyst</w:t>
                    </w:r>
                  </w:p>
                </w:txbxContent>
              </v:textbox>
              <w10:wrap type="none"/>
            </v:shape>
            <w10:wrap type="topAndBottom"/>
          </v:group>
        </w:pict>
      </w:r>
    </w:p>
    <w:p>
      <w:pPr>
        <w:pStyle w:val="BodyText"/>
        <w:rPr>
          <w:rFonts w:ascii="Times New Roman"/>
          <w:i/>
          <w:sz w:val="24"/>
        </w:rPr>
      </w:pPr>
    </w:p>
    <w:p>
      <w:pPr>
        <w:pStyle w:val="BodyText"/>
        <w:rPr>
          <w:rFonts w:ascii="Times New Roman"/>
          <w:i/>
          <w:sz w:val="24"/>
        </w:rPr>
      </w:pPr>
    </w:p>
    <w:p>
      <w:pPr>
        <w:pStyle w:val="BodyText"/>
        <w:spacing w:before="8"/>
        <w:rPr>
          <w:rFonts w:ascii="Times New Roman"/>
          <w:i/>
          <w:sz w:val="26"/>
        </w:rPr>
      </w:pPr>
    </w:p>
    <w:p>
      <w:pPr>
        <w:pStyle w:val="BodyText"/>
        <w:spacing w:line="276" w:lineRule="auto"/>
        <w:ind w:left="100" w:right="255"/>
      </w:pPr>
      <w:r>
        <w:rPr/>
        <w:t>NRG and its subsidiary companies that supply retail or wholesale electricity or natural gas to customers in North America:</w:t>
      </w:r>
    </w:p>
    <w:p>
      <w:pPr>
        <w:pStyle w:val="BodyText"/>
        <w:spacing w:before="4"/>
        <w:rPr>
          <w:sz w:val="16"/>
        </w:rPr>
      </w:pPr>
    </w:p>
    <w:p>
      <w:pPr>
        <w:pStyle w:val="ListParagraph"/>
        <w:numPr>
          <w:ilvl w:val="1"/>
          <w:numId w:val="1"/>
        </w:numPr>
        <w:tabs>
          <w:tab w:pos="1181" w:val="left" w:leader="none"/>
        </w:tabs>
        <w:spacing w:line="240" w:lineRule="auto" w:before="0" w:after="0"/>
        <w:ind w:left="1180" w:right="0" w:hanging="360"/>
        <w:jc w:val="left"/>
        <w:rPr>
          <w:sz w:val="22"/>
        </w:rPr>
      </w:pPr>
      <w:r>
        <w:rPr>
          <w:sz w:val="22"/>
        </w:rPr>
        <w:t>Reliant Energy Retail Services,</w:t>
      </w:r>
      <w:r>
        <w:rPr>
          <w:spacing w:val="-12"/>
          <w:sz w:val="22"/>
        </w:rPr>
        <w:t> </w:t>
      </w:r>
      <w:r>
        <w:rPr>
          <w:sz w:val="22"/>
        </w:rPr>
        <w:t>LLC</w:t>
      </w:r>
    </w:p>
    <w:p>
      <w:pPr>
        <w:pStyle w:val="ListParagraph"/>
        <w:numPr>
          <w:ilvl w:val="1"/>
          <w:numId w:val="1"/>
        </w:numPr>
        <w:tabs>
          <w:tab w:pos="1181" w:val="left" w:leader="none"/>
        </w:tabs>
        <w:spacing w:line="240" w:lineRule="auto" w:before="0" w:after="0"/>
        <w:ind w:left="1180" w:right="0" w:hanging="360"/>
        <w:jc w:val="left"/>
        <w:rPr>
          <w:sz w:val="22"/>
        </w:rPr>
      </w:pPr>
      <w:r>
        <w:rPr>
          <w:sz w:val="22"/>
        </w:rPr>
        <w:t>Reliant Energy Northeast, LLC, d/b/a NRG Business</w:t>
      </w:r>
      <w:r>
        <w:rPr>
          <w:spacing w:val="-20"/>
          <w:sz w:val="22"/>
        </w:rPr>
        <w:t> </w:t>
      </w:r>
      <w:r>
        <w:rPr>
          <w:sz w:val="22"/>
        </w:rPr>
        <w:t>Solutions</w:t>
      </w:r>
    </w:p>
    <w:p>
      <w:pPr>
        <w:pStyle w:val="ListParagraph"/>
        <w:numPr>
          <w:ilvl w:val="1"/>
          <w:numId w:val="1"/>
        </w:numPr>
        <w:tabs>
          <w:tab w:pos="1181" w:val="left" w:leader="none"/>
        </w:tabs>
        <w:spacing w:line="240" w:lineRule="auto" w:before="0" w:after="0"/>
        <w:ind w:left="1180" w:right="0" w:hanging="360"/>
        <w:jc w:val="left"/>
        <w:rPr>
          <w:sz w:val="22"/>
        </w:rPr>
      </w:pPr>
      <w:r>
        <w:rPr>
          <w:sz w:val="22"/>
        </w:rPr>
        <w:t>Green Mountain Energy</w:t>
      </w:r>
      <w:r>
        <w:rPr>
          <w:spacing w:val="-10"/>
          <w:sz w:val="22"/>
        </w:rPr>
        <w:t> </w:t>
      </w:r>
      <w:r>
        <w:rPr>
          <w:sz w:val="22"/>
        </w:rPr>
        <w:t>Company</w:t>
      </w:r>
    </w:p>
    <w:p>
      <w:pPr>
        <w:pStyle w:val="ListParagraph"/>
        <w:numPr>
          <w:ilvl w:val="1"/>
          <w:numId w:val="1"/>
        </w:numPr>
        <w:tabs>
          <w:tab w:pos="1181" w:val="left" w:leader="none"/>
        </w:tabs>
        <w:spacing w:line="268" w:lineRule="exact" w:before="0" w:after="0"/>
        <w:ind w:left="1180" w:right="0" w:hanging="360"/>
        <w:jc w:val="left"/>
        <w:rPr>
          <w:sz w:val="22"/>
        </w:rPr>
      </w:pPr>
      <w:r>
        <w:rPr>
          <w:sz w:val="22"/>
        </w:rPr>
        <w:t>US Retailers LLC d/b/a Cirro Energy and d/b/a Pennywise</w:t>
      </w:r>
      <w:r>
        <w:rPr>
          <w:spacing w:val="-23"/>
          <w:sz w:val="22"/>
        </w:rPr>
        <w:t> </w:t>
      </w:r>
      <w:r>
        <w:rPr>
          <w:sz w:val="22"/>
        </w:rPr>
        <w:t>Power</w:t>
      </w:r>
    </w:p>
    <w:p>
      <w:pPr>
        <w:pStyle w:val="ListParagraph"/>
        <w:numPr>
          <w:ilvl w:val="1"/>
          <w:numId w:val="1"/>
        </w:numPr>
        <w:tabs>
          <w:tab w:pos="1181" w:val="left" w:leader="none"/>
        </w:tabs>
        <w:spacing w:line="268" w:lineRule="exact" w:before="0" w:after="0"/>
        <w:ind w:left="1180" w:right="0" w:hanging="360"/>
        <w:jc w:val="left"/>
        <w:rPr>
          <w:sz w:val="22"/>
        </w:rPr>
      </w:pPr>
      <w:r>
        <w:rPr>
          <w:sz w:val="22"/>
        </w:rPr>
        <w:t>Independence Energy Alliance</w:t>
      </w:r>
      <w:r>
        <w:rPr>
          <w:spacing w:val="-10"/>
          <w:sz w:val="22"/>
        </w:rPr>
        <w:t> </w:t>
      </w:r>
      <w:r>
        <w:rPr>
          <w:sz w:val="22"/>
        </w:rPr>
        <w:t>LLC</w:t>
      </w:r>
    </w:p>
    <w:p>
      <w:pPr>
        <w:pStyle w:val="ListParagraph"/>
        <w:numPr>
          <w:ilvl w:val="1"/>
          <w:numId w:val="1"/>
        </w:numPr>
        <w:tabs>
          <w:tab w:pos="1181" w:val="left" w:leader="none"/>
        </w:tabs>
        <w:spacing w:line="240" w:lineRule="auto" w:before="0" w:after="0"/>
        <w:ind w:left="1180" w:right="0" w:hanging="360"/>
        <w:jc w:val="left"/>
        <w:rPr>
          <w:sz w:val="22"/>
        </w:rPr>
      </w:pPr>
      <w:r>
        <w:rPr>
          <w:sz w:val="22"/>
        </w:rPr>
        <w:t>Independence Energy Natural Gas</w:t>
      </w:r>
      <w:r>
        <w:rPr>
          <w:spacing w:val="-12"/>
          <w:sz w:val="22"/>
        </w:rPr>
        <w:t> </w:t>
      </w:r>
      <w:r>
        <w:rPr>
          <w:sz w:val="22"/>
        </w:rPr>
        <w:t>LLC</w:t>
      </w:r>
    </w:p>
    <w:p>
      <w:pPr>
        <w:pStyle w:val="ListParagraph"/>
        <w:numPr>
          <w:ilvl w:val="1"/>
          <w:numId w:val="1"/>
        </w:numPr>
        <w:tabs>
          <w:tab w:pos="1181" w:val="left" w:leader="none"/>
        </w:tabs>
        <w:spacing w:line="240" w:lineRule="auto" w:before="0" w:after="0"/>
        <w:ind w:left="1180" w:right="0" w:hanging="360"/>
        <w:jc w:val="left"/>
        <w:rPr>
          <w:sz w:val="22"/>
        </w:rPr>
      </w:pPr>
      <w:r>
        <w:rPr>
          <w:sz w:val="22"/>
        </w:rPr>
        <w:t>Energy Plus Natural Gas</w:t>
      </w:r>
      <w:r>
        <w:rPr>
          <w:spacing w:val="-11"/>
          <w:sz w:val="22"/>
        </w:rPr>
        <w:t> </w:t>
      </w:r>
      <w:r>
        <w:rPr>
          <w:sz w:val="22"/>
        </w:rPr>
        <w:t>LLC</w:t>
      </w:r>
    </w:p>
    <w:p>
      <w:pPr>
        <w:spacing w:after="0" w:line="240" w:lineRule="auto"/>
        <w:jc w:val="left"/>
        <w:rPr>
          <w:sz w:val="22"/>
        </w:rPr>
        <w:sectPr>
          <w:footerReference w:type="default" r:id="rId27"/>
          <w:pgSz w:w="12240" w:h="15840"/>
          <w:pgMar w:footer="1389" w:header="0" w:top="1400" w:bottom="1580" w:left="1340" w:right="1320"/>
          <w:pgNumType w:start="31"/>
        </w:sectPr>
      </w:pPr>
    </w:p>
    <w:p>
      <w:pPr>
        <w:pStyle w:val="BodyText"/>
        <w:spacing w:before="39"/>
        <w:ind w:left="120"/>
      </w:pPr>
      <w:r>
        <w:rPr/>
        <w:t>Exhibit D-1 “Operations”</w:t>
      </w:r>
    </w:p>
    <w:p>
      <w:pPr>
        <w:pStyle w:val="BodyText"/>
        <w:spacing w:before="10"/>
        <w:rPr>
          <w:sz w:val="32"/>
        </w:rPr>
      </w:pPr>
    </w:p>
    <w:p>
      <w:pPr>
        <w:pStyle w:val="BodyText"/>
        <w:spacing w:line="273" w:lineRule="auto"/>
        <w:ind w:left="120" w:right="381"/>
      </w:pPr>
      <w:r>
        <w:rPr/>
        <w:t>Operating as a broker instead of a supplier or aggregator, Energy Choice Solutions LLC d/b/a Retail Energy Xchange operations consist of the following key business functions:</w:t>
      </w:r>
    </w:p>
    <w:p>
      <w:pPr>
        <w:pStyle w:val="BodyText"/>
        <w:spacing w:before="7"/>
        <w:rPr>
          <w:sz w:val="16"/>
        </w:rPr>
      </w:pPr>
    </w:p>
    <w:p>
      <w:pPr>
        <w:pStyle w:val="ListParagraph"/>
        <w:numPr>
          <w:ilvl w:val="0"/>
          <w:numId w:val="2"/>
        </w:numPr>
        <w:tabs>
          <w:tab w:pos="839" w:val="left" w:leader="none"/>
          <w:tab w:pos="841" w:val="left" w:leader="none"/>
        </w:tabs>
        <w:spacing w:line="240" w:lineRule="auto" w:before="0" w:after="0"/>
        <w:ind w:left="840" w:right="0" w:hanging="361"/>
        <w:jc w:val="left"/>
        <w:rPr>
          <w:sz w:val="22"/>
        </w:rPr>
      </w:pPr>
      <w:r>
        <w:rPr>
          <w:sz w:val="22"/>
        </w:rPr>
        <w:t>Supplier</w:t>
      </w:r>
      <w:r>
        <w:rPr>
          <w:spacing w:val="-5"/>
          <w:sz w:val="22"/>
        </w:rPr>
        <w:t> </w:t>
      </w:r>
      <w:r>
        <w:rPr>
          <w:sz w:val="22"/>
        </w:rPr>
        <w:t>Management</w:t>
      </w:r>
    </w:p>
    <w:p>
      <w:pPr>
        <w:pStyle w:val="ListParagraph"/>
        <w:numPr>
          <w:ilvl w:val="1"/>
          <w:numId w:val="2"/>
        </w:numPr>
        <w:tabs>
          <w:tab w:pos="1559" w:val="left" w:leader="none"/>
          <w:tab w:pos="1561" w:val="left" w:leader="none"/>
        </w:tabs>
        <w:spacing w:line="240" w:lineRule="auto" w:before="21" w:after="0"/>
        <w:ind w:left="1560" w:right="0" w:hanging="361"/>
        <w:jc w:val="left"/>
        <w:rPr>
          <w:sz w:val="22"/>
        </w:rPr>
      </w:pPr>
      <w:r>
        <w:rPr>
          <w:sz w:val="22"/>
        </w:rPr>
        <w:t>Identify qualified suppliers in the</w:t>
      </w:r>
      <w:r>
        <w:rPr>
          <w:spacing w:val="-19"/>
          <w:sz w:val="22"/>
        </w:rPr>
        <w:t> </w:t>
      </w:r>
      <w:r>
        <w:rPr>
          <w:sz w:val="22"/>
        </w:rPr>
        <w:t>market</w:t>
      </w:r>
    </w:p>
    <w:p>
      <w:pPr>
        <w:pStyle w:val="ListParagraph"/>
        <w:numPr>
          <w:ilvl w:val="1"/>
          <w:numId w:val="2"/>
        </w:numPr>
        <w:tabs>
          <w:tab w:pos="1560" w:val="left" w:leader="none"/>
          <w:tab w:pos="1561" w:val="left" w:leader="none"/>
        </w:tabs>
        <w:spacing w:line="240" w:lineRule="auto" w:before="14" w:after="0"/>
        <w:ind w:left="1560" w:right="0" w:hanging="360"/>
        <w:jc w:val="left"/>
        <w:rPr>
          <w:sz w:val="22"/>
        </w:rPr>
      </w:pPr>
      <w:r>
        <w:rPr>
          <w:sz w:val="22"/>
        </w:rPr>
        <w:t>Negotiate broker agreements with selected</w:t>
      </w:r>
      <w:r>
        <w:rPr>
          <w:spacing w:val="-15"/>
          <w:sz w:val="22"/>
        </w:rPr>
        <w:t> </w:t>
      </w:r>
      <w:r>
        <w:rPr>
          <w:sz w:val="22"/>
        </w:rPr>
        <w:t>suppliers</w:t>
      </w:r>
    </w:p>
    <w:p>
      <w:pPr>
        <w:pStyle w:val="ListParagraph"/>
        <w:numPr>
          <w:ilvl w:val="1"/>
          <w:numId w:val="2"/>
        </w:numPr>
        <w:tabs>
          <w:tab w:pos="1560" w:val="left" w:leader="none"/>
          <w:tab w:pos="1561" w:val="left" w:leader="none"/>
        </w:tabs>
        <w:spacing w:line="249" w:lineRule="auto" w:before="14" w:after="0"/>
        <w:ind w:left="1560" w:right="116" w:hanging="360"/>
        <w:jc w:val="left"/>
        <w:rPr>
          <w:sz w:val="22"/>
        </w:rPr>
      </w:pPr>
      <w:r>
        <w:rPr>
          <w:sz w:val="22"/>
        </w:rPr>
        <w:t>Maintain ongoing relationships with selected suppliers in terms of individual energy customers along with general processes with</w:t>
      </w:r>
      <w:r>
        <w:rPr>
          <w:spacing w:val="-22"/>
          <w:sz w:val="22"/>
        </w:rPr>
        <w:t> </w:t>
      </w:r>
      <w:r>
        <w:rPr>
          <w:sz w:val="22"/>
        </w:rPr>
        <w:t>suppliers</w:t>
      </w:r>
    </w:p>
    <w:p>
      <w:pPr>
        <w:pStyle w:val="ListParagraph"/>
        <w:numPr>
          <w:ilvl w:val="0"/>
          <w:numId w:val="2"/>
        </w:numPr>
        <w:tabs>
          <w:tab w:pos="840" w:val="left" w:leader="none"/>
          <w:tab w:pos="841" w:val="left" w:leader="none"/>
        </w:tabs>
        <w:spacing w:line="240" w:lineRule="auto" w:before="11" w:after="0"/>
        <w:ind w:left="840" w:right="0" w:hanging="360"/>
        <w:jc w:val="left"/>
        <w:rPr>
          <w:sz w:val="22"/>
        </w:rPr>
      </w:pPr>
      <w:r>
        <w:rPr>
          <w:sz w:val="22"/>
        </w:rPr>
        <w:t>Broker</w:t>
      </w:r>
      <w:r>
        <w:rPr>
          <w:spacing w:val="-6"/>
          <w:sz w:val="22"/>
        </w:rPr>
        <w:t> </w:t>
      </w:r>
      <w:r>
        <w:rPr>
          <w:sz w:val="22"/>
        </w:rPr>
        <w:t>Training</w:t>
      </w:r>
    </w:p>
    <w:p>
      <w:pPr>
        <w:pStyle w:val="ListParagraph"/>
        <w:numPr>
          <w:ilvl w:val="1"/>
          <w:numId w:val="2"/>
        </w:numPr>
        <w:tabs>
          <w:tab w:pos="1561" w:val="left" w:leader="none"/>
        </w:tabs>
        <w:spacing w:line="254" w:lineRule="auto" w:before="21" w:after="0"/>
        <w:ind w:left="1560" w:right="115" w:hanging="360"/>
        <w:jc w:val="both"/>
        <w:rPr>
          <w:sz w:val="22"/>
        </w:rPr>
      </w:pPr>
      <w:r>
        <w:rPr>
          <w:sz w:val="22"/>
        </w:rPr>
        <w:t>Train Energy Choice Solutions LLC d/b/a Retail Energy Xchange brokers on PUC regulations, electric and gas procurement services and processes, and use of the Energy Choice Solutions LLC d/b/a Retail Energy Xchange energy procurement</w:t>
      </w:r>
      <w:r>
        <w:rPr>
          <w:spacing w:val="-27"/>
          <w:sz w:val="22"/>
        </w:rPr>
        <w:t> </w:t>
      </w:r>
      <w:r>
        <w:rPr>
          <w:sz w:val="22"/>
        </w:rPr>
        <w:t>system</w:t>
      </w:r>
    </w:p>
    <w:p>
      <w:pPr>
        <w:pStyle w:val="ListParagraph"/>
        <w:numPr>
          <w:ilvl w:val="0"/>
          <w:numId w:val="2"/>
        </w:numPr>
        <w:tabs>
          <w:tab w:pos="840" w:val="left" w:leader="none"/>
          <w:tab w:pos="841" w:val="left" w:leader="none"/>
        </w:tabs>
        <w:spacing w:line="240" w:lineRule="auto" w:before="5" w:after="0"/>
        <w:ind w:left="840" w:right="0" w:hanging="360"/>
        <w:jc w:val="left"/>
        <w:rPr>
          <w:sz w:val="22"/>
        </w:rPr>
      </w:pPr>
      <w:r>
        <w:rPr>
          <w:sz w:val="22"/>
        </w:rPr>
        <w:t>Broker</w:t>
      </w:r>
      <w:r>
        <w:rPr>
          <w:spacing w:val="-3"/>
          <w:sz w:val="22"/>
        </w:rPr>
        <w:t> </w:t>
      </w:r>
      <w:r>
        <w:rPr>
          <w:sz w:val="22"/>
        </w:rPr>
        <w:t>Support</w:t>
      </w:r>
    </w:p>
    <w:p>
      <w:pPr>
        <w:pStyle w:val="ListParagraph"/>
        <w:numPr>
          <w:ilvl w:val="1"/>
          <w:numId w:val="2"/>
        </w:numPr>
        <w:tabs>
          <w:tab w:pos="1561" w:val="left" w:leader="none"/>
        </w:tabs>
        <w:spacing w:line="256" w:lineRule="auto" w:before="21" w:after="0"/>
        <w:ind w:left="1560" w:right="113" w:hanging="360"/>
        <w:jc w:val="both"/>
        <w:rPr>
          <w:sz w:val="22"/>
        </w:rPr>
      </w:pPr>
      <w:r>
        <w:rPr>
          <w:sz w:val="22"/>
        </w:rPr>
        <w:t>Support Energy Choice Solutions LLC d/b/a Retail Energy Xchange brokers in their day- to-day activities including but not limited to supplier products and information, LOA and LOE management, providing credit information to suppliers, energy contracts, and use  of the Energy Choice Solutions LLC d/b/a Retail Energy Xchange energy procurement system</w:t>
      </w:r>
    </w:p>
    <w:p>
      <w:pPr>
        <w:pStyle w:val="ListParagraph"/>
        <w:numPr>
          <w:ilvl w:val="0"/>
          <w:numId w:val="2"/>
        </w:numPr>
        <w:tabs>
          <w:tab w:pos="840" w:val="left" w:leader="none"/>
          <w:tab w:pos="841" w:val="left" w:leader="none"/>
        </w:tabs>
        <w:spacing w:line="240" w:lineRule="auto" w:before="0" w:after="0"/>
        <w:ind w:left="840" w:right="0" w:hanging="360"/>
        <w:jc w:val="left"/>
        <w:rPr>
          <w:sz w:val="22"/>
        </w:rPr>
      </w:pPr>
      <w:r>
        <w:rPr>
          <w:sz w:val="22"/>
        </w:rPr>
        <w:t>Sales &amp;</w:t>
      </w:r>
      <w:r>
        <w:rPr>
          <w:spacing w:val="-6"/>
          <w:sz w:val="22"/>
        </w:rPr>
        <w:t> </w:t>
      </w:r>
      <w:r>
        <w:rPr>
          <w:sz w:val="22"/>
        </w:rPr>
        <w:t>Marketing</w:t>
      </w:r>
    </w:p>
    <w:p>
      <w:pPr>
        <w:pStyle w:val="ListParagraph"/>
        <w:numPr>
          <w:ilvl w:val="1"/>
          <w:numId w:val="2"/>
        </w:numPr>
        <w:tabs>
          <w:tab w:pos="1560" w:val="left" w:leader="none"/>
          <w:tab w:pos="1561" w:val="left" w:leader="none"/>
        </w:tabs>
        <w:spacing w:line="252" w:lineRule="auto" w:before="21" w:after="0"/>
        <w:ind w:left="1560" w:right="115" w:hanging="360"/>
        <w:jc w:val="left"/>
        <w:rPr>
          <w:sz w:val="22"/>
        </w:rPr>
      </w:pPr>
      <w:r>
        <w:rPr>
          <w:sz w:val="22"/>
        </w:rPr>
        <w:t>Programs to recruit new Energy Choice Solutions LLC d/b/a Retail Energy Xchange brokers</w:t>
      </w:r>
    </w:p>
    <w:p>
      <w:pPr>
        <w:pStyle w:val="ListParagraph"/>
        <w:numPr>
          <w:ilvl w:val="1"/>
          <w:numId w:val="2"/>
        </w:numPr>
        <w:tabs>
          <w:tab w:pos="1561" w:val="left" w:leader="none"/>
          <w:tab w:pos="1562" w:val="left" w:leader="none"/>
        </w:tabs>
        <w:spacing w:line="249" w:lineRule="auto" w:before="8" w:after="0"/>
        <w:ind w:left="1561" w:right="113" w:hanging="360"/>
        <w:jc w:val="left"/>
        <w:rPr>
          <w:sz w:val="22"/>
        </w:rPr>
      </w:pPr>
      <w:r>
        <w:rPr>
          <w:sz w:val="22"/>
        </w:rPr>
        <w:t>Promote Energy Choice Solutions LLC d/b/a Retail Energy Xchange at tradeshows and industry</w:t>
      </w:r>
      <w:r>
        <w:rPr>
          <w:spacing w:val="-2"/>
          <w:sz w:val="22"/>
        </w:rPr>
        <w:t> </w:t>
      </w:r>
      <w:r>
        <w:rPr>
          <w:sz w:val="22"/>
        </w:rPr>
        <w:t>events</w:t>
      </w:r>
    </w:p>
    <w:p>
      <w:pPr>
        <w:pStyle w:val="ListParagraph"/>
        <w:numPr>
          <w:ilvl w:val="1"/>
          <w:numId w:val="2"/>
        </w:numPr>
        <w:tabs>
          <w:tab w:pos="1561" w:val="left" w:leader="none"/>
          <w:tab w:pos="1562" w:val="left" w:leader="none"/>
        </w:tabs>
        <w:spacing w:line="240" w:lineRule="auto" w:before="10" w:after="0"/>
        <w:ind w:left="1561" w:right="0" w:hanging="360"/>
        <w:jc w:val="left"/>
        <w:rPr>
          <w:sz w:val="22"/>
        </w:rPr>
      </w:pPr>
      <w:r>
        <w:rPr>
          <w:sz w:val="22"/>
        </w:rPr>
        <w:t>Develop and maintain sales support materials and</w:t>
      </w:r>
      <w:r>
        <w:rPr>
          <w:spacing w:val="-27"/>
          <w:sz w:val="22"/>
        </w:rPr>
        <w:t> </w:t>
      </w:r>
      <w:r>
        <w:rPr>
          <w:sz w:val="22"/>
        </w:rPr>
        <w:t>collateral</w:t>
      </w:r>
    </w:p>
    <w:p>
      <w:pPr>
        <w:pStyle w:val="ListParagraph"/>
        <w:numPr>
          <w:ilvl w:val="0"/>
          <w:numId w:val="2"/>
        </w:numPr>
        <w:tabs>
          <w:tab w:pos="841" w:val="left" w:leader="none"/>
          <w:tab w:pos="842" w:val="left" w:leader="none"/>
        </w:tabs>
        <w:spacing w:line="240" w:lineRule="auto" w:before="14" w:after="0"/>
        <w:ind w:left="841" w:right="0" w:hanging="360"/>
        <w:jc w:val="left"/>
        <w:rPr>
          <w:sz w:val="22"/>
        </w:rPr>
      </w:pPr>
      <w:r>
        <w:rPr>
          <w:sz w:val="22"/>
        </w:rPr>
        <w:t>Finance</w:t>
      </w:r>
    </w:p>
    <w:p>
      <w:pPr>
        <w:pStyle w:val="ListParagraph"/>
        <w:numPr>
          <w:ilvl w:val="1"/>
          <w:numId w:val="2"/>
        </w:numPr>
        <w:tabs>
          <w:tab w:pos="1561" w:val="left" w:leader="none"/>
          <w:tab w:pos="1562" w:val="left" w:leader="none"/>
        </w:tabs>
        <w:spacing w:line="240" w:lineRule="auto" w:before="19" w:after="0"/>
        <w:ind w:left="1561" w:right="0" w:hanging="360"/>
        <w:jc w:val="left"/>
        <w:rPr>
          <w:sz w:val="22"/>
        </w:rPr>
      </w:pPr>
      <w:r>
        <w:rPr>
          <w:sz w:val="22"/>
        </w:rPr>
        <w:t>General company</w:t>
      </w:r>
      <w:r>
        <w:rPr>
          <w:spacing w:val="-10"/>
          <w:sz w:val="22"/>
        </w:rPr>
        <w:t> </w:t>
      </w:r>
      <w:r>
        <w:rPr>
          <w:sz w:val="22"/>
        </w:rPr>
        <w:t>accounting</w:t>
      </w:r>
    </w:p>
    <w:p>
      <w:pPr>
        <w:pStyle w:val="ListParagraph"/>
        <w:numPr>
          <w:ilvl w:val="1"/>
          <w:numId w:val="2"/>
        </w:numPr>
        <w:tabs>
          <w:tab w:pos="1561" w:val="left" w:leader="none"/>
          <w:tab w:pos="1562" w:val="left" w:leader="none"/>
        </w:tabs>
        <w:spacing w:line="240" w:lineRule="auto" w:before="15" w:after="0"/>
        <w:ind w:left="1561" w:right="0" w:hanging="360"/>
        <w:jc w:val="left"/>
        <w:rPr>
          <w:sz w:val="22"/>
        </w:rPr>
      </w:pPr>
      <w:r>
        <w:rPr>
          <w:sz w:val="22"/>
        </w:rPr>
        <w:t>Processing and management of supplier sales</w:t>
      </w:r>
      <w:r>
        <w:rPr>
          <w:spacing w:val="-16"/>
          <w:sz w:val="22"/>
        </w:rPr>
        <w:t> </w:t>
      </w:r>
      <w:r>
        <w:rPr>
          <w:sz w:val="22"/>
        </w:rPr>
        <w:t>commissions</w:t>
      </w:r>
    </w:p>
    <w:p>
      <w:pPr>
        <w:pStyle w:val="ListParagraph"/>
        <w:numPr>
          <w:ilvl w:val="0"/>
          <w:numId w:val="2"/>
        </w:numPr>
        <w:tabs>
          <w:tab w:pos="841" w:val="left" w:leader="none"/>
          <w:tab w:pos="842" w:val="left" w:leader="none"/>
        </w:tabs>
        <w:spacing w:line="240" w:lineRule="auto" w:before="15" w:after="0"/>
        <w:ind w:left="841" w:right="0" w:hanging="360"/>
        <w:jc w:val="left"/>
        <w:rPr>
          <w:sz w:val="22"/>
        </w:rPr>
      </w:pPr>
      <w:r>
        <w:rPr>
          <w:sz w:val="22"/>
        </w:rPr>
        <w:t>Administration</w:t>
      </w:r>
    </w:p>
    <w:p>
      <w:pPr>
        <w:pStyle w:val="ListParagraph"/>
        <w:numPr>
          <w:ilvl w:val="1"/>
          <w:numId w:val="2"/>
        </w:numPr>
        <w:tabs>
          <w:tab w:pos="1561" w:val="left" w:leader="none"/>
          <w:tab w:pos="1562" w:val="left" w:leader="none"/>
        </w:tabs>
        <w:spacing w:line="240" w:lineRule="auto" w:before="21" w:after="0"/>
        <w:ind w:left="1561" w:right="0" w:hanging="360"/>
        <w:jc w:val="left"/>
        <w:rPr>
          <w:sz w:val="22"/>
        </w:rPr>
      </w:pPr>
      <w:r>
        <w:rPr>
          <w:sz w:val="22"/>
        </w:rPr>
        <w:t>Recruit new Energy Choice Solutions LLC d/b/a Retail Energy Xchange</w:t>
      </w:r>
      <w:r>
        <w:rPr>
          <w:spacing w:val="-27"/>
          <w:sz w:val="22"/>
        </w:rPr>
        <w:t> </w:t>
      </w:r>
      <w:r>
        <w:rPr>
          <w:sz w:val="22"/>
        </w:rPr>
        <w:t>employees</w:t>
      </w:r>
    </w:p>
    <w:p>
      <w:pPr>
        <w:pStyle w:val="ListParagraph"/>
        <w:numPr>
          <w:ilvl w:val="1"/>
          <w:numId w:val="2"/>
        </w:numPr>
        <w:tabs>
          <w:tab w:pos="1561" w:val="left" w:leader="none"/>
          <w:tab w:pos="1563" w:val="left" w:leader="none"/>
        </w:tabs>
        <w:spacing w:line="240" w:lineRule="auto" w:before="12" w:after="0"/>
        <w:ind w:left="1562" w:right="0" w:hanging="361"/>
        <w:jc w:val="left"/>
        <w:rPr>
          <w:sz w:val="22"/>
        </w:rPr>
      </w:pPr>
      <w:r>
        <w:rPr>
          <w:sz w:val="22"/>
        </w:rPr>
        <w:t>Maintain company policies and</w:t>
      </w:r>
      <w:r>
        <w:rPr>
          <w:spacing w:val="-18"/>
          <w:sz w:val="22"/>
        </w:rPr>
        <w:t> </w:t>
      </w:r>
      <w:r>
        <w:rPr>
          <w:sz w:val="22"/>
        </w:rPr>
        <w:t>processes</w:t>
      </w:r>
    </w:p>
    <w:p>
      <w:pPr>
        <w:pStyle w:val="ListParagraph"/>
        <w:numPr>
          <w:ilvl w:val="1"/>
          <w:numId w:val="2"/>
        </w:numPr>
        <w:tabs>
          <w:tab w:pos="1561" w:val="left" w:leader="none"/>
          <w:tab w:pos="1563" w:val="left" w:leader="none"/>
        </w:tabs>
        <w:spacing w:line="240" w:lineRule="auto" w:before="15" w:after="0"/>
        <w:ind w:left="1562" w:right="0" w:hanging="361"/>
        <w:jc w:val="left"/>
        <w:rPr>
          <w:sz w:val="22"/>
        </w:rPr>
      </w:pPr>
      <w:r>
        <w:rPr>
          <w:sz w:val="22"/>
        </w:rPr>
        <w:t>Human resources</w:t>
      </w:r>
      <w:r>
        <w:rPr>
          <w:spacing w:val="-8"/>
          <w:sz w:val="22"/>
        </w:rPr>
        <w:t> </w:t>
      </w:r>
      <w:r>
        <w:rPr>
          <w:sz w:val="22"/>
        </w:rPr>
        <w:t>management</w:t>
      </w:r>
    </w:p>
    <w:p>
      <w:pPr>
        <w:spacing w:after="0" w:line="240" w:lineRule="auto"/>
        <w:jc w:val="left"/>
        <w:rPr>
          <w:sz w:val="22"/>
        </w:rPr>
        <w:sectPr>
          <w:pgSz w:w="12240" w:h="15840"/>
          <w:pgMar w:header="0" w:footer="1389" w:top="1400" w:bottom="1580" w:left="1320" w:right="1320"/>
        </w:sectPr>
      </w:pPr>
    </w:p>
    <w:p>
      <w:pPr>
        <w:pStyle w:val="BodyText"/>
        <w:spacing w:before="39"/>
        <w:ind w:left="100"/>
      </w:pPr>
      <w:r>
        <w:rPr/>
        <w:t>Exhibit D-2 “Operations Expertise”</w:t>
      </w:r>
    </w:p>
    <w:p>
      <w:pPr>
        <w:pStyle w:val="BodyText"/>
        <w:spacing w:before="10"/>
        <w:rPr>
          <w:sz w:val="32"/>
        </w:rPr>
      </w:pPr>
    </w:p>
    <w:p>
      <w:pPr>
        <w:pStyle w:val="BodyText"/>
        <w:spacing w:line="273" w:lineRule="auto"/>
        <w:ind w:left="100" w:right="223"/>
      </w:pPr>
      <w:r>
        <w:rPr/>
        <w:t>Energy Choice Solutions LLC d/b/a Retail Energy Xchange has demonstrated experience in all key business functions operating as an energy broker:</w:t>
      </w:r>
    </w:p>
    <w:p>
      <w:pPr>
        <w:pStyle w:val="BodyText"/>
        <w:spacing w:before="7"/>
        <w:rPr>
          <w:sz w:val="16"/>
        </w:rPr>
      </w:pPr>
    </w:p>
    <w:p>
      <w:pPr>
        <w:pStyle w:val="ListParagraph"/>
        <w:numPr>
          <w:ilvl w:val="0"/>
          <w:numId w:val="2"/>
        </w:numPr>
        <w:tabs>
          <w:tab w:pos="820" w:val="left" w:leader="none"/>
          <w:tab w:pos="821" w:val="left" w:leader="none"/>
        </w:tabs>
        <w:spacing w:line="240" w:lineRule="auto" w:before="0" w:after="0"/>
        <w:ind w:left="820" w:right="0" w:hanging="360"/>
        <w:jc w:val="left"/>
        <w:rPr>
          <w:sz w:val="22"/>
        </w:rPr>
      </w:pPr>
      <w:r>
        <w:rPr>
          <w:sz w:val="22"/>
        </w:rPr>
        <w:t>Supplier</w:t>
      </w:r>
      <w:r>
        <w:rPr>
          <w:spacing w:val="-5"/>
          <w:sz w:val="22"/>
        </w:rPr>
        <w:t> </w:t>
      </w:r>
      <w:r>
        <w:rPr>
          <w:sz w:val="22"/>
        </w:rPr>
        <w:t>Management</w:t>
      </w:r>
    </w:p>
    <w:p>
      <w:pPr>
        <w:pStyle w:val="ListParagraph"/>
        <w:numPr>
          <w:ilvl w:val="1"/>
          <w:numId w:val="2"/>
        </w:numPr>
        <w:tabs>
          <w:tab w:pos="1540" w:val="left" w:leader="none"/>
          <w:tab w:pos="1541" w:val="left" w:leader="none"/>
        </w:tabs>
        <w:spacing w:line="240" w:lineRule="auto" w:before="21" w:after="0"/>
        <w:ind w:left="1540" w:right="0" w:hanging="360"/>
        <w:jc w:val="left"/>
        <w:rPr>
          <w:sz w:val="22"/>
        </w:rPr>
      </w:pPr>
      <w:r>
        <w:rPr>
          <w:sz w:val="22"/>
        </w:rPr>
        <w:t>Identified and qualified dozens of suppliers across deregulated</w:t>
      </w:r>
      <w:r>
        <w:rPr>
          <w:spacing w:val="-26"/>
          <w:sz w:val="22"/>
        </w:rPr>
        <w:t> </w:t>
      </w:r>
      <w:r>
        <w:rPr>
          <w:sz w:val="22"/>
        </w:rPr>
        <w:t>states</w:t>
      </w:r>
    </w:p>
    <w:p>
      <w:pPr>
        <w:pStyle w:val="ListParagraph"/>
        <w:numPr>
          <w:ilvl w:val="1"/>
          <w:numId w:val="2"/>
        </w:numPr>
        <w:tabs>
          <w:tab w:pos="1540" w:val="left" w:leader="none"/>
          <w:tab w:pos="1541" w:val="left" w:leader="none"/>
        </w:tabs>
        <w:spacing w:line="252" w:lineRule="auto" w:before="14" w:after="0"/>
        <w:ind w:left="1540" w:right="113" w:hanging="360"/>
        <w:jc w:val="left"/>
        <w:rPr>
          <w:sz w:val="22"/>
        </w:rPr>
      </w:pPr>
      <w:r>
        <w:rPr>
          <w:sz w:val="22"/>
        </w:rPr>
        <w:t>Negotiated eight (10) national supplier agreements and many other agreements with regional</w:t>
      </w:r>
      <w:r>
        <w:rPr>
          <w:spacing w:val="-6"/>
          <w:sz w:val="22"/>
        </w:rPr>
        <w:t> </w:t>
      </w:r>
      <w:r>
        <w:rPr>
          <w:sz w:val="22"/>
        </w:rPr>
        <w:t>suppliers</w:t>
      </w:r>
    </w:p>
    <w:p>
      <w:pPr>
        <w:pStyle w:val="ListParagraph"/>
        <w:numPr>
          <w:ilvl w:val="1"/>
          <w:numId w:val="2"/>
        </w:numPr>
        <w:tabs>
          <w:tab w:pos="1540" w:val="left" w:leader="none"/>
          <w:tab w:pos="1541" w:val="left" w:leader="none"/>
        </w:tabs>
        <w:spacing w:line="240" w:lineRule="auto" w:before="5" w:after="0"/>
        <w:ind w:left="1540" w:right="0" w:hanging="360"/>
        <w:jc w:val="left"/>
        <w:rPr>
          <w:sz w:val="22"/>
        </w:rPr>
      </w:pPr>
      <w:r>
        <w:rPr>
          <w:sz w:val="22"/>
        </w:rPr>
        <w:t>Managed supplier activities in several states for the past 8 years as an energy</w:t>
      </w:r>
      <w:r>
        <w:rPr>
          <w:spacing w:val="-33"/>
          <w:sz w:val="22"/>
        </w:rPr>
        <w:t> </w:t>
      </w:r>
      <w:r>
        <w:rPr>
          <w:sz w:val="22"/>
        </w:rPr>
        <w:t>broker</w:t>
      </w:r>
    </w:p>
    <w:p>
      <w:pPr>
        <w:pStyle w:val="ListParagraph"/>
        <w:numPr>
          <w:ilvl w:val="0"/>
          <w:numId w:val="2"/>
        </w:numPr>
        <w:tabs>
          <w:tab w:pos="820" w:val="left" w:leader="none"/>
          <w:tab w:pos="821" w:val="left" w:leader="none"/>
        </w:tabs>
        <w:spacing w:line="240" w:lineRule="auto" w:before="15" w:after="0"/>
        <w:ind w:left="820" w:right="0" w:hanging="360"/>
        <w:jc w:val="left"/>
        <w:rPr>
          <w:sz w:val="22"/>
        </w:rPr>
      </w:pPr>
      <w:r>
        <w:rPr>
          <w:sz w:val="22"/>
        </w:rPr>
        <w:t>Broker</w:t>
      </w:r>
      <w:r>
        <w:rPr>
          <w:spacing w:val="-6"/>
          <w:sz w:val="22"/>
        </w:rPr>
        <w:t> </w:t>
      </w:r>
      <w:r>
        <w:rPr>
          <w:sz w:val="22"/>
        </w:rPr>
        <w:t>Training</w:t>
      </w:r>
    </w:p>
    <w:p>
      <w:pPr>
        <w:pStyle w:val="ListParagraph"/>
        <w:numPr>
          <w:ilvl w:val="1"/>
          <w:numId w:val="2"/>
        </w:numPr>
        <w:tabs>
          <w:tab w:pos="1541" w:val="left" w:leader="none"/>
        </w:tabs>
        <w:spacing w:line="256" w:lineRule="auto" w:before="22" w:after="0"/>
        <w:ind w:left="1540" w:right="113" w:hanging="360"/>
        <w:jc w:val="both"/>
        <w:rPr>
          <w:sz w:val="22"/>
        </w:rPr>
      </w:pPr>
      <w:r>
        <w:rPr>
          <w:sz w:val="22"/>
        </w:rPr>
        <w:t>In July 2013, established an industry leading web-based training platform to train Energy Choice Solutions LLC d/b/a Retail Energy Xchange brokers on PUC regulations, electric and gas procurement services and processes, and use of the Energy Choice Solutions LLC d/b/a Retail Energy Xchange energy procurement</w:t>
      </w:r>
      <w:r>
        <w:rPr>
          <w:spacing w:val="-21"/>
          <w:sz w:val="22"/>
        </w:rPr>
        <w:t> </w:t>
      </w:r>
      <w:r>
        <w:rPr>
          <w:sz w:val="22"/>
        </w:rPr>
        <w:t>system</w:t>
      </w:r>
    </w:p>
    <w:p>
      <w:pPr>
        <w:pStyle w:val="ListParagraph"/>
        <w:numPr>
          <w:ilvl w:val="0"/>
          <w:numId w:val="2"/>
        </w:numPr>
        <w:tabs>
          <w:tab w:pos="820" w:val="left" w:leader="none"/>
          <w:tab w:pos="821" w:val="left" w:leader="none"/>
        </w:tabs>
        <w:spacing w:line="240" w:lineRule="auto" w:before="3" w:after="0"/>
        <w:ind w:left="820" w:right="0" w:hanging="360"/>
        <w:jc w:val="left"/>
        <w:rPr>
          <w:sz w:val="22"/>
        </w:rPr>
      </w:pPr>
      <w:r>
        <w:rPr>
          <w:sz w:val="22"/>
        </w:rPr>
        <w:t>Broker</w:t>
      </w:r>
      <w:r>
        <w:rPr>
          <w:spacing w:val="-3"/>
          <w:sz w:val="22"/>
        </w:rPr>
        <w:t> </w:t>
      </w:r>
      <w:r>
        <w:rPr>
          <w:sz w:val="22"/>
        </w:rPr>
        <w:t>Support</w:t>
      </w:r>
    </w:p>
    <w:p>
      <w:pPr>
        <w:pStyle w:val="ListParagraph"/>
        <w:numPr>
          <w:ilvl w:val="1"/>
          <w:numId w:val="2"/>
        </w:numPr>
        <w:tabs>
          <w:tab w:pos="1540" w:val="left" w:leader="none"/>
          <w:tab w:pos="1541" w:val="left" w:leader="none"/>
        </w:tabs>
        <w:spacing w:line="240" w:lineRule="auto" w:before="19" w:after="0"/>
        <w:ind w:left="1540" w:right="0" w:hanging="360"/>
        <w:jc w:val="left"/>
        <w:rPr>
          <w:sz w:val="22"/>
        </w:rPr>
      </w:pPr>
      <w:r>
        <w:rPr>
          <w:sz w:val="22"/>
        </w:rPr>
        <w:t>Have been performing broker support activities for the past 8 years as an energy</w:t>
      </w:r>
      <w:r>
        <w:rPr>
          <w:spacing w:val="-30"/>
          <w:sz w:val="22"/>
        </w:rPr>
        <w:t> </w:t>
      </w:r>
      <w:r>
        <w:rPr>
          <w:sz w:val="22"/>
        </w:rPr>
        <w:t>broker</w:t>
      </w:r>
    </w:p>
    <w:p>
      <w:pPr>
        <w:pStyle w:val="ListParagraph"/>
        <w:numPr>
          <w:ilvl w:val="0"/>
          <w:numId w:val="2"/>
        </w:numPr>
        <w:tabs>
          <w:tab w:pos="820" w:val="left" w:leader="none"/>
          <w:tab w:pos="821" w:val="left" w:leader="none"/>
        </w:tabs>
        <w:spacing w:line="240" w:lineRule="auto" w:before="15" w:after="0"/>
        <w:ind w:left="820" w:right="0" w:hanging="360"/>
        <w:jc w:val="left"/>
        <w:rPr>
          <w:sz w:val="22"/>
        </w:rPr>
      </w:pPr>
      <w:r>
        <w:rPr>
          <w:sz w:val="22"/>
        </w:rPr>
        <w:t>Sales &amp;</w:t>
      </w:r>
      <w:r>
        <w:rPr>
          <w:spacing w:val="-6"/>
          <w:sz w:val="22"/>
        </w:rPr>
        <w:t> </w:t>
      </w:r>
      <w:r>
        <w:rPr>
          <w:sz w:val="22"/>
        </w:rPr>
        <w:t>Marketing</w:t>
      </w:r>
    </w:p>
    <w:p>
      <w:pPr>
        <w:pStyle w:val="ListParagraph"/>
        <w:numPr>
          <w:ilvl w:val="1"/>
          <w:numId w:val="2"/>
        </w:numPr>
        <w:tabs>
          <w:tab w:pos="1541" w:val="left" w:leader="none"/>
          <w:tab w:pos="1542" w:val="left" w:leader="none"/>
        </w:tabs>
        <w:spacing w:line="249" w:lineRule="auto" w:before="21" w:after="0"/>
        <w:ind w:left="1541" w:right="116" w:hanging="360"/>
        <w:jc w:val="left"/>
        <w:rPr>
          <w:sz w:val="22"/>
        </w:rPr>
      </w:pPr>
      <w:r>
        <w:rPr>
          <w:sz w:val="22"/>
        </w:rPr>
        <w:t>Have been performing sales &amp; marketing activities for the past 8 years as an energy broker</w:t>
      </w:r>
    </w:p>
    <w:p>
      <w:pPr>
        <w:pStyle w:val="ListParagraph"/>
        <w:numPr>
          <w:ilvl w:val="0"/>
          <w:numId w:val="2"/>
        </w:numPr>
        <w:tabs>
          <w:tab w:pos="821" w:val="left" w:leader="none"/>
          <w:tab w:pos="822" w:val="left" w:leader="none"/>
        </w:tabs>
        <w:spacing w:line="240" w:lineRule="auto" w:before="11" w:after="0"/>
        <w:ind w:left="821" w:right="0" w:hanging="360"/>
        <w:jc w:val="left"/>
        <w:rPr>
          <w:sz w:val="22"/>
        </w:rPr>
      </w:pPr>
      <w:r>
        <w:rPr>
          <w:sz w:val="22"/>
        </w:rPr>
        <w:t>Finance</w:t>
      </w:r>
    </w:p>
    <w:p>
      <w:pPr>
        <w:pStyle w:val="ListParagraph"/>
        <w:numPr>
          <w:ilvl w:val="1"/>
          <w:numId w:val="2"/>
        </w:numPr>
        <w:tabs>
          <w:tab w:pos="1541" w:val="left" w:leader="none"/>
          <w:tab w:pos="1542" w:val="left" w:leader="none"/>
        </w:tabs>
        <w:spacing w:line="240" w:lineRule="auto" w:before="21" w:after="0"/>
        <w:ind w:left="1541" w:right="0" w:hanging="360"/>
        <w:jc w:val="left"/>
        <w:rPr>
          <w:sz w:val="22"/>
        </w:rPr>
      </w:pPr>
      <w:r>
        <w:rPr>
          <w:sz w:val="22"/>
        </w:rPr>
        <w:t>Have been performing finance activities for the past 8 years as an energy</w:t>
      </w:r>
      <w:r>
        <w:rPr>
          <w:spacing w:val="-30"/>
          <w:sz w:val="22"/>
        </w:rPr>
        <w:t> </w:t>
      </w:r>
      <w:r>
        <w:rPr>
          <w:sz w:val="22"/>
        </w:rPr>
        <w:t>broker</w:t>
      </w:r>
    </w:p>
    <w:p>
      <w:pPr>
        <w:pStyle w:val="ListParagraph"/>
        <w:numPr>
          <w:ilvl w:val="0"/>
          <w:numId w:val="2"/>
        </w:numPr>
        <w:tabs>
          <w:tab w:pos="821" w:val="left" w:leader="none"/>
          <w:tab w:pos="822" w:val="left" w:leader="none"/>
        </w:tabs>
        <w:spacing w:line="240" w:lineRule="auto" w:before="14" w:after="0"/>
        <w:ind w:left="821" w:right="0" w:hanging="360"/>
        <w:jc w:val="left"/>
        <w:rPr>
          <w:sz w:val="22"/>
        </w:rPr>
      </w:pPr>
      <w:r>
        <w:rPr>
          <w:sz w:val="22"/>
        </w:rPr>
        <w:t>Administration</w:t>
      </w:r>
    </w:p>
    <w:p>
      <w:pPr>
        <w:pStyle w:val="ListParagraph"/>
        <w:numPr>
          <w:ilvl w:val="1"/>
          <w:numId w:val="2"/>
        </w:numPr>
        <w:tabs>
          <w:tab w:pos="1541" w:val="left" w:leader="none"/>
          <w:tab w:pos="1542" w:val="left" w:leader="none"/>
        </w:tabs>
        <w:spacing w:line="252" w:lineRule="auto" w:before="19" w:after="0"/>
        <w:ind w:left="1541" w:right="114" w:hanging="360"/>
        <w:jc w:val="left"/>
        <w:rPr>
          <w:sz w:val="22"/>
        </w:rPr>
      </w:pPr>
      <w:r>
        <w:rPr>
          <w:sz w:val="22"/>
        </w:rPr>
        <w:t>Have recruited ten (10) Energy Choice Solutions LLC d/b/a Retail Energy Xchange employees to</w:t>
      </w:r>
      <w:r>
        <w:rPr>
          <w:spacing w:val="-4"/>
          <w:sz w:val="22"/>
        </w:rPr>
        <w:t> </w:t>
      </w:r>
      <w:r>
        <w:rPr>
          <w:sz w:val="22"/>
        </w:rPr>
        <w:t>date</w:t>
      </w:r>
    </w:p>
    <w:p>
      <w:pPr>
        <w:spacing w:after="0" w:line="252" w:lineRule="auto"/>
        <w:jc w:val="left"/>
        <w:rPr>
          <w:sz w:val="22"/>
        </w:rPr>
        <w:sectPr>
          <w:pgSz w:w="12240" w:h="15840"/>
          <w:pgMar w:header="0" w:footer="1389" w:top="1400" w:bottom="1580" w:left="1340" w:right="1320"/>
        </w:sectPr>
      </w:pPr>
    </w:p>
    <w:p>
      <w:pPr>
        <w:pStyle w:val="BodyText"/>
        <w:spacing w:before="39"/>
        <w:ind w:left="120"/>
      </w:pPr>
      <w:r>
        <w:rPr/>
        <w:t>Exhibit D-3 “Key Technical Personnel”</w:t>
      </w:r>
    </w:p>
    <w:p>
      <w:pPr>
        <w:pStyle w:val="BodyText"/>
        <w:spacing w:before="7"/>
        <w:rPr>
          <w:sz w:val="19"/>
        </w:rPr>
      </w:pPr>
    </w:p>
    <w:p>
      <w:pPr>
        <w:pStyle w:val="BodyText"/>
        <w:spacing w:before="1"/>
        <w:ind w:left="120" w:right="5752"/>
      </w:pPr>
      <w:r>
        <w:rPr/>
        <w:t>Daniel Twichell - Director of Procurement 4433 Genesee St.</w:t>
      </w:r>
    </w:p>
    <w:p>
      <w:pPr>
        <w:pStyle w:val="BodyText"/>
        <w:ind w:left="120"/>
      </w:pPr>
      <w:r>
        <w:rPr/>
        <w:t>Suite 401</w:t>
      </w:r>
    </w:p>
    <w:p>
      <w:pPr>
        <w:pStyle w:val="BodyText"/>
        <w:ind w:left="120"/>
      </w:pPr>
      <w:r>
        <w:rPr/>
        <w:t>Buffalo, NY 14225</w:t>
      </w:r>
    </w:p>
    <w:p>
      <w:pPr>
        <w:pStyle w:val="BodyText"/>
        <w:spacing w:line="268" w:lineRule="exact"/>
        <w:ind w:left="120"/>
      </w:pPr>
      <w:r>
        <w:rPr/>
        <w:t>(716) 906-5327</w:t>
      </w:r>
    </w:p>
    <w:p>
      <w:pPr>
        <w:pStyle w:val="BodyText"/>
        <w:spacing w:line="268" w:lineRule="exact"/>
        <w:ind w:left="120"/>
      </w:pPr>
      <w:hyperlink r:id="rId28">
        <w:r>
          <w:rPr/>
          <w:t>Daniel.Twichell@nrg.com</w:t>
        </w:r>
      </w:hyperlink>
    </w:p>
    <w:p>
      <w:pPr>
        <w:pStyle w:val="BodyText"/>
      </w:pPr>
    </w:p>
    <w:p>
      <w:pPr>
        <w:pStyle w:val="BodyText"/>
        <w:ind w:left="119" w:right="5264"/>
      </w:pPr>
      <w:r>
        <w:rPr/>
        <w:t>Elizabeth Melisz – Manager Market Operations 4433 Genesee St.</w:t>
      </w:r>
    </w:p>
    <w:p>
      <w:pPr>
        <w:pStyle w:val="BodyText"/>
        <w:ind w:left="119"/>
      </w:pPr>
      <w:r>
        <w:rPr/>
        <w:t>Suite 401</w:t>
      </w:r>
    </w:p>
    <w:p>
      <w:pPr>
        <w:pStyle w:val="BodyText"/>
        <w:ind w:left="119"/>
      </w:pPr>
      <w:r>
        <w:rPr/>
        <w:t>Buffalo, NY 14225</w:t>
      </w:r>
    </w:p>
    <w:p>
      <w:pPr>
        <w:pStyle w:val="BodyText"/>
        <w:ind w:left="119"/>
      </w:pPr>
      <w:r>
        <w:rPr/>
        <w:t>(716) 906-5140</w:t>
      </w:r>
    </w:p>
    <w:p>
      <w:pPr>
        <w:pStyle w:val="BodyText"/>
        <w:ind w:left="119"/>
      </w:pPr>
      <w:hyperlink r:id="rId29">
        <w:r>
          <w:rPr/>
          <w:t>Elizabeth.melisz@nrg.com</w:t>
        </w:r>
      </w:hyperlink>
    </w:p>
    <w:p>
      <w:pPr>
        <w:pStyle w:val="BodyText"/>
      </w:pPr>
    </w:p>
    <w:p>
      <w:pPr>
        <w:pStyle w:val="BodyText"/>
      </w:pPr>
    </w:p>
    <w:p>
      <w:pPr>
        <w:pStyle w:val="BodyText"/>
      </w:pPr>
    </w:p>
    <w:p>
      <w:pPr>
        <w:pStyle w:val="BodyText"/>
        <w:spacing w:before="3"/>
        <w:rPr>
          <w:sz w:val="17"/>
        </w:rPr>
      </w:pPr>
    </w:p>
    <w:p>
      <w:pPr>
        <w:pStyle w:val="BodyText"/>
        <w:spacing w:before="1"/>
        <w:ind w:left="119"/>
      </w:pPr>
      <w:r>
        <w:rPr/>
        <w:t>Daniel Twichell, CEP, CEM Director of Procurement</w:t>
      </w:r>
    </w:p>
    <w:p>
      <w:pPr>
        <w:pStyle w:val="BodyText"/>
        <w:spacing w:before="8"/>
        <w:rPr>
          <w:sz w:val="19"/>
        </w:rPr>
      </w:pPr>
    </w:p>
    <w:p>
      <w:pPr>
        <w:pStyle w:val="BodyText"/>
        <w:spacing w:line="276" w:lineRule="auto"/>
        <w:ind w:left="839" w:right="109"/>
      </w:pPr>
      <w:r>
        <w:rPr/>
        <w:t>The Association of Energy Engineers has certified Mr. Twichell as a Certified Energy Procurement Professional (CEP Professional®). He was a dual major (Economics and Psychology) at The University at Buffalo. As the Director of Procurement for NRG’s Energy Choice Solutions d/b/a Retail Energy Xchange, Mr. Twichell has developed comprehensive price models complete with stimulations of potential market fluctuations. He has unparalleled knowledge of individual utility tariffs, which is used to examine each of the ten to twenty cost components of an electricity supply price. His responsibilities have expanded to the oversight and direction of the most experienced team of analysts and data acquisition specialists in the industry. Mr. Twichell is also an active member of the Association of Energy Engineers.</w:t>
      </w:r>
    </w:p>
    <w:p>
      <w:pPr>
        <w:pStyle w:val="BodyText"/>
      </w:pPr>
    </w:p>
    <w:p>
      <w:pPr>
        <w:pStyle w:val="BodyText"/>
      </w:pPr>
    </w:p>
    <w:p>
      <w:pPr>
        <w:pStyle w:val="BodyText"/>
        <w:spacing w:before="171"/>
        <w:ind w:left="119"/>
      </w:pPr>
      <w:r>
        <w:rPr/>
        <w:t>Elizabeth Melisz, CEP, Manager Market Operations Desk</w:t>
      </w:r>
    </w:p>
    <w:p>
      <w:pPr>
        <w:pStyle w:val="BodyText"/>
        <w:spacing w:before="8"/>
        <w:rPr>
          <w:sz w:val="19"/>
        </w:rPr>
      </w:pPr>
    </w:p>
    <w:p>
      <w:pPr>
        <w:pStyle w:val="BodyText"/>
        <w:spacing w:line="276" w:lineRule="auto"/>
        <w:ind w:left="839" w:right="164"/>
      </w:pPr>
      <w:r>
        <w:rPr/>
        <w:t>The Association of Energy Engineers has certified Mrs. Melisz as a Certified Energy Procurement Professional (CEP Professional®). Elizabeth has over 5 years of industry experience working in all deregulated electric and natural gas markets across the United States. Mrs. Melisz is directly responsible for the pricing desk team, supplier relationships and project management.</w:t>
      </w:r>
    </w:p>
    <w:sectPr>
      <w:pgSz w:w="12240" w:h="15840"/>
      <w:pgMar w:header="0" w:footer="1389" w:top="1400" w:bottom="15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8.839996pt;margin-top:711.530029pt;width:323.3pt;height:19.9pt;mso-position-horizontal-relative:page;mso-position-vertical-relative:page;z-index:-27976" type="#_x0000_t202" filled="false" stroked="false">
          <v:textbox inset="0,0,0,0">
            <w:txbxContent>
              <w:p>
                <w:pPr>
                  <w:spacing w:line="184" w:lineRule="exact" w:before="0"/>
                  <w:ind w:left="0" w:right="39" w:firstLine="0"/>
                  <w:jc w:val="right"/>
                  <w:rPr>
                    <w:sz w:val="16"/>
                  </w:rPr>
                </w:pPr>
                <w:r>
                  <w:rPr>
                    <w:color w:val="818181"/>
                    <w:sz w:val="16"/>
                  </w:rPr>
                  <w:t>Energy Choice Solutions LLC d/b/a Retail Energy Xchange_ Ohio CRNGS Broker/Aggregator Exhibits</w:t>
                </w:r>
              </w:p>
              <w:p>
                <w:pPr>
                  <w:spacing w:before="1"/>
                  <w:ind w:left="0" w:right="38" w:firstLine="0"/>
                  <w:jc w:val="right"/>
                  <w:rPr>
                    <w:sz w:val="16"/>
                  </w:rPr>
                </w:pPr>
                <w:r>
                  <w:rPr>
                    <w:color w:val="818181"/>
                    <w:sz w:val="16"/>
                  </w:rPr>
                  <w:t>Page | </w:t>
                </w:r>
                <w:r>
                  <w:rPr/>
                  <w:fldChar w:fldCharType="begin"/>
                </w:r>
                <w:r>
                  <w:rPr>
                    <w:color w:val="818181"/>
                    <w:sz w:val="16"/>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2.2pt;height:19.9pt;mso-position-horizontal-relative:page;mso-position-vertical-relative:page;z-index:-27760" type="#_x0000_t202" filled="false" stroked="false">
          <v:textbox inset="0,0,0,0">
            <w:txbxContent>
              <w:p>
                <w:pPr>
                  <w:spacing w:line="184" w:lineRule="exact" w:before="0"/>
                  <w:ind w:left="0" w:right="18" w:firstLine="0"/>
                  <w:jc w:val="right"/>
                  <w:rPr>
                    <w:sz w:val="16"/>
                  </w:rPr>
                </w:pPr>
                <w:r>
                  <w:rPr>
                    <w:color w:val="818181"/>
                    <w:sz w:val="16"/>
                  </w:rPr>
                  <w:t>Energy Choice Solutions LLC d/b/a Retail Energy Xchange_ Ohio CRNGS Broker/Aggregator Exhibits</w:t>
                </w:r>
              </w:p>
              <w:p>
                <w:pPr>
                  <w:spacing w:before="1"/>
                  <w:ind w:left="0" w:right="18" w:firstLine="0"/>
                  <w:jc w:val="right"/>
                  <w:rPr>
                    <w:sz w:val="16"/>
                  </w:rPr>
                </w:pPr>
                <w:r>
                  <w:rPr>
                    <w:color w:val="818181"/>
                    <w:sz w:val="16"/>
                  </w:rPr>
                  <w:t>Page | 30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3.2pt;height:19.9pt;mso-position-horizontal-relative:page;mso-position-vertical-relative:page;z-index:-27736" type="#_x0000_t202" filled="false" stroked="false">
          <v:textbox inset="0,0,0,0">
            <w:txbxContent>
              <w:p>
                <w:pPr>
                  <w:spacing w:line="184" w:lineRule="exact" w:before="0"/>
                  <w:ind w:left="0" w:right="37" w:firstLine="0"/>
                  <w:jc w:val="right"/>
                  <w:rPr>
                    <w:sz w:val="16"/>
                  </w:rPr>
                </w:pPr>
                <w:r>
                  <w:rPr>
                    <w:color w:val="818181"/>
                    <w:sz w:val="16"/>
                  </w:rPr>
                  <w:t>Energy Choice Solutions LLC d/b/a Retail Energy Xchange_ Ohio CRNGS Broker/Aggregator Exhibits</w:t>
                </w:r>
              </w:p>
              <w:p>
                <w:pPr>
                  <w:spacing w:before="1"/>
                  <w:ind w:left="0" w:right="38" w:firstLine="0"/>
                  <w:jc w:val="right"/>
                  <w:rPr>
                    <w:sz w:val="16"/>
                  </w:rPr>
                </w:pPr>
                <w:r>
                  <w:rPr>
                    <w:color w:val="818181"/>
                    <w:sz w:val="16"/>
                  </w:rPr>
                  <w:t>Page | </w:t>
                </w:r>
                <w:r>
                  <w:rPr/>
                  <w:fldChar w:fldCharType="begin"/>
                </w:r>
                <w:r>
                  <w:rPr>
                    <w:color w:val="818181"/>
                    <w:sz w:val="16"/>
                  </w:rPr>
                  <w:instrText> PAGE </w:instrText>
                </w:r>
                <w:r>
                  <w:rPr/>
                  <w:fldChar w:fldCharType="separate"/>
                </w:r>
                <w:r>
                  <w:rPr/>
                  <w:t>31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2.2pt;height:19.9pt;mso-position-horizontal-relative:page;mso-position-vertical-relative:page;z-index:-27952" type="#_x0000_t202" filled="false" stroked="false">
          <v:textbox inset="0,0,0,0">
            <w:txbxContent>
              <w:p>
                <w:pPr>
                  <w:spacing w:line="184" w:lineRule="exact" w:before="0"/>
                  <w:ind w:left="0" w:right="18" w:firstLine="0"/>
                  <w:jc w:val="right"/>
                  <w:rPr>
                    <w:sz w:val="16"/>
                  </w:rPr>
                </w:pPr>
                <w:r>
                  <w:rPr>
                    <w:color w:val="818181"/>
                    <w:sz w:val="16"/>
                  </w:rPr>
                  <w:t>Energy Choice Solutions LLC d/b/a Retail Energy Xchange_ Ohio CRNGS Broker/Aggregator Exhibits</w:t>
                </w:r>
              </w:p>
              <w:p>
                <w:pPr>
                  <w:spacing w:before="1"/>
                  <w:ind w:left="0" w:right="18" w:firstLine="0"/>
                  <w:jc w:val="right"/>
                  <w:rPr>
                    <w:sz w:val="16"/>
                  </w:rPr>
                </w:pPr>
                <w:r>
                  <w:rPr>
                    <w:color w:val="818181"/>
                    <w:sz w:val="16"/>
                  </w:rPr>
                  <w:t>Page | 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3.2pt;height:19.9pt;mso-position-horizontal-relative:page;mso-position-vertical-relative:page;z-index:-27928" type="#_x0000_t202" filled="false" stroked="false">
          <v:textbox inset="0,0,0,0">
            <w:txbxContent>
              <w:p>
                <w:pPr>
                  <w:spacing w:line="184" w:lineRule="exact" w:before="0"/>
                  <w:ind w:left="0" w:right="37" w:firstLine="0"/>
                  <w:jc w:val="right"/>
                  <w:rPr>
                    <w:sz w:val="16"/>
                  </w:rPr>
                </w:pPr>
                <w:r>
                  <w:rPr>
                    <w:color w:val="818181"/>
                    <w:sz w:val="16"/>
                  </w:rPr>
                  <w:t>Energy Choice Solutions LLC d/b/a Retail Energy Xchange_ Ohio CRNGS Broker/Aggregator Exhibits</w:t>
                </w:r>
              </w:p>
              <w:p>
                <w:pPr>
                  <w:spacing w:before="1"/>
                  <w:ind w:left="0" w:right="38" w:firstLine="0"/>
                  <w:jc w:val="right"/>
                  <w:rPr>
                    <w:sz w:val="16"/>
                  </w:rPr>
                </w:pPr>
                <w:r>
                  <w:rPr>
                    <w:color w:val="818181"/>
                    <w:sz w:val="16"/>
                  </w:rPr>
                  <w:t>Page | </w:t>
                </w:r>
                <w:r>
                  <w:rPr/>
                  <w:fldChar w:fldCharType="begin"/>
                </w:r>
                <w:r>
                  <w:rPr>
                    <w:color w:val="818181"/>
                    <w:sz w:val="16"/>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2.2pt;height:19.9pt;mso-position-horizontal-relative:page;mso-position-vertical-relative:page;z-index:-27904" type="#_x0000_t202" filled="false" stroked="false">
          <v:textbox inset="0,0,0,0">
            <w:txbxContent>
              <w:p>
                <w:pPr>
                  <w:spacing w:line="184" w:lineRule="exact" w:before="0"/>
                  <w:ind w:left="0" w:right="18" w:firstLine="0"/>
                  <w:jc w:val="right"/>
                  <w:rPr>
                    <w:sz w:val="16"/>
                  </w:rPr>
                </w:pPr>
                <w:r>
                  <w:rPr>
                    <w:color w:val="818181"/>
                    <w:sz w:val="16"/>
                  </w:rPr>
                  <w:t>Energy Choice Solutions LLC d/b/a Retail Energy Xchange_ Ohio CRNGS Broker/Aggregator Exhibits</w:t>
                </w:r>
              </w:p>
              <w:p>
                <w:pPr>
                  <w:spacing w:before="1"/>
                  <w:ind w:left="0" w:right="18" w:firstLine="0"/>
                  <w:jc w:val="right"/>
                  <w:rPr>
                    <w:sz w:val="16"/>
                  </w:rPr>
                </w:pPr>
                <w:r>
                  <w:rPr>
                    <w:color w:val="818181"/>
                    <w:sz w:val="16"/>
                  </w:rPr>
                  <w:t>Page | 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3.2pt;height:19.9pt;mso-position-horizontal-relative:page;mso-position-vertical-relative:page;z-index:-27880" type="#_x0000_t202" filled="false" stroked="false">
          <v:textbox inset="0,0,0,0">
            <w:txbxContent>
              <w:p>
                <w:pPr>
                  <w:spacing w:line="184" w:lineRule="exact" w:before="0"/>
                  <w:ind w:left="0" w:right="37" w:firstLine="0"/>
                  <w:jc w:val="right"/>
                  <w:rPr>
                    <w:sz w:val="16"/>
                  </w:rPr>
                </w:pPr>
                <w:r>
                  <w:rPr>
                    <w:color w:val="818181"/>
                    <w:sz w:val="16"/>
                  </w:rPr>
                  <w:t>Energy Choice Solutions LLC d/b/a Retail Energy Xchange_ Ohio CRNGS Broker/Aggregator Exhibits</w:t>
                </w:r>
              </w:p>
              <w:p>
                <w:pPr>
                  <w:spacing w:before="1"/>
                  <w:ind w:left="0" w:right="38" w:firstLine="0"/>
                  <w:jc w:val="right"/>
                  <w:rPr>
                    <w:sz w:val="16"/>
                  </w:rPr>
                </w:pPr>
                <w:r>
                  <w:rPr>
                    <w:color w:val="818181"/>
                    <w:sz w:val="16"/>
                  </w:rPr>
                  <w:t>Page | </w:t>
                </w:r>
                <w:r>
                  <w:rPr/>
                  <w:fldChar w:fldCharType="begin"/>
                </w:r>
                <w:r>
                  <w:rPr>
                    <w:color w:val="818181"/>
                    <w:sz w:val="16"/>
                  </w:rPr>
                  <w:instrText> PAGE </w:instrText>
                </w:r>
                <w:r>
                  <w:rPr/>
                  <w:fldChar w:fldCharType="separate"/>
                </w:r>
                <w:r>
                  <w:rPr/>
                  <w:t>24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918213pt;margin-top:711.530029pt;width:34.1pt;height:19.9pt;mso-position-horizontal-relative:page;mso-position-vertical-relative:page;z-index:-27856" type="#_x0000_t202" filled="false" stroked="false">
          <v:textbox inset="0,0,0,0">
            <w:txbxContent>
              <w:p>
                <w:pPr>
                  <w:spacing w:line="184" w:lineRule="exact" w:before="0"/>
                  <w:ind w:left="20" w:right="0" w:firstLine="350"/>
                  <w:jc w:val="left"/>
                  <w:rPr>
                    <w:sz w:val="16"/>
                  </w:rPr>
                </w:pPr>
                <w:r>
                  <w:rPr>
                    <w:color w:val="818181"/>
                    <w:sz w:val="16"/>
                  </w:rPr>
                  <w:t>ibits</w:t>
                </w:r>
              </w:p>
              <w:p>
                <w:pPr>
                  <w:spacing w:before="1"/>
                  <w:ind w:left="20" w:right="0" w:firstLine="0"/>
                  <w:jc w:val="left"/>
                  <w:rPr>
                    <w:sz w:val="16"/>
                  </w:rPr>
                </w:pPr>
                <w:r>
                  <w:rPr>
                    <w:color w:val="818181"/>
                    <w:sz w:val="16"/>
                  </w:rPr>
                  <w:t>Page | </w:t>
                </w:r>
                <w:r>
                  <w:rPr/>
                  <w:fldChar w:fldCharType="begin"/>
                </w:r>
                <w:r>
                  <w:rPr>
                    <w:color w:val="818181"/>
                    <w:sz w:val="16"/>
                  </w:rPr>
                  <w:instrText> PAGE </w:instrText>
                </w:r>
                <w:r>
                  <w:rPr/>
                  <w:fldChar w:fldCharType="separate"/>
                </w:r>
                <w:r>
                  <w:rPr/>
                  <w:t>25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918213pt;margin-top:711.530029pt;width:34.1pt;height:19.9pt;mso-position-horizontal-relative:page;mso-position-vertical-relative:page;z-index:-27832" type="#_x0000_t202" filled="false" stroked="false">
          <v:textbox inset="0,0,0,0">
            <w:txbxContent>
              <w:p>
                <w:pPr>
                  <w:spacing w:line="184" w:lineRule="exact" w:before="0"/>
                  <w:ind w:left="20" w:right="0" w:firstLine="470"/>
                  <w:jc w:val="left"/>
                  <w:rPr>
                    <w:sz w:val="16"/>
                  </w:rPr>
                </w:pPr>
                <w:r>
                  <w:rPr>
                    <w:color w:val="818181"/>
                    <w:sz w:val="16"/>
                  </w:rPr>
                  <w:t>its</w:t>
                </w:r>
              </w:p>
              <w:p>
                <w:pPr>
                  <w:spacing w:before="1"/>
                  <w:ind w:left="20" w:right="0" w:firstLine="0"/>
                  <w:jc w:val="left"/>
                  <w:rPr>
                    <w:sz w:val="16"/>
                  </w:rPr>
                </w:pPr>
                <w:r>
                  <w:rPr>
                    <w:color w:val="818181"/>
                    <w:sz w:val="16"/>
                  </w:rPr>
                  <w:t>Page | </w:t>
                </w:r>
                <w:r>
                  <w:rPr/>
                  <w:fldChar w:fldCharType="begin"/>
                </w:r>
                <w:r>
                  <w:rPr>
                    <w:color w:val="818181"/>
                    <w:sz w:val="16"/>
                  </w:rPr>
                  <w:instrText> PAGE </w:instrText>
                </w:r>
                <w:r>
                  <w:rPr/>
                  <w:fldChar w:fldCharType="separate"/>
                </w:r>
                <w:r>
                  <w:rPr/>
                  <w:t>26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918213pt;margin-top:711.530029pt;width:34.1pt;height:19.9pt;mso-position-horizontal-relative:page;mso-position-vertical-relative:page;z-index:-27808" type="#_x0000_t202" filled="false" stroked="false">
          <v:textbox inset="0,0,0,0">
            <w:txbxContent>
              <w:p>
                <w:pPr>
                  <w:spacing w:line="184" w:lineRule="exact" w:before="0"/>
                  <w:ind w:left="20" w:right="0" w:firstLine="266"/>
                  <w:jc w:val="left"/>
                  <w:rPr>
                    <w:sz w:val="16"/>
                  </w:rPr>
                </w:pPr>
                <w:r>
                  <w:rPr>
                    <w:color w:val="818181"/>
                    <w:sz w:val="16"/>
                  </w:rPr>
                  <w:t>hibits</w:t>
                </w:r>
              </w:p>
              <w:p>
                <w:pPr>
                  <w:spacing w:before="1"/>
                  <w:ind w:left="20" w:right="0" w:firstLine="0"/>
                  <w:jc w:val="left"/>
                  <w:rPr>
                    <w:sz w:val="16"/>
                  </w:rPr>
                </w:pPr>
                <w:r>
                  <w:rPr>
                    <w:color w:val="818181"/>
                    <w:sz w:val="16"/>
                  </w:rPr>
                  <w:t>Page | </w:t>
                </w:r>
                <w:r>
                  <w:rPr/>
                  <w:fldChar w:fldCharType="begin"/>
                </w:r>
                <w:r>
                  <w:rPr>
                    <w:color w:val="818181"/>
                    <w:sz w:val="16"/>
                  </w:rPr>
                  <w:instrText> PAGE </w:instrText>
                </w:r>
                <w:r>
                  <w:rPr/>
                  <w:fldChar w:fldCharType="separate"/>
                </w:r>
                <w:r>
                  <w:rPr/>
                  <w:t>27</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839996pt;margin-top:711.530029pt;width:323.2pt;height:19.9pt;mso-position-horizontal-relative:page;mso-position-vertical-relative:page;z-index:-27784" type="#_x0000_t202" filled="false" stroked="false">
          <v:textbox inset="0,0,0,0">
            <w:txbxContent>
              <w:p>
                <w:pPr>
                  <w:spacing w:line="184" w:lineRule="exact" w:before="0"/>
                  <w:ind w:left="0" w:right="37" w:firstLine="0"/>
                  <w:jc w:val="right"/>
                  <w:rPr>
                    <w:sz w:val="16"/>
                  </w:rPr>
                </w:pPr>
                <w:r>
                  <w:rPr>
                    <w:color w:val="818181"/>
                    <w:sz w:val="16"/>
                  </w:rPr>
                  <w:t>Energy Choice Solutions LLC d/b/a Retail Energy Xchange_ Ohio CRNGS Broker/Aggregator Exhibits</w:t>
                </w:r>
              </w:p>
              <w:p>
                <w:pPr>
                  <w:spacing w:before="1"/>
                  <w:ind w:left="0" w:right="38" w:firstLine="0"/>
                  <w:jc w:val="right"/>
                  <w:rPr>
                    <w:sz w:val="16"/>
                  </w:rPr>
                </w:pPr>
                <w:r>
                  <w:rPr>
                    <w:color w:val="818181"/>
                    <w:sz w:val="16"/>
                  </w:rPr>
                  <w:t>Page | </w:t>
                </w:r>
                <w:r>
                  <w:rPr/>
                  <w:fldChar w:fldCharType="begin"/>
                </w:r>
                <w:r>
                  <w:rPr>
                    <w:color w:val="818181"/>
                    <w:sz w:val="16"/>
                  </w:rPr>
                  <w:instrText> PAGE </w:instrText>
                </w:r>
                <w:r>
                  <w:rPr/>
                  <w:fldChar w:fldCharType="separate"/>
                </w:r>
                <w:r>
                  <w:rPr/>
                  <w:t>28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1560" w:hanging="361"/>
      </w:pPr>
      <w:rPr>
        <w:rFonts w:hint="default"/>
      </w:rPr>
    </w:lvl>
    <w:lvl w:ilvl="3">
      <w:start w:val="0"/>
      <w:numFmt w:val="bullet"/>
      <w:lvlText w:val="•"/>
      <w:lvlJc w:val="left"/>
      <w:pPr>
        <w:ind w:left="2562" w:hanging="361"/>
      </w:pPr>
      <w:rPr>
        <w:rFonts w:hint="default"/>
      </w:rPr>
    </w:lvl>
    <w:lvl w:ilvl="4">
      <w:start w:val="0"/>
      <w:numFmt w:val="bullet"/>
      <w:lvlText w:val="•"/>
      <w:lvlJc w:val="left"/>
      <w:pPr>
        <w:ind w:left="3565" w:hanging="361"/>
      </w:pPr>
      <w:rPr>
        <w:rFonts w:hint="default"/>
      </w:rPr>
    </w:lvl>
    <w:lvl w:ilvl="5">
      <w:start w:val="0"/>
      <w:numFmt w:val="bullet"/>
      <w:lvlText w:val="•"/>
      <w:lvlJc w:val="left"/>
      <w:pPr>
        <w:ind w:left="4567" w:hanging="361"/>
      </w:pPr>
      <w:rPr>
        <w:rFonts w:hint="default"/>
      </w:rPr>
    </w:lvl>
    <w:lvl w:ilvl="6">
      <w:start w:val="0"/>
      <w:numFmt w:val="bullet"/>
      <w:lvlText w:val="•"/>
      <w:lvlJc w:val="left"/>
      <w:pPr>
        <w:ind w:left="5570" w:hanging="361"/>
      </w:pPr>
      <w:rPr>
        <w:rFonts w:hint="default"/>
      </w:rPr>
    </w:lvl>
    <w:lvl w:ilvl="7">
      <w:start w:val="0"/>
      <w:numFmt w:val="bullet"/>
      <w:lvlText w:val="•"/>
      <w:lvlJc w:val="left"/>
      <w:pPr>
        <w:ind w:left="6572" w:hanging="361"/>
      </w:pPr>
      <w:rPr>
        <w:rFonts w:hint="default"/>
      </w:rPr>
    </w:lvl>
    <w:lvl w:ilvl="8">
      <w:start w:val="0"/>
      <w:numFmt w:val="bullet"/>
      <w:lvlText w:val="•"/>
      <w:lvlJc w:val="left"/>
      <w:pPr>
        <w:ind w:left="7575" w:hanging="361"/>
      </w:pPr>
      <w:rPr>
        <w:rFonts w:hint="default"/>
      </w:rPr>
    </w:lvl>
  </w:abstractNum>
  <w:abstractNum w:abstractNumId="0">
    <w:multiLevelType w:val="hybridMultilevel"/>
    <w:lvl w:ilvl="0">
      <w:start w:val="1"/>
      <w:numFmt w:val="decimal"/>
      <w:lvlText w:val="%1."/>
      <w:lvlJc w:val="left"/>
      <w:pPr>
        <w:ind w:left="840" w:hanging="721"/>
        <w:jc w:val="left"/>
      </w:pPr>
      <w:rPr>
        <w:rFonts w:hint="default" w:ascii="Calibri" w:hAnsi="Calibri" w:eastAsia="Calibri" w:cs="Calibri"/>
        <w:w w:val="100"/>
        <w:sz w:val="22"/>
        <w:szCs w:val="22"/>
      </w:rPr>
    </w:lvl>
    <w:lvl w:ilvl="1">
      <w:start w:val="1"/>
      <w:numFmt w:val="decimal"/>
      <w:lvlText w:val="%2."/>
      <w:lvlJc w:val="left"/>
      <w:pPr>
        <w:ind w:left="1180" w:hanging="361"/>
        <w:jc w:val="left"/>
      </w:pPr>
      <w:rPr>
        <w:rFonts w:hint="default" w:ascii="Calibri" w:hAnsi="Calibri" w:eastAsia="Calibri" w:cs="Calibri"/>
        <w:w w:val="100"/>
        <w:sz w:val="22"/>
        <w:szCs w:val="22"/>
      </w:rPr>
    </w:lvl>
    <w:lvl w:ilvl="2">
      <w:start w:val="0"/>
      <w:numFmt w:val="bullet"/>
      <w:lvlText w:val="•"/>
      <w:lvlJc w:val="left"/>
      <w:pPr>
        <w:ind w:left="2113" w:hanging="361"/>
      </w:pPr>
      <w:rPr>
        <w:rFonts w:hint="default"/>
      </w:rPr>
    </w:lvl>
    <w:lvl w:ilvl="3">
      <w:start w:val="0"/>
      <w:numFmt w:val="bullet"/>
      <w:lvlText w:val="•"/>
      <w:lvlJc w:val="left"/>
      <w:pPr>
        <w:ind w:left="3046" w:hanging="361"/>
      </w:pPr>
      <w:rPr>
        <w:rFonts w:hint="default"/>
      </w:rPr>
    </w:lvl>
    <w:lvl w:ilvl="4">
      <w:start w:val="0"/>
      <w:numFmt w:val="bullet"/>
      <w:lvlText w:val="•"/>
      <w:lvlJc w:val="left"/>
      <w:pPr>
        <w:ind w:left="3980" w:hanging="361"/>
      </w:pPr>
      <w:rPr>
        <w:rFonts w:hint="default"/>
      </w:rPr>
    </w:lvl>
    <w:lvl w:ilvl="5">
      <w:start w:val="0"/>
      <w:numFmt w:val="bullet"/>
      <w:lvlText w:val="•"/>
      <w:lvlJc w:val="left"/>
      <w:pPr>
        <w:ind w:left="4913" w:hanging="361"/>
      </w:pPr>
      <w:rPr>
        <w:rFonts w:hint="default"/>
      </w:rPr>
    </w:lvl>
    <w:lvl w:ilvl="6">
      <w:start w:val="0"/>
      <w:numFmt w:val="bullet"/>
      <w:lvlText w:val="•"/>
      <w:lvlJc w:val="left"/>
      <w:pPr>
        <w:ind w:left="5846" w:hanging="361"/>
      </w:pPr>
      <w:rPr>
        <w:rFonts w:hint="default"/>
      </w:rPr>
    </w:lvl>
    <w:lvl w:ilvl="7">
      <w:start w:val="0"/>
      <w:numFmt w:val="bullet"/>
      <w:lvlText w:val="•"/>
      <w:lvlJc w:val="left"/>
      <w:pPr>
        <w:ind w:left="6780" w:hanging="361"/>
      </w:pPr>
      <w:rPr>
        <w:rFonts w:hint="default"/>
      </w:rPr>
    </w:lvl>
    <w:lvl w:ilvl="8">
      <w:start w:val="0"/>
      <w:numFmt w:val="bullet"/>
      <w:lvlText w:val="•"/>
      <w:lvlJc w:val="left"/>
      <w:pPr>
        <w:ind w:left="7713"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840" w:hanging="360"/>
    </w:pPr>
    <w:rPr>
      <w:rFonts w:ascii="Calibri" w:hAnsi="Calibri" w:eastAsia="Calibri" w:cs="Calibri"/>
    </w:rPr>
  </w:style>
  <w:style w:styleId="TableParagraph" w:type="paragraph">
    <w:name w:val="Table Paragraph"/>
    <w:basedOn w:val="Normal"/>
    <w:uiPriority w:val="1"/>
    <w:qFormat/>
    <w:pPr>
      <w:ind w:left="200"/>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hyperlink" Target="http://investors.nrg.com/phoenix.zhtml?c=121544&amp;amp;p=irol-reportsannual" TargetMode="External"/><Relationship Id="rId10" Type="http://schemas.openxmlformats.org/officeDocument/2006/relationships/hyperlink" Target="http://investors.nrg.com/phoenix.zhtml?c=121544&amp;amp;p=irol-sec" TargetMode="External"/><Relationship Id="rId11" Type="http://schemas.openxmlformats.org/officeDocument/2006/relationships/hyperlink" Target="http://investors.nrg.com/phoenix.zhtml?c=121544&amp;amp;p=irol-newsEarnings&amp;amp;nyo=0" TargetMode="Externa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footer" Target="footer6.xml"/><Relationship Id="rId19" Type="http://schemas.openxmlformats.org/officeDocument/2006/relationships/image" Target="media/image6.jpeg"/><Relationship Id="rId20" Type="http://schemas.openxmlformats.org/officeDocument/2006/relationships/footer" Target="footer7.xml"/><Relationship Id="rId21" Type="http://schemas.openxmlformats.org/officeDocument/2006/relationships/image" Target="media/image7.jpeg"/><Relationship Id="rId22" Type="http://schemas.openxmlformats.org/officeDocument/2006/relationships/footer" Target="footer8.xml"/><Relationship Id="rId23" Type="http://schemas.openxmlformats.org/officeDocument/2006/relationships/image" Target="media/image8.png"/><Relationship Id="rId24" Type="http://schemas.openxmlformats.org/officeDocument/2006/relationships/footer" Target="footer9.xml"/><Relationship Id="rId25" Type="http://schemas.openxmlformats.org/officeDocument/2006/relationships/image" Target="media/image9.png"/><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hyperlink" Target="mailto:Daniel.Twichell@nrg.com" TargetMode="External"/><Relationship Id="rId29" Type="http://schemas.openxmlformats.org/officeDocument/2006/relationships/hyperlink" Target="mailto:Elizabeth.melisz@nrg.com"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eflattery</dc:creator>
  <dcterms:created xsi:type="dcterms:W3CDTF">2018-06-25T15:48:05Z</dcterms:created>
  <dcterms:modified xsi:type="dcterms:W3CDTF">2018-06-25T15:48:05Z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15 for Word</vt:lpwstr>
  </property>
  <property fmtid="{D5CDD505-2E9C-101B-9397-08002B2CF9AE}" pid="4" name="LastSaved">
    <vt:filetime>2018-06-25T00:00:00Z</vt:filetime>
  </property>
</Properties>
</file>