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136B8" w:rsidRPr="008B3EA4" w:rsidP="008136B8" w14:paraId="4DC8F0E8" w14:textId="77777777">
      <w:pPr>
        <w:pStyle w:val="List"/>
        <w:ind w:left="0" w:firstLine="0"/>
        <w:jc w:val="center"/>
        <w:rPr>
          <w:b/>
          <w:szCs w:val="24"/>
        </w:rPr>
      </w:pPr>
      <w:bookmarkStart w:id="0" w:name="_GoBack"/>
      <w:bookmarkEnd w:id="0"/>
      <w:r w:rsidRPr="008B3EA4">
        <w:rPr>
          <w:b/>
          <w:szCs w:val="24"/>
        </w:rPr>
        <w:t>BEFORE</w:t>
      </w:r>
    </w:p>
    <w:p w:rsidR="008136B8" w:rsidRPr="008B3EA4" w:rsidP="008136B8" w14:paraId="30CEC1AF" w14:textId="77777777">
      <w:pPr>
        <w:pStyle w:val="List"/>
        <w:ind w:left="0" w:firstLine="0"/>
        <w:jc w:val="center"/>
        <w:rPr>
          <w:b/>
          <w:szCs w:val="24"/>
        </w:rPr>
      </w:pPr>
      <w:r w:rsidRPr="008B3EA4">
        <w:rPr>
          <w:b/>
          <w:szCs w:val="24"/>
        </w:rPr>
        <w:t>THE PUBLIC UTILITIES COMMISSION OF OHIO</w:t>
      </w:r>
    </w:p>
    <w:p w:rsidR="008136B8" w:rsidRPr="008B3EA4" w:rsidP="008136B8" w14:paraId="06E92268" w14:textId="77777777">
      <w:pPr>
        <w:pStyle w:val="HTMLPreformatted"/>
        <w:rPr>
          <w:rFonts w:ascii="Times New Roman" w:hAnsi="Times New Roman" w:cs="Times New Roman"/>
          <w:sz w:val="24"/>
          <w:szCs w:val="24"/>
        </w:rPr>
      </w:pPr>
    </w:p>
    <w:tbl>
      <w:tblPr>
        <w:tblW w:w="9288" w:type="dxa"/>
        <w:tblLook w:val="01E0"/>
      </w:tblPr>
      <w:tblGrid>
        <w:gridCol w:w="4590"/>
        <w:gridCol w:w="4698"/>
      </w:tblGrid>
      <w:tr w14:paraId="3B916B6D" w14:textId="77777777" w:rsidTr="0081110B">
        <w:tblPrEx>
          <w:tblW w:w="9288" w:type="dxa"/>
          <w:tblLook w:val="01E0"/>
        </w:tblPrEx>
        <w:tc>
          <w:tcPr>
            <w:tcW w:w="4590" w:type="dxa"/>
            <w:shd w:val="clear" w:color="auto" w:fill="auto"/>
          </w:tcPr>
          <w:p w:rsidR="008136B8" w:rsidRPr="008B3EA4" w:rsidP="00733252" w14:paraId="38D99C5D" w14:textId="427EAE03">
            <w:pPr>
              <w:rPr>
                <w:sz w:val="24"/>
                <w:szCs w:val="24"/>
              </w:rPr>
            </w:pPr>
            <w:r w:rsidRPr="008B3EA4">
              <w:rPr>
                <w:sz w:val="24"/>
                <w:szCs w:val="24"/>
              </w:rPr>
              <w:t>In the Matter of The East Ohio Gas Company d/b/a Dominion Energy Ohio for Approval of an Alternative Form of Regulation.</w:t>
            </w:r>
            <w:r w:rsidRPr="008B3EA4" w:rsidR="0081110B">
              <w:rPr>
                <w:sz w:val="24"/>
                <w:szCs w:val="24"/>
              </w:rPr>
              <w:t xml:space="preserve"> </w:t>
            </w:r>
          </w:p>
        </w:tc>
        <w:tc>
          <w:tcPr>
            <w:tcW w:w="4698" w:type="dxa"/>
            <w:shd w:val="clear" w:color="auto" w:fill="auto"/>
          </w:tcPr>
          <w:p w:rsidR="008136B8" w:rsidRPr="008B3EA4" w:rsidP="00733252" w14:paraId="0F50788D" w14:textId="77777777">
            <w:pPr>
              <w:rPr>
                <w:sz w:val="24"/>
                <w:szCs w:val="24"/>
              </w:rPr>
            </w:pPr>
            <w:r w:rsidRPr="008B3EA4">
              <w:rPr>
                <w:sz w:val="24"/>
                <w:szCs w:val="24"/>
              </w:rPr>
              <w:t>)</w:t>
            </w:r>
          </w:p>
          <w:p w:rsidR="008136B8" w:rsidRPr="008B3EA4" w:rsidP="00733252" w14:paraId="1D2D67C1" w14:textId="2CFFC11C">
            <w:pPr>
              <w:contextualSpacing/>
              <w:rPr>
                <w:sz w:val="24"/>
                <w:szCs w:val="24"/>
              </w:rPr>
            </w:pPr>
            <w:r w:rsidRPr="008B3EA4">
              <w:rPr>
                <w:sz w:val="24"/>
                <w:szCs w:val="24"/>
              </w:rPr>
              <w:t xml:space="preserve">) </w:t>
            </w:r>
            <w:r w:rsidRPr="008B3EA4" w:rsidR="00A7762F">
              <w:rPr>
                <w:sz w:val="24"/>
                <w:szCs w:val="24"/>
              </w:rPr>
              <w:t xml:space="preserve">         </w:t>
            </w:r>
            <w:r w:rsidRPr="008B3EA4">
              <w:rPr>
                <w:sz w:val="24"/>
                <w:szCs w:val="24"/>
              </w:rPr>
              <w:t>Case No. 19-468-GA-ALT</w:t>
            </w:r>
          </w:p>
          <w:p w:rsidR="008136B8" w:rsidRPr="008B3EA4" w:rsidP="00733252" w14:paraId="71F2293B" w14:textId="77777777">
            <w:pPr>
              <w:rPr>
                <w:sz w:val="24"/>
                <w:szCs w:val="24"/>
              </w:rPr>
            </w:pPr>
            <w:r w:rsidRPr="008B3EA4">
              <w:rPr>
                <w:sz w:val="24"/>
                <w:szCs w:val="24"/>
              </w:rPr>
              <w:t>)</w:t>
            </w:r>
          </w:p>
          <w:p w:rsidR="008136B8" w:rsidRPr="008B3EA4" w:rsidP="0081110B" w14:paraId="06D885CB" w14:textId="7E614A3D">
            <w:pPr>
              <w:rPr>
                <w:sz w:val="24"/>
                <w:szCs w:val="24"/>
              </w:rPr>
            </w:pPr>
            <w:r w:rsidRPr="008B3EA4">
              <w:rPr>
                <w:sz w:val="24"/>
                <w:szCs w:val="24"/>
              </w:rPr>
              <w:t>)</w:t>
            </w:r>
          </w:p>
        </w:tc>
      </w:tr>
    </w:tbl>
    <w:p w:rsidR="008136B8" w:rsidRPr="008B3EA4" w:rsidP="008136B8" w14:paraId="54D314A8" w14:textId="77777777">
      <w:pPr>
        <w:pStyle w:val="HTMLPreformatted"/>
        <w:rPr>
          <w:rFonts w:ascii="Times New Roman" w:hAnsi="Times New Roman" w:cs="Times New Roman"/>
          <w:sz w:val="24"/>
          <w:szCs w:val="24"/>
        </w:rPr>
      </w:pPr>
    </w:p>
    <w:p w:rsidR="008136B8" w:rsidRPr="008B3EA4" w:rsidP="008136B8" w14:paraId="40CC45A0" w14:textId="77777777">
      <w:pPr>
        <w:pBdr>
          <w:top w:val="single" w:sz="6" w:space="1" w:color="auto"/>
          <w:bottom w:val="single" w:sz="6" w:space="1" w:color="auto"/>
        </w:pBdr>
        <w:jc w:val="center"/>
        <w:rPr>
          <w:b/>
          <w:sz w:val="24"/>
          <w:szCs w:val="24"/>
        </w:rPr>
      </w:pPr>
    </w:p>
    <w:p w:rsidR="003200F5" w:rsidRPr="008B3EA4" w:rsidP="0001298B" w14:paraId="7797E7BC" w14:textId="41D5D8D4">
      <w:pPr>
        <w:pStyle w:val="Heading1"/>
        <w:rPr>
          <w:szCs w:val="24"/>
        </w:rPr>
      </w:pPr>
      <w:r w:rsidRPr="008B3EA4">
        <w:rPr>
          <w:szCs w:val="24"/>
        </w:rPr>
        <w:t xml:space="preserve">JOINT </w:t>
      </w:r>
      <w:r w:rsidRPr="008B3EA4" w:rsidR="008136B8">
        <w:rPr>
          <w:szCs w:val="24"/>
        </w:rPr>
        <w:t>MOTION TO STRIKE</w:t>
      </w:r>
      <w:r w:rsidRPr="008B3EA4" w:rsidR="008C1FBF">
        <w:rPr>
          <w:szCs w:val="24"/>
        </w:rPr>
        <w:t xml:space="preserve"> </w:t>
      </w:r>
    </w:p>
    <w:p w:rsidR="008136B8" w:rsidRPr="008B3EA4" w:rsidP="0001298B" w14:paraId="19A2049F" w14:textId="268DEF47">
      <w:pPr>
        <w:pStyle w:val="Heading1"/>
        <w:rPr>
          <w:szCs w:val="24"/>
        </w:rPr>
      </w:pPr>
      <w:r w:rsidRPr="008B3EA4">
        <w:rPr>
          <w:szCs w:val="24"/>
        </w:rPr>
        <w:t xml:space="preserve">THE TESTIMONY OF </w:t>
      </w:r>
      <w:r w:rsidRPr="008B3EA4" w:rsidR="003200F5">
        <w:rPr>
          <w:szCs w:val="24"/>
        </w:rPr>
        <w:t>DOMINION ENERGY OHIO</w:t>
      </w:r>
      <w:r w:rsidRPr="008B3EA4" w:rsidR="0081110B">
        <w:rPr>
          <w:szCs w:val="24"/>
        </w:rPr>
        <w:t xml:space="preserve">                        </w:t>
      </w:r>
      <w:r w:rsidRPr="008B3EA4">
        <w:rPr>
          <w:szCs w:val="24"/>
        </w:rPr>
        <w:t xml:space="preserve"> </w:t>
      </w:r>
    </w:p>
    <w:p w:rsidR="008136B8" w:rsidRPr="008B3EA4" w:rsidP="008136B8" w14:paraId="7797FBD5" w14:textId="77777777">
      <w:pPr>
        <w:pStyle w:val="Heading1"/>
        <w:rPr>
          <w:szCs w:val="24"/>
        </w:rPr>
      </w:pPr>
      <w:r w:rsidRPr="008B3EA4">
        <w:rPr>
          <w:szCs w:val="24"/>
        </w:rPr>
        <w:t>BY</w:t>
      </w:r>
    </w:p>
    <w:p w:rsidR="008136B8" w:rsidRPr="008B3EA4" w:rsidP="008136B8" w14:paraId="1CA523CD" w14:textId="13125CFF">
      <w:pPr>
        <w:pBdr>
          <w:top w:val="single" w:sz="6" w:space="1" w:color="auto"/>
          <w:bottom w:val="single" w:sz="6" w:space="1" w:color="auto"/>
        </w:pBdr>
        <w:jc w:val="center"/>
        <w:rPr>
          <w:b/>
          <w:sz w:val="24"/>
          <w:szCs w:val="24"/>
        </w:rPr>
      </w:pPr>
      <w:r w:rsidRPr="008B3EA4">
        <w:rPr>
          <w:b/>
          <w:sz w:val="24"/>
          <w:szCs w:val="24"/>
        </w:rPr>
        <w:t>THE OFFICE OF THE OHIO CONSUMERS’ COUNSEL</w:t>
      </w:r>
    </w:p>
    <w:p w:rsidR="002B27CE" w:rsidRPr="008B3EA4" w:rsidP="008136B8" w14:paraId="428656B6" w14:textId="2850DA29">
      <w:pPr>
        <w:pBdr>
          <w:top w:val="single" w:sz="6" w:space="1" w:color="auto"/>
          <w:bottom w:val="single" w:sz="6" w:space="1" w:color="auto"/>
        </w:pBdr>
        <w:jc w:val="center"/>
        <w:rPr>
          <w:b/>
          <w:sz w:val="24"/>
          <w:szCs w:val="24"/>
        </w:rPr>
      </w:pPr>
      <w:r w:rsidRPr="008B3EA4">
        <w:rPr>
          <w:b/>
          <w:sz w:val="24"/>
          <w:szCs w:val="24"/>
        </w:rPr>
        <w:t xml:space="preserve">AND </w:t>
      </w:r>
    </w:p>
    <w:p w:rsidR="002B27CE" w:rsidRPr="008B3EA4" w:rsidP="008136B8" w14:paraId="40CE3155" w14:textId="0F64C71B">
      <w:pPr>
        <w:pBdr>
          <w:top w:val="single" w:sz="6" w:space="1" w:color="auto"/>
          <w:bottom w:val="single" w:sz="6" w:space="1" w:color="auto"/>
        </w:pBdr>
        <w:jc w:val="center"/>
        <w:rPr>
          <w:b/>
          <w:sz w:val="24"/>
          <w:szCs w:val="24"/>
        </w:rPr>
      </w:pPr>
      <w:r w:rsidRPr="008B3EA4">
        <w:rPr>
          <w:b/>
          <w:sz w:val="24"/>
          <w:szCs w:val="24"/>
        </w:rPr>
        <w:t>THE NORTHEAST OHIO PUBLIC ENREGY COUNCIL</w:t>
      </w:r>
    </w:p>
    <w:p w:rsidR="008136B8" w:rsidRPr="008B3EA4" w:rsidP="008136B8" w14:paraId="065B280C" w14:textId="77777777">
      <w:pPr>
        <w:pBdr>
          <w:top w:val="single" w:sz="6" w:space="1" w:color="auto"/>
          <w:bottom w:val="single" w:sz="6" w:space="1" w:color="auto"/>
        </w:pBdr>
        <w:jc w:val="center"/>
        <w:rPr>
          <w:b/>
          <w:sz w:val="24"/>
          <w:szCs w:val="24"/>
        </w:rPr>
      </w:pPr>
    </w:p>
    <w:p w:rsidR="00385A22" w:rsidRPr="008B3EA4" w14:paraId="721C0D27" w14:textId="77777777">
      <w:pPr>
        <w:rPr>
          <w:sz w:val="24"/>
          <w:szCs w:val="24"/>
        </w:rPr>
      </w:pPr>
    </w:p>
    <w:p w:rsidR="002B27CE" w:rsidRPr="008B3EA4" w:rsidP="002B27CE" w14:paraId="255D72E0" w14:textId="6BA34F21">
      <w:pPr>
        <w:spacing w:line="480" w:lineRule="auto"/>
        <w:ind w:firstLine="720"/>
        <w:rPr>
          <w:sz w:val="24"/>
          <w:szCs w:val="24"/>
        </w:rPr>
      </w:pPr>
      <w:r w:rsidRPr="008B3EA4">
        <w:rPr>
          <w:sz w:val="24"/>
          <w:szCs w:val="24"/>
        </w:rPr>
        <w:t>T</w:t>
      </w:r>
      <w:r w:rsidRPr="008B3EA4" w:rsidR="00A7762F">
        <w:rPr>
          <w:sz w:val="24"/>
          <w:szCs w:val="24"/>
        </w:rPr>
        <w:t>he Office of the Ohio Consumers’ Counsel (“OCC”)</w:t>
      </w:r>
      <w:r w:rsidRPr="008B3EA4">
        <w:rPr>
          <w:sz w:val="24"/>
          <w:szCs w:val="24"/>
        </w:rPr>
        <w:t xml:space="preserve"> and the Northeast Ohio Public Energy Council (“NOPEC”)</w:t>
      </w:r>
      <w:r w:rsidRPr="008B3EA4" w:rsidR="00A7762F">
        <w:rPr>
          <w:sz w:val="24"/>
          <w:szCs w:val="24"/>
        </w:rPr>
        <w:t xml:space="preserve"> move to strike</w:t>
      </w:r>
      <w:r>
        <w:rPr>
          <w:rStyle w:val="FootnoteReference"/>
          <w:sz w:val="24"/>
          <w:szCs w:val="24"/>
        </w:rPr>
        <w:footnoteReference w:id="2"/>
      </w:r>
      <w:r w:rsidRPr="008B3EA4" w:rsidR="00A7762F">
        <w:rPr>
          <w:sz w:val="24"/>
          <w:szCs w:val="24"/>
        </w:rPr>
        <w:t xml:space="preserve"> portions of the</w:t>
      </w:r>
      <w:r w:rsidRPr="008B3EA4">
        <w:rPr>
          <w:sz w:val="24"/>
          <w:szCs w:val="24"/>
        </w:rPr>
        <w:t xml:space="preserve"> testimony</w:t>
      </w:r>
      <w:r w:rsidRPr="008B3EA4" w:rsidR="008C6602">
        <w:rPr>
          <w:sz w:val="24"/>
          <w:szCs w:val="24"/>
        </w:rPr>
        <w:t xml:space="preserve"> improperly</w:t>
      </w:r>
      <w:r w:rsidRPr="008B3EA4">
        <w:rPr>
          <w:sz w:val="24"/>
          <w:szCs w:val="24"/>
        </w:rPr>
        <w:t xml:space="preserve"> filed by</w:t>
      </w:r>
      <w:r w:rsidRPr="008B3EA4" w:rsidR="00A7762F">
        <w:rPr>
          <w:sz w:val="24"/>
          <w:szCs w:val="24"/>
        </w:rPr>
        <w:t xml:space="preserve"> Dominion</w:t>
      </w:r>
      <w:r w:rsidRPr="008B3EA4" w:rsidR="00C5245C">
        <w:rPr>
          <w:sz w:val="24"/>
          <w:szCs w:val="24"/>
        </w:rPr>
        <w:t xml:space="preserve"> Energy Ohio (“Dominion”). </w:t>
      </w:r>
      <w:r w:rsidRPr="008B3EA4">
        <w:rPr>
          <w:sz w:val="24"/>
          <w:szCs w:val="24"/>
        </w:rPr>
        <w:t xml:space="preserve"> </w:t>
      </w:r>
      <w:r w:rsidRPr="008B3EA4" w:rsidR="00C5245C">
        <w:rPr>
          <w:sz w:val="24"/>
          <w:szCs w:val="24"/>
        </w:rPr>
        <w:t xml:space="preserve">It is </w:t>
      </w:r>
      <w:r w:rsidRPr="008B3EA4">
        <w:rPr>
          <w:sz w:val="24"/>
          <w:szCs w:val="24"/>
        </w:rPr>
        <w:t>long standing Public Utilities Commission of Ohio (“PUCO”) policy and precedent</w:t>
      </w:r>
      <w:r w:rsidRPr="008B3EA4" w:rsidR="00C5245C">
        <w:rPr>
          <w:sz w:val="24"/>
          <w:szCs w:val="24"/>
        </w:rPr>
        <w:t xml:space="preserve"> that settlements not be used against </w:t>
      </w:r>
      <w:r w:rsidRPr="008B3EA4">
        <w:rPr>
          <w:sz w:val="24"/>
          <w:szCs w:val="24"/>
        </w:rPr>
        <w:t>parties</w:t>
      </w:r>
      <w:r w:rsidRPr="008B3EA4" w:rsidR="00C5245C">
        <w:rPr>
          <w:sz w:val="24"/>
          <w:szCs w:val="24"/>
        </w:rPr>
        <w:t xml:space="preserve"> signing them (so as to avoid discouraging future settlements). </w:t>
      </w:r>
      <w:r w:rsidRPr="008B3EA4">
        <w:rPr>
          <w:sz w:val="24"/>
          <w:szCs w:val="24"/>
        </w:rPr>
        <w:t xml:space="preserve"> PUCO precedent dictates that a settlement agreement must be evaluated on the basis of evidence presented at the hearing and independent of evidence presented at other hearings involving other utilities.  </w:t>
      </w:r>
      <w:r w:rsidRPr="008B3EA4" w:rsidR="00C5245C">
        <w:rPr>
          <w:sz w:val="24"/>
          <w:szCs w:val="24"/>
        </w:rPr>
        <w:t xml:space="preserve">But Dominion is seeking to bolster its case by using a settlement </w:t>
      </w:r>
      <w:r w:rsidRPr="008B3EA4">
        <w:rPr>
          <w:sz w:val="24"/>
          <w:szCs w:val="24"/>
        </w:rPr>
        <w:t xml:space="preserve">filed </w:t>
      </w:r>
      <w:r w:rsidRPr="008B3EA4" w:rsidR="00C5245C">
        <w:rPr>
          <w:sz w:val="24"/>
          <w:szCs w:val="24"/>
        </w:rPr>
        <w:t xml:space="preserve">in a </w:t>
      </w:r>
      <w:r w:rsidRPr="008B3EA4">
        <w:rPr>
          <w:sz w:val="24"/>
          <w:szCs w:val="24"/>
        </w:rPr>
        <w:t xml:space="preserve">separate </w:t>
      </w:r>
      <w:r w:rsidRPr="008B3EA4" w:rsidR="00C5245C">
        <w:rPr>
          <w:sz w:val="24"/>
          <w:szCs w:val="24"/>
        </w:rPr>
        <w:t>case involving the rates of Columbia Gas</w:t>
      </w:r>
      <w:r w:rsidRPr="008B3EA4">
        <w:rPr>
          <w:sz w:val="24"/>
          <w:szCs w:val="24"/>
        </w:rPr>
        <w:t xml:space="preserve"> of Ohio</w:t>
      </w:r>
      <w:r w:rsidRPr="008B3EA4" w:rsidR="000056B3">
        <w:rPr>
          <w:sz w:val="24"/>
          <w:szCs w:val="24"/>
        </w:rPr>
        <w:t>, Inc.</w:t>
      </w:r>
      <w:r w:rsidRPr="008B3EA4">
        <w:rPr>
          <w:sz w:val="24"/>
          <w:szCs w:val="24"/>
        </w:rPr>
        <w:t xml:space="preserve"> (“Columbia”)</w:t>
      </w:r>
      <w:r w:rsidRPr="008B3EA4" w:rsidR="00C5245C">
        <w:rPr>
          <w:sz w:val="24"/>
          <w:szCs w:val="24"/>
        </w:rPr>
        <w:t>.</w:t>
      </w:r>
      <w:r w:rsidRPr="008B3EA4" w:rsidR="00331E13">
        <w:rPr>
          <w:sz w:val="24"/>
          <w:szCs w:val="24"/>
        </w:rPr>
        <w:t xml:space="preserve"> </w:t>
      </w:r>
      <w:r w:rsidRPr="008B3EA4">
        <w:rPr>
          <w:sz w:val="24"/>
          <w:szCs w:val="24"/>
        </w:rPr>
        <w:t xml:space="preserve"> </w:t>
      </w:r>
      <w:r w:rsidRPr="008B3EA4" w:rsidR="00331E13">
        <w:rPr>
          <w:sz w:val="24"/>
          <w:szCs w:val="24"/>
        </w:rPr>
        <w:t>It is improper.</w:t>
      </w:r>
      <w:r w:rsidRPr="008B3EA4" w:rsidR="00C5245C">
        <w:rPr>
          <w:sz w:val="24"/>
          <w:szCs w:val="24"/>
        </w:rPr>
        <w:t xml:space="preserve"> Th</w:t>
      </w:r>
      <w:r w:rsidRPr="008B3EA4">
        <w:rPr>
          <w:sz w:val="24"/>
          <w:szCs w:val="24"/>
        </w:rPr>
        <w:t>e fact th</w:t>
      </w:r>
      <w:r w:rsidRPr="008B3EA4" w:rsidR="00C5245C">
        <w:rPr>
          <w:sz w:val="24"/>
          <w:szCs w:val="24"/>
        </w:rPr>
        <w:t>at OCC or any other party settled a case with Columbia</w:t>
      </w:r>
      <w:r w:rsidRPr="008B3EA4">
        <w:rPr>
          <w:sz w:val="24"/>
          <w:szCs w:val="24"/>
        </w:rPr>
        <w:t xml:space="preserve"> </w:t>
      </w:r>
      <w:r w:rsidRPr="008B3EA4" w:rsidR="00C5245C">
        <w:rPr>
          <w:sz w:val="24"/>
          <w:szCs w:val="24"/>
        </w:rPr>
        <w:t>is not pertinent to this proceeding.</w:t>
      </w:r>
      <w:r w:rsidRPr="008B3EA4">
        <w:rPr>
          <w:sz w:val="24"/>
          <w:szCs w:val="24"/>
        </w:rPr>
        <w:t xml:space="preserve">  </w:t>
      </w:r>
    </w:p>
    <w:p w:rsidR="00845C50" w:rsidP="00845C50" w14:paraId="1609D44A" w14:textId="77777777">
      <w:pPr>
        <w:spacing w:line="480" w:lineRule="auto"/>
        <w:ind w:firstLine="720"/>
        <w:rPr>
          <w:sz w:val="24"/>
          <w:szCs w:val="24"/>
        </w:rPr>
        <w:sectPr w:rsidSect="000136A4">
          <w:footerReference w:type="first" r:id="rId6"/>
          <w:pgSz w:w="12240" w:h="15840"/>
          <w:pgMar w:top="1440" w:right="1440" w:bottom="1440" w:left="1440" w:header="720" w:footer="720" w:gutter="0"/>
          <w:pgNumType w:start="2"/>
          <w:cols w:space="720"/>
          <w:titlePg/>
          <w:docGrid w:linePitch="360"/>
        </w:sectPr>
      </w:pPr>
      <w:r w:rsidRPr="008B3EA4">
        <w:rPr>
          <w:sz w:val="24"/>
          <w:szCs w:val="24"/>
        </w:rPr>
        <w:t>On August 31, 2020, Dominion filed the direct testimony of Vicki Friscic i</w:t>
      </w:r>
      <w:r w:rsidRPr="008B3EA4" w:rsidR="00DB59B7">
        <w:rPr>
          <w:sz w:val="24"/>
          <w:szCs w:val="24"/>
        </w:rPr>
        <w:t>n support of</w:t>
      </w:r>
      <w:r w:rsidRPr="008B3EA4" w:rsidR="00434E28">
        <w:rPr>
          <w:sz w:val="24"/>
          <w:szCs w:val="24"/>
        </w:rPr>
        <w:t xml:space="preserve"> its</w:t>
      </w:r>
      <w:r w:rsidRPr="008B3EA4" w:rsidR="00DB59B7">
        <w:rPr>
          <w:sz w:val="24"/>
          <w:szCs w:val="24"/>
        </w:rPr>
        <w:t xml:space="preserve"> </w:t>
      </w:r>
      <w:r w:rsidRPr="008B3EA4" w:rsidR="009D06BD">
        <w:rPr>
          <w:sz w:val="24"/>
          <w:szCs w:val="24"/>
        </w:rPr>
        <w:t>settlement</w:t>
      </w:r>
      <w:r w:rsidRPr="008B3EA4" w:rsidR="00434E28">
        <w:rPr>
          <w:sz w:val="24"/>
          <w:szCs w:val="24"/>
        </w:rPr>
        <w:t xml:space="preserve"> with the PUCO </w:t>
      </w:r>
      <w:r w:rsidRPr="008B3EA4" w:rsidR="002B27CE">
        <w:rPr>
          <w:sz w:val="24"/>
          <w:szCs w:val="24"/>
        </w:rPr>
        <w:t>S</w:t>
      </w:r>
      <w:r w:rsidRPr="008B3EA4" w:rsidR="00434E28">
        <w:rPr>
          <w:sz w:val="24"/>
          <w:szCs w:val="24"/>
        </w:rPr>
        <w:t>taff.</w:t>
      </w:r>
      <w:r w:rsidRPr="008B3EA4" w:rsidR="009D06BD">
        <w:rPr>
          <w:sz w:val="24"/>
          <w:szCs w:val="24"/>
        </w:rPr>
        <w:t xml:space="preserve">  </w:t>
      </w:r>
      <w:r w:rsidRPr="008B3EA4" w:rsidR="001B7B31">
        <w:rPr>
          <w:sz w:val="24"/>
          <w:szCs w:val="24"/>
        </w:rPr>
        <w:t>T</w:t>
      </w:r>
      <w:r w:rsidRPr="008B3EA4" w:rsidR="009D06BD">
        <w:rPr>
          <w:sz w:val="24"/>
          <w:szCs w:val="24"/>
        </w:rPr>
        <w:t>hat testimony</w:t>
      </w:r>
      <w:r w:rsidRPr="008B3EA4" w:rsidR="00DB59B7">
        <w:rPr>
          <w:sz w:val="24"/>
          <w:szCs w:val="24"/>
        </w:rPr>
        <w:t xml:space="preserve"> relies on another s</w:t>
      </w:r>
      <w:r w:rsidRPr="008B3EA4" w:rsidR="001D11AE">
        <w:rPr>
          <w:sz w:val="24"/>
          <w:szCs w:val="24"/>
        </w:rPr>
        <w:t xml:space="preserve">ettlement </w:t>
      </w:r>
      <w:r w:rsidRPr="008B3EA4" w:rsidR="001B7B31">
        <w:rPr>
          <w:sz w:val="24"/>
          <w:szCs w:val="24"/>
        </w:rPr>
        <w:t>involving OCC</w:t>
      </w:r>
      <w:r w:rsidRPr="008B3EA4" w:rsidR="00EC2F19">
        <w:rPr>
          <w:sz w:val="24"/>
          <w:szCs w:val="24"/>
        </w:rPr>
        <w:t>,</w:t>
      </w:r>
      <w:r w:rsidRPr="008B3EA4" w:rsidR="001B7B31">
        <w:rPr>
          <w:sz w:val="24"/>
          <w:szCs w:val="24"/>
        </w:rPr>
        <w:t xml:space="preserve"> Columbia</w:t>
      </w:r>
      <w:r w:rsidRPr="008B3EA4" w:rsidR="000056B3">
        <w:rPr>
          <w:sz w:val="24"/>
          <w:szCs w:val="24"/>
        </w:rPr>
        <w:t>, PUCO Staff</w:t>
      </w:r>
      <w:r w:rsidRPr="008B3EA4" w:rsidR="00EC2F19">
        <w:rPr>
          <w:sz w:val="24"/>
          <w:szCs w:val="24"/>
        </w:rPr>
        <w:t xml:space="preserve"> and </w:t>
      </w:r>
      <w:r w:rsidRPr="008B3EA4" w:rsidR="000056B3">
        <w:rPr>
          <w:sz w:val="24"/>
          <w:szCs w:val="24"/>
        </w:rPr>
        <w:t xml:space="preserve">six </w:t>
      </w:r>
      <w:r w:rsidRPr="008B3EA4" w:rsidR="009C0AAF">
        <w:rPr>
          <w:sz w:val="24"/>
          <w:szCs w:val="24"/>
        </w:rPr>
        <w:t>other</w:t>
      </w:r>
      <w:r w:rsidRPr="008B3EA4" w:rsidR="000056B3">
        <w:rPr>
          <w:sz w:val="24"/>
          <w:szCs w:val="24"/>
        </w:rPr>
        <w:t xml:space="preserve"> partie</w:t>
      </w:r>
      <w:r w:rsidRPr="008B3EA4" w:rsidR="009C0AAF">
        <w:rPr>
          <w:sz w:val="24"/>
          <w:szCs w:val="24"/>
        </w:rPr>
        <w:t>s</w:t>
      </w:r>
      <w:r w:rsidRPr="008B3EA4" w:rsidR="001B7B31">
        <w:rPr>
          <w:sz w:val="24"/>
          <w:szCs w:val="24"/>
        </w:rPr>
        <w:t xml:space="preserve"> </w:t>
      </w:r>
      <w:r w:rsidRPr="008B3EA4" w:rsidR="00DB59B7">
        <w:rPr>
          <w:sz w:val="24"/>
          <w:szCs w:val="24"/>
        </w:rPr>
        <w:t>in a</w:t>
      </w:r>
      <w:r w:rsidRPr="008B3EA4" w:rsidR="001B7B31">
        <w:rPr>
          <w:sz w:val="24"/>
          <w:szCs w:val="24"/>
        </w:rPr>
        <w:t xml:space="preserve">nother </w:t>
      </w:r>
      <w:r w:rsidRPr="008B3EA4" w:rsidR="003200F5">
        <w:rPr>
          <w:sz w:val="24"/>
          <w:szCs w:val="24"/>
        </w:rPr>
        <w:t>unrelated</w:t>
      </w:r>
      <w:r w:rsidRPr="008B3EA4" w:rsidR="00DB59B7">
        <w:rPr>
          <w:sz w:val="24"/>
          <w:szCs w:val="24"/>
        </w:rPr>
        <w:t xml:space="preserve"> proceeding</w:t>
      </w:r>
      <w:r w:rsidRPr="008B3EA4" w:rsidR="00442AC9">
        <w:rPr>
          <w:sz w:val="24"/>
          <w:szCs w:val="24"/>
        </w:rPr>
        <w:t>.</w:t>
      </w:r>
      <w:r w:rsidRPr="008B3EA4" w:rsidR="009D06BD">
        <w:rPr>
          <w:sz w:val="24"/>
          <w:szCs w:val="24"/>
        </w:rPr>
        <w:t xml:space="preserve"> </w:t>
      </w:r>
      <w:r w:rsidRPr="008B3EA4" w:rsidR="000056B3">
        <w:rPr>
          <w:sz w:val="24"/>
          <w:szCs w:val="24"/>
        </w:rPr>
        <w:t xml:space="preserve"> </w:t>
      </w:r>
      <w:r w:rsidRPr="008B3EA4" w:rsidR="001B7B31">
        <w:rPr>
          <w:sz w:val="24"/>
          <w:szCs w:val="24"/>
        </w:rPr>
        <w:t xml:space="preserve">Dominion’s </w:t>
      </w:r>
    </w:p>
    <w:p w:rsidR="007A48AF" w:rsidRPr="008B3EA4" w:rsidP="00845C50" w14:paraId="3931853C" w14:textId="1E509FA9">
      <w:pPr>
        <w:spacing w:line="480" w:lineRule="auto"/>
        <w:rPr>
          <w:sz w:val="24"/>
          <w:szCs w:val="24"/>
        </w:rPr>
      </w:pPr>
      <w:r w:rsidRPr="008B3EA4">
        <w:rPr>
          <w:sz w:val="24"/>
          <w:szCs w:val="24"/>
        </w:rPr>
        <w:t xml:space="preserve">testimony </w:t>
      </w:r>
      <w:r w:rsidRPr="008B3EA4" w:rsidR="003200F5">
        <w:rPr>
          <w:sz w:val="24"/>
          <w:szCs w:val="24"/>
        </w:rPr>
        <w:t>violat</w:t>
      </w:r>
      <w:r w:rsidRPr="008B3EA4" w:rsidR="009D06BD">
        <w:rPr>
          <w:sz w:val="24"/>
          <w:szCs w:val="24"/>
        </w:rPr>
        <w:t xml:space="preserve">es </w:t>
      </w:r>
      <w:r w:rsidRPr="008B3EA4" w:rsidR="00DB59B7">
        <w:rPr>
          <w:sz w:val="24"/>
          <w:szCs w:val="24"/>
        </w:rPr>
        <w:t xml:space="preserve">the plain language </w:t>
      </w:r>
      <w:r w:rsidRPr="008B3EA4">
        <w:rPr>
          <w:sz w:val="24"/>
          <w:szCs w:val="24"/>
        </w:rPr>
        <w:t>of that settlement</w:t>
      </w:r>
      <w:r w:rsidRPr="008B3EA4" w:rsidR="000056B3">
        <w:rPr>
          <w:sz w:val="24"/>
          <w:szCs w:val="24"/>
        </w:rPr>
        <w:t xml:space="preserve">, stating that the settlement cannot be </w:t>
      </w:r>
      <w:r w:rsidR="00845C50">
        <w:rPr>
          <w:sz w:val="24"/>
          <w:szCs w:val="24"/>
        </w:rPr>
        <w:t xml:space="preserve"> </w:t>
      </w:r>
      <w:r w:rsidRPr="008B3EA4" w:rsidR="000056B3">
        <w:rPr>
          <w:sz w:val="24"/>
          <w:szCs w:val="24"/>
        </w:rPr>
        <w:t>used</w:t>
      </w:r>
      <w:r w:rsidRPr="008B3EA4">
        <w:rPr>
          <w:sz w:val="24"/>
          <w:szCs w:val="24"/>
        </w:rPr>
        <w:t xml:space="preserve"> against</w:t>
      </w:r>
      <w:r w:rsidRPr="008B3EA4" w:rsidR="000056B3">
        <w:rPr>
          <w:sz w:val="24"/>
          <w:szCs w:val="24"/>
        </w:rPr>
        <w:t xml:space="preserve"> or for the signatory parties in a future proceeding</w:t>
      </w:r>
      <w:r w:rsidRPr="008B3EA4" w:rsidR="00D0688C">
        <w:rPr>
          <w:sz w:val="24"/>
          <w:szCs w:val="24"/>
        </w:rPr>
        <w:t>, which the PUCO a</w:t>
      </w:r>
      <w:r w:rsidRPr="008B3EA4" w:rsidR="003200F5">
        <w:rPr>
          <w:sz w:val="24"/>
          <w:szCs w:val="24"/>
        </w:rPr>
        <w:t>dopted</w:t>
      </w:r>
      <w:r w:rsidRPr="008B3EA4" w:rsidR="009D06BD">
        <w:rPr>
          <w:sz w:val="24"/>
          <w:szCs w:val="24"/>
        </w:rPr>
        <w:t xml:space="preserve">.  </w:t>
      </w:r>
      <w:r w:rsidRPr="008B3EA4">
        <w:rPr>
          <w:sz w:val="24"/>
          <w:szCs w:val="24"/>
        </w:rPr>
        <w:t>Also u</w:t>
      </w:r>
      <w:r w:rsidRPr="008B3EA4" w:rsidR="009D06BD">
        <w:rPr>
          <w:sz w:val="24"/>
          <w:szCs w:val="24"/>
        </w:rPr>
        <w:t xml:space="preserve">sing a settlement agreement reached in one proceeding as precedent against parties in another proceeding violates </w:t>
      </w:r>
      <w:r w:rsidRPr="008B3EA4" w:rsidR="00954A3F">
        <w:rPr>
          <w:sz w:val="24"/>
          <w:szCs w:val="24"/>
        </w:rPr>
        <w:t>PUCO precedent</w:t>
      </w:r>
      <w:r w:rsidRPr="008B3EA4" w:rsidR="00D0688C">
        <w:rPr>
          <w:sz w:val="24"/>
          <w:szCs w:val="24"/>
        </w:rPr>
        <w:t>.</w:t>
      </w:r>
      <w:r w:rsidRPr="008B3EA4" w:rsidR="0081110B">
        <w:rPr>
          <w:sz w:val="24"/>
          <w:szCs w:val="24"/>
        </w:rPr>
        <w:t xml:space="preserve"> </w:t>
      </w:r>
    </w:p>
    <w:p w:rsidR="009D06BD" w:rsidRPr="008B3EA4" w:rsidP="000056B3" w14:paraId="08E56BDF" w14:textId="058A576D">
      <w:pPr>
        <w:spacing w:line="480" w:lineRule="auto"/>
        <w:ind w:firstLine="720"/>
        <w:rPr>
          <w:sz w:val="24"/>
          <w:szCs w:val="24"/>
        </w:rPr>
      </w:pPr>
      <w:r w:rsidRPr="008B3EA4">
        <w:rPr>
          <w:sz w:val="24"/>
          <w:szCs w:val="24"/>
        </w:rPr>
        <w:t xml:space="preserve">Accordingly, the </w:t>
      </w:r>
      <w:r w:rsidRPr="008B3EA4" w:rsidR="002D42AD">
        <w:rPr>
          <w:sz w:val="24"/>
          <w:szCs w:val="24"/>
        </w:rPr>
        <w:t xml:space="preserve">PUCO </w:t>
      </w:r>
      <w:r w:rsidRPr="008B3EA4" w:rsidR="00B82552">
        <w:rPr>
          <w:sz w:val="24"/>
          <w:szCs w:val="24"/>
        </w:rPr>
        <w:t xml:space="preserve">should </w:t>
      </w:r>
      <w:r w:rsidRPr="008B3EA4">
        <w:rPr>
          <w:sz w:val="24"/>
          <w:szCs w:val="24"/>
        </w:rPr>
        <w:t xml:space="preserve">grant this </w:t>
      </w:r>
      <w:r w:rsidRPr="008B3EA4" w:rsidR="000056B3">
        <w:rPr>
          <w:sz w:val="24"/>
          <w:szCs w:val="24"/>
        </w:rPr>
        <w:t xml:space="preserve">joint </w:t>
      </w:r>
      <w:r w:rsidRPr="008B3EA4">
        <w:rPr>
          <w:sz w:val="24"/>
          <w:szCs w:val="24"/>
        </w:rPr>
        <w:t>motion and strike the</w:t>
      </w:r>
      <w:r w:rsidRPr="008B3EA4" w:rsidR="00954A3F">
        <w:rPr>
          <w:sz w:val="24"/>
          <w:szCs w:val="24"/>
        </w:rPr>
        <w:t xml:space="preserve"> portions of the Dominion Testimony</w:t>
      </w:r>
      <w:r w:rsidRPr="008B3EA4" w:rsidR="003200F5">
        <w:rPr>
          <w:sz w:val="24"/>
          <w:szCs w:val="24"/>
        </w:rPr>
        <w:t xml:space="preserve"> </w:t>
      </w:r>
      <w:r w:rsidRPr="008B3EA4" w:rsidR="002D42AD">
        <w:rPr>
          <w:sz w:val="24"/>
          <w:szCs w:val="24"/>
        </w:rPr>
        <w:t>t</w:t>
      </w:r>
      <w:r w:rsidRPr="008B3EA4">
        <w:rPr>
          <w:sz w:val="24"/>
          <w:szCs w:val="24"/>
        </w:rPr>
        <w:t>hat rely on the Columbia</w:t>
      </w:r>
      <w:r w:rsidRPr="008B3EA4" w:rsidR="00EC2F19">
        <w:rPr>
          <w:sz w:val="24"/>
          <w:szCs w:val="24"/>
        </w:rPr>
        <w:t>-related</w:t>
      </w:r>
      <w:r w:rsidRPr="008B3EA4">
        <w:rPr>
          <w:sz w:val="24"/>
          <w:szCs w:val="24"/>
        </w:rPr>
        <w:t xml:space="preserve"> settlement.  </w:t>
      </w:r>
      <w:r w:rsidRPr="008B3EA4" w:rsidR="000056B3">
        <w:rPr>
          <w:sz w:val="24"/>
          <w:szCs w:val="24"/>
        </w:rPr>
        <w:t>More specifically, the</w:t>
      </w:r>
      <w:r w:rsidRPr="008B3EA4">
        <w:rPr>
          <w:sz w:val="24"/>
          <w:szCs w:val="24"/>
        </w:rPr>
        <w:t xml:space="preserve"> motion to strike is for testimony</w:t>
      </w:r>
      <w:r w:rsidRPr="008B3EA4" w:rsidR="00B53764">
        <w:rPr>
          <w:sz w:val="24"/>
          <w:szCs w:val="24"/>
        </w:rPr>
        <w:t xml:space="preserve"> beginning on Page 11, line 22 through Page 12, line 6; Page 12, line 19 through Page 14, line 20; Page 16, lines 10 through 18; Page 24, lines 11 (beginning with the word “And”) through 16; and Page 26, lines 21 (beginning with the word “In”) through 23.  </w:t>
      </w:r>
    </w:p>
    <w:p w:rsidR="009C0C96" w:rsidRPr="008B3EA4" w:rsidP="000056B3" w14:paraId="33106027" w14:textId="77777777">
      <w:pPr>
        <w:spacing w:line="480" w:lineRule="auto"/>
        <w:ind w:firstLine="720"/>
        <w:rPr>
          <w:sz w:val="24"/>
          <w:szCs w:val="24"/>
        </w:rPr>
      </w:pPr>
      <w:r w:rsidRPr="008B3EA4">
        <w:rPr>
          <w:sz w:val="24"/>
          <w:szCs w:val="24"/>
        </w:rPr>
        <w:t xml:space="preserve">This </w:t>
      </w:r>
      <w:r w:rsidRPr="008B3EA4" w:rsidR="000056B3">
        <w:rPr>
          <w:sz w:val="24"/>
          <w:szCs w:val="24"/>
        </w:rPr>
        <w:t xml:space="preserve">joint </w:t>
      </w:r>
      <w:r w:rsidRPr="008B3EA4">
        <w:rPr>
          <w:sz w:val="24"/>
          <w:szCs w:val="24"/>
        </w:rPr>
        <w:t>motion should be granted</w:t>
      </w:r>
      <w:r w:rsidRPr="008B3EA4" w:rsidR="009D06BD">
        <w:rPr>
          <w:sz w:val="24"/>
          <w:szCs w:val="24"/>
        </w:rPr>
        <w:t xml:space="preserve">, as explained in more detail in the attached memorandum in support.  </w:t>
      </w:r>
    </w:p>
    <w:p w:rsidR="009B3158" w:rsidRPr="008B3EA4" w:rsidP="009B3158" w14:paraId="3886BDD0" w14:textId="77777777">
      <w:pPr>
        <w:tabs>
          <w:tab w:val="left" w:pos="9360"/>
        </w:tabs>
        <w:spacing w:line="480" w:lineRule="auto"/>
        <w:ind w:left="3960"/>
        <w:rPr>
          <w:rFonts w:eastAsiaTheme="minorHAnsi"/>
          <w:color w:val="292929"/>
          <w:sz w:val="24"/>
          <w:szCs w:val="24"/>
        </w:rPr>
      </w:pPr>
      <w:r w:rsidRPr="008B3EA4">
        <w:rPr>
          <w:sz w:val="24"/>
          <w:szCs w:val="24"/>
        </w:rPr>
        <w:t>Respectfully submitted,</w:t>
      </w:r>
    </w:p>
    <w:p w:rsidR="009B3158" w:rsidRPr="008B3EA4" w:rsidP="009B3158" w14:paraId="242C9AD9" w14:textId="77777777">
      <w:pPr>
        <w:ind w:left="3960"/>
        <w:rPr>
          <w:sz w:val="24"/>
          <w:szCs w:val="24"/>
        </w:rPr>
      </w:pPr>
      <w:r w:rsidRPr="008B3EA4">
        <w:rPr>
          <w:sz w:val="24"/>
          <w:szCs w:val="24"/>
        </w:rPr>
        <w:t>Bruce Weston (0016973)</w:t>
      </w:r>
    </w:p>
    <w:p w:rsidR="009B3158" w:rsidRPr="008B3EA4" w:rsidP="00F8133D" w14:paraId="5E3D38D8" w14:textId="77777777">
      <w:pPr>
        <w:ind w:left="3960"/>
        <w:rPr>
          <w:sz w:val="24"/>
          <w:szCs w:val="24"/>
        </w:rPr>
      </w:pPr>
      <w:r w:rsidRPr="008B3EA4">
        <w:rPr>
          <w:sz w:val="24"/>
          <w:szCs w:val="24"/>
        </w:rPr>
        <w:t>Ohio Consumers’ Counsel</w:t>
      </w:r>
    </w:p>
    <w:p w:rsidR="000C4F7F" w:rsidRPr="008B3EA4" w:rsidP="00F8133D" w14:paraId="6DBA9148" w14:textId="77777777">
      <w:pPr>
        <w:ind w:left="3960"/>
        <w:rPr>
          <w:sz w:val="24"/>
          <w:szCs w:val="24"/>
        </w:rPr>
      </w:pPr>
    </w:p>
    <w:p w:rsidR="000C4F7F" w:rsidRPr="008B3EA4" w:rsidP="000C4F7F" w14:paraId="296456B1" w14:textId="5CF5C1F3">
      <w:pPr>
        <w:ind w:left="3960"/>
        <w:rPr>
          <w:sz w:val="24"/>
          <w:szCs w:val="24"/>
        </w:rPr>
      </w:pPr>
      <w:r w:rsidRPr="008B3EA4">
        <w:rPr>
          <w:i/>
          <w:sz w:val="24"/>
          <w:szCs w:val="24"/>
          <w:u w:val="single"/>
        </w:rPr>
        <w:t xml:space="preserve">/s/ </w:t>
      </w:r>
      <w:r w:rsidRPr="008B3EA4" w:rsidR="003200F5">
        <w:rPr>
          <w:i/>
          <w:sz w:val="24"/>
          <w:szCs w:val="24"/>
          <w:u w:val="single"/>
        </w:rPr>
        <w:t>Kimberly W. Bojko</w:t>
      </w:r>
      <w:r w:rsidRPr="008B3EA4" w:rsidR="001D574A">
        <w:rPr>
          <w:i/>
          <w:sz w:val="24"/>
          <w:szCs w:val="24"/>
          <w:u w:val="single"/>
        </w:rPr>
        <w:t xml:space="preserve"> </w:t>
      </w:r>
      <w:r w:rsidRPr="008B3EA4">
        <w:rPr>
          <w:i/>
          <w:sz w:val="24"/>
          <w:szCs w:val="24"/>
          <w:u w:val="single"/>
        </w:rPr>
        <w:tab/>
      </w:r>
      <w:r w:rsidRPr="008B3EA4">
        <w:rPr>
          <w:i/>
          <w:sz w:val="24"/>
          <w:szCs w:val="24"/>
          <w:u w:val="single"/>
        </w:rPr>
        <w:tab/>
      </w:r>
    </w:p>
    <w:p w:rsidR="003200F5" w:rsidRPr="008B3EA4" w:rsidP="003200F5" w14:paraId="095E8E8F" w14:textId="77777777">
      <w:pPr>
        <w:widowControl w:val="0"/>
        <w:tabs>
          <w:tab w:val="center" w:pos="4680"/>
          <w:tab w:val="right" w:pos="9360"/>
        </w:tabs>
        <w:ind w:left="3960"/>
        <w:rPr>
          <w:rFonts w:eastAsiaTheme="minorHAnsi"/>
          <w:sz w:val="24"/>
          <w:szCs w:val="24"/>
        </w:rPr>
      </w:pPr>
      <w:r w:rsidRPr="008B3EA4">
        <w:rPr>
          <w:rFonts w:eastAsiaTheme="minorHAnsi"/>
          <w:sz w:val="24"/>
          <w:szCs w:val="24"/>
        </w:rPr>
        <w:t>Kimberly W. Bojko (0069402)</w:t>
      </w:r>
    </w:p>
    <w:p w:rsidR="003200F5" w:rsidRPr="008B3EA4" w:rsidP="003200F5" w14:paraId="0B8FB7A7" w14:textId="77777777">
      <w:pPr>
        <w:widowControl w:val="0"/>
        <w:tabs>
          <w:tab w:val="center" w:pos="4680"/>
          <w:tab w:val="right" w:pos="9360"/>
        </w:tabs>
        <w:ind w:left="3960"/>
        <w:rPr>
          <w:rFonts w:eastAsiaTheme="minorHAnsi"/>
          <w:sz w:val="24"/>
          <w:szCs w:val="24"/>
        </w:rPr>
      </w:pPr>
      <w:r w:rsidRPr="008B3EA4">
        <w:rPr>
          <w:rFonts w:eastAsiaTheme="minorHAnsi"/>
          <w:sz w:val="24"/>
          <w:szCs w:val="24"/>
        </w:rPr>
        <w:t>Carpenter Lipps &amp; Leland LLP</w:t>
      </w:r>
    </w:p>
    <w:p w:rsidR="003200F5" w:rsidRPr="008B3EA4" w:rsidP="003200F5" w14:paraId="238541E2" w14:textId="77777777">
      <w:pPr>
        <w:widowControl w:val="0"/>
        <w:tabs>
          <w:tab w:val="center" w:pos="4680"/>
          <w:tab w:val="right" w:pos="9360"/>
        </w:tabs>
        <w:ind w:left="3960"/>
        <w:rPr>
          <w:rFonts w:eastAsiaTheme="minorHAnsi"/>
          <w:sz w:val="24"/>
          <w:szCs w:val="24"/>
        </w:rPr>
      </w:pPr>
      <w:r w:rsidRPr="008B3EA4">
        <w:rPr>
          <w:rFonts w:eastAsiaTheme="minorHAnsi"/>
          <w:sz w:val="24"/>
          <w:szCs w:val="24"/>
        </w:rPr>
        <w:t>280 North High Street, Suite 1300</w:t>
      </w:r>
    </w:p>
    <w:p w:rsidR="003200F5" w:rsidRPr="008B3EA4" w:rsidP="003200F5" w14:paraId="4A3D4821" w14:textId="77777777">
      <w:pPr>
        <w:widowControl w:val="0"/>
        <w:tabs>
          <w:tab w:val="center" w:pos="4680"/>
          <w:tab w:val="right" w:pos="9360"/>
        </w:tabs>
        <w:ind w:left="3960"/>
        <w:rPr>
          <w:rFonts w:eastAsiaTheme="minorHAnsi"/>
          <w:sz w:val="24"/>
          <w:szCs w:val="24"/>
        </w:rPr>
      </w:pPr>
      <w:r w:rsidRPr="008B3EA4">
        <w:rPr>
          <w:rFonts w:eastAsiaTheme="minorHAnsi"/>
          <w:sz w:val="24"/>
          <w:szCs w:val="24"/>
        </w:rPr>
        <w:t>Columbus, Ohio 43215</w:t>
      </w:r>
    </w:p>
    <w:p w:rsidR="003200F5" w:rsidRPr="008B3EA4" w:rsidP="003200F5" w14:paraId="2C04E957" w14:textId="77777777">
      <w:pPr>
        <w:widowControl w:val="0"/>
        <w:tabs>
          <w:tab w:val="center" w:pos="4680"/>
          <w:tab w:val="right" w:pos="9360"/>
        </w:tabs>
        <w:ind w:left="3960"/>
        <w:rPr>
          <w:rFonts w:eastAsiaTheme="minorHAnsi"/>
          <w:sz w:val="24"/>
          <w:szCs w:val="24"/>
        </w:rPr>
      </w:pPr>
      <w:r w:rsidRPr="008B3EA4">
        <w:rPr>
          <w:rFonts w:eastAsiaTheme="minorHAnsi"/>
          <w:sz w:val="24"/>
          <w:szCs w:val="24"/>
        </w:rPr>
        <w:t>Telephone: (614) 365-4100</w:t>
      </w:r>
    </w:p>
    <w:p w:rsidR="003200F5" w:rsidRPr="008B3EA4" w:rsidP="003200F5" w14:paraId="53786FCB" w14:textId="77777777">
      <w:pPr>
        <w:widowControl w:val="0"/>
        <w:tabs>
          <w:tab w:val="center" w:pos="4680"/>
          <w:tab w:val="right" w:pos="9360"/>
        </w:tabs>
        <w:ind w:left="3960"/>
        <w:rPr>
          <w:rFonts w:eastAsiaTheme="minorHAnsi"/>
          <w:color w:val="0000FF"/>
          <w:sz w:val="24"/>
          <w:szCs w:val="24"/>
        </w:rPr>
      </w:pPr>
      <w:hyperlink r:id="rId7" w:history="1">
        <w:r w:rsidRPr="008B3EA4" w:rsidR="005D783A">
          <w:rPr>
            <w:rFonts w:eastAsiaTheme="minorHAnsi"/>
            <w:color w:val="0000FF"/>
            <w:sz w:val="24"/>
            <w:szCs w:val="24"/>
            <w:u w:val="single"/>
          </w:rPr>
          <w:t>bojko@carpenterlipps.com</w:t>
        </w:r>
      </w:hyperlink>
    </w:p>
    <w:p w:rsidR="003200F5" w:rsidRPr="008B3EA4" w:rsidP="003200F5" w14:paraId="4E6599A2" w14:textId="77777777">
      <w:pPr>
        <w:widowControl w:val="0"/>
        <w:tabs>
          <w:tab w:val="center" w:pos="4680"/>
          <w:tab w:val="right" w:pos="9360"/>
        </w:tabs>
        <w:ind w:left="3960"/>
        <w:rPr>
          <w:rFonts w:eastAsiaTheme="minorHAnsi"/>
          <w:sz w:val="24"/>
          <w:szCs w:val="24"/>
        </w:rPr>
      </w:pPr>
      <w:r w:rsidRPr="008B3EA4">
        <w:rPr>
          <w:rFonts w:eastAsiaTheme="minorHAnsi"/>
          <w:sz w:val="24"/>
          <w:szCs w:val="24"/>
        </w:rPr>
        <w:t>(willing to accept service by e-mail)</w:t>
      </w:r>
    </w:p>
    <w:p w:rsidR="000136A4" w:rsidRPr="008B3EA4" w:rsidP="003200F5" w14:paraId="5EAFDA40" w14:textId="77777777">
      <w:pPr>
        <w:widowControl w:val="0"/>
        <w:ind w:left="3960"/>
        <w:rPr>
          <w:rFonts w:eastAsiaTheme="minorHAnsi"/>
          <w:i/>
          <w:sz w:val="24"/>
          <w:szCs w:val="24"/>
        </w:rPr>
      </w:pPr>
    </w:p>
    <w:p w:rsidR="003200F5" w:rsidRPr="008B3EA4" w:rsidP="003200F5" w14:paraId="3303E31E" w14:textId="2ACEE83B">
      <w:pPr>
        <w:widowControl w:val="0"/>
        <w:ind w:left="3960"/>
        <w:rPr>
          <w:rFonts w:eastAsiaTheme="minorHAnsi"/>
          <w:i/>
          <w:sz w:val="24"/>
          <w:szCs w:val="24"/>
        </w:rPr>
      </w:pPr>
      <w:r w:rsidRPr="008B3EA4">
        <w:rPr>
          <w:rFonts w:eastAsiaTheme="minorHAnsi"/>
          <w:i/>
          <w:sz w:val="24"/>
          <w:szCs w:val="24"/>
        </w:rPr>
        <w:t>Special Counsel for the</w:t>
      </w:r>
    </w:p>
    <w:p w:rsidR="003200F5" w:rsidRPr="008B3EA4" w:rsidP="0081110B" w14:paraId="372CC95F" w14:textId="7049C477">
      <w:pPr>
        <w:tabs>
          <w:tab w:val="left" w:pos="3960"/>
        </w:tabs>
        <w:rPr>
          <w:rFonts w:eastAsiaTheme="minorHAnsi"/>
          <w:i/>
          <w:sz w:val="24"/>
          <w:szCs w:val="24"/>
        </w:rPr>
      </w:pPr>
      <w:r w:rsidRPr="008B3EA4">
        <w:rPr>
          <w:rFonts w:eastAsiaTheme="minorHAnsi"/>
          <w:iCs/>
          <w:sz w:val="24"/>
          <w:szCs w:val="24"/>
        </w:rPr>
        <w:tab/>
      </w:r>
      <w:r w:rsidRPr="008B3EA4">
        <w:rPr>
          <w:rFonts w:eastAsiaTheme="minorHAnsi"/>
          <w:i/>
          <w:sz w:val="24"/>
          <w:szCs w:val="24"/>
        </w:rPr>
        <w:t>Office of the Ohio Consumers’ Counsel</w:t>
      </w:r>
    </w:p>
    <w:p w:rsidR="00B7133C" w:rsidRPr="008B3EA4" w:rsidP="0081110B" w14:paraId="59030BC1" w14:textId="64E6D523">
      <w:pPr>
        <w:tabs>
          <w:tab w:val="left" w:pos="3960"/>
        </w:tabs>
        <w:rPr>
          <w:rFonts w:eastAsiaTheme="minorHAnsi"/>
          <w:i/>
          <w:sz w:val="24"/>
          <w:szCs w:val="24"/>
        </w:rPr>
      </w:pPr>
    </w:p>
    <w:p w:rsidR="00B7133C" w:rsidRPr="008B3EA4" w:rsidP="0081110B" w14:paraId="6A2EFD9A" w14:textId="77777777">
      <w:pPr>
        <w:tabs>
          <w:tab w:val="left" w:pos="3960"/>
        </w:tabs>
        <w:rPr>
          <w:rFonts w:eastAsiaTheme="minorHAnsi"/>
          <w:i/>
          <w:sz w:val="24"/>
          <w:szCs w:val="24"/>
        </w:rPr>
        <w:sectPr w:rsidSect="000136A4">
          <w:footerReference w:type="first" r:id="rId8"/>
          <w:pgSz w:w="12240" w:h="15840"/>
          <w:pgMar w:top="1440" w:right="1440" w:bottom="1440" w:left="1440" w:header="720" w:footer="720" w:gutter="0"/>
          <w:pgNumType w:start="2"/>
          <w:cols w:space="720"/>
          <w:titlePg/>
          <w:docGrid w:linePitch="360"/>
        </w:sectPr>
      </w:pPr>
    </w:p>
    <w:p w:rsidR="001B255E" w:rsidRPr="008B3EA4" w:rsidP="000136A4" w14:paraId="68C9510E" w14:textId="0A954979">
      <w:pPr>
        <w:ind w:left="3600"/>
        <w:rPr>
          <w:sz w:val="24"/>
          <w:szCs w:val="24"/>
        </w:rPr>
      </w:pPr>
      <w:r w:rsidRPr="008B3EA4">
        <w:rPr>
          <w:sz w:val="24"/>
          <w:szCs w:val="24"/>
        </w:rPr>
        <w:t xml:space="preserve">Christopher Healey (0086027) </w:t>
      </w:r>
    </w:p>
    <w:p w:rsidR="001B255E" w:rsidRPr="008B3EA4" w:rsidP="000136A4" w14:paraId="0E3770A3" w14:textId="77777777">
      <w:pPr>
        <w:ind w:left="3600"/>
        <w:rPr>
          <w:sz w:val="24"/>
          <w:szCs w:val="24"/>
        </w:rPr>
      </w:pPr>
      <w:r w:rsidRPr="008B3EA4">
        <w:rPr>
          <w:sz w:val="24"/>
          <w:szCs w:val="24"/>
        </w:rPr>
        <w:t>Counsel of Record</w:t>
      </w:r>
    </w:p>
    <w:p w:rsidR="009B3158" w:rsidRPr="008B3EA4" w:rsidP="000136A4" w14:paraId="7FE8DBED" w14:textId="77777777">
      <w:pPr>
        <w:ind w:left="3600"/>
        <w:rPr>
          <w:sz w:val="24"/>
          <w:szCs w:val="24"/>
        </w:rPr>
      </w:pPr>
      <w:r w:rsidRPr="008B3EA4">
        <w:rPr>
          <w:sz w:val="24"/>
          <w:szCs w:val="24"/>
        </w:rPr>
        <w:t xml:space="preserve">William J. Michael (0070921) </w:t>
      </w:r>
    </w:p>
    <w:p w:rsidR="009B3158" w:rsidRPr="008B3EA4" w:rsidP="000136A4" w14:paraId="234A1493" w14:textId="77777777">
      <w:pPr>
        <w:ind w:left="3600"/>
        <w:rPr>
          <w:sz w:val="24"/>
          <w:szCs w:val="24"/>
        </w:rPr>
      </w:pPr>
      <w:r w:rsidRPr="008B3EA4">
        <w:rPr>
          <w:sz w:val="24"/>
          <w:szCs w:val="24"/>
        </w:rPr>
        <w:t xml:space="preserve">Assistant Consumers’ Counsel </w:t>
      </w:r>
    </w:p>
    <w:p w:rsidR="009B3158" w:rsidRPr="008B3EA4" w:rsidP="000136A4" w14:paraId="6C042072" w14:textId="77777777">
      <w:pPr>
        <w:ind w:left="3600"/>
        <w:rPr>
          <w:sz w:val="24"/>
          <w:szCs w:val="24"/>
        </w:rPr>
      </w:pPr>
    </w:p>
    <w:p w:rsidR="009B3158" w:rsidRPr="008B3EA4" w:rsidP="000136A4" w14:paraId="755D9578" w14:textId="77777777">
      <w:pPr>
        <w:pStyle w:val="Heading1"/>
        <w:pBdr>
          <w:top w:val="none" w:sz="0" w:space="0" w:color="auto"/>
          <w:bottom w:val="none" w:sz="0" w:space="0" w:color="auto"/>
        </w:pBdr>
        <w:ind w:left="3600"/>
        <w:jc w:val="left"/>
        <w:rPr>
          <w:szCs w:val="24"/>
        </w:rPr>
      </w:pPr>
      <w:r w:rsidRPr="008B3EA4">
        <w:rPr>
          <w:szCs w:val="24"/>
        </w:rPr>
        <w:t>Office of the Ohio Consumers’ Counsel</w:t>
      </w:r>
    </w:p>
    <w:p w:rsidR="009B3158" w:rsidRPr="008B3EA4" w:rsidP="000136A4" w14:paraId="223C17B4" w14:textId="77777777">
      <w:pPr>
        <w:pStyle w:val="Heading1"/>
        <w:pBdr>
          <w:top w:val="none" w:sz="0" w:space="0" w:color="auto"/>
          <w:bottom w:val="none" w:sz="0" w:space="0" w:color="auto"/>
        </w:pBdr>
        <w:ind w:left="3600"/>
        <w:jc w:val="left"/>
        <w:rPr>
          <w:b w:val="0"/>
          <w:szCs w:val="24"/>
        </w:rPr>
      </w:pPr>
      <w:r w:rsidRPr="008B3EA4">
        <w:rPr>
          <w:b w:val="0"/>
          <w:szCs w:val="24"/>
        </w:rPr>
        <w:t>65 East State Street, 7th Floor</w:t>
      </w:r>
    </w:p>
    <w:p w:rsidR="009B3158" w:rsidRPr="008B3EA4" w:rsidP="000136A4" w14:paraId="766618A6" w14:textId="77777777">
      <w:pPr>
        <w:pStyle w:val="Heading1"/>
        <w:pBdr>
          <w:top w:val="none" w:sz="0" w:space="0" w:color="auto"/>
          <w:bottom w:val="none" w:sz="0" w:space="0" w:color="auto"/>
        </w:pBdr>
        <w:ind w:left="3600"/>
        <w:jc w:val="left"/>
        <w:rPr>
          <w:b w:val="0"/>
          <w:szCs w:val="24"/>
        </w:rPr>
      </w:pPr>
      <w:r w:rsidRPr="008B3EA4">
        <w:rPr>
          <w:b w:val="0"/>
          <w:szCs w:val="24"/>
        </w:rPr>
        <w:t>Columbus, Ohio 43215</w:t>
      </w:r>
    </w:p>
    <w:p w:rsidR="001B255E" w:rsidRPr="008B3EA4" w:rsidP="000136A4" w14:paraId="45CC845A" w14:textId="77777777">
      <w:pPr>
        <w:ind w:left="3600"/>
        <w:rPr>
          <w:sz w:val="24"/>
          <w:szCs w:val="24"/>
        </w:rPr>
      </w:pPr>
      <w:r w:rsidRPr="008B3EA4">
        <w:rPr>
          <w:sz w:val="24"/>
          <w:szCs w:val="24"/>
        </w:rPr>
        <w:t xml:space="preserve">Telephone [Healey]: (614) 466-9571 </w:t>
      </w:r>
    </w:p>
    <w:p w:rsidR="009B3158" w:rsidRPr="008B3EA4" w:rsidP="000136A4" w14:paraId="51FE47D6" w14:textId="6F050DD2">
      <w:pPr>
        <w:ind w:left="3600"/>
        <w:rPr>
          <w:sz w:val="24"/>
          <w:szCs w:val="24"/>
        </w:rPr>
      </w:pPr>
      <w:r w:rsidRPr="008B3EA4">
        <w:rPr>
          <w:sz w:val="24"/>
          <w:szCs w:val="24"/>
        </w:rPr>
        <w:t>Telephone [Michael]: (614) 466-1291</w:t>
      </w:r>
      <w:r w:rsidRPr="008B3EA4" w:rsidR="0081110B">
        <w:rPr>
          <w:sz w:val="24"/>
          <w:szCs w:val="24"/>
        </w:rPr>
        <w:t xml:space="preserve">   </w:t>
      </w:r>
      <w:r w:rsidRPr="008B3EA4">
        <w:rPr>
          <w:sz w:val="24"/>
          <w:szCs w:val="24"/>
        </w:rPr>
        <w:t xml:space="preserve"> </w:t>
      </w:r>
      <w:hyperlink r:id="rId9" w:history="1">
        <w:r w:rsidRPr="008B3EA4">
          <w:rPr>
            <w:rStyle w:val="Hyperlink"/>
            <w:sz w:val="24"/>
            <w:szCs w:val="24"/>
          </w:rPr>
          <w:t>christopher.healey@occ.ohio.gov</w:t>
        </w:r>
      </w:hyperlink>
      <w:r w:rsidRPr="008B3EA4" w:rsidR="0081110B">
        <w:rPr>
          <w:sz w:val="24"/>
          <w:szCs w:val="24"/>
        </w:rPr>
        <w:t xml:space="preserve">    </w:t>
      </w:r>
      <w:hyperlink r:id="rId10" w:history="1">
        <w:r w:rsidRPr="008B3EA4">
          <w:rPr>
            <w:rStyle w:val="Hyperlink"/>
            <w:sz w:val="24"/>
            <w:szCs w:val="24"/>
          </w:rPr>
          <w:t>william.michael@occ.ohio.gov</w:t>
        </w:r>
      </w:hyperlink>
      <w:r w:rsidRPr="008B3EA4" w:rsidR="0081110B">
        <w:rPr>
          <w:sz w:val="24"/>
          <w:szCs w:val="24"/>
        </w:rPr>
        <w:t xml:space="preserve"> </w:t>
      </w:r>
    </w:p>
    <w:p w:rsidR="009B3158" w:rsidRPr="008B3EA4" w:rsidP="000136A4" w14:paraId="2316C019" w14:textId="77777777">
      <w:pPr>
        <w:ind w:left="3600"/>
        <w:rPr>
          <w:sz w:val="24"/>
          <w:szCs w:val="24"/>
        </w:rPr>
      </w:pPr>
      <w:r w:rsidRPr="008B3EA4">
        <w:rPr>
          <w:sz w:val="24"/>
          <w:szCs w:val="24"/>
        </w:rPr>
        <w:t xml:space="preserve">(willing to accept service by email) </w:t>
      </w:r>
    </w:p>
    <w:p w:rsidR="00FD39D6" w:rsidRPr="008B3EA4" w:rsidP="000136A4" w14:paraId="3AD45361" w14:textId="77777777">
      <w:pPr>
        <w:ind w:left="3600"/>
        <w:rPr>
          <w:sz w:val="24"/>
          <w:szCs w:val="24"/>
        </w:rPr>
      </w:pPr>
    </w:p>
    <w:p w:rsidR="009B3158" w:rsidRPr="008B3EA4" w:rsidP="000136A4" w14:paraId="199F55C8" w14:textId="3B22153C">
      <w:pPr>
        <w:ind w:left="3600"/>
        <w:jc w:val="both"/>
        <w:rPr>
          <w:sz w:val="24"/>
          <w:szCs w:val="24"/>
        </w:rPr>
      </w:pPr>
      <w:r w:rsidRPr="008B3EA4">
        <w:rPr>
          <w:i/>
          <w:iCs/>
          <w:sz w:val="24"/>
          <w:szCs w:val="24"/>
          <w:u w:val="single"/>
        </w:rPr>
        <w:t>/s/ Glenn S. Krassen</w:t>
      </w:r>
      <w:r w:rsidRPr="008B3EA4">
        <w:rPr>
          <w:sz w:val="24"/>
          <w:szCs w:val="24"/>
        </w:rPr>
        <w:tab/>
      </w:r>
      <w:r w:rsidRPr="008B3EA4">
        <w:rPr>
          <w:sz w:val="24"/>
          <w:szCs w:val="24"/>
        </w:rPr>
        <w:tab/>
      </w:r>
      <w:r w:rsidRPr="008B3EA4">
        <w:rPr>
          <w:sz w:val="24"/>
          <w:szCs w:val="24"/>
        </w:rPr>
        <w:tab/>
      </w:r>
      <w:r w:rsidRPr="008B3EA4">
        <w:rPr>
          <w:sz w:val="24"/>
          <w:szCs w:val="24"/>
        </w:rPr>
        <w:tab/>
      </w:r>
      <w:r w:rsidRPr="008B3EA4">
        <w:rPr>
          <w:sz w:val="24"/>
          <w:szCs w:val="24"/>
        </w:rPr>
        <w:tab/>
      </w:r>
      <w:r w:rsidRPr="008B3EA4">
        <w:rPr>
          <w:sz w:val="24"/>
          <w:szCs w:val="24"/>
        </w:rPr>
        <w:tab/>
      </w:r>
    </w:p>
    <w:p w:rsidR="000136A4" w:rsidRPr="008B3EA4" w:rsidP="000136A4" w14:paraId="5FCD0DB1"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Glenn S. Krassen (0007610)</w:t>
      </w:r>
    </w:p>
    <w:p w:rsidR="000136A4" w:rsidRPr="008B3EA4" w:rsidP="000136A4" w14:paraId="58932786"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BRICKER &amp; ECKLER LLP</w:t>
      </w:r>
    </w:p>
    <w:p w:rsidR="000136A4" w:rsidRPr="008B3EA4" w:rsidP="000136A4" w14:paraId="206032EC"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1001 Lakeside Avenue, Suite 1350</w:t>
      </w:r>
    </w:p>
    <w:p w:rsidR="000136A4" w:rsidRPr="008B3EA4" w:rsidP="000136A4" w14:paraId="258E4926"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Cleveland, OH 44114</w:t>
      </w:r>
    </w:p>
    <w:p w:rsidR="000136A4" w:rsidRPr="008B3EA4" w:rsidP="000136A4" w14:paraId="5E99003C"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Telephone: (216) 523-5405</w:t>
      </w:r>
    </w:p>
    <w:p w:rsidR="000136A4" w:rsidRPr="008B3EA4" w:rsidP="000136A4" w14:paraId="2EAAD7F0"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Facsimile: (216) 523-7071</w:t>
      </w:r>
    </w:p>
    <w:p w:rsidR="000136A4" w:rsidRPr="008B3EA4" w:rsidP="000136A4" w14:paraId="6B2AD95E" w14:textId="77777777">
      <w:pPr>
        <w:autoSpaceDE w:val="0"/>
        <w:autoSpaceDN w:val="0"/>
        <w:adjustRightInd w:val="0"/>
        <w:ind w:left="3600"/>
        <w:rPr>
          <w:rFonts w:eastAsiaTheme="minorHAnsi"/>
          <w:color w:val="0000FF"/>
          <w:sz w:val="24"/>
          <w:szCs w:val="24"/>
        </w:rPr>
      </w:pPr>
      <w:r w:rsidRPr="008B3EA4">
        <w:rPr>
          <w:rFonts w:eastAsiaTheme="minorHAnsi"/>
          <w:color w:val="000000"/>
          <w:sz w:val="24"/>
          <w:szCs w:val="24"/>
        </w:rPr>
        <w:t xml:space="preserve">E-mail: </w:t>
      </w:r>
      <w:r w:rsidRPr="008B3EA4">
        <w:rPr>
          <w:rFonts w:eastAsiaTheme="minorHAnsi"/>
          <w:color w:val="0000FF"/>
          <w:sz w:val="24"/>
          <w:szCs w:val="24"/>
        </w:rPr>
        <w:t>gkrassen@bricker.com</w:t>
      </w:r>
    </w:p>
    <w:p w:rsidR="000136A4" w:rsidRPr="008B3EA4" w:rsidP="000136A4" w14:paraId="2406B9EB" w14:textId="77777777">
      <w:pPr>
        <w:autoSpaceDE w:val="0"/>
        <w:autoSpaceDN w:val="0"/>
        <w:adjustRightInd w:val="0"/>
        <w:ind w:left="3600"/>
        <w:rPr>
          <w:rFonts w:eastAsiaTheme="minorHAnsi"/>
          <w:color w:val="000000"/>
          <w:sz w:val="24"/>
          <w:szCs w:val="24"/>
        </w:rPr>
      </w:pPr>
    </w:p>
    <w:p w:rsidR="000136A4" w:rsidRPr="008B3EA4" w:rsidP="000136A4" w14:paraId="65E1DA6A" w14:textId="4C5640F4">
      <w:pPr>
        <w:autoSpaceDE w:val="0"/>
        <w:autoSpaceDN w:val="0"/>
        <w:adjustRightInd w:val="0"/>
        <w:ind w:left="3600"/>
        <w:rPr>
          <w:rFonts w:eastAsiaTheme="minorHAnsi"/>
          <w:color w:val="000000"/>
          <w:sz w:val="24"/>
          <w:szCs w:val="24"/>
        </w:rPr>
      </w:pPr>
      <w:r w:rsidRPr="008B3EA4">
        <w:rPr>
          <w:rFonts w:eastAsiaTheme="minorHAnsi"/>
          <w:color w:val="000000"/>
          <w:sz w:val="24"/>
          <w:szCs w:val="24"/>
        </w:rPr>
        <w:t>Dane Stinson (0019101)</w:t>
      </w:r>
    </w:p>
    <w:p w:rsidR="000136A4" w:rsidRPr="008B3EA4" w:rsidP="000136A4" w14:paraId="24850AAC"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BRICKER &amp; ECKLER LLP</w:t>
      </w:r>
    </w:p>
    <w:p w:rsidR="000136A4" w:rsidRPr="008B3EA4" w:rsidP="000136A4" w14:paraId="1EF72D1F"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100 South Third Street</w:t>
      </w:r>
    </w:p>
    <w:p w:rsidR="000136A4" w:rsidRPr="008B3EA4" w:rsidP="000136A4" w14:paraId="0B8AC06D"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Columbus, OH 43215</w:t>
      </w:r>
    </w:p>
    <w:p w:rsidR="000136A4" w:rsidRPr="008B3EA4" w:rsidP="000136A4" w14:paraId="6504D7FB"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Telephone: (614) 227-2300</w:t>
      </w:r>
    </w:p>
    <w:p w:rsidR="000136A4" w:rsidRPr="008B3EA4" w:rsidP="000136A4" w14:paraId="05DEB5D8"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Facsimile: (614) 227-2390</w:t>
      </w:r>
    </w:p>
    <w:p w:rsidR="000136A4" w:rsidRPr="008B3EA4" w:rsidP="000136A4" w14:paraId="4BF2C409" w14:textId="77777777">
      <w:pPr>
        <w:autoSpaceDE w:val="0"/>
        <w:autoSpaceDN w:val="0"/>
        <w:adjustRightInd w:val="0"/>
        <w:ind w:left="3600"/>
        <w:rPr>
          <w:rFonts w:eastAsiaTheme="minorHAnsi"/>
          <w:color w:val="0000FF"/>
          <w:sz w:val="24"/>
          <w:szCs w:val="24"/>
        </w:rPr>
      </w:pPr>
      <w:r w:rsidRPr="008B3EA4">
        <w:rPr>
          <w:rFonts w:eastAsiaTheme="minorHAnsi"/>
          <w:color w:val="000000"/>
          <w:sz w:val="24"/>
          <w:szCs w:val="24"/>
        </w:rPr>
        <w:t xml:space="preserve">Email: </w:t>
      </w:r>
      <w:r w:rsidRPr="008B3EA4">
        <w:rPr>
          <w:rFonts w:eastAsiaTheme="minorHAnsi"/>
          <w:color w:val="0000FF"/>
          <w:sz w:val="24"/>
          <w:szCs w:val="24"/>
        </w:rPr>
        <w:t>dstinson@bricker.com</w:t>
      </w:r>
    </w:p>
    <w:p w:rsidR="000136A4" w:rsidRPr="008B3EA4" w:rsidP="000136A4" w14:paraId="22AA4822" w14:textId="77777777">
      <w:pPr>
        <w:pStyle w:val="List"/>
        <w:ind w:left="3600" w:firstLine="0"/>
        <w:rPr>
          <w:rFonts w:eastAsiaTheme="minorHAnsi"/>
          <w:i/>
          <w:iCs/>
          <w:color w:val="000000"/>
          <w:szCs w:val="24"/>
        </w:rPr>
      </w:pPr>
    </w:p>
    <w:p w:rsidR="000136A4" w:rsidRPr="008B3EA4" w:rsidP="000136A4" w14:paraId="235A8023" w14:textId="2E4831C6">
      <w:pPr>
        <w:pStyle w:val="List"/>
        <w:ind w:left="3600" w:firstLine="0"/>
        <w:rPr>
          <w:b/>
          <w:szCs w:val="24"/>
        </w:rPr>
        <w:sectPr w:rsidSect="00B7133C">
          <w:footerReference w:type="first" r:id="rId11"/>
          <w:pgSz w:w="12240" w:h="15840"/>
          <w:pgMar w:top="1440" w:right="1440" w:bottom="1440" w:left="1440" w:header="720" w:footer="720" w:gutter="0"/>
          <w:cols w:space="720"/>
          <w:titlePg/>
          <w:docGrid w:linePitch="360"/>
        </w:sectPr>
      </w:pPr>
      <w:r w:rsidRPr="008B3EA4">
        <w:rPr>
          <w:rFonts w:eastAsiaTheme="minorHAnsi"/>
          <w:i/>
          <w:iCs/>
          <w:color w:val="000000"/>
          <w:szCs w:val="24"/>
        </w:rPr>
        <w:t>Attorneys for Northeast Ohio Public Energy Council</w:t>
      </w:r>
    </w:p>
    <w:p w:rsidR="00AC3BFA" w:rsidRPr="008B3EA4" w:rsidP="00AC3BFA" w14:paraId="7DE615A0" w14:textId="5F88EF8B">
      <w:pPr>
        <w:pStyle w:val="List"/>
        <w:ind w:left="0" w:firstLine="0"/>
        <w:jc w:val="center"/>
        <w:rPr>
          <w:b/>
          <w:szCs w:val="24"/>
        </w:rPr>
      </w:pPr>
      <w:r w:rsidRPr="008B3EA4">
        <w:rPr>
          <w:b/>
          <w:szCs w:val="24"/>
        </w:rPr>
        <w:t>BEFORE</w:t>
      </w:r>
    </w:p>
    <w:p w:rsidR="00AC3BFA" w:rsidRPr="008B3EA4" w:rsidP="00AC3BFA" w14:paraId="7ED8A630" w14:textId="77777777">
      <w:pPr>
        <w:pStyle w:val="List"/>
        <w:ind w:left="0" w:firstLine="0"/>
        <w:jc w:val="center"/>
        <w:rPr>
          <w:b/>
          <w:szCs w:val="24"/>
        </w:rPr>
      </w:pPr>
      <w:r w:rsidRPr="008B3EA4">
        <w:rPr>
          <w:b/>
          <w:szCs w:val="24"/>
        </w:rPr>
        <w:t>THE PUBLIC UTILITIES COMMISSION OF OHIO</w:t>
      </w:r>
    </w:p>
    <w:p w:rsidR="00AC3BFA" w:rsidRPr="008B3EA4" w:rsidP="00AC3BFA" w14:paraId="586C846F" w14:textId="77777777">
      <w:pPr>
        <w:pStyle w:val="HTMLPreformatted"/>
        <w:rPr>
          <w:rFonts w:ascii="Times New Roman" w:hAnsi="Times New Roman" w:cs="Times New Roman"/>
          <w:sz w:val="24"/>
          <w:szCs w:val="24"/>
        </w:rPr>
      </w:pPr>
    </w:p>
    <w:tbl>
      <w:tblPr>
        <w:tblW w:w="9288" w:type="dxa"/>
        <w:tblLook w:val="01E0"/>
      </w:tblPr>
      <w:tblGrid>
        <w:gridCol w:w="4590"/>
        <w:gridCol w:w="4698"/>
      </w:tblGrid>
      <w:tr w14:paraId="6B3A3D3D" w14:textId="77777777" w:rsidTr="0081110B">
        <w:tblPrEx>
          <w:tblW w:w="9288" w:type="dxa"/>
          <w:tblLook w:val="01E0"/>
        </w:tblPrEx>
        <w:tc>
          <w:tcPr>
            <w:tcW w:w="4590" w:type="dxa"/>
            <w:shd w:val="clear" w:color="auto" w:fill="auto"/>
          </w:tcPr>
          <w:p w:rsidR="00AC3BFA" w:rsidRPr="008B3EA4" w:rsidP="00733252" w14:paraId="5621800C" w14:textId="2A3A9C75">
            <w:pPr>
              <w:rPr>
                <w:sz w:val="24"/>
                <w:szCs w:val="24"/>
              </w:rPr>
            </w:pPr>
            <w:r w:rsidRPr="008B3EA4">
              <w:rPr>
                <w:sz w:val="24"/>
                <w:szCs w:val="24"/>
              </w:rPr>
              <w:t>In the Matter of The East Ohio Gas Company d/b/a Dominion Energy Ohio for Approval of an Alternative Form of Regulation.</w:t>
            </w:r>
            <w:r w:rsidRPr="008B3EA4" w:rsidR="0081110B">
              <w:rPr>
                <w:sz w:val="24"/>
                <w:szCs w:val="24"/>
              </w:rPr>
              <w:t xml:space="preserve"> </w:t>
            </w:r>
          </w:p>
        </w:tc>
        <w:tc>
          <w:tcPr>
            <w:tcW w:w="4698" w:type="dxa"/>
            <w:shd w:val="clear" w:color="auto" w:fill="auto"/>
          </w:tcPr>
          <w:p w:rsidR="00AC3BFA" w:rsidRPr="008B3EA4" w:rsidP="00733252" w14:paraId="5E3A3183" w14:textId="77777777">
            <w:pPr>
              <w:rPr>
                <w:sz w:val="24"/>
                <w:szCs w:val="24"/>
              </w:rPr>
            </w:pPr>
            <w:r w:rsidRPr="008B3EA4">
              <w:rPr>
                <w:sz w:val="24"/>
                <w:szCs w:val="24"/>
              </w:rPr>
              <w:t>)</w:t>
            </w:r>
          </w:p>
          <w:p w:rsidR="00AC3BFA" w:rsidRPr="008B3EA4" w:rsidP="00733252" w14:paraId="798A50AB" w14:textId="12A0A9C3">
            <w:pPr>
              <w:contextualSpacing/>
              <w:rPr>
                <w:sz w:val="24"/>
                <w:szCs w:val="24"/>
              </w:rPr>
            </w:pPr>
            <w:r w:rsidRPr="008B3EA4">
              <w:rPr>
                <w:sz w:val="24"/>
                <w:szCs w:val="24"/>
              </w:rPr>
              <w:t>)</w:t>
            </w:r>
            <w:r w:rsidRPr="008B3EA4" w:rsidR="0081110B">
              <w:rPr>
                <w:sz w:val="24"/>
                <w:szCs w:val="24"/>
              </w:rPr>
              <w:t xml:space="preserve"> </w:t>
            </w:r>
            <w:r w:rsidRPr="008B3EA4" w:rsidR="000136A4">
              <w:rPr>
                <w:sz w:val="24"/>
                <w:szCs w:val="24"/>
              </w:rPr>
              <w:t xml:space="preserve">    </w:t>
            </w:r>
            <w:r w:rsidRPr="008B3EA4">
              <w:rPr>
                <w:sz w:val="24"/>
                <w:szCs w:val="24"/>
              </w:rPr>
              <w:t>Case No. 19-468-GA-ALT</w:t>
            </w:r>
          </w:p>
          <w:p w:rsidR="00AC3BFA" w:rsidRPr="008B3EA4" w:rsidP="00733252" w14:paraId="4A45A768" w14:textId="77777777">
            <w:pPr>
              <w:rPr>
                <w:sz w:val="24"/>
                <w:szCs w:val="24"/>
              </w:rPr>
            </w:pPr>
            <w:r w:rsidRPr="008B3EA4">
              <w:rPr>
                <w:sz w:val="24"/>
                <w:szCs w:val="24"/>
              </w:rPr>
              <w:t>)</w:t>
            </w:r>
          </w:p>
          <w:p w:rsidR="00AC3BFA" w:rsidRPr="008B3EA4" w:rsidP="0081110B" w14:paraId="03EB0C0F" w14:textId="5C8DD679">
            <w:pPr>
              <w:rPr>
                <w:sz w:val="24"/>
                <w:szCs w:val="24"/>
              </w:rPr>
            </w:pPr>
            <w:r w:rsidRPr="008B3EA4">
              <w:rPr>
                <w:sz w:val="24"/>
                <w:szCs w:val="24"/>
              </w:rPr>
              <w:t>)</w:t>
            </w:r>
          </w:p>
        </w:tc>
      </w:tr>
    </w:tbl>
    <w:p w:rsidR="00AC3BFA" w:rsidRPr="008B3EA4" w:rsidP="00AC3BFA" w14:paraId="344C4A4B" w14:textId="77777777">
      <w:pPr>
        <w:pStyle w:val="HTMLPreformatted"/>
        <w:rPr>
          <w:rFonts w:ascii="Times New Roman" w:hAnsi="Times New Roman" w:cs="Times New Roman"/>
          <w:sz w:val="24"/>
          <w:szCs w:val="24"/>
        </w:rPr>
      </w:pPr>
    </w:p>
    <w:p w:rsidR="00AC3BFA" w:rsidRPr="008B3EA4" w:rsidP="00AC3BFA" w14:paraId="6DCADFE8" w14:textId="77777777">
      <w:pPr>
        <w:pBdr>
          <w:top w:val="single" w:sz="6" w:space="1" w:color="auto"/>
          <w:bottom w:val="single" w:sz="6" w:space="1" w:color="auto"/>
        </w:pBdr>
        <w:jc w:val="center"/>
        <w:rPr>
          <w:b/>
          <w:sz w:val="24"/>
          <w:szCs w:val="24"/>
        </w:rPr>
      </w:pPr>
    </w:p>
    <w:p w:rsidR="00BA4A87" w:rsidRPr="008B3EA4" w:rsidP="00AC3BFA" w14:paraId="1AFCBE1F" w14:textId="77777777">
      <w:pPr>
        <w:pStyle w:val="Heading1"/>
        <w:rPr>
          <w:szCs w:val="24"/>
        </w:rPr>
      </w:pPr>
      <w:r w:rsidRPr="008B3EA4">
        <w:rPr>
          <w:szCs w:val="24"/>
        </w:rPr>
        <w:t>MEMORANDUM IN SUPPORT</w:t>
      </w:r>
    </w:p>
    <w:p w:rsidR="00655832" w:rsidRPr="008B3EA4" w:rsidP="00AC3BFA" w14:paraId="6D166208" w14:textId="77777777">
      <w:pPr>
        <w:pStyle w:val="Heading1"/>
        <w:rPr>
          <w:szCs w:val="24"/>
        </w:rPr>
      </w:pPr>
      <w:r w:rsidRPr="008B3EA4">
        <w:rPr>
          <w:szCs w:val="24"/>
        </w:rPr>
        <w:t xml:space="preserve"> BY</w:t>
      </w:r>
    </w:p>
    <w:p w:rsidR="000056B3" w:rsidRPr="008B3EA4" w:rsidP="00AC3BFA" w14:paraId="0D33F28F" w14:textId="77777777">
      <w:pPr>
        <w:pStyle w:val="Heading1"/>
        <w:rPr>
          <w:szCs w:val="24"/>
        </w:rPr>
      </w:pPr>
      <w:r w:rsidRPr="008B3EA4">
        <w:rPr>
          <w:szCs w:val="24"/>
        </w:rPr>
        <w:t>THE OFFICE OF TH</w:t>
      </w:r>
      <w:r w:rsidRPr="008B3EA4" w:rsidR="004A481C">
        <w:rPr>
          <w:szCs w:val="24"/>
        </w:rPr>
        <w:t>E OHIO CONSUMERS’ COUNSEL</w:t>
      </w:r>
      <w:r w:rsidRPr="008B3EA4">
        <w:rPr>
          <w:szCs w:val="24"/>
        </w:rPr>
        <w:t xml:space="preserve"> </w:t>
      </w:r>
    </w:p>
    <w:p w:rsidR="000056B3" w:rsidRPr="008B3EA4" w:rsidP="000056B3" w14:paraId="074C6273" w14:textId="72CB9CF5">
      <w:pPr>
        <w:pBdr>
          <w:top w:val="single" w:sz="6" w:space="1" w:color="auto"/>
          <w:bottom w:val="single" w:sz="6" w:space="1" w:color="auto"/>
        </w:pBdr>
        <w:jc w:val="center"/>
        <w:rPr>
          <w:b/>
          <w:sz w:val="24"/>
          <w:szCs w:val="24"/>
        </w:rPr>
      </w:pPr>
      <w:r w:rsidRPr="008B3EA4">
        <w:rPr>
          <w:b/>
          <w:sz w:val="24"/>
          <w:szCs w:val="24"/>
        </w:rPr>
        <w:t xml:space="preserve">AND </w:t>
      </w:r>
    </w:p>
    <w:p w:rsidR="00AC3BFA" w:rsidRPr="008B3EA4" w:rsidP="000136A4" w14:paraId="0EBBC4A5" w14:textId="25956395">
      <w:pPr>
        <w:pBdr>
          <w:top w:val="single" w:sz="6" w:space="1" w:color="auto"/>
          <w:bottom w:val="single" w:sz="6" w:space="1" w:color="auto"/>
        </w:pBdr>
        <w:jc w:val="center"/>
        <w:rPr>
          <w:sz w:val="24"/>
          <w:szCs w:val="24"/>
        </w:rPr>
      </w:pPr>
      <w:r w:rsidRPr="008B3EA4">
        <w:rPr>
          <w:b/>
          <w:sz w:val="24"/>
          <w:szCs w:val="24"/>
        </w:rPr>
        <w:t>THE NORTHEAST OHIO PUBLIC ENREGY COUNCIL</w:t>
      </w:r>
    </w:p>
    <w:p w:rsidR="00AC3BFA" w:rsidRPr="008B3EA4" w:rsidP="00AC3BFA" w14:paraId="5473AB9B" w14:textId="77777777">
      <w:pPr>
        <w:pBdr>
          <w:top w:val="single" w:sz="6" w:space="1" w:color="auto"/>
          <w:bottom w:val="single" w:sz="6" w:space="1" w:color="auto"/>
        </w:pBdr>
        <w:jc w:val="center"/>
        <w:rPr>
          <w:b/>
          <w:sz w:val="24"/>
          <w:szCs w:val="24"/>
        </w:rPr>
      </w:pPr>
    </w:p>
    <w:p w:rsidR="000F4F00" w:rsidRPr="008B3EA4" w:rsidP="000F4F00" w14:paraId="748B45F4" w14:textId="77777777">
      <w:pPr>
        <w:pStyle w:val="ListParagraph"/>
        <w:numPr>
          <w:ilvl w:val="0"/>
          <w:numId w:val="5"/>
        </w:numPr>
        <w:spacing w:before="240" w:line="480" w:lineRule="auto"/>
        <w:ind w:left="720"/>
        <w:contextualSpacing w:val="0"/>
        <w:rPr>
          <w:b/>
          <w:sz w:val="24"/>
          <w:szCs w:val="24"/>
        </w:rPr>
      </w:pPr>
      <w:r w:rsidRPr="008B3EA4">
        <w:rPr>
          <w:b/>
          <w:sz w:val="24"/>
          <w:szCs w:val="24"/>
        </w:rPr>
        <w:t>INTRODUCTION</w:t>
      </w:r>
    </w:p>
    <w:p w:rsidR="009C0AAF" w:rsidRPr="008B3EA4" w:rsidP="000136A4" w14:paraId="57117DAD" w14:textId="28B15FBD">
      <w:pPr>
        <w:pStyle w:val="ListParagraph"/>
        <w:spacing w:line="480" w:lineRule="auto"/>
        <w:ind w:left="0" w:firstLine="720"/>
        <w:contextualSpacing w:val="0"/>
        <w:rPr>
          <w:sz w:val="24"/>
          <w:szCs w:val="24"/>
        </w:rPr>
      </w:pPr>
      <w:r w:rsidRPr="008B3EA4">
        <w:rPr>
          <w:sz w:val="24"/>
          <w:szCs w:val="24"/>
        </w:rPr>
        <w:t xml:space="preserve">To protect customers from paying unjust and unreasonable rates, the PUCO should strike the </w:t>
      </w:r>
      <w:r w:rsidRPr="008B3EA4" w:rsidR="00B53764">
        <w:rPr>
          <w:sz w:val="24"/>
          <w:szCs w:val="24"/>
        </w:rPr>
        <w:t xml:space="preserve">following </w:t>
      </w:r>
      <w:r w:rsidRPr="008B3EA4">
        <w:rPr>
          <w:sz w:val="24"/>
          <w:szCs w:val="24"/>
        </w:rPr>
        <w:t xml:space="preserve">portions of the Dominion </w:t>
      </w:r>
      <w:r w:rsidRPr="008B3EA4" w:rsidR="00241D71">
        <w:rPr>
          <w:sz w:val="24"/>
          <w:szCs w:val="24"/>
        </w:rPr>
        <w:t>t</w:t>
      </w:r>
      <w:r w:rsidRPr="008B3EA4">
        <w:rPr>
          <w:sz w:val="24"/>
          <w:szCs w:val="24"/>
        </w:rPr>
        <w:t>estimony</w:t>
      </w:r>
      <w:r w:rsidRPr="008B3EA4" w:rsidR="00241D71">
        <w:rPr>
          <w:sz w:val="24"/>
          <w:szCs w:val="24"/>
        </w:rPr>
        <w:t xml:space="preserve"> of </w:t>
      </w:r>
      <w:r w:rsidRPr="008B3EA4" w:rsidR="003570D6">
        <w:rPr>
          <w:sz w:val="24"/>
          <w:szCs w:val="24"/>
        </w:rPr>
        <w:t>Vicki Friscic</w:t>
      </w:r>
      <w:r w:rsidRPr="008B3EA4" w:rsidR="00B53764">
        <w:rPr>
          <w:sz w:val="24"/>
          <w:szCs w:val="24"/>
        </w:rPr>
        <w:t>:  Page 11, line 22 through Page 12, line 6; Page 12, line 19 through Page 14, line 20; Page 16, lines 10 through 18; Page 24, lines 11 (beginning with the word “And”) through 16; and Page 26, lines 21 (beginning with the word “In”) through 23</w:t>
      </w:r>
      <w:r w:rsidRPr="008B3EA4">
        <w:rPr>
          <w:sz w:val="24"/>
          <w:szCs w:val="24"/>
        </w:rPr>
        <w:t xml:space="preserve">. </w:t>
      </w:r>
    </w:p>
    <w:p w:rsidR="00B53764" w:rsidRPr="008B3EA4" w:rsidP="003570D6" w14:paraId="78DDCE8B" w14:textId="37B2ADC7">
      <w:pPr>
        <w:pStyle w:val="ListParagraph"/>
        <w:spacing w:line="480" w:lineRule="auto"/>
        <w:ind w:left="0" w:firstLine="720"/>
        <w:contextualSpacing w:val="0"/>
        <w:rPr>
          <w:sz w:val="24"/>
          <w:szCs w:val="24"/>
        </w:rPr>
      </w:pPr>
      <w:r w:rsidRPr="008B3EA4">
        <w:rPr>
          <w:sz w:val="24"/>
          <w:szCs w:val="24"/>
        </w:rPr>
        <w:t>In these passages of testimony Dominion</w:t>
      </w:r>
      <w:r w:rsidRPr="008B3EA4" w:rsidR="009C0AAF">
        <w:rPr>
          <w:sz w:val="24"/>
          <w:szCs w:val="24"/>
        </w:rPr>
        <w:t>’s witness</w:t>
      </w:r>
      <w:r w:rsidRPr="008B3EA4">
        <w:rPr>
          <w:sz w:val="24"/>
          <w:szCs w:val="24"/>
        </w:rPr>
        <w:t xml:space="preserve"> improperly relies on a settlement agreement approved in Case No. 17-2202-GA-ALT (“Columbia CEP Case”), to which OCC, Columbia, </w:t>
      </w:r>
      <w:r w:rsidRPr="008B3EA4" w:rsidR="003570D6">
        <w:rPr>
          <w:sz w:val="24"/>
          <w:szCs w:val="24"/>
        </w:rPr>
        <w:t xml:space="preserve">PUCO Staff, </w:t>
      </w:r>
      <w:r w:rsidRPr="008B3EA4">
        <w:rPr>
          <w:sz w:val="24"/>
          <w:szCs w:val="24"/>
        </w:rPr>
        <w:t>and others were signatory parties.</w:t>
      </w:r>
      <w:r>
        <w:rPr>
          <w:rStyle w:val="FootnoteReference"/>
          <w:sz w:val="24"/>
          <w:szCs w:val="24"/>
        </w:rPr>
        <w:footnoteReference w:id="3"/>
      </w:r>
      <w:r w:rsidRPr="008B3EA4">
        <w:rPr>
          <w:sz w:val="24"/>
          <w:szCs w:val="24"/>
        </w:rPr>
        <w:t xml:space="preserve"> </w:t>
      </w:r>
      <w:r w:rsidRPr="008B3EA4" w:rsidR="003570D6">
        <w:rPr>
          <w:sz w:val="24"/>
          <w:szCs w:val="24"/>
        </w:rPr>
        <w:t xml:space="preserve"> </w:t>
      </w:r>
      <w:r w:rsidRPr="008B3EA4">
        <w:rPr>
          <w:sz w:val="24"/>
          <w:szCs w:val="24"/>
        </w:rPr>
        <w:t>The testimony repeatedly cites the Columbia CEP Settlement Agreement and OCC’s support of that unrelated settlement in a separate case regarding a different natural gas utility’s application.</w:t>
      </w:r>
      <w:r>
        <w:rPr>
          <w:rStyle w:val="FootnoteReference"/>
          <w:sz w:val="24"/>
          <w:szCs w:val="24"/>
        </w:rPr>
        <w:footnoteReference w:id="4"/>
      </w:r>
      <w:r w:rsidRPr="008B3EA4">
        <w:rPr>
          <w:sz w:val="24"/>
          <w:szCs w:val="24"/>
        </w:rPr>
        <w:t xml:space="preserve"> </w:t>
      </w:r>
    </w:p>
    <w:p w:rsidR="00B53764" w:rsidRPr="008B3EA4" w:rsidP="00B53764" w14:paraId="52D28E27" w14:textId="77777777">
      <w:pPr>
        <w:pStyle w:val="ListParagraph"/>
        <w:spacing w:line="480" w:lineRule="auto"/>
        <w:ind w:left="0" w:firstLine="720"/>
        <w:contextualSpacing w:val="0"/>
        <w:jc w:val="both"/>
        <w:rPr>
          <w:sz w:val="24"/>
          <w:szCs w:val="24"/>
        </w:rPr>
      </w:pPr>
      <w:r w:rsidRPr="008B3EA4">
        <w:rPr>
          <w:sz w:val="24"/>
          <w:szCs w:val="24"/>
        </w:rPr>
        <w:t>For example, Dominion’s witness states, “in this case, the cumulative and average annual rate caps in the Stipulation are much lower than what the Commission approved for Columbia-a settlement in that proceeding that OCC did sign.”</w:t>
      </w:r>
      <w:r>
        <w:rPr>
          <w:rStyle w:val="FootnoteReference"/>
          <w:sz w:val="24"/>
          <w:szCs w:val="24"/>
        </w:rPr>
        <w:footnoteReference w:id="5"/>
      </w:r>
      <w:r w:rsidRPr="008B3EA4">
        <w:rPr>
          <w:sz w:val="24"/>
          <w:szCs w:val="24"/>
        </w:rPr>
        <w:t xml:space="preserve"> The testimony also states that in the Columbia CEP Case, OCC determined that depreciation offset to the CEP Investment was a financial benefit to ratepayers as a result of the settlement agreement.</w:t>
      </w:r>
      <w:r>
        <w:rPr>
          <w:rStyle w:val="FootnoteReference"/>
          <w:sz w:val="24"/>
          <w:szCs w:val="24"/>
        </w:rPr>
        <w:footnoteReference w:id="6"/>
      </w:r>
      <w:r w:rsidRPr="008B3EA4">
        <w:rPr>
          <w:sz w:val="24"/>
          <w:szCs w:val="24"/>
        </w:rPr>
        <w:t xml:space="preserve"> </w:t>
      </w:r>
    </w:p>
    <w:p w:rsidR="00FE1A8D" w:rsidRPr="008B3EA4" w:rsidP="00F4412E" w14:paraId="4125BC73" w14:textId="5CC17625">
      <w:pPr>
        <w:pStyle w:val="ListParagraph"/>
        <w:spacing w:line="480" w:lineRule="auto"/>
        <w:ind w:left="0" w:firstLine="720"/>
        <w:contextualSpacing w:val="0"/>
        <w:rPr>
          <w:sz w:val="24"/>
          <w:szCs w:val="24"/>
        </w:rPr>
      </w:pPr>
      <w:r w:rsidRPr="008B3EA4">
        <w:rPr>
          <w:sz w:val="24"/>
          <w:szCs w:val="24"/>
        </w:rPr>
        <w:t xml:space="preserve">Dominion however was not a party to the Columbia CEP Case, was not privy to the underpinnings of the settlement, was not part of the confidential settlement discussions, was not </w:t>
      </w:r>
      <w:r w:rsidRPr="008B3EA4" w:rsidR="003570D6">
        <w:rPr>
          <w:sz w:val="24"/>
          <w:szCs w:val="24"/>
        </w:rPr>
        <w:t>privy to</w:t>
      </w:r>
      <w:r w:rsidRPr="008B3EA4">
        <w:rPr>
          <w:sz w:val="24"/>
          <w:szCs w:val="24"/>
        </w:rPr>
        <w:t xml:space="preserve"> concessions that the parties made that resulted in the settlement, and was not knowledgeable of the reasons that OCC supported the settlement under the circumstances at the time. </w:t>
      </w:r>
      <w:r w:rsidRPr="008B3EA4" w:rsidR="003570D6">
        <w:rPr>
          <w:sz w:val="24"/>
          <w:szCs w:val="24"/>
        </w:rPr>
        <w:t xml:space="preserve"> </w:t>
      </w:r>
      <w:r w:rsidRPr="008B3EA4">
        <w:rPr>
          <w:sz w:val="24"/>
          <w:szCs w:val="24"/>
        </w:rPr>
        <w:t>Simply, Dominion had no involvement in the Columbia CEP Case, which is a wholly distinct proceeding, but yet Dominion relies upon and uses the Columbia CEP Settlement Agreement as the basis for PUCO approval of its own settlement in this proceeding contrary to PUCO precedent</w:t>
      </w:r>
      <w:r w:rsidRPr="008B3EA4" w:rsidR="00781B8F">
        <w:rPr>
          <w:sz w:val="24"/>
          <w:szCs w:val="24"/>
        </w:rPr>
        <w:t>.</w:t>
      </w:r>
    </w:p>
    <w:p w:rsidR="004A6116" w:rsidRPr="008B3EA4" w:rsidP="00FD7FE8" w14:paraId="652E20E7" w14:textId="77777777">
      <w:pPr>
        <w:pStyle w:val="ListParagraph"/>
        <w:numPr>
          <w:ilvl w:val="0"/>
          <w:numId w:val="5"/>
        </w:numPr>
        <w:spacing w:line="480" w:lineRule="auto"/>
        <w:ind w:left="720"/>
        <w:contextualSpacing w:val="0"/>
        <w:rPr>
          <w:b/>
          <w:sz w:val="24"/>
          <w:szCs w:val="24"/>
        </w:rPr>
      </w:pPr>
      <w:r w:rsidRPr="008B3EA4">
        <w:rPr>
          <w:b/>
          <w:sz w:val="24"/>
          <w:szCs w:val="24"/>
        </w:rPr>
        <w:t>ARGUMENT</w:t>
      </w:r>
    </w:p>
    <w:p w:rsidR="007A64DF" w:rsidRPr="008B3EA4" w:rsidP="000136A4" w14:paraId="35B12518" w14:textId="7E19D44C">
      <w:pPr>
        <w:pStyle w:val="ListParagraph"/>
        <w:numPr>
          <w:ilvl w:val="0"/>
          <w:numId w:val="2"/>
        </w:numPr>
        <w:spacing w:after="240"/>
        <w:ind w:left="1440" w:hanging="720"/>
        <w:contextualSpacing w:val="0"/>
        <w:rPr>
          <w:b/>
          <w:sz w:val="24"/>
          <w:szCs w:val="24"/>
        </w:rPr>
      </w:pPr>
      <w:r w:rsidRPr="008B3EA4">
        <w:rPr>
          <w:b/>
          <w:sz w:val="24"/>
          <w:szCs w:val="24"/>
        </w:rPr>
        <w:t xml:space="preserve">To </w:t>
      </w:r>
      <w:r w:rsidRPr="008B3EA4" w:rsidR="003570D6">
        <w:rPr>
          <w:b/>
          <w:sz w:val="24"/>
          <w:szCs w:val="24"/>
        </w:rPr>
        <w:t>p</w:t>
      </w:r>
      <w:r w:rsidRPr="008B3EA4">
        <w:rPr>
          <w:b/>
          <w:sz w:val="24"/>
          <w:szCs w:val="24"/>
        </w:rPr>
        <w:t xml:space="preserve">rotect </w:t>
      </w:r>
      <w:r w:rsidRPr="008B3EA4" w:rsidR="003570D6">
        <w:rPr>
          <w:b/>
          <w:sz w:val="24"/>
          <w:szCs w:val="24"/>
        </w:rPr>
        <w:t>c</w:t>
      </w:r>
      <w:r w:rsidRPr="008B3EA4">
        <w:rPr>
          <w:b/>
          <w:sz w:val="24"/>
          <w:szCs w:val="24"/>
        </w:rPr>
        <w:t>onsumers, t</w:t>
      </w:r>
      <w:r w:rsidRPr="008B3EA4" w:rsidR="004279BA">
        <w:rPr>
          <w:b/>
          <w:sz w:val="24"/>
          <w:szCs w:val="24"/>
        </w:rPr>
        <w:t xml:space="preserve">he PUCO </w:t>
      </w:r>
      <w:r w:rsidRPr="008B3EA4" w:rsidR="003570D6">
        <w:rPr>
          <w:b/>
          <w:sz w:val="24"/>
          <w:szCs w:val="24"/>
        </w:rPr>
        <w:t>s</w:t>
      </w:r>
      <w:r w:rsidRPr="008B3EA4" w:rsidR="004279BA">
        <w:rPr>
          <w:b/>
          <w:sz w:val="24"/>
          <w:szCs w:val="24"/>
        </w:rPr>
        <w:t xml:space="preserve">hould </w:t>
      </w:r>
      <w:r w:rsidRPr="008B3EA4" w:rsidR="003570D6">
        <w:rPr>
          <w:b/>
          <w:sz w:val="24"/>
          <w:szCs w:val="24"/>
        </w:rPr>
        <w:t>s</w:t>
      </w:r>
      <w:r w:rsidRPr="008B3EA4" w:rsidR="004279BA">
        <w:rPr>
          <w:b/>
          <w:sz w:val="24"/>
          <w:szCs w:val="24"/>
        </w:rPr>
        <w:t xml:space="preserve">trike </w:t>
      </w:r>
      <w:r w:rsidRPr="008B3EA4" w:rsidR="003570D6">
        <w:rPr>
          <w:b/>
          <w:sz w:val="24"/>
          <w:szCs w:val="24"/>
        </w:rPr>
        <w:t>p</w:t>
      </w:r>
      <w:r w:rsidRPr="008B3EA4" w:rsidR="0005425C">
        <w:rPr>
          <w:b/>
          <w:sz w:val="24"/>
          <w:szCs w:val="24"/>
        </w:rPr>
        <w:t xml:space="preserve">ortions of </w:t>
      </w:r>
      <w:r w:rsidRPr="008B3EA4" w:rsidR="004279BA">
        <w:rPr>
          <w:b/>
          <w:sz w:val="24"/>
          <w:szCs w:val="24"/>
        </w:rPr>
        <w:t xml:space="preserve">the </w:t>
      </w:r>
      <w:r w:rsidRPr="008B3EA4">
        <w:rPr>
          <w:b/>
          <w:sz w:val="24"/>
          <w:szCs w:val="24"/>
        </w:rPr>
        <w:t xml:space="preserve">Dominion </w:t>
      </w:r>
      <w:r w:rsidRPr="008B3EA4" w:rsidR="004279BA">
        <w:rPr>
          <w:b/>
          <w:sz w:val="24"/>
          <w:szCs w:val="24"/>
        </w:rPr>
        <w:t xml:space="preserve">Testimony </w:t>
      </w:r>
      <w:r w:rsidRPr="008B3EA4" w:rsidR="003570D6">
        <w:rPr>
          <w:b/>
          <w:sz w:val="24"/>
          <w:szCs w:val="24"/>
        </w:rPr>
        <w:t>b</w:t>
      </w:r>
      <w:r w:rsidRPr="008B3EA4">
        <w:rPr>
          <w:b/>
          <w:sz w:val="24"/>
          <w:szCs w:val="24"/>
        </w:rPr>
        <w:t xml:space="preserve">ecause it </w:t>
      </w:r>
      <w:r w:rsidRPr="008B3EA4" w:rsidR="003570D6">
        <w:rPr>
          <w:b/>
          <w:sz w:val="24"/>
          <w:szCs w:val="24"/>
        </w:rPr>
        <w:t>i</w:t>
      </w:r>
      <w:r w:rsidRPr="008B3EA4" w:rsidR="00FD0DE6">
        <w:rPr>
          <w:b/>
          <w:sz w:val="24"/>
          <w:szCs w:val="24"/>
        </w:rPr>
        <w:t>mproperly</w:t>
      </w:r>
      <w:r w:rsidRPr="008B3EA4">
        <w:rPr>
          <w:b/>
          <w:sz w:val="24"/>
          <w:szCs w:val="24"/>
        </w:rPr>
        <w:t xml:space="preserve"> </w:t>
      </w:r>
      <w:r w:rsidRPr="008B3EA4" w:rsidR="003570D6">
        <w:rPr>
          <w:b/>
          <w:sz w:val="24"/>
          <w:szCs w:val="24"/>
        </w:rPr>
        <w:t>r</w:t>
      </w:r>
      <w:r w:rsidRPr="008B3EA4" w:rsidR="0082416C">
        <w:rPr>
          <w:b/>
          <w:sz w:val="24"/>
          <w:szCs w:val="24"/>
        </w:rPr>
        <w:t>elies</w:t>
      </w:r>
      <w:r w:rsidRPr="008B3EA4">
        <w:rPr>
          <w:b/>
          <w:sz w:val="24"/>
          <w:szCs w:val="24"/>
        </w:rPr>
        <w:t xml:space="preserve"> on </w:t>
      </w:r>
      <w:r w:rsidRPr="008B3EA4" w:rsidR="00FD0DE6">
        <w:rPr>
          <w:b/>
          <w:sz w:val="24"/>
          <w:szCs w:val="24"/>
        </w:rPr>
        <w:t xml:space="preserve">a </w:t>
      </w:r>
      <w:r w:rsidRPr="008B3EA4" w:rsidR="003570D6">
        <w:rPr>
          <w:b/>
          <w:sz w:val="24"/>
          <w:szCs w:val="24"/>
        </w:rPr>
        <w:t>s</w:t>
      </w:r>
      <w:r w:rsidRPr="008B3EA4">
        <w:rPr>
          <w:b/>
          <w:sz w:val="24"/>
          <w:szCs w:val="24"/>
        </w:rPr>
        <w:t xml:space="preserve">ettlement </w:t>
      </w:r>
      <w:r w:rsidRPr="008B3EA4" w:rsidR="00FD0DE6">
        <w:rPr>
          <w:b/>
          <w:sz w:val="24"/>
          <w:szCs w:val="24"/>
        </w:rPr>
        <w:t xml:space="preserve">in a </w:t>
      </w:r>
      <w:r w:rsidRPr="008B3EA4" w:rsidR="003570D6">
        <w:rPr>
          <w:b/>
          <w:sz w:val="24"/>
          <w:szCs w:val="24"/>
        </w:rPr>
        <w:t>d</w:t>
      </w:r>
      <w:r w:rsidRPr="008B3EA4" w:rsidR="00FD0DE6">
        <w:rPr>
          <w:b/>
          <w:sz w:val="24"/>
          <w:szCs w:val="24"/>
        </w:rPr>
        <w:t>istinct</w:t>
      </w:r>
      <w:r w:rsidRPr="008B3EA4" w:rsidR="00713C29">
        <w:rPr>
          <w:b/>
          <w:sz w:val="24"/>
          <w:szCs w:val="24"/>
        </w:rPr>
        <w:t xml:space="preserve"> and </w:t>
      </w:r>
      <w:r w:rsidRPr="008B3EA4" w:rsidR="003570D6">
        <w:rPr>
          <w:b/>
          <w:sz w:val="24"/>
          <w:szCs w:val="24"/>
        </w:rPr>
        <w:t>u</w:t>
      </w:r>
      <w:r w:rsidRPr="008B3EA4" w:rsidR="00713C29">
        <w:rPr>
          <w:b/>
          <w:sz w:val="24"/>
          <w:szCs w:val="24"/>
        </w:rPr>
        <w:t>nrelated</w:t>
      </w:r>
      <w:r w:rsidRPr="008B3EA4" w:rsidR="00FD0DE6">
        <w:rPr>
          <w:b/>
          <w:sz w:val="24"/>
          <w:szCs w:val="24"/>
        </w:rPr>
        <w:t xml:space="preserve"> </w:t>
      </w:r>
      <w:r w:rsidRPr="008B3EA4" w:rsidR="003570D6">
        <w:rPr>
          <w:b/>
          <w:sz w:val="24"/>
          <w:szCs w:val="24"/>
        </w:rPr>
        <w:t>p</w:t>
      </w:r>
      <w:r w:rsidRPr="008B3EA4" w:rsidR="00FD0DE6">
        <w:rPr>
          <w:b/>
          <w:sz w:val="24"/>
          <w:szCs w:val="24"/>
        </w:rPr>
        <w:t xml:space="preserve">roceeding </w:t>
      </w:r>
      <w:r w:rsidRPr="008B3EA4" w:rsidR="003570D6">
        <w:rPr>
          <w:b/>
          <w:sz w:val="24"/>
          <w:szCs w:val="24"/>
        </w:rPr>
        <w:t>i</w:t>
      </w:r>
      <w:r w:rsidRPr="008B3EA4" w:rsidR="00FD0DE6">
        <w:rPr>
          <w:b/>
          <w:sz w:val="24"/>
          <w:szCs w:val="24"/>
        </w:rPr>
        <w:t xml:space="preserve">nvolving </w:t>
      </w:r>
      <w:r w:rsidRPr="008B3EA4" w:rsidR="003570D6">
        <w:rPr>
          <w:b/>
          <w:sz w:val="24"/>
          <w:szCs w:val="24"/>
        </w:rPr>
        <w:t>d</w:t>
      </w:r>
      <w:r w:rsidRPr="008B3EA4" w:rsidR="00FD0DE6">
        <w:rPr>
          <w:b/>
          <w:sz w:val="24"/>
          <w:szCs w:val="24"/>
        </w:rPr>
        <w:t xml:space="preserve">ifferent </w:t>
      </w:r>
      <w:r w:rsidRPr="008B3EA4" w:rsidR="003570D6">
        <w:rPr>
          <w:b/>
          <w:sz w:val="24"/>
          <w:szCs w:val="24"/>
        </w:rPr>
        <w:t>p</w:t>
      </w:r>
      <w:r w:rsidRPr="008B3EA4" w:rsidR="00FD0DE6">
        <w:rPr>
          <w:b/>
          <w:sz w:val="24"/>
          <w:szCs w:val="24"/>
        </w:rPr>
        <w:t>arties</w:t>
      </w:r>
      <w:r w:rsidRPr="008B3EA4" w:rsidR="00A7762F">
        <w:rPr>
          <w:b/>
          <w:sz w:val="24"/>
          <w:szCs w:val="24"/>
        </w:rPr>
        <w:t>, a</w:t>
      </w:r>
      <w:r w:rsidRPr="008B3EA4" w:rsidR="005E6216">
        <w:rPr>
          <w:b/>
          <w:sz w:val="24"/>
          <w:szCs w:val="24"/>
        </w:rPr>
        <w:t>n</w:t>
      </w:r>
      <w:r w:rsidRPr="008B3EA4" w:rsidR="00ED6DBF">
        <w:rPr>
          <w:b/>
          <w:sz w:val="24"/>
          <w:szCs w:val="24"/>
        </w:rPr>
        <w:t>d a</w:t>
      </w:r>
      <w:r w:rsidRPr="008B3EA4" w:rsidR="005E6216">
        <w:rPr>
          <w:b/>
          <w:sz w:val="24"/>
          <w:szCs w:val="24"/>
        </w:rPr>
        <w:t xml:space="preserve"> </w:t>
      </w:r>
      <w:r w:rsidRPr="008B3EA4" w:rsidR="00ED6DBF">
        <w:rPr>
          <w:b/>
          <w:sz w:val="24"/>
          <w:szCs w:val="24"/>
        </w:rPr>
        <w:t>different</w:t>
      </w:r>
      <w:r w:rsidRPr="008B3EA4" w:rsidR="00A7762F">
        <w:rPr>
          <w:b/>
          <w:sz w:val="24"/>
          <w:szCs w:val="24"/>
        </w:rPr>
        <w:t xml:space="preserve"> </w:t>
      </w:r>
      <w:r w:rsidRPr="008B3EA4" w:rsidR="003570D6">
        <w:rPr>
          <w:b/>
          <w:sz w:val="24"/>
          <w:szCs w:val="24"/>
        </w:rPr>
        <w:t>u</w:t>
      </w:r>
      <w:r w:rsidRPr="008B3EA4" w:rsidR="00A7762F">
        <w:rPr>
          <w:b/>
          <w:sz w:val="24"/>
          <w:szCs w:val="24"/>
        </w:rPr>
        <w:t>tility</w:t>
      </w:r>
      <w:r w:rsidRPr="008B3EA4" w:rsidR="00FD0DE6">
        <w:rPr>
          <w:b/>
          <w:sz w:val="24"/>
          <w:szCs w:val="24"/>
        </w:rPr>
        <w:t xml:space="preserve">. </w:t>
      </w:r>
    </w:p>
    <w:p w:rsidR="00BD04B0" w:rsidRPr="008B3EA4" w:rsidP="00BD04B0" w14:paraId="41C71C42" w14:textId="4F85BF54">
      <w:pPr>
        <w:autoSpaceDE w:val="0"/>
        <w:autoSpaceDN w:val="0"/>
        <w:adjustRightInd w:val="0"/>
        <w:spacing w:line="480" w:lineRule="auto"/>
        <w:ind w:firstLine="720"/>
        <w:rPr>
          <w:rFonts w:eastAsiaTheme="minorHAnsi"/>
          <w:sz w:val="24"/>
          <w:szCs w:val="24"/>
        </w:rPr>
      </w:pPr>
      <w:r w:rsidRPr="008B3EA4">
        <w:rPr>
          <w:sz w:val="24"/>
          <w:szCs w:val="24"/>
        </w:rPr>
        <w:t xml:space="preserve">When the PUCO reviews each </w:t>
      </w:r>
      <w:r w:rsidRPr="008B3EA4" w:rsidR="00D913C0">
        <w:rPr>
          <w:sz w:val="24"/>
          <w:szCs w:val="24"/>
        </w:rPr>
        <w:t>settlement</w:t>
      </w:r>
      <w:r w:rsidRPr="008B3EA4">
        <w:rPr>
          <w:sz w:val="24"/>
          <w:szCs w:val="24"/>
        </w:rPr>
        <w:t>, “it will evaluate the terms of the stipulation as they appear on their face.”</w:t>
      </w:r>
      <w:r>
        <w:rPr>
          <w:rStyle w:val="FootnoteReference"/>
          <w:sz w:val="24"/>
          <w:szCs w:val="24"/>
        </w:rPr>
        <w:footnoteReference w:id="7"/>
      </w:r>
      <w:r w:rsidRPr="008B3EA4" w:rsidR="0081110B">
        <w:rPr>
          <w:sz w:val="24"/>
          <w:szCs w:val="24"/>
        </w:rPr>
        <w:t xml:space="preserve"> </w:t>
      </w:r>
      <w:r w:rsidRPr="008B3EA4">
        <w:rPr>
          <w:sz w:val="24"/>
          <w:szCs w:val="24"/>
        </w:rPr>
        <w:t>T</w:t>
      </w:r>
      <w:r w:rsidRPr="008B3EA4">
        <w:rPr>
          <w:rFonts w:eastAsiaTheme="minorHAnsi"/>
          <w:sz w:val="24"/>
          <w:szCs w:val="24"/>
        </w:rPr>
        <w:t xml:space="preserve">he </w:t>
      </w:r>
      <w:r w:rsidRPr="008B3EA4" w:rsidR="00A7762F">
        <w:rPr>
          <w:rFonts w:eastAsiaTheme="minorHAnsi"/>
          <w:sz w:val="24"/>
          <w:szCs w:val="24"/>
        </w:rPr>
        <w:t xml:space="preserve">PUCO </w:t>
      </w:r>
      <w:r w:rsidRPr="008B3EA4">
        <w:rPr>
          <w:rFonts w:eastAsiaTheme="minorHAnsi"/>
          <w:sz w:val="24"/>
          <w:szCs w:val="24"/>
        </w:rPr>
        <w:t xml:space="preserve">has previously explained that it “is tasked with evaluating the reasonableness of </w:t>
      </w:r>
      <w:r w:rsidRPr="008B3EA4">
        <w:rPr>
          <w:rFonts w:eastAsiaTheme="minorHAnsi"/>
          <w:i/>
          <w:sz w:val="24"/>
          <w:szCs w:val="24"/>
        </w:rPr>
        <w:t>any stipulation presented by its signatory parties</w:t>
      </w:r>
      <w:r w:rsidRPr="008B3EA4">
        <w:rPr>
          <w:rFonts w:eastAsiaTheme="minorHAnsi"/>
          <w:sz w:val="24"/>
          <w:szCs w:val="24"/>
        </w:rPr>
        <w:t xml:space="preserve"> and applies a three-part test to that end.”</w:t>
      </w:r>
      <w:r>
        <w:rPr>
          <w:rStyle w:val="FootnoteReference"/>
          <w:rFonts w:eastAsiaTheme="minorHAnsi"/>
          <w:sz w:val="24"/>
          <w:szCs w:val="24"/>
        </w:rPr>
        <w:footnoteReference w:id="8"/>
      </w:r>
      <w:r w:rsidRPr="008B3EA4" w:rsidR="0081110B">
        <w:rPr>
          <w:rFonts w:eastAsiaTheme="minorHAnsi"/>
          <w:sz w:val="24"/>
          <w:szCs w:val="24"/>
        </w:rPr>
        <w:t xml:space="preserve"> </w:t>
      </w:r>
      <w:r w:rsidRPr="008B3EA4" w:rsidR="00E97BD7">
        <w:rPr>
          <w:sz w:val="24"/>
          <w:szCs w:val="24"/>
        </w:rPr>
        <w:t xml:space="preserve">Also, </w:t>
      </w:r>
      <w:r w:rsidRPr="008B3EA4">
        <w:rPr>
          <w:sz w:val="24"/>
          <w:szCs w:val="24"/>
        </w:rPr>
        <w:t>the PUCO has stated that “[i</w:t>
      </w:r>
      <w:r w:rsidRPr="008B3EA4">
        <w:rPr>
          <w:rFonts w:eastAsiaTheme="minorHAnsi"/>
          <w:sz w:val="24"/>
          <w:szCs w:val="24"/>
        </w:rPr>
        <w:t>t] is well established</w:t>
      </w:r>
    </w:p>
    <w:p w:rsidR="00E052B8" w:rsidRPr="008B3EA4" w:rsidP="00197F57" w14:paraId="39B9805C" w14:textId="5757F6C5">
      <w:pPr>
        <w:autoSpaceDE w:val="0"/>
        <w:autoSpaceDN w:val="0"/>
        <w:adjustRightInd w:val="0"/>
        <w:spacing w:line="480" w:lineRule="auto"/>
        <w:rPr>
          <w:sz w:val="24"/>
          <w:szCs w:val="24"/>
        </w:rPr>
      </w:pPr>
      <w:r w:rsidRPr="008B3EA4">
        <w:rPr>
          <w:rFonts w:eastAsiaTheme="minorHAnsi"/>
          <w:sz w:val="24"/>
          <w:szCs w:val="24"/>
        </w:rPr>
        <w:t xml:space="preserve">that a stipulation </w:t>
      </w:r>
      <w:r w:rsidRPr="008B3EA4">
        <w:rPr>
          <w:rFonts w:eastAsiaTheme="minorHAnsi"/>
          <w:i/>
          <w:sz w:val="24"/>
          <w:szCs w:val="24"/>
        </w:rPr>
        <w:t>entered into by the parties</w:t>
      </w:r>
      <w:r w:rsidRPr="008B3EA4">
        <w:rPr>
          <w:rFonts w:eastAsiaTheme="minorHAnsi"/>
          <w:sz w:val="24"/>
          <w:szCs w:val="24"/>
        </w:rPr>
        <w:t xml:space="preserve"> is a recommendation made to the Commission and is in no sense legally binding upon the Commission.</w:t>
      </w:r>
      <w:r w:rsidRPr="008B3EA4" w:rsidR="0081110B">
        <w:rPr>
          <w:rFonts w:eastAsiaTheme="minorHAnsi"/>
          <w:sz w:val="24"/>
          <w:szCs w:val="24"/>
        </w:rPr>
        <w:t xml:space="preserve"> </w:t>
      </w:r>
      <w:r w:rsidRPr="008B3EA4">
        <w:rPr>
          <w:rFonts w:eastAsiaTheme="minorHAnsi"/>
          <w:sz w:val="24"/>
          <w:szCs w:val="24"/>
        </w:rPr>
        <w:t xml:space="preserve"> T</w:t>
      </w:r>
      <w:r w:rsidRPr="008B3EA4" w:rsidR="00E97BD7">
        <w:rPr>
          <w:sz w:val="24"/>
          <w:szCs w:val="24"/>
        </w:rPr>
        <w:t>he Commission may take the stipulation into consideration</w:t>
      </w:r>
      <w:r w:rsidRPr="008B3EA4">
        <w:rPr>
          <w:sz w:val="24"/>
          <w:szCs w:val="24"/>
        </w:rPr>
        <w:t xml:space="preserve">, but must </w:t>
      </w:r>
      <w:r w:rsidRPr="008B3EA4" w:rsidR="00E97BD7">
        <w:rPr>
          <w:sz w:val="24"/>
          <w:szCs w:val="24"/>
        </w:rPr>
        <w:t xml:space="preserve">determine what is just and reasonable </w:t>
      </w:r>
      <w:r w:rsidRPr="008B3EA4" w:rsidR="00E97BD7">
        <w:rPr>
          <w:i/>
          <w:sz w:val="24"/>
          <w:szCs w:val="24"/>
        </w:rPr>
        <w:t>fro</w:t>
      </w:r>
      <w:r w:rsidRPr="008B3EA4" w:rsidR="00781B8F">
        <w:rPr>
          <w:i/>
          <w:sz w:val="24"/>
          <w:szCs w:val="24"/>
        </w:rPr>
        <w:t>m</w:t>
      </w:r>
      <w:r w:rsidRPr="008B3EA4" w:rsidR="003570D6">
        <w:rPr>
          <w:i/>
          <w:sz w:val="24"/>
          <w:szCs w:val="24"/>
        </w:rPr>
        <w:t xml:space="preserve"> </w:t>
      </w:r>
      <w:r w:rsidRPr="008B3EA4" w:rsidR="00E97BD7">
        <w:rPr>
          <w:i/>
          <w:sz w:val="24"/>
          <w:szCs w:val="24"/>
        </w:rPr>
        <w:t>the evidence presented at the hearing</w:t>
      </w:r>
      <w:r w:rsidRPr="008B3EA4">
        <w:rPr>
          <w:sz w:val="24"/>
          <w:szCs w:val="24"/>
        </w:rPr>
        <w:t>.”</w:t>
      </w:r>
      <w:r>
        <w:rPr>
          <w:rStyle w:val="FootnoteReference"/>
          <w:sz w:val="24"/>
          <w:szCs w:val="24"/>
        </w:rPr>
        <w:footnoteReference w:id="9"/>
      </w:r>
      <w:r w:rsidRPr="008B3EA4" w:rsidR="0081110B">
        <w:rPr>
          <w:sz w:val="24"/>
          <w:szCs w:val="24"/>
        </w:rPr>
        <w:t xml:space="preserve"> </w:t>
      </w:r>
      <w:r w:rsidRPr="008B3EA4" w:rsidR="003570D6">
        <w:rPr>
          <w:sz w:val="24"/>
          <w:szCs w:val="24"/>
        </w:rPr>
        <w:t xml:space="preserve"> </w:t>
      </w:r>
      <w:r w:rsidRPr="008B3EA4" w:rsidR="009649CD">
        <w:rPr>
          <w:sz w:val="24"/>
          <w:szCs w:val="24"/>
        </w:rPr>
        <w:t xml:space="preserve">Consequently, the PUCO </w:t>
      </w:r>
      <w:r w:rsidRPr="008B3EA4" w:rsidR="00110780">
        <w:rPr>
          <w:sz w:val="24"/>
          <w:szCs w:val="24"/>
        </w:rPr>
        <w:t xml:space="preserve">must evaluate </w:t>
      </w:r>
      <w:r w:rsidRPr="008B3EA4" w:rsidR="00AB3850">
        <w:rPr>
          <w:sz w:val="24"/>
          <w:szCs w:val="24"/>
        </w:rPr>
        <w:t>the cases</w:t>
      </w:r>
      <w:r w:rsidRPr="008B3EA4" w:rsidR="00110780">
        <w:rPr>
          <w:sz w:val="24"/>
          <w:szCs w:val="24"/>
        </w:rPr>
        <w:t xml:space="preserve"> independently based on the facts</w:t>
      </w:r>
      <w:r w:rsidRPr="008B3EA4">
        <w:rPr>
          <w:sz w:val="24"/>
          <w:szCs w:val="24"/>
        </w:rPr>
        <w:t>,</w:t>
      </w:r>
      <w:r w:rsidRPr="008B3EA4" w:rsidR="00110780">
        <w:rPr>
          <w:sz w:val="24"/>
          <w:szCs w:val="24"/>
        </w:rPr>
        <w:t xml:space="preserve"> circumstances</w:t>
      </w:r>
      <w:r w:rsidRPr="008B3EA4">
        <w:rPr>
          <w:sz w:val="24"/>
          <w:szCs w:val="24"/>
        </w:rPr>
        <w:t>, and record evidence</w:t>
      </w:r>
      <w:r w:rsidRPr="008B3EA4" w:rsidR="00110780">
        <w:rPr>
          <w:sz w:val="24"/>
          <w:szCs w:val="24"/>
        </w:rPr>
        <w:t xml:space="preserve"> </w:t>
      </w:r>
      <w:r w:rsidRPr="008B3EA4">
        <w:rPr>
          <w:sz w:val="24"/>
          <w:szCs w:val="24"/>
        </w:rPr>
        <w:t>in each</w:t>
      </w:r>
      <w:r w:rsidRPr="008B3EA4" w:rsidR="00110780">
        <w:rPr>
          <w:sz w:val="24"/>
          <w:szCs w:val="24"/>
        </w:rPr>
        <w:t xml:space="preserve"> individual case regarding </w:t>
      </w:r>
      <w:r w:rsidRPr="008B3EA4">
        <w:rPr>
          <w:sz w:val="24"/>
          <w:szCs w:val="24"/>
        </w:rPr>
        <w:t>each utility</w:t>
      </w:r>
      <w:r w:rsidRPr="008B3EA4" w:rsidR="00FE1A8D">
        <w:rPr>
          <w:sz w:val="24"/>
          <w:szCs w:val="24"/>
        </w:rPr>
        <w:t>.</w:t>
      </w:r>
      <w:r w:rsidRPr="008B3EA4" w:rsidR="0081110B">
        <w:rPr>
          <w:sz w:val="24"/>
          <w:szCs w:val="24"/>
        </w:rPr>
        <w:t xml:space="preserve"> </w:t>
      </w:r>
      <w:r w:rsidRPr="008B3EA4" w:rsidR="003570D6">
        <w:rPr>
          <w:sz w:val="24"/>
          <w:szCs w:val="24"/>
        </w:rPr>
        <w:t xml:space="preserve"> </w:t>
      </w:r>
      <w:r w:rsidRPr="008B3EA4">
        <w:rPr>
          <w:sz w:val="24"/>
          <w:szCs w:val="24"/>
        </w:rPr>
        <w:t>A</w:t>
      </w:r>
      <w:r w:rsidRPr="008B3EA4" w:rsidR="00197F57">
        <w:rPr>
          <w:sz w:val="24"/>
          <w:szCs w:val="24"/>
        </w:rPr>
        <w:t>s such</w:t>
      </w:r>
      <w:r w:rsidRPr="008B3EA4">
        <w:rPr>
          <w:sz w:val="24"/>
          <w:szCs w:val="24"/>
        </w:rPr>
        <w:t>, a</w:t>
      </w:r>
      <w:r w:rsidRPr="008B3EA4" w:rsidR="00110780">
        <w:rPr>
          <w:sz w:val="24"/>
          <w:szCs w:val="24"/>
        </w:rPr>
        <w:t xml:space="preserve">ny reliance on the Columbia CEP </w:t>
      </w:r>
      <w:r w:rsidRPr="008B3EA4" w:rsidR="00707CA7">
        <w:rPr>
          <w:sz w:val="24"/>
          <w:szCs w:val="24"/>
        </w:rPr>
        <w:t>S</w:t>
      </w:r>
      <w:r w:rsidRPr="008B3EA4" w:rsidR="00110780">
        <w:rPr>
          <w:sz w:val="24"/>
          <w:szCs w:val="24"/>
        </w:rPr>
        <w:t xml:space="preserve">ettlement </w:t>
      </w:r>
      <w:r w:rsidRPr="008B3EA4" w:rsidR="00707CA7">
        <w:rPr>
          <w:sz w:val="24"/>
          <w:szCs w:val="24"/>
        </w:rPr>
        <w:t>Agreement</w:t>
      </w:r>
      <w:r w:rsidRPr="008B3EA4">
        <w:rPr>
          <w:sz w:val="24"/>
          <w:szCs w:val="24"/>
        </w:rPr>
        <w:t xml:space="preserve"> entered into evidence in a separate and distinct case</w:t>
      </w:r>
      <w:r w:rsidRPr="008B3EA4" w:rsidR="00707CA7">
        <w:rPr>
          <w:sz w:val="24"/>
          <w:szCs w:val="24"/>
        </w:rPr>
        <w:t xml:space="preserve"> </w:t>
      </w:r>
      <w:r w:rsidRPr="008B3EA4" w:rsidR="00110780">
        <w:rPr>
          <w:sz w:val="24"/>
          <w:szCs w:val="24"/>
        </w:rPr>
        <w:t>is misguided and improper</w:t>
      </w:r>
      <w:r w:rsidRPr="008B3EA4" w:rsidR="00C030D8">
        <w:rPr>
          <w:sz w:val="24"/>
          <w:szCs w:val="24"/>
        </w:rPr>
        <w:t xml:space="preserve">. </w:t>
      </w:r>
      <w:r w:rsidRPr="008B3EA4" w:rsidR="00ED6DBF">
        <w:rPr>
          <w:sz w:val="24"/>
          <w:szCs w:val="24"/>
        </w:rPr>
        <w:t>For those reasons, the Dominion testimony that relies upon the Columbia settlement should be stri</w:t>
      </w:r>
      <w:r w:rsidRPr="008B3EA4" w:rsidR="008F7D26">
        <w:rPr>
          <w:sz w:val="24"/>
          <w:szCs w:val="24"/>
        </w:rPr>
        <w:t>c</w:t>
      </w:r>
      <w:r w:rsidRPr="008B3EA4" w:rsidR="00ED6DBF">
        <w:rPr>
          <w:sz w:val="24"/>
          <w:szCs w:val="24"/>
        </w:rPr>
        <w:t>ken.</w:t>
      </w:r>
    </w:p>
    <w:p w:rsidR="004B5B1D" w:rsidRPr="008B3EA4" w:rsidP="0081110B" w14:paraId="3528067C" w14:textId="3F9C04C7">
      <w:pPr>
        <w:pStyle w:val="ListParagraph"/>
        <w:numPr>
          <w:ilvl w:val="0"/>
          <w:numId w:val="2"/>
        </w:numPr>
        <w:spacing w:after="240"/>
        <w:ind w:left="1440" w:hanging="720"/>
        <w:contextualSpacing w:val="0"/>
        <w:rPr>
          <w:b/>
          <w:sz w:val="24"/>
          <w:szCs w:val="24"/>
        </w:rPr>
      </w:pPr>
      <w:r w:rsidRPr="008B3EA4">
        <w:rPr>
          <w:b/>
          <w:sz w:val="24"/>
          <w:szCs w:val="24"/>
        </w:rPr>
        <w:t xml:space="preserve">The PUCO should </w:t>
      </w:r>
      <w:r w:rsidRPr="008B3EA4" w:rsidR="003570D6">
        <w:rPr>
          <w:b/>
          <w:sz w:val="24"/>
          <w:szCs w:val="24"/>
        </w:rPr>
        <w:t>s</w:t>
      </w:r>
      <w:r w:rsidRPr="008B3EA4">
        <w:rPr>
          <w:b/>
          <w:sz w:val="24"/>
          <w:szCs w:val="24"/>
        </w:rPr>
        <w:t xml:space="preserve">trike </w:t>
      </w:r>
      <w:r w:rsidRPr="008B3EA4" w:rsidR="003570D6">
        <w:rPr>
          <w:b/>
          <w:sz w:val="24"/>
          <w:szCs w:val="24"/>
        </w:rPr>
        <w:t>p</w:t>
      </w:r>
      <w:r w:rsidRPr="008B3EA4" w:rsidR="005769EF">
        <w:rPr>
          <w:b/>
          <w:sz w:val="24"/>
          <w:szCs w:val="24"/>
        </w:rPr>
        <w:t>ortions of the Dominion</w:t>
      </w:r>
      <w:r w:rsidRPr="008B3EA4" w:rsidR="0005425C">
        <w:rPr>
          <w:b/>
          <w:sz w:val="24"/>
          <w:szCs w:val="24"/>
        </w:rPr>
        <w:t xml:space="preserve"> </w:t>
      </w:r>
      <w:r w:rsidRPr="008B3EA4" w:rsidR="004279BA">
        <w:rPr>
          <w:b/>
          <w:sz w:val="24"/>
          <w:szCs w:val="24"/>
        </w:rPr>
        <w:t xml:space="preserve">Testimony </w:t>
      </w:r>
      <w:r w:rsidRPr="008B3EA4" w:rsidR="003570D6">
        <w:rPr>
          <w:b/>
          <w:sz w:val="24"/>
          <w:szCs w:val="24"/>
        </w:rPr>
        <w:t>b</w:t>
      </w:r>
      <w:r w:rsidRPr="008B3EA4" w:rsidR="004279BA">
        <w:rPr>
          <w:b/>
          <w:sz w:val="24"/>
          <w:szCs w:val="24"/>
        </w:rPr>
        <w:t xml:space="preserve">ecause it </w:t>
      </w:r>
      <w:r w:rsidRPr="008B3EA4" w:rsidR="003570D6">
        <w:rPr>
          <w:b/>
          <w:sz w:val="24"/>
          <w:szCs w:val="24"/>
        </w:rPr>
        <w:t>c</w:t>
      </w:r>
      <w:r w:rsidRPr="008B3EA4" w:rsidR="004279BA">
        <w:rPr>
          <w:b/>
          <w:sz w:val="24"/>
          <w:szCs w:val="24"/>
        </w:rPr>
        <w:t xml:space="preserve">onflicts </w:t>
      </w:r>
      <w:r w:rsidRPr="008B3EA4" w:rsidR="003570D6">
        <w:rPr>
          <w:b/>
          <w:sz w:val="24"/>
          <w:szCs w:val="24"/>
        </w:rPr>
        <w:t>w</w:t>
      </w:r>
      <w:r w:rsidRPr="008B3EA4">
        <w:rPr>
          <w:b/>
          <w:sz w:val="24"/>
          <w:szCs w:val="24"/>
        </w:rPr>
        <w:t xml:space="preserve">ith the </w:t>
      </w:r>
      <w:r w:rsidRPr="008B3EA4" w:rsidR="003570D6">
        <w:rPr>
          <w:b/>
          <w:sz w:val="24"/>
          <w:szCs w:val="24"/>
        </w:rPr>
        <w:t>p</w:t>
      </w:r>
      <w:r w:rsidRPr="008B3EA4">
        <w:rPr>
          <w:b/>
          <w:sz w:val="24"/>
          <w:szCs w:val="24"/>
        </w:rPr>
        <w:t xml:space="preserve">lain </w:t>
      </w:r>
      <w:r w:rsidRPr="008B3EA4" w:rsidR="003570D6">
        <w:rPr>
          <w:b/>
          <w:sz w:val="24"/>
          <w:szCs w:val="24"/>
        </w:rPr>
        <w:t>l</w:t>
      </w:r>
      <w:r w:rsidRPr="008B3EA4">
        <w:rPr>
          <w:b/>
          <w:sz w:val="24"/>
          <w:szCs w:val="24"/>
        </w:rPr>
        <w:t xml:space="preserve">anguage of the Columbia </w:t>
      </w:r>
      <w:r w:rsidRPr="008B3EA4" w:rsidR="001975D2">
        <w:rPr>
          <w:b/>
          <w:sz w:val="24"/>
          <w:szCs w:val="24"/>
        </w:rPr>
        <w:t>CEP Settlement Agreement</w:t>
      </w:r>
      <w:r w:rsidRPr="008B3EA4" w:rsidR="00AC4D80">
        <w:rPr>
          <w:b/>
          <w:sz w:val="24"/>
          <w:szCs w:val="24"/>
        </w:rPr>
        <w:t>, does not benefit customers,</w:t>
      </w:r>
      <w:r w:rsidRPr="008B3EA4" w:rsidR="0005425C">
        <w:rPr>
          <w:b/>
          <w:sz w:val="24"/>
          <w:szCs w:val="24"/>
        </w:rPr>
        <w:t xml:space="preserve"> and is</w:t>
      </w:r>
      <w:r w:rsidRPr="008B3EA4" w:rsidR="005769EF">
        <w:rPr>
          <w:b/>
          <w:sz w:val="24"/>
          <w:szCs w:val="24"/>
        </w:rPr>
        <w:t xml:space="preserve"> </w:t>
      </w:r>
      <w:r w:rsidRPr="008B3EA4" w:rsidR="003570D6">
        <w:rPr>
          <w:b/>
          <w:sz w:val="24"/>
          <w:szCs w:val="24"/>
        </w:rPr>
        <w:t>c</w:t>
      </w:r>
      <w:r w:rsidRPr="008B3EA4" w:rsidR="005769EF">
        <w:rPr>
          <w:b/>
          <w:sz w:val="24"/>
          <w:szCs w:val="24"/>
        </w:rPr>
        <w:t xml:space="preserve">ontrary to </w:t>
      </w:r>
      <w:r w:rsidRPr="008B3EA4" w:rsidR="003570D6">
        <w:rPr>
          <w:b/>
          <w:sz w:val="24"/>
          <w:szCs w:val="24"/>
        </w:rPr>
        <w:t>the public</w:t>
      </w:r>
      <w:r w:rsidRPr="008B3EA4" w:rsidR="005769EF">
        <w:rPr>
          <w:b/>
          <w:sz w:val="24"/>
          <w:szCs w:val="24"/>
        </w:rPr>
        <w:t xml:space="preserve"> </w:t>
      </w:r>
      <w:r w:rsidRPr="008B3EA4" w:rsidR="003570D6">
        <w:rPr>
          <w:b/>
          <w:sz w:val="24"/>
          <w:szCs w:val="24"/>
        </w:rPr>
        <w:t>i</w:t>
      </w:r>
      <w:r w:rsidRPr="008B3EA4" w:rsidR="005769EF">
        <w:rPr>
          <w:b/>
          <w:sz w:val="24"/>
          <w:szCs w:val="24"/>
        </w:rPr>
        <w:t>nterest</w:t>
      </w:r>
      <w:r w:rsidRPr="008B3EA4" w:rsidR="001975D2">
        <w:rPr>
          <w:b/>
          <w:sz w:val="24"/>
          <w:szCs w:val="24"/>
        </w:rPr>
        <w:t xml:space="preserve">. </w:t>
      </w:r>
    </w:p>
    <w:p w:rsidR="00126995" w:rsidRPr="008B3EA4" w:rsidP="001975D2" w14:paraId="5B8D81E9" w14:textId="6E459ED1">
      <w:pPr>
        <w:pStyle w:val="ListParagraph"/>
        <w:spacing w:line="480" w:lineRule="auto"/>
        <w:ind w:left="0" w:firstLine="720"/>
        <w:contextualSpacing w:val="0"/>
        <w:rPr>
          <w:sz w:val="24"/>
          <w:szCs w:val="24"/>
        </w:rPr>
      </w:pPr>
      <w:r w:rsidRPr="008B3EA4">
        <w:rPr>
          <w:sz w:val="24"/>
          <w:szCs w:val="24"/>
        </w:rPr>
        <w:t xml:space="preserve">On October 25, 2018, Columbia and other signatory parties, including OCC, entered into a settlement agreement regarding the Columbia CEP Case, which the PUCO subsequently adopted in its </w:t>
      </w:r>
      <w:r w:rsidRPr="008B3EA4" w:rsidR="00806B57">
        <w:rPr>
          <w:sz w:val="24"/>
          <w:szCs w:val="24"/>
        </w:rPr>
        <w:t>entirety</w:t>
      </w:r>
      <w:r w:rsidRPr="008B3EA4" w:rsidR="006A73F1">
        <w:rPr>
          <w:sz w:val="24"/>
          <w:szCs w:val="24"/>
        </w:rPr>
        <w:t>.</w:t>
      </w:r>
      <w:r>
        <w:rPr>
          <w:rStyle w:val="FootnoteReference"/>
          <w:sz w:val="24"/>
          <w:szCs w:val="24"/>
        </w:rPr>
        <w:footnoteReference w:id="10"/>
      </w:r>
      <w:r w:rsidRPr="008B3EA4" w:rsidR="0081110B">
        <w:rPr>
          <w:sz w:val="24"/>
          <w:szCs w:val="24"/>
        </w:rPr>
        <w:t xml:space="preserve"> </w:t>
      </w:r>
      <w:r w:rsidRPr="008B3EA4" w:rsidR="00AC4D80">
        <w:rPr>
          <w:sz w:val="24"/>
          <w:szCs w:val="24"/>
        </w:rPr>
        <w:t xml:space="preserve"> </w:t>
      </w:r>
      <w:r w:rsidRPr="008B3EA4">
        <w:rPr>
          <w:sz w:val="24"/>
          <w:szCs w:val="24"/>
        </w:rPr>
        <w:t xml:space="preserve">Included in the Columbia CEP </w:t>
      </w:r>
      <w:r w:rsidRPr="008B3EA4" w:rsidR="00707CA7">
        <w:rPr>
          <w:sz w:val="24"/>
          <w:szCs w:val="24"/>
        </w:rPr>
        <w:t>S</w:t>
      </w:r>
      <w:r w:rsidRPr="008B3EA4">
        <w:rPr>
          <w:sz w:val="24"/>
          <w:szCs w:val="24"/>
        </w:rPr>
        <w:t xml:space="preserve">ettlement </w:t>
      </w:r>
      <w:r w:rsidRPr="008B3EA4" w:rsidR="00707CA7">
        <w:rPr>
          <w:sz w:val="24"/>
          <w:szCs w:val="24"/>
        </w:rPr>
        <w:t>A</w:t>
      </w:r>
      <w:r w:rsidRPr="008B3EA4">
        <w:rPr>
          <w:sz w:val="24"/>
          <w:szCs w:val="24"/>
        </w:rPr>
        <w:t>greement is the following provision:</w:t>
      </w:r>
    </w:p>
    <w:p w:rsidR="00126995" w:rsidRPr="008B3EA4" w:rsidP="00E36A52" w14:paraId="5EBDB0B1" w14:textId="727E010D">
      <w:pPr>
        <w:pStyle w:val="ListParagraph"/>
        <w:ind w:right="720"/>
        <w:contextualSpacing w:val="0"/>
        <w:rPr>
          <w:sz w:val="24"/>
          <w:szCs w:val="24"/>
        </w:rPr>
      </w:pPr>
      <w:r w:rsidRPr="008B3EA4">
        <w:rPr>
          <w:sz w:val="24"/>
          <w:szCs w:val="24"/>
        </w:rPr>
        <w:t xml:space="preserve">This Stipulation is entered into as an overall compromise and resolution of all of the issues presented </w:t>
      </w:r>
      <w:r w:rsidRPr="008B3EA4">
        <w:rPr>
          <w:i/>
          <w:sz w:val="24"/>
          <w:szCs w:val="24"/>
        </w:rPr>
        <w:t>in this proceeding.</w:t>
      </w:r>
      <w:r w:rsidRPr="008B3EA4" w:rsidR="0081110B">
        <w:rPr>
          <w:sz w:val="24"/>
          <w:szCs w:val="24"/>
        </w:rPr>
        <w:t xml:space="preserve"> </w:t>
      </w:r>
      <w:r w:rsidRPr="008B3EA4">
        <w:rPr>
          <w:sz w:val="24"/>
          <w:szCs w:val="24"/>
        </w:rPr>
        <w:t>This Stipulation does not necessarily represent the position any Signatory Party would have taken absent the execution of this Stipulation</w:t>
      </w:r>
      <w:r w:rsidRPr="008B3EA4" w:rsidR="00D66AE5">
        <w:rPr>
          <w:sz w:val="24"/>
          <w:szCs w:val="24"/>
        </w:rPr>
        <w:t>.</w:t>
      </w:r>
      <w:r w:rsidRPr="008B3EA4" w:rsidR="0081110B">
        <w:rPr>
          <w:i/>
          <w:sz w:val="24"/>
          <w:szCs w:val="24"/>
        </w:rPr>
        <w:t xml:space="preserve"> </w:t>
      </w:r>
      <w:r w:rsidRPr="008B3EA4">
        <w:rPr>
          <w:i/>
          <w:sz w:val="24"/>
          <w:szCs w:val="24"/>
        </w:rPr>
        <w:t>This Stipulation shall not be cited as precedent in any future proceeding for or against any Signatory Party</w:t>
      </w:r>
      <w:r w:rsidRPr="008B3EA4">
        <w:rPr>
          <w:sz w:val="24"/>
          <w:szCs w:val="24"/>
        </w:rPr>
        <w:t>, if the Commission approves the Stipulation without material modification</w:t>
      </w:r>
      <w:r w:rsidRPr="008B3EA4" w:rsidR="005F2189">
        <w:rPr>
          <w:sz w:val="24"/>
          <w:szCs w:val="24"/>
        </w:rPr>
        <w:t>.</w:t>
      </w:r>
      <w:r>
        <w:rPr>
          <w:rStyle w:val="FootnoteReference"/>
          <w:sz w:val="24"/>
          <w:szCs w:val="24"/>
        </w:rPr>
        <w:footnoteReference w:id="11"/>
      </w:r>
      <w:r w:rsidRPr="008B3EA4" w:rsidR="005F2189">
        <w:rPr>
          <w:sz w:val="24"/>
          <w:szCs w:val="24"/>
        </w:rPr>
        <w:t xml:space="preserve"> </w:t>
      </w:r>
    </w:p>
    <w:p w:rsidR="00405E45" w:rsidRPr="008B3EA4" w:rsidP="00E36A52" w14:paraId="2E306978" w14:textId="77777777">
      <w:pPr>
        <w:pStyle w:val="ListParagraph"/>
        <w:ind w:right="720"/>
        <w:contextualSpacing w:val="0"/>
        <w:rPr>
          <w:sz w:val="24"/>
          <w:szCs w:val="24"/>
        </w:rPr>
      </w:pPr>
    </w:p>
    <w:p w:rsidR="00126995" w:rsidRPr="008B3EA4" w:rsidP="00197F57" w14:paraId="124ADB0A" w14:textId="4024245B">
      <w:pPr>
        <w:pStyle w:val="ListParagraph"/>
        <w:spacing w:line="480" w:lineRule="auto"/>
        <w:ind w:left="0"/>
        <w:contextualSpacing w:val="0"/>
        <w:rPr>
          <w:sz w:val="24"/>
          <w:szCs w:val="24"/>
        </w:rPr>
      </w:pPr>
      <w:r w:rsidRPr="008B3EA4">
        <w:rPr>
          <w:sz w:val="24"/>
          <w:szCs w:val="24"/>
        </w:rPr>
        <w:t>A clear reading of the</w:t>
      </w:r>
      <w:r w:rsidRPr="008B3EA4" w:rsidR="00784597">
        <w:rPr>
          <w:sz w:val="24"/>
          <w:szCs w:val="24"/>
        </w:rPr>
        <w:t xml:space="preserve"> Columbia CEP</w:t>
      </w:r>
      <w:r w:rsidRPr="008B3EA4">
        <w:rPr>
          <w:sz w:val="24"/>
          <w:szCs w:val="24"/>
        </w:rPr>
        <w:t xml:space="preserve"> </w:t>
      </w:r>
      <w:r w:rsidRPr="008B3EA4" w:rsidR="00707CA7">
        <w:rPr>
          <w:sz w:val="24"/>
          <w:szCs w:val="24"/>
        </w:rPr>
        <w:t>S</w:t>
      </w:r>
      <w:r w:rsidRPr="008B3EA4">
        <w:rPr>
          <w:sz w:val="24"/>
          <w:szCs w:val="24"/>
        </w:rPr>
        <w:t xml:space="preserve">ettlement </w:t>
      </w:r>
      <w:r w:rsidRPr="008B3EA4" w:rsidR="00707CA7">
        <w:rPr>
          <w:sz w:val="24"/>
          <w:szCs w:val="24"/>
        </w:rPr>
        <w:t>A</w:t>
      </w:r>
      <w:r w:rsidRPr="008B3EA4">
        <w:rPr>
          <w:sz w:val="24"/>
          <w:szCs w:val="24"/>
        </w:rPr>
        <w:t xml:space="preserve">greement shows that signatory parties intended that the </w:t>
      </w:r>
      <w:r w:rsidRPr="008B3EA4" w:rsidR="00781B8F">
        <w:rPr>
          <w:sz w:val="24"/>
          <w:szCs w:val="24"/>
        </w:rPr>
        <w:t>settlement it reached in that case</w:t>
      </w:r>
      <w:r w:rsidRPr="008B3EA4">
        <w:rPr>
          <w:sz w:val="24"/>
          <w:szCs w:val="24"/>
        </w:rPr>
        <w:t xml:space="preserve"> not be used as evidence in other proceedings for or against </w:t>
      </w:r>
      <w:r w:rsidRPr="008B3EA4" w:rsidR="004D6503">
        <w:rPr>
          <w:sz w:val="24"/>
          <w:szCs w:val="24"/>
        </w:rPr>
        <w:t xml:space="preserve">the </w:t>
      </w:r>
      <w:r w:rsidRPr="008B3EA4">
        <w:rPr>
          <w:sz w:val="24"/>
          <w:szCs w:val="24"/>
        </w:rPr>
        <w:t>signatory parties</w:t>
      </w:r>
      <w:r w:rsidRPr="008B3EA4" w:rsidR="00FE1A8D">
        <w:rPr>
          <w:sz w:val="24"/>
          <w:szCs w:val="24"/>
        </w:rPr>
        <w:t>.</w:t>
      </w:r>
      <w:r w:rsidRPr="008B3EA4" w:rsidR="0081110B">
        <w:rPr>
          <w:sz w:val="24"/>
          <w:szCs w:val="24"/>
        </w:rPr>
        <w:t xml:space="preserve"> </w:t>
      </w:r>
      <w:r w:rsidRPr="008B3EA4" w:rsidR="00AC4D80">
        <w:rPr>
          <w:sz w:val="24"/>
          <w:szCs w:val="24"/>
        </w:rPr>
        <w:t xml:space="preserve"> </w:t>
      </w:r>
      <w:r w:rsidRPr="008B3EA4" w:rsidR="00733252">
        <w:rPr>
          <w:sz w:val="24"/>
          <w:szCs w:val="24"/>
        </w:rPr>
        <w:t>The language is unambiguous and the PUCO adopted the settlement agreement without modification</w:t>
      </w:r>
      <w:r w:rsidRPr="008B3EA4" w:rsidR="00CE5A2D">
        <w:rPr>
          <w:sz w:val="24"/>
          <w:szCs w:val="24"/>
        </w:rPr>
        <w:t>.</w:t>
      </w:r>
      <w:r w:rsidRPr="008B3EA4" w:rsidR="00781B8F">
        <w:rPr>
          <w:sz w:val="24"/>
          <w:szCs w:val="24"/>
        </w:rPr>
        <w:t xml:space="preserve">  That agreement </w:t>
      </w:r>
      <w:r w:rsidRPr="008B3EA4" w:rsidR="00ED6DBF">
        <w:rPr>
          <w:sz w:val="24"/>
          <w:szCs w:val="24"/>
        </w:rPr>
        <w:t>therefore cannot be used by Dominion to as support for the approval of its own settlement.</w:t>
      </w:r>
      <w:r w:rsidRPr="008B3EA4" w:rsidR="0081110B">
        <w:rPr>
          <w:sz w:val="24"/>
          <w:szCs w:val="24"/>
        </w:rPr>
        <w:t xml:space="preserve"> </w:t>
      </w:r>
      <w:r w:rsidRPr="008B3EA4" w:rsidR="00AC4D80">
        <w:rPr>
          <w:sz w:val="24"/>
          <w:szCs w:val="24"/>
        </w:rPr>
        <w:t xml:space="preserve">  </w:t>
      </w:r>
      <w:r w:rsidRPr="008B3EA4" w:rsidR="008F4536">
        <w:rPr>
          <w:sz w:val="24"/>
          <w:szCs w:val="24"/>
        </w:rPr>
        <w:t xml:space="preserve">As previously explained, the PUCO evaluates the terms of </w:t>
      </w:r>
      <w:r w:rsidRPr="008B3EA4" w:rsidR="005769EF">
        <w:rPr>
          <w:sz w:val="24"/>
          <w:szCs w:val="24"/>
        </w:rPr>
        <w:t xml:space="preserve">settlements </w:t>
      </w:r>
      <w:r w:rsidRPr="008B3EA4" w:rsidR="008F4536">
        <w:rPr>
          <w:sz w:val="24"/>
          <w:szCs w:val="24"/>
        </w:rPr>
        <w:t>“as they appear on their face.”</w:t>
      </w:r>
      <w:r>
        <w:rPr>
          <w:rStyle w:val="FootnoteReference"/>
          <w:sz w:val="24"/>
          <w:szCs w:val="24"/>
        </w:rPr>
        <w:footnoteReference w:id="12"/>
      </w:r>
      <w:r w:rsidRPr="008B3EA4" w:rsidR="008F4536">
        <w:rPr>
          <w:sz w:val="24"/>
          <w:szCs w:val="24"/>
        </w:rPr>
        <w:t xml:space="preserve"> </w:t>
      </w:r>
      <w:r w:rsidRPr="008B3EA4" w:rsidR="00AC4D80">
        <w:rPr>
          <w:sz w:val="24"/>
          <w:szCs w:val="24"/>
        </w:rPr>
        <w:t xml:space="preserve"> </w:t>
      </w:r>
      <w:r w:rsidRPr="008B3EA4" w:rsidR="00733252">
        <w:rPr>
          <w:sz w:val="24"/>
          <w:szCs w:val="24"/>
        </w:rPr>
        <w:t xml:space="preserve">Further, the Supreme Court of Ohio has consistently held that contracts are to be interpreted </w:t>
      </w:r>
      <w:r w:rsidRPr="008B3EA4" w:rsidR="005769EF">
        <w:rPr>
          <w:sz w:val="24"/>
          <w:szCs w:val="24"/>
        </w:rPr>
        <w:t>based on</w:t>
      </w:r>
      <w:r w:rsidRPr="008B3EA4" w:rsidR="00733252">
        <w:rPr>
          <w:sz w:val="24"/>
          <w:szCs w:val="24"/>
        </w:rPr>
        <w:t xml:space="preserve"> the plain meaning of the terms as to best give effect to the parties’ intent.</w:t>
      </w:r>
      <w:r>
        <w:rPr>
          <w:rStyle w:val="FootnoteReference"/>
          <w:sz w:val="24"/>
          <w:szCs w:val="24"/>
        </w:rPr>
        <w:footnoteReference w:id="13"/>
      </w:r>
      <w:r w:rsidRPr="008B3EA4" w:rsidR="00FE5D88">
        <w:rPr>
          <w:sz w:val="24"/>
          <w:szCs w:val="24"/>
        </w:rPr>
        <w:t xml:space="preserve"> </w:t>
      </w:r>
    </w:p>
    <w:p w:rsidR="005B4765" w:rsidRPr="008B3EA4" w:rsidP="00405E45" w14:paraId="5CC1DC2F" w14:textId="389D47F3">
      <w:pPr>
        <w:pStyle w:val="ListParagraph"/>
        <w:spacing w:line="480" w:lineRule="auto"/>
        <w:ind w:left="0" w:firstLine="720"/>
        <w:contextualSpacing w:val="0"/>
        <w:rPr>
          <w:sz w:val="24"/>
          <w:szCs w:val="24"/>
        </w:rPr>
      </w:pPr>
      <w:r w:rsidRPr="008B3EA4">
        <w:rPr>
          <w:sz w:val="24"/>
          <w:szCs w:val="24"/>
        </w:rPr>
        <w:t>Allowing Dominion</w:t>
      </w:r>
      <w:r w:rsidRPr="008B3EA4" w:rsidR="00197F57">
        <w:rPr>
          <w:sz w:val="24"/>
          <w:szCs w:val="24"/>
        </w:rPr>
        <w:t xml:space="preserve"> to cite to, rely upon, and use the Columbia CEP Settlement Agreement as evidence in this proceeding</w:t>
      </w:r>
      <w:r w:rsidRPr="008B3EA4">
        <w:rPr>
          <w:sz w:val="24"/>
          <w:szCs w:val="24"/>
        </w:rPr>
        <w:t xml:space="preserve"> </w:t>
      </w:r>
      <w:r w:rsidRPr="008B3EA4" w:rsidR="00733252">
        <w:rPr>
          <w:sz w:val="24"/>
          <w:szCs w:val="24"/>
        </w:rPr>
        <w:t xml:space="preserve">would violate the </w:t>
      </w:r>
      <w:r w:rsidRPr="008B3EA4">
        <w:rPr>
          <w:sz w:val="24"/>
          <w:szCs w:val="24"/>
        </w:rPr>
        <w:t xml:space="preserve">explicit terms of the Columbia CEP </w:t>
      </w:r>
      <w:r w:rsidRPr="008B3EA4" w:rsidR="00707CA7">
        <w:rPr>
          <w:sz w:val="24"/>
          <w:szCs w:val="24"/>
        </w:rPr>
        <w:t>S</w:t>
      </w:r>
      <w:r w:rsidRPr="008B3EA4" w:rsidR="00733252">
        <w:rPr>
          <w:sz w:val="24"/>
          <w:szCs w:val="24"/>
        </w:rPr>
        <w:t xml:space="preserve">ettlement </w:t>
      </w:r>
      <w:r w:rsidRPr="008B3EA4" w:rsidR="00707CA7">
        <w:rPr>
          <w:sz w:val="24"/>
          <w:szCs w:val="24"/>
        </w:rPr>
        <w:t>A</w:t>
      </w:r>
      <w:r w:rsidRPr="008B3EA4" w:rsidR="00733252">
        <w:rPr>
          <w:sz w:val="24"/>
          <w:szCs w:val="24"/>
        </w:rPr>
        <w:t xml:space="preserve">greement and be inconsistent </w:t>
      </w:r>
      <w:r w:rsidRPr="008B3EA4" w:rsidR="00235BBE">
        <w:rPr>
          <w:sz w:val="24"/>
          <w:szCs w:val="24"/>
        </w:rPr>
        <w:t>with both</w:t>
      </w:r>
      <w:r w:rsidRPr="008B3EA4" w:rsidR="004D6503">
        <w:rPr>
          <w:sz w:val="24"/>
          <w:szCs w:val="24"/>
        </w:rPr>
        <w:t xml:space="preserve"> </w:t>
      </w:r>
      <w:r w:rsidRPr="008B3EA4" w:rsidR="00733252">
        <w:rPr>
          <w:sz w:val="24"/>
          <w:szCs w:val="24"/>
        </w:rPr>
        <w:t>the PUCO order adopting the agreement</w:t>
      </w:r>
      <w:r w:rsidRPr="008B3EA4" w:rsidR="002D7D8F">
        <w:rPr>
          <w:sz w:val="24"/>
          <w:szCs w:val="24"/>
        </w:rPr>
        <w:t xml:space="preserve"> and </w:t>
      </w:r>
      <w:r w:rsidRPr="008B3EA4" w:rsidR="000B63F7">
        <w:rPr>
          <w:sz w:val="24"/>
          <w:szCs w:val="24"/>
        </w:rPr>
        <w:t xml:space="preserve">the </w:t>
      </w:r>
      <w:r w:rsidRPr="008B3EA4" w:rsidR="002D7D8F">
        <w:rPr>
          <w:sz w:val="24"/>
          <w:szCs w:val="24"/>
        </w:rPr>
        <w:t>Supreme Court of Ohio precedent</w:t>
      </w:r>
      <w:r w:rsidRPr="008B3EA4" w:rsidR="000B63F7">
        <w:rPr>
          <w:sz w:val="24"/>
          <w:szCs w:val="24"/>
        </w:rPr>
        <w:t xml:space="preserve"> on contract interpretation.</w:t>
      </w:r>
      <w:r w:rsidRPr="008B3EA4" w:rsidR="0081110B">
        <w:rPr>
          <w:sz w:val="24"/>
          <w:szCs w:val="24"/>
        </w:rPr>
        <w:t xml:space="preserve"> </w:t>
      </w:r>
      <w:r w:rsidRPr="008B3EA4" w:rsidR="002D7D8F">
        <w:rPr>
          <w:sz w:val="24"/>
          <w:szCs w:val="24"/>
        </w:rPr>
        <w:t xml:space="preserve">Accordingly, the PUCO should grant OCC’s motion and strike the </w:t>
      </w:r>
      <w:r w:rsidRPr="008B3EA4" w:rsidR="00197F57">
        <w:rPr>
          <w:sz w:val="24"/>
          <w:szCs w:val="24"/>
        </w:rPr>
        <w:t xml:space="preserve">improper </w:t>
      </w:r>
      <w:r w:rsidRPr="008B3EA4" w:rsidR="00784597">
        <w:rPr>
          <w:sz w:val="24"/>
          <w:szCs w:val="24"/>
        </w:rPr>
        <w:t>Dominion</w:t>
      </w:r>
      <w:r w:rsidRPr="008B3EA4" w:rsidR="002D7D8F">
        <w:rPr>
          <w:sz w:val="24"/>
          <w:szCs w:val="24"/>
        </w:rPr>
        <w:t xml:space="preserve"> Testimony</w:t>
      </w:r>
      <w:r w:rsidRPr="008B3EA4" w:rsidR="000B63F7">
        <w:rPr>
          <w:sz w:val="24"/>
          <w:szCs w:val="24"/>
        </w:rPr>
        <w:t xml:space="preserve">. </w:t>
      </w:r>
    </w:p>
    <w:p w:rsidR="00405E45" w:rsidRPr="008B3EA4" w:rsidP="0081110B" w14:paraId="1428D0D7" w14:textId="0636E6B6">
      <w:pPr>
        <w:pStyle w:val="ListParagraph"/>
        <w:spacing w:after="240"/>
        <w:ind w:left="1440" w:hanging="720"/>
        <w:contextualSpacing w:val="0"/>
        <w:rPr>
          <w:b/>
          <w:sz w:val="24"/>
          <w:szCs w:val="24"/>
        </w:rPr>
      </w:pPr>
      <w:r w:rsidRPr="008B3EA4">
        <w:rPr>
          <w:b/>
          <w:sz w:val="24"/>
          <w:szCs w:val="24"/>
        </w:rPr>
        <w:t xml:space="preserve">C. </w:t>
      </w:r>
      <w:r w:rsidRPr="008B3EA4">
        <w:rPr>
          <w:b/>
          <w:sz w:val="24"/>
          <w:szCs w:val="24"/>
        </w:rPr>
        <w:tab/>
      </w:r>
      <w:r w:rsidRPr="008B3EA4" w:rsidR="005769EF">
        <w:rPr>
          <w:b/>
          <w:sz w:val="24"/>
          <w:szCs w:val="24"/>
        </w:rPr>
        <w:t xml:space="preserve">To </w:t>
      </w:r>
      <w:r w:rsidRPr="008B3EA4" w:rsidR="00AC4D80">
        <w:rPr>
          <w:b/>
          <w:sz w:val="24"/>
          <w:szCs w:val="24"/>
        </w:rPr>
        <w:t>p</w:t>
      </w:r>
      <w:r w:rsidRPr="008B3EA4" w:rsidR="005769EF">
        <w:rPr>
          <w:b/>
          <w:sz w:val="24"/>
          <w:szCs w:val="24"/>
        </w:rPr>
        <w:t xml:space="preserve">rotect </w:t>
      </w:r>
      <w:r w:rsidRPr="008B3EA4" w:rsidR="00AC4D80">
        <w:rPr>
          <w:b/>
          <w:sz w:val="24"/>
          <w:szCs w:val="24"/>
        </w:rPr>
        <w:t>c</w:t>
      </w:r>
      <w:r w:rsidRPr="008B3EA4" w:rsidR="005769EF">
        <w:rPr>
          <w:b/>
          <w:sz w:val="24"/>
          <w:szCs w:val="24"/>
        </w:rPr>
        <w:t>onsumers, t</w:t>
      </w:r>
      <w:r w:rsidRPr="008B3EA4" w:rsidR="00567740">
        <w:rPr>
          <w:b/>
          <w:sz w:val="24"/>
          <w:szCs w:val="24"/>
        </w:rPr>
        <w:t xml:space="preserve">he PUCO should </w:t>
      </w:r>
      <w:r w:rsidRPr="008B3EA4" w:rsidR="00AC4D80">
        <w:rPr>
          <w:b/>
          <w:sz w:val="24"/>
          <w:szCs w:val="24"/>
        </w:rPr>
        <w:t>g</w:t>
      </w:r>
      <w:r w:rsidRPr="008B3EA4" w:rsidR="00567740">
        <w:rPr>
          <w:b/>
          <w:sz w:val="24"/>
          <w:szCs w:val="24"/>
        </w:rPr>
        <w:t xml:space="preserve">rant </w:t>
      </w:r>
      <w:r w:rsidRPr="008B3EA4" w:rsidR="00AC4D80">
        <w:rPr>
          <w:b/>
          <w:sz w:val="24"/>
          <w:szCs w:val="24"/>
        </w:rPr>
        <w:t>the joint</w:t>
      </w:r>
      <w:r w:rsidRPr="008B3EA4" w:rsidR="00567740">
        <w:rPr>
          <w:b/>
          <w:sz w:val="24"/>
          <w:szCs w:val="24"/>
        </w:rPr>
        <w:t xml:space="preserve"> </w:t>
      </w:r>
      <w:r w:rsidRPr="008B3EA4" w:rsidR="00AC4D80">
        <w:rPr>
          <w:b/>
          <w:sz w:val="24"/>
          <w:szCs w:val="24"/>
        </w:rPr>
        <w:t>m</w:t>
      </w:r>
      <w:r w:rsidRPr="008B3EA4" w:rsidR="00567740">
        <w:rPr>
          <w:b/>
          <w:sz w:val="24"/>
          <w:szCs w:val="24"/>
        </w:rPr>
        <w:t xml:space="preserve">otion because </w:t>
      </w:r>
      <w:r w:rsidRPr="008B3EA4" w:rsidR="00AC4D80">
        <w:rPr>
          <w:b/>
          <w:sz w:val="24"/>
          <w:szCs w:val="24"/>
        </w:rPr>
        <w:t>a</w:t>
      </w:r>
      <w:r w:rsidRPr="008B3EA4" w:rsidR="00E36A52">
        <w:rPr>
          <w:b/>
          <w:sz w:val="24"/>
          <w:szCs w:val="24"/>
        </w:rPr>
        <w:t xml:space="preserve">llowing </w:t>
      </w:r>
      <w:r w:rsidRPr="008B3EA4">
        <w:rPr>
          <w:b/>
          <w:sz w:val="24"/>
          <w:szCs w:val="24"/>
        </w:rPr>
        <w:t xml:space="preserve">the </w:t>
      </w:r>
      <w:r w:rsidRPr="008B3EA4" w:rsidR="00AC4D80">
        <w:rPr>
          <w:b/>
          <w:sz w:val="24"/>
          <w:szCs w:val="24"/>
        </w:rPr>
        <w:t>i</w:t>
      </w:r>
      <w:r w:rsidRPr="008B3EA4" w:rsidR="00784597">
        <w:rPr>
          <w:b/>
          <w:sz w:val="24"/>
          <w:szCs w:val="24"/>
        </w:rPr>
        <w:t>mproper Dominion</w:t>
      </w:r>
      <w:r w:rsidRPr="008B3EA4">
        <w:rPr>
          <w:b/>
          <w:sz w:val="24"/>
          <w:szCs w:val="24"/>
        </w:rPr>
        <w:t xml:space="preserve"> </w:t>
      </w:r>
      <w:r w:rsidRPr="008B3EA4" w:rsidR="00567740">
        <w:rPr>
          <w:b/>
          <w:sz w:val="24"/>
          <w:szCs w:val="24"/>
        </w:rPr>
        <w:t xml:space="preserve">Testimony </w:t>
      </w:r>
      <w:r w:rsidRPr="008B3EA4" w:rsidR="00784597">
        <w:rPr>
          <w:b/>
          <w:sz w:val="24"/>
          <w:szCs w:val="24"/>
        </w:rPr>
        <w:t xml:space="preserve">to </w:t>
      </w:r>
      <w:r w:rsidRPr="008B3EA4" w:rsidR="00AC4D80">
        <w:rPr>
          <w:b/>
          <w:sz w:val="24"/>
          <w:szCs w:val="24"/>
        </w:rPr>
        <w:t>s</w:t>
      </w:r>
      <w:r w:rsidRPr="008B3EA4" w:rsidR="00784597">
        <w:rPr>
          <w:b/>
          <w:sz w:val="24"/>
          <w:szCs w:val="24"/>
        </w:rPr>
        <w:t xml:space="preserve">tand </w:t>
      </w:r>
      <w:r w:rsidRPr="008B3EA4" w:rsidR="00567740">
        <w:rPr>
          <w:b/>
          <w:sz w:val="24"/>
          <w:szCs w:val="24"/>
        </w:rPr>
        <w:t xml:space="preserve">would </w:t>
      </w:r>
      <w:r w:rsidRPr="008B3EA4" w:rsidR="00AC4D80">
        <w:rPr>
          <w:b/>
          <w:sz w:val="24"/>
          <w:szCs w:val="24"/>
        </w:rPr>
        <w:t>u</w:t>
      </w:r>
      <w:r w:rsidRPr="008B3EA4" w:rsidR="00567740">
        <w:rPr>
          <w:b/>
          <w:sz w:val="24"/>
          <w:szCs w:val="24"/>
        </w:rPr>
        <w:t xml:space="preserve">ndermine </w:t>
      </w:r>
      <w:r w:rsidRPr="008B3EA4">
        <w:rPr>
          <w:b/>
          <w:sz w:val="24"/>
          <w:szCs w:val="24"/>
        </w:rPr>
        <w:t xml:space="preserve">the PUCO’s </w:t>
      </w:r>
      <w:r w:rsidRPr="008B3EA4" w:rsidR="00AC4D80">
        <w:rPr>
          <w:b/>
          <w:sz w:val="24"/>
          <w:szCs w:val="24"/>
        </w:rPr>
        <w:t>s</w:t>
      </w:r>
      <w:r w:rsidRPr="008B3EA4">
        <w:rPr>
          <w:b/>
          <w:sz w:val="24"/>
          <w:szCs w:val="24"/>
        </w:rPr>
        <w:t xml:space="preserve">ettlement </w:t>
      </w:r>
      <w:r w:rsidRPr="008B3EA4" w:rsidR="00AC4D80">
        <w:rPr>
          <w:b/>
          <w:sz w:val="24"/>
          <w:szCs w:val="24"/>
        </w:rPr>
        <w:t>p</w:t>
      </w:r>
      <w:r w:rsidRPr="008B3EA4">
        <w:rPr>
          <w:b/>
          <w:sz w:val="24"/>
          <w:szCs w:val="24"/>
        </w:rPr>
        <w:t xml:space="preserve">rocess. </w:t>
      </w:r>
    </w:p>
    <w:p w:rsidR="00E36A52" w:rsidRPr="008B3EA4" w:rsidP="00405E45" w14:paraId="7CE092CE" w14:textId="01BD99C3">
      <w:pPr>
        <w:autoSpaceDE w:val="0"/>
        <w:autoSpaceDN w:val="0"/>
        <w:adjustRightInd w:val="0"/>
        <w:spacing w:line="480" w:lineRule="auto"/>
        <w:ind w:firstLine="720"/>
        <w:rPr>
          <w:sz w:val="24"/>
          <w:szCs w:val="24"/>
        </w:rPr>
      </w:pPr>
      <w:r w:rsidRPr="008B3EA4">
        <w:rPr>
          <w:sz w:val="24"/>
          <w:szCs w:val="24"/>
        </w:rPr>
        <w:t xml:space="preserve">Ohio Adm. Code 4901-1-30 authorizes parties to PUCO proceedings to enter into a </w:t>
      </w:r>
      <w:r w:rsidRPr="008B3EA4" w:rsidR="005769EF">
        <w:rPr>
          <w:sz w:val="24"/>
          <w:szCs w:val="24"/>
        </w:rPr>
        <w:t>settlement</w:t>
      </w:r>
      <w:r w:rsidRPr="008B3EA4">
        <w:rPr>
          <w:sz w:val="24"/>
          <w:szCs w:val="24"/>
        </w:rPr>
        <w:t>.</w:t>
      </w:r>
      <w:r w:rsidRPr="008B3EA4" w:rsidR="0081110B">
        <w:rPr>
          <w:sz w:val="24"/>
          <w:szCs w:val="24"/>
        </w:rPr>
        <w:t xml:space="preserve"> </w:t>
      </w:r>
      <w:r w:rsidRPr="008B3EA4" w:rsidR="00AC4D80">
        <w:rPr>
          <w:sz w:val="24"/>
          <w:szCs w:val="24"/>
        </w:rPr>
        <w:t xml:space="preserve"> </w:t>
      </w:r>
      <w:r w:rsidRPr="008B3EA4">
        <w:rPr>
          <w:sz w:val="24"/>
          <w:szCs w:val="24"/>
        </w:rPr>
        <w:t xml:space="preserve">This </w:t>
      </w:r>
      <w:r w:rsidRPr="008B3EA4" w:rsidR="005D20F8">
        <w:rPr>
          <w:sz w:val="24"/>
          <w:szCs w:val="24"/>
        </w:rPr>
        <w:t xml:space="preserve">settlement process </w:t>
      </w:r>
      <w:r w:rsidRPr="008B3EA4" w:rsidR="00872FE7">
        <w:rPr>
          <w:sz w:val="24"/>
          <w:szCs w:val="24"/>
        </w:rPr>
        <w:t xml:space="preserve">may </w:t>
      </w:r>
      <w:r w:rsidRPr="008B3EA4" w:rsidR="005D20F8">
        <w:rPr>
          <w:sz w:val="24"/>
          <w:szCs w:val="24"/>
        </w:rPr>
        <w:t>facilitate</w:t>
      </w:r>
      <w:r w:rsidRPr="008B3EA4" w:rsidR="00872FE7">
        <w:rPr>
          <w:sz w:val="24"/>
          <w:szCs w:val="24"/>
        </w:rPr>
        <w:t xml:space="preserve"> mutually beneficial resolutions for</w:t>
      </w:r>
      <w:r w:rsidRPr="008B3EA4" w:rsidR="005D20F8">
        <w:rPr>
          <w:sz w:val="24"/>
          <w:szCs w:val="24"/>
        </w:rPr>
        <w:t xml:space="preserve"> </w:t>
      </w:r>
      <w:r w:rsidRPr="008B3EA4" w:rsidR="00AB3850">
        <w:rPr>
          <w:sz w:val="24"/>
          <w:szCs w:val="24"/>
        </w:rPr>
        <w:t xml:space="preserve">parties in proceedings before the PUCO </w:t>
      </w:r>
      <w:r w:rsidRPr="008B3EA4" w:rsidR="004E2FE4">
        <w:rPr>
          <w:sz w:val="24"/>
          <w:szCs w:val="24"/>
        </w:rPr>
        <w:t xml:space="preserve">without </w:t>
      </w:r>
      <w:r w:rsidRPr="008B3EA4" w:rsidR="005D20F8">
        <w:rPr>
          <w:sz w:val="24"/>
          <w:szCs w:val="24"/>
        </w:rPr>
        <w:t xml:space="preserve">the </w:t>
      </w:r>
      <w:r w:rsidRPr="008B3EA4" w:rsidR="004E2FE4">
        <w:rPr>
          <w:sz w:val="24"/>
          <w:szCs w:val="24"/>
        </w:rPr>
        <w:t>ex</w:t>
      </w:r>
      <w:r w:rsidRPr="008B3EA4" w:rsidR="005D20F8">
        <w:rPr>
          <w:sz w:val="24"/>
          <w:szCs w:val="24"/>
        </w:rPr>
        <w:t xml:space="preserve">pense of </w:t>
      </w:r>
      <w:r w:rsidRPr="008B3EA4" w:rsidR="004E2FE4">
        <w:rPr>
          <w:sz w:val="24"/>
          <w:szCs w:val="24"/>
        </w:rPr>
        <w:t>additional</w:t>
      </w:r>
      <w:r w:rsidRPr="008B3EA4" w:rsidR="005D20F8">
        <w:rPr>
          <w:sz w:val="24"/>
          <w:szCs w:val="24"/>
        </w:rPr>
        <w:t xml:space="preserve"> private or public</w:t>
      </w:r>
      <w:r w:rsidRPr="008B3EA4" w:rsidR="004E2FE4">
        <w:rPr>
          <w:sz w:val="24"/>
          <w:szCs w:val="24"/>
        </w:rPr>
        <w:t xml:space="preserve"> resources on evidentiary hearings</w:t>
      </w:r>
      <w:r w:rsidRPr="008B3EA4" w:rsidR="00872FE7">
        <w:rPr>
          <w:sz w:val="24"/>
          <w:szCs w:val="24"/>
        </w:rPr>
        <w:t>.</w:t>
      </w:r>
      <w:r w:rsidRPr="008B3EA4" w:rsidR="0081110B">
        <w:rPr>
          <w:sz w:val="24"/>
          <w:szCs w:val="24"/>
        </w:rPr>
        <w:t xml:space="preserve"> </w:t>
      </w:r>
      <w:r w:rsidRPr="008B3EA4" w:rsidR="00AC4D80">
        <w:rPr>
          <w:sz w:val="24"/>
          <w:szCs w:val="24"/>
        </w:rPr>
        <w:t xml:space="preserve"> </w:t>
      </w:r>
      <w:r w:rsidRPr="008B3EA4">
        <w:rPr>
          <w:sz w:val="24"/>
          <w:szCs w:val="24"/>
        </w:rPr>
        <w:t xml:space="preserve">Although not binding on the </w:t>
      </w:r>
      <w:r w:rsidRPr="008B3EA4" w:rsidR="005769EF">
        <w:rPr>
          <w:sz w:val="24"/>
          <w:szCs w:val="24"/>
        </w:rPr>
        <w:t>PUCO</w:t>
      </w:r>
      <w:r w:rsidRPr="008B3EA4">
        <w:rPr>
          <w:sz w:val="24"/>
          <w:szCs w:val="24"/>
        </w:rPr>
        <w:t>, the terms of such an agreement are accorded substantial weight.</w:t>
      </w:r>
      <w:r>
        <w:rPr>
          <w:rStyle w:val="FootnoteReference"/>
          <w:sz w:val="24"/>
          <w:szCs w:val="24"/>
        </w:rPr>
        <w:footnoteReference w:id="14"/>
      </w:r>
      <w:r w:rsidRPr="008B3EA4" w:rsidR="0081110B">
        <w:rPr>
          <w:sz w:val="24"/>
          <w:szCs w:val="24"/>
        </w:rPr>
        <w:t xml:space="preserve"> </w:t>
      </w:r>
      <w:r w:rsidRPr="008B3EA4" w:rsidR="00AC4D80">
        <w:rPr>
          <w:sz w:val="24"/>
          <w:szCs w:val="24"/>
        </w:rPr>
        <w:t xml:space="preserve"> </w:t>
      </w:r>
      <w:r w:rsidRPr="008B3EA4" w:rsidR="00405E45">
        <w:rPr>
          <w:sz w:val="24"/>
          <w:szCs w:val="24"/>
        </w:rPr>
        <w:t>The ultimate issue for the PUCO’</w:t>
      </w:r>
      <w:r w:rsidRPr="008B3EA4">
        <w:rPr>
          <w:sz w:val="24"/>
          <w:szCs w:val="24"/>
        </w:rPr>
        <w:t xml:space="preserve">s consideration is whether </w:t>
      </w:r>
      <w:r w:rsidRPr="008B3EA4" w:rsidR="00784597">
        <w:rPr>
          <w:sz w:val="24"/>
          <w:szCs w:val="24"/>
        </w:rPr>
        <w:t xml:space="preserve">a settlement </w:t>
      </w:r>
      <w:r w:rsidRPr="008B3EA4">
        <w:rPr>
          <w:sz w:val="24"/>
          <w:szCs w:val="24"/>
        </w:rPr>
        <w:t>agreement, which embodies considerable time and effort by the signatory parties, is reasonable and should be adopted.</w:t>
      </w:r>
      <w:r w:rsidRPr="008B3EA4" w:rsidR="0081110B">
        <w:rPr>
          <w:sz w:val="24"/>
          <w:szCs w:val="24"/>
        </w:rPr>
        <w:t xml:space="preserve"> </w:t>
      </w:r>
      <w:r w:rsidRPr="008B3EA4" w:rsidR="00AC4D80">
        <w:rPr>
          <w:sz w:val="24"/>
          <w:szCs w:val="24"/>
        </w:rPr>
        <w:t xml:space="preserve"> </w:t>
      </w:r>
      <w:r w:rsidRPr="008B3EA4">
        <w:rPr>
          <w:sz w:val="24"/>
          <w:szCs w:val="24"/>
        </w:rPr>
        <w:t xml:space="preserve">In considering the reasonableness of a </w:t>
      </w:r>
      <w:r w:rsidRPr="008B3EA4" w:rsidR="005769EF">
        <w:rPr>
          <w:sz w:val="24"/>
          <w:szCs w:val="24"/>
        </w:rPr>
        <w:t>settlement</w:t>
      </w:r>
      <w:r w:rsidRPr="008B3EA4">
        <w:rPr>
          <w:sz w:val="24"/>
          <w:szCs w:val="24"/>
        </w:rPr>
        <w:t xml:space="preserve">, the </w:t>
      </w:r>
      <w:r w:rsidRPr="008B3EA4" w:rsidR="00B303CD">
        <w:rPr>
          <w:sz w:val="24"/>
          <w:szCs w:val="24"/>
        </w:rPr>
        <w:t xml:space="preserve">PUCO </w:t>
      </w:r>
      <w:r w:rsidRPr="008B3EA4">
        <w:rPr>
          <w:sz w:val="24"/>
          <w:szCs w:val="24"/>
        </w:rPr>
        <w:t>has used the following criteria:</w:t>
      </w:r>
    </w:p>
    <w:p w:rsidR="00E36A52" w:rsidRPr="008B3EA4" w:rsidP="000136A4" w14:paraId="4E6CECB6" w14:textId="0E46F0D7">
      <w:pPr>
        <w:autoSpaceDE w:val="0"/>
        <w:autoSpaceDN w:val="0"/>
        <w:adjustRightInd w:val="0"/>
        <w:spacing w:after="120"/>
        <w:ind w:left="1440" w:right="720" w:hanging="720"/>
        <w:rPr>
          <w:sz w:val="24"/>
          <w:szCs w:val="24"/>
        </w:rPr>
      </w:pPr>
      <w:r w:rsidRPr="008B3EA4">
        <w:rPr>
          <w:sz w:val="24"/>
          <w:szCs w:val="24"/>
        </w:rPr>
        <w:t xml:space="preserve">(1) </w:t>
      </w:r>
      <w:r w:rsidRPr="008B3EA4" w:rsidR="000136A4">
        <w:rPr>
          <w:sz w:val="24"/>
          <w:szCs w:val="24"/>
        </w:rPr>
        <w:tab/>
      </w:r>
      <w:r w:rsidRPr="008B3EA4">
        <w:rPr>
          <w:sz w:val="24"/>
          <w:szCs w:val="24"/>
        </w:rPr>
        <w:t>Is the settlement a product of serious bargaining among capable, knowledgeable parties?</w:t>
      </w:r>
    </w:p>
    <w:p w:rsidR="00E36A52" w:rsidRPr="008B3EA4" w:rsidP="000136A4" w14:paraId="43C1CFF8" w14:textId="52921FB4">
      <w:pPr>
        <w:autoSpaceDE w:val="0"/>
        <w:autoSpaceDN w:val="0"/>
        <w:adjustRightInd w:val="0"/>
        <w:spacing w:after="120"/>
        <w:ind w:left="1440" w:right="720" w:hanging="720"/>
        <w:rPr>
          <w:sz w:val="24"/>
          <w:szCs w:val="24"/>
        </w:rPr>
      </w:pPr>
      <w:r w:rsidRPr="008B3EA4">
        <w:rPr>
          <w:sz w:val="24"/>
          <w:szCs w:val="24"/>
        </w:rPr>
        <w:t xml:space="preserve">(2) </w:t>
      </w:r>
      <w:r w:rsidRPr="008B3EA4" w:rsidR="000136A4">
        <w:rPr>
          <w:sz w:val="24"/>
          <w:szCs w:val="24"/>
        </w:rPr>
        <w:tab/>
      </w:r>
      <w:r w:rsidRPr="008B3EA4">
        <w:rPr>
          <w:sz w:val="24"/>
          <w:szCs w:val="24"/>
        </w:rPr>
        <w:t>Does the settlement, as a package, benefit ratepayers and the public interest?</w:t>
      </w:r>
    </w:p>
    <w:p w:rsidR="00E36A52" w:rsidRPr="008B3EA4" w:rsidP="000136A4" w14:paraId="7D542C5D" w14:textId="4AD70DB0">
      <w:pPr>
        <w:autoSpaceDE w:val="0"/>
        <w:autoSpaceDN w:val="0"/>
        <w:adjustRightInd w:val="0"/>
        <w:spacing w:after="240"/>
        <w:ind w:left="1440" w:right="720" w:hanging="720"/>
        <w:rPr>
          <w:sz w:val="24"/>
          <w:szCs w:val="24"/>
        </w:rPr>
      </w:pPr>
      <w:r w:rsidRPr="008B3EA4">
        <w:rPr>
          <w:sz w:val="24"/>
          <w:szCs w:val="24"/>
        </w:rPr>
        <w:t xml:space="preserve">(3) </w:t>
      </w:r>
      <w:r w:rsidRPr="008B3EA4" w:rsidR="000136A4">
        <w:rPr>
          <w:sz w:val="24"/>
          <w:szCs w:val="24"/>
        </w:rPr>
        <w:tab/>
      </w:r>
      <w:r w:rsidRPr="008B3EA4">
        <w:rPr>
          <w:sz w:val="24"/>
          <w:szCs w:val="24"/>
        </w:rPr>
        <w:t>Does the settlement package violate any important regulatory principle or practice?</w:t>
      </w:r>
      <w:r>
        <w:rPr>
          <w:rStyle w:val="FootnoteReference"/>
          <w:sz w:val="24"/>
          <w:szCs w:val="24"/>
        </w:rPr>
        <w:footnoteReference w:id="15"/>
      </w:r>
    </w:p>
    <w:p w:rsidR="00781B8F" w:rsidRPr="008B3EA4" w:rsidP="00781B8F" w14:paraId="65057104" w14:textId="77777777">
      <w:pPr>
        <w:spacing w:line="480" w:lineRule="auto"/>
        <w:rPr>
          <w:sz w:val="24"/>
          <w:szCs w:val="24"/>
        </w:rPr>
      </w:pPr>
      <w:r w:rsidRPr="008B3EA4">
        <w:rPr>
          <w:sz w:val="24"/>
          <w:szCs w:val="24"/>
        </w:rPr>
        <w:t xml:space="preserve">The Supreme Court of Ohio has endorsed the PUCO's analysis using these criteria to resolve issues in a manner economical to </w:t>
      </w:r>
      <w:r w:rsidRPr="008B3EA4" w:rsidR="005769EF">
        <w:rPr>
          <w:sz w:val="24"/>
          <w:szCs w:val="24"/>
        </w:rPr>
        <w:t xml:space="preserve">consumers </w:t>
      </w:r>
      <w:r w:rsidRPr="008B3EA4">
        <w:rPr>
          <w:sz w:val="24"/>
          <w:szCs w:val="24"/>
        </w:rPr>
        <w:t>and public utilities</w:t>
      </w:r>
      <w:r w:rsidRPr="008B3EA4" w:rsidR="00B303CD">
        <w:rPr>
          <w:sz w:val="24"/>
          <w:szCs w:val="24"/>
        </w:rPr>
        <w:t>.</w:t>
      </w:r>
      <w:r>
        <w:rPr>
          <w:rStyle w:val="FootnoteReference"/>
          <w:sz w:val="24"/>
          <w:szCs w:val="24"/>
        </w:rPr>
        <w:footnoteReference w:id="16"/>
      </w:r>
      <w:r w:rsidRPr="008B3EA4" w:rsidR="0081110B">
        <w:rPr>
          <w:sz w:val="24"/>
          <w:szCs w:val="24"/>
        </w:rPr>
        <w:t xml:space="preserve"> </w:t>
      </w:r>
    </w:p>
    <w:p w:rsidR="005769EF" w:rsidRPr="008B3EA4" w:rsidP="00AC4D80" w14:paraId="58244389" w14:textId="033D87BF">
      <w:pPr>
        <w:spacing w:line="480" w:lineRule="auto"/>
        <w:ind w:firstLine="720"/>
        <w:rPr>
          <w:sz w:val="24"/>
          <w:szCs w:val="24"/>
        </w:rPr>
      </w:pPr>
      <w:r w:rsidRPr="008B3EA4">
        <w:rPr>
          <w:sz w:val="24"/>
          <w:szCs w:val="24"/>
        </w:rPr>
        <w:t xml:space="preserve">A critical feature of the settlement process is allowing parties to negotiate their own terms </w:t>
      </w:r>
      <w:r w:rsidRPr="008B3EA4" w:rsidR="00197F57">
        <w:rPr>
          <w:sz w:val="24"/>
          <w:szCs w:val="24"/>
        </w:rPr>
        <w:t xml:space="preserve">and then seek </w:t>
      </w:r>
      <w:r w:rsidRPr="008B3EA4">
        <w:rPr>
          <w:sz w:val="24"/>
          <w:szCs w:val="24"/>
        </w:rPr>
        <w:t>PUCO approval</w:t>
      </w:r>
      <w:r w:rsidRPr="008B3EA4" w:rsidR="00197F57">
        <w:rPr>
          <w:sz w:val="24"/>
          <w:szCs w:val="24"/>
        </w:rPr>
        <w:t xml:space="preserve"> of those terms</w:t>
      </w:r>
      <w:r w:rsidRPr="008B3EA4">
        <w:rPr>
          <w:sz w:val="24"/>
          <w:szCs w:val="24"/>
        </w:rPr>
        <w:t>.</w:t>
      </w:r>
      <w:r w:rsidRPr="008B3EA4" w:rsidR="0081110B">
        <w:rPr>
          <w:sz w:val="24"/>
          <w:szCs w:val="24"/>
        </w:rPr>
        <w:t xml:space="preserve"> </w:t>
      </w:r>
      <w:r w:rsidRPr="008B3EA4" w:rsidR="00AC4D80">
        <w:rPr>
          <w:sz w:val="24"/>
          <w:szCs w:val="24"/>
        </w:rPr>
        <w:t xml:space="preserve"> </w:t>
      </w:r>
      <w:r w:rsidRPr="008B3EA4">
        <w:rPr>
          <w:sz w:val="24"/>
          <w:szCs w:val="24"/>
        </w:rPr>
        <w:t>Without the assurance that the PUCO will enforce provisions</w:t>
      </w:r>
      <w:r w:rsidRPr="008B3EA4" w:rsidR="00567740">
        <w:rPr>
          <w:sz w:val="24"/>
          <w:szCs w:val="24"/>
        </w:rPr>
        <w:t xml:space="preserve"> that</w:t>
      </w:r>
      <w:r w:rsidRPr="008B3EA4" w:rsidR="00B303CD">
        <w:rPr>
          <w:sz w:val="24"/>
          <w:szCs w:val="24"/>
        </w:rPr>
        <w:t xml:space="preserve"> it approves, parties would have significantly less incentive to negotiate</w:t>
      </w:r>
      <w:r w:rsidRPr="008B3EA4" w:rsidR="00784597">
        <w:rPr>
          <w:sz w:val="24"/>
          <w:szCs w:val="24"/>
        </w:rPr>
        <w:t xml:space="preserve"> and </w:t>
      </w:r>
      <w:r w:rsidRPr="008B3EA4" w:rsidR="00197F57">
        <w:rPr>
          <w:sz w:val="24"/>
          <w:szCs w:val="24"/>
        </w:rPr>
        <w:t>s</w:t>
      </w:r>
      <w:r w:rsidRPr="008B3EA4" w:rsidR="00784597">
        <w:rPr>
          <w:sz w:val="24"/>
          <w:szCs w:val="24"/>
        </w:rPr>
        <w:t>ettle cases</w:t>
      </w:r>
      <w:r w:rsidRPr="008B3EA4" w:rsidR="00B303CD">
        <w:rPr>
          <w:sz w:val="24"/>
          <w:szCs w:val="24"/>
        </w:rPr>
        <w:t>.</w:t>
      </w:r>
      <w:r w:rsidRPr="008B3EA4" w:rsidR="0081110B">
        <w:rPr>
          <w:sz w:val="24"/>
          <w:szCs w:val="24"/>
        </w:rPr>
        <w:t xml:space="preserve"> </w:t>
      </w:r>
      <w:r w:rsidRPr="008B3EA4" w:rsidR="00AC4D80">
        <w:rPr>
          <w:sz w:val="24"/>
          <w:szCs w:val="24"/>
        </w:rPr>
        <w:t xml:space="preserve"> </w:t>
      </w:r>
      <w:r w:rsidRPr="008B3EA4" w:rsidR="00197F57">
        <w:rPr>
          <w:sz w:val="24"/>
          <w:szCs w:val="24"/>
        </w:rPr>
        <w:t xml:space="preserve">Additionally, allowing a prior settlement negotiated by parties in a separate and distinct proceeding to be used against them in a separate, unrelated proceeding regarding different utilities and under different facts and circumstances </w:t>
      </w:r>
      <w:r w:rsidRPr="008B3EA4">
        <w:rPr>
          <w:sz w:val="24"/>
          <w:szCs w:val="24"/>
        </w:rPr>
        <w:t xml:space="preserve">would </w:t>
      </w:r>
      <w:r w:rsidRPr="008B3EA4" w:rsidR="00AC4D80">
        <w:rPr>
          <w:sz w:val="24"/>
          <w:szCs w:val="24"/>
        </w:rPr>
        <w:t xml:space="preserve">undermine </w:t>
      </w:r>
      <w:r w:rsidRPr="008B3EA4">
        <w:rPr>
          <w:sz w:val="24"/>
          <w:szCs w:val="24"/>
        </w:rPr>
        <w:t>parties’ ability</w:t>
      </w:r>
      <w:r w:rsidRPr="008B3EA4" w:rsidR="00AC4D80">
        <w:rPr>
          <w:sz w:val="24"/>
          <w:szCs w:val="24"/>
        </w:rPr>
        <w:t xml:space="preserve"> and willingness</w:t>
      </w:r>
      <w:r w:rsidRPr="008B3EA4">
        <w:rPr>
          <w:sz w:val="24"/>
          <w:szCs w:val="24"/>
        </w:rPr>
        <w:t xml:space="preserve"> to </w:t>
      </w:r>
      <w:r w:rsidRPr="008B3EA4" w:rsidR="00197F57">
        <w:rPr>
          <w:sz w:val="24"/>
          <w:szCs w:val="24"/>
        </w:rPr>
        <w:t>enter into settlements.</w:t>
      </w:r>
      <w:r w:rsidRPr="008B3EA4" w:rsidR="0081110B">
        <w:rPr>
          <w:sz w:val="24"/>
          <w:szCs w:val="24"/>
        </w:rPr>
        <w:t xml:space="preserve"> </w:t>
      </w:r>
    </w:p>
    <w:p w:rsidR="00943C7B" w:rsidRPr="008B3EA4" w:rsidP="0081110B" w14:paraId="1BF6377D" w14:textId="4FC87458">
      <w:pPr>
        <w:spacing w:line="480" w:lineRule="auto"/>
        <w:ind w:firstLine="720"/>
        <w:rPr>
          <w:sz w:val="24"/>
          <w:szCs w:val="24"/>
        </w:rPr>
      </w:pPr>
      <w:r w:rsidRPr="008B3EA4">
        <w:rPr>
          <w:sz w:val="24"/>
          <w:szCs w:val="24"/>
        </w:rPr>
        <w:t xml:space="preserve">In the interest of </w:t>
      </w:r>
      <w:r w:rsidRPr="008B3EA4" w:rsidR="00B303CD">
        <w:rPr>
          <w:sz w:val="24"/>
          <w:szCs w:val="24"/>
        </w:rPr>
        <w:t>upholding the</w:t>
      </w:r>
      <w:r w:rsidRPr="008B3EA4">
        <w:rPr>
          <w:sz w:val="24"/>
          <w:szCs w:val="24"/>
        </w:rPr>
        <w:t xml:space="preserve"> efficiency</w:t>
      </w:r>
      <w:r w:rsidRPr="008B3EA4" w:rsidR="00B303CD">
        <w:rPr>
          <w:sz w:val="24"/>
          <w:szCs w:val="24"/>
        </w:rPr>
        <w:t xml:space="preserve"> </w:t>
      </w:r>
      <w:r w:rsidRPr="008B3EA4" w:rsidR="00784597">
        <w:rPr>
          <w:sz w:val="24"/>
          <w:szCs w:val="24"/>
        </w:rPr>
        <w:t xml:space="preserve">and sanctity </w:t>
      </w:r>
      <w:r w:rsidRPr="008B3EA4" w:rsidR="00B303CD">
        <w:rPr>
          <w:sz w:val="24"/>
          <w:szCs w:val="24"/>
        </w:rPr>
        <w:t>of the settlement process</w:t>
      </w:r>
      <w:r w:rsidRPr="008B3EA4">
        <w:rPr>
          <w:sz w:val="24"/>
          <w:szCs w:val="24"/>
        </w:rPr>
        <w:t xml:space="preserve">, the PUCO should enforce the terms of the Columbia CEP </w:t>
      </w:r>
      <w:r w:rsidRPr="008B3EA4" w:rsidR="00707CA7">
        <w:rPr>
          <w:sz w:val="24"/>
          <w:szCs w:val="24"/>
        </w:rPr>
        <w:t>S</w:t>
      </w:r>
      <w:r w:rsidRPr="008B3EA4">
        <w:rPr>
          <w:sz w:val="24"/>
          <w:szCs w:val="24"/>
        </w:rPr>
        <w:t xml:space="preserve">ettlement </w:t>
      </w:r>
      <w:r w:rsidRPr="008B3EA4" w:rsidR="00707CA7">
        <w:rPr>
          <w:sz w:val="24"/>
          <w:szCs w:val="24"/>
        </w:rPr>
        <w:t>A</w:t>
      </w:r>
      <w:r w:rsidRPr="008B3EA4">
        <w:rPr>
          <w:sz w:val="24"/>
          <w:szCs w:val="24"/>
        </w:rPr>
        <w:t xml:space="preserve">greement and strike the </w:t>
      </w:r>
      <w:r w:rsidRPr="008B3EA4" w:rsidR="005769EF">
        <w:rPr>
          <w:sz w:val="24"/>
          <w:szCs w:val="24"/>
        </w:rPr>
        <w:t xml:space="preserve">identified portions of the </w:t>
      </w:r>
      <w:r w:rsidRPr="008B3EA4" w:rsidR="00784597">
        <w:rPr>
          <w:sz w:val="24"/>
          <w:szCs w:val="24"/>
        </w:rPr>
        <w:t>Dominion</w:t>
      </w:r>
      <w:r w:rsidRPr="008B3EA4">
        <w:rPr>
          <w:sz w:val="24"/>
          <w:szCs w:val="24"/>
        </w:rPr>
        <w:t xml:space="preserve"> Testimony. </w:t>
      </w:r>
    </w:p>
    <w:p w:rsidR="004A6116" w:rsidRPr="008B3EA4" w:rsidP="00FD7FE8" w14:paraId="39E9A700" w14:textId="4553A4B9">
      <w:pPr>
        <w:pStyle w:val="ListParagraph"/>
        <w:numPr>
          <w:ilvl w:val="0"/>
          <w:numId w:val="5"/>
        </w:numPr>
        <w:spacing w:line="480" w:lineRule="auto"/>
        <w:ind w:left="720"/>
        <w:contextualSpacing w:val="0"/>
        <w:rPr>
          <w:b/>
          <w:sz w:val="24"/>
          <w:szCs w:val="24"/>
        </w:rPr>
      </w:pPr>
      <w:r w:rsidRPr="008B3EA4">
        <w:rPr>
          <w:b/>
          <w:sz w:val="24"/>
          <w:szCs w:val="24"/>
        </w:rPr>
        <w:t>CONCLUSION</w:t>
      </w:r>
    </w:p>
    <w:p w:rsidR="00781B8F" w:rsidRPr="008B3EA4" w:rsidP="008765AB" w14:paraId="35884BB1" w14:textId="6A8D63A1">
      <w:pPr>
        <w:pStyle w:val="ListParagraph"/>
        <w:spacing w:line="480" w:lineRule="auto"/>
        <w:ind w:left="0" w:firstLine="720"/>
        <w:contextualSpacing w:val="0"/>
        <w:rPr>
          <w:sz w:val="24"/>
          <w:szCs w:val="24"/>
        </w:rPr>
      </w:pPr>
      <w:r w:rsidRPr="008B3EA4">
        <w:rPr>
          <w:sz w:val="24"/>
          <w:szCs w:val="24"/>
        </w:rPr>
        <w:t>Dominion attempts to put forth improper testimony before the PUCO that relies heavily on a settlement agreement that has little to do with this proceeding</w:t>
      </w:r>
      <w:r w:rsidRPr="008B3EA4" w:rsidR="00784597">
        <w:rPr>
          <w:sz w:val="24"/>
          <w:szCs w:val="24"/>
        </w:rPr>
        <w:t xml:space="preserve"> and involves different parties</w:t>
      </w:r>
      <w:r w:rsidRPr="008B3EA4" w:rsidR="00286198">
        <w:rPr>
          <w:sz w:val="24"/>
          <w:szCs w:val="24"/>
        </w:rPr>
        <w:t>.</w:t>
      </w:r>
      <w:r w:rsidRPr="008B3EA4" w:rsidR="0081110B">
        <w:rPr>
          <w:sz w:val="24"/>
          <w:szCs w:val="24"/>
        </w:rPr>
        <w:t xml:space="preserve"> </w:t>
      </w:r>
      <w:r w:rsidRPr="008B3EA4">
        <w:rPr>
          <w:sz w:val="24"/>
          <w:szCs w:val="24"/>
        </w:rPr>
        <w:t>In doing so</w:t>
      </w:r>
      <w:r w:rsidRPr="008B3EA4" w:rsidR="005E6216">
        <w:rPr>
          <w:sz w:val="24"/>
          <w:szCs w:val="24"/>
        </w:rPr>
        <w:t>,</w:t>
      </w:r>
      <w:r w:rsidRPr="008B3EA4">
        <w:rPr>
          <w:sz w:val="24"/>
          <w:szCs w:val="24"/>
        </w:rPr>
        <w:t xml:space="preserve"> Dominion is effectively asking </w:t>
      </w:r>
      <w:r w:rsidRPr="008B3EA4" w:rsidR="0002439C">
        <w:rPr>
          <w:sz w:val="24"/>
          <w:szCs w:val="24"/>
        </w:rPr>
        <w:t>that the</w:t>
      </w:r>
      <w:r w:rsidRPr="008B3EA4" w:rsidR="00580085">
        <w:rPr>
          <w:sz w:val="24"/>
          <w:szCs w:val="24"/>
        </w:rPr>
        <w:t xml:space="preserve"> </w:t>
      </w:r>
      <w:r w:rsidRPr="008B3EA4">
        <w:rPr>
          <w:sz w:val="24"/>
          <w:szCs w:val="24"/>
        </w:rPr>
        <w:t xml:space="preserve">PUCO ignore the plain language of the Columbia CEP </w:t>
      </w:r>
      <w:r w:rsidRPr="008B3EA4" w:rsidR="00707CA7">
        <w:rPr>
          <w:sz w:val="24"/>
          <w:szCs w:val="24"/>
        </w:rPr>
        <w:t>S</w:t>
      </w:r>
      <w:r w:rsidRPr="008B3EA4">
        <w:rPr>
          <w:sz w:val="24"/>
          <w:szCs w:val="24"/>
        </w:rPr>
        <w:t xml:space="preserve">ettlement </w:t>
      </w:r>
      <w:r w:rsidRPr="008B3EA4" w:rsidR="00707CA7">
        <w:rPr>
          <w:sz w:val="24"/>
          <w:szCs w:val="24"/>
        </w:rPr>
        <w:t>A</w:t>
      </w:r>
      <w:r w:rsidRPr="008B3EA4">
        <w:rPr>
          <w:sz w:val="24"/>
          <w:szCs w:val="24"/>
        </w:rPr>
        <w:t>greement</w:t>
      </w:r>
      <w:r w:rsidRPr="008B3EA4" w:rsidR="00567740">
        <w:rPr>
          <w:sz w:val="24"/>
          <w:szCs w:val="24"/>
        </w:rPr>
        <w:t xml:space="preserve">, which it approved, </w:t>
      </w:r>
      <w:r w:rsidRPr="008B3EA4">
        <w:rPr>
          <w:sz w:val="24"/>
          <w:szCs w:val="24"/>
        </w:rPr>
        <w:t xml:space="preserve">and Supreme Court of Ohio precedent that holds </w:t>
      </w:r>
      <w:r w:rsidRPr="008B3EA4" w:rsidR="009C0C96">
        <w:rPr>
          <w:sz w:val="24"/>
          <w:szCs w:val="24"/>
        </w:rPr>
        <w:t>contracts are to be interpreted by their terms’ plain meaning to best ascertain the intent of the parties</w:t>
      </w:r>
      <w:r w:rsidRPr="008B3EA4" w:rsidR="00567740">
        <w:rPr>
          <w:sz w:val="24"/>
          <w:szCs w:val="24"/>
        </w:rPr>
        <w:t>.</w:t>
      </w:r>
      <w:r w:rsidRPr="008B3EA4" w:rsidR="0081110B">
        <w:rPr>
          <w:sz w:val="24"/>
          <w:szCs w:val="24"/>
        </w:rPr>
        <w:t xml:space="preserve"> </w:t>
      </w:r>
    </w:p>
    <w:p w:rsidR="00803B7C" w:rsidRPr="008B3EA4" w:rsidP="008765AB" w14:paraId="53B8880F" w14:textId="613058FA">
      <w:pPr>
        <w:pStyle w:val="ListParagraph"/>
        <w:spacing w:line="480" w:lineRule="auto"/>
        <w:ind w:left="0" w:firstLine="720"/>
        <w:contextualSpacing w:val="0"/>
        <w:rPr>
          <w:sz w:val="24"/>
          <w:szCs w:val="24"/>
        </w:rPr>
      </w:pPr>
      <w:r w:rsidRPr="008B3EA4">
        <w:rPr>
          <w:sz w:val="24"/>
          <w:szCs w:val="24"/>
        </w:rPr>
        <w:t xml:space="preserve">Further, it is </w:t>
      </w:r>
      <w:r w:rsidRPr="008B3EA4" w:rsidR="00781B8F">
        <w:rPr>
          <w:sz w:val="24"/>
          <w:szCs w:val="24"/>
        </w:rPr>
        <w:t xml:space="preserve">bad public policy for the PUCO to undermine the </w:t>
      </w:r>
      <w:r w:rsidRPr="008B3EA4">
        <w:rPr>
          <w:sz w:val="24"/>
          <w:szCs w:val="24"/>
        </w:rPr>
        <w:t xml:space="preserve">settlement process </w:t>
      </w:r>
      <w:r w:rsidRPr="008B3EA4" w:rsidR="00760448">
        <w:rPr>
          <w:sz w:val="24"/>
          <w:szCs w:val="24"/>
        </w:rPr>
        <w:t>by allowing unrelated parties to use the terms of the settlement against parties who settled</w:t>
      </w:r>
      <w:r w:rsidRPr="008B3EA4" w:rsidR="009C0C96">
        <w:rPr>
          <w:sz w:val="24"/>
          <w:szCs w:val="24"/>
        </w:rPr>
        <w:t xml:space="preserve"> an unrelated case</w:t>
      </w:r>
      <w:r w:rsidRPr="008B3EA4" w:rsidR="00760448">
        <w:rPr>
          <w:sz w:val="24"/>
          <w:szCs w:val="24"/>
        </w:rPr>
        <w:t xml:space="preserve">. </w:t>
      </w:r>
      <w:r w:rsidRPr="008B3EA4" w:rsidR="009C0C96">
        <w:rPr>
          <w:sz w:val="24"/>
          <w:szCs w:val="24"/>
        </w:rPr>
        <w:t xml:space="preserve"> </w:t>
      </w:r>
      <w:r w:rsidRPr="008B3EA4" w:rsidR="008765AB">
        <w:rPr>
          <w:sz w:val="24"/>
          <w:szCs w:val="24"/>
        </w:rPr>
        <w:t xml:space="preserve">For </w:t>
      </w:r>
      <w:r w:rsidRPr="008B3EA4" w:rsidR="00DD0EC5">
        <w:rPr>
          <w:sz w:val="24"/>
          <w:szCs w:val="24"/>
        </w:rPr>
        <w:t>these reasons</w:t>
      </w:r>
      <w:r w:rsidRPr="008B3EA4" w:rsidR="008765AB">
        <w:rPr>
          <w:sz w:val="24"/>
          <w:szCs w:val="24"/>
        </w:rPr>
        <w:t xml:space="preserve">, </w:t>
      </w:r>
      <w:r w:rsidRPr="008B3EA4" w:rsidR="009C0C96">
        <w:rPr>
          <w:sz w:val="24"/>
          <w:szCs w:val="24"/>
        </w:rPr>
        <w:t>the joint</w:t>
      </w:r>
      <w:r w:rsidRPr="008B3EA4" w:rsidR="008765AB">
        <w:rPr>
          <w:sz w:val="24"/>
          <w:szCs w:val="24"/>
        </w:rPr>
        <w:t xml:space="preserve"> motion to strike the</w:t>
      </w:r>
      <w:r w:rsidRPr="008B3EA4" w:rsidR="00784597">
        <w:rPr>
          <w:sz w:val="24"/>
          <w:szCs w:val="24"/>
        </w:rPr>
        <w:t xml:space="preserve"> </w:t>
      </w:r>
      <w:r w:rsidRPr="008B3EA4" w:rsidR="005769EF">
        <w:rPr>
          <w:sz w:val="24"/>
          <w:szCs w:val="24"/>
        </w:rPr>
        <w:t>identified portions of the Dominion Testimony</w:t>
      </w:r>
      <w:r w:rsidRPr="008B3EA4" w:rsidR="008765AB">
        <w:rPr>
          <w:sz w:val="24"/>
          <w:szCs w:val="24"/>
        </w:rPr>
        <w:t xml:space="preserve"> should be granted. </w:t>
      </w:r>
    </w:p>
    <w:p w:rsidR="003F292C" w:rsidRPr="008B3EA4" w:rsidP="000136A4" w14:paraId="69489837" w14:textId="77777777">
      <w:pPr>
        <w:tabs>
          <w:tab w:val="left" w:pos="9360"/>
        </w:tabs>
        <w:spacing w:line="480" w:lineRule="auto"/>
        <w:ind w:left="3600"/>
        <w:rPr>
          <w:rFonts w:eastAsiaTheme="minorHAnsi"/>
          <w:color w:val="292929"/>
          <w:sz w:val="24"/>
          <w:szCs w:val="24"/>
        </w:rPr>
      </w:pPr>
      <w:r w:rsidRPr="008B3EA4">
        <w:rPr>
          <w:sz w:val="24"/>
          <w:szCs w:val="24"/>
        </w:rPr>
        <w:t>Respectfully submitted,</w:t>
      </w:r>
    </w:p>
    <w:p w:rsidR="003F292C" w:rsidRPr="008B3EA4" w:rsidP="000136A4" w14:paraId="21045DFC" w14:textId="77777777">
      <w:pPr>
        <w:ind w:left="3600"/>
        <w:rPr>
          <w:sz w:val="24"/>
          <w:szCs w:val="24"/>
        </w:rPr>
      </w:pPr>
      <w:r w:rsidRPr="008B3EA4">
        <w:rPr>
          <w:sz w:val="24"/>
          <w:szCs w:val="24"/>
        </w:rPr>
        <w:t>Bruce Weston (0016973)</w:t>
      </w:r>
    </w:p>
    <w:p w:rsidR="003F292C" w:rsidRPr="008B3EA4" w:rsidP="000136A4" w14:paraId="3F964485" w14:textId="77777777">
      <w:pPr>
        <w:ind w:left="3600"/>
        <w:rPr>
          <w:sz w:val="24"/>
          <w:szCs w:val="24"/>
        </w:rPr>
      </w:pPr>
      <w:r w:rsidRPr="008B3EA4">
        <w:rPr>
          <w:sz w:val="24"/>
          <w:szCs w:val="24"/>
        </w:rPr>
        <w:t>Ohio Consumers’ Counsel</w:t>
      </w:r>
    </w:p>
    <w:p w:rsidR="003F292C" w:rsidRPr="008B3EA4" w:rsidP="000136A4" w14:paraId="02CF7019" w14:textId="77777777">
      <w:pPr>
        <w:ind w:left="3600"/>
        <w:rPr>
          <w:sz w:val="24"/>
          <w:szCs w:val="24"/>
        </w:rPr>
      </w:pPr>
    </w:p>
    <w:p w:rsidR="003F292C" w:rsidRPr="008B3EA4" w:rsidP="000136A4" w14:paraId="6B0C1106" w14:textId="383B0181">
      <w:pPr>
        <w:ind w:left="3600"/>
        <w:rPr>
          <w:sz w:val="24"/>
          <w:szCs w:val="24"/>
        </w:rPr>
      </w:pPr>
      <w:r w:rsidRPr="008B3EA4">
        <w:rPr>
          <w:i/>
          <w:sz w:val="24"/>
          <w:szCs w:val="24"/>
          <w:u w:val="single"/>
        </w:rPr>
        <w:t xml:space="preserve">/s/ </w:t>
      </w:r>
      <w:r w:rsidRPr="008B3EA4" w:rsidR="00784597">
        <w:rPr>
          <w:i/>
          <w:sz w:val="24"/>
          <w:szCs w:val="24"/>
          <w:u w:val="single"/>
        </w:rPr>
        <w:t>Kimberly W. Bojko</w:t>
      </w:r>
      <w:r w:rsidRPr="008B3EA4">
        <w:rPr>
          <w:i/>
          <w:sz w:val="24"/>
          <w:szCs w:val="24"/>
          <w:u w:val="single"/>
        </w:rPr>
        <w:tab/>
      </w:r>
      <w:r w:rsidRPr="008B3EA4">
        <w:rPr>
          <w:i/>
          <w:sz w:val="24"/>
          <w:szCs w:val="24"/>
          <w:u w:val="single"/>
        </w:rPr>
        <w:tab/>
      </w:r>
    </w:p>
    <w:p w:rsidR="00784597" w:rsidRPr="008B3EA4" w:rsidP="000136A4" w14:paraId="48F5F7E3" w14:textId="77777777">
      <w:pPr>
        <w:widowControl w:val="0"/>
        <w:tabs>
          <w:tab w:val="center" w:pos="4680"/>
          <w:tab w:val="right" w:pos="9360"/>
        </w:tabs>
        <w:ind w:left="3600"/>
        <w:rPr>
          <w:rFonts w:eastAsiaTheme="minorHAnsi"/>
          <w:sz w:val="24"/>
          <w:szCs w:val="24"/>
        </w:rPr>
      </w:pPr>
      <w:r w:rsidRPr="008B3EA4">
        <w:rPr>
          <w:rFonts w:eastAsiaTheme="minorHAnsi"/>
          <w:sz w:val="24"/>
          <w:szCs w:val="24"/>
        </w:rPr>
        <w:t>Kimberly W. Bojko (0069402)</w:t>
      </w:r>
    </w:p>
    <w:p w:rsidR="00784597" w:rsidRPr="008B3EA4" w:rsidP="000136A4" w14:paraId="1F338ED1" w14:textId="77777777">
      <w:pPr>
        <w:widowControl w:val="0"/>
        <w:tabs>
          <w:tab w:val="center" w:pos="4680"/>
          <w:tab w:val="right" w:pos="9360"/>
        </w:tabs>
        <w:ind w:left="3600"/>
        <w:rPr>
          <w:rFonts w:eastAsiaTheme="minorHAnsi"/>
          <w:sz w:val="24"/>
          <w:szCs w:val="24"/>
        </w:rPr>
      </w:pPr>
      <w:r w:rsidRPr="008B3EA4">
        <w:rPr>
          <w:rFonts w:eastAsiaTheme="minorHAnsi"/>
          <w:sz w:val="24"/>
          <w:szCs w:val="24"/>
        </w:rPr>
        <w:t>Carpenter Lipps &amp; Leland LLP</w:t>
      </w:r>
    </w:p>
    <w:p w:rsidR="00784597" w:rsidRPr="008B3EA4" w:rsidP="000136A4" w14:paraId="17FAA91E" w14:textId="77777777">
      <w:pPr>
        <w:widowControl w:val="0"/>
        <w:tabs>
          <w:tab w:val="center" w:pos="4680"/>
          <w:tab w:val="right" w:pos="9360"/>
        </w:tabs>
        <w:ind w:left="3600"/>
        <w:rPr>
          <w:rFonts w:eastAsiaTheme="minorHAnsi"/>
          <w:sz w:val="24"/>
          <w:szCs w:val="24"/>
        </w:rPr>
      </w:pPr>
      <w:r w:rsidRPr="008B3EA4">
        <w:rPr>
          <w:rFonts w:eastAsiaTheme="minorHAnsi"/>
          <w:sz w:val="24"/>
          <w:szCs w:val="24"/>
        </w:rPr>
        <w:t>280 North High Street, Suite 1300</w:t>
      </w:r>
    </w:p>
    <w:p w:rsidR="00784597" w:rsidRPr="008B3EA4" w:rsidP="000136A4" w14:paraId="0636986D" w14:textId="77777777">
      <w:pPr>
        <w:widowControl w:val="0"/>
        <w:tabs>
          <w:tab w:val="center" w:pos="4680"/>
          <w:tab w:val="right" w:pos="9360"/>
        </w:tabs>
        <w:ind w:left="3600"/>
        <w:rPr>
          <w:rFonts w:eastAsiaTheme="minorHAnsi"/>
          <w:sz w:val="24"/>
          <w:szCs w:val="24"/>
        </w:rPr>
      </w:pPr>
      <w:r w:rsidRPr="008B3EA4">
        <w:rPr>
          <w:rFonts w:eastAsiaTheme="minorHAnsi"/>
          <w:sz w:val="24"/>
          <w:szCs w:val="24"/>
        </w:rPr>
        <w:t>Columbus, Ohio 43215</w:t>
      </w:r>
    </w:p>
    <w:p w:rsidR="00784597" w:rsidRPr="008B3EA4" w:rsidP="000136A4" w14:paraId="77824DBC" w14:textId="77777777">
      <w:pPr>
        <w:widowControl w:val="0"/>
        <w:tabs>
          <w:tab w:val="center" w:pos="4680"/>
          <w:tab w:val="right" w:pos="9360"/>
        </w:tabs>
        <w:ind w:left="3600"/>
        <w:rPr>
          <w:rFonts w:eastAsiaTheme="minorHAnsi"/>
          <w:sz w:val="24"/>
          <w:szCs w:val="24"/>
        </w:rPr>
      </w:pPr>
      <w:r w:rsidRPr="008B3EA4">
        <w:rPr>
          <w:rFonts w:eastAsiaTheme="minorHAnsi"/>
          <w:sz w:val="24"/>
          <w:szCs w:val="24"/>
        </w:rPr>
        <w:t>Telephone: (614) 365-4100</w:t>
      </w:r>
    </w:p>
    <w:p w:rsidR="00784597" w:rsidRPr="008B3EA4" w:rsidP="000136A4" w14:paraId="5CED11B7" w14:textId="77777777">
      <w:pPr>
        <w:widowControl w:val="0"/>
        <w:tabs>
          <w:tab w:val="center" w:pos="4680"/>
          <w:tab w:val="right" w:pos="9360"/>
        </w:tabs>
        <w:ind w:left="3600"/>
        <w:rPr>
          <w:rFonts w:eastAsiaTheme="minorHAnsi"/>
          <w:color w:val="0000FF"/>
          <w:sz w:val="24"/>
          <w:szCs w:val="24"/>
        </w:rPr>
      </w:pPr>
      <w:hyperlink r:id="rId7" w:history="1">
        <w:r w:rsidRPr="008B3EA4" w:rsidR="005D783A">
          <w:rPr>
            <w:rFonts w:eastAsiaTheme="minorHAnsi"/>
            <w:color w:val="0000FF"/>
            <w:sz w:val="24"/>
            <w:szCs w:val="24"/>
            <w:u w:val="single"/>
          </w:rPr>
          <w:t>bojko@carpenterlipps.com</w:t>
        </w:r>
      </w:hyperlink>
    </w:p>
    <w:p w:rsidR="00784597" w:rsidRPr="008B3EA4" w:rsidP="000136A4" w14:paraId="0DCD9364" w14:textId="77777777">
      <w:pPr>
        <w:widowControl w:val="0"/>
        <w:tabs>
          <w:tab w:val="center" w:pos="4680"/>
          <w:tab w:val="right" w:pos="9360"/>
        </w:tabs>
        <w:ind w:left="3600"/>
        <w:rPr>
          <w:rFonts w:eastAsiaTheme="minorHAnsi"/>
          <w:sz w:val="24"/>
          <w:szCs w:val="24"/>
        </w:rPr>
      </w:pPr>
      <w:r w:rsidRPr="008B3EA4">
        <w:rPr>
          <w:rFonts w:eastAsiaTheme="minorHAnsi"/>
          <w:sz w:val="24"/>
          <w:szCs w:val="24"/>
        </w:rPr>
        <w:t>(willing to accept service by e-mail)</w:t>
      </w:r>
    </w:p>
    <w:p w:rsidR="000136A4" w:rsidRPr="008B3EA4" w:rsidP="000136A4" w14:paraId="127B0B77" w14:textId="77777777">
      <w:pPr>
        <w:widowControl w:val="0"/>
        <w:ind w:left="3600"/>
        <w:rPr>
          <w:rFonts w:eastAsiaTheme="minorHAnsi"/>
          <w:i/>
          <w:sz w:val="24"/>
          <w:szCs w:val="24"/>
        </w:rPr>
      </w:pPr>
    </w:p>
    <w:p w:rsidR="00784597" w:rsidRPr="008B3EA4" w:rsidP="000136A4" w14:paraId="5C2EAB76" w14:textId="13DFF9B3">
      <w:pPr>
        <w:widowControl w:val="0"/>
        <w:ind w:left="3600"/>
        <w:rPr>
          <w:rFonts w:eastAsiaTheme="minorHAnsi"/>
          <w:i/>
          <w:sz w:val="24"/>
          <w:szCs w:val="24"/>
        </w:rPr>
      </w:pPr>
      <w:r w:rsidRPr="008B3EA4">
        <w:rPr>
          <w:rFonts w:eastAsiaTheme="minorHAnsi"/>
          <w:i/>
          <w:sz w:val="24"/>
          <w:szCs w:val="24"/>
        </w:rPr>
        <w:t>Special Counsel for the</w:t>
      </w:r>
    </w:p>
    <w:p w:rsidR="00891DB3" w:rsidRPr="008B3EA4" w:rsidP="000136A4" w14:paraId="38087C21" w14:textId="65D2502C">
      <w:pPr>
        <w:tabs>
          <w:tab w:val="left" w:pos="3960"/>
        </w:tabs>
        <w:ind w:left="3600"/>
        <w:rPr>
          <w:rFonts w:eastAsiaTheme="minorHAnsi"/>
          <w:i/>
          <w:sz w:val="24"/>
          <w:szCs w:val="24"/>
        </w:rPr>
      </w:pPr>
      <w:r w:rsidRPr="008B3EA4">
        <w:rPr>
          <w:rFonts w:eastAsiaTheme="minorHAnsi"/>
          <w:i/>
          <w:sz w:val="24"/>
          <w:szCs w:val="24"/>
        </w:rPr>
        <w:t>Office of the Ohio Consumers’ Counsel</w:t>
      </w:r>
    </w:p>
    <w:p w:rsidR="00891DB3" w:rsidRPr="008B3EA4" w:rsidP="000136A4" w14:paraId="77BDB5FD" w14:textId="77777777">
      <w:pPr>
        <w:ind w:left="3600"/>
        <w:rPr>
          <w:rFonts w:eastAsiaTheme="minorHAnsi"/>
          <w:i/>
          <w:sz w:val="24"/>
          <w:szCs w:val="24"/>
        </w:rPr>
      </w:pPr>
    </w:p>
    <w:p w:rsidR="00933C93" w:rsidRPr="008B3EA4" w14:paraId="427C19C6" w14:textId="77777777">
      <w:pPr>
        <w:spacing w:after="160" w:line="259" w:lineRule="auto"/>
        <w:rPr>
          <w:sz w:val="24"/>
          <w:szCs w:val="24"/>
        </w:rPr>
      </w:pPr>
      <w:r w:rsidRPr="008B3EA4">
        <w:rPr>
          <w:sz w:val="24"/>
          <w:szCs w:val="24"/>
        </w:rPr>
        <w:br w:type="page"/>
      </w:r>
    </w:p>
    <w:p w:rsidR="003F292C" w:rsidRPr="008B3EA4" w:rsidP="000136A4" w14:paraId="669D8492" w14:textId="7C7F80C6">
      <w:pPr>
        <w:ind w:left="3600"/>
        <w:rPr>
          <w:sz w:val="24"/>
          <w:szCs w:val="24"/>
        </w:rPr>
      </w:pPr>
      <w:r w:rsidRPr="008B3EA4">
        <w:rPr>
          <w:sz w:val="24"/>
          <w:szCs w:val="24"/>
        </w:rPr>
        <w:t>Christopher Healey (0086027</w:t>
      </w:r>
    </w:p>
    <w:p w:rsidR="003F292C" w:rsidRPr="008B3EA4" w:rsidP="000136A4" w14:paraId="43F3CBE0" w14:textId="77777777">
      <w:pPr>
        <w:ind w:left="3600"/>
        <w:rPr>
          <w:sz w:val="24"/>
          <w:szCs w:val="24"/>
        </w:rPr>
      </w:pPr>
      <w:r w:rsidRPr="008B3EA4">
        <w:rPr>
          <w:sz w:val="24"/>
          <w:szCs w:val="24"/>
        </w:rPr>
        <w:t>Counsel of Record</w:t>
      </w:r>
    </w:p>
    <w:p w:rsidR="003F292C" w:rsidRPr="008B3EA4" w:rsidP="000136A4" w14:paraId="7AE12D5C" w14:textId="77777777">
      <w:pPr>
        <w:ind w:left="3600"/>
        <w:rPr>
          <w:sz w:val="24"/>
          <w:szCs w:val="24"/>
        </w:rPr>
      </w:pPr>
      <w:r w:rsidRPr="008B3EA4">
        <w:rPr>
          <w:sz w:val="24"/>
          <w:szCs w:val="24"/>
        </w:rPr>
        <w:t xml:space="preserve">William J. Michael (0070921) </w:t>
      </w:r>
    </w:p>
    <w:p w:rsidR="003F292C" w:rsidRPr="008B3EA4" w:rsidP="000136A4" w14:paraId="2B960C39" w14:textId="77777777">
      <w:pPr>
        <w:ind w:left="3600"/>
        <w:rPr>
          <w:sz w:val="24"/>
          <w:szCs w:val="24"/>
        </w:rPr>
      </w:pPr>
      <w:r w:rsidRPr="008B3EA4">
        <w:rPr>
          <w:sz w:val="24"/>
          <w:szCs w:val="24"/>
        </w:rPr>
        <w:t xml:space="preserve">Assistant Consumers’ Counsel </w:t>
      </w:r>
    </w:p>
    <w:p w:rsidR="003F292C" w:rsidRPr="008B3EA4" w:rsidP="000136A4" w14:paraId="365FAC77" w14:textId="77777777">
      <w:pPr>
        <w:ind w:left="3600"/>
        <w:rPr>
          <w:sz w:val="24"/>
          <w:szCs w:val="24"/>
        </w:rPr>
      </w:pPr>
    </w:p>
    <w:p w:rsidR="003F292C" w:rsidRPr="008B3EA4" w:rsidP="000136A4" w14:paraId="0F682F32" w14:textId="77777777">
      <w:pPr>
        <w:pStyle w:val="Heading1"/>
        <w:pBdr>
          <w:top w:val="none" w:sz="0" w:space="0" w:color="auto"/>
          <w:bottom w:val="none" w:sz="0" w:space="0" w:color="auto"/>
        </w:pBdr>
        <w:ind w:left="3600"/>
        <w:jc w:val="left"/>
        <w:rPr>
          <w:szCs w:val="24"/>
        </w:rPr>
      </w:pPr>
      <w:r w:rsidRPr="008B3EA4">
        <w:rPr>
          <w:szCs w:val="24"/>
        </w:rPr>
        <w:t>Office of the Ohio Consumers’ Counsel</w:t>
      </w:r>
    </w:p>
    <w:p w:rsidR="003F292C" w:rsidRPr="008B3EA4" w:rsidP="000136A4" w14:paraId="2AE73C19" w14:textId="77777777">
      <w:pPr>
        <w:pStyle w:val="Heading1"/>
        <w:pBdr>
          <w:top w:val="none" w:sz="0" w:space="0" w:color="auto"/>
          <w:bottom w:val="none" w:sz="0" w:space="0" w:color="auto"/>
        </w:pBdr>
        <w:ind w:left="3600"/>
        <w:jc w:val="left"/>
        <w:rPr>
          <w:b w:val="0"/>
          <w:szCs w:val="24"/>
        </w:rPr>
      </w:pPr>
      <w:r w:rsidRPr="008B3EA4">
        <w:rPr>
          <w:b w:val="0"/>
          <w:szCs w:val="24"/>
        </w:rPr>
        <w:t>65 East State Street, 7th Floor</w:t>
      </w:r>
    </w:p>
    <w:p w:rsidR="003F292C" w:rsidRPr="008B3EA4" w:rsidP="000136A4" w14:paraId="03F967FF" w14:textId="77777777">
      <w:pPr>
        <w:pStyle w:val="Heading1"/>
        <w:pBdr>
          <w:top w:val="none" w:sz="0" w:space="0" w:color="auto"/>
          <w:bottom w:val="none" w:sz="0" w:space="0" w:color="auto"/>
        </w:pBdr>
        <w:ind w:left="3600"/>
        <w:jc w:val="left"/>
        <w:rPr>
          <w:b w:val="0"/>
          <w:szCs w:val="24"/>
        </w:rPr>
      </w:pPr>
      <w:r w:rsidRPr="008B3EA4">
        <w:rPr>
          <w:b w:val="0"/>
          <w:szCs w:val="24"/>
        </w:rPr>
        <w:t>Columbus, Ohio 43215</w:t>
      </w:r>
    </w:p>
    <w:p w:rsidR="003F292C" w:rsidRPr="008B3EA4" w:rsidP="000136A4" w14:paraId="12175E1B" w14:textId="77777777">
      <w:pPr>
        <w:ind w:left="3600"/>
        <w:rPr>
          <w:sz w:val="24"/>
          <w:szCs w:val="24"/>
        </w:rPr>
      </w:pPr>
      <w:r w:rsidRPr="008B3EA4">
        <w:rPr>
          <w:sz w:val="24"/>
          <w:szCs w:val="24"/>
        </w:rPr>
        <w:t xml:space="preserve">Telephone [Healey]: (614) 466-9571 </w:t>
      </w:r>
    </w:p>
    <w:p w:rsidR="003F292C" w:rsidRPr="008B3EA4" w:rsidP="000136A4" w14:paraId="2581FBB1" w14:textId="03A0E77C">
      <w:pPr>
        <w:ind w:left="3600"/>
        <w:rPr>
          <w:sz w:val="24"/>
          <w:szCs w:val="24"/>
        </w:rPr>
      </w:pPr>
      <w:r w:rsidRPr="008B3EA4">
        <w:rPr>
          <w:sz w:val="24"/>
          <w:szCs w:val="24"/>
        </w:rPr>
        <w:t>Telephone [Michael]: (614) 466-1291</w:t>
      </w:r>
      <w:r w:rsidRPr="008B3EA4" w:rsidR="0081110B">
        <w:rPr>
          <w:sz w:val="24"/>
          <w:szCs w:val="24"/>
        </w:rPr>
        <w:t xml:space="preserve">   </w:t>
      </w:r>
      <w:r w:rsidRPr="008B3EA4">
        <w:rPr>
          <w:sz w:val="24"/>
          <w:szCs w:val="24"/>
        </w:rPr>
        <w:t xml:space="preserve"> </w:t>
      </w:r>
      <w:hyperlink r:id="rId9" w:history="1">
        <w:r w:rsidRPr="008B3EA4">
          <w:rPr>
            <w:rStyle w:val="Hyperlink"/>
            <w:sz w:val="24"/>
            <w:szCs w:val="24"/>
          </w:rPr>
          <w:t>christopher.healey@occ.ohio.gov</w:t>
        </w:r>
      </w:hyperlink>
      <w:r w:rsidRPr="008B3EA4" w:rsidR="0081110B">
        <w:rPr>
          <w:sz w:val="24"/>
          <w:szCs w:val="24"/>
        </w:rPr>
        <w:t xml:space="preserve">    </w:t>
      </w:r>
      <w:hyperlink r:id="rId10" w:history="1">
        <w:r w:rsidRPr="008B3EA4">
          <w:rPr>
            <w:rStyle w:val="Hyperlink"/>
            <w:sz w:val="24"/>
            <w:szCs w:val="24"/>
          </w:rPr>
          <w:t>william.michael@occ.ohio.gov</w:t>
        </w:r>
      </w:hyperlink>
      <w:r w:rsidRPr="008B3EA4" w:rsidR="0081110B">
        <w:rPr>
          <w:sz w:val="24"/>
          <w:szCs w:val="24"/>
        </w:rPr>
        <w:t xml:space="preserve"> </w:t>
      </w:r>
    </w:p>
    <w:p w:rsidR="003F292C" w:rsidRPr="008B3EA4" w:rsidP="000136A4" w14:paraId="06A16C87" w14:textId="6197B477">
      <w:pPr>
        <w:ind w:left="3600"/>
        <w:rPr>
          <w:sz w:val="24"/>
          <w:szCs w:val="24"/>
        </w:rPr>
      </w:pPr>
      <w:r w:rsidRPr="008B3EA4">
        <w:rPr>
          <w:sz w:val="24"/>
          <w:szCs w:val="24"/>
        </w:rPr>
        <w:t xml:space="preserve">(willing to accept service by email) </w:t>
      </w:r>
    </w:p>
    <w:p w:rsidR="00933C93" w:rsidRPr="008B3EA4" w:rsidP="000136A4" w14:paraId="519EBA5E" w14:textId="77777777">
      <w:pPr>
        <w:spacing w:line="259" w:lineRule="auto"/>
        <w:rPr>
          <w:b/>
          <w:sz w:val="24"/>
          <w:szCs w:val="24"/>
        </w:rPr>
      </w:pPr>
    </w:p>
    <w:p w:rsidR="00933C93" w:rsidRPr="008B3EA4" w:rsidP="000136A4" w14:paraId="7F396F23" w14:textId="77777777">
      <w:pPr>
        <w:spacing w:line="259" w:lineRule="auto"/>
        <w:rPr>
          <w:b/>
          <w:sz w:val="24"/>
          <w:szCs w:val="24"/>
        </w:rPr>
      </w:pPr>
    </w:p>
    <w:p w:rsidR="000136A4" w:rsidRPr="008B3EA4" w:rsidP="000136A4" w14:paraId="77C07F57" w14:textId="51608775">
      <w:pPr>
        <w:spacing w:line="259" w:lineRule="auto"/>
        <w:rPr>
          <w:sz w:val="24"/>
          <w:szCs w:val="24"/>
        </w:rPr>
      </w:pPr>
      <w:r w:rsidRPr="008B3EA4">
        <w:rPr>
          <w:b/>
          <w:sz w:val="24"/>
          <w:szCs w:val="24"/>
        </w:rPr>
        <w:tab/>
      </w:r>
      <w:r w:rsidRPr="008B3EA4">
        <w:rPr>
          <w:b/>
          <w:sz w:val="24"/>
          <w:szCs w:val="24"/>
        </w:rPr>
        <w:tab/>
      </w:r>
      <w:r w:rsidRPr="008B3EA4">
        <w:rPr>
          <w:b/>
          <w:sz w:val="24"/>
          <w:szCs w:val="24"/>
        </w:rPr>
        <w:tab/>
      </w:r>
      <w:r w:rsidRPr="008B3EA4">
        <w:rPr>
          <w:b/>
          <w:sz w:val="24"/>
          <w:szCs w:val="24"/>
        </w:rPr>
        <w:tab/>
      </w:r>
      <w:r w:rsidRPr="008B3EA4">
        <w:rPr>
          <w:b/>
          <w:sz w:val="24"/>
          <w:szCs w:val="24"/>
        </w:rPr>
        <w:tab/>
      </w:r>
      <w:r w:rsidRPr="008B3EA4">
        <w:rPr>
          <w:i/>
          <w:iCs/>
          <w:sz w:val="24"/>
          <w:szCs w:val="24"/>
          <w:u w:val="single"/>
        </w:rPr>
        <w:t>/s/ Glenn S. Krassen</w:t>
      </w:r>
      <w:r w:rsidRPr="008B3EA4">
        <w:rPr>
          <w:sz w:val="24"/>
          <w:szCs w:val="24"/>
        </w:rPr>
        <w:tab/>
      </w:r>
      <w:r w:rsidRPr="008B3EA4">
        <w:rPr>
          <w:sz w:val="24"/>
          <w:szCs w:val="24"/>
        </w:rPr>
        <w:tab/>
      </w:r>
      <w:r w:rsidRPr="008B3EA4">
        <w:rPr>
          <w:sz w:val="24"/>
          <w:szCs w:val="24"/>
        </w:rPr>
        <w:tab/>
      </w:r>
      <w:r w:rsidRPr="008B3EA4">
        <w:rPr>
          <w:sz w:val="24"/>
          <w:szCs w:val="24"/>
        </w:rPr>
        <w:tab/>
      </w:r>
      <w:r w:rsidRPr="008B3EA4">
        <w:rPr>
          <w:sz w:val="24"/>
          <w:szCs w:val="24"/>
        </w:rPr>
        <w:tab/>
      </w:r>
      <w:r w:rsidRPr="008B3EA4">
        <w:rPr>
          <w:sz w:val="24"/>
          <w:szCs w:val="24"/>
        </w:rPr>
        <w:tab/>
      </w:r>
    </w:p>
    <w:p w:rsidR="000136A4" w:rsidRPr="008B3EA4" w:rsidP="000136A4" w14:paraId="2EE22DA2"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Glenn S. Krassen (0007610)</w:t>
      </w:r>
    </w:p>
    <w:p w:rsidR="000136A4" w:rsidRPr="008B3EA4" w:rsidP="000136A4" w14:paraId="35FD7199"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BRICKER &amp; ECKLER LLP</w:t>
      </w:r>
    </w:p>
    <w:p w:rsidR="000136A4" w:rsidRPr="008B3EA4" w:rsidP="000136A4" w14:paraId="56FBDAF0"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1001 Lakeside Avenue, Suite 1350</w:t>
      </w:r>
    </w:p>
    <w:p w:rsidR="000136A4" w:rsidRPr="008B3EA4" w:rsidP="000136A4" w14:paraId="170B19A8"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Cleveland, OH 44114</w:t>
      </w:r>
    </w:p>
    <w:p w:rsidR="000136A4" w:rsidRPr="008B3EA4" w:rsidP="000136A4" w14:paraId="1FE40E29"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Telephone: (216) 523-5405</w:t>
      </w:r>
    </w:p>
    <w:p w:rsidR="000136A4" w:rsidRPr="008B3EA4" w:rsidP="000136A4" w14:paraId="0B00035B"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Facsimile: (216) 523-7071</w:t>
      </w:r>
    </w:p>
    <w:p w:rsidR="000136A4" w:rsidRPr="008B3EA4" w:rsidP="000136A4" w14:paraId="1A8D5FFA" w14:textId="77777777">
      <w:pPr>
        <w:autoSpaceDE w:val="0"/>
        <w:autoSpaceDN w:val="0"/>
        <w:adjustRightInd w:val="0"/>
        <w:ind w:left="3600"/>
        <w:rPr>
          <w:rFonts w:eastAsiaTheme="minorHAnsi"/>
          <w:color w:val="0000FF"/>
          <w:sz w:val="24"/>
          <w:szCs w:val="24"/>
        </w:rPr>
      </w:pPr>
      <w:r w:rsidRPr="008B3EA4">
        <w:rPr>
          <w:rFonts w:eastAsiaTheme="minorHAnsi"/>
          <w:color w:val="000000"/>
          <w:sz w:val="24"/>
          <w:szCs w:val="24"/>
        </w:rPr>
        <w:t xml:space="preserve">E-mail: </w:t>
      </w:r>
      <w:r w:rsidRPr="008B3EA4">
        <w:rPr>
          <w:rFonts w:eastAsiaTheme="minorHAnsi"/>
          <w:color w:val="0000FF"/>
          <w:sz w:val="24"/>
          <w:szCs w:val="24"/>
        </w:rPr>
        <w:t>gkrassen@bricker.com</w:t>
      </w:r>
    </w:p>
    <w:p w:rsidR="000136A4" w:rsidRPr="008B3EA4" w:rsidP="000136A4" w14:paraId="3CA7A9DA" w14:textId="77777777">
      <w:pPr>
        <w:autoSpaceDE w:val="0"/>
        <w:autoSpaceDN w:val="0"/>
        <w:adjustRightInd w:val="0"/>
        <w:ind w:left="3600"/>
        <w:rPr>
          <w:rFonts w:eastAsiaTheme="minorHAnsi"/>
          <w:color w:val="000000"/>
          <w:sz w:val="24"/>
          <w:szCs w:val="24"/>
        </w:rPr>
      </w:pPr>
    </w:p>
    <w:p w:rsidR="000136A4" w:rsidRPr="008B3EA4" w:rsidP="000136A4" w14:paraId="072BD43C"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Dane Stinson (0019101)</w:t>
      </w:r>
    </w:p>
    <w:p w:rsidR="000136A4" w:rsidRPr="008B3EA4" w:rsidP="000136A4" w14:paraId="3779B293"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BRICKER &amp; ECKLER LLP</w:t>
      </w:r>
    </w:p>
    <w:p w:rsidR="000136A4" w:rsidRPr="008B3EA4" w:rsidP="000136A4" w14:paraId="52C494C2"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100 South Third Street</w:t>
      </w:r>
    </w:p>
    <w:p w:rsidR="000136A4" w:rsidRPr="008B3EA4" w:rsidP="000136A4" w14:paraId="5A8BAAC5"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Columbus, OH 43215</w:t>
      </w:r>
    </w:p>
    <w:p w:rsidR="000136A4" w:rsidRPr="008B3EA4" w:rsidP="000136A4" w14:paraId="3B232EAB"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Telephone: (614) 227-2300</w:t>
      </w:r>
    </w:p>
    <w:p w:rsidR="000136A4" w:rsidRPr="008B3EA4" w:rsidP="000136A4" w14:paraId="4FC22D90" w14:textId="77777777">
      <w:pPr>
        <w:autoSpaceDE w:val="0"/>
        <w:autoSpaceDN w:val="0"/>
        <w:adjustRightInd w:val="0"/>
        <w:ind w:left="3600"/>
        <w:rPr>
          <w:rFonts w:eastAsiaTheme="minorHAnsi"/>
          <w:color w:val="000000"/>
          <w:sz w:val="24"/>
          <w:szCs w:val="24"/>
        </w:rPr>
      </w:pPr>
      <w:r w:rsidRPr="008B3EA4">
        <w:rPr>
          <w:rFonts w:eastAsiaTheme="minorHAnsi"/>
          <w:color w:val="000000"/>
          <w:sz w:val="24"/>
          <w:szCs w:val="24"/>
        </w:rPr>
        <w:t>Facsimile: (614) 227-2390</w:t>
      </w:r>
    </w:p>
    <w:p w:rsidR="000136A4" w:rsidRPr="008B3EA4" w:rsidP="000136A4" w14:paraId="675AC62D" w14:textId="77777777">
      <w:pPr>
        <w:autoSpaceDE w:val="0"/>
        <w:autoSpaceDN w:val="0"/>
        <w:adjustRightInd w:val="0"/>
        <w:ind w:left="3600"/>
        <w:rPr>
          <w:rFonts w:eastAsiaTheme="minorHAnsi"/>
          <w:color w:val="0000FF"/>
          <w:sz w:val="24"/>
          <w:szCs w:val="24"/>
        </w:rPr>
      </w:pPr>
      <w:r w:rsidRPr="008B3EA4">
        <w:rPr>
          <w:rFonts w:eastAsiaTheme="minorHAnsi"/>
          <w:color w:val="000000"/>
          <w:sz w:val="24"/>
          <w:szCs w:val="24"/>
        </w:rPr>
        <w:t xml:space="preserve">Email: </w:t>
      </w:r>
      <w:r w:rsidRPr="008B3EA4">
        <w:rPr>
          <w:rFonts w:eastAsiaTheme="minorHAnsi"/>
          <w:color w:val="0000FF"/>
          <w:sz w:val="24"/>
          <w:szCs w:val="24"/>
        </w:rPr>
        <w:t>dstinson@bricker.com</w:t>
      </w:r>
    </w:p>
    <w:p w:rsidR="000136A4" w:rsidRPr="008B3EA4" w:rsidP="000136A4" w14:paraId="20719686" w14:textId="77777777">
      <w:pPr>
        <w:pStyle w:val="List"/>
        <w:ind w:left="3600" w:firstLine="0"/>
        <w:rPr>
          <w:rFonts w:eastAsiaTheme="minorHAnsi"/>
          <w:i/>
          <w:iCs/>
          <w:color w:val="000000"/>
          <w:szCs w:val="24"/>
        </w:rPr>
      </w:pPr>
    </w:p>
    <w:p w:rsidR="000136A4" w:rsidRPr="008B3EA4" w:rsidP="000136A4" w14:paraId="40A854EB" w14:textId="77777777">
      <w:pPr>
        <w:pStyle w:val="List"/>
        <w:ind w:left="3600" w:firstLine="0"/>
        <w:rPr>
          <w:b/>
          <w:szCs w:val="24"/>
        </w:rPr>
        <w:sectPr w:rsidSect="0081110B">
          <w:footerReference w:type="default" r:id="rId12"/>
          <w:footerReference w:type="first" r:id="rId13"/>
          <w:pgSz w:w="12240" w:h="15840"/>
          <w:pgMar w:top="1440" w:right="1440" w:bottom="1440" w:left="1440" w:header="720" w:footer="720" w:gutter="0"/>
          <w:pgNumType w:start="1"/>
          <w:cols w:space="720"/>
          <w:titlePg/>
          <w:docGrid w:linePitch="360"/>
        </w:sectPr>
      </w:pPr>
      <w:r w:rsidRPr="008B3EA4">
        <w:rPr>
          <w:rFonts w:eastAsiaTheme="minorHAnsi"/>
          <w:i/>
          <w:iCs/>
          <w:color w:val="000000"/>
          <w:szCs w:val="24"/>
        </w:rPr>
        <w:t>Attorneys for Northeast Ohio Public Energy Council</w:t>
      </w:r>
    </w:p>
    <w:p w:rsidR="004A6116" w:rsidRPr="008B3EA4" w:rsidP="0081110B" w14:paraId="194A25AC" w14:textId="05C868AB">
      <w:pPr>
        <w:ind w:hanging="360"/>
        <w:jc w:val="center"/>
        <w:rPr>
          <w:b/>
          <w:sz w:val="24"/>
          <w:szCs w:val="24"/>
          <w:u w:val="single"/>
        </w:rPr>
      </w:pPr>
      <w:r w:rsidRPr="008B3EA4">
        <w:rPr>
          <w:b/>
          <w:sz w:val="24"/>
          <w:szCs w:val="24"/>
          <w:u w:val="single"/>
        </w:rPr>
        <w:t>CERTIFICATE OF SERVICE</w:t>
      </w:r>
    </w:p>
    <w:p w:rsidR="0081110B" w:rsidRPr="008B3EA4" w:rsidP="0081110B" w14:paraId="400AE658" w14:textId="77777777">
      <w:pPr>
        <w:ind w:hanging="360"/>
        <w:jc w:val="center"/>
        <w:rPr>
          <w:sz w:val="24"/>
          <w:szCs w:val="24"/>
        </w:rPr>
      </w:pPr>
    </w:p>
    <w:p w:rsidR="004A6116" w:rsidRPr="008B3EA4" w:rsidP="0081110B" w14:paraId="35677B33" w14:textId="16D250D4">
      <w:pPr>
        <w:spacing w:line="480" w:lineRule="auto"/>
        <w:ind w:firstLine="720"/>
        <w:rPr>
          <w:sz w:val="24"/>
          <w:szCs w:val="24"/>
        </w:rPr>
      </w:pPr>
      <w:r w:rsidRPr="008B3EA4">
        <w:rPr>
          <w:sz w:val="24"/>
          <w:szCs w:val="24"/>
        </w:rPr>
        <w:t xml:space="preserve">I hereby certify that a copy of this Initial Brief was served on the persons stated below </w:t>
      </w:r>
      <w:r w:rsidRPr="008B3EA4">
        <w:rPr>
          <w:i/>
          <w:sz w:val="24"/>
          <w:szCs w:val="24"/>
        </w:rPr>
        <w:t>via</w:t>
      </w:r>
      <w:r w:rsidRPr="008B3EA4">
        <w:rPr>
          <w:sz w:val="24"/>
          <w:szCs w:val="24"/>
        </w:rPr>
        <w:t xml:space="preserve"> electronic transmission, this </w:t>
      </w:r>
      <w:r w:rsidRPr="008B3EA4" w:rsidR="009C0C96">
        <w:rPr>
          <w:sz w:val="24"/>
          <w:szCs w:val="24"/>
        </w:rPr>
        <w:t>8th</w:t>
      </w:r>
      <w:r w:rsidRPr="008B3EA4">
        <w:rPr>
          <w:sz w:val="24"/>
          <w:szCs w:val="24"/>
        </w:rPr>
        <w:t xml:space="preserve"> day of September 2020.</w:t>
      </w:r>
    </w:p>
    <w:p w:rsidR="004A6116" w:rsidRPr="008B3EA4" w:rsidP="004A6116" w14:paraId="5DEE2100" w14:textId="64D91E0E">
      <w:pPr>
        <w:tabs>
          <w:tab w:val="left" w:pos="4320"/>
        </w:tabs>
        <w:rPr>
          <w:sz w:val="24"/>
          <w:szCs w:val="24"/>
        </w:rPr>
      </w:pPr>
      <w:r w:rsidRPr="008B3EA4">
        <w:rPr>
          <w:sz w:val="24"/>
          <w:szCs w:val="24"/>
        </w:rPr>
        <w:tab/>
      </w:r>
      <w:r w:rsidRPr="008B3EA4">
        <w:rPr>
          <w:i/>
          <w:sz w:val="24"/>
          <w:szCs w:val="24"/>
          <w:u w:val="single"/>
        </w:rPr>
        <w:t xml:space="preserve">/s/ </w:t>
      </w:r>
      <w:r w:rsidRPr="008B3EA4" w:rsidR="00F03023">
        <w:rPr>
          <w:i/>
          <w:sz w:val="24"/>
          <w:szCs w:val="24"/>
          <w:u w:val="single"/>
        </w:rPr>
        <w:t>Kimberly W. Bojko</w:t>
      </w:r>
      <w:r w:rsidRPr="008B3EA4">
        <w:rPr>
          <w:i/>
          <w:sz w:val="24"/>
          <w:szCs w:val="24"/>
          <w:u w:val="single"/>
        </w:rPr>
        <w:tab/>
      </w:r>
      <w:r w:rsidRPr="008B3EA4">
        <w:rPr>
          <w:i/>
          <w:sz w:val="24"/>
          <w:szCs w:val="24"/>
          <w:u w:val="single"/>
        </w:rPr>
        <w:tab/>
      </w:r>
    </w:p>
    <w:p w:rsidR="004A6116" w:rsidRPr="008B3EA4" w:rsidP="004A6116" w14:paraId="1374F629" w14:textId="7C68A504">
      <w:pPr>
        <w:tabs>
          <w:tab w:val="left" w:pos="4320"/>
        </w:tabs>
        <w:rPr>
          <w:sz w:val="24"/>
          <w:szCs w:val="24"/>
        </w:rPr>
      </w:pPr>
      <w:r w:rsidRPr="008B3EA4">
        <w:rPr>
          <w:sz w:val="24"/>
          <w:szCs w:val="24"/>
        </w:rPr>
        <w:tab/>
      </w:r>
      <w:r w:rsidRPr="008B3EA4" w:rsidR="00F03023">
        <w:rPr>
          <w:sz w:val="24"/>
          <w:szCs w:val="24"/>
        </w:rPr>
        <w:t>Kimberly W. Bojko</w:t>
      </w:r>
    </w:p>
    <w:p w:rsidR="00F03023" w:rsidRPr="008B3EA4" w:rsidP="0081110B" w14:paraId="6B93CB62" w14:textId="46ECBABA">
      <w:pPr>
        <w:tabs>
          <w:tab w:val="left" w:pos="4320"/>
        </w:tabs>
        <w:rPr>
          <w:rFonts w:eastAsiaTheme="minorHAnsi"/>
          <w:i/>
          <w:sz w:val="24"/>
          <w:szCs w:val="24"/>
        </w:rPr>
      </w:pPr>
      <w:r w:rsidRPr="008B3EA4">
        <w:rPr>
          <w:i/>
          <w:sz w:val="24"/>
          <w:szCs w:val="24"/>
        </w:rPr>
        <w:tab/>
      </w:r>
      <w:r w:rsidRPr="008B3EA4">
        <w:rPr>
          <w:rFonts w:eastAsiaTheme="minorHAnsi"/>
          <w:i/>
          <w:sz w:val="24"/>
          <w:szCs w:val="24"/>
        </w:rPr>
        <w:t>Special Counsel for the</w:t>
      </w:r>
    </w:p>
    <w:p w:rsidR="00F03023" w:rsidRPr="008B3EA4" w:rsidP="00F03023" w14:paraId="1FEE6D88" w14:textId="15C7EE7B">
      <w:pPr>
        <w:ind w:left="360"/>
        <w:rPr>
          <w:rFonts w:eastAsiaTheme="minorHAnsi"/>
          <w:i/>
          <w:sz w:val="24"/>
          <w:szCs w:val="24"/>
        </w:rPr>
      </w:pPr>
      <w:r w:rsidRPr="008B3EA4">
        <w:rPr>
          <w:rFonts w:eastAsiaTheme="minorHAnsi"/>
          <w:iCs/>
          <w:sz w:val="24"/>
          <w:szCs w:val="24"/>
        </w:rPr>
        <w:tab/>
      </w:r>
      <w:r w:rsidRPr="008B3EA4">
        <w:rPr>
          <w:rFonts w:eastAsiaTheme="minorHAnsi"/>
          <w:iCs/>
          <w:sz w:val="24"/>
          <w:szCs w:val="24"/>
        </w:rPr>
        <w:tab/>
      </w:r>
      <w:r w:rsidRPr="008B3EA4">
        <w:rPr>
          <w:rFonts w:eastAsiaTheme="minorHAnsi"/>
          <w:iCs/>
          <w:sz w:val="24"/>
          <w:szCs w:val="24"/>
        </w:rPr>
        <w:tab/>
      </w:r>
      <w:r w:rsidRPr="008B3EA4">
        <w:rPr>
          <w:rFonts w:eastAsiaTheme="minorHAnsi"/>
          <w:iCs/>
          <w:sz w:val="24"/>
          <w:szCs w:val="24"/>
        </w:rPr>
        <w:tab/>
      </w:r>
      <w:r w:rsidRPr="008B3EA4">
        <w:rPr>
          <w:rFonts w:eastAsiaTheme="minorHAnsi"/>
          <w:iCs/>
          <w:sz w:val="24"/>
          <w:szCs w:val="24"/>
        </w:rPr>
        <w:tab/>
      </w:r>
      <w:r w:rsidRPr="008B3EA4" w:rsidR="0081110B">
        <w:rPr>
          <w:rFonts w:eastAsiaTheme="minorHAnsi"/>
          <w:iCs/>
          <w:sz w:val="24"/>
          <w:szCs w:val="24"/>
        </w:rPr>
        <w:t xml:space="preserve">   </w:t>
      </w:r>
      <w:r w:rsidRPr="008B3EA4">
        <w:rPr>
          <w:rFonts w:eastAsiaTheme="minorHAnsi"/>
          <w:iCs/>
          <w:sz w:val="24"/>
          <w:szCs w:val="24"/>
        </w:rPr>
        <w:tab/>
      </w:r>
      <w:r w:rsidRPr="008B3EA4">
        <w:rPr>
          <w:rFonts w:eastAsiaTheme="minorHAnsi"/>
          <w:i/>
          <w:sz w:val="24"/>
          <w:szCs w:val="24"/>
        </w:rPr>
        <w:t>Office of the Ohio Consumers’ Counsel</w:t>
      </w:r>
    </w:p>
    <w:p w:rsidR="00F03023" w:rsidRPr="008B3EA4" w:rsidP="00F03023" w14:paraId="18ECC8DC" w14:textId="28A012AD">
      <w:pPr>
        <w:rPr>
          <w:rFonts w:eastAsiaTheme="minorHAnsi"/>
          <w:i/>
          <w:sz w:val="24"/>
          <w:szCs w:val="24"/>
        </w:rPr>
      </w:pPr>
    </w:p>
    <w:p w:rsidR="0081110B" w:rsidRPr="008B3EA4" w:rsidP="0081110B" w14:paraId="37D9014C" w14:textId="77777777">
      <w:pPr>
        <w:rPr>
          <w:sz w:val="24"/>
          <w:szCs w:val="24"/>
        </w:rPr>
      </w:pPr>
      <w:r w:rsidRPr="008B3EA4">
        <w:rPr>
          <w:sz w:val="24"/>
          <w:szCs w:val="24"/>
        </w:rPr>
        <w:t>The PUCO’s e-filing system will electronically serve notice of the filing of this document on the following parties:</w:t>
      </w:r>
    </w:p>
    <w:p w:rsidR="0081110B" w:rsidRPr="008B3EA4" w:rsidP="00F03023" w14:paraId="1FF93E55" w14:textId="77777777">
      <w:pPr>
        <w:rPr>
          <w:rFonts w:eastAsiaTheme="minorHAnsi"/>
          <w:i/>
          <w:sz w:val="24"/>
          <w:szCs w:val="24"/>
        </w:rPr>
      </w:pPr>
    </w:p>
    <w:p w:rsidR="004A6116" w:rsidRPr="008B3EA4" w:rsidP="004A6116" w14:paraId="4627DD9D" w14:textId="77777777">
      <w:pPr>
        <w:pStyle w:val="CommentText"/>
        <w:jc w:val="center"/>
        <w:rPr>
          <w:b/>
          <w:sz w:val="24"/>
          <w:szCs w:val="24"/>
          <w:u w:val="single"/>
        </w:rPr>
      </w:pPr>
    </w:p>
    <w:p w:rsidR="004A6116" w:rsidRPr="008B3EA4" w:rsidP="004A6116" w14:paraId="026DBCAF" w14:textId="77777777">
      <w:pPr>
        <w:jc w:val="center"/>
        <w:rPr>
          <w:b/>
          <w:bCs/>
          <w:sz w:val="24"/>
          <w:szCs w:val="24"/>
          <w:u w:val="single"/>
        </w:rPr>
      </w:pPr>
      <w:r w:rsidRPr="008B3EA4">
        <w:rPr>
          <w:b/>
          <w:bCs/>
          <w:sz w:val="24"/>
          <w:szCs w:val="24"/>
          <w:u w:val="single"/>
        </w:rPr>
        <w:t>SERVICE LIST</w:t>
      </w:r>
    </w:p>
    <w:p w:rsidR="004A6116" w:rsidRPr="008B3EA4" w:rsidP="004A6116" w14:paraId="46EC4796" w14:textId="77777777">
      <w:pPr>
        <w:jc w:val="center"/>
        <w:rPr>
          <w:b/>
          <w:bCs/>
          <w:sz w:val="24"/>
          <w:szCs w:val="24"/>
          <w:u w:val="single"/>
        </w:rPr>
      </w:pPr>
    </w:p>
    <w:p w:rsidR="004A6116" w:rsidRPr="008B3EA4" w:rsidP="00662BFE" w14:paraId="7183204E" w14:textId="61FE8604">
      <w:pPr>
        <w:tabs>
          <w:tab w:val="left" w:pos="4680"/>
        </w:tabs>
        <w:rPr>
          <w:sz w:val="24"/>
          <w:szCs w:val="24"/>
        </w:rPr>
      </w:pPr>
      <w:hyperlink r:id="rId14" w:history="1">
        <w:r w:rsidRPr="008B3EA4" w:rsidR="005D783A">
          <w:rPr>
            <w:rStyle w:val="Hyperlink"/>
            <w:sz w:val="24"/>
            <w:szCs w:val="24"/>
          </w:rPr>
          <w:t>werner.margard@ohioattorneygeneral.gov</w:t>
        </w:r>
      </w:hyperlink>
      <w:r w:rsidRPr="008B3EA4" w:rsidR="005D783A">
        <w:rPr>
          <w:sz w:val="24"/>
          <w:szCs w:val="24"/>
        </w:rPr>
        <w:t xml:space="preserve"> </w:t>
      </w:r>
      <w:r w:rsidRPr="008B3EA4" w:rsidR="005D783A">
        <w:rPr>
          <w:sz w:val="24"/>
          <w:szCs w:val="24"/>
        </w:rPr>
        <w:tab/>
      </w:r>
      <w:hyperlink r:id="rId15" w:history="1">
        <w:r w:rsidRPr="008B3EA4" w:rsidR="00662BFE">
          <w:rPr>
            <w:rStyle w:val="Hyperlink"/>
            <w:sz w:val="24"/>
            <w:szCs w:val="24"/>
          </w:rPr>
          <w:t>whitt@whitt-sturtevant.com</w:t>
        </w:r>
      </w:hyperlink>
    </w:p>
    <w:p w:rsidR="004A6116" w:rsidRPr="008B3EA4" w:rsidP="00662BFE" w14:paraId="4E7B46DF" w14:textId="6B1A9A3C">
      <w:pPr>
        <w:tabs>
          <w:tab w:val="left" w:pos="4680"/>
        </w:tabs>
        <w:rPr>
          <w:sz w:val="24"/>
          <w:szCs w:val="24"/>
        </w:rPr>
      </w:pPr>
      <w:r w:rsidRPr="008B3EA4">
        <w:rPr>
          <w:sz w:val="24"/>
          <w:szCs w:val="24"/>
        </w:rPr>
        <w:tab/>
      </w:r>
      <w:hyperlink r:id="rId16" w:history="1">
        <w:r w:rsidRPr="008B3EA4" w:rsidR="00662BFE">
          <w:rPr>
            <w:rStyle w:val="Hyperlink"/>
            <w:sz w:val="24"/>
            <w:szCs w:val="24"/>
          </w:rPr>
          <w:t>kennedy@whitt-sturtevant.com</w:t>
        </w:r>
      </w:hyperlink>
      <w:r w:rsidRPr="008B3EA4" w:rsidR="0081110B">
        <w:rPr>
          <w:sz w:val="24"/>
          <w:szCs w:val="24"/>
        </w:rPr>
        <w:t xml:space="preserve"> </w:t>
      </w:r>
    </w:p>
    <w:p w:rsidR="004A6116" w:rsidP="00662BFE" w14:paraId="6A5AC0A3" w14:textId="7C5C2DF3">
      <w:pPr>
        <w:ind w:left="4680" w:hanging="4680"/>
        <w:rPr>
          <w:rFonts w:ascii="TimesNewRomanPSMT" w:hAnsi="TimesNewRomanPSMT" w:eastAsiaTheme="minorHAnsi" w:cs="TimesNewRomanPSMT"/>
          <w:sz w:val="24"/>
          <w:szCs w:val="24"/>
        </w:rPr>
      </w:pPr>
      <w:r w:rsidRPr="008B3EA4">
        <w:rPr>
          <w:sz w:val="24"/>
          <w:szCs w:val="24"/>
        </w:rPr>
        <w:t>Attorney Examiner:</w:t>
      </w:r>
      <w:r w:rsidRPr="008B3EA4">
        <w:rPr>
          <w:sz w:val="24"/>
          <w:szCs w:val="24"/>
        </w:rPr>
        <w:tab/>
      </w:r>
      <w:hyperlink r:id="rId17" w:history="1">
        <w:r w:rsidRPr="00E00CB2">
          <w:rPr>
            <w:rStyle w:val="Hyperlink"/>
            <w:rFonts w:ascii="TimesNewRomanPSMT" w:hAnsi="TimesNewRomanPSMT" w:eastAsiaTheme="minorHAnsi" w:cs="TimesNewRomanPSMT"/>
            <w:sz w:val="24"/>
            <w:szCs w:val="24"/>
          </w:rPr>
          <w:t>fykes@whitt-sturtevant.com</w:t>
        </w:r>
      </w:hyperlink>
    </w:p>
    <w:p w:rsidR="00662BFE" w:rsidRPr="008B3EA4" w:rsidP="00662BFE" w14:paraId="023FC5F3" w14:textId="65B64127">
      <w:pPr>
        <w:pStyle w:val="BodyText"/>
        <w:tabs>
          <w:tab w:val="left" w:pos="4680"/>
        </w:tabs>
        <w:ind w:left="541"/>
        <w:rPr>
          <w:szCs w:val="24"/>
        </w:rPr>
      </w:pPr>
      <w:r w:rsidRPr="008B3EA4">
        <w:rPr>
          <w:szCs w:val="24"/>
        </w:rPr>
        <w:tab/>
      </w:r>
      <w:hyperlink r:id="rId18" w:history="1">
        <w:r w:rsidRPr="008B3EA4">
          <w:rPr>
            <w:rStyle w:val="Hyperlink"/>
            <w:szCs w:val="24"/>
          </w:rPr>
          <w:t>andrew.j.campbell@dominionenergy.com</w:t>
        </w:r>
      </w:hyperlink>
    </w:p>
    <w:p w:rsidR="004A6116" w:rsidRPr="008B3EA4" w:rsidP="00662BFE" w14:paraId="369D0F12" w14:textId="65562508">
      <w:pPr>
        <w:ind w:left="4680" w:hanging="4680"/>
        <w:rPr>
          <w:sz w:val="24"/>
          <w:szCs w:val="24"/>
        </w:rPr>
      </w:pPr>
      <w:hyperlink r:id="rId19" w:history="1">
        <w:r w:rsidRPr="008B3EA4" w:rsidR="005D783A">
          <w:rPr>
            <w:rStyle w:val="Hyperlink"/>
            <w:sz w:val="24"/>
            <w:szCs w:val="24"/>
          </w:rPr>
          <w:t>anna.sanyal@puco.ohio.gov</w:t>
        </w:r>
      </w:hyperlink>
      <w:r w:rsidRPr="008B3EA4" w:rsidR="005D783A">
        <w:rPr>
          <w:sz w:val="24"/>
          <w:szCs w:val="24"/>
        </w:rPr>
        <w:tab/>
      </w:r>
      <w:hyperlink r:id="rId20" w:history="1">
        <w:r w:rsidRPr="008B3EA4" w:rsidR="00662BFE">
          <w:rPr>
            <w:rStyle w:val="Hyperlink"/>
            <w:sz w:val="24"/>
            <w:szCs w:val="24"/>
          </w:rPr>
          <w:t>gkrassen@bricker.com</w:t>
        </w:r>
      </w:hyperlink>
      <w:r w:rsidRPr="008B3EA4" w:rsidR="0081110B">
        <w:rPr>
          <w:sz w:val="24"/>
          <w:szCs w:val="24"/>
        </w:rPr>
        <w:t xml:space="preserve"> </w:t>
      </w:r>
      <w:r w:rsidRPr="008B3EA4" w:rsidR="005D783A">
        <w:rPr>
          <w:sz w:val="24"/>
          <w:szCs w:val="24"/>
        </w:rPr>
        <w:tab/>
        <w:t xml:space="preserve"> </w:t>
      </w:r>
    </w:p>
    <w:p w:rsidR="004A6116" w:rsidRPr="008B3EA4" w:rsidP="00662BFE" w14:paraId="425807EC" w14:textId="00A5C570">
      <w:pPr>
        <w:ind w:left="4680" w:hanging="4680"/>
        <w:rPr>
          <w:sz w:val="24"/>
          <w:szCs w:val="24"/>
        </w:rPr>
      </w:pPr>
      <w:hyperlink r:id="rId21" w:history="1">
        <w:r w:rsidRPr="008B3EA4" w:rsidR="005D783A">
          <w:rPr>
            <w:rStyle w:val="Hyperlink"/>
            <w:sz w:val="24"/>
            <w:szCs w:val="24"/>
          </w:rPr>
          <w:t>greta.see@puco.ohio.gov</w:t>
        </w:r>
      </w:hyperlink>
      <w:r w:rsidRPr="008B3EA4" w:rsidR="0081110B">
        <w:rPr>
          <w:sz w:val="24"/>
          <w:szCs w:val="24"/>
        </w:rPr>
        <w:t xml:space="preserve">  </w:t>
      </w:r>
      <w:r w:rsidRPr="008B3EA4" w:rsidR="00662BFE">
        <w:rPr>
          <w:sz w:val="24"/>
          <w:szCs w:val="24"/>
        </w:rPr>
        <w:tab/>
      </w:r>
      <w:hyperlink r:id="rId22" w:history="1">
        <w:r w:rsidRPr="008B3EA4" w:rsidR="00662BFE">
          <w:rPr>
            <w:rStyle w:val="Hyperlink"/>
            <w:sz w:val="24"/>
            <w:szCs w:val="24"/>
          </w:rPr>
          <w:t>dstinson@bricker.com</w:t>
        </w:r>
      </w:hyperlink>
      <w:r w:rsidRPr="008B3EA4" w:rsidR="0081110B">
        <w:rPr>
          <w:sz w:val="24"/>
          <w:szCs w:val="24"/>
        </w:rPr>
        <w:t xml:space="preserve"> </w:t>
      </w:r>
    </w:p>
    <w:p w:rsidR="004A6116" w:rsidRPr="008B3EA4" w:rsidP="004A6116" w14:paraId="4634AF2B" w14:textId="77777777">
      <w:pPr>
        <w:pStyle w:val="ListParagraph"/>
        <w:spacing w:line="480" w:lineRule="auto"/>
        <w:ind w:left="1440"/>
        <w:jc w:val="both"/>
        <w:rPr>
          <w:sz w:val="24"/>
          <w:szCs w:val="24"/>
        </w:rPr>
      </w:pPr>
    </w:p>
    <w:sectPr w:rsidSect="00933C93">
      <w:headerReference w:type="first" r:id="rId2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4184114"/>
      <w:docPartObj>
        <w:docPartGallery w:val="Page Numbers (Bottom of Page)"/>
        <w:docPartUnique/>
      </w:docPartObj>
    </w:sdtPr>
    <w:sdtEndPr>
      <w:rPr>
        <w:noProof/>
      </w:rPr>
    </w:sdtEndPr>
    <w:sdtContent>
      <w:p w:rsidR="00845C50" w14:paraId="2E2370CC" w14:textId="5726C8B4">
        <w:pPr>
          <w:pStyle w:val="Footer"/>
          <w:jc w:val="center"/>
        </w:pPr>
      </w:p>
    </w:sdtContent>
  </w:sdt>
  <w:p w:rsidR="000136A4" w:rsidRPr="0081110B" w14:paraId="39060B5D" w14:textId="77777777">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730476"/>
      <w:docPartObj>
        <w:docPartGallery w:val="Page Numbers (Bottom of Page)"/>
        <w:docPartUnique/>
      </w:docPartObj>
    </w:sdtPr>
    <w:sdtEndPr>
      <w:rPr>
        <w:noProof/>
        <w:sz w:val="24"/>
        <w:szCs w:val="24"/>
      </w:rPr>
    </w:sdtEndPr>
    <w:sdtContent>
      <w:p w:rsidR="00845C50" w:rsidRPr="00845C50" w14:paraId="5ED34C0F" w14:textId="77777777">
        <w:pPr>
          <w:pStyle w:val="Footer"/>
          <w:jc w:val="center"/>
          <w:rPr>
            <w:sz w:val="24"/>
            <w:szCs w:val="24"/>
          </w:rPr>
        </w:pPr>
        <w:r w:rsidRPr="00845C50">
          <w:rPr>
            <w:sz w:val="24"/>
            <w:szCs w:val="24"/>
          </w:rPr>
          <w:fldChar w:fldCharType="begin"/>
        </w:r>
        <w:r w:rsidRPr="00845C50">
          <w:rPr>
            <w:sz w:val="24"/>
            <w:szCs w:val="24"/>
          </w:rPr>
          <w:instrText xml:space="preserve"> PAGE   \* MERGEFORMAT </w:instrText>
        </w:r>
        <w:r w:rsidRPr="00845C50">
          <w:rPr>
            <w:sz w:val="24"/>
            <w:szCs w:val="24"/>
          </w:rPr>
          <w:fldChar w:fldCharType="separate"/>
        </w:r>
        <w:r w:rsidRPr="00845C50">
          <w:rPr>
            <w:noProof/>
            <w:sz w:val="24"/>
            <w:szCs w:val="24"/>
          </w:rPr>
          <w:t>2</w:t>
        </w:r>
        <w:r w:rsidRPr="00845C50">
          <w:rPr>
            <w:noProof/>
            <w:sz w:val="24"/>
            <w:szCs w:val="24"/>
          </w:rPr>
          <w:fldChar w:fldCharType="end"/>
        </w:r>
      </w:p>
    </w:sdtContent>
  </w:sdt>
  <w:p w:rsidR="00845C50" w:rsidRPr="0081110B" w14:paraId="6B19C851" w14:textId="77777777">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9152406"/>
      <w:docPartObj>
        <w:docPartGallery w:val="Page Numbers (Bottom of Page)"/>
        <w:docPartUnique/>
      </w:docPartObj>
    </w:sdtPr>
    <w:sdtEndPr>
      <w:rPr>
        <w:noProof/>
        <w:sz w:val="24"/>
        <w:szCs w:val="24"/>
      </w:rPr>
    </w:sdtEndPr>
    <w:sdtContent>
      <w:p w:rsidR="00B7133C" w:rsidRPr="00B7133C" w14:paraId="7BB5C5B6" w14:textId="77777777">
        <w:pPr>
          <w:pStyle w:val="Footer"/>
          <w:jc w:val="center"/>
          <w:rPr>
            <w:sz w:val="24"/>
            <w:szCs w:val="24"/>
          </w:rPr>
        </w:pPr>
        <w:r w:rsidRPr="00B7133C">
          <w:rPr>
            <w:sz w:val="24"/>
            <w:szCs w:val="24"/>
          </w:rPr>
          <w:fldChar w:fldCharType="begin"/>
        </w:r>
        <w:r w:rsidRPr="00B7133C">
          <w:rPr>
            <w:sz w:val="24"/>
            <w:szCs w:val="24"/>
          </w:rPr>
          <w:instrText xml:space="preserve"> PAGE   \* MERGEFORMAT </w:instrText>
        </w:r>
        <w:r w:rsidRPr="00B7133C">
          <w:rPr>
            <w:sz w:val="24"/>
            <w:szCs w:val="24"/>
          </w:rPr>
          <w:fldChar w:fldCharType="separate"/>
        </w:r>
        <w:r w:rsidRPr="00B7133C">
          <w:rPr>
            <w:noProof/>
            <w:sz w:val="24"/>
            <w:szCs w:val="24"/>
          </w:rPr>
          <w:t>2</w:t>
        </w:r>
        <w:r w:rsidRPr="00B7133C">
          <w:rPr>
            <w:noProof/>
            <w:sz w:val="24"/>
            <w:szCs w:val="24"/>
          </w:rPr>
          <w:fldChar w:fldCharType="end"/>
        </w:r>
      </w:p>
    </w:sdtContent>
  </w:sdt>
  <w:p w:rsidR="00B7133C" w:rsidRPr="0081110B" w14:paraId="076EC2F1" w14:textId="77777777">
    <w:pPr>
      <w:pStyle w:val="Footer"/>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444203"/>
      <w:docPartObj>
        <w:docPartGallery w:val="Page Numbers (Bottom of Page)"/>
        <w:docPartUnique/>
      </w:docPartObj>
    </w:sdtPr>
    <w:sdtEndPr>
      <w:rPr>
        <w:noProof/>
        <w:sz w:val="24"/>
        <w:szCs w:val="24"/>
      </w:rPr>
    </w:sdtEndPr>
    <w:sdtContent>
      <w:p w:rsidR="00F4412E" w:rsidRPr="00F4412E" w14:paraId="637597A8" w14:textId="77777777">
        <w:pPr>
          <w:pStyle w:val="Footer"/>
          <w:jc w:val="center"/>
          <w:rPr>
            <w:sz w:val="24"/>
            <w:szCs w:val="24"/>
          </w:rPr>
        </w:pPr>
        <w:r w:rsidRPr="00F4412E">
          <w:rPr>
            <w:sz w:val="24"/>
            <w:szCs w:val="24"/>
          </w:rPr>
          <w:fldChar w:fldCharType="begin"/>
        </w:r>
        <w:r w:rsidRPr="00F4412E">
          <w:rPr>
            <w:sz w:val="24"/>
            <w:szCs w:val="24"/>
          </w:rPr>
          <w:instrText xml:space="preserve"> PAGE   \* MERGEFORMAT </w:instrText>
        </w:r>
        <w:r w:rsidRPr="00F4412E">
          <w:rPr>
            <w:sz w:val="24"/>
            <w:szCs w:val="24"/>
          </w:rPr>
          <w:fldChar w:fldCharType="separate"/>
        </w:r>
        <w:r w:rsidRPr="00F4412E">
          <w:rPr>
            <w:noProof/>
            <w:sz w:val="24"/>
            <w:szCs w:val="24"/>
          </w:rPr>
          <w:t>2</w:t>
        </w:r>
        <w:r w:rsidRPr="00F4412E">
          <w:rPr>
            <w:noProof/>
            <w:sz w:val="24"/>
            <w:szCs w:val="24"/>
          </w:rPr>
          <w:fldChar w:fldCharType="end"/>
        </w:r>
      </w:p>
    </w:sdtContent>
  </w:sdt>
  <w:p w:rsidR="00F4412E" w14:paraId="3147F9C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8131340"/>
      <w:docPartObj>
        <w:docPartGallery w:val="Page Numbers (Bottom of Page)"/>
        <w:docPartUnique/>
      </w:docPartObj>
    </w:sdtPr>
    <w:sdtEndPr>
      <w:rPr>
        <w:noProof/>
        <w:sz w:val="24"/>
        <w:szCs w:val="24"/>
      </w:rPr>
    </w:sdtEndPr>
    <w:sdtContent>
      <w:p w:rsidR="000136A4" w:rsidRPr="0081110B" w14:paraId="4CF79253" w14:textId="77777777">
        <w:pPr>
          <w:pStyle w:val="Footer"/>
          <w:jc w:val="center"/>
          <w:rPr>
            <w:sz w:val="24"/>
            <w:szCs w:val="24"/>
          </w:rPr>
        </w:pPr>
        <w:r w:rsidRPr="0081110B">
          <w:rPr>
            <w:sz w:val="24"/>
            <w:szCs w:val="24"/>
          </w:rPr>
          <w:fldChar w:fldCharType="begin"/>
        </w:r>
        <w:r w:rsidRPr="0081110B">
          <w:rPr>
            <w:sz w:val="24"/>
            <w:szCs w:val="24"/>
          </w:rPr>
          <w:instrText xml:space="preserve"> PAGE   \* MERGEFORMAT </w:instrText>
        </w:r>
        <w:r w:rsidRPr="0081110B">
          <w:rPr>
            <w:sz w:val="24"/>
            <w:szCs w:val="24"/>
          </w:rPr>
          <w:fldChar w:fldCharType="separate"/>
        </w:r>
        <w:r>
          <w:rPr>
            <w:noProof/>
            <w:sz w:val="24"/>
            <w:szCs w:val="24"/>
          </w:rPr>
          <w:t>1</w:t>
        </w:r>
        <w:r w:rsidRPr="0081110B">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12074" w:rsidP="00D06272" w14:paraId="36D0DAF2" w14:textId="77777777">
      <w:r>
        <w:separator/>
      </w:r>
    </w:p>
  </w:footnote>
  <w:footnote w:type="continuationSeparator" w:id="1">
    <w:p w:rsidR="00712074" w:rsidP="00D06272" w14:paraId="23489E4F" w14:textId="77777777">
      <w:r>
        <w:continuationSeparator/>
      </w:r>
    </w:p>
  </w:footnote>
  <w:footnote w:id="2">
    <w:p w:rsidR="00C5245C" w:rsidRPr="000056B3" w:rsidP="008B3EA4" w14:paraId="20D78367" w14:textId="03B98C84">
      <w:pPr>
        <w:pStyle w:val="FootnoteText"/>
        <w:spacing w:after="120"/>
      </w:pPr>
      <w:r w:rsidRPr="000056B3">
        <w:rPr>
          <w:rStyle w:val="FootnoteReference"/>
        </w:rPr>
        <w:footnoteRef/>
      </w:r>
      <w:r w:rsidRPr="000056B3">
        <w:t xml:space="preserve"> Ohio Adm. Code 4901-1-12</w:t>
      </w:r>
      <w:r w:rsidRPr="000056B3" w:rsidR="002B27CE">
        <w:t>.</w:t>
      </w:r>
    </w:p>
  </w:footnote>
  <w:footnote w:id="3">
    <w:p w:rsidR="00B53764" w:rsidP="008B3EA4" w14:paraId="238F1CAE" w14:textId="77777777">
      <w:pPr>
        <w:pStyle w:val="FootnoteText"/>
        <w:spacing w:after="120"/>
      </w:pPr>
      <w:r>
        <w:rPr>
          <w:rStyle w:val="FootnoteReference"/>
        </w:rPr>
        <w:footnoteRef/>
      </w:r>
      <w:r>
        <w:t xml:space="preserve"> Columbia CEP Case, Stipulation and Recommendation </w:t>
      </w:r>
      <w:r>
        <w:rPr>
          <w:color w:val="202124"/>
          <w:shd w:val="clear" w:color="auto" w:fill="FFFFFF"/>
        </w:rPr>
        <w:t xml:space="preserve">(October 15, 2018) (“Columbia CEP Settlement Agreement”); </w:t>
      </w:r>
      <w:r w:rsidRPr="006A73F1">
        <w:t xml:space="preserve">Columbia CEP Case, Opinion and Order at </w:t>
      </w:r>
      <w:r w:rsidRPr="006A73F1">
        <w:rPr>
          <w:color w:val="202124"/>
          <w:shd w:val="clear" w:color="auto" w:fill="FFFFFF"/>
        </w:rPr>
        <w:t>¶ 1</w:t>
      </w:r>
      <w:r w:rsidRPr="006A73F1">
        <w:t xml:space="preserve"> (November 28, 2020).</w:t>
      </w:r>
    </w:p>
  </w:footnote>
  <w:footnote w:id="4">
    <w:p w:rsidR="00B53764" w:rsidP="008B3EA4" w14:paraId="444BFD67" w14:textId="77777777">
      <w:pPr>
        <w:pStyle w:val="FootnoteText"/>
        <w:spacing w:after="120"/>
      </w:pPr>
      <w:r>
        <w:rPr>
          <w:rStyle w:val="FootnoteReference"/>
        </w:rPr>
        <w:footnoteRef/>
      </w:r>
      <w:r>
        <w:t xml:space="preserve"> </w:t>
      </w:r>
      <w:r w:rsidRPr="00A21621">
        <w:rPr>
          <w:i/>
          <w:iCs/>
        </w:rPr>
        <w:t>See, e.g.,</w:t>
      </w:r>
      <w:r w:rsidRPr="005D20F8">
        <w:t xml:space="preserve"> </w:t>
      </w:r>
      <w:r>
        <w:t xml:space="preserve">Dominion Testimony at 12-13, 16, 18, 24, &amp; 26. </w:t>
      </w:r>
    </w:p>
  </w:footnote>
  <w:footnote w:id="5">
    <w:p w:rsidR="00B53764" w:rsidP="008B3EA4" w14:paraId="3245291E" w14:textId="77777777">
      <w:pPr>
        <w:pStyle w:val="FootnoteText"/>
        <w:spacing w:after="120"/>
      </w:pPr>
      <w:r>
        <w:rPr>
          <w:rStyle w:val="FootnoteReference"/>
        </w:rPr>
        <w:footnoteRef/>
      </w:r>
      <w:r>
        <w:t xml:space="preserve"> </w:t>
      </w:r>
      <w:r w:rsidRPr="00A21621">
        <w:rPr>
          <w:i/>
          <w:iCs/>
        </w:rPr>
        <w:t>Id</w:t>
      </w:r>
      <w:r>
        <w:t xml:space="preserve">. at 26. </w:t>
      </w:r>
    </w:p>
  </w:footnote>
  <w:footnote w:id="6">
    <w:p w:rsidR="00B53764" w:rsidP="008B3EA4" w14:paraId="22472F6E" w14:textId="77777777">
      <w:pPr>
        <w:pStyle w:val="FootnoteText"/>
        <w:spacing w:after="120"/>
      </w:pPr>
      <w:r>
        <w:rPr>
          <w:rStyle w:val="FootnoteReference"/>
        </w:rPr>
        <w:footnoteRef/>
      </w:r>
      <w:r>
        <w:t xml:space="preserve"> </w:t>
      </w:r>
      <w:r w:rsidRPr="00A21621">
        <w:rPr>
          <w:i/>
          <w:iCs/>
        </w:rPr>
        <w:t>Id</w:t>
      </w:r>
      <w:r>
        <w:t xml:space="preserve">. at 13. </w:t>
      </w:r>
    </w:p>
  </w:footnote>
  <w:footnote w:id="7">
    <w:p w:rsidR="00F03023" w:rsidP="008B3EA4" w14:paraId="5F3FD41D" w14:textId="77777777">
      <w:pPr>
        <w:pStyle w:val="FootnoteText"/>
        <w:spacing w:after="120"/>
      </w:pPr>
      <w:r>
        <w:rPr>
          <w:rStyle w:val="FootnoteReference"/>
        </w:rPr>
        <w:footnoteRef/>
      </w:r>
      <w:r>
        <w:t xml:space="preserve"> </w:t>
      </w:r>
      <w:r w:rsidRPr="00F03023">
        <w:rPr>
          <w:i/>
        </w:rPr>
        <w:t>In Matter of the Continuation of the Rate Freeze and Extension of the Market Development Period for The Dayton Power and Light Compan</w:t>
      </w:r>
      <w:r>
        <w:t xml:space="preserve">y, Case No. 02-2779-EL-ATA, Opinion and Order at 12 (September 2, 2003). </w:t>
      </w:r>
    </w:p>
  </w:footnote>
  <w:footnote w:id="8">
    <w:p w:rsidR="00BD04B0" w:rsidP="008B3EA4" w14:paraId="05E780A5" w14:textId="6809D212">
      <w:pPr>
        <w:pStyle w:val="FootnoteText"/>
        <w:spacing w:after="120"/>
      </w:pPr>
      <w:r>
        <w:rPr>
          <w:rStyle w:val="FootnoteReference"/>
        </w:rPr>
        <w:footnoteRef/>
      </w:r>
      <w:r>
        <w:t xml:space="preserve"> </w:t>
      </w:r>
      <w:r w:rsidRPr="00197F57">
        <w:rPr>
          <w:i/>
        </w:rPr>
        <w:t>In the Matter of the Application of The Dayton Power &amp; Light Company for Approval of its Electric Security Plan</w:t>
      </w:r>
      <w:r w:rsidRPr="00E97BD7">
        <w:t>, Case No. 16-0395-EL-SSO, Third Entry on Rehearing at</w:t>
      </w:r>
      <w:r w:rsidRPr="00912FAA">
        <w:t xml:space="preserve"> </w:t>
      </w:r>
      <w:r w:rsidRPr="00197F57">
        <w:rPr>
          <w:color w:val="111111"/>
          <w:shd w:val="clear" w:color="auto" w:fill="FFFFFF"/>
        </w:rPr>
        <w:t>¶ 45</w:t>
      </w:r>
      <w:r w:rsidRPr="00E97BD7">
        <w:t xml:space="preserve"> (September 19, 2018)</w:t>
      </w:r>
      <w:r>
        <w:t xml:space="preserve"> (emphasis added).</w:t>
      </w:r>
    </w:p>
  </w:footnote>
  <w:footnote w:id="9">
    <w:p w:rsidR="00E97BD7" w:rsidP="008B3EA4" w14:paraId="3723512F" w14:textId="5A77E732">
      <w:pPr>
        <w:pStyle w:val="FootnoteText"/>
        <w:spacing w:after="120"/>
      </w:pPr>
      <w:r>
        <w:rPr>
          <w:rStyle w:val="FootnoteReference"/>
        </w:rPr>
        <w:footnoteRef/>
      </w:r>
      <w:r>
        <w:t xml:space="preserve"> </w:t>
      </w:r>
      <w:r w:rsidRPr="00197F57">
        <w:rPr>
          <w:i/>
        </w:rPr>
        <w:t>In the Matter of the Application of The Dayton Power &amp; Light Company for Approval of its Electric Security Plan</w:t>
      </w:r>
      <w:r w:rsidRPr="00E97BD7">
        <w:t>, Case No. 16-0395-EL-SSO, Third Entry on Rehearing at</w:t>
      </w:r>
      <w:r w:rsidRPr="00912FAA">
        <w:t xml:space="preserve"> </w:t>
      </w:r>
      <w:r w:rsidRPr="00197F57">
        <w:rPr>
          <w:color w:val="111111"/>
          <w:shd w:val="clear" w:color="auto" w:fill="FFFFFF"/>
        </w:rPr>
        <w:t>¶ 45</w:t>
      </w:r>
      <w:r w:rsidRPr="00E97BD7">
        <w:t xml:space="preserve"> (September 19, 2018) (citing</w:t>
      </w:r>
      <w:r w:rsidRPr="00197F57">
        <w:rPr>
          <w:i/>
        </w:rPr>
        <w:t xml:space="preserve"> Du</w:t>
      </w:r>
      <w:r w:rsidRPr="00912FAA" w:rsidR="00912FAA">
        <w:rPr>
          <w:i/>
        </w:rPr>
        <w:t xml:space="preserve">ff </w:t>
      </w:r>
      <w:r w:rsidRPr="00197F57">
        <w:rPr>
          <w:i/>
        </w:rPr>
        <w:t>v. Pub. Util. Comm</w:t>
      </w:r>
      <w:r w:rsidRPr="00E97BD7">
        <w:t xml:space="preserve">., 56 Ohio St.2d 367,379, 384 N.E.2d 264 (1978); FirstEnergy ESP IV Case, Eighth Entry on Rehearing at </w:t>
      </w:r>
      <w:r w:rsidRPr="00197F57">
        <w:rPr>
          <w:color w:val="111111"/>
          <w:shd w:val="clear" w:color="auto" w:fill="FFFFFF"/>
        </w:rPr>
        <w:t xml:space="preserve">¶ </w:t>
      </w:r>
      <w:r w:rsidRPr="00E97BD7">
        <w:t>51 (Aug. 16, 2017)).</w:t>
      </w:r>
      <w:r>
        <w:t xml:space="preserve"> </w:t>
      </w:r>
    </w:p>
  </w:footnote>
  <w:footnote w:id="10">
    <w:p w:rsidR="00733252" w:rsidP="008B3EA4" w14:paraId="6EE491AE" w14:textId="77777777">
      <w:pPr>
        <w:pStyle w:val="FootnoteText"/>
        <w:spacing w:after="120"/>
      </w:pPr>
      <w:r>
        <w:rPr>
          <w:rStyle w:val="FootnoteReference"/>
        </w:rPr>
        <w:footnoteRef/>
      </w:r>
      <w:r>
        <w:t xml:space="preserve"> </w:t>
      </w:r>
      <w:r w:rsidRPr="006A73F1">
        <w:t xml:space="preserve">Columbia CEP Case, Opinion and Order at </w:t>
      </w:r>
      <w:r w:rsidRPr="006A73F1">
        <w:rPr>
          <w:color w:val="202124"/>
          <w:shd w:val="clear" w:color="auto" w:fill="FFFFFF"/>
        </w:rPr>
        <w:t>¶ 1</w:t>
      </w:r>
      <w:r w:rsidRPr="006A73F1">
        <w:t xml:space="preserve"> (November 28, 2020).</w:t>
      </w:r>
      <w:r>
        <w:t xml:space="preserve"> </w:t>
      </w:r>
    </w:p>
  </w:footnote>
  <w:footnote w:id="11">
    <w:p w:rsidR="00733252" w:rsidP="008B3EA4" w14:paraId="51B5B9BE" w14:textId="2852022A">
      <w:pPr>
        <w:pStyle w:val="FootnoteText"/>
        <w:spacing w:after="120"/>
      </w:pPr>
      <w:r>
        <w:rPr>
          <w:rStyle w:val="FootnoteReference"/>
        </w:rPr>
        <w:footnoteRef/>
      </w:r>
      <w:r w:rsidR="0003189D">
        <w:t xml:space="preserve"> Columbia CEP </w:t>
      </w:r>
      <w:r w:rsidR="00707CA7">
        <w:t>Settlement Agreement</w:t>
      </w:r>
      <w:r>
        <w:t xml:space="preserve"> at </w:t>
      </w:r>
      <w:r w:rsidRPr="006A73F1">
        <w:rPr>
          <w:color w:val="202124"/>
          <w:shd w:val="clear" w:color="auto" w:fill="FFFFFF"/>
        </w:rPr>
        <w:t>¶</w:t>
      </w:r>
      <w:r>
        <w:rPr>
          <w:color w:val="202124"/>
          <w:shd w:val="clear" w:color="auto" w:fill="FFFFFF"/>
        </w:rPr>
        <w:t xml:space="preserve"> 27 (emphasis added). </w:t>
      </w:r>
    </w:p>
  </w:footnote>
  <w:footnote w:id="12">
    <w:p w:rsidR="008F4536" w:rsidP="008B3EA4" w14:paraId="4D760AC8" w14:textId="66331F59">
      <w:pPr>
        <w:pStyle w:val="FootnoteText"/>
        <w:spacing w:after="120"/>
      </w:pPr>
      <w:r>
        <w:rPr>
          <w:rStyle w:val="FootnoteReference"/>
        </w:rPr>
        <w:footnoteRef/>
      </w:r>
      <w:r>
        <w:t xml:space="preserve"> </w:t>
      </w:r>
      <w:r w:rsidRPr="0029008E">
        <w:rPr>
          <w:i/>
        </w:rPr>
        <w:t>In Matter of the Continuation of the Rate Freeze and Extension of the Market Development Period for The Dayton Power and Light Compan</w:t>
      </w:r>
      <w:r>
        <w:t>y, Case N</w:t>
      </w:r>
      <w:r w:rsidR="00C87578">
        <w:t>o. 02-</w:t>
      </w:r>
      <w:r>
        <w:t>2779-EL-ATA, Opinion and Order at 12 (S</w:t>
      </w:r>
      <w:r w:rsidR="00C87578">
        <w:t>eptember 2, 2003</w:t>
      </w:r>
      <w:r>
        <w:t>).</w:t>
      </w:r>
    </w:p>
  </w:footnote>
  <w:footnote w:id="13">
    <w:p w:rsidR="00733252" w:rsidP="008B3EA4" w14:paraId="336FBF68" w14:textId="39463C7F">
      <w:pPr>
        <w:spacing w:after="120"/>
      </w:pPr>
      <w:r>
        <w:rPr>
          <w:rStyle w:val="FootnoteReference"/>
        </w:rPr>
        <w:footnoteRef/>
      </w:r>
      <w:r>
        <w:t xml:space="preserve"> </w:t>
      </w:r>
      <w:r w:rsidRPr="00733252">
        <w:rPr>
          <w:i/>
          <w:color w:val="000000"/>
          <w:bdr w:val="none" w:sz="0" w:space="0" w:color="auto" w:frame="1"/>
        </w:rPr>
        <w:t>Sunoco, Inc. (R &amp; M) v. Toledo Edison Co.</w:t>
      </w:r>
      <w:r w:rsidRPr="00733252">
        <w:rPr>
          <w:color w:val="000000"/>
        </w:rPr>
        <w:t xml:space="preserve">, 129 Ohio St.3d 397, 2011-Ohio-2720, 953 N.E.2d 285, ¶ 37 (2011) (quoting </w:t>
      </w:r>
      <w:r w:rsidRPr="00733252">
        <w:rPr>
          <w:i/>
          <w:color w:val="000000"/>
        </w:rPr>
        <w:t>Westfield Ins. Co. v. Galatis</w:t>
      </w:r>
      <w:r w:rsidRPr="00733252">
        <w:rPr>
          <w:color w:val="000000"/>
        </w:rPr>
        <w:t>, 100 Ohio St.3d 216, 2003-Ohio-5849, 797 N.E.2d. 1256, ¶11) (“</w:t>
      </w:r>
      <w:r w:rsidRPr="00733252">
        <w:rPr>
          <w:color w:val="000000"/>
          <w:shd w:val="clear" w:color="auto" w:fill="FFFFFF"/>
        </w:rPr>
        <w:t>When confronted with an issue of </w:t>
      </w:r>
      <w:r w:rsidRPr="00733252">
        <w:rPr>
          <w:color w:val="000000"/>
          <w:bdr w:val="none" w:sz="0" w:space="0" w:color="auto" w:frame="1"/>
          <w:shd w:val="clear" w:color="auto" w:fill="FFFFFF"/>
        </w:rPr>
        <w:t>contract</w:t>
      </w:r>
      <w:r w:rsidRPr="00733252">
        <w:rPr>
          <w:color w:val="000000"/>
          <w:shd w:val="clear" w:color="auto" w:fill="FFFFFF"/>
        </w:rPr>
        <w:t> interpretation, our role is to give effect to the intent of the parties.</w:t>
      </w:r>
      <w:r w:rsidR="0081110B">
        <w:rPr>
          <w:color w:val="000000"/>
          <w:shd w:val="clear" w:color="auto" w:fill="FFFFFF"/>
        </w:rPr>
        <w:t xml:space="preserve"> </w:t>
      </w:r>
      <w:r w:rsidRPr="00733252">
        <w:rPr>
          <w:bCs/>
          <w:color w:val="000000"/>
          <w:shd w:val="clear" w:color="auto" w:fill="FFFFFF"/>
        </w:rPr>
        <w:t>We will</w:t>
      </w:r>
      <w:r w:rsidRPr="00733252">
        <w:rPr>
          <w:b/>
          <w:bCs/>
          <w:color w:val="000000"/>
          <w:shd w:val="clear" w:color="auto" w:fill="FFFFFF"/>
        </w:rPr>
        <w:t xml:space="preserve"> </w:t>
      </w:r>
      <w:r w:rsidRPr="00733252">
        <w:rPr>
          <w:bCs/>
          <w:color w:val="000000"/>
          <w:shd w:val="clear" w:color="auto" w:fill="FFFFFF"/>
        </w:rPr>
        <w:t>examine the </w:t>
      </w:r>
      <w:r w:rsidRPr="00733252">
        <w:rPr>
          <w:bCs/>
          <w:color w:val="000000"/>
          <w:bdr w:val="none" w:sz="0" w:space="0" w:color="auto" w:frame="1"/>
          <w:shd w:val="clear" w:color="auto" w:fill="FFFFFF"/>
        </w:rPr>
        <w:t>contract</w:t>
      </w:r>
      <w:r w:rsidRPr="00733252">
        <w:rPr>
          <w:bCs/>
          <w:color w:val="000000"/>
          <w:shd w:val="clear" w:color="auto" w:fill="FFFFFF"/>
        </w:rPr>
        <w:t> as a whole and presume that the intent of the parties is reflected in the </w:t>
      </w:r>
      <w:r w:rsidRPr="00733252">
        <w:rPr>
          <w:bCs/>
          <w:color w:val="000000"/>
          <w:bdr w:val="none" w:sz="0" w:space="0" w:color="auto" w:frame="1"/>
          <w:shd w:val="clear" w:color="auto" w:fill="FFFFFF"/>
        </w:rPr>
        <w:t>language</w:t>
      </w:r>
      <w:r w:rsidRPr="00733252">
        <w:rPr>
          <w:bCs/>
          <w:color w:val="000000"/>
          <w:shd w:val="clear" w:color="auto" w:fill="FFFFFF"/>
        </w:rPr>
        <w:t> of the </w:t>
      </w:r>
      <w:r w:rsidRPr="00733252">
        <w:rPr>
          <w:bCs/>
          <w:color w:val="000000"/>
          <w:bdr w:val="none" w:sz="0" w:space="0" w:color="auto" w:frame="1"/>
          <w:shd w:val="clear" w:color="auto" w:fill="FFFFFF"/>
        </w:rPr>
        <w:t>contract</w:t>
      </w:r>
      <w:r w:rsidRPr="00733252">
        <w:rPr>
          <w:color w:val="000000"/>
          <w:shd w:val="clear" w:color="auto" w:fill="FFFFFF"/>
        </w:rPr>
        <w:t>.</w:t>
      </w:r>
      <w:r w:rsidR="0081110B">
        <w:rPr>
          <w:color w:val="000000"/>
          <w:shd w:val="clear" w:color="auto" w:fill="FFFFFF"/>
        </w:rPr>
        <w:t xml:space="preserve"> </w:t>
      </w:r>
      <w:r w:rsidRPr="00733252">
        <w:rPr>
          <w:color w:val="000000"/>
          <w:shd w:val="clear" w:color="auto" w:fill="FFFFFF"/>
        </w:rPr>
        <w:t>In addition, we will look to the plain and ordinary meaning of the </w:t>
      </w:r>
      <w:r w:rsidRPr="00733252">
        <w:rPr>
          <w:color w:val="000000"/>
          <w:bdr w:val="none" w:sz="0" w:space="0" w:color="auto" w:frame="1"/>
          <w:shd w:val="clear" w:color="auto" w:fill="FFFFFF"/>
        </w:rPr>
        <w:t>language</w:t>
      </w:r>
      <w:r w:rsidRPr="00733252">
        <w:rPr>
          <w:color w:val="000000"/>
          <w:shd w:val="clear" w:color="auto" w:fill="FFFFFF"/>
        </w:rPr>
        <w:t> used in the </w:t>
      </w:r>
      <w:r w:rsidRPr="00733252">
        <w:rPr>
          <w:color w:val="000000"/>
          <w:bdr w:val="none" w:sz="0" w:space="0" w:color="auto" w:frame="1"/>
          <w:shd w:val="clear" w:color="auto" w:fill="FFFFFF"/>
        </w:rPr>
        <w:t>contract</w:t>
      </w:r>
      <w:r w:rsidRPr="00733252">
        <w:rPr>
          <w:color w:val="000000"/>
          <w:shd w:val="clear" w:color="auto" w:fill="FFFFFF"/>
        </w:rPr>
        <w:t> unless another meaning is clearly apparent from the contents of the agreement.</w:t>
      </w:r>
      <w:r w:rsidR="0081110B">
        <w:rPr>
          <w:color w:val="000000"/>
          <w:shd w:val="clear" w:color="auto" w:fill="FFFFFF"/>
        </w:rPr>
        <w:t xml:space="preserve"> </w:t>
      </w:r>
      <w:r w:rsidRPr="00733252">
        <w:rPr>
          <w:color w:val="000000"/>
          <w:shd w:val="clear" w:color="auto" w:fill="FFFFFF"/>
        </w:rPr>
        <w:t>When the </w:t>
      </w:r>
      <w:r w:rsidRPr="00733252">
        <w:rPr>
          <w:color w:val="000000"/>
          <w:bdr w:val="none" w:sz="0" w:space="0" w:color="auto" w:frame="1"/>
          <w:shd w:val="clear" w:color="auto" w:fill="FFFFFF"/>
        </w:rPr>
        <w:t>language</w:t>
      </w:r>
      <w:r w:rsidRPr="00733252">
        <w:rPr>
          <w:color w:val="000000"/>
          <w:shd w:val="clear" w:color="auto" w:fill="FFFFFF"/>
        </w:rPr>
        <w:t> of a written </w:t>
      </w:r>
      <w:r w:rsidRPr="00733252">
        <w:rPr>
          <w:color w:val="000000"/>
          <w:bdr w:val="none" w:sz="0" w:space="0" w:color="auto" w:frame="1"/>
          <w:shd w:val="clear" w:color="auto" w:fill="FFFFFF"/>
        </w:rPr>
        <w:t>contract</w:t>
      </w:r>
      <w:r w:rsidRPr="00733252">
        <w:rPr>
          <w:color w:val="000000"/>
          <w:shd w:val="clear" w:color="auto" w:fill="FFFFFF"/>
        </w:rPr>
        <w:t> is clear, a court may look no further than the writing itself to find the intent of the parties.</w:t>
      </w:r>
      <w:r w:rsidR="0081110B">
        <w:rPr>
          <w:color w:val="000000"/>
          <w:shd w:val="clear" w:color="auto" w:fill="FFFFFF"/>
        </w:rPr>
        <w:t xml:space="preserve"> </w:t>
      </w:r>
      <w:r w:rsidRPr="00733252">
        <w:rPr>
          <w:color w:val="000000"/>
          <w:shd w:val="clear" w:color="auto" w:fill="FFFFFF"/>
        </w:rPr>
        <w:t>As a matter of law, a </w:t>
      </w:r>
      <w:r w:rsidRPr="00733252">
        <w:rPr>
          <w:color w:val="000000"/>
          <w:bdr w:val="none" w:sz="0" w:space="0" w:color="auto" w:frame="1"/>
          <w:shd w:val="clear" w:color="auto" w:fill="FFFFFF"/>
        </w:rPr>
        <w:t>contract</w:t>
      </w:r>
      <w:r w:rsidRPr="00733252">
        <w:rPr>
          <w:color w:val="000000"/>
          <w:shd w:val="clear" w:color="auto" w:fill="FFFFFF"/>
        </w:rPr>
        <w:t xml:space="preserve"> is unambiguous if it can be given a definite legal meaning”); </w:t>
      </w:r>
      <w:r w:rsidRPr="00733252">
        <w:rPr>
          <w:i/>
          <w:color w:val="000000"/>
          <w:bdr w:val="none" w:sz="0" w:space="0" w:color="auto" w:frame="1"/>
        </w:rPr>
        <w:t>Wohl v. Swinney</w:t>
      </w:r>
      <w:r w:rsidRPr="00733252">
        <w:rPr>
          <w:color w:val="000000"/>
        </w:rPr>
        <w:t xml:space="preserve">, 118 Ohio St.3d 277, 2008-Ohio-2334, 888 N.E.2d 1062, ¶ 22; </w:t>
      </w:r>
      <w:r w:rsidRPr="00733252">
        <w:rPr>
          <w:i/>
          <w:iCs/>
          <w:color w:val="000000"/>
          <w:bdr w:val="none" w:sz="0" w:space="0" w:color="auto" w:frame="1"/>
          <w:shd w:val="clear" w:color="auto" w:fill="FFFFFF"/>
        </w:rPr>
        <w:t>Kelly v. Medical Life Ins. Co.,</w:t>
      </w:r>
      <w:r w:rsidRPr="00733252">
        <w:rPr>
          <w:color w:val="000000"/>
          <w:shd w:val="clear" w:color="auto" w:fill="FFFFFF"/>
        </w:rPr>
        <w:t> 31 Ohio St.3d 130, 509 N.E.2d 411 (1987</w:t>
      </w:r>
      <w:r>
        <w:rPr>
          <w:color w:val="000000"/>
          <w:shd w:val="clear" w:color="auto" w:fill="FFFFFF"/>
        </w:rPr>
        <w:t xml:space="preserve">). </w:t>
      </w:r>
    </w:p>
  </w:footnote>
  <w:footnote w:id="14">
    <w:p w:rsidR="00E36A52" w:rsidP="008B3EA4" w14:paraId="610ECBE0" w14:textId="72CF28CE">
      <w:pPr>
        <w:pStyle w:val="FootnoteText"/>
        <w:spacing w:after="120"/>
      </w:pPr>
      <w:r>
        <w:rPr>
          <w:rStyle w:val="FootnoteReference"/>
        </w:rPr>
        <w:footnoteRef/>
      </w:r>
      <w:r>
        <w:t xml:space="preserve"> </w:t>
      </w:r>
      <w:r w:rsidRPr="00E36A52">
        <w:rPr>
          <w:i/>
        </w:rPr>
        <w:t>Consumers' Counsel v. Pub. Util Comm</w:t>
      </w:r>
      <w:r w:rsidRPr="00E36A52">
        <w:t>.</w:t>
      </w:r>
      <w:r w:rsidR="00B303CD">
        <w:t>, 64 Ohio St.3d 123, 125 (1992) (</w:t>
      </w:r>
      <w:r w:rsidRPr="00E36A52">
        <w:t xml:space="preserve">citing </w:t>
      </w:r>
      <w:r w:rsidRPr="00E36A52">
        <w:rPr>
          <w:i/>
        </w:rPr>
        <w:t>Akron v. Pub. Util Comm</w:t>
      </w:r>
      <w:r w:rsidR="00B303CD">
        <w:t xml:space="preserve">., 55 Ohio St.2d 155 (1978)). </w:t>
      </w:r>
    </w:p>
  </w:footnote>
  <w:footnote w:id="15">
    <w:p w:rsidR="00405E45" w:rsidRPr="00F03023" w:rsidP="008B3EA4" w14:paraId="0FB03B13" w14:textId="45597B9E">
      <w:pPr>
        <w:pStyle w:val="FootnoteText"/>
        <w:spacing w:after="120"/>
      </w:pPr>
      <w:r>
        <w:rPr>
          <w:rStyle w:val="FootnoteReference"/>
        </w:rPr>
        <w:footnoteRef/>
      </w:r>
      <w:r>
        <w:t xml:space="preserve"> </w:t>
      </w:r>
      <w:r w:rsidRPr="00A21621" w:rsidR="00B303CD">
        <w:rPr>
          <w:i/>
          <w:iCs/>
        </w:rPr>
        <w:t>Id</w:t>
      </w:r>
      <w:r w:rsidRPr="00F03023" w:rsidR="00B303CD">
        <w:t>. at 126.</w:t>
      </w:r>
      <w:r w:rsidR="0081110B">
        <w:t xml:space="preserve"> </w:t>
      </w:r>
    </w:p>
  </w:footnote>
  <w:footnote w:id="16">
    <w:p w:rsidR="00B303CD" w:rsidP="008B3EA4" w14:paraId="76D7148D" w14:textId="77777777">
      <w:pPr>
        <w:pStyle w:val="FootnoteText"/>
        <w:spacing w:after="120"/>
      </w:pPr>
      <w:r w:rsidRPr="00F03023">
        <w:rPr>
          <w:rStyle w:val="FootnoteReference"/>
        </w:rPr>
        <w:footnoteRef/>
      </w:r>
      <w:r w:rsidRPr="00F03023">
        <w:t xml:space="preserve"> </w:t>
      </w:r>
      <w:r w:rsidRPr="00A21621">
        <w:rPr>
          <w:i/>
          <w:iCs/>
        </w:rPr>
        <w:t>Id</w:t>
      </w:r>
      <w:r w:rsidRPr="00F0302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3C93" w14:paraId="4731E8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B01F62"/>
    <w:multiLevelType w:val="hybridMultilevel"/>
    <w:tmpl w:val="5CB03D9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2AF4190A"/>
    <w:multiLevelType w:val="hybridMultilevel"/>
    <w:tmpl w:val="360CFB34"/>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A684A86"/>
    <w:multiLevelType w:val="hybridMultilevel"/>
    <w:tmpl w:val="EF0A14D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3F52B71"/>
    <w:multiLevelType w:val="hybridMultilevel"/>
    <w:tmpl w:val="8DB4ABEA"/>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4545007"/>
    <w:multiLevelType w:val="hybridMultilevel"/>
    <w:tmpl w:val="40461FB4"/>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B8"/>
    <w:rsid w:val="000056B3"/>
    <w:rsid w:val="0001298B"/>
    <w:rsid w:val="000136A4"/>
    <w:rsid w:val="0002439C"/>
    <w:rsid w:val="0003189D"/>
    <w:rsid w:val="00047DE0"/>
    <w:rsid w:val="0005425C"/>
    <w:rsid w:val="00055BC2"/>
    <w:rsid w:val="00094AA3"/>
    <w:rsid w:val="000B63F7"/>
    <w:rsid w:val="000C4F7F"/>
    <w:rsid w:val="000F4F00"/>
    <w:rsid w:val="00110780"/>
    <w:rsid w:val="00113B85"/>
    <w:rsid w:val="00126995"/>
    <w:rsid w:val="00162EC1"/>
    <w:rsid w:val="00164021"/>
    <w:rsid w:val="00170D4B"/>
    <w:rsid w:val="001975D2"/>
    <w:rsid w:val="00197F57"/>
    <w:rsid w:val="001A033D"/>
    <w:rsid w:val="001B255E"/>
    <w:rsid w:val="001B7B31"/>
    <w:rsid w:val="001D11AE"/>
    <w:rsid w:val="001D574A"/>
    <w:rsid w:val="00234037"/>
    <w:rsid w:val="00235BBE"/>
    <w:rsid w:val="00241D71"/>
    <w:rsid w:val="00257494"/>
    <w:rsid w:val="00271D80"/>
    <w:rsid w:val="00286198"/>
    <w:rsid w:val="0029008E"/>
    <w:rsid w:val="002B27CE"/>
    <w:rsid w:val="002C3024"/>
    <w:rsid w:val="002D097A"/>
    <w:rsid w:val="002D42AD"/>
    <w:rsid w:val="002D7D8F"/>
    <w:rsid w:val="002F6B78"/>
    <w:rsid w:val="003200F5"/>
    <w:rsid w:val="00331E13"/>
    <w:rsid w:val="00334A14"/>
    <w:rsid w:val="003570D6"/>
    <w:rsid w:val="0038333D"/>
    <w:rsid w:val="0038339A"/>
    <w:rsid w:val="00385A22"/>
    <w:rsid w:val="003B4B6F"/>
    <w:rsid w:val="003F292C"/>
    <w:rsid w:val="003F3D43"/>
    <w:rsid w:val="00405E45"/>
    <w:rsid w:val="004279BA"/>
    <w:rsid w:val="00434E28"/>
    <w:rsid w:val="00442AC9"/>
    <w:rsid w:val="004718D1"/>
    <w:rsid w:val="004A481C"/>
    <w:rsid w:val="004A6116"/>
    <w:rsid w:val="004B5B1D"/>
    <w:rsid w:val="004D6503"/>
    <w:rsid w:val="004E2FE4"/>
    <w:rsid w:val="005133B6"/>
    <w:rsid w:val="00517429"/>
    <w:rsid w:val="00517CF9"/>
    <w:rsid w:val="005357F0"/>
    <w:rsid w:val="00544DA0"/>
    <w:rsid w:val="0055333D"/>
    <w:rsid w:val="00554877"/>
    <w:rsid w:val="005647EB"/>
    <w:rsid w:val="00567740"/>
    <w:rsid w:val="005769EF"/>
    <w:rsid w:val="00580085"/>
    <w:rsid w:val="00585580"/>
    <w:rsid w:val="005B4765"/>
    <w:rsid w:val="005D20F8"/>
    <w:rsid w:val="005D783A"/>
    <w:rsid w:val="005E6216"/>
    <w:rsid w:val="005F2189"/>
    <w:rsid w:val="005F7488"/>
    <w:rsid w:val="00641742"/>
    <w:rsid w:val="00655832"/>
    <w:rsid w:val="00662BFE"/>
    <w:rsid w:val="006A4A5D"/>
    <w:rsid w:val="006A73F1"/>
    <w:rsid w:val="006B27BA"/>
    <w:rsid w:val="006D10A8"/>
    <w:rsid w:val="006E6AB9"/>
    <w:rsid w:val="006F45A8"/>
    <w:rsid w:val="00707CA7"/>
    <w:rsid w:val="00712074"/>
    <w:rsid w:val="00713C29"/>
    <w:rsid w:val="00733252"/>
    <w:rsid w:val="007357F9"/>
    <w:rsid w:val="00760448"/>
    <w:rsid w:val="00781B8F"/>
    <w:rsid w:val="00784597"/>
    <w:rsid w:val="007A48AF"/>
    <w:rsid w:val="007A64DF"/>
    <w:rsid w:val="007C0BA8"/>
    <w:rsid w:val="00803B7C"/>
    <w:rsid w:val="00806B57"/>
    <w:rsid w:val="00807902"/>
    <w:rsid w:val="0081110B"/>
    <w:rsid w:val="008136B8"/>
    <w:rsid w:val="0082416C"/>
    <w:rsid w:val="00845C50"/>
    <w:rsid w:val="00847921"/>
    <w:rsid w:val="00861206"/>
    <w:rsid w:val="00872FE7"/>
    <w:rsid w:val="008765AB"/>
    <w:rsid w:val="00891DB3"/>
    <w:rsid w:val="008B3EA4"/>
    <w:rsid w:val="008C1472"/>
    <w:rsid w:val="008C1FBF"/>
    <w:rsid w:val="008C5045"/>
    <w:rsid w:val="008C6602"/>
    <w:rsid w:val="008D7DA1"/>
    <w:rsid w:val="008F4536"/>
    <w:rsid w:val="008F7D26"/>
    <w:rsid w:val="00912FAA"/>
    <w:rsid w:val="00933C93"/>
    <w:rsid w:val="00943C7B"/>
    <w:rsid w:val="00954A3F"/>
    <w:rsid w:val="00955404"/>
    <w:rsid w:val="009649CD"/>
    <w:rsid w:val="00994493"/>
    <w:rsid w:val="009B3158"/>
    <w:rsid w:val="009B769D"/>
    <w:rsid w:val="009C0AAF"/>
    <w:rsid w:val="009C0C96"/>
    <w:rsid w:val="009D06BD"/>
    <w:rsid w:val="00A00C56"/>
    <w:rsid w:val="00A1391B"/>
    <w:rsid w:val="00A21621"/>
    <w:rsid w:val="00A23628"/>
    <w:rsid w:val="00A35339"/>
    <w:rsid w:val="00A428CD"/>
    <w:rsid w:val="00A45FF3"/>
    <w:rsid w:val="00A64F37"/>
    <w:rsid w:val="00A7762F"/>
    <w:rsid w:val="00AB3850"/>
    <w:rsid w:val="00AC3BFA"/>
    <w:rsid w:val="00AC4D80"/>
    <w:rsid w:val="00AE22FF"/>
    <w:rsid w:val="00AE7683"/>
    <w:rsid w:val="00B303CD"/>
    <w:rsid w:val="00B53764"/>
    <w:rsid w:val="00B55612"/>
    <w:rsid w:val="00B60432"/>
    <w:rsid w:val="00B7087A"/>
    <w:rsid w:val="00B7133C"/>
    <w:rsid w:val="00B82552"/>
    <w:rsid w:val="00B831E6"/>
    <w:rsid w:val="00BA4A87"/>
    <w:rsid w:val="00BD04B0"/>
    <w:rsid w:val="00C030D8"/>
    <w:rsid w:val="00C032BD"/>
    <w:rsid w:val="00C43755"/>
    <w:rsid w:val="00C5245C"/>
    <w:rsid w:val="00C87578"/>
    <w:rsid w:val="00CA08FB"/>
    <w:rsid w:val="00CD61C3"/>
    <w:rsid w:val="00CE25CE"/>
    <w:rsid w:val="00CE26DB"/>
    <w:rsid w:val="00CE5A2D"/>
    <w:rsid w:val="00CE5FD6"/>
    <w:rsid w:val="00D06272"/>
    <w:rsid w:val="00D0688C"/>
    <w:rsid w:val="00D116D9"/>
    <w:rsid w:val="00D12E58"/>
    <w:rsid w:val="00D66AE5"/>
    <w:rsid w:val="00D913C0"/>
    <w:rsid w:val="00DB59B7"/>
    <w:rsid w:val="00DD0EC5"/>
    <w:rsid w:val="00DE4876"/>
    <w:rsid w:val="00E00CB2"/>
    <w:rsid w:val="00E00F59"/>
    <w:rsid w:val="00E052B8"/>
    <w:rsid w:val="00E36A52"/>
    <w:rsid w:val="00E72237"/>
    <w:rsid w:val="00E85897"/>
    <w:rsid w:val="00E92793"/>
    <w:rsid w:val="00E950A5"/>
    <w:rsid w:val="00E97BD7"/>
    <w:rsid w:val="00EB18FC"/>
    <w:rsid w:val="00EB2743"/>
    <w:rsid w:val="00EB3787"/>
    <w:rsid w:val="00EB7FEC"/>
    <w:rsid w:val="00EC2F19"/>
    <w:rsid w:val="00ED2666"/>
    <w:rsid w:val="00ED6DBF"/>
    <w:rsid w:val="00F014CF"/>
    <w:rsid w:val="00F03023"/>
    <w:rsid w:val="00F4412E"/>
    <w:rsid w:val="00F8133D"/>
    <w:rsid w:val="00FD0DE6"/>
    <w:rsid w:val="00FD39D6"/>
    <w:rsid w:val="00FD6DF9"/>
    <w:rsid w:val="00FD7EA3"/>
    <w:rsid w:val="00FD7FE8"/>
    <w:rsid w:val="00FE1A8D"/>
    <w:rsid w:val="00FE5D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6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136B8"/>
    <w:pPr>
      <w:keepNext/>
      <w:pBdr>
        <w:top w:val="single" w:sz="6" w:space="1" w:color="auto"/>
        <w:bottom w:val="single" w:sz="6" w:space="1" w:color="auto"/>
      </w:pBdr>
      <w:jc w:val="center"/>
      <w:outlineLvl w:val="0"/>
    </w:pPr>
    <w:rPr>
      <w:b/>
      <w:sz w:val="24"/>
    </w:rPr>
  </w:style>
  <w:style w:type="paragraph" w:styleId="Heading3">
    <w:name w:val="heading 3"/>
    <w:basedOn w:val="Normal"/>
    <w:next w:val="Normal"/>
    <w:link w:val="Heading3Char"/>
    <w:uiPriority w:val="9"/>
    <w:semiHidden/>
    <w:unhideWhenUsed/>
    <w:qFormat/>
    <w:rsid w:val="004A61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6B8"/>
    <w:rPr>
      <w:rFonts w:ascii="Times New Roman" w:eastAsia="Times New Roman" w:hAnsi="Times New Roman" w:cs="Times New Roman"/>
      <w:b/>
      <w:sz w:val="24"/>
      <w:szCs w:val="20"/>
    </w:rPr>
  </w:style>
  <w:style w:type="paragraph" w:styleId="List">
    <w:name w:val="List"/>
    <w:basedOn w:val="Normal"/>
    <w:rsid w:val="008136B8"/>
    <w:pPr>
      <w:ind w:left="360" w:hanging="360"/>
    </w:pPr>
    <w:rPr>
      <w:sz w:val="24"/>
    </w:rPr>
  </w:style>
  <w:style w:type="paragraph" w:styleId="HTMLPreformatted">
    <w:name w:val="HTML Preformatted"/>
    <w:basedOn w:val="Normal"/>
    <w:link w:val="HTMLPreformattedChar"/>
    <w:rsid w:val="00813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8136B8"/>
    <w:rPr>
      <w:rFonts w:ascii="Courier New" w:eastAsia="Courier New" w:hAnsi="Courier New" w:cs="Courier New"/>
      <w:sz w:val="20"/>
      <w:szCs w:val="20"/>
    </w:rPr>
  </w:style>
  <w:style w:type="paragraph" w:styleId="ListParagraph">
    <w:name w:val="List Paragraph"/>
    <w:basedOn w:val="Normal"/>
    <w:uiPriority w:val="34"/>
    <w:qFormat/>
    <w:rsid w:val="004A6116"/>
    <w:pPr>
      <w:ind w:left="720"/>
      <w:contextualSpacing/>
    </w:pPr>
  </w:style>
  <w:style w:type="character" w:customStyle="1" w:styleId="Heading3Char">
    <w:name w:val="Heading 3 Char"/>
    <w:basedOn w:val="DefaultParagraphFont"/>
    <w:link w:val="Heading3"/>
    <w:uiPriority w:val="9"/>
    <w:semiHidden/>
    <w:rsid w:val="004A6116"/>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4A6116"/>
    <w:rPr>
      <w:color w:val="0000FF"/>
      <w:u w:val="single"/>
    </w:rPr>
  </w:style>
  <w:style w:type="paragraph" w:styleId="CommentText">
    <w:name w:val="annotation text"/>
    <w:basedOn w:val="Normal"/>
    <w:link w:val="CommentTextChar"/>
    <w:rsid w:val="004A6116"/>
  </w:style>
  <w:style w:type="character" w:customStyle="1" w:styleId="CommentTextChar">
    <w:name w:val="Comment Text Char"/>
    <w:basedOn w:val="DefaultParagraphFont"/>
    <w:link w:val="CommentText"/>
    <w:rsid w:val="004A611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06272"/>
    <w:pPr>
      <w:tabs>
        <w:tab w:val="center" w:pos="4680"/>
        <w:tab w:val="right" w:pos="9360"/>
      </w:tabs>
    </w:pPr>
  </w:style>
  <w:style w:type="character" w:customStyle="1" w:styleId="HeaderChar">
    <w:name w:val="Header Char"/>
    <w:basedOn w:val="DefaultParagraphFont"/>
    <w:link w:val="Header"/>
    <w:uiPriority w:val="99"/>
    <w:rsid w:val="00D06272"/>
    <w:rPr>
      <w:rFonts w:ascii="Times New Roman" w:eastAsia="Times New Roman" w:hAnsi="Times New Roman" w:cs="Times New Roman"/>
      <w:sz w:val="20"/>
      <w:szCs w:val="20"/>
    </w:rPr>
  </w:style>
  <w:style w:type="paragraph" w:styleId="Footer">
    <w:name w:val="footer"/>
    <w:aliases w:val="Char1"/>
    <w:basedOn w:val="Normal"/>
    <w:link w:val="FooterChar"/>
    <w:uiPriority w:val="99"/>
    <w:unhideWhenUsed/>
    <w:rsid w:val="00D06272"/>
    <w:pPr>
      <w:tabs>
        <w:tab w:val="center" w:pos="4680"/>
        <w:tab w:val="right" w:pos="9360"/>
      </w:tabs>
    </w:pPr>
  </w:style>
  <w:style w:type="character" w:customStyle="1" w:styleId="FooterChar">
    <w:name w:val="Footer Char"/>
    <w:aliases w:val="Char1 Char"/>
    <w:basedOn w:val="DefaultParagraphFont"/>
    <w:link w:val="Footer"/>
    <w:uiPriority w:val="99"/>
    <w:rsid w:val="00D06272"/>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8133D"/>
  </w:style>
  <w:style w:type="character" w:customStyle="1" w:styleId="FootnoteTextChar">
    <w:name w:val="Footnote Text Char"/>
    <w:basedOn w:val="DefaultParagraphFont"/>
    <w:link w:val="FootnoteText"/>
    <w:uiPriority w:val="99"/>
    <w:semiHidden/>
    <w:rsid w:val="00F813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133D"/>
    <w:rPr>
      <w:vertAlign w:val="superscript"/>
    </w:rPr>
  </w:style>
  <w:style w:type="paragraph" w:styleId="BalloonText">
    <w:name w:val="Balloon Text"/>
    <w:basedOn w:val="Normal"/>
    <w:link w:val="BalloonTextChar"/>
    <w:uiPriority w:val="99"/>
    <w:semiHidden/>
    <w:unhideWhenUsed/>
    <w:rsid w:val="00047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DE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8339A"/>
    <w:rPr>
      <w:sz w:val="16"/>
      <w:szCs w:val="16"/>
    </w:rPr>
  </w:style>
  <w:style w:type="paragraph" w:styleId="CommentSubject">
    <w:name w:val="annotation subject"/>
    <w:basedOn w:val="CommentText"/>
    <w:next w:val="CommentText"/>
    <w:link w:val="CommentSubjectChar"/>
    <w:uiPriority w:val="99"/>
    <w:semiHidden/>
    <w:unhideWhenUsed/>
    <w:rsid w:val="0038339A"/>
    <w:rPr>
      <w:b/>
      <w:bCs/>
    </w:rPr>
  </w:style>
  <w:style w:type="character" w:customStyle="1" w:styleId="CommentSubjectChar">
    <w:name w:val="Comment Subject Char"/>
    <w:basedOn w:val="CommentTextChar"/>
    <w:link w:val="CommentSubject"/>
    <w:uiPriority w:val="99"/>
    <w:semiHidden/>
    <w:rsid w:val="0038339A"/>
    <w:rPr>
      <w:rFonts w:ascii="Times New Roman" w:eastAsia="Times New Roman" w:hAnsi="Times New Roman" w:cs="Times New Roman"/>
      <w:b/>
      <w:bCs/>
      <w:sz w:val="20"/>
      <w:szCs w:val="20"/>
    </w:rPr>
  </w:style>
  <w:style w:type="paragraph" w:styleId="BodyText">
    <w:name w:val="Body Text"/>
    <w:basedOn w:val="Normal"/>
    <w:link w:val="BodyTextChar"/>
    <w:rsid w:val="00662BFE"/>
    <w:pPr>
      <w:jc w:val="both"/>
    </w:pPr>
    <w:rPr>
      <w:sz w:val="24"/>
    </w:rPr>
  </w:style>
  <w:style w:type="character" w:customStyle="1" w:styleId="BodyTextChar">
    <w:name w:val="Body Text Char"/>
    <w:basedOn w:val="DefaultParagraphFont"/>
    <w:link w:val="BodyText"/>
    <w:rsid w:val="00662BFE"/>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662BFE"/>
    <w:rPr>
      <w:color w:val="605E5C"/>
      <w:shd w:val="clear" w:color="auto" w:fill="E1DFDD"/>
    </w:rPr>
  </w:style>
  <w:style w:type="paragraph" w:styleId="Revision">
    <w:name w:val="Revision"/>
    <w:hidden/>
    <w:uiPriority w:val="99"/>
    <w:semiHidden/>
    <w:rsid w:val="00AC4D80"/>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5D7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illiam.michael@occ.ohio.gov" TargetMode="Externa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yperlink" Target="mailto:werner.margard@ohioattorneygeneral.gov" TargetMode="External" /><Relationship Id="rId15" Type="http://schemas.openxmlformats.org/officeDocument/2006/relationships/hyperlink" Target="mailto:whitt@whitt-sturtevant.com" TargetMode="External" /><Relationship Id="rId16" Type="http://schemas.openxmlformats.org/officeDocument/2006/relationships/hyperlink" Target="mailto:kennedy@whitt-sturtevant.com" TargetMode="External" /><Relationship Id="rId17" Type="http://schemas.openxmlformats.org/officeDocument/2006/relationships/hyperlink" Target="mailto:fykes@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hyperlink" Target="mailto:anna.sanyal@puco.ohio.gov" TargetMode="External" /><Relationship Id="rId2" Type="http://schemas.openxmlformats.org/officeDocument/2006/relationships/settings" Target="settings.xml" /><Relationship Id="rId20" Type="http://schemas.openxmlformats.org/officeDocument/2006/relationships/hyperlink" Target="mailto:gkrassen@bricker.com" TargetMode="External" /><Relationship Id="rId21" Type="http://schemas.openxmlformats.org/officeDocument/2006/relationships/hyperlink" Target="mailto:greta.see@puco.ohio.gov" TargetMode="External" /><Relationship Id="rId22" Type="http://schemas.openxmlformats.org/officeDocument/2006/relationships/hyperlink" Target="mailto:dstinson@bricker.com" TargetMode="External" /><Relationship Id="rId23" Type="http://schemas.openxmlformats.org/officeDocument/2006/relationships/header" Target="head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bojko@carpenterlipps.com" TargetMode="External" /><Relationship Id="rId8" Type="http://schemas.openxmlformats.org/officeDocument/2006/relationships/footer" Target="footer2.xml" /><Relationship Id="rId9" Type="http://schemas.openxmlformats.org/officeDocument/2006/relationships/hyperlink" Target="mailto:christopher.healey@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DBBB-7644-4920-9ADC-3A654C48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Motion to Strike DEO Testimony w/dfs  (00146509.DOCX;1)</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2020-09-08T15:23:56Z</dcterms:created>
  <dcterms:modified xsi:type="dcterms:W3CDTF">2020-09-08T15:23:56Z</dcterms:modified>
</cp:coreProperties>
</file>