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E2D1" w14:textId="73EE0BD6" w:rsidR="003D76D0" w:rsidRPr="00A42C32" w:rsidRDefault="005B60D5" w:rsidP="003D76D0">
      <w:pPr>
        <w:spacing w:after="0" w:line="240" w:lineRule="auto"/>
        <w:jc w:val="center"/>
        <w:rPr>
          <w:rFonts w:asciiTheme="majorHAnsi" w:hAnsiTheme="majorHAnsi" w:cstheme="majorHAnsi"/>
          <w:b/>
          <w:sz w:val="24"/>
          <w:szCs w:val="24"/>
        </w:rPr>
      </w:pPr>
      <w:r w:rsidRPr="00A42C32">
        <w:rPr>
          <w:rFonts w:asciiTheme="majorHAnsi" w:hAnsiTheme="majorHAnsi" w:cstheme="majorHAnsi"/>
          <w:b/>
          <w:sz w:val="24"/>
          <w:szCs w:val="24"/>
        </w:rPr>
        <w:t>BEFORE THE PUBLIC UTILITIES COMMISSION OF OHIO</w:t>
      </w:r>
    </w:p>
    <w:p w14:paraId="58B6DFDD" w14:textId="77777777" w:rsidR="00605355" w:rsidRPr="00A42C32" w:rsidRDefault="00605355" w:rsidP="003D76D0">
      <w:pPr>
        <w:spacing w:after="0" w:line="240" w:lineRule="auto"/>
        <w:jc w:val="center"/>
        <w:rPr>
          <w:rFonts w:cstheme="minorHAnsi"/>
          <w:b/>
          <w:sz w:val="24"/>
          <w:szCs w:val="24"/>
        </w:rPr>
      </w:pPr>
    </w:p>
    <w:p w14:paraId="3C464409" w14:textId="77777777" w:rsidR="00890E9D" w:rsidRPr="00A42C32" w:rsidRDefault="00890E9D" w:rsidP="003D76D0">
      <w:pPr>
        <w:spacing w:after="0" w:line="240" w:lineRule="auto"/>
        <w:jc w:val="center"/>
        <w:rPr>
          <w:rFonts w:cstheme="minorHAnsi"/>
          <w:b/>
          <w:sz w:val="24"/>
          <w:szCs w:val="24"/>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302"/>
        <w:gridCol w:w="4336"/>
      </w:tblGrid>
      <w:tr w:rsidR="00AF603E" w14:paraId="2033C097" w14:textId="77777777" w:rsidTr="00A42C32">
        <w:trPr>
          <w:trHeight w:val="1152"/>
        </w:trPr>
        <w:tc>
          <w:tcPr>
            <w:tcW w:w="4627" w:type="dxa"/>
          </w:tcPr>
          <w:p w14:paraId="5D180900" w14:textId="7611E1A7" w:rsidR="003D76D0" w:rsidRPr="00A42C32" w:rsidRDefault="005B60D5" w:rsidP="00972064">
            <w:pPr>
              <w:spacing w:after="0" w:line="240" w:lineRule="auto"/>
              <w:rPr>
                <w:rFonts w:asciiTheme="majorHAnsi" w:hAnsiTheme="majorHAnsi" w:cstheme="majorHAnsi"/>
                <w:sz w:val="24"/>
                <w:szCs w:val="24"/>
              </w:rPr>
            </w:pPr>
            <w:r w:rsidRPr="00A42C32">
              <w:rPr>
                <w:rFonts w:asciiTheme="majorHAnsi" w:hAnsiTheme="majorHAnsi" w:cstheme="majorHAnsi"/>
                <w:sz w:val="24"/>
                <w:szCs w:val="24"/>
              </w:rPr>
              <w:t>In the Matter of the Certification of Northeast Ohio Public Energy Council as Governmental Aggregator</w:t>
            </w:r>
          </w:p>
        </w:tc>
        <w:tc>
          <w:tcPr>
            <w:tcW w:w="302" w:type="dxa"/>
          </w:tcPr>
          <w:p w14:paraId="6552871C" w14:textId="02CF2926" w:rsidR="003D76D0" w:rsidRPr="00A42C32" w:rsidRDefault="005B60D5" w:rsidP="00972064">
            <w:pPr>
              <w:spacing w:after="0" w:line="240" w:lineRule="auto"/>
              <w:rPr>
                <w:rFonts w:asciiTheme="majorHAnsi" w:hAnsiTheme="majorHAnsi" w:cstheme="majorHAnsi"/>
                <w:sz w:val="24"/>
                <w:szCs w:val="24"/>
              </w:rPr>
            </w:pPr>
            <w:r w:rsidRPr="00A42C32">
              <w:rPr>
                <w:rFonts w:asciiTheme="majorHAnsi" w:hAnsiTheme="majorHAnsi" w:cstheme="majorHAnsi"/>
                <w:sz w:val="24"/>
                <w:szCs w:val="24"/>
              </w:rPr>
              <w:t>)</w:t>
            </w:r>
          </w:p>
          <w:p w14:paraId="2A16356F" w14:textId="77777777" w:rsidR="003D76D0" w:rsidRPr="00A42C32" w:rsidRDefault="005B60D5" w:rsidP="00972064">
            <w:pPr>
              <w:spacing w:after="0" w:line="240" w:lineRule="auto"/>
              <w:rPr>
                <w:rFonts w:asciiTheme="majorHAnsi" w:hAnsiTheme="majorHAnsi" w:cstheme="majorHAnsi"/>
                <w:sz w:val="24"/>
                <w:szCs w:val="24"/>
              </w:rPr>
            </w:pPr>
            <w:r w:rsidRPr="00A42C32">
              <w:rPr>
                <w:rFonts w:asciiTheme="majorHAnsi" w:hAnsiTheme="majorHAnsi" w:cstheme="majorHAnsi"/>
                <w:sz w:val="24"/>
                <w:szCs w:val="24"/>
              </w:rPr>
              <w:t>)</w:t>
            </w:r>
          </w:p>
          <w:p w14:paraId="245A3D91" w14:textId="77777777" w:rsidR="003D76D0" w:rsidRPr="00A42C32" w:rsidRDefault="005B60D5" w:rsidP="00972064">
            <w:pPr>
              <w:spacing w:after="0" w:line="240" w:lineRule="auto"/>
              <w:rPr>
                <w:rFonts w:asciiTheme="majorHAnsi" w:hAnsiTheme="majorHAnsi" w:cstheme="majorHAnsi"/>
                <w:sz w:val="24"/>
                <w:szCs w:val="24"/>
              </w:rPr>
            </w:pPr>
            <w:r w:rsidRPr="00A42C32">
              <w:rPr>
                <w:rFonts w:asciiTheme="majorHAnsi" w:hAnsiTheme="majorHAnsi" w:cstheme="majorHAnsi"/>
                <w:sz w:val="24"/>
                <w:szCs w:val="24"/>
              </w:rPr>
              <w:t>)</w:t>
            </w:r>
          </w:p>
          <w:p w14:paraId="4CE2FD98" w14:textId="1AF61119" w:rsidR="00353263" w:rsidRPr="00A42C32" w:rsidRDefault="00353263" w:rsidP="00972064">
            <w:pPr>
              <w:spacing w:after="0" w:line="240" w:lineRule="auto"/>
              <w:rPr>
                <w:rFonts w:asciiTheme="majorHAnsi" w:hAnsiTheme="majorHAnsi" w:cstheme="majorHAnsi"/>
                <w:sz w:val="24"/>
                <w:szCs w:val="24"/>
              </w:rPr>
            </w:pPr>
          </w:p>
        </w:tc>
        <w:tc>
          <w:tcPr>
            <w:tcW w:w="4336" w:type="dxa"/>
          </w:tcPr>
          <w:p w14:paraId="3B278B08" w14:textId="77777777" w:rsidR="003D76D0" w:rsidRPr="00A42C32" w:rsidRDefault="003D76D0" w:rsidP="00972064">
            <w:pPr>
              <w:spacing w:after="0" w:line="240" w:lineRule="auto"/>
              <w:ind w:left="342"/>
              <w:rPr>
                <w:rFonts w:asciiTheme="majorHAnsi" w:hAnsiTheme="majorHAnsi" w:cstheme="majorHAnsi"/>
                <w:sz w:val="24"/>
                <w:szCs w:val="24"/>
              </w:rPr>
            </w:pPr>
          </w:p>
          <w:p w14:paraId="770D9170" w14:textId="66FB917C" w:rsidR="003D76D0" w:rsidRPr="00A42C32" w:rsidRDefault="005B60D5" w:rsidP="00A116AC">
            <w:pPr>
              <w:spacing w:after="0" w:line="240" w:lineRule="auto"/>
              <w:ind w:left="342"/>
              <w:rPr>
                <w:rFonts w:asciiTheme="majorHAnsi" w:hAnsiTheme="majorHAnsi" w:cstheme="majorHAnsi"/>
                <w:sz w:val="24"/>
                <w:szCs w:val="24"/>
              </w:rPr>
            </w:pPr>
            <w:r w:rsidRPr="00A42C32">
              <w:rPr>
                <w:rFonts w:asciiTheme="majorHAnsi" w:hAnsiTheme="majorHAnsi" w:cstheme="majorHAnsi"/>
                <w:sz w:val="24"/>
                <w:szCs w:val="24"/>
              </w:rPr>
              <w:t>Case No. 00-2317-EL-GAG</w:t>
            </w:r>
          </w:p>
          <w:p w14:paraId="5E91663A" w14:textId="77777777" w:rsidR="003D76D0" w:rsidRPr="00A42C32" w:rsidRDefault="003D76D0" w:rsidP="00972064">
            <w:pPr>
              <w:spacing w:after="0" w:line="240" w:lineRule="auto"/>
              <w:ind w:left="342"/>
              <w:rPr>
                <w:rFonts w:asciiTheme="majorHAnsi" w:hAnsiTheme="majorHAnsi" w:cstheme="majorHAnsi"/>
                <w:sz w:val="24"/>
                <w:szCs w:val="24"/>
              </w:rPr>
            </w:pPr>
          </w:p>
          <w:p w14:paraId="7B600017" w14:textId="77777777" w:rsidR="003D76D0" w:rsidRPr="00A42C32" w:rsidRDefault="003D76D0" w:rsidP="00737961">
            <w:pPr>
              <w:spacing w:after="0" w:line="240" w:lineRule="auto"/>
              <w:rPr>
                <w:rFonts w:asciiTheme="majorHAnsi" w:hAnsiTheme="majorHAnsi" w:cstheme="majorHAnsi"/>
                <w:b/>
                <w:bCs/>
                <w:sz w:val="24"/>
                <w:szCs w:val="24"/>
                <w:u w:val="single"/>
              </w:rPr>
            </w:pPr>
          </w:p>
          <w:p w14:paraId="2CF077E1" w14:textId="77777777" w:rsidR="003D76D0" w:rsidRPr="00A42C32" w:rsidRDefault="003D76D0" w:rsidP="00972064">
            <w:pPr>
              <w:spacing w:after="0" w:line="240" w:lineRule="auto"/>
              <w:ind w:left="342"/>
              <w:rPr>
                <w:rFonts w:asciiTheme="majorHAnsi" w:hAnsiTheme="majorHAnsi" w:cstheme="majorHAnsi"/>
                <w:b/>
                <w:bCs/>
                <w:sz w:val="24"/>
                <w:szCs w:val="24"/>
              </w:rPr>
            </w:pPr>
          </w:p>
        </w:tc>
      </w:tr>
      <w:tr w:rsidR="00AF603E" w14:paraId="36F9274E" w14:textId="77777777" w:rsidTr="00A42C32">
        <w:trPr>
          <w:trHeight w:val="565"/>
        </w:trPr>
        <w:tc>
          <w:tcPr>
            <w:tcW w:w="9265" w:type="dxa"/>
            <w:gridSpan w:val="3"/>
          </w:tcPr>
          <w:p w14:paraId="046213B6" w14:textId="77777777" w:rsidR="00B0739E" w:rsidRPr="00A42C32" w:rsidRDefault="005B60D5" w:rsidP="00A134B7">
            <w:pPr>
              <w:pBdr>
                <w:top w:val="single" w:sz="4" w:space="1" w:color="auto"/>
                <w:bottom w:val="single" w:sz="4" w:space="1" w:color="auto"/>
              </w:pBdr>
              <w:spacing w:after="0" w:line="240" w:lineRule="auto"/>
              <w:jc w:val="center"/>
              <w:rPr>
                <w:rFonts w:asciiTheme="majorHAnsi" w:hAnsiTheme="majorHAnsi" w:cstheme="majorHAnsi"/>
                <w:b/>
                <w:sz w:val="24"/>
                <w:szCs w:val="24"/>
              </w:rPr>
            </w:pPr>
            <w:r w:rsidRPr="00A42C32">
              <w:rPr>
                <w:rFonts w:asciiTheme="majorHAnsi" w:hAnsiTheme="majorHAnsi" w:cstheme="majorHAnsi"/>
                <w:b/>
                <w:sz w:val="24"/>
                <w:szCs w:val="24"/>
              </w:rPr>
              <w:t xml:space="preserve">MEMORANDUM CONTRA NORTHEAST OHIO PUBLIC ENERGY COUNCIL’S </w:t>
            </w:r>
          </w:p>
          <w:p w14:paraId="06F31855" w14:textId="025D9653" w:rsidR="003D76D0" w:rsidRPr="00A42C32" w:rsidRDefault="005B60D5" w:rsidP="00A42C32">
            <w:pPr>
              <w:pBdr>
                <w:top w:val="single" w:sz="4" w:space="1" w:color="auto"/>
                <w:bottom w:val="single" w:sz="4" w:space="1" w:color="auto"/>
              </w:pBdr>
              <w:spacing w:after="0" w:line="240" w:lineRule="auto"/>
              <w:jc w:val="center"/>
              <w:rPr>
                <w:rFonts w:asciiTheme="majorHAnsi" w:hAnsiTheme="majorHAnsi" w:cstheme="majorHAnsi"/>
                <w:b/>
                <w:sz w:val="24"/>
                <w:szCs w:val="24"/>
              </w:rPr>
            </w:pPr>
            <w:r w:rsidRPr="00A42C32">
              <w:rPr>
                <w:rFonts w:asciiTheme="majorHAnsi" w:hAnsiTheme="majorHAnsi" w:cstheme="majorHAnsi"/>
                <w:b/>
                <w:sz w:val="24"/>
                <w:szCs w:val="24"/>
              </w:rPr>
              <w:t xml:space="preserve">MOTION TO </w:t>
            </w:r>
            <w:r w:rsidR="00B5591D" w:rsidRPr="00A42C32">
              <w:rPr>
                <w:rFonts w:asciiTheme="majorHAnsi" w:hAnsiTheme="majorHAnsi" w:cstheme="majorHAnsi"/>
                <w:b/>
                <w:sz w:val="24"/>
                <w:szCs w:val="24"/>
              </w:rPr>
              <w:t>COMPEL</w:t>
            </w:r>
          </w:p>
        </w:tc>
      </w:tr>
    </w:tbl>
    <w:p w14:paraId="0967098C" w14:textId="77777777" w:rsidR="00A42C32" w:rsidRDefault="00A42C32" w:rsidP="00C54C60">
      <w:pPr>
        <w:spacing w:after="0" w:line="480" w:lineRule="auto"/>
        <w:ind w:firstLine="720"/>
        <w:rPr>
          <w:rFonts w:cstheme="minorHAnsi"/>
          <w:bCs/>
          <w:sz w:val="24"/>
          <w:szCs w:val="24"/>
        </w:rPr>
      </w:pPr>
    </w:p>
    <w:p w14:paraId="34036609" w14:textId="5B5C9257" w:rsidR="00573B5B" w:rsidRPr="00A42C32" w:rsidRDefault="005B60D5" w:rsidP="00C54C60">
      <w:pPr>
        <w:spacing w:after="0" w:line="480" w:lineRule="auto"/>
        <w:ind w:firstLine="720"/>
        <w:rPr>
          <w:rFonts w:cstheme="minorHAnsi"/>
          <w:bCs/>
          <w:sz w:val="24"/>
          <w:szCs w:val="24"/>
        </w:rPr>
      </w:pPr>
      <w:r w:rsidRPr="00A42C32">
        <w:rPr>
          <w:rFonts w:cstheme="minorHAnsi"/>
          <w:bCs/>
          <w:sz w:val="24"/>
          <w:szCs w:val="24"/>
        </w:rPr>
        <w:t>P</w:t>
      </w:r>
      <w:r w:rsidR="00382214" w:rsidRPr="00A42C32">
        <w:rPr>
          <w:rFonts w:cstheme="minorHAnsi"/>
          <w:bCs/>
          <w:sz w:val="24"/>
          <w:szCs w:val="24"/>
        </w:rPr>
        <w:t>ursuant to Ohio Administrative Code (Oh</w:t>
      </w:r>
      <w:r w:rsidR="007B2C91" w:rsidRPr="00A42C32">
        <w:rPr>
          <w:rFonts w:cstheme="minorHAnsi"/>
          <w:bCs/>
          <w:sz w:val="24"/>
          <w:szCs w:val="24"/>
        </w:rPr>
        <w:t xml:space="preserve">io </w:t>
      </w:r>
      <w:proofErr w:type="spellStart"/>
      <w:r w:rsidR="007B2C91" w:rsidRPr="00A42C32">
        <w:rPr>
          <w:rFonts w:cstheme="minorHAnsi"/>
          <w:bCs/>
          <w:sz w:val="24"/>
          <w:szCs w:val="24"/>
        </w:rPr>
        <w:t>Adm.Code</w:t>
      </w:r>
      <w:proofErr w:type="spellEnd"/>
      <w:r w:rsidR="004F439A" w:rsidRPr="00A42C32">
        <w:rPr>
          <w:rFonts w:cstheme="minorHAnsi"/>
          <w:bCs/>
          <w:sz w:val="24"/>
          <w:szCs w:val="24"/>
        </w:rPr>
        <w:t>) 4901-1-12(B)(1)</w:t>
      </w:r>
      <w:r w:rsidR="002D0A11" w:rsidRPr="00A42C32">
        <w:rPr>
          <w:rFonts w:cstheme="minorHAnsi"/>
          <w:bCs/>
          <w:sz w:val="24"/>
          <w:szCs w:val="24"/>
        </w:rPr>
        <w:t>,</w:t>
      </w:r>
      <w:r w:rsidR="004F439A" w:rsidRPr="00A42C32">
        <w:rPr>
          <w:rFonts w:cstheme="minorHAnsi"/>
          <w:bCs/>
          <w:sz w:val="24"/>
          <w:szCs w:val="24"/>
        </w:rPr>
        <w:t xml:space="preserve"> </w:t>
      </w:r>
      <w:r w:rsidRPr="00A42C32">
        <w:rPr>
          <w:rFonts w:cstheme="minorHAnsi"/>
          <w:bCs/>
          <w:sz w:val="24"/>
          <w:szCs w:val="24"/>
        </w:rPr>
        <w:t>Hartree</w:t>
      </w:r>
      <w:r w:rsidR="00E353A4" w:rsidRPr="00A42C32">
        <w:rPr>
          <w:rFonts w:cstheme="minorHAnsi"/>
          <w:bCs/>
          <w:sz w:val="24"/>
          <w:szCs w:val="24"/>
        </w:rPr>
        <w:t xml:space="preserve"> Partners, LP (</w:t>
      </w:r>
      <w:r w:rsidR="00DB32B0" w:rsidRPr="00A42C32">
        <w:rPr>
          <w:rFonts w:cstheme="minorHAnsi"/>
          <w:bCs/>
          <w:sz w:val="24"/>
          <w:szCs w:val="24"/>
        </w:rPr>
        <w:t>“</w:t>
      </w:r>
      <w:r w:rsidR="00E353A4" w:rsidRPr="00A42C32">
        <w:rPr>
          <w:rFonts w:cstheme="minorHAnsi"/>
          <w:bCs/>
          <w:sz w:val="24"/>
          <w:szCs w:val="24"/>
        </w:rPr>
        <w:t>Hartree</w:t>
      </w:r>
      <w:r w:rsidR="00DB32B0" w:rsidRPr="00A42C32">
        <w:rPr>
          <w:rFonts w:cstheme="minorHAnsi"/>
          <w:bCs/>
          <w:sz w:val="24"/>
          <w:szCs w:val="24"/>
        </w:rPr>
        <w:t>”</w:t>
      </w:r>
      <w:r w:rsidR="00E353A4" w:rsidRPr="00A42C32">
        <w:rPr>
          <w:rFonts w:cstheme="minorHAnsi"/>
          <w:bCs/>
          <w:sz w:val="24"/>
          <w:szCs w:val="24"/>
        </w:rPr>
        <w:t>)</w:t>
      </w:r>
      <w:r w:rsidRPr="00A42C32">
        <w:rPr>
          <w:rFonts w:cstheme="minorHAnsi"/>
          <w:bCs/>
          <w:sz w:val="24"/>
          <w:szCs w:val="24"/>
        </w:rPr>
        <w:t xml:space="preserve"> files this Memorandum</w:t>
      </w:r>
      <w:r w:rsidR="00742522" w:rsidRPr="00A42C32">
        <w:rPr>
          <w:rFonts w:cstheme="minorHAnsi"/>
          <w:bCs/>
          <w:sz w:val="24"/>
          <w:szCs w:val="24"/>
        </w:rPr>
        <w:t xml:space="preserve"> Contra</w:t>
      </w:r>
      <w:r w:rsidR="00E353A4" w:rsidRPr="00A42C32">
        <w:rPr>
          <w:rFonts w:cstheme="minorHAnsi"/>
          <w:bCs/>
          <w:sz w:val="24"/>
          <w:szCs w:val="24"/>
        </w:rPr>
        <w:t xml:space="preserve"> Northeast Ohio Public</w:t>
      </w:r>
      <w:r w:rsidR="00403012" w:rsidRPr="00A42C32">
        <w:rPr>
          <w:rFonts w:cstheme="minorHAnsi"/>
          <w:bCs/>
          <w:sz w:val="24"/>
          <w:szCs w:val="24"/>
        </w:rPr>
        <w:t xml:space="preserve"> Energy </w:t>
      </w:r>
      <w:r w:rsidR="0049451B" w:rsidRPr="00A42C32">
        <w:rPr>
          <w:rFonts w:cstheme="minorHAnsi"/>
          <w:bCs/>
          <w:sz w:val="24"/>
          <w:szCs w:val="24"/>
        </w:rPr>
        <w:t>Council’s</w:t>
      </w:r>
      <w:r w:rsidRPr="00A42C32">
        <w:rPr>
          <w:rFonts w:cstheme="minorHAnsi"/>
          <w:bCs/>
          <w:sz w:val="24"/>
          <w:szCs w:val="24"/>
        </w:rPr>
        <w:t xml:space="preserve"> </w:t>
      </w:r>
      <w:r w:rsidR="00403012" w:rsidRPr="00A42C32">
        <w:rPr>
          <w:rFonts w:cstheme="minorHAnsi"/>
          <w:bCs/>
          <w:sz w:val="24"/>
          <w:szCs w:val="24"/>
        </w:rPr>
        <w:t>(</w:t>
      </w:r>
      <w:r w:rsidR="00B075AB" w:rsidRPr="00A42C32">
        <w:rPr>
          <w:rFonts w:cstheme="minorHAnsi"/>
          <w:bCs/>
          <w:sz w:val="24"/>
          <w:szCs w:val="24"/>
        </w:rPr>
        <w:t>“</w:t>
      </w:r>
      <w:r w:rsidRPr="00A42C32">
        <w:rPr>
          <w:rFonts w:cstheme="minorHAnsi"/>
          <w:bCs/>
          <w:sz w:val="24"/>
          <w:szCs w:val="24"/>
        </w:rPr>
        <w:t>NOPEC</w:t>
      </w:r>
      <w:r w:rsidR="00B075AB" w:rsidRPr="00A42C32">
        <w:rPr>
          <w:rFonts w:cstheme="minorHAnsi"/>
          <w:bCs/>
          <w:sz w:val="24"/>
          <w:szCs w:val="24"/>
        </w:rPr>
        <w:t>”</w:t>
      </w:r>
      <w:r w:rsidR="00403012" w:rsidRPr="00A42C32">
        <w:rPr>
          <w:rFonts w:cstheme="minorHAnsi"/>
          <w:bCs/>
          <w:sz w:val="24"/>
          <w:szCs w:val="24"/>
        </w:rPr>
        <w:t>)</w:t>
      </w:r>
      <w:r w:rsidRPr="00A42C32">
        <w:rPr>
          <w:rFonts w:cstheme="minorHAnsi"/>
          <w:bCs/>
          <w:sz w:val="24"/>
          <w:szCs w:val="24"/>
        </w:rPr>
        <w:t xml:space="preserve"> Motion to </w:t>
      </w:r>
      <w:r w:rsidR="00A116AC" w:rsidRPr="00A42C32">
        <w:rPr>
          <w:rFonts w:cstheme="minorHAnsi"/>
          <w:bCs/>
          <w:sz w:val="24"/>
          <w:szCs w:val="24"/>
        </w:rPr>
        <w:t>Compel</w:t>
      </w:r>
      <w:r w:rsidR="00E5511E" w:rsidRPr="00A42C32">
        <w:rPr>
          <w:rFonts w:cstheme="minorHAnsi"/>
          <w:bCs/>
          <w:sz w:val="24"/>
          <w:szCs w:val="24"/>
        </w:rPr>
        <w:t xml:space="preserve"> (“Motion”)</w:t>
      </w:r>
      <w:r w:rsidR="00332510" w:rsidRPr="00A42C32">
        <w:rPr>
          <w:rFonts w:cstheme="minorHAnsi"/>
          <w:bCs/>
          <w:sz w:val="24"/>
          <w:szCs w:val="24"/>
        </w:rPr>
        <w:t>.  Hartree files this Memorandum Contra</w:t>
      </w:r>
      <w:r w:rsidRPr="00A42C32">
        <w:rPr>
          <w:rFonts w:cstheme="minorHAnsi"/>
          <w:bCs/>
          <w:sz w:val="24"/>
          <w:szCs w:val="24"/>
        </w:rPr>
        <w:t xml:space="preserve"> to </w:t>
      </w:r>
      <w:r w:rsidR="00E56D61" w:rsidRPr="00A42C32">
        <w:rPr>
          <w:rFonts w:cstheme="minorHAnsi"/>
          <w:bCs/>
          <w:sz w:val="24"/>
          <w:szCs w:val="24"/>
        </w:rPr>
        <w:t xml:space="preserve">respectfully request that the Commission </w:t>
      </w:r>
      <w:r w:rsidR="00E5511E" w:rsidRPr="00A42C32">
        <w:rPr>
          <w:rFonts w:cstheme="minorHAnsi"/>
          <w:bCs/>
          <w:sz w:val="24"/>
          <w:szCs w:val="24"/>
        </w:rPr>
        <w:t>deny NOPEC’s Motion for the following reasons</w:t>
      </w:r>
      <w:r w:rsidR="00226093" w:rsidRPr="00A42C32">
        <w:rPr>
          <w:rFonts w:cstheme="minorHAnsi"/>
          <w:bCs/>
          <w:sz w:val="24"/>
          <w:szCs w:val="24"/>
        </w:rPr>
        <w:t>:</w:t>
      </w:r>
      <w:r w:rsidRPr="00A42C32">
        <w:rPr>
          <w:rFonts w:cstheme="minorHAnsi"/>
          <w:bCs/>
          <w:sz w:val="24"/>
          <w:szCs w:val="24"/>
        </w:rPr>
        <w:t xml:space="preserve"> (1) </w:t>
      </w:r>
      <w:r w:rsidR="00207D75" w:rsidRPr="00A42C32">
        <w:rPr>
          <w:rFonts w:cstheme="minorHAnsi"/>
          <w:bCs/>
          <w:sz w:val="24"/>
          <w:szCs w:val="24"/>
        </w:rPr>
        <w:t>N</w:t>
      </w:r>
      <w:r w:rsidRPr="00A42C32">
        <w:rPr>
          <w:rFonts w:cstheme="minorHAnsi"/>
          <w:bCs/>
          <w:sz w:val="24"/>
          <w:szCs w:val="24"/>
        </w:rPr>
        <w:t>OPEC</w:t>
      </w:r>
      <w:r w:rsidR="00207D75" w:rsidRPr="00A42C32">
        <w:rPr>
          <w:rFonts w:cstheme="minorHAnsi"/>
          <w:bCs/>
          <w:sz w:val="24"/>
          <w:szCs w:val="24"/>
        </w:rPr>
        <w:t xml:space="preserve"> does not have the right to seek discovery in this proceeding, which </w:t>
      </w:r>
      <w:r w:rsidR="00C0149B" w:rsidRPr="00A42C32">
        <w:rPr>
          <w:rFonts w:cstheme="minorHAnsi"/>
          <w:bCs/>
          <w:sz w:val="24"/>
          <w:szCs w:val="24"/>
        </w:rPr>
        <w:t>solely concerns NOPEC</w:t>
      </w:r>
      <w:r w:rsidRPr="00A42C32">
        <w:rPr>
          <w:rFonts w:cstheme="minorHAnsi"/>
          <w:bCs/>
          <w:sz w:val="24"/>
          <w:szCs w:val="24"/>
        </w:rPr>
        <w:t>’s</w:t>
      </w:r>
      <w:r w:rsidR="00C0149B" w:rsidRPr="00A42C32">
        <w:rPr>
          <w:rFonts w:cstheme="minorHAnsi"/>
          <w:bCs/>
          <w:sz w:val="24"/>
          <w:szCs w:val="24"/>
        </w:rPr>
        <w:t xml:space="preserve"> continued viability as a Competitive Retail Electric Service</w:t>
      </w:r>
      <w:r w:rsidR="00AE4668" w:rsidRPr="00A42C32">
        <w:rPr>
          <w:rFonts w:cstheme="minorHAnsi"/>
          <w:bCs/>
          <w:sz w:val="24"/>
          <w:szCs w:val="24"/>
        </w:rPr>
        <w:t xml:space="preserve"> (</w:t>
      </w:r>
      <w:r w:rsidR="00CB3E7D" w:rsidRPr="00A42C32">
        <w:rPr>
          <w:rFonts w:cstheme="minorHAnsi"/>
          <w:bCs/>
          <w:sz w:val="24"/>
          <w:szCs w:val="24"/>
        </w:rPr>
        <w:t>“</w:t>
      </w:r>
      <w:r w:rsidR="00AE4668" w:rsidRPr="00A42C32">
        <w:rPr>
          <w:rFonts w:cstheme="minorHAnsi"/>
          <w:bCs/>
          <w:sz w:val="24"/>
          <w:szCs w:val="24"/>
        </w:rPr>
        <w:t>CRES</w:t>
      </w:r>
      <w:r w:rsidR="00CB3E7D" w:rsidRPr="00A42C32">
        <w:rPr>
          <w:rFonts w:cstheme="minorHAnsi"/>
          <w:bCs/>
          <w:sz w:val="24"/>
          <w:szCs w:val="24"/>
        </w:rPr>
        <w:t>”</w:t>
      </w:r>
      <w:r w:rsidR="00AE4668" w:rsidRPr="00A42C32">
        <w:rPr>
          <w:rFonts w:cstheme="minorHAnsi"/>
          <w:bCs/>
          <w:sz w:val="24"/>
          <w:szCs w:val="24"/>
        </w:rPr>
        <w:t>)</w:t>
      </w:r>
      <w:r w:rsidR="00C0149B" w:rsidRPr="00A42C32">
        <w:rPr>
          <w:rFonts w:cstheme="minorHAnsi"/>
          <w:bCs/>
          <w:sz w:val="24"/>
          <w:szCs w:val="24"/>
        </w:rPr>
        <w:t xml:space="preserve"> provider</w:t>
      </w:r>
      <w:r w:rsidR="00FE1254" w:rsidRPr="00A42C32">
        <w:rPr>
          <w:rFonts w:cstheme="minorHAnsi"/>
          <w:bCs/>
          <w:sz w:val="24"/>
          <w:szCs w:val="24"/>
        </w:rPr>
        <w:t>;</w:t>
      </w:r>
      <w:r w:rsidR="00C0149B" w:rsidRPr="00A42C32">
        <w:rPr>
          <w:rFonts w:cstheme="minorHAnsi"/>
          <w:bCs/>
          <w:sz w:val="24"/>
          <w:szCs w:val="24"/>
        </w:rPr>
        <w:t xml:space="preserve"> (2) </w:t>
      </w:r>
      <w:r w:rsidR="00483DFB" w:rsidRPr="00A42C32">
        <w:rPr>
          <w:rFonts w:cstheme="minorHAnsi"/>
          <w:bCs/>
          <w:sz w:val="24"/>
          <w:szCs w:val="24"/>
        </w:rPr>
        <w:t xml:space="preserve">NOPEC </w:t>
      </w:r>
      <w:r w:rsidR="007F3273" w:rsidRPr="00A42C32">
        <w:rPr>
          <w:rFonts w:cstheme="minorHAnsi"/>
          <w:bCs/>
          <w:sz w:val="24"/>
          <w:szCs w:val="24"/>
        </w:rPr>
        <w:t xml:space="preserve">has not </w:t>
      </w:r>
      <w:r w:rsidR="00FE1254" w:rsidRPr="00A42C32">
        <w:rPr>
          <w:rFonts w:cstheme="minorHAnsi"/>
          <w:bCs/>
          <w:sz w:val="24"/>
          <w:szCs w:val="24"/>
        </w:rPr>
        <w:t>satisfied</w:t>
      </w:r>
      <w:r w:rsidR="00D42D6A" w:rsidRPr="00A42C32">
        <w:rPr>
          <w:rFonts w:cstheme="minorHAnsi"/>
          <w:bCs/>
          <w:sz w:val="24"/>
          <w:szCs w:val="24"/>
        </w:rPr>
        <w:t xml:space="preserve"> its obligation</w:t>
      </w:r>
      <w:r w:rsidR="002A7DB4" w:rsidRPr="00A42C32">
        <w:rPr>
          <w:rFonts w:cstheme="minorHAnsi"/>
          <w:bCs/>
          <w:sz w:val="24"/>
          <w:szCs w:val="24"/>
        </w:rPr>
        <w:t xml:space="preserve"> under Ohio </w:t>
      </w:r>
      <w:proofErr w:type="spellStart"/>
      <w:r w:rsidR="002A7DB4" w:rsidRPr="00A42C32">
        <w:rPr>
          <w:rFonts w:cstheme="minorHAnsi"/>
          <w:bCs/>
          <w:sz w:val="24"/>
          <w:szCs w:val="24"/>
        </w:rPr>
        <w:t>Adm.Code</w:t>
      </w:r>
      <w:proofErr w:type="spellEnd"/>
      <w:r w:rsidR="002A7DB4" w:rsidRPr="00A42C32">
        <w:rPr>
          <w:rFonts w:cstheme="minorHAnsi"/>
          <w:bCs/>
          <w:sz w:val="24"/>
          <w:szCs w:val="24"/>
        </w:rPr>
        <w:t xml:space="preserve"> </w:t>
      </w:r>
      <w:bookmarkStart w:id="0" w:name="_Hlk118557883"/>
      <w:r w:rsidR="00915CA2" w:rsidRPr="00A42C32">
        <w:rPr>
          <w:rFonts w:cstheme="minorHAnsi"/>
          <w:bCs/>
          <w:sz w:val="24"/>
          <w:szCs w:val="24"/>
        </w:rPr>
        <w:t>4901-1-23(C)(1)</w:t>
      </w:r>
      <w:r w:rsidR="00430D27" w:rsidRPr="00A42C32">
        <w:rPr>
          <w:rFonts w:cstheme="minorHAnsi"/>
          <w:bCs/>
          <w:sz w:val="24"/>
          <w:szCs w:val="24"/>
        </w:rPr>
        <w:t>-(3)</w:t>
      </w:r>
      <w:r w:rsidR="00D42D6A" w:rsidRPr="00A42C32">
        <w:rPr>
          <w:rFonts w:cstheme="minorHAnsi"/>
          <w:bCs/>
          <w:sz w:val="24"/>
          <w:szCs w:val="24"/>
        </w:rPr>
        <w:t xml:space="preserve"> </w:t>
      </w:r>
      <w:bookmarkEnd w:id="0"/>
      <w:r w:rsidR="00D42D6A" w:rsidRPr="00A42C32">
        <w:rPr>
          <w:rFonts w:cstheme="minorHAnsi"/>
          <w:bCs/>
          <w:sz w:val="24"/>
          <w:szCs w:val="24"/>
        </w:rPr>
        <w:t xml:space="preserve">to </w:t>
      </w:r>
      <w:r w:rsidR="00467984" w:rsidRPr="00A42C32">
        <w:rPr>
          <w:rFonts w:cstheme="minorHAnsi"/>
          <w:bCs/>
          <w:sz w:val="24"/>
          <w:szCs w:val="24"/>
        </w:rPr>
        <w:t xml:space="preserve">exhaust reasonable </w:t>
      </w:r>
      <w:r w:rsidR="00FE1254" w:rsidRPr="00A42C32">
        <w:rPr>
          <w:rFonts w:cstheme="minorHAnsi"/>
          <w:bCs/>
          <w:sz w:val="24"/>
          <w:szCs w:val="24"/>
        </w:rPr>
        <w:t>means of resolving</w:t>
      </w:r>
      <w:r w:rsidRPr="00A42C32">
        <w:rPr>
          <w:rFonts w:cstheme="minorHAnsi"/>
          <w:bCs/>
          <w:sz w:val="24"/>
          <w:szCs w:val="24"/>
        </w:rPr>
        <w:t xml:space="preserve"> </w:t>
      </w:r>
      <w:r w:rsidR="00FE1254" w:rsidRPr="00A42C32">
        <w:rPr>
          <w:rFonts w:cstheme="minorHAnsi"/>
          <w:bCs/>
          <w:sz w:val="24"/>
          <w:szCs w:val="24"/>
        </w:rPr>
        <w:t>differences before filing a motion to compel</w:t>
      </w:r>
      <w:r w:rsidR="00226093" w:rsidRPr="00A42C32">
        <w:rPr>
          <w:rFonts w:cstheme="minorHAnsi"/>
          <w:bCs/>
          <w:sz w:val="24"/>
          <w:szCs w:val="24"/>
        </w:rPr>
        <w:t xml:space="preserve">; </w:t>
      </w:r>
      <w:r w:rsidR="00B075AB" w:rsidRPr="00A42C32">
        <w:rPr>
          <w:rFonts w:cstheme="minorHAnsi"/>
          <w:bCs/>
          <w:sz w:val="24"/>
          <w:szCs w:val="24"/>
        </w:rPr>
        <w:t xml:space="preserve">and </w:t>
      </w:r>
      <w:r w:rsidR="00226093" w:rsidRPr="00A42C32">
        <w:rPr>
          <w:rFonts w:cstheme="minorHAnsi"/>
          <w:bCs/>
          <w:sz w:val="24"/>
          <w:szCs w:val="24"/>
        </w:rPr>
        <w:t xml:space="preserve">(3) </w:t>
      </w:r>
      <w:r w:rsidR="00676553" w:rsidRPr="00A42C32">
        <w:rPr>
          <w:rFonts w:cstheme="minorHAnsi"/>
          <w:bCs/>
          <w:sz w:val="24"/>
          <w:szCs w:val="24"/>
        </w:rPr>
        <w:t xml:space="preserve">NOPEC’s </w:t>
      </w:r>
      <w:r w:rsidR="005C2686" w:rsidRPr="00A42C32">
        <w:rPr>
          <w:rFonts w:cstheme="minorHAnsi"/>
          <w:bCs/>
          <w:sz w:val="24"/>
          <w:szCs w:val="24"/>
        </w:rPr>
        <w:t>d</w:t>
      </w:r>
      <w:r w:rsidR="00B075AB" w:rsidRPr="00A42C32">
        <w:rPr>
          <w:rFonts w:cstheme="minorHAnsi"/>
          <w:bCs/>
          <w:sz w:val="24"/>
          <w:szCs w:val="24"/>
        </w:rPr>
        <w:t>iscovery</w:t>
      </w:r>
      <w:r w:rsidR="00FA034A" w:rsidRPr="00A42C32">
        <w:rPr>
          <w:rFonts w:cstheme="minorHAnsi"/>
          <w:bCs/>
          <w:sz w:val="24"/>
          <w:szCs w:val="24"/>
        </w:rPr>
        <w:t xml:space="preserve"> requests are</w:t>
      </w:r>
      <w:r w:rsidR="00B075AB" w:rsidRPr="00A42C32">
        <w:rPr>
          <w:rFonts w:cstheme="minorHAnsi"/>
          <w:bCs/>
          <w:sz w:val="24"/>
          <w:szCs w:val="24"/>
        </w:rPr>
        <w:t xml:space="preserve"> </w:t>
      </w:r>
      <w:r w:rsidR="005C2686" w:rsidRPr="00A42C32">
        <w:rPr>
          <w:rFonts w:cstheme="minorHAnsi"/>
          <w:bCs/>
          <w:sz w:val="24"/>
          <w:szCs w:val="24"/>
        </w:rPr>
        <w:t>outside the scope of this proceedin</w:t>
      </w:r>
      <w:r w:rsidR="003B3038" w:rsidRPr="00A42C32">
        <w:rPr>
          <w:rFonts w:cstheme="minorHAnsi"/>
          <w:bCs/>
          <w:sz w:val="24"/>
          <w:szCs w:val="24"/>
        </w:rPr>
        <w:t>g</w:t>
      </w:r>
      <w:r w:rsidRPr="00A42C32">
        <w:rPr>
          <w:rFonts w:cstheme="minorHAnsi"/>
          <w:bCs/>
          <w:sz w:val="24"/>
          <w:szCs w:val="24"/>
        </w:rPr>
        <w:t>.</w:t>
      </w:r>
    </w:p>
    <w:p w14:paraId="380AFEE6" w14:textId="27D8C38B" w:rsidR="00D231BB" w:rsidRPr="00A42C32" w:rsidRDefault="005B60D5" w:rsidP="007442E7">
      <w:pPr>
        <w:pStyle w:val="ListParagraph"/>
        <w:numPr>
          <w:ilvl w:val="0"/>
          <w:numId w:val="14"/>
        </w:numPr>
        <w:spacing w:after="0" w:line="480" w:lineRule="auto"/>
        <w:ind w:left="1440"/>
        <w:rPr>
          <w:rFonts w:cstheme="minorHAnsi"/>
          <w:bCs/>
          <w:sz w:val="24"/>
          <w:szCs w:val="24"/>
        </w:rPr>
      </w:pPr>
      <w:r w:rsidRPr="00A42C32">
        <w:rPr>
          <w:rFonts w:cstheme="minorHAnsi"/>
          <w:b/>
          <w:bCs/>
          <w:sz w:val="24"/>
          <w:szCs w:val="24"/>
        </w:rPr>
        <w:t>INTRODUCTION</w:t>
      </w:r>
    </w:p>
    <w:p w14:paraId="71ADC3AA" w14:textId="395B8B2F" w:rsidR="007442E7" w:rsidRPr="00A42C32" w:rsidRDefault="005B60D5" w:rsidP="00274037">
      <w:pPr>
        <w:pStyle w:val="ListParagraph"/>
        <w:numPr>
          <w:ilvl w:val="1"/>
          <w:numId w:val="14"/>
        </w:numPr>
        <w:spacing w:after="0" w:line="480" w:lineRule="auto"/>
        <w:ind w:firstLine="0"/>
        <w:rPr>
          <w:rFonts w:cstheme="minorHAnsi"/>
          <w:b/>
          <w:sz w:val="24"/>
          <w:szCs w:val="24"/>
        </w:rPr>
      </w:pPr>
      <w:r w:rsidRPr="00A42C32">
        <w:rPr>
          <w:rFonts w:cstheme="minorHAnsi"/>
          <w:b/>
          <w:sz w:val="24"/>
          <w:szCs w:val="24"/>
        </w:rPr>
        <w:t>Factual Background</w:t>
      </w:r>
    </w:p>
    <w:p w14:paraId="5A8842B9" w14:textId="425138C3" w:rsidR="005A0285" w:rsidRPr="00A42C32" w:rsidRDefault="005B60D5" w:rsidP="00A80355">
      <w:pPr>
        <w:spacing w:after="0" w:line="480" w:lineRule="auto"/>
        <w:ind w:firstLine="720"/>
        <w:rPr>
          <w:rFonts w:cstheme="minorHAnsi"/>
          <w:bCs/>
          <w:sz w:val="24"/>
          <w:szCs w:val="24"/>
        </w:rPr>
      </w:pPr>
      <w:r w:rsidRPr="00A42C32">
        <w:rPr>
          <w:rFonts w:cstheme="minorHAnsi"/>
          <w:bCs/>
          <w:sz w:val="24"/>
          <w:szCs w:val="24"/>
        </w:rPr>
        <w:t xml:space="preserve">NOPEC </w:t>
      </w:r>
      <w:r w:rsidR="004931BC" w:rsidRPr="00A42C32">
        <w:rPr>
          <w:rFonts w:cstheme="minorHAnsi"/>
          <w:bCs/>
          <w:sz w:val="24"/>
          <w:szCs w:val="24"/>
        </w:rPr>
        <w:t>is a governmental aggregator that arranges for electricity supply to residents in 242 member communities, covering 19 Ohio counties.  NOPEC</w:t>
      </w:r>
      <w:r w:rsidR="00E646EA" w:rsidRPr="00A42C32">
        <w:rPr>
          <w:rFonts w:cstheme="minorHAnsi"/>
          <w:bCs/>
          <w:sz w:val="24"/>
          <w:szCs w:val="24"/>
        </w:rPr>
        <w:t xml:space="preserve"> </w:t>
      </w:r>
      <w:r w:rsidRPr="00A42C32">
        <w:rPr>
          <w:rFonts w:cstheme="minorHAnsi"/>
          <w:bCs/>
          <w:sz w:val="24"/>
          <w:szCs w:val="24"/>
        </w:rPr>
        <w:t xml:space="preserve">prematurely returned all of its Standard Program Price (“SPP”) customers, over half a million accounts, to the standard service offer (“SSO”) in the FirstEnergy Corp. (“FirstEnergy”) service territory beginning August 1, </w:t>
      </w:r>
      <w:r w:rsidRPr="00A42C32">
        <w:rPr>
          <w:rFonts w:cstheme="minorHAnsi"/>
          <w:bCs/>
          <w:sz w:val="24"/>
          <w:szCs w:val="24"/>
        </w:rPr>
        <w:lastRenderedPageBreak/>
        <w:t>2022.</w:t>
      </w:r>
      <w:r>
        <w:rPr>
          <w:rStyle w:val="FootnoteReference"/>
          <w:rFonts w:cstheme="minorHAnsi"/>
          <w:bCs/>
          <w:sz w:val="24"/>
          <w:szCs w:val="24"/>
        </w:rPr>
        <w:footnoteReference w:id="1"/>
      </w:r>
      <w:r w:rsidRPr="00A42C32">
        <w:rPr>
          <w:rFonts w:cstheme="minorHAnsi"/>
          <w:bCs/>
          <w:sz w:val="24"/>
          <w:szCs w:val="24"/>
        </w:rPr>
        <w:t xml:space="preserve">  NOPEC removed its SPP customers from its</w:t>
      </w:r>
      <w:r w:rsidR="00776DBF" w:rsidRPr="00A42C32">
        <w:rPr>
          <w:rFonts w:cstheme="minorHAnsi"/>
          <w:bCs/>
          <w:sz w:val="24"/>
          <w:szCs w:val="24"/>
        </w:rPr>
        <w:t xml:space="preserve"> then-currently effective</w:t>
      </w:r>
      <w:r w:rsidRPr="00A42C32">
        <w:rPr>
          <w:rFonts w:cstheme="minorHAnsi"/>
          <w:bCs/>
          <w:sz w:val="24"/>
          <w:szCs w:val="24"/>
        </w:rPr>
        <w:t xml:space="preserve"> three-year aggregation program, which was intended to conclude January 2023, because “electric prices have spiked in 2022 for reasons beyond NOPEC’s, NextEra’s[,] and the PUCO’s control.”</w:t>
      </w:r>
      <w:r>
        <w:rPr>
          <w:rStyle w:val="FootnoteReference"/>
          <w:rFonts w:cstheme="minorHAnsi"/>
          <w:bCs/>
          <w:sz w:val="24"/>
          <w:szCs w:val="24"/>
        </w:rPr>
        <w:footnoteReference w:id="2"/>
      </w:r>
      <w:r w:rsidRPr="00A42C32">
        <w:rPr>
          <w:rFonts w:cstheme="minorHAnsi"/>
          <w:bCs/>
          <w:sz w:val="24"/>
          <w:szCs w:val="24"/>
        </w:rPr>
        <w:t xml:space="preserve">  NOPEC intends to “resume its aggregation program when NOPEC’s costs are expected to align considerably more closely with then-effective SSO prices” </w:t>
      </w:r>
      <w:r w:rsidR="00625A2F" w:rsidRPr="00A42C32">
        <w:rPr>
          <w:rFonts w:cstheme="minorHAnsi"/>
          <w:bCs/>
          <w:sz w:val="24"/>
          <w:szCs w:val="24"/>
        </w:rPr>
        <w:t>but has provided limited guidance as to the conditions that must prevail before it will resume providing the service it unilaterally discontinued.</w:t>
      </w:r>
      <w:r>
        <w:rPr>
          <w:rFonts w:cstheme="minorHAnsi"/>
          <w:bCs/>
          <w:sz w:val="24"/>
          <w:szCs w:val="24"/>
          <w:vertAlign w:val="superscript"/>
        </w:rPr>
        <w:footnoteReference w:id="3"/>
      </w:r>
    </w:p>
    <w:p w14:paraId="56355212" w14:textId="24D6F840" w:rsidR="00A6149A" w:rsidRPr="00A42C32" w:rsidRDefault="005B60D5" w:rsidP="00A6149A">
      <w:pPr>
        <w:spacing w:after="0" w:line="480" w:lineRule="auto"/>
        <w:rPr>
          <w:rFonts w:cstheme="minorHAnsi"/>
          <w:sz w:val="24"/>
          <w:szCs w:val="24"/>
        </w:rPr>
      </w:pPr>
      <w:r w:rsidRPr="00A42C32">
        <w:rPr>
          <w:rFonts w:cstheme="minorHAnsi"/>
          <w:bCs/>
          <w:sz w:val="24"/>
          <w:szCs w:val="24"/>
        </w:rPr>
        <w:tab/>
      </w:r>
      <w:r w:rsidRPr="00A42C32">
        <w:rPr>
          <w:rFonts w:cstheme="minorHAnsi"/>
          <w:sz w:val="24"/>
          <w:szCs w:val="24"/>
        </w:rPr>
        <w:t xml:space="preserve">NOPEC represents that its unilateral return of 550,000 electricity customers to the SSO   in the FirstEnergy service territory is a minor material change to benefit its customers.  This is incorrect.  NOPEC’s shift of its SSO program customers will have significant negative effects on </w:t>
      </w:r>
      <w:r w:rsidR="00DE5DDF" w:rsidRPr="00A42C32">
        <w:rPr>
          <w:rFonts w:cstheme="minorHAnsi"/>
          <w:sz w:val="24"/>
          <w:szCs w:val="24"/>
        </w:rPr>
        <w:t>its</w:t>
      </w:r>
      <w:r w:rsidRPr="00A42C32">
        <w:rPr>
          <w:rFonts w:cstheme="minorHAnsi"/>
          <w:sz w:val="24"/>
          <w:szCs w:val="24"/>
        </w:rPr>
        <w:t xml:space="preserve"> customers and the Ohio electricity market generally, including suppliers like Hartree.  However, NOPEC ignores the cascading effects that its massive load shift will have on the Ohio electricity market and its customers, both in the long-term and presently.</w:t>
      </w:r>
    </w:p>
    <w:p w14:paraId="5B483FF5" w14:textId="7C4E18F4" w:rsidR="00A8602F" w:rsidRPr="00A42C32" w:rsidRDefault="005B60D5" w:rsidP="00A6149A">
      <w:pPr>
        <w:spacing w:after="0" w:line="480" w:lineRule="auto"/>
        <w:ind w:firstLine="720"/>
        <w:rPr>
          <w:rFonts w:cstheme="minorHAnsi"/>
          <w:bCs/>
          <w:sz w:val="24"/>
          <w:szCs w:val="24"/>
        </w:rPr>
      </w:pPr>
      <w:r w:rsidRPr="00A42C32">
        <w:rPr>
          <w:rFonts w:cstheme="minorHAnsi"/>
          <w:bCs/>
          <w:sz w:val="24"/>
          <w:szCs w:val="24"/>
        </w:rPr>
        <w:t xml:space="preserve">The Commission spent considerable time developing the competitive bid procurement process to produce SSO load supply to transition SSO load pricing to stable and transparent market-based rates.  In doing so, the Commission recognized that ensuring rate predictability, stability, and certainty in the markets would benefit Ohio consumers as ratepayers.  </w:t>
      </w:r>
      <w:r w:rsidR="00294F61" w:rsidRPr="00A42C32">
        <w:rPr>
          <w:rFonts w:cstheme="minorHAnsi"/>
          <w:bCs/>
          <w:sz w:val="24"/>
          <w:szCs w:val="24"/>
        </w:rPr>
        <w:t xml:space="preserve">NOPEC’s </w:t>
      </w:r>
      <w:r w:rsidR="00294F61" w:rsidRPr="00A42C32">
        <w:rPr>
          <w:rFonts w:cstheme="minorHAnsi"/>
          <w:bCs/>
          <w:sz w:val="24"/>
          <w:szCs w:val="24"/>
        </w:rPr>
        <w:lastRenderedPageBreak/>
        <w:t xml:space="preserve">unilateral termination of the program upends the Ohio electricity markets, creating uncertainty for customers and suppliers alike.  It is on this basis </w:t>
      </w:r>
      <w:r w:rsidR="00D35E8C" w:rsidRPr="00A42C32">
        <w:rPr>
          <w:rFonts w:cstheme="minorHAnsi"/>
          <w:bCs/>
          <w:sz w:val="24"/>
          <w:szCs w:val="24"/>
        </w:rPr>
        <w:t>t</w:t>
      </w:r>
      <w:r w:rsidR="00294F61" w:rsidRPr="00A42C32">
        <w:rPr>
          <w:rFonts w:cstheme="minorHAnsi"/>
          <w:bCs/>
          <w:sz w:val="24"/>
          <w:szCs w:val="24"/>
        </w:rPr>
        <w:t xml:space="preserve">hat the Commission determined it was necessary and appropriate to investigate NOPEC’s fitness as a governmental aggregator.  </w:t>
      </w:r>
    </w:p>
    <w:p w14:paraId="3A5B0FF2" w14:textId="5A67F232" w:rsidR="005A0285" w:rsidRPr="00A42C32" w:rsidRDefault="005B60D5" w:rsidP="00274037">
      <w:pPr>
        <w:pStyle w:val="ListParagraph"/>
        <w:numPr>
          <w:ilvl w:val="1"/>
          <w:numId w:val="14"/>
        </w:numPr>
        <w:spacing w:after="0" w:line="480" w:lineRule="auto"/>
        <w:ind w:firstLine="0"/>
        <w:rPr>
          <w:rFonts w:cstheme="minorHAnsi"/>
          <w:b/>
          <w:sz w:val="24"/>
          <w:szCs w:val="24"/>
        </w:rPr>
      </w:pPr>
      <w:r w:rsidRPr="00A42C32">
        <w:rPr>
          <w:rFonts w:cstheme="minorHAnsi"/>
          <w:b/>
          <w:sz w:val="24"/>
          <w:szCs w:val="24"/>
        </w:rPr>
        <w:t>Procedural History</w:t>
      </w:r>
    </w:p>
    <w:p w14:paraId="74F8694C" w14:textId="65FE6532" w:rsidR="005F33F8" w:rsidRPr="00A42C32" w:rsidRDefault="005B60D5" w:rsidP="003A0D3B">
      <w:pPr>
        <w:spacing w:after="0" w:line="480" w:lineRule="auto"/>
        <w:ind w:firstLine="720"/>
        <w:rPr>
          <w:rFonts w:cstheme="minorHAnsi"/>
          <w:bCs/>
          <w:sz w:val="24"/>
          <w:szCs w:val="24"/>
        </w:rPr>
      </w:pPr>
      <w:r w:rsidRPr="00A42C32">
        <w:rPr>
          <w:rFonts w:cstheme="minorHAnsi"/>
          <w:bCs/>
          <w:sz w:val="24"/>
          <w:szCs w:val="24"/>
        </w:rPr>
        <w:t>On August 24, 2022, NOPEC filed a notice of material change</w:t>
      </w:r>
      <w:r w:rsidR="004227F6" w:rsidRPr="00A42C32">
        <w:rPr>
          <w:rFonts w:cstheme="minorHAnsi"/>
          <w:bCs/>
          <w:sz w:val="24"/>
          <w:szCs w:val="24"/>
        </w:rPr>
        <w:t xml:space="preserve"> in this proceeding, announcing that it intended to drop approximately 550,000 SPP customers </w:t>
      </w:r>
      <w:r w:rsidR="00882461" w:rsidRPr="00A42C32">
        <w:rPr>
          <w:rFonts w:cstheme="minorHAnsi"/>
          <w:bCs/>
          <w:sz w:val="24"/>
          <w:szCs w:val="24"/>
        </w:rPr>
        <w:t>into the customers’ applicable electric distribution utility SSO.</w:t>
      </w:r>
      <w:r>
        <w:rPr>
          <w:rStyle w:val="FootnoteReference"/>
          <w:rFonts w:cstheme="minorHAnsi"/>
          <w:bCs/>
          <w:sz w:val="24"/>
          <w:szCs w:val="24"/>
        </w:rPr>
        <w:footnoteReference w:id="4"/>
      </w:r>
      <w:r w:rsidRPr="00A42C32">
        <w:rPr>
          <w:rFonts w:cstheme="minorHAnsi"/>
          <w:bCs/>
          <w:sz w:val="24"/>
          <w:szCs w:val="24"/>
        </w:rPr>
        <w:t xml:space="preserve"> </w:t>
      </w:r>
      <w:r w:rsidR="00882461" w:rsidRPr="00A42C32">
        <w:rPr>
          <w:rFonts w:cstheme="minorHAnsi"/>
          <w:bCs/>
          <w:sz w:val="24"/>
          <w:szCs w:val="24"/>
        </w:rPr>
        <w:t xml:space="preserve"> </w:t>
      </w:r>
      <w:r w:rsidR="00AF1A82" w:rsidRPr="00A42C32">
        <w:rPr>
          <w:rFonts w:cstheme="minorHAnsi"/>
          <w:bCs/>
          <w:sz w:val="24"/>
          <w:szCs w:val="24"/>
        </w:rPr>
        <w:t xml:space="preserve">On August 26, 2022, NOPEC filed a request for a limited, one-time waiver of Ohio </w:t>
      </w:r>
      <w:proofErr w:type="spellStart"/>
      <w:r w:rsidR="00AF1A82" w:rsidRPr="00A42C32">
        <w:rPr>
          <w:rFonts w:cstheme="minorHAnsi"/>
          <w:bCs/>
          <w:sz w:val="24"/>
          <w:szCs w:val="24"/>
        </w:rPr>
        <w:t>Adm.Code</w:t>
      </w:r>
      <w:proofErr w:type="spellEnd"/>
      <w:r w:rsidR="00AF1A82" w:rsidRPr="00A42C32">
        <w:rPr>
          <w:rFonts w:cstheme="minorHAnsi"/>
          <w:bCs/>
          <w:sz w:val="24"/>
          <w:szCs w:val="24"/>
        </w:rPr>
        <w:t xml:space="preserve"> </w:t>
      </w:r>
      <w:r w:rsidR="008F19C9" w:rsidRPr="00A42C32">
        <w:rPr>
          <w:rFonts w:cstheme="minorHAnsi"/>
          <w:bCs/>
          <w:sz w:val="24"/>
          <w:szCs w:val="24"/>
        </w:rPr>
        <w:t>4901</w:t>
      </w:r>
      <w:r w:rsidR="00035D3D" w:rsidRPr="00A42C32">
        <w:rPr>
          <w:rFonts w:cstheme="minorHAnsi"/>
          <w:bCs/>
          <w:sz w:val="24"/>
          <w:szCs w:val="24"/>
        </w:rPr>
        <w:t>:1</w:t>
      </w:r>
      <w:r w:rsidR="008F19C9" w:rsidRPr="00A42C32">
        <w:rPr>
          <w:rFonts w:cstheme="minorHAnsi"/>
          <w:bCs/>
          <w:sz w:val="24"/>
          <w:szCs w:val="24"/>
        </w:rPr>
        <w:t xml:space="preserve">-10-29(H)(2), to </w:t>
      </w:r>
      <w:r w:rsidR="00740B75" w:rsidRPr="00A42C32">
        <w:rPr>
          <w:rFonts w:cstheme="minorHAnsi"/>
          <w:bCs/>
          <w:sz w:val="24"/>
          <w:szCs w:val="24"/>
        </w:rPr>
        <w:t>return its customers to the SSO without providing the requisite notice.</w:t>
      </w:r>
      <w:r>
        <w:rPr>
          <w:rStyle w:val="FootnoteReference"/>
          <w:rFonts w:cstheme="minorHAnsi"/>
          <w:bCs/>
          <w:sz w:val="24"/>
          <w:szCs w:val="24"/>
        </w:rPr>
        <w:footnoteReference w:id="5"/>
      </w:r>
      <w:r w:rsidR="00AF1A82" w:rsidRPr="00A42C32">
        <w:rPr>
          <w:rFonts w:cstheme="minorHAnsi"/>
          <w:bCs/>
          <w:sz w:val="24"/>
          <w:szCs w:val="24"/>
        </w:rPr>
        <w:t xml:space="preserve"> </w:t>
      </w:r>
      <w:r w:rsidR="00740B75" w:rsidRPr="00A42C32">
        <w:rPr>
          <w:rFonts w:cstheme="minorHAnsi"/>
          <w:bCs/>
          <w:sz w:val="24"/>
          <w:szCs w:val="24"/>
        </w:rPr>
        <w:t xml:space="preserve"> </w:t>
      </w:r>
      <w:r w:rsidR="00A8602F" w:rsidRPr="00A42C32">
        <w:rPr>
          <w:rFonts w:cstheme="minorHAnsi"/>
          <w:bCs/>
          <w:sz w:val="24"/>
          <w:szCs w:val="24"/>
        </w:rPr>
        <w:t>On September 7, 2022, the Commission</w:t>
      </w:r>
      <w:r w:rsidR="00500481" w:rsidRPr="00A42C32">
        <w:rPr>
          <w:rFonts w:cstheme="minorHAnsi"/>
          <w:bCs/>
          <w:sz w:val="24"/>
          <w:szCs w:val="24"/>
        </w:rPr>
        <w:t xml:space="preserve"> issued an Entry granting NOPEC’s requested waiver and </w:t>
      </w:r>
      <w:r w:rsidR="007F1C2F" w:rsidRPr="00A42C32">
        <w:rPr>
          <w:rFonts w:cstheme="minorHAnsi"/>
          <w:bCs/>
          <w:sz w:val="24"/>
          <w:szCs w:val="24"/>
        </w:rPr>
        <w:t xml:space="preserve">directing NOPEC to show cause by September 28, 2022 </w:t>
      </w:r>
      <w:r w:rsidR="00F003C4" w:rsidRPr="00A42C32">
        <w:rPr>
          <w:rFonts w:cstheme="minorHAnsi"/>
          <w:bCs/>
          <w:sz w:val="24"/>
          <w:szCs w:val="24"/>
        </w:rPr>
        <w:t xml:space="preserve">“demonstrating why its CRES certificate should not be suspended pursuant to Ohio </w:t>
      </w:r>
      <w:proofErr w:type="spellStart"/>
      <w:r w:rsidR="00F003C4" w:rsidRPr="00A42C32">
        <w:rPr>
          <w:rFonts w:cstheme="minorHAnsi"/>
          <w:bCs/>
          <w:sz w:val="24"/>
          <w:szCs w:val="24"/>
        </w:rPr>
        <w:t>Adm.Code</w:t>
      </w:r>
      <w:proofErr w:type="spellEnd"/>
      <w:r w:rsidR="00F003C4" w:rsidRPr="00A42C32">
        <w:rPr>
          <w:rFonts w:cstheme="minorHAnsi"/>
          <w:bCs/>
          <w:sz w:val="24"/>
          <w:szCs w:val="24"/>
        </w:rPr>
        <w:t xml:space="preserve"> 4901:1-24</w:t>
      </w:r>
      <w:r w:rsidR="00C900DB" w:rsidRPr="00A42C32">
        <w:rPr>
          <w:rFonts w:cstheme="minorHAnsi"/>
          <w:bCs/>
          <w:sz w:val="24"/>
          <w:szCs w:val="24"/>
        </w:rPr>
        <w:t>-13.”</w:t>
      </w:r>
      <w:r>
        <w:rPr>
          <w:rStyle w:val="FootnoteReference"/>
          <w:rFonts w:cstheme="minorHAnsi"/>
          <w:bCs/>
          <w:sz w:val="24"/>
          <w:szCs w:val="24"/>
        </w:rPr>
        <w:footnoteReference w:id="6"/>
      </w:r>
      <w:r w:rsidR="00C20CE6" w:rsidRPr="00A42C32">
        <w:rPr>
          <w:rFonts w:cstheme="minorHAnsi"/>
          <w:bCs/>
          <w:sz w:val="24"/>
          <w:szCs w:val="24"/>
        </w:rPr>
        <w:t xml:space="preserve"> </w:t>
      </w:r>
      <w:r w:rsidR="00A8602F" w:rsidRPr="00A42C32">
        <w:rPr>
          <w:rFonts w:cstheme="minorHAnsi"/>
          <w:bCs/>
          <w:sz w:val="24"/>
          <w:szCs w:val="24"/>
        </w:rPr>
        <w:t xml:space="preserve"> </w:t>
      </w:r>
      <w:r w:rsidR="00035D3D" w:rsidRPr="00A42C32">
        <w:rPr>
          <w:rFonts w:cstheme="minorHAnsi"/>
          <w:bCs/>
          <w:sz w:val="24"/>
          <w:szCs w:val="24"/>
        </w:rPr>
        <w:t xml:space="preserve">Also on September 7, </w:t>
      </w:r>
      <w:r w:rsidR="007220A3" w:rsidRPr="00A42C32">
        <w:rPr>
          <w:rFonts w:cstheme="minorHAnsi"/>
          <w:bCs/>
          <w:sz w:val="24"/>
          <w:szCs w:val="24"/>
        </w:rPr>
        <w:t xml:space="preserve">2022, </w:t>
      </w:r>
      <w:r w:rsidR="00A8602F" w:rsidRPr="00A42C32">
        <w:rPr>
          <w:rFonts w:cstheme="minorHAnsi"/>
          <w:bCs/>
          <w:sz w:val="24"/>
          <w:szCs w:val="24"/>
        </w:rPr>
        <w:t xml:space="preserve">Hartree filed a Motion to Intervene and Memorandum in Support of Motion to Intervene in the </w:t>
      </w:r>
      <w:r w:rsidR="007220A3" w:rsidRPr="00A42C32">
        <w:rPr>
          <w:rFonts w:cstheme="minorHAnsi"/>
          <w:bCs/>
          <w:sz w:val="24"/>
          <w:szCs w:val="24"/>
        </w:rPr>
        <w:t>proceeding</w:t>
      </w:r>
      <w:r w:rsidR="00A8602F" w:rsidRPr="00A42C32">
        <w:rPr>
          <w:rFonts w:cstheme="minorHAnsi"/>
          <w:bCs/>
          <w:sz w:val="24"/>
          <w:szCs w:val="24"/>
        </w:rPr>
        <w:t>.</w:t>
      </w:r>
      <w:r w:rsidRPr="00A42C32">
        <w:rPr>
          <w:rFonts w:cstheme="minorHAnsi"/>
          <w:bCs/>
          <w:sz w:val="24"/>
          <w:szCs w:val="24"/>
        </w:rPr>
        <w:t xml:space="preserve">  On </w:t>
      </w:r>
      <w:r w:rsidR="004324AE" w:rsidRPr="00A42C32">
        <w:rPr>
          <w:rFonts w:cstheme="minorHAnsi"/>
          <w:bCs/>
          <w:sz w:val="24"/>
          <w:szCs w:val="24"/>
        </w:rPr>
        <w:t>October 12, 2022, NOPEC served Hartree with its First Set of Discovery.  On October 24, 2022, Hartree</w:t>
      </w:r>
      <w:r w:rsidR="00D34DCB" w:rsidRPr="00A42C32">
        <w:rPr>
          <w:rFonts w:cstheme="minorHAnsi"/>
          <w:bCs/>
          <w:sz w:val="24"/>
          <w:szCs w:val="24"/>
        </w:rPr>
        <w:t xml:space="preserve"> responded to NOPEC’s First Set of Discovery</w:t>
      </w:r>
      <w:r w:rsidR="004467DB" w:rsidRPr="00A42C32">
        <w:rPr>
          <w:rFonts w:cstheme="minorHAnsi"/>
          <w:bCs/>
          <w:sz w:val="24"/>
          <w:szCs w:val="24"/>
        </w:rPr>
        <w:t xml:space="preserve">.  On </w:t>
      </w:r>
      <w:r w:rsidR="003732BD" w:rsidRPr="00A42C32">
        <w:rPr>
          <w:rFonts w:cstheme="minorHAnsi"/>
          <w:bCs/>
          <w:sz w:val="24"/>
          <w:szCs w:val="24"/>
        </w:rPr>
        <w:t xml:space="preserve">November 4, 2022, NOPEC </w:t>
      </w:r>
      <w:r w:rsidR="000821F0" w:rsidRPr="00A42C32">
        <w:rPr>
          <w:rFonts w:cstheme="minorHAnsi"/>
          <w:bCs/>
          <w:sz w:val="24"/>
          <w:szCs w:val="24"/>
        </w:rPr>
        <w:t xml:space="preserve">served Hartree and filed with the Commission its </w:t>
      </w:r>
      <w:r w:rsidR="007C6878" w:rsidRPr="00A42C32">
        <w:rPr>
          <w:rFonts w:cstheme="minorHAnsi"/>
          <w:bCs/>
          <w:sz w:val="24"/>
          <w:szCs w:val="24"/>
        </w:rPr>
        <w:t>M</w:t>
      </w:r>
      <w:r w:rsidR="000821F0" w:rsidRPr="00A42C32">
        <w:rPr>
          <w:rFonts w:cstheme="minorHAnsi"/>
          <w:bCs/>
          <w:sz w:val="24"/>
          <w:szCs w:val="24"/>
        </w:rPr>
        <w:t xml:space="preserve">otion to </w:t>
      </w:r>
      <w:r w:rsidR="007C6878" w:rsidRPr="00A42C32">
        <w:rPr>
          <w:rFonts w:cstheme="minorHAnsi"/>
          <w:bCs/>
          <w:sz w:val="24"/>
          <w:szCs w:val="24"/>
        </w:rPr>
        <w:t>C</w:t>
      </w:r>
      <w:r w:rsidR="000821F0" w:rsidRPr="00A42C32">
        <w:rPr>
          <w:rFonts w:cstheme="minorHAnsi"/>
          <w:bCs/>
          <w:sz w:val="24"/>
          <w:szCs w:val="24"/>
        </w:rPr>
        <w:t>ompel.</w:t>
      </w:r>
    </w:p>
    <w:p w14:paraId="60C348BF" w14:textId="0EE1674D" w:rsidR="00AC04CA" w:rsidRDefault="005B60D5" w:rsidP="003A0D3B">
      <w:pPr>
        <w:spacing w:after="0" w:line="480" w:lineRule="auto"/>
        <w:ind w:firstLine="720"/>
        <w:rPr>
          <w:rFonts w:cstheme="minorHAnsi"/>
          <w:bCs/>
          <w:sz w:val="24"/>
          <w:szCs w:val="24"/>
        </w:rPr>
      </w:pPr>
      <w:r w:rsidRPr="00A42C32">
        <w:rPr>
          <w:rFonts w:cstheme="minorHAnsi"/>
          <w:bCs/>
          <w:sz w:val="24"/>
          <w:szCs w:val="24"/>
        </w:rPr>
        <w:t>For the reasons discussed in detail below, Hartree respectfully requests that the Commission deny NOPEC’s Motion to Compel.</w:t>
      </w:r>
    </w:p>
    <w:p w14:paraId="7844B063" w14:textId="7E2FC7BD" w:rsidR="00A42C32" w:rsidRDefault="00A42C32" w:rsidP="003A0D3B">
      <w:pPr>
        <w:spacing w:after="0" w:line="480" w:lineRule="auto"/>
        <w:ind w:firstLine="720"/>
        <w:rPr>
          <w:rFonts w:cstheme="minorHAnsi"/>
          <w:bCs/>
          <w:sz w:val="24"/>
          <w:szCs w:val="24"/>
        </w:rPr>
      </w:pPr>
    </w:p>
    <w:p w14:paraId="0A0E8E95" w14:textId="77777777" w:rsidR="00A42C32" w:rsidRPr="00A42C32" w:rsidRDefault="00A42C32" w:rsidP="003A0D3B">
      <w:pPr>
        <w:spacing w:after="0" w:line="480" w:lineRule="auto"/>
        <w:ind w:firstLine="720"/>
        <w:rPr>
          <w:rFonts w:cstheme="minorHAnsi"/>
          <w:bCs/>
          <w:sz w:val="24"/>
          <w:szCs w:val="24"/>
        </w:rPr>
      </w:pPr>
    </w:p>
    <w:p w14:paraId="5F64DFC9" w14:textId="59018757" w:rsidR="00FD003A" w:rsidRPr="00A42C32" w:rsidRDefault="005B60D5" w:rsidP="00FF61EE">
      <w:pPr>
        <w:pStyle w:val="ListParagraph"/>
        <w:numPr>
          <w:ilvl w:val="0"/>
          <w:numId w:val="14"/>
        </w:numPr>
        <w:spacing w:after="0" w:line="480" w:lineRule="auto"/>
        <w:ind w:left="1440"/>
        <w:rPr>
          <w:rFonts w:cstheme="minorHAnsi"/>
          <w:b/>
          <w:bCs/>
          <w:sz w:val="24"/>
          <w:szCs w:val="24"/>
        </w:rPr>
      </w:pPr>
      <w:r w:rsidRPr="00A42C32">
        <w:rPr>
          <w:rFonts w:cstheme="minorHAnsi"/>
          <w:b/>
          <w:bCs/>
          <w:sz w:val="24"/>
          <w:szCs w:val="24"/>
        </w:rPr>
        <w:lastRenderedPageBreak/>
        <w:t>LAW AND ARGUMENT</w:t>
      </w:r>
    </w:p>
    <w:p w14:paraId="16B382F9" w14:textId="2F92386F" w:rsidR="000A0E7C" w:rsidRPr="00A42C32" w:rsidRDefault="005B60D5" w:rsidP="001A4BF3">
      <w:pPr>
        <w:spacing w:after="0" w:line="480" w:lineRule="auto"/>
        <w:ind w:firstLine="720"/>
        <w:rPr>
          <w:rFonts w:cstheme="minorHAnsi"/>
          <w:sz w:val="24"/>
          <w:szCs w:val="24"/>
        </w:rPr>
      </w:pPr>
      <w:r w:rsidRPr="00A42C32">
        <w:rPr>
          <w:rFonts w:cstheme="minorHAnsi"/>
          <w:sz w:val="24"/>
          <w:szCs w:val="24"/>
        </w:rPr>
        <w:t xml:space="preserve">The Commission should deny </w:t>
      </w:r>
      <w:r w:rsidR="00D56746" w:rsidRPr="00A42C32">
        <w:rPr>
          <w:rFonts w:cstheme="minorHAnsi"/>
          <w:sz w:val="24"/>
          <w:szCs w:val="24"/>
        </w:rPr>
        <w:t xml:space="preserve">NOPEC’s Motion to </w:t>
      </w:r>
      <w:r w:rsidR="00AA51CD" w:rsidRPr="00A42C32">
        <w:rPr>
          <w:rFonts w:cstheme="minorHAnsi"/>
          <w:sz w:val="24"/>
          <w:szCs w:val="24"/>
        </w:rPr>
        <w:t>Compel</w:t>
      </w:r>
      <w:r w:rsidR="00D56746" w:rsidRPr="00A42C32">
        <w:rPr>
          <w:rFonts w:cstheme="minorHAnsi"/>
          <w:sz w:val="24"/>
          <w:szCs w:val="24"/>
        </w:rPr>
        <w:t xml:space="preserve"> becau</w:t>
      </w:r>
      <w:r w:rsidR="00641F7B" w:rsidRPr="00A42C32">
        <w:rPr>
          <w:rFonts w:cstheme="minorHAnsi"/>
          <w:sz w:val="24"/>
          <w:szCs w:val="24"/>
        </w:rPr>
        <w:t xml:space="preserve">se </w:t>
      </w:r>
      <w:r w:rsidR="00D62609" w:rsidRPr="00A42C32">
        <w:rPr>
          <w:rFonts w:cstheme="minorHAnsi"/>
          <w:sz w:val="24"/>
          <w:szCs w:val="24"/>
        </w:rPr>
        <w:t>NOPEC</w:t>
      </w:r>
      <w:r w:rsidR="00294F61" w:rsidRPr="00A42C32">
        <w:rPr>
          <w:rFonts w:cstheme="minorHAnsi"/>
          <w:sz w:val="24"/>
          <w:szCs w:val="24"/>
        </w:rPr>
        <w:t>: (i)</w:t>
      </w:r>
      <w:r w:rsidR="00641F7B" w:rsidRPr="00A42C32">
        <w:rPr>
          <w:rFonts w:cstheme="minorHAnsi"/>
          <w:sz w:val="24"/>
          <w:szCs w:val="24"/>
        </w:rPr>
        <w:t xml:space="preserve"> </w:t>
      </w:r>
      <w:r w:rsidR="00616662" w:rsidRPr="00A42C32">
        <w:rPr>
          <w:rFonts w:cstheme="minorHAnsi"/>
          <w:bCs/>
          <w:sz w:val="24"/>
          <w:szCs w:val="24"/>
        </w:rPr>
        <w:t>does not have the right to seek discovery in this proceeding</w:t>
      </w:r>
      <w:r w:rsidR="00294F61" w:rsidRPr="00A42C32">
        <w:rPr>
          <w:rFonts w:cstheme="minorHAnsi"/>
          <w:bCs/>
          <w:sz w:val="24"/>
          <w:szCs w:val="24"/>
        </w:rPr>
        <w:t>; (ii)</w:t>
      </w:r>
      <w:r w:rsidR="00E576F2" w:rsidRPr="00A42C32">
        <w:rPr>
          <w:rFonts w:cstheme="minorHAnsi"/>
          <w:bCs/>
          <w:sz w:val="24"/>
          <w:szCs w:val="24"/>
        </w:rPr>
        <w:t xml:space="preserve"> </w:t>
      </w:r>
      <w:r w:rsidR="00294F61" w:rsidRPr="00A42C32">
        <w:rPr>
          <w:rFonts w:cstheme="minorHAnsi"/>
          <w:bCs/>
          <w:sz w:val="24"/>
          <w:szCs w:val="24"/>
        </w:rPr>
        <w:t xml:space="preserve">has </w:t>
      </w:r>
      <w:r w:rsidR="00E576F2" w:rsidRPr="00A42C32">
        <w:rPr>
          <w:rFonts w:cstheme="minorHAnsi"/>
          <w:bCs/>
          <w:sz w:val="24"/>
          <w:szCs w:val="24"/>
        </w:rPr>
        <w:t>fail</w:t>
      </w:r>
      <w:r w:rsidR="00294F61" w:rsidRPr="00A42C32">
        <w:rPr>
          <w:rFonts w:cstheme="minorHAnsi"/>
          <w:bCs/>
          <w:sz w:val="24"/>
          <w:szCs w:val="24"/>
        </w:rPr>
        <w:t>ed</w:t>
      </w:r>
      <w:r w:rsidR="00E576F2" w:rsidRPr="00A42C32">
        <w:rPr>
          <w:rFonts w:cstheme="minorHAnsi"/>
          <w:bCs/>
          <w:sz w:val="24"/>
          <w:szCs w:val="24"/>
        </w:rPr>
        <w:t xml:space="preserve"> to satisfy its </w:t>
      </w:r>
      <w:r w:rsidR="00616662" w:rsidRPr="00A42C32">
        <w:rPr>
          <w:rFonts w:cstheme="minorHAnsi"/>
          <w:bCs/>
          <w:sz w:val="24"/>
          <w:szCs w:val="24"/>
        </w:rPr>
        <w:t xml:space="preserve">obligation under Ohio </w:t>
      </w:r>
      <w:proofErr w:type="spellStart"/>
      <w:r w:rsidR="00616662" w:rsidRPr="00A42C32">
        <w:rPr>
          <w:rFonts w:cstheme="minorHAnsi"/>
          <w:bCs/>
          <w:sz w:val="24"/>
          <w:szCs w:val="24"/>
        </w:rPr>
        <w:t>Adm.Code</w:t>
      </w:r>
      <w:proofErr w:type="spellEnd"/>
      <w:r w:rsidR="00616662" w:rsidRPr="00A42C32">
        <w:rPr>
          <w:rFonts w:cstheme="minorHAnsi"/>
          <w:bCs/>
          <w:sz w:val="24"/>
          <w:szCs w:val="24"/>
        </w:rPr>
        <w:t xml:space="preserve"> 4901-1-23(C)(1)-(3) to exhaust reasonable means of resolving differences before filing a motion to compel</w:t>
      </w:r>
      <w:r w:rsidR="00D35E8C" w:rsidRPr="00A42C32">
        <w:rPr>
          <w:rFonts w:cstheme="minorHAnsi"/>
          <w:bCs/>
          <w:sz w:val="24"/>
          <w:szCs w:val="24"/>
        </w:rPr>
        <w:t>;</w:t>
      </w:r>
      <w:r w:rsidR="00E576F2" w:rsidRPr="00A42C32">
        <w:rPr>
          <w:rFonts w:cstheme="minorHAnsi"/>
          <w:bCs/>
          <w:sz w:val="24"/>
          <w:szCs w:val="24"/>
        </w:rPr>
        <w:t xml:space="preserve"> and</w:t>
      </w:r>
      <w:r w:rsidR="00294F61" w:rsidRPr="00A42C32">
        <w:rPr>
          <w:rFonts w:cstheme="minorHAnsi"/>
          <w:bCs/>
          <w:sz w:val="24"/>
          <w:szCs w:val="24"/>
        </w:rPr>
        <w:t xml:space="preserve"> (iii)</w:t>
      </w:r>
      <w:r w:rsidR="00CB3E7D" w:rsidRPr="00A42C32">
        <w:rPr>
          <w:rFonts w:cstheme="minorHAnsi"/>
          <w:bCs/>
          <w:sz w:val="24"/>
          <w:szCs w:val="24"/>
        </w:rPr>
        <w:t xml:space="preserve"> seeks information and documents through</w:t>
      </w:r>
      <w:r w:rsidR="00E576F2" w:rsidRPr="00A42C32">
        <w:rPr>
          <w:rFonts w:cstheme="minorHAnsi"/>
          <w:bCs/>
          <w:sz w:val="24"/>
          <w:szCs w:val="24"/>
        </w:rPr>
        <w:t xml:space="preserve"> its</w:t>
      </w:r>
      <w:r w:rsidR="00616662" w:rsidRPr="00A42C32">
        <w:rPr>
          <w:rFonts w:cstheme="minorHAnsi"/>
          <w:bCs/>
          <w:sz w:val="24"/>
          <w:szCs w:val="24"/>
        </w:rPr>
        <w:t xml:space="preserve"> discovery requests </w:t>
      </w:r>
      <w:r w:rsidR="00CB3E7D" w:rsidRPr="00A42C32">
        <w:rPr>
          <w:rFonts w:cstheme="minorHAnsi"/>
          <w:bCs/>
          <w:sz w:val="24"/>
          <w:szCs w:val="24"/>
        </w:rPr>
        <w:t xml:space="preserve">that </w:t>
      </w:r>
      <w:r w:rsidR="00616662" w:rsidRPr="00A42C32">
        <w:rPr>
          <w:rFonts w:cstheme="minorHAnsi"/>
          <w:bCs/>
          <w:sz w:val="24"/>
          <w:szCs w:val="24"/>
        </w:rPr>
        <w:t>are outside the scope of this proceeding.</w:t>
      </w:r>
    </w:p>
    <w:p w14:paraId="178A43E3" w14:textId="5DEC619C" w:rsidR="00964601" w:rsidRPr="00A42C32" w:rsidRDefault="005B60D5" w:rsidP="00274037">
      <w:pPr>
        <w:pStyle w:val="ListParagraph"/>
        <w:numPr>
          <w:ilvl w:val="1"/>
          <w:numId w:val="14"/>
        </w:numPr>
        <w:spacing w:after="0" w:line="480" w:lineRule="auto"/>
        <w:ind w:firstLine="0"/>
        <w:rPr>
          <w:rFonts w:cstheme="minorHAnsi"/>
          <w:b/>
          <w:bCs/>
          <w:sz w:val="24"/>
          <w:szCs w:val="24"/>
        </w:rPr>
      </w:pPr>
      <w:r w:rsidRPr="00A42C32">
        <w:rPr>
          <w:rFonts w:cstheme="minorHAnsi"/>
          <w:b/>
          <w:bCs/>
          <w:sz w:val="24"/>
          <w:szCs w:val="24"/>
        </w:rPr>
        <w:t xml:space="preserve">NOPEC Has No Right to Seek Discovery </w:t>
      </w:r>
      <w:r w:rsidR="00E50F7B" w:rsidRPr="00A42C32">
        <w:rPr>
          <w:rFonts w:cstheme="minorHAnsi"/>
          <w:b/>
          <w:bCs/>
          <w:sz w:val="24"/>
          <w:szCs w:val="24"/>
        </w:rPr>
        <w:t>o</w:t>
      </w:r>
      <w:r w:rsidRPr="00A42C32">
        <w:rPr>
          <w:rFonts w:cstheme="minorHAnsi"/>
          <w:b/>
          <w:bCs/>
          <w:sz w:val="24"/>
          <w:szCs w:val="24"/>
        </w:rPr>
        <w:t>f Hartree</w:t>
      </w:r>
    </w:p>
    <w:p w14:paraId="62C396BA" w14:textId="59CDC3BB" w:rsidR="002612F9" w:rsidRPr="00A42C32" w:rsidRDefault="005B60D5" w:rsidP="006B2DAB">
      <w:pPr>
        <w:spacing w:after="0" w:line="480" w:lineRule="auto"/>
        <w:ind w:firstLine="720"/>
        <w:rPr>
          <w:rFonts w:cstheme="minorHAnsi"/>
          <w:sz w:val="24"/>
          <w:szCs w:val="24"/>
        </w:rPr>
      </w:pPr>
      <w:r w:rsidRPr="00A42C32">
        <w:rPr>
          <w:rFonts w:cstheme="minorHAnsi"/>
          <w:sz w:val="24"/>
          <w:szCs w:val="24"/>
        </w:rPr>
        <w:t xml:space="preserve">This Commission has previously </w:t>
      </w:r>
      <w:r w:rsidR="00F91627" w:rsidRPr="00A42C32">
        <w:rPr>
          <w:rFonts w:cstheme="minorHAnsi"/>
          <w:sz w:val="24"/>
          <w:szCs w:val="24"/>
        </w:rPr>
        <w:t xml:space="preserve">determined that </w:t>
      </w:r>
      <w:r w:rsidR="00CB3E7D" w:rsidRPr="00A42C32">
        <w:rPr>
          <w:rFonts w:cstheme="minorHAnsi"/>
          <w:sz w:val="24"/>
          <w:szCs w:val="24"/>
        </w:rPr>
        <w:t>when</w:t>
      </w:r>
      <w:r w:rsidR="00F91627" w:rsidRPr="00A42C32">
        <w:rPr>
          <w:rFonts w:cstheme="minorHAnsi"/>
          <w:sz w:val="24"/>
          <w:szCs w:val="24"/>
        </w:rPr>
        <w:t xml:space="preserve"> </w:t>
      </w:r>
      <w:r w:rsidR="00144F8F" w:rsidRPr="00A42C32">
        <w:rPr>
          <w:rFonts w:cstheme="minorHAnsi"/>
          <w:sz w:val="24"/>
          <w:szCs w:val="24"/>
        </w:rPr>
        <w:t>a party’s “activities have no bearing on the subject of” the proceeding, the Commission will prohibit</w:t>
      </w:r>
      <w:r w:rsidR="00DE1CBD" w:rsidRPr="00A42C32">
        <w:rPr>
          <w:rFonts w:cstheme="minorHAnsi"/>
          <w:sz w:val="24"/>
          <w:szCs w:val="24"/>
        </w:rPr>
        <w:t xml:space="preserve"> discovery</w:t>
      </w:r>
      <w:r w:rsidR="00D72207" w:rsidRPr="00A42C32">
        <w:rPr>
          <w:rFonts w:cstheme="minorHAnsi"/>
          <w:sz w:val="24"/>
          <w:szCs w:val="24"/>
        </w:rPr>
        <w:t xml:space="preserve"> of</w:t>
      </w:r>
      <w:r w:rsidR="00D9359F" w:rsidRPr="00A42C32">
        <w:rPr>
          <w:rFonts w:cstheme="minorHAnsi"/>
          <w:sz w:val="24"/>
          <w:szCs w:val="24"/>
        </w:rPr>
        <w:t xml:space="preserve"> such party.</w:t>
      </w:r>
      <w:r>
        <w:rPr>
          <w:rStyle w:val="FootnoteReference"/>
          <w:rFonts w:cstheme="minorHAnsi"/>
          <w:sz w:val="24"/>
          <w:szCs w:val="24"/>
        </w:rPr>
        <w:footnoteReference w:id="7"/>
      </w:r>
      <w:r w:rsidR="006B2DAB" w:rsidRPr="00A42C32">
        <w:rPr>
          <w:rFonts w:cstheme="minorHAnsi"/>
          <w:sz w:val="24"/>
          <w:szCs w:val="24"/>
        </w:rPr>
        <w:t xml:space="preserve">  </w:t>
      </w:r>
      <w:r w:rsidRPr="00A42C32">
        <w:rPr>
          <w:rFonts w:cstheme="minorHAnsi"/>
          <w:sz w:val="24"/>
          <w:szCs w:val="24"/>
        </w:rPr>
        <w:t>In its September 7, 2022 Entry, the Commission</w:t>
      </w:r>
      <w:r w:rsidR="00A46638" w:rsidRPr="00A42C32">
        <w:rPr>
          <w:rFonts w:cstheme="minorHAnsi"/>
          <w:sz w:val="24"/>
          <w:szCs w:val="24"/>
        </w:rPr>
        <w:t xml:space="preserve"> identified </w:t>
      </w:r>
      <w:r w:rsidR="006B2DAB" w:rsidRPr="00A42C32">
        <w:rPr>
          <w:rFonts w:cstheme="minorHAnsi"/>
          <w:sz w:val="24"/>
          <w:szCs w:val="24"/>
        </w:rPr>
        <w:t>numerous</w:t>
      </w:r>
      <w:r w:rsidR="00A46638" w:rsidRPr="00A42C32">
        <w:rPr>
          <w:rFonts w:cstheme="minorHAnsi"/>
          <w:sz w:val="24"/>
          <w:szCs w:val="24"/>
        </w:rPr>
        <w:t xml:space="preserve"> reasons as to why NOPEC’s </w:t>
      </w:r>
      <w:r w:rsidR="000A48ED" w:rsidRPr="00A42C32">
        <w:rPr>
          <w:rFonts w:cstheme="minorHAnsi"/>
          <w:sz w:val="24"/>
          <w:szCs w:val="24"/>
        </w:rPr>
        <w:t xml:space="preserve">CRES certificate may be suspended, </w:t>
      </w:r>
      <w:r w:rsidR="00294F61" w:rsidRPr="00A42C32">
        <w:rPr>
          <w:rFonts w:cstheme="minorHAnsi"/>
          <w:sz w:val="24"/>
          <w:szCs w:val="24"/>
        </w:rPr>
        <w:t>notably</w:t>
      </w:r>
      <w:r w:rsidR="000A48ED" w:rsidRPr="00A42C32">
        <w:rPr>
          <w:rFonts w:cstheme="minorHAnsi"/>
          <w:sz w:val="24"/>
          <w:szCs w:val="24"/>
        </w:rPr>
        <w:t>:</w:t>
      </w:r>
    </w:p>
    <w:p w14:paraId="522FB334" w14:textId="48C5D649" w:rsidR="000A48ED" w:rsidRPr="00A42C32" w:rsidRDefault="005B60D5" w:rsidP="006B2DAB">
      <w:pPr>
        <w:pStyle w:val="ListParagraph"/>
        <w:numPr>
          <w:ilvl w:val="0"/>
          <w:numId w:val="18"/>
        </w:numPr>
        <w:spacing w:after="0" w:line="240" w:lineRule="auto"/>
        <w:rPr>
          <w:rFonts w:cstheme="minorHAnsi"/>
          <w:sz w:val="24"/>
          <w:szCs w:val="24"/>
        </w:rPr>
      </w:pPr>
      <w:r w:rsidRPr="00A42C32">
        <w:rPr>
          <w:rFonts w:cstheme="minorHAnsi"/>
          <w:sz w:val="24"/>
          <w:szCs w:val="24"/>
        </w:rPr>
        <w:t>The potentially adverse effects to wholesale generation providers and SSO customers</w:t>
      </w:r>
      <w:r w:rsidR="00851FD8" w:rsidRPr="00A42C32">
        <w:rPr>
          <w:rFonts w:cstheme="minorHAnsi"/>
          <w:sz w:val="24"/>
          <w:szCs w:val="24"/>
        </w:rPr>
        <w:t xml:space="preserve"> caused by NOPEC’s premature drop of customers and NOPEC’s proposal to re-enroll</w:t>
      </w:r>
      <w:r w:rsidR="00DE1BBF" w:rsidRPr="00A42C32">
        <w:rPr>
          <w:rFonts w:cstheme="minorHAnsi"/>
          <w:sz w:val="24"/>
          <w:szCs w:val="24"/>
        </w:rPr>
        <w:t xml:space="preserve"> those same customers “at some undefined point in the future when NOPEC deems that economic conditions are favorable</w:t>
      </w:r>
      <w:r w:rsidR="003F4817" w:rsidRPr="00A42C32">
        <w:rPr>
          <w:rFonts w:cstheme="minorHAnsi"/>
          <w:sz w:val="24"/>
          <w:szCs w:val="24"/>
        </w:rPr>
        <w:t>[;]</w:t>
      </w:r>
      <w:r w:rsidR="00DE1BBF" w:rsidRPr="00A42C32">
        <w:rPr>
          <w:rFonts w:cstheme="minorHAnsi"/>
          <w:sz w:val="24"/>
          <w:szCs w:val="24"/>
        </w:rPr>
        <w:t>”</w:t>
      </w:r>
    </w:p>
    <w:p w14:paraId="68BA9372" w14:textId="77777777" w:rsidR="006B2DAB" w:rsidRPr="00A42C32" w:rsidRDefault="006B2DAB" w:rsidP="006B2DAB">
      <w:pPr>
        <w:pStyle w:val="ListParagraph"/>
        <w:spacing w:after="0" w:line="240" w:lineRule="auto"/>
        <w:rPr>
          <w:rFonts w:cstheme="minorHAnsi"/>
          <w:sz w:val="24"/>
          <w:szCs w:val="24"/>
        </w:rPr>
      </w:pPr>
    </w:p>
    <w:p w14:paraId="585CC9C8" w14:textId="51FB637C" w:rsidR="00843A61" w:rsidRPr="00A42C32" w:rsidRDefault="005B60D5" w:rsidP="006B2DAB">
      <w:pPr>
        <w:pStyle w:val="ListParagraph"/>
        <w:numPr>
          <w:ilvl w:val="0"/>
          <w:numId w:val="18"/>
        </w:numPr>
        <w:spacing w:after="0" w:line="240" w:lineRule="auto"/>
        <w:rPr>
          <w:rFonts w:cstheme="minorHAnsi"/>
          <w:sz w:val="24"/>
          <w:szCs w:val="24"/>
        </w:rPr>
      </w:pPr>
      <w:r w:rsidRPr="00A42C32">
        <w:rPr>
          <w:rFonts w:cstheme="minorHAnsi"/>
          <w:sz w:val="24"/>
          <w:szCs w:val="24"/>
        </w:rPr>
        <w:t xml:space="preserve">The lack of </w:t>
      </w:r>
      <w:r w:rsidR="0083485C" w:rsidRPr="00A42C32">
        <w:rPr>
          <w:rFonts w:cstheme="minorHAnsi"/>
          <w:sz w:val="24"/>
          <w:szCs w:val="24"/>
        </w:rPr>
        <w:t>e</w:t>
      </w:r>
      <w:r w:rsidR="001B08BC" w:rsidRPr="00A42C32">
        <w:rPr>
          <w:rFonts w:cstheme="minorHAnsi"/>
          <w:sz w:val="24"/>
          <w:szCs w:val="24"/>
        </w:rPr>
        <w:t>xplanation for NOPEC’s decision to prematurely return</w:t>
      </w:r>
      <w:r w:rsidR="005268D9" w:rsidRPr="00A42C32">
        <w:rPr>
          <w:rFonts w:cstheme="minorHAnsi"/>
          <w:sz w:val="24"/>
          <w:szCs w:val="24"/>
        </w:rPr>
        <w:t xml:space="preserve"> customers to the SSO and for “the decision of NOPEC and NextEra to not match the SSO price, and thus follow through on their prior representations” of energy savings to customers;</w:t>
      </w:r>
      <w:r w:rsidR="0082506D" w:rsidRPr="00A42C32">
        <w:rPr>
          <w:rFonts w:cstheme="minorHAnsi"/>
          <w:sz w:val="24"/>
          <w:szCs w:val="24"/>
        </w:rPr>
        <w:t xml:space="preserve"> and</w:t>
      </w:r>
    </w:p>
    <w:p w14:paraId="104EC0EE" w14:textId="77777777" w:rsidR="006B2DAB" w:rsidRPr="00A42C32" w:rsidRDefault="006B2DAB" w:rsidP="006B2DAB">
      <w:pPr>
        <w:spacing w:after="0" w:line="240" w:lineRule="auto"/>
        <w:rPr>
          <w:rFonts w:cstheme="minorHAnsi"/>
          <w:sz w:val="24"/>
          <w:szCs w:val="24"/>
        </w:rPr>
      </w:pPr>
    </w:p>
    <w:p w14:paraId="0AC6DB31" w14:textId="44E4017B" w:rsidR="00843A61" w:rsidRPr="00A42C32" w:rsidRDefault="005B60D5" w:rsidP="006B2DAB">
      <w:pPr>
        <w:pStyle w:val="ListParagraph"/>
        <w:numPr>
          <w:ilvl w:val="0"/>
          <w:numId w:val="18"/>
        </w:numPr>
        <w:spacing w:after="0" w:line="240" w:lineRule="auto"/>
        <w:rPr>
          <w:rFonts w:cstheme="minorHAnsi"/>
          <w:sz w:val="24"/>
          <w:szCs w:val="24"/>
        </w:rPr>
      </w:pPr>
      <w:r w:rsidRPr="00A42C32">
        <w:rPr>
          <w:rFonts w:cstheme="minorHAnsi"/>
          <w:sz w:val="24"/>
          <w:szCs w:val="24"/>
        </w:rPr>
        <w:t>Evidence of a “potential violation of NOPEC’s commun</w:t>
      </w:r>
      <w:r w:rsidR="00D21C3A" w:rsidRPr="00A42C32">
        <w:rPr>
          <w:rFonts w:cstheme="minorHAnsi"/>
          <w:sz w:val="24"/>
          <w:szCs w:val="24"/>
        </w:rPr>
        <w:t>ities’ operations and governance plans, which do not appear to allow for the return o</w:t>
      </w:r>
      <w:r w:rsidR="003F4817" w:rsidRPr="00A42C32">
        <w:rPr>
          <w:rFonts w:cstheme="minorHAnsi"/>
          <w:sz w:val="24"/>
          <w:szCs w:val="24"/>
        </w:rPr>
        <w:t>f customers under these circumstances and require a 90-day notice to customers prior to being returned to SSO service.”</w:t>
      </w:r>
      <w:r>
        <w:rPr>
          <w:rStyle w:val="FootnoteReference"/>
          <w:rFonts w:cstheme="minorHAnsi"/>
          <w:sz w:val="24"/>
          <w:szCs w:val="24"/>
        </w:rPr>
        <w:footnoteReference w:id="8"/>
      </w:r>
    </w:p>
    <w:p w14:paraId="0DF56B46" w14:textId="77777777" w:rsidR="006B2DAB" w:rsidRPr="00A42C32" w:rsidRDefault="006B2DAB" w:rsidP="006B2DAB">
      <w:pPr>
        <w:spacing w:after="0" w:line="240" w:lineRule="auto"/>
        <w:rPr>
          <w:rFonts w:cstheme="minorHAnsi"/>
          <w:sz w:val="24"/>
          <w:szCs w:val="24"/>
        </w:rPr>
      </w:pPr>
    </w:p>
    <w:p w14:paraId="28EAE7D5" w14:textId="2674D9CA" w:rsidR="005268D9" w:rsidRPr="00A42C32" w:rsidRDefault="005B60D5" w:rsidP="00516C3F">
      <w:pPr>
        <w:spacing w:after="0" w:line="480" w:lineRule="auto"/>
        <w:ind w:firstLine="720"/>
        <w:rPr>
          <w:rFonts w:cstheme="minorHAnsi"/>
          <w:sz w:val="24"/>
          <w:szCs w:val="24"/>
        </w:rPr>
      </w:pPr>
      <w:r w:rsidRPr="00A42C32">
        <w:rPr>
          <w:rFonts w:cstheme="minorHAnsi"/>
          <w:sz w:val="24"/>
          <w:szCs w:val="24"/>
        </w:rPr>
        <w:t xml:space="preserve">In addition to directing NOPEC to show cause </w:t>
      </w:r>
      <w:r w:rsidR="00EE73F0" w:rsidRPr="00A42C32">
        <w:rPr>
          <w:rFonts w:cstheme="minorHAnsi"/>
          <w:sz w:val="24"/>
          <w:szCs w:val="24"/>
        </w:rPr>
        <w:t>to demonstrate why its CRES certificate should not be suspended, t</w:t>
      </w:r>
      <w:r w:rsidRPr="00A42C32">
        <w:rPr>
          <w:rFonts w:cstheme="minorHAnsi"/>
          <w:sz w:val="24"/>
          <w:szCs w:val="24"/>
        </w:rPr>
        <w:t>he Commission</w:t>
      </w:r>
      <w:r w:rsidR="00EE73F0" w:rsidRPr="00A42C32">
        <w:rPr>
          <w:rFonts w:cstheme="minorHAnsi"/>
          <w:sz w:val="24"/>
          <w:szCs w:val="24"/>
        </w:rPr>
        <w:t xml:space="preserve"> provided that </w:t>
      </w:r>
      <w:r w:rsidR="00924030" w:rsidRPr="00A42C32">
        <w:rPr>
          <w:rFonts w:cstheme="minorHAnsi"/>
          <w:sz w:val="24"/>
          <w:szCs w:val="24"/>
        </w:rPr>
        <w:t>“</w:t>
      </w:r>
      <w:r w:rsidR="00EE73F0" w:rsidRPr="00A42C32">
        <w:rPr>
          <w:rFonts w:cstheme="minorHAnsi"/>
          <w:sz w:val="24"/>
          <w:szCs w:val="24"/>
        </w:rPr>
        <w:t>interested parties</w:t>
      </w:r>
      <w:r w:rsidR="00924030" w:rsidRPr="00A42C32">
        <w:rPr>
          <w:rFonts w:cstheme="minorHAnsi"/>
          <w:sz w:val="24"/>
          <w:szCs w:val="24"/>
        </w:rPr>
        <w:t>”</w:t>
      </w:r>
      <w:r w:rsidR="00EE73F0" w:rsidRPr="00A42C32">
        <w:rPr>
          <w:rFonts w:cstheme="minorHAnsi"/>
          <w:sz w:val="24"/>
          <w:szCs w:val="24"/>
        </w:rPr>
        <w:t xml:space="preserve"> could comment on NOPEC’s response</w:t>
      </w:r>
      <w:r w:rsidR="00D066D9" w:rsidRPr="00A42C32">
        <w:rPr>
          <w:rFonts w:cstheme="minorHAnsi"/>
          <w:sz w:val="24"/>
          <w:szCs w:val="24"/>
        </w:rPr>
        <w:t>.</w:t>
      </w:r>
      <w:r>
        <w:rPr>
          <w:rStyle w:val="FootnoteReference"/>
          <w:rFonts w:cstheme="minorHAnsi"/>
          <w:sz w:val="24"/>
          <w:szCs w:val="24"/>
        </w:rPr>
        <w:footnoteReference w:id="9"/>
      </w:r>
      <w:r w:rsidR="00D066D9" w:rsidRPr="00A42C32">
        <w:rPr>
          <w:rFonts w:cstheme="minorHAnsi"/>
          <w:sz w:val="24"/>
          <w:szCs w:val="24"/>
        </w:rPr>
        <w:t xml:space="preserve">  </w:t>
      </w:r>
    </w:p>
    <w:p w14:paraId="62D2BEA5" w14:textId="3D6A6C1C" w:rsidR="001774CF" w:rsidRPr="00A42C32" w:rsidRDefault="005B60D5" w:rsidP="001509DB">
      <w:pPr>
        <w:spacing w:after="0" w:line="480" w:lineRule="auto"/>
        <w:ind w:firstLine="720"/>
        <w:rPr>
          <w:rFonts w:cstheme="minorHAnsi"/>
          <w:sz w:val="24"/>
          <w:szCs w:val="24"/>
        </w:rPr>
      </w:pPr>
      <w:r w:rsidRPr="00A42C32">
        <w:rPr>
          <w:rFonts w:cstheme="minorHAnsi"/>
          <w:sz w:val="24"/>
          <w:szCs w:val="24"/>
        </w:rPr>
        <w:lastRenderedPageBreak/>
        <w:t xml:space="preserve">The Commission’s Show Cause </w:t>
      </w:r>
      <w:r w:rsidR="00247316" w:rsidRPr="00A42C32">
        <w:rPr>
          <w:rFonts w:cstheme="minorHAnsi"/>
          <w:sz w:val="24"/>
          <w:szCs w:val="24"/>
        </w:rPr>
        <w:t>Order</w:t>
      </w:r>
      <w:r w:rsidRPr="00A42C32">
        <w:rPr>
          <w:rFonts w:cstheme="minorHAnsi"/>
          <w:sz w:val="24"/>
          <w:szCs w:val="24"/>
        </w:rPr>
        <w:t xml:space="preserve"> </w:t>
      </w:r>
      <w:r w:rsidR="003A5ADD" w:rsidRPr="00A42C32">
        <w:rPr>
          <w:rFonts w:cstheme="minorHAnsi"/>
          <w:sz w:val="24"/>
          <w:szCs w:val="24"/>
        </w:rPr>
        <w:t xml:space="preserve">did not </w:t>
      </w:r>
      <w:r w:rsidR="00D87C42" w:rsidRPr="00A42C32">
        <w:rPr>
          <w:rFonts w:cstheme="minorHAnsi"/>
          <w:sz w:val="24"/>
          <w:szCs w:val="24"/>
        </w:rPr>
        <w:t xml:space="preserve">create </w:t>
      </w:r>
      <w:r w:rsidR="00D84FC3" w:rsidRPr="00A42C32">
        <w:rPr>
          <w:rFonts w:cstheme="minorHAnsi"/>
          <w:sz w:val="24"/>
          <w:szCs w:val="24"/>
        </w:rPr>
        <w:t>a right for</w:t>
      </w:r>
      <w:r w:rsidR="003A5ADD" w:rsidRPr="00A42C32">
        <w:rPr>
          <w:rFonts w:cstheme="minorHAnsi"/>
          <w:sz w:val="24"/>
          <w:szCs w:val="24"/>
        </w:rPr>
        <w:t xml:space="preserve"> NOPEC</w:t>
      </w:r>
      <w:r w:rsidR="00924030" w:rsidRPr="00A42C32">
        <w:rPr>
          <w:rFonts w:cstheme="minorHAnsi"/>
          <w:sz w:val="24"/>
          <w:szCs w:val="24"/>
        </w:rPr>
        <w:t xml:space="preserve"> to seek discovery of those </w:t>
      </w:r>
      <w:r w:rsidR="005F14D5" w:rsidRPr="00A42C32">
        <w:rPr>
          <w:rFonts w:cstheme="minorHAnsi"/>
          <w:sz w:val="24"/>
          <w:szCs w:val="24"/>
        </w:rPr>
        <w:t xml:space="preserve">parties </w:t>
      </w:r>
      <w:r w:rsidR="00924030" w:rsidRPr="00A42C32">
        <w:rPr>
          <w:rFonts w:cstheme="minorHAnsi"/>
          <w:sz w:val="24"/>
          <w:szCs w:val="24"/>
        </w:rPr>
        <w:t>interested</w:t>
      </w:r>
      <w:r w:rsidR="005F14D5" w:rsidRPr="00A42C32">
        <w:rPr>
          <w:rFonts w:cstheme="minorHAnsi"/>
          <w:sz w:val="24"/>
          <w:szCs w:val="24"/>
        </w:rPr>
        <w:t xml:space="preserve"> in </w:t>
      </w:r>
      <w:r w:rsidR="00C35AE8" w:rsidRPr="00A42C32">
        <w:rPr>
          <w:rFonts w:cstheme="minorHAnsi"/>
          <w:sz w:val="24"/>
          <w:szCs w:val="24"/>
        </w:rPr>
        <w:t>NOPEC’s response to the Show Cause Order</w:t>
      </w:r>
      <w:r w:rsidR="00DE5EF8" w:rsidRPr="00A42C32">
        <w:rPr>
          <w:rFonts w:cstheme="minorHAnsi"/>
          <w:sz w:val="24"/>
          <w:szCs w:val="24"/>
        </w:rPr>
        <w:t>.  NOPEC’s discovery requests</w:t>
      </w:r>
      <w:r w:rsidR="00294F61" w:rsidRPr="00A42C32">
        <w:rPr>
          <w:rFonts w:cstheme="minorHAnsi"/>
          <w:sz w:val="24"/>
          <w:szCs w:val="24"/>
        </w:rPr>
        <w:t xml:space="preserve"> </w:t>
      </w:r>
      <w:r w:rsidR="00EC6731" w:rsidRPr="00A42C32">
        <w:rPr>
          <w:rFonts w:cstheme="minorHAnsi"/>
          <w:sz w:val="24"/>
          <w:szCs w:val="24"/>
        </w:rPr>
        <w:t>are</w:t>
      </w:r>
      <w:r w:rsidR="00294F61" w:rsidRPr="00A42C32">
        <w:rPr>
          <w:rFonts w:cstheme="minorHAnsi"/>
          <w:sz w:val="24"/>
          <w:szCs w:val="24"/>
        </w:rPr>
        <w:t xml:space="preserve"> the platonic ideal of the proverbial</w:t>
      </w:r>
      <w:r w:rsidR="00EC6731" w:rsidRPr="00A42C32">
        <w:rPr>
          <w:rFonts w:cstheme="minorHAnsi"/>
          <w:sz w:val="24"/>
          <w:szCs w:val="24"/>
        </w:rPr>
        <w:t xml:space="preserve"> discovery</w:t>
      </w:r>
      <w:r w:rsidR="00294F61" w:rsidRPr="00A42C32">
        <w:rPr>
          <w:rFonts w:cstheme="minorHAnsi"/>
          <w:sz w:val="24"/>
          <w:szCs w:val="24"/>
        </w:rPr>
        <w:t xml:space="preserve"> “fishing expedition</w:t>
      </w:r>
      <w:r w:rsidR="00BE1169" w:rsidRPr="00A42C32">
        <w:rPr>
          <w:rFonts w:cstheme="minorHAnsi"/>
          <w:sz w:val="24"/>
          <w:szCs w:val="24"/>
        </w:rPr>
        <w:t>,</w:t>
      </w:r>
      <w:r w:rsidR="00294F61" w:rsidRPr="00A42C32">
        <w:rPr>
          <w:rFonts w:cstheme="minorHAnsi"/>
          <w:sz w:val="24"/>
          <w:szCs w:val="24"/>
        </w:rPr>
        <w:t>”</w:t>
      </w:r>
      <w:r w:rsidR="00783EA0" w:rsidRPr="00A42C32">
        <w:rPr>
          <w:rFonts w:cstheme="minorHAnsi"/>
          <w:sz w:val="24"/>
          <w:szCs w:val="24"/>
        </w:rPr>
        <w:t xml:space="preserve"> co</w:t>
      </w:r>
      <w:r w:rsidR="00EC6731" w:rsidRPr="00A42C32">
        <w:rPr>
          <w:rFonts w:cstheme="minorHAnsi"/>
          <w:sz w:val="24"/>
          <w:szCs w:val="24"/>
        </w:rPr>
        <w:t>vering</w:t>
      </w:r>
      <w:r w:rsidR="00783EA0" w:rsidRPr="00A42C32">
        <w:rPr>
          <w:rFonts w:cstheme="minorHAnsi"/>
          <w:sz w:val="24"/>
          <w:szCs w:val="24"/>
        </w:rPr>
        <w:t xml:space="preserve"> </w:t>
      </w:r>
      <w:r w:rsidR="00294F61" w:rsidRPr="00A42C32">
        <w:rPr>
          <w:rFonts w:cstheme="minorHAnsi"/>
          <w:sz w:val="24"/>
          <w:szCs w:val="24"/>
        </w:rPr>
        <w:t>every</w:t>
      </w:r>
      <w:r w:rsidR="00510FA7" w:rsidRPr="00A42C32">
        <w:rPr>
          <w:rFonts w:cstheme="minorHAnsi"/>
          <w:sz w:val="24"/>
          <w:szCs w:val="24"/>
        </w:rPr>
        <w:t xml:space="preserve">thing from </w:t>
      </w:r>
      <w:r w:rsidR="00783EA0" w:rsidRPr="00A42C32">
        <w:rPr>
          <w:rFonts w:cstheme="minorHAnsi"/>
          <w:sz w:val="24"/>
          <w:szCs w:val="24"/>
        </w:rPr>
        <w:t xml:space="preserve">interrogatories concerning Hartree’s </w:t>
      </w:r>
      <w:r w:rsidR="00322CBC" w:rsidRPr="00A42C32">
        <w:rPr>
          <w:rFonts w:cstheme="minorHAnsi"/>
          <w:sz w:val="24"/>
          <w:szCs w:val="24"/>
        </w:rPr>
        <w:t>“</w:t>
      </w:r>
      <w:r w:rsidR="00783EA0" w:rsidRPr="00A42C32">
        <w:rPr>
          <w:rFonts w:cstheme="minorHAnsi"/>
          <w:sz w:val="24"/>
          <w:szCs w:val="24"/>
        </w:rPr>
        <w:t>communications with D</w:t>
      </w:r>
      <w:r w:rsidR="001B6B50" w:rsidRPr="00A42C32">
        <w:rPr>
          <w:rFonts w:cstheme="minorHAnsi"/>
          <w:sz w:val="24"/>
          <w:szCs w:val="24"/>
        </w:rPr>
        <w:t>ynegy Marketing and Trade, LLC</w:t>
      </w:r>
      <w:r w:rsidR="001509DB" w:rsidRPr="00A42C32">
        <w:rPr>
          <w:rFonts w:cstheme="minorHAnsi"/>
          <w:sz w:val="24"/>
          <w:szCs w:val="24"/>
        </w:rPr>
        <w:t>, Interstate Gas Supply, Inc., TransAlta Energy Marketing (U.S.) Inc. and/or Enel Trading North America, LLC regarding the Customer Return”</w:t>
      </w:r>
      <w:r w:rsidR="00322CBC" w:rsidRPr="00A42C32">
        <w:rPr>
          <w:rFonts w:cstheme="minorHAnsi"/>
          <w:sz w:val="24"/>
          <w:szCs w:val="24"/>
        </w:rPr>
        <w:t xml:space="preserve"> to </w:t>
      </w:r>
      <w:r w:rsidR="00992BEC" w:rsidRPr="00A42C32">
        <w:rPr>
          <w:rFonts w:cstheme="minorHAnsi"/>
          <w:sz w:val="24"/>
          <w:szCs w:val="24"/>
        </w:rPr>
        <w:t xml:space="preserve">all documents concerning </w:t>
      </w:r>
      <w:r w:rsidR="00322CBC" w:rsidRPr="00A42C32">
        <w:rPr>
          <w:rFonts w:cstheme="minorHAnsi"/>
          <w:sz w:val="24"/>
          <w:szCs w:val="24"/>
        </w:rPr>
        <w:t>Hartree’s</w:t>
      </w:r>
      <w:r w:rsidR="005B78D8" w:rsidRPr="00A42C32">
        <w:rPr>
          <w:rFonts w:cstheme="minorHAnsi"/>
          <w:sz w:val="24"/>
          <w:szCs w:val="24"/>
        </w:rPr>
        <w:t xml:space="preserve"> executive officers’ “decision to participate</w:t>
      </w:r>
      <w:r w:rsidR="00322CBC" w:rsidRPr="00A42C32">
        <w:rPr>
          <w:rFonts w:cstheme="minorHAnsi"/>
          <w:sz w:val="24"/>
          <w:szCs w:val="24"/>
        </w:rPr>
        <w:t xml:space="preserve"> </w:t>
      </w:r>
      <w:r w:rsidR="005B78D8" w:rsidRPr="00A42C32">
        <w:rPr>
          <w:rFonts w:cstheme="minorHAnsi"/>
          <w:sz w:val="24"/>
          <w:szCs w:val="24"/>
        </w:rPr>
        <w:t>or not participate</w:t>
      </w:r>
      <w:r w:rsidR="005F33F8" w:rsidRPr="00A42C32">
        <w:rPr>
          <w:rFonts w:cstheme="minorHAnsi"/>
          <w:sz w:val="24"/>
          <w:szCs w:val="24"/>
        </w:rPr>
        <w:t>” in certain SSO auctions</w:t>
      </w:r>
      <w:r w:rsidR="00D35E8C" w:rsidRPr="00A42C32">
        <w:rPr>
          <w:rFonts w:cstheme="minorHAnsi"/>
          <w:sz w:val="24"/>
          <w:szCs w:val="24"/>
        </w:rPr>
        <w:t>.</w:t>
      </w:r>
      <w:r w:rsidR="00BE1169" w:rsidRPr="00A42C32">
        <w:rPr>
          <w:rStyle w:val="FootnoteReference"/>
          <w:rFonts w:cstheme="minorHAnsi"/>
          <w:sz w:val="24"/>
          <w:szCs w:val="24"/>
        </w:rPr>
        <w:t xml:space="preserve"> </w:t>
      </w:r>
      <w:r>
        <w:rPr>
          <w:rStyle w:val="FootnoteReference"/>
          <w:rFonts w:cstheme="minorHAnsi"/>
          <w:sz w:val="24"/>
          <w:szCs w:val="24"/>
        </w:rPr>
        <w:footnoteReference w:id="10"/>
      </w:r>
      <w:r w:rsidR="00FE586F" w:rsidRPr="00A42C32">
        <w:rPr>
          <w:rFonts w:cstheme="minorHAnsi"/>
          <w:sz w:val="24"/>
          <w:szCs w:val="24"/>
        </w:rPr>
        <w:t xml:space="preserve">  Setting aside momentarily NOPEC’s presumptiveness in issuing data requests to </w:t>
      </w:r>
      <w:r w:rsidR="00880C17" w:rsidRPr="00A42C32">
        <w:rPr>
          <w:rFonts w:cstheme="minorHAnsi"/>
          <w:sz w:val="24"/>
          <w:szCs w:val="24"/>
        </w:rPr>
        <w:t xml:space="preserve">an entity </w:t>
      </w:r>
      <w:r w:rsidR="00FE586F" w:rsidRPr="00A42C32">
        <w:rPr>
          <w:rFonts w:cstheme="minorHAnsi"/>
          <w:sz w:val="24"/>
          <w:szCs w:val="24"/>
        </w:rPr>
        <w:t xml:space="preserve">whose party status NOPEC is actively trying to thwart, NOPEC’s data requests to Hartree are fundamentally, fatally flawed because they have no bearing on the scope of the issues established in this proceeding by </w:t>
      </w:r>
      <w:r w:rsidR="00247316" w:rsidRPr="00A42C32">
        <w:rPr>
          <w:rFonts w:cstheme="minorHAnsi"/>
          <w:sz w:val="24"/>
          <w:szCs w:val="24"/>
        </w:rPr>
        <w:t>the Commission’s Show Cause Order</w:t>
      </w:r>
      <w:r w:rsidR="005F33F8" w:rsidRPr="00A42C32">
        <w:rPr>
          <w:rFonts w:cstheme="minorHAnsi"/>
          <w:sz w:val="24"/>
          <w:szCs w:val="24"/>
        </w:rPr>
        <w:t>.</w:t>
      </w:r>
      <w:r w:rsidR="00FE586F" w:rsidRPr="00A42C32">
        <w:rPr>
          <w:rFonts w:cstheme="minorHAnsi"/>
          <w:sz w:val="24"/>
          <w:szCs w:val="24"/>
        </w:rPr>
        <w:t xml:space="preserve"> </w:t>
      </w:r>
      <w:r w:rsidR="00D35E8C" w:rsidRPr="00A42C32">
        <w:rPr>
          <w:rFonts w:cstheme="minorHAnsi"/>
          <w:sz w:val="24"/>
          <w:szCs w:val="24"/>
        </w:rPr>
        <w:t xml:space="preserve"> </w:t>
      </w:r>
      <w:r w:rsidR="00FE586F" w:rsidRPr="00A42C32">
        <w:rPr>
          <w:rFonts w:cstheme="minorHAnsi"/>
          <w:sz w:val="24"/>
          <w:szCs w:val="24"/>
        </w:rPr>
        <w:t xml:space="preserve">In light of these critical deficiencies, the Commission should reject NOPEC’s motion to compel. </w:t>
      </w:r>
    </w:p>
    <w:p w14:paraId="6DF48AE9" w14:textId="0A81F0F8" w:rsidR="003414C6" w:rsidRPr="00A42C32" w:rsidRDefault="005B60D5" w:rsidP="001509DB">
      <w:pPr>
        <w:spacing w:after="0" w:line="480" w:lineRule="auto"/>
        <w:ind w:firstLine="720"/>
        <w:rPr>
          <w:rFonts w:cstheme="minorHAnsi"/>
          <w:i/>
          <w:iCs/>
          <w:sz w:val="24"/>
          <w:szCs w:val="24"/>
        </w:rPr>
      </w:pPr>
      <w:r w:rsidRPr="00A42C32">
        <w:rPr>
          <w:rFonts w:cstheme="minorHAnsi"/>
          <w:sz w:val="24"/>
          <w:szCs w:val="24"/>
        </w:rPr>
        <w:t xml:space="preserve">Rejection of NOPEC’s motion to compel is consistent with Commission precedent.  </w:t>
      </w:r>
      <w:r w:rsidR="00FE586F" w:rsidRPr="00A42C32">
        <w:rPr>
          <w:rFonts w:cstheme="minorHAnsi"/>
          <w:sz w:val="24"/>
          <w:szCs w:val="24"/>
        </w:rPr>
        <w:t>The facts and circumstances presented here are similar to those the Commission faced in</w:t>
      </w:r>
      <w:r w:rsidR="00165145" w:rsidRPr="00A42C32">
        <w:rPr>
          <w:rFonts w:cstheme="minorHAnsi"/>
          <w:sz w:val="24"/>
          <w:szCs w:val="24"/>
        </w:rPr>
        <w:t xml:space="preserve"> the</w:t>
      </w:r>
      <w:r w:rsidR="00FE586F" w:rsidRPr="00A42C32">
        <w:rPr>
          <w:rFonts w:cstheme="minorHAnsi"/>
          <w:sz w:val="24"/>
          <w:szCs w:val="24"/>
        </w:rPr>
        <w:t xml:space="preserve"> </w:t>
      </w:r>
      <w:r w:rsidR="00FE586F" w:rsidRPr="00A42C32">
        <w:rPr>
          <w:rFonts w:cstheme="minorHAnsi"/>
          <w:i/>
          <w:iCs/>
          <w:sz w:val="24"/>
          <w:szCs w:val="24"/>
        </w:rPr>
        <w:t xml:space="preserve">Matter of the Complaint of </w:t>
      </w:r>
      <w:r w:rsidR="00165145" w:rsidRPr="00A42C32">
        <w:rPr>
          <w:rFonts w:cstheme="minorHAnsi"/>
          <w:i/>
          <w:iCs/>
          <w:sz w:val="24"/>
          <w:szCs w:val="24"/>
        </w:rPr>
        <w:t xml:space="preserve">The River Gas Company v. </w:t>
      </w:r>
      <w:proofErr w:type="spellStart"/>
      <w:r w:rsidR="00165145" w:rsidRPr="00A42C32">
        <w:rPr>
          <w:rFonts w:cstheme="minorHAnsi"/>
          <w:i/>
          <w:iCs/>
          <w:sz w:val="24"/>
          <w:szCs w:val="24"/>
        </w:rPr>
        <w:t>Halwell</w:t>
      </w:r>
      <w:proofErr w:type="spellEnd"/>
      <w:r w:rsidR="00165145" w:rsidRPr="00A42C32">
        <w:rPr>
          <w:rFonts w:cstheme="minorHAnsi"/>
          <w:i/>
          <w:iCs/>
          <w:sz w:val="24"/>
          <w:szCs w:val="24"/>
        </w:rPr>
        <w:t xml:space="preserve"> Limited Partnership and Geological Consultants, Inc.</w:t>
      </w:r>
      <w:r w:rsidR="00243758" w:rsidRPr="00A42C32">
        <w:rPr>
          <w:rFonts w:cstheme="minorHAnsi"/>
          <w:sz w:val="24"/>
          <w:szCs w:val="24"/>
        </w:rPr>
        <w:t xml:space="preserve"> (</w:t>
      </w:r>
      <w:r w:rsidR="00243758" w:rsidRPr="00A42C32">
        <w:rPr>
          <w:rFonts w:cstheme="minorHAnsi"/>
          <w:i/>
          <w:iCs/>
          <w:sz w:val="24"/>
          <w:szCs w:val="24"/>
        </w:rPr>
        <w:t>The River Gas Company</w:t>
      </w:r>
      <w:r w:rsidR="00243758" w:rsidRPr="00A42C32">
        <w:rPr>
          <w:rFonts w:cstheme="minorHAnsi"/>
          <w:sz w:val="24"/>
          <w:szCs w:val="24"/>
        </w:rPr>
        <w:t>).</w:t>
      </w:r>
      <w:r>
        <w:rPr>
          <w:rStyle w:val="FootnoteReference"/>
          <w:rFonts w:cstheme="minorHAnsi"/>
          <w:sz w:val="24"/>
          <w:szCs w:val="24"/>
        </w:rPr>
        <w:footnoteReference w:id="11"/>
      </w:r>
      <w:r w:rsidR="00FE586F" w:rsidRPr="00A42C32">
        <w:rPr>
          <w:rFonts w:cstheme="minorHAnsi"/>
          <w:sz w:val="24"/>
          <w:szCs w:val="24"/>
        </w:rPr>
        <w:t xml:space="preserve">  In that case</w:t>
      </w:r>
      <w:r w:rsidR="00D35E8C" w:rsidRPr="00A42C32">
        <w:rPr>
          <w:rFonts w:cstheme="minorHAnsi"/>
          <w:sz w:val="24"/>
          <w:szCs w:val="24"/>
        </w:rPr>
        <w:t>,</w:t>
      </w:r>
      <w:r w:rsidR="00FE586F" w:rsidRPr="00A42C32">
        <w:rPr>
          <w:rFonts w:cstheme="minorHAnsi"/>
          <w:sz w:val="24"/>
          <w:szCs w:val="24"/>
        </w:rPr>
        <w:t xml:space="preserve"> </w:t>
      </w:r>
      <w:r w:rsidR="00165145" w:rsidRPr="00A42C32">
        <w:rPr>
          <w:rFonts w:cstheme="minorHAnsi"/>
          <w:sz w:val="24"/>
          <w:szCs w:val="24"/>
        </w:rPr>
        <w:t>The River Gas Company (</w:t>
      </w:r>
      <w:r w:rsidR="00CB3E7D" w:rsidRPr="00A42C32">
        <w:rPr>
          <w:rFonts w:cstheme="minorHAnsi"/>
          <w:sz w:val="24"/>
          <w:szCs w:val="24"/>
        </w:rPr>
        <w:t>“</w:t>
      </w:r>
      <w:r w:rsidR="00165145" w:rsidRPr="00A42C32">
        <w:rPr>
          <w:rFonts w:cstheme="minorHAnsi"/>
          <w:sz w:val="24"/>
          <w:szCs w:val="24"/>
        </w:rPr>
        <w:t>River Gas</w:t>
      </w:r>
      <w:r w:rsidR="00CB3E7D" w:rsidRPr="00A42C32">
        <w:rPr>
          <w:rFonts w:cstheme="minorHAnsi"/>
          <w:sz w:val="24"/>
          <w:szCs w:val="24"/>
        </w:rPr>
        <w:t>”</w:t>
      </w:r>
      <w:r w:rsidR="00165145" w:rsidRPr="00A42C32">
        <w:rPr>
          <w:rFonts w:cstheme="minorHAnsi"/>
          <w:sz w:val="24"/>
          <w:szCs w:val="24"/>
        </w:rPr>
        <w:t xml:space="preserve">) filed a complaint with the Commission, alleging that </w:t>
      </w:r>
      <w:proofErr w:type="spellStart"/>
      <w:r w:rsidR="00165145" w:rsidRPr="00A42C32">
        <w:rPr>
          <w:rFonts w:cstheme="minorHAnsi"/>
          <w:sz w:val="24"/>
          <w:szCs w:val="24"/>
        </w:rPr>
        <w:t>Halwell</w:t>
      </w:r>
      <w:proofErr w:type="spellEnd"/>
      <w:r w:rsidR="00165145" w:rsidRPr="00A42C32">
        <w:rPr>
          <w:rFonts w:cstheme="minorHAnsi"/>
          <w:sz w:val="24"/>
          <w:szCs w:val="24"/>
        </w:rPr>
        <w:t xml:space="preserve"> Limited Partnership and Geological Consultants, Inc. (together, “Respondents”) were unlawfully operating as public utilities but not submitting to the Commission’s jurisdiction.  In the course of that proceeding, Respondents served River Gas with a notice of deposition and request for production of documents.  River Gas filed a motion with the Commission requesting that it not be required to </w:t>
      </w:r>
      <w:r w:rsidR="00165145" w:rsidRPr="00A42C32">
        <w:rPr>
          <w:rFonts w:cstheme="minorHAnsi"/>
          <w:sz w:val="24"/>
          <w:szCs w:val="24"/>
        </w:rPr>
        <w:lastRenderedPageBreak/>
        <w:t xml:space="preserve">produce the documents Respondents requested because the </w:t>
      </w:r>
      <w:r w:rsidR="00C86EA1" w:rsidRPr="00A42C32">
        <w:rPr>
          <w:rFonts w:cstheme="minorHAnsi"/>
          <w:sz w:val="24"/>
          <w:szCs w:val="24"/>
        </w:rPr>
        <w:t>central</w:t>
      </w:r>
      <w:r w:rsidR="00165145" w:rsidRPr="00A42C32">
        <w:rPr>
          <w:rFonts w:cstheme="minorHAnsi"/>
          <w:sz w:val="24"/>
          <w:szCs w:val="24"/>
        </w:rPr>
        <w:t xml:space="preserve"> issue in the proceeding was whether Respondent’s activities were subject to Commission regulation, to which River Gas’ activities were irrelevant.  The Commission agreed with River Gas, finding River Gas’ “</w:t>
      </w:r>
      <w:r w:rsidR="00F108E6" w:rsidRPr="00A42C32">
        <w:rPr>
          <w:rFonts w:cstheme="minorHAnsi"/>
          <w:sz w:val="24"/>
          <w:szCs w:val="24"/>
        </w:rPr>
        <w:t>customer accounts, rate base</w:t>
      </w:r>
      <w:r w:rsidR="00165145" w:rsidRPr="00A42C32">
        <w:rPr>
          <w:rFonts w:cstheme="minorHAnsi"/>
          <w:sz w:val="24"/>
          <w:szCs w:val="24"/>
        </w:rPr>
        <w:t>,</w:t>
      </w:r>
      <w:r w:rsidR="00F108E6" w:rsidRPr="00A42C32">
        <w:rPr>
          <w:rFonts w:cstheme="minorHAnsi"/>
          <w:sz w:val="24"/>
          <w:szCs w:val="24"/>
        </w:rPr>
        <w:t xml:space="preserve"> return on equity, balance sheet, and income or expense statements</w:t>
      </w:r>
      <w:r w:rsidR="00165145" w:rsidRPr="00A42C32">
        <w:rPr>
          <w:rFonts w:cstheme="minorHAnsi"/>
          <w:sz w:val="24"/>
          <w:szCs w:val="24"/>
        </w:rPr>
        <w:t xml:space="preserve"> </w:t>
      </w:r>
      <w:r w:rsidR="00F108E6" w:rsidRPr="00A42C32">
        <w:rPr>
          <w:rFonts w:cstheme="minorHAnsi"/>
          <w:sz w:val="24"/>
          <w:szCs w:val="24"/>
        </w:rPr>
        <w:t>are not relevant to the inquiry of whether or not River [Gas] suffered economic harm by [R]</w:t>
      </w:r>
      <w:proofErr w:type="spellStart"/>
      <w:r w:rsidR="00F108E6" w:rsidRPr="00A42C32">
        <w:rPr>
          <w:rFonts w:cstheme="minorHAnsi"/>
          <w:sz w:val="24"/>
          <w:szCs w:val="24"/>
        </w:rPr>
        <w:t>espondents</w:t>
      </w:r>
      <w:proofErr w:type="spellEnd"/>
      <w:r w:rsidR="00F108E6" w:rsidRPr="00A42C32">
        <w:rPr>
          <w:rFonts w:cstheme="minorHAnsi"/>
          <w:sz w:val="24"/>
          <w:szCs w:val="24"/>
        </w:rPr>
        <w:t>’ specific activities.”</w:t>
      </w:r>
      <w:r>
        <w:rPr>
          <w:rStyle w:val="FootnoteReference"/>
          <w:rFonts w:cstheme="minorHAnsi"/>
          <w:sz w:val="24"/>
          <w:szCs w:val="24"/>
        </w:rPr>
        <w:footnoteReference w:id="12"/>
      </w:r>
      <w:r w:rsidR="00FE586F" w:rsidRPr="00A42C32">
        <w:rPr>
          <w:rFonts w:cstheme="minorHAnsi"/>
          <w:sz w:val="24"/>
          <w:szCs w:val="24"/>
        </w:rPr>
        <w:t xml:space="preserve">  The Commission in </w:t>
      </w:r>
      <w:r w:rsidR="00F108E6" w:rsidRPr="00A42C32">
        <w:rPr>
          <w:rFonts w:cstheme="minorHAnsi"/>
          <w:i/>
          <w:iCs/>
          <w:sz w:val="24"/>
          <w:szCs w:val="24"/>
        </w:rPr>
        <w:t xml:space="preserve">The River Gas Company </w:t>
      </w:r>
      <w:r w:rsidR="00FE586F" w:rsidRPr="00A42C32">
        <w:rPr>
          <w:rFonts w:cstheme="minorHAnsi"/>
          <w:sz w:val="24"/>
          <w:szCs w:val="24"/>
        </w:rPr>
        <w:t xml:space="preserve">found </w:t>
      </w:r>
      <w:r w:rsidR="00074C1E" w:rsidRPr="00A42C32">
        <w:rPr>
          <w:rFonts w:cstheme="minorHAnsi"/>
          <w:sz w:val="24"/>
          <w:szCs w:val="24"/>
        </w:rPr>
        <w:t>that evidence concerning</w:t>
      </w:r>
      <w:r w:rsidR="007E57DA" w:rsidRPr="00A42C32">
        <w:rPr>
          <w:rFonts w:cstheme="minorHAnsi"/>
          <w:sz w:val="24"/>
          <w:szCs w:val="24"/>
        </w:rPr>
        <w:t xml:space="preserve"> </w:t>
      </w:r>
      <w:r w:rsidR="00F108E6" w:rsidRPr="00A42C32">
        <w:rPr>
          <w:rFonts w:cstheme="minorHAnsi"/>
          <w:sz w:val="24"/>
          <w:szCs w:val="24"/>
        </w:rPr>
        <w:t>River Gas’ actions were not the subject of the case and that “what River [Gas] could or should have done is speculative and would not assist the trier of fact in making a determination on whether [R]</w:t>
      </w:r>
      <w:proofErr w:type="spellStart"/>
      <w:r w:rsidR="00F108E6" w:rsidRPr="00A42C32">
        <w:rPr>
          <w:rFonts w:cstheme="minorHAnsi"/>
          <w:sz w:val="24"/>
          <w:szCs w:val="24"/>
        </w:rPr>
        <w:t>espondents</w:t>
      </w:r>
      <w:proofErr w:type="spellEnd"/>
      <w:r w:rsidR="007C386F" w:rsidRPr="00A42C32">
        <w:rPr>
          <w:rFonts w:cstheme="minorHAnsi"/>
          <w:sz w:val="24"/>
          <w:szCs w:val="24"/>
        </w:rPr>
        <w:t>’</w:t>
      </w:r>
      <w:r w:rsidR="00F108E6" w:rsidRPr="00A42C32">
        <w:rPr>
          <w:rFonts w:cstheme="minorHAnsi"/>
          <w:sz w:val="24"/>
          <w:szCs w:val="24"/>
        </w:rPr>
        <w:t xml:space="preserve"> activities were lawful.”</w:t>
      </w:r>
      <w:r>
        <w:rPr>
          <w:rStyle w:val="FootnoteReference"/>
          <w:rFonts w:cstheme="minorHAnsi"/>
          <w:sz w:val="24"/>
          <w:szCs w:val="24"/>
        </w:rPr>
        <w:footnoteReference w:id="13"/>
      </w:r>
      <w:r w:rsidR="00F108E6" w:rsidRPr="00A42C32">
        <w:rPr>
          <w:rFonts w:cstheme="minorHAnsi"/>
          <w:sz w:val="24"/>
          <w:szCs w:val="24"/>
        </w:rPr>
        <w:t xml:space="preserve"> </w:t>
      </w:r>
      <w:r w:rsidR="00C86EA1" w:rsidRPr="00A42C32">
        <w:rPr>
          <w:rFonts w:cstheme="minorHAnsi"/>
          <w:sz w:val="24"/>
          <w:szCs w:val="24"/>
        </w:rPr>
        <w:t xml:space="preserve"> </w:t>
      </w:r>
      <w:r w:rsidR="00815531" w:rsidRPr="00A42C32">
        <w:rPr>
          <w:rFonts w:cstheme="minorHAnsi"/>
          <w:sz w:val="24"/>
          <w:szCs w:val="24"/>
        </w:rPr>
        <w:t xml:space="preserve">Consistent with </w:t>
      </w:r>
      <w:r w:rsidR="00F108E6" w:rsidRPr="00A42C32">
        <w:rPr>
          <w:rFonts w:cstheme="minorHAnsi"/>
          <w:i/>
          <w:iCs/>
          <w:sz w:val="24"/>
          <w:szCs w:val="24"/>
        </w:rPr>
        <w:t>The River Gas Company</w:t>
      </w:r>
      <w:r w:rsidR="00815531" w:rsidRPr="00A42C32">
        <w:rPr>
          <w:rFonts w:cstheme="minorHAnsi"/>
          <w:sz w:val="24"/>
          <w:szCs w:val="24"/>
        </w:rPr>
        <w:t>, t</w:t>
      </w:r>
      <w:r w:rsidR="00FE586F" w:rsidRPr="00A42C32">
        <w:rPr>
          <w:rFonts w:cstheme="minorHAnsi"/>
          <w:sz w:val="24"/>
          <w:szCs w:val="24"/>
        </w:rPr>
        <w:t>he Commission should</w:t>
      </w:r>
      <w:r w:rsidR="00815531" w:rsidRPr="00A42C32">
        <w:rPr>
          <w:rFonts w:cstheme="minorHAnsi"/>
          <w:sz w:val="24"/>
          <w:szCs w:val="24"/>
        </w:rPr>
        <w:t xml:space="preserve"> find that </w:t>
      </w:r>
      <w:r w:rsidR="00B533BF" w:rsidRPr="00A42C32">
        <w:rPr>
          <w:rFonts w:cstheme="minorHAnsi"/>
          <w:sz w:val="24"/>
          <w:szCs w:val="24"/>
        </w:rPr>
        <w:t xml:space="preserve">Hartree’s </w:t>
      </w:r>
      <w:r w:rsidR="00815531" w:rsidRPr="00A42C32">
        <w:rPr>
          <w:rFonts w:cstheme="minorHAnsi"/>
          <w:sz w:val="24"/>
          <w:szCs w:val="24"/>
        </w:rPr>
        <w:t>participation</w:t>
      </w:r>
      <w:r w:rsidR="00B533BF" w:rsidRPr="00A42C32">
        <w:rPr>
          <w:rFonts w:cstheme="minorHAnsi"/>
          <w:sz w:val="24"/>
          <w:szCs w:val="24"/>
        </w:rPr>
        <w:t xml:space="preserve"> </w:t>
      </w:r>
      <w:r w:rsidR="00DC206E" w:rsidRPr="00A42C32">
        <w:rPr>
          <w:rFonts w:cstheme="minorHAnsi"/>
          <w:sz w:val="24"/>
          <w:szCs w:val="24"/>
        </w:rPr>
        <w:t xml:space="preserve">in </w:t>
      </w:r>
      <w:r w:rsidR="002C3E58" w:rsidRPr="00A42C32">
        <w:rPr>
          <w:rFonts w:cstheme="minorHAnsi"/>
          <w:sz w:val="24"/>
          <w:szCs w:val="24"/>
        </w:rPr>
        <w:t xml:space="preserve">Ohio’s SSO load procurement auctions </w:t>
      </w:r>
      <w:r w:rsidR="00815531" w:rsidRPr="00A42C32">
        <w:rPr>
          <w:rFonts w:cstheme="minorHAnsi"/>
          <w:sz w:val="24"/>
          <w:szCs w:val="24"/>
        </w:rPr>
        <w:t>is</w:t>
      </w:r>
      <w:r w:rsidR="002C3E58" w:rsidRPr="00A42C32">
        <w:rPr>
          <w:rFonts w:cstheme="minorHAnsi"/>
          <w:sz w:val="24"/>
          <w:szCs w:val="24"/>
        </w:rPr>
        <w:t xml:space="preserve"> of no consequence to a determination of NOPEC’s </w:t>
      </w:r>
      <w:r w:rsidR="000D75B4" w:rsidRPr="00A42C32">
        <w:rPr>
          <w:rFonts w:cstheme="minorHAnsi"/>
          <w:sz w:val="24"/>
          <w:szCs w:val="24"/>
        </w:rPr>
        <w:t>capabilities as a CRES provide</w:t>
      </w:r>
      <w:r w:rsidR="00243758" w:rsidRPr="00A42C32">
        <w:rPr>
          <w:rFonts w:cstheme="minorHAnsi"/>
          <w:sz w:val="24"/>
          <w:szCs w:val="24"/>
        </w:rPr>
        <w:t>r</w:t>
      </w:r>
      <w:r w:rsidR="000D75B4" w:rsidRPr="00A42C32">
        <w:rPr>
          <w:rFonts w:cstheme="minorHAnsi"/>
          <w:sz w:val="24"/>
          <w:szCs w:val="24"/>
        </w:rPr>
        <w:t>.</w:t>
      </w:r>
    </w:p>
    <w:p w14:paraId="29C77E84" w14:textId="11F8A154" w:rsidR="003D76D0" w:rsidRPr="00A42C32" w:rsidRDefault="005B60D5" w:rsidP="00340A10">
      <w:pPr>
        <w:pStyle w:val="Default"/>
        <w:numPr>
          <w:ilvl w:val="1"/>
          <w:numId w:val="14"/>
        </w:numPr>
        <w:spacing w:after="240"/>
        <w:ind w:left="2160" w:hanging="720"/>
        <w:rPr>
          <w:rFonts w:asciiTheme="minorHAnsi" w:hAnsiTheme="minorHAnsi" w:cstheme="minorHAnsi"/>
          <w:b/>
          <w:bCs/>
          <w:color w:val="auto"/>
        </w:rPr>
      </w:pPr>
      <w:r w:rsidRPr="00A42C32">
        <w:rPr>
          <w:rFonts w:asciiTheme="minorHAnsi" w:hAnsiTheme="minorHAnsi" w:cstheme="minorHAnsi"/>
          <w:b/>
          <w:bCs/>
          <w:color w:val="auto"/>
        </w:rPr>
        <w:t xml:space="preserve">NOPEC Fails to Satisfy its Burden Under Ohio </w:t>
      </w:r>
      <w:proofErr w:type="spellStart"/>
      <w:r w:rsidRPr="00A42C32">
        <w:rPr>
          <w:rFonts w:asciiTheme="minorHAnsi" w:hAnsiTheme="minorHAnsi" w:cstheme="minorHAnsi"/>
          <w:b/>
          <w:bCs/>
          <w:color w:val="auto"/>
        </w:rPr>
        <w:t>Adm.Code</w:t>
      </w:r>
      <w:proofErr w:type="spellEnd"/>
      <w:r w:rsidRPr="00A42C32">
        <w:rPr>
          <w:rFonts w:asciiTheme="minorHAnsi" w:hAnsiTheme="minorHAnsi" w:cstheme="minorHAnsi"/>
          <w:b/>
          <w:bCs/>
          <w:color w:val="auto"/>
        </w:rPr>
        <w:t xml:space="preserve"> </w:t>
      </w:r>
      <w:r w:rsidR="00E50F7B" w:rsidRPr="00A42C32">
        <w:rPr>
          <w:rFonts w:asciiTheme="minorHAnsi" w:hAnsiTheme="minorHAnsi" w:cstheme="minorHAnsi"/>
          <w:b/>
          <w:bCs/>
          <w:color w:val="auto"/>
        </w:rPr>
        <w:t>4901-1-23(C)</w:t>
      </w:r>
    </w:p>
    <w:p w14:paraId="31B0364A" w14:textId="533A4867" w:rsidR="00516C3F"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 xml:space="preserve">A party may file a motion to compel discovery </w:t>
      </w:r>
      <w:r w:rsidR="00EA4A57" w:rsidRPr="00A42C32">
        <w:rPr>
          <w:rFonts w:asciiTheme="minorHAnsi" w:hAnsiTheme="minorHAnsi" w:cstheme="minorHAnsi"/>
          <w:color w:val="auto"/>
        </w:rPr>
        <w:t xml:space="preserve">only </w:t>
      </w:r>
      <w:r w:rsidR="00325967" w:rsidRPr="00A42C32">
        <w:rPr>
          <w:rFonts w:asciiTheme="minorHAnsi" w:hAnsiTheme="minorHAnsi" w:cstheme="minorHAnsi"/>
          <w:color w:val="auto"/>
        </w:rPr>
        <w:t xml:space="preserve">after </w:t>
      </w:r>
      <w:r w:rsidR="00C371EC" w:rsidRPr="00A42C32">
        <w:rPr>
          <w:rFonts w:asciiTheme="minorHAnsi" w:hAnsiTheme="minorHAnsi" w:cstheme="minorHAnsi"/>
          <w:color w:val="auto"/>
        </w:rPr>
        <w:t>“the party seeking discovery has exhausted all other reasonable means of resolving any differences with the party or person from whom discovery is sought.”</w:t>
      </w:r>
      <w:r>
        <w:rPr>
          <w:rStyle w:val="FootnoteReference"/>
          <w:rFonts w:asciiTheme="minorHAnsi" w:hAnsiTheme="minorHAnsi" w:cstheme="minorHAnsi"/>
          <w:color w:val="auto"/>
        </w:rPr>
        <w:footnoteReference w:id="14"/>
      </w:r>
      <w:r w:rsidR="00C371EC" w:rsidRPr="00A42C32">
        <w:rPr>
          <w:rFonts w:asciiTheme="minorHAnsi" w:hAnsiTheme="minorHAnsi" w:cstheme="minorHAnsi"/>
          <w:color w:val="auto"/>
        </w:rPr>
        <w:t xml:space="preserve">  </w:t>
      </w:r>
      <w:r w:rsidR="00A65126" w:rsidRPr="00A42C32">
        <w:rPr>
          <w:rFonts w:asciiTheme="minorHAnsi" w:hAnsiTheme="minorHAnsi" w:cstheme="minorHAnsi"/>
          <w:color w:val="auto"/>
        </w:rPr>
        <w:t>The purpose of this rule is to</w:t>
      </w:r>
      <w:r w:rsidR="00A760A1" w:rsidRPr="00A42C32">
        <w:rPr>
          <w:rFonts w:asciiTheme="minorHAnsi" w:hAnsiTheme="minorHAnsi" w:cstheme="minorHAnsi"/>
          <w:color w:val="auto"/>
        </w:rPr>
        <w:t xml:space="preserve"> “minimize commission intervention in the discovery process.”</w:t>
      </w:r>
      <w:r>
        <w:rPr>
          <w:rStyle w:val="FootnoteReference"/>
          <w:rFonts w:asciiTheme="minorHAnsi" w:hAnsiTheme="minorHAnsi" w:cstheme="minorHAnsi"/>
          <w:color w:val="auto"/>
        </w:rPr>
        <w:footnoteReference w:id="15"/>
      </w:r>
      <w:r w:rsidR="005E3754" w:rsidRPr="00A42C32">
        <w:rPr>
          <w:rFonts w:asciiTheme="minorHAnsi" w:hAnsiTheme="minorHAnsi" w:cstheme="minorHAnsi"/>
          <w:color w:val="auto"/>
        </w:rPr>
        <w:t xml:space="preserve">  </w:t>
      </w:r>
      <w:r w:rsidR="002E0376" w:rsidRPr="00A42C32">
        <w:rPr>
          <w:rFonts w:asciiTheme="minorHAnsi" w:hAnsiTheme="minorHAnsi" w:cstheme="minorHAnsi"/>
          <w:color w:val="auto"/>
        </w:rPr>
        <w:t>This rule</w:t>
      </w:r>
      <w:r w:rsidR="00925C6A" w:rsidRPr="00A42C32">
        <w:rPr>
          <w:rFonts w:asciiTheme="minorHAnsi" w:hAnsiTheme="minorHAnsi" w:cstheme="minorHAnsi"/>
          <w:color w:val="auto"/>
        </w:rPr>
        <w:t xml:space="preserve"> requires that a party seeking discovery make a good-faith effort</w:t>
      </w:r>
      <w:r w:rsidR="004B144E" w:rsidRPr="00A42C32">
        <w:rPr>
          <w:rFonts w:asciiTheme="minorHAnsi" w:hAnsiTheme="minorHAnsi" w:cstheme="minorHAnsi"/>
          <w:color w:val="auto"/>
        </w:rPr>
        <w:t xml:space="preserve"> to resolve discovery disputes before requesting Commission intervention.</w:t>
      </w:r>
      <w:r>
        <w:rPr>
          <w:rStyle w:val="FootnoteReference"/>
          <w:rFonts w:asciiTheme="minorHAnsi" w:hAnsiTheme="minorHAnsi" w:cstheme="minorHAnsi"/>
          <w:color w:val="auto"/>
        </w:rPr>
        <w:footnoteReference w:id="16"/>
      </w:r>
      <w:r w:rsidR="00990881" w:rsidRPr="00A42C32">
        <w:rPr>
          <w:rFonts w:asciiTheme="minorHAnsi" w:hAnsiTheme="minorHAnsi" w:cstheme="minorHAnsi"/>
          <w:color w:val="auto"/>
        </w:rPr>
        <w:t xml:space="preserve">  As </w:t>
      </w:r>
      <w:r w:rsidR="00990881" w:rsidRPr="00A42C32">
        <w:rPr>
          <w:rFonts w:asciiTheme="minorHAnsi" w:hAnsiTheme="minorHAnsi" w:cstheme="minorHAnsi"/>
          <w:color w:val="auto"/>
        </w:rPr>
        <w:lastRenderedPageBreak/>
        <w:t xml:space="preserve">support for this requirement, the Commission also requires that </w:t>
      </w:r>
      <w:r w:rsidR="00B4375B" w:rsidRPr="00A42C32">
        <w:rPr>
          <w:rFonts w:asciiTheme="minorHAnsi" w:hAnsiTheme="minorHAnsi" w:cstheme="minorHAnsi"/>
          <w:color w:val="auto"/>
        </w:rPr>
        <w:t>a “motion to compel discovery be accompanied by [a]n affidavit of counsel…</w:t>
      </w:r>
      <w:r w:rsidR="00D94524" w:rsidRPr="00A42C32">
        <w:rPr>
          <w:rFonts w:asciiTheme="minorHAnsi" w:hAnsiTheme="minorHAnsi" w:cstheme="minorHAnsi"/>
          <w:color w:val="auto"/>
        </w:rPr>
        <w:t>setting forth the efforts which have been made to resolve any differences with the party or person from whom discovery is sought.”</w:t>
      </w:r>
      <w:r>
        <w:rPr>
          <w:rStyle w:val="FootnoteReference"/>
          <w:rFonts w:asciiTheme="minorHAnsi" w:hAnsiTheme="minorHAnsi" w:cstheme="minorHAnsi"/>
          <w:color w:val="auto"/>
        </w:rPr>
        <w:footnoteReference w:id="17"/>
      </w:r>
      <w:r w:rsidR="000E3DF5" w:rsidRPr="00A42C32">
        <w:rPr>
          <w:rFonts w:asciiTheme="minorHAnsi" w:hAnsiTheme="minorHAnsi" w:cstheme="minorHAnsi"/>
          <w:color w:val="auto"/>
        </w:rPr>
        <w:t xml:space="preserve">  The </w:t>
      </w:r>
      <w:r w:rsidR="00CB7A8D" w:rsidRPr="00A42C32">
        <w:rPr>
          <w:rFonts w:asciiTheme="minorHAnsi" w:hAnsiTheme="minorHAnsi" w:cstheme="minorHAnsi"/>
          <w:color w:val="auto"/>
        </w:rPr>
        <w:t>party filing a motion to compel must also file a memorandum in support of the motion</w:t>
      </w:r>
      <w:r w:rsidR="008C4444" w:rsidRPr="00A42C32">
        <w:rPr>
          <w:rFonts w:asciiTheme="minorHAnsi" w:hAnsiTheme="minorHAnsi" w:cstheme="minorHAnsi"/>
          <w:color w:val="auto"/>
        </w:rPr>
        <w:t xml:space="preserve"> which states “how the information sought is relevant to the pending proceeding” and the</w:t>
      </w:r>
      <w:r w:rsidR="00A12252" w:rsidRPr="00A42C32">
        <w:rPr>
          <w:rFonts w:asciiTheme="minorHAnsi" w:hAnsiTheme="minorHAnsi" w:cstheme="minorHAnsi"/>
          <w:color w:val="auto"/>
        </w:rPr>
        <w:t xml:space="preserve"> movant’s response to objections raised by the party opposing discovery.</w:t>
      </w:r>
      <w:r>
        <w:rPr>
          <w:rStyle w:val="FootnoteReference"/>
          <w:rFonts w:asciiTheme="minorHAnsi" w:hAnsiTheme="minorHAnsi" w:cstheme="minorHAnsi"/>
          <w:color w:val="auto"/>
        </w:rPr>
        <w:footnoteReference w:id="18"/>
      </w:r>
    </w:p>
    <w:p w14:paraId="478A21F7" w14:textId="6BD50F2A" w:rsidR="003042DB"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 xml:space="preserve">NOPEC has failed to </w:t>
      </w:r>
      <w:r w:rsidR="000762B3" w:rsidRPr="00A42C32">
        <w:rPr>
          <w:rFonts w:asciiTheme="minorHAnsi" w:hAnsiTheme="minorHAnsi" w:cstheme="minorHAnsi"/>
          <w:color w:val="auto"/>
        </w:rPr>
        <w:t xml:space="preserve">satisfy the requirements of Ohio </w:t>
      </w:r>
      <w:proofErr w:type="spellStart"/>
      <w:r w:rsidR="000762B3" w:rsidRPr="00A42C32">
        <w:rPr>
          <w:rFonts w:asciiTheme="minorHAnsi" w:hAnsiTheme="minorHAnsi" w:cstheme="minorHAnsi"/>
          <w:color w:val="auto"/>
        </w:rPr>
        <w:t>Adm.Code</w:t>
      </w:r>
      <w:proofErr w:type="spellEnd"/>
      <w:r w:rsidR="000762B3" w:rsidRPr="00A42C32">
        <w:rPr>
          <w:rFonts w:asciiTheme="minorHAnsi" w:hAnsiTheme="minorHAnsi" w:cstheme="minorHAnsi"/>
          <w:color w:val="auto"/>
        </w:rPr>
        <w:t xml:space="preserve"> 4901-1-23(C)</w:t>
      </w:r>
      <w:r w:rsidR="002850D8" w:rsidRPr="00A42C32">
        <w:rPr>
          <w:rFonts w:asciiTheme="minorHAnsi" w:hAnsiTheme="minorHAnsi" w:cstheme="minorHAnsi"/>
          <w:color w:val="auto"/>
        </w:rPr>
        <w:t xml:space="preserve"> in every respect.  First, NOPEC did not make a good faith effort to </w:t>
      </w:r>
      <w:r w:rsidR="00591149" w:rsidRPr="00A42C32">
        <w:rPr>
          <w:rFonts w:asciiTheme="minorHAnsi" w:hAnsiTheme="minorHAnsi" w:cstheme="minorHAnsi"/>
          <w:color w:val="auto"/>
        </w:rPr>
        <w:t xml:space="preserve">resolve </w:t>
      </w:r>
      <w:r w:rsidR="0039656C" w:rsidRPr="00A42C32">
        <w:rPr>
          <w:rFonts w:asciiTheme="minorHAnsi" w:hAnsiTheme="minorHAnsi" w:cstheme="minorHAnsi"/>
          <w:color w:val="auto"/>
        </w:rPr>
        <w:t xml:space="preserve">its </w:t>
      </w:r>
      <w:r w:rsidR="00591149" w:rsidRPr="00A42C32">
        <w:rPr>
          <w:rFonts w:asciiTheme="minorHAnsi" w:hAnsiTheme="minorHAnsi" w:cstheme="minorHAnsi"/>
          <w:color w:val="auto"/>
        </w:rPr>
        <w:t xml:space="preserve">discovery disputes </w:t>
      </w:r>
      <w:r w:rsidR="00156E30" w:rsidRPr="00A42C32">
        <w:rPr>
          <w:rFonts w:asciiTheme="minorHAnsi" w:hAnsiTheme="minorHAnsi" w:cstheme="minorHAnsi"/>
          <w:color w:val="auto"/>
        </w:rPr>
        <w:t xml:space="preserve">before involving the Commission.  As </w:t>
      </w:r>
      <w:r w:rsidR="00E839BC" w:rsidRPr="00A42C32">
        <w:rPr>
          <w:rFonts w:asciiTheme="minorHAnsi" w:hAnsiTheme="minorHAnsi" w:cstheme="minorHAnsi"/>
          <w:color w:val="auto"/>
        </w:rPr>
        <w:t xml:space="preserve">demonstrated in Attachment B to its Motion, NOPEC gave </w:t>
      </w:r>
      <w:r w:rsidR="00047761" w:rsidRPr="00A42C32">
        <w:rPr>
          <w:rFonts w:asciiTheme="minorHAnsi" w:hAnsiTheme="minorHAnsi" w:cstheme="minorHAnsi"/>
          <w:color w:val="auto"/>
        </w:rPr>
        <w:t xml:space="preserve">Hartree less than 24 hours to </w:t>
      </w:r>
      <w:r w:rsidR="00234E94" w:rsidRPr="00A42C32">
        <w:rPr>
          <w:rFonts w:asciiTheme="minorHAnsi" w:hAnsiTheme="minorHAnsi" w:cstheme="minorHAnsi"/>
          <w:color w:val="auto"/>
        </w:rPr>
        <w:t xml:space="preserve">both decide whether Hartree would execute the protective order and </w:t>
      </w:r>
      <w:r w:rsidR="00060ACC" w:rsidRPr="00A42C32">
        <w:rPr>
          <w:rFonts w:asciiTheme="minorHAnsi" w:hAnsiTheme="minorHAnsi" w:cstheme="minorHAnsi"/>
          <w:color w:val="auto"/>
        </w:rPr>
        <w:t xml:space="preserve">whether Hartree would provide “substantive responses to </w:t>
      </w:r>
      <w:r w:rsidR="000E1BEE" w:rsidRPr="00A42C32">
        <w:rPr>
          <w:rFonts w:asciiTheme="minorHAnsi" w:hAnsiTheme="minorHAnsi" w:cstheme="minorHAnsi"/>
          <w:color w:val="auto"/>
          <w:u w:val="single"/>
        </w:rPr>
        <w:t>all</w:t>
      </w:r>
      <w:r w:rsidR="000E1BEE" w:rsidRPr="00A42C32">
        <w:rPr>
          <w:rFonts w:asciiTheme="minorHAnsi" w:hAnsiTheme="minorHAnsi" w:cstheme="minorHAnsi"/>
          <w:color w:val="auto"/>
        </w:rPr>
        <w:t xml:space="preserve"> of the Discovery.”</w:t>
      </w:r>
      <w:r>
        <w:rPr>
          <w:rStyle w:val="FootnoteReference"/>
          <w:rFonts w:asciiTheme="minorHAnsi" w:hAnsiTheme="minorHAnsi" w:cstheme="minorHAnsi"/>
          <w:color w:val="auto"/>
        </w:rPr>
        <w:footnoteReference w:id="19"/>
      </w:r>
      <w:r w:rsidR="00A64D53" w:rsidRPr="00A42C32">
        <w:rPr>
          <w:rFonts w:asciiTheme="minorHAnsi" w:hAnsiTheme="minorHAnsi" w:cstheme="minorHAnsi"/>
          <w:color w:val="auto"/>
        </w:rPr>
        <w:t xml:space="preserve">  Of note, </w:t>
      </w:r>
      <w:r w:rsidR="00A40058" w:rsidRPr="00A42C32">
        <w:rPr>
          <w:rFonts w:asciiTheme="minorHAnsi" w:hAnsiTheme="minorHAnsi" w:cstheme="minorHAnsi"/>
          <w:color w:val="auto"/>
        </w:rPr>
        <w:t>in an e</w:t>
      </w:r>
      <w:r w:rsidR="005D2C8F" w:rsidRPr="00A42C32">
        <w:rPr>
          <w:rFonts w:asciiTheme="minorHAnsi" w:hAnsiTheme="minorHAnsi" w:cstheme="minorHAnsi"/>
          <w:color w:val="auto"/>
        </w:rPr>
        <w:t>-</w:t>
      </w:r>
      <w:r w:rsidR="00A40058" w:rsidRPr="00A42C32">
        <w:rPr>
          <w:rFonts w:asciiTheme="minorHAnsi" w:hAnsiTheme="minorHAnsi" w:cstheme="minorHAnsi"/>
          <w:color w:val="auto"/>
        </w:rPr>
        <w:t xml:space="preserve">mail sent at 12:13 AM on October 28, 2022, </w:t>
      </w:r>
      <w:r w:rsidR="00A67656" w:rsidRPr="00A42C32">
        <w:rPr>
          <w:rFonts w:asciiTheme="minorHAnsi" w:hAnsiTheme="minorHAnsi" w:cstheme="minorHAnsi"/>
          <w:color w:val="auto"/>
        </w:rPr>
        <w:t>NOPEC demanded a response</w:t>
      </w:r>
      <w:r w:rsidR="00A40058" w:rsidRPr="00A42C32">
        <w:rPr>
          <w:rFonts w:asciiTheme="minorHAnsi" w:hAnsiTheme="minorHAnsi" w:cstheme="minorHAnsi"/>
          <w:color w:val="auto"/>
        </w:rPr>
        <w:t xml:space="preserve"> from Hartree on</w:t>
      </w:r>
      <w:r w:rsidR="00A67656" w:rsidRPr="00A42C32">
        <w:rPr>
          <w:rFonts w:asciiTheme="minorHAnsi" w:hAnsiTheme="minorHAnsi" w:cstheme="minorHAnsi"/>
          <w:color w:val="auto"/>
        </w:rPr>
        <w:t xml:space="preserve"> both inquiries</w:t>
      </w:r>
      <w:r w:rsidR="00A40058" w:rsidRPr="00A42C32">
        <w:rPr>
          <w:rFonts w:asciiTheme="minorHAnsi" w:hAnsiTheme="minorHAnsi" w:cstheme="minorHAnsi"/>
          <w:color w:val="auto"/>
        </w:rPr>
        <w:t xml:space="preserve"> </w:t>
      </w:r>
      <w:r w:rsidR="00A67656" w:rsidRPr="00A42C32">
        <w:rPr>
          <w:rFonts w:asciiTheme="minorHAnsi" w:hAnsiTheme="minorHAnsi" w:cstheme="minorHAnsi"/>
          <w:color w:val="auto"/>
        </w:rPr>
        <w:t xml:space="preserve">by </w:t>
      </w:r>
      <w:r w:rsidR="00A40058" w:rsidRPr="00A42C32">
        <w:rPr>
          <w:rFonts w:asciiTheme="minorHAnsi" w:hAnsiTheme="minorHAnsi" w:cstheme="minorHAnsi"/>
          <w:color w:val="auto"/>
        </w:rPr>
        <w:t>6 PM that same day.</w:t>
      </w:r>
      <w:r>
        <w:rPr>
          <w:rStyle w:val="FootnoteReference"/>
          <w:rFonts w:asciiTheme="minorHAnsi" w:hAnsiTheme="minorHAnsi" w:cstheme="minorHAnsi"/>
          <w:color w:val="auto"/>
        </w:rPr>
        <w:footnoteReference w:id="20"/>
      </w:r>
      <w:r w:rsidR="00BF5ACF" w:rsidRPr="00A42C32">
        <w:rPr>
          <w:rFonts w:asciiTheme="minorHAnsi" w:hAnsiTheme="minorHAnsi" w:cstheme="minorHAnsi"/>
          <w:color w:val="auto"/>
        </w:rPr>
        <w:t xml:space="preserve">  As discussed in those e-mail communications with NOPEC</w:t>
      </w:r>
      <w:r w:rsidR="00E531E5" w:rsidRPr="00A42C32">
        <w:rPr>
          <w:rFonts w:asciiTheme="minorHAnsi" w:hAnsiTheme="minorHAnsi" w:cstheme="minorHAnsi"/>
          <w:color w:val="auto"/>
        </w:rPr>
        <w:t>’s counsel</w:t>
      </w:r>
      <w:r w:rsidR="00BF5ACF" w:rsidRPr="00A42C32">
        <w:rPr>
          <w:rFonts w:asciiTheme="minorHAnsi" w:hAnsiTheme="minorHAnsi" w:cstheme="minorHAnsi"/>
          <w:color w:val="auto"/>
        </w:rPr>
        <w:t xml:space="preserve">, Hartree was reluctant to sign a protective order </w:t>
      </w:r>
      <w:r w:rsidR="0010388F" w:rsidRPr="00A42C32">
        <w:rPr>
          <w:rFonts w:asciiTheme="minorHAnsi" w:hAnsiTheme="minorHAnsi" w:cstheme="minorHAnsi"/>
          <w:color w:val="auto"/>
        </w:rPr>
        <w:t>that resulted from negotiations to which it was not party to</w:t>
      </w:r>
      <w:r w:rsidR="00E531E5" w:rsidRPr="00A42C32">
        <w:rPr>
          <w:rFonts w:asciiTheme="minorHAnsi" w:hAnsiTheme="minorHAnsi" w:cstheme="minorHAnsi"/>
          <w:color w:val="auto"/>
        </w:rPr>
        <w:t>, despite multiple requests to be included in those negotiations</w:t>
      </w:r>
      <w:r w:rsidR="0010388F" w:rsidRPr="00A42C32">
        <w:rPr>
          <w:rFonts w:asciiTheme="minorHAnsi" w:hAnsiTheme="minorHAnsi" w:cstheme="minorHAnsi"/>
          <w:color w:val="auto"/>
        </w:rPr>
        <w:t>.</w:t>
      </w:r>
      <w:r w:rsidR="005D2C8F" w:rsidRPr="00A42C32">
        <w:rPr>
          <w:rFonts w:asciiTheme="minorHAnsi" w:hAnsiTheme="minorHAnsi" w:cstheme="minorHAnsi"/>
          <w:color w:val="auto"/>
        </w:rPr>
        <w:t xml:space="preserve">  </w:t>
      </w:r>
      <w:r w:rsidR="0010388F" w:rsidRPr="00A42C32">
        <w:rPr>
          <w:rFonts w:asciiTheme="minorHAnsi" w:hAnsiTheme="minorHAnsi" w:cstheme="minorHAnsi"/>
          <w:color w:val="auto"/>
        </w:rPr>
        <w:t>However,</w:t>
      </w:r>
      <w:r w:rsidR="005D2C8F" w:rsidRPr="00A42C32">
        <w:rPr>
          <w:rFonts w:asciiTheme="minorHAnsi" w:hAnsiTheme="minorHAnsi" w:cstheme="minorHAnsi"/>
          <w:color w:val="auto"/>
        </w:rPr>
        <w:t xml:space="preserve"> after a final e-mail, in which Hartree’s counsel </w:t>
      </w:r>
      <w:r w:rsidR="00BF5ACF" w:rsidRPr="00A42C32">
        <w:rPr>
          <w:rFonts w:asciiTheme="minorHAnsi" w:hAnsiTheme="minorHAnsi" w:cstheme="minorHAnsi"/>
          <w:color w:val="auto"/>
        </w:rPr>
        <w:t>agreed to execute the protective order</w:t>
      </w:r>
      <w:r w:rsidR="0010388F" w:rsidRPr="00A42C32">
        <w:rPr>
          <w:rFonts w:asciiTheme="minorHAnsi" w:hAnsiTheme="minorHAnsi" w:cstheme="minorHAnsi"/>
          <w:color w:val="auto"/>
        </w:rPr>
        <w:t xml:space="preserve"> and </w:t>
      </w:r>
      <w:r w:rsidR="001E120C" w:rsidRPr="00A42C32">
        <w:rPr>
          <w:rFonts w:asciiTheme="minorHAnsi" w:hAnsiTheme="minorHAnsi" w:cstheme="minorHAnsi"/>
          <w:color w:val="auto"/>
        </w:rPr>
        <w:t xml:space="preserve">which </w:t>
      </w:r>
      <w:r w:rsidR="005D2C8F" w:rsidRPr="00A42C32">
        <w:rPr>
          <w:rFonts w:asciiTheme="minorHAnsi" w:hAnsiTheme="minorHAnsi" w:cstheme="minorHAnsi"/>
          <w:color w:val="auto"/>
        </w:rPr>
        <w:t>end</w:t>
      </w:r>
      <w:r w:rsidR="001E120C" w:rsidRPr="00A42C32">
        <w:rPr>
          <w:rFonts w:asciiTheme="minorHAnsi" w:hAnsiTheme="minorHAnsi" w:cstheme="minorHAnsi"/>
          <w:color w:val="auto"/>
        </w:rPr>
        <w:t>ed</w:t>
      </w:r>
      <w:r w:rsidR="0010388F" w:rsidRPr="00A42C32">
        <w:rPr>
          <w:rFonts w:asciiTheme="minorHAnsi" w:hAnsiTheme="minorHAnsi" w:cstheme="minorHAnsi"/>
          <w:color w:val="auto"/>
        </w:rPr>
        <w:t xml:space="preserve"> </w:t>
      </w:r>
      <w:r w:rsidR="005D2C8F" w:rsidRPr="00A42C32">
        <w:rPr>
          <w:rFonts w:asciiTheme="minorHAnsi" w:hAnsiTheme="minorHAnsi" w:cstheme="minorHAnsi"/>
          <w:color w:val="auto"/>
        </w:rPr>
        <w:t>with</w:t>
      </w:r>
      <w:r w:rsidR="00876848" w:rsidRPr="00A42C32">
        <w:rPr>
          <w:rFonts w:asciiTheme="minorHAnsi" w:hAnsiTheme="minorHAnsi" w:cstheme="minorHAnsi"/>
          <w:color w:val="auto"/>
        </w:rPr>
        <w:t xml:space="preserve"> “[w]e are happy to discuss our position further if that </w:t>
      </w:r>
      <w:r w:rsidR="00876848" w:rsidRPr="00A42C32">
        <w:rPr>
          <w:rFonts w:asciiTheme="minorHAnsi" w:hAnsiTheme="minorHAnsi" w:cstheme="minorHAnsi"/>
          <w:color w:val="auto"/>
        </w:rPr>
        <w:lastRenderedPageBreak/>
        <w:t>would be helpful</w:t>
      </w:r>
      <w:r w:rsidR="00E531E5" w:rsidRPr="00A42C32">
        <w:rPr>
          <w:rFonts w:asciiTheme="minorHAnsi" w:hAnsiTheme="minorHAnsi" w:cstheme="minorHAnsi"/>
          <w:color w:val="auto"/>
        </w:rPr>
        <w:t>[,]</w:t>
      </w:r>
      <w:r w:rsidR="00876848" w:rsidRPr="00A42C32">
        <w:rPr>
          <w:rFonts w:asciiTheme="minorHAnsi" w:hAnsiTheme="minorHAnsi" w:cstheme="minorHAnsi"/>
          <w:color w:val="auto"/>
        </w:rPr>
        <w:t>”</w:t>
      </w:r>
      <w:r w:rsidR="00E531E5" w:rsidRPr="00A42C32">
        <w:rPr>
          <w:rFonts w:asciiTheme="minorHAnsi" w:hAnsiTheme="minorHAnsi" w:cstheme="minorHAnsi"/>
          <w:color w:val="auto"/>
        </w:rPr>
        <w:t xml:space="preserve"> </w:t>
      </w:r>
      <w:r w:rsidR="001E120C" w:rsidRPr="00A42C32">
        <w:rPr>
          <w:rFonts w:asciiTheme="minorHAnsi" w:hAnsiTheme="minorHAnsi" w:cstheme="minorHAnsi"/>
          <w:color w:val="auto"/>
        </w:rPr>
        <w:t xml:space="preserve">NOPEC’s counsel abruptly </w:t>
      </w:r>
      <w:r w:rsidR="00CB3E7D" w:rsidRPr="00A42C32">
        <w:rPr>
          <w:rFonts w:asciiTheme="minorHAnsi" w:hAnsiTheme="minorHAnsi" w:cstheme="minorHAnsi"/>
          <w:color w:val="auto"/>
        </w:rPr>
        <w:t>responded</w:t>
      </w:r>
      <w:r w:rsidR="001E120C" w:rsidRPr="00A42C32">
        <w:rPr>
          <w:rFonts w:asciiTheme="minorHAnsi" w:hAnsiTheme="minorHAnsi" w:cstheme="minorHAnsi"/>
          <w:color w:val="auto"/>
        </w:rPr>
        <w:t>: “It appears that we are at an impasse. We will file a motion to compel.”</w:t>
      </w:r>
      <w:r>
        <w:rPr>
          <w:rStyle w:val="FootnoteReference"/>
          <w:rFonts w:asciiTheme="minorHAnsi" w:hAnsiTheme="minorHAnsi" w:cstheme="minorHAnsi"/>
          <w:color w:val="auto"/>
        </w:rPr>
        <w:footnoteReference w:id="21"/>
      </w:r>
      <w:r w:rsidR="00665C37" w:rsidRPr="00A42C32">
        <w:rPr>
          <w:rFonts w:asciiTheme="minorHAnsi" w:hAnsiTheme="minorHAnsi" w:cstheme="minorHAnsi"/>
          <w:color w:val="auto"/>
        </w:rPr>
        <w:t xml:space="preserve">  </w:t>
      </w:r>
    </w:p>
    <w:p w14:paraId="75F2DBF3" w14:textId="2D53AE97" w:rsidR="00B569C1"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 xml:space="preserve">As demonstrated </w:t>
      </w:r>
      <w:r w:rsidR="00C31211" w:rsidRPr="00A42C32">
        <w:rPr>
          <w:rFonts w:asciiTheme="minorHAnsi" w:hAnsiTheme="minorHAnsi" w:cstheme="minorHAnsi"/>
          <w:color w:val="auto"/>
        </w:rPr>
        <w:t>in the affidavit to</w:t>
      </w:r>
      <w:r w:rsidRPr="00A42C32">
        <w:rPr>
          <w:rFonts w:asciiTheme="minorHAnsi" w:hAnsiTheme="minorHAnsi" w:cstheme="minorHAnsi"/>
          <w:color w:val="auto"/>
        </w:rPr>
        <w:t xml:space="preserve"> its own </w:t>
      </w:r>
      <w:r w:rsidR="00C31211" w:rsidRPr="00A42C32">
        <w:rPr>
          <w:rFonts w:asciiTheme="minorHAnsi" w:hAnsiTheme="minorHAnsi" w:cstheme="minorHAnsi"/>
          <w:color w:val="auto"/>
        </w:rPr>
        <w:t xml:space="preserve">Motion, </w:t>
      </w:r>
      <w:r w:rsidR="00665C37" w:rsidRPr="00A42C32">
        <w:rPr>
          <w:rFonts w:asciiTheme="minorHAnsi" w:hAnsiTheme="minorHAnsi" w:cstheme="minorHAnsi"/>
          <w:color w:val="auto"/>
        </w:rPr>
        <w:t>NOPEC</w:t>
      </w:r>
      <w:r w:rsidR="00B844A5" w:rsidRPr="00A42C32">
        <w:rPr>
          <w:rFonts w:asciiTheme="minorHAnsi" w:hAnsiTheme="minorHAnsi" w:cstheme="minorHAnsi"/>
          <w:color w:val="auto"/>
        </w:rPr>
        <w:t xml:space="preserve"> rejected the invitation to further discussion with Hartree to attempt to resolve their discovery disputes and filed </w:t>
      </w:r>
      <w:r w:rsidRPr="00A42C32">
        <w:rPr>
          <w:rFonts w:asciiTheme="minorHAnsi" w:hAnsiTheme="minorHAnsi" w:cstheme="minorHAnsi"/>
          <w:color w:val="auto"/>
        </w:rPr>
        <w:t xml:space="preserve">its Motion with the Commission prematurely. </w:t>
      </w:r>
      <w:r w:rsidR="00CB3E7D" w:rsidRPr="00A42C32">
        <w:rPr>
          <w:rFonts w:asciiTheme="minorHAnsi" w:hAnsiTheme="minorHAnsi" w:cstheme="minorHAnsi"/>
          <w:color w:val="auto"/>
        </w:rPr>
        <w:t xml:space="preserve"> </w:t>
      </w:r>
      <w:r w:rsidR="00815531" w:rsidRPr="00A42C32">
        <w:rPr>
          <w:rFonts w:asciiTheme="minorHAnsi" w:hAnsiTheme="minorHAnsi" w:cstheme="minorHAnsi"/>
          <w:color w:val="auto"/>
        </w:rPr>
        <w:t>NOPEC</w:t>
      </w:r>
      <w:r w:rsidR="00717ADA" w:rsidRPr="00A42C32">
        <w:rPr>
          <w:rFonts w:asciiTheme="minorHAnsi" w:hAnsiTheme="minorHAnsi" w:cstheme="minorHAnsi"/>
          <w:color w:val="auto"/>
        </w:rPr>
        <w:t>’s</w:t>
      </w:r>
      <w:r w:rsidR="00815531" w:rsidRPr="00A42C32">
        <w:rPr>
          <w:rFonts w:asciiTheme="minorHAnsi" w:hAnsiTheme="minorHAnsi" w:cstheme="minorHAnsi"/>
          <w:color w:val="auto"/>
        </w:rPr>
        <w:t xml:space="preserve"> counsel’s contumacious e-mail </w:t>
      </w:r>
      <w:r w:rsidR="00880C17" w:rsidRPr="00A42C32">
        <w:rPr>
          <w:rFonts w:asciiTheme="minorHAnsi" w:hAnsiTheme="minorHAnsi" w:cstheme="minorHAnsi"/>
          <w:color w:val="auto"/>
        </w:rPr>
        <w:t>traffic</w:t>
      </w:r>
      <w:r w:rsidR="00815531" w:rsidRPr="00A42C32">
        <w:rPr>
          <w:rFonts w:asciiTheme="minorHAnsi" w:hAnsiTheme="minorHAnsi" w:cstheme="minorHAnsi"/>
          <w:color w:val="auto"/>
        </w:rPr>
        <w:t xml:space="preserve"> does not constitute a good faith effort to resolve discovery disputes that arise solely due to</w:t>
      </w:r>
      <w:r w:rsidR="00717ADA" w:rsidRPr="00A42C32">
        <w:rPr>
          <w:rFonts w:asciiTheme="minorHAnsi" w:hAnsiTheme="minorHAnsi" w:cstheme="minorHAnsi"/>
          <w:color w:val="auto"/>
        </w:rPr>
        <w:t xml:space="preserve"> </w:t>
      </w:r>
      <w:r w:rsidR="00815531" w:rsidRPr="00A42C32">
        <w:rPr>
          <w:rFonts w:asciiTheme="minorHAnsi" w:hAnsiTheme="minorHAnsi" w:cstheme="minorHAnsi"/>
          <w:color w:val="auto"/>
        </w:rPr>
        <w:t xml:space="preserve">NOPEC’s overly broad and unreasonable discovery requests. </w:t>
      </w:r>
      <w:r w:rsidRPr="00A42C32">
        <w:rPr>
          <w:rFonts w:asciiTheme="minorHAnsi" w:hAnsiTheme="minorHAnsi" w:cstheme="minorHAnsi"/>
          <w:color w:val="auto"/>
        </w:rPr>
        <w:t xml:space="preserve"> </w:t>
      </w:r>
      <w:r w:rsidR="00C31211" w:rsidRPr="00A42C32">
        <w:rPr>
          <w:rFonts w:asciiTheme="minorHAnsi" w:hAnsiTheme="minorHAnsi" w:cstheme="minorHAnsi"/>
          <w:color w:val="auto"/>
        </w:rPr>
        <w:t xml:space="preserve">For these reasons, </w:t>
      </w:r>
      <w:r w:rsidRPr="00A42C32">
        <w:rPr>
          <w:rFonts w:asciiTheme="minorHAnsi" w:hAnsiTheme="minorHAnsi" w:cstheme="minorHAnsi"/>
          <w:color w:val="auto"/>
        </w:rPr>
        <w:t xml:space="preserve">NOPEC’s “failure to comply with </w:t>
      </w:r>
      <w:r w:rsidR="00C31211" w:rsidRPr="00A42C32">
        <w:rPr>
          <w:rFonts w:asciiTheme="minorHAnsi" w:hAnsiTheme="minorHAnsi" w:cstheme="minorHAnsi"/>
          <w:color w:val="auto"/>
        </w:rPr>
        <w:t xml:space="preserve">Ohio </w:t>
      </w:r>
      <w:proofErr w:type="spellStart"/>
      <w:r w:rsidR="00C31211" w:rsidRPr="00A42C32">
        <w:rPr>
          <w:rFonts w:asciiTheme="minorHAnsi" w:hAnsiTheme="minorHAnsi" w:cstheme="minorHAnsi"/>
          <w:color w:val="auto"/>
        </w:rPr>
        <w:t>Adm.Code</w:t>
      </w:r>
      <w:proofErr w:type="spellEnd"/>
      <w:r w:rsidR="00C31211" w:rsidRPr="00A42C32">
        <w:rPr>
          <w:rFonts w:asciiTheme="minorHAnsi" w:hAnsiTheme="minorHAnsi" w:cstheme="minorHAnsi"/>
          <w:color w:val="auto"/>
        </w:rPr>
        <w:t xml:space="preserve"> 4901-1-23</w:t>
      </w:r>
      <w:r w:rsidR="000C5AAC" w:rsidRPr="00A42C32">
        <w:rPr>
          <w:rFonts w:asciiTheme="minorHAnsi" w:hAnsiTheme="minorHAnsi" w:cstheme="minorHAnsi"/>
          <w:color w:val="auto"/>
        </w:rPr>
        <w:t>…</w:t>
      </w:r>
      <w:r w:rsidRPr="00A42C32">
        <w:rPr>
          <w:rFonts w:asciiTheme="minorHAnsi" w:hAnsiTheme="minorHAnsi" w:cstheme="minorHAnsi"/>
          <w:color w:val="auto"/>
        </w:rPr>
        <w:t>compel</w:t>
      </w:r>
      <w:r w:rsidR="000C5AAC" w:rsidRPr="00A42C32">
        <w:rPr>
          <w:rFonts w:asciiTheme="minorHAnsi" w:hAnsiTheme="minorHAnsi" w:cstheme="minorHAnsi"/>
          <w:color w:val="auto"/>
        </w:rPr>
        <w:t>[</w:t>
      </w:r>
      <w:r w:rsidRPr="00A42C32">
        <w:rPr>
          <w:rFonts w:asciiTheme="minorHAnsi" w:hAnsiTheme="minorHAnsi" w:cstheme="minorHAnsi"/>
          <w:color w:val="auto"/>
        </w:rPr>
        <w:t>s</w:t>
      </w:r>
      <w:r w:rsidR="000C5AAC" w:rsidRPr="00A42C32">
        <w:rPr>
          <w:rFonts w:asciiTheme="minorHAnsi" w:hAnsiTheme="minorHAnsi" w:cstheme="minorHAnsi"/>
          <w:color w:val="auto"/>
        </w:rPr>
        <w:t>]</w:t>
      </w:r>
      <w:r w:rsidRPr="00A42C32">
        <w:rPr>
          <w:rFonts w:asciiTheme="minorHAnsi" w:hAnsiTheme="minorHAnsi" w:cstheme="minorHAnsi"/>
          <w:color w:val="auto"/>
        </w:rPr>
        <w:t xml:space="preserve"> a complete dismissal of </w:t>
      </w:r>
      <w:r w:rsidR="00D335B0" w:rsidRPr="00A42C32">
        <w:rPr>
          <w:rFonts w:asciiTheme="minorHAnsi" w:hAnsiTheme="minorHAnsi" w:cstheme="minorHAnsi"/>
          <w:color w:val="auto"/>
        </w:rPr>
        <w:t>[its]</w:t>
      </w:r>
      <w:r w:rsidRPr="00A42C32">
        <w:rPr>
          <w:rFonts w:asciiTheme="minorHAnsi" w:hAnsiTheme="minorHAnsi" w:cstheme="minorHAnsi"/>
          <w:color w:val="auto"/>
        </w:rPr>
        <w:t xml:space="preserve"> motion</w:t>
      </w:r>
      <w:r w:rsidR="00D335B0" w:rsidRPr="00A42C32">
        <w:rPr>
          <w:rFonts w:asciiTheme="minorHAnsi" w:hAnsiTheme="minorHAnsi" w:cstheme="minorHAnsi"/>
          <w:color w:val="auto"/>
        </w:rPr>
        <w:t>.</w:t>
      </w:r>
      <w:r w:rsidRPr="00A42C32">
        <w:rPr>
          <w:rFonts w:asciiTheme="minorHAnsi" w:hAnsiTheme="minorHAnsi" w:cstheme="minorHAnsi"/>
          <w:color w:val="auto"/>
        </w:rPr>
        <w:t>”</w:t>
      </w:r>
      <w:r>
        <w:rPr>
          <w:rStyle w:val="FootnoteReference"/>
          <w:rFonts w:asciiTheme="minorHAnsi" w:hAnsiTheme="minorHAnsi" w:cstheme="minorHAnsi"/>
          <w:color w:val="auto"/>
        </w:rPr>
        <w:footnoteReference w:id="22"/>
      </w:r>
    </w:p>
    <w:p w14:paraId="39D21D4E" w14:textId="12F0B668" w:rsidR="008C117F" w:rsidRPr="00A42C32" w:rsidRDefault="005B60D5" w:rsidP="00885BA1">
      <w:pPr>
        <w:pStyle w:val="Default"/>
        <w:numPr>
          <w:ilvl w:val="1"/>
          <w:numId w:val="14"/>
        </w:numPr>
        <w:spacing w:after="240"/>
        <w:ind w:left="2160" w:hanging="720"/>
        <w:rPr>
          <w:rFonts w:asciiTheme="minorHAnsi" w:hAnsiTheme="minorHAnsi" w:cstheme="minorHAnsi"/>
          <w:b/>
          <w:bCs/>
          <w:color w:val="auto"/>
        </w:rPr>
      </w:pPr>
      <w:r w:rsidRPr="00A42C32">
        <w:rPr>
          <w:rFonts w:asciiTheme="minorHAnsi" w:hAnsiTheme="minorHAnsi" w:cstheme="minorHAnsi"/>
          <w:b/>
          <w:bCs/>
          <w:color w:val="auto"/>
        </w:rPr>
        <w:t>NOPEC</w:t>
      </w:r>
      <w:r w:rsidR="00A82544" w:rsidRPr="00A42C32">
        <w:rPr>
          <w:rFonts w:asciiTheme="minorHAnsi" w:hAnsiTheme="minorHAnsi" w:cstheme="minorHAnsi"/>
          <w:b/>
          <w:bCs/>
          <w:color w:val="auto"/>
        </w:rPr>
        <w:t>’s Discovery Requests are Outside the Scope of this Proceeding</w:t>
      </w:r>
    </w:p>
    <w:p w14:paraId="37927352" w14:textId="11106B99" w:rsidR="00301346"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 xml:space="preserve">Even </w:t>
      </w:r>
      <w:r w:rsidR="00E67593" w:rsidRPr="00A42C32">
        <w:rPr>
          <w:rFonts w:asciiTheme="minorHAnsi" w:hAnsiTheme="minorHAnsi" w:cstheme="minorHAnsi"/>
          <w:color w:val="auto"/>
        </w:rPr>
        <w:t xml:space="preserve">were </w:t>
      </w:r>
      <w:r w:rsidRPr="00A42C32">
        <w:rPr>
          <w:rFonts w:asciiTheme="minorHAnsi" w:hAnsiTheme="minorHAnsi" w:cstheme="minorHAnsi"/>
          <w:color w:val="auto"/>
        </w:rPr>
        <w:t xml:space="preserve">the Commission to find that NOPEC </w:t>
      </w:r>
      <w:r w:rsidR="003F5527" w:rsidRPr="00A42C32">
        <w:rPr>
          <w:rFonts w:asciiTheme="minorHAnsi" w:hAnsiTheme="minorHAnsi" w:cstheme="minorHAnsi"/>
          <w:color w:val="auto"/>
        </w:rPr>
        <w:t xml:space="preserve">has the right to seek discovery of Hartree pursuant to the Commission’s Show Cause </w:t>
      </w:r>
      <w:r w:rsidR="001718D2" w:rsidRPr="00A42C32">
        <w:rPr>
          <w:rFonts w:asciiTheme="minorHAnsi" w:hAnsiTheme="minorHAnsi" w:cstheme="minorHAnsi"/>
          <w:color w:val="auto"/>
        </w:rPr>
        <w:t>Order</w:t>
      </w:r>
      <w:r w:rsidR="003F5527" w:rsidRPr="00A42C32">
        <w:rPr>
          <w:rFonts w:asciiTheme="minorHAnsi" w:hAnsiTheme="minorHAnsi" w:cstheme="minorHAnsi"/>
          <w:color w:val="auto"/>
        </w:rPr>
        <w:t xml:space="preserve">, the Commission should find that NOPEC’s </w:t>
      </w:r>
      <w:r w:rsidR="00C16C8C" w:rsidRPr="00A42C32">
        <w:rPr>
          <w:rFonts w:asciiTheme="minorHAnsi" w:hAnsiTheme="minorHAnsi" w:cstheme="minorHAnsi"/>
          <w:color w:val="auto"/>
        </w:rPr>
        <w:t xml:space="preserve">discovery requests are well outside of the scope of this proceeding.  </w:t>
      </w:r>
      <w:r w:rsidR="008F10DD" w:rsidRPr="00A42C32">
        <w:rPr>
          <w:rFonts w:asciiTheme="minorHAnsi" w:hAnsiTheme="minorHAnsi" w:cstheme="minorHAnsi"/>
          <w:color w:val="auto"/>
        </w:rPr>
        <w:t>NOPEC, through its discovery request,</w:t>
      </w:r>
      <w:r w:rsidR="00FE4F83" w:rsidRPr="00A42C32">
        <w:rPr>
          <w:rFonts w:asciiTheme="minorHAnsi" w:hAnsiTheme="minorHAnsi" w:cstheme="minorHAnsi"/>
          <w:color w:val="auto"/>
        </w:rPr>
        <w:t xml:space="preserve"> seeks</w:t>
      </w:r>
      <w:r w:rsidR="000F571D" w:rsidRPr="00A42C32">
        <w:rPr>
          <w:rFonts w:asciiTheme="minorHAnsi" w:hAnsiTheme="minorHAnsi" w:cstheme="minorHAnsi"/>
          <w:color w:val="auto"/>
        </w:rPr>
        <w:t xml:space="preserve"> extensive</w:t>
      </w:r>
      <w:r w:rsidR="008F10DD" w:rsidRPr="00A42C32">
        <w:rPr>
          <w:rFonts w:asciiTheme="minorHAnsi" w:hAnsiTheme="minorHAnsi" w:cstheme="minorHAnsi"/>
          <w:color w:val="auto"/>
        </w:rPr>
        <w:t xml:space="preserve"> </w:t>
      </w:r>
      <w:r w:rsidR="00FE4F83" w:rsidRPr="00A42C32">
        <w:rPr>
          <w:rFonts w:asciiTheme="minorHAnsi" w:hAnsiTheme="minorHAnsi" w:cstheme="minorHAnsi"/>
          <w:color w:val="auto"/>
        </w:rPr>
        <w:t>information and documentation from Hartree</w:t>
      </w:r>
      <w:r w:rsidR="003D2DD8" w:rsidRPr="00A42C32">
        <w:rPr>
          <w:rFonts w:asciiTheme="minorHAnsi" w:hAnsiTheme="minorHAnsi" w:cstheme="minorHAnsi"/>
          <w:color w:val="auto"/>
        </w:rPr>
        <w:t>,</w:t>
      </w:r>
      <w:r w:rsidR="00FE4F83" w:rsidRPr="00A42C32">
        <w:rPr>
          <w:rFonts w:asciiTheme="minorHAnsi" w:hAnsiTheme="minorHAnsi" w:cstheme="minorHAnsi"/>
          <w:color w:val="auto"/>
        </w:rPr>
        <w:t xml:space="preserve"> </w:t>
      </w:r>
      <w:r w:rsidR="00815531" w:rsidRPr="00A42C32">
        <w:rPr>
          <w:rFonts w:asciiTheme="minorHAnsi" w:hAnsiTheme="minorHAnsi" w:cstheme="minorHAnsi"/>
          <w:color w:val="auto"/>
        </w:rPr>
        <w:t xml:space="preserve">including </w:t>
      </w:r>
      <w:r w:rsidR="00FE4F83" w:rsidRPr="00A42C32">
        <w:rPr>
          <w:rFonts w:asciiTheme="minorHAnsi" w:hAnsiTheme="minorHAnsi" w:cstheme="minorHAnsi"/>
          <w:color w:val="auto"/>
        </w:rPr>
        <w:t>Hartree’s</w:t>
      </w:r>
      <w:r w:rsidR="000F571D" w:rsidRPr="00A42C32">
        <w:rPr>
          <w:rFonts w:asciiTheme="minorHAnsi" w:hAnsiTheme="minorHAnsi" w:cstheme="minorHAnsi"/>
          <w:color w:val="auto"/>
        </w:rPr>
        <w:t xml:space="preserve"> “every communication” with “Dynegy Marketing and Trade, LLC, Interstate Gas Supply, Inc., TransAlta Energy Marketing (U.S.) Inc. and/or Enel Trading North America, LLC regarding the Customer Return[,]”</w:t>
      </w:r>
      <w:r w:rsidR="00FE4F83" w:rsidRPr="00A42C32">
        <w:rPr>
          <w:rFonts w:asciiTheme="minorHAnsi" w:hAnsiTheme="minorHAnsi" w:cstheme="minorHAnsi"/>
          <w:color w:val="auto"/>
        </w:rPr>
        <w:t xml:space="preserve"> </w:t>
      </w:r>
      <w:r w:rsidR="000F571D" w:rsidRPr="00A42C32">
        <w:rPr>
          <w:rFonts w:asciiTheme="minorHAnsi" w:hAnsiTheme="minorHAnsi" w:cstheme="minorHAnsi"/>
          <w:color w:val="auto"/>
        </w:rPr>
        <w:t xml:space="preserve">“minutes of any Hartree risk department or committee meetings” regarding certain </w:t>
      </w:r>
      <w:r w:rsidR="003D2DD8" w:rsidRPr="00A42C32">
        <w:rPr>
          <w:rFonts w:asciiTheme="minorHAnsi" w:hAnsiTheme="minorHAnsi" w:cstheme="minorHAnsi"/>
          <w:color w:val="auto"/>
        </w:rPr>
        <w:t xml:space="preserve">SSO </w:t>
      </w:r>
      <w:r w:rsidR="000F571D" w:rsidRPr="00A42C32">
        <w:rPr>
          <w:rFonts w:asciiTheme="minorHAnsi" w:hAnsiTheme="minorHAnsi" w:cstheme="minorHAnsi"/>
          <w:color w:val="auto"/>
        </w:rPr>
        <w:t xml:space="preserve">auctions, and “documents to or from Hartree’s executive officers relating to Hartree’s decision to participate or not participate in each of the SSO auctions[,]” </w:t>
      </w:r>
      <w:r w:rsidR="00DB6E86" w:rsidRPr="00A42C32">
        <w:rPr>
          <w:rFonts w:asciiTheme="minorHAnsi" w:hAnsiTheme="minorHAnsi" w:cstheme="minorHAnsi"/>
          <w:color w:val="auto"/>
        </w:rPr>
        <w:t xml:space="preserve">past and future business operations, </w:t>
      </w:r>
      <w:r w:rsidR="00815531" w:rsidRPr="00A42C32">
        <w:rPr>
          <w:rFonts w:asciiTheme="minorHAnsi" w:hAnsiTheme="minorHAnsi" w:cstheme="minorHAnsi"/>
          <w:color w:val="auto"/>
        </w:rPr>
        <w:t xml:space="preserve">commercial </w:t>
      </w:r>
      <w:r w:rsidR="008B6D77" w:rsidRPr="00A42C32">
        <w:rPr>
          <w:rFonts w:asciiTheme="minorHAnsi" w:hAnsiTheme="minorHAnsi" w:cstheme="minorHAnsi"/>
          <w:color w:val="auto"/>
        </w:rPr>
        <w:t>decisions,</w:t>
      </w:r>
      <w:r w:rsidR="00DB6E86" w:rsidRPr="00A42C32">
        <w:rPr>
          <w:rFonts w:asciiTheme="minorHAnsi" w:hAnsiTheme="minorHAnsi" w:cstheme="minorHAnsi"/>
          <w:color w:val="auto"/>
        </w:rPr>
        <w:t xml:space="preserve"> internal communications </w:t>
      </w:r>
      <w:r w:rsidR="00DB6E86" w:rsidRPr="00A42C32">
        <w:rPr>
          <w:rFonts w:asciiTheme="minorHAnsi" w:hAnsiTheme="minorHAnsi" w:cstheme="minorHAnsi"/>
          <w:color w:val="auto"/>
        </w:rPr>
        <w:lastRenderedPageBreak/>
        <w:t>regarding those decisions, and Hartree’s role in the Ohio energy market as a whole.</w:t>
      </w:r>
      <w:r>
        <w:rPr>
          <w:rStyle w:val="FootnoteReference"/>
          <w:rFonts w:asciiTheme="minorHAnsi" w:hAnsiTheme="minorHAnsi" w:cstheme="minorHAnsi"/>
          <w:color w:val="auto"/>
        </w:rPr>
        <w:footnoteReference w:id="23"/>
      </w:r>
      <w:r w:rsidR="000F571D" w:rsidRPr="00A42C32">
        <w:rPr>
          <w:rFonts w:asciiTheme="minorHAnsi" w:hAnsiTheme="minorHAnsi" w:cstheme="minorHAnsi"/>
          <w:color w:val="auto"/>
        </w:rPr>
        <w:t xml:space="preserve"> </w:t>
      </w:r>
      <w:r w:rsidR="00DB6E86" w:rsidRPr="00A42C32">
        <w:rPr>
          <w:rFonts w:asciiTheme="minorHAnsi" w:hAnsiTheme="minorHAnsi" w:cstheme="minorHAnsi"/>
          <w:color w:val="auto"/>
        </w:rPr>
        <w:t xml:space="preserve">  None of these</w:t>
      </w:r>
      <w:r w:rsidR="00667511" w:rsidRPr="00A42C32">
        <w:rPr>
          <w:rFonts w:asciiTheme="minorHAnsi" w:hAnsiTheme="minorHAnsi" w:cstheme="minorHAnsi"/>
          <w:color w:val="auto"/>
        </w:rPr>
        <w:t xml:space="preserve"> requests have any bearing on whether NOPEC’s CRES certificate should be suspended.</w:t>
      </w:r>
    </w:p>
    <w:p w14:paraId="0C0AFE3F" w14:textId="0E330105" w:rsidR="004E0A9F"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This Commission has denied motions to compel that seek discovery of information and material</w:t>
      </w:r>
      <w:r w:rsidR="009D646A" w:rsidRPr="00A42C32">
        <w:rPr>
          <w:rFonts w:asciiTheme="minorHAnsi" w:hAnsiTheme="minorHAnsi" w:cstheme="minorHAnsi"/>
          <w:color w:val="auto"/>
        </w:rPr>
        <w:t>s</w:t>
      </w:r>
      <w:r w:rsidRPr="00A42C32">
        <w:rPr>
          <w:rFonts w:asciiTheme="minorHAnsi" w:hAnsiTheme="minorHAnsi" w:cstheme="minorHAnsi"/>
          <w:color w:val="auto"/>
        </w:rPr>
        <w:t xml:space="preserve"> which are </w:t>
      </w:r>
      <w:r w:rsidR="00E422DD" w:rsidRPr="00A42C32">
        <w:rPr>
          <w:rFonts w:asciiTheme="minorHAnsi" w:hAnsiTheme="minorHAnsi" w:cstheme="minorHAnsi"/>
          <w:color w:val="auto"/>
        </w:rPr>
        <w:t xml:space="preserve">beyond the scope of the proceeding and are </w:t>
      </w:r>
      <w:r w:rsidR="009D646A" w:rsidRPr="00A42C32">
        <w:rPr>
          <w:rFonts w:asciiTheme="minorHAnsi" w:hAnsiTheme="minorHAnsi" w:cstheme="minorHAnsi"/>
          <w:color w:val="auto"/>
        </w:rPr>
        <w:t xml:space="preserve">“not imperative </w:t>
      </w:r>
      <w:r w:rsidR="00D93D77" w:rsidRPr="00A42C32">
        <w:rPr>
          <w:rFonts w:asciiTheme="minorHAnsi" w:hAnsiTheme="minorHAnsi" w:cstheme="minorHAnsi"/>
          <w:color w:val="auto"/>
        </w:rPr>
        <w:t>in</w:t>
      </w:r>
      <w:r w:rsidR="009D646A" w:rsidRPr="00A42C32">
        <w:rPr>
          <w:rFonts w:asciiTheme="minorHAnsi" w:hAnsiTheme="minorHAnsi" w:cstheme="minorHAnsi"/>
          <w:color w:val="auto"/>
        </w:rPr>
        <w:t xml:space="preserve"> a final determination of [the] matter”</w:t>
      </w:r>
      <w:r w:rsidR="0078720F" w:rsidRPr="00A42C32">
        <w:rPr>
          <w:rFonts w:asciiTheme="minorHAnsi" w:hAnsiTheme="minorHAnsi" w:cstheme="minorHAnsi"/>
          <w:color w:val="auto"/>
        </w:rPr>
        <w:t xml:space="preserve"> </w:t>
      </w:r>
      <w:r w:rsidR="005D4DE7" w:rsidRPr="00A42C32">
        <w:rPr>
          <w:rFonts w:asciiTheme="minorHAnsi" w:hAnsiTheme="minorHAnsi" w:cstheme="minorHAnsi"/>
          <w:color w:val="auto"/>
        </w:rPr>
        <w:t>and</w:t>
      </w:r>
      <w:r w:rsidR="0078720F" w:rsidRPr="00A42C32">
        <w:rPr>
          <w:rFonts w:asciiTheme="minorHAnsi" w:hAnsiTheme="minorHAnsi" w:cstheme="minorHAnsi"/>
          <w:color w:val="auto"/>
        </w:rPr>
        <w:t xml:space="preserve"> </w:t>
      </w:r>
      <w:r w:rsidR="005D4DE7" w:rsidRPr="00A42C32">
        <w:rPr>
          <w:rFonts w:asciiTheme="minorHAnsi" w:hAnsiTheme="minorHAnsi" w:cstheme="minorHAnsi"/>
          <w:color w:val="auto"/>
        </w:rPr>
        <w:t>“</w:t>
      </w:r>
      <w:r w:rsidR="0078720F" w:rsidRPr="00A42C32">
        <w:rPr>
          <w:rFonts w:asciiTheme="minorHAnsi" w:hAnsiTheme="minorHAnsi" w:cstheme="minorHAnsi"/>
          <w:color w:val="auto"/>
        </w:rPr>
        <w:t>would be</w:t>
      </w:r>
      <w:r w:rsidR="005D4DE7" w:rsidRPr="00A42C32">
        <w:rPr>
          <w:rFonts w:asciiTheme="minorHAnsi" w:hAnsiTheme="minorHAnsi" w:cstheme="minorHAnsi"/>
          <w:color w:val="auto"/>
        </w:rPr>
        <w:t xml:space="preserve"> of no consequence to a determination of [the proceeding</w:t>
      </w:r>
      <w:r w:rsidR="00C417C3" w:rsidRPr="00A42C32">
        <w:rPr>
          <w:rFonts w:asciiTheme="minorHAnsi" w:hAnsiTheme="minorHAnsi" w:cstheme="minorHAnsi"/>
          <w:color w:val="auto"/>
        </w:rPr>
        <w:t>.</w:t>
      </w:r>
      <w:r w:rsidR="005D4DE7" w:rsidRPr="00A42C32">
        <w:rPr>
          <w:rFonts w:asciiTheme="minorHAnsi" w:hAnsiTheme="minorHAnsi" w:cstheme="minorHAnsi"/>
          <w:color w:val="auto"/>
        </w:rPr>
        <w:t>]</w:t>
      </w:r>
      <w:r w:rsidR="00C417C3" w:rsidRPr="00A42C32">
        <w:rPr>
          <w:rFonts w:asciiTheme="minorHAnsi" w:hAnsiTheme="minorHAnsi" w:cstheme="minorHAnsi"/>
          <w:color w:val="auto"/>
        </w:rPr>
        <w:t>”</w:t>
      </w:r>
      <w:r>
        <w:rPr>
          <w:rStyle w:val="FootnoteReference"/>
          <w:rFonts w:asciiTheme="minorHAnsi" w:hAnsiTheme="minorHAnsi" w:cstheme="minorHAnsi"/>
          <w:color w:val="auto"/>
        </w:rPr>
        <w:footnoteReference w:id="24"/>
      </w:r>
      <w:r w:rsidR="00E422DD" w:rsidRPr="00A42C32">
        <w:rPr>
          <w:rFonts w:asciiTheme="minorHAnsi" w:hAnsiTheme="minorHAnsi" w:cstheme="minorHAnsi"/>
          <w:color w:val="auto"/>
        </w:rPr>
        <w:t xml:space="preserve"> </w:t>
      </w:r>
      <w:r w:rsidR="00C417C3" w:rsidRPr="00A42C32">
        <w:rPr>
          <w:rFonts w:asciiTheme="minorHAnsi" w:hAnsiTheme="minorHAnsi" w:cstheme="minorHAnsi"/>
          <w:color w:val="auto"/>
        </w:rPr>
        <w:t xml:space="preserve"> </w:t>
      </w:r>
      <w:r w:rsidR="0038668C" w:rsidRPr="00A42C32">
        <w:rPr>
          <w:rFonts w:asciiTheme="minorHAnsi" w:hAnsiTheme="minorHAnsi" w:cstheme="minorHAnsi"/>
          <w:color w:val="auto"/>
        </w:rPr>
        <w:t>In determining whether</w:t>
      </w:r>
      <w:r w:rsidR="00231E80" w:rsidRPr="00A42C32">
        <w:rPr>
          <w:rFonts w:asciiTheme="minorHAnsi" w:hAnsiTheme="minorHAnsi" w:cstheme="minorHAnsi"/>
          <w:color w:val="auto"/>
        </w:rPr>
        <w:t xml:space="preserve"> to grant a motion to compel discovery, “the Commission, or the attorney examiner, must determine that the information sought to be discovered is neither</w:t>
      </w:r>
      <w:r w:rsidR="001D226B" w:rsidRPr="00A42C32">
        <w:rPr>
          <w:rFonts w:asciiTheme="minorHAnsi" w:hAnsiTheme="minorHAnsi" w:cstheme="minorHAnsi"/>
          <w:color w:val="auto"/>
        </w:rPr>
        <w:t xml:space="preserve"> privileged nor irrelevant.”</w:t>
      </w:r>
      <w:r>
        <w:rPr>
          <w:rStyle w:val="FootnoteReference"/>
          <w:rFonts w:asciiTheme="minorHAnsi" w:hAnsiTheme="minorHAnsi" w:cstheme="minorHAnsi"/>
          <w:color w:val="auto"/>
        </w:rPr>
        <w:footnoteReference w:id="25"/>
      </w:r>
      <w:r w:rsidR="00064D7D" w:rsidRPr="00A42C32">
        <w:rPr>
          <w:rFonts w:asciiTheme="minorHAnsi" w:hAnsiTheme="minorHAnsi" w:cstheme="minorHAnsi"/>
          <w:color w:val="auto"/>
        </w:rPr>
        <w:t xml:space="preserve">  The Commission’s </w:t>
      </w:r>
      <w:r w:rsidR="004A406D" w:rsidRPr="00A42C32">
        <w:rPr>
          <w:rFonts w:asciiTheme="minorHAnsi" w:hAnsiTheme="minorHAnsi" w:cstheme="minorHAnsi"/>
          <w:color w:val="auto"/>
        </w:rPr>
        <w:t xml:space="preserve">relevancy standard “has been found to be not so liberal as to allow a party to…explore matter which does not presently </w:t>
      </w:r>
      <w:r w:rsidR="009156CC" w:rsidRPr="00A42C32">
        <w:rPr>
          <w:rFonts w:asciiTheme="minorHAnsi" w:hAnsiTheme="minorHAnsi" w:cstheme="minorHAnsi"/>
          <w:color w:val="auto"/>
        </w:rPr>
        <w:t>appear germane on the theory that it might conceivably become so.”</w:t>
      </w:r>
      <w:r>
        <w:rPr>
          <w:rStyle w:val="FootnoteReference"/>
          <w:rFonts w:asciiTheme="minorHAnsi" w:hAnsiTheme="minorHAnsi" w:cstheme="minorHAnsi"/>
          <w:color w:val="auto"/>
        </w:rPr>
        <w:footnoteReference w:id="26"/>
      </w:r>
    </w:p>
    <w:p w14:paraId="6AB8CDD2" w14:textId="0D207CA9" w:rsidR="00E67593"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NOPEC’s motion to compel should be denied on the merit</w:t>
      </w:r>
      <w:r w:rsidR="00FA65D7" w:rsidRPr="00A42C32">
        <w:rPr>
          <w:rFonts w:asciiTheme="minorHAnsi" w:hAnsiTheme="minorHAnsi" w:cstheme="minorHAnsi"/>
          <w:color w:val="auto"/>
        </w:rPr>
        <w:t xml:space="preserve">s because it seeks to compel discovery of sweeping subjects and categories of documents which do not pertain to the Commission’s </w:t>
      </w:r>
      <w:r w:rsidR="004E467A" w:rsidRPr="00A42C32">
        <w:rPr>
          <w:rFonts w:asciiTheme="minorHAnsi" w:hAnsiTheme="minorHAnsi" w:cstheme="minorHAnsi"/>
          <w:color w:val="auto"/>
        </w:rPr>
        <w:t>directive that NOPEC show cause to</w:t>
      </w:r>
      <w:r w:rsidR="00A30490" w:rsidRPr="00A42C32">
        <w:rPr>
          <w:rFonts w:asciiTheme="minorHAnsi" w:hAnsiTheme="minorHAnsi" w:cstheme="minorHAnsi"/>
          <w:color w:val="auto"/>
        </w:rPr>
        <w:t xml:space="preserve"> “demonstrate th</w:t>
      </w:r>
      <w:r w:rsidR="00D34A64" w:rsidRPr="00A42C32">
        <w:rPr>
          <w:rFonts w:asciiTheme="minorHAnsi" w:hAnsiTheme="minorHAnsi" w:cstheme="minorHAnsi"/>
          <w:color w:val="auto"/>
        </w:rPr>
        <w:t xml:space="preserve">e managerial, technical, and financial capability to be certified as a </w:t>
      </w:r>
      <w:r w:rsidR="004E467A" w:rsidRPr="00A42C32">
        <w:rPr>
          <w:rFonts w:asciiTheme="minorHAnsi" w:hAnsiTheme="minorHAnsi" w:cstheme="minorHAnsi"/>
          <w:color w:val="auto"/>
        </w:rPr>
        <w:t xml:space="preserve">CRES </w:t>
      </w:r>
      <w:r w:rsidR="005554DE" w:rsidRPr="00A42C32">
        <w:rPr>
          <w:rFonts w:asciiTheme="minorHAnsi" w:hAnsiTheme="minorHAnsi" w:cstheme="minorHAnsi"/>
          <w:color w:val="auto"/>
        </w:rPr>
        <w:t>governmental aggregator.”</w:t>
      </w:r>
      <w:r>
        <w:rPr>
          <w:rStyle w:val="FootnoteReference"/>
          <w:rFonts w:asciiTheme="minorHAnsi" w:hAnsiTheme="minorHAnsi" w:cstheme="minorHAnsi"/>
          <w:color w:val="auto"/>
        </w:rPr>
        <w:footnoteReference w:id="27"/>
      </w:r>
      <w:r w:rsidR="005554DE" w:rsidRPr="00A42C32">
        <w:rPr>
          <w:rFonts w:asciiTheme="minorHAnsi" w:hAnsiTheme="minorHAnsi" w:cstheme="minorHAnsi"/>
          <w:color w:val="auto"/>
        </w:rPr>
        <w:t xml:space="preserve">  NOPEC seeks discovery of, among other things</w:t>
      </w:r>
      <w:r w:rsidR="00FB215E" w:rsidRPr="00A42C32">
        <w:rPr>
          <w:rFonts w:asciiTheme="minorHAnsi" w:hAnsiTheme="minorHAnsi" w:cstheme="minorHAnsi"/>
          <w:color w:val="auto"/>
        </w:rPr>
        <w:t>,</w:t>
      </w:r>
      <w:r w:rsidR="00B97840" w:rsidRPr="00A42C32">
        <w:rPr>
          <w:rFonts w:asciiTheme="minorHAnsi" w:hAnsiTheme="minorHAnsi" w:cstheme="minorHAnsi"/>
          <w:color w:val="auto"/>
        </w:rPr>
        <w:t xml:space="preserve"> “[a]</w:t>
      </w:r>
      <w:proofErr w:type="spellStart"/>
      <w:r w:rsidR="00B97840" w:rsidRPr="00A42C32">
        <w:rPr>
          <w:rFonts w:asciiTheme="minorHAnsi" w:hAnsiTheme="minorHAnsi" w:cstheme="minorHAnsi"/>
          <w:color w:val="auto"/>
        </w:rPr>
        <w:t>ll</w:t>
      </w:r>
      <w:proofErr w:type="spellEnd"/>
      <w:r w:rsidR="00B97840" w:rsidRPr="00A42C32">
        <w:rPr>
          <w:rFonts w:asciiTheme="minorHAnsi" w:hAnsiTheme="minorHAnsi" w:cstheme="minorHAnsi"/>
          <w:color w:val="auto"/>
        </w:rPr>
        <w:t xml:space="preserve"> public record requests sent to any governmental entity or agency regarding NOPEC[,]” documents showing “Hartree’s decision to file a motion to intervene in the above-captioned case[,]”</w:t>
      </w:r>
      <w:r w:rsidR="00C47B44" w:rsidRPr="00A42C32">
        <w:rPr>
          <w:rFonts w:asciiTheme="minorHAnsi" w:hAnsiTheme="minorHAnsi" w:cstheme="minorHAnsi"/>
          <w:color w:val="auto"/>
        </w:rPr>
        <w:t xml:space="preserve"> </w:t>
      </w:r>
      <w:r w:rsidR="009F6382" w:rsidRPr="00A42C32">
        <w:rPr>
          <w:rFonts w:asciiTheme="minorHAnsi" w:hAnsiTheme="minorHAnsi" w:cstheme="minorHAnsi"/>
          <w:color w:val="auto"/>
        </w:rPr>
        <w:t xml:space="preserve">Hartree’s decision to participate or not participate in </w:t>
      </w:r>
      <w:r w:rsidR="009F6382" w:rsidRPr="00A42C32">
        <w:rPr>
          <w:rFonts w:asciiTheme="minorHAnsi" w:hAnsiTheme="minorHAnsi" w:cstheme="minorHAnsi"/>
          <w:color w:val="auto"/>
        </w:rPr>
        <w:lastRenderedPageBreak/>
        <w:t>each SSO auction</w:t>
      </w:r>
      <w:r w:rsidR="00B97840" w:rsidRPr="00A42C32">
        <w:rPr>
          <w:rFonts w:asciiTheme="minorHAnsi" w:hAnsiTheme="minorHAnsi" w:cstheme="minorHAnsi"/>
          <w:color w:val="auto"/>
        </w:rPr>
        <w:t>,</w:t>
      </w:r>
      <w:r w:rsidR="005C7886" w:rsidRPr="00A42C32">
        <w:rPr>
          <w:rFonts w:asciiTheme="minorHAnsi" w:hAnsiTheme="minorHAnsi" w:cstheme="minorHAnsi"/>
          <w:color w:val="auto"/>
        </w:rPr>
        <w:t xml:space="preserve"> and </w:t>
      </w:r>
      <w:r w:rsidR="00B97840" w:rsidRPr="00A42C32">
        <w:rPr>
          <w:rFonts w:asciiTheme="minorHAnsi" w:hAnsiTheme="minorHAnsi" w:cstheme="minorHAnsi"/>
          <w:color w:val="auto"/>
        </w:rPr>
        <w:t>Hartree’s “every communication between Hartree and representatives of the PUCO, including members of its staff, regarding the Customer Return</w:t>
      </w:r>
      <w:r w:rsidR="008362E5" w:rsidRPr="00A42C32">
        <w:rPr>
          <w:rFonts w:asciiTheme="minorHAnsi" w:hAnsiTheme="minorHAnsi" w:cstheme="minorHAnsi"/>
          <w:color w:val="auto"/>
        </w:rPr>
        <w:t>.</w:t>
      </w:r>
      <w:r w:rsidR="00B97840" w:rsidRPr="00A42C32">
        <w:rPr>
          <w:rFonts w:asciiTheme="minorHAnsi" w:hAnsiTheme="minorHAnsi" w:cstheme="minorHAnsi"/>
          <w:color w:val="auto"/>
        </w:rPr>
        <w:t>”</w:t>
      </w:r>
      <w:r>
        <w:rPr>
          <w:rStyle w:val="FootnoteReference"/>
          <w:rFonts w:asciiTheme="minorHAnsi" w:hAnsiTheme="minorHAnsi" w:cstheme="minorHAnsi"/>
          <w:color w:val="auto"/>
        </w:rPr>
        <w:footnoteReference w:id="28"/>
      </w:r>
      <w:r w:rsidR="00F608E3" w:rsidRPr="00A42C32">
        <w:rPr>
          <w:rFonts w:asciiTheme="minorHAnsi" w:hAnsiTheme="minorHAnsi" w:cstheme="minorHAnsi"/>
          <w:color w:val="auto"/>
        </w:rPr>
        <w:t xml:space="preserve">  These </w:t>
      </w:r>
      <w:r w:rsidR="00B97840" w:rsidRPr="00A42C32">
        <w:rPr>
          <w:rFonts w:asciiTheme="minorHAnsi" w:hAnsiTheme="minorHAnsi" w:cstheme="minorHAnsi"/>
          <w:color w:val="auto"/>
        </w:rPr>
        <w:t xml:space="preserve">interrogatories and </w:t>
      </w:r>
      <w:r w:rsidR="00F608E3" w:rsidRPr="00A42C32">
        <w:rPr>
          <w:rFonts w:asciiTheme="minorHAnsi" w:hAnsiTheme="minorHAnsi" w:cstheme="minorHAnsi"/>
          <w:color w:val="auto"/>
        </w:rPr>
        <w:t xml:space="preserve">requests for documentation are </w:t>
      </w:r>
      <w:r w:rsidR="005568EF" w:rsidRPr="00A42C32">
        <w:rPr>
          <w:rFonts w:asciiTheme="minorHAnsi" w:hAnsiTheme="minorHAnsi" w:cstheme="minorHAnsi"/>
          <w:color w:val="auto"/>
        </w:rPr>
        <w:t>expansive</w:t>
      </w:r>
      <w:r w:rsidR="00B97840" w:rsidRPr="00A42C32">
        <w:rPr>
          <w:rFonts w:asciiTheme="minorHAnsi" w:hAnsiTheme="minorHAnsi" w:cstheme="minorHAnsi"/>
          <w:color w:val="auto"/>
        </w:rPr>
        <w:t xml:space="preserve"> inquisitions,</w:t>
      </w:r>
      <w:r w:rsidR="005568EF" w:rsidRPr="00A42C32">
        <w:rPr>
          <w:rFonts w:asciiTheme="minorHAnsi" w:hAnsiTheme="minorHAnsi" w:cstheme="minorHAnsi"/>
          <w:color w:val="auto"/>
        </w:rPr>
        <w:t xml:space="preserve"> </w:t>
      </w:r>
      <w:r w:rsidR="009836C8" w:rsidRPr="00A42C32">
        <w:rPr>
          <w:rFonts w:asciiTheme="minorHAnsi" w:hAnsiTheme="minorHAnsi" w:cstheme="minorHAnsi"/>
          <w:color w:val="auto"/>
        </w:rPr>
        <w:t>requesting information on</w:t>
      </w:r>
      <w:r w:rsidR="005568EF" w:rsidRPr="00A42C32">
        <w:rPr>
          <w:rFonts w:asciiTheme="minorHAnsi" w:hAnsiTheme="minorHAnsi" w:cstheme="minorHAnsi"/>
          <w:color w:val="auto"/>
        </w:rPr>
        <w:t xml:space="preserve"> Hartree’s every action in</w:t>
      </w:r>
      <w:r w:rsidR="00B97840" w:rsidRPr="00A42C32">
        <w:rPr>
          <w:rFonts w:asciiTheme="minorHAnsi" w:hAnsiTheme="minorHAnsi" w:cstheme="minorHAnsi"/>
          <w:color w:val="auto"/>
        </w:rPr>
        <w:t>side and outside of</w:t>
      </w:r>
      <w:r w:rsidR="005568EF" w:rsidRPr="00A42C32">
        <w:rPr>
          <w:rFonts w:asciiTheme="minorHAnsi" w:hAnsiTheme="minorHAnsi" w:cstheme="minorHAnsi"/>
          <w:color w:val="auto"/>
        </w:rPr>
        <w:t xml:space="preserve"> Ohio’s SSO auctions.</w:t>
      </w:r>
    </w:p>
    <w:p w14:paraId="0BD417B6" w14:textId="543793C3" w:rsidR="00CF46C2" w:rsidRPr="00A42C32" w:rsidRDefault="005B60D5" w:rsidP="000D75B4">
      <w:pPr>
        <w:pStyle w:val="Default"/>
        <w:spacing w:line="480" w:lineRule="auto"/>
        <w:ind w:firstLine="720"/>
        <w:rPr>
          <w:rFonts w:asciiTheme="minorHAnsi" w:hAnsiTheme="minorHAnsi" w:cstheme="minorHAnsi"/>
          <w:color w:val="auto"/>
        </w:rPr>
      </w:pPr>
      <w:r w:rsidRPr="00A42C32">
        <w:rPr>
          <w:rFonts w:asciiTheme="minorHAnsi" w:hAnsiTheme="minorHAnsi" w:cstheme="minorHAnsi"/>
          <w:color w:val="auto"/>
        </w:rPr>
        <w:t>No</w:t>
      </w:r>
      <w:r w:rsidR="003305D6" w:rsidRPr="00A42C32">
        <w:rPr>
          <w:rFonts w:asciiTheme="minorHAnsi" w:hAnsiTheme="minorHAnsi" w:cstheme="minorHAnsi"/>
          <w:color w:val="auto"/>
        </w:rPr>
        <w:t xml:space="preserve">thing from the exhaustive list of information and documents that </w:t>
      </w:r>
      <w:r w:rsidRPr="00A42C32">
        <w:rPr>
          <w:rFonts w:asciiTheme="minorHAnsi" w:hAnsiTheme="minorHAnsi" w:cstheme="minorHAnsi"/>
          <w:color w:val="auto"/>
        </w:rPr>
        <w:t xml:space="preserve"> </w:t>
      </w:r>
      <w:r w:rsidR="009836C8" w:rsidRPr="00A42C32">
        <w:rPr>
          <w:rFonts w:asciiTheme="minorHAnsi" w:hAnsiTheme="minorHAnsi" w:cstheme="minorHAnsi"/>
          <w:color w:val="auto"/>
        </w:rPr>
        <w:t>NOPE</w:t>
      </w:r>
      <w:r w:rsidR="00717ADA" w:rsidRPr="00A42C32">
        <w:rPr>
          <w:rFonts w:asciiTheme="minorHAnsi" w:hAnsiTheme="minorHAnsi" w:cstheme="minorHAnsi"/>
          <w:color w:val="auto"/>
        </w:rPr>
        <w:t>C</w:t>
      </w:r>
      <w:r w:rsidR="003305D6" w:rsidRPr="00A42C32">
        <w:rPr>
          <w:rFonts w:asciiTheme="minorHAnsi" w:hAnsiTheme="minorHAnsi" w:cstheme="minorHAnsi"/>
          <w:color w:val="auto"/>
        </w:rPr>
        <w:t xml:space="preserve"> seeks from Hartree is</w:t>
      </w:r>
      <w:r w:rsidRPr="00A42C32">
        <w:rPr>
          <w:rFonts w:asciiTheme="minorHAnsi" w:hAnsiTheme="minorHAnsi" w:cstheme="minorHAnsi"/>
          <w:color w:val="auto"/>
        </w:rPr>
        <w:t xml:space="preserve"> </w:t>
      </w:r>
      <w:r w:rsidR="009A3926" w:rsidRPr="00A42C32">
        <w:rPr>
          <w:rFonts w:asciiTheme="minorHAnsi" w:hAnsiTheme="minorHAnsi" w:cstheme="minorHAnsi"/>
          <w:color w:val="auto"/>
        </w:rPr>
        <w:t xml:space="preserve">of consequence to the Commission’s determination </w:t>
      </w:r>
      <w:r w:rsidR="003305D6" w:rsidRPr="00A42C32">
        <w:rPr>
          <w:rFonts w:asciiTheme="minorHAnsi" w:hAnsiTheme="minorHAnsi" w:cstheme="minorHAnsi"/>
          <w:color w:val="auto"/>
        </w:rPr>
        <w:t>as to whether</w:t>
      </w:r>
      <w:r w:rsidR="009A3926" w:rsidRPr="00A42C32">
        <w:rPr>
          <w:rFonts w:asciiTheme="minorHAnsi" w:hAnsiTheme="minorHAnsi" w:cstheme="minorHAnsi"/>
          <w:color w:val="auto"/>
        </w:rPr>
        <w:t xml:space="preserve"> NOPEC </w:t>
      </w:r>
      <w:r w:rsidR="003305D6" w:rsidRPr="00A42C32">
        <w:rPr>
          <w:rFonts w:asciiTheme="minorHAnsi" w:hAnsiTheme="minorHAnsi" w:cstheme="minorHAnsi"/>
          <w:color w:val="auto"/>
        </w:rPr>
        <w:t xml:space="preserve">remains fit to be a certified governmental aggregator.  </w:t>
      </w:r>
      <w:r w:rsidR="00880C17" w:rsidRPr="00A42C32">
        <w:rPr>
          <w:rFonts w:asciiTheme="minorHAnsi" w:hAnsiTheme="minorHAnsi" w:cstheme="minorHAnsi"/>
          <w:color w:val="auto"/>
        </w:rPr>
        <w:t>S</w:t>
      </w:r>
      <w:r w:rsidR="001A2E9E" w:rsidRPr="00A42C32">
        <w:rPr>
          <w:rFonts w:asciiTheme="minorHAnsi" w:hAnsiTheme="minorHAnsi" w:cstheme="minorHAnsi"/>
          <w:color w:val="auto"/>
        </w:rPr>
        <w:t xml:space="preserve">ubstantive responses to all of NOPEC’s discovery, as NOPEC’s counsel demanded </w:t>
      </w:r>
      <w:r w:rsidR="00880C17" w:rsidRPr="00A42C32">
        <w:rPr>
          <w:rFonts w:asciiTheme="minorHAnsi" w:hAnsiTheme="minorHAnsi" w:cstheme="minorHAnsi"/>
          <w:color w:val="auto"/>
        </w:rPr>
        <w:t xml:space="preserve">Hartree produce within approximately 18 hours </w:t>
      </w:r>
      <w:r w:rsidR="00CB3E7D" w:rsidRPr="00A42C32">
        <w:rPr>
          <w:rFonts w:asciiTheme="minorHAnsi" w:hAnsiTheme="minorHAnsi" w:cstheme="minorHAnsi"/>
          <w:color w:val="auto"/>
        </w:rPr>
        <w:t>of</w:t>
      </w:r>
      <w:r w:rsidR="001A2E9E" w:rsidRPr="00A42C32">
        <w:rPr>
          <w:rFonts w:asciiTheme="minorHAnsi" w:hAnsiTheme="minorHAnsi" w:cstheme="minorHAnsi"/>
          <w:color w:val="auto"/>
        </w:rPr>
        <w:t xml:space="preserve"> its October 28, 2022 e-mail, </w:t>
      </w:r>
      <w:r w:rsidR="003305D6" w:rsidRPr="00A42C32">
        <w:rPr>
          <w:rFonts w:asciiTheme="minorHAnsi" w:hAnsiTheme="minorHAnsi" w:cstheme="minorHAnsi"/>
          <w:color w:val="auto"/>
        </w:rPr>
        <w:t>would not provide NOPEC or the Commission with information that would allow the Commission to a</w:t>
      </w:r>
      <w:r w:rsidR="00811D7C" w:rsidRPr="00A42C32">
        <w:rPr>
          <w:rFonts w:asciiTheme="minorHAnsi" w:hAnsiTheme="minorHAnsi" w:cstheme="minorHAnsi"/>
          <w:color w:val="auto"/>
        </w:rPr>
        <w:t>ssess</w:t>
      </w:r>
      <w:r w:rsidR="003305D6" w:rsidRPr="00A42C32">
        <w:rPr>
          <w:rFonts w:asciiTheme="minorHAnsi" w:hAnsiTheme="minorHAnsi" w:cstheme="minorHAnsi"/>
          <w:color w:val="auto"/>
        </w:rPr>
        <w:t xml:space="preserve"> NOPEC’s technical, managerial, or financial fitness as a certified governmental aggregator. </w:t>
      </w:r>
      <w:r w:rsidR="00811D7C" w:rsidRPr="00A42C32">
        <w:rPr>
          <w:rFonts w:asciiTheme="minorHAnsi" w:hAnsiTheme="minorHAnsi" w:cstheme="minorHAnsi"/>
          <w:color w:val="auto"/>
        </w:rPr>
        <w:t xml:space="preserve"> NOPEC’s discovery requests are targeted at, among other things, presumptively privileged communications between Hartree and its legal counsel (both internal and external), sensitive commercial and financial information with no bearing on activity in the Ohio electricity markets, and communications that, if they existed, would</w:t>
      </w:r>
      <w:r w:rsidR="00880C17" w:rsidRPr="00A42C32">
        <w:rPr>
          <w:rFonts w:asciiTheme="minorHAnsi" w:hAnsiTheme="minorHAnsi" w:cstheme="minorHAnsi"/>
          <w:color w:val="auto"/>
        </w:rPr>
        <w:t xml:space="preserve"> already</w:t>
      </w:r>
      <w:r w:rsidR="00811D7C" w:rsidRPr="00A42C32">
        <w:rPr>
          <w:rFonts w:asciiTheme="minorHAnsi" w:hAnsiTheme="minorHAnsi" w:cstheme="minorHAnsi"/>
          <w:color w:val="auto"/>
        </w:rPr>
        <w:t xml:space="preserve"> be a matter of public record.  To be clear, </w:t>
      </w:r>
      <w:r w:rsidR="001A2E9E" w:rsidRPr="00A42C32">
        <w:rPr>
          <w:rFonts w:asciiTheme="minorHAnsi" w:hAnsiTheme="minorHAnsi" w:cstheme="minorHAnsi"/>
          <w:color w:val="auto"/>
        </w:rPr>
        <w:t xml:space="preserve">none of Hartree’s responses would be </w:t>
      </w:r>
      <w:r w:rsidRPr="00A42C32">
        <w:rPr>
          <w:rFonts w:asciiTheme="minorHAnsi" w:hAnsiTheme="minorHAnsi" w:cstheme="minorHAnsi"/>
          <w:color w:val="auto"/>
        </w:rPr>
        <w:t>imperative to the Commission’s final determination of the matter.</w:t>
      </w:r>
      <w:r w:rsidR="00CB3E7D" w:rsidRPr="00A42C32">
        <w:rPr>
          <w:rFonts w:asciiTheme="minorHAnsi" w:hAnsiTheme="minorHAnsi" w:cstheme="minorHAnsi"/>
          <w:color w:val="auto"/>
        </w:rPr>
        <w:t xml:space="preserve"> </w:t>
      </w:r>
      <w:r w:rsidR="00811D7C" w:rsidRPr="00A42C32">
        <w:rPr>
          <w:rFonts w:asciiTheme="minorHAnsi" w:hAnsiTheme="minorHAnsi" w:cstheme="minorHAnsi"/>
          <w:color w:val="auto"/>
        </w:rPr>
        <w:t xml:space="preserve"> Indeed, the expansive scope of NOPEC’s requests suggests that the ultimate objective is not to adduce relevant information, but rather to disincentivize participation in this proceeding by raising the gauntlet of unduly burdensome discovery at a preliminary s</w:t>
      </w:r>
      <w:r w:rsidR="00880C17" w:rsidRPr="00A42C32">
        <w:rPr>
          <w:rFonts w:asciiTheme="minorHAnsi" w:hAnsiTheme="minorHAnsi" w:cstheme="minorHAnsi"/>
          <w:color w:val="auto"/>
        </w:rPr>
        <w:t>tage</w:t>
      </w:r>
      <w:r w:rsidR="00811D7C" w:rsidRPr="00A42C32">
        <w:rPr>
          <w:rFonts w:asciiTheme="minorHAnsi" w:hAnsiTheme="minorHAnsi" w:cstheme="minorHAnsi"/>
          <w:color w:val="auto"/>
        </w:rPr>
        <w:t>.</w:t>
      </w:r>
      <w:r w:rsidR="00880C17" w:rsidRPr="00A42C32">
        <w:rPr>
          <w:rFonts w:asciiTheme="minorHAnsi" w:hAnsiTheme="minorHAnsi" w:cstheme="minorHAnsi"/>
          <w:color w:val="auto"/>
        </w:rPr>
        <w:t xml:space="preserve">  Regardless of the intent, the facts are immovable – NOPEC’s discovery requests to Hartree have no bearing upon the scope of this proceeding.</w:t>
      </w:r>
      <w:r w:rsidRPr="00A42C32">
        <w:rPr>
          <w:rFonts w:asciiTheme="minorHAnsi" w:hAnsiTheme="minorHAnsi" w:cstheme="minorHAnsi"/>
          <w:color w:val="auto"/>
        </w:rPr>
        <w:t xml:space="preserve">  As such, this Commission should find that NOPEC’s Motion is both</w:t>
      </w:r>
      <w:r w:rsidR="00003448" w:rsidRPr="00A42C32">
        <w:rPr>
          <w:rFonts w:asciiTheme="minorHAnsi" w:hAnsiTheme="minorHAnsi" w:cstheme="minorHAnsi"/>
          <w:color w:val="auto"/>
        </w:rPr>
        <w:t xml:space="preserve"> premature and insufficient on the merits. </w:t>
      </w:r>
    </w:p>
    <w:p w14:paraId="4DC43B35" w14:textId="77777777" w:rsidR="003D76D0" w:rsidRPr="00A42C32" w:rsidRDefault="005B60D5" w:rsidP="00340A10">
      <w:pPr>
        <w:pStyle w:val="Default"/>
        <w:keepNext/>
        <w:numPr>
          <w:ilvl w:val="0"/>
          <w:numId w:val="14"/>
        </w:numPr>
        <w:spacing w:line="480" w:lineRule="auto"/>
        <w:ind w:left="1440"/>
        <w:rPr>
          <w:rFonts w:asciiTheme="minorHAnsi" w:hAnsiTheme="minorHAnsi" w:cstheme="minorHAnsi"/>
          <w:b/>
          <w:bCs/>
          <w:color w:val="auto"/>
        </w:rPr>
      </w:pPr>
      <w:r w:rsidRPr="00A42C32">
        <w:rPr>
          <w:rFonts w:asciiTheme="minorHAnsi" w:hAnsiTheme="minorHAnsi" w:cstheme="minorHAnsi"/>
          <w:b/>
          <w:bCs/>
          <w:color w:val="auto"/>
        </w:rPr>
        <w:lastRenderedPageBreak/>
        <w:t>CONCLUSION</w:t>
      </w:r>
    </w:p>
    <w:p w14:paraId="1AB03601" w14:textId="66B697E3" w:rsidR="00353263" w:rsidRPr="00A42C32" w:rsidRDefault="005B60D5" w:rsidP="00353263">
      <w:pPr>
        <w:pStyle w:val="Default"/>
        <w:keepNext/>
        <w:spacing w:line="480" w:lineRule="auto"/>
        <w:rPr>
          <w:rFonts w:asciiTheme="minorHAnsi" w:hAnsiTheme="minorHAnsi" w:cstheme="minorHAnsi"/>
          <w:color w:val="auto"/>
        </w:rPr>
      </w:pPr>
      <w:r w:rsidRPr="00A42C32">
        <w:rPr>
          <w:rFonts w:asciiTheme="minorHAnsi" w:hAnsiTheme="minorHAnsi" w:cstheme="minorHAnsi"/>
          <w:color w:val="auto"/>
        </w:rPr>
        <w:tab/>
      </w:r>
      <w:r w:rsidR="00A444A9" w:rsidRPr="00A42C32">
        <w:rPr>
          <w:rFonts w:asciiTheme="minorHAnsi" w:hAnsiTheme="minorHAnsi" w:cstheme="minorHAnsi"/>
          <w:color w:val="auto"/>
        </w:rPr>
        <w:t xml:space="preserve">For the foregoing reasons, </w:t>
      </w:r>
      <w:r w:rsidRPr="00A42C32">
        <w:rPr>
          <w:rFonts w:asciiTheme="minorHAnsi" w:hAnsiTheme="minorHAnsi" w:cstheme="minorHAnsi"/>
          <w:color w:val="auto"/>
        </w:rPr>
        <w:t xml:space="preserve">Hartree respectfully </w:t>
      </w:r>
      <w:r w:rsidR="00A444A9" w:rsidRPr="00A42C32">
        <w:rPr>
          <w:rFonts w:asciiTheme="minorHAnsi" w:hAnsiTheme="minorHAnsi" w:cstheme="minorHAnsi"/>
          <w:color w:val="auto"/>
        </w:rPr>
        <w:t xml:space="preserve">requests that </w:t>
      </w:r>
      <w:r w:rsidRPr="00A42C32">
        <w:rPr>
          <w:rFonts w:asciiTheme="minorHAnsi" w:hAnsiTheme="minorHAnsi" w:cstheme="minorHAnsi"/>
          <w:color w:val="auto"/>
        </w:rPr>
        <w:t>the Commission</w:t>
      </w:r>
      <w:r w:rsidR="000B11C9" w:rsidRPr="00A42C32">
        <w:rPr>
          <w:rFonts w:asciiTheme="minorHAnsi" w:hAnsiTheme="minorHAnsi" w:cstheme="minorHAnsi"/>
          <w:color w:val="auto"/>
        </w:rPr>
        <w:t xml:space="preserve"> </w:t>
      </w:r>
      <w:r w:rsidR="000832D5" w:rsidRPr="00A42C32">
        <w:rPr>
          <w:rFonts w:asciiTheme="minorHAnsi" w:hAnsiTheme="minorHAnsi" w:cstheme="minorHAnsi"/>
          <w:color w:val="auto"/>
        </w:rPr>
        <w:t xml:space="preserve">deny NOPEC’s Motion to </w:t>
      </w:r>
      <w:r w:rsidR="00A444A9" w:rsidRPr="00A42C32">
        <w:rPr>
          <w:rFonts w:asciiTheme="minorHAnsi" w:hAnsiTheme="minorHAnsi" w:cstheme="minorHAnsi"/>
          <w:color w:val="auto"/>
        </w:rPr>
        <w:t>Compel</w:t>
      </w:r>
      <w:r w:rsidRPr="00A42C32">
        <w:rPr>
          <w:rFonts w:asciiTheme="minorHAnsi" w:hAnsiTheme="minorHAnsi" w:cstheme="minorHAnsi"/>
          <w:color w:val="auto"/>
        </w:rPr>
        <w:t>.</w:t>
      </w:r>
    </w:p>
    <w:p w14:paraId="2C8E4D0E" w14:textId="77777777" w:rsidR="00353263" w:rsidRPr="00A42C32" w:rsidRDefault="00353263" w:rsidP="003D76D0">
      <w:pPr>
        <w:pStyle w:val="Default"/>
        <w:keepNext/>
        <w:spacing w:line="480" w:lineRule="auto"/>
        <w:jc w:val="both"/>
        <w:rPr>
          <w:rFonts w:asciiTheme="minorHAnsi" w:hAnsiTheme="minorHAnsi" w:cstheme="minorHAnsi"/>
          <w:color w:val="auto"/>
        </w:rPr>
      </w:pPr>
    </w:p>
    <w:p w14:paraId="7D3D070F" w14:textId="07277B7C" w:rsidR="003D76D0" w:rsidRPr="00A42C32" w:rsidRDefault="005B60D5" w:rsidP="003D76D0">
      <w:pPr>
        <w:spacing w:after="0" w:line="480" w:lineRule="auto"/>
        <w:rPr>
          <w:rFonts w:eastAsia="Times New Roman" w:cstheme="minorHAnsi"/>
          <w:sz w:val="24"/>
          <w:szCs w:val="24"/>
        </w:rPr>
      </w:pPr>
      <w:r w:rsidRPr="00A42C32">
        <w:rPr>
          <w:rFonts w:eastAsia="Times New Roman" w:cstheme="minorHAnsi"/>
          <w:sz w:val="24"/>
          <w:szCs w:val="24"/>
        </w:rPr>
        <w:t xml:space="preserve">Dated: </w:t>
      </w:r>
      <w:r w:rsidR="00A444A9" w:rsidRPr="00A42C32">
        <w:rPr>
          <w:rFonts w:eastAsia="Times New Roman" w:cstheme="minorHAnsi"/>
          <w:sz w:val="24"/>
          <w:szCs w:val="24"/>
        </w:rPr>
        <w:t>November 7</w:t>
      </w:r>
      <w:r w:rsidRPr="00A42C32">
        <w:rPr>
          <w:rFonts w:eastAsia="Times New Roman" w:cstheme="minorHAnsi"/>
          <w:sz w:val="24"/>
          <w:szCs w:val="24"/>
        </w:rPr>
        <w:t>, 2022</w:t>
      </w:r>
      <w:r w:rsidRPr="00A42C32">
        <w:rPr>
          <w:rFonts w:eastAsia="Times New Roman" w:cstheme="minorHAnsi"/>
          <w:sz w:val="24"/>
          <w:szCs w:val="24"/>
        </w:rPr>
        <w:tab/>
      </w:r>
      <w:r w:rsidRPr="00A42C32">
        <w:rPr>
          <w:rFonts w:eastAsia="Times New Roman" w:cstheme="minorHAnsi"/>
          <w:sz w:val="24"/>
          <w:szCs w:val="24"/>
        </w:rPr>
        <w:tab/>
      </w:r>
      <w:r w:rsidRPr="00A42C32">
        <w:rPr>
          <w:rFonts w:eastAsia="Times New Roman" w:cstheme="minorHAnsi"/>
          <w:sz w:val="24"/>
          <w:szCs w:val="24"/>
        </w:rPr>
        <w:tab/>
        <w:t>Respectfully submitted,</w:t>
      </w:r>
    </w:p>
    <w:tbl>
      <w:tblPr>
        <w:tblStyle w:val="TableGrid"/>
        <w:tblpPr w:leftFromText="180" w:rightFromText="180" w:vertAnchor="text" w:horzAnchor="margin" w:tblpY="80"/>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21"/>
      </w:tblGrid>
      <w:tr w:rsidR="00AF603E" w14:paraId="148D09C4" w14:textId="77777777" w:rsidTr="00AF63EC">
        <w:trPr>
          <w:trHeight w:val="3182"/>
        </w:trPr>
        <w:tc>
          <w:tcPr>
            <w:tcW w:w="4721" w:type="dxa"/>
          </w:tcPr>
          <w:p w14:paraId="416F31D2" w14:textId="185E41CD" w:rsidR="00AF63EC" w:rsidRPr="00A42C32" w:rsidRDefault="005B60D5" w:rsidP="00AF63EC">
            <w:pPr>
              <w:widowControl w:val="0"/>
              <w:tabs>
                <w:tab w:val="left" w:pos="5040"/>
              </w:tabs>
              <w:spacing w:after="0" w:line="240" w:lineRule="auto"/>
              <w:rPr>
                <w:rFonts w:eastAsia="Times New Roman" w:cstheme="minorHAnsi"/>
                <w:sz w:val="24"/>
                <w:szCs w:val="24"/>
                <w:u w:val="single"/>
              </w:rPr>
            </w:pPr>
            <w:r w:rsidRPr="00A42C32">
              <w:rPr>
                <w:rFonts w:eastAsia="Times New Roman" w:cstheme="minorHAnsi"/>
                <w:sz w:val="24"/>
                <w:szCs w:val="24"/>
              </w:rPr>
              <w:t xml:space="preserve"> </w:t>
            </w:r>
          </w:p>
        </w:tc>
        <w:tc>
          <w:tcPr>
            <w:tcW w:w="4721" w:type="dxa"/>
          </w:tcPr>
          <w:p w14:paraId="367140D6" w14:textId="31D03F49" w:rsidR="00AF63EC" w:rsidRPr="00A42C32" w:rsidRDefault="005B60D5" w:rsidP="00AF63EC">
            <w:pPr>
              <w:widowControl w:val="0"/>
              <w:tabs>
                <w:tab w:val="left" w:pos="5040"/>
              </w:tabs>
              <w:spacing w:after="0" w:line="240" w:lineRule="auto"/>
              <w:rPr>
                <w:rFonts w:eastAsia="Times New Roman" w:cstheme="minorHAnsi"/>
                <w:sz w:val="24"/>
                <w:szCs w:val="24"/>
                <w:u w:val="single"/>
              </w:rPr>
            </w:pPr>
            <w:r w:rsidRPr="00A42C32">
              <w:rPr>
                <w:rFonts w:eastAsia="Times New Roman" w:cstheme="minorHAnsi"/>
                <w:sz w:val="24"/>
                <w:szCs w:val="24"/>
                <w:u w:val="single"/>
              </w:rPr>
              <w:t>/s/</w:t>
            </w:r>
            <w:r w:rsidRPr="00A42C32">
              <w:rPr>
                <w:rFonts w:eastAsia="Times New Roman" w:cstheme="minorHAnsi"/>
                <w:b/>
                <w:bCs/>
                <w:sz w:val="24"/>
                <w:szCs w:val="24"/>
                <w:u w:val="single"/>
              </w:rPr>
              <w:t xml:space="preserve"> </w:t>
            </w:r>
            <w:r w:rsidRPr="005B60D5">
              <w:rPr>
                <w:rFonts w:ascii="Brush Script MT" w:eastAsia="Times New Roman" w:hAnsi="Brush Script MT" w:cstheme="minorHAnsi"/>
                <w:b/>
                <w:bCs/>
                <w:sz w:val="28"/>
                <w:szCs w:val="28"/>
                <w:u w:val="single"/>
              </w:rPr>
              <w:t>Michael D. Dortch</w:t>
            </w:r>
            <w:r>
              <w:rPr>
                <w:rFonts w:eastAsia="Times New Roman" w:cstheme="minorHAnsi"/>
                <w:b/>
                <w:bCs/>
                <w:sz w:val="24"/>
                <w:szCs w:val="24"/>
                <w:u w:val="single"/>
              </w:rPr>
              <w:t xml:space="preserve">    </w:t>
            </w:r>
          </w:p>
          <w:p w14:paraId="31D118E3"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Michael D. Dortch (0043897), Counsel of Record</w:t>
            </w:r>
          </w:p>
          <w:p w14:paraId="3DB49508"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Justin M. Dortch 0090048)</w:t>
            </w:r>
          </w:p>
          <w:p w14:paraId="53C62235"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Richard R. Parsons (0082270)</w:t>
            </w:r>
          </w:p>
          <w:p w14:paraId="731B1DF9"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Kravitz, Brown &amp; Dortch, LLC</w:t>
            </w:r>
          </w:p>
          <w:p w14:paraId="7259C7AC"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65 East State Street</w:t>
            </w:r>
          </w:p>
          <w:p w14:paraId="794E192D"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Suite 200</w:t>
            </w:r>
          </w:p>
          <w:p w14:paraId="4428D1C0"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Columbus, Ohio 43215</w:t>
            </w:r>
          </w:p>
          <w:p w14:paraId="6D039D12"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Tel: 614.464.2000</w:t>
            </w:r>
          </w:p>
          <w:p w14:paraId="3EADB213"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Fax: 614.464.20023</w:t>
            </w:r>
          </w:p>
          <w:p w14:paraId="28956A88" w14:textId="2EFD71EE"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 xml:space="preserve">Email: mdortch@kravitzllc.com </w:t>
            </w:r>
          </w:p>
          <w:p w14:paraId="07249EE7" w14:textId="305C7D2C"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 xml:space="preserve">           Jdortch@kravitzllc.com </w:t>
            </w:r>
          </w:p>
          <w:p w14:paraId="2B09B88F" w14:textId="77777777" w:rsidR="00AF63EC" w:rsidRPr="00A42C32" w:rsidRDefault="005B60D5" w:rsidP="00AF63EC">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 xml:space="preserve">           rparsons@kravitzllc.com </w:t>
            </w:r>
          </w:p>
          <w:p w14:paraId="497A9E65" w14:textId="77777777" w:rsidR="00AC1889" w:rsidRPr="00A42C32" w:rsidRDefault="00AC1889" w:rsidP="00AF63EC">
            <w:pPr>
              <w:widowControl w:val="0"/>
              <w:tabs>
                <w:tab w:val="left" w:pos="5040"/>
              </w:tabs>
              <w:spacing w:after="0" w:line="240" w:lineRule="auto"/>
              <w:rPr>
                <w:rFonts w:eastAsia="Times New Roman" w:cstheme="minorHAnsi"/>
                <w:sz w:val="24"/>
                <w:szCs w:val="24"/>
                <w:u w:val="single"/>
              </w:rPr>
            </w:pPr>
          </w:p>
          <w:p w14:paraId="001B6934" w14:textId="1865F988" w:rsidR="00AC1889" w:rsidRPr="00A42C32" w:rsidRDefault="005B60D5" w:rsidP="00AC1889">
            <w:pPr>
              <w:widowControl w:val="0"/>
              <w:tabs>
                <w:tab w:val="left" w:pos="5040"/>
              </w:tabs>
              <w:spacing w:after="0" w:line="240" w:lineRule="auto"/>
              <w:rPr>
                <w:rFonts w:eastAsia="Times New Roman" w:cstheme="minorHAnsi"/>
                <w:sz w:val="24"/>
                <w:szCs w:val="24"/>
                <w:u w:val="single"/>
              </w:rPr>
            </w:pPr>
            <w:r w:rsidRPr="00A42C32">
              <w:rPr>
                <w:rFonts w:eastAsia="Times New Roman" w:cstheme="minorHAnsi"/>
                <w:sz w:val="24"/>
                <w:szCs w:val="24"/>
                <w:u w:val="single"/>
              </w:rPr>
              <w:t>/</w:t>
            </w:r>
            <w:r w:rsidRPr="005B60D5">
              <w:rPr>
                <w:rFonts w:eastAsia="Times New Roman" w:cstheme="minorHAnsi"/>
                <w:sz w:val="28"/>
                <w:szCs w:val="28"/>
                <w:u w:val="single"/>
              </w:rPr>
              <w:t>s/</w:t>
            </w:r>
            <w:r w:rsidRPr="005B60D5">
              <w:rPr>
                <w:rFonts w:ascii="Brush Script MT" w:eastAsia="Times New Roman" w:hAnsi="Brush Script MT" w:cstheme="minorHAnsi"/>
                <w:sz w:val="28"/>
                <w:szCs w:val="28"/>
                <w:u w:val="single"/>
              </w:rPr>
              <w:t xml:space="preserve"> Michael A. Yuffee</w:t>
            </w:r>
            <w:r w:rsidRPr="005B60D5">
              <w:rPr>
                <w:rFonts w:eastAsia="Times New Roman" w:cstheme="minorHAnsi"/>
                <w:b/>
                <w:bCs/>
                <w:sz w:val="28"/>
                <w:szCs w:val="28"/>
                <w:u w:val="single"/>
              </w:rPr>
              <w:t>_______</w:t>
            </w:r>
          </w:p>
          <w:p w14:paraId="369FA192" w14:textId="7A57A426"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 xml:space="preserve">Michael A. Yuffee </w:t>
            </w:r>
          </w:p>
          <w:p w14:paraId="250621ED"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PHV# 26036-2022</w:t>
            </w:r>
          </w:p>
          <w:p w14:paraId="775058B0" w14:textId="11A4CCF6"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 xml:space="preserve">Ryan Norfolk </w:t>
            </w:r>
          </w:p>
          <w:p w14:paraId="60673EBD"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PHV# 26248-2022</w:t>
            </w:r>
          </w:p>
          <w:p w14:paraId="73DEBA97"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Baker Botts, L.L.P.</w:t>
            </w:r>
          </w:p>
          <w:p w14:paraId="42A91C34"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700 K Street, NW</w:t>
            </w:r>
          </w:p>
          <w:p w14:paraId="6CABDFB7"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Washington DC 20001</w:t>
            </w:r>
          </w:p>
          <w:p w14:paraId="18B24DBE"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Tel: 202.639.1132</w:t>
            </w:r>
          </w:p>
          <w:p w14:paraId="0B5D38FC"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F: 202.585.1013</w:t>
            </w:r>
          </w:p>
          <w:p w14:paraId="125FCF8D" w14:textId="77777777" w:rsidR="00AC1889" w:rsidRPr="00A42C32" w:rsidRDefault="005B60D5" w:rsidP="00AC1889">
            <w:pPr>
              <w:widowControl w:val="0"/>
              <w:tabs>
                <w:tab w:val="left" w:pos="5040"/>
              </w:tabs>
              <w:spacing w:after="0" w:line="240" w:lineRule="auto"/>
              <w:rPr>
                <w:rFonts w:eastAsia="Times New Roman" w:cstheme="minorHAnsi"/>
                <w:sz w:val="24"/>
                <w:szCs w:val="24"/>
              </w:rPr>
            </w:pPr>
            <w:r w:rsidRPr="00A42C32">
              <w:rPr>
                <w:rFonts w:eastAsia="Times New Roman" w:cstheme="minorHAnsi"/>
                <w:sz w:val="24"/>
                <w:szCs w:val="24"/>
              </w:rPr>
              <w:t xml:space="preserve">Email: michael.yuffee@bakerbotts.com </w:t>
            </w:r>
          </w:p>
          <w:p w14:paraId="61D71D54" w14:textId="00AA09F3" w:rsidR="00AC1889" w:rsidRPr="00A42C32" w:rsidRDefault="005B60D5" w:rsidP="00AC1889">
            <w:pPr>
              <w:widowControl w:val="0"/>
              <w:tabs>
                <w:tab w:val="left" w:pos="5040"/>
              </w:tabs>
              <w:spacing w:after="0" w:line="240" w:lineRule="auto"/>
              <w:rPr>
                <w:rFonts w:eastAsia="Times New Roman" w:cstheme="minorHAnsi"/>
                <w:sz w:val="24"/>
                <w:szCs w:val="24"/>
                <w:u w:val="single"/>
              </w:rPr>
            </w:pPr>
            <w:r w:rsidRPr="00A42C32">
              <w:rPr>
                <w:rFonts w:eastAsia="Times New Roman" w:cstheme="minorHAnsi"/>
                <w:sz w:val="24"/>
                <w:szCs w:val="24"/>
              </w:rPr>
              <w:t xml:space="preserve">           ryan.norfolk@bakerbotts.com</w:t>
            </w:r>
          </w:p>
        </w:tc>
      </w:tr>
    </w:tbl>
    <w:p w14:paraId="7F591EAB" w14:textId="77777777" w:rsidR="003D76D0" w:rsidRPr="00A42C32" w:rsidRDefault="003D76D0" w:rsidP="003D76D0">
      <w:pPr>
        <w:widowControl w:val="0"/>
        <w:autoSpaceDE w:val="0"/>
        <w:autoSpaceDN w:val="0"/>
        <w:adjustRightInd w:val="0"/>
        <w:spacing w:after="0" w:line="240" w:lineRule="auto"/>
        <w:ind w:left="4320" w:right="-1445"/>
        <w:rPr>
          <w:rFonts w:eastAsia="Times New Roman" w:cstheme="minorHAnsi"/>
          <w:sz w:val="24"/>
          <w:szCs w:val="24"/>
        </w:rPr>
      </w:pPr>
    </w:p>
    <w:p w14:paraId="2C14D252" w14:textId="77777777" w:rsidR="00AA51CD" w:rsidRPr="00A42C32" w:rsidRDefault="005B60D5" w:rsidP="00AA51CD">
      <w:pPr>
        <w:widowControl w:val="0"/>
        <w:autoSpaceDE w:val="0"/>
        <w:autoSpaceDN w:val="0"/>
        <w:adjustRightInd w:val="0"/>
        <w:spacing w:after="0" w:line="240" w:lineRule="auto"/>
        <w:ind w:left="4320" w:right="-1445"/>
        <w:rPr>
          <w:rFonts w:eastAsia="Times New Roman" w:cstheme="minorHAnsi"/>
          <w:b/>
          <w:bCs/>
          <w:i/>
          <w:sz w:val="24"/>
          <w:szCs w:val="24"/>
        </w:rPr>
      </w:pPr>
      <w:r w:rsidRPr="00A42C32">
        <w:rPr>
          <w:rFonts w:eastAsia="Times New Roman" w:cstheme="minorHAnsi"/>
          <w:b/>
          <w:bCs/>
          <w:sz w:val="24"/>
          <w:szCs w:val="24"/>
        </w:rPr>
        <w:t>Willing to Accept Service by Email</w:t>
      </w:r>
      <w:r w:rsidRPr="00A42C32">
        <w:rPr>
          <w:rFonts w:eastAsia="Times New Roman" w:cstheme="minorHAnsi"/>
          <w:sz w:val="24"/>
          <w:szCs w:val="24"/>
        </w:rPr>
        <w:br/>
      </w:r>
    </w:p>
    <w:p w14:paraId="5EAC6823" w14:textId="4C030CF4" w:rsidR="003D76D0" w:rsidRPr="00A42C32" w:rsidRDefault="005B60D5" w:rsidP="00AA51CD">
      <w:pPr>
        <w:widowControl w:val="0"/>
        <w:autoSpaceDE w:val="0"/>
        <w:autoSpaceDN w:val="0"/>
        <w:adjustRightInd w:val="0"/>
        <w:spacing w:after="0" w:line="240" w:lineRule="auto"/>
        <w:ind w:left="4320" w:right="-1445"/>
        <w:rPr>
          <w:rFonts w:eastAsia="Times New Roman" w:cstheme="minorHAnsi"/>
          <w:b/>
          <w:bCs/>
          <w:i/>
          <w:sz w:val="24"/>
          <w:szCs w:val="24"/>
        </w:rPr>
      </w:pPr>
      <w:r w:rsidRPr="00A42C32">
        <w:rPr>
          <w:rFonts w:eastAsia="Times New Roman" w:cstheme="minorHAnsi"/>
          <w:b/>
          <w:bCs/>
          <w:i/>
          <w:sz w:val="24"/>
          <w:szCs w:val="24"/>
        </w:rPr>
        <w:t>COUNSEL FOR HARTREE PARTNERS, LP</w:t>
      </w:r>
    </w:p>
    <w:p w14:paraId="1723FC5B" w14:textId="1A80ED0C" w:rsidR="00AF63EC" w:rsidRPr="00A42C32" w:rsidRDefault="005B60D5">
      <w:pPr>
        <w:spacing w:after="0" w:line="240" w:lineRule="auto"/>
        <w:rPr>
          <w:rFonts w:cstheme="minorHAnsi"/>
          <w:sz w:val="24"/>
          <w:szCs w:val="24"/>
        </w:rPr>
      </w:pPr>
      <w:r w:rsidRPr="00A42C32">
        <w:rPr>
          <w:rFonts w:cstheme="minorHAnsi"/>
          <w:sz w:val="24"/>
          <w:szCs w:val="24"/>
        </w:rPr>
        <w:br w:type="page"/>
      </w:r>
    </w:p>
    <w:p w14:paraId="14CE42B5" w14:textId="77777777" w:rsidR="003D76D0" w:rsidRPr="00A42C32" w:rsidRDefault="005B60D5" w:rsidP="003D76D0">
      <w:pPr>
        <w:spacing w:after="0" w:line="240" w:lineRule="auto"/>
        <w:jc w:val="center"/>
        <w:rPr>
          <w:rFonts w:cstheme="minorHAnsi"/>
          <w:b/>
          <w:bCs/>
          <w:sz w:val="24"/>
          <w:szCs w:val="24"/>
          <w:u w:val="single"/>
        </w:rPr>
      </w:pPr>
      <w:r w:rsidRPr="00A42C32">
        <w:rPr>
          <w:rFonts w:cstheme="minorHAnsi"/>
          <w:b/>
          <w:bCs/>
          <w:sz w:val="24"/>
          <w:szCs w:val="24"/>
          <w:u w:val="single"/>
        </w:rPr>
        <w:lastRenderedPageBreak/>
        <w:t>CERTIFICATE OF SERVICE</w:t>
      </w:r>
    </w:p>
    <w:p w14:paraId="47E1E5A8" w14:textId="77777777" w:rsidR="003D76D0" w:rsidRPr="00A42C32" w:rsidRDefault="003D76D0" w:rsidP="003D76D0">
      <w:pPr>
        <w:spacing w:after="0" w:line="240" w:lineRule="auto"/>
        <w:jc w:val="center"/>
        <w:rPr>
          <w:rFonts w:cstheme="minorHAnsi"/>
          <w:b/>
          <w:bCs/>
          <w:sz w:val="24"/>
          <w:szCs w:val="24"/>
          <w:u w:val="single"/>
        </w:rPr>
      </w:pPr>
    </w:p>
    <w:p w14:paraId="2E53178E" w14:textId="6220D13B" w:rsidR="003D76D0" w:rsidRPr="00A42C32" w:rsidRDefault="005B60D5" w:rsidP="003D76D0">
      <w:pPr>
        <w:spacing w:after="0" w:line="480" w:lineRule="auto"/>
        <w:rPr>
          <w:rFonts w:cstheme="minorHAnsi"/>
          <w:sz w:val="24"/>
          <w:szCs w:val="24"/>
        </w:rPr>
      </w:pPr>
      <w:r w:rsidRPr="00A42C32">
        <w:rPr>
          <w:rFonts w:cstheme="minorHAnsi"/>
          <w:sz w:val="24"/>
          <w:szCs w:val="24"/>
        </w:rPr>
        <w:tab/>
        <w:t xml:space="preserve">I certify that the foregoing document was filed using the Commission’s Docketing Information System and was served by electronic mail, on </w:t>
      </w:r>
      <w:r w:rsidR="001D53FF" w:rsidRPr="00A42C32">
        <w:rPr>
          <w:rFonts w:cstheme="minorHAnsi"/>
          <w:sz w:val="24"/>
          <w:szCs w:val="24"/>
        </w:rPr>
        <w:t>November 7</w:t>
      </w:r>
      <w:r w:rsidRPr="00A42C32">
        <w:rPr>
          <w:rFonts w:cstheme="minorHAnsi"/>
          <w:sz w:val="24"/>
          <w:szCs w:val="24"/>
        </w:rPr>
        <w:t>, 2022, to the following:</w:t>
      </w:r>
    </w:p>
    <w:tbl>
      <w:tblPr>
        <w:tblStyle w:val="TableGrid1"/>
        <w:tblW w:w="83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199"/>
      </w:tblGrid>
      <w:tr w:rsidR="00AF603E" w14:paraId="5CFCD30F" w14:textId="77777777" w:rsidTr="00AC2C3E">
        <w:trPr>
          <w:trHeight w:val="2204"/>
          <w:jc w:val="center"/>
        </w:trPr>
        <w:tc>
          <w:tcPr>
            <w:tcW w:w="4199" w:type="dxa"/>
          </w:tcPr>
          <w:p w14:paraId="211CB343"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Dane Stinson</w:t>
            </w:r>
          </w:p>
          <w:p w14:paraId="6515D825"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Devin D. Parram</w:t>
            </w:r>
          </w:p>
          <w:p w14:paraId="1211F63C"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Bricker &amp; Eckler, LLP</w:t>
            </w:r>
          </w:p>
          <w:p w14:paraId="562019C3"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100 S. Third Street</w:t>
            </w:r>
          </w:p>
          <w:p w14:paraId="28892FFF"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 xml:space="preserve">Columbus, Ohio 43215 </w:t>
            </w:r>
          </w:p>
          <w:p w14:paraId="32032187" w14:textId="77777777" w:rsidR="00F5146E" w:rsidRPr="00A42C32" w:rsidRDefault="005B60D5" w:rsidP="00F5146E">
            <w:pPr>
              <w:spacing w:after="0" w:line="240" w:lineRule="auto"/>
              <w:rPr>
                <w:rFonts w:cstheme="minorHAnsi"/>
                <w:sz w:val="24"/>
                <w:szCs w:val="24"/>
              </w:rPr>
            </w:pPr>
            <w:r w:rsidRPr="00A42C32">
              <w:rPr>
                <w:rFonts w:cstheme="minorHAnsi"/>
                <w:sz w:val="24"/>
                <w:szCs w:val="24"/>
                <w:u w:val="single"/>
              </w:rPr>
              <w:t>dstinson@bricker.com</w:t>
            </w:r>
          </w:p>
          <w:p w14:paraId="49EEC209" w14:textId="0DA4920E" w:rsidR="00F5146E" w:rsidRPr="00A42C32" w:rsidRDefault="005B60D5" w:rsidP="00F5146E">
            <w:pPr>
              <w:spacing w:after="0" w:line="240" w:lineRule="auto"/>
              <w:rPr>
                <w:rFonts w:cstheme="minorHAnsi"/>
                <w:sz w:val="24"/>
                <w:szCs w:val="24"/>
              </w:rPr>
            </w:pPr>
            <w:r w:rsidRPr="00A42C32">
              <w:rPr>
                <w:rFonts w:cstheme="minorHAnsi"/>
                <w:sz w:val="24"/>
                <w:szCs w:val="24"/>
                <w:u w:val="single"/>
              </w:rPr>
              <w:t>dparram@bricker.com</w:t>
            </w:r>
            <w:r w:rsidRPr="00A42C32">
              <w:rPr>
                <w:rFonts w:cstheme="minorHAnsi"/>
                <w:sz w:val="24"/>
                <w:szCs w:val="24"/>
              </w:rPr>
              <w:t xml:space="preserve"> </w:t>
            </w:r>
          </w:p>
          <w:p w14:paraId="63C217B6" w14:textId="00FF1FA6" w:rsidR="00F5146E" w:rsidRPr="00A42C32" w:rsidRDefault="00F5146E" w:rsidP="007E4D4B">
            <w:pPr>
              <w:spacing w:after="0" w:line="240" w:lineRule="auto"/>
              <w:rPr>
                <w:rFonts w:cstheme="minorHAnsi"/>
                <w:sz w:val="24"/>
                <w:szCs w:val="24"/>
              </w:rPr>
            </w:pPr>
          </w:p>
        </w:tc>
        <w:tc>
          <w:tcPr>
            <w:tcW w:w="4199" w:type="dxa"/>
          </w:tcPr>
          <w:p w14:paraId="28147BB5"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Steven T. Nourse</w:t>
            </w:r>
          </w:p>
          <w:p w14:paraId="34DA9962"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AEP Service Corporation</w:t>
            </w:r>
          </w:p>
          <w:p w14:paraId="413B1B25"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1 Riverside Plaza</w:t>
            </w:r>
          </w:p>
          <w:p w14:paraId="138D2C6A"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Columbus, Ohio 43215</w:t>
            </w:r>
          </w:p>
          <w:p w14:paraId="4878CA7C" w14:textId="300CA0BF" w:rsidR="00F5146E" w:rsidRPr="00A42C32" w:rsidRDefault="005B60D5" w:rsidP="00F5146E">
            <w:pPr>
              <w:spacing w:after="0" w:line="240" w:lineRule="auto"/>
              <w:rPr>
                <w:rFonts w:cstheme="minorHAnsi"/>
                <w:sz w:val="24"/>
                <w:szCs w:val="24"/>
              </w:rPr>
            </w:pPr>
            <w:r w:rsidRPr="00A42C32">
              <w:rPr>
                <w:rFonts w:cstheme="minorHAnsi"/>
                <w:sz w:val="24"/>
                <w:szCs w:val="24"/>
                <w:u w:val="single"/>
              </w:rPr>
              <w:t>stnourse@aep.com</w:t>
            </w:r>
            <w:r w:rsidRPr="00A42C32">
              <w:rPr>
                <w:rFonts w:cstheme="minorHAnsi"/>
                <w:sz w:val="24"/>
                <w:szCs w:val="24"/>
              </w:rPr>
              <w:t xml:space="preserve"> </w:t>
            </w:r>
          </w:p>
        </w:tc>
      </w:tr>
      <w:tr w:rsidR="00AF603E" w14:paraId="49BAF069" w14:textId="77777777" w:rsidTr="00AC2C3E">
        <w:trPr>
          <w:trHeight w:val="1970"/>
          <w:jc w:val="center"/>
        </w:trPr>
        <w:tc>
          <w:tcPr>
            <w:tcW w:w="4199" w:type="dxa"/>
          </w:tcPr>
          <w:p w14:paraId="6A39C262"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Brian Knipe</w:t>
            </w:r>
          </w:p>
          <w:p w14:paraId="44E324EF"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FirstEnergy Corp.</w:t>
            </w:r>
          </w:p>
          <w:p w14:paraId="590CBDEA"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76 S. Main Street</w:t>
            </w:r>
            <w:r w:rsidRPr="00A42C32">
              <w:rPr>
                <w:rFonts w:cstheme="minorHAnsi"/>
                <w:sz w:val="24"/>
                <w:szCs w:val="24"/>
              </w:rPr>
              <w:tab/>
              <w:t xml:space="preserve"> </w:t>
            </w:r>
          </w:p>
          <w:p w14:paraId="58DE92B9"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Akron, Ohio 44308</w:t>
            </w:r>
          </w:p>
          <w:p w14:paraId="4D0B1915" w14:textId="47521265" w:rsidR="00F5146E" w:rsidRPr="00A42C32" w:rsidRDefault="005B60D5" w:rsidP="007E4D4B">
            <w:pPr>
              <w:spacing w:after="0" w:line="240" w:lineRule="auto"/>
              <w:rPr>
                <w:rFonts w:cstheme="minorHAnsi"/>
                <w:sz w:val="24"/>
                <w:szCs w:val="24"/>
              </w:rPr>
            </w:pPr>
            <w:r w:rsidRPr="00A42C32">
              <w:rPr>
                <w:rFonts w:cstheme="minorHAnsi"/>
                <w:sz w:val="24"/>
                <w:szCs w:val="24"/>
                <w:u w:val="single"/>
              </w:rPr>
              <w:t>bknipe@firstenergycorp.com</w:t>
            </w:r>
            <w:r w:rsidRPr="00A42C32">
              <w:rPr>
                <w:rFonts w:cstheme="minorHAnsi"/>
                <w:sz w:val="24"/>
                <w:szCs w:val="24"/>
              </w:rPr>
              <w:tab/>
            </w:r>
          </w:p>
        </w:tc>
        <w:tc>
          <w:tcPr>
            <w:tcW w:w="4199" w:type="dxa"/>
          </w:tcPr>
          <w:p w14:paraId="3DCE2687"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Larry Sauer</w:t>
            </w:r>
          </w:p>
          <w:p w14:paraId="28A8D21A"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Ohio Consumer’s Counsel</w:t>
            </w:r>
          </w:p>
          <w:p w14:paraId="6F90E6BD"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65 E. State Street</w:t>
            </w:r>
          </w:p>
          <w:p w14:paraId="24F0E2D0"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Suite 700</w:t>
            </w:r>
          </w:p>
          <w:p w14:paraId="483A0CAB" w14:textId="77777777" w:rsidR="00F5146E" w:rsidRPr="00A42C32" w:rsidRDefault="005B60D5" w:rsidP="00F5146E">
            <w:pPr>
              <w:spacing w:after="0" w:line="240" w:lineRule="auto"/>
              <w:rPr>
                <w:rFonts w:cstheme="minorHAnsi"/>
                <w:sz w:val="24"/>
                <w:szCs w:val="24"/>
              </w:rPr>
            </w:pPr>
            <w:r w:rsidRPr="00A42C32">
              <w:rPr>
                <w:rFonts w:cstheme="minorHAnsi"/>
                <w:sz w:val="24"/>
                <w:szCs w:val="24"/>
              </w:rPr>
              <w:t>Columbus, Ohio 43215</w:t>
            </w:r>
          </w:p>
          <w:p w14:paraId="2536FDFF" w14:textId="32989538" w:rsidR="00F5146E" w:rsidRPr="00A42C32" w:rsidRDefault="005B60D5" w:rsidP="00F5146E">
            <w:pPr>
              <w:spacing w:after="0" w:line="240" w:lineRule="auto"/>
              <w:rPr>
                <w:rFonts w:cstheme="minorHAnsi"/>
                <w:sz w:val="24"/>
                <w:szCs w:val="24"/>
              </w:rPr>
            </w:pPr>
            <w:r w:rsidRPr="00A42C32">
              <w:rPr>
                <w:rFonts w:cstheme="minorHAnsi"/>
                <w:sz w:val="24"/>
                <w:szCs w:val="24"/>
                <w:u w:val="single"/>
              </w:rPr>
              <w:t>larry.sauer@occ.ohio.gov</w:t>
            </w:r>
            <w:r w:rsidRPr="00A42C32">
              <w:rPr>
                <w:rFonts w:cstheme="minorHAnsi"/>
                <w:sz w:val="24"/>
                <w:szCs w:val="24"/>
              </w:rPr>
              <w:t xml:space="preserve"> </w:t>
            </w:r>
          </w:p>
        </w:tc>
      </w:tr>
      <w:tr w:rsidR="00AF603E" w14:paraId="5E8DD7F9" w14:textId="77777777" w:rsidTr="00AC2C3E">
        <w:trPr>
          <w:trHeight w:val="2870"/>
          <w:jc w:val="center"/>
        </w:trPr>
        <w:tc>
          <w:tcPr>
            <w:tcW w:w="4199" w:type="dxa"/>
          </w:tcPr>
          <w:p w14:paraId="6D798087"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Evan Betterton</w:t>
            </w:r>
          </w:p>
          <w:p w14:paraId="6944B10E"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 xml:space="preserve">Stacie </w:t>
            </w:r>
            <w:proofErr w:type="spellStart"/>
            <w:r w:rsidRPr="00A42C32">
              <w:rPr>
                <w:rFonts w:cstheme="minorHAnsi"/>
                <w:sz w:val="24"/>
                <w:szCs w:val="24"/>
              </w:rPr>
              <w:t>Cathcart</w:t>
            </w:r>
            <w:proofErr w:type="spellEnd"/>
          </w:p>
          <w:p w14:paraId="0B49433A"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IGS Energy</w:t>
            </w:r>
          </w:p>
          <w:p w14:paraId="14A4B315"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6100 Emerald Parkway</w:t>
            </w:r>
          </w:p>
          <w:p w14:paraId="0D76EA26"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Dublin, Ohio 43016</w:t>
            </w:r>
          </w:p>
          <w:p w14:paraId="26016C27"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Tel: (614) 659-5000</w:t>
            </w:r>
          </w:p>
          <w:p w14:paraId="1F9EDE6D"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rPr>
              <w:t>Fax: (614) 659-5073</w:t>
            </w:r>
          </w:p>
          <w:p w14:paraId="2CC7AF4D"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u w:val="single"/>
              </w:rPr>
              <w:t>evan.betterton@igs.com</w:t>
            </w:r>
          </w:p>
          <w:p w14:paraId="039CDD31" w14:textId="77777777" w:rsidR="008E6AF2" w:rsidRPr="00A42C32" w:rsidRDefault="005B60D5" w:rsidP="008E6AF2">
            <w:pPr>
              <w:spacing w:after="0" w:line="240" w:lineRule="auto"/>
              <w:jc w:val="both"/>
              <w:rPr>
                <w:rFonts w:cstheme="minorHAnsi"/>
                <w:sz w:val="24"/>
                <w:szCs w:val="24"/>
              </w:rPr>
            </w:pPr>
            <w:r w:rsidRPr="00A42C32">
              <w:rPr>
                <w:rFonts w:cstheme="minorHAnsi"/>
                <w:sz w:val="24"/>
                <w:szCs w:val="24"/>
                <w:u w:val="single"/>
              </w:rPr>
              <w:t>stacie.cathart@igs.com</w:t>
            </w:r>
            <w:r w:rsidRPr="00A42C32">
              <w:rPr>
                <w:rFonts w:cstheme="minorHAnsi"/>
                <w:sz w:val="24"/>
                <w:szCs w:val="24"/>
              </w:rPr>
              <w:t xml:space="preserve"> </w:t>
            </w:r>
          </w:p>
          <w:p w14:paraId="15014CA9" w14:textId="7C54DC9B" w:rsidR="001D53FF" w:rsidRPr="00A42C32" w:rsidRDefault="001D53FF" w:rsidP="008E6AF2">
            <w:pPr>
              <w:spacing w:after="0" w:line="240" w:lineRule="auto"/>
              <w:rPr>
                <w:rFonts w:eastAsia="Times New Roman" w:cstheme="minorHAnsi"/>
                <w:i/>
                <w:iCs/>
                <w:sz w:val="24"/>
                <w:szCs w:val="24"/>
              </w:rPr>
            </w:pPr>
          </w:p>
        </w:tc>
        <w:tc>
          <w:tcPr>
            <w:tcW w:w="4199" w:type="dxa"/>
          </w:tcPr>
          <w:p w14:paraId="6DE6A617"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rPr>
              <w:t>Thomas Lindgren</w:t>
            </w:r>
          </w:p>
          <w:p w14:paraId="447EB11F"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rPr>
              <w:t>Rhiannon Plant</w:t>
            </w:r>
          </w:p>
          <w:p w14:paraId="4B5DDA56"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rPr>
              <w:t>Assistant Ohio Attorneys General</w:t>
            </w:r>
          </w:p>
          <w:p w14:paraId="6A8DFA8B"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rPr>
              <w:t>Public Utilities Section</w:t>
            </w:r>
          </w:p>
          <w:p w14:paraId="63D19683"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rPr>
              <w:t>30 East Broad Street</w:t>
            </w:r>
          </w:p>
          <w:p w14:paraId="7A880EA1"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rPr>
              <w:t>Columbus, Ohio 43215</w:t>
            </w:r>
          </w:p>
          <w:p w14:paraId="50A63E08"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u w:val="single"/>
              </w:rPr>
              <w:t>Thomas.Lindgren@OhioAGO.gov</w:t>
            </w:r>
          </w:p>
          <w:p w14:paraId="14A6A960" w14:textId="77777777" w:rsidR="00F5146E" w:rsidRPr="00A42C32" w:rsidRDefault="005B60D5" w:rsidP="00F5146E">
            <w:pPr>
              <w:spacing w:after="0" w:line="240" w:lineRule="auto"/>
              <w:jc w:val="both"/>
              <w:rPr>
                <w:rFonts w:cstheme="minorHAnsi"/>
                <w:sz w:val="24"/>
                <w:szCs w:val="24"/>
              </w:rPr>
            </w:pPr>
            <w:r w:rsidRPr="00A42C32">
              <w:rPr>
                <w:rFonts w:cstheme="minorHAnsi"/>
                <w:sz w:val="24"/>
                <w:szCs w:val="24"/>
                <w:u w:val="single"/>
              </w:rPr>
              <w:t>Rhiannon.Plant@OhioAGO.gov</w:t>
            </w:r>
          </w:p>
          <w:p w14:paraId="4A9C058D" w14:textId="59B00A66" w:rsidR="00F5146E" w:rsidRPr="00A42C32" w:rsidRDefault="00F5146E" w:rsidP="00F5146E">
            <w:pPr>
              <w:spacing w:after="0" w:line="240" w:lineRule="auto"/>
              <w:jc w:val="both"/>
              <w:rPr>
                <w:rFonts w:cstheme="minorHAnsi"/>
                <w:i/>
                <w:iCs/>
                <w:sz w:val="24"/>
                <w:szCs w:val="24"/>
              </w:rPr>
            </w:pPr>
          </w:p>
        </w:tc>
      </w:tr>
      <w:tr w:rsidR="00AF603E" w14:paraId="6ADCB00C" w14:textId="77777777" w:rsidTr="00AC2C3E">
        <w:trPr>
          <w:trHeight w:val="890"/>
          <w:jc w:val="center"/>
        </w:trPr>
        <w:tc>
          <w:tcPr>
            <w:tcW w:w="4199" w:type="dxa"/>
          </w:tcPr>
          <w:p w14:paraId="24D8D244"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 xml:space="preserve">David </w:t>
            </w:r>
            <w:proofErr w:type="spellStart"/>
            <w:r w:rsidRPr="00A42C32">
              <w:rPr>
                <w:rFonts w:cstheme="minorHAnsi"/>
                <w:sz w:val="24"/>
                <w:szCs w:val="24"/>
              </w:rPr>
              <w:t>Proaño</w:t>
            </w:r>
            <w:proofErr w:type="spellEnd"/>
          </w:p>
          <w:p w14:paraId="2D075033"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James H. Rollinson</w:t>
            </w:r>
          </w:p>
          <w:p w14:paraId="0C9C71AC"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Patrick T. Lewis</w:t>
            </w:r>
          </w:p>
          <w:p w14:paraId="68C18F5A"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 xml:space="preserve">Kyle T. </w:t>
            </w:r>
            <w:proofErr w:type="spellStart"/>
            <w:r w:rsidRPr="00A42C32">
              <w:rPr>
                <w:rFonts w:cstheme="minorHAnsi"/>
                <w:sz w:val="24"/>
                <w:szCs w:val="24"/>
              </w:rPr>
              <w:t>Cutts</w:t>
            </w:r>
            <w:proofErr w:type="spellEnd"/>
          </w:p>
          <w:p w14:paraId="64A54E8D"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Taylor M. Thompson</w:t>
            </w:r>
          </w:p>
          <w:p w14:paraId="34C375C7"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Ali I. Haque</w:t>
            </w:r>
          </w:p>
          <w:p w14:paraId="498A251D"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BAKER &amp; HOSTETLER, LLP</w:t>
            </w:r>
          </w:p>
          <w:p w14:paraId="53BEB0DC"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127 Public Square, Suite 2000</w:t>
            </w:r>
          </w:p>
          <w:p w14:paraId="5593D444" w14:textId="77777777" w:rsidR="008E6AF2" w:rsidRPr="00A42C32" w:rsidRDefault="005B60D5" w:rsidP="008E6AF2">
            <w:pPr>
              <w:spacing w:after="0" w:line="240" w:lineRule="auto"/>
              <w:rPr>
                <w:rFonts w:cstheme="minorHAnsi"/>
                <w:sz w:val="24"/>
                <w:szCs w:val="24"/>
              </w:rPr>
            </w:pPr>
            <w:r w:rsidRPr="00A42C32">
              <w:rPr>
                <w:rFonts w:cstheme="minorHAnsi"/>
                <w:sz w:val="24"/>
                <w:szCs w:val="24"/>
              </w:rPr>
              <w:t>Cleveland, Ohio 44114</w:t>
            </w:r>
          </w:p>
          <w:p w14:paraId="23432792" w14:textId="77777777" w:rsidR="008E6AF2" w:rsidRPr="00A42C32" w:rsidRDefault="005B60D5" w:rsidP="008E6AF2">
            <w:pPr>
              <w:spacing w:after="0" w:line="240" w:lineRule="auto"/>
              <w:rPr>
                <w:rFonts w:cstheme="minorHAnsi"/>
                <w:sz w:val="24"/>
                <w:szCs w:val="24"/>
              </w:rPr>
            </w:pPr>
            <w:r w:rsidRPr="00A42C32">
              <w:rPr>
                <w:rFonts w:cstheme="minorHAnsi"/>
                <w:sz w:val="24"/>
                <w:szCs w:val="24"/>
                <w:u w:val="single"/>
              </w:rPr>
              <w:t>dproano@bakerlaw.com</w:t>
            </w:r>
          </w:p>
          <w:p w14:paraId="6251D0F9" w14:textId="77777777" w:rsidR="008E6AF2" w:rsidRPr="00A42C32" w:rsidRDefault="005B60D5" w:rsidP="008E6AF2">
            <w:pPr>
              <w:spacing w:after="0" w:line="240" w:lineRule="auto"/>
              <w:rPr>
                <w:rFonts w:cstheme="minorHAnsi"/>
                <w:sz w:val="24"/>
                <w:szCs w:val="24"/>
              </w:rPr>
            </w:pPr>
            <w:r w:rsidRPr="00A42C32">
              <w:rPr>
                <w:rFonts w:cstheme="minorHAnsi"/>
                <w:sz w:val="24"/>
                <w:szCs w:val="24"/>
                <w:u w:val="single"/>
              </w:rPr>
              <w:t>jrollinson@bakerlaw.com</w:t>
            </w:r>
          </w:p>
          <w:p w14:paraId="77CABE7D" w14:textId="77777777" w:rsidR="008E6AF2" w:rsidRPr="00A42C32" w:rsidRDefault="005B60D5" w:rsidP="008E6AF2">
            <w:pPr>
              <w:spacing w:after="0" w:line="240" w:lineRule="auto"/>
              <w:rPr>
                <w:rFonts w:cstheme="minorHAnsi"/>
                <w:sz w:val="24"/>
                <w:szCs w:val="24"/>
                <w:u w:val="single"/>
              </w:rPr>
            </w:pPr>
            <w:r w:rsidRPr="00A42C32">
              <w:rPr>
                <w:rFonts w:cstheme="minorHAnsi"/>
                <w:sz w:val="24"/>
                <w:szCs w:val="24"/>
                <w:u w:val="single"/>
              </w:rPr>
              <w:t>kcutts@bakerlaw.com</w:t>
            </w:r>
            <w:r w:rsidRPr="00A42C32">
              <w:rPr>
                <w:rFonts w:cstheme="minorHAnsi"/>
                <w:sz w:val="24"/>
                <w:szCs w:val="24"/>
              </w:rPr>
              <w:tab/>
            </w:r>
          </w:p>
          <w:p w14:paraId="37FAC00A" w14:textId="77777777" w:rsidR="008E6AF2" w:rsidRPr="00A42C32" w:rsidRDefault="005B60D5" w:rsidP="008E6AF2">
            <w:pPr>
              <w:spacing w:after="0" w:line="240" w:lineRule="auto"/>
              <w:rPr>
                <w:rFonts w:cstheme="minorHAnsi"/>
                <w:sz w:val="24"/>
                <w:szCs w:val="24"/>
              </w:rPr>
            </w:pPr>
            <w:r w:rsidRPr="00A42C32">
              <w:rPr>
                <w:rFonts w:cstheme="minorHAnsi"/>
                <w:sz w:val="24"/>
                <w:szCs w:val="24"/>
                <w:u w:val="single"/>
              </w:rPr>
              <w:t>tathompson@bakerlaw.com</w:t>
            </w:r>
            <w:r w:rsidRPr="00A42C32">
              <w:rPr>
                <w:rFonts w:cstheme="minorHAnsi"/>
                <w:sz w:val="24"/>
                <w:szCs w:val="24"/>
              </w:rPr>
              <w:t xml:space="preserve"> </w:t>
            </w:r>
            <w:r w:rsidRPr="00A42C32">
              <w:rPr>
                <w:rFonts w:cstheme="minorHAnsi"/>
                <w:sz w:val="24"/>
                <w:szCs w:val="24"/>
              </w:rPr>
              <w:tab/>
            </w:r>
          </w:p>
          <w:p w14:paraId="1F88CD6F" w14:textId="78C72732" w:rsidR="00AC2C3E" w:rsidRPr="00A42C32" w:rsidRDefault="008E6AF2" w:rsidP="001D53FF">
            <w:pPr>
              <w:spacing w:after="0" w:line="240" w:lineRule="auto"/>
              <w:rPr>
                <w:rFonts w:cstheme="minorHAnsi"/>
                <w:sz w:val="24"/>
                <w:szCs w:val="24"/>
                <w:u w:val="single"/>
              </w:rPr>
            </w:pPr>
            <w:r w:rsidRPr="00A42C32">
              <w:rPr>
                <w:rFonts w:cstheme="minorHAnsi"/>
                <w:sz w:val="24"/>
                <w:szCs w:val="24"/>
                <w:u w:val="single"/>
              </w:rPr>
              <w:t>ahaque@bakerlaw.com</w:t>
            </w:r>
          </w:p>
        </w:tc>
        <w:tc>
          <w:tcPr>
            <w:tcW w:w="4199" w:type="dxa"/>
          </w:tcPr>
          <w:p w14:paraId="038DED56"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 John Finnigan</w:t>
            </w:r>
          </w:p>
          <w:p w14:paraId="76D6B928"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Maureen Wills</w:t>
            </w:r>
          </w:p>
          <w:p w14:paraId="268A2739"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Larry Sauer</w:t>
            </w:r>
          </w:p>
          <w:p w14:paraId="1D0F7A92"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Office of the Ohio Consumers’ Counsel</w:t>
            </w:r>
          </w:p>
          <w:p w14:paraId="75DDE3BD"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65 East State Street</w:t>
            </w:r>
          </w:p>
          <w:p w14:paraId="5C76CC69"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Suite 700</w:t>
            </w:r>
          </w:p>
          <w:p w14:paraId="548CB0A2"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Columbus, Ohio 43215</w:t>
            </w:r>
          </w:p>
          <w:p w14:paraId="3461248C"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John.Finnigan@occ.ohio.gov  </w:t>
            </w:r>
          </w:p>
          <w:p w14:paraId="0DC3E5B4"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Maureen.Willis@occ.ohio.gov </w:t>
            </w:r>
          </w:p>
          <w:p w14:paraId="2F4FF1E0"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Larry.Sauer@occ.ohio.gov </w:t>
            </w:r>
          </w:p>
          <w:p w14:paraId="05BE26A1" w14:textId="28FEDCCB" w:rsidR="008E6AF2" w:rsidRPr="00A42C32" w:rsidRDefault="008E6AF2" w:rsidP="001D53FF">
            <w:pPr>
              <w:spacing w:after="0" w:line="240" w:lineRule="auto"/>
              <w:jc w:val="both"/>
              <w:rPr>
                <w:rFonts w:cstheme="minorHAnsi"/>
                <w:sz w:val="24"/>
                <w:szCs w:val="24"/>
              </w:rPr>
            </w:pPr>
          </w:p>
        </w:tc>
      </w:tr>
      <w:tr w:rsidR="00AF603E" w14:paraId="0F7F6A7B" w14:textId="77777777" w:rsidTr="00AC2C3E">
        <w:trPr>
          <w:trHeight w:val="2249"/>
          <w:jc w:val="center"/>
        </w:trPr>
        <w:tc>
          <w:tcPr>
            <w:tcW w:w="4199" w:type="dxa"/>
          </w:tcPr>
          <w:p w14:paraId="39723B74"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lastRenderedPageBreak/>
              <w:t>Janessa Glenn</w:t>
            </w:r>
          </w:p>
          <w:p w14:paraId="6E5F92B3"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t>K&amp;L Gates LLP</w:t>
            </w:r>
          </w:p>
          <w:p w14:paraId="638BDAC1"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t>2801 Via Fortuna, Suite 650</w:t>
            </w:r>
          </w:p>
          <w:p w14:paraId="07541687"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t>Austin, Texas 78746-7568</w:t>
            </w:r>
          </w:p>
          <w:p w14:paraId="3FF0E88C"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t>Tel: 512-482-6866</w:t>
            </w:r>
          </w:p>
          <w:p w14:paraId="181622D8"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t>Fax: 512-482-6859</w:t>
            </w:r>
          </w:p>
          <w:p w14:paraId="7F8A490F" w14:textId="77777777" w:rsidR="001D53FF" w:rsidRPr="00A42C32" w:rsidRDefault="005B60D5" w:rsidP="001D53FF">
            <w:pPr>
              <w:spacing w:after="0" w:line="240" w:lineRule="auto"/>
              <w:rPr>
                <w:rFonts w:cstheme="minorHAnsi"/>
                <w:sz w:val="24"/>
                <w:szCs w:val="24"/>
              </w:rPr>
            </w:pPr>
            <w:r w:rsidRPr="00A42C32">
              <w:rPr>
                <w:rFonts w:cstheme="minorHAnsi"/>
                <w:sz w:val="24"/>
                <w:szCs w:val="24"/>
              </w:rPr>
              <w:t xml:space="preserve">janessa.glenn@klgates.com </w:t>
            </w:r>
          </w:p>
          <w:p w14:paraId="40A286C9" w14:textId="274E3D16" w:rsidR="00AC2C3E" w:rsidRPr="00A42C32" w:rsidRDefault="00AC2C3E" w:rsidP="001D53FF">
            <w:pPr>
              <w:spacing w:after="0" w:line="240" w:lineRule="auto"/>
              <w:rPr>
                <w:rFonts w:cstheme="minorHAnsi"/>
                <w:sz w:val="24"/>
                <w:szCs w:val="24"/>
              </w:rPr>
            </w:pPr>
          </w:p>
        </w:tc>
        <w:tc>
          <w:tcPr>
            <w:tcW w:w="4199" w:type="dxa"/>
          </w:tcPr>
          <w:p w14:paraId="10A3E80B"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Dona Seger-Lawson</w:t>
            </w:r>
          </w:p>
          <w:p w14:paraId="7B09A0A5"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AEP Indiana Michigan</w:t>
            </w:r>
          </w:p>
          <w:p w14:paraId="3B64D20D"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110 E. Wayne St.</w:t>
            </w:r>
          </w:p>
          <w:p w14:paraId="25DB1D28"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Fort Wayne, IN 46802</w:t>
            </w:r>
          </w:p>
          <w:p w14:paraId="36199BEC" w14:textId="546916FC" w:rsidR="001D53FF" w:rsidRPr="00A42C32" w:rsidRDefault="00AC2C3E" w:rsidP="001D53FF">
            <w:pPr>
              <w:spacing w:after="0" w:line="240" w:lineRule="auto"/>
              <w:jc w:val="both"/>
              <w:rPr>
                <w:rFonts w:cstheme="minorHAnsi"/>
                <w:sz w:val="24"/>
                <w:szCs w:val="24"/>
              </w:rPr>
            </w:pPr>
            <w:r w:rsidRPr="00A42C32">
              <w:rPr>
                <w:rFonts w:cstheme="minorHAnsi"/>
                <w:sz w:val="24"/>
                <w:szCs w:val="24"/>
              </w:rPr>
              <w:t>Dgseger-lawson@aep.com</w:t>
            </w:r>
          </w:p>
        </w:tc>
      </w:tr>
      <w:tr w:rsidR="00AF603E" w14:paraId="5A77464D" w14:textId="77777777" w:rsidTr="00AC2C3E">
        <w:trPr>
          <w:trHeight w:val="2384"/>
          <w:jc w:val="center"/>
        </w:trPr>
        <w:tc>
          <w:tcPr>
            <w:tcW w:w="4199" w:type="dxa"/>
          </w:tcPr>
          <w:p w14:paraId="2E0C56F8"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Thomas M. Bellish</w:t>
            </w:r>
          </w:p>
          <w:p w14:paraId="2A71307A"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Buckeye Energy Brokers, Inc.</w:t>
            </w:r>
          </w:p>
          <w:p w14:paraId="535D7DA1"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65 East Mill Street</w:t>
            </w:r>
          </w:p>
          <w:p w14:paraId="44A96400"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Akron, OH 44308</w:t>
            </w:r>
          </w:p>
          <w:p w14:paraId="1A5D7D2F" w14:textId="10C7E45C" w:rsidR="001D53FF" w:rsidRPr="00A42C32" w:rsidRDefault="00AC2C3E" w:rsidP="00AC2C3E">
            <w:pPr>
              <w:spacing w:after="0" w:line="240" w:lineRule="auto"/>
              <w:rPr>
                <w:rFonts w:cstheme="minorHAnsi"/>
                <w:sz w:val="24"/>
                <w:szCs w:val="24"/>
              </w:rPr>
            </w:pPr>
            <w:r w:rsidRPr="00A42C32">
              <w:rPr>
                <w:rFonts w:cstheme="minorHAnsi"/>
                <w:sz w:val="24"/>
                <w:szCs w:val="24"/>
              </w:rPr>
              <w:t xml:space="preserve">tb@buckeyeenergybrokers.com </w:t>
            </w:r>
          </w:p>
        </w:tc>
        <w:tc>
          <w:tcPr>
            <w:tcW w:w="4199" w:type="dxa"/>
          </w:tcPr>
          <w:p w14:paraId="09CD4D24"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Christine E. Watchorn</w:t>
            </w:r>
          </w:p>
          <w:p w14:paraId="24150737"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Zachary E. </w:t>
            </w:r>
            <w:proofErr w:type="spellStart"/>
            <w:r w:rsidRPr="00A42C32">
              <w:rPr>
                <w:rFonts w:cstheme="minorHAnsi"/>
                <w:sz w:val="24"/>
                <w:szCs w:val="24"/>
              </w:rPr>
              <w:t>Woltz</w:t>
            </w:r>
            <w:proofErr w:type="spellEnd"/>
          </w:p>
          <w:p w14:paraId="0732F684"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 xml:space="preserve">FirstEnergy Service Company </w:t>
            </w:r>
          </w:p>
          <w:p w14:paraId="55C2981B" w14:textId="4BDD6330" w:rsidR="00AC2C3E" w:rsidRPr="00A42C32" w:rsidRDefault="005B60D5" w:rsidP="00AC2C3E">
            <w:pPr>
              <w:spacing w:after="0" w:line="240" w:lineRule="auto"/>
              <w:rPr>
                <w:rFonts w:cstheme="minorHAnsi"/>
                <w:sz w:val="24"/>
                <w:szCs w:val="24"/>
              </w:rPr>
            </w:pPr>
            <w:r w:rsidRPr="00A42C32">
              <w:rPr>
                <w:rFonts w:cstheme="minorHAnsi"/>
                <w:sz w:val="24"/>
                <w:szCs w:val="24"/>
              </w:rPr>
              <w:t>100 E. Broad Street, Suite 2225 Columbus, Ohio 43215</w:t>
            </w:r>
          </w:p>
          <w:p w14:paraId="25521675"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Tel: (614) 437-0183</w:t>
            </w:r>
          </w:p>
          <w:p w14:paraId="0F9822AF" w14:textId="285D79D5" w:rsidR="001D53FF" w:rsidRPr="00A42C32" w:rsidRDefault="00AC2C3E" w:rsidP="00AC2C3E">
            <w:pPr>
              <w:spacing w:after="0" w:line="240" w:lineRule="auto"/>
              <w:jc w:val="both"/>
              <w:rPr>
                <w:rFonts w:cstheme="minorHAnsi"/>
                <w:sz w:val="24"/>
                <w:szCs w:val="24"/>
              </w:rPr>
            </w:pPr>
            <w:r w:rsidRPr="00A42C32">
              <w:rPr>
                <w:rFonts w:cstheme="minorHAnsi"/>
                <w:sz w:val="24"/>
                <w:szCs w:val="24"/>
              </w:rPr>
              <w:t xml:space="preserve">cwatchorn@firstenergycorp.com  zwoltz@firstenergycorp.com </w:t>
            </w:r>
          </w:p>
        </w:tc>
      </w:tr>
      <w:tr w:rsidR="00AF603E" w14:paraId="4F198580" w14:textId="77777777" w:rsidTr="00AC2C3E">
        <w:trPr>
          <w:trHeight w:val="2384"/>
          <w:jc w:val="center"/>
        </w:trPr>
        <w:tc>
          <w:tcPr>
            <w:tcW w:w="4199" w:type="dxa"/>
          </w:tcPr>
          <w:p w14:paraId="4AF000D3" w14:textId="5CB7AD1F" w:rsidR="00AC2C3E" w:rsidRPr="00A42C32" w:rsidRDefault="005B60D5" w:rsidP="00AC2C3E">
            <w:pPr>
              <w:spacing w:after="0" w:line="240" w:lineRule="auto"/>
              <w:jc w:val="both"/>
              <w:rPr>
                <w:rFonts w:cstheme="minorHAnsi"/>
                <w:sz w:val="24"/>
                <w:szCs w:val="24"/>
              </w:rPr>
            </w:pPr>
            <w:r w:rsidRPr="00A42C32">
              <w:rPr>
                <w:rFonts w:cstheme="minorHAnsi"/>
                <w:sz w:val="24"/>
                <w:szCs w:val="24"/>
              </w:rPr>
              <w:t>Michael R. Gladman</w:t>
            </w:r>
          </w:p>
          <w:p w14:paraId="745C7B69"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Shalini B. Goyal</w:t>
            </w:r>
          </w:p>
          <w:p w14:paraId="1AF76667"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Margaret M. </w:t>
            </w:r>
            <w:proofErr w:type="spellStart"/>
            <w:r w:rsidRPr="00A42C32">
              <w:rPr>
                <w:rFonts w:cstheme="minorHAnsi"/>
                <w:sz w:val="24"/>
                <w:szCs w:val="24"/>
              </w:rPr>
              <w:t>Dengler</w:t>
            </w:r>
            <w:proofErr w:type="spellEnd"/>
          </w:p>
          <w:p w14:paraId="20204F9E"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Jones Day</w:t>
            </w:r>
          </w:p>
          <w:p w14:paraId="014D4155"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325 John H. McConnell Blvd., </w:t>
            </w:r>
          </w:p>
          <w:p w14:paraId="129B1DD8" w14:textId="5D0AC5A5" w:rsidR="00AC2C3E" w:rsidRPr="00A42C32" w:rsidRDefault="005B60D5" w:rsidP="00AC2C3E">
            <w:pPr>
              <w:spacing w:after="0" w:line="240" w:lineRule="auto"/>
              <w:jc w:val="both"/>
              <w:rPr>
                <w:rFonts w:cstheme="minorHAnsi"/>
                <w:sz w:val="24"/>
                <w:szCs w:val="24"/>
              </w:rPr>
            </w:pPr>
            <w:r w:rsidRPr="00A42C32">
              <w:rPr>
                <w:rFonts w:cstheme="minorHAnsi"/>
                <w:sz w:val="24"/>
                <w:szCs w:val="24"/>
              </w:rPr>
              <w:t>Suite 600</w:t>
            </w:r>
          </w:p>
          <w:p w14:paraId="63D498D8"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Columbus, Ohio 43215</w:t>
            </w:r>
          </w:p>
          <w:p w14:paraId="6DF88B34"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Tel: (614) 469-3939</w:t>
            </w:r>
          </w:p>
          <w:p w14:paraId="730149F1"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Fax: (614) 461-4198</w:t>
            </w:r>
          </w:p>
          <w:p w14:paraId="137E8CBA"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mrgladman@jonesday.com  </w:t>
            </w:r>
          </w:p>
          <w:p w14:paraId="78E97DE1"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sgoyal@jonesday.com  </w:t>
            </w:r>
          </w:p>
          <w:p w14:paraId="308F176D" w14:textId="77777777" w:rsidR="00AC2C3E" w:rsidRPr="00A42C32" w:rsidRDefault="005B60D5" w:rsidP="00AC2C3E">
            <w:pPr>
              <w:spacing w:after="0" w:line="240" w:lineRule="auto"/>
              <w:jc w:val="both"/>
              <w:rPr>
                <w:rFonts w:cstheme="minorHAnsi"/>
                <w:sz w:val="24"/>
                <w:szCs w:val="24"/>
              </w:rPr>
            </w:pPr>
            <w:r w:rsidRPr="00A42C32">
              <w:rPr>
                <w:rFonts w:cstheme="minorHAnsi"/>
                <w:sz w:val="24"/>
                <w:szCs w:val="24"/>
              </w:rPr>
              <w:t xml:space="preserve">mdengler@jonesday.com </w:t>
            </w:r>
          </w:p>
          <w:p w14:paraId="47C47E02" w14:textId="7C827FA5" w:rsidR="001D53FF" w:rsidRPr="00A42C32" w:rsidRDefault="001D53FF" w:rsidP="00AC2C3E">
            <w:pPr>
              <w:spacing w:after="0" w:line="240" w:lineRule="auto"/>
              <w:rPr>
                <w:rFonts w:cstheme="minorHAnsi"/>
                <w:sz w:val="24"/>
                <w:szCs w:val="24"/>
              </w:rPr>
            </w:pPr>
          </w:p>
        </w:tc>
        <w:tc>
          <w:tcPr>
            <w:tcW w:w="4199" w:type="dxa"/>
          </w:tcPr>
          <w:p w14:paraId="411399DB" w14:textId="77777777" w:rsidR="00AC2C3E" w:rsidRPr="00A42C32" w:rsidRDefault="00AC2C3E" w:rsidP="00AC2C3E">
            <w:pPr>
              <w:spacing w:after="0" w:line="240" w:lineRule="auto"/>
              <w:jc w:val="both"/>
              <w:rPr>
                <w:rFonts w:cstheme="minorHAnsi"/>
                <w:sz w:val="24"/>
                <w:szCs w:val="24"/>
              </w:rPr>
            </w:pPr>
          </w:p>
          <w:p w14:paraId="0D796691"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 xml:space="preserve">Ryan A. </w:t>
            </w:r>
            <w:proofErr w:type="spellStart"/>
            <w:r w:rsidRPr="00A42C32">
              <w:rPr>
                <w:rFonts w:cstheme="minorHAnsi"/>
                <w:sz w:val="24"/>
                <w:szCs w:val="24"/>
              </w:rPr>
              <w:t>Doringo</w:t>
            </w:r>
            <w:proofErr w:type="spellEnd"/>
          </w:p>
          <w:p w14:paraId="05607629"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Jones Day</w:t>
            </w:r>
          </w:p>
          <w:p w14:paraId="60A1C02F"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North Point</w:t>
            </w:r>
          </w:p>
          <w:p w14:paraId="3856BB3E"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901 Lakeside Avenue</w:t>
            </w:r>
          </w:p>
          <w:p w14:paraId="725A1023"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Cleveland, Ohio 44114</w:t>
            </w:r>
          </w:p>
          <w:p w14:paraId="042A0E06"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Tel: (216) 586-3939</w:t>
            </w:r>
          </w:p>
          <w:p w14:paraId="5C68A0AB" w14:textId="77777777" w:rsidR="00AC2C3E" w:rsidRPr="00A42C32" w:rsidRDefault="005B60D5" w:rsidP="00AC2C3E">
            <w:pPr>
              <w:spacing w:after="0" w:line="240" w:lineRule="auto"/>
              <w:rPr>
                <w:rFonts w:cstheme="minorHAnsi"/>
                <w:sz w:val="24"/>
                <w:szCs w:val="24"/>
              </w:rPr>
            </w:pPr>
            <w:r w:rsidRPr="00A42C32">
              <w:rPr>
                <w:rFonts w:cstheme="minorHAnsi"/>
                <w:sz w:val="24"/>
                <w:szCs w:val="24"/>
              </w:rPr>
              <w:t>Fax: (216) 579-0212</w:t>
            </w:r>
          </w:p>
          <w:p w14:paraId="5822EE36" w14:textId="34E8AB92" w:rsidR="00AC2C3E" w:rsidRPr="00A42C32" w:rsidRDefault="005B60D5" w:rsidP="00AC2C3E">
            <w:pPr>
              <w:spacing w:after="0" w:line="240" w:lineRule="auto"/>
              <w:jc w:val="both"/>
              <w:rPr>
                <w:rFonts w:cstheme="minorHAnsi"/>
                <w:sz w:val="24"/>
                <w:szCs w:val="24"/>
              </w:rPr>
            </w:pPr>
            <w:r w:rsidRPr="00A42C32">
              <w:rPr>
                <w:rFonts w:cstheme="minorHAnsi"/>
                <w:sz w:val="24"/>
                <w:szCs w:val="24"/>
              </w:rPr>
              <w:t>radoringo@jonesday.com</w:t>
            </w:r>
          </w:p>
        </w:tc>
      </w:tr>
      <w:tr w:rsidR="00AF603E" w14:paraId="2E8F75CE" w14:textId="77777777" w:rsidTr="00AC2C3E">
        <w:trPr>
          <w:trHeight w:val="2384"/>
          <w:jc w:val="center"/>
        </w:trPr>
        <w:tc>
          <w:tcPr>
            <w:tcW w:w="4199" w:type="dxa"/>
          </w:tcPr>
          <w:p w14:paraId="26784A32" w14:textId="77777777" w:rsidR="001D53FF" w:rsidRPr="00A42C32" w:rsidRDefault="001D53FF" w:rsidP="008E6AF2">
            <w:pPr>
              <w:spacing w:after="0" w:line="240" w:lineRule="auto"/>
              <w:rPr>
                <w:rFonts w:cstheme="minorHAnsi"/>
                <w:sz w:val="24"/>
                <w:szCs w:val="24"/>
              </w:rPr>
            </w:pPr>
          </w:p>
        </w:tc>
        <w:tc>
          <w:tcPr>
            <w:tcW w:w="4199" w:type="dxa"/>
          </w:tcPr>
          <w:p w14:paraId="10394C62" w14:textId="77777777" w:rsidR="00995588" w:rsidRPr="00A42C32" w:rsidRDefault="00995588" w:rsidP="00995588">
            <w:pPr>
              <w:widowControl w:val="0"/>
              <w:tabs>
                <w:tab w:val="left" w:pos="5040"/>
              </w:tabs>
              <w:spacing w:after="0" w:line="240" w:lineRule="auto"/>
              <w:rPr>
                <w:rFonts w:eastAsia="Times New Roman" w:cstheme="minorHAnsi"/>
                <w:sz w:val="24"/>
                <w:szCs w:val="24"/>
                <w:u w:val="single"/>
              </w:rPr>
            </w:pPr>
            <w:r w:rsidRPr="00A42C32">
              <w:rPr>
                <w:rFonts w:eastAsia="Times New Roman" w:cstheme="minorHAnsi"/>
                <w:sz w:val="24"/>
                <w:szCs w:val="24"/>
                <w:u w:val="single"/>
              </w:rPr>
              <w:t>/s/</w:t>
            </w:r>
            <w:r w:rsidRPr="00A42C32">
              <w:rPr>
                <w:rFonts w:eastAsia="Times New Roman" w:cstheme="minorHAnsi"/>
                <w:b/>
                <w:bCs/>
                <w:sz w:val="24"/>
                <w:szCs w:val="24"/>
                <w:u w:val="single"/>
              </w:rPr>
              <w:t xml:space="preserve"> </w:t>
            </w:r>
            <w:r w:rsidRPr="005B60D5">
              <w:rPr>
                <w:rFonts w:ascii="Brush Script MT" w:eastAsia="Times New Roman" w:hAnsi="Brush Script MT" w:cstheme="minorHAnsi"/>
                <w:b/>
                <w:bCs/>
                <w:sz w:val="28"/>
                <w:szCs w:val="28"/>
                <w:u w:val="single"/>
              </w:rPr>
              <w:t>Michael D. Dortch</w:t>
            </w:r>
            <w:r>
              <w:rPr>
                <w:rFonts w:eastAsia="Times New Roman" w:cstheme="minorHAnsi"/>
                <w:b/>
                <w:bCs/>
                <w:sz w:val="24"/>
                <w:szCs w:val="24"/>
                <w:u w:val="single"/>
              </w:rPr>
              <w:t xml:space="preserve">    </w:t>
            </w:r>
          </w:p>
          <w:p w14:paraId="6FC3332F" w14:textId="77777777" w:rsidR="001D53FF" w:rsidRPr="00A42C32" w:rsidRDefault="001D53FF" w:rsidP="001D53FF">
            <w:pPr>
              <w:spacing w:after="0" w:line="240" w:lineRule="auto"/>
              <w:jc w:val="both"/>
              <w:rPr>
                <w:rFonts w:cstheme="minorHAnsi"/>
                <w:sz w:val="24"/>
                <w:szCs w:val="24"/>
              </w:rPr>
            </w:pPr>
          </w:p>
        </w:tc>
      </w:tr>
    </w:tbl>
    <w:p w14:paraId="0B8E064B" w14:textId="64E24C44" w:rsidR="00D557A5" w:rsidRPr="00A42C32" w:rsidRDefault="00D557A5" w:rsidP="004E03A6">
      <w:pPr>
        <w:pStyle w:val="BodyText"/>
        <w:rPr>
          <w:rFonts w:cstheme="minorHAnsi"/>
          <w:sz w:val="24"/>
          <w:szCs w:val="24"/>
        </w:rPr>
      </w:pPr>
    </w:p>
    <w:sectPr w:rsidR="00D557A5" w:rsidRPr="00A42C32" w:rsidSect="007944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891E" w14:textId="77777777" w:rsidR="00633B7B" w:rsidRDefault="00633B7B">
      <w:pPr>
        <w:spacing w:after="0" w:line="240" w:lineRule="auto"/>
      </w:pPr>
      <w:r>
        <w:separator/>
      </w:r>
    </w:p>
  </w:endnote>
  <w:endnote w:type="continuationSeparator" w:id="0">
    <w:p w14:paraId="0F07863A" w14:textId="77777777" w:rsidR="00633B7B" w:rsidRDefault="0063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E59" w14:textId="77777777" w:rsidR="002C2BD7" w:rsidRDefault="002C2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6BF6" w14:textId="3E68B9A7" w:rsidR="000613AC" w:rsidRDefault="005B60D5" w:rsidP="008448F5">
    <w:pPr>
      <w:pStyle w:val="Footer"/>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717ADA" w:rsidRPr="00717ADA">
      <w:rPr>
        <w:rStyle w:val="DocID"/>
      </w:rPr>
      <w:t>Active 101175259.1</w:t>
    </w:r>
    <w:r w:rsidRPr="000613AC">
      <w:rPr>
        <w:rStyle w:val="DocID"/>
      </w:rPr>
      <w:fldChar w:fldCharType="end"/>
    </w:r>
    <w:r>
      <w:ptab w:relativeTo="margin" w:alignment="center" w:leader="none"/>
    </w:r>
    <w:r w:rsidRPr="000613AC">
      <w:fldChar w:fldCharType="begin"/>
    </w:r>
    <w:r w:rsidRPr="000613AC">
      <w:instrText xml:space="preserve"> PAGE   \* MERGEFORMAT </w:instrText>
    </w:r>
    <w:r w:rsidRPr="000613AC">
      <w:fldChar w:fldCharType="separate"/>
    </w:r>
    <w:r w:rsidR="008448F5">
      <w:rPr>
        <w:noProof/>
      </w:rPr>
      <w:t>13</w:t>
    </w:r>
    <w:r w:rsidRPr="000613AC">
      <w:rPr>
        <w:noProof/>
      </w:rPr>
      <w:fldChar w:fldCharType="end"/>
    </w:r>
    <w:r w:rsidR="008448F5">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3270" w14:textId="76FBA602" w:rsidR="00DB51C2" w:rsidRDefault="005B60D5">
    <w:pPr>
      <w:pStyle w:val="Footer"/>
    </w:pPr>
    <w:r w:rsidRPr="000613AC">
      <w:rPr>
        <w:rStyle w:val="DocID"/>
      </w:rPr>
      <w:fldChar w:fldCharType="begin"/>
    </w:r>
    <w:r w:rsidRPr="000613AC">
      <w:rPr>
        <w:rStyle w:val="DocID"/>
      </w:rPr>
      <w:instrText xml:space="preserve"> DOCPROPERTY  DocID  \* MERGEFORMAT </w:instrText>
    </w:r>
    <w:r w:rsidRPr="000613AC">
      <w:rPr>
        <w:rStyle w:val="DocID"/>
      </w:rPr>
      <w:fldChar w:fldCharType="separate"/>
    </w:r>
    <w:r w:rsidR="00717ADA" w:rsidRPr="00717ADA">
      <w:rPr>
        <w:rStyle w:val="DocID"/>
      </w:rPr>
      <w:t>Active 101175259.1</w:t>
    </w:r>
    <w:r w:rsidRPr="000613A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CE32" w14:textId="77777777" w:rsidR="00633B7B" w:rsidRDefault="00633B7B" w:rsidP="000613AC">
      <w:r>
        <w:separator/>
      </w:r>
    </w:p>
  </w:footnote>
  <w:footnote w:type="continuationSeparator" w:id="0">
    <w:p w14:paraId="2C1C8161" w14:textId="77777777" w:rsidR="00633B7B" w:rsidRDefault="00633B7B" w:rsidP="000613AC">
      <w:r>
        <w:continuationSeparator/>
      </w:r>
    </w:p>
  </w:footnote>
  <w:footnote w:id="1">
    <w:p w14:paraId="63A9A6B7" w14:textId="15C2FAF2" w:rsidR="001E3208" w:rsidRPr="00A42C32" w:rsidRDefault="005B60D5">
      <w:pPr>
        <w:pStyle w:val="FootnoteText"/>
        <w:rPr>
          <w:rFonts w:ascii="Times New Roman" w:hAnsi="Times New Roman" w:cs="Times New Roman"/>
          <w:sz w:val="24"/>
          <w:szCs w:val="24"/>
        </w:rPr>
      </w:pPr>
      <w:r w:rsidRPr="00A42C32">
        <w:rPr>
          <w:rStyle w:val="FootnoteReference"/>
          <w:sz w:val="24"/>
          <w:szCs w:val="24"/>
        </w:rPr>
        <w:footnoteRef/>
      </w:r>
      <w:r w:rsidRPr="00A42C32">
        <w:rPr>
          <w:sz w:val="24"/>
          <w:szCs w:val="24"/>
        </w:rPr>
        <w:t xml:space="preserve"> </w:t>
      </w:r>
      <w:r w:rsidRPr="00A42C32">
        <w:rPr>
          <w:rFonts w:ascii="Times New Roman" w:hAnsi="Times New Roman" w:cs="Times New Roman"/>
          <w:i/>
          <w:iCs/>
          <w:sz w:val="24"/>
          <w:szCs w:val="24"/>
        </w:rPr>
        <w:t>See</w:t>
      </w:r>
      <w:r w:rsidRPr="00A42C32">
        <w:rPr>
          <w:rFonts w:ascii="Times New Roman" w:hAnsi="Times New Roman" w:cs="Times New Roman"/>
          <w:sz w:val="24"/>
          <w:szCs w:val="24"/>
        </w:rPr>
        <w:t xml:space="preserve"> Entry at ¶ 9, </w:t>
      </w:r>
      <w:r w:rsidRPr="00A42C32">
        <w:rPr>
          <w:rFonts w:ascii="Times New Roman" w:hAnsi="Times New Roman" w:cs="Times New Roman"/>
          <w:i/>
          <w:iCs/>
          <w:sz w:val="24"/>
          <w:szCs w:val="24"/>
        </w:rPr>
        <w:t>In the Matter of the Motion of Northeast Ohio Public Energy Council for a Limited Waiver of Rule 4901:1-10-29(H), Ohio Administrative Code</w:t>
      </w:r>
      <w:r w:rsidRPr="00A42C32">
        <w:rPr>
          <w:rFonts w:ascii="Times New Roman" w:hAnsi="Times New Roman" w:cs="Times New Roman"/>
          <w:sz w:val="24"/>
          <w:szCs w:val="24"/>
        </w:rPr>
        <w:t>, Case No. 22-0806-EL-WVR (Sept. 7, 2022);</w:t>
      </w:r>
      <w:r w:rsidRPr="00A42C32">
        <w:rPr>
          <w:rFonts w:ascii="Times New Roman" w:hAnsi="Times New Roman" w:cs="Times New Roman"/>
          <w:i/>
          <w:iCs/>
          <w:sz w:val="24"/>
          <w:szCs w:val="24"/>
        </w:rPr>
        <w:t xml:space="preserve"> </w:t>
      </w:r>
      <w:r w:rsidRPr="00A42C32">
        <w:rPr>
          <w:rFonts w:ascii="Times New Roman" w:hAnsi="Times New Roman" w:cs="Times New Roman"/>
          <w:sz w:val="24"/>
          <w:szCs w:val="24"/>
        </w:rPr>
        <w:t xml:space="preserve">Notice of Material Change, </w:t>
      </w:r>
      <w:r w:rsidRPr="00A42C32">
        <w:rPr>
          <w:rFonts w:ascii="Times New Roman" w:hAnsi="Times New Roman" w:cs="Times New Roman"/>
          <w:i/>
          <w:iCs/>
          <w:sz w:val="24"/>
          <w:szCs w:val="24"/>
        </w:rPr>
        <w:t>In the Matter of the Certification of Northeast Ohio Public Energy Council as Governmental Aggregator</w:t>
      </w:r>
      <w:r w:rsidRPr="00A42C32">
        <w:rPr>
          <w:rFonts w:ascii="Times New Roman" w:hAnsi="Times New Roman" w:cs="Times New Roman"/>
          <w:sz w:val="24"/>
          <w:szCs w:val="24"/>
        </w:rPr>
        <w:t xml:space="preserve">, Case No. 00-2317-EL-GAG (Aug. 24, 2022) (Notice); Motion for a One-Time, Limited Waiver and Request for Expedited Ruling, </w:t>
      </w:r>
      <w:r w:rsidRPr="00A42C32">
        <w:rPr>
          <w:rFonts w:ascii="Times New Roman" w:hAnsi="Times New Roman" w:cs="Times New Roman"/>
          <w:i/>
          <w:iCs/>
          <w:sz w:val="24"/>
          <w:szCs w:val="24"/>
        </w:rPr>
        <w:t>In the Matter of the Motion of Northeast Ohio Public Energy Council for a Limited Waiver of Rule 4901:1-10-29(H), Ohio Administrative Code</w:t>
      </w:r>
      <w:r w:rsidRPr="00A42C32">
        <w:rPr>
          <w:rFonts w:ascii="Times New Roman" w:hAnsi="Times New Roman" w:cs="Times New Roman"/>
          <w:sz w:val="24"/>
          <w:szCs w:val="24"/>
        </w:rPr>
        <w:t>, Case No. 22-0806-EL-WVR (Aug. 26, 2022) (Motion for Waiver).</w:t>
      </w:r>
    </w:p>
  </w:footnote>
  <w:footnote w:id="2">
    <w:p w14:paraId="50B341EE" w14:textId="427CDA1C" w:rsidR="001E3208"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012205" w:rsidRPr="00A42C32">
        <w:rPr>
          <w:rFonts w:ascii="Times New Roman" w:hAnsi="Times New Roman" w:cs="Times New Roman"/>
          <w:sz w:val="24"/>
          <w:szCs w:val="24"/>
        </w:rPr>
        <w:t>Notice at 2; Motion for Waiver at 5.</w:t>
      </w:r>
    </w:p>
  </w:footnote>
  <w:footnote w:id="3">
    <w:p w14:paraId="0DD5D251" w14:textId="77777777" w:rsidR="00625A2F" w:rsidRPr="00A42C32" w:rsidRDefault="005B60D5" w:rsidP="00625A2F">
      <w:pPr>
        <w:pStyle w:val="FootnoteText"/>
        <w:rPr>
          <w:rFonts w:ascii="Times New Roman" w:hAnsi="Times New Roman" w:cs="Times New Roman"/>
          <w:sz w:val="24"/>
          <w:szCs w:val="24"/>
        </w:rPr>
      </w:pPr>
      <w:r w:rsidRPr="00A42C32">
        <w:rPr>
          <w:rStyle w:val="FootnoteReference"/>
          <w:rFonts w:ascii="Times New Roman" w:hAnsi="Times New Roman" w:cs="Times New Roman"/>
          <w:sz w:val="24"/>
          <w:szCs w:val="24"/>
        </w:rPr>
        <w:footnoteRef/>
      </w:r>
      <w:r w:rsidRPr="00A42C32">
        <w:rPr>
          <w:rFonts w:ascii="Times New Roman" w:hAnsi="Times New Roman" w:cs="Times New Roman"/>
          <w:sz w:val="24"/>
          <w:szCs w:val="24"/>
        </w:rPr>
        <w:t xml:space="preserve"> Motion for Waiver at 5 n.6.</w:t>
      </w:r>
    </w:p>
  </w:footnote>
  <w:footnote w:id="4">
    <w:p w14:paraId="6B7D26F9" w14:textId="71923C5D" w:rsidR="00DE5DDF"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Notice at 2-3.</w:t>
      </w:r>
    </w:p>
  </w:footnote>
  <w:footnote w:id="5">
    <w:p w14:paraId="0E8F62F9" w14:textId="07B73298" w:rsidR="00740B75" w:rsidRPr="00A42C32" w:rsidRDefault="005B60D5">
      <w:pPr>
        <w:pStyle w:val="FootnoteText"/>
        <w:rPr>
          <w:i/>
          <w:iCs/>
          <w:sz w:val="24"/>
          <w:szCs w:val="24"/>
        </w:rPr>
      </w:pPr>
      <w:r w:rsidRPr="00A42C32">
        <w:rPr>
          <w:rStyle w:val="FootnoteReference"/>
          <w:sz w:val="24"/>
          <w:szCs w:val="24"/>
        </w:rPr>
        <w:footnoteRef/>
      </w:r>
      <w:r w:rsidRPr="00A42C32">
        <w:rPr>
          <w:sz w:val="24"/>
          <w:szCs w:val="24"/>
        </w:rPr>
        <w:t xml:space="preserve"> </w:t>
      </w:r>
      <w:r w:rsidR="004E7C56" w:rsidRPr="00A42C32">
        <w:rPr>
          <w:sz w:val="24"/>
          <w:szCs w:val="24"/>
        </w:rPr>
        <w:t>Motion for Waiver.</w:t>
      </w:r>
    </w:p>
  </w:footnote>
  <w:footnote w:id="6">
    <w:p w14:paraId="7A3F96BA" w14:textId="52715F0A" w:rsidR="00C900DB"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EC394A" w:rsidRPr="00A42C32">
        <w:rPr>
          <w:rFonts w:ascii="Times New Roman" w:hAnsi="Times New Roman" w:cs="Times New Roman"/>
          <w:sz w:val="24"/>
          <w:szCs w:val="24"/>
        </w:rPr>
        <w:t xml:space="preserve">Entry at ¶ 9, </w:t>
      </w:r>
      <w:r w:rsidR="00EC394A" w:rsidRPr="00A42C32">
        <w:rPr>
          <w:rFonts w:ascii="Times New Roman" w:hAnsi="Times New Roman" w:cs="Times New Roman"/>
          <w:i/>
          <w:iCs/>
          <w:sz w:val="24"/>
          <w:szCs w:val="24"/>
        </w:rPr>
        <w:t>In the Matter of the Certification of Northeast Ohio Public Energy Council as a Governmental Aggregator</w:t>
      </w:r>
      <w:r w:rsidR="00EC394A" w:rsidRPr="00A42C32">
        <w:rPr>
          <w:rFonts w:ascii="Times New Roman" w:hAnsi="Times New Roman" w:cs="Times New Roman"/>
          <w:sz w:val="24"/>
          <w:szCs w:val="24"/>
        </w:rPr>
        <w:t>, Case No. 00-2317-EL-GAG (Sept. 7, 2022)</w:t>
      </w:r>
      <w:r w:rsidR="00650743" w:rsidRPr="00A42C32">
        <w:rPr>
          <w:rFonts w:ascii="Times New Roman" w:hAnsi="Times New Roman" w:cs="Times New Roman"/>
          <w:sz w:val="24"/>
          <w:szCs w:val="24"/>
        </w:rPr>
        <w:t xml:space="preserve"> (Show Cause </w:t>
      </w:r>
      <w:r w:rsidR="001718D2" w:rsidRPr="00A42C32">
        <w:rPr>
          <w:rFonts w:ascii="Times New Roman" w:hAnsi="Times New Roman" w:cs="Times New Roman"/>
          <w:sz w:val="24"/>
          <w:szCs w:val="24"/>
        </w:rPr>
        <w:t>Order</w:t>
      </w:r>
      <w:r w:rsidR="00650743" w:rsidRPr="00A42C32">
        <w:rPr>
          <w:rFonts w:ascii="Times New Roman" w:hAnsi="Times New Roman" w:cs="Times New Roman"/>
          <w:sz w:val="24"/>
          <w:szCs w:val="24"/>
        </w:rPr>
        <w:t>)</w:t>
      </w:r>
      <w:r w:rsidR="00EC394A" w:rsidRPr="00A42C32">
        <w:rPr>
          <w:rFonts w:ascii="Times New Roman" w:hAnsi="Times New Roman" w:cs="Times New Roman"/>
          <w:sz w:val="24"/>
          <w:szCs w:val="24"/>
        </w:rPr>
        <w:t>.</w:t>
      </w:r>
    </w:p>
  </w:footnote>
  <w:footnote w:id="7">
    <w:p w14:paraId="3318B22F" w14:textId="09B95E7D" w:rsidR="00D9359F"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7820C3" w:rsidRPr="00A42C32">
        <w:rPr>
          <w:i/>
          <w:iCs/>
          <w:sz w:val="24"/>
          <w:szCs w:val="24"/>
        </w:rPr>
        <w:t>In the Matter of the Complaint of The River Gas Company</w:t>
      </w:r>
      <w:r w:rsidR="00243758" w:rsidRPr="00A42C32">
        <w:rPr>
          <w:rFonts w:cstheme="minorHAnsi"/>
          <w:i/>
          <w:iCs/>
          <w:sz w:val="24"/>
          <w:szCs w:val="24"/>
        </w:rPr>
        <w:t xml:space="preserve"> v. </w:t>
      </w:r>
      <w:proofErr w:type="spellStart"/>
      <w:r w:rsidR="00243758" w:rsidRPr="00A42C32">
        <w:rPr>
          <w:rFonts w:cstheme="minorHAnsi"/>
          <w:i/>
          <w:iCs/>
          <w:sz w:val="24"/>
          <w:szCs w:val="24"/>
        </w:rPr>
        <w:t>Halwell</w:t>
      </w:r>
      <w:proofErr w:type="spellEnd"/>
      <w:r w:rsidR="00243758" w:rsidRPr="00A42C32">
        <w:rPr>
          <w:rFonts w:cstheme="minorHAnsi"/>
          <w:i/>
          <w:iCs/>
          <w:sz w:val="24"/>
          <w:szCs w:val="24"/>
        </w:rPr>
        <w:t xml:space="preserve"> Limited Partnership and Geological Consultants, Inc.</w:t>
      </w:r>
      <w:r w:rsidR="007820C3" w:rsidRPr="00A42C32">
        <w:rPr>
          <w:sz w:val="24"/>
          <w:szCs w:val="24"/>
        </w:rPr>
        <w:t>, 1989</w:t>
      </w:r>
      <w:r w:rsidR="00340F8C" w:rsidRPr="00A42C32">
        <w:rPr>
          <w:sz w:val="24"/>
          <w:szCs w:val="24"/>
        </w:rPr>
        <w:t xml:space="preserve"> WL 1733878, at *1 (Sept. 13, 1989).</w:t>
      </w:r>
    </w:p>
  </w:footnote>
  <w:footnote w:id="8">
    <w:p w14:paraId="23FC3D54" w14:textId="0961A0FC" w:rsidR="0083485C" w:rsidRPr="00A42C32" w:rsidRDefault="005B60D5" w:rsidP="0083485C">
      <w:pPr>
        <w:pStyle w:val="FootnoteText"/>
        <w:rPr>
          <w:sz w:val="24"/>
          <w:szCs w:val="24"/>
        </w:rPr>
      </w:pPr>
      <w:r w:rsidRPr="00A42C32">
        <w:rPr>
          <w:rStyle w:val="FootnoteReference"/>
          <w:sz w:val="24"/>
          <w:szCs w:val="24"/>
        </w:rPr>
        <w:footnoteRef/>
      </w:r>
      <w:r w:rsidRPr="00A42C32">
        <w:rPr>
          <w:sz w:val="24"/>
          <w:szCs w:val="24"/>
        </w:rPr>
        <w:t xml:space="preserve"> </w:t>
      </w:r>
      <w:r w:rsidR="00647A27" w:rsidRPr="00A42C32">
        <w:rPr>
          <w:sz w:val="24"/>
          <w:szCs w:val="24"/>
        </w:rPr>
        <w:t xml:space="preserve">Show Cause </w:t>
      </w:r>
      <w:r w:rsidR="001718D2" w:rsidRPr="00A42C32">
        <w:rPr>
          <w:sz w:val="24"/>
          <w:szCs w:val="24"/>
        </w:rPr>
        <w:t>Order</w:t>
      </w:r>
      <w:r w:rsidR="00647A27" w:rsidRPr="00A42C32">
        <w:rPr>
          <w:sz w:val="24"/>
          <w:szCs w:val="24"/>
        </w:rPr>
        <w:t xml:space="preserve"> at </w:t>
      </w:r>
      <w:r w:rsidR="00647A27" w:rsidRPr="00A42C32">
        <w:rPr>
          <w:rFonts w:ascii="Times New Roman" w:hAnsi="Times New Roman" w:cs="Times New Roman"/>
          <w:sz w:val="24"/>
          <w:szCs w:val="24"/>
        </w:rPr>
        <w:t xml:space="preserve">¶ </w:t>
      </w:r>
      <w:r w:rsidR="0041689D" w:rsidRPr="00A42C32">
        <w:rPr>
          <w:rFonts w:ascii="Times New Roman" w:hAnsi="Times New Roman" w:cs="Times New Roman"/>
          <w:sz w:val="24"/>
          <w:szCs w:val="24"/>
        </w:rPr>
        <w:t>10, 11.</w:t>
      </w:r>
    </w:p>
  </w:footnote>
  <w:footnote w:id="9">
    <w:p w14:paraId="7330FCF5" w14:textId="62C6D6EB" w:rsidR="00650743"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5D4188" w:rsidRPr="00A42C32">
        <w:rPr>
          <w:i/>
          <w:iCs/>
          <w:sz w:val="24"/>
          <w:szCs w:val="24"/>
        </w:rPr>
        <w:t>Id.</w:t>
      </w:r>
      <w:r w:rsidR="005D4188" w:rsidRPr="00A42C32">
        <w:rPr>
          <w:sz w:val="24"/>
          <w:szCs w:val="24"/>
        </w:rPr>
        <w:t xml:space="preserve"> at </w:t>
      </w:r>
      <w:r w:rsidR="005D4188" w:rsidRPr="00A42C32">
        <w:rPr>
          <w:rFonts w:ascii="Times New Roman" w:hAnsi="Times New Roman" w:cs="Times New Roman"/>
          <w:sz w:val="24"/>
          <w:szCs w:val="24"/>
        </w:rPr>
        <w:t>¶ 13.</w:t>
      </w:r>
    </w:p>
  </w:footnote>
  <w:footnote w:id="10">
    <w:p w14:paraId="0ED60850" w14:textId="77777777" w:rsidR="00BE1169" w:rsidRPr="00A42C32" w:rsidRDefault="005B60D5" w:rsidP="00BE1169">
      <w:pPr>
        <w:pStyle w:val="FootnoteText"/>
        <w:rPr>
          <w:sz w:val="24"/>
          <w:szCs w:val="24"/>
        </w:rPr>
      </w:pPr>
      <w:r w:rsidRPr="00A42C32">
        <w:rPr>
          <w:rStyle w:val="FootnoteReference"/>
          <w:sz w:val="24"/>
          <w:szCs w:val="24"/>
        </w:rPr>
        <w:footnoteRef/>
      </w:r>
      <w:r w:rsidRPr="00A42C32">
        <w:rPr>
          <w:sz w:val="24"/>
          <w:szCs w:val="24"/>
        </w:rPr>
        <w:t xml:space="preserve"> NOPEC’s First Set of Discovery at 14, 16.</w:t>
      </w:r>
    </w:p>
  </w:footnote>
  <w:footnote w:id="11">
    <w:p w14:paraId="218D2B85" w14:textId="48E6CFED" w:rsidR="00F108E6"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1989 WL 1733878 (Sept. 13, 1989).</w:t>
      </w:r>
    </w:p>
  </w:footnote>
  <w:footnote w:id="12">
    <w:p w14:paraId="0570D2FD" w14:textId="2C0CEB85" w:rsidR="00F108E6"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C86EA1" w:rsidRPr="00A42C32">
        <w:rPr>
          <w:i/>
          <w:iCs/>
          <w:sz w:val="24"/>
          <w:szCs w:val="24"/>
        </w:rPr>
        <w:t>Id.</w:t>
      </w:r>
      <w:r w:rsidR="00C86EA1" w:rsidRPr="00A42C32">
        <w:rPr>
          <w:sz w:val="24"/>
          <w:szCs w:val="24"/>
        </w:rPr>
        <w:t xml:space="preserve"> at *1.</w:t>
      </w:r>
    </w:p>
  </w:footnote>
  <w:footnote w:id="13">
    <w:p w14:paraId="2893A022" w14:textId="553AE008" w:rsidR="00F108E6"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C86EA1" w:rsidRPr="00A42C32">
        <w:rPr>
          <w:i/>
          <w:iCs/>
          <w:sz w:val="24"/>
          <w:szCs w:val="24"/>
        </w:rPr>
        <w:t>Id.</w:t>
      </w:r>
    </w:p>
  </w:footnote>
  <w:footnote w:id="14">
    <w:p w14:paraId="394D6494" w14:textId="33A8C771" w:rsidR="00C371EC"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4B79FE" w:rsidRPr="00A42C32">
        <w:rPr>
          <w:sz w:val="24"/>
          <w:szCs w:val="24"/>
        </w:rPr>
        <w:t>O</w:t>
      </w:r>
      <w:r w:rsidR="00F17F42" w:rsidRPr="00A42C32">
        <w:rPr>
          <w:sz w:val="24"/>
          <w:szCs w:val="24"/>
        </w:rPr>
        <w:t>hio</w:t>
      </w:r>
      <w:r w:rsidR="00F17F42" w:rsidRPr="00A42C32">
        <w:rPr>
          <w:rFonts w:ascii="Times New Roman" w:hAnsi="Times New Roman" w:cs="Times New Roman"/>
          <w:bCs/>
          <w:sz w:val="24"/>
          <w:szCs w:val="24"/>
        </w:rPr>
        <w:t xml:space="preserve"> </w:t>
      </w:r>
      <w:proofErr w:type="spellStart"/>
      <w:r w:rsidR="00F17F42" w:rsidRPr="00A42C32">
        <w:rPr>
          <w:rFonts w:ascii="Times New Roman" w:hAnsi="Times New Roman" w:cs="Times New Roman"/>
          <w:bCs/>
          <w:sz w:val="24"/>
          <w:szCs w:val="24"/>
        </w:rPr>
        <w:t>Adm.Code</w:t>
      </w:r>
      <w:proofErr w:type="spellEnd"/>
      <w:r w:rsidR="00F17F42" w:rsidRPr="00A42C32">
        <w:rPr>
          <w:rFonts w:ascii="Times New Roman" w:hAnsi="Times New Roman" w:cs="Times New Roman"/>
          <w:bCs/>
          <w:sz w:val="24"/>
          <w:szCs w:val="24"/>
        </w:rPr>
        <w:t xml:space="preserve"> 4901-1-23(C).</w:t>
      </w:r>
    </w:p>
  </w:footnote>
  <w:footnote w:id="15">
    <w:p w14:paraId="6CD2F9DF" w14:textId="41B17F14" w:rsidR="00A760A1"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Ohio </w:t>
      </w:r>
      <w:proofErr w:type="spellStart"/>
      <w:r w:rsidRPr="00A42C32">
        <w:rPr>
          <w:sz w:val="24"/>
          <w:szCs w:val="24"/>
        </w:rPr>
        <w:t>Adm.Code</w:t>
      </w:r>
      <w:proofErr w:type="spellEnd"/>
      <w:r w:rsidRPr="00A42C32">
        <w:rPr>
          <w:sz w:val="24"/>
          <w:szCs w:val="24"/>
        </w:rPr>
        <w:t xml:space="preserve"> 4901-1-16</w:t>
      </w:r>
      <w:r w:rsidR="006D07F0" w:rsidRPr="00A42C32">
        <w:rPr>
          <w:sz w:val="24"/>
          <w:szCs w:val="24"/>
        </w:rPr>
        <w:t>(A).</w:t>
      </w:r>
    </w:p>
  </w:footnote>
  <w:footnote w:id="16">
    <w:p w14:paraId="61851457" w14:textId="1CAA82A4" w:rsidR="004B144E"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E2083C" w:rsidRPr="00A42C32">
        <w:rPr>
          <w:i/>
          <w:iCs/>
          <w:sz w:val="24"/>
          <w:szCs w:val="24"/>
        </w:rPr>
        <w:t>See In the Matter of the Rev. of the Political and Charitable</w:t>
      </w:r>
      <w:r w:rsidR="004E277C" w:rsidRPr="00A42C32">
        <w:rPr>
          <w:i/>
          <w:iCs/>
          <w:sz w:val="24"/>
          <w:szCs w:val="24"/>
        </w:rPr>
        <w:t xml:space="preserve"> Spending by Ohio Edison Co.</w:t>
      </w:r>
      <w:r w:rsidR="006942FF" w:rsidRPr="00A42C32">
        <w:rPr>
          <w:i/>
          <w:iCs/>
          <w:sz w:val="24"/>
          <w:szCs w:val="24"/>
        </w:rPr>
        <w:t>, the Cleveland Elec</w:t>
      </w:r>
      <w:r w:rsidR="00A134B7" w:rsidRPr="00A42C32">
        <w:rPr>
          <w:i/>
          <w:iCs/>
          <w:sz w:val="24"/>
          <w:szCs w:val="24"/>
        </w:rPr>
        <w:t>.</w:t>
      </w:r>
      <w:r w:rsidR="006942FF" w:rsidRPr="00A42C32">
        <w:rPr>
          <w:i/>
          <w:iCs/>
          <w:sz w:val="24"/>
          <w:szCs w:val="24"/>
        </w:rPr>
        <w:t xml:space="preserve"> Illuminating Co., and the Toledo Edison Co.</w:t>
      </w:r>
      <w:r w:rsidR="006942FF" w:rsidRPr="00A42C32">
        <w:rPr>
          <w:sz w:val="24"/>
          <w:szCs w:val="24"/>
        </w:rPr>
        <w:t>, 2020 WL 7</w:t>
      </w:r>
      <w:r w:rsidR="00B97D41" w:rsidRPr="00A42C32">
        <w:rPr>
          <w:sz w:val="24"/>
          <w:szCs w:val="24"/>
        </w:rPr>
        <w:t>353459</w:t>
      </w:r>
      <w:r w:rsidR="00EA4A57" w:rsidRPr="00A42C32">
        <w:rPr>
          <w:sz w:val="24"/>
          <w:szCs w:val="24"/>
        </w:rPr>
        <w:t>, at *2</w:t>
      </w:r>
      <w:r w:rsidR="00B97D41" w:rsidRPr="00A42C32">
        <w:rPr>
          <w:sz w:val="24"/>
          <w:szCs w:val="24"/>
        </w:rPr>
        <w:t xml:space="preserve"> (Dec. 10, 2020)</w:t>
      </w:r>
      <w:r w:rsidR="00A1259B" w:rsidRPr="00A42C32">
        <w:rPr>
          <w:sz w:val="24"/>
          <w:szCs w:val="24"/>
        </w:rPr>
        <w:t xml:space="preserve"> (</w:t>
      </w:r>
      <w:r w:rsidR="00141296" w:rsidRPr="00A42C32">
        <w:rPr>
          <w:sz w:val="24"/>
          <w:szCs w:val="24"/>
        </w:rPr>
        <w:t>finding that a single conversation “does not meet the prerequisite good faith effort needed prior to the filing of a motion to compel</w:t>
      </w:r>
      <w:r w:rsidR="00794D29" w:rsidRPr="00A42C32">
        <w:rPr>
          <w:sz w:val="24"/>
          <w:szCs w:val="24"/>
        </w:rPr>
        <w:t xml:space="preserve"> and prematurely requests the Commission’s intervention in [the] discovery dispute.”); </w:t>
      </w:r>
      <w:r w:rsidR="00E711A5" w:rsidRPr="00A42C32">
        <w:rPr>
          <w:i/>
          <w:iCs/>
          <w:sz w:val="24"/>
          <w:szCs w:val="24"/>
        </w:rPr>
        <w:t>Cleveland Metropolitan School District v. The Cleveland Elec</w:t>
      </w:r>
      <w:r w:rsidR="00A134B7" w:rsidRPr="00A42C32">
        <w:rPr>
          <w:i/>
          <w:iCs/>
          <w:sz w:val="24"/>
          <w:szCs w:val="24"/>
        </w:rPr>
        <w:t>.</w:t>
      </w:r>
      <w:r w:rsidR="00E711A5" w:rsidRPr="00A42C32">
        <w:rPr>
          <w:i/>
          <w:iCs/>
          <w:sz w:val="24"/>
          <w:szCs w:val="24"/>
        </w:rPr>
        <w:t xml:space="preserve"> Illuminating Co.</w:t>
      </w:r>
      <w:r w:rsidR="00E711A5" w:rsidRPr="00A42C32">
        <w:rPr>
          <w:sz w:val="24"/>
          <w:szCs w:val="24"/>
        </w:rPr>
        <w:t xml:space="preserve">, </w:t>
      </w:r>
      <w:r w:rsidR="00F46F69" w:rsidRPr="00A42C32">
        <w:rPr>
          <w:sz w:val="24"/>
          <w:szCs w:val="24"/>
        </w:rPr>
        <w:t>2020 WL 5845796</w:t>
      </w:r>
      <w:r w:rsidR="00EA4A57" w:rsidRPr="00A42C32">
        <w:rPr>
          <w:sz w:val="24"/>
          <w:szCs w:val="24"/>
        </w:rPr>
        <w:t>, at *5</w:t>
      </w:r>
      <w:r w:rsidR="00F46F69" w:rsidRPr="00A42C32">
        <w:rPr>
          <w:sz w:val="24"/>
          <w:szCs w:val="24"/>
        </w:rPr>
        <w:t xml:space="preserve"> (Sept. 28, 2020) (finding that the </w:t>
      </w:r>
      <w:r w:rsidR="00D5541E" w:rsidRPr="00A42C32">
        <w:rPr>
          <w:sz w:val="24"/>
          <w:szCs w:val="24"/>
        </w:rPr>
        <w:t xml:space="preserve">motion to compel was “not ripe for a decision” at the time because </w:t>
      </w:r>
      <w:r w:rsidR="005D19F6" w:rsidRPr="00A42C32">
        <w:rPr>
          <w:sz w:val="24"/>
          <w:szCs w:val="24"/>
        </w:rPr>
        <w:t xml:space="preserve">one party was </w:t>
      </w:r>
      <w:r w:rsidR="00E14788" w:rsidRPr="00A42C32">
        <w:rPr>
          <w:sz w:val="24"/>
          <w:szCs w:val="24"/>
        </w:rPr>
        <w:t xml:space="preserve">willing to continue to negotiate, and ordering the parties to </w:t>
      </w:r>
      <w:r w:rsidR="00557D55" w:rsidRPr="00A42C32">
        <w:rPr>
          <w:sz w:val="24"/>
          <w:szCs w:val="24"/>
        </w:rPr>
        <w:t>“expeditiously engage in further negotiations”).</w:t>
      </w:r>
    </w:p>
  </w:footnote>
  <w:footnote w:id="17">
    <w:p w14:paraId="02DC4850" w14:textId="27C0CD27" w:rsidR="00D94524"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0D5644" w:rsidRPr="00A42C32">
        <w:rPr>
          <w:sz w:val="24"/>
          <w:szCs w:val="24"/>
        </w:rPr>
        <w:t>Ohio</w:t>
      </w:r>
      <w:r w:rsidR="000D5644" w:rsidRPr="00A42C32">
        <w:rPr>
          <w:rFonts w:ascii="Times New Roman" w:hAnsi="Times New Roman" w:cs="Times New Roman"/>
          <w:bCs/>
          <w:sz w:val="24"/>
          <w:szCs w:val="24"/>
        </w:rPr>
        <w:t xml:space="preserve"> </w:t>
      </w:r>
      <w:proofErr w:type="spellStart"/>
      <w:r w:rsidR="000D5644" w:rsidRPr="00A42C32">
        <w:rPr>
          <w:rFonts w:ascii="Times New Roman" w:hAnsi="Times New Roman" w:cs="Times New Roman"/>
          <w:bCs/>
          <w:sz w:val="24"/>
          <w:szCs w:val="24"/>
        </w:rPr>
        <w:t>Adm.Code</w:t>
      </w:r>
      <w:proofErr w:type="spellEnd"/>
      <w:r w:rsidR="000D5644" w:rsidRPr="00A42C32">
        <w:rPr>
          <w:rFonts w:ascii="Times New Roman" w:hAnsi="Times New Roman" w:cs="Times New Roman"/>
          <w:bCs/>
          <w:sz w:val="24"/>
          <w:szCs w:val="24"/>
        </w:rPr>
        <w:t xml:space="preserve"> 4901-1-23(C)(3).</w:t>
      </w:r>
    </w:p>
  </w:footnote>
  <w:footnote w:id="18">
    <w:p w14:paraId="29D2676B" w14:textId="0BD04584" w:rsidR="00A12252" w:rsidRPr="00A42C32" w:rsidRDefault="005B60D5">
      <w:pPr>
        <w:pStyle w:val="FootnoteText"/>
        <w:rPr>
          <w:i/>
          <w:iCs/>
          <w:sz w:val="24"/>
          <w:szCs w:val="24"/>
        </w:rPr>
      </w:pPr>
      <w:r w:rsidRPr="00A42C32">
        <w:rPr>
          <w:rStyle w:val="FootnoteReference"/>
          <w:sz w:val="24"/>
          <w:szCs w:val="24"/>
        </w:rPr>
        <w:footnoteRef/>
      </w:r>
      <w:r w:rsidRPr="00A42C32">
        <w:rPr>
          <w:sz w:val="24"/>
          <w:szCs w:val="24"/>
        </w:rPr>
        <w:t xml:space="preserve"> </w:t>
      </w:r>
      <w:r w:rsidRPr="00A42C32">
        <w:rPr>
          <w:i/>
          <w:iCs/>
          <w:sz w:val="24"/>
          <w:szCs w:val="24"/>
        </w:rPr>
        <w:t>Id.</w:t>
      </w:r>
      <w:r w:rsidR="0048286E" w:rsidRPr="00A42C32">
        <w:rPr>
          <w:rFonts w:ascii="Times New Roman" w:hAnsi="Times New Roman" w:cs="Times New Roman"/>
          <w:bCs/>
          <w:sz w:val="24"/>
          <w:szCs w:val="24"/>
        </w:rPr>
        <w:t xml:space="preserve"> </w:t>
      </w:r>
      <w:r w:rsidR="00C83505" w:rsidRPr="00A42C32">
        <w:rPr>
          <w:rFonts w:ascii="Times New Roman" w:hAnsi="Times New Roman" w:cs="Times New Roman"/>
          <w:bCs/>
          <w:sz w:val="24"/>
          <w:szCs w:val="24"/>
        </w:rPr>
        <w:t xml:space="preserve">at </w:t>
      </w:r>
      <w:r w:rsidR="0048286E" w:rsidRPr="00A42C32">
        <w:rPr>
          <w:rFonts w:ascii="Times New Roman" w:hAnsi="Times New Roman" w:cs="Times New Roman"/>
          <w:bCs/>
          <w:sz w:val="24"/>
          <w:szCs w:val="24"/>
        </w:rPr>
        <w:t>4901-1-23(C)(1)</w:t>
      </w:r>
      <w:r w:rsidR="000C5AAC" w:rsidRPr="00A42C32">
        <w:rPr>
          <w:rFonts w:ascii="Times New Roman" w:hAnsi="Times New Roman" w:cs="Times New Roman"/>
          <w:bCs/>
          <w:sz w:val="24"/>
          <w:szCs w:val="24"/>
        </w:rPr>
        <w:t>(b)-</w:t>
      </w:r>
      <w:r w:rsidR="0048286E" w:rsidRPr="00A42C32">
        <w:rPr>
          <w:rFonts w:ascii="Times New Roman" w:hAnsi="Times New Roman" w:cs="Times New Roman"/>
          <w:bCs/>
          <w:sz w:val="24"/>
          <w:szCs w:val="24"/>
        </w:rPr>
        <w:t>(c).</w:t>
      </w:r>
    </w:p>
  </w:footnote>
  <w:footnote w:id="19">
    <w:p w14:paraId="63629AFF" w14:textId="21093B65" w:rsidR="000E1BEE"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Motion, Attach. B at </w:t>
      </w:r>
      <w:r w:rsidR="00A64D53" w:rsidRPr="00A42C32">
        <w:rPr>
          <w:sz w:val="24"/>
          <w:szCs w:val="24"/>
        </w:rPr>
        <w:t>6</w:t>
      </w:r>
      <w:r w:rsidR="00CB3E7D" w:rsidRPr="00A42C32">
        <w:rPr>
          <w:sz w:val="24"/>
          <w:szCs w:val="24"/>
        </w:rPr>
        <w:t xml:space="preserve"> (emphasis in original)</w:t>
      </w:r>
      <w:r w:rsidR="00A64D53" w:rsidRPr="00A42C32">
        <w:rPr>
          <w:sz w:val="24"/>
          <w:szCs w:val="24"/>
        </w:rPr>
        <w:t>.</w:t>
      </w:r>
    </w:p>
  </w:footnote>
  <w:footnote w:id="20">
    <w:p w14:paraId="39F6B450" w14:textId="25D50539" w:rsidR="00A40058"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Pr="00A42C32">
        <w:rPr>
          <w:i/>
          <w:iCs/>
          <w:sz w:val="24"/>
          <w:szCs w:val="24"/>
        </w:rPr>
        <w:t>Id.</w:t>
      </w:r>
      <w:r w:rsidRPr="00A42C32">
        <w:rPr>
          <w:sz w:val="24"/>
          <w:szCs w:val="24"/>
        </w:rPr>
        <w:t xml:space="preserve"> at </w:t>
      </w:r>
      <w:r w:rsidR="005D2C8F" w:rsidRPr="00A42C32">
        <w:rPr>
          <w:sz w:val="24"/>
          <w:szCs w:val="24"/>
        </w:rPr>
        <w:t>4-6.</w:t>
      </w:r>
    </w:p>
  </w:footnote>
  <w:footnote w:id="21">
    <w:p w14:paraId="375FBA22" w14:textId="325BAC4A" w:rsidR="004D42ED"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Pr="00A42C32">
        <w:rPr>
          <w:i/>
          <w:iCs/>
          <w:sz w:val="24"/>
          <w:szCs w:val="24"/>
        </w:rPr>
        <w:t>Id.</w:t>
      </w:r>
      <w:r w:rsidRPr="00A42C32">
        <w:rPr>
          <w:sz w:val="24"/>
          <w:szCs w:val="24"/>
        </w:rPr>
        <w:t xml:space="preserve"> at 1-6.</w:t>
      </w:r>
    </w:p>
  </w:footnote>
  <w:footnote w:id="22">
    <w:p w14:paraId="3DC06FBE" w14:textId="6813D7BD" w:rsidR="00D335B0"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296B07" w:rsidRPr="00A42C32">
        <w:rPr>
          <w:sz w:val="24"/>
          <w:szCs w:val="24"/>
        </w:rPr>
        <w:t>Entry</w:t>
      </w:r>
      <w:r w:rsidR="000C5AAC" w:rsidRPr="00A42C32">
        <w:rPr>
          <w:sz w:val="24"/>
          <w:szCs w:val="24"/>
        </w:rPr>
        <w:t xml:space="preserve"> </w:t>
      </w:r>
      <w:r w:rsidR="000C5AAC" w:rsidRPr="00A42C32">
        <w:rPr>
          <w:rFonts w:ascii="Times New Roman" w:hAnsi="Times New Roman" w:cs="Times New Roman"/>
          <w:sz w:val="24"/>
          <w:szCs w:val="24"/>
        </w:rPr>
        <w:t>at ¶ 9</w:t>
      </w:r>
      <w:r w:rsidR="00296B07" w:rsidRPr="00A42C32">
        <w:rPr>
          <w:sz w:val="24"/>
          <w:szCs w:val="24"/>
        </w:rPr>
        <w:t xml:space="preserve">, </w:t>
      </w:r>
      <w:r w:rsidRPr="00A42C32">
        <w:rPr>
          <w:i/>
          <w:iCs/>
          <w:sz w:val="24"/>
          <w:szCs w:val="24"/>
        </w:rPr>
        <w:t xml:space="preserve">In the Matter of the </w:t>
      </w:r>
      <w:proofErr w:type="spellStart"/>
      <w:r w:rsidRPr="00A42C32">
        <w:rPr>
          <w:i/>
          <w:iCs/>
          <w:sz w:val="24"/>
          <w:szCs w:val="24"/>
        </w:rPr>
        <w:t>Compl</w:t>
      </w:r>
      <w:proofErr w:type="spellEnd"/>
      <w:r w:rsidRPr="00A42C32">
        <w:rPr>
          <w:i/>
          <w:iCs/>
          <w:sz w:val="24"/>
          <w:szCs w:val="24"/>
        </w:rPr>
        <w:t>. of Matt and Allison Kubit</w:t>
      </w:r>
      <w:r w:rsidR="00917100" w:rsidRPr="00A42C32">
        <w:rPr>
          <w:i/>
          <w:iCs/>
          <w:sz w:val="24"/>
          <w:szCs w:val="24"/>
        </w:rPr>
        <w:t>za</w:t>
      </w:r>
      <w:r w:rsidR="00917100" w:rsidRPr="00A42C32">
        <w:rPr>
          <w:sz w:val="24"/>
          <w:szCs w:val="24"/>
        </w:rPr>
        <w:t>, Case No. 17-1435-EL-CSS</w:t>
      </w:r>
      <w:r w:rsidR="00296B07" w:rsidRPr="00A42C32">
        <w:rPr>
          <w:sz w:val="24"/>
          <w:szCs w:val="24"/>
        </w:rPr>
        <w:t xml:space="preserve"> (Nov. 19, 2018).</w:t>
      </w:r>
    </w:p>
  </w:footnote>
  <w:footnote w:id="23">
    <w:p w14:paraId="2A9D90D1" w14:textId="4F471D00" w:rsidR="000F571D" w:rsidRPr="00A42C32" w:rsidRDefault="005B60D5" w:rsidP="000F571D">
      <w:pPr>
        <w:pStyle w:val="FootnoteText"/>
        <w:rPr>
          <w:sz w:val="24"/>
          <w:szCs w:val="24"/>
        </w:rPr>
      </w:pPr>
      <w:r w:rsidRPr="00A42C32">
        <w:rPr>
          <w:rStyle w:val="FootnoteReference"/>
          <w:sz w:val="24"/>
          <w:szCs w:val="24"/>
        </w:rPr>
        <w:footnoteRef/>
      </w:r>
      <w:r w:rsidRPr="00A42C32">
        <w:rPr>
          <w:sz w:val="24"/>
          <w:szCs w:val="24"/>
        </w:rPr>
        <w:t xml:space="preserve"> NOPEC’s First Set of Discovery at </w:t>
      </w:r>
      <w:r w:rsidR="003D2DD8" w:rsidRPr="00A42C32">
        <w:rPr>
          <w:sz w:val="24"/>
          <w:szCs w:val="24"/>
        </w:rPr>
        <w:t>6-</w:t>
      </w:r>
      <w:r w:rsidRPr="00A42C32">
        <w:rPr>
          <w:sz w:val="24"/>
          <w:szCs w:val="24"/>
        </w:rPr>
        <w:t>14, 16.</w:t>
      </w:r>
    </w:p>
  </w:footnote>
  <w:footnote w:id="24">
    <w:p w14:paraId="011E1D23" w14:textId="7A6583F5" w:rsidR="00E422DD"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924433" w:rsidRPr="00A42C32">
        <w:rPr>
          <w:i/>
          <w:iCs/>
          <w:sz w:val="24"/>
          <w:szCs w:val="24"/>
        </w:rPr>
        <w:t>In the Matter of the Complaint of Ruth L. Wellman v. Ameritech Ohio</w:t>
      </w:r>
      <w:r w:rsidR="00924433" w:rsidRPr="00A42C32">
        <w:rPr>
          <w:sz w:val="24"/>
          <w:szCs w:val="24"/>
        </w:rPr>
        <w:t>, 2002 Ohio PUC LEXIS</w:t>
      </w:r>
      <w:r w:rsidR="0078720F" w:rsidRPr="00A42C32">
        <w:rPr>
          <w:sz w:val="24"/>
          <w:szCs w:val="24"/>
        </w:rPr>
        <w:t xml:space="preserve"> 554, at *2-1</w:t>
      </w:r>
      <w:r w:rsidR="00D93D77" w:rsidRPr="00A42C32">
        <w:rPr>
          <w:sz w:val="24"/>
          <w:szCs w:val="24"/>
        </w:rPr>
        <w:t>5</w:t>
      </w:r>
      <w:r w:rsidR="0078720F" w:rsidRPr="00A42C32">
        <w:rPr>
          <w:sz w:val="24"/>
          <w:szCs w:val="24"/>
        </w:rPr>
        <w:t xml:space="preserve"> (June 21, 2002)</w:t>
      </w:r>
      <w:r w:rsidR="00C417C3" w:rsidRPr="00A42C32">
        <w:rPr>
          <w:sz w:val="24"/>
          <w:szCs w:val="24"/>
        </w:rPr>
        <w:t xml:space="preserve">; </w:t>
      </w:r>
      <w:r w:rsidR="00C417C3" w:rsidRPr="00A42C32">
        <w:rPr>
          <w:i/>
          <w:iCs/>
          <w:sz w:val="24"/>
          <w:szCs w:val="24"/>
        </w:rPr>
        <w:t xml:space="preserve">In the Matter of the </w:t>
      </w:r>
      <w:proofErr w:type="spellStart"/>
      <w:r w:rsidR="00C417C3" w:rsidRPr="00A42C32">
        <w:rPr>
          <w:i/>
          <w:iCs/>
          <w:sz w:val="24"/>
          <w:szCs w:val="24"/>
        </w:rPr>
        <w:t>Compl</w:t>
      </w:r>
      <w:proofErr w:type="spellEnd"/>
      <w:r w:rsidR="00C417C3" w:rsidRPr="00A42C32">
        <w:rPr>
          <w:i/>
          <w:iCs/>
          <w:sz w:val="24"/>
          <w:szCs w:val="24"/>
        </w:rPr>
        <w:t xml:space="preserve">. Of </w:t>
      </w:r>
      <w:proofErr w:type="spellStart"/>
      <w:r w:rsidR="00C417C3" w:rsidRPr="00A42C32">
        <w:rPr>
          <w:i/>
          <w:iCs/>
          <w:sz w:val="24"/>
          <w:szCs w:val="24"/>
        </w:rPr>
        <w:t>Allnet</w:t>
      </w:r>
      <w:proofErr w:type="spellEnd"/>
      <w:r w:rsidR="00C417C3" w:rsidRPr="00A42C32">
        <w:rPr>
          <w:i/>
          <w:iCs/>
          <w:sz w:val="24"/>
          <w:szCs w:val="24"/>
        </w:rPr>
        <w:t xml:space="preserve"> Comm. Services, Inc.</w:t>
      </w:r>
      <w:r w:rsidR="00C417C3" w:rsidRPr="00A42C32">
        <w:rPr>
          <w:sz w:val="24"/>
          <w:szCs w:val="24"/>
        </w:rPr>
        <w:t>, 1989 WL 173</w:t>
      </w:r>
      <w:r w:rsidR="00B31960" w:rsidRPr="00A42C32">
        <w:rPr>
          <w:sz w:val="24"/>
          <w:szCs w:val="24"/>
        </w:rPr>
        <w:t>5299, at *2 (</w:t>
      </w:r>
      <w:r w:rsidR="00AB28A2" w:rsidRPr="00A42C32">
        <w:rPr>
          <w:sz w:val="24"/>
          <w:szCs w:val="24"/>
        </w:rPr>
        <w:t xml:space="preserve">Nov. 16, </w:t>
      </w:r>
      <w:r w:rsidR="00B31960" w:rsidRPr="00A42C32">
        <w:rPr>
          <w:sz w:val="24"/>
          <w:szCs w:val="24"/>
        </w:rPr>
        <w:t>1989).</w:t>
      </w:r>
    </w:p>
  </w:footnote>
  <w:footnote w:id="25">
    <w:p w14:paraId="7FDC8D57" w14:textId="23883DFF" w:rsidR="001D226B"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050F5D" w:rsidRPr="00A42C32">
        <w:rPr>
          <w:sz w:val="24"/>
          <w:szCs w:val="24"/>
        </w:rPr>
        <w:t xml:space="preserve">Entry at </w:t>
      </w:r>
      <w:r w:rsidR="00050F5D" w:rsidRPr="00A42C32">
        <w:rPr>
          <w:rFonts w:ascii="Times New Roman" w:hAnsi="Times New Roman" w:cs="Times New Roman"/>
          <w:sz w:val="24"/>
          <w:szCs w:val="24"/>
        </w:rPr>
        <w:t xml:space="preserve">¶ </w:t>
      </w:r>
      <w:r w:rsidR="003749AA" w:rsidRPr="00A42C32">
        <w:rPr>
          <w:rFonts w:ascii="Times New Roman" w:hAnsi="Times New Roman" w:cs="Times New Roman"/>
          <w:sz w:val="24"/>
          <w:szCs w:val="24"/>
        </w:rPr>
        <w:t>33-35,</w:t>
      </w:r>
      <w:r w:rsidR="00050F5D" w:rsidRPr="00A42C32">
        <w:rPr>
          <w:sz w:val="24"/>
          <w:szCs w:val="24"/>
        </w:rPr>
        <w:t xml:space="preserve"> </w:t>
      </w:r>
      <w:r w:rsidRPr="00A42C32">
        <w:rPr>
          <w:i/>
          <w:iCs/>
          <w:sz w:val="24"/>
          <w:szCs w:val="24"/>
        </w:rPr>
        <w:t>In re Matter of the Continuation of the Rate Freeze and Extension of the Market Development Period for the Dayton Power and Light Co., et al.</w:t>
      </w:r>
      <w:r w:rsidRPr="00A42C32">
        <w:rPr>
          <w:sz w:val="24"/>
          <w:szCs w:val="24"/>
        </w:rPr>
        <w:t>, 2003 Ohio PUC LEXIS 392</w:t>
      </w:r>
      <w:r w:rsidR="00050F5D" w:rsidRPr="00A42C32">
        <w:rPr>
          <w:sz w:val="24"/>
          <w:szCs w:val="24"/>
        </w:rPr>
        <w:t xml:space="preserve"> (</w:t>
      </w:r>
      <w:r w:rsidR="003749AA" w:rsidRPr="00A42C32">
        <w:rPr>
          <w:sz w:val="24"/>
          <w:szCs w:val="24"/>
        </w:rPr>
        <w:t>Sept. 2, 2003).</w:t>
      </w:r>
    </w:p>
  </w:footnote>
  <w:footnote w:id="26">
    <w:p w14:paraId="70D4D8A1" w14:textId="08A8AA3E" w:rsidR="009156CC"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Pr="00A42C32">
        <w:rPr>
          <w:i/>
          <w:iCs/>
          <w:sz w:val="24"/>
          <w:szCs w:val="24"/>
        </w:rPr>
        <w:t>In the Matter of the Application of the Cleveland Elec</w:t>
      </w:r>
      <w:r w:rsidR="00A134B7" w:rsidRPr="00A42C32">
        <w:rPr>
          <w:i/>
          <w:iCs/>
          <w:sz w:val="24"/>
          <w:szCs w:val="24"/>
        </w:rPr>
        <w:t>.</w:t>
      </w:r>
      <w:r w:rsidRPr="00A42C32">
        <w:rPr>
          <w:i/>
          <w:iCs/>
          <w:sz w:val="24"/>
          <w:szCs w:val="24"/>
        </w:rPr>
        <w:t xml:space="preserve"> Illuminating Co. for Auth. To Amend and to Increase Certain of its Filed Schedules Fixing Rates and Charges for Elec</w:t>
      </w:r>
      <w:r w:rsidR="00A134B7" w:rsidRPr="00A42C32">
        <w:rPr>
          <w:i/>
          <w:iCs/>
          <w:sz w:val="24"/>
          <w:szCs w:val="24"/>
        </w:rPr>
        <w:t>.</w:t>
      </w:r>
      <w:r w:rsidR="00951CBB" w:rsidRPr="00A42C32">
        <w:rPr>
          <w:i/>
          <w:iCs/>
          <w:sz w:val="24"/>
          <w:szCs w:val="24"/>
        </w:rPr>
        <w:t xml:space="preserve"> Serv.</w:t>
      </w:r>
      <w:r w:rsidR="00951CBB" w:rsidRPr="00A42C32">
        <w:rPr>
          <w:sz w:val="24"/>
          <w:szCs w:val="24"/>
        </w:rPr>
        <w:t xml:space="preserve">, 1981 WL 703866, at </w:t>
      </w:r>
      <w:r w:rsidR="00455774" w:rsidRPr="00A42C32">
        <w:rPr>
          <w:sz w:val="24"/>
          <w:szCs w:val="24"/>
        </w:rPr>
        <w:t>*</w:t>
      </w:r>
      <w:r w:rsidR="00951CBB" w:rsidRPr="00A42C32">
        <w:rPr>
          <w:sz w:val="24"/>
          <w:szCs w:val="24"/>
        </w:rPr>
        <w:t>1 (Jan. 14, 1981).</w:t>
      </w:r>
    </w:p>
  </w:footnote>
  <w:footnote w:id="27">
    <w:p w14:paraId="0F3767BB" w14:textId="57A4F81D" w:rsidR="005554DE"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Show Cause Order at </w:t>
      </w:r>
      <w:r w:rsidRPr="00A42C32">
        <w:rPr>
          <w:rFonts w:ascii="Times New Roman" w:hAnsi="Times New Roman" w:cs="Times New Roman"/>
          <w:sz w:val="24"/>
          <w:szCs w:val="24"/>
        </w:rPr>
        <w:t>¶ 10.</w:t>
      </w:r>
    </w:p>
  </w:footnote>
  <w:footnote w:id="28">
    <w:p w14:paraId="699B885A" w14:textId="427CA19F" w:rsidR="008362E5" w:rsidRPr="00A42C32" w:rsidRDefault="005B60D5">
      <w:pPr>
        <w:pStyle w:val="FootnoteText"/>
        <w:rPr>
          <w:sz w:val="24"/>
          <w:szCs w:val="24"/>
        </w:rPr>
      </w:pPr>
      <w:r w:rsidRPr="00A42C32">
        <w:rPr>
          <w:rStyle w:val="FootnoteReference"/>
          <w:sz w:val="24"/>
          <w:szCs w:val="24"/>
        </w:rPr>
        <w:footnoteRef/>
      </w:r>
      <w:r w:rsidRPr="00A42C32">
        <w:rPr>
          <w:sz w:val="24"/>
          <w:szCs w:val="24"/>
        </w:rPr>
        <w:t xml:space="preserve"> </w:t>
      </w:r>
      <w:r w:rsidR="00296BC5" w:rsidRPr="00A42C32">
        <w:rPr>
          <w:sz w:val="24"/>
          <w:szCs w:val="24"/>
        </w:rPr>
        <w:t>NOPEC’s First Set of Discovery</w:t>
      </w:r>
      <w:r w:rsidR="00E14074" w:rsidRPr="00A42C32">
        <w:rPr>
          <w:sz w:val="24"/>
          <w:szCs w:val="24"/>
        </w:rPr>
        <w:t xml:space="preserve"> at 14, 16, 18</w:t>
      </w:r>
      <w:r w:rsidR="00F608E3" w:rsidRPr="00A42C32">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6367" w14:textId="77777777" w:rsidR="002C2BD7" w:rsidRDefault="002C2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404F" w14:textId="77777777" w:rsidR="002C2BD7" w:rsidRDefault="002C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9AB" w14:textId="77777777" w:rsidR="002C2BD7" w:rsidRDefault="002C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D4D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C4B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2A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D200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968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160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62B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0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69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689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51B16"/>
    <w:multiLevelType w:val="multilevel"/>
    <w:tmpl w:val="3D1CB24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A71579"/>
    <w:multiLevelType w:val="multilevel"/>
    <w:tmpl w:val="386CFB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57053A"/>
    <w:multiLevelType w:val="hybridMultilevel"/>
    <w:tmpl w:val="7F76727C"/>
    <w:lvl w:ilvl="0" w:tplc="F092A810">
      <w:start w:val="1"/>
      <w:numFmt w:val="lowerLetter"/>
      <w:lvlText w:val="%1)"/>
      <w:lvlJc w:val="left"/>
      <w:pPr>
        <w:ind w:left="720" w:hanging="360"/>
      </w:pPr>
    </w:lvl>
    <w:lvl w:ilvl="1" w:tplc="0A2CA8DE" w:tentative="1">
      <w:start w:val="1"/>
      <w:numFmt w:val="lowerLetter"/>
      <w:lvlText w:val="%2."/>
      <w:lvlJc w:val="left"/>
      <w:pPr>
        <w:ind w:left="1440" w:hanging="360"/>
      </w:pPr>
    </w:lvl>
    <w:lvl w:ilvl="2" w:tplc="BECC3602" w:tentative="1">
      <w:start w:val="1"/>
      <w:numFmt w:val="lowerRoman"/>
      <w:lvlText w:val="%3."/>
      <w:lvlJc w:val="right"/>
      <w:pPr>
        <w:ind w:left="2160" w:hanging="180"/>
      </w:pPr>
    </w:lvl>
    <w:lvl w:ilvl="3" w:tplc="6FAECD6C" w:tentative="1">
      <w:start w:val="1"/>
      <w:numFmt w:val="decimal"/>
      <w:lvlText w:val="%4."/>
      <w:lvlJc w:val="left"/>
      <w:pPr>
        <w:ind w:left="2880" w:hanging="360"/>
      </w:pPr>
    </w:lvl>
    <w:lvl w:ilvl="4" w:tplc="54465C38" w:tentative="1">
      <w:start w:val="1"/>
      <w:numFmt w:val="lowerLetter"/>
      <w:lvlText w:val="%5."/>
      <w:lvlJc w:val="left"/>
      <w:pPr>
        <w:ind w:left="3600" w:hanging="360"/>
      </w:pPr>
    </w:lvl>
    <w:lvl w:ilvl="5" w:tplc="2612DD2E" w:tentative="1">
      <w:start w:val="1"/>
      <w:numFmt w:val="lowerRoman"/>
      <w:lvlText w:val="%6."/>
      <w:lvlJc w:val="right"/>
      <w:pPr>
        <w:ind w:left="4320" w:hanging="180"/>
      </w:pPr>
    </w:lvl>
    <w:lvl w:ilvl="6" w:tplc="AA24C280" w:tentative="1">
      <w:start w:val="1"/>
      <w:numFmt w:val="decimal"/>
      <w:lvlText w:val="%7."/>
      <w:lvlJc w:val="left"/>
      <w:pPr>
        <w:ind w:left="5040" w:hanging="360"/>
      </w:pPr>
    </w:lvl>
    <w:lvl w:ilvl="7" w:tplc="5F06C8C0" w:tentative="1">
      <w:start w:val="1"/>
      <w:numFmt w:val="lowerLetter"/>
      <w:lvlText w:val="%8."/>
      <w:lvlJc w:val="left"/>
      <w:pPr>
        <w:ind w:left="5760" w:hanging="360"/>
      </w:pPr>
    </w:lvl>
    <w:lvl w:ilvl="8" w:tplc="21F86BF8" w:tentative="1">
      <w:start w:val="1"/>
      <w:numFmt w:val="lowerRoman"/>
      <w:lvlText w:val="%9."/>
      <w:lvlJc w:val="right"/>
      <w:pPr>
        <w:ind w:left="6480" w:hanging="180"/>
      </w:pPr>
    </w:lvl>
  </w:abstractNum>
  <w:abstractNum w:abstractNumId="13" w15:restartNumberingAfterBreak="0">
    <w:nsid w:val="301C6B37"/>
    <w:multiLevelType w:val="hybridMultilevel"/>
    <w:tmpl w:val="44FCF5AE"/>
    <w:lvl w:ilvl="0" w:tplc="101C40E4">
      <w:start w:val="2"/>
      <w:numFmt w:val="bullet"/>
      <w:lvlText w:val="-"/>
      <w:lvlJc w:val="left"/>
      <w:pPr>
        <w:ind w:left="720" w:hanging="360"/>
      </w:pPr>
      <w:rPr>
        <w:rFonts w:ascii="Times New Roman" w:eastAsiaTheme="minorHAnsi" w:hAnsi="Times New Roman" w:cs="Times New Roman" w:hint="default"/>
      </w:rPr>
    </w:lvl>
    <w:lvl w:ilvl="1" w:tplc="B832F144" w:tentative="1">
      <w:start w:val="1"/>
      <w:numFmt w:val="bullet"/>
      <w:lvlText w:val="o"/>
      <w:lvlJc w:val="left"/>
      <w:pPr>
        <w:ind w:left="1440" w:hanging="360"/>
      </w:pPr>
      <w:rPr>
        <w:rFonts w:ascii="Courier New" w:hAnsi="Courier New" w:cs="Courier New" w:hint="default"/>
      </w:rPr>
    </w:lvl>
    <w:lvl w:ilvl="2" w:tplc="3CD07E72" w:tentative="1">
      <w:start w:val="1"/>
      <w:numFmt w:val="bullet"/>
      <w:lvlText w:val=""/>
      <w:lvlJc w:val="left"/>
      <w:pPr>
        <w:ind w:left="2160" w:hanging="360"/>
      </w:pPr>
      <w:rPr>
        <w:rFonts w:ascii="Wingdings" w:hAnsi="Wingdings" w:hint="default"/>
      </w:rPr>
    </w:lvl>
    <w:lvl w:ilvl="3" w:tplc="4A9E1508" w:tentative="1">
      <w:start w:val="1"/>
      <w:numFmt w:val="bullet"/>
      <w:lvlText w:val=""/>
      <w:lvlJc w:val="left"/>
      <w:pPr>
        <w:ind w:left="2880" w:hanging="360"/>
      </w:pPr>
      <w:rPr>
        <w:rFonts w:ascii="Symbol" w:hAnsi="Symbol" w:hint="default"/>
      </w:rPr>
    </w:lvl>
    <w:lvl w:ilvl="4" w:tplc="3BCA3FB0" w:tentative="1">
      <w:start w:val="1"/>
      <w:numFmt w:val="bullet"/>
      <w:lvlText w:val="o"/>
      <w:lvlJc w:val="left"/>
      <w:pPr>
        <w:ind w:left="3600" w:hanging="360"/>
      </w:pPr>
      <w:rPr>
        <w:rFonts w:ascii="Courier New" w:hAnsi="Courier New" w:cs="Courier New" w:hint="default"/>
      </w:rPr>
    </w:lvl>
    <w:lvl w:ilvl="5" w:tplc="A19EACD6" w:tentative="1">
      <w:start w:val="1"/>
      <w:numFmt w:val="bullet"/>
      <w:lvlText w:val=""/>
      <w:lvlJc w:val="left"/>
      <w:pPr>
        <w:ind w:left="4320" w:hanging="360"/>
      </w:pPr>
      <w:rPr>
        <w:rFonts w:ascii="Wingdings" w:hAnsi="Wingdings" w:hint="default"/>
      </w:rPr>
    </w:lvl>
    <w:lvl w:ilvl="6" w:tplc="F99C7B3E" w:tentative="1">
      <w:start w:val="1"/>
      <w:numFmt w:val="bullet"/>
      <w:lvlText w:val=""/>
      <w:lvlJc w:val="left"/>
      <w:pPr>
        <w:ind w:left="5040" w:hanging="360"/>
      </w:pPr>
      <w:rPr>
        <w:rFonts w:ascii="Symbol" w:hAnsi="Symbol" w:hint="default"/>
      </w:rPr>
    </w:lvl>
    <w:lvl w:ilvl="7" w:tplc="8A30B5A0" w:tentative="1">
      <w:start w:val="1"/>
      <w:numFmt w:val="bullet"/>
      <w:lvlText w:val="o"/>
      <w:lvlJc w:val="left"/>
      <w:pPr>
        <w:ind w:left="5760" w:hanging="360"/>
      </w:pPr>
      <w:rPr>
        <w:rFonts w:ascii="Courier New" w:hAnsi="Courier New" w:cs="Courier New" w:hint="default"/>
      </w:rPr>
    </w:lvl>
    <w:lvl w:ilvl="8" w:tplc="34FE7118" w:tentative="1">
      <w:start w:val="1"/>
      <w:numFmt w:val="bullet"/>
      <w:lvlText w:val=""/>
      <w:lvlJc w:val="left"/>
      <w:pPr>
        <w:ind w:left="6480" w:hanging="360"/>
      </w:pPr>
      <w:rPr>
        <w:rFonts w:ascii="Wingdings" w:hAnsi="Wingdings" w:hint="default"/>
      </w:rPr>
    </w:lvl>
  </w:abstractNum>
  <w:abstractNum w:abstractNumId="14" w15:restartNumberingAfterBreak="0">
    <w:nsid w:val="33145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C62EB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AB61F1C"/>
    <w:multiLevelType w:val="hybridMultilevel"/>
    <w:tmpl w:val="92A06D06"/>
    <w:lvl w:ilvl="0" w:tplc="F44CBF10">
      <w:start w:val="2"/>
      <w:numFmt w:val="bullet"/>
      <w:lvlText w:val="-"/>
      <w:lvlJc w:val="left"/>
      <w:pPr>
        <w:ind w:left="1080" w:hanging="360"/>
      </w:pPr>
      <w:rPr>
        <w:rFonts w:ascii="Times New Roman" w:eastAsiaTheme="minorHAnsi" w:hAnsi="Times New Roman" w:cs="Times New Roman" w:hint="default"/>
      </w:rPr>
    </w:lvl>
    <w:lvl w:ilvl="1" w:tplc="39BE7FBE" w:tentative="1">
      <w:start w:val="1"/>
      <w:numFmt w:val="bullet"/>
      <w:lvlText w:val="o"/>
      <w:lvlJc w:val="left"/>
      <w:pPr>
        <w:ind w:left="1800" w:hanging="360"/>
      </w:pPr>
      <w:rPr>
        <w:rFonts w:ascii="Courier New" w:hAnsi="Courier New" w:cs="Courier New" w:hint="default"/>
      </w:rPr>
    </w:lvl>
    <w:lvl w:ilvl="2" w:tplc="0B6C6896" w:tentative="1">
      <w:start w:val="1"/>
      <w:numFmt w:val="bullet"/>
      <w:lvlText w:val=""/>
      <w:lvlJc w:val="left"/>
      <w:pPr>
        <w:ind w:left="2520" w:hanging="360"/>
      </w:pPr>
      <w:rPr>
        <w:rFonts w:ascii="Wingdings" w:hAnsi="Wingdings" w:hint="default"/>
      </w:rPr>
    </w:lvl>
    <w:lvl w:ilvl="3" w:tplc="DDAA5A7E" w:tentative="1">
      <w:start w:val="1"/>
      <w:numFmt w:val="bullet"/>
      <w:lvlText w:val=""/>
      <w:lvlJc w:val="left"/>
      <w:pPr>
        <w:ind w:left="3240" w:hanging="360"/>
      </w:pPr>
      <w:rPr>
        <w:rFonts w:ascii="Symbol" w:hAnsi="Symbol" w:hint="default"/>
      </w:rPr>
    </w:lvl>
    <w:lvl w:ilvl="4" w:tplc="271816D0" w:tentative="1">
      <w:start w:val="1"/>
      <w:numFmt w:val="bullet"/>
      <w:lvlText w:val="o"/>
      <w:lvlJc w:val="left"/>
      <w:pPr>
        <w:ind w:left="3960" w:hanging="360"/>
      </w:pPr>
      <w:rPr>
        <w:rFonts w:ascii="Courier New" w:hAnsi="Courier New" w:cs="Courier New" w:hint="default"/>
      </w:rPr>
    </w:lvl>
    <w:lvl w:ilvl="5" w:tplc="A384850E" w:tentative="1">
      <w:start w:val="1"/>
      <w:numFmt w:val="bullet"/>
      <w:lvlText w:val=""/>
      <w:lvlJc w:val="left"/>
      <w:pPr>
        <w:ind w:left="4680" w:hanging="360"/>
      </w:pPr>
      <w:rPr>
        <w:rFonts w:ascii="Wingdings" w:hAnsi="Wingdings" w:hint="default"/>
      </w:rPr>
    </w:lvl>
    <w:lvl w:ilvl="6" w:tplc="DD16121E" w:tentative="1">
      <w:start w:val="1"/>
      <w:numFmt w:val="bullet"/>
      <w:lvlText w:val=""/>
      <w:lvlJc w:val="left"/>
      <w:pPr>
        <w:ind w:left="5400" w:hanging="360"/>
      </w:pPr>
      <w:rPr>
        <w:rFonts w:ascii="Symbol" w:hAnsi="Symbol" w:hint="default"/>
      </w:rPr>
    </w:lvl>
    <w:lvl w:ilvl="7" w:tplc="82A2EC28" w:tentative="1">
      <w:start w:val="1"/>
      <w:numFmt w:val="bullet"/>
      <w:lvlText w:val="o"/>
      <w:lvlJc w:val="left"/>
      <w:pPr>
        <w:ind w:left="6120" w:hanging="360"/>
      </w:pPr>
      <w:rPr>
        <w:rFonts w:ascii="Courier New" w:hAnsi="Courier New" w:cs="Courier New" w:hint="default"/>
      </w:rPr>
    </w:lvl>
    <w:lvl w:ilvl="8" w:tplc="3B64F04A" w:tentative="1">
      <w:start w:val="1"/>
      <w:numFmt w:val="bullet"/>
      <w:lvlText w:val=""/>
      <w:lvlJc w:val="left"/>
      <w:pPr>
        <w:ind w:left="6840" w:hanging="360"/>
      </w:pPr>
      <w:rPr>
        <w:rFonts w:ascii="Wingdings" w:hAnsi="Wingdings" w:hint="default"/>
      </w:rPr>
    </w:lvl>
  </w:abstractNum>
  <w:abstractNum w:abstractNumId="17" w15:restartNumberingAfterBreak="0">
    <w:nsid w:val="6FFD07C2"/>
    <w:multiLevelType w:val="hybridMultilevel"/>
    <w:tmpl w:val="CC36B6CE"/>
    <w:lvl w:ilvl="0" w:tplc="D02A946A">
      <w:start w:val="1"/>
      <w:numFmt w:val="upperRoman"/>
      <w:lvlText w:val="%1."/>
      <w:lvlJc w:val="left"/>
      <w:pPr>
        <w:ind w:left="1080" w:hanging="720"/>
      </w:pPr>
      <w:rPr>
        <w:rFonts w:hint="default"/>
        <w:b/>
      </w:rPr>
    </w:lvl>
    <w:lvl w:ilvl="1" w:tplc="12C45E72">
      <w:start w:val="1"/>
      <w:numFmt w:val="upperLetter"/>
      <w:lvlText w:val="%2."/>
      <w:lvlJc w:val="left"/>
      <w:pPr>
        <w:ind w:left="1440" w:hanging="360"/>
      </w:pPr>
    </w:lvl>
    <w:lvl w:ilvl="2" w:tplc="CEF08AD8">
      <w:start w:val="1"/>
      <w:numFmt w:val="lowerRoman"/>
      <w:lvlText w:val="%3."/>
      <w:lvlJc w:val="right"/>
      <w:pPr>
        <w:ind w:left="2160" w:hanging="180"/>
      </w:pPr>
    </w:lvl>
    <w:lvl w:ilvl="3" w:tplc="289A0FA4" w:tentative="1">
      <w:start w:val="1"/>
      <w:numFmt w:val="decimal"/>
      <w:lvlText w:val="%4."/>
      <w:lvlJc w:val="left"/>
      <w:pPr>
        <w:ind w:left="2880" w:hanging="360"/>
      </w:pPr>
    </w:lvl>
    <w:lvl w:ilvl="4" w:tplc="7444CD2E" w:tentative="1">
      <w:start w:val="1"/>
      <w:numFmt w:val="lowerLetter"/>
      <w:lvlText w:val="%5."/>
      <w:lvlJc w:val="left"/>
      <w:pPr>
        <w:ind w:left="3600" w:hanging="360"/>
      </w:pPr>
    </w:lvl>
    <w:lvl w:ilvl="5" w:tplc="09CC5272" w:tentative="1">
      <w:start w:val="1"/>
      <w:numFmt w:val="lowerRoman"/>
      <w:lvlText w:val="%6."/>
      <w:lvlJc w:val="right"/>
      <w:pPr>
        <w:ind w:left="4320" w:hanging="180"/>
      </w:pPr>
    </w:lvl>
    <w:lvl w:ilvl="6" w:tplc="4B264482" w:tentative="1">
      <w:start w:val="1"/>
      <w:numFmt w:val="decimal"/>
      <w:lvlText w:val="%7."/>
      <w:lvlJc w:val="left"/>
      <w:pPr>
        <w:ind w:left="5040" w:hanging="360"/>
      </w:pPr>
    </w:lvl>
    <w:lvl w:ilvl="7" w:tplc="81422BE0" w:tentative="1">
      <w:start w:val="1"/>
      <w:numFmt w:val="lowerLetter"/>
      <w:lvlText w:val="%8."/>
      <w:lvlJc w:val="left"/>
      <w:pPr>
        <w:ind w:left="5760" w:hanging="360"/>
      </w:pPr>
    </w:lvl>
    <w:lvl w:ilvl="8" w:tplc="BC26B330" w:tentative="1">
      <w:start w:val="1"/>
      <w:numFmt w:val="lowerRoman"/>
      <w:lvlText w:val="%9."/>
      <w:lvlJc w:val="right"/>
      <w:pPr>
        <w:ind w:left="6480" w:hanging="180"/>
      </w:pPr>
    </w:lvl>
  </w:abstractNum>
  <w:num w:numId="1" w16cid:durableId="533421021">
    <w:abstractNumId w:val="9"/>
  </w:num>
  <w:num w:numId="2" w16cid:durableId="1200821565">
    <w:abstractNumId w:val="7"/>
  </w:num>
  <w:num w:numId="3" w16cid:durableId="1203522009">
    <w:abstractNumId w:val="6"/>
  </w:num>
  <w:num w:numId="4" w16cid:durableId="1846895336">
    <w:abstractNumId w:val="5"/>
  </w:num>
  <w:num w:numId="5" w16cid:durableId="843667911">
    <w:abstractNumId w:val="4"/>
  </w:num>
  <w:num w:numId="6" w16cid:durableId="1454835121">
    <w:abstractNumId w:val="8"/>
  </w:num>
  <w:num w:numId="7" w16cid:durableId="1055469201">
    <w:abstractNumId w:val="3"/>
  </w:num>
  <w:num w:numId="8" w16cid:durableId="1245725630">
    <w:abstractNumId w:val="2"/>
  </w:num>
  <w:num w:numId="9" w16cid:durableId="801925171">
    <w:abstractNumId w:val="1"/>
  </w:num>
  <w:num w:numId="10" w16cid:durableId="165828746">
    <w:abstractNumId w:val="0"/>
  </w:num>
  <w:num w:numId="11" w16cid:durableId="1615593921">
    <w:abstractNumId w:val="11"/>
  </w:num>
  <w:num w:numId="12" w16cid:durableId="1461417426">
    <w:abstractNumId w:val="14"/>
  </w:num>
  <w:num w:numId="13" w16cid:durableId="2003655659">
    <w:abstractNumId w:val="15"/>
  </w:num>
  <w:num w:numId="14" w16cid:durableId="567687747">
    <w:abstractNumId w:val="17"/>
  </w:num>
  <w:num w:numId="15" w16cid:durableId="1264655924">
    <w:abstractNumId w:val="13"/>
  </w:num>
  <w:num w:numId="16" w16cid:durableId="907958217">
    <w:abstractNumId w:val="16"/>
  </w:num>
  <w:num w:numId="17" w16cid:durableId="1020161888">
    <w:abstractNumId w:val="10"/>
  </w:num>
  <w:num w:numId="18" w16cid:durableId="1416978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3D76D0"/>
    <w:rsid w:val="00003448"/>
    <w:rsid w:val="000045C8"/>
    <w:rsid w:val="00005A8D"/>
    <w:rsid w:val="00007B25"/>
    <w:rsid w:val="00012205"/>
    <w:rsid w:val="000240E4"/>
    <w:rsid w:val="000348E5"/>
    <w:rsid w:val="00035D3D"/>
    <w:rsid w:val="00044362"/>
    <w:rsid w:val="00044755"/>
    <w:rsid w:val="00047761"/>
    <w:rsid w:val="00050F5D"/>
    <w:rsid w:val="00053B74"/>
    <w:rsid w:val="00060ACC"/>
    <w:rsid w:val="000613AC"/>
    <w:rsid w:val="00064D7D"/>
    <w:rsid w:val="00074C1E"/>
    <w:rsid w:val="00075889"/>
    <w:rsid w:val="000762B3"/>
    <w:rsid w:val="000821F0"/>
    <w:rsid w:val="000832D5"/>
    <w:rsid w:val="000866A6"/>
    <w:rsid w:val="00086F81"/>
    <w:rsid w:val="00091C46"/>
    <w:rsid w:val="00095369"/>
    <w:rsid w:val="000A0E7C"/>
    <w:rsid w:val="000A1825"/>
    <w:rsid w:val="000A48ED"/>
    <w:rsid w:val="000B11C9"/>
    <w:rsid w:val="000B2E47"/>
    <w:rsid w:val="000C0C61"/>
    <w:rsid w:val="000C411E"/>
    <w:rsid w:val="000C5AAC"/>
    <w:rsid w:val="000D1E45"/>
    <w:rsid w:val="000D2CEE"/>
    <w:rsid w:val="000D5644"/>
    <w:rsid w:val="000D75B4"/>
    <w:rsid w:val="000E0179"/>
    <w:rsid w:val="000E1BEE"/>
    <w:rsid w:val="000E3DF5"/>
    <w:rsid w:val="000E61B2"/>
    <w:rsid w:val="000F03A7"/>
    <w:rsid w:val="000F4A31"/>
    <w:rsid w:val="000F571D"/>
    <w:rsid w:val="0010282A"/>
    <w:rsid w:val="0010358F"/>
    <w:rsid w:val="0010388F"/>
    <w:rsid w:val="00106F22"/>
    <w:rsid w:val="00116A33"/>
    <w:rsid w:val="00134B95"/>
    <w:rsid w:val="00141296"/>
    <w:rsid w:val="00144F8F"/>
    <w:rsid w:val="001509DB"/>
    <w:rsid w:val="0015107F"/>
    <w:rsid w:val="001514B3"/>
    <w:rsid w:val="001525C4"/>
    <w:rsid w:val="001544E3"/>
    <w:rsid w:val="00156E30"/>
    <w:rsid w:val="00160936"/>
    <w:rsid w:val="0016263A"/>
    <w:rsid w:val="0016358B"/>
    <w:rsid w:val="00165145"/>
    <w:rsid w:val="00171034"/>
    <w:rsid w:val="001718D2"/>
    <w:rsid w:val="00173007"/>
    <w:rsid w:val="00173D14"/>
    <w:rsid w:val="00173D5F"/>
    <w:rsid w:val="001774CF"/>
    <w:rsid w:val="00184346"/>
    <w:rsid w:val="00185AAD"/>
    <w:rsid w:val="00197C69"/>
    <w:rsid w:val="001A2E9E"/>
    <w:rsid w:val="001A4BF3"/>
    <w:rsid w:val="001A4F35"/>
    <w:rsid w:val="001B08BC"/>
    <w:rsid w:val="001B6B50"/>
    <w:rsid w:val="001C634D"/>
    <w:rsid w:val="001D226B"/>
    <w:rsid w:val="001D53FF"/>
    <w:rsid w:val="001E120C"/>
    <w:rsid w:val="001E2231"/>
    <w:rsid w:val="001E3208"/>
    <w:rsid w:val="001E7CCA"/>
    <w:rsid w:val="001F65DC"/>
    <w:rsid w:val="00202B6F"/>
    <w:rsid w:val="00207C70"/>
    <w:rsid w:val="00207D75"/>
    <w:rsid w:val="00207E81"/>
    <w:rsid w:val="002215E5"/>
    <w:rsid w:val="00221C80"/>
    <w:rsid w:val="00225250"/>
    <w:rsid w:val="00225BAB"/>
    <w:rsid w:val="00226093"/>
    <w:rsid w:val="00231E80"/>
    <w:rsid w:val="00234E94"/>
    <w:rsid w:val="00235350"/>
    <w:rsid w:val="002365C9"/>
    <w:rsid w:val="0023708E"/>
    <w:rsid w:val="0024156D"/>
    <w:rsid w:val="0024195D"/>
    <w:rsid w:val="00243758"/>
    <w:rsid w:val="00244927"/>
    <w:rsid w:val="0024674F"/>
    <w:rsid w:val="00247316"/>
    <w:rsid w:val="00247EB1"/>
    <w:rsid w:val="00253B38"/>
    <w:rsid w:val="00255185"/>
    <w:rsid w:val="002612F9"/>
    <w:rsid w:val="00261599"/>
    <w:rsid w:val="00263968"/>
    <w:rsid w:val="00266F5B"/>
    <w:rsid w:val="00267240"/>
    <w:rsid w:val="00274037"/>
    <w:rsid w:val="00275B63"/>
    <w:rsid w:val="002850D8"/>
    <w:rsid w:val="002866B9"/>
    <w:rsid w:val="00294F61"/>
    <w:rsid w:val="00296699"/>
    <w:rsid w:val="00296B07"/>
    <w:rsid w:val="00296BC5"/>
    <w:rsid w:val="00296E8F"/>
    <w:rsid w:val="002A4958"/>
    <w:rsid w:val="002A4BF7"/>
    <w:rsid w:val="002A7DB4"/>
    <w:rsid w:val="002B194E"/>
    <w:rsid w:val="002C0789"/>
    <w:rsid w:val="002C2BD7"/>
    <w:rsid w:val="002C3E58"/>
    <w:rsid w:val="002C7ACA"/>
    <w:rsid w:val="002D0A11"/>
    <w:rsid w:val="002D5047"/>
    <w:rsid w:val="002E0376"/>
    <w:rsid w:val="002E764A"/>
    <w:rsid w:val="002F1B54"/>
    <w:rsid w:val="002F4C85"/>
    <w:rsid w:val="003011CA"/>
    <w:rsid w:val="00301346"/>
    <w:rsid w:val="003042DB"/>
    <w:rsid w:val="00305109"/>
    <w:rsid w:val="00314D03"/>
    <w:rsid w:val="00322CBC"/>
    <w:rsid w:val="0032325C"/>
    <w:rsid w:val="00325967"/>
    <w:rsid w:val="003305D6"/>
    <w:rsid w:val="00332510"/>
    <w:rsid w:val="00340A10"/>
    <w:rsid w:val="00340F8C"/>
    <w:rsid w:val="003414C6"/>
    <w:rsid w:val="0035289A"/>
    <w:rsid w:val="00353263"/>
    <w:rsid w:val="00353B17"/>
    <w:rsid w:val="0035673A"/>
    <w:rsid w:val="003658E1"/>
    <w:rsid w:val="00365ADA"/>
    <w:rsid w:val="003732BD"/>
    <w:rsid w:val="003749AA"/>
    <w:rsid w:val="00382214"/>
    <w:rsid w:val="003845CB"/>
    <w:rsid w:val="00384D9E"/>
    <w:rsid w:val="0038668C"/>
    <w:rsid w:val="00390DC6"/>
    <w:rsid w:val="00395AAE"/>
    <w:rsid w:val="0039656C"/>
    <w:rsid w:val="003A0D3B"/>
    <w:rsid w:val="003A3873"/>
    <w:rsid w:val="003A5ADD"/>
    <w:rsid w:val="003A7A73"/>
    <w:rsid w:val="003A7D13"/>
    <w:rsid w:val="003B3038"/>
    <w:rsid w:val="003B397C"/>
    <w:rsid w:val="003B5BCB"/>
    <w:rsid w:val="003C4F5A"/>
    <w:rsid w:val="003C5E5B"/>
    <w:rsid w:val="003D2DD8"/>
    <w:rsid w:val="003D578B"/>
    <w:rsid w:val="003D6119"/>
    <w:rsid w:val="003D76D0"/>
    <w:rsid w:val="003E19FF"/>
    <w:rsid w:val="003E63DA"/>
    <w:rsid w:val="003E7994"/>
    <w:rsid w:val="003F2CFB"/>
    <w:rsid w:val="003F4817"/>
    <w:rsid w:val="003F5527"/>
    <w:rsid w:val="00403012"/>
    <w:rsid w:val="00412485"/>
    <w:rsid w:val="0041689D"/>
    <w:rsid w:val="004227F6"/>
    <w:rsid w:val="00423CDC"/>
    <w:rsid w:val="00430D27"/>
    <w:rsid w:val="00432274"/>
    <w:rsid w:val="004324AE"/>
    <w:rsid w:val="00442A6A"/>
    <w:rsid w:val="00445FDD"/>
    <w:rsid w:val="004467DB"/>
    <w:rsid w:val="004546C4"/>
    <w:rsid w:val="00455774"/>
    <w:rsid w:val="004667C5"/>
    <w:rsid w:val="00467984"/>
    <w:rsid w:val="00475378"/>
    <w:rsid w:val="004755F8"/>
    <w:rsid w:val="004811F1"/>
    <w:rsid w:val="0048286E"/>
    <w:rsid w:val="00483BAA"/>
    <w:rsid w:val="00483DFB"/>
    <w:rsid w:val="00484634"/>
    <w:rsid w:val="00484853"/>
    <w:rsid w:val="00484CCC"/>
    <w:rsid w:val="00486124"/>
    <w:rsid w:val="004931BC"/>
    <w:rsid w:val="0049451B"/>
    <w:rsid w:val="00494692"/>
    <w:rsid w:val="00496FE3"/>
    <w:rsid w:val="004A3772"/>
    <w:rsid w:val="004A406D"/>
    <w:rsid w:val="004B144E"/>
    <w:rsid w:val="004B22C1"/>
    <w:rsid w:val="004B79FE"/>
    <w:rsid w:val="004C2DAE"/>
    <w:rsid w:val="004C4799"/>
    <w:rsid w:val="004D0414"/>
    <w:rsid w:val="004D064E"/>
    <w:rsid w:val="004D3335"/>
    <w:rsid w:val="004D42ED"/>
    <w:rsid w:val="004E03A6"/>
    <w:rsid w:val="004E0A9F"/>
    <w:rsid w:val="004E277C"/>
    <w:rsid w:val="004E467A"/>
    <w:rsid w:val="004E7C56"/>
    <w:rsid w:val="004F055F"/>
    <w:rsid w:val="004F42FF"/>
    <w:rsid w:val="004F439A"/>
    <w:rsid w:val="004F4BDD"/>
    <w:rsid w:val="00500481"/>
    <w:rsid w:val="00510FA7"/>
    <w:rsid w:val="00512720"/>
    <w:rsid w:val="00516C3F"/>
    <w:rsid w:val="00525D82"/>
    <w:rsid w:val="005268D9"/>
    <w:rsid w:val="00543273"/>
    <w:rsid w:val="00553928"/>
    <w:rsid w:val="005554DE"/>
    <w:rsid w:val="00555CA3"/>
    <w:rsid w:val="005568EF"/>
    <w:rsid w:val="0055732F"/>
    <w:rsid w:val="00557D55"/>
    <w:rsid w:val="005615ED"/>
    <w:rsid w:val="00573B5B"/>
    <w:rsid w:val="00581E9E"/>
    <w:rsid w:val="00584326"/>
    <w:rsid w:val="00584EA0"/>
    <w:rsid w:val="00590E78"/>
    <w:rsid w:val="00591149"/>
    <w:rsid w:val="005A0285"/>
    <w:rsid w:val="005A2E51"/>
    <w:rsid w:val="005B2699"/>
    <w:rsid w:val="005B60D5"/>
    <w:rsid w:val="005B78D8"/>
    <w:rsid w:val="005C2686"/>
    <w:rsid w:val="005C4768"/>
    <w:rsid w:val="005C7775"/>
    <w:rsid w:val="005C7886"/>
    <w:rsid w:val="005D0A90"/>
    <w:rsid w:val="005D19F6"/>
    <w:rsid w:val="005D2C8F"/>
    <w:rsid w:val="005D3A86"/>
    <w:rsid w:val="005D4188"/>
    <w:rsid w:val="005D4DE7"/>
    <w:rsid w:val="005E0B3C"/>
    <w:rsid w:val="005E3754"/>
    <w:rsid w:val="005E55AD"/>
    <w:rsid w:val="005E5AAD"/>
    <w:rsid w:val="005F14D5"/>
    <w:rsid w:val="005F2E44"/>
    <w:rsid w:val="005F33F8"/>
    <w:rsid w:val="005F407D"/>
    <w:rsid w:val="00600516"/>
    <w:rsid w:val="00605355"/>
    <w:rsid w:val="00616662"/>
    <w:rsid w:val="00616B17"/>
    <w:rsid w:val="00625A2F"/>
    <w:rsid w:val="006260CE"/>
    <w:rsid w:val="00633B7B"/>
    <w:rsid w:val="00636330"/>
    <w:rsid w:val="00641F7B"/>
    <w:rsid w:val="00647A27"/>
    <w:rsid w:val="00650743"/>
    <w:rsid w:val="00657336"/>
    <w:rsid w:val="00665C37"/>
    <w:rsid w:val="00666859"/>
    <w:rsid w:val="00667511"/>
    <w:rsid w:val="00676553"/>
    <w:rsid w:val="00691F03"/>
    <w:rsid w:val="006942FF"/>
    <w:rsid w:val="006A63DF"/>
    <w:rsid w:val="006A6588"/>
    <w:rsid w:val="006B2DAB"/>
    <w:rsid w:val="006B7FA7"/>
    <w:rsid w:val="006C1E85"/>
    <w:rsid w:val="006C61BD"/>
    <w:rsid w:val="006D07F0"/>
    <w:rsid w:val="006D2859"/>
    <w:rsid w:val="006D2B21"/>
    <w:rsid w:val="006D51DD"/>
    <w:rsid w:val="006E7694"/>
    <w:rsid w:val="006F20F4"/>
    <w:rsid w:val="007100D9"/>
    <w:rsid w:val="00717ADA"/>
    <w:rsid w:val="007220A3"/>
    <w:rsid w:val="0073105B"/>
    <w:rsid w:val="00737961"/>
    <w:rsid w:val="00740B75"/>
    <w:rsid w:val="007418B7"/>
    <w:rsid w:val="00742522"/>
    <w:rsid w:val="00743AF8"/>
    <w:rsid w:val="007442E7"/>
    <w:rsid w:val="00747128"/>
    <w:rsid w:val="00755315"/>
    <w:rsid w:val="00755DCA"/>
    <w:rsid w:val="00756665"/>
    <w:rsid w:val="00762287"/>
    <w:rsid w:val="00762669"/>
    <w:rsid w:val="00763875"/>
    <w:rsid w:val="00771360"/>
    <w:rsid w:val="0077306C"/>
    <w:rsid w:val="00776DBF"/>
    <w:rsid w:val="007820C3"/>
    <w:rsid w:val="00782EF8"/>
    <w:rsid w:val="00783EA0"/>
    <w:rsid w:val="0078720F"/>
    <w:rsid w:val="007944C8"/>
    <w:rsid w:val="00794D29"/>
    <w:rsid w:val="007A2475"/>
    <w:rsid w:val="007A70A3"/>
    <w:rsid w:val="007B167D"/>
    <w:rsid w:val="007B2AC7"/>
    <w:rsid w:val="007B2C91"/>
    <w:rsid w:val="007C2E6C"/>
    <w:rsid w:val="007C386F"/>
    <w:rsid w:val="007C4092"/>
    <w:rsid w:val="007C4DEE"/>
    <w:rsid w:val="007C6878"/>
    <w:rsid w:val="007E4CDA"/>
    <w:rsid w:val="007E4D4B"/>
    <w:rsid w:val="007E57DA"/>
    <w:rsid w:val="007F1C2F"/>
    <w:rsid w:val="007F3273"/>
    <w:rsid w:val="008004CF"/>
    <w:rsid w:val="008028AB"/>
    <w:rsid w:val="00811D7C"/>
    <w:rsid w:val="00815531"/>
    <w:rsid w:val="00820F77"/>
    <w:rsid w:val="008225C7"/>
    <w:rsid w:val="00822F75"/>
    <w:rsid w:val="00823918"/>
    <w:rsid w:val="008243B4"/>
    <w:rsid w:val="0082506D"/>
    <w:rsid w:val="00830D41"/>
    <w:rsid w:val="0083485C"/>
    <w:rsid w:val="00834F61"/>
    <w:rsid w:val="008362E5"/>
    <w:rsid w:val="00843A61"/>
    <w:rsid w:val="008448F5"/>
    <w:rsid w:val="00845A4F"/>
    <w:rsid w:val="00851FD8"/>
    <w:rsid w:val="00852D4C"/>
    <w:rsid w:val="008554E8"/>
    <w:rsid w:val="00871721"/>
    <w:rsid w:val="0087406E"/>
    <w:rsid w:val="00876657"/>
    <w:rsid w:val="0087671E"/>
    <w:rsid w:val="00876848"/>
    <w:rsid w:val="00880C17"/>
    <w:rsid w:val="00882461"/>
    <w:rsid w:val="00882698"/>
    <w:rsid w:val="00885590"/>
    <w:rsid w:val="00885BA1"/>
    <w:rsid w:val="00886862"/>
    <w:rsid w:val="00890E9D"/>
    <w:rsid w:val="008A36E0"/>
    <w:rsid w:val="008B2735"/>
    <w:rsid w:val="008B3594"/>
    <w:rsid w:val="008B63BA"/>
    <w:rsid w:val="008B6D77"/>
    <w:rsid w:val="008B7A9A"/>
    <w:rsid w:val="008C117F"/>
    <w:rsid w:val="008C4444"/>
    <w:rsid w:val="008D087A"/>
    <w:rsid w:val="008D1262"/>
    <w:rsid w:val="008D1347"/>
    <w:rsid w:val="008E0819"/>
    <w:rsid w:val="008E3D63"/>
    <w:rsid w:val="008E4CC7"/>
    <w:rsid w:val="008E6AF2"/>
    <w:rsid w:val="008F10DD"/>
    <w:rsid w:val="008F19C9"/>
    <w:rsid w:val="008F47E2"/>
    <w:rsid w:val="008F50E2"/>
    <w:rsid w:val="008F60A8"/>
    <w:rsid w:val="008F6945"/>
    <w:rsid w:val="009014AD"/>
    <w:rsid w:val="0090474C"/>
    <w:rsid w:val="00904C25"/>
    <w:rsid w:val="009050FD"/>
    <w:rsid w:val="00911D5F"/>
    <w:rsid w:val="009147DE"/>
    <w:rsid w:val="009156CC"/>
    <w:rsid w:val="00915CA2"/>
    <w:rsid w:val="00917100"/>
    <w:rsid w:val="00924030"/>
    <w:rsid w:val="00924433"/>
    <w:rsid w:val="00925C6A"/>
    <w:rsid w:val="00930153"/>
    <w:rsid w:val="0094635D"/>
    <w:rsid w:val="009500A8"/>
    <w:rsid w:val="00951CBB"/>
    <w:rsid w:val="00964601"/>
    <w:rsid w:val="00965D30"/>
    <w:rsid w:val="00965D61"/>
    <w:rsid w:val="00972064"/>
    <w:rsid w:val="009726B4"/>
    <w:rsid w:val="00976823"/>
    <w:rsid w:val="0098333A"/>
    <w:rsid w:val="009836C8"/>
    <w:rsid w:val="00990881"/>
    <w:rsid w:val="00991427"/>
    <w:rsid w:val="00992BEC"/>
    <w:rsid w:val="00995588"/>
    <w:rsid w:val="009A3926"/>
    <w:rsid w:val="009A45BA"/>
    <w:rsid w:val="009A6916"/>
    <w:rsid w:val="009B3797"/>
    <w:rsid w:val="009C76A4"/>
    <w:rsid w:val="009D646A"/>
    <w:rsid w:val="009E13C2"/>
    <w:rsid w:val="009F431E"/>
    <w:rsid w:val="009F6382"/>
    <w:rsid w:val="00A0767B"/>
    <w:rsid w:val="00A116AC"/>
    <w:rsid w:val="00A12252"/>
    <w:rsid w:val="00A1259B"/>
    <w:rsid w:val="00A134B7"/>
    <w:rsid w:val="00A20488"/>
    <w:rsid w:val="00A30490"/>
    <w:rsid w:val="00A40058"/>
    <w:rsid w:val="00A42C32"/>
    <w:rsid w:val="00A444A9"/>
    <w:rsid w:val="00A46638"/>
    <w:rsid w:val="00A557D0"/>
    <w:rsid w:val="00A57FC1"/>
    <w:rsid w:val="00A6149A"/>
    <w:rsid w:val="00A64D53"/>
    <w:rsid w:val="00A65126"/>
    <w:rsid w:val="00A67656"/>
    <w:rsid w:val="00A703C2"/>
    <w:rsid w:val="00A760A1"/>
    <w:rsid w:val="00A770C5"/>
    <w:rsid w:val="00A80355"/>
    <w:rsid w:val="00A82544"/>
    <w:rsid w:val="00A843CF"/>
    <w:rsid w:val="00A8602F"/>
    <w:rsid w:val="00A91058"/>
    <w:rsid w:val="00AA4E80"/>
    <w:rsid w:val="00AA51CD"/>
    <w:rsid w:val="00AB270A"/>
    <w:rsid w:val="00AB28A2"/>
    <w:rsid w:val="00AB7559"/>
    <w:rsid w:val="00AC04CA"/>
    <w:rsid w:val="00AC0F11"/>
    <w:rsid w:val="00AC131F"/>
    <w:rsid w:val="00AC1889"/>
    <w:rsid w:val="00AC2C3E"/>
    <w:rsid w:val="00AC7D53"/>
    <w:rsid w:val="00AE180D"/>
    <w:rsid w:val="00AE28F6"/>
    <w:rsid w:val="00AE4668"/>
    <w:rsid w:val="00AE5E24"/>
    <w:rsid w:val="00AF0EF4"/>
    <w:rsid w:val="00AF1A82"/>
    <w:rsid w:val="00AF51FF"/>
    <w:rsid w:val="00AF603E"/>
    <w:rsid w:val="00AF62C1"/>
    <w:rsid w:val="00AF63EC"/>
    <w:rsid w:val="00AF6B32"/>
    <w:rsid w:val="00B060F0"/>
    <w:rsid w:val="00B0739E"/>
    <w:rsid w:val="00B075AB"/>
    <w:rsid w:val="00B21D22"/>
    <w:rsid w:val="00B256AC"/>
    <w:rsid w:val="00B31960"/>
    <w:rsid w:val="00B322B7"/>
    <w:rsid w:val="00B4375B"/>
    <w:rsid w:val="00B461DB"/>
    <w:rsid w:val="00B533BF"/>
    <w:rsid w:val="00B5591D"/>
    <w:rsid w:val="00B569C1"/>
    <w:rsid w:val="00B57ED0"/>
    <w:rsid w:val="00B60638"/>
    <w:rsid w:val="00B67920"/>
    <w:rsid w:val="00B70EF7"/>
    <w:rsid w:val="00B71B0D"/>
    <w:rsid w:val="00B72161"/>
    <w:rsid w:val="00B844A5"/>
    <w:rsid w:val="00B97191"/>
    <w:rsid w:val="00B97840"/>
    <w:rsid w:val="00B97D41"/>
    <w:rsid w:val="00BA4D1B"/>
    <w:rsid w:val="00BA5BEF"/>
    <w:rsid w:val="00BB442C"/>
    <w:rsid w:val="00BB74D0"/>
    <w:rsid w:val="00BC252D"/>
    <w:rsid w:val="00BC4524"/>
    <w:rsid w:val="00BD193E"/>
    <w:rsid w:val="00BD210A"/>
    <w:rsid w:val="00BD507A"/>
    <w:rsid w:val="00BD69DF"/>
    <w:rsid w:val="00BE1169"/>
    <w:rsid w:val="00BE7434"/>
    <w:rsid w:val="00BF5ACF"/>
    <w:rsid w:val="00BF67E8"/>
    <w:rsid w:val="00BF79BE"/>
    <w:rsid w:val="00C0149B"/>
    <w:rsid w:val="00C03197"/>
    <w:rsid w:val="00C04117"/>
    <w:rsid w:val="00C074EB"/>
    <w:rsid w:val="00C14043"/>
    <w:rsid w:val="00C16C8C"/>
    <w:rsid w:val="00C20CE6"/>
    <w:rsid w:val="00C21CB0"/>
    <w:rsid w:val="00C22FCF"/>
    <w:rsid w:val="00C237E6"/>
    <w:rsid w:val="00C2455B"/>
    <w:rsid w:val="00C26122"/>
    <w:rsid w:val="00C26CCF"/>
    <w:rsid w:val="00C31211"/>
    <w:rsid w:val="00C32D5F"/>
    <w:rsid w:val="00C35AE8"/>
    <w:rsid w:val="00C371EC"/>
    <w:rsid w:val="00C40527"/>
    <w:rsid w:val="00C417C3"/>
    <w:rsid w:val="00C47B44"/>
    <w:rsid w:val="00C54C60"/>
    <w:rsid w:val="00C55693"/>
    <w:rsid w:val="00C5754B"/>
    <w:rsid w:val="00C614D5"/>
    <w:rsid w:val="00C61E36"/>
    <w:rsid w:val="00C649CC"/>
    <w:rsid w:val="00C66A53"/>
    <w:rsid w:val="00C70E0F"/>
    <w:rsid w:val="00C714F7"/>
    <w:rsid w:val="00C735F4"/>
    <w:rsid w:val="00C744DD"/>
    <w:rsid w:val="00C82D80"/>
    <w:rsid w:val="00C83505"/>
    <w:rsid w:val="00C86561"/>
    <w:rsid w:val="00C86A33"/>
    <w:rsid w:val="00C86EA1"/>
    <w:rsid w:val="00C900DB"/>
    <w:rsid w:val="00C90E88"/>
    <w:rsid w:val="00C93890"/>
    <w:rsid w:val="00CA485D"/>
    <w:rsid w:val="00CB3C12"/>
    <w:rsid w:val="00CB3E7D"/>
    <w:rsid w:val="00CB6030"/>
    <w:rsid w:val="00CB72CD"/>
    <w:rsid w:val="00CB7687"/>
    <w:rsid w:val="00CB7A8D"/>
    <w:rsid w:val="00CD1D84"/>
    <w:rsid w:val="00CD3D00"/>
    <w:rsid w:val="00CE3D71"/>
    <w:rsid w:val="00CF01F5"/>
    <w:rsid w:val="00CF18AC"/>
    <w:rsid w:val="00CF46C2"/>
    <w:rsid w:val="00CF4C03"/>
    <w:rsid w:val="00D01DF7"/>
    <w:rsid w:val="00D02517"/>
    <w:rsid w:val="00D041AC"/>
    <w:rsid w:val="00D066D9"/>
    <w:rsid w:val="00D21C3A"/>
    <w:rsid w:val="00D231BB"/>
    <w:rsid w:val="00D335B0"/>
    <w:rsid w:val="00D34A64"/>
    <w:rsid w:val="00D34DCB"/>
    <w:rsid w:val="00D35E8C"/>
    <w:rsid w:val="00D371F3"/>
    <w:rsid w:val="00D42D6A"/>
    <w:rsid w:val="00D52CA9"/>
    <w:rsid w:val="00D5541E"/>
    <w:rsid w:val="00D557A5"/>
    <w:rsid w:val="00D56746"/>
    <w:rsid w:val="00D56990"/>
    <w:rsid w:val="00D62609"/>
    <w:rsid w:val="00D67A99"/>
    <w:rsid w:val="00D7186B"/>
    <w:rsid w:val="00D72207"/>
    <w:rsid w:val="00D758DF"/>
    <w:rsid w:val="00D76F5C"/>
    <w:rsid w:val="00D826CB"/>
    <w:rsid w:val="00D83E55"/>
    <w:rsid w:val="00D84FC3"/>
    <w:rsid w:val="00D87787"/>
    <w:rsid w:val="00D87C42"/>
    <w:rsid w:val="00D9359F"/>
    <w:rsid w:val="00D93D77"/>
    <w:rsid w:val="00D94524"/>
    <w:rsid w:val="00DA1F27"/>
    <w:rsid w:val="00DA7300"/>
    <w:rsid w:val="00DB32B0"/>
    <w:rsid w:val="00DB51C2"/>
    <w:rsid w:val="00DB6E86"/>
    <w:rsid w:val="00DC206E"/>
    <w:rsid w:val="00DC2E4D"/>
    <w:rsid w:val="00DC67DA"/>
    <w:rsid w:val="00DE1BBF"/>
    <w:rsid w:val="00DE1CBD"/>
    <w:rsid w:val="00DE4AF5"/>
    <w:rsid w:val="00DE4CA7"/>
    <w:rsid w:val="00DE5DDF"/>
    <w:rsid w:val="00DE5EF8"/>
    <w:rsid w:val="00DF0CCA"/>
    <w:rsid w:val="00DF2272"/>
    <w:rsid w:val="00DF549F"/>
    <w:rsid w:val="00E005A9"/>
    <w:rsid w:val="00E0362D"/>
    <w:rsid w:val="00E1024D"/>
    <w:rsid w:val="00E104C3"/>
    <w:rsid w:val="00E1098B"/>
    <w:rsid w:val="00E14074"/>
    <w:rsid w:val="00E14788"/>
    <w:rsid w:val="00E2083C"/>
    <w:rsid w:val="00E24158"/>
    <w:rsid w:val="00E353A4"/>
    <w:rsid w:val="00E42192"/>
    <w:rsid w:val="00E422DD"/>
    <w:rsid w:val="00E46231"/>
    <w:rsid w:val="00E50F7B"/>
    <w:rsid w:val="00E521A6"/>
    <w:rsid w:val="00E52B84"/>
    <w:rsid w:val="00E531E5"/>
    <w:rsid w:val="00E5511E"/>
    <w:rsid w:val="00E56D61"/>
    <w:rsid w:val="00E576F2"/>
    <w:rsid w:val="00E646EA"/>
    <w:rsid w:val="00E67593"/>
    <w:rsid w:val="00E711A5"/>
    <w:rsid w:val="00E724FC"/>
    <w:rsid w:val="00E725BC"/>
    <w:rsid w:val="00E839BC"/>
    <w:rsid w:val="00EA1233"/>
    <w:rsid w:val="00EA3EEA"/>
    <w:rsid w:val="00EA4A57"/>
    <w:rsid w:val="00EA4EDF"/>
    <w:rsid w:val="00EB2F0A"/>
    <w:rsid w:val="00EC27D2"/>
    <w:rsid w:val="00EC28E2"/>
    <w:rsid w:val="00EC28F3"/>
    <w:rsid w:val="00EC394A"/>
    <w:rsid w:val="00EC6731"/>
    <w:rsid w:val="00ED1F7B"/>
    <w:rsid w:val="00ED39FA"/>
    <w:rsid w:val="00ED492B"/>
    <w:rsid w:val="00EE2F73"/>
    <w:rsid w:val="00EE4105"/>
    <w:rsid w:val="00EE467C"/>
    <w:rsid w:val="00EE73F0"/>
    <w:rsid w:val="00F003C4"/>
    <w:rsid w:val="00F00CA0"/>
    <w:rsid w:val="00F108E6"/>
    <w:rsid w:val="00F10AD6"/>
    <w:rsid w:val="00F13DB1"/>
    <w:rsid w:val="00F17F42"/>
    <w:rsid w:val="00F33F06"/>
    <w:rsid w:val="00F34982"/>
    <w:rsid w:val="00F4037B"/>
    <w:rsid w:val="00F4696D"/>
    <w:rsid w:val="00F46F69"/>
    <w:rsid w:val="00F47049"/>
    <w:rsid w:val="00F5146E"/>
    <w:rsid w:val="00F53475"/>
    <w:rsid w:val="00F55A3D"/>
    <w:rsid w:val="00F608E3"/>
    <w:rsid w:val="00F6755A"/>
    <w:rsid w:val="00F7087B"/>
    <w:rsid w:val="00F826DC"/>
    <w:rsid w:val="00F90C11"/>
    <w:rsid w:val="00F91627"/>
    <w:rsid w:val="00FA034A"/>
    <w:rsid w:val="00FA65D7"/>
    <w:rsid w:val="00FB215E"/>
    <w:rsid w:val="00FB492B"/>
    <w:rsid w:val="00FD003A"/>
    <w:rsid w:val="00FD2F7A"/>
    <w:rsid w:val="00FD5850"/>
    <w:rsid w:val="00FE1254"/>
    <w:rsid w:val="00FE17D9"/>
    <w:rsid w:val="00FE213E"/>
    <w:rsid w:val="00FE23A9"/>
    <w:rsid w:val="00FE4F83"/>
    <w:rsid w:val="00FE586F"/>
    <w:rsid w:val="00FE6D63"/>
    <w:rsid w:val="00FF5D7F"/>
    <w:rsid w:val="00FF61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D0"/>
    <w:pPr>
      <w:spacing w:after="160" w:line="259" w:lineRule="auto"/>
    </w:pPr>
    <w:rPr>
      <w:rFonts w:asciiTheme="minorHAnsi" w:hAnsiTheme="minorHAnsi"/>
      <w:sz w:val="22"/>
      <w:szCs w:val="22"/>
    </w:rPr>
  </w:style>
  <w:style w:type="paragraph" w:styleId="Heading1">
    <w:name w:val="heading 1"/>
    <w:basedOn w:val="Normal"/>
    <w:next w:val="BodyText"/>
    <w:link w:val="Heading1Char"/>
    <w:qFormat/>
    <w:rsid w:val="00763875"/>
    <w:pPr>
      <w:keepNext/>
      <w:spacing w:after="240"/>
      <w:outlineLvl w:val="0"/>
    </w:pPr>
    <w:rPr>
      <w:rFonts w:eastAsiaTheme="majorEastAsia" w:cstheme="majorBidi"/>
      <w:bCs/>
      <w:szCs w:val="28"/>
    </w:rPr>
  </w:style>
  <w:style w:type="paragraph" w:styleId="Heading2">
    <w:name w:val="heading 2"/>
    <w:basedOn w:val="Normal"/>
    <w:next w:val="BodyText"/>
    <w:link w:val="Heading2Char"/>
    <w:unhideWhenUsed/>
    <w:qFormat/>
    <w:rsid w:val="00763875"/>
    <w:pPr>
      <w:keepNext/>
      <w:spacing w:after="240"/>
      <w:outlineLvl w:val="1"/>
    </w:pPr>
    <w:rPr>
      <w:rFonts w:eastAsiaTheme="majorEastAsia" w:cstheme="majorBidi"/>
      <w:bCs/>
      <w:szCs w:val="26"/>
    </w:rPr>
  </w:style>
  <w:style w:type="paragraph" w:styleId="Heading3">
    <w:name w:val="heading 3"/>
    <w:basedOn w:val="Normal"/>
    <w:next w:val="BodyText"/>
    <w:link w:val="Heading3Char"/>
    <w:unhideWhenUsed/>
    <w:qFormat/>
    <w:rsid w:val="00763875"/>
    <w:pPr>
      <w:keepNext/>
      <w:spacing w:after="240"/>
      <w:outlineLvl w:val="2"/>
    </w:pPr>
    <w:rPr>
      <w:rFonts w:eastAsiaTheme="majorEastAsia" w:cstheme="majorBidi"/>
      <w:bCs/>
    </w:rPr>
  </w:style>
  <w:style w:type="paragraph" w:styleId="Heading4">
    <w:name w:val="heading 4"/>
    <w:basedOn w:val="Normal"/>
    <w:next w:val="BodyText"/>
    <w:link w:val="Heading4Char"/>
    <w:semiHidden/>
    <w:unhideWhenUsed/>
    <w:qFormat/>
    <w:rsid w:val="00763875"/>
    <w:pPr>
      <w:keepNext/>
      <w:spacing w:after="240"/>
      <w:outlineLvl w:val="3"/>
    </w:pPr>
    <w:rPr>
      <w:rFonts w:eastAsiaTheme="majorEastAsia" w:cstheme="majorBidi"/>
      <w:bCs/>
      <w:iCs/>
    </w:rPr>
  </w:style>
  <w:style w:type="paragraph" w:styleId="Heading5">
    <w:name w:val="heading 5"/>
    <w:basedOn w:val="Normal"/>
    <w:next w:val="BodyText"/>
    <w:link w:val="Heading5Char"/>
    <w:semiHidden/>
    <w:unhideWhenUsed/>
    <w:qFormat/>
    <w:rsid w:val="00763875"/>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763875"/>
    <w:pPr>
      <w:keepNext/>
      <w:spacing w:after="240"/>
      <w:outlineLvl w:val="5"/>
    </w:pPr>
    <w:rPr>
      <w:rFonts w:eastAsiaTheme="majorEastAsia" w:cstheme="majorBidi"/>
      <w:iCs/>
    </w:rPr>
  </w:style>
  <w:style w:type="paragraph" w:styleId="Heading7">
    <w:name w:val="heading 7"/>
    <w:basedOn w:val="Normal"/>
    <w:next w:val="BodyText"/>
    <w:link w:val="Heading7Char"/>
    <w:semiHidden/>
    <w:unhideWhenUsed/>
    <w:qFormat/>
    <w:rsid w:val="00763875"/>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763875"/>
    <w:pPr>
      <w:keepNext/>
      <w:spacing w:after="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763875"/>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613AC"/>
    <w:pPr>
      <w:tabs>
        <w:tab w:val="center" w:pos="4680"/>
        <w:tab w:val="right" w:pos="9360"/>
      </w:tabs>
    </w:pPr>
  </w:style>
  <w:style w:type="character" w:customStyle="1" w:styleId="HeaderChar">
    <w:name w:val="Header Char"/>
    <w:basedOn w:val="DefaultParagraphFont"/>
    <w:link w:val="Header"/>
    <w:uiPriority w:val="99"/>
    <w:semiHidden/>
    <w:rsid w:val="00D87787"/>
  </w:style>
  <w:style w:type="paragraph" w:styleId="Footer">
    <w:name w:val="footer"/>
    <w:basedOn w:val="Normal"/>
    <w:link w:val="FooterChar"/>
    <w:uiPriority w:val="99"/>
    <w:rsid w:val="007944C8"/>
    <w:pPr>
      <w:tabs>
        <w:tab w:val="center" w:pos="4680"/>
        <w:tab w:val="right" w:pos="9360"/>
      </w:tabs>
    </w:pPr>
  </w:style>
  <w:style w:type="character" w:customStyle="1" w:styleId="FooterChar">
    <w:name w:val="Footer Char"/>
    <w:basedOn w:val="DefaultParagraphFont"/>
    <w:link w:val="Footer"/>
    <w:uiPriority w:val="99"/>
    <w:rsid w:val="007944C8"/>
  </w:style>
  <w:style w:type="character" w:customStyle="1" w:styleId="DocID">
    <w:name w:val="DocID"/>
    <w:basedOn w:val="DefaultParagraphFont"/>
    <w:uiPriority w:val="1"/>
    <w:semiHidden/>
    <w:rsid w:val="000613AC"/>
    <w:rPr>
      <w:sz w:val="16"/>
    </w:rPr>
  </w:style>
  <w:style w:type="paragraph" w:styleId="BlockText">
    <w:name w:val="Block Text"/>
    <w:basedOn w:val="Normal"/>
    <w:uiPriority w:val="99"/>
    <w:semiHidden/>
    <w:rsid w:val="00D8778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rsid w:val="00D8778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D87787"/>
    <w:rPr>
      <w:rFonts w:eastAsiaTheme="majorEastAsia" w:cstheme="majorBidi"/>
      <w:sz w:val="20"/>
      <w:szCs w:val="20"/>
    </w:rPr>
  </w:style>
  <w:style w:type="paragraph" w:styleId="Index1">
    <w:name w:val="index 1"/>
    <w:basedOn w:val="Normal"/>
    <w:next w:val="Normal"/>
    <w:autoRedefine/>
    <w:uiPriority w:val="99"/>
    <w:semiHidden/>
    <w:rsid w:val="00D87787"/>
    <w:pPr>
      <w:ind w:left="240" w:hanging="240"/>
    </w:pPr>
  </w:style>
  <w:style w:type="paragraph" w:styleId="IndexHeading">
    <w:name w:val="index heading"/>
    <w:basedOn w:val="Normal"/>
    <w:next w:val="Index1"/>
    <w:uiPriority w:val="99"/>
    <w:semiHidden/>
    <w:rsid w:val="00D87787"/>
    <w:rPr>
      <w:rFonts w:eastAsiaTheme="majorEastAsia" w:cstheme="majorBidi"/>
      <w:b/>
      <w:bCs/>
    </w:rPr>
  </w:style>
  <w:style w:type="table" w:styleId="MediumGrid2">
    <w:name w:val="Medium Grid 2"/>
    <w:basedOn w:val="TableNormal"/>
    <w:uiPriority w:val="68"/>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D8778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778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778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778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778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778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778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D8778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D87787"/>
    <w:rPr>
      <w:rFonts w:eastAsiaTheme="majorEastAsia" w:cstheme="majorBidi"/>
      <w:shd w:val="pct20" w:color="auto" w:fill="auto"/>
    </w:rPr>
  </w:style>
  <w:style w:type="paragraph" w:styleId="Subtitle">
    <w:name w:val="Subtitle"/>
    <w:basedOn w:val="Normal"/>
    <w:next w:val="Normal"/>
    <w:link w:val="SubtitleChar"/>
    <w:uiPriority w:val="11"/>
    <w:semiHidden/>
    <w:qFormat/>
    <w:rsid w:val="00D8778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D87787"/>
    <w:rPr>
      <w:rFonts w:eastAsiaTheme="majorEastAsia" w:cstheme="majorBidi"/>
      <w:i/>
      <w:iCs/>
      <w:spacing w:val="15"/>
    </w:rPr>
  </w:style>
  <w:style w:type="paragraph" w:styleId="Title">
    <w:name w:val="Title"/>
    <w:basedOn w:val="Normal"/>
    <w:next w:val="BodyText"/>
    <w:link w:val="TitleChar"/>
    <w:uiPriority w:val="10"/>
    <w:unhideWhenUsed/>
    <w:qFormat/>
    <w:rsid w:val="00B461DB"/>
    <w:pPr>
      <w:keepNext/>
      <w:spacing w:after="240"/>
      <w:contextualSpacing/>
      <w:jc w:val="center"/>
    </w:pPr>
    <w:rPr>
      <w:rFonts w:eastAsiaTheme="majorEastAsia" w:cstheme="majorBidi"/>
      <w:b/>
      <w:sz w:val="32"/>
      <w:szCs w:val="52"/>
    </w:rPr>
  </w:style>
  <w:style w:type="character" w:customStyle="1" w:styleId="TitleChar">
    <w:name w:val="Title Char"/>
    <w:basedOn w:val="DefaultParagraphFont"/>
    <w:link w:val="Title"/>
    <w:uiPriority w:val="10"/>
    <w:rsid w:val="00B461DB"/>
    <w:rPr>
      <w:rFonts w:eastAsiaTheme="majorEastAsia" w:cstheme="majorBidi"/>
      <w:b/>
      <w:sz w:val="32"/>
      <w:szCs w:val="52"/>
    </w:rPr>
  </w:style>
  <w:style w:type="paragraph" w:styleId="TOAHeading">
    <w:name w:val="toa heading"/>
    <w:basedOn w:val="Normal"/>
    <w:next w:val="Normal"/>
    <w:uiPriority w:val="99"/>
    <w:semiHidden/>
    <w:rsid w:val="00D87787"/>
    <w:pPr>
      <w:spacing w:before="120"/>
    </w:pPr>
    <w:rPr>
      <w:rFonts w:eastAsiaTheme="majorEastAsia" w:cstheme="majorBidi"/>
      <w:b/>
      <w:bCs/>
    </w:rPr>
  </w:style>
  <w:style w:type="character" w:customStyle="1" w:styleId="Heading1Char">
    <w:name w:val="Heading 1 Char"/>
    <w:basedOn w:val="DefaultParagraphFont"/>
    <w:link w:val="Heading1"/>
    <w:rsid w:val="00763875"/>
    <w:rPr>
      <w:rFonts w:eastAsiaTheme="majorEastAsia" w:cstheme="majorBidi"/>
      <w:bCs/>
      <w:szCs w:val="28"/>
    </w:rPr>
  </w:style>
  <w:style w:type="paragraph" w:styleId="TOCHeading">
    <w:name w:val="TOC Heading"/>
    <w:basedOn w:val="Normal"/>
    <w:next w:val="Normal"/>
    <w:uiPriority w:val="39"/>
    <w:semiHidden/>
    <w:rsid w:val="00D87787"/>
  </w:style>
  <w:style w:type="paragraph" w:styleId="BodyText">
    <w:name w:val="Body Text"/>
    <w:basedOn w:val="Normal"/>
    <w:link w:val="BodyTextChar"/>
    <w:qFormat/>
    <w:rsid w:val="00763875"/>
    <w:pPr>
      <w:spacing w:after="240"/>
      <w:jc w:val="both"/>
    </w:pPr>
  </w:style>
  <w:style w:type="character" w:customStyle="1" w:styleId="BodyTextChar">
    <w:name w:val="Body Text Char"/>
    <w:basedOn w:val="DefaultParagraphFont"/>
    <w:link w:val="BodyText"/>
    <w:rsid w:val="00636330"/>
  </w:style>
  <w:style w:type="paragraph" w:styleId="BodyText3">
    <w:name w:val="Body Text 3"/>
    <w:basedOn w:val="Normal"/>
    <w:link w:val="BodyText3Char"/>
    <w:qFormat/>
    <w:rsid w:val="00263968"/>
    <w:pPr>
      <w:spacing w:after="240"/>
    </w:pPr>
    <w:rPr>
      <w:szCs w:val="16"/>
    </w:rPr>
  </w:style>
  <w:style w:type="character" w:customStyle="1" w:styleId="BodyText3Char">
    <w:name w:val="Body Text 3 Char"/>
    <w:basedOn w:val="DefaultParagraphFont"/>
    <w:link w:val="BodyText3"/>
    <w:rsid w:val="00636330"/>
    <w:rPr>
      <w:szCs w:val="16"/>
    </w:rPr>
  </w:style>
  <w:style w:type="paragraph" w:styleId="BodyTextFirstIndent">
    <w:name w:val="Body Text First Indent"/>
    <w:basedOn w:val="BodyText"/>
    <w:link w:val="BodyTextFirstIndentChar"/>
    <w:qFormat/>
    <w:rsid w:val="00263968"/>
    <w:pPr>
      <w:ind w:firstLine="1440"/>
    </w:pPr>
  </w:style>
  <w:style w:type="character" w:customStyle="1" w:styleId="BodyTextFirstIndentChar">
    <w:name w:val="Body Text First Indent Char"/>
    <w:basedOn w:val="BodyTextChar"/>
    <w:link w:val="BodyTextFirstIndent"/>
    <w:rsid w:val="00636330"/>
  </w:style>
  <w:style w:type="paragraph" w:styleId="BodyTextIndent">
    <w:name w:val="Body Text Indent"/>
    <w:basedOn w:val="Normal"/>
    <w:link w:val="BodyTextIndentChar"/>
    <w:qFormat/>
    <w:rsid w:val="00263968"/>
    <w:pPr>
      <w:spacing w:after="240"/>
      <w:ind w:left="720"/>
    </w:pPr>
  </w:style>
  <w:style w:type="character" w:customStyle="1" w:styleId="BodyTextIndentChar">
    <w:name w:val="Body Text Indent Char"/>
    <w:basedOn w:val="DefaultParagraphFont"/>
    <w:link w:val="BodyTextIndent"/>
    <w:rsid w:val="00636330"/>
  </w:style>
  <w:style w:type="paragraph" w:styleId="BodyTextFirstIndent2">
    <w:name w:val="Body Text First Indent 2"/>
    <w:basedOn w:val="BodyTextIndent"/>
    <w:link w:val="BodyTextFirstIndent2Char"/>
    <w:qFormat/>
    <w:rsid w:val="00263968"/>
    <w:pPr>
      <w:ind w:firstLine="1440"/>
    </w:pPr>
  </w:style>
  <w:style w:type="character" w:customStyle="1" w:styleId="BodyTextFirstIndent2Char">
    <w:name w:val="Body Text First Indent 2 Char"/>
    <w:basedOn w:val="BodyTextIndentChar"/>
    <w:link w:val="BodyTextFirstIndent2"/>
    <w:rsid w:val="00636330"/>
  </w:style>
  <w:style w:type="paragraph" w:styleId="BodyTextIndent2">
    <w:name w:val="Body Text Indent 2"/>
    <w:basedOn w:val="Normal"/>
    <w:link w:val="BodyTextIndent2Char"/>
    <w:qFormat/>
    <w:rsid w:val="008028AB"/>
    <w:pPr>
      <w:spacing w:after="120" w:line="480" w:lineRule="auto"/>
      <w:ind w:left="720"/>
    </w:pPr>
  </w:style>
  <w:style w:type="character" w:customStyle="1" w:styleId="BodyTextIndent2Char">
    <w:name w:val="Body Text Indent 2 Char"/>
    <w:basedOn w:val="DefaultParagraphFont"/>
    <w:link w:val="BodyTextIndent2"/>
    <w:rsid w:val="00636330"/>
  </w:style>
  <w:style w:type="paragraph" w:styleId="BodyTextIndent3">
    <w:name w:val="Body Text Indent 3"/>
    <w:basedOn w:val="Normal"/>
    <w:link w:val="BodyTextIndent3Char"/>
    <w:qFormat/>
    <w:rsid w:val="00263968"/>
    <w:pPr>
      <w:spacing w:after="240"/>
      <w:ind w:left="720"/>
    </w:pPr>
    <w:rPr>
      <w:szCs w:val="16"/>
    </w:rPr>
  </w:style>
  <w:style w:type="character" w:customStyle="1" w:styleId="BodyTextIndent3Char">
    <w:name w:val="Body Text Indent 3 Char"/>
    <w:basedOn w:val="DefaultParagraphFont"/>
    <w:link w:val="BodyTextIndent3"/>
    <w:rsid w:val="00636330"/>
    <w:rPr>
      <w:szCs w:val="16"/>
    </w:rPr>
  </w:style>
  <w:style w:type="character" w:customStyle="1" w:styleId="Heading2Char">
    <w:name w:val="Heading 2 Char"/>
    <w:basedOn w:val="DefaultParagraphFont"/>
    <w:link w:val="Heading2"/>
    <w:rsid w:val="00763875"/>
    <w:rPr>
      <w:rFonts w:eastAsiaTheme="majorEastAsia" w:cstheme="majorBidi"/>
      <w:bCs/>
      <w:szCs w:val="26"/>
    </w:rPr>
  </w:style>
  <w:style w:type="character" w:customStyle="1" w:styleId="Heading3Char">
    <w:name w:val="Heading 3 Char"/>
    <w:basedOn w:val="DefaultParagraphFont"/>
    <w:link w:val="Heading3"/>
    <w:rsid w:val="00763875"/>
    <w:rPr>
      <w:rFonts w:eastAsiaTheme="majorEastAsia" w:cstheme="majorBidi"/>
      <w:bCs/>
    </w:rPr>
  </w:style>
  <w:style w:type="character" w:customStyle="1" w:styleId="Heading4Char">
    <w:name w:val="Heading 4 Char"/>
    <w:basedOn w:val="DefaultParagraphFont"/>
    <w:link w:val="Heading4"/>
    <w:semiHidden/>
    <w:rsid w:val="00763875"/>
    <w:rPr>
      <w:rFonts w:eastAsiaTheme="majorEastAsia" w:cstheme="majorBidi"/>
      <w:bCs/>
      <w:iCs/>
    </w:rPr>
  </w:style>
  <w:style w:type="character" w:customStyle="1" w:styleId="Heading5Char">
    <w:name w:val="Heading 5 Char"/>
    <w:basedOn w:val="DefaultParagraphFont"/>
    <w:link w:val="Heading5"/>
    <w:semiHidden/>
    <w:rsid w:val="00763875"/>
    <w:rPr>
      <w:rFonts w:eastAsiaTheme="majorEastAsia" w:cstheme="majorBidi"/>
    </w:rPr>
  </w:style>
  <w:style w:type="character" w:customStyle="1" w:styleId="Heading6Char">
    <w:name w:val="Heading 6 Char"/>
    <w:basedOn w:val="DefaultParagraphFont"/>
    <w:link w:val="Heading6"/>
    <w:semiHidden/>
    <w:rsid w:val="00763875"/>
    <w:rPr>
      <w:rFonts w:eastAsiaTheme="majorEastAsia" w:cstheme="majorBidi"/>
      <w:iCs/>
    </w:rPr>
  </w:style>
  <w:style w:type="character" w:customStyle="1" w:styleId="Heading7Char">
    <w:name w:val="Heading 7 Char"/>
    <w:basedOn w:val="DefaultParagraphFont"/>
    <w:link w:val="Heading7"/>
    <w:semiHidden/>
    <w:rsid w:val="00763875"/>
    <w:rPr>
      <w:rFonts w:eastAsiaTheme="majorEastAsia" w:cstheme="majorBidi"/>
      <w:iCs/>
    </w:rPr>
  </w:style>
  <w:style w:type="character" w:customStyle="1" w:styleId="Heading8Char">
    <w:name w:val="Heading 8 Char"/>
    <w:basedOn w:val="DefaultParagraphFont"/>
    <w:link w:val="Heading8"/>
    <w:semiHidden/>
    <w:rsid w:val="00763875"/>
    <w:rPr>
      <w:rFonts w:eastAsiaTheme="majorEastAsia" w:cstheme="majorBidi"/>
      <w:szCs w:val="20"/>
    </w:rPr>
  </w:style>
  <w:style w:type="character" w:customStyle="1" w:styleId="Heading9Char">
    <w:name w:val="Heading 9 Char"/>
    <w:basedOn w:val="DefaultParagraphFont"/>
    <w:link w:val="Heading9"/>
    <w:semiHidden/>
    <w:rsid w:val="00763875"/>
    <w:rPr>
      <w:rFonts w:eastAsiaTheme="majorEastAsia" w:cstheme="majorBidi"/>
      <w:iCs/>
      <w:szCs w:val="20"/>
    </w:rPr>
  </w:style>
  <w:style w:type="paragraph" w:customStyle="1" w:styleId="Address">
    <w:name w:val="Address"/>
    <w:basedOn w:val="BodyText"/>
    <w:qFormat/>
    <w:rsid w:val="00D557A5"/>
    <w:pPr>
      <w:jc w:val="left"/>
    </w:pPr>
  </w:style>
  <w:style w:type="paragraph" w:styleId="FootnoteText">
    <w:name w:val="footnote text"/>
    <w:basedOn w:val="Normal"/>
    <w:link w:val="FootnoteTextChar"/>
    <w:uiPriority w:val="99"/>
    <w:semiHidden/>
    <w:unhideWhenUsed/>
    <w:rsid w:val="003D7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6D0"/>
    <w:rPr>
      <w:rFonts w:asciiTheme="minorHAnsi" w:hAnsiTheme="minorHAnsi"/>
      <w:sz w:val="20"/>
      <w:szCs w:val="20"/>
    </w:rPr>
  </w:style>
  <w:style w:type="character" w:styleId="FootnoteReference">
    <w:name w:val="footnote reference"/>
    <w:basedOn w:val="DefaultParagraphFont"/>
    <w:uiPriority w:val="99"/>
    <w:semiHidden/>
    <w:unhideWhenUsed/>
    <w:rsid w:val="003D76D0"/>
    <w:rPr>
      <w:vertAlign w:val="superscript"/>
    </w:rPr>
  </w:style>
  <w:style w:type="paragraph" w:customStyle="1" w:styleId="Default">
    <w:name w:val="Default"/>
    <w:rsid w:val="003D76D0"/>
    <w:pPr>
      <w:autoSpaceDE w:val="0"/>
      <w:autoSpaceDN w:val="0"/>
      <w:adjustRightInd w:val="0"/>
    </w:pPr>
    <w:rPr>
      <w:rFonts w:cs="Times New Roman"/>
      <w:color w:val="000000"/>
    </w:rPr>
  </w:style>
  <w:style w:type="paragraph" w:styleId="ListParagraph">
    <w:name w:val="List Paragraph"/>
    <w:basedOn w:val="Normal"/>
    <w:uiPriority w:val="34"/>
    <w:qFormat/>
    <w:rsid w:val="003D76D0"/>
    <w:pPr>
      <w:ind w:left="720"/>
      <w:contextualSpacing/>
    </w:pPr>
  </w:style>
  <w:style w:type="character" w:styleId="Hyperlink">
    <w:name w:val="Hyperlink"/>
    <w:basedOn w:val="DefaultParagraphFont"/>
    <w:uiPriority w:val="99"/>
    <w:unhideWhenUsed/>
    <w:rsid w:val="003D76D0"/>
    <w:rPr>
      <w:color w:val="0563C1"/>
      <w:u w:val="single"/>
    </w:rPr>
  </w:style>
  <w:style w:type="table" w:styleId="TableGrid">
    <w:name w:val="Table Grid"/>
    <w:basedOn w:val="TableNormal"/>
    <w:uiPriority w:val="59"/>
    <w:rsid w:val="003D76D0"/>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76D0"/>
    <w:rPr>
      <w:color w:val="605E5C"/>
      <w:shd w:val="clear" w:color="auto" w:fill="E1DFDD"/>
    </w:rPr>
  </w:style>
  <w:style w:type="table" w:customStyle="1" w:styleId="TableGrid1">
    <w:name w:val="Table Grid1"/>
    <w:basedOn w:val="TableNormal"/>
    <w:next w:val="TableGrid"/>
    <w:uiPriority w:val="59"/>
    <w:rsid w:val="00F5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5D6"/>
    <w:rPr>
      <w:sz w:val="16"/>
      <w:szCs w:val="16"/>
    </w:rPr>
  </w:style>
  <w:style w:type="paragraph" w:styleId="CommentText">
    <w:name w:val="annotation text"/>
    <w:basedOn w:val="Normal"/>
    <w:link w:val="CommentTextChar"/>
    <w:uiPriority w:val="99"/>
    <w:semiHidden/>
    <w:unhideWhenUsed/>
    <w:rsid w:val="003305D6"/>
    <w:pPr>
      <w:spacing w:line="240" w:lineRule="auto"/>
    </w:pPr>
    <w:rPr>
      <w:sz w:val="20"/>
      <w:szCs w:val="20"/>
    </w:rPr>
  </w:style>
  <w:style w:type="character" w:customStyle="1" w:styleId="CommentTextChar">
    <w:name w:val="Comment Text Char"/>
    <w:basedOn w:val="DefaultParagraphFont"/>
    <w:link w:val="CommentText"/>
    <w:uiPriority w:val="99"/>
    <w:semiHidden/>
    <w:rsid w:val="003305D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305D6"/>
    <w:rPr>
      <w:b/>
      <w:bCs/>
    </w:rPr>
  </w:style>
  <w:style w:type="character" w:customStyle="1" w:styleId="CommentSubjectChar">
    <w:name w:val="Comment Subject Char"/>
    <w:basedOn w:val="CommentTextChar"/>
    <w:link w:val="CommentSubject"/>
    <w:uiPriority w:val="99"/>
    <w:semiHidden/>
    <w:rsid w:val="003305D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30f505-3839-497d-97ae-5564798e3bdf">
      <Terms xmlns="http://schemas.microsoft.com/office/infopath/2007/PartnerControls"/>
    </lcf76f155ced4ddcb4097134ff3c332f>
    <TaxCatchAll xmlns="9bf46961-5452-4baf-bdc3-5c7fa341d7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FC6F763577B418DF8FE0178B39006" ma:contentTypeVersion="16" ma:contentTypeDescription="Create a new document." ma:contentTypeScope="" ma:versionID="739328762fa14422fee20f5025611ad1">
  <xsd:schema xmlns:xsd="http://www.w3.org/2001/XMLSchema" xmlns:xs="http://www.w3.org/2001/XMLSchema" xmlns:p="http://schemas.microsoft.com/office/2006/metadata/properties" xmlns:ns2="ca30f505-3839-497d-97ae-5564798e3bdf" xmlns:ns3="9bf46961-5452-4baf-bdc3-5c7fa341d75c" targetNamespace="http://schemas.microsoft.com/office/2006/metadata/properties" ma:root="true" ma:fieldsID="9a3ec68f3b01ae3b11dea7fe9bad67cf" ns2:_="" ns3:_="">
    <xsd:import namespace="ca30f505-3839-497d-97ae-5564798e3bdf"/>
    <xsd:import namespace="9bf46961-5452-4baf-bdc3-5c7fa341d7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0f505-3839-497d-97ae-5564798e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0b0ab0-0505-46c8-abd6-bfa080b35e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46961-5452-4baf-bdc3-5c7fa341d7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3f5fdb-9f45-41e8-8069-032517b92938}" ma:internalName="TaxCatchAll" ma:showField="CatchAllData" ma:web="9bf46961-5452-4baf-bdc3-5c7fa341d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668C-DB8A-482D-8341-311251C3F4D2}">
  <ds:schemaRefs>
    <ds:schemaRef ds:uri="http://schemas.microsoft.com/office/2006/metadata/properties"/>
    <ds:schemaRef ds:uri="http://schemas.microsoft.com/office/infopath/2007/PartnerControls"/>
    <ds:schemaRef ds:uri="ca30f505-3839-497d-97ae-5564798e3bdf"/>
    <ds:schemaRef ds:uri="9bf46961-5452-4baf-bdc3-5c7fa341d75c"/>
  </ds:schemaRefs>
</ds:datastoreItem>
</file>

<file path=customXml/itemProps2.xml><?xml version="1.0" encoding="utf-8"?>
<ds:datastoreItem xmlns:ds="http://schemas.openxmlformats.org/officeDocument/2006/customXml" ds:itemID="{487F2966-7E39-453A-A20D-F722969945BB}">
  <ds:schemaRefs>
    <ds:schemaRef ds:uri="http://schemas.microsoft.com/sharepoint/v3/contenttype/forms"/>
  </ds:schemaRefs>
</ds:datastoreItem>
</file>

<file path=customXml/itemProps3.xml><?xml version="1.0" encoding="utf-8"?>
<ds:datastoreItem xmlns:ds="http://schemas.openxmlformats.org/officeDocument/2006/customXml" ds:itemID="{EFB394E6-472B-4C0B-BCE4-6BDA56D6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0f505-3839-497d-97ae-5564798e3bdf"/>
    <ds:schemaRef ds:uri="9bf46961-5452-4baf-bdc3-5c7fa341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55022-D69B-4DB2-84DB-D016EE3F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2840</Words>
  <Characters>16673</Characters>
  <Application>Microsoft Office Word</Application>
  <DocSecurity>0</DocSecurity>
  <Lines>387</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2022-11-07T22:37:00Z</dcterms:created>
  <dcterms:modified xsi:type="dcterms:W3CDTF">2022-11-07T22:59:00Z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101175259.1</vt:lpwstr>
  </property>
  <property fmtid="{D5CDD505-2E9C-101B-9397-08002B2CF9AE}" pid="3" name="DocumentType">
    <vt:lpwstr>pgBlank</vt:lpwstr>
  </property>
  <property fmtid="{D5CDD505-2E9C-101B-9397-08002B2CF9AE}" pid="4" name="ContentTypeId">
    <vt:lpwstr>0x010100B7EFC6F763577B418DF8FE0178B39006</vt:lpwstr>
  </property>
  <property fmtid="{D5CDD505-2E9C-101B-9397-08002B2CF9AE}" pid="5" name="MediaServiceImageTags">
    <vt:lpwstr/>
  </property>
</Properties>
</file>