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6CD65" w14:textId="77777777" w:rsidR="00284608" w:rsidRPr="00284608" w:rsidRDefault="00B26A4A"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Courier New"/>
          <w:b/>
          <w:bCs/>
          <w:szCs w:val="20"/>
        </w:rPr>
      </w:pPr>
      <w:bookmarkStart w:id="0" w:name="_Hlk158035144"/>
      <w:r w:rsidRPr="00284608">
        <w:rPr>
          <w:rFonts w:eastAsia="Courier New" w:cs="Courier New"/>
          <w:b/>
          <w:bCs/>
          <w:szCs w:val="20"/>
        </w:rPr>
        <w:t>BEFORE</w:t>
      </w:r>
    </w:p>
    <w:p w14:paraId="1782838B" w14:textId="77777777" w:rsidR="00284608" w:rsidRPr="00284608" w:rsidRDefault="00B26A4A"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Courier New"/>
          <w:szCs w:val="20"/>
        </w:rPr>
      </w:pPr>
      <w:r w:rsidRPr="00284608">
        <w:rPr>
          <w:rFonts w:eastAsia="Courier New" w:cs="Courier New"/>
          <w:b/>
          <w:bCs/>
          <w:szCs w:val="20"/>
        </w:rPr>
        <w:t>THE PUBLIC UTILITIES COMMISSION OF OHIO</w:t>
      </w:r>
    </w:p>
    <w:p w14:paraId="04FD3BE6" w14:textId="77777777" w:rsidR="00284608" w:rsidRPr="00284608" w:rsidRDefault="00284608"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p>
    <w:tbl>
      <w:tblPr>
        <w:tblW w:w="9092" w:type="dxa"/>
        <w:tblLook w:val="01E0" w:firstRow="1" w:lastRow="1" w:firstColumn="1" w:lastColumn="1" w:noHBand="0" w:noVBand="0"/>
      </w:tblPr>
      <w:tblGrid>
        <w:gridCol w:w="4332"/>
        <w:gridCol w:w="360"/>
        <w:gridCol w:w="4400"/>
      </w:tblGrid>
      <w:tr w:rsidR="00162F74" w14:paraId="7091B0B9" w14:textId="77777777" w:rsidTr="00AE32D7">
        <w:trPr>
          <w:trHeight w:val="807"/>
        </w:trPr>
        <w:tc>
          <w:tcPr>
            <w:tcW w:w="4332" w:type="dxa"/>
            <w:shd w:val="clear" w:color="auto" w:fill="auto"/>
          </w:tcPr>
          <w:p w14:paraId="01EF9637" w14:textId="77777777" w:rsidR="00284608" w:rsidRPr="00284608" w:rsidRDefault="00B26A4A"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bookmarkStart w:id="1" w:name="_Hlk158279827"/>
            <w:r w:rsidRPr="00284608">
              <w:rPr>
                <w:rFonts w:eastAsia="Courier New"/>
              </w:rPr>
              <w:t>In the Matter of the Application of The East Ohio Gas Company d/b/a Dominion Energy Ohio for Approval to Increase Natural Gas Rates.</w:t>
            </w:r>
          </w:p>
          <w:p w14:paraId="5F625D2C" w14:textId="77777777" w:rsidR="00284608" w:rsidRPr="00284608" w:rsidRDefault="00284608"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14:paraId="5B9D4CBB" w14:textId="77777777" w:rsidR="00284608" w:rsidRPr="00284608" w:rsidRDefault="00B26A4A"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 xml:space="preserve">In the Matter of the Application of The East Ohio Gas Company d/b/a </w:t>
            </w:r>
            <w:r w:rsidRPr="00284608">
              <w:rPr>
                <w:rFonts w:eastAsia="Courier New"/>
              </w:rPr>
              <w:t>Dominion Energy Ohio for Approval of Alternative Rate Plan.</w:t>
            </w:r>
          </w:p>
          <w:p w14:paraId="3C959A6B" w14:textId="77777777" w:rsidR="00284608" w:rsidRPr="00284608" w:rsidRDefault="00284608"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14:paraId="5251D7B5" w14:textId="77777777" w:rsidR="00284608" w:rsidRPr="00284608" w:rsidRDefault="00B26A4A"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In the Matter of the Application of The East Ohio Gas Company d/b/a Dominion Energy Ohio for Approval to Change Accounting Methods.</w:t>
            </w:r>
          </w:p>
          <w:p w14:paraId="28CD169E" w14:textId="77777777" w:rsidR="00284608" w:rsidRPr="00284608" w:rsidRDefault="00284608"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14:paraId="3DE31B44" w14:textId="427F7FBD" w:rsidR="00284608" w:rsidRPr="00284608" w:rsidRDefault="00B26A4A" w:rsidP="005C7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84608">
              <w:rPr>
                <w:rFonts w:eastAsia="Courier New"/>
              </w:rPr>
              <w:t xml:space="preserve">In the Matter of the Application of The East Ohio Gas Company d/b/a Dominion Energy Ohio for Approval of Tariff Revisions. </w:t>
            </w:r>
          </w:p>
        </w:tc>
        <w:tc>
          <w:tcPr>
            <w:tcW w:w="360" w:type="dxa"/>
            <w:shd w:val="clear" w:color="auto" w:fill="auto"/>
          </w:tcPr>
          <w:p w14:paraId="4C99D80B" w14:textId="77777777" w:rsidR="00284608" w:rsidRPr="00284608" w:rsidRDefault="00B26A4A"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w:t>
            </w:r>
          </w:p>
          <w:p w14:paraId="4501FDC1" w14:textId="77777777" w:rsidR="00284608" w:rsidRPr="00284608" w:rsidRDefault="00B26A4A"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w:t>
            </w:r>
          </w:p>
          <w:p w14:paraId="7870B432" w14:textId="77777777" w:rsidR="00284608" w:rsidRPr="00284608" w:rsidRDefault="00B26A4A"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w:t>
            </w:r>
          </w:p>
          <w:p w14:paraId="16BDCF43" w14:textId="77777777" w:rsidR="00284608" w:rsidRPr="00284608" w:rsidRDefault="00B26A4A"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w:t>
            </w:r>
          </w:p>
          <w:p w14:paraId="0AC502CD" w14:textId="77777777" w:rsidR="00284608" w:rsidRPr="00284608" w:rsidRDefault="00284608"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14:paraId="4309348F" w14:textId="77777777" w:rsidR="00284608" w:rsidRPr="00284608" w:rsidRDefault="00B26A4A"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w:t>
            </w:r>
          </w:p>
          <w:p w14:paraId="533233BB" w14:textId="77777777" w:rsidR="00284608" w:rsidRPr="00284608" w:rsidRDefault="00B26A4A"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w:t>
            </w:r>
          </w:p>
          <w:p w14:paraId="47F76859" w14:textId="77777777" w:rsidR="00284608" w:rsidRPr="00284608" w:rsidRDefault="00B26A4A"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w:t>
            </w:r>
          </w:p>
          <w:p w14:paraId="796AE8E2" w14:textId="77777777" w:rsidR="00284608" w:rsidRPr="00284608" w:rsidRDefault="00B26A4A"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w:t>
            </w:r>
          </w:p>
          <w:p w14:paraId="15751C0B" w14:textId="77777777" w:rsidR="00284608" w:rsidRPr="00284608" w:rsidRDefault="00284608"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14:paraId="48C181E0" w14:textId="77777777" w:rsidR="00284608" w:rsidRPr="00284608" w:rsidRDefault="00B26A4A"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w:t>
            </w:r>
          </w:p>
          <w:p w14:paraId="42A04AD6" w14:textId="77777777" w:rsidR="00284608" w:rsidRPr="00284608" w:rsidRDefault="00B26A4A"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w:t>
            </w:r>
          </w:p>
          <w:p w14:paraId="1A63D321" w14:textId="77777777" w:rsidR="00284608" w:rsidRPr="00284608" w:rsidRDefault="00B26A4A"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w:t>
            </w:r>
          </w:p>
          <w:p w14:paraId="02A7553C" w14:textId="77777777" w:rsidR="00284608" w:rsidRPr="00284608" w:rsidRDefault="00B26A4A"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w:t>
            </w:r>
          </w:p>
          <w:p w14:paraId="687D93C5" w14:textId="77777777" w:rsidR="00284608" w:rsidRPr="00284608" w:rsidRDefault="00284608"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14:paraId="349AD685" w14:textId="77777777" w:rsidR="00284608" w:rsidRPr="00284608" w:rsidRDefault="00B26A4A"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w:t>
            </w:r>
          </w:p>
          <w:p w14:paraId="332470A7" w14:textId="77777777" w:rsidR="00284608" w:rsidRPr="00284608" w:rsidRDefault="00B26A4A"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w:t>
            </w:r>
          </w:p>
          <w:p w14:paraId="18028353" w14:textId="77777777" w:rsidR="00284608" w:rsidRPr="00284608" w:rsidRDefault="00B26A4A"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w:t>
            </w:r>
          </w:p>
          <w:p w14:paraId="3374B3A9" w14:textId="77777777" w:rsidR="00284608" w:rsidRPr="00284608" w:rsidRDefault="00B26A4A"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w:t>
            </w:r>
          </w:p>
          <w:p w14:paraId="1F1D3031" w14:textId="77777777" w:rsidR="00284608" w:rsidRPr="00284608" w:rsidRDefault="00284608"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p>
        </w:tc>
        <w:tc>
          <w:tcPr>
            <w:tcW w:w="4400" w:type="dxa"/>
            <w:shd w:val="clear" w:color="auto" w:fill="auto"/>
          </w:tcPr>
          <w:p w14:paraId="3DCE7A74" w14:textId="77777777" w:rsidR="00284608" w:rsidRPr="00284608" w:rsidRDefault="00284608"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14:paraId="353C85E3" w14:textId="77777777" w:rsidR="00284608" w:rsidRPr="00284608" w:rsidRDefault="00B26A4A"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Case No. 23-894-GA-AIR</w:t>
            </w:r>
          </w:p>
          <w:p w14:paraId="6DE935D2" w14:textId="77777777" w:rsidR="00284608" w:rsidRPr="00284608" w:rsidRDefault="00284608"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14:paraId="26C2A9C2" w14:textId="77777777" w:rsidR="00284608" w:rsidRPr="00284608" w:rsidRDefault="00284608"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14:paraId="14F743AE" w14:textId="77777777" w:rsidR="00284608" w:rsidRPr="00284608" w:rsidRDefault="00284608"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14:paraId="6CEC39A2" w14:textId="77777777" w:rsidR="00284608" w:rsidRPr="00284608" w:rsidRDefault="00284608"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14:paraId="3D6BEA5F" w14:textId="77777777" w:rsidR="00284608" w:rsidRPr="00284608" w:rsidRDefault="00B26A4A"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Case No. 23-895-GA-ALT</w:t>
            </w:r>
          </w:p>
          <w:p w14:paraId="700B155A" w14:textId="77777777" w:rsidR="00284608" w:rsidRPr="00284608" w:rsidRDefault="00284608"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14:paraId="743F0B8A" w14:textId="77777777" w:rsidR="00284608" w:rsidRPr="00284608" w:rsidRDefault="00284608"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14:paraId="31AA9210" w14:textId="77777777" w:rsidR="00284608" w:rsidRPr="00284608" w:rsidRDefault="00284608"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14:paraId="77B23D0F" w14:textId="77777777" w:rsidR="00284608" w:rsidRPr="00284608" w:rsidRDefault="00284608"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14:paraId="0BDD7312" w14:textId="77777777" w:rsidR="00284608" w:rsidRPr="00284608" w:rsidRDefault="00B26A4A"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Case No. 23-896-GA-AAM</w:t>
            </w:r>
          </w:p>
          <w:p w14:paraId="49942E83" w14:textId="77777777" w:rsidR="00284608" w:rsidRPr="00284608" w:rsidRDefault="00284608"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14:paraId="54C9418A" w14:textId="77777777" w:rsidR="00284608" w:rsidRPr="00284608" w:rsidRDefault="00284608"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14:paraId="47E41ED4" w14:textId="77777777" w:rsidR="00284608" w:rsidRPr="00284608" w:rsidRDefault="00284608"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14:paraId="157F80BD" w14:textId="77777777" w:rsidR="00284608" w:rsidRPr="00284608" w:rsidRDefault="00284608"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14:paraId="577A7E58" w14:textId="77777777" w:rsidR="00284608" w:rsidRPr="00284608" w:rsidRDefault="00B26A4A"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Case No. 23-897-GA-ATA</w:t>
            </w:r>
          </w:p>
          <w:p w14:paraId="114DCBD7" w14:textId="77777777" w:rsidR="00284608" w:rsidRPr="00284608" w:rsidRDefault="00284608"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tc>
      </w:tr>
      <w:tr w:rsidR="00162F74" w14:paraId="47E26494" w14:textId="77777777" w:rsidTr="00AE32D7">
        <w:trPr>
          <w:trHeight w:val="807"/>
        </w:trPr>
        <w:tc>
          <w:tcPr>
            <w:tcW w:w="4332" w:type="dxa"/>
            <w:shd w:val="clear" w:color="auto" w:fill="auto"/>
          </w:tcPr>
          <w:p w14:paraId="20359D33" w14:textId="77777777" w:rsidR="00284608" w:rsidRPr="00284608" w:rsidRDefault="00B26A4A" w:rsidP="00284608">
            <w:pPr>
              <w:autoSpaceDE w:val="0"/>
              <w:autoSpaceDN w:val="0"/>
              <w:adjustRightInd w:val="0"/>
            </w:pPr>
            <w:r w:rsidRPr="00284608">
              <w:t>In the Matter of the Notice of The East</w:t>
            </w:r>
          </w:p>
          <w:p w14:paraId="43DC67E6" w14:textId="77777777" w:rsidR="00284608" w:rsidRPr="00284608" w:rsidRDefault="00B26A4A" w:rsidP="00284608">
            <w:pPr>
              <w:autoSpaceDE w:val="0"/>
              <w:autoSpaceDN w:val="0"/>
              <w:adjustRightInd w:val="0"/>
            </w:pPr>
            <w:r w:rsidRPr="00284608">
              <w:t xml:space="preserve">Ohio Gas </w:t>
            </w:r>
            <w:r w:rsidRPr="00284608">
              <w:t>Company dba Dominion</w:t>
            </w:r>
          </w:p>
          <w:p w14:paraId="798AA922" w14:textId="77777777" w:rsidR="00284608" w:rsidRPr="00284608" w:rsidRDefault="00B26A4A" w:rsidP="00284608">
            <w:pPr>
              <w:autoSpaceDE w:val="0"/>
              <w:autoSpaceDN w:val="0"/>
              <w:adjustRightInd w:val="0"/>
            </w:pPr>
            <w:r w:rsidRPr="00284608">
              <w:t xml:space="preserve">Energy Ohio and Enbridge Elephant </w:t>
            </w:r>
          </w:p>
          <w:p w14:paraId="57878199" w14:textId="77777777" w:rsidR="00284608" w:rsidRPr="00284608" w:rsidRDefault="00B26A4A" w:rsidP="00284608">
            <w:pPr>
              <w:autoSpaceDE w:val="0"/>
              <w:autoSpaceDN w:val="0"/>
              <w:adjustRightInd w:val="0"/>
            </w:pPr>
            <w:r w:rsidRPr="00284608">
              <w:t xml:space="preserve">Holdings, LLC. </w:t>
            </w:r>
          </w:p>
          <w:p w14:paraId="0483BB5A" w14:textId="77777777" w:rsidR="00284608" w:rsidRPr="00284608" w:rsidRDefault="00284608" w:rsidP="00284608">
            <w:pPr>
              <w:spacing w:after="120"/>
            </w:pPr>
          </w:p>
        </w:tc>
        <w:tc>
          <w:tcPr>
            <w:tcW w:w="360" w:type="dxa"/>
            <w:shd w:val="clear" w:color="auto" w:fill="auto"/>
          </w:tcPr>
          <w:p w14:paraId="4CB72D55" w14:textId="77777777" w:rsidR="00284608" w:rsidRPr="00284608" w:rsidRDefault="00B26A4A"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r w:rsidRPr="00284608">
              <w:rPr>
                <w:rFonts w:eastAsia="Courier New" w:cs="Courier New"/>
                <w:szCs w:val="20"/>
              </w:rPr>
              <w:t>)</w:t>
            </w:r>
          </w:p>
          <w:p w14:paraId="2A52F437" w14:textId="77777777" w:rsidR="00284608" w:rsidRPr="00284608" w:rsidRDefault="00B26A4A"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r w:rsidRPr="00284608">
              <w:rPr>
                <w:rFonts w:eastAsia="Courier New" w:cs="Courier New"/>
                <w:szCs w:val="20"/>
              </w:rPr>
              <w:t>)</w:t>
            </w:r>
          </w:p>
          <w:p w14:paraId="4B6FAFC1" w14:textId="77777777" w:rsidR="00284608" w:rsidRPr="00284608" w:rsidRDefault="00B26A4A"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r w:rsidRPr="00284608">
              <w:rPr>
                <w:rFonts w:eastAsia="Courier New" w:cs="Courier New"/>
                <w:szCs w:val="20"/>
              </w:rPr>
              <w:t>)</w:t>
            </w:r>
          </w:p>
          <w:p w14:paraId="16B66DC9" w14:textId="77777777" w:rsidR="00284608" w:rsidRPr="00284608" w:rsidRDefault="00B26A4A"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r w:rsidRPr="00284608">
              <w:rPr>
                <w:rFonts w:eastAsia="Courier New" w:cs="Courier New"/>
                <w:szCs w:val="20"/>
              </w:rPr>
              <w:t>)</w:t>
            </w:r>
          </w:p>
          <w:p w14:paraId="2D2F860F" w14:textId="77777777" w:rsidR="00284608" w:rsidRPr="00284608" w:rsidRDefault="00284608"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p>
        </w:tc>
        <w:tc>
          <w:tcPr>
            <w:tcW w:w="4400" w:type="dxa"/>
            <w:shd w:val="clear" w:color="auto" w:fill="auto"/>
          </w:tcPr>
          <w:p w14:paraId="1336B0D0" w14:textId="77777777" w:rsidR="00284608" w:rsidRPr="00284608" w:rsidRDefault="00284608"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p>
          <w:p w14:paraId="3429DA5A" w14:textId="77777777" w:rsidR="00284608" w:rsidRPr="00284608" w:rsidRDefault="00B26A4A"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r w:rsidRPr="00284608">
              <w:rPr>
                <w:rFonts w:eastAsia="Courier New" w:cs="Courier New"/>
                <w:szCs w:val="20"/>
              </w:rPr>
              <w:t>Case No. 23-972-GA-UNC</w:t>
            </w:r>
          </w:p>
          <w:p w14:paraId="44AA90C7" w14:textId="77777777" w:rsidR="00284608" w:rsidRPr="00284608" w:rsidRDefault="00284608"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p>
          <w:p w14:paraId="5E80F337" w14:textId="77777777" w:rsidR="00284608" w:rsidRPr="00284608" w:rsidRDefault="00284608"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p>
          <w:p w14:paraId="13FF656B" w14:textId="77777777" w:rsidR="00284608" w:rsidRPr="00284608" w:rsidRDefault="00284608" w:rsidP="00284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tc>
      </w:tr>
    </w:tbl>
    <w:bookmarkEnd w:id="1"/>
    <w:p w14:paraId="59F17259" w14:textId="77777777" w:rsidR="006557E1" w:rsidRPr="00D1690D" w:rsidRDefault="00B26A4A" w:rsidP="00AF1246">
      <w:pPr>
        <w:pStyle w:val="InsideAddress"/>
        <w:pBdr>
          <w:bottom w:val="single" w:sz="12" w:space="1" w:color="auto"/>
        </w:pBdr>
        <w:ind w:right="720"/>
        <w:rPr>
          <w:rFonts w:ascii="Times New Roman" w:eastAsia="Times New Roman" w:hAnsi="Times New Roman"/>
          <w:szCs w:val="24"/>
        </w:rPr>
      </w:pPr>
      <w:r>
        <w:rPr>
          <w:rFonts w:ascii="Times New Roman" w:eastAsia="Courier New" w:hAnsi="Times New Roman"/>
          <w:szCs w:val="24"/>
        </w:rPr>
        <w:t xml:space="preserve"> </w:t>
      </w:r>
    </w:p>
    <w:p w14:paraId="1EBCB260" w14:textId="77777777" w:rsidR="006557E1" w:rsidRPr="00D1690D" w:rsidRDefault="006557E1" w:rsidP="00AF1246">
      <w:pPr>
        <w:pStyle w:val="InsideAddress"/>
        <w:ind w:right="720"/>
        <w:rPr>
          <w:rFonts w:ascii="Times New Roman" w:eastAsia="Times New Roman" w:hAnsi="Times New Roman"/>
          <w:szCs w:val="24"/>
        </w:rPr>
      </w:pPr>
    </w:p>
    <w:p w14:paraId="105AC154" w14:textId="73BB43C5" w:rsidR="007F7A6E" w:rsidRDefault="00B26A4A" w:rsidP="00AF1246">
      <w:pPr>
        <w:pStyle w:val="Footer"/>
        <w:tabs>
          <w:tab w:val="clear" w:pos="4320"/>
          <w:tab w:val="clear" w:pos="8640"/>
        </w:tabs>
        <w:spacing w:line="240" w:lineRule="auto"/>
        <w:ind w:right="720"/>
        <w:jc w:val="center"/>
        <w:rPr>
          <w:b/>
        </w:rPr>
      </w:pPr>
      <w:r>
        <w:rPr>
          <w:b/>
        </w:rPr>
        <w:t>RE</w:t>
      </w:r>
      <w:r w:rsidR="00CE1CCF">
        <w:rPr>
          <w:b/>
        </w:rPr>
        <w:t>PLY</w:t>
      </w:r>
      <w:r>
        <w:rPr>
          <w:b/>
        </w:rPr>
        <w:t xml:space="preserve"> TO DOMINION</w:t>
      </w:r>
      <w:r w:rsidR="00727934">
        <w:rPr>
          <w:b/>
        </w:rPr>
        <w:t>’</w:t>
      </w:r>
      <w:r>
        <w:rPr>
          <w:b/>
        </w:rPr>
        <w:t>S MEMORANDUM CONTRA</w:t>
      </w:r>
    </w:p>
    <w:p w14:paraId="738CB2A1" w14:textId="77777777" w:rsidR="007F7A6E" w:rsidRDefault="00B26A4A" w:rsidP="00AF1246">
      <w:pPr>
        <w:pStyle w:val="Footer"/>
        <w:tabs>
          <w:tab w:val="clear" w:pos="4320"/>
          <w:tab w:val="clear" w:pos="8640"/>
        </w:tabs>
        <w:spacing w:line="240" w:lineRule="auto"/>
        <w:ind w:right="720"/>
        <w:jc w:val="center"/>
        <w:rPr>
          <w:b/>
        </w:rPr>
      </w:pPr>
      <w:r>
        <w:rPr>
          <w:b/>
        </w:rPr>
        <w:t xml:space="preserve">TO THE MOTION TO CONSOLIDATE </w:t>
      </w:r>
    </w:p>
    <w:p w14:paraId="5F5D1008" w14:textId="77777777" w:rsidR="007F7A6E" w:rsidRDefault="00B26A4A" w:rsidP="00AF1246">
      <w:pPr>
        <w:pStyle w:val="Footer"/>
        <w:tabs>
          <w:tab w:val="clear" w:pos="4320"/>
          <w:tab w:val="clear" w:pos="8640"/>
        </w:tabs>
        <w:spacing w:line="240" w:lineRule="auto"/>
        <w:ind w:right="720"/>
        <w:jc w:val="center"/>
        <w:rPr>
          <w:b/>
        </w:rPr>
      </w:pPr>
      <w:r>
        <w:rPr>
          <w:b/>
        </w:rPr>
        <w:t xml:space="preserve">BY </w:t>
      </w:r>
    </w:p>
    <w:p w14:paraId="3B67B01B" w14:textId="632456F8" w:rsidR="006557E1" w:rsidRPr="00D1690D" w:rsidRDefault="00B26A4A" w:rsidP="00AF1246">
      <w:pPr>
        <w:pStyle w:val="Footer"/>
        <w:tabs>
          <w:tab w:val="clear" w:pos="4320"/>
          <w:tab w:val="clear" w:pos="8640"/>
        </w:tabs>
        <w:spacing w:line="240" w:lineRule="auto"/>
        <w:ind w:right="720"/>
        <w:jc w:val="center"/>
        <w:rPr>
          <w:b/>
        </w:rPr>
      </w:pPr>
      <w:r w:rsidRPr="00D1690D">
        <w:rPr>
          <w:b/>
          <w:bCs/>
        </w:rPr>
        <w:t>OFFICE OF THE OHIO CONSUMERS</w:t>
      </w:r>
      <w:r w:rsidR="00727934">
        <w:rPr>
          <w:b/>
          <w:bCs/>
        </w:rPr>
        <w:t>’</w:t>
      </w:r>
      <w:r w:rsidRPr="00D1690D">
        <w:rPr>
          <w:b/>
          <w:bCs/>
        </w:rPr>
        <w:t xml:space="preserve"> COUNSEL</w:t>
      </w:r>
    </w:p>
    <w:p w14:paraId="72C59CCD" w14:textId="77777777" w:rsidR="006557E1" w:rsidRPr="00D1690D" w:rsidRDefault="006557E1" w:rsidP="00AF1246">
      <w:pPr>
        <w:pStyle w:val="Footer"/>
        <w:pBdr>
          <w:bottom w:val="single" w:sz="12" w:space="1" w:color="auto"/>
        </w:pBdr>
        <w:tabs>
          <w:tab w:val="clear" w:pos="4320"/>
          <w:tab w:val="clear" w:pos="8640"/>
        </w:tabs>
        <w:spacing w:line="240" w:lineRule="auto"/>
        <w:ind w:right="720"/>
        <w:rPr>
          <w:b/>
        </w:rPr>
      </w:pPr>
    </w:p>
    <w:p w14:paraId="221D6A86" w14:textId="77777777" w:rsidR="006557E1" w:rsidRPr="00D1690D" w:rsidRDefault="006557E1" w:rsidP="00AF1246">
      <w:pPr>
        <w:pStyle w:val="BodyTextIndent3"/>
        <w:widowControl w:val="0"/>
        <w:spacing w:line="240" w:lineRule="auto"/>
        <w:ind w:right="720"/>
        <w:rPr>
          <w:szCs w:val="24"/>
        </w:rPr>
      </w:pPr>
    </w:p>
    <w:bookmarkEnd w:id="0"/>
    <w:p w14:paraId="7D8534AF" w14:textId="77777777" w:rsidR="006557E1" w:rsidRPr="00BD21FE" w:rsidRDefault="00B26A4A" w:rsidP="00AF1246">
      <w:pPr>
        <w:widowControl w:val="0"/>
        <w:ind w:left="3600" w:right="720" w:firstLine="720"/>
      </w:pPr>
      <w:r w:rsidRPr="00BD21FE">
        <w:t xml:space="preserve">Maureen R. Willis </w:t>
      </w:r>
      <w:r w:rsidRPr="00BD21FE">
        <w:t>(0020847)</w:t>
      </w:r>
    </w:p>
    <w:p w14:paraId="7A4309EB" w14:textId="5DC1AA48" w:rsidR="006557E1" w:rsidRPr="00BD21FE" w:rsidRDefault="00B26A4A" w:rsidP="00AF1246">
      <w:pPr>
        <w:tabs>
          <w:tab w:val="left" w:pos="4320"/>
        </w:tabs>
        <w:ind w:right="720"/>
      </w:pPr>
      <w:r w:rsidRPr="00BD21FE">
        <w:tab/>
        <w:t>Ohio Consumers</w:t>
      </w:r>
      <w:r w:rsidR="00727934">
        <w:t>’</w:t>
      </w:r>
      <w:r w:rsidRPr="00BD21FE">
        <w:t xml:space="preserve"> Counsel</w:t>
      </w:r>
    </w:p>
    <w:p w14:paraId="78E06F62" w14:textId="77777777" w:rsidR="006557E1" w:rsidRPr="00BD21FE" w:rsidRDefault="00B26A4A" w:rsidP="00AF1246">
      <w:pPr>
        <w:tabs>
          <w:tab w:val="left" w:pos="4320"/>
        </w:tabs>
        <w:ind w:right="720"/>
      </w:pPr>
      <w:r w:rsidRPr="00BD21FE">
        <w:tab/>
      </w:r>
    </w:p>
    <w:p w14:paraId="551DFBE9" w14:textId="77777777" w:rsidR="006557E1" w:rsidRPr="00BD21FE" w:rsidRDefault="00B26A4A" w:rsidP="00AF1246">
      <w:pPr>
        <w:tabs>
          <w:tab w:val="left" w:pos="4320"/>
        </w:tabs>
        <w:ind w:right="720"/>
      </w:pPr>
      <w:r w:rsidRPr="00BD21FE">
        <w:tab/>
        <w:t>Robert Eubanks (0073386)</w:t>
      </w:r>
    </w:p>
    <w:p w14:paraId="7A55F67A" w14:textId="77777777" w:rsidR="006557E1" w:rsidRDefault="00B26A4A" w:rsidP="00AF1246">
      <w:pPr>
        <w:tabs>
          <w:tab w:val="left" w:pos="4320"/>
        </w:tabs>
        <w:ind w:right="720" w:firstLine="4320"/>
      </w:pPr>
      <w:r w:rsidRPr="00BD21FE">
        <w:t>Counsel of Record</w:t>
      </w:r>
    </w:p>
    <w:p w14:paraId="150B7504" w14:textId="7394CCCD" w:rsidR="00284608" w:rsidRDefault="00B26A4A" w:rsidP="00284608">
      <w:pPr>
        <w:tabs>
          <w:tab w:val="left" w:pos="4320"/>
        </w:tabs>
        <w:ind w:right="720"/>
      </w:pPr>
      <w:r>
        <w:tab/>
        <w:t>William J. Michael (0070921)</w:t>
      </w:r>
    </w:p>
    <w:p w14:paraId="05D3691A" w14:textId="43666A34" w:rsidR="00284608" w:rsidRPr="00BD21FE" w:rsidRDefault="00B26A4A" w:rsidP="00AF1246">
      <w:pPr>
        <w:tabs>
          <w:tab w:val="left" w:pos="4320"/>
        </w:tabs>
        <w:ind w:right="720" w:firstLine="4320"/>
      </w:pPr>
      <w:r>
        <w:t>Co-Counsel of Record</w:t>
      </w:r>
    </w:p>
    <w:p w14:paraId="4EDDA88C" w14:textId="77777777" w:rsidR="006557E1" w:rsidRDefault="00B26A4A" w:rsidP="00AF1246">
      <w:pPr>
        <w:tabs>
          <w:tab w:val="left" w:pos="4320"/>
        </w:tabs>
        <w:ind w:left="4320" w:right="720"/>
        <w:jc w:val="both"/>
      </w:pPr>
      <w:r w:rsidRPr="00BD21FE">
        <w:t>Donald J. Kral (0042091)</w:t>
      </w:r>
    </w:p>
    <w:p w14:paraId="3BF4D0C2" w14:textId="77777777" w:rsidR="00284608" w:rsidRPr="00284608" w:rsidRDefault="00B26A4A" w:rsidP="00284608">
      <w:pPr>
        <w:tabs>
          <w:tab w:val="left" w:pos="4320"/>
        </w:tabs>
        <w:ind w:left="4320" w:right="-180"/>
        <w:rPr>
          <w:szCs w:val="20"/>
        </w:rPr>
      </w:pPr>
      <w:r w:rsidRPr="00284608">
        <w:rPr>
          <w:szCs w:val="20"/>
        </w:rPr>
        <w:t>Thomas J. Brodbeck (0093920)</w:t>
      </w:r>
    </w:p>
    <w:p w14:paraId="2897D103" w14:textId="635AAFFF" w:rsidR="006557E1" w:rsidRPr="00BD21FE" w:rsidRDefault="00B26A4A" w:rsidP="00AF1246">
      <w:pPr>
        <w:tabs>
          <w:tab w:val="left" w:pos="4320"/>
        </w:tabs>
        <w:ind w:right="720"/>
      </w:pPr>
      <w:r>
        <w:tab/>
      </w:r>
      <w:r w:rsidRPr="00BD21FE">
        <w:t>Assistant Consumers</w:t>
      </w:r>
      <w:r w:rsidR="00727934">
        <w:t>’</w:t>
      </w:r>
      <w:r w:rsidRPr="00BD21FE">
        <w:t xml:space="preserve"> Counsel</w:t>
      </w:r>
    </w:p>
    <w:p w14:paraId="289E62C3" w14:textId="74749ECF" w:rsidR="00126E92" w:rsidRPr="00126E92" w:rsidRDefault="00B26A4A">
      <w:pPr>
        <w:spacing w:after="160" w:line="259" w:lineRule="auto"/>
        <w:rPr>
          <w:bCs/>
        </w:rPr>
      </w:pPr>
      <w:r w:rsidRPr="00126E92">
        <w:rPr>
          <w:bCs/>
        </w:rPr>
        <w:t>February 8, 2024</w:t>
      </w:r>
      <w:r w:rsidRPr="00126E92">
        <w:rPr>
          <w:bCs/>
        </w:rPr>
        <w:br w:type="page"/>
      </w:r>
    </w:p>
    <w:p w14:paraId="633A24DF" w14:textId="3493E3FE" w:rsidR="006557E1" w:rsidRPr="00BD21FE" w:rsidRDefault="00B26A4A" w:rsidP="00AF1246">
      <w:pPr>
        <w:keepNext/>
        <w:ind w:left="3240" w:right="720" w:firstLine="720"/>
        <w:outlineLvl w:val="0"/>
        <w:rPr>
          <w:b/>
        </w:rPr>
      </w:pPr>
      <w:r w:rsidRPr="00BD21FE">
        <w:rPr>
          <w:b/>
        </w:rPr>
        <w:lastRenderedPageBreak/>
        <w:tab/>
      </w:r>
    </w:p>
    <w:p w14:paraId="48A57579" w14:textId="18E8002F" w:rsidR="006557E1" w:rsidRPr="00A24AD2" w:rsidRDefault="00B26A4A" w:rsidP="00AF1246">
      <w:pPr>
        <w:ind w:right="720"/>
        <w:rPr>
          <w:b/>
          <w:bCs/>
        </w:rPr>
      </w:pPr>
      <w:r w:rsidRPr="00BD21FE">
        <w:tab/>
      </w:r>
      <w:r>
        <w:tab/>
      </w:r>
      <w:r>
        <w:tab/>
      </w:r>
      <w:r>
        <w:tab/>
      </w:r>
      <w:r>
        <w:tab/>
      </w:r>
      <w:r>
        <w:tab/>
      </w:r>
      <w:r w:rsidRPr="00A24AD2">
        <w:rPr>
          <w:b/>
          <w:bCs/>
        </w:rPr>
        <w:t xml:space="preserve">Office of </w:t>
      </w:r>
      <w:r w:rsidRPr="00A24AD2">
        <w:rPr>
          <w:b/>
          <w:bCs/>
        </w:rPr>
        <w:t>the Ohio Consumers</w:t>
      </w:r>
      <w:r w:rsidR="00727934">
        <w:rPr>
          <w:b/>
          <w:bCs/>
        </w:rPr>
        <w:t>’</w:t>
      </w:r>
      <w:r w:rsidRPr="00A24AD2">
        <w:rPr>
          <w:b/>
          <w:bCs/>
        </w:rPr>
        <w:t xml:space="preserve"> Counsel</w:t>
      </w:r>
    </w:p>
    <w:p w14:paraId="0E988378" w14:textId="77777777" w:rsidR="006557E1" w:rsidRPr="00BD21FE" w:rsidRDefault="00B26A4A" w:rsidP="00AF1246">
      <w:pPr>
        <w:ind w:right="720"/>
      </w:pPr>
      <w:r w:rsidRPr="00BD21FE">
        <w:tab/>
      </w:r>
      <w:r>
        <w:tab/>
      </w:r>
      <w:r>
        <w:tab/>
      </w:r>
      <w:r>
        <w:tab/>
      </w:r>
      <w:r>
        <w:tab/>
      </w:r>
      <w:r>
        <w:tab/>
      </w:r>
      <w:r w:rsidRPr="00BD21FE">
        <w:t>65 East State Street, Suite 700</w:t>
      </w:r>
    </w:p>
    <w:p w14:paraId="0BF84446" w14:textId="77777777" w:rsidR="006557E1" w:rsidRPr="00BD21FE" w:rsidRDefault="00B26A4A" w:rsidP="00AF1246">
      <w:pPr>
        <w:ind w:right="720"/>
      </w:pPr>
      <w:r w:rsidRPr="00BD21FE">
        <w:tab/>
      </w:r>
      <w:r>
        <w:tab/>
      </w:r>
      <w:r>
        <w:tab/>
      </w:r>
      <w:r>
        <w:tab/>
      </w:r>
      <w:r>
        <w:tab/>
      </w:r>
      <w:r>
        <w:tab/>
      </w:r>
      <w:r w:rsidRPr="00BD21FE">
        <w:t>Columbus, Ohio 43215</w:t>
      </w:r>
    </w:p>
    <w:p w14:paraId="4E5FF550" w14:textId="77777777" w:rsidR="006557E1" w:rsidRDefault="00B26A4A" w:rsidP="00AF1246">
      <w:pPr>
        <w:ind w:left="3600" w:right="720" w:firstLine="720"/>
      </w:pPr>
      <w:r w:rsidRPr="00BD21FE">
        <w:t>Telephone [Eubanks]: (614) 466-1292</w:t>
      </w:r>
    </w:p>
    <w:p w14:paraId="358BF0EC" w14:textId="0D0BB928" w:rsidR="00284608" w:rsidRDefault="00B26A4A" w:rsidP="00284608">
      <w:pPr>
        <w:ind w:left="3600" w:right="720" w:firstLine="720"/>
      </w:pPr>
      <w:r>
        <w:t>Telephone: [Michael]: (614) 466-1291</w:t>
      </w:r>
    </w:p>
    <w:p w14:paraId="5252EDA1" w14:textId="77777777" w:rsidR="006557E1" w:rsidRDefault="00B26A4A" w:rsidP="00AF1246">
      <w:pPr>
        <w:ind w:left="3600" w:right="720" w:firstLine="720"/>
      </w:pPr>
      <w:r w:rsidRPr="00BD21FE">
        <w:t>Telephone: [Kral]: (614) 466-9571</w:t>
      </w:r>
    </w:p>
    <w:p w14:paraId="11F4685C" w14:textId="77777777" w:rsidR="00284608" w:rsidRPr="00284608" w:rsidRDefault="00B26A4A" w:rsidP="00284608">
      <w:pPr>
        <w:suppressLineNumbers/>
        <w:ind w:left="4320"/>
        <w:rPr>
          <w:szCs w:val="20"/>
        </w:rPr>
      </w:pPr>
      <w:r w:rsidRPr="00284608">
        <w:rPr>
          <w:szCs w:val="20"/>
        </w:rPr>
        <w:t>Telephone: [Brodbeck] (614) 466-9565</w:t>
      </w:r>
    </w:p>
    <w:p w14:paraId="0F473259" w14:textId="2E6B7A80" w:rsidR="00284608" w:rsidRPr="00284608" w:rsidRDefault="00B26A4A" w:rsidP="00284608">
      <w:pPr>
        <w:ind w:right="720"/>
        <w:rPr>
          <w:color w:val="0000FF"/>
          <w:u w:val="single"/>
        </w:rPr>
      </w:pPr>
      <w:r w:rsidRPr="00BD21FE">
        <w:tab/>
      </w:r>
      <w:r w:rsidRPr="00BD21FE">
        <w:tab/>
      </w:r>
      <w:r w:rsidRPr="00BD21FE">
        <w:tab/>
      </w:r>
      <w:r w:rsidRPr="00BD21FE">
        <w:tab/>
      </w:r>
      <w:r w:rsidRPr="00BD21FE">
        <w:tab/>
      </w:r>
      <w:r w:rsidRPr="00BD21FE">
        <w:tab/>
      </w:r>
      <w:hyperlink r:id="rId8" w:history="1">
        <w:r w:rsidR="00BB0B80" w:rsidRPr="000C4D49">
          <w:rPr>
            <w:rStyle w:val="Hyperlink"/>
          </w:rPr>
          <w:t>robert.eubanks@occ.ohio.gov</w:t>
        </w:r>
      </w:hyperlink>
    </w:p>
    <w:p w14:paraId="0D86B408" w14:textId="77777777" w:rsidR="00284608" w:rsidRPr="00BD21FE" w:rsidRDefault="00B26A4A" w:rsidP="00284608">
      <w:pPr>
        <w:ind w:left="3600" w:right="720" w:firstLine="720"/>
      </w:pPr>
      <w:r>
        <w:rPr>
          <w:rStyle w:val="Hyperlink"/>
        </w:rPr>
        <w:t>william.michael@occ.ohio.gov</w:t>
      </w:r>
    </w:p>
    <w:p w14:paraId="2662908A" w14:textId="77777777" w:rsidR="006557E1" w:rsidRDefault="00B26A4A" w:rsidP="00AF1246">
      <w:pPr>
        <w:ind w:left="3600" w:right="720" w:firstLine="720"/>
        <w:rPr>
          <w:rStyle w:val="Hyperlink"/>
        </w:rPr>
      </w:pPr>
      <w:hyperlink r:id="rId9" w:history="1">
        <w:r w:rsidRPr="0003645A">
          <w:rPr>
            <w:rStyle w:val="Hyperlink"/>
          </w:rPr>
          <w:t>donald.kral@occ.ohio.gov</w:t>
        </w:r>
      </w:hyperlink>
    </w:p>
    <w:p w14:paraId="5D945C08" w14:textId="3D6D8041" w:rsidR="00284608" w:rsidRDefault="00B26A4A" w:rsidP="00AF1246">
      <w:pPr>
        <w:ind w:left="3600" w:right="720" w:firstLine="720"/>
        <w:rPr>
          <w:rStyle w:val="Hyperlink"/>
        </w:rPr>
      </w:pPr>
      <w:r>
        <w:rPr>
          <w:rStyle w:val="Hyperlink"/>
        </w:rPr>
        <w:t>Thomas.brodbeck@occ.ohio.gov</w:t>
      </w:r>
    </w:p>
    <w:p w14:paraId="490656FA" w14:textId="77777777" w:rsidR="00AD6CDE" w:rsidRDefault="00B26A4A" w:rsidP="00AF1246">
      <w:pPr>
        <w:ind w:right="720"/>
        <w:sectPr w:rsidR="00AD6CDE" w:rsidSect="00AB2E7C">
          <w:headerReference w:type="even" r:id="rId10"/>
          <w:headerReference w:type="default" r:id="rId11"/>
          <w:footerReference w:type="even" r:id="rId12"/>
          <w:footerReference w:type="default" r:id="rId13"/>
          <w:headerReference w:type="first" r:id="rId14"/>
          <w:footerReference w:type="first" r:id="rId15"/>
          <w:pgSz w:w="12240" w:h="15840"/>
          <w:pgMar w:top="864" w:right="1440" w:bottom="720" w:left="1440" w:header="720" w:footer="720" w:gutter="0"/>
          <w:cols w:space="720"/>
          <w:docGrid w:linePitch="360"/>
        </w:sectPr>
      </w:pPr>
      <w:r w:rsidRPr="00BD21FE">
        <w:tab/>
      </w:r>
      <w:r w:rsidRPr="00BD21FE">
        <w:tab/>
      </w:r>
      <w:r w:rsidRPr="00BD21FE">
        <w:tab/>
      </w:r>
      <w:r w:rsidRPr="00BD21FE">
        <w:tab/>
      </w:r>
      <w:r w:rsidRPr="00BD21FE">
        <w:tab/>
      </w:r>
      <w:r w:rsidRPr="00BD21FE">
        <w:tab/>
        <w:t>(willing to accept service by e-mail)</w:t>
      </w:r>
    </w:p>
    <w:p w14:paraId="43E574CD" w14:textId="134393C2" w:rsidR="00E22C8B" w:rsidRPr="00E22C8B" w:rsidRDefault="00B26A4A" w:rsidP="00AB2E7C">
      <w:pPr>
        <w:spacing w:after="160" w:line="259" w:lineRule="auto"/>
        <w:ind w:right="720"/>
        <w:jc w:val="center"/>
        <w:rPr>
          <w:b/>
          <w:bCs/>
        </w:rPr>
      </w:pPr>
      <w:r w:rsidRPr="00E22C8B">
        <w:rPr>
          <w:b/>
          <w:bCs/>
        </w:rPr>
        <w:lastRenderedPageBreak/>
        <w:t>TABLE OF CONTENTS</w:t>
      </w:r>
    </w:p>
    <w:p w14:paraId="1EE7C357" w14:textId="125A2636" w:rsidR="00E22C8B" w:rsidRDefault="00B26A4A" w:rsidP="00DE30C7">
      <w:pPr>
        <w:jc w:val="right"/>
        <w:rPr>
          <w:u w:val="single"/>
        </w:rPr>
      </w:pPr>
      <w:r w:rsidRPr="006333B7">
        <w:rPr>
          <w:u w:val="single"/>
        </w:rPr>
        <w:t>Page</w:t>
      </w:r>
    </w:p>
    <w:p w14:paraId="23560B58" w14:textId="77777777" w:rsidR="00DE30C7" w:rsidRPr="006333B7" w:rsidRDefault="00DE30C7" w:rsidP="006333B7">
      <w:pPr>
        <w:ind w:right="720"/>
        <w:jc w:val="right"/>
        <w:rPr>
          <w:u w:val="single"/>
        </w:rPr>
      </w:pPr>
    </w:p>
    <w:p w14:paraId="3AAD47BB" w14:textId="771E71B4" w:rsidR="007C102B" w:rsidRDefault="00B26A4A">
      <w:pPr>
        <w:pStyle w:val="TOC1"/>
        <w:rPr>
          <w:rFonts w:asciiTheme="minorHAnsi" w:eastAsiaTheme="minorEastAsia" w:hAnsiTheme="minorHAnsi" w:cstheme="minorBidi"/>
          <w:caps w:val="0"/>
          <w:noProof/>
          <w:kern w:val="2"/>
          <w:sz w:val="22"/>
          <w:szCs w:val="22"/>
          <w14:ligatures w14:val="standardContextual"/>
        </w:rPr>
      </w:pPr>
      <w:r>
        <w:fldChar w:fldCharType="begin"/>
      </w:r>
      <w:r>
        <w:instrText xml:space="preserve"> TOC \o "1-4" \h \z \u </w:instrText>
      </w:r>
      <w:r>
        <w:fldChar w:fldCharType="separate"/>
      </w:r>
      <w:hyperlink w:anchor="_Toc158301673" w:history="1">
        <w:r w:rsidRPr="0074525C">
          <w:rPr>
            <w:rStyle w:val="Hyperlink"/>
            <w:noProof/>
          </w:rPr>
          <w:t>I.</w:t>
        </w:r>
        <w:r>
          <w:rPr>
            <w:rFonts w:asciiTheme="minorHAnsi" w:eastAsiaTheme="minorEastAsia" w:hAnsiTheme="minorHAnsi" w:cstheme="minorBidi"/>
            <w:caps w:val="0"/>
            <w:noProof/>
            <w:kern w:val="2"/>
            <w:sz w:val="22"/>
            <w:szCs w:val="22"/>
            <w14:ligatures w14:val="standardContextual"/>
          </w:rPr>
          <w:tab/>
        </w:r>
        <w:r w:rsidRPr="0074525C">
          <w:rPr>
            <w:rStyle w:val="Hyperlink"/>
            <w:noProof/>
          </w:rPr>
          <w:t>INTRODUCTION</w:t>
        </w:r>
        <w:r>
          <w:rPr>
            <w:noProof/>
            <w:webHidden/>
          </w:rPr>
          <w:tab/>
        </w:r>
        <w:r>
          <w:rPr>
            <w:noProof/>
            <w:webHidden/>
          </w:rPr>
          <w:fldChar w:fldCharType="begin"/>
        </w:r>
        <w:r>
          <w:rPr>
            <w:noProof/>
            <w:webHidden/>
          </w:rPr>
          <w:instrText xml:space="preserve"> PAGEREF _Toc158301673 \h </w:instrText>
        </w:r>
        <w:r>
          <w:rPr>
            <w:noProof/>
            <w:webHidden/>
          </w:rPr>
        </w:r>
        <w:r>
          <w:rPr>
            <w:noProof/>
            <w:webHidden/>
          </w:rPr>
          <w:fldChar w:fldCharType="separate"/>
        </w:r>
        <w:r>
          <w:rPr>
            <w:noProof/>
            <w:webHidden/>
          </w:rPr>
          <w:t>1</w:t>
        </w:r>
        <w:r>
          <w:rPr>
            <w:noProof/>
            <w:webHidden/>
          </w:rPr>
          <w:fldChar w:fldCharType="end"/>
        </w:r>
      </w:hyperlink>
    </w:p>
    <w:p w14:paraId="24A59EC9" w14:textId="248880A0" w:rsidR="007C102B" w:rsidRDefault="00B26A4A">
      <w:pPr>
        <w:pStyle w:val="TOC1"/>
        <w:rPr>
          <w:rFonts w:asciiTheme="minorHAnsi" w:eastAsiaTheme="minorEastAsia" w:hAnsiTheme="minorHAnsi" w:cstheme="minorBidi"/>
          <w:caps w:val="0"/>
          <w:noProof/>
          <w:kern w:val="2"/>
          <w:sz w:val="22"/>
          <w:szCs w:val="22"/>
          <w14:ligatures w14:val="standardContextual"/>
        </w:rPr>
      </w:pPr>
      <w:hyperlink w:anchor="_Toc158301674" w:history="1">
        <w:r w:rsidRPr="0074525C">
          <w:rPr>
            <w:rStyle w:val="Hyperlink"/>
            <w:noProof/>
          </w:rPr>
          <w:t>II.</w:t>
        </w:r>
        <w:r>
          <w:rPr>
            <w:rFonts w:asciiTheme="minorHAnsi" w:eastAsiaTheme="minorEastAsia" w:hAnsiTheme="minorHAnsi" w:cstheme="minorBidi"/>
            <w:caps w:val="0"/>
            <w:noProof/>
            <w:kern w:val="2"/>
            <w:sz w:val="22"/>
            <w:szCs w:val="22"/>
            <w14:ligatures w14:val="standardContextual"/>
          </w:rPr>
          <w:tab/>
        </w:r>
        <w:r w:rsidRPr="0074525C">
          <w:rPr>
            <w:rStyle w:val="Hyperlink"/>
            <w:noProof/>
          </w:rPr>
          <w:t>ARGUMENT</w:t>
        </w:r>
        <w:r>
          <w:rPr>
            <w:noProof/>
            <w:webHidden/>
          </w:rPr>
          <w:tab/>
        </w:r>
        <w:r>
          <w:rPr>
            <w:noProof/>
            <w:webHidden/>
          </w:rPr>
          <w:fldChar w:fldCharType="begin"/>
        </w:r>
        <w:r>
          <w:rPr>
            <w:noProof/>
            <w:webHidden/>
          </w:rPr>
          <w:instrText xml:space="preserve"> PAGEREF _Toc158301674 \h </w:instrText>
        </w:r>
        <w:r>
          <w:rPr>
            <w:noProof/>
            <w:webHidden/>
          </w:rPr>
        </w:r>
        <w:r>
          <w:rPr>
            <w:noProof/>
            <w:webHidden/>
          </w:rPr>
          <w:fldChar w:fldCharType="separate"/>
        </w:r>
        <w:r>
          <w:rPr>
            <w:noProof/>
            <w:webHidden/>
          </w:rPr>
          <w:t>2</w:t>
        </w:r>
        <w:r>
          <w:rPr>
            <w:noProof/>
            <w:webHidden/>
          </w:rPr>
          <w:fldChar w:fldCharType="end"/>
        </w:r>
      </w:hyperlink>
    </w:p>
    <w:p w14:paraId="00C9544C" w14:textId="575C986A" w:rsidR="007C102B" w:rsidRDefault="00B26A4A">
      <w:pPr>
        <w:pStyle w:val="TOC2"/>
        <w:tabs>
          <w:tab w:val="left" w:pos="1440"/>
        </w:tabs>
        <w:rPr>
          <w:rFonts w:asciiTheme="minorHAnsi" w:eastAsiaTheme="minorEastAsia" w:hAnsiTheme="minorHAnsi" w:cstheme="minorBidi"/>
          <w:noProof/>
          <w:kern w:val="2"/>
          <w:sz w:val="22"/>
          <w:szCs w:val="22"/>
          <w14:ligatures w14:val="standardContextual"/>
        </w:rPr>
      </w:pPr>
      <w:hyperlink w:anchor="_Toc158301675" w:history="1">
        <w:r w:rsidRPr="0074525C">
          <w:rPr>
            <w:rStyle w:val="Hyperlink"/>
            <w:noProof/>
          </w:rPr>
          <w:t>A.</w:t>
        </w:r>
        <w:r>
          <w:rPr>
            <w:rFonts w:asciiTheme="minorHAnsi" w:eastAsiaTheme="minorEastAsia" w:hAnsiTheme="minorHAnsi" w:cstheme="minorBidi"/>
            <w:noProof/>
            <w:kern w:val="2"/>
            <w:sz w:val="22"/>
            <w:szCs w:val="22"/>
            <w14:ligatures w14:val="standardContextual"/>
          </w:rPr>
          <w:tab/>
        </w:r>
        <w:r w:rsidRPr="0074525C">
          <w:rPr>
            <w:rStyle w:val="Hyperlink"/>
            <w:noProof/>
          </w:rPr>
          <w:t>Background of proposed Enbridge/Dominion Energy Transaction</w:t>
        </w:r>
        <w:r>
          <w:rPr>
            <w:noProof/>
            <w:webHidden/>
          </w:rPr>
          <w:tab/>
        </w:r>
        <w:r>
          <w:rPr>
            <w:noProof/>
            <w:webHidden/>
          </w:rPr>
          <w:fldChar w:fldCharType="begin"/>
        </w:r>
        <w:r>
          <w:rPr>
            <w:noProof/>
            <w:webHidden/>
          </w:rPr>
          <w:instrText xml:space="preserve"> PAGEREF _Toc158301675 \h </w:instrText>
        </w:r>
        <w:r>
          <w:rPr>
            <w:noProof/>
            <w:webHidden/>
          </w:rPr>
        </w:r>
        <w:r>
          <w:rPr>
            <w:noProof/>
            <w:webHidden/>
          </w:rPr>
          <w:fldChar w:fldCharType="separate"/>
        </w:r>
        <w:r>
          <w:rPr>
            <w:noProof/>
            <w:webHidden/>
          </w:rPr>
          <w:t>2</w:t>
        </w:r>
        <w:r>
          <w:rPr>
            <w:noProof/>
            <w:webHidden/>
          </w:rPr>
          <w:fldChar w:fldCharType="end"/>
        </w:r>
      </w:hyperlink>
    </w:p>
    <w:p w14:paraId="46B3A1D4" w14:textId="4FC8B8D5" w:rsidR="007C102B" w:rsidRDefault="00B26A4A">
      <w:pPr>
        <w:pStyle w:val="TOC2"/>
        <w:tabs>
          <w:tab w:val="left" w:pos="1440"/>
        </w:tabs>
        <w:rPr>
          <w:rFonts w:asciiTheme="minorHAnsi" w:eastAsiaTheme="minorEastAsia" w:hAnsiTheme="minorHAnsi" w:cstheme="minorBidi"/>
          <w:noProof/>
          <w:kern w:val="2"/>
          <w:sz w:val="22"/>
          <w:szCs w:val="22"/>
          <w14:ligatures w14:val="standardContextual"/>
        </w:rPr>
      </w:pPr>
      <w:hyperlink w:anchor="_Toc158301676" w:history="1">
        <w:r w:rsidRPr="0074525C">
          <w:rPr>
            <w:rStyle w:val="Hyperlink"/>
            <w:noProof/>
          </w:rPr>
          <w:t>B.</w:t>
        </w:r>
        <w:r>
          <w:rPr>
            <w:rFonts w:asciiTheme="minorHAnsi" w:eastAsiaTheme="minorEastAsia" w:hAnsiTheme="minorHAnsi" w:cstheme="minorBidi"/>
            <w:noProof/>
            <w:kern w:val="2"/>
            <w:sz w:val="22"/>
            <w:szCs w:val="22"/>
            <w14:ligatures w14:val="standardContextual"/>
          </w:rPr>
          <w:tab/>
        </w:r>
        <w:r w:rsidRPr="0074525C">
          <w:rPr>
            <w:rStyle w:val="Hyperlink"/>
            <w:noProof/>
          </w:rPr>
          <w:t>To protect consumers, DEO’s base rate case should be consolidated with the transaction case.</w:t>
        </w:r>
        <w:r>
          <w:rPr>
            <w:noProof/>
            <w:webHidden/>
          </w:rPr>
          <w:tab/>
        </w:r>
        <w:r>
          <w:rPr>
            <w:noProof/>
            <w:webHidden/>
          </w:rPr>
          <w:fldChar w:fldCharType="begin"/>
        </w:r>
        <w:r>
          <w:rPr>
            <w:noProof/>
            <w:webHidden/>
          </w:rPr>
          <w:instrText xml:space="preserve"> PAGEREF _Toc158301676 \h </w:instrText>
        </w:r>
        <w:r>
          <w:rPr>
            <w:noProof/>
            <w:webHidden/>
          </w:rPr>
        </w:r>
        <w:r>
          <w:rPr>
            <w:noProof/>
            <w:webHidden/>
          </w:rPr>
          <w:fldChar w:fldCharType="separate"/>
        </w:r>
        <w:r>
          <w:rPr>
            <w:noProof/>
            <w:webHidden/>
          </w:rPr>
          <w:t>6</w:t>
        </w:r>
        <w:r>
          <w:rPr>
            <w:noProof/>
            <w:webHidden/>
          </w:rPr>
          <w:fldChar w:fldCharType="end"/>
        </w:r>
      </w:hyperlink>
    </w:p>
    <w:p w14:paraId="74542106" w14:textId="244A4A31" w:rsidR="007C102B" w:rsidRDefault="00B26A4A">
      <w:pPr>
        <w:pStyle w:val="TOC3"/>
        <w:tabs>
          <w:tab w:val="left" w:pos="2160"/>
        </w:tabs>
        <w:rPr>
          <w:rFonts w:asciiTheme="minorHAnsi" w:eastAsiaTheme="minorEastAsia" w:hAnsiTheme="minorHAnsi" w:cstheme="minorBidi"/>
          <w:kern w:val="2"/>
          <w:sz w:val="22"/>
          <w:szCs w:val="22"/>
          <w14:ligatures w14:val="standardContextual"/>
        </w:rPr>
      </w:pPr>
      <w:hyperlink w:anchor="_Toc158301677" w:history="1">
        <w:r w:rsidRPr="0074525C">
          <w:rPr>
            <w:rStyle w:val="Hyperlink"/>
            <w:bCs/>
          </w:rPr>
          <w:t>1.</w:t>
        </w:r>
        <w:r>
          <w:rPr>
            <w:rFonts w:asciiTheme="minorHAnsi" w:eastAsiaTheme="minorEastAsia" w:hAnsiTheme="minorHAnsi" w:cstheme="minorBidi"/>
            <w:kern w:val="2"/>
            <w:sz w:val="22"/>
            <w:szCs w:val="22"/>
            <w14:ligatures w14:val="standardContextual"/>
          </w:rPr>
          <w:tab/>
        </w:r>
        <w:r w:rsidRPr="0074525C">
          <w:rPr>
            <w:rStyle w:val="Hyperlink"/>
            <w:bCs/>
          </w:rPr>
          <w:t>The proposed acquisition presents issues deserving of scrutiny in conjunction with DEO’s rate case application.</w:t>
        </w:r>
        <w:r>
          <w:rPr>
            <w:webHidden/>
          </w:rPr>
          <w:tab/>
        </w:r>
        <w:r>
          <w:rPr>
            <w:webHidden/>
          </w:rPr>
          <w:fldChar w:fldCharType="begin"/>
        </w:r>
        <w:r>
          <w:rPr>
            <w:webHidden/>
          </w:rPr>
          <w:instrText xml:space="preserve"> PAGEREF _Toc158301677 \h </w:instrText>
        </w:r>
        <w:r>
          <w:rPr>
            <w:webHidden/>
          </w:rPr>
        </w:r>
        <w:r>
          <w:rPr>
            <w:webHidden/>
          </w:rPr>
          <w:fldChar w:fldCharType="separate"/>
        </w:r>
        <w:r>
          <w:rPr>
            <w:webHidden/>
          </w:rPr>
          <w:t>6</w:t>
        </w:r>
        <w:r>
          <w:rPr>
            <w:webHidden/>
          </w:rPr>
          <w:fldChar w:fldCharType="end"/>
        </w:r>
      </w:hyperlink>
    </w:p>
    <w:p w14:paraId="5A83D4C5" w14:textId="6EC3ED4C" w:rsidR="007C102B" w:rsidRDefault="00B26A4A">
      <w:pPr>
        <w:pStyle w:val="TOC3"/>
        <w:tabs>
          <w:tab w:val="left" w:pos="2160"/>
        </w:tabs>
        <w:rPr>
          <w:rFonts w:asciiTheme="minorHAnsi" w:eastAsiaTheme="minorEastAsia" w:hAnsiTheme="minorHAnsi" w:cstheme="minorBidi"/>
          <w:kern w:val="2"/>
          <w:sz w:val="22"/>
          <w:szCs w:val="22"/>
          <w14:ligatures w14:val="standardContextual"/>
        </w:rPr>
      </w:pPr>
      <w:hyperlink w:anchor="_Toc158301678" w:history="1">
        <w:r w:rsidRPr="0074525C">
          <w:rPr>
            <w:rStyle w:val="Hyperlink"/>
          </w:rPr>
          <w:t>2.</w:t>
        </w:r>
        <w:r>
          <w:rPr>
            <w:rFonts w:asciiTheme="minorHAnsi" w:eastAsiaTheme="minorEastAsia" w:hAnsiTheme="minorHAnsi" w:cstheme="minorBidi"/>
            <w:kern w:val="2"/>
            <w:sz w:val="22"/>
            <w:szCs w:val="22"/>
            <w14:ligatures w14:val="standardContextual"/>
          </w:rPr>
          <w:tab/>
        </w:r>
        <w:r w:rsidRPr="0074525C">
          <w:rPr>
            <w:rStyle w:val="Hyperlink"/>
            <w:bCs/>
          </w:rPr>
          <w:t>For consumer protection, the PUCO should conduct full evidentiary proceedings to review Enbridge’s acquisition of DEO and its effect upon the rates DEO seeks to charge Ohio consumers.</w:t>
        </w:r>
        <w:r>
          <w:rPr>
            <w:webHidden/>
          </w:rPr>
          <w:tab/>
        </w:r>
        <w:r>
          <w:rPr>
            <w:webHidden/>
          </w:rPr>
          <w:fldChar w:fldCharType="begin"/>
        </w:r>
        <w:r>
          <w:rPr>
            <w:webHidden/>
          </w:rPr>
          <w:instrText xml:space="preserve"> PAGEREF _Toc158301678 \h </w:instrText>
        </w:r>
        <w:r>
          <w:rPr>
            <w:webHidden/>
          </w:rPr>
        </w:r>
        <w:r>
          <w:rPr>
            <w:webHidden/>
          </w:rPr>
          <w:fldChar w:fldCharType="separate"/>
        </w:r>
        <w:r>
          <w:rPr>
            <w:webHidden/>
          </w:rPr>
          <w:t>9</w:t>
        </w:r>
        <w:r>
          <w:rPr>
            <w:webHidden/>
          </w:rPr>
          <w:fldChar w:fldCharType="end"/>
        </w:r>
      </w:hyperlink>
    </w:p>
    <w:p w14:paraId="0E86717F" w14:textId="57BD9A6F" w:rsidR="007C102B" w:rsidRDefault="00B26A4A">
      <w:pPr>
        <w:pStyle w:val="TOC4"/>
        <w:tabs>
          <w:tab w:val="left" w:pos="2880"/>
        </w:tabs>
        <w:rPr>
          <w:rFonts w:asciiTheme="minorHAnsi" w:eastAsiaTheme="minorEastAsia" w:hAnsiTheme="minorHAnsi" w:cstheme="minorBidi"/>
          <w:noProof/>
          <w:kern w:val="2"/>
          <w:sz w:val="22"/>
          <w:szCs w:val="22"/>
          <w14:ligatures w14:val="standardContextual"/>
        </w:rPr>
      </w:pPr>
      <w:hyperlink w:anchor="_Toc158301679" w:history="1">
        <w:r w:rsidRPr="0074525C">
          <w:rPr>
            <w:rStyle w:val="Hyperlink"/>
            <w:bCs/>
            <w:noProof/>
          </w:rPr>
          <w:t>a.</w:t>
        </w:r>
        <w:r>
          <w:rPr>
            <w:rFonts w:asciiTheme="minorHAnsi" w:eastAsiaTheme="minorEastAsia" w:hAnsiTheme="minorHAnsi" w:cstheme="minorBidi"/>
            <w:noProof/>
            <w:kern w:val="2"/>
            <w:sz w:val="22"/>
            <w:szCs w:val="22"/>
            <w14:ligatures w14:val="standardContextual"/>
          </w:rPr>
          <w:tab/>
        </w:r>
        <w:r w:rsidRPr="0074525C">
          <w:rPr>
            <w:rStyle w:val="Hyperlink"/>
            <w:noProof/>
          </w:rPr>
          <w:t>DEO’s claim that consolidation of these matters will jeopardize a March 1, 2024 closing date of the proposed acquisition is merely a scheme to push the Commission to fast track a transaction which will directly affect over 1.1 million residential consumers in Ohio.</w:t>
        </w:r>
        <w:r>
          <w:rPr>
            <w:noProof/>
            <w:webHidden/>
          </w:rPr>
          <w:tab/>
        </w:r>
        <w:r>
          <w:rPr>
            <w:noProof/>
            <w:webHidden/>
          </w:rPr>
          <w:fldChar w:fldCharType="begin"/>
        </w:r>
        <w:r>
          <w:rPr>
            <w:noProof/>
            <w:webHidden/>
          </w:rPr>
          <w:instrText xml:space="preserve"> PAGEREF _Toc158301679 \h </w:instrText>
        </w:r>
        <w:r>
          <w:rPr>
            <w:noProof/>
            <w:webHidden/>
          </w:rPr>
        </w:r>
        <w:r>
          <w:rPr>
            <w:noProof/>
            <w:webHidden/>
          </w:rPr>
          <w:fldChar w:fldCharType="separate"/>
        </w:r>
        <w:r>
          <w:rPr>
            <w:noProof/>
            <w:webHidden/>
          </w:rPr>
          <w:t>14</w:t>
        </w:r>
        <w:r>
          <w:rPr>
            <w:noProof/>
            <w:webHidden/>
          </w:rPr>
          <w:fldChar w:fldCharType="end"/>
        </w:r>
      </w:hyperlink>
    </w:p>
    <w:p w14:paraId="56BCC624" w14:textId="00E6FF66" w:rsidR="007C102B" w:rsidRDefault="00B26A4A">
      <w:pPr>
        <w:pStyle w:val="TOC1"/>
        <w:rPr>
          <w:rFonts w:asciiTheme="minorHAnsi" w:eastAsiaTheme="minorEastAsia" w:hAnsiTheme="minorHAnsi" w:cstheme="minorBidi"/>
          <w:caps w:val="0"/>
          <w:noProof/>
          <w:kern w:val="2"/>
          <w:sz w:val="22"/>
          <w:szCs w:val="22"/>
          <w14:ligatures w14:val="standardContextual"/>
        </w:rPr>
      </w:pPr>
      <w:hyperlink w:anchor="_Toc158301680" w:history="1">
        <w:r w:rsidRPr="0074525C">
          <w:rPr>
            <w:rStyle w:val="Hyperlink"/>
            <w:noProof/>
          </w:rPr>
          <w:t>III.</w:t>
        </w:r>
        <w:r>
          <w:rPr>
            <w:rFonts w:asciiTheme="minorHAnsi" w:eastAsiaTheme="minorEastAsia" w:hAnsiTheme="minorHAnsi" w:cstheme="minorBidi"/>
            <w:caps w:val="0"/>
            <w:noProof/>
            <w:kern w:val="2"/>
            <w:sz w:val="22"/>
            <w:szCs w:val="22"/>
            <w14:ligatures w14:val="standardContextual"/>
          </w:rPr>
          <w:tab/>
        </w:r>
        <w:r w:rsidRPr="0074525C">
          <w:rPr>
            <w:rStyle w:val="Hyperlink"/>
            <w:noProof/>
          </w:rPr>
          <w:t>CONCLUSION</w:t>
        </w:r>
        <w:r>
          <w:rPr>
            <w:noProof/>
            <w:webHidden/>
          </w:rPr>
          <w:tab/>
        </w:r>
        <w:r>
          <w:rPr>
            <w:noProof/>
            <w:webHidden/>
          </w:rPr>
          <w:fldChar w:fldCharType="begin"/>
        </w:r>
        <w:r>
          <w:rPr>
            <w:noProof/>
            <w:webHidden/>
          </w:rPr>
          <w:instrText xml:space="preserve"> PAGEREF _Toc158301680 \h </w:instrText>
        </w:r>
        <w:r>
          <w:rPr>
            <w:noProof/>
            <w:webHidden/>
          </w:rPr>
        </w:r>
        <w:r>
          <w:rPr>
            <w:noProof/>
            <w:webHidden/>
          </w:rPr>
          <w:fldChar w:fldCharType="separate"/>
        </w:r>
        <w:r>
          <w:rPr>
            <w:noProof/>
            <w:webHidden/>
          </w:rPr>
          <w:t>15</w:t>
        </w:r>
        <w:r>
          <w:rPr>
            <w:noProof/>
            <w:webHidden/>
          </w:rPr>
          <w:fldChar w:fldCharType="end"/>
        </w:r>
      </w:hyperlink>
    </w:p>
    <w:p w14:paraId="58B87DD6" w14:textId="230A24FA" w:rsidR="006333B7" w:rsidRDefault="00B26A4A" w:rsidP="00AF1246">
      <w:pPr>
        <w:ind w:right="720"/>
      </w:pPr>
      <w:r>
        <w:fldChar w:fldCharType="end"/>
      </w:r>
    </w:p>
    <w:p w14:paraId="2EE15561" w14:textId="57BF773E" w:rsidR="006B1C60" w:rsidRDefault="00B26A4A" w:rsidP="00AF1246">
      <w:pPr>
        <w:ind w:right="720"/>
        <w:sectPr w:rsidR="006B1C60" w:rsidSect="00AD6CDE">
          <w:footerReference w:type="default" r:id="rId16"/>
          <w:pgSz w:w="12240" w:h="15840"/>
          <w:pgMar w:top="864" w:right="1440" w:bottom="720" w:left="1440" w:header="720" w:footer="720" w:gutter="0"/>
          <w:pgNumType w:fmt="lowerRoman" w:start="1"/>
          <w:cols w:space="720"/>
          <w:docGrid w:linePitch="360"/>
        </w:sectPr>
      </w:pPr>
      <w:r w:rsidRPr="00BD21FE">
        <w:tab/>
      </w:r>
    </w:p>
    <w:p w14:paraId="59492DC6" w14:textId="46CC978A" w:rsidR="006B1C60" w:rsidRPr="00D1690D" w:rsidRDefault="00B26A4A" w:rsidP="00AF1246">
      <w:pPr>
        <w:pStyle w:val="HTMLPreformatted"/>
        <w:ind w:right="720"/>
        <w:jc w:val="center"/>
        <w:rPr>
          <w:rFonts w:ascii="Times New Roman" w:hAnsi="Times New Roman" w:cs="Times New Roman"/>
          <w:b/>
          <w:bCs/>
          <w:sz w:val="24"/>
          <w:szCs w:val="24"/>
        </w:rPr>
      </w:pPr>
      <w:bookmarkStart w:id="2" w:name="_Toc158035610"/>
      <w:r w:rsidRPr="00D1690D">
        <w:rPr>
          <w:rFonts w:ascii="Times New Roman" w:hAnsi="Times New Roman" w:cs="Times New Roman"/>
          <w:b/>
          <w:bCs/>
          <w:sz w:val="24"/>
          <w:szCs w:val="24"/>
        </w:rPr>
        <w:lastRenderedPageBreak/>
        <w:t>BEFORE</w:t>
      </w:r>
    </w:p>
    <w:p w14:paraId="676DDB05" w14:textId="77777777" w:rsidR="006B1C60" w:rsidRPr="00D1690D" w:rsidRDefault="00B26A4A" w:rsidP="00AF1246">
      <w:pPr>
        <w:pStyle w:val="HTMLPreformatted"/>
        <w:ind w:right="720"/>
        <w:jc w:val="center"/>
        <w:rPr>
          <w:rFonts w:ascii="Times New Roman" w:hAnsi="Times New Roman" w:cs="Times New Roman"/>
          <w:b/>
          <w:bCs/>
          <w:sz w:val="24"/>
          <w:szCs w:val="24"/>
        </w:rPr>
      </w:pPr>
      <w:r w:rsidRPr="00D1690D">
        <w:rPr>
          <w:rFonts w:ascii="Times New Roman" w:hAnsi="Times New Roman" w:cs="Times New Roman"/>
          <w:b/>
          <w:bCs/>
          <w:sz w:val="24"/>
          <w:szCs w:val="24"/>
        </w:rPr>
        <w:t>THE PUBLIC UTILITIES COMMISSION OF OHIO</w:t>
      </w:r>
    </w:p>
    <w:p w14:paraId="7C784F2A" w14:textId="77777777" w:rsidR="006B1C60" w:rsidRDefault="006B1C60" w:rsidP="00AF1246">
      <w:pPr>
        <w:pStyle w:val="HTMLPreformatted"/>
        <w:ind w:right="720"/>
        <w:jc w:val="center"/>
        <w:rPr>
          <w:rFonts w:ascii="Times New Roman" w:hAnsi="Times New Roman" w:cs="Times New Roman"/>
          <w:b/>
          <w:bCs/>
          <w:sz w:val="24"/>
          <w:szCs w:val="24"/>
        </w:rPr>
      </w:pPr>
    </w:p>
    <w:tbl>
      <w:tblPr>
        <w:tblW w:w="9092" w:type="dxa"/>
        <w:tblLook w:val="01E0" w:firstRow="1" w:lastRow="1" w:firstColumn="1" w:lastColumn="1" w:noHBand="0" w:noVBand="0"/>
      </w:tblPr>
      <w:tblGrid>
        <w:gridCol w:w="4332"/>
        <w:gridCol w:w="360"/>
        <w:gridCol w:w="4400"/>
      </w:tblGrid>
      <w:tr w:rsidR="00162F74" w14:paraId="29737C23" w14:textId="77777777" w:rsidTr="00AE32D7">
        <w:trPr>
          <w:trHeight w:val="807"/>
        </w:trPr>
        <w:tc>
          <w:tcPr>
            <w:tcW w:w="4332" w:type="dxa"/>
            <w:shd w:val="clear" w:color="auto" w:fill="auto"/>
          </w:tcPr>
          <w:p w14:paraId="3C95BC76" w14:textId="77777777" w:rsidR="00AD6CDE" w:rsidRPr="00284608" w:rsidRDefault="00B26A4A"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In the Matter of the Application of The East Ohio Gas Company d/b/a Dominion Energy Ohio for Approval to Increase Natural Gas Rates.</w:t>
            </w:r>
          </w:p>
          <w:p w14:paraId="576BBC94" w14:textId="77777777" w:rsidR="00AD6CDE" w:rsidRPr="00284608" w:rsidRDefault="00AD6CDE"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14:paraId="5B2E5F11" w14:textId="77777777" w:rsidR="00AD6CDE" w:rsidRPr="00284608" w:rsidRDefault="00B26A4A"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In the Matter of the Application of The East Ohio Gas Company d/b/a Dominion Energy Ohio for Approval of Alternative Rate Plan.</w:t>
            </w:r>
          </w:p>
          <w:p w14:paraId="1D01FF32" w14:textId="77777777" w:rsidR="00AD6CDE" w:rsidRPr="00284608" w:rsidRDefault="00AD6CDE"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14:paraId="70A7E9D8" w14:textId="77777777" w:rsidR="00AD6CDE" w:rsidRPr="00284608" w:rsidRDefault="00B26A4A"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In the Matter of the Application of The East Ohio Gas Company d/b/a Dominion Energy Ohio for Approval to Change Accounting Methods.</w:t>
            </w:r>
          </w:p>
          <w:p w14:paraId="74C2E4A6" w14:textId="77777777" w:rsidR="00AD6CDE" w:rsidRPr="00284608" w:rsidRDefault="00AD6CDE"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14:paraId="73CAA4C5" w14:textId="77777777" w:rsidR="00AD6CDE" w:rsidRPr="00284608" w:rsidRDefault="00B26A4A"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 xml:space="preserve">In the Matter of the Application of The East Ohio Gas Company d/b/a Dominion Energy Ohio for Approval of Tariff Revisions. </w:t>
            </w:r>
          </w:p>
          <w:p w14:paraId="40200C22" w14:textId="77777777" w:rsidR="00AD6CDE" w:rsidRPr="00284608" w:rsidRDefault="00AD6CDE" w:rsidP="00AE32D7">
            <w:pPr>
              <w:spacing w:after="120"/>
            </w:pPr>
          </w:p>
        </w:tc>
        <w:tc>
          <w:tcPr>
            <w:tcW w:w="360" w:type="dxa"/>
            <w:shd w:val="clear" w:color="auto" w:fill="auto"/>
          </w:tcPr>
          <w:p w14:paraId="287E43DA" w14:textId="77777777" w:rsidR="00AD6CDE" w:rsidRPr="00284608" w:rsidRDefault="00B26A4A"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w:t>
            </w:r>
          </w:p>
          <w:p w14:paraId="0EFDD153" w14:textId="77777777" w:rsidR="00AD6CDE" w:rsidRPr="00284608" w:rsidRDefault="00B26A4A"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w:t>
            </w:r>
          </w:p>
          <w:p w14:paraId="3A540970" w14:textId="77777777" w:rsidR="00AD6CDE" w:rsidRPr="00284608" w:rsidRDefault="00B26A4A"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w:t>
            </w:r>
          </w:p>
          <w:p w14:paraId="44FACE93" w14:textId="77777777" w:rsidR="00AD6CDE" w:rsidRPr="00284608" w:rsidRDefault="00B26A4A"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w:t>
            </w:r>
          </w:p>
          <w:p w14:paraId="64D3C2C7" w14:textId="77777777" w:rsidR="00AD6CDE" w:rsidRPr="00284608" w:rsidRDefault="00AD6CDE"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14:paraId="2AE44348" w14:textId="77777777" w:rsidR="00AD6CDE" w:rsidRPr="00284608" w:rsidRDefault="00B26A4A"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w:t>
            </w:r>
          </w:p>
          <w:p w14:paraId="11F5E5B8" w14:textId="77777777" w:rsidR="00AD6CDE" w:rsidRPr="00284608" w:rsidRDefault="00B26A4A"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w:t>
            </w:r>
          </w:p>
          <w:p w14:paraId="217A7F0A" w14:textId="77777777" w:rsidR="00AD6CDE" w:rsidRPr="00284608" w:rsidRDefault="00B26A4A"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w:t>
            </w:r>
          </w:p>
          <w:p w14:paraId="73686923" w14:textId="77777777" w:rsidR="00AD6CDE" w:rsidRPr="00284608" w:rsidRDefault="00B26A4A"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w:t>
            </w:r>
          </w:p>
          <w:p w14:paraId="07966100" w14:textId="77777777" w:rsidR="00AD6CDE" w:rsidRPr="00284608" w:rsidRDefault="00AD6CDE"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14:paraId="2F13E517" w14:textId="77777777" w:rsidR="00AD6CDE" w:rsidRPr="00284608" w:rsidRDefault="00B26A4A"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w:t>
            </w:r>
          </w:p>
          <w:p w14:paraId="29485DA7" w14:textId="77777777" w:rsidR="00AD6CDE" w:rsidRPr="00284608" w:rsidRDefault="00B26A4A"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w:t>
            </w:r>
          </w:p>
          <w:p w14:paraId="583D8F48" w14:textId="77777777" w:rsidR="00AD6CDE" w:rsidRPr="00284608" w:rsidRDefault="00B26A4A"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w:t>
            </w:r>
          </w:p>
          <w:p w14:paraId="4CAE9F29" w14:textId="77777777" w:rsidR="00AD6CDE" w:rsidRPr="00284608" w:rsidRDefault="00B26A4A"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w:t>
            </w:r>
          </w:p>
          <w:p w14:paraId="621CD836" w14:textId="77777777" w:rsidR="00AD6CDE" w:rsidRPr="00284608" w:rsidRDefault="00AD6CDE"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14:paraId="079F742D" w14:textId="77777777" w:rsidR="00AD6CDE" w:rsidRPr="00284608" w:rsidRDefault="00B26A4A"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w:t>
            </w:r>
          </w:p>
          <w:p w14:paraId="0B388CB0" w14:textId="77777777" w:rsidR="00AD6CDE" w:rsidRPr="00284608" w:rsidRDefault="00B26A4A"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w:t>
            </w:r>
          </w:p>
          <w:p w14:paraId="1379E11B" w14:textId="77777777" w:rsidR="00AD6CDE" w:rsidRPr="00284608" w:rsidRDefault="00B26A4A"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w:t>
            </w:r>
          </w:p>
          <w:p w14:paraId="45BD7FE2" w14:textId="77777777" w:rsidR="00AD6CDE" w:rsidRPr="00284608" w:rsidRDefault="00B26A4A"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w:t>
            </w:r>
          </w:p>
          <w:p w14:paraId="11DFC7FD" w14:textId="77777777" w:rsidR="00AD6CDE" w:rsidRPr="00284608" w:rsidRDefault="00AD6CDE"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p>
        </w:tc>
        <w:tc>
          <w:tcPr>
            <w:tcW w:w="4400" w:type="dxa"/>
            <w:shd w:val="clear" w:color="auto" w:fill="auto"/>
          </w:tcPr>
          <w:p w14:paraId="5107E1F1" w14:textId="77777777" w:rsidR="00AD6CDE" w:rsidRPr="00284608" w:rsidRDefault="00AD6CDE"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14:paraId="3673BAC2" w14:textId="77777777" w:rsidR="00AD6CDE" w:rsidRPr="00284608" w:rsidRDefault="00B26A4A"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Case No. 23-894-GA-AIR</w:t>
            </w:r>
          </w:p>
          <w:p w14:paraId="10D08703" w14:textId="77777777" w:rsidR="00AD6CDE" w:rsidRPr="00284608" w:rsidRDefault="00AD6CDE"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14:paraId="2AD82C19" w14:textId="77777777" w:rsidR="00AD6CDE" w:rsidRPr="00284608" w:rsidRDefault="00AD6CDE"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14:paraId="422082CA" w14:textId="77777777" w:rsidR="00AD6CDE" w:rsidRPr="00284608" w:rsidRDefault="00AD6CDE"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14:paraId="744652B3" w14:textId="77777777" w:rsidR="00AD6CDE" w:rsidRPr="00284608" w:rsidRDefault="00AD6CDE"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14:paraId="48DF9CA1" w14:textId="77777777" w:rsidR="00AD6CDE" w:rsidRPr="00284608" w:rsidRDefault="00B26A4A"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Case No. 23-895-GA-ALT</w:t>
            </w:r>
          </w:p>
          <w:p w14:paraId="4588B337" w14:textId="77777777" w:rsidR="00AD6CDE" w:rsidRPr="00284608" w:rsidRDefault="00AD6CDE"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14:paraId="28501FF2" w14:textId="77777777" w:rsidR="00AD6CDE" w:rsidRPr="00284608" w:rsidRDefault="00AD6CDE"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14:paraId="24E64E06" w14:textId="77777777" w:rsidR="00AD6CDE" w:rsidRPr="00284608" w:rsidRDefault="00AD6CDE"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14:paraId="324BFE1E" w14:textId="77777777" w:rsidR="00AD6CDE" w:rsidRPr="00284608" w:rsidRDefault="00AD6CDE"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14:paraId="286098BF" w14:textId="77777777" w:rsidR="00AD6CDE" w:rsidRPr="00284608" w:rsidRDefault="00B26A4A"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Case No. 23-896-GA-AAM</w:t>
            </w:r>
          </w:p>
          <w:p w14:paraId="1CD094AE" w14:textId="77777777" w:rsidR="00AD6CDE" w:rsidRPr="00284608" w:rsidRDefault="00AD6CDE"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14:paraId="08E4A105" w14:textId="77777777" w:rsidR="00AD6CDE" w:rsidRPr="00284608" w:rsidRDefault="00AD6CDE"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14:paraId="4601ED12" w14:textId="77777777" w:rsidR="00AD6CDE" w:rsidRPr="00284608" w:rsidRDefault="00AD6CDE"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14:paraId="52F0A47A" w14:textId="77777777" w:rsidR="00AD6CDE" w:rsidRPr="00284608" w:rsidRDefault="00AD6CDE"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14:paraId="74E2CD76" w14:textId="77777777" w:rsidR="00AD6CDE" w:rsidRPr="00284608" w:rsidRDefault="00B26A4A"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r w:rsidRPr="00284608">
              <w:rPr>
                <w:rFonts w:eastAsia="Courier New"/>
              </w:rPr>
              <w:t>Case No. 23-897-GA-ATA</w:t>
            </w:r>
          </w:p>
          <w:p w14:paraId="3BF10C59" w14:textId="77777777" w:rsidR="00AD6CDE" w:rsidRPr="00284608" w:rsidRDefault="00AD6CDE"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tc>
      </w:tr>
      <w:tr w:rsidR="00162F74" w14:paraId="0F7F2036" w14:textId="77777777" w:rsidTr="00AE32D7">
        <w:trPr>
          <w:trHeight w:val="807"/>
        </w:trPr>
        <w:tc>
          <w:tcPr>
            <w:tcW w:w="4332" w:type="dxa"/>
            <w:shd w:val="clear" w:color="auto" w:fill="auto"/>
          </w:tcPr>
          <w:p w14:paraId="4E6E2155" w14:textId="77777777" w:rsidR="00AD6CDE" w:rsidRPr="00284608" w:rsidRDefault="00B26A4A" w:rsidP="00AE32D7">
            <w:pPr>
              <w:autoSpaceDE w:val="0"/>
              <w:autoSpaceDN w:val="0"/>
              <w:adjustRightInd w:val="0"/>
            </w:pPr>
            <w:r w:rsidRPr="00284608">
              <w:t>In the Matter of the Notice of The East</w:t>
            </w:r>
          </w:p>
          <w:p w14:paraId="720192D1" w14:textId="77777777" w:rsidR="00AD6CDE" w:rsidRPr="00284608" w:rsidRDefault="00B26A4A" w:rsidP="00AE32D7">
            <w:pPr>
              <w:autoSpaceDE w:val="0"/>
              <w:autoSpaceDN w:val="0"/>
              <w:adjustRightInd w:val="0"/>
            </w:pPr>
            <w:r w:rsidRPr="00284608">
              <w:t xml:space="preserve">Ohio Gas </w:t>
            </w:r>
            <w:r w:rsidRPr="00284608">
              <w:t>Company dba Dominion</w:t>
            </w:r>
          </w:p>
          <w:p w14:paraId="416A4D11" w14:textId="77777777" w:rsidR="00AD6CDE" w:rsidRPr="00284608" w:rsidRDefault="00B26A4A" w:rsidP="00AE32D7">
            <w:pPr>
              <w:autoSpaceDE w:val="0"/>
              <w:autoSpaceDN w:val="0"/>
              <w:adjustRightInd w:val="0"/>
            </w:pPr>
            <w:r w:rsidRPr="00284608">
              <w:t xml:space="preserve">Energy Ohio and Enbridge Elephant </w:t>
            </w:r>
          </w:p>
          <w:p w14:paraId="261B69CE" w14:textId="77777777" w:rsidR="00AD6CDE" w:rsidRPr="00284608" w:rsidRDefault="00B26A4A" w:rsidP="00AE32D7">
            <w:pPr>
              <w:autoSpaceDE w:val="0"/>
              <w:autoSpaceDN w:val="0"/>
              <w:adjustRightInd w:val="0"/>
            </w:pPr>
            <w:r w:rsidRPr="00284608">
              <w:t xml:space="preserve">Holdings, LLC. </w:t>
            </w:r>
          </w:p>
          <w:p w14:paraId="04B6DB82" w14:textId="77777777" w:rsidR="00AD6CDE" w:rsidRPr="00284608" w:rsidRDefault="00AD6CDE" w:rsidP="00AE32D7">
            <w:pPr>
              <w:spacing w:after="120"/>
            </w:pPr>
          </w:p>
        </w:tc>
        <w:tc>
          <w:tcPr>
            <w:tcW w:w="360" w:type="dxa"/>
            <w:shd w:val="clear" w:color="auto" w:fill="auto"/>
          </w:tcPr>
          <w:p w14:paraId="760FAB44" w14:textId="77777777" w:rsidR="00AD6CDE" w:rsidRPr="00284608" w:rsidRDefault="00B26A4A"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r w:rsidRPr="00284608">
              <w:rPr>
                <w:rFonts w:eastAsia="Courier New" w:cs="Courier New"/>
                <w:szCs w:val="20"/>
              </w:rPr>
              <w:t>)</w:t>
            </w:r>
          </w:p>
          <w:p w14:paraId="522A53E0" w14:textId="77777777" w:rsidR="00AD6CDE" w:rsidRPr="00284608" w:rsidRDefault="00B26A4A"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r w:rsidRPr="00284608">
              <w:rPr>
                <w:rFonts w:eastAsia="Courier New" w:cs="Courier New"/>
                <w:szCs w:val="20"/>
              </w:rPr>
              <w:t>)</w:t>
            </w:r>
          </w:p>
          <w:p w14:paraId="3CE0A219" w14:textId="77777777" w:rsidR="00AD6CDE" w:rsidRPr="00284608" w:rsidRDefault="00B26A4A"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r w:rsidRPr="00284608">
              <w:rPr>
                <w:rFonts w:eastAsia="Courier New" w:cs="Courier New"/>
                <w:szCs w:val="20"/>
              </w:rPr>
              <w:t>)</w:t>
            </w:r>
          </w:p>
          <w:p w14:paraId="10B77E3D" w14:textId="77777777" w:rsidR="00AD6CDE" w:rsidRPr="00284608" w:rsidRDefault="00B26A4A"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r w:rsidRPr="00284608">
              <w:rPr>
                <w:rFonts w:eastAsia="Courier New" w:cs="Courier New"/>
                <w:szCs w:val="20"/>
              </w:rPr>
              <w:t>)</w:t>
            </w:r>
          </w:p>
          <w:p w14:paraId="6A72A5E0" w14:textId="77777777" w:rsidR="00AD6CDE" w:rsidRPr="00284608" w:rsidRDefault="00AD6CDE"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p>
          <w:p w14:paraId="4B5279A9" w14:textId="77777777" w:rsidR="00AD6CDE" w:rsidRPr="00284608" w:rsidRDefault="00AD6CDE"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p>
        </w:tc>
        <w:tc>
          <w:tcPr>
            <w:tcW w:w="4400" w:type="dxa"/>
            <w:shd w:val="clear" w:color="auto" w:fill="auto"/>
          </w:tcPr>
          <w:p w14:paraId="361228D4" w14:textId="77777777" w:rsidR="00AD6CDE" w:rsidRPr="00284608" w:rsidRDefault="00AD6CDE"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p>
          <w:p w14:paraId="71B51E16" w14:textId="77777777" w:rsidR="00AD6CDE" w:rsidRPr="00284608" w:rsidRDefault="00B26A4A"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r w:rsidRPr="00284608">
              <w:rPr>
                <w:rFonts w:eastAsia="Courier New" w:cs="Courier New"/>
                <w:szCs w:val="20"/>
              </w:rPr>
              <w:t>Case No. 23-972-GA-UNC</w:t>
            </w:r>
          </w:p>
          <w:p w14:paraId="4C50205C" w14:textId="77777777" w:rsidR="00AD6CDE" w:rsidRPr="00284608" w:rsidRDefault="00AD6CDE"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p>
          <w:p w14:paraId="38F658B1" w14:textId="77777777" w:rsidR="00AD6CDE" w:rsidRPr="00284608" w:rsidRDefault="00AD6CDE"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p>
          <w:p w14:paraId="5DB54E06" w14:textId="77777777" w:rsidR="00AD6CDE" w:rsidRPr="00284608" w:rsidRDefault="00AD6CDE" w:rsidP="00AE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tc>
      </w:tr>
    </w:tbl>
    <w:p w14:paraId="59EFE250" w14:textId="77777777" w:rsidR="006B1C60" w:rsidRPr="00D1690D" w:rsidRDefault="00B26A4A" w:rsidP="00AF1246">
      <w:pPr>
        <w:pStyle w:val="InsideAddress"/>
        <w:pBdr>
          <w:bottom w:val="single" w:sz="12" w:space="1" w:color="auto"/>
        </w:pBdr>
        <w:ind w:right="720"/>
        <w:rPr>
          <w:rFonts w:ascii="Times New Roman" w:eastAsia="Times New Roman" w:hAnsi="Times New Roman"/>
          <w:szCs w:val="24"/>
        </w:rPr>
      </w:pPr>
      <w:r>
        <w:rPr>
          <w:rFonts w:ascii="Times New Roman" w:eastAsia="Courier New" w:hAnsi="Times New Roman"/>
          <w:szCs w:val="24"/>
        </w:rPr>
        <w:t xml:space="preserve"> </w:t>
      </w:r>
    </w:p>
    <w:p w14:paraId="62C9F9E4" w14:textId="77777777" w:rsidR="006B1C60" w:rsidRPr="00D1690D" w:rsidRDefault="006B1C60" w:rsidP="00AF1246">
      <w:pPr>
        <w:pStyle w:val="InsideAddress"/>
        <w:ind w:right="720"/>
        <w:rPr>
          <w:rFonts w:ascii="Times New Roman" w:eastAsia="Times New Roman" w:hAnsi="Times New Roman"/>
          <w:szCs w:val="24"/>
        </w:rPr>
      </w:pPr>
    </w:p>
    <w:p w14:paraId="545C4922" w14:textId="7A2670B8" w:rsidR="006C7DAF" w:rsidRDefault="00B26A4A" w:rsidP="00AF1246">
      <w:pPr>
        <w:pStyle w:val="Footer"/>
        <w:tabs>
          <w:tab w:val="clear" w:pos="4320"/>
          <w:tab w:val="clear" w:pos="8640"/>
        </w:tabs>
        <w:spacing w:line="240" w:lineRule="auto"/>
        <w:ind w:right="720"/>
        <w:jc w:val="center"/>
        <w:rPr>
          <w:b/>
        </w:rPr>
      </w:pPr>
      <w:r>
        <w:rPr>
          <w:b/>
        </w:rPr>
        <w:t>RE</w:t>
      </w:r>
      <w:r w:rsidR="00CE1CCF">
        <w:rPr>
          <w:b/>
        </w:rPr>
        <w:t>PLY</w:t>
      </w:r>
      <w:r>
        <w:rPr>
          <w:b/>
        </w:rPr>
        <w:t xml:space="preserve"> TO DOMINION</w:t>
      </w:r>
      <w:r w:rsidR="00727934">
        <w:rPr>
          <w:b/>
        </w:rPr>
        <w:t>’</w:t>
      </w:r>
      <w:r>
        <w:rPr>
          <w:b/>
        </w:rPr>
        <w:t xml:space="preserve">S MEMORANDUM CONTRA </w:t>
      </w:r>
    </w:p>
    <w:p w14:paraId="701BC1C1" w14:textId="77777777" w:rsidR="006C7DAF" w:rsidRDefault="00B26A4A" w:rsidP="00AF1246">
      <w:pPr>
        <w:pStyle w:val="Footer"/>
        <w:tabs>
          <w:tab w:val="clear" w:pos="4320"/>
          <w:tab w:val="clear" w:pos="8640"/>
        </w:tabs>
        <w:spacing w:line="240" w:lineRule="auto"/>
        <w:ind w:right="720"/>
        <w:jc w:val="center"/>
        <w:rPr>
          <w:b/>
        </w:rPr>
      </w:pPr>
      <w:r>
        <w:rPr>
          <w:b/>
        </w:rPr>
        <w:t xml:space="preserve">TO THE MOTION TO CONSOLIDATE </w:t>
      </w:r>
    </w:p>
    <w:p w14:paraId="331C4BC3" w14:textId="77777777" w:rsidR="006C7DAF" w:rsidRDefault="00B26A4A" w:rsidP="00AF1246">
      <w:pPr>
        <w:pStyle w:val="Footer"/>
        <w:tabs>
          <w:tab w:val="clear" w:pos="4320"/>
          <w:tab w:val="clear" w:pos="8640"/>
        </w:tabs>
        <w:spacing w:line="240" w:lineRule="auto"/>
        <w:ind w:right="720"/>
        <w:jc w:val="center"/>
        <w:rPr>
          <w:b/>
        </w:rPr>
      </w:pPr>
      <w:r>
        <w:rPr>
          <w:b/>
        </w:rPr>
        <w:t xml:space="preserve">BY </w:t>
      </w:r>
    </w:p>
    <w:p w14:paraId="79849011" w14:textId="57E090A7" w:rsidR="006B1C60" w:rsidRPr="00D1690D" w:rsidRDefault="00B26A4A" w:rsidP="00AF1246">
      <w:pPr>
        <w:pStyle w:val="Footer"/>
        <w:tabs>
          <w:tab w:val="clear" w:pos="4320"/>
          <w:tab w:val="clear" w:pos="8640"/>
        </w:tabs>
        <w:spacing w:line="240" w:lineRule="auto"/>
        <w:ind w:right="720"/>
        <w:jc w:val="center"/>
        <w:rPr>
          <w:b/>
        </w:rPr>
      </w:pPr>
      <w:r w:rsidRPr="00D1690D">
        <w:rPr>
          <w:b/>
          <w:bCs/>
        </w:rPr>
        <w:t>OFFICE OF THE OHIO CONSUMERS</w:t>
      </w:r>
      <w:r w:rsidR="00727934">
        <w:rPr>
          <w:b/>
          <w:bCs/>
        </w:rPr>
        <w:t>’</w:t>
      </w:r>
      <w:r w:rsidRPr="00D1690D">
        <w:rPr>
          <w:b/>
          <w:bCs/>
        </w:rPr>
        <w:t xml:space="preserve"> COUNSEL</w:t>
      </w:r>
    </w:p>
    <w:p w14:paraId="6D97E01F" w14:textId="77777777" w:rsidR="006B1C60" w:rsidRPr="00D1690D" w:rsidRDefault="006B1C60" w:rsidP="00AF1246">
      <w:pPr>
        <w:pStyle w:val="Footer"/>
        <w:pBdr>
          <w:bottom w:val="single" w:sz="12" w:space="1" w:color="auto"/>
        </w:pBdr>
        <w:tabs>
          <w:tab w:val="clear" w:pos="4320"/>
          <w:tab w:val="clear" w:pos="8640"/>
        </w:tabs>
        <w:spacing w:line="240" w:lineRule="auto"/>
        <w:ind w:right="720"/>
        <w:rPr>
          <w:b/>
        </w:rPr>
      </w:pPr>
    </w:p>
    <w:p w14:paraId="767E0084" w14:textId="77777777" w:rsidR="006B1C60" w:rsidRPr="00D1690D" w:rsidRDefault="006B1C60" w:rsidP="00AF1246">
      <w:pPr>
        <w:pStyle w:val="BodyTextIndent3"/>
        <w:widowControl w:val="0"/>
        <w:spacing w:line="240" w:lineRule="auto"/>
        <w:ind w:right="720"/>
        <w:rPr>
          <w:szCs w:val="24"/>
        </w:rPr>
      </w:pPr>
    </w:p>
    <w:p w14:paraId="764EFAB6" w14:textId="326E9A61" w:rsidR="00462F4B" w:rsidRDefault="00B26A4A" w:rsidP="00FB5063">
      <w:pPr>
        <w:pStyle w:val="Heading1"/>
        <w:ind w:right="720"/>
      </w:pPr>
      <w:bookmarkStart w:id="3" w:name="_Toc158279165"/>
      <w:bookmarkStart w:id="4" w:name="_Toc158281181"/>
      <w:bookmarkStart w:id="5" w:name="_Toc158281617"/>
      <w:bookmarkStart w:id="6" w:name="_Toc158299443"/>
      <w:bookmarkStart w:id="7" w:name="_Toc158299654"/>
      <w:bookmarkStart w:id="8" w:name="_Toc158299700"/>
      <w:bookmarkStart w:id="9" w:name="_Toc158299802"/>
      <w:bookmarkStart w:id="10" w:name="_Toc158301673"/>
      <w:r>
        <w:t>I.</w:t>
      </w:r>
      <w:r>
        <w:tab/>
      </w:r>
      <w:r w:rsidR="006B1C60">
        <w:t>I</w:t>
      </w:r>
      <w:r w:rsidR="00153811">
        <w:t>NTRODUCTION</w:t>
      </w:r>
      <w:bookmarkEnd w:id="3"/>
      <w:bookmarkEnd w:id="4"/>
      <w:bookmarkEnd w:id="5"/>
      <w:bookmarkEnd w:id="6"/>
      <w:bookmarkEnd w:id="7"/>
      <w:bookmarkEnd w:id="8"/>
      <w:bookmarkEnd w:id="9"/>
      <w:bookmarkEnd w:id="10"/>
    </w:p>
    <w:p w14:paraId="33DA1725" w14:textId="77777777" w:rsidR="00D71074" w:rsidRDefault="00D71074" w:rsidP="00AF1246">
      <w:pPr>
        <w:ind w:right="720"/>
      </w:pPr>
    </w:p>
    <w:p w14:paraId="2EDAED2F" w14:textId="49A8AE49" w:rsidR="00985D51" w:rsidRDefault="00B26A4A" w:rsidP="00AF1246">
      <w:pPr>
        <w:spacing w:line="480" w:lineRule="auto"/>
        <w:ind w:right="720" w:firstLine="720"/>
      </w:pPr>
      <w:r w:rsidRPr="0027363A">
        <w:t>D</w:t>
      </w:r>
      <w:r w:rsidR="00766BB2">
        <w:t>EO</w:t>
      </w:r>
      <w:r>
        <w:t xml:space="preserve"> </w:t>
      </w:r>
      <w:r w:rsidR="00CE1CCF">
        <w:t xml:space="preserve">claims </w:t>
      </w:r>
      <w:r>
        <w:t xml:space="preserve">that its current </w:t>
      </w:r>
      <w:r w:rsidR="00CE1CCF">
        <w:t xml:space="preserve">proposal </w:t>
      </w:r>
      <w:r w:rsidR="00FE09B4">
        <w:t>in</w:t>
      </w:r>
      <w:r w:rsidR="00CE1CCF">
        <w:t xml:space="preserve"> its pending </w:t>
      </w:r>
      <w:r>
        <w:t>rate case</w:t>
      </w:r>
      <w:r w:rsidR="00CE1CCF">
        <w:t xml:space="preserve"> to increase charges to consumers by </w:t>
      </w:r>
      <w:r w:rsidR="00FE09B4">
        <w:rPr>
          <w:i/>
          <w:iCs/>
        </w:rPr>
        <w:t>over 30 percent</w:t>
      </w:r>
      <w:r>
        <w:t xml:space="preserve"> does not share issues </w:t>
      </w:r>
      <w:r w:rsidR="00FE09B4">
        <w:t xml:space="preserve">with </w:t>
      </w:r>
      <w:r>
        <w:t xml:space="preserve">its </w:t>
      </w:r>
      <w:r w:rsidR="00CE1CCF">
        <w:t xml:space="preserve"> proposed merger with </w:t>
      </w:r>
      <w:r w:rsidR="00CE1CCF">
        <w:lastRenderedPageBreak/>
        <w:t>Enbridge Elephant in Case No. 23-972-GA-UNC.</w:t>
      </w:r>
      <w:r>
        <w:rPr>
          <w:rStyle w:val="FootnoteReference"/>
        </w:rPr>
        <w:footnoteReference w:id="1"/>
      </w:r>
      <w:r w:rsidR="00256825">
        <w:t xml:space="preserve"> Nothing could be farther from the truth.</w:t>
      </w:r>
      <w:r w:rsidR="00526083">
        <w:t xml:space="preserve"> The PUCO Staff recently noted in comments that</w:t>
      </w:r>
      <w:r w:rsidR="00727934">
        <w:t>”</w:t>
      </w:r>
      <w:r w:rsidR="00FE09B4">
        <w:t>[c]</w:t>
      </w:r>
      <w:r w:rsidR="00526083">
        <w:t>ustomers will be impacted by the sale of EOG in several ways”</w:t>
      </w:r>
      <w:r>
        <w:rPr>
          <w:rStyle w:val="FootnoteReference"/>
        </w:rPr>
        <w:footnoteReference w:id="2"/>
      </w:r>
      <w:r w:rsidR="00526083">
        <w:t xml:space="preserve"> and that</w:t>
      </w:r>
      <w:r w:rsidR="00727934">
        <w:t xml:space="preserve"> “</w:t>
      </w:r>
      <w:r w:rsidR="00526083">
        <w:t>the cost of the transition may eventually be recovered in customer rates.”</w:t>
      </w:r>
      <w:r>
        <w:rPr>
          <w:rStyle w:val="FootnoteReference"/>
        </w:rPr>
        <w:footnoteReference w:id="3"/>
      </w:r>
      <w:r w:rsidR="00526083">
        <w:t xml:space="preserve"> </w:t>
      </w:r>
      <w:r w:rsidR="00B46320">
        <w:t>Consistent with the PUCO Staff</w:t>
      </w:r>
      <w:r w:rsidR="00727934">
        <w:t>’</w:t>
      </w:r>
      <w:r w:rsidR="00B46320">
        <w:t>s observations, t</w:t>
      </w:r>
      <w:r w:rsidR="00526083">
        <w:t>he PUCO should grant OCC</w:t>
      </w:r>
      <w:r w:rsidR="00727934">
        <w:t>’</w:t>
      </w:r>
      <w:r w:rsidR="00526083">
        <w:t>s Motion to Consolidate the merger case with D</w:t>
      </w:r>
      <w:r w:rsidR="00766BB2">
        <w:t>EO</w:t>
      </w:r>
      <w:r w:rsidR="00727934">
        <w:t>’</w:t>
      </w:r>
      <w:r w:rsidR="00526083">
        <w:t>s rate case</w:t>
      </w:r>
      <w:r w:rsidR="00B46320">
        <w:t xml:space="preserve">.  That will enable the PUCO </w:t>
      </w:r>
      <w:r w:rsidR="00526083">
        <w:t>to properly assess the impact of the merger on consumers</w:t>
      </w:r>
      <w:r w:rsidR="00727934">
        <w:t>’</w:t>
      </w:r>
      <w:r w:rsidR="00526083">
        <w:t xml:space="preserve"> </w:t>
      </w:r>
      <w:r w:rsidR="00B46320">
        <w:t xml:space="preserve">utility </w:t>
      </w:r>
      <w:r w:rsidR="00526083">
        <w:t>rates</w:t>
      </w:r>
      <w:r w:rsidR="005C1F14">
        <w:t>.</w:t>
      </w:r>
      <w:r w:rsidR="00526083">
        <w:t xml:space="preserve"> </w:t>
      </w:r>
      <w:r w:rsidR="00256825">
        <w:t xml:space="preserve"> </w:t>
      </w:r>
    </w:p>
    <w:p w14:paraId="0DD8DC4D" w14:textId="0AF2385B" w:rsidR="00084E13" w:rsidRDefault="00B26A4A" w:rsidP="00AF1246">
      <w:pPr>
        <w:spacing w:line="480" w:lineRule="auto"/>
        <w:ind w:right="720" w:firstLine="720"/>
      </w:pPr>
      <w:r>
        <w:t>D</w:t>
      </w:r>
      <w:r w:rsidR="00766BB2">
        <w:t>EO</w:t>
      </w:r>
      <w:r>
        <w:t xml:space="preserve"> has</w:t>
      </w:r>
      <w:r w:rsidR="00985D51">
        <w:t xml:space="preserve"> in fact</w:t>
      </w:r>
      <w:r>
        <w:t xml:space="preserve"> </w:t>
      </w:r>
      <w:r w:rsidR="00FE09B4">
        <w:t>not</w:t>
      </w:r>
      <w:r>
        <w:t xml:space="preserve"> fully advise</w:t>
      </w:r>
      <w:r w:rsidR="00FE09B4">
        <w:t>d</w:t>
      </w:r>
      <w:r>
        <w:t xml:space="preserve"> the </w:t>
      </w:r>
      <w:r w:rsidR="00685949">
        <w:t>PUCO</w:t>
      </w:r>
      <w:r>
        <w:t xml:space="preserve"> of the full extent of the transaction</w:t>
      </w:r>
      <w:r w:rsidR="00B46320">
        <w:t xml:space="preserve">. </w:t>
      </w:r>
      <w:r w:rsidR="00685949">
        <w:t xml:space="preserve"> </w:t>
      </w:r>
      <w:r w:rsidR="009D3869">
        <w:t>D</w:t>
      </w:r>
      <w:r w:rsidR="00766BB2">
        <w:t>EO</w:t>
      </w:r>
      <w:r w:rsidR="009D3869">
        <w:t xml:space="preserve"> </w:t>
      </w:r>
      <w:r w:rsidR="00FE09B4">
        <w:t>has not fully</w:t>
      </w:r>
      <w:r w:rsidR="009D3869">
        <w:t xml:space="preserve"> advise</w:t>
      </w:r>
      <w:r w:rsidR="00FE09B4">
        <w:t>d</w:t>
      </w:r>
      <w:r w:rsidR="009D3869">
        <w:t xml:space="preserve"> the PUCO</w:t>
      </w:r>
      <w:r>
        <w:t xml:space="preserve"> </w:t>
      </w:r>
      <w:r w:rsidR="00FE09B4">
        <w:t>about the</w:t>
      </w:r>
      <w:r>
        <w:t xml:space="preserve"> additional entities being sold and the ongoing regulatory review of the transaction in several other states.</w:t>
      </w:r>
      <w:r w:rsidR="00B176F5">
        <w:t xml:space="preserve"> </w:t>
      </w:r>
      <w:r>
        <w:t xml:space="preserve">Further, the terms and the scale of </w:t>
      </w:r>
      <w:r w:rsidR="009D3869">
        <w:t xml:space="preserve">the </w:t>
      </w:r>
      <w:r>
        <w:t xml:space="preserve">transaction raise serious questions about how it may </w:t>
      </w:r>
      <w:r w:rsidR="004D749C">
        <w:t>affect</w:t>
      </w:r>
      <w:r w:rsidR="00C904D8">
        <w:t>,</w:t>
      </w:r>
      <w:r>
        <w:t xml:space="preserve"> not just the rates to be </w:t>
      </w:r>
      <w:r w:rsidR="00985D51">
        <w:t>charged consumers but also</w:t>
      </w:r>
      <w:r>
        <w:t xml:space="preserve"> the </w:t>
      </w:r>
      <w:r w:rsidR="00FE001D">
        <w:t>overall</w:t>
      </w:r>
      <w:r>
        <w:t xml:space="preserve"> management of </w:t>
      </w:r>
      <w:r w:rsidR="00446E63">
        <w:t xml:space="preserve">service to </w:t>
      </w:r>
      <w:r w:rsidR="00C904D8">
        <w:t>nearly</w:t>
      </w:r>
      <w:r w:rsidR="00446E63">
        <w:t xml:space="preserve"> one third of Ohio</w:t>
      </w:r>
      <w:r w:rsidR="00727934">
        <w:t>’</w:t>
      </w:r>
      <w:r w:rsidR="00446E63">
        <w:t>s residential natural gas consumers</w:t>
      </w:r>
      <w:r w:rsidR="00C904D8">
        <w:t xml:space="preserve">. </w:t>
      </w:r>
    </w:p>
    <w:p w14:paraId="08EA25FC" w14:textId="1E639CE3" w:rsidR="00110642" w:rsidRDefault="00B26A4A" w:rsidP="00AF1246">
      <w:pPr>
        <w:spacing w:line="480" w:lineRule="auto"/>
        <w:ind w:right="720" w:firstLine="720"/>
      </w:pPr>
      <w:r>
        <w:t xml:space="preserve">Based on </w:t>
      </w:r>
      <w:r w:rsidR="005C1F14">
        <w:t>the e</w:t>
      </w:r>
      <w:r>
        <w:t>ffect the proposed acquisition is likely to have on D</w:t>
      </w:r>
      <w:r w:rsidR="00766BB2">
        <w:t>EO</w:t>
      </w:r>
      <w:r w:rsidR="00727934">
        <w:t>’</w:t>
      </w:r>
      <w:r>
        <w:t>s rates</w:t>
      </w:r>
      <w:r w:rsidR="00084E13">
        <w:t xml:space="preserve"> and thus consumers</w:t>
      </w:r>
      <w:r>
        <w:t>,</w:t>
      </w:r>
      <w:r>
        <w:t xml:space="preserve"> the consolidation of these two matters is necessary to accurately determine an appropriate rate for D</w:t>
      </w:r>
      <w:r w:rsidR="00766BB2">
        <w:t>EO</w:t>
      </w:r>
      <w:r w:rsidR="00727934">
        <w:t>’</w:t>
      </w:r>
      <w:r>
        <w:t>s 1.1 million residential consumers in Ohio.</w:t>
      </w:r>
    </w:p>
    <w:p w14:paraId="0EF58795" w14:textId="36C2EE8F" w:rsidR="00D71074" w:rsidRPr="00D71074" w:rsidRDefault="00B26A4A" w:rsidP="00AF1246">
      <w:pPr>
        <w:spacing w:line="480" w:lineRule="auto"/>
        <w:ind w:right="720" w:firstLine="720"/>
      </w:pPr>
      <w:r>
        <w:t>OCC</w:t>
      </w:r>
      <w:r w:rsidR="00727934">
        <w:t>’</w:t>
      </w:r>
      <w:r>
        <w:t>s Motion to Consolidate should be granted.</w:t>
      </w:r>
      <w:r w:rsidR="004D749C">
        <w:t xml:space="preserve"> </w:t>
      </w:r>
    </w:p>
    <w:p w14:paraId="49A70A14" w14:textId="426DE416" w:rsidR="00985D51" w:rsidRDefault="00B26A4A" w:rsidP="00E463D7">
      <w:pPr>
        <w:pStyle w:val="Heading1"/>
      </w:pPr>
      <w:bookmarkStart w:id="11" w:name="_Toc158299444"/>
      <w:bookmarkStart w:id="12" w:name="_Toc158299655"/>
      <w:bookmarkStart w:id="13" w:name="_Toc158299701"/>
      <w:bookmarkStart w:id="14" w:name="_Toc158299803"/>
      <w:bookmarkStart w:id="15" w:name="_Toc158301674"/>
      <w:bookmarkStart w:id="16" w:name="_Toc158279166"/>
      <w:bookmarkStart w:id="17" w:name="_Toc158281182"/>
      <w:bookmarkStart w:id="18" w:name="_Toc158281618"/>
      <w:bookmarkEnd w:id="2"/>
      <w:r>
        <w:t>II.</w:t>
      </w:r>
      <w:r w:rsidR="00E463D7">
        <w:tab/>
      </w:r>
      <w:r>
        <w:t>ARGUMENT</w:t>
      </w:r>
      <w:bookmarkEnd w:id="11"/>
      <w:bookmarkEnd w:id="12"/>
      <w:bookmarkEnd w:id="13"/>
      <w:bookmarkEnd w:id="14"/>
      <w:bookmarkEnd w:id="15"/>
    </w:p>
    <w:p w14:paraId="3BD0AA4B" w14:textId="77777777" w:rsidR="00E463D7" w:rsidRPr="00E463D7" w:rsidRDefault="00E463D7" w:rsidP="00E463D7"/>
    <w:p w14:paraId="00B6BEFF" w14:textId="1E3C9056" w:rsidR="006557E1" w:rsidRPr="00E463D7" w:rsidRDefault="00B26A4A" w:rsidP="00E463D7">
      <w:pPr>
        <w:pStyle w:val="Heading2"/>
      </w:pPr>
      <w:bookmarkStart w:id="19" w:name="_Toc158299445"/>
      <w:bookmarkStart w:id="20" w:name="_Toc158299656"/>
      <w:bookmarkStart w:id="21" w:name="_Toc158299702"/>
      <w:bookmarkStart w:id="22" w:name="_Toc158299804"/>
      <w:bookmarkStart w:id="23" w:name="_Toc158301675"/>
      <w:r w:rsidRPr="00E463D7">
        <w:t>A.</w:t>
      </w:r>
      <w:r w:rsidRPr="00E463D7">
        <w:tab/>
      </w:r>
      <w:r w:rsidR="00AF035B" w:rsidRPr="00E463D7">
        <w:t xml:space="preserve">Background </w:t>
      </w:r>
      <w:r w:rsidR="00727934">
        <w:t>o</w:t>
      </w:r>
      <w:r w:rsidR="00AF035B" w:rsidRPr="00E463D7">
        <w:t xml:space="preserve">f </w:t>
      </w:r>
      <w:r w:rsidR="00727934">
        <w:t>p</w:t>
      </w:r>
      <w:r w:rsidR="00084E13" w:rsidRPr="00E463D7">
        <w:t>roposed</w:t>
      </w:r>
      <w:r w:rsidR="00985D51" w:rsidRPr="00E463D7">
        <w:t xml:space="preserve"> Enbridge/Dominion</w:t>
      </w:r>
      <w:r w:rsidR="00872765" w:rsidRPr="00E463D7">
        <w:t xml:space="preserve"> Energy</w:t>
      </w:r>
      <w:r w:rsidRPr="00E463D7">
        <w:t xml:space="preserve"> </w:t>
      </w:r>
      <w:r w:rsidR="00AF035B" w:rsidRPr="00E463D7">
        <w:t>Transaction</w:t>
      </w:r>
      <w:bookmarkEnd w:id="16"/>
      <w:bookmarkEnd w:id="17"/>
      <w:bookmarkEnd w:id="18"/>
      <w:bookmarkEnd w:id="19"/>
      <w:bookmarkEnd w:id="20"/>
      <w:bookmarkEnd w:id="21"/>
      <w:bookmarkEnd w:id="22"/>
      <w:bookmarkEnd w:id="23"/>
      <w:r w:rsidR="00462F4B" w:rsidRPr="00E463D7">
        <w:t xml:space="preserve"> </w:t>
      </w:r>
    </w:p>
    <w:p w14:paraId="72B2469A" w14:textId="1D766C00" w:rsidR="00074C0D" w:rsidRDefault="00B26A4A" w:rsidP="00AF1246">
      <w:pPr>
        <w:spacing w:line="480" w:lineRule="auto"/>
        <w:ind w:right="720" w:firstLine="720"/>
      </w:pPr>
      <w:r w:rsidRPr="0027363A">
        <w:t>Enbridge Elephant Holdings, LLC (“</w:t>
      </w:r>
      <w:r>
        <w:t>Enbridge</w:t>
      </w:r>
      <w:r w:rsidRPr="0027363A">
        <w:t>”)</w:t>
      </w:r>
      <w:r w:rsidR="00FA55A0">
        <w:t>,</w:t>
      </w:r>
      <w:bookmarkStart w:id="24" w:name="_Hlk157688709"/>
      <w:r w:rsidR="00985D51">
        <w:t xml:space="preserve"> </w:t>
      </w:r>
      <w:r w:rsidR="00FA55A0">
        <w:t>seeking</w:t>
      </w:r>
      <w:r w:rsidRPr="0095352F">
        <w:t xml:space="preserve"> to become </w:t>
      </w:r>
      <w:r w:rsidR="00FA55A0">
        <w:t>North America</w:t>
      </w:r>
      <w:r w:rsidR="00727934">
        <w:t>’</w:t>
      </w:r>
      <w:r w:rsidR="00FA55A0">
        <w:t xml:space="preserve">s </w:t>
      </w:r>
      <w:r w:rsidRPr="0095352F">
        <w:t>largest natural gas utility</w:t>
      </w:r>
      <w:r w:rsidR="00FA55A0">
        <w:t>,</w:t>
      </w:r>
      <w:bookmarkStart w:id="25" w:name="_Hlk157689177"/>
      <w:bookmarkEnd w:id="24"/>
      <w:r w:rsidR="00FA55A0">
        <w:t xml:space="preserve"> has agreed to purchase</w:t>
      </w:r>
      <w:r w:rsidR="005C1F14">
        <w:t xml:space="preserve"> </w:t>
      </w:r>
      <w:bookmarkStart w:id="26" w:name="_Hlk157762486"/>
      <w:bookmarkStart w:id="27" w:name="_Hlk158188074"/>
      <w:r w:rsidR="00884C12">
        <w:t>DEO</w:t>
      </w:r>
      <w:r w:rsidR="00FA55A0" w:rsidRPr="0095352F">
        <w:t xml:space="preserve"> and two other utilities </w:t>
      </w:r>
      <w:r w:rsidR="00FA55A0" w:rsidRPr="0095352F">
        <w:lastRenderedPageBreak/>
        <w:t>that operate in North Carolina, Utah, Idaho</w:t>
      </w:r>
      <w:r w:rsidR="00084E13">
        <w:t>,</w:t>
      </w:r>
      <w:r w:rsidR="00FA55A0" w:rsidRPr="0095352F">
        <w:t xml:space="preserve"> and Wyoming</w:t>
      </w:r>
      <w:bookmarkEnd w:id="26"/>
      <w:r w:rsidR="00FA55A0" w:rsidRPr="0095352F">
        <w:t xml:space="preserve"> </w:t>
      </w:r>
      <w:r w:rsidR="00FA55A0">
        <w:t>from</w:t>
      </w:r>
      <w:r w:rsidR="00766BB2">
        <w:t xml:space="preserve"> the parent company</w:t>
      </w:r>
      <w:r w:rsidR="00B176F5">
        <w:t xml:space="preserve"> </w:t>
      </w:r>
      <w:r w:rsidRPr="0027363A">
        <w:t>Dominion Energy</w:t>
      </w:r>
      <w:r w:rsidR="005C1F14">
        <w:t>, Inc.</w:t>
      </w:r>
      <w:r w:rsidR="00884C12">
        <w:t xml:space="preserve"> (“Dominion Energy”)</w:t>
      </w:r>
      <w:r w:rsidRPr="0095352F">
        <w:t> </w:t>
      </w:r>
      <w:r w:rsidR="00FA55A0">
        <w:t>for</w:t>
      </w:r>
      <w:r w:rsidRPr="0095352F">
        <w:t xml:space="preserve"> $14 billion.</w:t>
      </w:r>
      <w:r>
        <w:rPr>
          <w:rStyle w:val="FootnoteReference"/>
        </w:rPr>
        <w:footnoteReference w:id="4"/>
      </w:r>
      <w:bookmarkEnd w:id="27"/>
      <w:r w:rsidRPr="0095352F">
        <w:t xml:space="preserve"> </w:t>
      </w:r>
      <w:bookmarkEnd w:id="25"/>
      <w:r w:rsidRPr="0095352F">
        <w:t xml:space="preserve">If the sale is approved, Enbridge would go from serving 3.9 million Canadian </w:t>
      </w:r>
      <w:r w:rsidR="00775DB7">
        <w:t xml:space="preserve">consumers </w:t>
      </w:r>
      <w:r w:rsidR="00FA55A0">
        <w:t>in</w:t>
      </w:r>
      <w:r w:rsidRPr="0095352F">
        <w:t xml:space="preserve"> </w:t>
      </w:r>
      <w:r w:rsidR="00FA55A0" w:rsidRPr="0095352F">
        <w:t xml:space="preserve">Ontario and Quebec </w:t>
      </w:r>
      <w:r w:rsidRPr="0095352F">
        <w:t>to more than 7 million across North America.</w:t>
      </w:r>
      <w:r>
        <w:rPr>
          <w:rStyle w:val="FootnoteReference"/>
        </w:rPr>
        <w:footnoteReference w:id="5"/>
      </w:r>
      <w:r w:rsidRPr="0095352F">
        <w:t xml:space="preserve"> </w:t>
      </w:r>
      <w:r w:rsidR="00D43566">
        <w:t xml:space="preserve">Upon completing the transactions, Enbridge will operate </w:t>
      </w:r>
      <w:r w:rsidR="00096879">
        <w:t>North America</w:t>
      </w:r>
      <w:r w:rsidR="00727934">
        <w:t>’</w:t>
      </w:r>
      <w:r w:rsidR="00096879">
        <w:t>s</w:t>
      </w:r>
      <w:r w:rsidR="00096879" w:rsidRPr="0095352F">
        <w:t xml:space="preserve"> </w:t>
      </w:r>
      <w:r w:rsidRPr="0095352F">
        <w:t>largest natural gas utility by volume, delivering more than</w:t>
      </w:r>
      <w:r w:rsidRPr="0095352F">
        <w:rPr>
          <w:b/>
          <w:bCs/>
        </w:rPr>
        <w:t> </w:t>
      </w:r>
      <w:r w:rsidRPr="0095352F">
        <w:t>9 billion cubic feet of natural gas each day.</w:t>
      </w:r>
      <w:r>
        <w:rPr>
          <w:rStyle w:val="FootnoteReference"/>
        </w:rPr>
        <w:footnoteReference w:id="6"/>
      </w:r>
    </w:p>
    <w:p w14:paraId="6DD40E59" w14:textId="624EDB9D" w:rsidR="00C3238D" w:rsidRDefault="00B26A4A" w:rsidP="00AF1246">
      <w:pPr>
        <w:spacing w:line="480" w:lineRule="auto"/>
        <w:ind w:right="720" w:firstLine="720"/>
      </w:pPr>
      <w:r w:rsidRPr="0095352F">
        <w:t>Accordingly, Enbridge</w:t>
      </w:r>
      <w:r>
        <w:t xml:space="preserve"> is </w:t>
      </w:r>
      <w:r w:rsidRPr="0095352F">
        <w:t>seeking approval from the public utility regulators in North Carolina</w:t>
      </w:r>
      <w:r w:rsidR="004A31C4">
        <w:t>,</w:t>
      </w:r>
      <w:r>
        <w:rPr>
          <w:rStyle w:val="FootnoteReference"/>
        </w:rPr>
        <w:footnoteReference w:id="7"/>
      </w:r>
      <w:r w:rsidRPr="0095352F">
        <w:t xml:space="preserve"> Utah</w:t>
      </w:r>
      <w:r w:rsidR="004A31C4">
        <w:t>,</w:t>
      </w:r>
      <w:r>
        <w:rPr>
          <w:rStyle w:val="FootnoteReference"/>
        </w:rPr>
        <w:footnoteReference w:id="8"/>
      </w:r>
      <w:r w:rsidRPr="0095352F">
        <w:t xml:space="preserve"> Idaho</w:t>
      </w:r>
      <w:r w:rsidR="004A31C4">
        <w:t>,</w:t>
      </w:r>
      <w:r>
        <w:rPr>
          <w:rStyle w:val="FootnoteReference"/>
        </w:rPr>
        <w:footnoteReference w:id="9"/>
      </w:r>
      <w:r w:rsidRPr="0095352F">
        <w:t xml:space="preserve"> </w:t>
      </w:r>
      <w:r>
        <w:t>Wyoming</w:t>
      </w:r>
      <w:r w:rsidR="00084E13">
        <w:t>,</w:t>
      </w:r>
      <w:r>
        <w:rPr>
          <w:rStyle w:val="FootnoteReference"/>
        </w:rPr>
        <w:footnoteReference w:id="10"/>
      </w:r>
      <w:r>
        <w:t xml:space="preserve"> </w:t>
      </w:r>
      <w:r w:rsidRPr="0095352F">
        <w:t xml:space="preserve">and </w:t>
      </w:r>
      <w:r w:rsidR="004B0472">
        <w:t xml:space="preserve">giving notice in </w:t>
      </w:r>
      <w:r w:rsidRPr="0095352F">
        <w:t>Ohio</w:t>
      </w:r>
      <w:r w:rsidR="004B0472">
        <w:t>,</w:t>
      </w:r>
      <w:r>
        <w:rPr>
          <w:rStyle w:val="FootnoteReference"/>
        </w:rPr>
        <w:footnoteReference w:id="11"/>
      </w:r>
      <w:r w:rsidRPr="0095352F">
        <w:t xml:space="preserve"> to move forward with </w:t>
      </w:r>
      <w:r>
        <w:t>the various utility purchases in each state</w:t>
      </w:r>
      <w:r w:rsidRPr="0095352F">
        <w:t xml:space="preserve">. Reportedly, </w:t>
      </w:r>
      <w:r>
        <w:t>the $14 billion sale</w:t>
      </w:r>
      <w:r w:rsidRPr="0095352F">
        <w:t xml:space="preserve"> must</w:t>
      </w:r>
      <w:r>
        <w:t xml:space="preserve"> also</w:t>
      </w:r>
      <w:r w:rsidRPr="0095352F">
        <w:t xml:space="preserve"> be approved by the Federal Trade Commission, the Federal Communications Committee</w:t>
      </w:r>
      <w:r>
        <w:t>,</w:t>
      </w:r>
      <w:r w:rsidRPr="0095352F">
        <w:t xml:space="preserve"> </w:t>
      </w:r>
      <w:r w:rsidRPr="0095352F">
        <w:lastRenderedPageBreak/>
        <w:t>and the Committee on Foreign Investments.</w:t>
      </w:r>
      <w:r>
        <w:rPr>
          <w:rStyle w:val="FootnoteReference"/>
        </w:rPr>
        <w:footnoteReference w:id="12"/>
      </w:r>
      <w:r w:rsidRPr="0095352F">
        <w:t xml:space="preserve"> </w:t>
      </w:r>
      <w:bookmarkStart w:id="40" w:name="_Hlk157690624"/>
      <w:r w:rsidRPr="0095352F">
        <w:t xml:space="preserve">Proceedings are moving forward in </w:t>
      </w:r>
      <w:r w:rsidRPr="00884B79">
        <w:t>Wyoming</w:t>
      </w:r>
      <w:r>
        <w:t xml:space="preserve">, </w:t>
      </w:r>
      <w:r w:rsidRPr="0095352F">
        <w:t>North Carolina</w:t>
      </w:r>
      <w:r w:rsidR="00084E13">
        <w:t>,</w:t>
      </w:r>
      <w:r w:rsidRPr="0095352F">
        <w:t xml:space="preserve"> and Utah.</w:t>
      </w:r>
      <w:r>
        <w:rPr>
          <w:rStyle w:val="FootnoteReference"/>
        </w:rPr>
        <w:footnoteReference w:id="13"/>
      </w:r>
      <w:r w:rsidRPr="0095352F">
        <w:t xml:space="preserve"> Idaho is seeking intervention in the Utah matter to monitor the case before moving forward with its proceedings.</w:t>
      </w:r>
      <w:r>
        <w:rPr>
          <w:rStyle w:val="FootnoteReference"/>
        </w:rPr>
        <w:footnoteReference w:id="14"/>
      </w:r>
      <w:r w:rsidRPr="0095352F">
        <w:t xml:space="preserve"> </w:t>
      </w:r>
      <w:bookmarkEnd w:id="40"/>
      <w:r w:rsidRPr="0095352F">
        <w:t xml:space="preserve">In Idaho, </w:t>
      </w:r>
      <w:r>
        <w:t xml:space="preserve">Wyoming, </w:t>
      </w:r>
      <w:r w:rsidRPr="0095352F">
        <w:t>North Carolina, and Utah</w:t>
      </w:r>
      <w:r>
        <w:t>,</w:t>
      </w:r>
      <w:r w:rsidRPr="0095352F">
        <w:t xml:space="preserve"> the application submitted to the </w:t>
      </w:r>
      <w:r>
        <w:t>various utility regulators</w:t>
      </w:r>
      <w:r w:rsidRPr="0095352F">
        <w:t xml:space="preserve"> are supported by </w:t>
      </w:r>
      <w:r>
        <w:t>evidentiary</w:t>
      </w:r>
      <w:r w:rsidRPr="0095352F">
        <w:t xml:space="preserve"> documents, including pre-filed testimony and the relevant purchase agreements.</w:t>
      </w:r>
      <w:r>
        <w:rPr>
          <w:rStyle w:val="FootnoteReference"/>
        </w:rPr>
        <w:footnoteReference w:id="15"/>
      </w:r>
      <w:r w:rsidRPr="0095352F">
        <w:t xml:space="preserve"> </w:t>
      </w:r>
    </w:p>
    <w:p w14:paraId="6354D137" w14:textId="0756CA97" w:rsidR="00EB3ED4" w:rsidRDefault="00B26A4A" w:rsidP="00AF1246">
      <w:pPr>
        <w:spacing w:line="480" w:lineRule="auto"/>
        <w:ind w:right="720" w:firstLine="720"/>
      </w:pPr>
      <w:r>
        <w:t>Unlike in the other states, the</w:t>
      </w:r>
      <w:r w:rsidR="006557E1" w:rsidRPr="0095352F">
        <w:t xml:space="preserve"> Ohio </w:t>
      </w:r>
      <w:r w:rsidR="004B0472">
        <w:t>notice</w:t>
      </w:r>
      <w:r w:rsidR="004B0472" w:rsidRPr="0095352F">
        <w:t xml:space="preserve"> </w:t>
      </w:r>
      <w:r w:rsidR="006557E1" w:rsidRPr="0095352F">
        <w:t xml:space="preserve">before the </w:t>
      </w:r>
      <w:r w:rsidR="006557E1">
        <w:t>PUCO</w:t>
      </w:r>
      <w:r w:rsidR="006557E1" w:rsidRPr="0095352F">
        <w:t xml:space="preserve"> is </w:t>
      </w:r>
      <w:r>
        <w:t>not supported</w:t>
      </w:r>
      <w:r w:rsidR="006557E1" w:rsidRPr="0095352F">
        <w:t xml:space="preserve"> by any documents</w:t>
      </w:r>
      <w:r>
        <w:t xml:space="preserve"> (for example, pre-filed testimony or a transaction agreement)</w:t>
      </w:r>
      <w:r w:rsidR="00766BB2">
        <w:t>.</w:t>
      </w:r>
      <w:r>
        <w:rPr>
          <w:rStyle w:val="FootnoteReference"/>
        </w:rPr>
        <w:footnoteReference w:id="16"/>
      </w:r>
      <w:r w:rsidR="00884C12">
        <w:t xml:space="preserve"> Incredibly</w:t>
      </w:r>
      <w:r w:rsidR="00766BB2">
        <w:t xml:space="preserve">, the PUCO Staff </w:t>
      </w:r>
      <w:r w:rsidR="00884C12">
        <w:t>reported</w:t>
      </w:r>
      <w:r w:rsidR="00766BB2">
        <w:t xml:space="preserve"> that</w:t>
      </w:r>
      <w:r w:rsidR="008A7EE2">
        <w:t xml:space="preserve"> “</w:t>
      </w:r>
      <w:r w:rsidR="00766BB2">
        <w:t>Enbridge could not provide Staff with an estimate of the total transition costs.”</w:t>
      </w:r>
      <w:r>
        <w:rPr>
          <w:rStyle w:val="FootnoteReference"/>
        </w:rPr>
        <w:footnoteReference w:id="17"/>
      </w:r>
      <w:r>
        <w:t xml:space="preserve"> </w:t>
      </w:r>
      <w:r w:rsidR="00884C12">
        <w:t xml:space="preserve">But </w:t>
      </w:r>
      <w:r w:rsidR="006557E1" w:rsidRPr="0095352F">
        <w:t xml:space="preserve">the PUCO </w:t>
      </w:r>
      <w:r w:rsidR="006557E1">
        <w:t>has been</w:t>
      </w:r>
      <w:r w:rsidR="006557E1" w:rsidRPr="0095352F">
        <w:t xml:space="preserve"> asked to</w:t>
      </w:r>
      <w:r w:rsidR="008A7EE2">
        <w:t xml:space="preserve"> “</w:t>
      </w:r>
      <w:r>
        <w:t xml:space="preserve">take any action deemed necessary on this filing as expeditiously as possible, but no later than March 1, 2024” but </w:t>
      </w:r>
      <w:r w:rsidR="006557E1" w:rsidRPr="0095352F">
        <w:t xml:space="preserve">without </w:t>
      </w:r>
      <w:r>
        <w:t>ordering any public hearing, evidentiary hearing, customer notice, or other formal process</w:t>
      </w:r>
      <w:r w:rsidR="008A7EE2">
        <w:t>.</w:t>
      </w:r>
      <w:r>
        <w:rPr>
          <w:rStyle w:val="FootnoteReference"/>
        </w:rPr>
        <w:footnoteReference w:id="18"/>
      </w:r>
      <w:r w:rsidR="006557E1">
        <w:t xml:space="preserve"> </w:t>
      </w:r>
    </w:p>
    <w:p w14:paraId="60FB6E80" w14:textId="75E802C6" w:rsidR="006557E1" w:rsidRPr="0095352F" w:rsidRDefault="00B26A4A" w:rsidP="00AF1246">
      <w:pPr>
        <w:spacing w:line="480" w:lineRule="auto"/>
        <w:ind w:right="720" w:firstLine="720"/>
      </w:pPr>
      <w:r>
        <w:t xml:space="preserve">OCC urges the contrary, the PUCO should not allow itself to be rushed or dismissed to the detriment of Ohio consumers. </w:t>
      </w:r>
      <w:r w:rsidR="00C3238D">
        <w:t xml:space="preserve">The impact of the transaction </w:t>
      </w:r>
      <w:r w:rsidR="004B0472">
        <w:t xml:space="preserve">on </w:t>
      </w:r>
      <w:r w:rsidR="00F34AC5">
        <w:t>DEO</w:t>
      </w:r>
      <w:r w:rsidR="00C3238D">
        <w:t xml:space="preserve"> consumers</w:t>
      </w:r>
      <w:r w:rsidR="00727934">
        <w:t>’</w:t>
      </w:r>
      <w:r w:rsidR="00C3238D">
        <w:t xml:space="preserve"> rates should be considered in th</w:t>
      </w:r>
      <w:r w:rsidR="00884C12">
        <w:t>is</w:t>
      </w:r>
      <w:r w:rsidR="00C3238D">
        <w:t xml:space="preserve"> rate case.</w:t>
      </w:r>
    </w:p>
    <w:p w14:paraId="28CB05E9" w14:textId="6732F7F7" w:rsidR="006557E1" w:rsidRDefault="00B26A4A" w:rsidP="00AF1246">
      <w:pPr>
        <w:spacing w:line="480" w:lineRule="auto"/>
        <w:ind w:right="720" w:firstLine="720"/>
      </w:pPr>
      <w:r>
        <w:lastRenderedPageBreak/>
        <w:t>The</w:t>
      </w:r>
      <w:r w:rsidRPr="0095352F">
        <w:t xml:space="preserve"> PUCO </w:t>
      </w:r>
      <w:r w:rsidR="0017593A">
        <w:t xml:space="preserve">should </w:t>
      </w:r>
      <w:r>
        <w:t xml:space="preserve">assert its </w:t>
      </w:r>
      <w:r w:rsidR="00EB3ED4">
        <w:t xml:space="preserve">general supervisory </w:t>
      </w:r>
      <w:r>
        <w:t>authority</w:t>
      </w:r>
      <w:r w:rsidR="00C50D23">
        <w:t xml:space="preserve"> to protect the 1.1 million Ohio residential consumers who receive natural gas services from D</w:t>
      </w:r>
      <w:r w:rsidR="00884C12">
        <w:t>EO</w:t>
      </w:r>
      <w:r w:rsidR="00C50D23">
        <w:t xml:space="preserve"> </w:t>
      </w:r>
      <w:r w:rsidR="0017593A">
        <w:t>and</w:t>
      </w:r>
      <w:r w:rsidR="00C50D23">
        <w:t>:</w:t>
      </w:r>
      <w:r w:rsidRPr="0095352F">
        <w:t xml:space="preserve"> 1) review Enbridge</w:t>
      </w:r>
      <w:r w:rsidR="00727934">
        <w:t>’</w:t>
      </w:r>
      <w:r w:rsidRPr="0095352F">
        <w:t xml:space="preserve">s acquisition of </w:t>
      </w:r>
      <w:r w:rsidR="00884C12">
        <w:t>DEO</w:t>
      </w:r>
      <w:r w:rsidRPr="0095352F">
        <w:t xml:space="preserve"> </w:t>
      </w:r>
      <w:r w:rsidR="00C50D23" w:rsidRPr="0095352F">
        <w:t>f</w:t>
      </w:r>
      <w:r w:rsidR="00C50D23">
        <w:t>rom</w:t>
      </w:r>
      <w:r w:rsidR="00C50D23" w:rsidRPr="0095352F">
        <w:t xml:space="preserve"> </w:t>
      </w:r>
      <w:r w:rsidRPr="0095352F">
        <w:t>Dominion</w:t>
      </w:r>
      <w:r>
        <w:t xml:space="preserve"> </w:t>
      </w:r>
      <w:r w:rsidR="00C50D23">
        <w:t xml:space="preserve">Energy </w:t>
      </w:r>
      <w:r>
        <w:t xml:space="preserve">through evidentiary proceedings </w:t>
      </w:r>
      <w:r w:rsidRPr="0095352F">
        <w:t xml:space="preserve">to </w:t>
      </w:r>
      <w:r>
        <w:t>assess</w:t>
      </w:r>
      <w:r w:rsidRPr="0095352F">
        <w:t xml:space="preserve"> whether the acquisition is advantageous for Ohio consumers, </w:t>
      </w:r>
      <w:r w:rsidR="00C50D23">
        <w:t xml:space="preserve">2) </w:t>
      </w:r>
      <w:r w:rsidR="005B6FCC">
        <w:t xml:space="preserve">consolidate this rate case with </w:t>
      </w:r>
      <w:r w:rsidR="004B0472">
        <w:t>DEO</w:t>
      </w:r>
      <w:r w:rsidR="00727934">
        <w:t>’</w:t>
      </w:r>
      <w:r w:rsidR="004B0472">
        <w:t>s</w:t>
      </w:r>
      <w:r w:rsidR="00EB3ED4">
        <w:t xml:space="preserve"> notice filing concerning Enbridge</w:t>
      </w:r>
      <w:r w:rsidR="005B6FCC">
        <w:t>, to</w:t>
      </w:r>
      <w:r>
        <w:t xml:space="preserve"> allow intervenors to investigate the transaction through</w:t>
      </w:r>
      <w:r w:rsidR="005B6FCC">
        <w:t xml:space="preserve"> all </w:t>
      </w:r>
      <w:r>
        <w:t>available</w:t>
      </w:r>
      <w:r w:rsidR="005B6FCC">
        <w:t xml:space="preserve"> discovery</w:t>
      </w:r>
      <w:r>
        <w:t xml:space="preserve"> methods and present evidence </w:t>
      </w:r>
      <w:r w:rsidR="0017593A">
        <w:t xml:space="preserve">of </w:t>
      </w:r>
      <w:r>
        <w:t>the transaction</w:t>
      </w:r>
      <w:r w:rsidR="00727934">
        <w:t>’</w:t>
      </w:r>
      <w:r>
        <w:t>s effect on DE</w:t>
      </w:r>
      <w:r w:rsidR="00884C12">
        <w:t>O</w:t>
      </w:r>
      <w:r w:rsidR="00727934">
        <w:t>’</w:t>
      </w:r>
      <w:r>
        <w:t>s base rate case</w:t>
      </w:r>
      <w:r w:rsidR="005B6FCC">
        <w:t>, 3</w:t>
      </w:r>
      <w:r w:rsidRPr="0095352F">
        <w:t xml:space="preserve">) </w:t>
      </w:r>
      <w:r w:rsidRPr="00EB1561">
        <w:t xml:space="preserve">protect </w:t>
      </w:r>
      <w:r w:rsidR="00C50D23">
        <w:t>DE</w:t>
      </w:r>
      <w:r w:rsidR="00884C12">
        <w:t>O</w:t>
      </w:r>
      <w:r w:rsidR="00C50D23">
        <w:t xml:space="preserve"> </w:t>
      </w:r>
      <w:r>
        <w:t xml:space="preserve">and </w:t>
      </w:r>
      <w:r w:rsidRPr="00EB1561">
        <w:t xml:space="preserve">Ohio consumers from cross-subsidization </w:t>
      </w:r>
      <w:r>
        <w:t>by</w:t>
      </w:r>
      <w:r w:rsidRPr="00EB1561">
        <w:t xml:space="preserve"> conditioning </w:t>
      </w:r>
      <w:r>
        <w:t xml:space="preserve">any approval </w:t>
      </w:r>
      <w:r w:rsidRPr="00EB1561">
        <w:t>on investment-linked incentives, ring-fencing, favored nations clauses,</w:t>
      </w:r>
      <w:r>
        <w:t xml:space="preserve"> and/or post-merger updates,</w:t>
      </w:r>
      <w:r w:rsidRPr="00EB1561">
        <w:t xml:space="preserve"> </w:t>
      </w:r>
      <w:r>
        <w:t xml:space="preserve">and </w:t>
      </w:r>
      <w:r w:rsidR="005B6FCC">
        <w:t>4</w:t>
      </w:r>
      <w:r>
        <w:t>)</w:t>
      </w:r>
      <w:bookmarkStart w:id="46" w:name="_Hlk157775997"/>
      <w:r>
        <w:t xml:space="preserve"> </w:t>
      </w:r>
      <w:r w:rsidR="00EB3ED4">
        <w:t xml:space="preserve">consider adjusting </w:t>
      </w:r>
      <w:r>
        <w:t xml:space="preserve">the test year period or </w:t>
      </w:r>
      <w:r w:rsidR="00EB3ED4">
        <w:t xml:space="preserve">making </w:t>
      </w:r>
      <w:r w:rsidR="00B71CF5">
        <w:t>post-test year adjustments, if needed, so that the rates established are representative of and reflecting of the conditions of service during the rate effective period.</w:t>
      </w:r>
      <w:r>
        <w:rPr>
          <w:rStyle w:val="FootnoteReference"/>
        </w:rPr>
        <w:footnoteReference w:id="19"/>
      </w:r>
      <w:r>
        <w:t xml:space="preserve"> </w:t>
      </w:r>
      <w:bookmarkEnd w:id="46"/>
      <w:r w:rsidR="00483A39">
        <w:tab/>
      </w:r>
    </w:p>
    <w:p w14:paraId="4871AA32" w14:textId="77777777" w:rsidR="00CB621C" w:rsidRDefault="00B26A4A">
      <w:pPr>
        <w:spacing w:after="160" w:line="259" w:lineRule="auto"/>
        <w:rPr>
          <w:b/>
          <w:bCs/>
        </w:rPr>
      </w:pPr>
      <w:bookmarkStart w:id="47" w:name="_Toc158279167"/>
      <w:bookmarkStart w:id="48" w:name="_Toc158035611"/>
      <w:r>
        <w:br w:type="page"/>
      </w:r>
    </w:p>
    <w:p w14:paraId="0D27DB2B" w14:textId="361FF48F" w:rsidR="004213E4" w:rsidRPr="00E13148" w:rsidRDefault="00B26A4A" w:rsidP="00502740">
      <w:pPr>
        <w:pStyle w:val="Heading2"/>
        <w:rPr>
          <w:rStyle w:val="Heading2Char"/>
          <w:b/>
          <w:bCs/>
        </w:rPr>
      </w:pPr>
      <w:bookmarkStart w:id="49" w:name="_Toc158281183"/>
      <w:bookmarkStart w:id="50" w:name="_Toc158281619"/>
      <w:bookmarkStart w:id="51" w:name="_Toc158299446"/>
      <w:bookmarkStart w:id="52" w:name="_Toc158299657"/>
      <w:bookmarkStart w:id="53" w:name="_Toc158299703"/>
      <w:bookmarkStart w:id="54" w:name="_Toc158299805"/>
      <w:bookmarkStart w:id="55" w:name="_Toc158301676"/>
      <w:r>
        <w:lastRenderedPageBreak/>
        <w:t>B.</w:t>
      </w:r>
      <w:r>
        <w:tab/>
      </w:r>
      <w:r w:rsidRPr="00E13148">
        <w:rPr>
          <w:rStyle w:val="Heading2Char"/>
          <w:b/>
          <w:bCs/>
        </w:rPr>
        <w:t xml:space="preserve">To </w:t>
      </w:r>
      <w:r w:rsidR="008A7EE2">
        <w:rPr>
          <w:rStyle w:val="Heading2Char"/>
          <w:b/>
          <w:bCs/>
        </w:rPr>
        <w:t>p</w:t>
      </w:r>
      <w:r w:rsidRPr="00E13148">
        <w:rPr>
          <w:rStyle w:val="Heading2Char"/>
          <w:b/>
          <w:bCs/>
        </w:rPr>
        <w:t xml:space="preserve">rotect </w:t>
      </w:r>
      <w:r w:rsidR="008A7EE2">
        <w:rPr>
          <w:rStyle w:val="Heading2Char"/>
          <w:b/>
          <w:bCs/>
        </w:rPr>
        <w:t>c</w:t>
      </w:r>
      <w:r w:rsidRPr="00E13148">
        <w:rPr>
          <w:rStyle w:val="Heading2Char"/>
          <w:b/>
          <w:bCs/>
        </w:rPr>
        <w:t xml:space="preserve">onsumers, </w:t>
      </w:r>
      <w:r w:rsidR="00C712E8">
        <w:rPr>
          <w:rStyle w:val="Heading2Char"/>
          <w:b/>
          <w:bCs/>
        </w:rPr>
        <w:t>DEO</w:t>
      </w:r>
      <w:r w:rsidR="00727934">
        <w:rPr>
          <w:rStyle w:val="Heading2Char"/>
          <w:b/>
          <w:bCs/>
        </w:rPr>
        <w:t>’</w:t>
      </w:r>
      <w:r w:rsidRPr="00E13148">
        <w:rPr>
          <w:rStyle w:val="Heading2Char"/>
          <w:b/>
          <w:bCs/>
        </w:rPr>
        <w:t xml:space="preserve">s </w:t>
      </w:r>
      <w:r w:rsidR="008A7EE2">
        <w:rPr>
          <w:rStyle w:val="Heading2Char"/>
          <w:b/>
          <w:bCs/>
        </w:rPr>
        <w:t>b</w:t>
      </w:r>
      <w:r w:rsidRPr="00E13148">
        <w:rPr>
          <w:rStyle w:val="Heading2Char"/>
          <w:b/>
          <w:bCs/>
        </w:rPr>
        <w:t xml:space="preserve">ase </w:t>
      </w:r>
      <w:r w:rsidR="008A7EE2">
        <w:rPr>
          <w:rStyle w:val="Heading2Char"/>
          <w:b/>
          <w:bCs/>
        </w:rPr>
        <w:t>r</w:t>
      </w:r>
      <w:r w:rsidRPr="00E13148">
        <w:rPr>
          <w:rStyle w:val="Heading2Char"/>
          <w:b/>
          <w:bCs/>
        </w:rPr>
        <w:t xml:space="preserve">ate </w:t>
      </w:r>
      <w:r w:rsidR="008A7EE2">
        <w:rPr>
          <w:rStyle w:val="Heading2Char"/>
          <w:b/>
          <w:bCs/>
        </w:rPr>
        <w:t>c</w:t>
      </w:r>
      <w:r w:rsidRPr="00E13148">
        <w:rPr>
          <w:rStyle w:val="Heading2Char"/>
          <w:b/>
          <w:bCs/>
        </w:rPr>
        <w:t xml:space="preserve">ase </w:t>
      </w:r>
      <w:r w:rsidR="008A7EE2">
        <w:rPr>
          <w:rStyle w:val="Heading2Char"/>
          <w:b/>
          <w:bCs/>
        </w:rPr>
        <w:t>s</w:t>
      </w:r>
      <w:r w:rsidRPr="00E13148">
        <w:rPr>
          <w:rStyle w:val="Heading2Char"/>
          <w:b/>
          <w:bCs/>
        </w:rPr>
        <w:t xml:space="preserve">hould </w:t>
      </w:r>
      <w:r w:rsidR="008A7EE2">
        <w:rPr>
          <w:rStyle w:val="Heading2Char"/>
          <w:b/>
          <w:bCs/>
        </w:rPr>
        <w:t>b</w:t>
      </w:r>
      <w:r w:rsidRPr="00E13148">
        <w:rPr>
          <w:rStyle w:val="Heading2Char"/>
          <w:b/>
          <w:bCs/>
        </w:rPr>
        <w:t xml:space="preserve">e </w:t>
      </w:r>
      <w:r w:rsidR="008A7EE2">
        <w:rPr>
          <w:rStyle w:val="Heading2Char"/>
          <w:b/>
          <w:bCs/>
        </w:rPr>
        <w:t>c</w:t>
      </w:r>
      <w:r w:rsidRPr="00E13148">
        <w:rPr>
          <w:rStyle w:val="Heading2Char"/>
          <w:b/>
          <w:bCs/>
        </w:rPr>
        <w:t xml:space="preserve">onsolidated with the </w:t>
      </w:r>
      <w:r w:rsidR="008A7EE2">
        <w:rPr>
          <w:rStyle w:val="Heading2Char"/>
          <w:b/>
          <w:bCs/>
        </w:rPr>
        <w:t>t</w:t>
      </w:r>
      <w:r w:rsidRPr="00E13148">
        <w:rPr>
          <w:rStyle w:val="Heading2Char"/>
          <w:b/>
          <w:bCs/>
        </w:rPr>
        <w:t xml:space="preserve">ransaction </w:t>
      </w:r>
      <w:r w:rsidR="008A7EE2">
        <w:rPr>
          <w:rStyle w:val="Heading2Char"/>
          <w:b/>
          <w:bCs/>
        </w:rPr>
        <w:t>c</w:t>
      </w:r>
      <w:r w:rsidRPr="00E13148">
        <w:rPr>
          <w:rStyle w:val="Heading2Char"/>
          <w:b/>
          <w:bCs/>
        </w:rPr>
        <w:t>ase.</w:t>
      </w:r>
      <w:bookmarkEnd w:id="47"/>
      <w:bookmarkEnd w:id="49"/>
      <w:bookmarkEnd w:id="50"/>
      <w:bookmarkEnd w:id="51"/>
      <w:bookmarkEnd w:id="52"/>
      <w:bookmarkEnd w:id="53"/>
      <w:bookmarkEnd w:id="54"/>
      <w:bookmarkEnd w:id="55"/>
    </w:p>
    <w:p w14:paraId="0FAE7438" w14:textId="420ACB63" w:rsidR="006557E1" w:rsidRPr="00CD415F" w:rsidRDefault="00B26A4A" w:rsidP="00FB5063">
      <w:pPr>
        <w:pStyle w:val="Heading3"/>
        <w:rPr>
          <w:b w:val="0"/>
          <w:bCs/>
        </w:rPr>
      </w:pPr>
      <w:bookmarkStart w:id="56" w:name="_Toc158279168"/>
      <w:bookmarkStart w:id="57" w:name="_Toc158281184"/>
      <w:bookmarkStart w:id="58" w:name="_Toc158281620"/>
      <w:bookmarkStart w:id="59" w:name="_Toc158299447"/>
      <w:bookmarkStart w:id="60" w:name="_Toc158299658"/>
      <w:bookmarkStart w:id="61" w:name="_Toc158299704"/>
      <w:bookmarkStart w:id="62" w:name="_Toc158299806"/>
      <w:bookmarkStart w:id="63" w:name="_Toc158301677"/>
      <w:r>
        <w:rPr>
          <w:bCs/>
        </w:rPr>
        <w:t>1.</w:t>
      </w:r>
      <w:r>
        <w:rPr>
          <w:bCs/>
        </w:rPr>
        <w:tab/>
      </w:r>
      <w:r w:rsidR="00AF035B" w:rsidRPr="00CD415F">
        <w:rPr>
          <w:bCs/>
        </w:rPr>
        <w:t xml:space="preserve">The </w:t>
      </w:r>
      <w:r w:rsidR="008A7EE2">
        <w:rPr>
          <w:b w:val="0"/>
          <w:bCs/>
        </w:rPr>
        <w:t>p</w:t>
      </w:r>
      <w:r w:rsidR="00AF035B" w:rsidRPr="00CD415F">
        <w:rPr>
          <w:bCs/>
        </w:rPr>
        <w:t xml:space="preserve">roposed </w:t>
      </w:r>
      <w:r w:rsidR="008A7EE2">
        <w:rPr>
          <w:b w:val="0"/>
          <w:bCs/>
        </w:rPr>
        <w:t>a</w:t>
      </w:r>
      <w:r w:rsidR="00AF035B" w:rsidRPr="00CD415F">
        <w:rPr>
          <w:bCs/>
        </w:rPr>
        <w:t xml:space="preserve">cquisition </w:t>
      </w:r>
      <w:r w:rsidR="008A7EE2">
        <w:rPr>
          <w:b w:val="0"/>
          <w:bCs/>
        </w:rPr>
        <w:t>p</w:t>
      </w:r>
      <w:r w:rsidR="00AF035B" w:rsidRPr="00CD415F">
        <w:rPr>
          <w:bCs/>
        </w:rPr>
        <w:t xml:space="preserve">resents </w:t>
      </w:r>
      <w:r w:rsidR="008A7EE2">
        <w:rPr>
          <w:b w:val="0"/>
          <w:bCs/>
        </w:rPr>
        <w:t>i</w:t>
      </w:r>
      <w:r w:rsidR="00B71CF5">
        <w:rPr>
          <w:bCs/>
        </w:rPr>
        <w:t xml:space="preserve">ssues deserving of scrutiny in conjunction with </w:t>
      </w:r>
      <w:r w:rsidR="004B0472">
        <w:rPr>
          <w:bCs/>
        </w:rPr>
        <w:t>DEO</w:t>
      </w:r>
      <w:r w:rsidR="00727934">
        <w:rPr>
          <w:b w:val="0"/>
          <w:bCs/>
        </w:rPr>
        <w:t>’</w:t>
      </w:r>
      <w:r w:rsidR="004B0472">
        <w:rPr>
          <w:bCs/>
        </w:rPr>
        <w:t>s</w:t>
      </w:r>
      <w:r w:rsidR="00B71CF5">
        <w:rPr>
          <w:bCs/>
        </w:rPr>
        <w:t xml:space="preserve"> rate case application</w:t>
      </w:r>
      <w:r w:rsidR="00AF035B" w:rsidRPr="00CD415F">
        <w:rPr>
          <w:bCs/>
        </w:rPr>
        <w:t>.</w:t>
      </w:r>
      <w:bookmarkEnd w:id="48"/>
      <w:bookmarkEnd w:id="56"/>
      <w:bookmarkEnd w:id="57"/>
      <w:bookmarkEnd w:id="58"/>
      <w:bookmarkEnd w:id="59"/>
      <w:bookmarkEnd w:id="60"/>
      <w:bookmarkEnd w:id="61"/>
      <w:bookmarkEnd w:id="62"/>
      <w:bookmarkEnd w:id="63"/>
    </w:p>
    <w:p w14:paraId="3BA8CFC8" w14:textId="2F074EBA" w:rsidR="006557E1" w:rsidRPr="00D8786E" w:rsidRDefault="00B26A4A" w:rsidP="00AF1246">
      <w:pPr>
        <w:shd w:val="clear" w:color="auto" w:fill="FFFFFF"/>
        <w:spacing w:line="480" w:lineRule="auto"/>
        <w:ind w:right="720" w:firstLine="720"/>
        <w:rPr>
          <w:color w:val="1F1F1F"/>
        </w:rPr>
      </w:pPr>
      <w:r>
        <w:rPr>
          <w:color w:val="1F1F1F"/>
        </w:rPr>
        <w:t xml:space="preserve">DEO </w:t>
      </w:r>
      <w:r w:rsidR="00926E45">
        <w:rPr>
          <w:color w:val="1F1F1F"/>
        </w:rPr>
        <w:t xml:space="preserve">argues that its base rate case and </w:t>
      </w:r>
      <w:r>
        <w:rPr>
          <w:color w:val="1F1F1F"/>
        </w:rPr>
        <w:t xml:space="preserve">its </w:t>
      </w:r>
      <w:r w:rsidR="00926E45">
        <w:rPr>
          <w:color w:val="1F1F1F"/>
        </w:rPr>
        <w:t>sale to Enbridge have no common issues.</w:t>
      </w:r>
      <w:r>
        <w:rPr>
          <w:rStyle w:val="FootnoteReference"/>
          <w:color w:val="1F1F1F"/>
        </w:rPr>
        <w:footnoteReference w:id="20"/>
      </w:r>
      <w:r w:rsidR="00926E45">
        <w:rPr>
          <w:color w:val="1F1F1F"/>
        </w:rPr>
        <w:t xml:space="preserve"> However, t</w:t>
      </w:r>
      <w:r w:rsidRPr="00D8786E">
        <w:rPr>
          <w:color w:val="1F1F1F"/>
        </w:rPr>
        <w:t xml:space="preserve">he proposed acquisition of </w:t>
      </w:r>
      <w:r w:rsidR="00C712E8">
        <w:rPr>
          <w:color w:val="1F1F1F"/>
        </w:rPr>
        <w:t>DEO</w:t>
      </w:r>
      <w:r w:rsidRPr="00D8786E">
        <w:rPr>
          <w:color w:val="1F1F1F"/>
        </w:rPr>
        <w:t xml:space="preserve"> by Enbridge, a Canadian company,</w:t>
      </w:r>
      <w:r w:rsidRPr="00524298">
        <w:rPr>
          <w:rStyle w:val="FootnoteReference"/>
          <w:color w:val="1F1F1F"/>
        </w:rPr>
        <w:t xml:space="preserve"> </w:t>
      </w:r>
      <w:r w:rsidRPr="00D8786E">
        <w:rPr>
          <w:color w:val="1F1F1F"/>
        </w:rPr>
        <w:t xml:space="preserve">raises red flags that necessitate </w:t>
      </w:r>
      <w:r>
        <w:rPr>
          <w:color w:val="1F1F1F"/>
        </w:rPr>
        <w:t xml:space="preserve">a </w:t>
      </w:r>
      <w:r w:rsidRPr="00D8786E">
        <w:rPr>
          <w:color w:val="1F1F1F"/>
        </w:rPr>
        <w:t xml:space="preserve">thorough regulatory </w:t>
      </w:r>
      <w:r>
        <w:rPr>
          <w:color w:val="1F1F1F"/>
        </w:rPr>
        <w:t>review</w:t>
      </w:r>
      <w:r w:rsidRPr="00D8786E">
        <w:rPr>
          <w:color w:val="1F1F1F"/>
        </w:rPr>
        <w:t xml:space="preserve">. While public information provides an outline, </w:t>
      </w:r>
      <w:r>
        <w:rPr>
          <w:color w:val="1F1F1F"/>
        </w:rPr>
        <w:t>the</w:t>
      </w:r>
      <w:r w:rsidRPr="00D8786E">
        <w:rPr>
          <w:color w:val="1F1F1F"/>
        </w:rPr>
        <w:t xml:space="preserve"> $14 billion deal demands </w:t>
      </w:r>
      <w:r w:rsidR="005A6217">
        <w:rPr>
          <w:color w:val="1F1F1F"/>
        </w:rPr>
        <w:t xml:space="preserve">the sort of </w:t>
      </w:r>
      <w:r w:rsidRPr="00D8786E">
        <w:rPr>
          <w:color w:val="1F1F1F"/>
        </w:rPr>
        <w:t>deep dive through evidentiary proceedings before the PUCO</w:t>
      </w:r>
      <w:r w:rsidR="005A6217">
        <w:rPr>
          <w:color w:val="1F1F1F"/>
        </w:rPr>
        <w:t xml:space="preserve"> that a rate case receives</w:t>
      </w:r>
      <w:r w:rsidRPr="00D8786E">
        <w:rPr>
          <w:color w:val="1F1F1F"/>
        </w:rPr>
        <w:t>.</w:t>
      </w:r>
      <w:r>
        <w:rPr>
          <w:color w:val="1F1F1F"/>
        </w:rPr>
        <w:t xml:space="preserve"> </w:t>
      </w:r>
    </w:p>
    <w:p w14:paraId="484DDEA6" w14:textId="4A543F2B" w:rsidR="0017593A" w:rsidRDefault="00B26A4A" w:rsidP="00AF1246">
      <w:pPr>
        <w:shd w:val="clear" w:color="auto" w:fill="FFFFFF"/>
        <w:spacing w:line="480" w:lineRule="auto"/>
        <w:ind w:right="720" w:firstLine="720"/>
        <w:rPr>
          <w:color w:val="1F1F1F"/>
        </w:rPr>
      </w:pPr>
      <w:r w:rsidRPr="00D8786E">
        <w:rPr>
          <w:color w:val="1F1F1F"/>
        </w:rPr>
        <w:t xml:space="preserve">The transaction involves </w:t>
      </w:r>
      <w:r w:rsidRPr="00D8786E">
        <w:rPr>
          <w:color w:val="1F1F1F"/>
        </w:rPr>
        <w:t>Enbridge, acting through its subsidiaries, acquiring gas utilities in multiple states.</w:t>
      </w:r>
      <w:r>
        <w:rPr>
          <w:rStyle w:val="FootnoteReference"/>
          <w:color w:val="1F1F1F"/>
        </w:rPr>
        <w:footnoteReference w:id="21"/>
      </w:r>
      <w:r w:rsidRPr="00D8786E">
        <w:rPr>
          <w:color w:val="1F1F1F"/>
        </w:rPr>
        <w:t xml:space="preserve"> While joint applications for approval were filed in all relevant states in October 2023, </w:t>
      </w:r>
      <w:r>
        <w:rPr>
          <w:color w:val="1F1F1F"/>
        </w:rPr>
        <w:t xml:space="preserve">the </w:t>
      </w:r>
      <w:r w:rsidRPr="00D8786E">
        <w:rPr>
          <w:color w:val="1F1F1F"/>
        </w:rPr>
        <w:t xml:space="preserve">Ohio </w:t>
      </w:r>
      <w:r w:rsidR="004E24DA">
        <w:rPr>
          <w:color w:val="1F1F1F"/>
        </w:rPr>
        <w:t>notice</w:t>
      </w:r>
      <w:r>
        <w:rPr>
          <w:color w:val="1F1F1F"/>
        </w:rPr>
        <w:t xml:space="preserve"> </w:t>
      </w:r>
      <w:r w:rsidRPr="00D8786E">
        <w:rPr>
          <w:color w:val="1F1F1F"/>
        </w:rPr>
        <w:t>stands out</w:t>
      </w:r>
      <w:r>
        <w:rPr>
          <w:color w:val="1F1F1F"/>
        </w:rPr>
        <w:t xml:space="preserve"> for two reasons</w:t>
      </w:r>
      <w:r w:rsidRPr="00D8786E">
        <w:rPr>
          <w:color w:val="1F1F1F"/>
        </w:rPr>
        <w:t xml:space="preserve">: </w:t>
      </w:r>
      <w:r w:rsidRPr="001B79C1">
        <w:rPr>
          <w:color w:val="1F1F1F"/>
        </w:rPr>
        <w:t xml:space="preserve">1) </w:t>
      </w:r>
      <w:r>
        <w:rPr>
          <w:color w:val="1F1F1F"/>
        </w:rPr>
        <w:t>it</w:t>
      </w:r>
      <w:r w:rsidRPr="001B79C1">
        <w:rPr>
          <w:color w:val="1F1F1F"/>
        </w:rPr>
        <w:t xml:space="preserve"> </w:t>
      </w:r>
      <w:r w:rsidRPr="00D8786E">
        <w:rPr>
          <w:color w:val="1F1F1F"/>
        </w:rPr>
        <w:t>lack</w:t>
      </w:r>
      <w:r w:rsidRPr="001B79C1">
        <w:rPr>
          <w:color w:val="1F1F1F"/>
        </w:rPr>
        <w:t>s</w:t>
      </w:r>
      <w:r w:rsidRPr="00D8786E">
        <w:rPr>
          <w:color w:val="1F1F1F"/>
        </w:rPr>
        <w:t xml:space="preserve"> both a purchase agreement and supporting testimony</w:t>
      </w:r>
      <w:r w:rsidRPr="001B79C1">
        <w:rPr>
          <w:color w:val="1F1F1F"/>
        </w:rPr>
        <w:t>; and</w:t>
      </w:r>
      <w:r w:rsidRPr="00D8786E">
        <w:rPr>
          <w:color w:val="1F1F1F"/>
        </w:rPr>
        <w:t xml:space="preserve"> </w:t>
      </w:r>
      <w:r w:rsidRPr="001B79C1">
        <w:rPr>
          <w:color w:val="1F1F1F"/>
        </w:rPr>
        <w:t xml:space="preserve">2) </w:t>
      </w:r>
      <w:r>
        <w:rPr>
          <w:color w:val="1F1F1F"/>
        </w:rPr>
        <w:t xml:space="preserve">it </w:t>
      </w:r>
      <w:r w:rsidRPr="00D8786E">
        <w:rPr>
          <w:color w:val="1F1F1F"/>
        </w:rPr>
        <w:t>requests</w:t>
      </w:r>
      <w:r w:rsidR="00B71CF5">
        <w:rPr>
          <w:color w:val="1F1F1F"/>
        </w:rPr>
        <w:t xml:space="preserve"> that if the PUCO elects to exercise general supervisory authority over the transa</w:t>
      </w:r>
      <w:r w:rsidR="004B0472">
        <w:rPr>
          <w:color w:val="1F1F1F"/>
        </w:rPr>
        <w:t>c</w:t>
      </w:r>
      <w:r w:rsidR="00B71CF5">
        <w:rPr>
          <w:color w:val="1F1F1F"/>
        </w:rPr>
        <w:t>tion, it determine tha</w:t>
      </w:r>
      <w:r w:rsidR="004B0472">
        <w:rPr>
          <w:color w:val="1F1F1F"/>
        </w:rPr>
        <w:t>t</w:t>
      </w:r>
      <w:r w:rsidR="00B71CF5">
        <w:rPr>
          <w:color w:val="1F1F1F"/>
        </w:rPr>
        <w:t xml:space="preserve"> the transaction does not adversely impact </w:t>
      </w:r>
      <w:r w:rsidR="004B0472">
        <w:rPr>
          <w:color w:val="1F1F1F"/>
        </w:rPr>
        <w:t>DEO</w:t>
      </w:r>
      <w:r w:rsidR="00727934">
        <w:rPr>
          <w:color w:val="1F1F1F"/>
        </w:rPr>
        <w:t>’</w:t>
      </w:r>
      <w:r w:rsidR="004B0472">
        <w:rPr>
          <w:color w:val="1F1F1F"/>
        </w:rPr>
        <w:t>s</w:t>
      </w:r>
      <w:r w:rsidR="00B71CF5">
        <w:rPr>
          <w:color w:val="1F1F1F"/>
        </w:rPr>
        <w:t xml:space="preserve"> consumers.</w:t>
      </w:r>
      <w:r>
        <w:rPr>
          <w:rStyle w:val="FootnoteReference"/>
          <w:color w:val="1F1F1F"/>
        </w:rPr>
        <w:footnoteReference w:id="22"/>
      </w:r>
      <w:r w:rsidRPr="00D8786E">
        <w:rPr>
          <w:color w:val="1F1F1F"/>
        </w:rPr>
        <w:t xml:space="preserve"> </w:t>
      </w:r>
      <w:r>
        <w:rPr>
          <w:color w:val="1F1F1F"/>
        </w:rPr>
        <w:t>Thus, t</w:t>
      </w:r>
      <w:r w:rsidRPr="00D8786E">
        <w:rPr>
          <w:color w:val="1F1F1F"/>
        </w:rPr>
        <w:t>h</w:t>
      </w:r>
      <w:r>
        <w:rPr>
          <w:color w:val="1F1F1F"/>
        </w:rPr>
        <w:t>e Ohio</w:t>
      </w:r>
      <w:r w:rsidRPr="00D8786E">
        <w:rPr>
          <w:color w:val="1F1F1F"/>
        </w:rPr>
        <w:t xml:space="preserve"> </w:t>
      </w:r>
      <w:r w:rsidR="004E24DA">
        <w:rPr>
          <w:color w:val="1F1F1F"/>
        </w:rPr>
        <w:t>notice</w:t>
      </w:r>
      <w:r>
        <w:rPr>
          <w:color w:val="1F1F1F"/>
        </w:rPr>
        <w:t xml:space="preserve"> </w:t>
      </w:r>
      <w:r w:rsidRPr="00D8786E">
        <w:rPr>
          <w:color w:val="1F1F1F"/>
        </w:rPr>
        <w:t>raises significant concerns about transparency and potential risks</w:t>
      </w:r>
      <w:r>
        <w:rPr>
          <w:color w:val="1F1F1F"/>
        </w:rPr>
        <w:t xml:space="preserve"> to Ohio consumers</w:t>
      </w:r>
      <w:r w:rsidRPr="00D8786E">
        <w:rPr>
          <w:color w:val="1F1F1F"/>
        </w:rPr>
        <w:t>.</w:t>
      </w:r>
      <w:r w:rsidR="00B176F5">
        <w:rPr>
          <w:color w:val="1F1F1F"/>
        </w:rPr>
        <w:t xml:space="preserve"> </w:t>
      </w:r>
    </w:p>
    <w:p w14:paraId="5637ECFE" w14:textId="56D8937A" w:rsidR="006557E1" w:rsidRPr="001B79C1" w:rsidRDefault="00B26A4A" w:rsidP="00AF1246">
      <w:pPr>
        <w:shd w:val="clear" w:color="auto" w:fill="FFFFFF"/>
        <w:spacing w:line="480" w:lineRule="auto"/>
        <w:ind w:right="720" w:firstLine="720"/>
        <w:rPr>
          <w:color w:val="1F1F1F"/>
        </w:rPr>
      </w:pPr>
      <w:r>
        <w:rPr>
          <w:color w:val="1F1F1F"/>
        </w:rPr>
        <w:t>Many of t</w:t>
      </w:r>
      <w:r w:rsidR="00926E45">
        <w:rPr>
          <w:color w:val="1F1F1F"/>
        </w:rPr>
        <w:t>hese are the same concerns that arise in relation to determining base rates in this case</w:t>
      </w:r>
      <w:r w:rsidR="0017593A">
        <w:rPr>
          <w:color w:val="1F1F1F"/>
        </w:rPr>
        <w:t>.</w:t>
      </w:r>
      <w:r w:rsidR="00926E45">
        <w:rPr>
          <w:color w:val="1F1F1F"/>
        </w:rPr>
        <w:t xml:space="preserve"> </w:t>
      </w:r>
      <w:r w:rsidR="0017593A">
        <w:rPr>
          <w:color w:val="1F1F1F"/>
        </w:rPr>
        <w:t>F</w:t>
      </w:r>
      <w:r w:rsidR="00926E45">
        <w:rPr>
          <w:color w:val="1F1F1F"/>
        </w:rPr>
        <w:t>or example: 1) what portion of D</w:t>
      </w:r>
      <w:r w:rsidR="006E3A6F">
        <w:rPr>
          <w:color w:val="1F1F1F"/>
        </w:rPr>
        <w:t>EO</w:t>
      </w:r>
      <w:r w:rsidR="00727934">
        <w:rPr>
          <w:color w:val="1F1F1F"/>
        </w:rPr>
        <w:t>’</w:t>
      </w:r>
      <w:r w:rsidR="006E3A6F">
        <w:rPr>
          <w:color w:val="1F1F1F"/>
        </w:rPr>
        <w:t>s</w:t>
      </w:r>
      <w:r w:rsidR="00926E45">
        <w:rPr>
          <w:color w:val="1F1F1F"/>
        </w:rPr>
        <w:t xml:space="preserve"> assets are actually used and useful in providing natural gas service to Ohio residential consumers?, 2) which of these </w:t>
      </w:r>
      <w:r w:rsidR="00926E45">
        <w:rPr>
          <w:color w:val="1F1F1F"/>
        </w:rPr>
        <w:lastRenderedPageBreak/>
        <w:t>assets will be retained by D</w:t>
      </w:r>
      <w:r w:rsidR="006E3A6F">
        <w:rPr>
          <w:color w:val="1F1F1F"/>
        </w:rPr>
        <w:t>EO</w:t>
      </w:r>
      <w:r w:rsidR="00727934">
        <w:rPr>
          <w:color w:val="1F1F1F"/>
        </w:rPr>
        <w:t>’</w:t>
      </w:r>
      <w:r w:rsidR="00926E45">
        <w:rPr>
          <w:color w:val="1F1F1F"/>
        </w:rPr>
        <w:t>s current parent company or will be used for other portions of Enbridge</w:t>
      </w:r>
      <w:r w:rsidR="00727934">
        <w:rPr>
          <w:color w:val="1F1F1F"/>
        </w:rPr>
        <w:t>’</w:t>
      </w:r>
      <w:r w:rsidR="00926E45">
        <w:rPr>
          <w:color w:val="1F1F1F"/>
        </w:rPr>
        <w:t xml:space="preserve">s </w:t>
      </w:r>
      <w:r w:rsidR="00B70D4F">
        <w:rPr>
          <w:color w:val="1F1F1F"/>
        </w:rPr>
        <w:t>continent-wide</w:t>
      </w:r>
      <w:r w:rsidR="00926E45">
        <w:rPr>
          <w:color w:val="1F1F1F"/>
        </w:rPr>
        <w:t xml:space="preserve"> natural gas business?, and 3) </w:t>
      </w:r>
      <w:r w:rsidR="0017593A">
        <w:rPr>
          <w:color w:val="1F1F1F"/>
        </w:rPr>
        <w:t>h</w:t>
      </w:r>
      <w:r w:rsidR="00926E45">
        <w:rPr>
          <w:color w:val="1F1F1F"/>
        </w:rPr>
        <w:t xml:space="preserve">ow </w:t>
      </w:r>
      <w:r>
        <w:rPr>
          <w:color w:val="1F1F1F"/>
        </w:rPr>
        <w:t>will</w:t>
      </w:r>
      <w:r w:rsidR="00926E45">
        <w:rPr>
          <w:color w:val="1F1F1F"/>
        </w:rPr>
        <w:t xml:space="preserve"> Enbridge</w:t>
      </w:r>
      <w:r w:rsidR="00727934">
        <w:rPr>
          <w:color w:val="1F1F1F"/>
        </w:rPr>
        <w:t>’</w:t>
      </w:r>
      <w:r w:rsidR="00926E45">
        <w:rPr>
          <w:color w:val="1F1F1F"/>
        </w:rPr>
        <w:t xml:space="preserve">s </w:t>
      </w:r>
      <w:r>
        <w:rPr>
          <w:color w:val="1F1F1F"/>
        </w:rPr>
        <w:t>superior</w:t>
      </w:r>
      <w:r w:rsidR="00B176F5">
        <w:rPr>
          <w:color w:val="1F1F1F"/>
        </w:rPr>
        <w:t xml:space="preserve"> </w:t>
      </w:r>
      <w:r w:rsidR="00926E45">
        <w:rPr>
          <w:color w:val="1F1F1F"/>
        </w:rPr>
        <w:t xml:space="preserve">access to capital and reduced material </w:t>
      </w:r>
      <w:r>
        <w:rPr>
          <w:color w:val="1F1F1F"/>
        </w:rPr>
        <w:t>costs</w:t>
      </w:r>
      <w:r w:rsidR="0017593A">
        <w:rPr>
          <w:color w:val="1F1F1F"/>
        </w:rPr>
        <w:t xml:space="preserve"> </w:t>
      </w:r>
      <w:r w:rsidR="00926E45">
        <w:rPr>
          <w:color w:val="1F1F1F"/>
        </w:rPr>
        <w:t>affect D</w:t>
      </w:r>
      <w:r w:rsidR="006E3A6F">
        <w:rPr>
          <w:color w:val="1F1F1F"/>
        </w:rPr>
        <w:t>EO</w:t>
      </w:r>
      <w:r w:rsidR="00727934">
        <w:rPr>
          <w:color w:val="1F1F1F"/>
        </w:rPr>
        <w:t>’</w:t>
      </w:r>
      <w:r w:rsidR="006E3A6F">
        <w:rPr>
          <w:color w:val="1F1F1F"/>
        </w:rPr>
        <w:t>s</w:t>
      </w:r>
      <w:r w:rsidR="00926E45">
        <w:rPr>
          <w:color w:val="1F1F1F"/>
        </w:rPr>
        <w:t xml:space="preserve"> </w:t>
      </w:r>
      <w:r>
        <w:rPr>
          <w:color w:val="1F1F1F"/>
        </w:rPr>
        <w:t>base rate case?</w:t>
      </w:r>
      <w:r w:rsidR="00B176F5">
        <w:rPr>
          <w:color w:val="1F1F1F"/>
        </w:rPr>
        <w:t xml:space="preserve"> </w:t>
      </w:r>
    </w:p>
    <w:p w14:paraId="3A8BB519" w14:textId="562BD9A0" w:rsidR="006557E1" w:rsidRPr="001B79C1" w:rsidRDefault="00B26A4A" w:rsidP="00AF1246">
      <w:pPr>
        <w:shd w:val="clear" w:color="auto" w:fill="FFFFFF"/>
        <w:spacing w:line="480" w:lineRule="auto"/>
        <w:ind w:right="720" w:firstLine="720"/>
        <w:rPr>
          <w:color w:val="1F1F1F"/>
        </w:rPr>
      </w:pPr>
      <w:r>
        <w:rPr>
          <w:color w:val="1F1F1F"/>
        </w:rPr>
        <w:t xml:space="preserve">Contrary to </w:t>
      </w:r>
      <w:r w:rsidR="00C712E8">
        <w:rPr>
          <w:color w:val="1F1F1F"/>
        </w:rPr>
        <w:t>DEO</w:t>
      </w:r>
      <w:r w:rsidR="00727934">
        <w:rPr>
          <w:color w:val="1F1F1F"/>
        </w:rPr>
        <w:t>’</w:t>
      </w:r>
      <w:r>
        <w:rPr>
          <w:color w:val="1F1F1F"/>
        </w:rPr>
        <w:t xml:space="preserve">s assertions, consolidated </w:t>
      </w:r>
      <w:r w:rsidRPr="001B79C1">
        <w:rPr>
          <w:color w:val="1F1F1F"/>
        </w:rPr>
        <w:t>PUCO proceedings are crucial to illuminate the full picture and address critical unknowns</w:t>
      </w:r>
      <w:r>
        <w:rPr>
          <w:color w:val="1F1F1F"/>
        </w:rPr>
        <w:t>, such as</w:t>
      </w:r>
      <w:r w:rsidRPr="001B79C1">
        <w:rPr>
          <w:color w:val="1F1F1F"/>
        </w:rPr>
        <w:t>:</w:t>
      </w:r>
    </w:p>
    <w:p w14:paraId="1CAF5E58" w14:textId="77777777" w:rsidR="006557E1" w:rsidRPr="001B79C1" w:rsidRDefault="00B26A4A" w:rsidP="004165F8">
      <w:pPr>
        <w:numPr>
          <w:ilvl w:val="0"/>
          <w:numId w:val="1"/>
        </w:numPr>
        <w:shd w:val="clear" w:color="auto" w:fill="FFFFFF"/>
        <w:tabs>
          <w:tab w:val="clear" w:pos="720"/>
          <w:tab w:val="num" w:pos="1440"/>
        </w:tabs>
        <w:spacing w:after="240"/>
        <w:ind w:left="1440" w:right="720" w:hanging="720"/>
        <w:rPr>
          <w:color w:val="1F1F1F"/>
        </w:rPr>
      </w:pPr>
      <w:r w:rsidRPr="001B79C1">
        <w:rPr>
          <w:color w:val="1F1F1F"/>
        </w:rPr>
        <w:t xml:space="preserve">Impact on Rates and Service: Will the </w:t>
      </w:r>
      <w:r>
        <w:rPr>
          <w:color w:val="1F1F1F"/>
        </w:rPr>
        <w:t xml:space="preserve">short and long-term effects of the </w:t>
      </w:r>
      <w:r w:rsidRPr="001B79C1">
        <w:rPr>
          <w:color w:val="1F1F1F"/>
        </w:rPr>
        <w:t>acquisition lead to higher rates for c</w:t>
      </w:r>
      <w:r>
        <w:rPr>
          <w:color w:val="1F1F1F"/>
        </w:rPr>
        <w:t>onsumers</w:t>
      </w:r>
      <w:r w:rsidRPr="001B79C1">
        <w:rPr>
          <w:color w:val="1F1F1F"/>
        </w:rPr>
        <w:t xml:space="preserve"> or impact service quality? </w:t>
      </w:r>
      <w:r>
        <w:rPr>
          <w:color w:val="1F1F1F"/>
        </w:rPr>
        <w:t>Post-acquisition, w</w:t>
      </w:r>
      <w:r w:rsidRPr="001B79C1">
        <w:rPr>
          <w:color w:val="1F1F1F"/>
        </w:rPr>
        <w:t xml:space="preserve">ill </w:t>
      </w:r>
      <w:r>
        <w:rPr>
          <w:color w:val="1F1F1F"/>
        </w:rPr>
        <w:t xml:space="preserve">Enbridge and the acquired companies </w:t>
      </w:r>
      <w:r w:rsidRPr="001B79C1">
        <w:rPr>
          <w:color w:val="1F1F1F"/>
        </w:rPr>
        <w:t xml:space="preserve">be </w:t>
      </w:r>
      <w:r>
        <w:rPr>
          <w:color w:val="1F1F1F"/>
        </w:rPr>
        <w:t xml:space="preserve">able to adequately </w:t>
      </w:r>
      <w:r w:rsidRPr="001B79C1">
        <w:rPr>
          <w:color w:val="1F1F1F"/>
        </w:rPr>
        <w:t>invest in infrastructure upgrades or renewable energy integration?</w:t>
      </w:r>
    </w:p>
    <w:p w14:paraId="0EC31CC8" w14:textId="77777777" w:rsidR="006557E1" w:rsidRPr="001B79C1" w:rsidRDefault="00B26A4A" w:rsidP="004165F8">
      <w:pPr>
        <w:numPr>
          <w:ilvl w:val="0"/>
          <w:numId w:val="1"/>
        </w:numPr>
        <w:shd w:val="clear" w:color="auto" w:fill="FFFFFF"/>
        <w:tabs>
          <w:tab w:val="clear" w:pos="720"/>
          <w:tab w:val="num" w:pos="1440"/>
        </w:tabs>
        <w:spacing w:after="240"/>
        <w:ind w:left="1440" w:right="720" w:hanging="720"/>
        <w:rPr>
          <w:color w:val="1F1F1F"/>
        </w:rPr>
      </w:pPr>
      <w:r w:rsidRPr="001B79C1">
        <w:rPr>
          <w:color w:val="1F1F1F"/>
        </w:rPr>
        <w:t>Labor and Employee Impact: What will happen to existing employee benefits, wages, and job security after the acquisition? Will Enbridge maintain current labor practices or seek changes?</w:t>
      </w:r>
    </w:p>
    <w:p w14:paraId="53F4D92C" w14:textId="77777777" w:rsidR="006557E1" w:rsidRPr="001B79C1" w:rsidRDefault="00B26A4A" w:rsidP="004165F8">
      <w:pPr>
        <w:numPr>
          <w:ilvl w:val="0"/>
          <w:numId w:val="1"/>
        </w:numPr>
        <w:shd w:val="clear" w:color="auto" w:fill="FFFFFF"/>
        <w:tabs>
          <w:tab w:val="clear" w:pos="720"/>
        </w:tabs>
        <w:spacing w:after="240"/>
        <w:ind w:left="1440" w:right="720" w:hanging="720"/>
        <w:rPr>
          <w:color w:val="1F1F1F"/>
        </w:rPr>
      </w:pPr>
      <w:r w:rsidRPr="001B79C1">
        <w:rPr>
          <w:color w:val="1F1F1F"/>
        </w:rPr>
        <w:t xml:space="preserve">Regulatory Oversight: How will the PUCO and other regulatory bodies ensure effective oversight of Enbridge post-acquisition, particularly given its foreign ownership structure? Can adequate safeguards be implemented to prevent </w:t>
      </w:r>
      <w:r>
        <w:rPr>
          <w:color w:val="1F1F1F"/>
        </w:rPr>
        <w:t xml:space="preserve">interstate </w:t>
      </w:r>
      <w:r w:rsidRPr="001B79C1">
        <w:rPr>
          <w:color w:val="1F1F1F"/>
        </w:rPr>
        <w:t>anti-competitive practices or conflicts of interest?</w:t>
      </w:r>
    </w:p>
    <w:p w14:paraId="733C4F36" w14:textId="5FB1A471" w:rsidR="006557E1" w:rsidRPr="001B79C1" w:rsidRDefault="00B26A4A" w:rsidP="004165F8">
      <w:pPr>
        <w:numPr>
          <w:ilvl w:val="0"/>
          <w:numId w:val="1"/>
        </w:numPr>
        <w:shd w:val="clear" w:color="auto" w:fill="FFFFFF"/>
        <w:tabs>
          <w:tab w:val="clear" w:pos="720"/>
        </w:tabs>
        <w:spacing w:after="240"/>
        <w:ind w:left="1440" w:right="720" w:hanging="720"/>
        <w:rPr>
          <w:color w:val="1F1F1F"/>
        </w:rPr>
      </w:pPr>
      <w:r w:rsidRPr="001B79C1">
        <w:rPr>
          <w:color w:val="1F1F1F"/>
        </w:rPr>
        <w:t>Subsidiary Structure and Interplay: Are Enbridge</w:t>
      </w:r>
      <w:r w:rsidR="00727934">
        <w:rPr>
          <w:color w:val="1F1F1F"/>
        </w:rPr>
        <w:t>’</w:t>
      </w:r>
      <w:r w:rsidRPr="001B79C1">
        <w:rPr>
          <w:color w:val="1F1F1F"/>
        </w:rPr>
        <w:t>s subsidiaries temporary entities created solely for this deal, or do they have other purposes? How will they interact financially and operationally? Are there safeguards against internal profit transfers or manipulation of capital structures that could disadvantage customers or other stakeholders?</w:t>
      </w:r>
    </w:p>
    <w:p w14:paraId="6BB7CFD6" w14:textId="06B9D76F" w:rsidR="006557E1" w:rsidRDefault="00B26A4A" w:rsidP="004165F8">
      <w:pPr>
        <w:numPr>
          <w:ilvl w:val="0"/>
          <w:numId w:val="1"/>
        </w:numPr>
        <w:shd w:val="clear" w:color="auto" w:fill="FFFFFF"/>
        <w:tabs>
          <w:tab w:val="clear" w:pos="720"/>
        </w:tabs>
        <w:spacing w:after="240"/>
        <w:ind w:left="1440" w:right="720" w:hanging="720"/>
        <w:rPr>
          <w:color w:val="1F1F1F"/>
        </w:rPr>
      </w:pPr>
      <w:r w:rsidRPr="001B79C1">
        <w:rPr>
          <w:color w:val="1F1F1F"/>
        </w:rPr>
        <w:t>Long-Term Plans and Transparency: What are Enbridge</w:t>
      </w:r>
      <w:r w:rsidR="00727934">
        <w:rPr>
          <w:color w:val="1F1F1F"/>
        </w:rPr>
        <w:t>’</w:t>
      </w:r>
      <w:r w:rsidRPr="001B79C1">
        <w:rPr>
          <w:color w:val="1F1F1F"/>
        </w:rPr>
        <w:t>s long-term plans for these gas utilities? Will they maintain local investment and community engagement, or will there be a shift towards centralized control and decision-making? How will transparency be ensured throughout the ownership and operation of these assets?</w:t>
      </w:r>
    </w:p>
    <w:p w14:paraId="05AD4373" w14:textId="32FC86D2" w:rsidR="006557E1" w:rsidRDefault="00B26A4A" w:rsidP="00AF1246">
      <w:pPr>
        <w:shd w:val="clear" w:color="auto" w:fill="FFFFFF"/>
        <w:spacing w:line="480" w:lineRule="auto"/>
        <w:ind w:right="720" w:firstLine="720"/>
        <w:rPr>
          <w:color w:val="1F1F1F"/>
        </w:rPr>
      </w:pPr>
      <w:r w:rsidRPr="007126DE">
        <w:rPr>
          <w:color w:val="1F1F1F"/>
        </w:rPr>
        <w:t xml:space="preserve">The PUCO should </w:t>
      </w:r>
      <w:r w:rsidR="002F5EC1">
        <w:rPr>
          <w:color w:val="1F1F1F"/>
        </w:rPr>
        <w:t>consider</w:t>
      </w:r>
      <w:r w:rsidR="002F5EC1" w:rsidRPr="007126DE">
        <w:rPr>
          <w:color w:val="1F1F1F"/>
        </w:rPr>
        <w:t xml:space="preserve"> </w:t>
      </w:r>
      <w:r w:rsidRPr="007126DE">
        <w:rPr>
          <w:color w:val="1F1F1F"/>
        </w:rPr>
        <w:t>the AES-DPL merger (</w:t>
      </w:r>
      <w:r>
        <w:rPr>
          <w:color w:val="1F1F1F"/>
        </w:rPr>
        <w:t>C</w:t>
      </w:r>
      <w:r w:rsidRPr="007126DE">
        <w:rPr>
          <w:color w:val="1F1F1F"/>
        </w:rPr>
        <w:t xml:space="preserve">ase </w:t>
      </w:r>
      <w:r>
        <w:rPr>
          <w:color w:val="1F1F1F"/>
        </w:rPr>
        <w:t xml:space="preserve">No. </w:t>
      </w:r>
      <w:r w:rsidRPr="007126DE">
        <w:rPr>
          <w:color w:val="1F1F1F"/>
        </w:rPr>
        <w:t xml:space="preserve">11-3002-EL-MER) to understand what happens when safeguards are lacking in such transactions. </w:t>
      </w:r>
      <w:r w:rsidR="006E3A6F">
        <w:rPr>
          <w:color w:val="1F1F1F"/>
        </w:rPr>
        <w:t>There, the a</w:t>
      </w:r>
      <w:r w:rsidRPr="007126DE">
        <w:rPr>
          <w:color w:val="1F1F1F"/>
        </w:rPr>
        <w:t>pplicants filed the motion for AES to acquire DPL, which was then an A-rated company with no service quality issues. However, after the merger, DPL</w:t>
      </w:r>
      <w:r w:rsidR="00727934">
        <w:rPr>
          <w:color w:val="1F1F1F"/>
        </w:rPr>
        <w:t>’</w:t>
      </w:r>
      <w:r w:rsidRPr="007126DE">
        <w:rPr>
          <w:color w:val="1F1F1F"/>
        </w:rPr>
        <w:t xml:space="preserve">s credit rating dropped to below-investment-grade (BB-), and its service quality declined, evidenced by failing </w:t>
      </w:r>
      <w:r w:rsidRPr="007126DE">
        <w:rPr>
          <w:color w:val="1F1F1F"/>
        </w:rPr>
        <w:lastRenderedPageBreak/>
        <w:t>CAIDI standards for five out of six years between 2017 and 2022. This ultimately resulted in higher financing costs for consumers despite receiving</w:t>
      </w:r>
      <w:r w:rsidRPr="007126DE">
        <w:rPr>
          <w:color w:val="1F1F1F"/>
        </w:rPr>
        <w:t xml:space="preserve"> subpar service.</w:t>
      </w:r>
    </w:p>
    <w:p w14:paraId="0856577A" w14:textId="3792203B" w:rsidR="003233A9" w:rsidRDefault="00B26A4A" w:rsidP="00AF1246">
      <w:pPr>
        <w:shd w:val="clear" w:color="auto" w:fill="FFFFFF"/>
        <w:spacing w:line="480" w:lineRule="auto"/>
        <w:ind w:right="720" w:firstLine="720"/>
        <w:rPr>
          <w:color w:val="1F1F1F"/>
        </w:rPr>
      </w:pPr>
      <w:r>
        <w:rPr>
          <w:color w:val="1F1F1F"/>
        </w:rPr>
        <w:t>Additionally</w:t>
      </w:r>
      <w:r w:rsidR="00186643">
        <w:rPr>
          <w:color w:val="1F1F1F"/>
        </w:rPr>
        <w:t>, D</w:t>
      </w:r>
      <w:r w:rsidR="006E3A6F">
        <w:rPr>
          <w:color w:val="1F1F1F"/>
        </w:rPr>
        <w:t>EO</w:t>
      </w:r>
      <w:r w:rsidR="00186643">
        <w:rPr>
          <w:color w:val="1F1F1F"/>
        </w:rPr>
        <w:t xml:space="preserve"> </w:t>
      </w:r>
      <w:r w:rsidR="006E3A6F">
        <w:rPr>
          <w:color w:val="1F1F1F"/>
        </w:rPr>
        <w:t>wrongly claims</w:t>
      </w:r>
      <w:r w:rsidR="00186643">
        <w:rPr>
          <w:color w:val="1F1F1F"/>
        </w:rPr>
        <w:t xml:space="preserve"> that</w:t>
      </w:r>
      <w:r w:rsidR="004E24DA">
        <w:rPr>
          <w:color w:val="1F1F1F"/>
        </w:rPr>
        <w:t xml:space="preserve"> “</w:t>
      </w:r>
      <w:r>
        <w:rPr>
          <w:color w:val="1F1F1F"/>
        </w:rPr>
        <w:t>[w]</w:t>
      </w:r>
      <w:r w:rsidR="009977DF">
        <w:rPr>
          <w:color w:val="1F1F1F"/>
        </w:rPr>
        <w:t>here the Commission has engaged in review of parent company transactions under its general supervisory powers, that review has been limited to the continued managerial, financial and technical capabilities of the jurisdiction utility – and doesn</w:t>
      </w:r>
      <w:r w:rsidR="00727934">
        <w:rPr>
          <w:color w:val="1F1F1F"/>
        </w:rPr>
        <w:t>’</w:t>
      </w:r>
      <w:r w:rsidR="009977DF">
        <w:rPr>
          <w:color w:val="1F1F1F"/>
        </w:rPr>
        <w:t>t consider the transaction</w:t>
      </w:r>
      <w:r w:rsidR="00727934">
        <w:rPr>
          <w:color w:val="1F1F1F"/>
        </w:rPr>
        <w:t>’</w:t>
      </w:r>
      <w:r w:rsidR="009977DF">
        <w:rPr>
          <w:color w:val="1F1F1F"/>
        </w:rPr>
        <w:t>s effect on the utility</w:t>
      </w:r>
      <w:r w:rsidR="00727934">
        <w:rPr>
          <w:color w:val="1F1F1F"/>
        </w:rPr>
        <w:t>’</w:t>
      </w:r>
      <w:r w:rsidR="009977DF">
        <w:rPr>
          <w:color w:val="1F1F1F"/>
        </w:rPr>
        <w:t>s customers</w:t>
      </w:r>
      <w:r w:rsidR="00727934">
        <w:rPr>
          <w:color w:val="1F1F1F"/>
        </w:rPr>
        <w:t>’</w:t>
      </w:r>
      <w:r w:rsidR="009977DF">
        <w:rPr>
          <w:color w:val="1F1F1F"/>
        </w:rPr>
        <w:t xml:space="preserve"> rates</w:t>
      </w:r>
      <w:r w:rsidR="006E3A6F">
        <w:rPr>
          <w:color w:val="1F1F1F"/>
        </w:rPr>
        <w:t>.</w:t>
      </w:r>
      <w:r w:rsidR="009977DF">
        <w:rPr>
          <w:color w:val="1F1F1F"/>
        </w:rPr>
        <w:t>”</w:t>
      </w:r>
      <w:r>
        <w:rPr>
          <w:rStyle w:val="FootnoteReference"/>
          <w:color w:val="1F1F1F"/>
        </w:rPr>
        <w:footnoteReference w:id="23"/>
      </w:r>
      <w:r w:rsidR="009977DF">
        <w:rPr>
          <w:color w:val="1F1F1F"/>
        </w:rPr>
        <w:t xml:space="preserve"> </w:t>
      </w:r>
    </w:p>
    <w:p w14:paraId="432ECA43" w14:textId="05113690" w:rsidR="004716E7" w:rsidRDefault="00B26A4A" w:rsidP="00AF1246">
      <w:pPr>
        <w:shd w:val="clear" w:color="auto" w:fill="FFFFFF"/>
        <w:spacing w:line="480" w:lineRule="auto"/>
        <w:ind w:right="720" w:firstLine="720"/>
        <w:rPr>
          <w:color w:val="1F1F1F"/>
        </w:rPr>
      </w:pPr>
      <w:r>
        <w:rPr>
          <w:color w:val="1F1F1F"/>
        </w:rPr>
        <w:t>A</w:t>
      </w:r>
      <w:r w:rsidR="004D3F9D">
        <w:rPr>
          <w:color w:val="1F1F1F"/>
        </w:rPr>
        <w:t xml:space="preserve"> recently filed Joint Application For the Sale and Transfer of Northeast Ohio Natural Gas Corp.</w:t>
      </w:r>
      <w:r>
        <w:rPr>
          <w:color w:val="1F1F1F"/>
        </w:rPr>
        <w:t xml:space="preserve"> (“NEO”)</w:t>
      </w:r>
      <w:r w:rsidR="004D3F9D">
        <w:rPr>
          <w:color w:val="1F1F1F"/>
        </w:rPr>
        <w:t xml:space="preserve"> between two parent holding companies,</w:t>
      </w:r>
      <w:r>
        <w:rPr>
          <w:rStyle w:val="FootnoteReference"/>
          <w:color w:val="1F1F1F"/>
        </w:rPr>
        <w:footnoteReference w:id="24"/>
      </w:r>
      <w:r>
        <w:rPr>
          <w:color w:val="1F1F1F"/>
        </w:rPr>
        <w:t xml:space="preserve"> presents nearly identical circumstances to those here</w:t>
      </w:r>
      <w:r w:rsidR="00C712E8">
        <w:rPr>
          <w:color w:val="1F1F1F"/>
        </w:rPr>
        <w:t>.</w:t>
      </w:r>
      <w:r w:rsidR="00096879">
        <w:rPr>
          <w:color w:val="1F1F1F"/>
        </w:rPr>
        <w:t xml:space="preserve"> But in contrast to DEO here, NEO was not seeking a very large rate increase (</w:t>
      </w:r>
      <w:r w:rsidR="00096879">
        <w:rPr>
          <w:i/>
          <w:iCs/>
          <w:color w:val="1F1F1F"/>
        </w:rPr>
        <w:t>over 30 percent</w:t>
      </w:r>
      <w:r w:rsidR="00096879">
        <w:rPr>
          <w:color w:val="1F1F1F"/>
        </w:rPr>
        <w:t xml:space="preserve">) right before the proposed transaction and, in fact, </w:t>
      </w:r>
      <w:r>
        <w:rPr>
          <w:color w:val="1F1F1F"/>
        </w:rPr>
        <w:t>specifically committed to</w:t>
      </w:r>
      <w:r w:rsidR="00076AA5">
        <w:rPr>
          <w:color w:val="1F1F1F"/>
        </w:rPr>
        <w:t xml:space="preserve"> “</w:t>
      </w:r>
      <w:r>
        <w:rPr>
          <w:color w:val="1F1F1F"/>
        </w:rPr>
        <w:t>no immediate change in rates and services to customers.”</w:t>
      </w:r>
      <w:r>
        <w:rPr>
          <w:rStyle w:val="FootnoteReference"/>
          <w:color w:val="1F1F1F"/>
        </w:rPr>
        <w:footnoteReference w:id="25"/>
      </w:r>
      <w:r>
        <w:rPr>
          <w:color w:val="1F1F1F"/>
        </w:rPr>
        <w:t xml:space="preserve"> </w:t>
      </w:r>
    </w:p>
    <w:p w14:paraId="43135FD6" w14:textId="6EC65A3C" w:rsidR="00186643" w:rsidRPr="007126DE" w:rsidRDefault="00B26A4A" w:rsidP="00AF1246">
      <w:pPr>
        <w:shd w:val="clear" w:color="auto" w:fill="FFFFFF"/>
        <w:spacing w:line="480" w:lineRule="auto"/>
        <w:ind w:right="720" w:firstLine="720"/>
        <w:rPr>
          <w:color w:val="1F1F1F"/>
        </w:rPr>
      </w:pPr>
      <w:r>
        <w:rPr>
          <w:color w:val="1F1F1F"/>
        </w:rPr>
        <w:t>In response to the Joint Application filed by NEO, the PUCO Staff specifically raised the concern that</w:t>
      </w:r>
      <w:r w:rsidR="00727934">
        <w:rPr>
          <w:color w:val="1F1F1F"/>
        </w:rPr>
        <w:t>”</w:t>
      </w:r>
      <w:r w:rsidR="004716E7">
        <w:t>[a]</w:t>
      </w:r>
      <w:r w:rsidR="00B80CDC">
        <w:t>ny cost saving efficiencies resulting from the transaction shall flow back to NEO customers on a proportionate basis when compared to other HUI utility affiliates. These cost saving</w:t>
      </w:r>
      <w:r w:rsidR="00B80CDC" w:rsidRPr="00B80CDC">
        <w:t xml:space="preserve"> </w:t>
      </w:r>
      <w:r w:rsidR="00B80CDC">
        <w:t xml:space="preserve">efficiencies should be identified, quantified, and recognized for the benefit of consumers </w:t>
      </w:r>
      <w:r w:rsidR="00B80CDC" w:rsidRPr="00550DE0">
        <w:rPr>
          <w:i/>
          <w:iCs/>
        </w:rPr>
        <w:t>during NEO</w:t>
      </w:r>
      <w:r w:rsidR="00727934">
        <w:rPr>
          <w:i/>
          <w:iCs/>
        </w:rPr>
        <w:t>’</w:t>
      </w:r>
      <w:r w:rsidR="00B80CDC" w:rsidRPr="00550DE0">
        <w:rPr>
          <w:i/>
          <w:iCs/>
        </w:rPr>
        <w:t>s next base rate case</w:t>
      </w:r>
      <w:r w:rsidR="00B80CDC">
        <w:t>.”</w:t>
      </w:r>
      <w:r>
        <w:rPr>
          <w:rStyle w:val="FootnoteReference"/>
        </w:rPr>
        <w:footnoteReference w:id="26"/>
      </w:r>
      <w:r w:rsidR="00B176F5">
        <w:t xml:space="preserve"> </w:t>
      </w:r>
      <w:r w:rsidR="00B80CDC">
        <w:t xml:space="preserve">In determining that the </w:t>
      </w:r>
      <w:r w:rsidR="004716E7">
        <w:t>settlement</w:t>
      </w:r>
      <w:r w:rsidR="00B80CDC">
        <w:t xml:space="preserve"> </w:t>
      </w:r>
      <w:r w:rsidR="004716E7">
        <w:t>resolving</w:t>
      </w:r>
      <w:r w:rsidR="00B80CDC">
        <w:t xml:space="preserve"> that matter was reasonable, the PUCO cited </w:t>
      </w:r>
      <w:r w:rsidR="00B80CDC">
        <w:lastRenderedPageBreak/>
        <w:t>both the benefits of the transaction flowing to consumers and ensuring that only appropriate costs are recovered from NEO</w:t>
      </w:r>
      <w:r w:rsidR="00727934">
        <w:t>’</w:t>
      </w:r>
      <w:r w:rsidR="00B80CDC">
        <w:t>s consumers as important factors consider</w:t>
      </w:r>
      <w:r w:rsidR="004716E7">
        <w:t>ed</w:t>
      </w:r>
      <w:r w:rsidR="00B80CDC">
        <w:t xml:space="preserve"> by the PUCO.</w:t>
      </w:r>
      <w:r>
        <w:rPr>
          <w:rStyle w:val="FootnoteReference"/>
        </w:rPr>
        <w:footnoteReference w:id="27"/>
      </w:r>
    </w:p>
    <w:p w14:paraId="63014C3F" w14:textId="23307D94" w:rsidR="006557E1" w:rsidRPr="00181E47" w:rsidRDefault="00B26A4A" w:rsidP="00067944">
      <w:pPr>
        <w:shd w:val="clear" w:color="auto" w:fill="FFFFFF"/>
        <w:spacing w:line="480" w:lineRule="auto"/>
        <w:ind w:right="720" w:firstLine="720"/>
        <w:rPr>
          <w:color w:val="1F1F1F"/>
        </w:rPr>
      </w:pPr>
      <w:r w:rsidRPr="001B79C1">
        <w:rPr>
          <w:color w:val="1F1F1F"/>
        </w:rPr>
        <w:t xml:space="preserve">Only through </w:t>
      </w:r>
      <w:r w:rsidR="00461D45">
        <w:rPr>
          <w:color w:val="1F1F1F"/>
        </w:rPr>
        <w:t xml:space="preserve">consolidated, </w:t>
      </w:r>
      <w:r w:rsidRPr="001B79C1">
        <w:rPr>
          <w:color w:val="1F1F1F"/>
        </w:rPr>
        <w:t xml:space="preserve">comprehensive regulatory review with public hearings can we ensure transparency, protect </w:t>
      </w:r>
      <w:r w:rsidR="004716E7">
        <w:rPr>
          <w:color w:val="1F1F1F"/>
        </w:rPr>
        <w:t>consumers</w:t>
      </w:r>
      <w:r w:rsidRPr="001B79C1">
        <w:rPr>
          <w:color w:val="1F1F1F"/>
        </w:rPr>
        <w:t>, and mitigate any potential risks associated with this complex multi-state acquisition. Public scrutiny is paramount to ensur</w:t>
      </w:r>
      <w:r>
        <w:rPr>
          <w:color w:val="1F1F1F"/>
        </w:rPr>
        <w:t>e</w:t>
      </w:r>
      <w:r w:rsidRPr="001B79C1">
        <w:rPr>
          <w:color w:val="1F1F1F"/>
        </w:rPr>
        <w:t xml:space="preserve"> a responsible outcome for all stakeholders</w:t>
      </w:r>
      <w:r w:rsidR="00FE001D">
        <w:rPr>
          <w:color w:val="1F1F1F"/>
        </w:rPr>
        <w:t xml:space="preserve"> but especially for consumers who will have no opportunity to </w:t>
      </w:r>
      <w:r w:rsidR="00CE5BE6">
        <w:rPr>
          <w:color w:val="1F1F1F"/>
        </w:rPr>
        <w:t>recoup any overpayments</w:t>
      </w:r>
      <w:r>
        <w:rPr>
          <w:rStyle w:val="FootnoteReference"/>
          <w:color w:val="1F1F1F"/>
        </w:rPr>
        <w:footnoteReference w:id="28"/>
      </w:r>
      <w:r w:rsidR="00CE5BE6">
        <w:rPr>
          <w:color w:val="1F1F1F"/>
        </w:rPr>
        <w:t xml:space="preserve"> they </w:t>
      </w:r>
      <w:r w:rsidR="005A6217">
        <w:rPr>
          <w:color w:val="1F1F1F"/>
        </w:rPr>
        <w:t>could be</w:t>
      </w:r>
      <w:r w:rsidR="00CE5BE6">
        <w:rPr>
          <w:color w:val="1F1F1F"/>
        </w:rPr>
        <w:t xml:space="preserve"> subjected to</w:t>
      </w:r>
      <w:r w:rsidR="005A6217">
        <w:rPr>
          <w:color w:val="1F1F1F"/>
        </w:rPr>
        <w:t xml:space="preserve"> in the wake</w:t>
      </w:r>
      <w:r w:rsidR="00CE5BE6">
        <w:rPr>
          <w:color w:val="1F1F1F"/>
        </w:rPr>
        <w:t xml:space="preserve"> of </w:t>
      </w:r>
      <w:r w:rsidR="004E24DA">
        <w:rPr>
          <w:color w:val="1F1F1F"/>
        </w:rPr>
        <w:t>DEO</w:t>
      </w:r>
      <w:r w:rsidR="00727934">
        <w:rPr>
          <w:color w:val="1F1F1F"/>
        </w:rPr>
        <w:t>’</w:t>
      </w:r>
      <w:r w:rsidR="00CE5BE6">
        <w:rPr>
          <w:color w:val="1F1F1F"/>
        </w:rPr>
        <w:t>s rush to push through new rates on favorable terms, prior to being acquired by North America</w:t>
      </w:r>
      <w:r w:rsidR="00727934">
        <w:rPr>
          <w:color w:val="1F1F1F"/>
        </w:rPr>
        <w:t>’</w:t>
      </w:r>
      <w:r w:rsidR="00CE5BE6">
        <w:rPr>
          <w:color w:val="1F1F1F"/>
        </w:rPr>
        <w:t>s largest natural gas supplier.</w:t>
      </w:r>
      <w:r w:rsidR="00B176F5">
        <w:rPr>
          <w:color w:val="1F1F1F"/>
        </w:rPr>
        <w:t xml:space="preserve"> </w:t>
      </w:r>
    </w:p>
    <w:p w14:paraId="43D6F2F0" w14:textId="74DCB3AC" w:rsidR="006557E1" w:rsidRPr="00C722B1" w:rsidRDefault="00B26A4A" w:rsidP="00502740">
      <w:pPr>
        <w:pStyle w:val="Heading3"/>
        <w:rPr>
          <w:rStyle w:val="Heading3Char"/>
          <w:b/>
          <w:bCs/>
        </w:rPr>
      </w:pPr>
      <w:bookmarkStart w:id="66" w:name="_Toc158279169"/>
      <w:bookmarkStart w:id="67" w:name="_Toc158281185"/>
      <w:bookmarkStart w:id="68" w:name="_Toc158281621"/>
      <w:bookmarkStart w:id="69" w:name="_Toc158299448"/>
      <w:bookmarkStart w:id="70" w:name="_Toc158299659"/>
      <w:bookmarkStart w:id="71" w:name="_Toc158299705"/>
      <w:bookmarkStart w:id="72" w:name="_Toc158299807"/>
      <w:bookmarkStart w:id="73" w:name="_Toc158301678"/>
      <w:r>
        <w:t>2.</w:t>
      </w:r>
      <w:r>
        <w:tab/>
      </w:r>
      <w:r w:rsidR="004716E7" w:rsidRPr="00C722B1">
        <w:rPr>
          <w:rStyle w:val="Heading3Char"/>
          <w:b/>
          <w:bCs/>
        </w:rPr>
        <w:t xml:space="preserve">For </w:t>
      </w:r>
      <w:r w:rsidR="00076AA5" w:rsidRPr="00C722B1">
        <w:rPr>
          <w:rStyle w:val="Heading3Char"/>
          <w:b/>
          <w:bCs/>
        </w:rPr>
        <w:t>c</w:t>
      </w:r>
      <w:r w:rsidR="004716E7" w:rsidRPr="00C722B1">
        <w:rPr>
          <w:rStyle w:val="Heading3Char"/>
          <w:b/>
          <w:bCs/>
        </w:rPr>
        <w:t xml:space="preserve">onsumer </w:t>
      </w:r>
      <w:r w:rsidR="00076AA5" w:rsidRPr="00C722B1">
        <w:rPr>
          <w:rStyle w:val="Heading3Char"/>
          <w:b/>
          <w:bCs/>
        </w:rPr>
        <w:t>p</w:t>
      </w:r>
      <w:r w:rsidR="004716E7" w:rsidRPr="00C722B1">
        <w:rPr>
          <w:rStyle w:val="Heading3Char"/>
          <w:b/>
          <w:bCs/>
        </w:rPr>
        <w:t xml:space="preserve">rotection, </w:t>
      </w:r>
      <w:r w:rsidR="00076AA5" w:rsidRPr="00C722B1">
        <w:rPr>
          <w:rStyle w:val="Heading3Char"/>
          <w:b/>
          <w:bCs/>
        </w:rPr>
        <w:t>t</w:t>
      </w:r>
      <w:r w:rsidR="00AF035B" w:rsidRPr="00C722B1">
        <w:rPr>
          <w:rStyle w:val="Heading3Char"/>
          <w:b/>
          <w:bCs/>
        </w:rPr>
        <w:t xml:space="preserve">he </w:t>
      </w:r>
      <w:r w:rsidR="00461D45" w:rsidRPr="00C722B1">
        <w:rPr>
          <w:rStyle w:val="Heading3Char"/>
          <w:b/>
          <w:bCs/>
        </w:rPr>
        <w:t xml:space="preserve">PUCO </w:t>
      </w:r>
      <w:r w:rsidR="00076AA5" w:rsidRPr="00C722B1">
        <w:rPr>
          <w:rStyle w:val="Heading3Char"/>
          <w:b/>
          <w:bCs/>
        </w:rPr>
        <w:t>s</w:t>
      </w:r>
      <w:r w:rsidR="00AF035B" w:rsidRPr="00C722B1">
        <w:rPr>
          <w:rStyle w:val="Heading3Char"/>
          <w:b/>
          <w:bCs/>
        </w:rPr>
        <w:t xml:space="preserve">hould </w:t>
      </w:r>
      <w:r w:rsidR="00076AA5" w:rsidRPr="00C722B1">
        <w:rPr>
          <w:rStyle w:val="Heading3Char"/>
          <w:b/>
          <w:bCs/>
        </w:rPr>
        <w:t>c</w:t>
      </w:r>
      <w:r w:rsidR="00AF035B" w:rsidRPr="00C722B1">
        <w:rPr>
          <w:rStyle w:val="Heading3Char"/>
          <w:b/>
          <w:bCs/>
        </w:rPr>
        <w:t xml:space="preserve">onduct </w:t>
      </w:r>
      <w:r w:rsidR="00076AA5" w:rsidRPr="00C722B1">
        <w:rPr>
          <w:rStyle w:val="Heading3Char"/>
          <w:b/>
          <w:bCs/>
        </w:rPr>
        <w:t>f</w:t>
      </w:r>
      <w:r w:rsidR="00AF035B" w:rsidRPr="00C722B1">
        <w:rPr>
          <w:rStyle w:val="Heading3Char"/>
          <w:b/>
          <w:bCs/>
        </w:rPr>
        <w:t xml:space="preserve">ull </w:t>
      </w:r>
      <w:r w:rsidR="00076AA5" w:rsidRPr="00C722B1">
        <w:rPr>
          <w:rStyle w:val="Heading3Char"/>
          <w:b/>
          <w:bCs/>
        </w:rPr>
        <w:t>e</w:t>
      </w:r>
      <w:r w:rsidR="00AF035B" w:rsidRPr="00C722B1">
        <w:rPr>
          <w:rStyle w:val="Heading3Char"/>
          <w:b/>
          <w:bCs/>
        </w:rPr>
        <w:t xml:space="preserve">videntiary </w:t>
      </w:r>
      <w:r w:rsidR="00076AA5" w:rsidRPr="00C722B1">
        <w:rPr>
          <w:rStyle w:val="Heading3Char"/>
          <w:b/>
          <w:bCs/>
        </w:rPr>
        <w:t>p</w:t>
      </w:r>
      <w:r w:rsidR="00AF035B" w:rsidRPr="00C722B1">
        <w:rPr>
          <w:rStyle w:val="Heading3Char"/>
          <w:b/>
          <w:bCs/>
        </w:rPr>
        <w:t xml:space="preserve">roceedings to </w:t>
      </w:r>
      <w:r w:rsidR="00076AA5" w:rsidRPr="00C722B1">
        <w:rPr>
          <w:rStyle w:val="Heading3Char"/>
          <w:b/>
          <w:bCs/>
        </w:rPr>
        <w:t>r</w:t>
      </w:r>
      <w:r w:rsidR="00AF035B" w:rsidRPr="00C722B1">
        <w:rPr>
          <w:rStyle w:val="Heading3Char"/>
          <w:b/>
          <w:bCs/>
        </w:rPr>
        <w:t>eview Enbridge</w:t>
      </w:r>
      <w:r w:rsidR="00727934" w:rsidRPr="00C722B1">
        <w:rPr>
          <w:rStyle w:val="Heading3Char"/>
          <w:b/>
          <w:bCs/>
        </w:rPr>
        <w:t>’</w:t>
      </w:r>
      <w:r w:rsidR="00AF035B" w:rsidRPr="00C722B1">
        <w:rPr>
          <w:rStyle w:val="Heading3Char"/>
          <w:b/>
          <w:bCs/>
        </w:rPr>
        <w:t xml:space="preserve">s </w:t>
      </w:r>
      <w:r w:rsidR="00076AA5" w:rsidRPr="00C722B1">
        <w:rPr>
          <w:rStyle w:val="Heading3Char"/>
          <w:b/>
          <w:bCs/>
        </w:rPr>
        <w:t>a</w:t>
      </w:r>
      <w:r w:rsidR="00AF035B" w:rsidRPr="00C722B1">
        <w:rPr>
          <w:rStyle w:val="Heading3Char"/>
          <w:b/>
          <w:bCs/>
        </w:rPr>
        <w:t xml:space="preserve">cquisition </w:t>
      </w:r>
      <w:r w:rsidR="00076AA5" w:rsidRPr="00C722B1">
        <w:rPr>
          <w:rStyle w:val="Heading3Char"/>
          <w:b/>
          <w:bCs/>
        </w:rPr>
        <w:t>o</w:t>
      </w:r>
      <w:r w:rsidR="00AF035B" w:rsidRPr="00C722B1">
        <w:rPr>
          <w:rStyle w:val="Heading3Char"/>
          <w:b/>
          <w:bCs/>
        </w:rPr>
        <w:t xml:space="preserve">f </w:t>
      </w:r>
      <w:r w:rsidR="00C712E8" w:rsidRPr="00C722B1">
        <w:rPr>
          <w:rStyle w:val="Heading3Char"/>
          <w:b/>
          <w:bCs/>
        </w:rPr>
        <w:t>DEO</w:t>
      </w:r>
      <w:r w:rsidR="00AF035B" w:rsidRPr="00C722B1">
        <w:rPr>
          <w:rStyle w:val="Heading3Char"/>
          <w:b/>
          <w:bCs/>
        </w:rPr>
        <w:t xml:space="preserve"> </w:t>
      </w:r>
      <w:r w:rsidR="00076AA5" w:rsidRPr="00C722B1">
        <w:rPr>
          <w:rStyle w:val="Heading3Char"/>
          <w:b/>
          <w:bCs/>
        </w:rPr>
        <w:t>a</w:t>
      </w:r>
      <w:r w:rsidR="00AF035B" w:rsidRPr="00C722B1">
        <w:rPr>
          <w:rStyle w:val="Heading3Char"/>
          <w:b/>
          <w:bCs/>
        </w:rPr>
        <w:t xml:space="preserve">nd </w:t>
      </w:r>
      <w:r w:rsidR="00076AA5" w:rsidRPr="00C722B1">
        <w:rPr>
          <w:rStyle w:val="Heading3Char"/>
          <w:b/>
          <w:bCs/>
        </w:rPr>
        <w:t>i</w:t>
      </w:r>
      <w:r w:rsidR="00AF035B" w:rsidRPr="00C722B1">
        <w:rPr>
          <w:rStyle w:val="Heading3Char"/>
          <w:b/>
          <w:bCs/>
        </w:rPr>
        <w:t xml:space="preserve">ts </w:t>
      </w:r>
      <w:r w:rsidR="00076AA5" w:rsidRPr="00C722B1">
        <w:rPr>
          <w:rStyle w:val="Heading3Char"/>
          <w:b/>
          <w:bCs/>
        </w:rPr>
        <w:t>e</w:t>
      </w:r>
      <w:r w:rsidR="00AF035B" w:rsidRPr="00C722B1">
        <w:rPr>
          <w:rStyle w:val="Heading3Char"/>
          <w:b/>
          <w:bCs/>
        </w:rPr>
        <w:t xml:space="preserve">ffect </w:t>
      </w:r>
      <w:r w:rsidR="00076AA5" w:rsidRPr="00C722B1">
        <w:rPr>
          <w:rStyle w:val="Heading3Char"/>
          <w:b/>
          <w:bCs/>
        </w:rPr>
        <w:t>u</w:t>
      </w:r>
      <w:r w:rsidR="00AF035B" w:rsidRPr="00C722B1">
        <w:rPr>
          <w:rStyle w:val="Heading3Char"/>
          <w:b/>
          <w:bCs/>
        </w:rPr>
        <w:t xml:space="preserve">pon </w:t>
      </w:r>
      <w:r w:rsidR="00076AA5" w:rsidRPr="00C722B1">
        <w:rPr>
          <w:rStyle w:val="Heading3Char"/>
          <w:b/>
          <w:bCs/>
        </w:rPr>
        <w:t>t</w:t>
      </w:r>
      <w:r w:rsidR="00AF035B" w:rsidRPr="00C722B1">
        <w:rPr>
          <w:rStyle w:val="Heading3Char"/>
          <w:b/>
          <w:bCs/>
        </w:rPr>
        <w:t xml:space="preserve">he </w:t>
      </w:r>
      <w:r w:rsidR="00076AA5" w:rsidRPr="00C722B1">
        <w:rPr>
          <w:rStyle w:val="Heading3Char"/>
          <w:b/>
          <w:bCs/>
        </w:rPr>
        <w:t>r</w:t>
      </w:r>
      <w:r w:rsidR="00AF035B" w:rsidRPr="00C722B1">
        <w:rPr>
          <w:rStyle w:val="Heading3Char"/>
          <w:b/>
          <w:bCs/>
        </w:rPr>
        <w:t xml:space="preserve">ates </w:t>
      </w:r>
      <w:r w:rsidR="00C712E8" w:rsidRPr="00C722B1">
        <w:rPr>
          <w:rStyle w:val="Heading3Char"/>
          <w:b/>
          <w:bCs/>
        </w:rPr>
        <w:t xml:space="preserve">DEO </w:t>
      </w:r>
      <w:r w:rsidR="00076AA5" w:rsidRPr="00C722B1">
        <w:rPr>
          <w:rStyle w:val="Heading3Char"/>
          <w:b/>
          <w:bCs/>
        </w:rPr>
        <w:t>s</w:t>
      </w:r>
      <w:r w:rsidR="00AF035B" w:rsidRPr="00C722B1">
        <w:rPr>
          <w:rStyle w:val="Heading3Char"/>
          <w:b/>
          <w:bCs/>
        </w:rPr>
        <w:t xml:space="preserve">eeks </w:t>
      </w:r>
      <w:r w:rsidR="00076AA5" w:rsidRPr="00C722B1">
        <w:rPr>
          <w:rStyle w:val="Heading3Char"/>
          <w:b/>
          <w:bCs/>
        </w:rPr>
        <w:t>t</w:t>
      </w:r>
      <w:r w:rsidR="00AF035B" w:rsidRPr="00C722B1">
        <w:rPr>
          <w:rStyle w:val="Heading3Char"/>
          <w:b/>
          <w:bCs/>
        </w:rPr>
        <w:t xml:space="preserve">o </w:t>
      </w:r>
      <w:r w:rsidR="00076AA5" w:rsidRPr="00C722B1">
        <w:rPr>
          <w:rStyle w:val="Heading3Char"/>
          <w:b/>
          <w:bCs/>
        </w:rPr>
        <w:t>c</w:t>
      </w:r>
      <w:r w:rsidR="00AF035B" w:rsidRPr="00C722B1">
        <w:rPr>
          <w:rStyle w:val="Heading3Char"/>
          <w:b/>
          <w:bCs/>
        </w:rPr>
        <w:t xml:space="preserve">harge Ohio </w:t>
      </w:r>
      <w:r w:rsidR="00076AA5" w:rsidRPr="00C722B1">
        <w:rPr>
          <w:rStyle w:val="Heading3Char"/>
          <w:b/>
          <w:bCs/>
        </w:rPr>
        <w:t>c</w:t>
      </w:r>
      <w:r w:rsidR="00AF035B" w:rsidRPr="00C722B1">
        <w:rPr>
          <w:rStyle w:val="Heading3Char"/>
          <w:b/>
          <w:bCs/>
        </w:rPr>
        <w:t>onsumers.</w:t>
      </w:r>
      <w:bookmarkEnd w:id="66"/>
      <w:bookmarkEnd w:id="67"/>
      <w:bookmarkEnd w:id="68"/>
      <w:bookmarkEnd w:id="69"/>
      <w:bookmarkEnd w:id="70"/>
      <w:bookmarkEnd w:id="71"/>
      <w:bookmarkEnd w:id="72"/>
      <w:bookmarkEnd w:id="73"/>
    </w:p>
    <w:p w14:paraId="5A190546" w14:textId="255B3458" w:rsidR="007E06C8" w:rsidRDefault="00B26A4A" w:rsidP="00AF1246">
      <w:pPr>
        <w:spacing w:line="480" w:lineRule="auto"/>
        <w:ind w:right="720" w:firstLine="720"/>
      </w:pPr>
      <w:r>
        <w:t>DEO</w:t>
      </w:r>
      <w:r w:rsidR="00727934">
        <w:t>’</w:t>
      </w:r>
      <w:r w:rsidR="006557E1">
        <w:t>s request that the PUCO not review</w:t>
      </w:r>
      <w:r w:rsidR="005A6217">
        <w:t xml:space="preserve"> </w:t>
      </w:r>
      <w:r w:rsidR="00252417">
        <w:t xml:space="preserve">or </w:t>
      </w:r>
      <w:r w:rsidR="005A6217">
        <w:t>consider the effect of Enbridge</w:t>
      </w:r>
      <w:r w:rsidR="00727934">
        <w:t>’</w:t>
      </w:r>
      <w:r w:rsidR="005A6217">
        <w:t>s proposed acquisition on the</w:t>
      </w:r>
      <w:r w:rsidR="006557E1">
        <w:t xml:space="preserve"> this matter or, alternatively, approve the subject acquisition based on the statements in the application</w:t>
      </w:r>
      <w:r w:rsidR="00252417">
        <w:t>, without any consideration of how such an acquisition should effect this matter,</w:t>
      </w:r>
      <w:r w:rsidR="006557E1">
        <w:t xml:space="preserve"> is </w:t>
      </w:r>
      <w:r w:rsidR="003233A9">
        <w:t xml:space="preserve">unreasonable and </w:t>
      </w:r>
      <w:r w:rsidR="006557E1">
        <w:t>unlawful.</w:t>
      </w:r>
      <w:r>
        <w:rPr>
          <w:rStyle w:val="FootnoteReference"/>
        </w:rPr>
        <w:footnoteReference w:id="29"/>
      </w:r>
      <w:r w:rsidR="006557E1">
        <w:t xml:space="preserve"> </w:t>
      </w:r>
      <w:r w:rsidR="006557E1" w:rsidRPr="00197974">
        <w:t>Applicants argue that the proposed acquisition is not subject to PUCO review under specific statutes</w:t>
      </w:r>
      <w:r w:rsidR="006557E1">
        <w:t xml:space="preserve"> that only partially</w:t>
      </w:r>
      <w:r w:rsidR="006557E1" w:rsidRPr="00197974">
        <w:t xml:space="preserve"> defin</w:t>
      </w:r>
      <w:r w:rsidR="006557E1">
        <w:t>e</w:t>
      </w:r>
      <w:r w:rsidR="006557E1" w:rsidRPr="00197974">
        <w:t xml:space="preserve"> the </w:t>
      </w:r>
      <w:r>
        <w:t>PUCO</w:t>
      </w:r>
      <w:r w:rsidR="00727934">
        <w:t>’</w:t>
      </w:r>
      <w:r>
        <w:t>s</w:t>
      </w:r>
      <w:r w:rsidRPr="00197974">
        <w:t xml:space="preserve"> </w:t>
      </w:r>
      <w:r w:rsidR="006557E1" w:rsidRPr="00197974">
        <w:t>authority.</w:t>
      </w:r>
      <w:r>
        <w:rPr>
          <w:rStyle w:val="FootnoteReference"/>
        </w:rPr>
        <w:footnoteReference w:id="30"/>
      </w:r>
      <w:r w:rsidR="006557E1">
        <w:t xml:space="preserve"> </w:t>
      </w:r>
      <w:r w:rsidR="006557E1" w:rsidRPr="00197974">
        <w:t>However, even if their claim holds true</w:t>
      </w:r>
      <w:r w:rsidR="006557E1">
        <w:t xml:space="preserve"> – </w:t>
      </w:r>
      <w:r w:rsidR="006557E1">
        <w:lastRenderedPageBreak/>
        <w:t>and it</w:t>
      </w:r>
      <w:r w:rsidR="00727934">
        <w:t>’</w:t>
      </w:r>
      <w:r w:rsidR="006557E1">
        <w:t xml:space="preserve">s impossible to know without proceedings and admitted evidence </w:t>
      </w:r>
      <w:r>
        <w:t>–</w:t>
      </w:r>
      <w:r w:rsidR="006557E1" w:rsidRPr="00197974">
        <w:t xml:space="preserve"> </w:t>
      </w:r>
      <w:r>
        <w:t xml:space="preserve">the </w:t>
      </w:r>
      <w:r w:rsidR="006557E1" w:rsidRPr="00197974">
        <w:t>PUCO</w:t>
      </w:r>
      <w:r w:rsidR="00727934">
        <w:t>’</w:t>
      </w:r>
      <w:r w:rsidR="006557E1" w:rsidRPr="00197974">
        <w:t>s power to review under R.C. 4905.05 and 4905.06 remains unaffected.</w:t>
      </w:r>
    </w:p>
    <w:p w14:paraId="01633F88" w14:textId="4A67901A" w:rsidR="007E06C8" w:rsidRDefault="00B26A4A" w:rsidP="00AF1246">
      <w:pPr>
        <w:spacing w:line="480" w:lineRule="auto"/>
        <w:ind w:right="720" w:firstLine="720"/>
      </w:pPr>
      <w:r w:rsidRPr="00406D7E">
        <w:t>There is no dispute that the PUCO possesses ample authority under Ohio law to review Enbridge</w:t>
      </w:r>
      <w:r w:rsidR="00727934">
        <w:t>’</w:t>
      </w:r>
      <w:r w:rsidRPr="00406D7E">
        <w:t xml:space="preserve">s acquisition of </w:t>
      </w:r>
      <w:r w:rsidR="00C712E8">
        <w:t>DEO</w:t>
      </w:r>
      <w:r w:rsidRPr="00406D7E">
        <w:t xml:space="preserve">. R.C. 4905.05 and R.C. 4905.06 equip the PUCO with broad supervisory powers over public utilities, including the crucial obligation to protect the public interest </w:t>
      </w:r>
      <w:r>
        <w:t>from any harmful acquisition of a utility under the PUCO</w:t>
      </w:r>
      <w:r w:rsidR="00727934">
        <w:t>’</w:t>
      </w:r>
      <w:r>
        <w:t>s jurisdiction</w:t>
      </w:r>
      <w:r w:rsidRPr="00406D7E">
        <w:t xml:space="preserve">. Even </w:t>
      </w:r>
      <w:r w:rsidR="00C712E8">
        <w:t>DEO</w:t>
      </w:r>
      <w:r>
        <w:t xml:space="preserve"> and Enbridge</w:t>
      </w:r>
      <w:r w:rsidRPr="009E768E">
        <w:t xml:space="preserve"> are aware that the</w:t>
      </w:r>
      <w:r>
        <w:t xml:space="preserve"> PUCO</w:t>
      </w:r>
      <w:r w:rsidRPr="009E768E">
        <w:t xml:space="preserve"> has exercised its general supervisory authority under R.C. 4905.05 and 4905.06 to review a variety of transactions </w:t>
      </w:r>
      <w:r>
        <w:t>similar to the subject acquisition for the</w:t>
      </w:r>
      <w:r w:rsidRPr="009E768E">
        <w:t xml:space="preserve"> purpose of ensuring the</w:t>
      </w:r>
      <w:r>
        <w:t xml:space="preserve">re will be no harm to </w:t>
      </w:r>
      <w:r w:rsidRPr="009E768E">
        <w:t>the p</w:t>
      </w:r>
      <w:r w:rsidRPr="009E768E">
        <w:t>ublic interest</w:t>
      </w:r>
      <w:r w:rsidRPr="00406D7E">
        <w:t>.</w:t>
      </w:r>
      <w:r>
        <w:rPr>
          <w:rStyle w:val="FootnoteReference"/>
        </w:rPr>
        <w:footnoteReference w:id="31"/>
      </w:r>
      <w:r>
        <w:t xml:space="preserve"> Equally undisputable is the PUCO</w:t>
      </w:r>
      <w:r w:rsidR="004E24DA">
        <w:t>’s</w:t>
      </w:r>
      <w:r>
        <w:t xml:space="preserve"> broad authority to regulate its proceedings and manage its docket (by consolidating cases, for example).</w:t>
      </w:r>
      <w:r>
        <w:rPr>
          <w:rStyle w:val="FootnoteReference"/>
        </w:rPr>
        <w:footnoteReference w:id="32"/>
      </w:r>
      <w:r>
        <w:t xml:space="preserve"> The PUCO should exercise its discretion and consolidate the cases.</w:t>
      </w:r>
      <w:r w:rsidR="006557E1" w:rsidRPr="00C35A29">
        <w:t xml:space="preserve"> </w:t>
      </w:r>
    </w:p>
    <w:p w14:paraId="5644A3B2" w14:textId="026168B3" w:rsidR="006557E1" w:rsidRPr="00C35A29" w:rsidRDefault="00B26A4A" w:rsidP="00AF1246">
      <w:pPr>
        <w:spacing w:line="480" w:lineRule="auto"/>
        <w:ind w:right="720" w:firstLine="720"/>
      </w:pPr>
      <w:r>
        <w:t xml:space="preserve">Regarding </w:t>
      </w:r>
      <w:r w:rsidRPr="00C35A29">
        <w:t xml:space="preserve">mergers involving </w:t>
      </w:r>
      <w:r>
        <w:t>public</w:t>
      </w:r>
      <w:r w:rsidRPr="00C35A29">
        <w:t xml:space="preserve"> utilities, the </w:t>
      </w:r>
      <w:r>
        <w:t>PUCO</w:t>
      </w:r>
      <w:r w:rsidRPr="00C35A29">
        <w:t xml:space="preserve"> has explained its rationale as follows:</w:t>
      </w:r>
    </w:p>
    <w:p w14:paraId="2248C0F4" w14:textId="3F4798FD" w:rsidR="006557E1" w:rsidRDefault="00B26A4A" w:rsidP="00067944">
      <w:pPr>
        <w:spacing w:after="240"/>
        <w:ind w:left="1440" w:right="1440"/>
      </w:pPr>
      <w:r w:rsidRPr="00C35A29">
        <w:t>The Commission</w:t>
      </w:r>
      <w:r w:rsidR="00727934">
        <w:t>’</w:t>
      </w:r>
      <w:r w:rsidRPr="00C35A29">
        <w:t xml:space="preserve">s general supervisory powers under Sections 4905.05 and 4905.06, Revised Code, authorize the Commission to assert supervisory jurisdiction over companies owning public utilities when the Commission determines such action is necessary to protect the interest of consumers of the public utility. The interests of consumers of a public utility are at stake whenever, among other factors, </w:t>
      </w:r>
      <w:r w:rsidRPr="00C35A29">
        <w:rPr>
          <w:i/>
          <w:iCs/>
        </w:rPr>
        <w:t>control of the public utility</w:t>
      </w:r>
      <w:r w:rsidRPr="00C35A29">
        <w:t xml:space="preserve"> </w:t>
      </w:r>
      <w:r w:rsidRPr="00C35A29">
        <w:rPr>
          <w:iCs/>
        </w:rPr>
        <w:t>or its holding company</w:t>
      </w:r>
      <w:r w:rsidRPr="00C35A29">
        <w:rPr>
          <w:i/>
        </w:rPr>
        <w:t xml:space="preserve"> </w:t>
      </w:r>
      <w:r w:rsidRPr="00C35A29">
        <w:t xml:space="preserve">is </w:t>
      </w:r>
      <w:r w:rsidRPr="00C35A29">
        <w:rPr>
          <w:i/>
          <w:iCs/>
        </w:rPr>
        <w:t>transferred</w:t>
      </w:r>
      <w:r w:rsidRPr="00C35A29">
        <w:t>, or the normal and necessary operations of the public util</w:t>
      </w:r>
      <w:r w:rsidRPr="00C35A29">
        <w:t>ity, such as its ability to access capital markets at reasonable costs, are or may be adversely affected due the activities undertaken by or circumstances affecting the public utility</w:t>
      </w:r>
      <w:r w:rsidR="00727934">
        <w:t>’</w:t>
      </w:r>
      <w:r w:rsidRPr="00C35A29">
        <w:t>s holding company.</w:t>
      </w:r>
      <w:r>
        <w:rPr>
          <w:rStyle w:val="FootnoteReference"/>
        </w:rPr>
        <w:footnoteReference w:id="33"/>
      </w:r>
    </w:p>
    <w:p w14:paraId="5C1F0996" w14:textId="2C45B287" w:rsidR="006557E1" w:rsidRDefault="00B26A4A" w:rsidP="00AF1246">
      <w:pPr>
        <w:spacing w:line="480" w:lineRule="auto"/>
        <w:ind w:right="720" w:firstLine="720"/>
      </w:pPr>
      <w:r>
        <w:lastRenderedPageBreak/>
        <w:t xml:space="preserve">Accordingly, the subject acquisition of </w:t>
      </w:r>
      <w:r w:rsidR="006E3A6F">
        <w:t>DEO</w:t>
      </w:r>
      <w:r>
        <w:t xml:space="preserve"> by Enbridge is exactly the kind of transaction the PUCO intends to review under R.C 4905.05 and 4905.06. </w:t>
      </w:r>
    </w:p>
    <w:p w14:paraId="7A3F4175" w14:textId="5FD5A93E" w:rsidR="007E06C8" w:rsidRDefault="00B26A4A" w:rsidP="008B21C6">
      <w:pPr>
        <w:spacing w:line="480" w:lineRule="auto"/>
        <w:ind w:right="720" w:firstLine="720"/>
      </w:pPr>
      <w:r w:rsidRPr="0060759C">
        <w:t xml:space="preserve">Curiously, </w:t>
      </w:r>
      <w:r w:rsidR="005C44CF">
        <w:t xml:space="preserve">the Joint </w:t>
      </w:r>
      <w:r w:rsidRPr="0060759C">
        <w:t>Applicat</w:t>
      </w:r>
      <w:r w:rsidR="005C44CF">
        <w:t>ion</w:t>
      </w:r>
      <w:r w:rsidRPr="0060759C">
        <w:t xml:space="preserve"> cite</w:t>
      </w:r>
      <w:r w:rsidR="005C44CF">
        <w:t>s</w:t>
      </w:r>
      <w:r w:rsidRPr="0060759C">
        <w:t xml:space="preserve"> only one case</w:t>
      </w:r>
      <w:r>
        <w:t xml:space="preserve"> - </w:t>
      </w:r>
      <w:r w:rsidRPr="00665DEE">
        <w:rPr>
          <w:i/>
          <w:iCs/>
        </w:rPr>
        <w:t>In re Petition of Ohio Schools Council, et al., for the Commission to Require a Merger Filing</w:t>
      </w:r>
      <w:r w:rsidRPr="0060759C">
        <w:t>, Case No. 00-762-GA-UNC</w:t>
      </w:r>
      <w:r>
        <w:t xml:space="preserve"> - </w:t>
      </w:r>
      <w:r w:rsidRPr="0060759C">
        <w:t>to support the PUCO not reviewing the subject acquisition, while overlooking the plethora of cases where the PUCO has reviewed such matters.</w:t>
      </w:r>
      <w:r w:rsidRPr="0060759C">
        <w:rPr>
          <w:rStyle w:val="FootnoteReference"/>
        </w:rPr>
        <w:t xml:space="preserve"> </w:t>
      </w:r>
      <w:r>
        <w:rPr>
          <w:rStyle w:val="FootnoteReference"/>
        </w:rPr>
        <w:footnoteReference w:id="34"/>
      </w:r>
      <w:r w:rsidRPr="0060759C">
        <w:t xml:space="preserve"> Notably, this cited case does not bear resemblance to the present situation. In this case, Enbridge seeks to become the premier gas utility across North America.</w:t>
      </w:r>
      <w:r>
        <w:rPr>
          <w:rStyle w:val="FootnoteReference"/>
        </w:rPr>
        <w:footnoteReference w:id="35"/>
      </w:r>
      <w:r w:rsidRPr="0060759C">
        <w:t xml:space="preserve"> To that end, Enbridge and Dominion Energy</w:t>
      </w:r>
      <w:r>
        <w:t xml:space="preserve"> </w:t>
      </w:r>
      <w:r w:rsidRPr="0060759C">
        <w:t xml:space="preserve">have agreed to a $14 billion sale, whereby Enbridge acquires from Dominion Energy, </w:t>
      </w:r>
      <w:r w:rsidR="006E3A6F">
        <w:t>DEO</w:t>
      </w:r>
      <w:r>
        <w:t>,</w:t>
      </w:r>
      <w:r w:rsidRPr="0060759C">
        <w:t xml:space="preserve"> and two other utilities operating in North Carolina, Utah, Idaho, and Wyoming.</w:t>
      </w:r>
      <w:r>
        <w:rPr>
          <w:vertAlign w:val="superscript"/>
        </w:rPr>
        <w:footnoteReference w:id="36"/>
      </w:r>
      <w:r w:rsidRPr="0060759C">
        <w:t xml:space="preserve"> </w:t>
      </w:r>
      <w:r>
        <w:t xml:space="preserve">Idaho, </w:t>
      </w:r>
      <w:r w:rsidRPr="00527AC8">
        <w:t>North Carolina</w:t>
      </w:r>
      <w:r>
        <w:t>,</w:t>
      </w:r>
      <w:r w:rsidRPr="00527AC8">
        <w:t xml:space="preserve"> Utah</w:t>
      </w:r>
      <w:r>
        <w:t>, and Wyoming are using their authority to review this historic acquisition</w:t>
      </w:r>
      <w:r w:rsidRPr="00527AC8">
        <w:t>.</w:t>
      </w:r>
      <w:r>
        <w:rPr>
          <w:vertAlign w:val="superscript"/>
        </w:rPr>
        <w:footnoteReference w:id="37"/>
      </w:r>
      <w:r w:rsidRPr="00527AC8">
        <w:t xml:space="preserve"> </w:t>
      </w:r>
    </w:p>
    <w:p w14:paraId="77E638CC" w14:textId="22CAA5D6" w:rsidR="00A94564" w:rsidRDefault="00B26A4A" w:rsidP="008B21C6">
      <w:pPr>
        <w:spacing w:line="480" w:lineRule="auto"/>
        <w:ind w:right="720" w:firstLine="720"/>
      </w:pPr>
      <w:r w:rsidRPr="0060759C">
        <w:t xml:space="preserve">It is critical </w:t>
      </w:r>
      <w:r>
        <w:t>that</w:t>
      </w:r>
      <w:r w:rsidRPr="0060759C">
        <w:t xml:space="preserve"> the PUCO </w:t>
      </w:r>
      <w:r>
        <w:t xml:space="preserve">exercise its review authority </w:t>
      </w:r>
      <w:r w:rsidRPr="0060759C">
        <w:t xml:space="preserve">to understand the financial and operational impact that this $14 billion, multi-state, multi-utility acquisition </w:t>
      </w:r>
      <w:r w:rsidRPr="0060759C">
        <w:lastRenderedPageBreak/>
        <w:t xml:space="preserve">will have on Enbridge, </w:t>
      </w:r>
      <w:r w:rsidR="00872765">
        <w:t>DEO</w:t>
      </w:r>
      <w:r w:rsidR="005C44CF">
        <w:t xml:space="preserve">, </w:t>
      </w:r>
      <w:r w:rsidRPr="0060759C">
        <w:t xml:space="preserve">and </w:t>
      </w:r>
      <w:r w:rsidR="005C44CF">
        <w:t>the</w:t>
      </w:r>
      <w:r w:rsidRPr="0060759C">
        <w:t xml:space="preserve"> impacts </w:t>
      </w:r>
      <w:r w:rsidR="005C44CF">
        <w:t>such a transaction should have on the rates charged to</w:t>
      </w:r>
      <w:r w:rsidRPr="0060759C">
        <w:t xml:space="preserve"> Ohio consumers serve</w:t>
      </w:r>
      <w:r w:rsidR="005C44CF">
        <w:t>d by these businesses</w:t>
      </w:r>
      <w:r w:rsidRPr="0060759C">
        <w:t>.</w:t>
      </w:r>
      <w:r w:rsidR="007E06C8">
        <w:t xml:space="preserve"> The cases should be consolidated.</w:t>
      </w:r>
    </w:p>
    <w:p w14:paraId="4F5AE84B" w14:textId="7A33ECD0" w:rsidR="00684D2E" w:rsidRDefault="00B26A4A" w:rsidP="00AF1246">
      <w:pPr>
        <w:autoSpaceDE w:val="0"/>
        <w:autoSpaceDN w:val="0"/>
        <w:adjustRightInd w:val="0"/>
        <w:spacing w:line="480" w:lineRule="auto"/>
        <w:ind w:right="720" w:firstLine="720"/>
      </w:pPr>
      <w:r>
        <w:t xml:space="preserve">Unsurprisingly, </w:t>
      </w:r>
      <w:r w:rsidR="00872765">
        <w:t>DEO</w:t>
      </w:r>
      <w:r w:rsidR="00727934">
        <w:t>’</w:t>
      </w:r>
      <w:r>
        <w:t>s Memorandum Contra avoids any discussion of the timeline of its base rate case and the proposed transaction. The PUCO should consider it in deciding on consolidation.</w:t>
      </w:r>
    </w:p>
    <w:p w14:paraId="1EEC19D1" w14:textId="62FA2E92" w:rsidR="003233A9" w:rsidRDefault="00B26A4A" w:rsidP="00AF1246">
      <w:pPr>
        <w:autoSpaceDE w:val="0"/>
        <w:autoSpaceDN w:val="0"/>
        <w:adjustRightInd w:val="0"/>
        <w:spacing w:line="480" w:lineRule="auto"/>
        <w:ind w:right="720" w:firstLine="720"/>
      </w:pPr>
      <w:r>
        <w:t xml:space="preserve">On September 5, 2023, on its website, </w:t>
      </w:r>
      <w:r w:rsidR="007E6E01">
        <w:t>Dominion</w:t>
      </w:r>
      <w:r w:rsidR="00872765">
        <w:t xml:space="preserve"> Energy</w:t>
      </w:r>
      <w:r>
        <w:t xml:space="preserve"> announced its agreement to </w:t>
      </w:r>
      <w:r w:rsidR="007E6E01">
        <w:t>sell</w:t>
      </w:r>
      <w:r>
        <w:t xml:space="preserve"> </w:t>
      </w:r>
      <w:r w:rsidR="00872765">
        <w:t>DEO</w:t>
      </w:r>
      <w:r w:rsidR="00872765" w:rsidRPr="0095352F">
        <w:t xml:space="preserve"> </w:t>
      </w:r>
      <w:r w:rsidRPr="0095352F">
        <w:t>and two other utilities that operate in North Carolina, Utah, Idaho</w:t>
      </w:r>
      <w:r w:rsidR="00684D2E">
        <w:t>,</w:t>
      </w:r>
      <w:r w:rsidRPr="0095352F">
        <w:t xml:space="preserve"> and Wyoming </w:t>
      </w:r>
      <w:r w:rsidR="00684D2E">
        <w:t xml:space="preserve">to </w:t>
      </w:r>
      <w:r w:rsidR="004D48E4">
        <w:t>Enbridge</w:t>
      </w:r>
      <w:r w:rsidRPr="0095352F">
        <w:t> </w:t>
      </w:r>
      <w:r>
        <w:t>for</w:t>
      </w:r>
      <w:r w:rsidRPr="0095352F">
        <w:t xml:space="preserve"> $14 billion.</w:t>
      </w:r>
      <w:r>
        <w:rPr>
          <w:rStyle w:val="FootnoteReference"/>
        </w:rPr>
        <w:footnoteReference w:id="38"/>
      </w:r>
      <w:r>
        <w:t xml:space="preserve"> </w:t>
      </w:r>
      <w:r w:rsidRPr="00635D6D">
        <w:t xml:space="preserve">On September 29, </w:t>
      </w:r>
      <w:r w:rsidR="00684D2E">
        <w:t>20</w:t>
      </w:r>
      <w:r w:rsidRPr="00635D6D">
        <w:t xml:space="preserve">23, </w:t>
      </w:r>
      <w:r w:rsidR="00872765">
        <w:t>DEO</w:t>
      </w:r>
      <w:r w:rsidRPr="00635D6D">
        <w:t xml:space="preserve"> requested that the </w:t>
      </w:r>
      <w:r w:rsidR="005B1EC3">
        <w:t>PUCO</w:t>
      </w:r>
      <w:r w:rsidR="005B1EC3" w:rsidRPr="00635D6D">
        <w:t xml:space="preserve"> </w:t>
      </w:r>
      <w:r w:rsidRPr="00635D6D">
        <w:t xml:space="preserve">issue an entry establishing a date certain of December 31, 2023, and a test period of January 1, 2023, through December 31, 2023, for </w:t>
      </w:r>
      <w:r w:rsidR="00872765">
        <w:t>DEO</w:t>
      </w:r>
      <w:r w:rsidR="00727934">
        <w:t>’</w:t>
      </w:r>
      <w:r w:rsidRPr="00635D6D">
        <w:t>s upcoming base rate case.</w:t>
      </w:r>
      <w:r>
        <w:rPr>
          <w:rStyle w:val="FootnoteReference"/>
        </w:rPr>
        <w:footnoteReference w:id="39"/>
      </w:r>
      <w:r w:rsidR="00872765">
        <w:t xml:space="preserve"> No</w:t>
      </w:r>
      <w:r>
        <w:t xml:space="preserve"> mention </w:t>
      </w:r>
      <w:r w:rsidR="00872765">
        <w:t xml:space="preserve">was made </w:t>
      </w:r>
      <w:r>
        <w:t xml:space="preserve">of </w:t>
      </w:r>
      <w:r w:rsidR="00872765">
        <w:t xml:space="preserve">an </w:t>
      </w:r>
      <w:r>
        <w:t xml:space="preserve">agreement </w:t>
      </w:r>
      <w:r w:rsidR="00872765">
        <w:t>under which DEO would be sold to</w:t>
      </w:r>
      <w:r>
        <w:t xml:space="preserve"> Enbridge in </w:t>
      </w:r>
      <w:r w:rsidR="007E6E01">
        <w:t>its</w:t>
      </w:r>
      <w:r>
        <w:t xml:space="preserve"> Motion To Establish Test Period and Date Certain.</w:t>
      </w:r>
      <w:r w:rsidRPr="00635D6D">
        <w:t xml:space="preserve"> On October 18, 2023, the PUCO approved the test period and date certain.</w:t>
      </w:r>
      <w:r>
        <w:rPr>
          <w:rStyle w:val="FootnoteReference"/>
        </w:rPr>
        <w:footnoteReference w:id="40"/>
      </w:r>
      <w:r w:rsidRPr="00635D6D">
        <w:t xml:space="preserve"> </w:t>
      </w:r>
    </w:p>
    <w:p w14:paraId="54789489" w14:textId="05F08158" w:rsidR="00523726" w:rsidRDefault="00B26A4A" w:rsidP="00AF1246">
      <w:pPr>
        <w:autoSpaceDE w:val="0"/>
        <w:autoSpaceDN w:val="0"/>
        <w:adjustRightInd w:val="0"/>
        <w:spacing w:line="480" w:lineRule="auto"/>
        <w:ind w:right="720" w:firstLine="720"/>
      </w:pPr>
      <w:r w:rsidRPr="00635D6D">
        <w:t xml:space="preserve">On October 20, 2023, </w:t>
      </w:r>
      <w:r w:rsidR="007E6E01">
        <w:t xml:space="preserve">just two days after receiving approval to use a test year that is wholly unrepresentative of its future position, </w:t>
      </w:r>
      <w:r w:rsidR="00096879">
        <w:t>DEO</w:t>
      </w:r>
      <w:r w:rsidRPr="00635D6D">
        <w:t xml:space="preserve"> and </w:t>
      </w:r>
      <w:r w:rsidR="00DB05AD">
        <w:t>Enbridge</w:t>
      </w:r>
      <w:r w:rsidRPr="00635D6D">
        <w:t xml:space="preserve"> filed a</w:t>
      </w:r>
      <w:r w:rsidR="00DB05AD">
        <w:t xml:space="preserve"> Joint </w:t>
      </w:r>
      <w:r w:rsidR="00DB05AD">
        <w:lastRenderedPageBreak/>
        <w:t>A</w:t>
      </w:r>
      <w:r w:rsidRPr="00635D6D">
        <w:t xml:space="preserve">pplication for the approval of the sale of EOG to </w:t>
      </w:r>
      <w:r w:rsidR="007E6E01">
        <w:t>Enbridge</w:t>
      </w:r>
      <w:r w:rsidRPr="00635D6D">
        <w:t>.</w:t>
      </w:r>
      <w:r>
        <w:rPr>
          <w:rStyle w:val="FootnoteReference"/>
        </w:rPr>
        <w:footnoteReference w:id="41"/>
      </w:r>
      <w:r w:rsidRPr="00635D6D">
        <w:t xml:space="preserve"> Accordingly, the PUCO was not officially </w:t>
      </w:r>
      <w:r>
        <w:t xml:space="preserve">made </w:t>
      </w:r>
      <w:r w:rsidRPr="00635D6D">
        <w:t>aware of the acquisition agreement when it approved the requested test year and date certain.</w:t>
      </w:r>
      <w:r>
        <w:t xml:space="preserve"> </w:t>
      </w:r>
      <w:r w:rsidR="00DB05AD">
        <w:t>Further</w:t>
      </w:r>
      <w:r w:rsidRPr="00635D6D">
        <w:t xml:space="preserve">, </w:t>
      </w:r>
      <w:r w:rsidR="00974A78">
        <w:t xml:space="preserve">even when </w:t>
      </w:r>
      <w:r w:rsidRPr="00635D6D">
        <w:t xml:space="preserve">the </w:t>
      </w:r>
      <w:r w:rsidR="005B1EC3">
        <w:t>PUCO</w:t>
      </w:r>
      <w:r w:rsidR="005B1EC3" w:rsidRPr="00635D6D">
        <w:t xml:space="preserve"> </w:t>
      </w:r>
      <w:r w:rsidR="00974A78">
        <w:t>was</w:t>
      </w:r>
      <w:r w:rsidRPr="00635D6D">
        <w:t xml:space="preserve"> made aware of the acquisition agreement</w:t>
      </w:r>
      <w:r w:rsidR="00974A78">
        <w:t xml:space="preserve">, in the Joint Application, Dominion Energy and Enbridge failed to notify the </w:t>
      </w:r>
      <w:r w:rsidR="005B1EC3">
        <w:t xml:space="preserve">PUCO </w:t>
      </w:r>
      <w:r w:rsidR="00974A78">
        <w:t>of the enormous scope of the transaction, provide any evidence, or even provide a copy of the purchase agreement.</w:t>
      </w:r>
      <w:r w:rsidRPr="00635D6D">
        <w:t xml:space="preserve"> </w:t>
      </w:r>
    </w:p>
    <w:p w14:paraId="30E73AE4" w14:textId="0089AA4E" w:rsidR="00523726" w:rsidRDefault="00B26A4A" w:rsidP="00AF1246">
      <w:pPr>
        <w:autoSpaceDE w:val="0"/>
        <w:autoSpaceDN w:val="0"/>
        <w:adjustRightInd w:val="0"/>
        <w:spacing w:line="480" w:lineRule="auto"/>
        <w:ind w:right="720" w:firstLine="720"/>
      </w:pPr>
      <w:r>
        <w:t>Now the accuracy of the rate case</w:t>
      </w:r>
      <w:r w:rsidR="005B1EC3">
        <w:t xml:space="preserve"> and the ability for consumer protection</w:t>
      </w:r>
      <w:r>
        <w:t xml:space="preserve"> is put into jeopardy. </w:t>
      </w:r>
      <w:r w:rsidRPr="002F6099">
        <w:t>For instance, the PUCO, in examining the Dominion</w:t>
      </w:r>
      <w:r w:rsidR="00872765">
        <w:t xml:space="preserve"> Energy</w:t>
      </w:r>
      <w:r w:rsidRPr="002F6099">
        <w:t xml:space="preserve">/Enbridge transaction, should be evaluating whether the </w:t>
      </w:r>
      <w:r>
        <w:t>acquisition</w:t>
      </w:r>
      <w:r w:rsidRPr="002F6099">
        <w:t xml:space="preserve"> will result in efficiencies in operation or economies of scale. That would be a benefit to </w:t>
      </w:r>
      <w:r w:rsidR="00872765">
        <w:t>DEO</w:t>
      </w:r>
      <w:r w:rsidR="00727934">
        <w:t>’</w:t>
      </w:r>
      <w:r w:rsidR="00872765">
        <w:t>s</w:t>
      </w:r>
      <w:r w:rsidR="00872765" w:rsidRPr="002F6099">
        <w:t xml:space="preserve"> </w:t>
      </w:r>
      <w:r w:rsidRPr="002F6099">
        <w:t>consumers</w:t>
      </w:r>
      <w:r>
        <w:t>,</w:t>
      </w:r>
      <w:r w:rsidRPr="002F6099">
        <w:t xml:space="preserve"> but that benefit will not be realized by consumers if not considered in setting future rates. Under </w:t>
      </w:r>
      <w:r w:rsidR="00872765">
        <w:t>DEO</w:t>
      </w:r>
      <w:r w:rsidR="00727934">
        <w:t>’</w:t>
      </w:r>
      <w:r w:rsidR="00872765">
        <w:t>s</w:t>
      </w:r>
      <w:r w:rsidR="00872765" w:rsidRPr="002F6099">
        <w:t xml:space="preserve"> </w:t>
      </w:r>
      <w:r w:rsidRPr="002F6099">
        <w:t>proposed test year (January 1, 2023, to December 31, 2023) there is no accounting for potential efficiencies fr</w:t>
      </w:r>
      <w:r w:rsidRPr="002F6099">
        <w:t>om the Dominion</w:t>
      </w:r>
      <w:r w:rsidR="00872765">
        <w:t xml:space="preserve"> Energy</w:t>
      </w:r>
      <w:r w:rsidRPr="002F6099">
        <w:t xml:space="preserve">/Enbridge </w:t>
      </w:r>
      <w:r>
        <w:t>transaction</w:t>
      </w:r>
      <w:r w:rsidRPr="002F6099">
        <w:t xml:space="preserve">. Because the efficiencies would likely occur during the period when rates are in effect (2024 and after), it would </w:t>
      </w:r>
      <w:r>
        <w:t xml:space="preserve">only be possible </w:t>
      </w:r>
      <w:r w:rsidRPr="002F6099">
        <w:t>to consider such efficiencies in</w:t>
      </w:r>
      <w:r>
        <w:t xml:space="preserve"> a future </w:t>
      </w:r>
      <w:r w:rsidRPr="002F6099">
        <w:t>rate case</w:t>
      </w:r>
      <w:r>
        <w:t xml:space="preserve"> or in the current rate case if the proceedings were delayed and the test year modified</w:t>
      </w:r>
      <w:r w:rsidRPr="002F6099">
        <w:t xml:space="preserve">. </w:t>
      </w:r>
    </w:p>
    <w:p w14:paraId="2E15E5A8" w14:textId="1EFD1FAC" w:rsidR="00684D2E" w:rsidRDefault="00B26A4A" w:rsidP="00AF1246">
      <w:pPr>
        <w:autoSpaceDE w:val="0"/>
        <w:autoSpaceDN w:val="0"/>
        <w:adjustRightInd w:val="0"/>
        <w:spacing w:line="480" w:lineRule="auto"/>
        <w:ind w:right="720" w:firstLine="720"/>
      </w:pPr>
      <w:r w:rsidRPr="002F6099">
        <w:t>Further, relying on forecasts based on the previous owners</w:t>
      </w:r>
      <w:r w:rsidR="00727934">
        <w:t>’</w:t>
      </w:r>
      <w:r w:rsidRPr="002F6099">
        <w:t xml:space="preserve"> assumptions may not reflect the new owners</w:t>
      </w:r>
      <w:r w:rsidR="00727934">
        <w:t>’</w:t>
      </w:r>
      <w:r w:rsidRPr="002F6099">
        <w:t xml:space="preserve"> (Enbridge) future strategies for </w:t>
      </w:r>
      <w:r w:rsidR="00872765">
        <w:t>DEO</w:t>
      </w:r>
      <w:r w:rsidRPr="002F6099">
        <w:t xml:space="preserve">, potentially leading to overstated, unrepresentative rates that would unfairly burden consumers. For instance, </w:t>
      </w:r>
      <w:r w:rsidR="00872765">
        <w:t>DEO</w:t>
      </w:r>
      <w:r w:rsidR="00727934">
        <w:t>’</w:t>
      </w:r>
      <w:r w:rsidR="00872765">
        <w:t>s</w:t>
      </w:r>
      <w:r w:rsidR="00872765" w:rsidRPr="002F6099">
        <w:t xml:space="preserve"> </w:t>
      </w:r>
      <w:r w:rsidRPr="002F6099">
        <w:t xml:space="preserve">capital spending levels are currently determined by Dominion Energy (its </w:t>
      </w:r>
      <w:r>
        <w:t xml:space="preserve">current </w:t>
      </w:r>
      <w:r w:rsidRPr="002F6099">
        <w:t xml:space="preserve">parent). </w:t>
      </w:r>
      <w:r w:rsidR="00872765">
        <w:t>DEO</w:t>
      </w:r>
      <w:r w:rsidR="00872765" w:rsidRPr="002F6099">
        <w:t xml:space="preserve"> </w:t>
      </w:r>
      <w:r w:rsidRPr="002F6099">
        <w:t xml:space="preserve">has asked for approximately $4.1 billion in funds from consumers for its capital expenditure program and its pipeline infrastructure replacement program over the </w:t>
      </w:r>
      <w:r w:rsidRPr="002F6099">
        <w:lastRenderedPageBreak/>
        <w:t>next six to seven years.</w:t>
      </w:r>
      <w:r>
        <w:rPr>
          <w:rStyle w:val="FootnoteReference"/>
        </w:rPr>
        <w:footnoteReference w:id="42"/>
      </w:r>
      <w:r w:rsidRPr="002F6099">
        <w:t xml:space="preserve"> That</w:t>
      </w:r>
      <w:r w:rsidR="00727934">
        <w:t>’</w:t>
      </w:r>
      <w:r w:rsidRPr="002F6099">
        <w:t xml:space="preserve">s a lot of money to </w:t>
      </w:r>
      <w:r w:rsidRPr="002F6099">
        <w:t>ask consumers to pay, especially when</w:t>
      </w:r>
      <w:r>
        <w:t xml:space="preserve"> </w:t>
      </w:r>
      <w:r w:rsidR="00872765">
        <w:t>DEO</w:t>
      </w:r>
      <w:r w:rsidR="00727934">
        <w:t>’</w:t>
      </w:r>
      <w:r w:rsidR="00872765">
        <w:t xml:space="preserve">s </w:t>
      </w:r>
      <w:r>
        <w:t>acquisition</w:t>
      </w:r>
      <w:r w:rsidRPr="002F6099">
        <w:t xml:space="preserve"> notice states that</w:t>
      </w:r>
      <w:r w:rsidR="0036649D">
        <w:t xml:space="preserve"> “</w:t>
      </w:r>
      <w:r w:rsidRPr="002F6099">
        <w:t>Enbridge has the financial wherewithal to fund investments in system modernization and system expansion.”</w:t>
      </w:r>
      <w:r>
        <w:rPr>
          <w:rStyle w:val="FootnoteReference"/>
        </w:rPr>
        <w:footnoteReference w:id="43"/>
      </w:r>
      <w:r w:rsidRPr="002F6099">
        <w:t xml:space="preserve"> If that is true, it raises the question in the rate case of whether $4.1 billion is really needed to be collected from </w:t>
      </w:r>
      <w:r w:rsidR="00872765">
        <w:t>DEO</w:t>
      </w:r>
      <w:r w:rsidR="00872765" w:rsidRPr="002F6099">
        <w:t xml:space="preserve"> </w:t>
      </w:r>
      <w:r w:rsidRPr="002F6099">
        <w:t xml:space="preserve">consumers. Additionally, </w:t>
      </w:r>
      <w:r>
        <w:t>if the acquisition is approved</w:t>
      </w:r>
      <w:r w:rsidRPr="002F6099">
        <w:t>, Enbridge, not Dominion</w:t>
      </w:r>
      <w:r>
        <w:t xml:space="preserve"> Energy</w:t>
      </w:r>
      <w:r w:rsidRPr="002F6099">
        <w:t xml:space="preserve">, will determine the deployment of capital. This fundamental shift in control could mean that </w:t>
      </w:r>
      <w:r w:rsidR="00872765">
        <w:t>DEO</w:t>
      </w:r>
      <w:r w:rsidR="00727934">
        <w:t>’</w:t>
      </w:r>
      <w:r w:rsidR="00872765">
        <w:t>s</w:t>
      </w:r>
      <w:r w:rsidR="00872765" w:rsidRPr="002F6099">
        <w:t xml:space="preserve"> </w:t>
      </w:r>
      <w:r w:rsidRPr="002F6099">
        <w:t>currently proposed test year investment and expenditures may not reflect Enbridge</w:t>
      </w:r>
      <w:r w:rsidR="00727934">
        <w:t>’</w:t>
      </w:r>
      <w:r w:rsidRPr="002F6099">
        <w:t xml:space="preserve">s priorities and actual capital needs. So again, rates could be set in this proceeding that may not be reflective of or </w:t>
      </w:r>
      <w:r w:rsidRPr="002F6099">
        <w:t>representative of what is to occur post-</w:t>
      </w:r>
      <w:r>
        <w:t>acquisition</w:t>
      </w:r>
      <w:r w:rsidRPr="002F6099">
        <w:t>.</w:t>
      </w:r>
    </w:p>
    <w:p w14:paraId="31CAFE9E" w14:textId="50DFDF09" w:rsidR="00C76E28" w:rsidRDefault="00B26A4A" w:rsidP="00AF1246">
      <w:pPr>
        <w:autoSpaceDE w:val="0"/>
        <w:autoSpaceDN w:val="0"/>
        <w:adjustRightInd w:val="0"/>
        <w:spacing w:line="480" w:lineRule="auto"/>
        <w:ind w:right="720" w:firstLine="720"/>
      </w:pPr>
      <w:r>
        <w:t>Consolidation is necessary for consumer protection.</w:t>
      </w:r>
      <w:r w:rsidR="00523726" w:rsidRPr="002F6099">
        <w:t xml:space="preserve"> </w:t>
      </w:r>
    </w:p>
    <w:p w14:paraId="7215BC8D" w14:textId="4C22FF6A" w:rsidR="00483A39" w:rsidRPr="0036649D" w:rsidRDefault="00B26A4A" w:rsidP="00D2651E">
      <w:pPr>
        <w:pStyle w:val="Heading4"/>
      </w:pPr>
      <w:bookmarkStart w:id="75" w:name="_Toc158281187"/>
      <w:bookmarkStart w:id="76" w:name="_Toc158281623"/>
      <w:bookmarkStart w:id="77" w:name="_Toc158299449"/>
      <w:bookmarkStart w:id="78" w:name="_Toc158299660"/>
      <w:bookmarkStart w:id="79" w:name="_Toc158299706"/>
      <w:bookmarkStart w:id="80" w:name="_Toc158299808"/>
      <w:bookmarkStart w:id="81" w:name="_Toc158301679"/>
      <w:r>
        <w:rPr>
          <w:rStyle w:val="Heading4Char"/>
          <w:b/>
          <w:bCs/>
        </w:rPr>
        <w:t>a</w:t>
      </w:r>
      <w:r w:rsidR="00D2651E">
        <w:rPr>
          <w:rStyle w:val="Heading4Char"/>
          <w:b/>
          <w:bCs/>
        </w:rPr>
        <w:t>.</w:t>
      </w:r>
      <w:r w:rsidR="00D2651E">
        <w:rPr>
          <w:rStyle w:val="Heading4Char"/>
          <w:b/>
          <w:bCs/>
        </w:rPr>
        <w:tab/>
      </w:r>
      <w:r w:rsidR="0036649D" w:rsidRPr="0036649D">
        <w:t>D</w:t>
      </w:r>
      <w:r w:rsidR="0036649D">
        <w:t>EO</w:t>
      </w:r>
      <w:r w:rsidR="0036649D" w:rsidRPr="0036649D">
        <w:t xml:space="preserve">’s claim that consolidation of these matters will jeopardize a </w:t>
      </w:r>
      <w:r w:rsidR="0036649D">
        <w:t>M</w:t>
      </w:r>
      <w:r w:rsidR="0036649D" w:rsidRPr="0036649D">
        <w:t xml:space="preserve">arch 1, 2024 closing date of the proposed acquisition is merely a scheme to push the </w:t>
      </w:r>
      <w:r w:rsidR="0036649D">
        <w:t>C</w:t>
      </w:r>
      <w:r w:rsidR="0036649D" w:rsidRPr="0036649D">
        <w:t xml:space="preserve">ommission to fast track a transaction which will directly affect over 1.1 million residential consumers in </w:t>
      </w:r>
      <w:r w:rsidR="0036649D">
        <w:t>O</w:t>
      </w:r>
      <w:r w:rsidR="0036649D" w:rsidRPr="0036649D">
        <w:t>hio.</w:t>
      </w:r>
      <w:bookmarkEnd w:id="75"/>
      <w:bookmarkEnd w:id="76"/>
      <w:bookmarkEnd w:id="77"/>
      <w:bookmarkEnd w:id="78"/>
      <w:bookmarkEnd w:id="79"/>
      <w:bookmarkEnd w:id="80"/>
      <w:bookmarkEnd w:id="81"/>
    </w:p>
    <w:p w14:paraId="3E70EF96" w14:textId="6D058A1E" w:rsidR="00684D2E" w:rsidRDefault="00B26A4A" w:rsidP="00AF1246">
      <w:pPr>
        <w:spacing w:line="480" w:lineRule="auto"/>
        <w:ind w:right="720" w:firstLine="360"/>
      </w:pPr>
      <w:r>
        <w:t xml:space="preserve">In its Memorandum Contra, </w:t>
      </w:r>
      <w:r w:rsidR="00872765">
        <w:t>DEO</w:t>
      </w:r>
      <w:r>
        <w:t xml:space="preserve"> repeatedly claims that the proposed acquisition will not close on March 1, 2024, if the PUCO grants OCC</w:t>
      </w:r>
      <w:r w:rsidR="00727934">
        <w:t>’</w:t>
      </w:r>
      <w:r>
        <w:t>s Motion to Consolidate.</w:t>
      </w:r>
      <w:r>
        <w:rPr>
          <w:rStyle w:val="FootnoteReference"/>
        </w:rPr>
        <w:footnoteReference w:id="44"/>
      </w:r>
      <w:r>
        <w:t xml:space="preserve"> </w:t>
      </w:r>
      <w:r w:rsidR="008C3C42">
        <w:t>T</w:t>
      </w:r>
      <w:r w:rsidR="008C3C42" w:rsidRPr="00212602">
        <w:t xml:space="preserve">he </w:t>
      </w:r>
      <w:r w:rsidR="005B1EC3">
        <w:t>PUCO</w:t>
      </w:r>
      <w:r w:rsidR="005B1EC3" w:rsidRPr="00212602">
        <w:t xml:space="preserve"> </w:t>
      </w:r>
      <w:r w:rsidR="008C3C42" w:rsidRPr="00212602">
        <w:t xml:space="preserve">should not be pressured by the Applicants to </w:t>
      </w:r>
      <w:r w:rsidR="00B00400">
        <w:t>act</w:t>
      </w:r>
      <w:r w:rsidR="008C3C42" w:rsidRPr="00212602">
        <w:t xml:space="preserve"> by March 1, 2024.</w:t>
      </w:r>
      <w:r w:rsidR="008C3C42">
        <w:t xml:space="preserve"> </w:t>
      </w:r>
    </w:p>
    <w:p w14:paraId="688AA0D6" w14:textId="31830895" w:rsidR="00684D2E" w:rsidRDefault="00B26A4A" w:rsidP="00AF1246">
      <w:pPr>
        <w:spacing w:line="480" w:lineRule="auto"/>
        <w:ind w:right="720" w:firstLine="360"/>
      </w:pPr>
      <w:r>
        <w:t xml:space="preserve">None of the other regulators are rushing their decision-making process. </w:t>
      </w:r>
      <w:r w:rsidR="005B1EC3">
        <w:t>N</w:t>
      </w:r>
      <w:r>
        <w:t xml:space="preserve">either </w:t>
      </w:r>
      <w:r w:rsidR="00C36552">
        <w:t>DEO</w:t>
      </w:r>
      <w:r>
        <w:t xml:space="preserve"> or Enbridge has provided the </w:t>
      </w:r>
      <w:r w:rsidR="005B1EC3">
        <w:t xml:space="preserve">PUCO </w:t>
      </w:r>
      <w:r>
        <w:t xml:space="preserve">any evidence or testimony to support the idea that a </w:t>
      </w:r>
      <w:r>
        <w:lastRenderedPageBreak/>
        <w:t xml:space="preserve">March 1, 2024 closing date is even contemplated in the purchase agreement, let alone realistic given the regulatory action happening in four other states and at the federal level. </w:t>
      </w:r>
    </w:p>
    <w:p w14:paraId="14F9D07F" w14:textId="550C63F1" w:rsidR="00684D2E" w:rsidRDefault="00B26A4A" w:rsidP="00BF751E">
      <w:pPr>
        <w:spacing w:line="480" w:lineRule="auto"/>
        <w:ind w:right="720" w:firstLine="720"/>
      </w:pPr>
      <w:r>
        <w:t xml:space="preserve">The </w:t>
      </w:r>
      <w:r w:rsidR="00921582">
        <w:t xml:space="preserve">PUCO </w:t>
      </w:r>
      <w:r>
        <w:t xml:space="preserve">cannot make an informed decision on the appropriateness of the subject acquisition and its effects on </w:t>
      </w:r>
      <w:r w:rsidR="00872765">
        <w:t>DEO</w:t>
      </w:r>
      <w:r w:rsidR="00727934">
        <w:t>’</w:t>
      </w:r>
      <w:r>
        <w:t>s pending rate case without evidentiary support.</w:t>
      </w:r>
      <w:r>
        <w:rPr>
          <w:rStyle w:val="FootnoteReference"/>
        </w:rPr>
        <w:footnoteReference w:id="45"/>
      </w:r>
      <w:r>
        <w:t xml:space="preserve"> Thus,</w:t>
      </w:r>
      <w:r w:rsidRPr="008F3F2F">
        <w:t xml:space="preserve"> </w:t>
      </w:r>
      <w:r>
        <w:t xml:space="preserve">a </w:t>
      </w:r>
      <w:r w:rsidRPr="008F3F2F">
        <w:t xml:space="preserve">procedural schedule </w:t>
      </w:r>
      <w:r>
        <w:t xml:space="preserve">should be established </w:t>
      </w:r>
      <w:r w:rsidRPr="008F3F2F">
        <w:t>that allows for appropriate due process by</w:t>
      </w:r>
      <w:r>
        <w:t xml:space="preserve"> consolidating these matters,</w:t>
      </w:r>
      <w:r w:rsidRPr="008F3F2F">
        <w:t xml:space="preserve"> allowing discovery to be conducted as required by R.C. 4903.082,</w:t>
      </w:r>
      <w:r>
        <w:rPr>
          <w:vertAlign w:val="superscript"/>
        </w:rPr>
        <w:footnoteReference w:id="46"/>
      </w:r>
      <w:r w:rsidRPr="008F3F2F">
        <w:t xml:space="preserve"> testimony to be filed, and a public hearing to be held to develop a complete record that will assist the PUCO in a full and fair consideration of the </w:t>
      </w:r>
      <w:r>
        <w:t xml:space="preserve">Joint </w:t>
      </w:r>
      <w:r w:rsidRPr="008F3F2F">
        <w:t>Application</w:t>
      </w:r>
      <w:r>
        <w:rPr>
          <w:vertAlign w:val="superscript"/>
        </w:rPr>
        <w:footnoteReference w:id="47"/>
      </w:r>
      <w:r>
        <w:t xml:space="preserve"> and its effect on the reliability of the test year and date certain in this matter. </w:t>
      </w:r>
    </w:p>
    <w:p w14:paraId="53E6C684" w14:textId="3453EDC0" w:rsidR="008C3C42" w:rsidRDefault="00B26A4A" w:rsidP="00BF751E">
      <w:pPr>
        <w:spacing w:line="480" w:lineRule="auto"/>
        <w:ind w:right="720" w:firstLine="720"/>
      </w:pPr>
      <w:r>
        <w:t>The review of Enbridge</w:t>
      </w:r>
      <w:r w:rsidR="00727934">
        <w:t>’</w:t>
      </w:r>
      <w:r>
        <w:t xml:space="preserve">s $14 billion acquisition and its effect on the rates </w:t>
      </w:r>
      <w:r w:rsidR="00872765">
        <w:t>DEO</w:t>
      </w:r>
      <w:r>
        <w:t xml:space="preserve"> seeks to charge its Ohio consumers requires full and complete hearings.</w:t>
      </w:r>
      <w:r w:rsidR="00B176F5">
        <w:t xml:space="preserve"> </w:t>
      </w:r>
      <w:r>
        <w:t>Anything less than a full analysis of this transaction and its effect on the pending rate case subjects Ohio</w:t>
      </w:r>
      <w:r w:rsidR="00727934">
        <w:t>’</w:t>
      </w:r>
      <w:r>
        <w:t xml:space="preserve">s residential consumers to potentially unreasonably and inappropriate rates at the hands of a </w:t>
      </w:r>
      <w:r w:rsidR="00A94564">
        <w:t>multibillion-dollar</w:t>
      </w:r>
      <w:r>
        <w:t xml:space="preserve"> foreign corporation.</w:t>
      </w:r>
    </w:p>
    <w:p w14:paraId="531A98FC" w14:textId="77777777" w:rsidR="006557E1" w:rsidRPr="009B47D9" w:rsidRDefault="00B26A4A" w:rsidP="00AF1246">
      <w:pPr>
        <w:pStyle w:val="Heading1"/>
        <w:ind w:right="720"/>
      </w:pPr>
      <w:bookmarkStart w:id="82" w:name="_Toc158035615"/>
      <w:bookmarkStart w:id="83" w:name="_Toc158279170"/>
      <w:bookmarkStart w:id="84" w:name="_Toc158281188"/>
      <w:bookmarkStart w:id="85" w:name="_Toc158281624"/>
      <w:bookmarkStart w:id="86" w:name="_Toc158299450"/>
      <w:bookmarkStart w:id="87" w:name="_Toc158299661"/>
      <w:bookmarkStart w:id="88" w:name="_Toc158299707"/>
      <w:bookmarkStart w:id="89" w:name="_Toc158299809"/>
      <w:bookmarkStart w:id="90" w:name="_Toc158301680"/>
      <w:r w:rsidRPr="009B47D9">
        <w:t>III.</w:t>
      </w:r>
      <w:r w:rsidRPr="009B47D9">
        <w:tab/>
      </w:r>
      <w:bookmarkStart w:id="91" w:name="_Toc93504276"/>
      <w:r w:rsidRPr="009B47D9">
        <w:t>CONCLUSION</w:t>
      </w:r>
      <w:bookmarkEnd w:id="82"/>
      <w:bookmarkEnd w:id="83"/>
      <w:bookmarkEnd w:id="91"/>
      <w:bookmarkEnd w:id="84"/>
      <w:bookmarkEnd w:id="85"/>
      <w:bookmarkEnd w:id="86"/>
      <w:bookmarkEnd w:id="87"/>
      <w:bookmarkEnd w:id="88"/>
      <w:bookmarkEnd w:id="89"/>
      <w:bookmarkEnd w:id="90"/>
    </w:p>
    <w:p w14:paraId="3E6BDDEE" w14:textId="77777777" w:rsidR="006557E1" w:rsidRPr="00B96525" w:rsidRDefault="006557E1" w:rsidP="00AF1246">
      <w:pPr>
        <w:ind w:right="720"/>
      </w:pPr>
    </w:p>
    <w:p w14:paraId="1AF12453" w14:textId="4C2C029E" w:rsidR="009A638A" w:rsidRDefault="00B26A4A" w:rsidP="009A638A">
      <w:pPr>
        <w:spacing w:line="480" w:lineRule="auto"/>
        <w:ind w:right="720" w:firstLine="720"/>
        <w:rPr>
          <w:color w:val="000000" w:themeColor="text1"/>
        </w:rPr>
      </w:pPr>
      <w:r w:rsidRPr="00D1690D">
        <w:rPr>
          <w:color w:val="000000" w:themeColor="text1"/>
        </w:rPr>
        <w:t xml:space="preserve">The PUCO should </w:t>
      </w:r>
      <w:r>
        <w:rPr>
          <w:color w:val="000000" w:themeColor="text1"/>
        </w:rPr>
        <w:t xml:space="preserve">review </w:t>
      </w:r>
      <w:r w:rsidR="00697D92">
        <w:rPr>
          <w:color w:val="000000" w:themeColor="text1"/>
        </w:rPr>
        <w:t xml:space="preserve">in a consolidated case </w:t>
      </w:r>
      <w:r w:rsidR="00872765">
        <w:rPr>
          <w:color w:val="000000" w:themeColor="text1"/>
        </w:rPr>
        <w:t>DEO</w:t>
      </w:r>
      <w:r w:rsidR="00727934">
        <w:rPr>
          <w:color w:val="000000" w:themeColor="text1"/>
        </w:rPr>
        <w:t>’</w:t>
      </w:r>
      <w:r w:rsidR="00697D92">
        <w:rPr>
          <w:color w:val="000000" w:themeColor="text1"/>
        </w:rPr>
        <w:t>s request to increase consumers</w:t>
      </w:r>
      <w:r w:rsidR="00727934">
        <w:rPr>
          <w:color w:val="000000" w:themeColor="text1"/>
        </w:rPr>
        <w:t>’</w:t>
      </w:r>
      <w:r w:rsidR="00697D92">
        <w:rPr>
          <w:color w:val="000000" w:themeColor="text1"/>
        </w:rPr>
        <w:t xml:space="preserve"> rates</w:t>
      </w:r>
      <w:r w:rsidR="00AF035B">
        <w:rPr>
          <w:color w:val="000000" w:themeColor="text1"/>
        </w:rPr>
        <w:t xml:space="preserve"> and </w:t>
      </w:r>
      <w:r w:rsidR="00684D2E">
        <w:rPr>
          <w:color w:val="000000" w:themeColor="text1"/>
        </w:rPr>
        <w:t xml:space="preserve">the </w:t>
      </w:r>
      <w:r w:rsidR="00AF035B">
        <w:rPr>
          <w:color w:val="000000" w:themeColor="text1"/>
        </w:rPr>
        <w:t xml:space="preserve">proposed </w:t>
      </w:r>
      <w:r>
        <w:rPr>
          <w:color w:val="000000" w:themeColor="text1"/>
        </w:rPr>
        <w:t>acquisition</w:t>
      </w:r>
      <w:r w:rsidR="00697D92">
        <w:rPr>
          <w:color w:val="000000" w:themeColor="text1"/>
        </w:rPr>
        <w:t>.</w:t>
      </w:r>
      <w:r w:rsidR="00AF035B">
        <w:rPr>
          <w:color w:val="000000" w:themeColor="text1"/>
        </w:rPr>
        <w:t xml:space="preserve"> </w:t>
      </w:r>
      <w:r w:rsidR="00697D92">
        <w:rPr>
          <w:color w:val="000000" w:themeColor="text1"/>
        </w:rPr>
        <w:t xml:space="preserve">Consolidation will facilitate </w:t>
      </w:r>
      <w:r>
        <w:rPr>
          <w:color w:val="000000" w:themeColor="text1"/>
        </w:rPr>
        <w:t xml:space="preserve">thorough evidentiary proceedings to </w:t>
      </w:r>
      <w:r w:rsidRPr="00D1690D">
        <w:rPr>
          <w:color w:val="000000" w:themeColor="text1"/>
        </w:rPr>
        <w:t xml:space="preserve">protect </w:t>
      </w:r>
      <w:r w:rsidR="00872765">
        <w:rPr>
          <w:color w:val="000000" w:themeColor="text1"/>
        </w:rPr>
        <w:t>DEO</w:t>
      </w:r>
      <w:r w:rsidR="00727934">
        <w:rPr>
          <w:color w:val="000000" w:themeColor="text1"/>
        </w:rPr>
        <w:t>’</w:t>
      </w:r>
      <w:r>
        <w:rPr>
          <w:color w:val="000000" w:themeColor="text1"/>
        </w:rPr>
        <w:t>s</w:t>
      </w:r>
      <w:r w:rsidRPr="00D1690D">
        <w:rPr>
          <w:color w:val="000000" w:themeColor="text1"/>
        </w:rPr>
        <w:t xml:space="preserve"> </w:t>
      </w:r>
      <w:r>
        <w:rPr>
          <w:color w:val="000000" w:themeColor="text1"/>
        </w:rPr>
        <w:t xml:space="preserve">1.1 million </w:t>
      </w:r>
      <w:r w:rsidRPr="00D1690D">
        <w:rPr>
          <w:color w:val="000000" w:themeColor="text1"/>
        </w:rPr>
        <w:t>residential consumers</w:t>
      </w:r>
      <w:r>
        <w:rPr>
          <w:color w:val="000000" w:themeColor="text1"/>
        </w:rPr>
        <w:t xml:space="preserve"> from harmful </w:t>
      </w:r>
      <w:r>
        <w:rPr>
          <w:color w:val="000000" w:themeColor="text1"/>
        </w:rPr>
        <w:lastRenderedPageBreak/>
        <w:t>impacts, guarantee that Ohioans are prioritized after Enbridge</w:t>
      </w:r>
      <w:r w:rsidR="00727934">
        <w:rPr>
          <w:color w:val="000000" w:themeColor="text1"/>
        </w:rPr>
        <w:t>’</w:t>
      </w:r>
      <w:r>
        <w:rPr>
          <w:color w:val="000000" w:themeColor="text1"/>
        </w:rPr>
        <w:t>s $14 billion multi-state acquisition</w:t>
      </w:r>
      <w:r w:rsidR="00B00400">
        <w:rPr>
          <w:color w:val="000000" w:themeColor="text1"/>
        </w:rPr>
        <w:t>,</w:t>
      </w:r>
      <w:r>
        <w:rPr>
          <w:color w:val="000000" w:themeColor="text1"/>
        </w:rPr>
        <w:t xml:space="preserve"> and guarantee that the merger is reflected in future rates imposed on consumers. </w:t>
      </w:r>
      <w:bookmarkStart w:id="92" w:name="_Hlk158034846"/>
    </w:p>
    <w:p w14:paraId="5D35F8A8" w14:textId="77777777" w:rsidR="00277E55" w:rsidRDefault="00B26A4A">
      <w:pPr>
        <w:spacing w:after="160" w:line="259" w:lineRule="auto"/>
      </w:pPr>
      <w:r>
        <w:br w:type="page"/>
      </w:r>
    </w:p>
    <w:p w14:paraId="34415624" w14:textId="3368F96F" w:rsidR="006557E1" w:rsidRDefault="00B26A4A" w:rsidP="009A638A">
      <w:pPr>
        <w:spacing w:line="480" w:lineRule="auto"/>
        <w:ind w:left="3600" w:right="720" w:firstLine="720"/>
      </w:pPr>
      <w:r w:rsidRPr="00BD21FE">
        <w:lastRenderedPageBreak/>
        <w:t>Respectfully submitted,</w:t>
      </w:r>
    </w:p>
    <w:p w14:paraId="060DCAE3" w14:textId="77777777" w:rsidR="00BF751E" w:rsidRDefault="00BF751E" w:rsidP="00AF1246">
      <w:pPr>
        <w:ind w:left="3600" w:right="720" w:firstLine="720"/>
      </w:pPr>
    </w:p>
    <w:p w14:paraId="1EAFEE84" w14:textId="77777777" w:rsidR="00BF751E" w:rsidRPr="00BD21FE" w:rsidRDefault="00B26A4A" w:rsidP="00BF751E">
      <w:pPr>
        <w:widowControl w:val="0"/>
        <w:ind w:left="3600" w:right="720" w:firstLine="720"/>
      </w:pPr>
      <w:r w:rsidRPr="00BD21FE">
        <w:t>Maureen R. Willis (0020847)</w:t>
      </w:r>
    </w:p>
    <w:p w14:paraId="5E5E0715" w14:textId="28DBF69E" w:rsidR="00BF751E" w:rsidRPr="00BD21FE" w:rsidRDefault="00B26A4A" w:rsidP="00BF751E">
      <w:pPr>
        <w:tabs>
          <w:tab w:val="left" w:pos="4320"/>
        </w:tabs>
        <w:ind w:right="720"/>
      </w:pPr>
      <w:r w:rsidRPr="00BD21FE">
        <w:tab/>
        <w:t>Ohio Consumers</w:t>
      </w:r>
      <w:r w:rsidR="00727934">
        <w:t>’</w:t>
      </w:r>
      <w:r w:rsidRPr="00BD21FE">
        <w:t xml:space="preserve"> Counsel</w:t>
      </w:r>
    </w:p>
    <w:p w14:paraId="58429542" w14:textId="77777777" w:rsidR="00BF751E" w:rsidRPr="00BD21FE" w:rsidRDefault="00B26A4A" w:rsidP="00BF751E">
      <w:pPr>
        <w:tabs>
          <w:tab w:val="left" w:pos="4320"/>
        </w:tabs>
        <w:ind w:right="720"/>
      </w:pPr>
      <w:r w:rsidRPr="00BD21FE">
        <w:tab/>
      </w:r>
    </w:p>
    <w:p w14:paraId="0F90E0FE" w14:textId="32AA8C7F" w:rsidR="00BF751E" w:rsidRPr="00BF751E" w:rsidRDefault="00B26A4A" w:rsidP="00BF751E">
      <w:pPr>
        <w:tabs>
          <w:tab w:val="left" w:pos="4320"/>
        </w:tabs>
        <w:ind w:right="720"/>
        <w:rPr>
          <w:i/>
          <w:iCs/>
          <w:u w:val="single"/>
        </w:rPr>
      </w:pPr>
      <w:r w:rsidRPr="00BD21FE">
        <w:tab/>
      </w:r>
      <w:r>
        <w:rPr>
          <w:i/>
          <w:iCs/>
          <w:u w:val="single"/>
        </w:rPr>
        <w:t>/s/ Robert Eubanks</w:t>
      </w:r>
      <w:r>
        <w:rPr>
          <w:i/>
          <w:iCs/>
          <w:u w:val="single"/>
        </w:rPr>
        <w:tab/>
      </w:r>
      <w:r>
        <w:rPr>
          <w:i/>
          <w:iCs/>
          <w:u w:val="single"/>
        </w:rPr>
        <w:tab/>
      </w:r>
    </w:p>
    <w:p w14:paraId="0D64DCA5" w14:textId="44142F5D" w:rsidR="00BF751E" w:rsidRPr="00BD21FE" w:rsidRDefault="00B26A4A" w:rsidP="00BF751E">
      <w:pPr>
        <w:tabs>
          <w:tab w:val="left" w:pos="4320"/>
        </w:tabs>
        <w:ind w:right="720"/>
      </w:pPr>
      <w:r>
        <w:tab/>
      </w:r>
      <w:r w:rsidRPr="00BD21FE">
        <w:t>Robert Eubanks (0073386)</w:t>
      </w:r>
    </w:p>
    <w:p w14:paraId="71716D58" w14:textId="77777777" w:rsidR="00BF751E" w:rsidRDefault="00B26A4A" w:rsidP="00BF751E">
      <w:pPr>
        <w:tabs>
          <w:tab w:val="left" w:pos="4320"/>
        </w:tabs>
        <w:ind w:right="720" w:firstLine="4320"/>
      </w:pPr>
      <w:r w:rsidRPr="00BD21FE">
        <w:t>Counsel of Record</w:t>
      </w:r>
    </w:p>
    <w:p w14:paraId="277CCD25" w14:textId="77777777" w:rsidR="00BF751E" w:rsidRDefault="00B26A4A" w:rsidP="00BF751E">
      <w:pPr>
        <w:tabs>
          <w:tab w:val="left" w:pos="4320"/>
        </w:tabs>
        <w:ind w:right="720"/>
      </w:pPr>
      <w:r>
        <w:tab/>
        <w:t>William J. Michael (0070921)</w:t>
      </w:r>
    </w:p>
    <w:p w14:paraId="79D6C7CC" w14:textId="77777777" w:rsidR="00BF751E" w:rsidRPr="00BD21FE" w:rsidRDefault="00B26A4A" w:rsidP="00BF751E">
      <w:pPr>
        <w:tabs>
          <w:tab w:val="left" w:pos="4320"/>
        </w:tabs>
        <w:ind w:right="720" w:firstLine="4320"/>
      </w:pPr>
      <w:r>
        <w:t xml:space="preserve">Co-Counsel of </w:t>
      </w:r>
      <w:r>
        <w:t>Record</w:t>
      </w:r>
    </w:p>
    <w:p w14:paraId="3FBBE8A0" w14:textId="77777777" w:rsidR="00BF751E" w:rsidRDefault="00B26A4A" w:rsidP="00BF751E">
      <w:pPr>
        <w:tabs>
          <w:tab w:val="left" w:pos="4320"/>
        </w:tabs>
        <w:ind w:left="4320" w:right="720"/>
        <w:jc w:val="both"/>
      </w:pPr>
      <w:r w:rsidRPr="00BD21FE">
        <w:t>Donald J. Kral (0042091)</w:t>
      </w:r>
    </w:p>
    <w:p w14:paraId="26D8245C" w14:textId="77777777" w:rsidR="00BF751E" w:rsidRPr="00284608" w:rsidRDefault="00B26A4A" w:rsidP="00BF751E">
      <w:pPr>
        <w:tabs>
          <w:tab w:val="left" w:pos="4320"/>
        </w:tabs>
        <w:ind w:left="4320" w:right="-180"/>
        <w:rPr>
          <w:szCs w:val="20"/>
        </w:rPr>
      </w:pPr>
      <w:r w:rsidRPr="00284608">
        <w:rPr>
          <w:szCs w:val="20"/>
        </w:rPr>
        <w:t>Thomas J. Brodbeck (0093920)</w:t>
      </w:r>
    </w:p>
    <w:p w14:paraId="4CF795EB" w14:textId="66D105AB" w:rsidR="00BF751E" w:rsidRPr="00BD21FE" w:rsidRDefault="00B26A4A" w:rsidP="00BF751E">
      <w:pPr>
        <w:tabs>
          <w:tab w:val="left" w:pos="4320"/>
        </w:tabs>
        <w:ind w:right="720"/>
      </w:pPr>
      <w:r>
        <w:tab/>
      </w:r>
      <w:r w:rsidRPr="00BD21FE">
        <w:t>Assistant Consumers</w:t>
      </w:r>
      <w:r w:rsidR="00727934">
        <w:t>’</w:t>
      </w:r>
      <w:r w:rsidRPr="00BD21FE">
        <w:t xml:space="preserve"> Counsel</w:t>
      </w:r>
    </w:p>
    <w:p w14:paraId="513F3090" w14:textId="77777777" w:rsidR="00BF751E" w:rsidRPr="00BD21FE" w:rsidRDefault="00B26A4A" w:rsidP="00BF751E">
      <w:pPr>
        <w:keepNext/>
        <w:ind w:left="3240" w:right="720" w:firstLine="720"/>
        <w:outlineLvl w:val="0"/>
        <w:rPr>
          <w:b/>
        </w:rPr>
      </w:pPr>
      <w:r w:rsidRPr="00BD21FE">
        <w:rPr>
          <w:b/>
        </w:rPr>
        <w:tab/>
      </w:r>
    </w:p>
    <w:p w14:paraId="0036D623" w14:textId="740F2F9D" w:rsidR="00BF751E" w:rsidRPr="00A24AD2" w:rsidRDefault="00B26A4A" w:rsidP="00BF751E">
      <w:pPr>
        <w:ind w:right="720"/>
        <w:rPr>
          <w:b/>
          <w:bCs/>
        </w:rPr>
      </w:pPr>
      <w:r w:rsidRPr="00BD21FE">
        <w:tab/>
      </w:r>
      <w:r>
        <w:tab/>
      </w:r>
      <w:r>
        <w:tab/>
      </w:r>
      <w:r>
        <w:tab/>
      </w:r>
      <w:r>
        <w:tab/>
      </w:r>
      <w:r>
        <w:tab/>
      </w:r>
      <w:r w:rsidRPr="00A24AD2">
        <w:rPr>
          <w:b/>
          <w:bCs/>
        </w:rPr>
        <w:t>Office of the Ohio Consumers</w:t>
      </w:r>
      <w:r w:rsidR="00727934">
        <w:rPr>
          <w:b/>
          <w:bCs/>
        </w:rPr>
        <w:t>’</w:t>
      </w:r>
      <w:r w:rsidRPr="00A24AD2">
        <w:rPr>
          <w:b/>
          <w:bCs/>
        </w:rPr>
        <w:t xml:space="preserve"> Counsel</w:t>
      </w:r>
    </w:p>
    <w:p w14:paraId="52C1BDAD" w14:textId="77777777" w:rsidR="00BF751E" w:rsidRPr="00BD21FE" w:rsidRDefault="00B26A4A" w:rsidP="00BF751E">
      <w:pPr>
        <w:ind w:right="720"/>
      </w:pPr>
      <w:r w:rsidRPr="00BD21FE">
        <w:tab/>
      </w:r>
      <w:r>
        <w:tab/>
      </w:r>
      <w:r>
        <w:tab/>
      </w:r>
      <w:r>
        <w:tab/>
      </w:r>
      <w:r>
        <w:tab/>
      </w:r>
      <w:r>
        <w:tab/>
      </w:r>
      <w:r w:rsidRPr="00BD21FE">
        <w:t>65 East State Street, Suite 700</w:t>
      </w:r>
    </w:p>
    <w:p w14:paraId="6D968231" w14:textId="77777777" w:rsidR="00BF751E" w:rsidRPr="00BD21FE" w:rsidRDefault="00B26A4A" w:rsidP="00BF751E">
      <w:pPr>
        <w:ind w:right="720"/>
      </w:pPr>
      <w:r w:rsidRPr="00BD21FE">
        <w:tab/>
      </w:r>
      <w:r>
        <w:tab/>
      </w:r>
      <w:r>
        <w:tab/>
      </w:r>
      <w:r>
        <w:tab/>
      </w:r>
      <w:r>
        <w:tab/>
      </w:r>
      <w:r>
        <w:tab/>
      </w:r>
      <w:r w:rsidRPr="00BD21FE">
        <w:t>Columbus, Ohio 43215</w:t>
      </w:r>
    </w:p>
    <w:p w14:paraId="420D930D" w14:textId="77777777" w:rsidR="00BF751E" w:rsidRDefault="00B26A4A" w:rsidP="00BF751E">
      <w:pPr>
        <w:ind w:left="3600" w:right="720" w:firstLine="720"/>
      </w:pPr>
      <w:r w:rsidRPr="00BD21FE">
        <w:t>Telephone [Eubanks]: (614) 466-1292</w:t>
      </w:r>
    </w:p>
    <w:p w14:paraId="1DCF404D" w14:textId="77777777" w:rsidR="00BF751E" w:rsidRDefault="00B26A4A" w:rsidP="00BF751E">
      <w:pPr>
        <w:ind w:left="3600" w:right="720" w:firstLine="720"/>
      </w:pPr>
      <w:r>
        <w:t>Telephone: [Michael]: (614) 466-1291</w:t>
      </w:r>
    </w:p>
    <w:p w14:paraId="32E29700" w14:textId="77777777" w:rsidR="00BF751E" w:rsidRDefault="00B26A4A" w:rsidP="00BF751E">
      <w:pPr>
        <w:ind w:left="3600" w:right="720" w:firstLine="720"/>
      </w:pPr>
      <w:r w:rsidRPr="00BD21FE">
        <w:t>Telephone: [Kral]: (614) 466-9571</w:t>
      </w:r>
    </w:p>
    <w:p w14:paraId="39C7AA5A" w14:textId="77777777" w:rsidR="00BF751E" w:rsidRPr="00284608" w:rsidRDefault="00B26A4A" w:rsidP="00BF751E">
      <w:pPr>
        <w:suppressLineNumbers/>
        <w:ind w:left="4320"/>
        <w:rPr>
          <w:szCs w:val="20"/>
        </w:rPr>
      </w:pPr>
      <w:r w:rsidRPr="00284608">
        <w:rPr>
          <w:szCs w:val="20"/>
        </w:rPr>
        <w:t>Telephone: [Brodbeck] (614) 466-9565</w:t>
      </w:r>
    </w:p>
    <w:p w14:paraId="3BDEFFE2" w14:textId="77777777" w:rsidR="00BF751E" w:rsidRPr="00284608" w:rsidRDefault="00B26A4A" w:rsidP="00BF751E">
      <w:pPr>
        <w:ind w:right="720"/>
        <w:rPr>
          <w:color w:val="0000FF"/>
          <w:u w:val="single"/>
        </w:rPr>
      </w:pPr>
      <w:r w:rsidRPr="00BD21FE">
        <w:tab/>
      </w:r>
      <w:r w:rsidRPr="00BD21FE">
        <w:tab/>
      </w:r>
      <w:r w:rsidRPr="00BD21FE">
        <w:tab/>
      </w:r>
      <w:r w:rsidRPr="00BD21FE">
        <w:tab/>
      </w:r>
      <w:r w:rsidRPr="00BD21FE">
        <w:tab/>
      </w:r>
      <w:r w:rsidRPr="00BD21FE">
        <w:tab/>
      </w:r>
      <w:hyperlink r:id="rId17" w:history="1">
        <w:r w:rsidRPr="000C4D49">
          <w:rPr>
            <w:rStyle w:val="Hyperlink"/>
          </w:rPr>
          <w:t>robert.eubanks@occ.ohio.gov</w:t>
        </w:r>
      </w:hyperlink>
    </w:p>
    <w:p w14:paraId="750B5BFD" w14:textId="77777777" w:rsidR="00BF751E" w:rsidRPr="00BD21FE" w:rsidRDefault="00B26A4A" w:rsidP="00BF751E">
      <w:pPr>
        <w:ind w:left="3600" w:right="720" w:firstLine="720"/>
      </w:pPr>
      <w:r>
        <w:rPr>
          <w:rStyle w:val="Hyperlink"/>
        </w:rPr>
        <w:t>william.michael@occ.ohio.gov</w:t>
      </w:r>
    </w:p>
    <w:p w14:paraId="4FD4DF69" w14:textId="77777777" w:rsidR="00BF751E" w:rsidRDefault="00B26A4A" w:rsidP="00BF751E">
      <w:pPr>
        <w:ind w:left="3600" w:right="720" w:firstLine="720"/>
        <w:rPr>
          <w:rStyle w:val="Hyperlink"/>
        </w:rPr>
      </w:pPr>
      <w:hyperlink r:id="rId18" w:history="1">
        <w:r w:rsidRPr="0003645A">
          <w:rPr>
            <w:rStyle w:val="Hyperlink"/>
          </w:rPr>
          <w:t>donald.kral@occ.ohio.gov</w:t>
        </w:r>
      </w:hyperlink>
    </w:p>
    <w:p w14:paraId="348BAB91" w14:textId="77777777" w:rsidR="00BF751E" w:rsidRDefault="00B26A4A" w:rsidP="00BF751E">
      <w:pPr>
        <w:ind w:left="3600" w:right="720" w:firstLine="720"/>
        <w:rPr>
          <w:rStyle w:val="Hyperlink"/>
        </w:rPr>
      </w:pPr>
      <w:r>
        <w:rPr>
          <w:rStyle w:val="Hyperlink"/>
        </w:rPr>
        <w:t>Thomas.brodbeck@occ.ohio.gov</w:t>
      </w:r>
    </w:p>
    <w:p w14:paraId="6D41AD25" w14:textId="77777777" w:rsidR="00BF751E" w:rsidRDefault="00B26A4A" w:rsidP="00BF751E">
      <w:pPr>
        <w:ind w:right="720"/>
        <w:sectPr w:rsidR="00BF751E" w:rsidSect="00DE30C7">
          <w:footerReference w:type="default" r:id="rId19"/>
          <w:pgSz w:w="12240" w:h="15840"/>
          <w:pgMar w:top="864" w:right="1440" w:bottom="720" w:left="1440" w:header="720" w:footer="720" w:gutter="0"/>
          <w:pgNumType w:start="1"/>
          <w:cols w:space="720"/>
          <w:docGrid w:linePitch="360"/>
        </w:sectPr>
      </w:pPr>
      <w:r w:rsidRPr="00BD21FE">
        <w:tab/>
      </w:r>
      <w:r w:rsidRPr="00BD21FE">
        <w:tab/>
      </w:r>
      <w:r w:rsidRPr="00BD21FE">
        <w:tab/>
      </w:r>
      <w:r w:rsidRPr="00BD21FE">
        <w:tab/>
      </w:r>
      <w:r w:rsidRPr="00BD21FE">
        <w:tab/>
      </w:r>
      <w:r w:rsidRPr="00BD21FE">
        <w:tab/>
        <w:t>(willing to accept service by e-mail)</w:t>
      </w:r>
    </w:p>
    <w:bookmarkEnd w:id="92"/>
    <w:p w14:paraId="2D8EEBEB" w14:textId="3BF63613" w:rsidR="006557E1" w:rsidRPr="00D1690D" w:rsidRDefault="00B26A4A" w:rsidP="00C67FE6">
      <w:pPr>
        <w:spacing w:after="160" w:line="259" w:lineRule="auto"/>
        <w:ind w:right="720"/>
        <w:jc w:val="center"/>
        <w:rPr>
          <w:b/>
          <w:u w:val="single"/>
        </w:rPr>
      </w:pPr>
      <w:r w:rsidRPr="00D1690D">
        <w:rPr>
          <w:b/>
          <w:u w:val="single"/>
        </w:rPr>
        <w:lastRenderedPageBreak/>
        <w:t>CERTIFICATE OF SERVICE</w:t>
      </w:r>
    </w:p>
    <w:p w14:paraId="5EFD5409" w14:textId="39504AEB" w:rsidR="006557E1" w:rsidRPr="00D1690D" w:rsidRDefault="00B26A4A" w:rsidP="00AF1246">
      <w:pPr>
        <w:spacing w:line="480" w:lineRule="auto"/>
        <w:ind w:right="720"/>
      </w:pPr>
      <w:r w:rsidRPr="00D1690D">
        <w:tab/>
      </w:r>
      <w:r w:rsidRPr="00D1690D">
        <w:t xml:space="preserve">I hereby certify that a copy of the foregoing </w:t>
      </w:r>
      <w:r w:rsidR="0022395C">
        <w:t>Reply by the Office of the Ohio Consumers</w:t>
      </w:r>
      <w:r w:rsidR="00727934">
        <w:t>’</w:t>
      </w:r>
      <w:r w:rsidR="0022395C">
        <w:t xml:space="preserve"> Counsel </w:t>
      </w:r>
      <w:r w:rsidRPr="00D1690D">
        <w:t xml:space="preserve">has been served electronically upon those persons listed below this </w:t>
      </w:r>
      <w:r>
        <w:t>8</w:t>
      </w:r>
      <w:r w:rsidRPr="006922D6">
        <w:rPr>
          <w:vertAlign w:val="superscript"/>
        </w:rPr>
        <w:t>th</w:t>
      </w:r>
      <w:r>
        <w:t xml:space="preserve"> </w:t>
      </w:r>
      <w:r w:rsidRPr="00D1690D">
        <w:t xml:space="preserve">day of </w:t>
      </w:r>
      <w:r>
        <w:t xml:space="preserve">February </w:t>
      </w:r>
      <w:r w:rsidRPr="00D1690D">
        <w:t>202</w:t>
      </w:r>
      <w:r>
        <w:t>4</w:t>
      </w:r>
      <w:r w:rsidRPr="00D1690D">
        <w:t>.</w:t>
      </w:r>
    </w:p>
    <w:p w14:paraId="378DC9EB" w14:textId="77777777" w:rsidR="006557E1" w:rsidRPr="00D1690D" w:rsidRDefault="00B26A4A" w:rsidP="00AF1246">
      <w:pPr>
        <w:tabs>
          <w:tab w:val="left" w:pos="4320"/>
        </w:tabs>
        <w:ind w:left="4320" w:right="720"/>
        <w:rPr>
          <w:i/>
          <w:iCs/>
          <w:u w:val="single"/>
        </w:rPr>
      </w:pPr>
      <w:r w:rsidRPr="00D1690D">
        <w:rPr>
          <w:i/>
          <w:iCs/>
          <w:u w:val="single"/>
        </w:rPr>
        <w:t xml:space="preserve">/s/ </w:t>
      </w:r>
      <w:r>
        <w:rPr>
          <w:i/>
          <w:iCs/>
          <w:u w:val="single"/>
        </w:rPr>
        <w:t>Robert Eubanks</w:t>
      </w:r>
      <w:r>
        <w:rPr>
          <w:i/>
          <w:iCs/>
          <w:u w:val="single"/>
        </w:rPr>
        <w:tab/>
      </w:r>
      <w:r>
        <w:rPr>
          <w:i/>
          <w:iCs/>
          <w:u w:val="single"/>
        </w:rPr>
        <w:tab/>
        <w:t xml:space="preserve"> </w:t>
      </w:r>
    </w:p>
    <w:p w14:paraId="5587FE62" w14:textId="77777777" w:rsidR="006557E1" w:rsidRPr="00D1690D" w:rsidRDefault="00B26A4A" w:rsidP="00AF1246">
      <w:pPr>
        <w:tabs>
          <w:tab w:val="left" w:pos="4320"/>
        </w:tabs>
        <w:ind w:left="4320" w:right="720"/>
      </w:pPr>
      <w:r>
        <w:t>Robert Eubanks</w:t>
      </w:r>
    </w:p>
    <w:p w14:paraId="5D36D06A" w14:textId="17C6526F" w:rsidR="006557E1" w:rsidRPr="00D1690D" w:rsidRDefault="00B26A4A" w:rsidP="00AF1246">
      <w:pPr>
        <w:tabs>
          <w:tab w:val="left" w:pos="4320"/>
        </w:tabs>
        <w:ind w:right="720"/>
      </w:pPr>
      <w:r w:rsidRPr="00D1690D">
        <w:tab/>
        <w:t>Assistant Consumers</w:t>
      </w:r>
      <w:r w:rsidR="00727934">
        <w:t>’</w:t>
      </w:r>
      <w:r w:rsidRPr="00D1690D">
        <w:t xml:space="preserve"> Counsel</w:t>
      </w:r>
    </w:p>
    <w:p w14:paraId="1AE6520B" w14:textId="77777777" w:rsidR="006557E1" w:rsidRPr="00D1690D" w:rsidRDefault="006557E1" w:rsidP="00AF1246">
      <w:pPr>
        <w:pStyle w:val="CommentText"/>
        <w:ind w:right="720"/>
      </w:pPr>
    </w:p>
    <w:p w14:paraId="10E63A2E" w14:textId="14B17621" w:rsidR="006557E1" w:rsidRDefault="00B26A4A" w:rsidP="00AF1246">
      <w:pPr>
        <w:pStyle w:val="CommentText"/>
        <w:ind w:right="720"/>
      </w:pPr>
      <w:r w:rsidRPr="00D1690D">
        <w:t>The PUCO</w:t>
      </w:r>
      <w:r w:rsidR="00727934">
        <w:t>’</w:t>
      </w:r>
      <w:r w:rsidRPr="00D1690D">
        <w:t>s e-filing system will electronically serve notice of the filing of this document on the following parties:</w:t>
      </w:r>
    </w:p>
    <w:p w14:paraId="6B52A371" w14:textId="77777777" w:rsidR="006557E1" w:rsidRDefault="006557E1" w:rsidP="00AF1246">
      <w:pPr>
        <w:pStyle w:val="CommentText"/>
        <w:ind w:right="720"/>
      </w:pPr>
    </w:p>
    <w:p w14:paraId="5C5510BF" w14:textId="77777777" w:rsidR="006557E1" w:rsidRPr="000023DB" w:rsidRDefault="00B26A4A" w:rsidP="00AF1246">
      <w:pPr>
        <w:pStyle w:val="CommentText"/>
        <w:ind w:right="720"/>
        <w:jc w:val="center"/>
        <w:rPr>
          <w:b/>
          <w:bCs/>
          <w:u w:val="single"/>
        </w:rPr>
      </w:pPr>
      <w:r w:rsidRPr="000023DB">
        <w:rPr>
          <w:b/>
          <w:bCs/>
          <w:u w:val="single"/>
        </w:rPr>
        <w:t>SERVICE LIST</w:t>
      </w:r>
    </w:p>
    <w:p w14:paraId="58085D2C" w14:textId="77777777" w:rsidR="006557E1" w:rsidRPr="00D1690D" w:rsidRDefault="006557E1" w:rsidP="00AF1246">
      <w:pPr>
        <w:tabs>
          <w:tab w:val="left" w:pos="4320"/>
        </w:tabs>
        <w:ind w:right="720"/>
      </w:pPr>
    </w:p>
    <w:tbl>
      <w:tblPr>
        <w:tblW w:w="9360" w:type="dxa"/>
        <w:tblLayout w:type="fixed"/>
        <w:tblLook w:val="04A0" w:firstRow="1" w:lastRow="0" w:firstColumn="1" w:lastColumn="0" w:noHBand="0" w:noVBand="1"/>
      </w:tblPr>
      <w:tblGrid>
        <w:gridCol w:w="4500"/>
        <w:gridCol w:w="4860"/>
      </w:tblGrid>
      <w:tr w:rsidR="00162F74" w14:paraId="5C2F2F67" w14:textId="77777777" w:rsidTr="0096595A">
        <w:tc>
          <w:tcPr>
            <w:tcW w:w="4500" w:type="dxa"/>
            <w:shd w:val="clear" w:color="auto" w:fill="auto"/>
          </w:tcPr>
          <w:p w14:paraId="01A2059E" w14:textId="77777777" w:rsidR="001F02D8" w:rsidRPr="001F02D8" w:rsidRDefault="00B26A4A" w:rsidP="001F02D8">
            <w:pPr>
              <w:jc w:val="both"/>
            </w:pPr>
            <w:hyperlink r:id="rId20" w:history="1">
              <w:r w:rsidRPr="001F02D8">
                <w:rPr>
                  <w:color w:val="0000FF"/>
                  <w:u w:val="single"/>
                </w:rPr>
                <w:t>ashley.wnek@ohioAGO.gov</w:t>
              </w:r>
            </w:hyperlink>
          </w:p>
          <w:p w14:paraId="3FBE3073" w14:textId="77777777" w:rsidR="001F02D8" w:rsidRPr="001F02D8" w:rsidRDefault="00B26A4A" w:rsidP="001F02D8">
            <w:pPr>
              <w:jc w:val="both"/>
              <w:rPr>
                <w:color w:val="0000FF"/>
                <w:u w:val="single"/>
              </w:rPr>
            </w:pPr>
            <w:hyperlink r:id="rId21" w:history="1">
              <w:r w:rsidRPr="001F02D8">
                <w:rPr>
                  <w:color w:val="0000FF"/>
                  <w:u w:val="single"/>
                </w:rPr>
                <w:t>amy.botschnerobrien@ohioAGO.gov</w:t>
              </w:r>
            </w:hyperlink>
          </w:p>
          <w:p w14:paraId="7E559280" w14:textId="77777777" w:rsidR="001F02D8" w:rsidRPr="001F02D8" w:rsidRDefault="00B26A4A" w:rsidP="001F02D8">
            <w:pPr>
              <w:jc w:val="both"/>
              <w:rPr>
                <w:color w:val="0000FF"/>
                <w:u w:val="single"/>
              </w:rPr>
            </w:pPr>
            <w:hyperlink r:id="rId22" w:history="1">
              <w:r w:rsidRPr="001F02D8">
                <w:rPr>
                  <w:color w:val="0000FF"/>
                  <w:u w:val="single"/>
                </w:rPr>
                <w:t>david.lipthratt@puco.ohio.gov</w:t>
              </w:r>
            </w:hyperlink>
          </w:p>
          <w:p w14:paraId="33E2454B" w14:textId="77777777" w:rsidR="001F02D8" w:rsidRPr="001F02D8" w:rsidRDefault="00B26A4A" w:rsidP="001F02D8">
            <w:pPr>
              <w:jc w:val="both"/>
            </w:pPr>
            <w:r w:rsidRPr="001F02D8">
              <w:rPr>
                <w:color w:val="0000FF"/>
                <w:u w:val="single"/>
              </w:rPr>
              <w:t>christopher.healey@puco.ohio.gov</w:t>
            </w:r>
          </w:p>
          <w:p w14:paraId="0A890D6A" w14:textId="77777777" w:rsidR="001F02D8" w:rsidRPr="001F02D8" w:rsidRDefault="00B26A4A" w:rsidP="001F02D8">
            <w:pPr>
              <w:jc w:val="both"/>
            </w:pPr>
            <w:hyperlink r:id="rId23" w:history="1">
              <w:r w:rsidRPr="001F02D8">
                <w:rPr>
                  <w:color w:val="0000FF"/>
                  <w:u w:val="single"/>
                </w:rPr>
                <w:t>TGallagher@fgplaborlaw.com</w:t>
              </w:r>
            </w:hyperlink>
          </w:p>
          <w:p w14:paraId="46D453B4" w14:textId="77777777" w:rsidR="001F02D8" w:rsidRPr="001F02D8" w:rsidRDefault="00B26A4A" w:rsidP="001F02D8">
            <w:pPr>
              <w:jc w:val="both"/>
            </w:pPr>
            <w:hyperlink r:id="rId24" w:history="1">
              <w:r w:rsidRPr="001F02D8">
                <w:rPr>
                  <w:color w:val="0000FF"/>
                  <w:u w:val="single"/>
                </w:rPr>
                <w:t>mkurtz@BKLlawfirm.com</w:t>
              </w:r>
            </w:hyperlink>
          </w:p>
          <w:p w14:paraId="5A9C0312" w14:textId="77777777" w:rsidR="001F02D8" w:rsidRPr="001F02D8" w:rsidRDefault="00B26A4A" w:rsidP="001F02D8">
            <w:pPr>
              <w:jc w:val="both"/>
            </w:pPr>
            <w:hyperlink r:id="rId25" w:history="1">
              <w:r w:rsidRPr="001F02D8">
                <w:rPr>
                  <w:color w:val="0000FF"/>
                  <w:u w:val="single"/>
                </w:rPr>
                <w:t>kboehm@BKLlawfirm.com</w:t>
              </w:r>
            </w:hyperlink>
          </w:p>
          <w:p w14:paraId="2E2EABD9" w14:textId="77777777" w:rsidR="001F02D8" w:rsidRPr="001F02D8" w:rsidRDefault="00B26A4A" w:rsidP="001F02D8">
            <w:pPr>
              <w:jc w:val="both"/>
            </w:pPr>
            <w:hyperlink r:id="rId26" w:history="1">
              <w:r w:rsidRPr="001F02D8">
                <w:rPr>
                  <w:color w:val="0000FF"/>
                  <w:u w:val="single"/>
                </w:rPr>
                <w:t>jkylercohn@BKLlawfirm.com</w:t>
              </w:r>
            </w:hyperlink>
          </w:p>
          <w:p w14:paraId="4F83634C" w14:textId="77777777" w:rsidR="001F02D8" w:rsidRPr="001F02D8" w:rsidRDefault="001F02D8" w:rsidP="001F02D8">
            <w:pPr>
              <w:jc w:val="both"/>
            </w:pPr>
          </w:p>
          <w:p w14:paraId="7E852EAD" w14:textId="77777777" w:rsidR="001F02D8" w:rsidRPr="001F02D8" w:rsidRDefault="00B26A4A" w:rsidP="001F02D8">
            <w:pPr>
              <w:jc w:val="both"/>
            </w:pPr>
            <w:r w:rsidRPr="001F02D8">
              <w:t>Attorney Examiners:</w:t>
            </w:r>
          </w:p>
          <w:p w14:paraId="565C9B68" w14:textId="77777777" w:rsidR="001F02D8" w:rsidRPr="001F02D8" w:rsidRDefault="00B26A4A" w:rsidP="001F02D8">
            <w:pPr>
              <w:jc w:val="both"/>
            </w:pPr>
            <w:hyperlink r:id="rId27" w:history="1">
              <w:r w:rsidRPr="001F02D8">
                <w:rPr>
                  <w:color w:val="0000FF"/>
                  <w:u w:val="single"/>
                </w:rPr>
                <w:t>greg.price@puco.ohio.gov</w:t>
              </w:r>
            </w:hyperlink>
          </w:p>
          <w:p w14:paraId="39C2C8A9" w14:textId="77777777" w:rsidR="001F02D8" w:rsidRPr="001F02D8" w:rsidRDefault="00B26A4A" w:rsidP="001F02D8">
            <w:pPr>
              <w:jc w:val="both"/>
            </w:pPr>
            <w:hyperlink r:id="rId28" w:history="1">
              <w:r w:rsidRPr="001F02D8">
                <w:rPr>
                  <w:color w:val="0000FF"/>
                  <w:u w:val="single"/>
                </w:rPr>
                <w:t>clint.white@puco.ohio.gov</w:t>
              </w:r>
            </w:hyperlink>
          </w:p>
          <w:p w14:paraId="0098DA1C" w14:textId="77777777" w:rsidR="001F02D8" w:rsidRPr="001F02D8" w:rsidRDefault="001F02D8" w:rsidP="001F02D8">
            <w:pPr>
              <w:jc w:val="both"/>
            </w:pPr>
          </w:p>
          <w:p w14:paraId="02F40811" w14:textId="77777777" w:rsidR="001F02D8" w:rsidRPr="001F02D8" w:rsidRDefault="001F02D8" w:rsidP="001F02D8">
            <w:pPr>
              <w:jc w:val="both"/>
            </w:pPr>
          </w:p>
          <w:p w14:paraId="66E627E0" w14:textId="77777777" w:rsidR="001F02D8" w:rsidRPr="001F02D8" w:rsidRDefault="001F02D8" w:rsidP="001F02D8">
            <w:pPr>
              <w:jc w:val="both"/>
            </w:pPr>
          </w:p>
        </w:tc>
        <w:tc>
          <w:tcPr>
            <w:tcW w:w="4860" w:type="dxa"/>
            <w:shd w:val="clear" w:color="auto" w:fill="auto"/>
          </w:tcPr>
          <w:p w14:paraId="2694AE74" w14:textId="77777777" w:rsidR="001F02D8" w:rsidRPr="001F02D8" w:rsidRDefault="00B26A4A" w:rsidP="001F02D8">
            <w:pPr>
              <w:autoSpaceDE w:val="0"/>
              <w:autoSpaceDN w:val="0"/>
              <w:adjustRightInd w:val="0"/>
              <w:ind w:left="-110"/>
            </w:pPr>
            <w:hyperlink r:id="rId29" w:history="1">
              <w:r w:rsidRPr="001F02D8">
                <w:rPr>
                  <w:color w:val="0000FF"/>
                  <w:u w:val="single"/>
                </w:rPr>
                <w:t>kennedy@whitt-sturtevant.com</w:t>
              </w:r>
            </w:hyperlink>
          </w:p>
          <w:p w14:paraId="30F55CDA" w14:textId="77777777" w:rsidR="001F02D8" w:rsidRPr="001F02D8" w:rsidRDefault="00B26A4A" w:rsidP="001F02D8">
            <w:pPr>
              <w:autoSpaceDE w:val="0"/>
              <w:autoSpaceDN w:val="0"/>
              <w:adjustRightInd w:val="0"/>
              <w:ind w:left="-110"/>
              <w:rPr>
                <w:color w:val="0000FF"/>
                <w:u w:val="single"/>
              </w:rPr>
            </w:pPr>
            <w:hyperlink r:id="rId30" w:history="1">
              <w:r w:rsidRPr="001F02D8">
                <w:rPr>
                  <w:color w:val="0000FF"/>
                  <w:u w:val="single"/>
                </w:rPr>
                <w:t>Andrew.j.campbell@dominionenergy.com</w:t>
              </w:r>
            </w:hyperlink>
          </w:p>
          <w:p w14:paraId="4FF7E053" w14:textId="77777777" w:rsidR="001F02D8" w:rsidRPr="001F02D8" w:rsidRDefault="00B26A4A" w:rsidP="001F02D8">
            <w:pPr>
              <w:autoSpaceDE w:val="0"/>
              <w:autoSpaceDN w:val="0"/>
              <w:adjustRightInd w:val="0"/>
              <w:ind w:left="-110"/>
              <w:rPr>
                <w:color w:val="0000FF"/>
                <w:u w:val="single"/>
              </w:rPr>
            </w:pPr>
            <w:hyperlink r:id="rId31" w:history="1">
              <w:r w:rsidRPr="001F02D8">
                <w:rPr>
                  <w:color w:val="0000FF"/>
                  <w:u w:val="single"/>
                </w:rPr>
                <w:t>demonte@whitt-sturtevant.com</w:t>
              </w:r>
            </w:hyperlink>
          </w:p>
          <w:p w14:paraId="7365B4C7" w14:textId="77777777" w:rsidR="001F02D8" w:rsidRPr="001F02D8" w:rsidRDefault="00B26A4A" w:rsidP="001F02D8">
            <w:pPr>
              <w:autoSpaceDE w:val="0"/>
              <w:autoSpaceDN w:val="0"/>
              <w:adjustRightInd w:val="0"/>
              <w:ind w:left="-110"/>
              <w:rPr>
                <w:color w:val="0000FF"/>
                <w:szCs w:val="20"/>
                <w:u w:val="single"/>
              </w:rPr>
            </w:pPr>
            <w:r w:rsidRPr="001F02D8">
              <w:rPr>
                <w:color w:val="0000FF"/>
                <w:szCs w:val="20"/>
                <w:u w:val="single"/>
              </w:rPr>
              <w:t>sturtevant@whitt-sturtevant.com</w:t>
            </w:r>
          </w:p>
          <w:p w14:paraId="1FD53453" w14:textId="77777777" w:rsidR="001F02D8" w:rsidRPr="001F02D8" w:rsidRDefault="00B26A4A" w:rsidP="001F02D8">
            <w:pPr>
              <w:autoSpaceDE w:val="0"/>
              <w:autoSpaceDN w:val="0"/>
              <w:adjustRightInd w:val="0"/>
              <w:ind w:left="-110"/>
              <w:rPr>
                <w:color w:val="0000FF"/>
                <w:u w:val="single"/>
              </w:rPr>
            </w:pPr>
            <w:hyperlink r:id="rId32" w:history="1">
              <w:r w:rsidRPr="001F02D8">
                <w:rPr>
                  <w:color w:val="0000FF"/>
                  <w:u w:val="single"/>
                </w:rPr>
                <w:t>mbarbara@calfee.com</w:t>
              </w:r>
            </w:hyperlink>
          </w:p>
          <w:p w14:paraId="51451BB5" w14:textId="77777777" w:rsidR="001F02D8" w:rsidRPr="001F02D8" w:rsidRDefault="00B26A4A" w:rsidP="001F02D8">
            <w:pPr>
              <w:autoSpaceDE w:val="0"/>
              <w:autoSpaceDN w:val="0"/>
              <w:adjustRightInd w:val="0"/>
              <w:ind w:left="-110"/>
              <w:rPr>
                <w:color w:val="0000FF"/>
                <w:u w:val="single"/>
              </w:rPr>
            </w:pPr>
            <w:r w:rsidRPr="001F02D8">
              <w:rPr>
                <w:color w:val="0000FF"/>
                <w:u w:val="single"/>
              </w:rPr>
              <w:t>jlang@calfee.com</w:t>
            </w:r>
          </w:p>
          <w:p w14:paraId="6344DA80" w14:textId="77777777" w:rsidR="001F02D8" w:rsidRPr="001F02D8" w:rsidRDefault="00B26A4A" w:rsidP="001F02D8">
            <w:pPr>
              <w:autoSpaceDE w:val="0"/>
              <w:autoSpaceDN w:val="0"/>
              <w:adjustRightInd w:val="0"/>
              <w:ind w:left="-110"/>
              <w:rPr>
                <w:color w:val="0000FF"/>
                <w:u w:val="single"/>
              </w:rPr>
            </w:pPr>
            <w:hyperlink r:id="rId33" w:history="1">
              <w:r w:rsidRPr="001F02D8">
                <w:rPr>
                  <w:color w:val="0000FF"/>
                  <w:u w:val="single"/>
                </w:rPr>
                <w:t>dproano@bakerlaw.com</w:t>
              </w:r>
            </w:hyperlink>
          </w:p>
          <w:p w14:paraId="637F41FB" w14:textId="77777777" w:rsidR="001F02D8" w:rsidRPr="001F02D8" w:rsidRDefault="00B26A4A" w:rsidP="001F02D8">
            <w:pPr>
              <w:autoSpaceDE w:val="0"/>
              <w:autoSpaceDN w:val="0"/>
              <w:adjustRightInd w:val="0"/>
              <w:ind w:left="-110"/>
              <w:rPr>
                <w:color w:val="0000FF"/>
                <w:u w:val="single"/>
              </w:rPr>
            </w:pPr>
            <w:hyperlink r:id="rId34" w:history="1">
              <w:r w:rsidRPr="001F02D8">
                <w:rPr>
                  <w:color w:val="0000FF"/>
                  <w:u w:val="single"/>
                </w:rPr>
                <w:t>pwillison@bakerlaw.com</w:t>
              </w:r>
            </w:hyperlink>
          </w:p>
          <w:p w14:paraId="24132017" w14:textId="77777777" w:rsidR="001F02D8" w:rsidRPr="001F02D8" w:rsidRDefault="00B26A4A" w:rsidP="001F02D8">
            <w:pPr>
              <w:autoSpaceDE w:val="0"/>
              <w:autoSpaceDN w:val="0"/>
              <w:adjustRightInd w:val="0"/>
              <w:ind w:left="-110"/>
              <w:rPr>
                <w:color w:val="0000FF"/>
                <w:u w:val="single"/>
              </w:rPr>
            </w:pPr>
            <w:hyperlink r:id="rId35" w:history="1">
              <w:r w:rsidRPr="001F02D8">
                <w:rPr>
                  <w:color w:val="0000FF"/>
                  <w:u w:val="single"/>
                </w:rPr>
                <w:t>whitt@whitt-sturtevant.com</w:t>
              </w:r>
            </w:hyperlink>
          </w:p>
          <w:p w14:paraId="0CC2C709" w14:textId="77777777" w:rsidR="001F02D8" w:rsidRPr="001F02D8" w:rsidRDefault="00B26A4A" w:rsidP="001F02D8">
            <w:pPr>
              <w:autoSpaceDE w:val="0"/>
              <w:autoSpaceDN w:val="0"/>
              <w:adjustRightInd w:val="0"/>
              <w:ind w:left="-110"/>
              <w:rPr>
                <w:color w:val="0000FF"/>
                <w:u w:val="single"/>
              </w:rPr>
            </w:pPr>
            <w:hyperlink r:id="rId36" w:history="1">
              <w:r w:rsidRPr="001F02D8">
                <w:rPr>
                  <w:color w:val="0000FF"/>
                  <w:u w:val="single"/>
                </w:rPr>
                <w:t>michael.nugent@igs.com</w:t>
              </w:r>
            </w:hyperlink>
          </w:p>
          <w:p w14:paraId="275A4BFC" w14:textId="77777777" w:rsidR="001F02D8" w:rsidRPr="001F02D8" w:rsidRDefault="00B26A4A" w:rsidP="001F02D8">
            <w:pPr>
              <w:autoSpaceDE w:val="0"/>
              <w:autoSpaceDN w:val="0"/>
              <w:adjustRightInd w:val="0"/>
              <w:ind w:left="-110"/>
              <w:rPr>
                <w:color w:val="0000FF"/>
                <w:u w:val="single"/>
              </w:rPr>
            </w:pPr>
            <w:hyperlink r:id="rId37" w:history="1">
              <w:r w:rsidRPr="001F02D8">
                <w:rPr>
                  <w:color w:val="0000FF"/>
                  <w:u w:val="single"/>
                </w:rPr>
                <w:t>stacie.cathcart@igs.com</w:t>
              </w:r>
            </w:hyperlink>
          </w:p>
          <w:p w14:paraId="4E21C05D" w14:textId="77777777" w:rsidR="001F02D8" w:rsidRPr="001F02D8" w:rsidRDefault="00B26A4A" w:rsidP="001F02D8">
            <w:pPr>
              <w:autoSpaceDE w:val="0"/>
              <w:autoSpaceDN w:val="0"/>
              <w:adjustRightInd w:val="0"/>
              <w:ind w:left="-110"/>
              <w:rPr>
                <w:color w:val="0000FF"/>
                <w:szCs w:val="20"/>
                <w:u w:val="single"/>
              </w:rPr>
            </w:pPr>
            <w:hyperlink r:id="rId38" w:history="1">
              <w:r w:rsidRPr="001F02D8">
                <w:rPr>
                  <w:color w:val="0000FF"/>
                  <w:szCs w:val="20"/>
                  <w:u w:val="single"/>
                </w:rPr>
                <w:t>glpetrucci@vorys.com</w:t>
              </w:r>
            </w:hyperlink>
          </w:p>
          <w:p w14:paraId="7FDD8400" w14:textId="77777777" w:rsidR="001F02D8" w:rsidRPr="001F02D8" w:rsidRDefault="00B26A4A" w:rsidP="001F02D8">
            <w:pPr>
              <w:autoSpaceDE w:val="0"/>
              <w:autoSpaceDN w:val="0"/>
              <w:adjustRightInd w:val="0"/>
              <w:ind w:left="-110"/>
              <w:rPr>
                <w:color w:val="0000FF"/>
                <w:szCs w:val="20"/>
                <w:u w:val="single"/>
              </w:rPr>
            </w:pPr>
            <w:hyperlink r:id="rId39" w:history="1">
              <w:r w:rsidRPr="001F02D8">
                <w:rPr>
                  <w:color w:val="0000FF"/>
                  <w:szCs w:val="20"/>
                  <w:u w:val="single"/>
                </w:rPr>
                <w:t>mjsettineri@vorys.com</w:t>
              </w:r>
            </w:hyperlink>
          </w:p>
          <w:p w14:paraId="701DFA7E" w14:textId="77777777" w:rsidR="001F02D8" w:rsidRPr="001F02D8" w:rsidRDefault="00B26A4A" w:rsidP="001F02D8">
            <w:pPr>
              <w:autoSpaceDE w:val="0"/>
              <w:autoSpaceDN w:val="0"/>
              <w:adjustRightInd w:val="0"/>
              <w:ind w:left="-110"/>
              <w:rPr>
                <w:color w:val="0000FF"/>
                <w:szCs w:val="20"/>
                <w:u w:val="single"/>
              </w:rPr>
            </w:pPr>
            <w:r w:rsidRPr="001F02D8">
              <w:rPr>
                <w:color w:val="0000FF"/>
                <w:szCs w:val="20"/>
                <w:u w:val="single"/>
              </w:rPr>
              <w:t>jreckert@vorys.com</w:t>
            </w:r>
          </w:p>
          <w:p w14:paraId="491FB5C6" w14:textId="77777777" w:rsidR="001F02D8" w:rsidRPr="001F02D8" w:rsidRDefault="00B26A4A" w:rsidP="001F02D8">
            <w:pPr>
              <w:autoSpaceDE w:val="0"/>
              <w:autoSpaceDN w:val="0"/>
              <w:adjustRightInd w:val="0"/>
              <w:ind w:left="-110"/>
            </w:pPr>
            <w:hyperlink r:id="rId40" w:history="1">
              <w:r w:rsidRPr="001F02D8">
                <w:rPr>
                  <w:color w:val="0000FF"/>
                  <w:u w:val="single"/>
                </w:rPr>
                <w:t>Bojko@carpenterlipps.com</w:t>
              </w:r>
            </w:hyperlink>
          </w:p>
          <w:p w14:paraId="608D4C76" w14:textId="77777777" w:rsidR="001F02D8" w:rsidRPr="001F02D8" w:rsidRDefault="00B26A4A" w:rsidP="001F02D8">
            <w:pPr>
              <w:autoSpaceDE w:val="0"/>
              <w:autoSpaceDN w:val="0"/>
              <w:adjustRightInd w:val="0"/>
              <w:ind w:left="-110"/>
            </w:pPr>
            <w:hyperlink r:id="rId41" w:history="1">
              <w:r w:rsidRPr="001F02D8">
                <w:rPr>
                  <w:color w:val="0000FF"/>
                  <w:u w:val="single"/>
                </w:rPr>
                <w:t>Easley@carpenterlipps.com</w:t>
              </w:r>
            </w:hyperlink>
          </w:p>
          <w:p w14:paraId="27BB3B69" w14:textId="77777777" w:rsidR="001F02D8" w:rsidRPr="001F02D8" w:rsidRDefault="00B26A4A" w:rsidP="001F02D8">
            <w:pPr>
              <w:autoSpaceDE w:val="0"/>
              <w:autoSpaceDN w:val="0"/>
              <w:adjustRightInd w:val="0"/>
              <w:ind w:left="-110"/>
            </w:pPr>
            <w:hyperlink r:id="rId42" w:history="1">
              <w:r w:rsidRPr="001F02D8">
                <w:rPr>
                  <w:color w:val="0000FF"/>
                  <w:u w:val="single"/>
                </w:rPr>
                <w:t>sjagers@ohiopovertylaw.org</w:t>
              </w:r>
            </w:hyperlink>
          </w:p>
          <w:p w14:paraId="54E2FE3D" w14:textId="77777777" w:rsidR="001F02D8" w:rsidRPr="001F02D8" w:rsidRDefault="00B26A4A" w:rsidP="001F02D8">
            <w:pPr>
              <w:autoSpaceDE w:val="0"/>
              <w:autoSpaceDN w:val="0"/>
              <w:adjustRightInd w:val="0"/>
              <w:ind w:left="-110"/>
            </w:pPr>
            <w:hyperlink r:id="rId43" w:history="1">
              <w:r w:rsidRPr="001F02D8">
                <w:rPr>
                  <w:color w:val="0000FF"/>
                  <w:u w:val="single"/>
                </w:rPr>
                <w:t>smoes@lascinti.org</w:t>
              </w:r>
            </w:hyperlink>
          </w:p>
          <w:p w14:paraId="234054DC" w14:textId="77777777" w:rsidR="001F02D8" w:rsidRDefault="00B26A4A" w:rsidP="001F02D8">
            <w:pPr>
              <w:autoSpaceDE w:val="0"/>
              <w:autoSpaceDN w:val="0"/>
              <w:adjustRightInd w:val="0"/>
              <w:ind w:left="-110"/>
              <w:rPr>
                <w:color w:val="0000FF"/>
                <w:u w:val="single"/>
              </w:rPr>
            </w:pPr>
            <w:hyperlink r:id="rId44" w:history="1">
              <w:r w:rsidRPr="001F02D8">
                <w:rPr>
                  <w:color w:val="0000FF"/>
                  <w:u w:val="single"/>
                </w:rPr>
                <w:t>mcurrie@ablelaw.org</w:t>
              </w:r>
            </w:hyperlink>
          </w:p>
          <w:p w14:paraId="663E43D7" w14:textId="16E1AC30" w:rsidR="009A7761" w:rsidRPr="001F02D8" w:rsidRDefault="00B26A4A" w:rsidP="001F02D8">
            <w:pPr>
              <w:autoSpaceDE w:val="0"/>
              <w:autoSpaceDN w:val="0"/>
              <w:adjustRightInd w:val="0"/>
              <w:ind w:left="-110"/>
              <w:rPr>
                <w:color w:val="0000FF"/>
                <w:u w:val="single"/>
              </w:rPr>
            </w:pPr>
            <w:r>
              <w:rPr>
                <w:color w:val="0000FF"/>
                <w:u w:val="single"/>
              </w:rPr>
              <w:t>natalia.messenger@igs.com</w:t>
            </w:r>
          </w:p>
          <w:p w14:paraId="76044892" w14:textId="77777777" w:rsidR="001F02D8" w:rsidRPr="001F02D8" w:rsidRDefault="001F02D8" w:rsidP="001F02D8">
            <w:pPr>
              <w:autoSpaceDE w:val="0"/>
              <w:autoSpaceDN w:val="0"/>
              <w:adjustRightInd w:val="0"/>
              <w:ind w:left="-110"/>
              <w:rPr>
                <w:color w:val="0000FF"/>
                <w:u w:val="single"/>
              </w:rPr>
            </w:pPr>
          </w:p>
          <w:p w14:paraId="1D610247" w14:textId="77777777" w:rsidR="001F02D8" w:rsidRPr="001F02D8" w:rsidRDefault="001F02D8" w:rsidP="001F02D8">
            <w:pPr>
              <w:autoSpaceDE w:val="0"/>
              <w:autoSpaceDN w:val="0"/>
              <w:adjustRightInd w:val="0"/>
              <w:ind w:left="-110"/>
              <w:rPr>
                <w:color w:val="0000FF"/>
                <w:u w:val="single"/>
              </w:rPr>
            </w:pPr>
          </w:p>
          <w:p w14:paraId="2DA10D60" w14:textId="77777777" w:rsidR="001F02D8" w:rsidRPr="001F02D8" w:rsidRDefault="001F02D8" w:rsidP="001F02D8">
            <w:pPr>
              <w:autoSpaceDE w:val="0"/>
              <w:autoSpaceDN w:val="0"/>
              <w:adjustRightInd w:val="0"/>
              <w:ind w:left="-110"/>
              <w:rPr>
                <w:color w:val="0000FF"/>
                <w:u w:val="single"/>
              </w:rPr>
            </w:pPr>
          </w:p>
          <w:p w14:paraId="168ADC77" w14:textId="77777777" w:rsidR="001F02D8" w:rsidRPr="001F02D8" w:rsidRDefault="001F02D8" w:rsidP="001F02D8">
            <w:pPr>
              <w:autoSpaceDE w:val="0"/>
              <w:autoSpaceDN w:val="0"/>
              <w:adjustRightInd w:val="0"/>
              <w:ind w:left="-110"/>
            </w:pPr>
          </w:p>
          <w:p w14:paraId="68388ABC" w14:textId="77777777" w:rsidR="001F02D8" w:rsidRPr="001F02D8" w:rsidRDefault="001F02D8" w:rsidP="001F02D8">
            <w:pPr>
              <w:ind w:left="553"/>
              <w:jc w:val="both"/>
            </w:pPr>
          </w:p>
        </w:tc>
      </w:tr>
    </w:tbl>
    <w:p w14:paraId="1C8FD711" w14:textId="77777777" w:rsidR="003F7C2C" w:rsidRDefault="003F7C2C" w:rsidP="00AF1246">
      <w:pPr>
        <w:ind w:right="720"/>
      </w:pPr>
    </w:p>
    <w:sectPr w:rsidR="003F7C2C" w:rsidSect="00AD6CDE">
      <w:footerReference w:type="default" r:id="rId4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9D899" w14:textId="77777777" w:rsidR="00B26A4A" w:rsidRDefault="00B26A4A">
      <w:r>
        <w:separator/>
      </w:r>
    </w:p>
  </w:endnote>
  <w:endnote w:type="continuationSeparator" w:id="0">
    <w:p w14:paraId="0EE65581" w14:textId="77777777" w:rsidR="00B26A4A" w:rsidRDefault="00B26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5836" w14:textId="77777777" w:rsidR="0033611B" w:rsidRDefault="00336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36D12" w14:textId="77777777" w:rsidR="0033611B" w:rsidRDefault="00336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993A" w14:textId="77777777" w:rsidR="0033611B" w:rsidRDefault="003361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587652"/>
      <w:docPartObj>
        <w:docPartGallery w:val="Page Numbers (Bottom of Page)"/>
        <w:docPartUnique/>
      </w:docPartObj>
    </w:sdtPr>
    <w:sdtEndPr>
      <w:rPr>
        <w:noProof/>
      </w:rPr>
    </w:sdtEndPr>
    <w:sdtContent>
      <w:p w14:paraId="6963F013" w14:textId="42FCFAE9" w:rsidR="00AD6CDE" w:rsidRDefault="00B26A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846034"/>
      <w:docPartObj>
        <w:docPartGallery w:val="Page Numbers (Bottom of Page)"/>
        <w:docPartUnique/>
      </w:docPartObj>
    </w:sdtPr>
    <w:sdtEndPr>
      <w:rPr>
        <w:noProof/>
      </w:rPr>
    </w:sdtEndPr>
    <w:sdtContent>
      <w:p w14:paraId="4BB54824" w14:textId="231F6B42" w:rsidR="00DE30C7" w:rsidRDefault="00B26A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076029"/>
      <w:docPartObj>
        <w:docPartGallery w:val="Page Numbers (Bottom of Page)"/>
        <w:docPartUnique/>
      </w:docPartObj>
    </w:sdtPr>
    <w:sdtEndPr>
      <w:rPr>
        <w:noProof/>
      </w:rPr>
    </w:sdtEndPr>
    <w:sdtContent>
      <w:p w14:paraId="14D4474E" w14:textId="79C5F65B" w:rsidR="004A31C4" w:rsidRDefault="00B26A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0A812" w14:textId="77777777" w:rsidR="001B7293" w:rsidRDefault="00B26A4A" w:rsidP="006557E1">
      <w:r>
        <w:separator/>
      </w:r>
    </w:p>
  </w:footnote>
  <w:footnote w:type="continuationSeparator" w:id="0">
    <w:p w14:paraId="3134816D" w14:textId="77777777" w:rsidR="001B7293" w:rsidRDefault="00B26A4A" w:rsidP="006557E1">
      <w:r>
        <w:continuationSeparator/>
      </w:r>
    </w:p>
  </w:footnote>
  <w:footnote w:id="1">
    <w:p w14:paraId="4D9459FB" w14:textId="6D478EED" w:rsidR="005F29CC" w:rsidRDefault="00B26A4A">
      <w:pPr>
        <w:pStyle w:val="FootnoteText"/>
      </w:pPr>
      <w:r>
        <w:rPr>
          <w:rStyle w:val="FootnoteReference"/>
        </w:rPr>
        <w:footnoteRef/>
      </w:r>
      <w:r>
        <w:t xml:space="preserve"> </w:t>
      </w:r>
      <w:r w:rsidRPr="00206A62">
        <w:rPr>
          <w:i/>
          <w:iCs/>
        </w:rPr>
        <w:t>In the Matter of the Joint Notice of the East Ohio Gas Company d/b/a Dominion Energy Ohio and Enbridge Elephant Holdings, LLC concerning Parent Company Transaction</w:t>
      </w:r>
      <w:r>
        <w:t xml:space="preserve">, Case No. 23-0972-GA-UNC, </w:t>
      </w:r>
      <w:r w:rsidR="00206A62">
        <w:t>Joint Notice of Parent Company Transaction (Oct</w:t>
      </w:r>
      <w:r w:rsidR="00DF6FF3">
        <w:t>ober</w:t>
      </w:r>
      <w:r w:rsidR="00206A62">
        <w:t xml:space="preserve"> 20, 2023) (“Joint Notice”).</w:t>
      </w:r>
    </w:p>
  </w:footnote>
  <w:footnote w:id="2">
    <w:p w14:paraId="1C8649C0" w14:textId="3CDED810" w:rsidR="00FE09B4" w:rsidRPr="00FE09B4" w:rsidRDefault="00B26A4A">
      <w:pPr>
        <w:pStyle w:val="FootnoteText"/>
      </w:pPr>
      <w:r>
        <w:rPr>
          <w:rStyle w:val="FootnoteReference"/>
        </w:rPr>
        <w:footnoteRef/>
      </w:r>
      <w:r>
        <w:t xml:space="preserve"> </w:t>
      </w:r>
      <w:r>
        <w:rPr>
          <w:i/>
          <w:iCs/>
        </w:rPr>
        <w:t>Id.</w:t>
      </w:r>
      <w:r>
        <w:t>, Staff Comments (February 2, 2024) at 4.</w:t>
      </w:r>
    </w:p>
  </w:footnote>
  <w:footnote w:id="3">
    <w:p w14:paraId="276E47B2" w14:textId="1E7E02C4" w:rsidR="00FE09B4" w:rsidRPr="00FE09B4" w:rsidRDefault="00B26A4A">
      <w:pPr>
        <w:pStyle w:val="FootnoteText"/>
      </w:pPr>
      <w:r>
        <w:rPr>
          <w:rStyle w:val="FootnoteReference"/>
        </w:rPr>
        <w:footnoteRef/>
      </w:r>
      <w:r>
        <w:t xml:space="preserve"> </w:t>
      </w:r>
      <w:r>
        <w:rPr>
          <w:i/>
          <w:iCs/>
        </w:rPr>
        <w:t xml:space="preserve">Id. </w:t>
      </w:r>
      <w:r>
        <w:t>at 5.</w:t>
      </w:r>
    </w:p>
  </w:footnote>
  <w:footnote w:id="4">
    <w:p w14:paraId="53EB373A" w14:textId="46FB36E1" w:rsidR="006557E1" w:rsidRPr="00EE2318" w:rsidRDefault="00B26A4A" w:rsidP="006557E1">
      <w:pPr>
        <w:pStyle w:val="FootnoteText"/>
        <w:spacing w:after="120"/>
      </w:pPr>
      <w:r w:rsidRPr="00EE2318">
        <w:rPr>
          <w:rStyle w:val="FootnoteReference"/>
        </w:rPr>
        <w:footnoteRef/>
      </w:r>
      <w:r w:rsidRPr="00EE2318">
        <w:t xml:space="preserve"> </w:t>
      </w:r>
      <w:bookmarkStart w:id="28" w:name="_Hlk157987130"/>
      <w:r w:rsidRPr="00EE2318">
        <w:rPr>
          <w:i/>
          <w:iCs/>
        </w:rPr>
        <w:t>See</w:t>
      </w:r>
      <w:r w:rsidRPr="00EE2318">
        <w:t xml:space="preserve"> Sean McDonnell (September 7, 2023)</w:t>
      </w:r>
      <w:r>
        <w:t>,</w:t>
      </w:r>
      <w:r w:rsidRPr="00EE2318">
        <w:t xml:space="preserve"> </w:t>
      </w:r>
      <w:r w:rsidRPr="00EE2318">
        <w:rPr>
          <w:i/>
          <w:iCs/>
        </w:rPr>
        <w:t>The utility for 1.2 million Ohio customers was just sold: Here</w:t>
      </w:r>
      <w:r w:rsidR="00727934">
        <w:rPr>
          <w:i/>
          <w:iCs/>
        </w:rPr>
        <w:t>’</w:t>
      </w:r>
      <w:r w:rsidRPr="00EE2318">
        <w:rPr>
          <w:i/>
          <w:iCs/>
        </w:rPr>
        <w:t>s how that will affect your bill</w:t>
      </w:r>
      <w:r w:rsidRPr="00EE2318">
        <w:t xml:space="preserve">, Cleveland.com, Retrieved from </w:t>
      </w:r>
      <w:hyperlink r:id="rId1" w:history="1">
        <w:r w:rsidRPr="00EE2318">
          <w:rPr>
            <w:rStyle w:val="Hyperlink"/>
          </w:rPr>
          <w:t>https://www.cleveland.com/news/2023/09/the-utility-for-12-million-ohio-customers-was-just-sold-heres-how-that-will-affect-your-bill.html</w:t>
        </w:r>
      </w:hyperlink>
      <w:r>
        <w:t>;</w:t>
      </w:r>
      <w:r w:rsidRPr="00EE2318">
        <w:t xml:space="preserve"> </w:t>
      </w:r>
      <w:r w:rsidRPr="00EE2318">
        <w:rPr>
          <w:i/>
          <w:iCs/>
        </w:rPr>
        <w:t>See</w:t>
      </w:r>
      <w:r w:rsidRPr="00EE2318">
        <w:t xml:space="preserve"> also Enbridge Inc. (September 6, 2023), </w:t>
      </w:r>
      <w:r w:rsidRPr="00EE2318">
        <w:rPr>
          <w:i/>
          <w:iCs/>
        </w:rPr>
        <w:t>Enbridge acquires trio of U.S. companies from Dominion Energy Inc., creating North America</w:t>
      </w:r>
      <w:r w:rsidR="00727934">
        <w:rPr>
          <w:i/>
          <w:iCs/>
        </w:rPr>
        <w:t>’</w:t>
      </w:r>
      <w:r w:rsidRPr="00EE2318">
        <w:rPr>
          <w:i/>
          <w:iCs/>
        </w:rPr>
        <w:t>s largest natural gas utility franchise</w:t>
      </w:r>
      <w:r>
        <w:t>,</w:t>
      </w:r>
      <w:r w:rsidRPr="00EE2318">
        <w:t xml:space="preserve"> </w:t>
      </w:r>
      <w:hyperlink r:id="rId2" w:history="1">
        <w:r w:rsidRPr="00EE2318">
          <w:rPr>
            <w:rStyle w:val="Hyperlink"/>
          </w:rPr>
          <w:t>https://www.enbridge.com/stories/2023/september/enbridge-acquires-three-us-gas-utilities-from-dominion-energy</w:t>
        </w:r>
      </w:hyperlink>
      <w:r w:rsidRPr="00EE2318">
        <w:t xml:space="preserve">. </w:t>
      </w:r>
      <w:bookmarkStart w:id="29" w:name="_Hlk157993309"/>
      <w:r w:rsidRPr="00EE2318">
        <w:rPr>
          <w:i/>
          <w:iCs/>
        </w:rPr>
        <w:t>See also</w:t>
      </w:r>
      <w:r w:rsidRPr="00EE2318">
        <w:t xml:space="preserve"> </w:t>
      </w:r>
      <w:r w:rsidRPr="00EE2318">
        <w:rPr>
          <w:i/>
          <w:iCs/>
        </w:rPr>
        <w:t>Dominion Energy Inc. (September 5, 2023), Dominion Energy Advances Business Review, Announces Agreements to Sell Gas Distribution Companies to Enbridge</w:t>
      </w:r>
      <w:r w:rsidRPr="00EE2318">
        <w:t>,</w:t>
      </w:r>
      <w:r>
        <w:t xml:space="preserve"> </w:t>
      </w:r>
      <w:hyperlink r:id="rId3" w:history="1">
        <w:r w:rsidRPr="00161F33">
          <w:rPr>
            <w:rStyle w:val="Hyperlink"/>
          </w:rPr>
          <w:t>https://news.dominionenergy.com/2023-09-05-Dominion-Energy-Advances-Business-Review-Announces-Agreements-to-Sell-Gas-Distribution-Companies-to-Enbridge</w:t>
        </w:r>
      </w:hyperlink>
      <w:r w:rsidRPr="00EE2318">
        <w:t xml:space="preserve">. </w:t>
      </w:r>
      <w:bookmarkEnd w:id="28"/>
    </w:p>
    <w:bookmarkEnd w:id="29"/>
  </w:footnote>
  <w:footnote w:id="5">
    <w:p w14:paraId="01B28889" w14:textId="77777777" w:rsidR="006557E1" w:rsidRPr="00EE2318" w:rsidRDefault="00B26A4A" w:rsidP="006557E1">
      <w:pPr>
        <w:pStyle w:val="FootnoteText"/>
        <w:spacing w:after="120"/>
      </w:pPr>
      <w:r w:rsidRPr="00EE2318">
        <w:rPr>
          <w:rStyle w:val="FootnoteReference"/>
        </w:rPr>
        <w:footnoteRef/>
      </w:r>
      <w:r w:rsidRPr="00EE2318">
        <w:rPr>
          <w:i/>
          <w:iCs/>
        </w:rPr>
        <w:t xml:space="preserve"> Id</w:t>
      </w:r>
      <w:r w:rsidRPr="00EE2318">
        <w:t>.</w:t>
      </w:r>
    </w:p>
  </w:footnote>
  <w:footnote w:id="6">
    <w:p w14:paraId="392CA8CA" w14:textId="77777777" w:rsidR="006557E1" w:rsidRPr="003A0484" w:rsidRDefault="00B26A4A" w:rsidP="006557E1">
      <w:pPr>
        <w:pStyle w:val="FootnoteText"/>
        <w:spacing w:after="120"/>
      </w:pPr>
      <w:r w:rsidRPr="00EE2318">
        <w:rPr>
          <w:rStyle w:val="FootnoteReference"/>
        </w:rPr>
        <w:footnoteRef/>
      </w:r>
      <w:r w:rsidRPr="00EE2318">
        <w:t xml:space="preserve"> </w:t>
      </w:r>
      <w:r w:rsidRPr="00EE2318">
        <w:rPr>
          <w:i/>
          <w:iCs/>
        </w:rPr>
        <w:t>Id</w:t>
      </w:r>
      <w:r w:rsidRPr="00EE2318">
        <w:t>.</w:t>
      </w:r>
    </w:p>
  </w:footnote>
  <w:footnote w:id="7">
    <w:p w14:paraId="01542FFF" w14:textId="12951D26" w:rsidR="006557E1" w:rsidRPr="003A0484" w:rsidRDefault="00B26A4A" w:rsidP="006557E1">
      <w:pPr>
        <w:pStyle w:val="FootnoteText"/>
        <w:spacing w:after="120"/>
      </w:pPr>
      <w:r w:rsidRPr="003A0484">
        <w:rPr>
          <w:rStyle w:val="FootnoteReference"/>
        </w:rPr>
        <w:footnoteRef/>
      </w:r>
      <w:bookmarkStart w:id="30" w:name="_Hlk157611455"/>
      <w:r w:rsidRPr="003A0484">
        <w:t xml:space="preserve"> </w:t>
      </w:r>
      <w:r w:rsidRPr="003A0484">
        <w:rPr>
          <w:i/>
          <w:iCs/>
        </w:rPr>
        <w:t>In the Matter of Joint Application of Public Service Company of North Carolina, Inc. and Enbridge Parrot Holdings, LLC to Engage in a Business Combination Transaction (hereinafter</w:t>
      </w:r>
      <w:r w:rsidR="003C161B">
        <w:rPr>
          <w:i/>
          <w:iCs/>
        </w:rPr>
        <w:t xml:space="preserve"> “</w:t>
      </w:r>
      <w:r w:rsidRPr="003A0484">
        <w:rPr>
          <w:i/>
          <w:iCs/>
        </w:rPr>
        <w:t>North Carolina Proceedings”)</w:t>
      </w:r>
      <w:r w:rsidRPr="003A0484">
        <w:t xml:space="preserve">, </w:t>
      </w:r>
      <w:hyperlink r:id="rId4" w:history="1">
        <w:r w:rsidRPr="003A0484">
          <w:rPr>
            <w:rStyle w:val="Hyperlink"/>
          </w:rPr>
          <w:t>Docket No. G-5, SUB 667</w:t>
        </w:r>
      </w:hyperlink>
      <w:bookmarkEnd w:id="30"/>
      <w:r w:rsidRPr="003A0484">
        <w:t xml:space="preserve">, </w:t>
      </w:r>
      <w:bookmarkStart w:id="31" w:name="_Hlk157985947"/>
      <w:r w:rsidRPr="003A0484">
        <w:t>Joint Application (October</w:t>
      </w:r>
      <w:r>
        <w:t xml:space="preserve"> </w:t>
      </w:r>
      <w:r w:rsidRPr="003A0484">
        <w:t>20, 2023)</w:t>
      </w:r>
      <w:r>
        <w:t>.</w:t>
      </w:r>
      <w:r w:rsidRPr="003A0484">
        <w:t xml:space="preserve"> </w:t>
      </w:r>
      <w:bookmarkEnd w:id="31"/>
    </w:p>
  </w:footnote>
  <w:footnote w:id="8">
    <w:p w14:paraId="15C1EF41" w14:textId="7688446D" w:rsidR="006557E1" w:rsidRPr="003A0484" w:rsidRDefault="00B26A4A" w:rsidP="006557E1">
      <w:pPr>
        <w:pStyle w:val="FootnoteText"/>
        <w:spacing w:after="120"/>
      </w:pPr>
      <w:r w:rsidRPr="003A0484">
        <w:rPr>
          <w:rStyle w:val="FootnoteReference"/>
        </w:rPr>
        <w:footnoteRef/>
      </w:r>
      <w:r w:rsidRPr="003A0484">
        <w:t xml:space="preserve"> </w:t>
      </w:r>
      <w:r w:rsidRPr="003A0484">
        <w:rPr>
          <w:i/>
          <w:iCs/>
        </w:rPr>
        <w:t>In the Matter of the Joint Application of Questar Gas Company dba Dominion Energy Utah and Enbridge Quail Holdings, LLC for Approval of the Proposed Sale of Fall West Holdco, LLC to Enbridge Quail Holdings, LLC (hereinafter</w:t>
      </w:r>
      <w:r w:rsidR="003304AF">
        <w:rPr>
          <w:i/>
          <w:iCs/>
        </w:rPr>
        <w:t xml:space="preserve"> “</w:t>
      </w:r>
      <w:r w:rsidRPr="003A0484">
        <w:rPr>
          <w:i/>
          <w:iCs/>
        </w:rPr>
        <w:t>Utah Proceedings”)</w:t>
      </w:r>
      <w:r w:rsidRPr="003A0484">
        <w:t xml:space="preserve">, </w:t>
      </w:r>
      <w:hyperlink r:id="rId5" w:history="1">
        <w:r w:rsidRPr="003A0484">
          <w:rPr>
            <w:rStyle w:val="Hyperlink"/>
          </w:rPr>
          <w:t>Docket No. 23-057-16</w:t>
        </w:r>
      </w:hyperlink>
      <w:r w:rsidRPr="003A0484">
        <w:t xml:space="preserve">, </w:t>
      </w:r>
      <w:bookmarkStart w:id="32" w:name="_Hlk157986063"/>
      <w:r w:rsidRPr="003A0484">
        <w:t xml:space="preserve">Joint Notice and Application (October 20, </w:t>
      </w:r>
      <w:r w:rsidRPr="003A0484">
        <w:t>2023)</w:t>
      </w:r>
      <w:bookmarkEnd w:id="32"/>
      <w:r w:rsidRPr="003A0484">
        <w:t>.</w:t>
      </w:r>
    </w:p>
  </w:footnote>
  <w:footnote w:id="9">
    <w:p w14:paraId="4C044B22" w14:textId="3847C088" w:rsidR="006557E1" w:rsidRPr="003A0484" w:rsidRDefault="00B26A4A" w:rsidP="006557E1">
      <w:pPr>
        <w:pStyle w:val="FootnoteText"/>
        <w:spacing w:after="120"/>
      </w:pPr>
      <w:bookmarkStart w:id="33" w:name="_Hlk157611495"/>
      <w:r w:rsidRPr="003A0484">
        <w:rPr>
          <w:rStyle w:val="FootnoteReference"/>
        </w:rPr>
        <w:footnoteRef/>
      </w:r>
      <w:r w:rsidRPr="003A0484">
        <w:t xml:space="preserve"> </w:t>
      </w:r>
      <w:r w:rsidRPr="003A0484">
        <w:rPr>
          <w:i/>
          <w:iCs/>
        </w:rPr>
        <w:t>In the Matter of the Joint Application of Questar Gas Company dba Dominion Energy Utah, and Enbridge Quail Holdings, LLC for Approval of the Proposed Sale of Fall West Holdco, LLC to Enbridge Quail Holdings, LLC (hereinafter,</w:t>
      </w:r>
      <w:r w:rsidR="003304AF">
        <w:rPr>
          <w:i/>
          <w:iCs/>
        </w:rPr>
        <w:t xml:space="preserve"> </w:t>
      </w:r>
      <w:bookmarkStart w:id="34" w:name="_Hlk157986318"/>
      <w:r w:rsidR="003304AF">
        <w:rPr>
          <w:i/>
          <w:iCs/>
        </w:rPr>
        <w:t>“</w:t>
      </w:r>
      <w:r w:rsidRPr="003A0484">
        <w:rPr>
          <w:i/>
          <w:iCs/>
        </w:rPr>
        <w:t>Idaho Proceedings”)</w:t>
      </w:r>
      <w:r w:rsidRPr="003A0484">
        <w:t xml:space="preserve">, </w:t>
      </w:r>
      <w:bookmarkStart w:id="35" w:name="_Hlk157611932"/>
      <w:r>
        <w:fldChar w:fldCharType="begin"/>
      </w:r>
      <w:r>
        <w:instrText>HYPERLINK "https://puc.idaho.gov/Case?util=4&amp;closed=0&amp;pn=1&amp;ps=100&amp;sc=1&amp;sd=1&amp;fc=2&amp;fv=dominion"</w:instrText>
      </w:r>
      <w:r>
        <w:fldChar w:fldCharType="separate"/>
      </w:r>
      <w:r w:rsidRPr="003A0484">
        <w:rPr>
          <w:rStyle w:val="Hyperlink"/>
        </w:rPr>
        <w:t>Case No. QST-G-23-01</w:t>
      </w:r>
      <w:r>
        <w:rPr>
          <w:rStyle w:val="Hyperlink"/>
        </w:rPr>
        <w:fldChar w:fldCharType="end"/>
      </w:r>
      <w:bookmarkEnd w:id="33"/>
      <w:bookmarkEnd w:id="35"/>
      <w:r w:rsidRPr="003A0484">
        <w:t>, Joint Application for Approval of the Proposed Sale of Fall West Holdco, LLC to Enbridge Quail Holdings, LLC (October 20, 2023)</w:t>
      </w:r>
      <w:bookmarkEnd w:id="34"/>
      <w:r>
        <w:t>.</w:t>
      </w:r>
    </w:p>
  </w:footnote>
  <w:footnote w:id="10">
    <w:p w14:paraId="5BC3375F" w14:textId="67E80AAF" w:rsidR="006557E1" w:rsidRPr="001E537F" w:rsidRDefault="00B26A4A" w:rsidP="006557E1">
      <w:pPr>
        <w:pStyle w:val="FootnoteText"/>
        <w:spacing w:after="120"/>
      </w:pPr>
      <w:r>
        <w:rPr>
          <w:rStyle w:val="FootnoteReference"/>
        </w:rPr>
        <w:footnoteRef/>
      </w:r>
      <w:r>
        <w:t xml:space="preserve"> </w:t>
      </w:r>
      <w:r w:rsidRPr="001E537F">
        <w:rPr>
          <w:i/>
          <w:iCs/>
        </w:rPr>
        <w:t>I</w:t>
      </w:r>
      <w:r>
        <w:rPr>
          <w:i/>
          <w:iCs/>
        </w:rPr>
        <w:t>n</w:t>
      </w:r>
      <w:r w:rsidRPr="001E537F">
        <w:rPr>
          <w:i/>
          <w:iCs/>
        </w:rPr>
        <w:t xml:space="preserve"> T</w:t>
      </w:r>
      <w:r>
        <w:rPr>
          <w:i/>
          <w:iCs/>
        </w:rPr>
        <w:t>he</w:t>
      </w:r>
      <w:r w:rsidRPr="001E537F">
        <w:rPr>
          <w:i/>
          <w:iCs/>
        </w:rPr>
        <w:t xml:space="preserve"> M</w:t>
      </w:r>
      <w:r>
        <w:rPr>
          <w:i/>
          <w:iCs/>
        </w:rPr>
        <w:t>atter</w:t>
      </w:r>
      <w:r w:rsidRPr="001E537F">
        <w:rPr>
          <w:i/>
          <w:iCs/>
        </w:rPr>
        <w:t xml:space="preserve"> </w:t>
      </w:r>
      <w:r>
        <w:rPr>
          <w:i/>
          <w:iCs/>
        </w:rPr>
        <w:t>of the</w:t>
      </w:r>
      <w:r w:rsidRPr="001E537F">
        <w:rPr>
          <w:i/>
          <w:iCs/>
        </w:rPr>
        <w:t xml:space="preserve"> J</w:t>
      </w:r>
      <w:r>
        <w:rPr>
          <w:i/>
          <w:iCs/>
        </w:rPr>
        <w:t>oint</w:t>
      </w:r>
      <w:r w:rsidRPr="001E537F">
        <w:rPr>
          <w:i/>
          <w:iCs/>
        </w:rPr>
        <w:t xml:space="preserve"> A</w:t>
      </w:r>
      <w:r>
        <w:rPr>
          <w:i/>
          <w:iCs/>
        </w:rPr>
        <w:t>pplication of</w:t>
      </w:r>
      <w:r w:rsidRPr="001E537F">
        <w:rPr>
          <w:i/>
          <w:iCs/>
        </w:rPr>
        <w:t xml:space="preserve"> Q</w:t>
      </w:r>
      <w:r>
        <w:rPr>
          <w:i/>
          <w:iCs/>
        </w:rPr>
        <w:t>uestar</w:t>
      </w:r>
      <w:r w:rsidRPr="001E537F">
        <w:rPr>
          <w:i/>
          <w:iCs/>
        </w:rPr>
        <w:t xml:space="preserve"> G</w:t>
      </w:r>
      <w:r>
        <w:rPr>
          <w:i/>
          <w:iCs/>
        </w:rPr>
        <w:t>as</w:t>
      </w:r>
      <w:r w:rsidRPr="001E537F">
        <w:rPr>
          <w:i/>
          <w:iCs/>
        </w:rPr>
        <w:t xml:space="preserve"> C</w:t>
      </w:r>
      <w:r>
        <w:rPr>
          <w:i/>
          <w:iCs/>
        </w:rPr>
        <w:t>ompany</w:t>
      </w:r>
      <w:r w:rsidRPr="001E537F">
        <w:rPr>
          <w:i/>
          <w:iCs/>
        </w:rPr>
        <w:t xml:space="preserve"> </w:t>
      </w:r>
      <w:r>
        <w:rPr>
          <w:i/>
          <w:iCs/>
        </w:rPr>
        <w:t>dba</w:t>
      </w:r>
      <w:r w:rsidRPr="001E537F">
        <w:rPr>
          <w:i/>
          <w:iCs/>
        </w:rPr>
        <w:t xml:space="preserve"> D</w:t>
      </w:r>
      <w:r>
        <w:rPr>
          <w:i/>
          <w:iCs/>
        </w:rPr>
        <w:t>ominion</w:t>
      </w:r>
      <w:r w:rsidRPr="001E537F">
        <w:rPr>
          <w:i/>
          <w:iCs/>
        </w:rPr>
        <w:t xml:space="preserve"> E</w:t>
      </w:r>
      <w:r>
        <w:rPr>
          <w:i/>
          <w:iCs/>
        </w:rPr>
        <w:t>nergy</w:t>
      </w:r>
      <w:r w:rsidRPr="001E537F">
        <w:rPr>
          <w:i/>
          <w:iCs/>
        </w:rPr>
        <w:t xml:space="preserve"> W</w:t>
      </w:r>
      <w:r>
        <w:rPr>
          <w:i/>
          <w:iCs/>
        </w:rPr>
        <w:t>yoming</w:t>
      </w:r>
      <w:r w:rsidRPr="001E537F">
        <w:rPr>
          <w:i/>
          <w:iCs/>
        </w:rPr>
        <w:t xml:space="preserve"> </w:t>
      </w:r>
      <w:r>
        <w:rPr>
          <w:i/>
          <w:iCs/>
        </w:rPr>
        <w:t>and</w:t>
      </w:r>
      <w:r w:rsidRPr="001E537F">
        <w:rPr>
          <w:i/>
          <w:iCs/>
        </w:rPr>
        <w:t xml:space="preserve"> E</w:t>
      </w:r>
      <w:r>
        <w:rPr>
          <w:i/>
          <w:iCs/>
        </w:rPr>
        <w:t>nbridge</w:t>
      </w:r>
      <w:r w:rsidRPr="001E537F">
        <w:rPr>
          <w:i/>
          <w:iCs/>
        </w:rPr>
        <w:t xml:space="preserve"> Q</w:t>
      </w:r>
      <w:r>
        <w:rPr>
          <w:i/>
          <w:iCs/>
        </w:rPr>
        <w:t>uail</w:t>
      </w:r>
      <w:r w:rsidRPr="001E537F">
        <w:rPr>
          <w:i/>
          <w:iCs/>
        </w:rPr>
        <w:t xml:space="preserve"> H</w:t>
      </w:r>
      <w:r>
        <w:rPr>
          <w:i/>
          <w:iCs/>
        </w:rPr>
        <w:t>oldings</w:t>
      </w:r>
      <w:r w:rsidRPr="001E537F">
        <w:rPr>
          <w:i/>
          <w:iCs/>
        </w:rPr>
        <w:t xml:space="preserve">, LLC </w:t>
      </w:r>
      <w:r>
        <w:rPr>
          <w:i/>
          <w:iCs/>
        </w:rPr>
        <w:t>for</w:t>
      </w:r>
      <w:r w:rsidRPr="001E537F">
        <w:rPr>
          <w:i/>
          <w:iCs/>
        </w:rPr>
        <w:t xml:space="preserve"> A</w:t>
      </w:r>
      <w:r>
        <w:rPr>
          <w:i/>
          <w:iCs/>
        </w:rPr>
        <w:t>pproval</w:t>
      </w:r>
      <w:r w:rsidRPr="001E537F">
        <w:rPr>
          <w:i/>
          <w:iCs/>
        </w:rPr>
        <w:t xml:space="preserve"> </w:t>
      </w:r>
      <w:r>
        <w:rPr>
          <w:i/>
          <w:iCs/>
        </w:rPr>
        <w:t>of</w:t>
      </w:r>
      <w:r w:rsidRPr="001E537F">
        <w:rPr>
          <w:i/>
          <w:iCs/>
        </w:rPr>
        <w:t xml:space="preserve"> </w:t>
      </w:r>
      <w:r>
        <w:rPr>
          <w:i/>
          <w:iCs/>
        </w:rPr>
        <w:t>the</w:t>
      </w:r>
      <w:r w:rsidRPr="001E537F">
        <w:rPr>
          <w:i/>
          <w:iCs/>
        </w:rPr>
        <w:t xml:space="preserve"> P</w:t>
      </w:r>
      <w:r>
        <w:rPr>
          <w:i/>
          <w:iCs/>
        </w:rPr>
        <w:t>roposed</w:t>
      </w:r>
      <w:r w:rsidRPr="001E537F">
        <w:rPr>
          <w:i/>
          <w:iCs/>
        </w:rPr>
        <w:t xml:space="preserve"> R</w:t>
      </w:r>
      <w:r>
        <w:rPr>
          <w:i/>
          <w:iCs/>
        </w:rPr>
        <w:t>eorganization</w:t>
      </w:r>
      <w:r w:rsidRPr="001E537F">
        <w:rPr>
          <w:i/>
          <w:iCs/>
        </w:rPr>
        <w:t xml:space="preserve"> </w:t>
      </w:r>
      <w:r>
        <w:rPr>
          <w:i/>
          <w:iCs/>
        </w:rPr>
        <w:t>and</w:t>
      </w:r>
      <w:r w:rsidRPr="001E537F">
        <w:rPr>
          <w:i/>
          <w:iCs/>
        </w:rPr>
        <w:t xml:space="preserve"> S</w:t>
      </w:r>
      <w:r>
        <w:rPr>
          <w:i/>
          <w:iCs/>
        </w:rPr>
        <w:t>ale</w:t>
      </w:r>
      <w:r w:rsidRPr="001E537F">
        <w:rPr>
          <w:i/>
          <w:iCs/>
        </w:rPr>
        <w:t xml:space="preserve"> </w:t>
      </w:r>
      <w:r>
        <w:rPr>
          <w:i/>
          <w:iCs/>
        </w:rPr>
        <w:t>of</w:t>
      </w:r>
      <w:r w:rsidRPr="001E537F">
        <w:rPr>
          <w:i/>
          <w:iCs/>
        </w:rPr>
        <w:t xml:space="preserve"> F</w:t>
      </w:r>
      <w:r>
        <w:rPr>
          <w:i/>
          <w:iCs/>
        </w:rPr>
        <w:t>all</w:t>
      </w:r>
      <w:r w:rsidRPr="001E537F">
        <w:rPr>
          <w:i/>
          <w:iCs/>
        </w:rPr>
        <w:t xml:space="preserve"> W</w:t>
      </w:r>
      <w:r>
        <w:rPr>
          <w:i/>
          <w:iCs/>
        </w:rPr>
        <w:t>est</w:t>
      </w:r>
      <w:r w:rsidRPr="001E537F">
        <w:rPr>
          <w:i/>
          <w:iCs/>
        </w:rPr>
        <w:t xml:space="preserve"> H</w:t>
      </w:r>
      <w:r>
        <w:rPr>
          <w:i/>
          <w:iCs/>
        </w:rPr>
        <w:t>oldco.</w:t>
      </w:r>
      <w:r w:rsidRPr="001E537F">
        <w:rPr>
          <w:i/>
          <w:iCs/>
        </w:rPr>
        <w:t xml:space="preserve">, LLC </w:t>
      </w:r>
      <w:r>
        <w:rPr>
          <w:i/>
          <w:iCs/>
        </w:rPr>
        <w:t>to</w:t>
      </w:r>
      <w:r w:rsidRPr="001E537F">
        <w:rPr>
          <w:i/>
          <w:iCs/>
        </w:rPr>
        <w:t xml:space="preserve"> E</w:t>
      </w:r>
      <w:r>
        <w:rPr>
          <w:i/>
          <w:iCs/>
        </w:rPr>
        <w:t>nbridge</w:t>
      </w:r>
      <w:r w:rsidRPr="001E537F">
        <w:rPr>
          <w:i/>
          <w:iCs/>
        </w:rPr>
        <w:t xml:space="preserve"> Q</w:t>
      </w:r>
      <w:r>
        <w:rPr>
          <w:i/>
          <w:iCs/>
        </w:rPr>
        <w:t>uail</w:t>
      </w:r>
      <w:r w:rsidRPr="001E537F">
        <w:rPr>
          <w:i/>
          <w:iCs/>
        </w:rPr>
        <w:t xml:space="preserve"> H</w:t>
      </w:r>
      <w:r>
        <w:rPr>
          <w:i/>
          <w:iCs/>
        </w:rPr>
        <w:t>oldings</w:t>
      </w:r>
      <w:r w:rsidRPr="001E537F">
        <w:rPr>
          <w:i/>
          <w:iCs/>
        </w:rPr>
        <w:t>, LLC</w:t>
      </w:r>
      <w:r>
        <w:rPr>
          <w:i/>
          <w:iCs/>
        </w:rPr>
        <w:t xml:space="preserve"> (hereinafter,</w:t>
      </w:r>
      <w:r w:rsidR="003304AF">
        <w:rPr>
          <w:i/>
          <w:iCs/>
        </w:rPr>
        <w:t xml:space="preserve"> “</w:t>
      </w:r>
      <w:r>
        <w:rPr>
          <w:i/>
          <w:iCs/>
        </w:rPr>
        <w:t xml:space="preserve">Wyoming Proceedings”), </w:t>
      </w:r>
      <w:bookmarkStart w:id="36" w:name="_Hlk157980491"/>
      <w:r>
        <w:fldChar w:fldCharType="begin"/>
      </w:r>
      <w:r>
        <w:instrText>HYPERLINK "https://dms.wyo.gov/(S(pu1qozgjce2ygmbe2qiljd11))/ManageDocket.aspx?DocketId=gu%2bYvrE0OtKZ8IZyu3f0%2bZoAIEIW7NUeIj6TDhT%2fBFs%3d"</w:instrText>
      </w:r>
      <w:r>
        <w:fldChar w:fldCharType="separate"/>
      </w:r>
      <w:r w:rsidRPr="00FF46B7">
        <w:rPr>
          <w:rStyle w:val="Hyperlink"/>
        </w:rPr>
        <w:t>D</w:t>
      </w:r>
      <w:r>
        <w:rPr>
          <w:rStyle w:val="Hyperlink"/>
        </w:rPr>
        <w:t>ocket</w:t>
      </w:r>
      <w:r w:rsidRPr="00FF46B7">
        <w:rPr>
          <w:rStyle w:val="Hyperlink"/>
        </w:rPr>
        <w:t xml:space="preserve"> N</w:t>
      </w:r>
      <w:r>
        <w:rPr>
          <w:rStyle w:val="Hyperlink"/>
        </w:rPr>
        <w:t>o</w:t>
      </w:r>
      <w:r w:rsidRPr="00FF46B7">
        <w:rPr>
          <w:rStyle w:val="Hyperlink"/>
        </w:rPr>
        <w:t>. 30010-218-GA-23</w:t>
      </w:r>
      <w:r>
        <w:rPr>
          <w:rStyle w:val="Hyperlink"/>
        </w:rPr>
        <w:fldChar w:fldCharType="end"/>
      </w:r>
      <w:bookmarkEnd w:id="36"/>
      <w:r>
        <w:t xml:space="preserve">, </w:t>
      </w:r>
      <w:bookmarkStart w:id="37" w:name="_Hlk157986171"/>
      <w:r w:rsidRPr="00884B79">
        <w:t>DEW Enbridge WY Joint Application</w:t>
      </w:r>
      <w:r>
        <w:t xml:space="preserve"> (October 20, 20</w:t>
      </w:r>
      <w:r w:rsidRPr="00884B79">
        <w:t>23</w:t>
      </w:r>
      <w:r>
        <w:t>)</w:t>
      </w:r>
      <w:bookmarkEnd w:id="37"/>
      <w:r>
        <w:t>.</w:t>
      </w:r>
    </w:p>
  </w:footnote>
  <w:footnote w:id="11">
    <w:p w14:paraId="6B301BC3" w14:textId="6D43059E" w:rsidR="006557E1" w:rsidRPr="003A0484" w:rsidRDefault="00B26A4A" w:rsidP="006557E1">
      <w:pPr>
        <w:pStyle w:val="FootnoteText"/>
        <w:spacing w:after="120"/>
      </w:pPr>
      <w:r w:rsidRPr="003A0484">
        <w:rPr>
          <w:rStyle w:val="FootnoteReference"/>
        </w:rPr>
        <w:footnoteRef/>
      </w:r>
      <w:r w:rsidRPr="003A0484">
        <w:t xml:space="preserve"> </w:t>
      </w:r>
      <w:bookmarkStart w:id="38" w:name="_Hlk157992425"/>
      <w:bookmarkStart w:id="39" w:name="_Hlk157612378"/>
      <w:r w:rsidRPr="003A0484">
        <w:rPr>
          <w:i/>
          <w:iCs/>
        </w:rPr>
        <w:t>In the Matter of the Notice of The East Ohio Gas Company d/b/a Dominion Energy Ohio and Enbridge Elephant Holdings, LLC</w:t>
      </w:r>
      <w:r w:rsidRPr="003A0484">
        <w:t>, Case No. 23-0972-GA-UNC, Joint Notice of Parent Company Tran</w:t>
      </w:r>
      <w:r w:rsidR="00DF6FF3">
        <w:t>s</w:t>
      </w:r>
      <w:r w:rsidRPr="003A0484">
        <w:t>action (October 20, 2023).</w:t>
      </w:r>
      <w:bookmarkEnd w:id="38"/>
    </w:p>
    <w:bookmarkEnd w:id="39"/>
  </w:footnote>
  <w:footnote w:id="12">
    <w:p w14:paraId="2FA60964" w14:textId="77777777" w:rsidR="006557E1" w:rsidRPr="00EB1561" w:rsidRDefault="00B26A4A" w:rsidP="006557E1">
      <w:pPr>
        <w:pStyle w:val="FootnoteText"/>
        <w:spacing w:after="120"/>
      </w:pPr>
      <w:r w:rsidRPr="003A0484">
        <w:rPr>
          <w:rStyle w:val="FootnoteReference"/>
        </w:rPr>
        <w:footnoteRef/>
      </w:r>
      <w:r w:rsidRPr="003A0484">
        <w:t xml:space="preserve"> </w:t>
      </w:r>
      <w:r w:rsidRPr="00EB1561">
        <w:rPr>
          <w:i/>
          <w:iCs/>
        </w:rPr>
        <w:t>Dominion Energy Inc. (September 5, 2023), Dominion Energy Advances Business Review, Announces Agreements to Sell Gas Distribution Companies to Enbridge</w:t>
      </w:r>
      <w:r w:rsidRPr="00EB1561">
        <w:t xml:space="preserve">, </w:t>
      </w:r>
      <w:hyperlink r:id="rId6" w:history="1">
        <w:r w:rsidRPr="00EB1561">
          <w:rPr>
            <w:rStyle w:val="Hyperlink"/>
          </w:rPr>
          <w:t>https://news.dominionenergy.com/2023-09-05-Dominion-Energy-Advances-Business-Review-Announces-Agreements-to-Sell-Gas-Distribution-Companies-to-Enbridge</w:t>
        </w:r>
      </w:hyperlink>
      <w:r w:rsidRPr="00EB1561">
        <w:t>.</w:t>
      </w:r>
    </w:p>
  </w:footnote>
  <w:footnote w:id="13">
    <w:p w14:paraId="0FC31D6B" w14:textId="3000FB02" w:rsidR="006557E1" w:rsidRPr="00EB1561" w:rsidRDefault="00B26A4A" w:rsidP="006557E1">
      <w:pPr>
        <w:pStyle w:val="FootnoteText"/>
        <w:spacing w:after="120"/>
      </w:pPr>
      <w:r w:rsidRPr="00EB1561">
        <w:rPr>
          <w:rStyle w:val="FootnoteReference"/>
        </w:rPr>
        <w:footnoteRef/>
      </w:r>
      <w:bookmarkStart w:id="41" w:name="_Hlk157612210"/>
      <w:bookmarkStart w:id="42" w:name="_Hlk157985901"/>
      <w:r w:rsidR="004165F8">
        <w:rPr>
          <w:i/>
          <w:iCs/>
        </w:rPr>
        <w:t xml:space="preserve"> </w:t>
      </w:r>
      <w:r w:rsidRPr="00EB1561">
        <w:rPr>
          <w:i/>
          <w:iCs/>
        </w:rPr>
        <w:t>See</w:t>
      </w:r>
      <w:r w:rsidRPr="00EB1561">
        <w:t xml:space="preserve"> </w:t>
      </w:r>
      <w:r w:rsidRPr="00EB1561">
        <w:rPr>
          <w:i/>
          <w:iCs/>
        </w:rPr>
        <w:t>North Carolina Proceedings</w:t>
      </w:r>
      <w:r w:rsidRPr="00EB1561">
        <w:t xml:space="preserve">, </w:t>
      </w:r>
      <w:hyperlink r:id="rId7" w:history="1">
        <w:r w:rsidRPr="00EB1561">
          <w:rPr>
            <w:rStyle w:val="Hyperlink"/>
          </w:rPr>
          <w:t>Docket No. G-5, SUB 667</w:t>
        </w:r>
      </w:hyperlink>
      <w:r w:rsidRPr="007D3FFD">
        <w:rPr>
          <w:rStyle w:val="Hyperlink"/>
        </w:rPr>
        <w:t>,</w:t>
      </w:r>
      <w:r w:rsidRPr="00EB1561">
        <w:t xml:space="preserve"> </w:t>
      </w:r>
      <w:r w:rsidRPr="007D3FFD">
        <w:t>O</w:t>
      </w:r>
      <w:r>
        <w:t>rder Scheduling Hearings</w:t>
      </w:r>
      <w:r w:rsidRPr="007D3FFD">
        <w:t xml:space="preserve">, </w:t>
      </w:r>
      <w:r>
        <w:t xml:space="preserve">Establishing Discovery Guidelines, and Requiring Customer Notice (January 10, 2024), Wyoming Proceedings, </w:t>
      </w:r>
      <w:hyperlink r:id="rId8" w:history="1">
        <w:r w:rsidRPr="00793827">
          <w:rPr>
            <w:rStyle w:val="Hyperlink"/>
          </w:rPr>
          <w:t>D</w:t>
        </w:r>
        <w:r>
          <w:rPr>
            <w:rStyle w:val="Hyperlink"/>
          </w:rPr>
          <w:t>ocket No.</w:t>
        </w:r>
        <w:r w:rsidRPr="00793827">
          <w:rPr>
            <w:rStyle w:val="Hyperlink"/>
          </w:rPr>
          <w:t xml:space="preserve"> 30010-218-GA-23</w:t>
        </w:r>
      </w:hyperlink>
      <w:r>
        <w:t>, Scheduling Order (</w:t>
      </w:r>
      <w:r w:rsidRPr="00CE30E3">
        <w:t>January 31, 2024</w:t>
      </w:r>
      <w:r>
        <w:t xml:space="preserve">), </w:t>
      </w:r>
      <w:r w:rsidRPr="00EB1561">
        <w:t xml:space="preserve">and </w:t>
      </w:r>
      <w:r w:rsidRPr="00EB1561">
        <w:rPr>
          <w:i/>
          <w:iCs/>
        </w:rPr>
        <w:t>Utah Proceedings</w:t>
      </w:r>
      <w:r w:rsidRPr="00EB1561">
        <w:t xml:space="preserve">, </w:t>
      </w:r>
      <w:hyperlink r:id="rId9" w:history="1">
        <w:r w:rsidRPr="00EB1561">
          <w:rPr>
            <w:rStyle w:val="Hyperlink"/>
          </w:rPr>
          <w:t>Case No. QST-G-23-01</w:t>
        </w:r>
      </w:hyperlink>
      <w:bookmarkEnd w:id="41"/>
      <w:r w:rsidRPr="00EB1561">
        <w:t>.</w:t>
      </w:r>
      <w:bookmarkEnd w:id="42"/>
    </w:p>
  </w:footnote>
  <w:footnote w:id="14">
    <w:p w14:paraId="4B4C4E6A" w14:textId="77777777" w:rsidR="006557E1" w:rsidRPr="00EB1561" w:rsidRDefault="00B26A4A" w:rsidP="006557E1">
      <w:pPr>
        <w:pStyle w:val="FootnoteText"/>
        <w:spacing w:after="120"/>
      </w:pPr>
      <w:r w:rsidRPr="00EB1561">
        <w:rPr>
          <w:rStyle w:val="FootnoteReference"/>
        </w:rPr>
        <w:footnoteRef/>
      </w:r>
      <w:r w:rsidRPr="00EB1561">
        <w:t xml:space="preserve"> </w:t>
      </w:r>
      <w:r w:rsidRPr="00EB1561">
        <w:rPr>
          <w:i/>
          <w:iCs/>
        </w:rPr>
        <w:t xml:space="preserve">See </w:t>
      </w:r>
      <w:bookmarkStart w:id="43" w:name="_Hlk157612257"/>
      <w:r w:rsidRPr="00EB1561">
        <w:rPr>
          <w:i/>
          <w:iCs/>
        </w:rPr>
        <w:t>Idaho Proceedings</w:t>
      </w:r>
      <w:r w:rsidRPr="00EB1561">
        <w:t xml:space="preserve">, </w:t>
      </w:r>
      <w:hyperlink r:id="rId10" w:history="1">
        <w:r w:rsidRPr="00EB1561">
          <w:rPr>
            <w:rStyle w:val="Hyperlink"/>
          </w:rPr>
          <w:t>Case No. QST-G-23-01</w:t>
        </w:r>
      </w:hyperlink>
      <w:bookmarkEnd w:id="43"/>
      <w:r w:rsidRPr="00EB1561">
        <w:t>,</w:t>
      </w:r>
      <w:r w:rsidRPr="00EB1561">
        <w:rPr>
          <w:sz w:val="22"/>
          <w:szCs w:val="22"/>
        </w:rPr>
        <w:t xml:space="preserve"> </w:t>
      </w:r>
      <w:r w:rsidRPr="00EB1561">
        <w:t>Order No. 36075 (January 29, 2024) at p. 2.</w:t>
      </w:r>
    </w:p>
  </w:footnote>
  <w:footnote w:id="15">
    <w:p w14:paraId="4969095B" w14:textId="77777777" w:rsidR="006557E1" w:rsidRPr="00C93982" w:rsidRDefault="00B26A4A" w:rsidP="006557E1">
      <w:pPr>
        <w:pStyle w:val="FootnoteText"/>
        <w:spacing w:after="120"/>
      </w:pPr>
      <w:r w:rsidRPr="00EB1561">
        <w:rPr>
          <w:rStyle w:val="FootnoteReference"/>
        </w:rPr>
        <w:footnoteRef/>
      </w:r>
      <w:r w:rsidRPr="00EB1561">
        <w:t xml:space="preserve"> </w:t>
      </w:r>
      <w:r w:rsidRPr="00EB1561">
        <w:rPr>
          <w:i/>
          <w:iCs/>
        </w:rPr>
        <w:t>See</w:t>
      </w:r>
      <w:r w:rsidRPr="00EB1561">
        <w:t xml:space="preserve"> </w:t>
      </w:r>
      <w:r w:rsidRPr="00EB1561">
        <w:rPr>
          <w:i/>
          <w:iCs/>
        </w:rPr>
        <w:t>North Carolina Proceedings</w:t>
      </w:r>
      <w:r w:rsidRPr="00EB1561">
        <w:t xml:space="preserve">, </w:t>
      </w:r>
      <w:hyperlink r:id="rId11" w:history="1">
        <w:r w:rsidRPr="00EB1561">
          <w:rPr>
            <w:rStyle w:val="Hyperlink"/>
          </w:rPr>
          <w:t>Docket No. G-5, SUB 667</w:t>
        </w:r>
      </w:hyperlink>
      <w:r w:rsidRPr="00EB1561">
        <w:t xml:space="preserve">, </w:t>
      </w:r>
      <w:r w:rsidRPr="00EB1561">
        <w:rPr>
          <w:i/>
          <w:iCs/>
        </w:rPr>
        <w:t>Utah Proceedings</w:t>
      </w:r>
      <w:r w:rsidRPr="00EB1561">
        <w:t xml:space="preserve">, </w:t>
      </w:r>
      <w:hyperlink r:id="rId12" w:history="1">
        <w:r w:rsidRPr="00EB1561">
          <w:rPr>
            <w:rStyle w:val="Hyperlink"/>
          </w:rPr>
          <w:t>Case No. QST-G-23-01</w:t>
        </w:r>
      </w:hyperlink>
      <w:r w:rsidRPr="00EB1561">
        <w:t xml:space="preserve">, </w:t>
      </w:r>
      <w:r w:rsidRPr="00EB1561">
        <w:rPr>
          <w:i/>
          <w:iCs/>
        </w:rPr>
        <w:t>Idaho Proceedings</w:t>
      </w:r>
      <w:r w:rsidRPr="00EB1561">
        <w:t xml:space="preserve">, </w:t>
      </w:r>
      <w:hyperlink r:id="rId13" w:history="1">
        <w:r w:rsidRPr="00EB1561">
          <w:rPr>
            <w:rStyle w:val="Hyperlink"/>
          </w:rPr>
          <w:t>Case No. QST-G-23-01</w:t>
        </w:r>
      </w:hyperlink>
      <w:r w:rsidRPr="00C93982">
        <w:t xml:space="preserve"> – see the docket filings and Joint Notices in these matters. </w:t>
      </w:r>
    </w:p>
  </w:footnote>
  <w:footnote w:id="16">
    <w:p w14:paraId="5D98C186" w14:textId="408599DF" w:rsidR="006557E1" w:rsidRPr="00C93982" w:rsidRDefault="00B26A4A" w:rsidP="006557E1">
      <w:pPr>
        <w:pStyle w:val="FootnoteText"/>
        <w:spacing w:after="120"/>
      </w:pPr>
      <w:r w:rsidRPr="00C93982">
        <w:rPr>
          <w:rStyle w:val="FootnoteReference"/>
        </w:rPr>
        <w:footnoteRef/>
      </w:r>
      <w:r w:rsidRPr="00C93982">
        <w:t xml:space="preserve"> </w:t>
      </w:r>
      <w:r w:rsidRPr="00C93982">
        <w:rPr>
          <w:i/>
          <w:iCs/>
        </w:rPr>
        <w:t>In the Matter of the Notice of The East Ohio Gas Company d/b/a Dominion Energy Ohio and Enbridge Elephant Holdings, LLC</w:t>
      </w:r>
      <w:r w:rsidRPr="00C93982">
        <w:t>, Case No. 23-972-GA-UNC, Joint Notice of Parent Company Tran</w:t>
      </w:r>
      <w:r w:rsidR="00DF6FF3">
        <w:t>s</w:t>
      </w:r>
      <w:r w:rsidRPr="00C93982">
        <w:t xml:space="preserve">action </w:t>
      </w:r>
      <w:bookmarkStart w:id="44" w:name="_Hlk157986535"/>
      <w:r w:rsidRPr="00C93982">
        <w:t xml:space="preserve">(October 20, 2023). </w:t>
      </w:r>
      <w:bookmarkEnd w:id="44"/>
    </w:p>
  </w:footnote>
  <w:footnote w:id="17">
    <w:p w14:paraId="32244E9D" w14:textId="038DF46B" w:rsidR="00F34AC5" w:rsidRPr="00F34AC5" w:rsidRDefault="00B26A4A">
      <w:pPr>
        <w:pStyle w:val="FootnoteText"/>
      </w:pPr>
      <w:r>
        <w:rPr>
          <w:rStyle w:val="FootnoteReference"/>
        </w:rPr>
        <w:footnoteRef/>
      </w:r>
      <w:r>
        <w:t xml:space="preserve"> Staff Review at 5.</w:t>
      </w:r>
    </w:p>
  </w:footnote>
  <w:footnote w:id="18">
    <w:p w14:paraId="484506DF" w14:textId="27A6AE9E" w:rsidR="006557E1" w:rsidRDefault="00B26A4A" w:rsidP="006557E1">
      <w:pPr>
        <w:pStyle w:val="FootnoteText"/>
        <w:spacing w:after="120"/>
      </w:pPr>
      <w:r w:rsidRPr="00C93982">
        <w:rPr>
          <w:rStyle w:val="FootnoteReference"/>
        </w:rPr>
        <w:footnoteRef/>
      </w:r>
      <w:r w:rsidR="00F34AC5" w:rsidRPr="00F34AC5">
        <w:rPr>
          <w:i/>
          <w:iCs/>
        </w:rPr>
        <w:t xml:space="preserve"> </w:t>
      </w:r>
      <w:r w:rsidR="00F34AC5" w:rsidRPr="00C93982">
        <w:rPr>
          <w:i/>
          <w:iCs/>
        </w:rPr>
        <w:t>In the Matter of the Notice of The East Ohio Gas Company d/b/a Dominion Energy Ohio and Enbridge Elephant Holdings, LLC</w:t>
      </w:r>
      <w:r w:rsidR="00F34AC5" w:rsidRPr="00C93982">
        <w:t>, Case No. 23-972-GA-UNC, Joint Notice of Parent Company Tran</w:t>
      </w:r>
      <w:r w:rsidR="00F34AC5">
        <w:t>s</w:t>
      </w:r>
      <w:r w:rsidR="00F34AC5" w:rsidRPr="00C93982">
        <w:t>action (October 20, 2023)</w:t>
      </w:r>
      <w:r w:rsidRPr="00C93982">
        <w:t xml:space="preserve"> </w:t>
      </w:r>
      <w:bookmarkStart w:id="45" w:name="_Hlk157986498"/>
      <w:r w:rsidRPr="00C93982">
        <w:t>at pp. 6-7</w:t>
      </w:r>
      <w:bookmarkEnd w:id="45"/>
      <w:r>
        <w:t>.</w:t>
      </w:r>
    </w:p>
  </w:footnote>
  <w:footnote w:id="19">
    <w:p w14:paraId="4101873C" w14:textId="31282B01" w:rsidR="0017593A" w:rsidRPr="0017593A" w:rsidRDefault="00B26A4A">
      <w:pPr>
        <w:pStyle w:val="FootnoteText"/>
      </w:pPr>
      <w:r>
        <w:rPr>
          <w:rStyle w:val="FootnoteReference"/>
        </w:rPr>
        <w:footnoteRef/>
      </w:r>
      <w:r>
        <w:t xml:space="preserve"> </w:t>
      </w:r>
      <w:r>
        <w:rPr>
          <w:i/>
          <w:iCs/>
        </w:rPr>
        <w:t xml:space="preserve">See </w:t>
      </w:r>
      <w:r>
        <w:t>R.C. 4905.22.</w:t>
      </w:r>
    </w:p>
  </w:footnote>
  <w:footnote w:id="20">
    <w:p w14:paraId="17D08B9A" w14:textId="5EFFE08C" w:rsidR="00926E45" w:rsidRPr="0017593A" w:rsidRDefault="00B26A4A">
      <w:pPr>
        <w:pStyle w:val="FootnoteText"/>
      </w:pPr>
      <w:r>
        <w:rPr>
          <w:rStyle w:val="FootnoteReference"/>
        </w:rPr>
        <w:footnoteRef/>
      </w:r>
      <w:r>
        <w:t xml:space="preserve"> </w:t>
      </w:r>
      <w:r w:rsidR="0017593A">
        <w:rPr>
          <w:i/>
          <w:iCs/>
        </w:rPr>
        <w:t xml:space="preserve">See, e.g., </w:t>
      </w:r>
      <w:r w:rsidR="0017593A">
        <w:t>Memorandum Contra at 3.</w:t>
      </w:r>
    </w:p>
  </w:footnote>
  <w:footnote w:id="21">
    <w:p w14:paraId="1B258702" w14:textId="77777777" w:rsidR="006557E1" w:rsidRPr="00362277" w:rsidRDefault="00B26A4A" w:rsidP="006557E1">
      <w:pPr>
        <w:pStyle w:val="FootnoteText"/>
        <w:spacing w:after="120"/>
      </w:pPr>
      <w:r w:rsidRPr="00362277">
        <w:rPr>
          <w:rStyle w:val="FootnoteReference"/>
        </w:rPr>
        <w:footnoteRef/>
      </w:r>
      <w:r w:rsidRPr="00362277">
        <w:t xml:space="preserve"> </w:t>
      </w:r>
      <w:r w:rsidRPr="00362277">
        <w:rPr>
          <w:i/>
          <w:iCs/>
        </w:rPr>
        <w:t>See</w:t>
      </w:r>
      <w:r w:rsidRPr="00362277">
        <w:t xml:space="preserve"> </w:t>
      </w:r>
      <w:r w:rsidRPr="00362277">
        <w:rPr>
          <w:i/>
          <w:iCs/>
        </w:rPr>
        <w:t>North Carolina Proceedings</w:t>
      </w:r>
      <w:r w:rsidRPr="00362277">
        <w:t xml:space="preserve">, </w:t>
      </w:r>
      <w:hyperlink r:id="rId14" w:history="1">
        <w:r w:rsidRPr="00362277">
          <w:rPr>
            <w:rStyle w:val="Hyperlink"/>
          </w:rPr>
          <w:t>Docket No. G-5, SUB 667</w:t>
        </w:r>
      </w:hyperlink>
      <w:r w:rsidRPr="00362277">
        <w:t>, Joint Application (October</w:t>
      </w:r>
      <w:r>
        <w:t xml:space="preserve"> </w:t>
      </w:r>
      <w:r w:rsidRPr="00362277">
        <w:t xml:space="preserve">20, 2023); Wyoming Proceedings, </w:t>
      </w:r>
      <w:hyperlink r:id="rId15" w:history="1">
        <w:r w:rsidRPr="00362277">
          <w:rPr>
            <w:rStyle w:val="Hyperlink"/>
          </w:rPr>
          <w:t>D</w:t>
        </w:r>
        <w:r>
          <w:rPr>
            <w:rStyle w:val="Hyperlink"/>
          </w:rPr>
          <w:t>ocket No.</w:t>
        </w:r>
        <w:r w:rsidRPr="00362277">
          <w:rPr>
            <w:rStyle w:val="Hyperlink"/>
          </w:rPr>
          <w:t xml:space="preserve"> 30010-218-GA-23</w:t>
        </w:r>
      </w:hyperlink>
      <w:r w:rsidRPr="00362277">
        <w:t xml:space="preserve">, DEW Enbridge WY Joint Application (October 20, 2023); </w:t>
      </w:r>
      <w:r w:rsidRPr="00362277">
        <w:rPr>
          <w:i/>
          <w:iCs/>
        </w:rPr>
        <w:t>Utah Proceedings</w:t>
      </w:r>
      <w:r w:rsidRPr="00362277">
        <w:t xml:space="preserve">, </w:t>
      </w:r>
      <w:hyperlink r:id="rId16" w:history="1">
        <w:r w:rsidRPr="00362277">
          <w:rPr>
            <w:rStyle w:val="Hyperlink"/>
          </w:rPr>
          <w:t>Case No. QST-G-23-01</w:t>
        </w:r>
      </w:hyperlink>
      <w:r w:rsidRPr="00362277">
        <w:t xml:space="preserve">, Joint Notice and Application (October 20, 2023); </w:t>
      </w:r>
      <w:bookmarkStart w:id="64" w:name="_Hlk157986450"/>
      <w:r w:rsidRPr="00362277">
        <w:rPr>
          <w:i/>
          <w:iCs/>
        </w:rPr>
        <w:t>In the Matter of the Notice of The East Ohio Gas Company d/b/a Dominion Energy Ohio and Enbridge Elephant Holdings, LLC</w:t>
      </w:r>
      <w:r w:rsidRPr="00362277">
        <w:t>, Case No. 23-972-GA-UNC, Joint Notice of Parent Company Transaction</w:t>
      </w:r>
      <w:bookmarkEnd w:id="64"/>
      <w:r>
        <w:t xml:space="preserve"> </w:t>
      </w:r>
      <w:r w:rsidRPr="00362277">
        <w:t xml:space="preserve">(October 20, 2023); </w:t>
      </w:r>
      <w:r w:rsidRPr="00362277">
        <w:rPr>
          <w:i/>
          <w:iCs/>
        </w:rPr>
        <w:t>Idaho Proceedings</w:t>
      </w:r>
      <w:r w:rsidRPr="00362277">
        <w:t xml:space="preserve">, </w:t>
      </w:r>
      <w:hyperlink r:id="rId17" w:history="1">
        <w:r w:rsidRPr="00362277">
          <w:rPr>
            <w:rStyle w:val="Hyperlink"/>
          </w:rPr>
          <w:t>Case No. QST-G-23-01</w:t>
        </w:r>
      </w:hyperlink>
      <w:r w:rsidRPr="00362277">
        <w:t>, Joint Application for Approval of the Proposed Sale of Fall West Holdco, LLC to Enbridge Quail Holdings, LLC (October 20, 2023).</w:t>
      </w:r>
    </w:p>
  </w:footnote>
  <w:footnote w:id="22">
    <w:p w14:paraId="09B92415" w14:textId="77777777" w:rsidR="006557E1" w:rsidRDefault="00B26A4A" w:rsidP="00BF4F24">
      <w:pPr>
        <w:pStyle w:val="FootnoteText"/>
        <w:spacing w:after="120"/>
        <w:ind w:right="720"/>
      </w:pPr>
      <w:r w:rsidRPr="00362277">
        <w:rPr>
          <w:rStyle w:val="FootnoteReference"/>
        </w:rPr>
        <w:footnoteRef/>
      </w:r>
      <w:r w:rsidRPr="00362277">
        <w:t xml:space="preserve"> </w:t>
      </w:r>
      <w:r w:rsidRPr="00362277">
        <w:rPr>
          <w:i/>
          <w:iCs/>
        </w:rPr>
        <w:t>In the Matter of the Notice of The East Ohio Gas Company d/b/a Dominion Energy Ohio and Enbridge Elephant Holdings, LLC</w:t>
      </w:r>
      <w:r w:rsidRPr="00362277">
        <w:t xml:space="preserve">, Case No. 23-972-GA-UNC, Joint Notice of Parent Company Transaction </w:t>
      </w:r>
      <w:bookmarkStart w:id="65" w:name="_Hlk157986598"/>
      <w:r w:rsidRPr="00362277">
        <w:t>(October 20, 2023)</w:t>
      </w:r>
      <w:bookmarkEnd w:id="65"/>
      <w:r w:rsidRPr="00362277">
        <w:t xml:space="preserve"> at pp. 6-7.</w:t>
      </w:r>
      <w:r>
        <w:t xml:space="preserve"> </w:t>
      </w:r>
    </w:p>
  </w:footnote>
  <w:footnote w:id="23">
    <w:p w14:paraId="5763F4F6" w14:textId="1FC9320C" w:rsidR="009977DF" w:rsidRDefault="00B26A4A">
      <w:pPr>
        <w:pStyle w:val="FootnoteText"/>
      </w:pPr>
      <w:r>
        <w:rPr>
          <w:rStyle w:val="FootnoteReference"/>
        </w:rPr>
        <w:footnoteRef/>
      </w:r>
      <w:r>
        <w:t xml:space="preserve"> See Memo Contra at p.9.</w:t>
      </w:r>
    </w:p>
  </w:footnote>
  <w:footnote w:id="24">
    <w:p w14:paraId="05483933" w14:textId="2FC9A271" w:rsidR="004716E7" w:rsidRDefault="00B26A4A" w:rsidP="00BF4F24">
      <w:pPr>
        <w:pStyle w:val="FootnoteText"/>
        <w:ind w:right="720"/>
      </w:pPr>
      <w:r>
        <w:rPr>
          <w:rStyle w:val="FootnoteReference"/>
        </w:rPr>
        <w:footnoteRef/>
      </w:r>
      <w:r>
        <w:t xml:space="preserve"> </w:t>
      </w:r>
      <w:r w:rsidRPr="00855BD4">
        <w:rPr>
          <w:i/>
          <w:iCs/>
        </w:rPr>
        <w:t xml:space="preserve">In The Matter Of The Joint </w:t>
      </w:r>
      <w:r w:rsidRPr="00855BD4">
        <w:rPr>
          <w:i/>
          <w:iCs/>
        </w:rPr>
        <w:t>Application Of Northeast Ohio Natural Gas Corp., Ullico Infrastructure Master Fund, L.P., Ullico Infrastructure Hearthstone Holdco, L</w:t>
      </w:r>
      <w:r w:rsidR="00B70D4F">
        <w:rPr>
          <w:i/>
          <w:iCs/>
        </w:rPr>
        <w:t>LC</w:t>
      </w:r>
      <w:r w:rsidRPr="00855BD4">
        <w:rPr>
          <w:i/>
          <w:iCs/>
        </w:rPr>
        <w:t xml:space="preserve"> For Approval Of The Sale And Transfer Of Gep Bison Holdings, Inc. And Request For Expedited Approval</w:t>
      </w:r>
      <w:r>
        <w:t xml:space="preserve">, Case No. 21-93-GA-UNC, Finding and Order (Aug. 25, 2021) at </w:t>
      </w:r>
    </w:p>
  </w:footnote>
  <w:footnote w:id="25">
    <w:p w14:paraId="0066EFFC" w14:textId="7C402FEC" w:rsidR="004E24DA" w:rsidRDefault="00B26A4A">
      <w:pPr>
        <w:pStyle w:val="FootnoteText"/>
      </w:pPr>
      <w:r>
        <w:rPr>
          <w:rStyle w:val="FootnoteReference"/>
        </w:rPr>
        <w:footnoteRef/>
      </w:r>
      <w:r>
        <w:t xml:space="preserve"> </w:t>
      </w:r>
      <w:r w:rsidRPr="00FB5E34">
        <w:rPr>
          <w:i/>
          <w:iCs/>
        </w:rPr>
        <w:t>In The Matter Of The Joint Application Of Northeast Ohio Natural Gas Corp., Ullico Infrastructure Master Fund, L.P., Ullico Infrastructure Hearthstone Holdco, LLC For Approval Of The Sale And Transfer Of Gep Bison Holdings, Inc. And Request For Expedited Approval</w:t>
      </w:r>
      <w:r>
        <w:t>, Case No. 21-93-GA-UNC, Finding and Order (Aug. 25, 2021) at ¶ 17.</w:t>
      </w:r>
    </w:p>
  </w:footnote>
  <w:footnote w:id="26">
    <w:p w14:paraId="11791F9C" w14:textId="523AF750" w:rsidR="00B80CDC" w:rsidRPr="00B80CDC" w:rsidRDefault="00B26A4A">
      <w:pPr>
        <w:pStyle w:val="FootnoteText"/>
      </w:pPr>
      <w:r>
        <w:rPr>
          <w:rStyle w:val="FootnoteReference"/>
        </w:rPr>
        <w:footnoteRef/>
      </w:r>
      <w:r>
        <w:t xml:space="preserve"> </w:t>
      </w:r>
      <w:r>
        <w:rPr>
          <w:i/>
          <w:iCs/>
        </w:rPr>
        <w:t>Id</w:t>
      </w:r>
      <w:r>
        <w:t xml:space="preserve"> at ¶ 19.</w:t>
      </w:r>
    </w:p>
  </w:footnote>
  <w:footnote w:id="27">
    <w:p w14:paraId="73089B2B" w14:textId="192FAF34" w:rsidR="00B80CDC" w:rsidRPr="00B80CDC" w:rsidRDefault="00B26A4A">
      <w:pPr>
        <w:pStyle w:val="FootnoteText"/>
      </w:pPr>
      <w:r>
        <w:rPr>
          <w:rStyle w:val="FootnoteReference"/>
        </w:rPr>
        <w:footnoteRef/>
      </w:r>
      <w:r>
        <w:t xml:space="preserve">  </w:t>
      </w:r>
      <w:r>
        <w:rPr>
          <w:i/>
          <w:iCs/>
        </w:rPr>
        <w:t>Id</w:t>
      </w:r>
      <w:r>
        <w:t>. at ¶¶ 25-26.</w:t>
      </w:r>
    </w:p>
  </w:footnote>
  <w:footnote w:id="28">
    <w:p w14:paraId="62795400" w14:textId="5EBAE8F0" w:rsidR="00CE5BE6" w:rsidRDefault="00B26A4A" w:rsidP="00BF4F24">
      <w:pPr>
        <w:pStyle w:val="FootnoteText"/>
        <w:ind w:right="630"/>
      </w:pPr>
      <w:r>
        <w:rPr>
          <w:rStyle w:val="FootnoteReference"/>
        </w:rPr>
        <w:footnoteRef/>
      </w:r>
      <w:r>
        <w:t xml:space="preserve"> </w:t>
      </w:r>
      <w:r w:rsidRPr="00CE5BE6">
        <w:rPr>
          <w:i/>
          <w:iCs/>
        </w:rPr>
        <w:t>S</w:t>
      </w:r>
      <w:r w:rsidR="004716E7">
        <w:rPr>
          <w:i/>
          <w:iCs/>
        </w:rPr>
        <w:t>ee</w:t>
      </w:r>
      <w:r>
        <w:t xml:space="preserve"> </w:t>
      </w:r>
      <w:r w:rsidRPr="00CE5BE6">
        <w:rPr>
          <w:i/>
          <w:iCs/>
        </w:rPr>
        <w:t>Office of Consumers</w:t>
      </w:r>
      <w:r w:rsidR="00727934">
        <w:rPr>
          <w:i/>
          <w:iCs/>
        </w:rPr>
        <w:t>’</w:t>
      </w:r>
      <w:r w:rsidRPr="00CE5BE6">
        <w:rPr>
          <w:i/>
          <w:iCs/>
        </w:rPr>
        <w:t xml:space="preserve"> Counsel v. PUC of Ohio</w:t>
      </w:r>
      <w:r w:rsidRPr="00CE5BE6">
        <w:t>, 61 Ohio St.3d 396, 407, 575 N.E.2d 157 (1991)</w:t>
      </w:r>
      <w:r>
        <w:t xml:space="preserve"> (finding that the PUCO has no authority to order reimbursement of overpayments for past inappropriate rate schedules, </w:t>
      </w:r>
      <w:r w:rsidR="00CA0B1E">
        <w:t xml:space="preserve">and its power under R.C. 4909.15(D) to fix a new rate schedule may </w:t>
      </w:r>
      <w:r>
        <w:t xml:space="preserve">only to </w:t>
      </w:r>
      <w:r w:rsidR="00CA0B1E">
        <w:t xml:space="preserve">exercised </w:t>
      </w:r>
      <w:r>
        <w:t>prospective</w:t>
      </w:r>
      <w:r w:rsidR="00CA0B1E">
        <w:t>ly after invalidating an existing inappropriate rate schedule).</w:t>
      </w:r>
    </w:p>
  </w:footnote>
  <w:footnote w:id="29">
    <w:p w14:paraId="78811066" w14:textId="2F122947" w:rsidR="006557E1" w:rsidRPr="00E44786" w:rsidRDefault="00B26A4A" w:rsidP="00AB2E7C">
      <w:pPr>
        <w:pStyle w:val="FootnoteText"/>
        <w:spacing w:after="120"/>
        <w:ind w:right="720"/>
      </w:pPr>
      <w:r w:rsidRPr="00E44786">
        <w:rPr>
          <w:rStyle w:val="FootnoteReference"/>
        </w:rPr>
        <w:footnoteRef/>
      </w:r>
      <w:r w:rsidRPr="00E44786">
        <w:t xml:space="preserve"> </w:t>
      </w:r>
      <w:r w:rsidRPr="00E44786">
        <w:rPr>
          <w:i/>
          <w:iCs/>
        </w:rPr>
        <w:t>In the Matter of the Notice of The East Ohio Gas Company d/b/a Dominion Energy Ohio and Enbridge Elephant Holdings, LLC</w:t>
      </w:r>
      <w:r w:rsidRPr="00E44786">
        <w:t>, Case No. 23-972-GA-UNC, Joint Notice of Parent Company Tran</w:t>
      </w:r>
      <w:r w:rsidR="0062094A">
        <w:t>s</w:t>
      </w:r>
      <w:r w:rsidRPr="00E44786">
        <w:t>action (October 20, 2023) at p. 6-7.</w:t>
      </w:r>
    </w:p>
  </w:footnote>
  <w:footnote w:id="30">
    <w:p w14:paraId="0A5F16F0" w14:textId="77777777" w:rsidR="006557E1" w:rsidRPr="00E44786" w:rsidRDefault="00B26A4A" w:rsidP="006557E1">
      <w:pPr>
        <w:pStyle w:val="FootnoteText"/>
        <w:spacing w:after="120"/>
      </w:pPr>
      <w:r w:rsidRPr="00E44786">
        <w:rPr>
          <w:rStyle w:val="FootnoteReference"/>
        </w:rPr>
        <w:footnoteRef/>
      </w:r>
      <w:r w:rsidRPr="00E44786">
        <w:t xml:space="preserve"> </w:t>
      </w:r>
      <w:r w:rsidRPr="00E44786">
        <w:rPr>
          <w:i/>
          <w:iCs/>
        </w:rPr>
        <w:t>Id</w:t>
      </w:r>
      <w:r w:rsidRPr="00E44786">
        <w:t xml:space="preserve">. at </w:t>
      </w:r>
      <w:r>
        <w:t xml:space="preserve">p. </w:t>
      </w:r>
      <w:r w:rsidRPr="00E44786">
        <w:t>5-6</w:t>
      </w:r>
    </w:p>
  </w:footnote>
  <w:footnote w:id="31">
    <w:p w14:paraId="0EDB6A5A" w14:textId="66C643D6" w:rsidR="007E06C8" w:rsidRPr="0062094A" w:rsidRDefault="00B26A4A" w:rsidP="00AB2E7C">
      <w:pPr>
        <w:pStyle w:val="FootnoteText"/>
        <w:spacing w:after="120"/>
        <w:ind w:right="630"/>
        <w:rPr>
          <w:i/>
          <w:iCs/>
        </w:rPr>
      </w:pPr>
      <w:r w:rsidRPr="00E44786">
        <w:rPr>
          <w:rStyle w:val="FootnoteReference"/>
        </w:rPr>
        <w:footnoteRef/>
      </w:r>
      <w:r w:rsidRPr="00E44786">
        <w:t xml:space="preserve"> </w:t>
      </w:r>
      <w:r w:rsidRPr="0062094A">
        <w:rPr>
          <w:i/>
          <w:iCs/>
        </w:rPr>
        <w:t>In the Matter of the Notice of The East Ohio Gas Company d/b/a Dominion Energy Ohio and Enbridge Elephant Holdings, LLC</w:t>
      </w:r>
      <w:r w:rsidRPr="0062094A">
        <w:t>, Case No. 23-972-GA-UNC, Joint Notice of Parent Company Transaction (October 20, 2023) at ¶12.</w:t>
      </w:r>
    </w:p>
  </w:footnote>
  <w:footnote w:id="32">
    <w:p w14:paraId="128BBEE9" w14:textId="343B9702" w:rsidR="007E06C8" w:rsidRPr="0062094A" w:rsidRDefault="00B26A4A" w:rsidP="00AB2E7C">
      <w:pPr>
        <w:pStyle w:val="FootnoteText"/>
        <w:ind w:right="630"/>
      </w:pPr>
      <w:r w:rsidRPr="0062094A">
        <w:rPr>
          <w:rStyle w:val="FootnoteReference"/>
        </w:rPr>
        <w:footnoteRef/>
      </w:r>
      <w:r w:rsidRPr="0062094A">
        <w:t xml:space="preserve"> </w:t>
      </w:r>
      <w:hyperlink r:id="rId18" w:history="1">
        <w:r w:rsidRPr="0062094A">
          <w:rPr>
            <w:rStyle w:val="expanded-hits-fragment"/>
            <w:bdr w:val="none" w:sz="0" w:space="0" w:color="auto" w:frame="1"/>
            <w:shd w:val="clear" w:color="auto" w:fill="F9FAFB"/>
          </w:rPr>
          <w:t>S</w:t>
        </w:r>
        <w:r w:rsidRPr="0062094A">
          <w:rPr>
            <w:rStyle w:val="expanded-hits-fragment"/>
            <w:i/>
            <w:iCs/>
            <w:bdr w:val="none" w:sz="0" w:space="0" w:color="auto" w:frame="1"/>
            <w:shd w:val="clear" w:color="auto" w:fill="F9FAFB"/>
          </w:rPr>
          <w:t>ee, e.g. , Weiss v. Pub. Util. Comm.</w:t>
        </w:r>
        <w:r w:rsidRPr="0062094A">
          <w:rPr>
            <w:rStyle w:val="expanded-hits-fragment"/>
            <w:bdr w:val="none" w:sz="0" w:space="0" w:color="auto" w:frame="1"/>
            <w:shd w:val="clear" w:color="auto" w:fill="F9FAFB"/>
          </w:rPr>
          <w:t>, 90 Ohio St.3d 15, 19 (2000)</w:t>
        </w:r>
      </w:hyperlink>
      <w:r w:rsidRPr="0062094A">
        <w:t>.</w:t>
      </w:r>
    </w:p>
  </w:footnote>
  <w:footnote w:id="33">
    <w:p w14:paraId="7CFFAEA7" w14:textId="77777777" w:rsidR="006557E1" w:rsidRPr="0062094A" w:rsidRDefault="00B26A4A" w:rsidP="00AB2E7C">
      <w:pPr>
        <w:pStyle w:val="FootnoteText"/>
        <w:ind w:right="630"/>
      </w:pPr>
      <w:r w:rsidRPr="0062094A">
        <w:rPr>
          <w:rStyle w:val="FootnoteReference"/>
        </w:rPr>
        <w:footnoteRef/>
      </w:r>
      <w:r w:rsidRPr="0062094A">
        <w:t xml:space="preserve"> </w:t>
      </w:r>
      <w:r w:rsidRPr="0062094A">
        <w:rPr>
          <w:i/>
        </w:rPr>
        <w:t xml:space="preserve">In the Matter of the Application of National Gas &amp; Oil Company Concerning Issuance of Securities, Case No. 91-1394-GA-AIS (August 22, 1991), </w:t>
      </w:r>
      <w:r w:rsidRPr="0062094A">
        <w:t>at 3 (emphasis added).</w:t>
      </w:r>
    </w:p>
  </w:footnote>
  <w:footnote w:id="34">
    <w:p w14:paraId="77DC4915" w14:textId="77777777" w:rsidR="006557E1" w:rsidRPr="00093CF4" w:rsidRDefault="00B26A4A" w:rsidP="006557E1">
      <w:pPr>
        <w:pStyle w:val="FootnoteText"/>
        <w:spacing w:after="120"/>
        <w:rPr>
          <w:b/>
          <w:bCs/>
          <w:i/>
        </w:rPr>
      </w:pPr>
      <w:r w:rsidRPr="00E44786">
        <w:rPr>
          <w:rStyle w:val="FootnoteReference"/>
        </w:rPr>
        <w:footnoteRef/>
      </w:r>
      <w:r w:rsidRPr="00E44786">
        <w:t xml:space="preserve"> </w:t>
      </w:r>
      <w:r w:rsidRPr="00A05C7D">
        <w:rPr>
          <w:i/>
          <w:iCs/>
        </w:rPr>
        <w:t>See</w:t>
      </w:r>
      <w:r w:rsidRPr="00397B03">
        <w:t xml:space="preserve">, e.g., </w:t>
      </w:r>
      <w:r w:rsidRPr="00397B03">
        <w:rPr>
          <w:i/>
          <w:iCs/>
        </w:rPr>
        <w:t>Joint Application of Dominion Energy, Inc. et al</w:t>
      </w:r>
      <w:r w:rsidRPr="00397B03">
        <w:t xml:space="preserve">., Case No. 04-1179-HT-UNC; </w:t>
      </w:r>
      <w:bookmarkStart w:id="74" w:name="_Hlk157779513"/>
      <w:r w:rsidRPr="00397B03">
        <w:rPr>
          <w:i/>
          <w:iCs/>
        </w:rPr>
        <w:t>In the Matter of Vectren Energy Delivery of Ohio, Inc.</w:t>
      </w:r>
      <w:r w:rsidRPr="00397B03">
        <w:t xml:space="preserve"> </w:t>
      </w:r>
      <w:r w:rsidRPr="00397B03">
        <w:rPr>
          <w:i/>
          <w:iCs/>
        </w:rPr>
        <w:t>Notice of Parent Company Merger</w:t>
      </w:r>
      <w:r w:rsidRPr="00397B03">
        <w:t>, Case No. 18-1027-GA-UNC</w:t>
      </w:r>
      <w:bookmarkEnd w:id="74"/>
      <w:r w:rsidRPr="00397B03">
        <w:t xml:space="preserve">; </w:t>
      </w:r>
      <w:r w:rsidRPr="00397B03">
        <w:rPr>
          <w:i/>
        </w:rPr>
        <w:t xml:space="preserve">In the Matter of The East Ohio Gas Company, </w:t>
      </w:r>
      <w:r w:rsidRPr="00397B03">
        <w:t xml:space="preserve">Case No. 96-991-GA-UNC, Finding and Order (December 19, 1996); </w:t>
      </w:r>
      <w:r w:rsidRPr="00397B03">
        <w:rPr>
          <w:i/>
        </w:rPr>
        <w:t xml:space="preserve">In the Matter of the Application of The East Ohio Gas Company and The River Gas Company for Authority to Merge, </w:t>
      </w:r>
      <w:r w:rsidRPr="00397B03">
        <w:t xml:space="preserve">Case No. 94-791-GA-UNC, Opinion (June 23, 1994) at ¶¶ 5-6 </w:t>
      </w:r>
      <w:r>
        <w:t>(</w:t>
      </w:r>
      <w:r w:rsidRPr="00397B03">
        <w:t>PUCO finds it has jurisdiction un</w:t>
      </w:r>
      <w:r w:rsidRPr="00397B03">
        <w:t>der R.C. 4905.05 and 4905.06 to review the merger despite applicants assertion that it lacked jurisdiction</w:t>
      </w:r>
      <w:r>
        <w:t>)</w:t>
      </w:r>
      <w:r w:rsidRPr="00397B03">
        <w:t>;</w:t>
      </w:r>
      <w:r>
        <w:t xml:space="preserve"> and</w:t>
      </w:r>
      <w:r w:rsidRPr="00397B03">
        <w:t xml:space="preserve"> </w:t>
      </w:r>
      <w:r w:rsidRPr="00397B03">
        <w:rPr>
          <w:i/>
        </w:rPr>
        <w:t xml:space="preserve">In the Matter of the Joint Petition of The Suburban Fuel Gas, Inc., and The Consumers Natural Gas Company for Consent and Approval to Merge, </w:t>
      </w:r>
      <w:r w:rsidRPr="00397B03">
        <w:t>Case No. 88- 427-GA-ATR.</w:t>
      </w:r>
    </w:p>
  </w:footnote>
  <w:footnote w:id="35">
    <w:p w14:paraId="58EC93C1" w14:textId="6D1CF56D" w:rsidR="006557E1" w:rsidRPr="0060759C" w:rsidRDefault="00B26A4A" w:rsidP="006557E1">
      <w:pPr>
        <w:pStyle w:val="FootnoteText"/>
        <w:spacing w:after="120"/>
      </w:pPr>
      <w:r w:rsidRPr="0060759C">
        <w:rPr>
          <w:rStyle w:val="FootnoteReference"/>
        </w:rPr>
        <w:footnoteRef/>
      </w:r>
      <w:r w:rsidRPr="0060759C">
        <w:t xml:space="preserve"> </w:t>
      </w:r>
      <w:r w:rsidRPr="0060759C">
        <w:rPr>
          <w:i/>
          <w:iCs/>
        </w:rPr>
        <w:t>In the Matter of the Notice of The East Ohio Gas Company d/b/a Dominion Energy Ohio and Enbridge Elephant Holdings, LLC</w:t>
      </w:r>
      <w:r w:rsidRPr="0060759C">
        <w:t>, Case No. 23-972-GA-UNC, Joint Notice of Parent Company Tran</w:t>
      </w:r>
      <w:r w:rsidR="00A94564">
        <w:t>s</w:t>
      </w:r>
      <w:r w:rsidRPr="0060759C">
        <w:t>action (October 20, 2023) at p. 2.</w:t>
      </w:r>
    </w:p>
  </w:footnote>
  <w:footnote w:id="36">
    <w:p w14:paraId="06ED26F6" w14:textId="23E0374D" w:rsidR="006557E1" w:rsidRPr="003A0484" w:rsidRDefault="00B26A4A" w:rsidP="006557E1">
      <w:pPr>
        <w:pStyle w:val="FootnoteText"/>
        <w:spacing w:after="120"/>
      </w:pPr>
      <w:r w:rsidRPr="003A0484">
        <w:rPr>
          <w:rStyle w:val="FootnoteReference"/>
        </w:rPr>
        <w:footnoteRef/>
      </w:r>
      <w:r w:rsidRPr="003A0484">
        <w:t xml:space="preserve"> </w:t>
      </w:r>
      <w:r w:rsidRPr="00EF5660">
        <w:rPr>
          <w:i/>
          <w:iCs/>
        </w:rPr>
        <w:t>See Sean McDonnell (September 7, 2023), The utility for 1.2 million Ohio customers was just sold: Here</w:t>
      </w:r>
      <w:r w:rsidR="00727934">
        <w:rPr>
          <w:i/>
          <w:iCs/>
        </w:rPr>
        <w:t>’</w:t>
      </w:r>
      <w:r w:rsidRPr="00EF5660">
        <w:rPr>
          <w:i/>
          <w:iCs/>
        </w:rPr>
        <w:t xml:space="preserve">s how that will affect your bill, Cleveland.com, Retrieved from </w:t>
      </w:r>
      <w:hyperlink r:id="rId19" w:history="1">
        <w:r w:rsidRPr="00EF5660">
          <w:rPr>
            <w:rStyle w:val="Hyperlink"/>
            <w:i/>
            <w:iCs/>
          </w:rPr>
          <w:t>https://www.cleveland.com/news/2023/09/the-utility-for-12-million-ohio-customers-was-just-sold-heres-how-that-will-affect-your-bill.html</w:t>
        </w:r>
      </w:hyperlink>
      <w:r w:rsidRPr="00EF5660">
        <w:rPr>
          <w:i/>
          <w:iCs/>
        </w:rPr>
        <w:t>; See also Enbridge Inc. (September 6, 2023), Enbridge acquires trio of U.S. companies from Dominion Energy Inc., creating North America</w:t>
      </w:r>
      <w:r w:rsidR="00727934">
        <w:rPr>
          <w:i/>
          <w:iCs/>
        </w:rPr>
        <w:t>’</w:t>
      </w:r>
      <w:r w:rsidRPr="00EF5660">
        <w:rPr>
          <w:i/>
          <w:iCs/>
        </w:rPr>
        <w:t xml:space="preserve">s largest natural gas utility franchise, </w:t>
      </w:r>
      <w:hyperlink r:id="rId20" w:history="1">
        <w:r w:rsidRPr="00EF5660">
          <w:rPr>
            <w:rStyle w:val="Hyperlink"/>
            <w:i/>
            <w:iCs/>
          </w:rPr>
          <w:t>https://www.enbridge.com/stories/2023/september/enbridge-acquires-three-us-gas-utilities-from-dominion-energy</w:t>
        </w:r>
      </w:hyperlink>
      <w:r w:rsidRPr="00EF5660">
        <w:rPr>
          <w:i/>
          <w:iCs/>
        </w:rPr>
        <w:t xml:space="preserve">. See also Dominion Energy Inc. (September 5, 2023), Dominion Energy Advances Business Review, Announces Agreements to Sell Gas Distribution Companies to Enbridge, </w:t>
      </w:r>
      <w:hyperlink r:id="rId21" w:history="1">
        <w:r w:rsidRPr="00EF5660">
          <w:rPr>
            <w:rStyle w:val="Hyperlink"/>
            <w:i/>
            <w:iCs/>
          </w:rPr>
          <w:t>https://news.dominionenergy.com/2023-09-05-Dominion-Energy-Advances-Business-Review-Announces-Agreements-to-Sell-Gas-Distribution-Companies-to-Enbridge</w:t>
        </w:r>
      </w:hyperlink>
      <w:r w:rsidRPr="00EF5660">
        <w:rPr>
          <w:i/>
          <w:iCs/>
        </w:rPr>
        <w:t>.</w:t>
      </w:r>
    </w:p>
  </w:footnote>
  <w:footnote w:id="37">
    <w:p w14:paraId="52FC68A8" w14:textId="77777777" w:rsidR="006557E1" w:rsidRPr="00665DEE" w:rsidRDefault="00B26A4A" w:rsidP="006557E1">
      <w:pPr>
        <w:pStyle w:val="FootnoteText"/>
        <w:spacing w:after="120"/>
      </w:pPr>
      <w:r w:rsidRPr="008F3F2F">
        <w:rPr>
          <w:rStyle w:val="FootnoteReference"/>
        </w:rPr>
        <w:footnoteRef/>
      </w:r>
      <w:r w:rsidRPr="008F3F2F">
        <w:rPr>
          <w:i/>
          <w:iCs/>
        </w:rPr>
        <w:t>See</w:t>
      </w:r>
      <w:r w:rsidRPr="008F3F2F">
        <w:t xml:space="preserve"> </w:t>
      </w:r>
      <w:r w:rsidRPr="008F3F2F">
        <w:rPr>
          <w:i/>
          <w:iCs/>
        </w:rPr>
        <w:t>North Carolina Proceedings</w:t>
      </w:r>
      <w:r w:rsidRPr="008F3F2F">
        <w:t xml:space="preserve">, </w:t>
      </w:r>
      <w:hyperlink r:id="rId22" w:history="1">
        <w:r w:rsidRPr="008F3F2F">
          <w:rPr>
            <w:rStyle w:val="Hyperlink"/>
          </w:rPr>
          <w:t>Docket No. G-5, SUB 667</w:t>
        </w:r>
      </w:hyperlink>
      <w:r w:rsidRPr="008F3F2F">
        <w:t xml:space="preserve">, </w:t>
      </w:r>
      <w:r w:rsidRPr="008F3F2F">
        <w:rPr>
          <w:i/>
          <w:iCs/>
        </w:rPr>
        <w:t>Utah Proceedings</w:t>
      </w:r>
      <w:r w:rsidRPr="008F3F2F">
        <w:t xml:space="preserve">, </w:t>
      </w:r>
      <w:hyperlink r:id="rId23" w:history="1">
        <w:r w:rsidRPr="008F3F2F">
          <w:rPr>
            <w:rStyle w:val="Hyperlink"/>
          </w:rPr>
          <w:t>Case No. QST-G-23-01</w:t>
        </w:r>
      </w:hyperlink>
      <w:r w:rsidRPr="008F3F2F">
        <w:t xml:space="preserve">, and </w:t>
      </w:r>
      <w:r w:rsidRPr="008F3F2F">
        <w:rPr>
          <w:i/>
          <w:iCs/>
        </w:rPr>
        <w:t>Idaho Proceedings</w:t>
      </w:r>
      <w:r w:rsidRPr="008F3F2F">
        <w:t xml:space="preserve">, </w:t>
      </w:r>
      <w:hyperlink r:id="rId24" w:history="1">
        <w:r w:rsidRPr="008F3F2F">
          <w:rPr>
            <w:rStyle w:val="Hyperlink"/>
          </w:rPr>
          <w:t>Case No. QST-G-23-01</w:t>
        </w:r>
      </w:hyperlink>
      <w:r w:rsidRPr="00665DEE">
        <w:rPr>
          <w:rStyle w:val="Hyperlink"/>
        </w:rPr>
        <w:t>,</w:t>
      </w:r>
      <w:r>
        <w:rPr>
          <w:rStyle w:val="Hyperlink"/>
        </w:rPr>
        <w:t xml:space="preserve"> </w:t>
      </w:r>
      <w:r w:rsidRPr="00665DEE">
        <w:rPr>
          <w:rStyle w:val="Hyperlink"/>
          <w:i/>
          <w:iCs/>
        </w:rPr>
        <w:t>Wyoming Proceedings</w:t>
      </w:r>
      <w:r>
        <w:rPr>
          <w:rStyle w:val="Hyperlink"/>
        </w:rPr>
        <w:t xml:space="preserve">, </w:t>
      </w:r>
      <w:hyperlink r:id="rId25" w:history="1">
        <w:r w:rsidRPr="00665DEE">
          <w:rPr>
            <w:rStyle w:val="Hyperlink"/>
          </w:rPr>
          <w:t>D</w:t>
        </w:r>
        <w:r>
          <w:rPr>
            <w:rStyle w:val="Hyperlink"/>
          </w:rPr>
          <w:t>ocket</w:t>
        </w:r>
        <w:r w:rsidRPr="00665DEE">
          <w:rPr>
            <w:rStyle w:val="Hyperlink"/>
          </w:rPr>
          <w:t xml:space="preserve"> N</w:t>
        </w:r>
        <w:r>
          <w:rPr>
            <w:rStyle w:val="Hyperlink"/>
          </w:rPr>
          <w:t>o</w:t>
        </w:r>
        <w:r w:rsidRPr="00665DEE">
          <w:rPr>
            <w:rStyle w:val="Hyperlink"/>
          </w:rPr>
          <w:t>. 30010-218-GA-23</w:t>
        </w:r>
      </w:hyperlink>
      <w:r>
        <w:t xml:space="preserve">. </w:t>
      </w:r>
    </w:p>
  </w:footnote>
  <w:footnote w:id="38">
    <w:p w14:paraId="22D29C73" w14:textId="409334F6" w:rsidR="00523726" w:rsidRPr="00EE2318" w:rsidRDefault="00B26A4A" w:rsidP="00523726">
      <w:pPr>
        <w:pStyle w:val="FootnoteText"/>
        <w:spacing w:after="120"/>
      </w:pPr>
      <w:r w:rsidRPr="00EE2318">
        <w:rPr>
          <w:rStyle w:val="FootnoteReference"/>
        </w:rPr>
        <w:footnoteRef/>
      </w:r>
      <w:r w:rsidRPr="00EE2318">
        <w:t xml:space="preserve"> </w:t>
      </w:r>
      <w:r w:rsidR="004D48E4" w:rsidRPr="00635D6D">
        <w:rPr>
          <w:i/>
          <w:iCs/>
        </w:rPr>
        <w:t>See Dominion Energy Inc. (September 5, 2023), Dominion Energy Advances Business Review, Announces Agreements to Sell Gas Distribution Companies to Enbridge</w:t>
      </w:r>
      <w:r w:rsidR="004D48E4" w:rsidRPr="00635D6D">
        <w:t xml:space="preserve">, </w:t>
      </w:r>
      <w:hyperlink w:history="1">
        <w:r w:rsidR="004D48E4" w:rsidRPr="006C6781">
          <w:rPr>
            <w:rStyle w:val="Hyperlink"/>
          </w:rPr>
          <w:t>https://news.dominionenergy.com /2023-09-05-Dominion-Energy-Advances-Business-Review-Announces-Agreements-to-Sell-Gas-Distribution-Companies-to-Enbridge</w:t>
        </w:r>
      </w:hyperlink>
      <w:r w:rsidR="004D48E4" w:rsidRPr="00635D6D">
        <w:t>.</w:t>
      </w:r>
      <w:r w:rsidR="00DB05AD">
        <w:t xml:space="preserve"> </w:t>
      </w:r>
      <w:r w:rsidRPr="00EE2318">
        <w:rPr>
          <w:i/>
          <w:iCs/>
        </w:rPr>
        <w:t>See</w:t>
      </w:r>
      <w:r w:rsidR="004D48E4">
        <w:rPr>
          <w:i/>
          <w:iCs/>
        </w:rPr>
        <w:t xml:space="preserve"> also</w:t>
      </w:r>
      <w:r w:rsidRPr="00EE2318">
        <w:t xml:space="preserve"> Sean McDonnell (September 7, 2023)</w:t>
      </w:r>
      <w:r>
        <w:t>,</w:t>
      </w:r>
      <w:r w:rsidRPr="00EE2318">
        <w:t xml:space="preserve"> </w:t>
      </w:r>
      <w:r w:rsidRPr="00EE2318">
        <w:rPr>
          <w:i/>
          <w:iCs/>
        </w:rPr>
        <w:t>The utility for 1.2 million Ohio customers was just sold: Here</w:t>
      </w:r>
      <w:r w:rsidR="00727934">
        <w:rPr>
          <w:i/>
          <w:iCs/>
        </w:rPr>
        <w:t>’</w:t>
      </w:r>
      <w:r w:rsidRPr="00EE2318">
        <w:rPr>
          <w:i/>
          <w:iCs/>
        </w:rPr>
        <w:t>s how that will affect your bill</w:t>
      </w:r>
      <w:r w:rsidRPr="00EE2318">
        <w:t xml:space="preserve">, Cleveland.com, Retrieved from </w:t>
      </w:r>
      <w:hyperlink r:id="rId26" w:history="1">
        <w:r w:rsidRPr="00EE2318">
          <w:rPr>
            <w:rStyle w:val="Hyperlink"/>
          </w:rPr>
          <w:t>https://www.cleveland.com/news/2023/09/the-utility-for-12-million-ohio-customers-was-just-sold-heres-how-that-will-affect-your-bill.html</w:t>
        </w:r>
      </w:hyperlink>
      <w:r>
        <w:t>;</w:t>
      </w:r>
      <w:r w:rsidRPr="00EE2318">
        <w:t xml:space="preserve"> </w:t>
      </w:r>
      <w:r w:rsidRPr="00EE2318">
        <w:rPr>
          <w:i/>
          <w:iCs/>
        </w:rPr>
        <w:t>See</w:t>
      </w:r>
      <w:r w:rsidRPr="00EE2318">
        <w:t xml:space="preserve"> also Enbridge Inc. (September 6, 2023), </w:t>
      </w:r>
      <w:r w:rsidRPr="00EE2318">
        <w:rPr>
          <w:i/>
          <w:iCs/>
        </w:rPr>
        <w:t>Enbridge acquires trio of U.S. companies from Dominion Energy Inc., creating North America</w:t>
      </w:r>
      <w:r w:rsidR="00727934">
        <w:rPr>
          <w:i/>
          <w:iCs/>
        </w:rPr>
        <w:t>’</w:t>
      </w:r>
      <w:r w:rsidRPr="00EE2318">
        <w:rPr>
          <w:i/>
          <w:iCs/>
        </w:rPr>
        <w:t>s largest natural gas utility franchise</w:t>
      </w:r>
      <w:r>
        <w:t>,</w:t>
      </w:r>
      <w:r w:rsidRPr="00EE2318">
        <w:t xml:space="preserve"> </w:t>
      </w:r>
      <w:hyperlink r:id="rId27" w:history="1">
        <w:r w:rsidRPr="00EE2318">
          <w:rPr>
            <w:rStyle w:val="Hyperlink"/>
          </w:rPr>
          <w:t>https://www.enbridge.com/stories/2023/september/enbridge-acquires-three-us-gas-utilities-from-dominion-energy</w:t>
        </w:r>
      </w:hyperlink>
      <w:r w:rsidRPr="00EE2318">
        <w:t xml:space="preserve">. </w:t>
      </w:r>
      <w:r w:rsidRPr="00EE2318">
        <w:rPr>
          <w:i/>
          <w:iCs/>
        </w:rPr>
        <w:t>See also</w:t>
      </w:r>
      <w:r w:rsidRPr="00EE2318">
        <w:t xml:space="preserve"> </w:t>
      </w:r>
      <w:r w:rsidRPr="00EE2318">
        <w:rPr>
          <w:i/>
          <w:iCs/>
        </w:rPr>
        <w:t>Dominion Energy Inc. (September 5, 2023), Dominion Energy Advances Business Review, Announces Agreements to Sell Gas Distribution Companies to Enbridge</w:t>
      </w:r>
      <w:r w:rsidRPr="00EE2318">
        <w:t>,</w:t>
      </w:r>
      <w:r>
        <w:t xml:space="preserve"> </w:t>
      </w:r>
      <w:hyperlink r:id="rId28" w:history="1">
        <w:r w:rsidRPr="00161F33">
          <w:rPr>
            <w:rStyle w:val="Hyperlink"/>
          </w:rPr>
          <w:t>https://news.dominionenergy.com/2023-09-05-Dominion-Energy-Advances-Business-Review-Announces-Agreements-to-Sell-Gas-Distribution-Companies-to-Enbridge</w:t>
        </w:r>
      </w:hyperlink>
      <w:r w:rsidRPr="00EE2318">
        <w:t xml:space="preserve">. </w:t>
      </w:r>
    </w:p>
  </w:footnote>
  <w:footnote w:id="39">
    <w:p w14:paraId="5396B94E" w14:textId="0B003E4D" w:rsidR="00523726" w:rsidRPr="006A3AB5" w:rsidRDefault="00B26A4A" w:rsidP="00523726">
      <w:pPr>
        <w:pStyle w:val="FootnoteText"/>
        <w:spacing w:after="120"/>
      </w:pPr>
      <w:r w:rsidRPr="006A3AB5">
        <w:rPr>
          <w:rStyle w:val="FootnoteReference"/>
        </w:rPr>
        <w:footnoteRef/>
      </w:r>
      <w:r w:rsidRPr="006A3AB5">
        <w:t xml:space="preserve"> </w:t>
      </w:r>
      <w:r w:rsidRPr="006A3AB5">
        <w:rPr>
          <w:i/>
          <w:iCs/>
        </w:rPr>
        <w:t>In the Matter of the Application of The East Ohio Gas Company d/b/a Dominion Energy Ohio for Approval to Increase Natural Gas Rates</w:t>
      </w:r>
      <w:r>
        <w:rPr>
          <w:i/>
          <w:iCs/>
        </w:rPr>
        <w:t>,</w:t>
      </w:r>
      <w:r w:rsidRPr="006A3AB5">
        <w:rPr>
          <w:i/>
          <w:iCs/>
        </w:rPr>
        <w:t xml:space="preserve"> </w:t>
      </w:r>
      <w:r w:rsidRPr="006A3AB5">
        <w:t>Case No. 23-894-GA-AIR</w:t>
      </w:r>
      <w:r>
        <w:t xml:space="preserve"> </w:t>
      </w:r>
      <w:r w:rsidRPr="006A3AB5">
        <w:rPr>
          <w:i/>
          <w:iCs/>
        </w:rPr>
        <w:t>(“EOG Rate Case”),</w:t>
      </w:r>
      <w:r w:rsidRPr="006A3AB5">
        <w:t xml:space="preserve"> Motion to Establish Test Period and Date Certain</w:t>
      </w:r>
      <w:r w:rsidR="009B47D9">
        <w:t xml:space="preserve"> </w:t>
      </w:r>
      <w:r w:rsidRPr="006A3AB5">
        <w:t>(Sept</w:t>
      </w:r>
      <w:r>
        <w:t>ember</w:t>
      </w:r>
      <w:r w:rsidRPr="006A3AB5">
        <w:t xml:space="preserve"> 29, 2023) at p. 1. </w:t>
      </w:r>
    </w:p>
  </w:footnote>
  <w:footnote w:id="40">
    <w:p w14:paraId="584FD13B" w14:textId="77777777" w:rsidR="00523726" w:rsidRPr="006A3AB5" w:rsidRDefault="00B26A4A" w:rsidP="00523726">
      <w:pPr>
        <w:pStyle w:val="FootnoteText"/>
        <w:spacing w:after="120"/>
      </w:pPr>
      <w:r w:rsidRPr="006A3AB5">
        <w:rPr>
          <w:rStyle w:val="FootnoteReference"/>
        </w:rPr>
        <w:footnoteRef/>
      </w:r>
      <w:r w:rsidRPr="006A3AB5">
        <w:t xml:space="preserve"> </w:t>
      </w:r>
      <w:r>
        <w:t>EOG Rate Case, Entry (October 18, 2023).</w:t>
      </w:r>
    </w:p>
  </w:footnote>
  <w:footnote w:id="41">
    <w:p w14:paraId="091AB3DB" w14:textId="0E1DC331" w:rsidR="00523726" w:rsidRPr="00635D6D" w:rsidRDefault="00B26A4A" w:rsidP="00523726">
      <w:pPr>
        <w:pStyle w:val="FootnoteText"/>
        <w:spacing w:after="120"/>
      </w:pPr>
      <w:r w:rsidRPr="00635D6D">
        <w:rPr>
          <w:rStyle w:val="FootnoteReference"/>
        </w:rPr>
        <w:footnoteRef/>
      </w:r>
      <w:r w:rsidRPr="00635D6D">
        <w:t xml:space="preserve"> </w:t>
      </w:r>
      <w:r w:rsidRPr="00635D6D">
        <w:rPr>
          <w:i/>
          <w:iCs/>
        </w:rPr>
        <w:t>In the Matter of the Notice of The East Ohio Gas Company d/b/a Dominion Energy Ohio and Enbridge Elephant Holdings, LLC</w:t>
      </w:r>
      <w:r w:rsidRPr="00635D6D">
        <w:t>, Case No. 23-972-GA-UNC, Joint Notice of Parent Company Tran</w:t>
      </w:r>
      <w:r w:rsidR="00974A78">
        <w:t>s</w:t>
      </w:r>
      <w:r w:rsidRPr="00635D6D">
        <w:t xml:space="preserve">action (October 20, </w:t>
      </w:r>
      <w:r w:rsidRPr="00635D6D">
        <w:t>2023).</w:t>
      </w:r>
    </w:p>
  </w:footnote>
  <w:footnote w:id="42">
    <w:p w14:paraId="2605A059" w14:textId="42619FC2" w:rsidR="00523726" w:rsidRDefault="00B26A4A" w:rsidP="00523726">
      <w:pPr>
        <w:pStyle w:val="FootnoteText"/>
      </w:pPr>
      <w:r>
        <w:rPr>
          <w:rStyle w:val="FootnoteReference"/>
        </w:rPr>
        <w:footnoteRef/>
      </w:r>
      <w:r>
        <w:t xml:space="preserve"> </w:t>
      </w:r>
      <w:r w:rsidRPr="0041740A">
        <w:rPr>
          <w:i/>
          <w:iCs/>
        </w:rPr>
        <w:t>In the Matter of the Application of the East Ohio Gas Company d/b/a Dominion Energy Ohio for Approval to Increase Natural Gas Rates</w:t>
      </w:r>
      <w:r w:rsidRPr="00D65002">
        <w:t>, Case No. 23-894-GA-AIR, et al., Application to Increase Rates and Charges</w:t>
      </w:r>
      <w:r w:rsidRPr="0041740A">
        <w:rPr>
          <w:i/>
          <w:iCs/>
        </w:rPr>
        <w:t xml:space="preserve"> </w:t>
      </w:r>
      <w:r w:rsidRPr="00D65002">
        <w:t>(October 31, 2023), at pp. 10 and 13 of the attached Alternative Rate Plan Exhibits.</w:t>
      </w:r>
    </w:p>
  </w:footnote>
  <w:footnote w:id="43">
    <w:p w14:paraId="40E53D5D" w14:textId="1E4D3AE2" w:rsidR="00523726" w:rsidRDefault="00B26A4A" w:rsidP="00523726">
      <w:pPr>
        <w:pStyle w:val="FootnoteText"/>
      </w:pPr>
      <w:r>
        <w:rPr>
          <w:rStyle w:val="FootnoteReference"/>
        </w:rPr>
        <w:footnoteRef/>
      </w:r>
      <w:r>
        <w:t xml:space="preserve"> </w:t>
      </w:r>
      <w:r w:rsidRPr="0064489F">
        <w:rPr>
          <w:i/>
          <w:iCs/>
        </w:rPr>
        <w:t>In the Matter of the Notice of The East Ohio Gas Company d/b/a Dominion Energy Ohio and Enbridge Elephant Holdings, LLC</w:t>
      </w:r>
      <w:r w:rsidRPr="0064489F">
        <w:t>, Case No. 23-972-GA-UNC, Joint Notice of Parent Company Tran</w:t>
      </w:r>
      <w:r w:rsidR="00A94564">
        <w:t>s</w:t>
      </w:r>
      <w:r w:rsidRPr="0064489F">
        <w:t>action (October 20, 2023)</w:t>
      </w:r>
      <w:r>
        <w:t xml:space="preserve"> at p. 3.</w:t>
      </w:r>
    </w:p>
  </w:footnote>
  <w:footnote w:id="44">
    <w:p w14:paraId="443D02BA" w14:textId="13D8A202" w:rsidR="00370911" w:rsidRPr="00370911" w:rsidRDefault="00B26A4A" w:rsidP="00D2651E">
      <w:pPr>
        <w:pStyle w:val="FootnoteText"/>
        <w:ind w:right="720"/>
      </w:pPr>
      <w:r>
        <w:rPr>
          <w:rStyle w:val="FootnoteReference"/>
        </w:rPr>
        <w:footnoteRef/>
      </w:r>
      <w:r>
        <w:t xml:space="preserve"> </w:t>
      </w:r>
      <w:r w:rsidRPr="0041740A">
        <w:rPr>
          <w:i/>
          <w:iCs/>
        </w:rPr>
        <w:t>In the Matter of the Application of the East Ohio Gas Company d/b/a Dominion Energy Ohio for Approval to Increase Natural Gas Rates</w:t>
      </w:r>
      <w:r w:rsidRPr="00D65002">
        <w:t>, Case No. 23-894-GA-AIR, et al.,</w:t>
      </w:r>
      <w:r>
        <w:t xml:space="preserve"> Memo Contra at pp. 2, 3, 6, and 10.</w:t>
      </w:r>
    </w:p>
  </w:footnote>
  <w:footnote w:id="45">
    <w:p w14:paraId="1EF21832" w14:textId="77777777" w:rsidR="008C3C42" w:rsidRPr="008F3F2F" w:rsidRDefault="00B26A4A" w:rsidP="00D2651E">
      <w:pPr>
        <w:pStyle w:val="FootnoteText"/>
        <w:spacing w:after="120"/>
        <w:ind w:right="720"/>
      </w:pPr>
      <w:r w:rsidRPr="008F3F2F">
        <w:rPr>
          <w:rStyle w:val="FootnoteReference"/>
        </w:rPr>
        <w:footnoteRef/>
      </w:r>
      <w:r w:rsidRPr="008F3F2F">
        <w:t xml:space="preserve"> </w:t>
      </w:r>
      <w:r w:rsidRPr="00603D2E">
        <w:rPr>
          <w:i/>
          <w:iCs/>
        </w:rPr>
        <w:t>See</w:t>
      </w:r>
      <w:r>
        <w:t xml:space="preserve"> </w:t>
      </w:r>
      <w:r w:rsidRPr="008F3F2F">
        <w:t>R.C. 4903.09</w:t>
      </w:r>
      <w:r>
        <w:t xml:space="preserve"> (“</w:t>
      </w:r>
      <w:r w:rsidRPr="00A447DB">
        <w:t>In all contested cases heard by the public utilities commission, a complete record of all of the proceedings shall be made, including a transcript of all testimony and of all exhibits, and the commission shall file, with the records of such cases, findings of fact and written opinions setting forth the reasons prompting the decisions arrived at, based upon said findings of fact</w:t>
      </w:r>
      <w:r>
        <w:t>.”).</w:t>
      </w:r>
    </w:p>
  </w:footnote>
  <w:footnote w:id="46">
    <w:p w14:paraId="489706F0" w14:textId="0AE70AB0" w:rsidR="008C3C42" w:rsidRPr="008F3F2F" w:rsidRDefault="00B26A4A" w:rsidP="00D2651E">
      <w:pPr>
        <w:pStyle w:val="FootnoteText"/>
        <w:spacing w:after="120"/>
        <w:ind w:right="720"/>
      </w:pPr>
      <w:r w:rsidRPr="008F3F2F">
        <w:rPr>
          <w:rStyle w:val="FootnoteReference"/>
        </w:rPr>
        <w:footnoteRef/>
      </w:r>
      <w:r w:rsidRPr="008F3F2F">
        <w:t xml:space="preserve"> </w:t>
      </w:r>
      <w:r w:rsidRPr="008F3F2F">
        <w:rPr>
          <w:i/>
        </w:rPr>
        <w:t>See</w:t>
      </w:r>
      <w:r w:rsidRPr="008F3F2F">
        <w:t xml:space="preserve"> R.C. 4903.82 (“</w:t>
      </w:r>
      <w:r w:rsidRPr="008F3F2F">
        <w:rPr>
          <w:color w:val="000000"/>
          <w:shd w:val="clear" w:color="auto" w:fill="FFFFFF"/>
        </w:rPr>
        <w:t>All parties and intervenors shall be granted ample rights of discovery. The present rules of the public utilities commission should be reviewed regularly by the commission to aid full and reasonable discovery by all parties. Without limiting the commission</w:t>
      </w:r>
      <w:r w:rsidR="00727934">
        <w:rPr>
          <w:color w:val="000000"/>
          <w:shd w:val="clear" w:color="auto" w:fill="FFFFFF"/>
        </w:rPr>
        <w:t>’</w:t>
      </w:r>
      <w:r w:rsidRPr="008F3F2F">
        <w:rPr>
          <w:color w:val="000000"/>
          <w:shd w:val="clear" w:color="auto" w:fill="FFFFFF"/>
        </w:rPr>
        <w:t>s discretion</w:t>
      </w:r>
      <w:r>
        <w:rPr>
          <w:color w:val="000000"/>
          <w:shd w:val="clear" w:color="auto" w:fill="FFFFFF"/>
        </w:rPr>
        <w:t>,</w:t>
      </w:r>
      <w:r w:rsidRPr="008F3F2F">
        <w:rPr>
          <w:color w:val="000000"/>
          <w:shd w:val="clear" w:color="auto" w:fill="FFFFFF"/>
        </w:rPr>
        <w:t xml:space="preserve"> the Rules of Civil Procedure should be used wherever practicable.”)</w:t>
      </w:r>
      <w:r>
        <w:rPr>
          <w:color w:val="000000"/>
          <w:shd w:val="clear" w:color="auto" w:fill="FFFFFF"/>
        </w:rPr>
        <w:t>.</w:t>
      </w:r>
    </w:p>
  </w:footnote>
  <w:footnote w:id="47">
    <w:p w14:paraId="64F1F7AE" w14:textId="77777777" w:rsidR="008C3C42" w:rsidRPr="008F3F2F" w:rsidRDefault="00B26A4A" w:rsidP="008C3C42">
      <w:pPr>
        <w:pStyle w:val="FootnoteText"/>
        <w:spacing w:after="120"/>
      </w:pPr>
      <w:r w:rsidRPr="008F3F2F">
        <w:rPr>
          <w:rStyle w:val="FootnoteReference"/>
        </w:rPr>
        <w:footnoteRef/>
      </w:r>
      <w:r w:rsidRPr="008F3F2F">
        <w:t xml:space="preserve"> </w:t>
      </w:r>
      <w:r w:rsidRPr="008F3F2F">
        <w:rPr>
          <w:i/>
        </w:rPr>
        <w:t>See</w:t>
      </w:r>
      <w:r w:rsidRPr="008F3F2F">
        <w:t xml:space="preserve"> R.C. 4903.09.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0709B" w14:textId="77777777" w:rsidR="0033611B" w:rsidRDefault="00336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27850" w14:textId="77777777" w:rsidR="0033611B" w:rsidRDefault="00336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80F46" w14:textId="77777777" w:rsidR="0033611B" w:rsidRDefault="00336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7E50"/>
    <w:multiLevelType w:val="hybridMultilevel"/>
    <w:tmpl w:val="3D08CE44"/>
    <w:lvl w:ilvl="0" w:tplc="BC48887C">
      <w:start w:val="1"/>
      <w:numFmt w:val="upperLetter"/>
      <w:lvlText w:val="%1."/>
      <w:lvlJc w:val="left"/>
      <w:pPr>
        <w:ind w:left="1800" w:hanging="360"/>
      </w:pPr>
      <w:rPr>
        <w:rFonts w:hint="default"/>
      </w:rPr>
    </w:lvl>
    <w:lvl w:ilvl="1" w:tplc="90381646" w:tentative="1">
      <w:start w:val="1"/>
      <w:numFmt w:val="lowerLetter"/>
      <w:lvlText w:val="%2."/>
      <w:lvlJc w:val="left"/>
      <w:pPr>
        <w:ind w:left="2520" w:hanging="360"/>
      </w:pPr>
    </w:lvl>
    <w:lvl w:ilvl="2" w:tplc="C262A4BE" w:tentative="1">
      <w:start w:val="1"/>
      <w:numFmt w:val="lowerRoman"/>
      <w:lvlText w:val="%3."/>
      <w:lvlJc w:val="right"/>
      <w:pPr>
        <w:ind w:left="3240" w:hanging="180"/>
      </w:pPr>
    </w:lvl>
    <w:lvl w:ilvl="3" w:tplc="A02AF984" w:tentative="1">
      <w:start w:val="1"/>
      <w:numFmt w:val="decimal"/>
      <w:lvlText w:val="%4."/>
      <w:lvlJc w:val="left"/>
      <w:pPr>
        <w:ind w:left="3960" w:hanging="360"/>
      </w:pPr>
    </w:lvl>
    <w:lvl w:ilvl="4" w:tplc="EFD201E4" w:tentative="1">
      <w:start w:val="1"/>
      <w:numFmt w:val="lowerLetter"/>
      <w:lvlText w:val="%5."/>
      <w:lvlJc w:val="left"/>
      <w:pPr>
        <w:ind w:left="4680" w:hanging="360"/>
      </w:pPr>
    </w:lvl>
    <w:lvl w:ilvl="5" w:tplc="CD76D826" w:tentative="1">
      <w:start w:val="1"/>
      <w:numFmt w:val="lowerRoman"/>
      <w:lvlText w:val="%6."/>
      <w:lvlJc w:val="right"/>
      <w:pPr>
        <w:ind w:left="5400" w:hanging="180"/>
      </w:pPr>
    </w:lvl>
    <w:lvl w:ilvl="6" w:tplc="D98A3C16" w:tentative="1">
      <w:start w:val="1"/>
      <w:numFmt w:val="decimal"/>
      <w:lvlText w:val="%7."/>
      <w:lvlJc w:val="left"/>
      <w:pPr>
        <w:ind w:left="6120" w:hanging="360"/>
      </w:pPr>
    </w:lvl>
    <w:lvl w:ilvl="7" w:tplc="63180E54" w:tentative="1">
      <w:start w:val="1"/>
      <w:numFmt w:val="lowerLetter"/>
      <w:lvlText w:val="%8."/>
      <w:lvlJc w:val="left"/>
      <w:pPr>
        <w:ind w:left="6840" w:hanging="360"/>
      </w:pPr>
    </w:lvl>
    <w:lvl w:ilvl="8" w:tplc="097648C4" w:tentative="1">
      <w:start w:val="1"/>
      <w:numFmt w:val="lowerRoman"/>
      <w:lvlText w:val="%9."/>
      <w:lvlJc w:val="right"/>
      <w:pPr>
        <w:ind w:left="7560" w:hanging="180"/>
      </w:pPr>
    </w:lvl>
  </w:abstractNum>
  <w:abstractNum w:abstractNumId="1" w15:restartNumberingAfterBreak="0">
    <w:nsid w:val="0A5E6846"/>
    <w:multiLevelType w:val="hybridMultilevel"/>
    <w:tmpl w:val="3844F854"/>
    <w:lvl w:ilvl="0" w:tplc="D806D9A4">
      <w:start w:val="1"/>
      <w:numFmt w:val="upperLetter"/>
      <w:lvlText w:val="%1."/>
      <w:lvlJc w:val="left"/>
      <w:pPr>
        <w:ind w:left="1080" w:hanging="360"/>
      </w:pPr>
      <w:rPr>
        <w:rFonts w:hint="default"/>
      </w:rPr>
    </w:lvl>
    <w:lvl w:ilvl="1" w:tplc="FA042B70" w:tentative="1">
      <w:start w:val="1"/>
      <w:numFmt w:val="lowerLetter"/>
      <w:lvlText w:val="%2."/>
      <w:lvlJc w:val="left"/>
      <w:pPr>
        <w:ind w:left="1800" w:hanging="360"/>
      </w:pPr>
    </w:lvl>
    <w:lvl w:ilvl="2" w:tplc="BC7C56EA" w:tentative="1">
      <w:start w:val="1"/>
      <w:numFmt w:val="lowerRoman"/>
      <w:lvlText w:val="%3."/>
      <w:lvlJc w:val="right"/>
      <w:pPr>
        <w:ind w:left="2520" w:hanging="180"/>
      </w:pPr>
    </w:lvl>
    <w:lvl w:ilvl="3" w:tplc="E4726DB8" w:tentative="1">
      <w:start w:val="1"/>
      <w:numFmt w:val="decimal"/>
      <w:lvlText w:val="%4."/>
      <w:lvlJc w:val="left"/>
      <w:pPr>
        <w:ind w:left="3240" w:hanging="360"/>
      </w:pPr>
    </w:lvl>
    <w:lvl w:ilvl="4" w:tplc="9DFE9640" w:tentative="1">
      <w:start w:val="1"/>
      <w:numFmt w:val="lowerLetter"/>
      <w:lvlText w:val="%5."/>
      <w:lvlJc w:val="left"/>
      <w:pPr>
        <w:ind w:left="3960" w:hanging="360"/>
      </w:pPr>
    </w:lvl>
    <w:lvl w:ilvl="5" w:tplc="997A7360" w:tentative="1">
      <w:start w:val="1"/>
      <w:numFmt w:val="lowerRoman"/>
      <w:lvlText w:val="%6."/>
      <w:lvlJc w:val="right"/>
      <w:pPr>
        <w:ind w:left="4680" w:hanging="180"/>
      </w:pPr>
    </w:lvl>
    <w:lvl w:ilvl="6" w:tplc="BFF4824A" w:tentative="1">
      <w:start w:val="1"/>
      <w:numFmt w:val="decimal"/>
      <w:lvlText w:val="%7."/>
      <w:lvlJc w:val="left"/>
      <w:pPr>
        <w:ind w:left="5400" w:hanging="360"/>
      </w:pPr>
    </w:lvl>
    <w:lvl w:ilvl="7" w:tplc="E84AEABE" w:tentative="1">
      <w:start w:val="1"/>
      <w:numFmt w:val="lowerLetter"/>
      <w:lvlText w:val="%8."/>
      <w:lvlJc w:val="left"/>
      <w:pPr>
        <w:ind w:left="6120" w:hanging="360"/>
      </w:pPr>
    </w:lvl>
    <w:lvl w:ilvl="8" w:tplc="30A0BC88" w:tentative="1">
      <w:start w:val="1"/>
      <w:numFmt w:val="lowerRoman"/>
      <w:lvlText w:val="%9."/>
      <w:lvlJc w:val="right"/>
      <w:pPr>
        <w:ind w:left="6840" w:hanging="180"/>
      </w:pPr>
    </w:lvl>
  </w:abstractNum>
  <w:abstractNum w:abstractNumId="2" w15:restartNumberingAfterBreak="0">
    <w:nsid w:val="0C635194"/>
    <w:multiLevelType w:val="hybridMultilevel"/>
    <w:tmpl w:val="E0002178"/>
    <w:lvl w:ilvl="0" w:tplc="010C7AB0">
      <w:start w:val="1"/>
      <w:numFmt w:val="upperRoman"/>
      <w:lvlText w:val="%1."/>
      <w:lvlJc w:val="left"/>
      <w:pPr>
        <w:ind w:left="1080" w:hanging="720"/>
      </w:pPr>
      <w:rPr>
        <w:rFonts w:hint="default"/>
      </w:rPr>
    </w:lvl>
    <w:lvl w:ilvl="1" w:tplc="4D5E912C" w:tentative="1">
      <w:start w:val="1"/>
      <w:numFmt w:val="lowerLetter"/>
      <w:lvlText w:val="%2."/>
      <w:lvlJc w:val="left"/>
      <w:pPr>
        <w:ind w:left="1440" w:hanging="360"/>
      </w:pPr>
    </w:lvl>
    <w:lvl w:ilvl="2" w:tplc="D47C55BA" w:tentative="1">
      <w:start w:val="1"/>
      <w:numFmt w:val="lowerRoman"/>
      <w:lvlText w:val="%3."/>
      <w:lvlJc w:val="right"/>
      <w:pPr>
        <w:ind w:left="2160" w:hanging="180"/>
      </w:pPr>
    </w:lvl>
    <w:lvl w:ilvl="3" w:tplc="1EA4F060" w:tentative="1">
      <w:start w:val="1"/>
      <w:numFmt w:val="decimal"/>
      <w:lvlText w:val="%4."/>
      <w:lvlJc w:val="left"/>
      <w:pPr>
        <w:ind w:left="2880" w:hanging="360"/>
      </w:pPr>
    </w:lvl>
    <w:lvl w:ilvl="4" w:tplc="263888E6" w:tentative="1">
      <w:start w:val="1"/>
      <w:numFmt w:val="lowerLetter"/>
      <w:lvlText w:val="%5."/>
      <w:lvlJc w:val="left"/>
      <w:pPr>
        <w:ind w:left="3600" w:hanging="360"/>
      </w:pPr>
    </w:lvl>
    <w:lvl w:ilvl="5" w:tplc="6C42BFF2" w:tentative="1">
      <w:start w:val="1"/>
      <w:numFmt w:val="lowerRoman"/>
      <w:lvlText w:val="%6."/>
      <w:lvlJc w:val="right"/>
      <w:pPr>
        <w:ind w:left="4320" w:hanging="180"/>
      </w:pPr>
    </w:lvl>
    <w:lvl w:ilvl="6" w:tplc="5F4A1A60" w:tentative="1">
      <w:start w:val="1"/>
      <w:numFmt w:val="decimal"/>
      <w:lvlText w:val="%7."/>
      <w:lvlJc w:val="left"/>
      <w:pPr>
        <w:ind w:left="5040" w:hanging="360"/>
      </w:pPr>
    </w:lvl>
    <w:lvl w:ilvl="7" w:tplc="4B9AE786" w:tentative="1">
      <w:start w:val="1"/>
      <w:numFmt w:val="lowerLetter"/>
      <w:lvlText w:val="%8."/>
      <w:lvlJc w:val="left"/>
      <w:pPr>
        <w:ind w:left="5760" w:hanging="360"/>
      </w:pPr>
    </w:lvl>
    <w:lvl w:ilvl="8" w:tplc="B69AB508" w:tentative="1">
      <w:start w:val="1"/>
      <w:numFmt w:val="lowerRoman"/>
      <w:lvlText w:val="%9."/>
      <w:lvlJc w:val="right"/>
      <w:pPr>
        <w:ind w:left="6480" w:hanging="180"/>
      </w:pPr>
    </w:lvl>
  </w:abstractNum>
  <w:abstractNum w:abstractNumId="3" w15:restartNumberingAfterBreak="0">
    <w:nsid w:val="11397130"/>
    <w:multiLevelType w:val="hybridMultilevel"/>
    <w:tmpl w:val="4F562B7E"/>
    <w:lvl w:ilvl="0" w:tplc="579A0D8A">
      <w:start w:val="1"/>
      <w:numFmt w:val="decimal"/>
      <w:lvlText w:val="%1."/>
      <w:lvlJc w:val="left"/>
      <w:pPr>
        <w:ind w:left="2160" w:hanging="360"/>
      </w:pPr>
      <w:rPr>
        <w:rFonts w:hint="default"/>
      </w:rPr>
    </w:lvl>
    <w:lvl w:ilvl="1" w:tplc="ED768240" w:tentative="1">
      <w:start w:val="1"/>
      <w:numFmt w:val="lowerLetter"/>
      <w:lvlText w:val="%2."/>
      <w:lvlJc w:val="left"/>
      <w:pPr>
        <w:ind w:left="2880" w:hanging="360"/>
      </w:pPr>
    </w:lvl>
    <w:lvl w:ilvl="2" w:tplc="42205AB8" w:tentative="1">
      <w:start w:val="1"/>
      <w:numFmt w:val="lowerRoman"/>
      <w:lvlText w:val="%3."/>
      <w:lvlJc w:val="right"/>
      <w:pPr>
        <w:ind w:left="3600" w:hanging="180"/>
      </w:pPr>
    </w:lvl>
    <w:lvl w:ilvl="3" w:tplc="B95224B6" w:tentative="1">
      <w:start w:val="1"/>
      <w:numFmt w:val="decimal"/>
      <w:lvlText w:val="%4."/>
      <w:lvlJc w:val="left"/>
      <w:pPr>
        <w:ind w:left="4320" w:hanging="360"/>
      </w:pPr>
    </w:lvl>
    <w:lvl w:ilvl="4" w:tplc="B6A2E408" w:tentative="1">
      <w:start w:val="1"/>
      <w:numFmt w:val="lowerLetter"/>
      <w:lvlText w:val="%5."/>
      <w:lvlJc w:val="left"/>
      <w:pPr>
        <w:ind w:left="5040" w:hanging="360"/>
      </w:pPr>
    </w:lvl>
    <w:lvl w:ilvl="5" w:tplc="C33EDE7A" w:tentative="1">
      <w:start w:val="1"/>
      <w:numFmt w:val="lowerRoman"/>
      <w:lvlText w:val="%6."/>
      <w:lvlJc w:val="right"/>
      <w:pPr>
        <w:ind w:left="5760" w:hanging="180"/>
      </w:pPr>
    </w:lvl>
    <w:lvl w:ilvl="6" w:tplc="ACD26E9C" w:tentative="1">
      <w:start w:val="1"/>
      <w:numFmt w:val="decimal"/>
      <w:lvlText w:val="%7."/>
      <w:lvlJc w:val="left"/>
      <w:pPr>
        <w:ind w:left="6480" w:hanging="360"/>
      </w:pPr>
    </w:lvl>
    <w:lvl w:ilvl="7" w:tplc="F092B86C" w:tentative="1">
      <w:start w:val="1"/>
      <w:numFmt w:val="lowerLetter"/>
      <w:lvlText w:val="%8."/>
      <w:lvlJc w:val="left"/>
      <w:pPr>
        <w:ind w:left="7200" w:hanging="360"/>
      </w:pPr>
    </w:lvl>
    <w:lvl w:ilvl="8" w:tplc="A302EB38" w:tentative="1">
      <w:start w:val="1"/>
      <w:numFmt w:val="lowerRoman"/>
      <w:lvlText w:val="%9."/>
      <w:lvlJc w:val="right"/>
      <w:pPr>
        <w:ind w:left="7920" w:hanging="180"/>
      </w:pPr>
    </w:lvl>
  </w:abstractNum>
  <w:abstractNum w:abstractNumId="4" w15:restartNumberingAfterBreak="0">
    <w:nsid w:val="1BD575C2"/>
    <w:multiLevelType w:val="hybridMultilevel"/>
    <w:tmpl w:val="CFB84F48"/>
    <w:lvl w:ilvl="0" w:tplc="0828421A">
      <w:start w:val="1"/>
      <w:numFmt w:val="upperRoman"/>
      <w:lvlText w:val="%1."/>
      <w:lvlJc w:val="left"/>
      <w:pPr>
        <w:ind w:left="1080" w:hanging="720"/>
      </w:pPr>
      <w:rPr>
        <w:rFonts w:hint="default"/>
      </w:rPr>
    </w:lvl>
    <w:lvl w:ilvl="1" w:tplc="2C74E88C" w:tentative="1">
      <w:start w:val="1"/>
      <w:numFmt w:val="lowerLetter"/>
      <w:lvlText w:val="%2."/>
      <w:lvlJc w:val="left"/>
      <w:pPr>
        <w:ind w:left="1440" w:hanging="360"/>
      </w:pPr>
    </w:lvl>
    <w:lvl w:ilvl="2" w:tplc="CD3283C2" w:tentative="1">
      <w:start w:val="1"/>
      <w:numFmt w:val="lowerRoman"/>
      <w:lvlText w:val="%3."/>
      <w:lvlJc w:val="right"/>
      <w:pPr>
        <w:ind w:left="2160" w:hanging="180"/>
      </w:pPr>
    </w:lvl>
    <w:lvl w:ilvl="3" w:tplc="180A754C" w:tentative="1">
      <w:start w:val="1"/>
      <w:numFmt w:val="decimal"/>
      <w:lvlText w:val="%4."/>
      <w:lvlJc w:val="left"/>
      <w:pPr>
        <w:ind w:left="2880" w:hanging="360"/>
      </w:pPr>
    </w:lvl>
    <w:lvl w:ilvl="4" w:tplc="44DE73DE" w:tentative="1">
      <w:start w:val="1"/>
      <w:numFmt w:val="lowerLetter"/>
      <w:lvlText w:val="%5."/>
      <w:lvlJc w:val="left"/>
      <w:pPr>
        <w:ind w:left="3600" w:hanging="360"/>
      </w:pPr>
    </w:lvl>
    <w:lvl w:ilvl="5" w:tplc="9EBE7FC8" w:tentative="1">
      <w:start w:val="1"/>
      <w:numFmt w:val="lowerRoman"/>
      <w:lvlText w:val="%6."/>
      <w:lvlJc w:val="right"/>
      <w:pPr>
        <w:ind w:left="4320" w:hanging="180"/>
      </w:pPr>
    </w:lvl>
    <w:lvl w:ilvl="6" w:tplc="A38E003A" w:tentative="1">
      <w:start w:val="1"/>
      <w:numFmt w:val="decimal"/>
      <w:lvlText w:val="%7."/>
      <w:lvlJc w:val="left"/>
      <w:pPr>
        <w:ind w:left="5040" w:hanging="360"/>
      </w:pPr>
    </w:lvl>
    <w:lvl w:ilvl="7" w:tplc="29BA31AC" w:tentative="1">
      <w:start w:val="1"/>
      <w:numFmt w:val="lowerLetter"/>
      <w:lvlText w:val="%8."/>
      <w:lvlJc w:val="left"/>
      <w:pPr>
        <w:ind w:left="5760" w:hanging="360"/>
      </w:pPr>
    </w:lvl>
    <w:lvl w:ilvl="8" w:tplc="EFAA0D5A" w:tentative="1">
      <w:start w:val="1"/>
      <w:numFmt w:val="lowerRoman"/>
      <w:lvlText w:val="%9."/>
      <w:lvlJc w:val="right"/>
      <w:pPr>
        <w:ind w:left="6480" w:hanging="180"/>
      </w:pPr>
    </w:lvl>
  </w:abstractNum>
  <w:abstractNum w:abstractNumId="5" w15:restartNumberingAfterBreak="0">
    <w:nsid w:val="223A468B"/>
    <w:multiLevelType w:val="hybridMultilevel"/>
    <w:tmpl w:val="24D8F882"/>
    <w:lvl w:ilvl="0" w:tplc="109A3850">
      <w:start w:val="1"/>
      <w:numFmt w:val="upperLetter"/>
      <w:lvlText w:val="%1."/>
      <w:lvlJc w:val="left"/>
      <w:pPr>
        <w:ind w:left="1800" w:hanging="360"/>
      </w:pPr>
      <w:rPr>
        <w:rFonts w:hint="default"/>
      </w:rPr>
    </w:lvl>
    <w:lvl w:ilvl="1" w:tplc="B628BD40" w:tentative="1">
      <w:start w:val="1"/>
      <w:numFmt w:val="lowerLetter"/>
      <w:lvlText w:val="%2."/>
      <w:lvlJc w:val="left"/>
      <w:pPr>
        <w:ind w:left="2520" w:hanging="360"/>
      </w:pPr>
    </w:lvl>
    <w:lvl w:ilvl="2" w:tplc="BE3EED3A" w:tentative="1">
      <w:start w:val="1"/>
      <w:numFmt w:val="lowerRoman"/>
      <w:lvlText w:val="%3."/>
      <w:lvlJc w:val="right"/>
      <w:pPr>
        <w:ind w:left="3240" w:hanging="180"/>
      </w:pPr>
    </w:lvl>
    <w:lvl w:ilvl="3" w:tplc="658042A0" w:tentative="1">
      <w:start w:val="1"/>
      <w:numFmt w:val="decimal"/>
      <w:lvlText w:val="%4."/>
      <w:lvlJc w:val="left"/>
      <w:pPr>
        <w:ind w:left="3960" w:hanging="360"/>
      </w:pPr>
    </w:lvl>
    <w:lvl w:ilvl="4" w:tplc="68CE19DC" w:tentative="1">
      <w:start w:val="1"/>
      <w:numFmt w:val="lowerLetter"/>
      <w:lvlText w:val="%5."/>
      <w:lvlJc w:val="left"/>
      <w:pPr>
        <w:ind w:left="4680" w:hanging="360"/>
      </w:pPr>
    </w:lvl>
    <w:lvl w:ilvl="5" w:tplc="4E22084A" w:tentative="1">
      <w:start w:val="1"/>
      <w:numFmt w:val="lowerRoman"/>
      <w:lvlText w:val="%6."/>
      <w:lvlJc w:val="right"/>
      <w:pPr>
        <w:ind w:left="5400" w:hanging="180"/>
      </w:pPr>
    </w:lvl>
    <w:lvl w:ilvl="6" w:tplc="783CFA5E" w:tentative="1">
      <w:start w:val="1"/>
      <w:numFmt w:val="decimal"/>
      <w:lvlText w:val="%7."/>
      <w:lvlJc w:val="left"/>
      <w:pPr>
        <w:ind w:left="6120" w:hanging="360"/>
      </w:pPr>
    </w:lvl>
    <w:lvl w:ilvl="7" w:tplc="AA3C4220" w:tentative="1">
      <w:start w:val="1"/>
      <w:numFmt w:val="lowerLetter"/>
      <w:lvlText w:val="%8."/>
      <w:lvlJc w:val="left"/>
      <w:pPr>
        <w:ind w:left="6840" w:hanging="360"/>
      </w:pPr>
    </w:lvl>
    <w:lvl w:ilvl="8" w:tplc="3FECC6CC" w:tentative="1">
      <w:start w:val="1"/>
      <w:numFmt w:val="lowerRoman"/>
      <w:lvlText w:val="%9."/>
      <w:lvlJc w:val="right"/>
      <w:pPr>
        <w:ind w:left="7560" w:hanging="180"/>
      </w:pPr>
    </w:lvl>
  </w:abstractNum>
  <w:abstractNum w:abstractNumId="6" w15:restartNumberingAfterBreak="0">
    <w:nsid w:val="241271BA"/>
    <w:multiLevelType w:val="hybridMultilevel"/>
    <w:tmpl w:val="08FC0748"/>
    <w:lvl w:ilvl="0" w:tplc="B84CF06C">
      <w:start w:val="1"/>
      <w:numFmt w:val="decimal"/>
      <w:lvlText w:val="%1."/>
      <w:lvlJc w:val="left"/>
      <w:pPr>
        <w:ind w:left="1800" w:hanging="360"/>
      </w:pPr>
      <w:rPr>
        <w:rFonts w:hint="default"/>
      </w:rPr>
    </w:lvl>
    <w:lvl w:ilvl="1" w:tplc="140C7DA4" w:tentative="1">
      <w:start w:val="1"/>
      <w:numFmt w:val="lowerLetter"/>
      <w:lvlText w:val="%2."/>
      <w:lvlJc w:val="left"/>
      <w:pPr>
        <w:ind w:left="2520" w:hanging="360"/>
      </w:pPr>
    </w:lvl>
    <w:lvl w:ilvl="2" w:tplc="A2341FF8" w:tentative="1">
      <w:start w:val="1"/>
      <w:numFmt w:val="lowerRoman"/>
      <w:lvlText w:val="%3."/>
      <w:lvlJc w:val="right"/>
      <w:pPr>
        <w:ind w:left="3240" w:hanging="180"/>
      </w:pPr>
    </w:lvl>
    <w:lvl w:ilvl="3" w:tplc="D174D2B0" w:tentative="1">
      <w:start w:val="1"/>
      <w:numFmt w:val="decimal"/>
      <w:lvlText w:val="%4."/>
      <w:lvlJc w:val="left"/>
      <w:pPr>
        <w:ind w:left="3960" w:hanging="360"/>
      </w:pPr>
    </w:lvl>
    <w:lvl w:ilvl="4" w:tplc="36862BF6" w:tentative="1">
      <w:start w:val="1"/>
      <w:numFmt w:val="lowerLetter"/>
      <w:lvlText w:val="%5."/>
      <w:lvlJc w:val="left"/>
      <w:pPr>
        <w:ind w:left="4680" w:hanging="360"/>
      </w:pPr>
    </w:lvl>
    <w:lvl w:ilvl="5" w:tplc="FBFCB882" w:tentative="1">
      <w:start w:val="1"/>
      <w:numFmt w:val="lowerRoman"/>
      <w:lvlText w:val="%6."/>
      <w:lvlJc w:val="right"/>
      <w:pPr>
        <w:ind w:left="5400" w:hanging="180"/>
      </w:pPr>
    </w:lvl>
    <w:lvl w:ilvl="6" w:tplc="E0722C0E" w:tentative="1">
      <w:start w:val="1"/>
      <w:numFmt w:val="decimal"/>
      <w:lvlText w:val="%7."/>
      <w:lvlJc w:val="left"/>
      <w:pPr>
        <w:ind w:left="6120" w:hanging="360"/>
      </w:pPr>
    </w:lvl>
    <w:lvl w:ilvl="7" w:tplc="A336F482" w:tentative="1">
      <w:start w:val="1"/>
      <w:numFmt w:val="lowerLetter"/>
      <w:lvlText w:val="%8."/>
      <w:lvlJc w:val="left"/>
      <w:pPr>
        <w:ind w:left="6840" w:hanging="360"/>
      </w:pPr>
    </w:lvl>
    <w:lvl w:ilvl="8" w:tplc="E016499C" w:tentative="1">
      <w:start w:val="1"/>
      <w:numFmt w:val="lowerRoman"/>
      <w:lvlText w:val="%9."/>
      <w:lvlJc w:val="right"/>
      <w:pPr>
        <w:ind w:left="7560" w:hanging="180"/>
      </w:pPr>
    </w:lvl>
  </w:abstractNum>
  <w:abstractNum w:abstractNumId="7" w15:restartNumberingAfterBreak="0">
    <w:nsid w:val="27576B58"/>
    <w:multiLevelType w:val="hybridMultilevel"/>
    <w:tmpl w:val="3DC87C6C"/>
    <w:lvl w:ilvl="0" w:tplc="260012E4">
      <w:start w:val="2"/>
      <w:numFmt w:val="lowerLetter"/>
      <w:lvlText w:val="%1."/>
      <w:lvlJc w:val="left"/>
      <w:pPr>
        <w:ind w:left="3600" w:hanging="360"/>
      </w:pPr>
      <w:rPr>
        <w:rFonts w:eastAsiaTheme="majorEastAsia" w:cstheme="majorBidi" w:hint="default"/>
      </w:rPr>
    </w:lvl>
    <w:lvl w:ilvl="1" w:tplc="32684806" w:tentative="1">
      <w:start w:val="1"/>
      <w:numFmt w:val="lowerLetter"/>
      <w:lvlText w:val="%2."/>
      <w:lvlJc w:val="left"/>
      <w:pPr>
        <w:ind w:left="4320" w:hanging="360"/>
      </w:pPr>
    </w:lvl>
    <w:lvl w:ilvl="2" w:tplc="9B44E8EA" w:tentative="1">
      <w:start w:val="1"/>
      <w:numFmt w:val="lowerRoman"/>
      <w:lvlText w:val="%3."/>
      <w:lvlJc w:val="right"/>
      <w:pPr>
        <w:ind w:left="5040" w:hanging="180"/>
      </w:pPr>
    </w:lvl>
    <w:lvl w:ilvl="3" w:tplc="00BED332" w:tentative="1">
      <w:start w:val="1"/>
      <w:numFmt w:val="decimal"/>
      <w:lvlText w:val="%4."/>
      <w:lvlJc w:val="left"/>
      <w:pPr>
        <w:ind w:left="5760" w:hanging="360"/>
      </w:pPr>
    </w:lvl>
    <w:lvl w:ilvl="4" w:tplc="B74EB782" w:tentative="1">
      <w:start w:val="1"/>
      <w:numFmt w:val="lowerLetter"/>
      <w:lvlText w:val="%5."/>
      <w:lvlJc w:val="left"/>
      <w:pPr>
        <w:ind w:left="6480" w:hanging="360"/>
      </w:pPr>
    </w:lvl>
    <w:lvl w:ilvl="5" w:tplc="71E854A6" w:tentative="1">
      <w:start w:val="1"/>
      <w:numFmt w:val="lowerRoman"/>
      <w:lvlText w:val="%6."/>
      <w:lvlJc w:val="right"/>
      <w:pPr>
        <w:ind w:left="7200" w:hanging="180"/>
      </w:pPr>
    </w:lvl>
    <w:lvl w:ilvl="6" w:tplc="E9D42506" w:tentative="1">
      <w:start w:val="1"/>
      <w:numFmt w:val="decimal"/>
      <w:lvlText w:val="%7."/>
      <w:lvlJc w:val="left"/>
      <w:pPr>
        <w:ind w:left="7920" w:hanging="360"/>
      </w:pPr>
    </w:lvl>
    <w:lvl w:ilvl="7" w:tplc="C916F160" w:tentative="1">
      <w:start w:val="1"/>
      <w:numFmt w:val="lowerLetter"/>
      <w:lvlText w:val="%8."/>
      <w:lvlJc w:val="left"/>
      <w:pPr>
        <w:ind w:left="8640" w:hanging="360"/>
      </w:pPr>
    </w:lvl>
    <w:lvl w:ilvl="8" w:tplc="70FC11FE" w:tentative="1">
      <w:start w:val="1"/>
      <w:numFmt w:val="lowerRoman"/>
      <w:lvlText w:val="%9."/>
      <w:lvlJc w:val="right"/>
      <w:pPr>
        <w:ind w:left="9360" w:hanging="180"/>
      </w:pPr>
    </w:lvl>
  </w:abstractNum>
  <w:abstractNum w:abstractNumId="8" w15:restartNumberingAfterBreak="0">
    <w:nsid w:val="285A43CF"/>
    <w:multiLevelType w:val="hybridMultilevel"/>
    <w:tmpl w:val="ACEEC728"/>
    <w:lvl w:ilvl="0" w:tplc="65DC20D2">
      <w:start w:val="14"/>
      <w:numFmt w:val="lowerLetter"/>
      <w:lvlText w:val="%1."/>
      <w:lvlJc w:val="left"/>
      <w:pPr>
        <w:ind w:left="3240" w:hanging="360"/>
      </w:pPr>
      <w:rPr>
        <w:rFonts w:eastAsiaTheme="majorEastAsia" w:cstheme="majorBidi" w:hint="default"/>
      </w:rPr>
    </w:lvl>
    <w:lvl w:ilvl="1" w:tplc="6B3A3028" w:tentative="1">
      <w:start w:val="1"/>
      <w:numFmt w:val="lowerLetter"/>
      <w:lvlText w:val="%2."/>
      <w:lvlJc w:val="left"/>
      <w:pPr>
        <w:ind w:left="3960" w:hanging="360"/>
      </w:pPr>
    </w:lvl>
    <w:lvl w:ilvl="2" w:tplc="EDE2A8E8" w:tentative="1">
      <w:start w:val="1"/>
      <w:numFmt w:val="lowerRoman"/>
      <w:lvlText w:val="%3."/>
      <w:lvlJc w:val="right"/>
      <w:pPr>
        <w:ind w:left="4680" w:hanging="180"/>
      </w:pPr>
    </w:lvl>
    <w:lvl w:ilvl="3" w:tplc="50DC72CC" w:tentative="1">
      <w:start w:val="1"/>
      <w:numFmt w:val="decimal"/>
      <w:lvlText w:val="%4."/>
      <w:lvlJc w:val="left"/>
      <w:pPr>
        <w:ind w:left="5400" w:hanging="360"/>
      </w:pPr>
    </w:lvl>
    <w:lvl w:ilvl="4" w:tplc="5C9C4A8E" w:tentative="1">
      <w:start w:val="1"/>
      <w:numFmt w:val="lowerLetter"/>
      <w:lvlText w:val="%5."/>
      <w:lvlJc w:val="left"/>
      <w:pPr>
        <w:ind w:left="6120" w:hanging="360"/>
      </w:pPr>
    </w:lvl>
    <w:lvl w:ilvl="5" w:tplc="87B00BE8" w:tentative="1">
      <w:start w:val="1"/>
      <w:numFmt w:val="lowerRoman"/>
      <w:lvlText w:val="%6."/>
      <w:lvlJc w:val="right"/>
      <w:pPr>
        <w:ind w:left="6840" w:hanging="180"/>
      </w:pPr>
    </w:lvl>
    <w:lvl w:ilvl="6" w:tplc="15363946" w:tentative="1">
      <w:start w:val="1"/>
      <w:numFmt w:val="decimal"/>
      <w:lvlText w:val="%7."/>
      <w:lvlJc w:val="left"/>
      <w:pPr>
        <w:ind w:left="7560" w:hanging="360"/>
      </w:pPr>
    </w:lvl>
    <w:lvl w:ilvl="7" w:tplc="B0AA0E78" w:tentative="1">
      <w:start w:val="1"/>
      <w:numFmt w:val="lowerLetter"/>
      <w:lvlText w:val="%8."/>
      <w:lvlJc w:val="left"/>
      <w:pPr>
        <w:ind w:left="8280" w:hanging="360"/>
      </w:pPr>
    </w:lvl>
    <w:lvl w:ilvl="8" w:tplc="81FC260A" w:tentative="1">
      <w:start w:val="1"/>
      <w:numFmt w:val="lowerRoman"/>
      <w:lvlText w:val="%9."/>
      <w:lvlJc w:val="right"/>
      <w:pPr>
        <w:ind w:left="9000" w:hanging="180"/>
      </w:pPr>
    </w:lvl>
  </w:abstractNum>
  <w:abstractNum w:abstractNumId="9" w15:restartNumberingAfterBreak="0">
    <w:nsid w:val="30D10E21"/>
    <w:multiLevelType w:val="hybridMultilevel"/>
    <w:tmpl w:val="9C308EC2"/>
    <w:lvl w:ilvl="0" w:tplc="AEB4DB04">
      <w:start w:val="1"/>
      <w:numFmt w:val="decimal"/>
      <w:lvlText w:val="%1."/>
      <w:lvlJc w:val="left"/>
      <w:pPr>
        <w:ind w:left="1800" w:hanging="360"/>
      </w:pPr>
      <w:rPr>
        <w:rFonts w:hint="default"/>
      </w:rPr>
    </w:lvl>
    <w:lvl w:ilvl="1" w:tplc="A21CA794" w:tentative="1">
      <w:start w:val="1"/>
      <w:numFmt w:val="lowerLetter"/>
      <w:lvlText w:val="%2."/>
      <w:lvlJc w:val="left"/>
      <w:pPr>
        <w:ind w:left="2520" w:hanging="360"/>
      </w:pPr>
    </w:lvl>
    <w:lvl w:ilvl="2" w:tplc="674C35FC" w:tentative="1">
      <w:start w:val="1"/>
      <w:numFmt w:val="lowerRoman"/>
      <w:lvlText w:val="%3."/>
      <w:lvlJc w:val="right"/>
      <w:pPr>
        <w:ind w:left="3240" w:hanging="180"/>
      </w:pPr>
    </w:lvl>
    <w:lvl w:ilvl="3" w:tplc="67CA0C74" w:tentative="1">
      <w:start w:val="1"/>
      <w:numFmt w:val="decimal"/>
      <w:lvlText w:val="%4."/>
      <w:lvlJc w:val="left"/>
      <w:pPr>
        <w:ind w:left="3960" w:hanging="360"/>
      </w:pPr>
    </w:lvl>
    <w:lvl w:ilvl="4" w:tplc="0DC6AA78" w:tentative="1">
      <w:start w:val="1"/>
      <w:numFmt w:val="lowerLetter"/>
      <w:lvlText w:val="%5."/>
      <w:lvlJc w:val="left"/>
      <w:pPr>
        <w:ind w:left="4680" w:hanging="360"/>
      </w:pPr>
    </w:lvl>
    <w:lvl w:ilvl="5" w:tplc="33F8286C" w:tentative="1">
      <w:start w:val="1"/>
      <w:numFmt w:val="lowerRoman"/>
      <w:lvlText w:val="%6."/>
      <w:lvlJc w:val="right"/>
      <w:pPr>
        <w:ind w:left="5400" w:hanging="180"/>
      </w:pPr>
    </w:lvl>
    <w:lvl w:ilvl="6" w:tplc="010EEC30" w:tentative="1">
      <w:start w:val="1"/>
      <w:numFmt w:val="decimal"/>
      <w:lvlText w:val="%7."/>
      <w:lvlJc w:val="left"/>
      <w:pPr>
        <w:ind w:left="6120" w:hanging="360"/>
      </w:pPr>
    </w:lvl>
    <w:lvl w:ilvl="7" w:tplc="8DDC9664" w:tentative="1">
      <w:start w:val="1"/>
      <w:numFmt w:val="lowerLetter"/>
      <w:lvlText w:val="%8."/>
      <w:lvlJc w:val="left"/>
      <w:pPr>
        <w:ind w:left="6840" w:hanging="360"/>
      </w:pPr>
    </w:lvl>
    <w:lvl w:ilvl="8" w:tplc="F53EFCC4" w:tentative="1">
      <w:start w:val="1"/>
      <w:numFmt w:val="lowerRoman"/>
      <w:lvlText w:val="%9."/>
      <w:lvlJc w:val="right"/>
      <w:pPr>
        <w:ind w:left="7560" w:hanging="180"/>
      </w:pPr>
    </w:lvl>
  </w:abstractNum>
  <w:abstractNum w:abstractNumId="10" w15:restartNumberingAfterBreak="0">
    <w:nsid w:val="590D1143"/>
    <w:multiLevelType w:val="hybridMultilevel"/>
    <w:tmpl w:val="9C36648C"/>
    <w:lvl w:ilvl="0" w:tplc="51DAB34A">
      <w:start w:val="1"/>
      <w:numFmt w:val="upperRoman"/>
      <w:lvlText w:val="%1."/>
      <w:lvlJc w:val="left"/>
      <w:pPr>
        <w:ind w:left="1080" w:hanging="720"/>
      </w:pPr>
      <w:rPr>
        <w:rFonts w:hint="default"/>
      </w:rPr>
    </w:lvl>
    <w:lvl w:ilvl="1" w:tplc="CAAE1E7A">
      <w:start w:val="1"/>
      <w:numFmt w:val="lowerLetter"/>
      <w:lvlText w:val="%2."/>
      <w:lvlJc w:val="left"/>
      <w:pPr>
        <w:ind w:left="1440" w:hanging="360"/>
      </w:pPr>
    </w:lvl>
    <w:lvl w:ilvl="2" w:tplc="B8D424FA" w:tentative="1">
      <w:start w:val="1"/>
      <w:numFmt w:val="lowerRoman"/>
      <w:lvlText w:val="%3."/>
      <w:lvlJc w:val="right"/>
      <w:pPr>
        <w:ind w:left="2160" w:hanging="180"/>
      </w:pPr>
    </w:lvl>
    <w:lvl w:ilvl="3" w:tplc="0D18CE6C" w:tentative="1">
      <w:start w:val="1"/>
      <w:numFmt w:val="decimal"/>
      <w:lvlText w:val="%4."/>
      <w:lvlJc w:val="left"/>
      <w:pPr>
        <w:ind w:left="2880" w:hanging="360"/>
      </w:pPr>
    </w:lvl>
    <w:lvl w:ilvl="4" w:tplc="970668DC" w:tentative="1">
      <w:start w:val="1"/>
      <w:numFmt w:val="lowerLetter"/>
      <w:lvlText w:val="%5."/>
      <w:lvlJc w:val="left"/>
      <w:pPr>
        <w:ind w:left="3600" w:hanging="360"/>
      </w:pPr>
    </w:lvl>
    <w:lvl w:ilvl="5" w:tplc="4E626A22" w:tentative="1">
      <w:start w:val="1"/>
      <w:numFmt w:val="lowerRoman"/>
      <w:lvlText w:val="%6."/>
      <w:lvlJc w:val="right"/>
      <w:pPr>
        <w:ind w:left="4320" w:hanging="180"/>
      </w:pPr>
    </w:lvl>
    <w:lvl w:ilvl="6" w:tplc="051C4008" w:tentative="1">
      <w:start w:val="1"/>
      <w:numFmt w:val="decimal"/>
      <w:lvlText w:val="%7."/>
      <w:lvlJc w:val="left"/>
      <w:pPr>
        <w:ind w:left="5040" w:hanging="360"/>
      </w:pPr>
    </w:lvl>
    <w:lvl w:ilvl="7" w:tplc="FF7CEF24" w:tentative="1">
      <w:start w:val="1"/>
      <w:numFmt w:val="lowerLetter"/>
      <w:lvlText w:val="%8."/>
      <w:lvlJc w:val="left"/>
      <w:pPr>
        <w:ind w:left="5760" w:hanging="360"/>
      </w:pPr>
    </w:lvl>
    <w:lvl w:ilvl="8" w:tplc="D854C65C" w:tentative="1">
      <w:start w:val="1"/>
      <w:numFmt w:val="lowerRoman"/>
      <w:lvlText w:val="%9."/>
      <w:lvlJc w:val="right"/>
      <w:pPr>
        <w:ind w:left="6480" w:hanging="180"/>
      </w:pPr>
    </w:lvl>
  </w:abstractNum>
  <w:abstractNum w:abstractNumId="11" w15:restartNumberingAfterBreak="0">
    <w:nsid w:val="5E4411E3"/>
    <w:multiLevelType w:val="hybridMultilevel"/>
    <w:tmpl w:val="EB246EA2"/>
    <w:lvl w:ilvl="0" w:tplc="0174FE46">
      <w:start w:val="1"/>
      <w:numFmt w:val="lowerLetter"/>
      <w:lvlText w:val="%1."/>
      <w:lvlJc w:val="left"/>
      <w:pPr>
        <w:ind w:left="2520" w:hanging="360"/>
      </w:pPr>
      <w:rPr>
        <w:rFonts w:hint="default"/>
      </w:rPr>
    </w:lvl>
    <w:lvl w:ilvl="1" w:tplc="6AB8AFE6" w:tentative="1">
      <w:start w:val="1"/>
      <w:numFmt w:val="lowerLetter"/>
      <w:lvlText w:val="%2."/>
      <w:lvlJc w:val="left"/>
      <w:pPr>
        <w:ind w:left="3240" w:hanging="360"/>
      </w:pPr>
    </w:lvl>
    <w:lvl w:ilvl="2" w:tplc="A3C0851A" w:tentative="1">
      <w:start w:val="1"/>
      <w:numFmt w:val="lowerRoman"/>
      <w:lvlText w:val="%3."/>
      <w:lvlJc w:val="right"/>
      <w:pPr>
        <w:ind w:left="3960" w:hanging="180"/>
      </w:pPr>
    </w:lvl>
    <w:lvl w:ilvl="3" w:tplc="AEBE5F7C" w:tentative="1">
      <w:start w:val="1"/>
      <w:numFmt w:val="decimal"/>
      <w:lvlText w:val="%4."/>
      <w:lvlJc w:val="left"/>
      <w:pPr>
        <w:ind w:left="4680" w:hanging="360"/>
      </w:pPr>
    </w:lvl>
    <w:lvl w:ilvl="4" w:tplc="916C63B6" w:tentative="1">
      <w:start w:val="1"/>
      <w:numFmt w:val="lowerLetter"/>
      <w:lvlText w:val="%5."/>
      <w:lvlJc w:val="left"/>
      <w:pPr>
        <w:ind w:left="5400" w:hanging="360"/>
      </w:pPr>
    </w:lvl>
    <w:lvl w:ilvl="5" w:tplc="DBAAB576" w:tentative="1">
      <w:start w:val="1"/>
      <w:numFmt w:val="lowerRoman"/>
      <w:lvlText w:val="%6."/>
      <w:lvlJc w:val="right"/>
      <w:pPr>
        <w:ind w:left="6120" w:hanging="180"/>
      </w:pPr>
    </w:lvl>
    <w:lvl w:ilvl="6" w:tplc="F1CA8120" w:tentative="1">
      <w:start w:val="1"/>
      <w:numFmt w:val="decimal"/>
      <w:lvlText w:val="%7."/>
      <w:lvlJc w:val="left"/>
      <w:pPr>
        <w:ind w:left="6840" w:hanging="360"/>
      </w:pPr>
    </w:lvl>
    <w:lvl w:ilvl="7" w:tplc="0DDC28E2" w:tentative="1">
      <w:start w:val="1"/>
      <w:numFmt w:val="lowerLetter"/>
      <w:lvlText w:val="%8."/>
      <w:lvlJc w:val="left"/>
      <w:pPr>
        <w:ind w:left="7560" w:hanging="360"/>
      </w:pPr>
    </w:lvl>
    <w:lvl w:ilvl="8" w:tplc="ABAA085C" w:tentative="1">
      <w:start w:val="1"/>
      <w:numFmt w:val="lowerRoman"/>
      <w:lvlText w:val="%9."/>
      <w:lvlJc w:val="right"/>
      <w:pPr>
        <w:ind w:left="8280" w:hanging="180"/>
      </w:pPr>
    </w:lvl>
  </w:abstractNum>
  <w:abstractNum w:abstractNumId="12" w15:restartNumberingAfterBreak="0">
    <w:nsid w:val="63E16851"/>
    <w:multiLevelType w:val="multilevel"/>
    <w:tmpl w:val="F3049F7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567155"/>
    <w:multiLevelType w:val="hybridMultilevel"/>
    <w:tmpl w:val="845C4A20"/>
    <w:lvl w:ilvl="0" w:tplc="E21CF87C">
      <w:start w:val="1"/>
      <w:numFmt w:val="lowerLetter"/>
      <w:lvlText w:val="%1."/>
      <w:lvlJc w:val="left"/>
      <w:pPr>
        <w:ind w:left="2880" w:hanging="720"/>
      </w:pPr>
      <w:rPr>
        <w:rFonts w:hint="default"/>
      </w:rPr>
    </w:lvl>
    <w:lvl w:ilvl="1" w:tplc="79485AFA" w:tentative="1">
      <w:start w:val="1"/>
      <w:numFmt w:val="lowerLetter"/>
      <w:lvlText w:val="%2."/>
      <w:lvlJc w:val="left"/>
      <w:pPr>
        <w:ind w:left="3240" w:hanging="360"/>
      </w:pPr>
    </w:lvl>
    <w:lvl w:ilvl="2" w:tplc="A1E2E93A" w:tentative="1">
      <w:start w:val="1"/>
      <w:numFmt w:val="lowerRoman"/>
      <w:lvlText w:val="%3."/>
      <w:lvlJc w:val="right"/>
      <w:pPr>
        <w:ind w:left="3960" w:hanging="180"/>
      </w:pPr>
    </w:lvl>
    <w:lvl w:ilvl="3" w:tplc="EC32030E" w:tentative="1">
      <w:start w:val="1"/>
      <w:numFmt w:val="decimal"/>
      <w:lvlText w:val="%4."/>
      <w:lvlJc w:val="left"/>
      <w:pPr>
        <w:ind w:left="4680" w:hanging="360"/>
      </w:pPr>
    </w:lvl>
    <w:lvl w:ilvl="4" w:tplc="B128DDBC" w:tentative="1">
      <w:start w:val="1"/>
      <w:numFmt w:val="lowerLetter"/>
      <w:lvlText w:val="%5."/>
      <w:lvlJc w:val="left"/>
      <w:pPr>
        <w:ind w:left="5400" w:hanging="360"/>
      </w:pPr>
    </w:lvl>
    <w:lvl w:ilvl="5" w:tplc="16064A3E" w:tentative="1">
      <w:start w:val="1"/>
      <w:numFmt w:val="lowerRoman"/>
      <w:lvlText w:val="%6."/>
      <w:lvlJc w:val="right"/>
      <w:pPr>
        <w:ind w:left="6120" w:hanging="180"/>
      </w:pPr>
    </w:lvl>
    <w:lvl w:ilvl="6" w:tplc="C4768E16" w:tentative="1">
      <w:start w:val="1"/>
      <w:numFmt w:val="decimal"/>
      <w:lvlText w:val="%7."/>
      <w:lvlJc w:val="left"/>
      <w:pPr>
        <w:ind w:left="6840" w:hanging="360"/>
      </w:pPr>
    </w:lvl>
    <w:lvl w:ilvl="7" w:tplc="62086706" w:tentative="1">
      <w:start w:val="1"/>
      <w:numFmt w:val="lowerLetter"/>
      <w:lvlText w:val="%8."/>
      <w:lvlJc w:val="left"/>
      <w:pPr>
        <w:ind w:left="7560" w:hanging="360"/>
      </w:pPr>
    </w:lvl>
    <w:lvl w:ilvl="8" w:tplc="CDB8A874" w:tentative="1">
      <w:start w:val="1"/>
      <w:numFmt w:val="lowerRoman"/>
      <w:lvlText w:val="%9."/>
      <w:lvlJc w:val="right"/>
      <w:pPr>
        <w:ind w:left="8280" w:hanging="180"/>
      </w:pPr>
    </w:lvl>
  </w:abstractNum>
  <w:abstractNum w:abstractNumId="14" w15:restartNumberingAfterBreak="0">
    <w:nsid w:val="73537C44"/>
    <w:multiLevelType w:val="multilevel"/>
    <w:tmpl w:val="1200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AE7883"/>
    <w:multiLevelType w:val="hybridMultilevel"/>
    <w:tmpl w:val="9D56811C"/>
    <w:lvl w:ilvl="0" w:tplc="4C88535A">
      <w:start w:val="1"/>
      <w:numFmt w:val="upperLetter"/>
      <w:lvlText w:val="%1."/>
      <w:lvlJc w:val="left"/>
      <w:pPr>
        <w:ind w:left="1440" w:hanging="360"/>
      </w:pPr>
      <w:rPr>
        <w:rFonts w:hint="default"/>
      </w:rPr>
    </w:lvl>
    <w:lvl w:ilvl="1" w:tplc="1BF63648">
      <w:start w:val="1"/>
      <w:numFmt w:val="lowerLetter"/>
      <w:lvlText w:val="%2."/>
      <w:lvlJc w:val="left"/>
      <w:pPr>
        <w:ind w:left="2160" w:hanging="360"/>
      </w:pPr>
    </w:lvl>
    <w:lvl w:ilvl="2" w:tplc="C66228A8" w:tentative="1">
      <w:start w:val="1"/>
      <w:numFmt w:val="lowerRoman"/>
      <w:lvlText w:val="%3."/>
      <w:lvlJc w:val="right"/>
      <w:pPr>
        <w:ind w:left="2880" w:hanging="180"/>
      </w:pPr>
    </w:lvl>
    <w:lvl w:ilvl="3" w:tplc="3710E7F8" w:tentative="1">
      <w:start w:val="1"/>
      <w:numFmt w:val="decimal"/>
      <w:lvlText w:val="%4."/>
      <w:lvlJc w:val="left"/>
      <w:pPr>
        <w:ind w:left="3600" w:hanging="360"/>
      </w:pPr>
    </w:lvl>
    <w:lvl w:ilvl="4" w:tplc="C53E617A" w:tentative="1">
      <w:start w:val="1"/>
      <w:numFmt w:val="lowerLetter"/>
      <w:lvlText w:val="%5."/>
      <w:lvlJc w:val="left"/>
      <w:pPr>
        <w:ind w:left="4320" w:hanging="360"/>
      </w:pPr>
    </w:lvl>
    <w:lvl w:ilvl="5" w:tplc="FA2ADDB0" w:tentative="1">
      <w:start w:val="1"/>
      <w:numFmt w:val="lowerRoman"/>
      <w:lvlText w:val="%6."/>
      <w:lvlJc w:val="right"/>
      <w:pPr>
        <w:ind w:left="5040" w:hanging="180"/>
      </w:pPr>
    </w:lvl>
    <w:lvl w:ilvl="6" w:tplc="5E3475F6" w:tentative="1">
      <w:start w:val="1"/>
      <w:numFmt w:val="decimal"/>
      <w:lvlText w:val="%7."/>
      <w:lvlJc w:val="left"/>
      <w:pPr>
        <w:ind w:left="5760" w:hanging="360"/>
      </w:pPr>
    </w:lvl>
    <w:lvl w:ilvl="7" w:tplc="E5DA6C28" w:tentative="1">
      <w:start w:val="1"/>
      <w:numFmt w:val="lowerLetter"/>
      <w:lvlText w:val="%8."/>
      <w:lvlJc w:val="left"/>
      <w:pPr>
        <w:ind w:left="6480" w:hanging="360"/>
      </w:pPr>
    </w:lvl>
    <w:lvl w:ilvl="8" w:tplc="D24C5828" w:tentative="1">
      <w:start w:val="1"/>
      <w:numFmt w:val="lowerRoman"/>
      <w:lvlText w:val="%9."/>
      <w:lvlJc w:val="right"/>
      <w:pPr>
        <w:ind w:left="7200" w:hanging="180"/>
      </w:pPr>
    </w:lvl>
  </w:abstractNum>
  <w:num w:numId="1" w16cid:durableId="397483745">
    <w:abstractNumId w:val="12"/>
  </w:num>
  <w:num w:numId="2" w16cid:durableId="543837023">
    <w:abstractNumId w:val="14"/>
  </w:num>
  <w:num w:numId="3" w16cid:durableId="1901362579">
    <w:abstractNumId w:val="10"/>
  </w:num>
  <w:num w:numId="4" w16cid:durableId="1073620721">
    <w:abstractNumId w:val="15"/>
  </w:num>
  <w:num w:numId="5" w16cid:durableId="625358970">
    <w:abstractNumId w:val="3"/>
  </w:num>
  <w:num w:numId="6" w16cid:durableId="246430624">
    <w:abstractNumId w:val="4"/>
  </w:num>
  <w:num w:numId="7" w16cid:durableId="468133109">
    <w:abstractNumId w:val="2"/>
  </w:num>
  <w:num w:numId="8" w16cid:durableId="395393418">
    <w:abstractNumId w:val="5"/>
  </w:num>
  <w:num w:numId="9" w16cid:durableId="1997025499">
    <w:abstractNumId w:val="6"/>
  </w:num>
  <w:num w:numId="10" w16cid:durableId="2126070512">
    <w:abstractNumId w:val="11"/>
  </w:num>
  <w:num w:numId="11" w16cid:durableId="308362871">
    <w:abstractNumId w:val="0"/>
  </w:num>
  <w:num w:numId="12" w16cid:durableId="550767997">
    <w:abstractNumId w:val="9"/>
  </w:num>
  <w:num w:numId="13" w16cid:durableId="1887257015">
    <w:abstractNumId w:val="13"/>
  </w:num>
  <w:num w:numId="14" w16cid:durableId="1710912192">
    <w:abstractNumId w:val="8"/>
  </w:num>
  <w:num w:numId="15" w16cid:durableId="546841834">
    <w:abstractNumId w:val="7"/>
  </w:num>
  <w:num w:numId="16" w16cid:durableId="247354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7E1"/>
    <w:rsid w:val="000023DB"/>
    <w:rsid w:val="0003645A"/>
    <w:rsid w:val="00067944"/>
    <w:rsid w:val="00074C0D"/>
    <w:rsid w:val="00076AA5"/>
    <w:rsid w:val="00084E13"/>
    <w:rsid w:val="00093CF4"/>
    <w:rsid w:val="00096879"/>
    <w:rsid w:val="000C4D49"/>
    <w:rsid w:val="00110642"/>
    <w:rsid w:val="00123555"/>
    <w:rsid w:val="00126E92"/>
    <w:rsid w:val="00153811"/>
    <w:rsid w:val="00161F33"/>
    <w:rsid w:val="00162F74"/>
    <w:rsid w:val="0016766D"/>
    <w:rsid w:val="0017593A"/>
    <w:rsid w:val="001800F0"/>
    <w:rsid w:val="00181E47"/>
    <w:rsid w:val="00186643"/>
    <w:rsid w:val="00197974"/>
    <w:rsid w:val="001A1C74"/>
    <w:rsid w:val="001A59BC"/>
    <w:rsid w:val="001B7293"/>
    <w:rsid w:val="001B79C1"/>
    <w:rsid w:val="001E537F"/>
    <w:rsid w:val="001F02D8"/>
    <w:rsid w:val="00206A62"/>
    <w:rsid w:val="00212602"/>
    <w:rsid w:val="0022395C"/>
    <w:rsid w:val="00233B8E"/>
    <w:rsid w:val="002408AB"/>
    <w:rsid w:val="00252417"/>
    <w:rsid w:val="00256825"/>
    <w:rsid w:val="0027363A"/>
    <w:rsid w:val="00277E55"/>
    <w:rsid w:val="00284608"/>
    <w:rsid w:val="002E6A1C"/>
    <w:rsid w:val="002F5EC1"/>
    <w:rsid w:val="002F6099"/>
    <w:rsid w:val="003233A9"/>
    <w:rsid w:val="003304AF"/>
    <w:rsid w:val="0033611B"/>
    <w:rsid w:val="003515C5"/>
    <w:rsid w:val="00362277"/>
    <w:rsid w:val="0036641F"/>
    <w:rsid w:val="0036649D"/>
    <w:rsid w:val="00370911"/>
    <w:rsid w:val="00397B03"/>
    <w:rsid w:val="003A0484"/>
    <w:rsid w:val="003B52B3"/>
    <w:rsid w:val="003C161B"/>
    <w:rsid w:val="003F7C2C"/>
    <w:rsid w:val="00406D7E"/>
    <w:rsid w:val="004165F8"/>
    <w:rsid w:val="0041740A"/>
    <w:rsid w:val="004213E4"/>
    <w:rsid w:val="00446E63"/>
    <w:rsid w:val="00461D45"/>
    <w:rsid w:val="00462F4B"/>
    <w:rsid w:val="004716E7"/>
    <w:rsid w:val="00483A39"/>
    <w:rsid w:val="004A31C4"/>
    <w:rsid w:val="004B0472"/>
    <w:rsid w:val="004D3F9D"/>
    <w:rsid w:val="004D48E4"/>
    <w:rsid w:val="004D749C"/>
    <w:rsid w:val="004E24DA"/>
    <w:rsid w:val="00502740"/>
    <w:rsid w:val="00523726"/>
    <w:rsid w:val="00524298"/>
    <w:rsid w:val="00526083"/>
    <w:rsid w:val="00527AC8"/>
    <w:rsid w:val="00550DE0"/>
    <w:rsid w:val="005A6217"/>
    <w:rsid w:val="005B1EC3"/>
    <w:rsid w:val="005B6FCC"/>
    <w:rsid w:val="005C1F14"/>
    <w:rsid w:val="005C44CF"/>
    <w:rsid w:val="005C7975"/>
    <w:rsid w:val="005D68D6"/>
    <w:rsid w:val="005F29CC"/>
    <w:rsid w:val="00603D2E"/>
    <w:rsid w:val="0060759C"/>
    <w:rsid w:val="0062094A"/>
    <w:rsid w:val="006333B7"/>
    <w:rsid w:val="00635D6D"/>
    <w:rsid w:val="0064489F"/>
    <w:rsid w:val="006557E1"/>
    <w:rsid w:val="00665D8D"/>
    <w:rsid w:val="00665DEE"/>
    <w:rsid w:val="00684D2E"/>
    <w:rsid w:val="00685949"/>
    <w:rsid w:val="006922D6"/>
    <w:rsid w:val="00697D92"/>
    <w:rsid w:val="006A3AB5"/>
    <w:rsid w:val="006B1C60"/>
    <w:rsid w:val="006C6781"/>
    <w:rsid w:val="006C7DAF"/>
    <w:rsid w:val="006E3A6F"/>
    <w:rsid w:val="007019A0"/>
    <w:rsid w:val="007126DE"/>
    <w:rsid w:val="00725C30"/>
    <w:rsid w:val="00727934"/>
    <w:rsid w:val="0074525C"/>
    <w:rsid w:val="00750519"/>
    <w:rsid w:val="00752E0D"/>
    <w:rsid w:val="00766BB2"/>
    <w:rsid w:val="00775DB7"/>
    <w:rsid w:val="00793827"/>
    <w:rsid w:val="007B7051"/>
    <w:rsid w:val="007C102B"/>
    <w:rsid w:val="007D3FFD"/>
    <w:rsid w:val="007E06C8"/>
    <w:rsid w:val="007E6E01"/>
    <w:rsid w:val="007F7A6E"/>
    <w:rsid w:val="00855BD4"/>
    <w:rsid w:val="00872765"/>
    <w:rsid w:val="00884B79"/>
    <w:rsid w:val="00884C12"/>
    <w:rsid w:val="008A7EE2"/>
    <w:rsid w:val="008B21C6"/>
    <w:rsid w:val="008B4D92"/>
    <w:rsid w:val="008C3C42"/>
    <w:rsid w:val="008F3F2F"/>
    <w:rsid w:val="00921582"/>
    <w:rsid w:val="00926E45"/>
    <w:rsid w:val="0095352F"/>
    <w:rsid w:val="00974A78"/>
    <w:rsid w:val="00985D51"/>
    <w:rsid w:val="009977DF"/>
    <w:rsid w:val="009A1E32"/>
    <w:rsid w:val="009A638A"/>
    <w:rsid w:val="009A7761"/>
    <w:rsid w:val="009B1D8D"/>
    <w:rsid w:val="009B47D9"/>
    <w:rsid w:val="009D3869"/>
    <w:rsid w:val="009E768E"/>
    <w:rsid w:val="00A05C7D"/>
    <w:rsid w:val="00A24AD2"/>
    <w:rsid w:val="00A447DB"/>
    <w:rsid w:val="00A84E96"/>
    <w:rsid w:val="00A90528"/>
    <w:rsid w:val="00A94564"/>
    <w:rsid w:val="00A97162"/>
    <w:rsid w:val="00AB2E7C"/>
    <w:rsid w:val="00AC4E61"/>
    <w:rsid w:val="00AD6CDE"/>
    <w:rsid w:val="00AE32D7"/>
    <w:rsid w:val="00AF035B"/>
    <w:rsid w:val="00AF1246"/>
    <w:rsid w:val="00B00400"/>
    <w:rsid w:val="00B176F5"/>
    <w:rsid w:val="00B26A4A"/>
    <w:rsid w:val="00B46320"/>
    <w:rsid w:val="00B70D4F"/>
    <w:rsid w:val="00B71CF5"/>
    <w:rsid w:val="00B80CDC"/>
    <w:rsid w:val="00B96525"/>
    <w:rsid w:val="00BB0B80"/>
    <w:rsid w:val="00BB57D3"/>
    <w:rsid w:val="00BC72CE"/>
    <w:rsid w:val="00BD21FE"/>
    <w:rsid w:val="00BF4F24"/>
    <w:rsid w:val="00BF751E"/>
    <w:rsid w:val="00C3238D"/>
    <w:rsid w:val="00C35A29"/>
    <w:rsid w:val="00C36552"/>
    <w:rsid w:val="00C50D23"/>
    <w:rsid w:val="00C67FE6"/>
    <w:rsid w:val="00C712E8"/>
    <w:rsid w:val="00C722B1"/>
    <w:rsid w:val="00C76E28"/>
    <w:rsid w:val="00C85717"/>
    <w:rsid w:val="00C904D8"/>
    <w:rsid w:val="00C93982"/>
    <w:rsid w:val="00CA0B1E"/>
    <w:rsid w:val="00CB621C"/>
    <w:rsid w:val="00CC3D7D"/>
    <w:rsid w:val="00CD415F"/>
    <w:rsid w:val="00CE1CCF"/>
    <w:rsid w:val="00CE30E3"/>
    <w:rsid w:val="00CE5BE6"/>
    <w:rsid w:val="00D07DFC"/>
    <w:rsid w:val="00D1690D"/>
    <w:rsid w:val="00D2651E"/>
    <w:rsid w:val="00D43566"/>
    <w:rsid w:val="00D6038E"/>
    <w:rsid w:val="00D65002"/>
    <w:rsid w:val="00D71074"/>
    <w:rsid w:val="00D8786E"/>
    <w:rsid w:val="00DA414B"/>
    <w:rsid w:val="00DB05AD"/>
    <w:rsid w:val="00DE30C7"/>
    <w:rsid w:val="00DE3C57"/>
    <w:rsid w:val="00DF24F7"/>
    <w:rsid w:val="00DF6FF3"/>
    <w:rsid w:val="00E13148"/>
    <w:rsid w:val="00E22C8B"/>
    <w:rsid w:val="00E44786"/>
    <w:rsid w:val="00E463D7"/>
    <w:rsid w:val="00EB1561"/>
    <w:rsid w:val="00EB3ED4"/>
    <w:rsid w:val="00EE2318"/>
    <w:rsid w:val="00EF5660"/>
    <w:rsid w:val="00F32018"/>
    <w:rsid w:val="00F34AC5"/>
    <w:rsid w:val="00FA55A0"/>
    <w:rsid w:val="00FB5063"/>
    <w:rsid w:val="00FB5E34"/>
    <w:rsid w:val="00FE001D"/>
    <w:rsid w:val="00FE09B4"/>
    <w:rsid w:val="00FF1506"/>
    <w:rsid w:val="00FF4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A3583-5A2F-4FF2-B410-98BF5A06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7D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6557E1"/>
    <w:pPr>
      <w:keepNext/>
      <w:outlineLvl w:val="0"/>
    </w:pPr>
    <w:rPr>
      <w:b/>
      <w:bCs/>
    </w:rPr>
  </w:style>
  <w:style w:type="paragraph" w:styleId="Heading2">
    <w:name w:val="heading 2"/>
    <w:basedOn w:val="Normal"/>
    <w:next w:val="Normal"/>
    <w:link w:val="Heading2Char"/>
    <w:qFormat/>
    <w:rsid w:val="00FB5063"/>
    <w:pPr>
      <w:keepNext/>
      <w:tabs>
        <w:tab w:val="left" w:pos="0"/>
        <w:tab w:val="left" w:pos="720"/>
      </w:tabs>
      <w:spacing w:after="240"/>
      <w:ind w:left="1440" w:hanging="720"/>
      <w:outlineLvl w:val="1"/>
    </w:pPr>
    <w:rPr>
      <w:b/>
      <w:bCs/>
    </w:rPr>
  </w:style>
  <w:style w:type="paragraph" w:styleId="Heading3">
    <w:name w:val="heading 3"/>
    <w:basedOn w:val="Normal"/>
    <w:next w:val="Normal"/>
    <w:link w:val="Heading3Char"/>
    <w:uiPriority w:val="9"/>
    <w:unhideWhenUsed/>
    <w:qFormat/>
    <w:rsid w:val="00C722B1"/>
    <w:pPr>
      <w:keepNext/>
      <w:keepLines/>
      <w:spacing w:after="240"/>
      <w:ind w:left="2160" w:hanging="720"/>
      <w:outlineLvl w:val="2"/>
    </w:pPr>
    <w:rPr>
      <w:rFonts w:eastAsiaTheme="majorEastAsia" w:cstheme="majorBidi"/>
      <w:b/>
    </w:rPr>
  </w:style>
  <w:style w:type="paragraph" w:styleId="Heading4">
    <w:name w:val="heading 4"/>
    <w:basedOn w:val="Normal"/>
    <w:next w:val="Normal"/>
    <w:link w:val="Heading4Char"/>
    <w:uiPriority w:val="9"/>
    <w:unhideWhenUsed/>
    <w:qFormat/>
    <w:rsid w:val="0016766D"/>
    <w:pPr>
      <w:keepNext/>
      <w:keepLines/>
      <w:spacing w:after="240"/>
      <w:ind w:left="2880" w:hanging="72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1"/>
    <w:basedOn w:val="Normal"/>
    <w:link w:val="FooterChar"/>
    <w:uiPriority w:val="99"/>
    <w:rsid w:val="006557E1"/>
    <w:pPr>
      <w:tabs>
        <w:tab w:val="left" w:pos="0"/>
        <w:tab w:val="left" w:pos="720"/>
        <w:tab w:val="center" w:pos="4320"/>
        <w:tab w:val="right" w:pos="8640"/>
      </w:tabs>
      <w:spacing w:line="480" w:lineRule="auto"/>
    </w:pPr>
  </w:style>
  <w:style w:type="character" w:customStyle="1" w:styleId="FooterChar">
    <w:name w:val="Footer Char"/>
    <w:aliases w:val=" Char1 Char"/>
    <w:basedOn w:val="DefaultParagraphFont"/>
    <w:link w:val="Footer"/>
    <w:uiPriority w:val="99"/>
    <w:rsid w:val="006557E1"/>
    <w:rPr>
      <w:rFonts w:ascii="Times New Roman" w:eastAsia="Times New Roman" w:hAnsi="Times New Roman" w:cs="Times New Roman"/>
      <w:kern w:val="0"/>
      <w:sz w:val="24"/>
      <w:szCs w:val="24"/>
      <w14:ligatures w14:val="none"/>
    </w:rPr>
  </w:style>
  <w:style w:type="paragraph" w:styleId="BodyTextIndent3">
    <w:name w:val="Body Text Indent 3"/>
    <w:basedOn w:val="Normal"/>
    <w:link w:val="BodyTextIndent3Char"/>
    <w:rsid w:val="006557E1"/>
    <w:pPr>
      <w:spacing w:line="480" w:lineRule="atLeast"/>
      <w:ind w:firstLine="720"/>
    </w:pPr>
    <w:rPr>
      <w:szCs w:val="20"/>
    </w:rPr>
  </w:style>
  <w:style w:type="character" w:customStyle="1" w:styleId="BodyTextIndent3Char">
    <w:name w:val="Body Text Indent 3 Char"/>
    <w:basedOn w:val="DefaultParagraphFont"/>
    <w:link w:val="BodyTextIndent3"/>
    <w:rsid w:val="006557E1"/>
    <w:rPr>
      <w:rFonts w:ascii="Times New Roman" w:eastAsia="Times New Roman" w:hAnsi="Times New Roman" w:cs="Times New Roman"/>
      <w:kern w:val="0"/>
      <w:sz w:val="24"/>
      <w:szCs w:val="20"/>
      <w14:ligatures w14:val="none"/>
    </w:rPr>
  </w:style>
  <w:style w:type="character" w:styleId="Hyperlink">
    <w:name w:val="Hyperlink"/>
    <w:uiPriority w:val="99"/>
    <w:rsid w:val="006557E1"/>
    <w:rPr>
      <w:color w:val="0000FF"/>
      <w:u w:val="single"/>
    </w:rPr>
  </w:style>
  <w:style w:type="paragraph" w:styleId="HTMLPreformatted">
    <w:name w:val="HTML Preformatted"/>
    <w:aliases w:val=" Char"/>
    <w:basedOn w:val="Normal"/>
    <w:link w:val="HTMLPreformattedChar"/>
    <w:rsid w:val="00655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aliases w:val=" Char Char"/>
    <w:basedOn w:val="DefaultParagraphFont"/>
    <w:link w:val="HTMLPreformatted"/>
    <w:rsid w:val="006557E1"/>
    <w:rPr>
      <w:rFonts w:ascii="Courier New" w:eastAsia="Courier New" w:hAnsi="Courier New" w:cs="Courier New"/>
      <w:kern w:val="0"/>
      <w:sz w:val="20"/>
      <w:szCs w:val="20"/>
      <w14:ligatures w14:val="none"/>
    </w:rPr>
  </w:style>
  <w:style w:type="paragraph" w:customStyle="1" w:styleId="InsideAddress">
    <w:name w:val="Inside Address"/>
    <w:basedOn w:val="Normal"/>
    <w:rsid w:val="006557E1"/>
    <w:rPr>
      <w:rFonts w:ascii="Times" w:eastAsia="Times" w:hAnsi="Times"/>
      <w:szCs w:val="20"/>
    </w:rPr>
  </w:style>
  <w:style w:type="character" w:customStyle="1" w:styleId="Heading1Char">
    <w:name w:val="Heading 1 Char"/>
    <w:basedOn w:val="DefaultParagraphFont"/>
    <w:link w:val="Heading1"/>
    <w:rsid w:val="006557E1"/>
    <w:rPr>
      <w:rFonts w:ascii="Times New Roman" w:eastAsia="Times New Roman" w:hAnsi="Times New Roman" w:cs="Times New Roman"/>
      <w:b/>
      <w:bCs/>
      <w:kern w:val="0"/>
      <w:sz w:val="24"/>
      <w:szCs w:val="24"/>
      <w14:ligatures w14:val="none"/>
    </w:rPr>
  </w:style>
  <w:style w:type="character" w:customStyle="1" w:styleId="Heading2Char">
    <w:name w:val="Heading 2 Char"/>
    <w:basedOn w:val="DefaultParagraphFont"/>
    <w:link w:val="Heading2"/>
    <w:rsid w:val="00FB5063"/>
    <w:rPr>
      <w:rFonts w:ascii="Times New Roman" w:eastAsia="Times New Roman" w:hAnsi="Times New Roman" w:cs="Times New Roman"/>
      <w:b/>
      <w:bCs/>
      <w:kern w:val="0"/>
      <w:sz w:val="24"/>
      <w:szCs w:val="24"/>
      <w14:ligatures w14:val="none"/>
    </w:rPr>
  </w:style>
  <w:style w:type="paragraph" w:styleId="FootnoteText">
    <w:name w:val="footnote text"/>
    <w:basedOn w:val="Normal"/>
    <w:link w:val="FootnoteTextChar"/>
    <w:uiPriority w:val="99"/>
    <w:rsid w:val="006557E1"/>
    <w:pPr>
      <w:spacing w:before="120"/>
    </w:pPr>
    <w:rPr>
      <w:sz w:val="20"/>
      <w:szCs w:val="20"/>
    </w:rPr>
  </w:style>
  <w:style w:type="character" w:customStyle="1" w:styleId="FootnoteTextChar">
    <w:name w:val="Footnote Text Char"/>
    <w:basedOn w:val="DefaultParagraphFont"/>
    <w:link w:val="FootnoteText"/>
    <w:uiPriority w:val="99"/>
    <w:rsid w:val="006557E1"/>
    <w:rPr>
      <w:rFonts w:ascii="Times New Roman" w:eastAsia="Times New Roman" w:hAnsi="Times New Roman" w:cs="Times New Roman"/>
      <w:kern w:val="0"/>
      <w:sz w:val="20"/>
      <w:szCs w:val="20"/>
      <w14:ligatures w14:val="none"/>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uiPriority w:val="99"/>
    <w:qFormat/>
    <w:rsid w:val="006557E1"/>
    <w:rPr>
      <w:vertAlign w:val="superscript"/>
    </w:rPr>
  </w:style>
  <w:style w:type="paragraph" w:styleId="CommentText">
    <w:name w:val="annotation text"/>
    <w:basedOn w:val="Normal"/>
    <w:link w:val="CommentTextChar"/>
    <w:uiPriority w:val="99"/>
    <w:rsid w:val="006557E1"/>
  </w:style>
  <w:style w:type="character" w:customStyle="1" w:styleId="CommentTextChar">
    <w:name w:val="Comment Text Char"/>
    <w:basedOn w:val="DefaultParagraphFont"/>
    <w:link w:val="CommentText"/>
    <w:uiPriority w:val="99"/>
    <w:rsid w:val="006557E1"/>
    <w:rPr>
      <w:rFonts w:ascii="Times New Roman" w:eastAsia="Times New Roman" w:hAnsi="Times New Roman" w:cs="Times New Roman"/>
      <w:kern w:val="0"/>
      <w:sz w:val="24"/>
      <w:szCs w:val="24"/>
      <w14:ligatures w14:val="none"/>
    </w:rPr>
  </w:style>
  <w:style w:type="table" w:styleId="TableGrid">
    <w:name w:val="Table Grid"/>
    <w:basedOn w:val="TableNormal"/>
    <w:rsid w:val="006557E1"/>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
    <w:name w:val="ANSWER"/>
    <w:basedOn w:val="Normal"/>
    <w:rsid w:val="006557E1"/>
    <w:pPr>
      <w:spacing w:line="480" w:lineRule="auto"/>
      <w:ind w:left="1008" w:hanging="720"/>
    </w:pPr>
    <w:rPr>
      <w:szCs w:val="20"/>
    </w:rPr>
  </w:style>
  <w:style w:type="paragraph" w:styleId="ListParagraph">
    <w:name w:val="List Paragraph"/>
    <w:basedOn w:val="Normal"/>
    <w:uiPriority w:val="34"/>
    <w:qFormat/>
    <w:rsid w:val="006557E1"/>
    <w:pPr>
      <w:ind w:left="720"/>
      <w:contextualSpacing/>
    </w:pPr>
    <w:rPr>
      <w:rFonts w:eastAsiaTheme="minorHAnsi"/>
      <w:bCs/>
      <w:color w:val="000000"/>
      <w:szCs w:val="19"/>
    </w:rPr>
  </w:style>
  <w:style w:type="paragraph" w:styleId="Revision">
    <w:name w:val="Revision"/>
    <w:hidden/>
    <w:uiPriority w:val="99"/>
    <w:semiHidden/>
    <w:rsid w:val="004D749C"/>
    <w:pPr>
      <w:spacing w:after="0" w:line="240" w:lineRule="auto"/>
    </w:pPr>
    <w:rPr>
      <w:rFonts w:ascii="Times New Roman" w:eastAsia="Times New Roman" w:hAnsi="Times New Roman" w:cs="Times New Roman"/>
      <w:kern w:val="0"/>
      <w:sz w:val="24"/>
      <w:szCs w:val="24"/>
      <w14:ligatures w14:val="none"/>
    </w:rPr>
  </w:style>
  <w:style w:type="character" w:customStyle="1" w:styleId="UnresolvedMention1">
    <w:name w:val="Unresolved Mention1"/>
    <w:basedOn w:val="DefaultParagraphFont"/>
    <w:uiPriority w:val="99"/>
    <w:semiHidden/>
    <w:unhideWhenUsed/>
    <w:rsid w:val="00BB0B80"/>
    <w:rPr>
      <w:color w:val="605E5C"/>
      <w:shd w:val="clear" w:color="auto" w:fill="E1DFDD"/>
    </w:rPr>
  </w:style>
  <w:style w:type="character" w:customStyle="1" w:styleId="expanded-hits-fragment">
    <w:name w:val="expanded-hits-fragment"/>
    <w:basedOn w:val="DefaultParagraphFont"/>
    <w:rsid w:val="007E06C8"/>
  </w:style>
  <w:style w:type="character" w:customStyle="1" w:styleId="Heading3Char">
    <w:name w:val="Heading 3 Char"/>
    <w:basedOn w:val="DefaultParagraphFont"/>
    <w:link w:val="Heading3"/>
    <w:uiPriority w:val="9"/>
    <w:rsid w:val="00C722B1"/>
    <w:rPr>
      <w:rFonts w:ascii="Times New Roman" w:eastAsiaTheme="majorEastAsia" w:hAnsi="Times New Roman" w:cstheme="majorBidi"/>
      <w:b/>
      <w:kern w:val="0"/>
      <w:sz w:val="24"/>
      <w:szCs w:val="24"/>
      <w14:ligatures w14:val="none"/>
    </w:rPr>
  </w:style>
  <w:style w:type="paragraph" w:styleId="TOC1">
    <w:name w:val="toc 1"/>
    <w:basedOn w:val="Normal"/>
    <w:next w:val="Normal"/>
    <w:autoRedefine/>
    <w:uiPriority w:val="39"/>
    <w:unhideWhenUsed/>
    <w:rsid w:val="00502740"/>
    <w:pPr>
      <w:tabs>
        <w:tab w:val="decimal" w:leader="dot" w:pos="9360"/>
      </w:tabs>
      <w:spacing w:after="120"/>
      <w:ind w:left="720" w:hanging="720"/>
    </w:pPr>
    <w:rPr>
      <w:caps/>
    </w:rPr>
  </w:style>
  <w:style w:type="paragraph" w:styleId="TOC2">
    <w:name w:val="toc 2"/>
    <w:basedOn w:val="Normal"/>
    <w:next w:val="Normal"/>
    <w:autoRedefine/>
    <w:uiPriority w:val="39"/>
    <w:unhideWhenUsed/>
    <w:rsid w:val="00502740"/>
    <w:pPr>
      <w:tabs>
        <w:tab w:val="decimal" w:leader="dot" w:pos="9360"/>
      </w:tabs>
      <w:spacing w:after="120"/>
      <w:ind w:left="1440" w:hanging="720"/>
    </w:pPr>
  </w:style>
  <w:style w:type="paragraph" w:styleId="TOC3">
    <w:name w:val="toc 3"/>
    <w:basedOn w:val="Normal"/>
    <w:next w:val="Normal"/>
    <w:autoRedefine/>
    <w:uiPriority w:val="39"/>
    <w:unhideWhenUsed/>
    <w:rsid w:val="00502740"/>
    <w:pPr>
      <w:tabs>
        <w:tab w:val="decimal" w:leader="dot" w:pos="9360"/>
      </w:tabs>
      <w:spacing w:after="120"/>
      <w:ind w:left="2160" w:hanging="720"/>
    </w:pPr>
    <w:rPr>
      <w:noProof/>
    </w:rPr>
  </w:style>
  <w:style w:type="character" w:customStyle="1" w:styleId="Heading4Char">
    <w:name w:val="Heading 4 Char"/>
    <w:basedOn w:val="DefaultParagraphFont"/>
    <w:link w:val="Heading4"/>
    <w:uiPriority w:val="9"/>
    <w:rsid w:val="0016766D"/>
    <w:rPr>
      <w:rFonts w:ascii="Times New Roman" w:eastAsiaTheme="majorEastAsia" w:hAnsi="Times New Roman" w:cstheme="majorBidi"/>
      <w:b/>
      <w:iCs/>
      <w:kern w:val="0"/>
      <w:sz w:val="24"/>
      <w:szCs w:val="24"/>
      <w14:ligatures w14:val="none"/>
    </w:rPr>
  </w:style>
  <w:style w:type="paragraph" w:styleId="Header">
    <w:name w:val="header"/>
    <w:basedOn w:val="Normal"/>
    <w:link w:val="HeaderChar"/>
    <w:uiPriority w:val="99"/>
    <w:unhideWhenUsed/>
    <w:rsid w:val="00AD6CDE"/>
    <w:pPr>
      <w:tabs>
        <w:tab w:val="center" w:pos="4680"/>
        <w:tab w:val="right" w:pos="9360"/>
      </w:tabs>
    </w:pPr>
  </w:style>
  <w:style w:type="character" w:customStyle="1" w:styleId="HeaderChar">
    <w:name w:val="Header Char"/>
    <w:basedOn w:val="DefaultParagraphFont"/>
    <w:link w:val="Header"/>
    <w:uiPriority w:val="99"/>
    <w:rsid w:val="00AD6CDE"/>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502740"/>
    <w:pPr>
      <w:tabs>
        <w:tab w:val="left" w:pos="720"/>
        <w:tab w:val="left" w:pos="1440"/>
        <w:tab w:val="left" w:pos="2160"/>
        <w:tab w:val="decimal" w:leader="dot" w:pos="9360"/>
      </w:tabs>
      <w:spacing w:after="120"/>
      <w:ind w:left="2880" w:hanging="720"/>
    </w:pPr>
  </w:style>
  <w:style w:type="character" w:styleId="CommentReference">
    <w:name w:val="annotation reference"/>
    <w:basedOn w:val="DefaultParagraphFont"/>
    <w:uiPriority w:val="99"/>
    <w:semiHidden/>
    <w:unhideWhenUsed/>
    <w:rsid w:val="00D43566"/>
    <w:rPr>
      <w:sz w:val="16"/>
      <w:szCs w:val="16"/>
    </w:rPr>
  </w:style>
  <w:style w:type="paragraph" w:styleId="CommentSubject">
    <w:name w:val="annotation subject"/>
    <w:basedOn w:val="CommentText"/>
    <w:next w:val="CommentText"/>
    <w:link w:val="CommentSubjectChar"/>
    <w:uiPriority w:val="99"/>
    <w:semiHidden/>
    <w:unhideWhenUsed/>
    <w:rsid w:val="00D43566"/>
    <w:rPr>
      <w:b/>
      <w:bCs/>
      <w:sz w:val="20"/>
      <w:szCs w:val="20"/>
    </w:rPr>
  </w:style>
  <w:style w:type="character" w:customStyle="1" w:styleId="CommentSubjectChar">
    <w:name w:val="Comment Subject Char"/>
    <w:basedOn w:val="CommentTextChar"/>
    <w:link w:val="CommentSubject"/>
    <w:uiPriority w:val="99"/>
    <w:semiHidden/>
    <w:rsid w:val="00D43566"/>
    <w:rPr>
      <w:rFonts w:ascii="Times New Roman" w:eastAsia="Times New Roman" w:hAnsi="Times New Roman" w:cs="Times New Roman"/>
      <w:b/>
      <w:bCs/>
      <w:kern w:val="0"/>
      <w:sz w:val="20"/>
      <w:szCs w:val="20"/>
      <w14:ligatures w14:val="none"/>
    </w:rPr>
  </w:style>
  <w:style w:type="paragraph" w:styleId="BodyText">
    <w:name w:val="Body Text"/>
    <w:basedOn w:val="Normal"/>
    <w:link w:val="BodyTextChar"/>
    <w:uiPriority w:val="99"/>
    <w:semiHidden/>
    <w:unhideWhenUsed/>
    <w:rsid w:val="001F02D8"/>
    <w:pPr>
      <w:spacing w:after="120"/>
    </w:pPr>
  </w:style>
  <w:style w:type="character" w:customStyle="1" w:styleId="BodyTextChar">
    <w:name w:val="Body Text Char"/>
    <w:basedOn w:val="DefaultParagraphFont"/>
    <w:link w:val="BodyText"/>
    <w:uiPriority w:val="99"/>
    <w:semiHidden/>
    <w:rsid w:val="001F02D8"/>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eubanks@occ.ohio.gov" TargetMode="External"/><Relationship Id="rId13" Type="http://schemas.openxmlformats.org/officeDocument/2006/relationships/footer" Target="footer2.xml"/><Relationship Id="rId18" Type="http://schemas.openxmlformats.org/officeDocument/2006/relationships/hyperlink" Target="mailto:donald.kral@occ.ohio.gov" TargetMode="External"/><Relationship Id="rId26" Type="http://schemas.openxmlformats.org/officeDocument/2006/relationships/hyperlink" Target="mailto:jkylercohn@BKLlawfirm.com" TargetMode="External"/><Relationship Id="rId39" Type="http://schemas.openxmlformats.org/officeDocument/2006/relationships/hyperlink" Target="mailto:mjsettineri@vorys.com" TargetMode="External"/><Relationship Id="rId3" Type="http://schemas.openxmlformats.org/officeDocument/2006/relationships/styles" Target="styles.xml"/><Relationship Id="rId21" Type="http://schemas.openxmlformats.org/officeDocument/2006/relationships/hyperlink" Target="mailto:amy.botschnerobrien@ohioAGO.gov" TargetMode="External"/><Relationship Id="rId34" Type="http://schemas.openxmlformats.org/officeDocument/2006/relationships/hyperlink" Target="mailto:pwillison@bakerlaw.com" TargetMode="External"/><Relationship Id="rId42" Type="http://schemas.openxmlformats.org/officeDocument/2006/relationships/hyperlink" Target="mailto:sjagers@ohiopovertylaw.org"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robert.eubanks@occ.ohio.gov" TargetMode="External"/><Relationship Id="rId25" Type="http://schemas.openxmlformats.org/officeDocument/2006/relationships/hyperlink" Target="mailto:kboehm@BKLlawfirm.com" TargetMode="External"/><Relationship Id="rId33" Type="http://schemas.openxmlformats.org/officeDocument/2006/relationships/hyperlink" Target="mailto:dproano@bakerlaw.com" TargetMode="External"/><Relationship Id="rId38" Type="http://schemas.openxmlformats.org/officeDocument/2006/relationships/hyperlink" Target="mailto:glpetrucci@vorys.com"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ashley.wnek@ohioAGO.gov" TargetMode="External"/><Relationship Id="rId29" Type="http://schemas.openxmlformats.org/officeDocument/2006/relationships/hyperlink" Target="mailto:kennedy@whitt-sturtevant.com" TargetMode="External"/><Relationship Id="rId41" Type="http://schemas.openxmlformats.org/officeDocument/2006/relationships/hyperlink" Target="mailto:Easley@carpenterlipp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mkurtz@BKLlawfirm.com" TargetMode="External"/><Relationship Id="rId32" Type="http://schemas.openxmlformats.org/officeDocument/2006/relationships/hyperlink" Target="mailto:mbarbara@calfee.com" TargetMode="External"/><Relationship Id="rId37" Type="http://schemas.openxmlformats.org/officeDocument/2006/relationships/hyperlink" Target="mailto:stacie.cathcart@igs.com" TargetMode="External"/><Relationship Id="rId40" Type="http://schemas.openxmlformats.org/officeDocument/2006/relationships/hyperlink" Target="mailto:Bojko@carpenterlipps.com" TargetMode="External"/><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TGallagher@fgplaborlaw.com" TargetMode="External"/><Relationship Id="rId28" Type="http://schemas.openxmlformats.org/officeDocument/2006/relationships/hyperlink" Target="mailto:clint.white@puco.ohio.gov" TargetMode="External"/><Relationship Id="rId36" Type="http://schemas.openxmlformats.org/officeDocument/2006/relationships/hyperlink" Target="mailto:michael.nugent@igs.com"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mailto:demonte@whitt-sturtevant.com" TargetMode="External"/><Relationship Id="rId44" Type="http://schemas.openxmlformats.org/officeDocument/2006/relationships/hyperlink" Target="mailto:mcurrie@ablelaw.org" TargetMode="External"/><Relationship Id="rId4" Type="http://schemas.openxmlformats.org/officeDocument/2006/relationships/settings" Target="settings.xml"/><Relationship Id="rId9" Type="http://schemas.openxmlformats.org/officeDocument/2006/relationships/hyperlink" Target="mailto:donald.kral@occ.ohio.gov" TargetMode="External"/><Relationship Id="rId14" Type="http://schemas.openxmlformats.org/officeDocument/2006/relationships/header" Target="header3.xml"/><Relationship Id="rId22" Type="http://schemas.openxmlformats.org/officeDocument/2006/relationships/hyperlink" Target="mailto:david.lipthratt@puco.ohio.gov" TargetMode="External"/><Relationship Id="rId27" Type="http://schemas.openxmlformats.org/officeDocument/2006/relationships/hyperlink" Target="mailto:greg.price@puco.ohio.gov" TargetMode="External"/><Relationship Id="rId30" Type="http://schemas.openxmlformats.org/officeDocument/2006/relationships/hyperlink" Target="mailto:Andrew.j.campbell@dominionenergy.com" TargetMode="External"/><Relationship Id="rId35" Type="http://schemas.openxmlformats.org/officeDocument/2006/relationships/hyperlink" Target="mailto:whitt@whitt-sturtevant.com" TargetMode="External"/><Relationship Id="rId43" Type="http://schemas.openxmlformats.org/officeDocument/2006/relationships/hyperlink" Target="mailto:smoes@lascinti.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ms.wyo.gov/(S(pu1qozgjce2ygmbe2qiljd11))/ManageDocket.aspx?DocketId=gu%2bYvrE0OtKZ8IZyu3f0%2bZoAIEIW7NUeIj6TDhT%2fBFs%3d" TargetMode="External"/><Relationship Id="rId13" Type="http://schemas.openxmlformats.org/officeDocument/2006/relationships/hyperlink" Target="https://puc.idaho.gov/Case?util=4&amp;closed=0&amp;pn=1&amp;ps=100&amp;sc=1&amp;sd=1&amp;fc=2&amp;fv=dominion" TargetMode="External"/><Relationship Id="rId18" Type="http://schemas.openxmlformats.org/officeDocument/2006/relationships/hyperlink" Target="https://plus.lexis.com/document/teaserdocument/?pdmfid=1530671&amp;crid=ab2493dd-b426-4227-a4cb-7be13f8178c6&amp;pddocfullpath=%2Fshared%2Fdocument%2Fcases%2Furn%3AcontentItem%3A63VB-65V1-JF75-M279-00000-00&amp;pddocid=urn%3AcontentItem%3A63VB-65V1-JF75-M279-00000-00&amp;pdcontentcomponentid=9249&amp;pdteaserkey=h1&amp;prid=0b0b19cc-d957-4fb7-b8be-d891c4d81022&amp;ecomp=y74k&amp;earg=sr0" TargetMode="External"/><Relationship Id="rId26" Type="http://schemas.openxmlformats.org/officeDocument/2006/relationships/hyperlink" Target="https://www.cleveland.com/news/2023/09/the-utility-for-12-million-ohio-customers-was-just-sold-heres-how-that-will-affect-your-bill.html" TargetMode="External"/><Relationship Id="rId3" Type="http://schemas.openxmlformats.org/officeDocument/2006/relationships/hyperlink" Target="https://news.dominionenergy.com/2023-09-05-Dominion-Energy-Advances-Business-Review-Announces-Agreements-to-Sell-Gas-Distribution-Companies-to-Enbridge" TargetMode="External"/><Relationship Id="rId21" Type="http://schemas.openxmlformats.org/officeDocument/2006/relationships/hyperlink" Target="https://news.dominionenergy.com/2023-09-05-Dominion-Energy-Advances-Business-Review-Announces-Agreements-to-Sell-Gas-Distribution-Companies-to-Enbridge" TargetMode="External"/><Relationship Id="rId7" Type="http://schemas.openxmlformats.org/officeDocument/2006/relationships/hyperlink" Target="https://starw1.ncuc.gov/NCUC/page/docket-docs/PSC/DocketDetails.aspx?DocketId=642d39d2-6eff-4521-ba1f-5d5582c592d9" TargetMode="External"/><Relationship Id="rId12" Type="http://schemas.openxmlformats.org/officeDocument/2006/relationships/hyperlink" Target="https://puc.idaho.gov/Case?util=4&amp;closed=0&amp;pn=1&amp;ps=100&amp;sc=1&amp;sd=1&amp;fc=2&amp;fv=dominion" TargetMode="External"/><Relationship Id="rId17" Type="http://schemas.openxmlformats.org/officeDocument/2006/relationships/hyperlink" Target="https://puc.idaho.gov/Case?util=4&amp;closed=0&amp;pn=1&amp;ps=100&amp;sc=1&amp;sd=1&amp;fc=2&amp;fv=dominion" TargetMode="External"/><Relationship Id="rId25" Type="http://schemas.openxmlformats.org/officeDocument/2006/relationships/hyperlink" Target="https://dms.wyo.gov/(S(pu1qozgjce2ygmbe2qiljd11))/ManageDocket.aspx?DocketId=gu%2bYvrE0OtKZ8IZyu3f0%2bZoAIEIW7NUeIj6TDhT%2fBFs%3d" TargetMode="External"/><Relationship Id="rId2" Type="http://schemas.openxmlformats.org/officeDocument/2006/relationships/hyperlink" Target="https://www.enbridge.com/stories/2023/september/enbridge-acquires-three-us-gas-utilities-from-dominion-energy" TargetMode="External"/><Relationship Id="rId16" Type="http://schemas.openxmlformats.org/officeDocument/2006/relationships/hyperlink" Target="https://puc.idaho.gov/Case?util=4&amp;closed=0&amp;pn=1&amp;ps=100&amp;sc=1&amp;sd=1&amp;fc=2&amp;fv=dominion" TargetMode="External"/><Relationship Id="rId20" Type="http://schemas.openxmlformats.org/officeDocument/2006/relationships/hyperlink" Target="https://www.enbridge.com/stories/2023/september/enbridge-acquires-three-us-gas-utilities-from-dominion-energy" TargetMode="External"/><Relationship Id="rId1" Type="http://schemas.openxmlformats.org/officeDocument/2006/relationships/hyperlink" Target="https://www.cleveland.com/news/2023/09/the-utility-for-12-million-ohio-customers-was-just-sold-heres-how-that-will-affect-your-bill.html" TargetMode="External"/><Relationship Id="rId6" Type="http://schemas.openxmlformats.org/officeDocument/2006/relationships/hyperlink" Target="https://news.dominionenergy.com/2023-09-05-Dominion-Energy-Advances-Business-Review-Announces-Agreements-to-Sell-Gas-Distribution-Companies-to-Enbridge" TargetMode="External"/><Relationship Id="rId11" Type="http://schemas.openxmlformats.org/officeDocument/2006/relationships/hyperlink" Target="https://starw1.ncuc.gov/NCUC/page/docket-docs/PSC/DocketDetails.aspx?DocketId=642d39d2-6eff-4521-ba1f-5d5582c592d9" TargetMode="External"/><Relationship Id="rId24" Type="http://schemas.openxmlformats.org/officeDocument/2006/relationships/hyperlink" Target="https://puc.idaho.gov/Case?util=4&amp;closed=0&amp;pn=1&amp;ps=100&amp;sc=1&amp;sd=1&amp;fc=2&amp;fv=dominion" TargetMode="External"/><Relationship Id="rId5" Type="http://schemas.openxmlformats.org/officeDocument/2006/relationships/hyperlink" Target="https://psc.utah.gov/2023/10/20/docket-no-23-057-16/" TargetMode="External"/><Relationship Id="rId15" Type="http://schemas.openxmlformats.org/officeDocument/2006/relationships/hyperlink" Target="https://dms.wyo.gov/(S(pu1qozgjce2ygmbe2qiljd11))/ManageDocket.aspx?DocketId=gu%2bYvrE0OtKZ8IZyu3f0%2bZoAIEIW7NUeIj6TDhT%2fBFs%3d" TargetMode="External"/><Relationship Id="rId23" Type="http://schemas.openxmlformats.org/officeDocument/2006/relationships/hyperlink" Target="https://puc.idaho.gov/Case?util=4&amp;closed=0&amp;pn=1&amp;ps=100&amp;sc=1&amp;sd=1&amp;fc=2&amp;fv=dominion" TargetMode="External"/><Relationship Id="rId28" Type="http://schemas.openxmlformats.org/officeDocument/2006/relationships/hyperlink" Target="https://news.dominionenergy.com/2023-09-05-Dominion-Energy-Advances-Business-Review-Announces-Agreements-to-Sell-Gas-Distribution-Companies-to-Enbridge" TargetMode="External"/><Relationship Id="rId10" Type="http://schemas.openxmlformats.org/officeDocument/2006/relationships/hyperlink" Target="https://puc.idaho.gov/Case?util=4&amp;closed=0&amp;pn=1&amp;ps=100&amp;sc=1&amp;sd=1&amp;fc=2&amp;fv=dominion" TargetMode="External"/><Relationship Id="rId19" Type="http://schemas.openxmlformats.org/officeDocument/2006/relationships/hyperlink" Target="https://www.cleveland.com/news/2023/09/the-utility-for-12-million-ohio-customers-was-just-sold-heres-how-that-will-affect-your-bill.html" TargetMode="External"/><Relationship Id="rId4" Type="http://schemas.openxmlformats.org/officeDocument/2006/relationships/hyperlink" Target="https://starw1.ncuc.gov/NCUC/page/docket-docs/PSC/DocketDetails.aspx?DocketId=642d39d2-6eff-4521-ba1f-5d5582c592d9" TargetMode="External"/><Relationship Id="rId9" Type="http://schemas.openxmlformats.org/officeDocument/2006/relationships/hyperlink" Target="https://puc.idaho.gov/Case?util=4&amp;closed=0&amp;pn=1&amp;ps=100&amp;sc=1&amp;sd=1&amp;fc=2&amp;fv=dominion" TargetMode="External"/><Relationship Id="rId14" Type="http://schemas.openxmlformats.org/officeDocument/2006/relationships/hyperlink" Target="https://starw1.ncuc.gov/NCUC/page/docket-docs/PSC/DocketDetails.aspx?DocketId=642d39d2-6eff-4521-ba1f-5d5582c592d9" TargetMode="External"/><Relationship Id="rId22" Type="http://schemas.openxmlformats.org/officeDocument/2006/relationships/hyperlink" Target="https://starw1.ncuc.gov/NCUC/page/docket-docs/PSC/DocketDetails.aspx?DocketId=642d39d2-6eff-4521-ba1f-5d5582c592d9" TargetMode="External"/><Relationship Id="rId27" Type="http://schemas.openxmlformats.org/officeDocument/2006/relationships/hyperlink" Target="https://www.enbridge.com/stories/2023/september/enbridge-acquires-three-us-gas-utilities-from-dominion-ener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48164-1510-435E-8D31-3ABE9CCA4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4131</Words>
  <Characters>23548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Walters, Denise</cp:lastModifiedBy>
  <cp:revision>2</cp:revision>
  <dcterms:created xsi:type="dcterms:W3CDTF">2024-02-08T21:26:00Z</dcterms:created>
  <dcterms:modified xsi:type="dcterms:W3CDTF">2024-02-08T21:27:00Z</dcterms:modified>
</cp:coreProperties>
</file>