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A044B5" w14:paraId="4ACA0AFA" w14:textId="77777777">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A044B5" w14:paraId="44140504" w14:textId="77777777">
      <w:pPr>
        <w:pStyle w:val="HTMLPreformatted"/>
        <w:jc w:val="center"/>
        <w:rPr>
          <w:rFonts w:ascii="Times New Roman" w:hAnsi="Times New Roman"/>
          <w:sz w:val="24"/>
        </w:rPr>
      </w:pPr>
      <w:r>
        <w:rPr>
          <w:rFonts w:ascii="Times New Roman" w:hAnsi="Times New Roman"/>
          <w:b/>
          <w:bCs/>
          <w:sz w:val="24"/>
        </w:rPr>
        <w:t>THE PUBLIC UTILITIES COMMISSION OF OHIO</w:t>
      </w:r>
    </w:p>
    <w:p w:rsidR="00A044B5" w14:paraId="4F114F62" w14:textId="77777777">
      <w:pPr>
        <w:pStyle w:val="HTMLPreformatted"/>
        <w:rPr>
          <w:rFonts w:ascii="Times New Roman" w:hAnsi="Times New Roman"/>
          <w:sz w:val="24"/>
        </w:rPr>
      </w:pPr>
    </w:p>
    <w:tbl>
      <w:tblPr>
        <w:tblW w:w="8640" w:type="dxa"/>
        <w:tblLook w:val="01E0"/>
      </w:tblPr>
      <w:tblGrid>
        <w:gridCol w:w="4410"/>
        <w:gridCol w:w="360"/>
        <w:gridCol w:w="3870"/>
      </w:tblGrid>
      <w:tr w14:paraId="5E00F411" w14:textId="77777777" w:rsidTr="0004169E">
        <w:tblPrEx>
          <w:tblW w:w="8640" w:type="dxa"/>
          <w:tblLook w:val="01E0"/>
        </w:tblPrEx>
        <w:trPr>
          <w:trHeight w:val="612"/>
        </w:trPr>
        <w:tc>
          <w:tcPr>
            <w:tcW w:w="4410" w:type="dxa"/>
            <w:shd w:val="clear" w:color="auto" w:fill="auto"/>
          </w:tcPr>
          <w:p w:rsidR="00A044B5" w:rsidRPr="00A044B5" w:rsidP="00792C3D" w14:paraId="14CD8714" w14:textId="69E94E24">
            <w:pPr>
              <w:pStyle w:val="HTMLPreformatted"/>
              <w:rPr>
                <w:rFonts w:ascii="Times New Roman" w:hAnsi="Times New Roman"/>
                <w:sz w:val="24"/>
                <w:szCs w:val="24"/>
              </w:rPr>
            </w:pPr>
            <w:r w:rsidRPr="00A044B5">
              <w:rPr>
                <w:rFonts w:ascii="Times New Roman" w:hAnsi="Times New Roman" w:cs="Times New Roman"/>
                <w:sz w:val="24"/>
                <w:szCs w:val="24"/>
              </w:rPr>
              <w:t xml:space="preserve">In </w:t>
            </w:r>
            <w:r w:rsidR="009869EA">
              <w:rPr>
                <w:rFonts w:ascii="Times New Roman" w:hAnsi="Times New Roman" w:cs="Times New Roman"/>
                <w:sz w:val="24"/>
                <w:szCs w:val="24"/>
              </w:rPr>
              <w:t>re</w:t>
            </w:r>
            <w:r w:rsidR="00792C3D">
              <w:rPr>
                <w:rFonts w:ascii="Times New Roman" w:hAnsi="Times New Roman" w:cs="Times New Roman"/>
                <w:sz w:val="24"/>
                <w:szCs w:val="24"/>
              </w:rPr>
              <w:t xml:space="preserve"> Review of the Power Purchase Agreement Rider of Ohio Power Company</w:t>
            </w:r>
            <w:r w:rsidR="00DA7A21">
              <w:rPr>
                <w:rFonts w:ascii="Times New Roman" w:hAnsi="Times New Roman" w:cs="Times New Roman"/>
                <w:sz w:val="24"/>
                <w:szCs w:val="24"/>
              </w:rPr>
              <w:t>.</w:t>
            </w:r>
          </w:p>
        </w:tc>
        <w:tc>
          <w:tcPr>
            <w:tcW w:w="360" w:type="dxa"/>
            <w:shd w:val="clear" w:color="auto" w:fill="auto"/>
          </w:tcPr>
          <w:p w:rsidR="00A044B5" w:rsidRPr="00A044B5" w14:paraId="2BC3BF8B" w14:textId="77777777">
            <w:pPr>
              <w:pStyle w:val="HTMLPreformatted"/>
              <w:rPr>
                <w:rFonts w:ascii="Times New Roman" w:hAnsi="Times New Roman"/>
                <w:sz w:val="24"/>
              </w:rPr>
            </w:pPr>
            <w:r w:rsidRPr="00A044B5">
              <w:rPr>
                <w:rFonts w:ascii="Times New Roman" w:hAnsi="Times New Roman"/>
                <w:sz w:val="24"/>
              </w:rPr>
              <w:t>)</w:t>
            </w:r>
          </w:p>
          <w:p w:rsidR="00A044B5" w:rsidRPr="00A044B5" w14:paraId="37FDE52E" w14:textId="4DCED037">
            <w:pPr>
              <w:pStyle w:val="HTMLPreformatted"/>
              <w:rPr>
                <w:rFonts w:ascii="Times New Roman" w:hAnsi="Times New Roman"/>
                <w:sz w:val="24"/>
              </w:rPr>
            </w:pPr>
            <w:r w:rsidRPr="00A044B5">
              <w:rPr>
                <w:rFonts w:ascii="Times New Roman" w:hAnsi="Times New Roman"/>
                <w:sz w:val="24"/>
              </w:rPr>
              <w:t>)</w:t>
            </w:r>
          </w:p>
        </w:tc>
        <w:tc>
          <w:tcPr>
            <w:tcW w:w="3870" w:type="dxa"/>
            <w:shd w:val="clear" w:color="auto" w:fill="auto"/>
          </w:tcPr>
          <w:p w:rsidR="00A044B5" w:rsidRPr="00A044B5" w14:paraId="1FA46BA9" w14:textId="464ACA98">
            <w:pPr>
              <w:pStyle w:val="HTMLPreformatted"/>
              <w:rPr>
                <w:rFonts w:ascii="Times New Roman" w:hAnsi="Times New Roman"/>
                <w:sz w:val="24"/>
              </w:rPr>
            </w:pPr>
            <w:r w:rsidRPr="00A044B5">
              <w:rPr>
                <w:rFonts w:ascii="Times New Roman" w:hAnsi="Times New Roman"/>
                <w:sz w:val="24"/>
              </w:rPr>
              <w:t>Case No.</w:t>
            </w:r>
            <w:r w:rsidR="00792C3D">
              <w:rPr>
                <w:rFonts w:ascii="Times New Roman" w:hAnsi="Times New Roman"/>
                <w:sz w:val="24"/>
              </w:rPr>
              <w:t xml:space="preserve"> 18-1003-EL-RDR</w:t>
            </w:r>
          </w:p>
          <w:p w:rsidR="00A044B5" w:rsidRPr="00A044B5" w14:paraId="2F049626" w14:textId="77777777">
            <w:pPr>
              <w:pStyle w:val="HTMLPreformatted"/>
              <w:rPr>
                <w:rFonts w:ascii="Times New Roman" w:hAnsi="Times New Roman"/>
                <w:sz w:val="24"/>
              </w:rPr>
            </w:pPr>
          </w:p>
        </w:tc>
      </w:tr>
    </w:tbl>
    <w:p w:rsidR="00A044B5" w14:paraId="481A4836" w14:textId="77777777">
      <w:pPr>
        <w:pStyle w:val="HTMLPreformatted"/>
        <w:rPr>
          <w:rFonts w:ascii="Times New Roman" w:hAnsi="Times New Roman"/>
          <w:sz w:val="24"/>
        </w:rPr>
      </w:pPr>
    </w:p>
    <w:p w:rsidR="00A044B5" w:rsidRPr="009869EA" w14:paraId="335115DC" w14:textId="0A587C7F">
      <w:pPr>
        <w:pStyle w:val="HTMLPreformatted"/>
        <w:pBdr>
          <w:top w:val="single" w:sz="12" w:space="1" w:color="auto"/>
        </w:pBdr>
        <w:rPr>
          <w:rFonts w:ascii="Times New Roman" w:hAnsi="Times New Roman"/>
          <w:b/>
          <w:bCs/>
          <w:sz w:val="24"/>
        </w:rPr>
      </w:pPr>
    </w:p>
    <w:p w:rsidR="00A044B5" w14:paraId="48C07562" w14:textId="10DA76D7">
      <w:pPr>
        <w:jc w:val="center"/>
        <w:rPr>
          <w:b/>
          <w:bCs/>
        </w:rPr>
      </w:pPr>
      <w:r>
        <w:rPr>
          <w:b/>
          <w:bCs/>
        </w:rPr>
        <w:t>REPLY</w:t>
      </w:r>
      <w:r w:rsidR="000F01F1">
        <w:rPr>
          <w:b/>
          <w:bCs/>
        </w:rPr>
        <w:t xml:space="preserve"> COMMENTS</w:t>
      </w:r>
    </w:p>
    <w:p w:rsidR="00A044B5" w14:paraId="1A640FFD" w14:textId="77777777">
      <w:pPr>
        <w:jc w:val="center"/>
        <w:rPr>
          <w:b/>
          <w:bCs/>
        </w:rPr>
      </w:pPr>
      <w:r>
        <w:rPr>
          <w:b/>
          <w:bCs/>
        </w:rPr>
        <w:t>BY</w:t>
      </w:r>
    </w:p>
    <w:p w:rsidR="00A044B5" w14:paraId="0BC61928" w14:textId="0658954F">
      <w:pPr>
        <w:jc w:val="center"/>
        <w:rPr>
          <w:b/>
          <w:bCs/>
        </w:rPr>
      </w:pPr>
      <w:r>
        <w:rPr>
          <w:b/>
          <w:bCs/>
        </w:rPr>
        <w:t>THE OFFICE OF THE OHIO CONSUMERS</w:t>
      </w:r>
      <w:r w:rsidR="00DA7A21">
        <w:rPr>
          <w:b/>
          <w:bCs/>
        </w:rPr>
        <w:t>’</w:t>
      </w:r>
      <w:r>
        <w:rPr>
          <w:b/>
          <w:bCs/>
        </w:rPr>
        <w:t xml:space="preserve"> COUNSEL</w:t>
      </w:r>
    </w:p>
    <w:p w:rsidR="00A044B5" w:rsidP="009869EA" w14:paraId="49BFC881" w14:textId="77777777">
      <w:pPr>
        <w:pBdr>
          <w:bottom w:val="single" w:sz="12" w:space="0" w:color="auto"/>
        </w:pBdr>
        <w:tabs>
          <w:tab w:val="left" w:pos="4320"/>
        </w:tabs>
      </w:pPr>
    </w:p>
    <w:p w:rsidR="00A044B5" w14:paraId="5D7BE6CF" w14:textId="77777777">
      <w:pPr>
        <w:tabs>
          <w:tab w:val="left" w:pos="4320"/>
        </w:tabs>
      </w:pPr>
    </w:p>
    <w:p w:rsidR="001949CB" w:rsidP="003539AF" w14:paraId="1A33E5D1" w14:textId="6DA6E04E">
      <w:pPr>
        <w:pStyle w:val="BodyTextIndent3"/>
        <w:spacing w:line="480" w:lineRule="auto"/>
      </w:pPr>
      <w:r>
        <w:t>As explained in the Office of the Ohio Consumers’ (“OCC”) initial comments, AEP has failed to meet its burden of proving that charges to customers for power plant subsidies under the OVEC Rider were prudent.</w:t>
      </w:r>
      <w:r>
        <w:rPr>
          <w:rStyle w:val="FootnoteReference"/>
        </w:rPr>
        <w:footnoteReference w:id="2"/>
      </w:r>
      <w:r>
        <w:t xml:space="preserve"> Nothing in AEP’s initial comments changes this.</w:t>
      </w:r>
      <w:r>
        <w:rPr>
          <w:rStyle w:val="FootnoteReference"/>
        </w:rPr>
        <w:footnoteReference w:id="3"/>
      </w:r>
    </w:p>
    <w:p w:rsidR="001949CB" w:rsidP="0004169E" w14:paraId="35F8078C" w14:textId="3CC564DE">
      <w:pPr>
        <w:pStyle w:val="BodyTextIndent3"/>
        <w:spacing w:line="480" w:lineRule="auto"/>
      </w:pPr>
      <w:r>
        <w:t>To the contrary, AEP’s initial comments say very little, registering some minor complaints about the Auditor’s recommendations and agreeing with several others, while ignoring the critical issues regarding prudence raised in OCC’s, Kroger’s, and the Ohio Manufacturers’ Association Energy Group’s (“OMA”) initial comments.</w:t>
      </w:r>
      <w:r>
        <w:rPr>
          <w:rStyle w:val="FootnoteReference"/>
        </w:rPr>
        <w:footnoteReference w:id="4"/>
      </w:r>
    </w:p>
    <w:p w:rsidR="002A41BD" w:rsidP="0004169E" w14:paraId="74282548" w14:textId="3B4F9AA1">
      <w:pPr>
        <w:pStyle w:val="BodyTextIndent3"/>
        <w:spacing w:line="480" w:lineRule="auto"/>
      </w:pPr>
      <w:r>
        <w:t>The PUCO should adopt the recommendations found in OCC’s, Kroger’s, and OMA’s initial comments, namely, that AEP has failed to meet its burden of proving prudence in this case. And it should reject AEP’s opposition to the Auditor’s recommendations, as explained below.</w:t>
      </w:r>
    </w:p>
    <w:p w:rsidR="00225D00" w:rsidRPr="00225D00" w:rsidP="003539AF" w14:paraId="01144A83" w14:textId="4BE023CD">
      <w:pPr>
        <w:pStyle w:val="BodyTextIndent3"/>
        <w:keepNext/>
        <w:keepLines/>
        <w:spacing w:line="480" w:lineRule="auto"/>
        <w:ind w:firstLine="0"/>
        <w:rPr>
          <w:b/>
          <w:bCs/>
        </w:rPr>
      </w:pPr>
      <w:r>
        <w:rPr>
          <w:b/>
          <w:bCs/>
        </w:rPr>
        <w:t>I.</w:t>
      </w:r>
      <w:r>
        <w:rPr>
          <w:b/>
          <w:bCs/>
        </w:rPr>
        <w:tab/>
        <w:t>R</w:t>
      </w:r>
      <w:r w:rsidR="00D37540">
        <w:rPr>
          <w:b/>
          <w:bCs/>
        </w:rPr>
        <w:t>EPLY COMMENTS</w:t>
      </w:r>
    </w:p>
    <w:p w:rsidR="00225D00" w:rsidRPr="004B6797" w:rsidP="003539AF" w14:paraId="27244B6E" w14:textId="1F830064">
      <w:pPr>
        <w:pStyle w:val="BodyTextIndent3"/>
        <w:keepNext/>
        <w:keepLines/>
        <w:spacing w:after="240" w:line="240" w:lineRule="auto"/>
        <w:ind w:left="1440" w:hanging="720"/>
        <w:rPr>
          <w:b/>
          <w:bCs/>
        </w:rPr>
      </w:pPr>
      <w:r>
        <w:rPr>
          <w:b/>
          <w:bCs/>
        </w:rPr>
        <w:t>A.</w:t>
      </w:r>
      <w:r>
        <w:rPr>
          <w:b/>
          <w:bCs/>
        </w:rPr>
        <w:tab/>
      </w:r>
      <w:r w:rsidR="00D37540">
        <w:rPr>
          <w:b/>
          <w:bCs/>
        </w:rPr>
        <w:t xml:space="preserve">AEP complains that the Auditor’s recommendations are </w:t>
      </w:r>
      <w:r w:rsidR="00B01B94">
        <w:rPr>
          <w:b/>
          <w:bCs/>
        </w:rPr>
        <w:t>“overly</w:t>
      </w:r>
      <w:r w:rsidR="00D37540">
        <w:rPr>
          <w:b/>
          <w:bCs/>
        </w:rPr>
        <w:t xml:space="preserve"> specific</w:t>
      </w:r>
      <w:r w:rsidR="00B01B94">
        <w:rPr>
          <w:b/>
          <w:bCs/>
        </w:rPr>
        <w:t>” (whatever that might mean)</w:t>
      </w:r>
      <w:r w:rsidR="00D37540">
        <w:rPr>
          <w:b/>
          <w:bCs/>
        </w:rPr>
        <w:t xml:space="preserve">. </w:t>
      </w:r>
      <w:r w:rsidR="00F24796">
        <w:rPr>
          <w:b/>
          <w:bCs/>
        </w:rPr>
        <w:t>T</w:t>
      </w:r>
      <w:r w:rsidR="00D37540">
        <w:rPr>
          <w:b/>
          <w:bCs/>
        </w:rPr>
        <w:t>he</w:t>
      </w:r>
      <w:r w:rsidR="00C128F2">
        <w:rPr>
          <w:b/>
          <w:bCs/>
        </w:rPr>
        <w:t xml:space="preserve"> Auditor should make specific consumer protection recommendations </w:t>
      </w:r>
      <w:r w:rsidR="00EB681B">
        <w:rPr>
          <w:b/>
          <w:bCs/>
        </w:rPr>
        <w:t>for</w:t>
      </w:r>
      <w:r w:rsidR="00C128F2">
        <w:rPr>
          <w:b/>
          <w:bCs/>
        </w:rPr>
        <w:t xml:space="preserve"> the</w:t>
      </w:r>
      <w:r w:rsidR="00D37540">
        <w:rPr>
          <w:b/>
          <w:bCs/>
        </w:rPr>
        <w:t xml:space="preserve"> PUCO </w:t>
      </w:r>
      <w:r w:rsidR="00EB681B">
        <w:rPr>
          <w:b/>
          <w:bCs/>
        </w:rPr>
        <w:t>to</w:t>
      </w:r>
      <w:r w:rsidR="00D37540">
        <w:rPr>
          <w:b/>
          <w:bCs/>
        </w:rPr>
        <w:t xml:space="preserve"> adopt.</w:t>
      </w:r>
    </w:p>
    <w:p w:rsidR="00D37540" w:rsidP="003539AF" w14:paraId="3B6664D4" w14:textId="223AA095">
      <w:pPr>
        <w:pStyle w:val="BodyTextIndent3"/>
        <w:spacing w:line="480" w:lineRule="auto"/>
      </w:pPr>
      <w:r>
        <w:t>The Auditor recommended that the OVEC Operating Committee meet at least once per year, with such meeting “dedicated to the review of the prior year’s operational and financial performance” and to “address strategies to improve performance in the following year.”</w:t>
      </w:r>
      <w:r>
        <w:rPr>
          <w:rStyle w:val="FootnoteReference"/>
        </w:rPr>
        <w:footnoteReference w:id="5"/>
      </w:r>
      <w:r>
        <w:t xml:space="preserve"> Because AEP customers pay to subsidize the OVEC power plants based on their performance, this recommendation seems eminently reasonable.</w:t>
      </w:r>
    </w:p>
    <w:p w:rsidR="00D37540" w:rsidP="003539AF" w14:paraId="3E2F34B8" w14:textId="1268D75E">
      <w:pPr>
        <w:pStyle w:val="BodyTextIndent3"/>
        <w:spacing w:line="480" w:lineRule="auto"/>
      </w:pPr>
      <w:r>
        <w:t>AEP, however, complains that this recommendation is “overly specific” and “constitutes improper micro-managing.”</w:t>
      </w:r>
      <w:r>
        <w:rPr>
          <w:rStyle w:val="FootnoteReference"/>
        </w:rPr>
        <w:footnoteReference w:id="6"/>
      </w:r>
      <w:r>
        <w:t xml:space="preserve"> The PUCO should reject AEP’s complaint, for several reasons.</w:t>
      </w:r>
    </w:p>
    <w:p w:rsidR="00F24796" w:rsidP="003539AF" w14:paraId="5B1AF4A8" w14:textId="3F3C0B95">
      <w:pPr>
        <w:pStyle w:val="BodyTextIndent3"/>
        <w:spacing w:line="480" w:lineRule="auto"/>
      </w:pPr>
      <w:r>
        <w:t>First, this recommendation goes to the heart of the audit. The performance of the subsidized OVEC power plants directly impacts the amount that customers pay under the OVEC Rider. Thus, whether the charges to consumers under the rider are prudent, as required by Order approving the OVEC Rider</w:t>
      </w:r>
      <w:r w:rsidR="00B73B67">
        <w:t>, depends on the plants’ operational and financial performance</w:t>
      </w:r>
      <w:r>
        <w:t>.</w:t>
      </w:r>
      <w:r>
        <w:rPr>
          <w:rStyle w:val="FootnoteReference"/>
        </w:rPr>
        <w:footnoteReference w:id="7"/>
      </w:r>
    </w:p>
    <w:p w:rsidR="00B01B94" w:rsidP="003539AF" w14:paraId="4489B09A" w14:textId="7A60E9C7">
      <w:pPr>
        <w:pStyle w:val="BodyTextIndent3"/>
        <w:spacing w:line="480" w:lineRule="auto"/>
      </w:pPr>
      <w:r>
        <w:t xml:space="preserve">Second, this recommendation is hardly burdensome. The Auditor is recommending that OVEC hold a single meeting, once a year. If </w:t>
      </w:r>
      <w:r w:rsidR="00BC26AD">
        <w:t>AEP believe</w:t>
      </w:r>
      <w:r w:rsidR="009B59F5">
        <w:t xml:space="preserve">s that </w:t>
      </w:r>
      <w:r>
        <w:t xml:space="preserve">OVEC can’t comply with such a basic recommendation </w:t>
      </w:r>
      <w:r w:rsidR="00BC26AD">
        <w:t xml:space="preserve">to improve its performance </w:t>
      </w:r>
      <w:r>
        <w:t>in exchange for AEP’s customers paying tens of millions of dollars per year in subsidies, then perhaps AEP should stop asking for the subsidies.</w:t>
      </w:r>
    </w:p>
    <w:p w:rsidR="00B01B94" w:rsidRPr="00B01B94" w:rsidP="003539AF" w14:paraId="45C610C7" w14:textId="5D7DD219">
      <w:pPr>
        <w:pStyle w:val="BodyTextIndent3"/>
        <w:keepNext/>
        <w:keepLines/>
        <w:spacing w:after="240" w:line="240" w:lineRule="auto"/>
        <w:ind w:left="1440" w:hanging="720"/>
        <w:rPr>
          <w:b/>
          <w:bCs/>
        </w:rPr>
      </w:pPr>
      <w:r>
        <w:rPr>
          <w:b/>
          <w:bCs/>
        </w:rPr>
        <w:t>B.</w:t>
      </w:r>
      <w:r>
        <w:rPr>
          <w:b/>
          <w:bCs/>
        </w:rPr>
        <w:tab/>
        <w:t>AEP should comply with the Auditor’s recommendation that the OVEC Operating Committee formalize the process by which alternative opportunities are raised by Sponsoring Companies.</w:t>
      </w:r>
    </w:p>
    <w:p w:rsidR="001949CB" w:rsidP="003539AF" w14:paraId="7B91A989" w14:textId="7FB2BC3D">
      <w:pPr>
        <w:pStyle w:val="BodyTextIndent3"/>
        <w:spacing w:line="480" w:lineRule="auto"/>
      </w:pPr>
      <w:r>
        <w:t>As part of the audit, the Auditor found that OVEC was not participating in PJM’s ancillary services market.</w:t>
      </w:r>
      <w:r>
        <w:rPr>
          <w:rStyle w:val="FootnoteReference"/>
        </w:rPr>
        <w:footnoteReference w:id="8"/>
      </w:r>
      <w:r>
        <w:t xml:space="preserve"> Participating in the ancillary services market could generate additional revenues, which would lower charges to customers under AEP’s OVEC Rider. </w:t>
      </w:r>
      <w:r>
        <w:t>The Auditor found that the topic of participating in the ancillary services market was raised by Duke Energy at an OVEC Operating Committee meeting in 2018, but not again since.</w:t>
      </w:r>
      <w:r>
        <w:rPr>
          <w:rStyle w:val="FootnoteReference"/>
        </w:rPr>
        <w:footnoteReference w:id="9"/>
      </w:r>
    </w:p>
    <w:p w:rsidR="00B01B94" w:rsidP="003539AF" w14:paraId="549FA50B" w14:textId="20499C49">
      <w:pPr>
        <w:pStyle w:val="BodyTextIndent3"/>
        <w:spacing w:line="480" w:lineRule="auto"/>
      </w:pPr>
      <w:r>
        <w:t xml:space="preserve">To ensure that </w:t>
      </w:r>
      <w:r w:rsidR="001949CB">
        <w:t>OVEC is not missing opportunities like this to generate additional revenues for the benefit of customers, the Auditor recommended that OVEC establish a formal process by which the sponsoring companies can raise and discuss such opportunities.</w:t>
      </w:r>
      <w:r>
        <w:rPr>
          <w:rStyle w:val="FootnoteReference"/>
        </w:rPr>
        <w:footnoteReference w:id="10"/>
      </w:r>
      <w:r w:rsidR="00B73B67">
        <w:t xml:space="preserve"> This is a reasonable recommendation. After all, by failing to participate in the ancillary services market which would generate additional revenue, AEP acted imprudently to the detriment of customers, in an amount totaling $110,445.</w:t>
      </w:r>
      <w:r>
        <w:rPr>
          <w:rStyle w:val="FootnoteReference"/>
        </w:rPr>
        <w:footnoteReference w:id="11"/>
      </w:r>
    </w:p>
    <w:p w:rsidR="001949CB" w:rsidP="003539AF" w14:paraId="1D0B9BDB" w14:textId="28D042A9">
      <w:pPr>
        <w:pStyle w:val="BodyTextIndent3"/>
        <w:spacing w:line="480" w:lineRule="auto"/>
      </w:pPr>
      <w:r>
        <w:t>In response, AEP says, “AEP Ohio does not control the activities of the committee and can only make its own recommendation to the OVEC sponsors to include this additional information.”</w:t>
      </w:r>
      <w:r>
        <w:rPr>
          <w:rStyle w:val="FootnoteReference"/>
        </w:rPr>
        <w:footnoteReference w:id="12"/>
      </w:r>
      <w:r>
        <w:t xml:space="preserve"> While it may be true that AEP cannot unilaterally implement the Auditor’s recommendation, the PUCO should require AEP to propose such a recommendation to the OVEC Operating Committee.</w:t>
      </w:r>
      <w:r w:rsidR="00EB681B">
        <w:t xml:space="preserve"> When a utility is receiving an above-market subsidy, consumers should be protected from paying unnecessary subsidy charges </w:t>
      </w:r>
      <w:r w:rsidR="004F67A1">
        <w:t>where</w:t>
      </w:r>
      <w:r w:rsidR="00EB681B">
        <w:t xml:space="preserve"> the utility is not maximizing its revenue opportunities.</w:t>
      </w:r>
    </w:p>
    <w:p w:rsidR="003539AF" w:rsidP="003539AF" w14:paraId="589A1B65" w14:textId="77777777">
      <w:pPr>
        <w:pStyle w:val="BodyTextIndent3"/>
        <w:spacing w:line="240" w:lineRule="auto"/>
      </w:pPr>
    </w:p>
    <w:p w:rsidR="003A769F" w:rsidRPr="00813AF8" w:rsidP="00813AF8" w14:paraId="618CA9D0" w14:textId="73B9E5F1">
      <w:pPr>
        <w:pStyle w:val="BodyTextIndent3"/>
        <w:keepNext/>
        <w:keepLines/>
        <w:spacing w:after="240" w:line="240" w:lineRule="auto"/>
        <w:ind w:right="-317" w:firstLine="0"/>
        <w:rPr>
          <w:b/>
          <w:bCs/>
        </w:rPr>
      </w:pPr>
      <w:r>
        <w:rPr>
          <w:b/>
          <w:bCs/>
        </w:rPr>
        <w:t>I</w:t>
      </w:r>
      <w:r w:rsidR="001949CB">
        <w:rPr>
          <w:b/>
          <w:bCs/>
        </w:rPr>
        <w:t>I</w:t>
      </w:r>
      <w:r>
        <w:rPr>
          <w:b/>
          <w:bCs/>
        </w:rPr>
        <w:t>.</w:t>
      </w:r>
      <w:r>
        <w:rPr>
          <w:b/>
          <w:bCs/>
        </w:rPr>
        <w:tab/>
        <w:t>CONCLUSION</w:t>
      </w:r>
    </w:p>
    <w:p w:rsidR="00BF5893" w:rsidP="003539AF" w14:paraId="50DAF23E" w14:textId="725FA4C7">
      <w:pPr>
        <w:pStyle w:val="BodyTextIndent3"/>
        <w:spacing w:line="480" w:lineRule="auto"/>
      </w:pPr>
      <w:r>
        <w:t>The PUCO should adopt the consumer-protection recommendations found in OCC’s Initial Comments. It should also adopt the Auditor’s recommendations that OVEC take all necessary steps to maximize revenues, thus lowering charges to consumers for OVEC subsidies.</w:t>
      </w:r>
    </w:p>
    <w:p w:rsidR="00A044B5" w14:paraId="14C868B7" w14:textId="1EFF3A66">
      <w:pPr>
        <w:pStyle w:val="BodyTextIndent3"/>
        <w:widowControl w:val="0"/>
        <w:ind w:left="3600" w:right="-672"/>
        <w:rPr>
          <w:szCs w:val="24"/>
        </w:rPr>
      </w:pPr>
      <w:r>
        <w:rPr>
          <w:szCs w:val="24"/>
        </w:rPr>
        <w:t>Respectfully submitted,</w:t>
      </w:r>
    </w:p>
    <w:p w:rsidR="00A044B5" w14:paraId="6765E40F" w14:textId="2CAB49C0">
      <w:pPr>
        <w:pStyle w:val="Footer"/>
        <w:tabs>
          <w:tab w:val="left" w:pos="4320"/>
          <w:tab w:val="clear" w:pos="8640"/>
        </w:tabs>
        <w:spacing w:before="240"/>
        <w:rPr>
          <w:sz w:val="24"/>
          <w:szCs w:val="24"/>
        </w:rPr>
      </w:pPr>
      <w:r>
        <w:rPr>
          <w:sz w:val="24"/>
          <w:szCs w:val="24"/>
        </w:rPr>
        <w:tab/>
      </w:r>
      <w:r w:rsidR="00DA7A21">
        <w:rPr>
          <w:sz w:val="24"/>
          <w:szCs w:val="24"/>
        </w:rPr>
        <w:t>Bruce Weston</w:t>
      </w:r>
      <w:r w:rsidR="00CA3F81">
        <w:rPr>
          <w:sz w:val="24"/>
          <w:szCs w:val="24"/>
        </w:rPr>
        <w:t xml:space="preserve"> (#0016973)</w:t>
      </w:r>
    </w:p>
    <w:p w:rsidR="00A044B5" w14:paraId="4AEAFA66" w14:textId="4B59AAFA">
      <w:pPr>
        <w:tabs>
          <w:tab w:val="left" w:pos="4320"/>
        </w:tabs>
        <w:rPr>
          <w:szCs w:val="24"/>
        </w:rPr>
      </w:pPr>
      <w:r>
        <w:rPr>
          <w:szCs w:val="24"/>
        </w:rPr>
        <w:tab/>
      </w:r>
      <w:r w:rsidRPr="00DA7A21" w:rsidR="00DA7A21">
        <w:rPr>
          <w:szCs w:val="24"/>
        </w:rPr>
        <w:t>Ohio Consumers</w:t>
      </w:r>
      <w:r w:rsidR="00DA7A21">
        <w:rPr>
          <w:szCs w:val="24"/>
        </w:rPr>
        <w:t>’</w:t>
      </w:r>
      <w:r w:rsidRPr="00DA7A21" w:rsidR="00DA7A21">
        <w:rPr>
          <w:szCs w:val="24"/>
        </w:rPr>
        <w:t xml:space="preserve"> Counsel</w:t>
      </w:r>
    </w:p>
    <w:p w:rsidR="00A044B5" w14:paraId="33950AEC" w14:textId="77777777">
      <w:pPr>
        <w:tabs>
          <w:tab w:val="left" w:pos="4320"/>
        </w:tabs>
        <w:rPr>
          <w:szCs w:val="24"/>
        </w:rPr>
      </w:pPr>
      <w:r>
        <w:rPr>
          <w:szCs w:val="24"/>
        </w:rPr>
        <w:tab/>
      </w:r>
    </w:p>
    <w:p w:rsidR="00A044B5" w:rsidRPr="00D57131" w14:paraId="77D0E0D7" w14:textId="4FF80398">
      <w:pPr>
        <w:tabs>
          <w:tab w:val="left" w:pos="4320"/>
        </w:tabs>
        <w:rPr>
          <w:szCs w:val="24"/>
          <w:u w:val="single"/>
        </w:rPr>
      </w:pPr>
      <w:r>
        <w:rPr>
          <w:szCs w:val="24"/>
        </w:rPr>
        <w:tab/>
      </w:r>
      <w:r w:rsidRPr="00D57131" w:rsidR="00D57131">
        <w:rPr>
          <w:szCs w:val="24"/>
          <w:u w:val="single"/>
        </w:rPr>
        <w:t xml:space="preserve">/s/ </w:t>
      </w:r>
      <w:r w:rsidRPr="00D57131" w:rsidR="00D57131">
        <w:rPr>
          <w:i/>
          <w:iCs/>
          <w:szCs w:val="24"/>
          <w:u w:val="single"/>
        </w:rPr>
        <w:t>Christopher Healey</w:t>
      </w:r>
      <w:r w:rsidR="00D57131">
        <w:rPr>
          <w:i/>
          <w:iCs/>
          <w:szCs w:val="24"/>
          <w:u w:val="single"/>
        </w:rPr>
        <w:tab/>
      </w:r>
      <w:r w:rsidR="00D57131">
        <w:rPr>
          <w:i/>
          <w:iCs/>
          <w:szCs w:val="24"/>
          <w:u w:val="single"/>
        </w:rPr>
        <w:tab/>
      </w:r>
      <w:r w:rsidR="00D57131">
        <w:rPr>
          <w:i/>
          <w:iCs/>
          <w:szCs w:val="24"/>
          <w:u w:val="single"/>
        </w:rPr>
        <w:tab/>
      </w:r>
    </w:p>
    <w:p w:rsidR="00946E16" w14:paraId="612ED9E8" w14:textId="77777777">
      <w:pPr>
        <w:tabs>
          <w:tab w:val="left" w:pos="4320"/>
        </w:tabs>
        <w:rPr>
          <w:szCs w:val="24"/>
        </w:rPr>
      </w:pPr>
      <w:r>
        <w:rPr>
          <w:szCs w:val="24"/>
        </w:rPr>
        <w:tab/>
        <w:t>Christopher Healey (0086027)</w:t>
      </w:r>
    </w:p>
    <w:p w:rsidR="00A044B5" w:rsidP="00946E16" w14:paraId="234E8188" w14:textId="65BEBB93">
      <w:pPr>
        <w:tabs>
          <w:tab w:val="left" w:pos="4320"/>
        </w:tabs>
        <w:ind w:firstLine="4320"/>
        <w:rPr>
          <w:szCs w:val="24"/>
        </w:rPr>
      </w:pPr>
      <w:r>
        <w:rPr>
          <w:szCs w:val="24"/>
        </w:rPr>
        <w:t>Counsel of Record</w:t>
      </w:r>
    </w:p>
    <w:p w:rsidR="000B2DB5" w:rsidP="00946E16" w14:paraId="3B14B8D0" w14:textId="5050854D">
      <w:pPr>
        <w:tabs>
          <w:tab w:val="left" w:pos="4320"/>
        </w:tabs>
      </w:pPr>
      <w:r>
        <w:tab/>
      </w:r>
    </w:p>
    <w:p w:rsidR="00A044B5" w14:paraId="66DC5DF3" w14:textId="25F951C9">
      <w:pPr>
        <w:pStyle w:val="Heading1"/>
        <w:ind w:left="3240" w:right="-648" w:firstLine="720"/>
        <w:rPr>
          <w:u w:val="none"/>
        </w:rPr>
      </w:pPr>
      <w:r>
        <w:rPr>
          <w:u w:val="none"/>
        </w:rPr>
        <w:tab/>
        <w:t>Office of the Ohio Consumers</w:t>
      </w:r>
      <w:r w:rsidR="00DA7A21">
        <w:rPr>
          <w:u w:val="none"/>
        </w:rPr>
        <w:t>’</w:t>
      </w:r>
      <w:r>
        <w:rPr>
          <w:u w:val="none"/>
        </w:rPr>
        <w:t xml:space="preserve"> Counsel</w:t>
      </w:r>
    </w:p>
    <w:p w:rsidR="00A044B5" w14:paraId="2F0D2BEA" w14:textId="6CE340ED">
      <w:pPr>
        <w:pStyle w:val="Heading1"/>
        <w:ind w:left="3240" w:right="-648" w:firstLine="720"/>
        <w:rPr>
          <w:b w:val="0"/>
          <w:u w:val="none"/>
        </w:rPr>
      </w:pPr>
      <w:r>
        <w:rPr>
          <w:b w:val="0"/>
          <w:u w:val="none"/>
        </w:rPr>
        <w:tab/>
      </w:r>
      <w:r w:rsidR="00476981">
        <w:rPr>
          <w:b w:val="0"/>
          <w:u w:val="none"/>
        </w:rPr>
        <w:t xml:space="preserve">65 East State Street, </w:t>
      </w:r>
      <w:r w:rsidR="006C5841">
        <w:rPr>
          <w:b w:val="0"/>
          <w:u w:val="none"/>
        </w:rPr>
        <w:t>7</w:t>
      </w:r>
      <w:r w:rsidR="00946E16">
        <w:rPr>
          <w:b w:val="0"/>
          <w:u w:val="none"/>
        </w:rPr>
        <w:t>th</w:t>
      </w:r>
      <w:r w:rsidR="006C5841">
        <w:rPr>
          <w:b w:val="0"/>
          <w:u w:val="none"/>
        </w:rPr>
        <w:t xml:space="preserve"> Floor</w:t>
      </w:r>
    </w:p>
    <w:p w:rsidR="00A044B5" w14:paraId="275A746B" w14:textId="77777777">
      <w:pPr>
        <w:pStyle w:val="Heading1"/>
        <w:ind w:left="3240" w:right="-648" w:firstLine="720"/>
        <w:rPr>
          <w:b w:val="0"/>
          <w:u w:val="none"/>
        </w:rPr>
      </w:pPr>
      <w:r>
        <w:rPr>
          <w:b w:val="0"/>
          <w:u w:val="none"/>
        </w:rPr>
        <w:tab/>
        <w:t>Columbus, Ohio 43215</w:t>
      </w:r>
    </w:p>
    <w:p w:rsidR="00A044B5" w14:paraId="5431007D" w14:textId="580CED63">
      <w:pPr>
        <w:autoSpaceDE w:val="0"/>
        <w:autoSpaceDN w:val="0"/>
        <w:adjustRightInd w:val="0"/>
        <w:ind w:left="3600" w:firstLine="720"/>
        <w:rPr>
          <w:szCs w:val="24"/>
        </w:rPr>
      </w:pPr>
      <w:r>
        <w:rPr>
          <w:szCs w:val="24"/>
        </w:rPr>
        <w:t xml:space="preserve">Telephone: (614) </w:t>
      </w:r>
      <w:r w:rsidR="00946E16">
        <w:rPr>
          <w:szCs w:val="24"/>
        </w:rPr>
        <w:t>466-9571</w:t>
      </w:r>
    </w:p>
    <w:p w:rsidR="000B2DB5" w:rsidRPr="000F01F1" w14:paraId="4DC746DA" w14:textId="77777777">
      <w:pPr>
        <w:rPr>
          <w:rStyle w:val="Hyperlink"/>
          <w:color w:val="auto"/>
          <w:szCs w:val="24"/>
        </w:rPr>
      </w:pPr>
      <w:r>
        <w:rPr>
          <w:szCs w:val="24"/>
        </w:rPr>
        <w:tab/>
      </w:r>
      <w:r>
        <w:rPr>
          <w:szCs w:val="24"/>
        </w:rPr>
        <w:tab/>
      </w:r>
      <w:r>
        <w:rPr>
          <w:szCs w:val="24"/>
        </w:rPr>
        <w:tab/>
      </w:r>
      <w:r w:rsidR="002A4912">
        <w:rPr>
          <w:szCs w:val="24"/>
        </w:rPr>
        <w:tab/>
      </w:r>
      <w:r w:rsidR="002A4912">
        <w:rPr>
          <w:szCs w:val="24"/>
        </w:rPr>
        <w:tab/>
      </w:r>
      <w:r w:rsidR="002A4912">
        <w:rPr>
          <w:szCs w:val="24"/>
        </w:rPr>
        <w:tab/>
      </w:r>
      <w:hyperlink r:id="rId6" w:history="1">
        <w:r w:rsidRPr="00657525" w:rsidR="00946E16">
          <w:rPr>
            <w:rStyle w:val="Hyperlink"/>
            <w:szCs w:val="24"/>
          </w:rPr>
          <w:t>christopher.healey@occ.ohio.gov</w:t>
        </w:r>
      </w:hyperlink>
    </w:p>
    <w:p w:rsidR="00A044B5" w14:paraId="4BC34D7F" w14:textId="114BDE87">
      <w:pPr>
        <w:rPr>
          <w:szCs w:val="24"/>
        </w:rPr>
      </w:pPr>
      <w:r w:rsidRPr="000F01F1">
        <w:rPr>
          <w:rStyle w:val="Hyperlink"/>
          <w:color w:val="auto"/>
          <w:szCs w:val="24"/>
          <w:u w:val="none"/>
        </w:rPr>
        <w:tab/>
      </w:r>
      <w:r w:rsidRPr="000F01F1">
        <w:rPr>
          <w:rStyle w:val="Hyperlink"/>
          <w:color w:val="auto"/>
          <w:szCs w:val="24"/>
          <w:u w:val="none"/>
        </w:rPr>
        <w:tab/>
      </w:r>
      <w:r w:rsidRPr="000F01F1">
        <w:rPr>
          <w:rStyle w:val="Hyperlink"/>
          <w:color w:val="auto"/>
          <w:szCs w:val="24"/>
          <w:u w:val="none"/>
        </w:rPr>
        <w:tab/>
      </w:r>
      <w:r w:rsidRPr="000F01F1">
        <w:rPr>
          <w:rStyle w:val="Hyperlink"/>
          <w:color w:val="auto"/>
          <w:szCs w:val="24"/>
          <w:u w:val="none"/>
        </w:rPr>
        <w:tab/>
      </w:r>
      <w:r w:rsidRPr="000F01F1">
        <w:rPr>
          <w:rStyle w:val="Hyperlink"/>
          <w:color w:val="auto"/>
          <w:szCs w:val="24"/>
          <w:u w:val="none"/>
        </w:rPr>
        <w:tab/>
      </w:r>
      <w:r w:rsidRPr="000F01F1">
        <w:rPr>
          <w:rStyle w:val="Hyperlink"/>
          <w:color w:val="auto"/>
          <w:szCs w:val="24"/>
          <w:u w:val="none"/>
        </w:rPr>
        <w:tab/>
      </w:r>
      <w:r>
        <w:rPr>
          <w:szCs w:val="24"/>
        </w:rPr>
        <w:t>(</w:t>
      </w:r>
      <w:r w:rsidR="00946E16">
        <w:rPr>
          <w:szCs w:val="24"/>
        </w:rPr>
        <w:t>w</w:t>
      </w:r>
      <w:r>
        <w:rPr>
          <w:szCs w:val="24"/>
        </w:rPr>
        <w:t>ill</w:t>
      </w:r>
      <w:r w:rsidR="00946E16">
        <w:rPr>
          <w:szCs w:val="24"/>
        </w:rPr>
        <w:t>ing to</w:t>
      </w:r>
      <w:r>
        <w:rPr>
          <w:szCs w:val="24"/>
        </w:rPr>
        <w:t xml:space="preserve"> accept service </w:t>
      </w:r>
      <w:r w:rsidR="00946E16">
        <w:rPr>
          <w:szCs w:val="24"/>
        </w:rPr>
        <w:t>by</w:t>
      </w:r>
      <w:r>
        <w:rPr>
          <w:szCs w:val="24"/>
        </w:rPr>
        <w:t xml:space="preserve"> e</w:t>
      </w:r>
      <w:r w:rsidR="00946E16">
        <w:rPr>
          <w:szCs w:val="24"/>
        </w:rPr>
        <w:t>-</w:t>
      </w:r>
      <w:r>
        <w:rPr>
          <w:szCs w:val="24"/>
        </w:rPr>
        <w:t>mail)</w:t>
      </w:r>
    </w:p>
    <w:p w:rsidR="00A044B5" w14:paraId="1E80D2BC" w14:textId="77777777">
      <w:pPr>
        <w:rPr>
          <w:szCs w:val="24"/>
        </w:rPr>
      </w:pPr>
    </w:p>
    <w:p w:rsidR="00A044B5" w14:paraId="4F2148B8" w14:textId="77777777"/>
    <w:p w:rsidR="00A044B5" w14:paraId="4AEF8D31" w14:textId="77777777"/>
    <w:p w:rsidR="00A044B5" w14:paraId="63085C2D" w14:textId="77777777">
      <w:pPr>
        <w:ind w:left="4320" w:firstLine="720"/>
        <w:jc w:val="both"/>
      </w:pPr>
    </w:p>
    <w:p w:rsidR="000B2DB5" w:rsidP="000B2DB5" w14:paraId="08F1CDFC" w14:textId="407013DA">
      <w:pPr>
        <w:rPr>
          <w:szCs w:val="24"/>
        </w:rPr>
      </w:pPr>
    </w:p>
    <w:p w:rsidR="000B2DB5" w:rsidP="000B2DB5" w14:paraId="3F77F8A4" w14:textId="77777777">
      <w:pPr>
        <w:rPr>
          <w:szCs w:val="24"/>
        </w:rPr>
      </w:pPr>
    </w:p>
    <w:p w:rsidR="00D57131" w:rsidP="00D57131" w14:paraId="2CECD1C8" w14:textId="73500102">
      <w:pPr>
        <w:rPr>
          <w:szCs w:val="24"/>
        </w:rPr>
      </w:pPr>
    </w:p>
    <w:p w:rsidR="00A044B5" w14:paraId="315FBBEC" w14:textId="77777777">
      <w:pPr>
        <w:rPr>
          <w:szCs w:val="24"/>
        </w:rPr>
      </w:pPr>
    </w:p>
    <w:p w:rsidR="00C436A9" w14:paraId="12FF79BB" w14:textId="77777777">
      <w:pPr>
        <w:rPr>
          <w:b/>
          <w:bCs/>
          <w:u w:val="single"/>
        </w:rPr>
      </w:pPr>
      <w:r>
        <w:rPr>
          <w:b/>
          <w:bCs/>
          <w:u w:val="single"/>
        </w:rPr>
        <w:br w:type="page"/>
      </w:r>
    </w:p>
    <w:p w:rsidR="00A044B5" w:rsidP="00482DD0" w14:paraId="1688CF6D" w14:textId="02FBDAA4">
      <w:pPr>
        <w:jc w:val="center"/>
        <w:rPr>
          <w:b/>
          <w:bCs/>
          <w:u w:val="single"/>
        </w:rPr>
      </w:pPr>
      <w:r>
        <w:rPr>
          <w:b/>
          <w:bCs/>
          <w:u w:val="single"/>
        </w:rPr>
        <w:t>CERTIFICATE OF SERVICE</w:t>
      </w:r>
    </w:p>
    <w:p w:rsidR="00A044B5" w14:paraId="198A4F68" w14:textId="3DDB3EEC">
      <w:pPr>
        <w:spacing w:line="480" w:lineRule="atLeast"/>
      </w:pPr>
      <w:r>
        <w:tab/>
        <w:t xml:space="preserve">I hereby certify that a copy of </w:t>
      </w:r>
      <w:r w:rsidR="000F01F1">
        <w:t xml:space="preserve">these </w:t>
      </w:r>
      <w:r w:rsidR="00941471">
        <w:t xml:space="preserve">Reply </w:t>
      </w:r>
      <w:r w:rsidR="000F01F1">
        <w:t xml:space="preserve">Comments </w:t>
      </w:r>
      <w:r>
        <w:t>was served on the persons stated below</w:t>
      </w:r>
      <w:r w:rsidRPr="000B2DB5">
        <w:rPr>
          <w:iCs/>
        </w:rPr>
        <w:t xml:space="preserve"> via</w:t>
      </w:r>
      <w:r w:rsidRPr="000B2DB5" w:rsidR="002A4912">
        <w:rPr>
          <w:iCs/>
        </w:rPr>
        <w:t xml:space="preserve"> </w:t>
      </w:r>
      <w:r w:rsidR="002A4912">
        <w:t>electronic transmission</w:t>
      </w:r>
      <w:r>
        <w:t xml:space="preserve">, this </w:t>
      </w:r>
      <w:r w:rsidR="00C37BEF">
        <w:t>7th</w:t>
      </w:r>
      <w:r w:rsidR="004F4C22">
        <w:t xml:space="preserve"> </w:t>
      </w:r>
      <w:r>
        <w:t xml:space="preserve">day of </w:t>
      </w:r>
      <w:r w:rsidR="00941471">
        <w:t xml:space="preserve">February </w:t>
      </w:r>
      <w:r>
        <w:t>20</w:t>
      </w:r>
      <w:r w:rsidR="000F01F1">
        <w:t>20</w:t>
      </w:r>
      <w:r>
        <w:t>.</w:t>
      </w:r>
    </w:p>
    <w:p w:rsidR="00A044B5" w14:paraId="6A151535" w14:textId="77777777">
      <w:pPr>
        <w:spacing w:line="480" w:lineRule="atLeast"/>
      </w:pPr>
    </w:p>
    <w:p w:rsidR="00A044B5" w:rsidRPr="00D57131" w14:paraId="45DB7695" w14:textId="42D85B54">
      <w:pPr>
        <w:tabs>
          <w:tab w:val="left" w:pos="4320"/>
        </w:tabs>
        <w:rPr>
          <w:i/>
          <w:iCs/>
          <w:u w:val="single"/>
        </w:rPr>
      </w:pPr>
      <w:r>
        <w:tab/>
      </w:r>
      <w:r w:rsidR="00D57131">
        <w:rPr>
          <w:u w:val="single"/>
        </w:rPr>
        <w:t xml:space="preserve">/s/ </w:t>
      </w:r>
      <w:r w:rsidR="00D57131">
        <w:rPr>
          <w:i/>
          <w:iCs/>
          <w:u w:val="single"/>
        </w:rPr>
        <w:t>Christopher Healey</w:t>
      </w:r>
      <w:r w:rsidR="00D57131">
        <w:rPr>
          <w:i/>
          <w:iCs/>
          <w:u w:val="single"/>
        </w:rPr>
        <w:tab/>
      </w:r>
      <w:r w:rsidR="00D57131">
        <w:rPr>
          <w:i/>
          <w:iCs/>
          <w:u w:val="single"/>
        </w:rPr>
        <w:tab/>
      </w:r>
    </w:p>
    <w:p w:rsidR="00A044B5" w14:paraId="0F61144A" w14:textId="750328B7">
      <w:pPr>
        <w:tabs>
          <w:tab w:val="left" w:pos="4320"/>
        </w:tabs>
      </w:pPr>
      <w:r>
        <w:tab/>
      </w:r>
      <w:r w:rsidR="00D57131">
        <w:t>Christopher Healey</w:t>
      </w:r>
    </w:p>
    <w:p w:rsidR="00A044B5" w14:paraId="1A540C6A" w14:textId="49354E58">
      <w:pPr>
        <w:tabs>
          <w:tab w:val="left" w:pos="4320"/>
        </w:tabs>
      </w:pPr>
      <w:r>
        <w:tab/>
        <w:t>Assistant Consumers</w:t>
      </w:r>
      <w:r w:rsidR="00DA7A21">
        <w:t>’</w:t>
      </w:r>
      <w:r>
        <w:t xml:space="preserve"> Counsel</w:t>
      </w:r>
    </w:p>
    <w:p w:rsidR="00A044B5" w14:paraId="256CF475" w14:textId="77777777">
      <w:pPr>
        <w:pStyle w:val="CommentSubject"/>
      </w:pPr>
    </w:p>
    <w:p w:rsidR="00DA7A21" w:rsidP="00DA7A21" w14:paraId="11E39517" w14:textId="77777777">
      <w:r>
        <w:t>The PUCO’s e-filing system will electronically serve notice of the filing of this document on the following parties:</w:t>
      </w:r>
    </w:p>
    <w:p w:rsidR="00A044B5" w14:paraId="5FEAFDF3" w14:textId="77777777">
      <w:pPr>
        <w:pStyle w:val="CommentText"/>
      </w:pPr>
    </w:p>
    <w:p w:rsidR="00A044B5" w14:paraId="551D3E20" w14:textId="77777777">
      <w:pPr>
        <w:pStyle w:val="CommentText"/>
        <w:jc w:val="center"/>
        <w:rPr>
          <w:b/>
          <w:u w:val="single"/>
        </w:rPr>
      </w:pPr>
      <w:r>
        <w:rPr>
          <w:b/>
          <w:u w:val="single"/>
        </w:rPr>
        <w:t>SERVICE LIST</w:t>
      </w:r>
    </w:p>
    <w:p w:rsidR="00A044B5" w:rsidRPr="00FD424A" w14:paraId="5DE52C36" w14:textId="77777777">
      <w:pPr>
        <w:pStyle w:val="BodyText"/>
        <w:rPr>
          <w:color w:val="0000FF"/>
          <w:szCs w:val="24"/>
          <w:u w:val="single"/>
        </w:rPr>
      </w:pPr>
    </w:p>
    <w:tbl>
      <w:tblPr>
        <w:tblW w:w="0" w:type="auto"/>
        <w:tblLook w:val="01E0"/>
      </w:tblPr>
      <w:tblGrid>
        <w:gridCol w:w="4417"/>
        <w:gridCol w:w="4223"/>
      </w:tblGrid>
      <w:tr w14:paraId="3DAC2EF4" w14:textId="77777777" w:rsidTr="00310A32">
        <w:tblPrEx>
          <w:tblW w:w="0" w:type="auto"/>
          <w:tblLook w:val="01E0"/>
        </w:tblPrEx>
        <w:tc>
          <w:tcPr>
            <w:tcW w:w="4417" w:type="dxa"/>
            <w:shd w:val="clear" w:color="auto" w:fill="auto"/>
          </w:tcPr>
          <w:p w:rsidR="00FD424A" w:rsidRPr="00FD424A" w:rsidP="00FD424A" w14:paraId="4BF48CAF" w14:textId="7CB40E67">
            <w:pPr>
              <w:spacing w:after="160" w:line="259" w:lineRule="auto"/>
              <w:rPr>
                <w:color w:val="0000FF"/>
                <w:szCs w:val="24"/>
                <w:u w:val="single"/>
              </w:rPr>
            </w:pPr>
            <w:r w:rsidRPr="00FD424A">
              <w:rPr>
                <w:color w:val="0000FF"/>
                <w:szCs w:val="24"/>
                <w:u w:val="single"/>
              </w:rPr>
              <w:t>Werner.margard@ohioattorneygeneral.</w:t>
            </w:r>
            <w:r>
              <w:rPr>
                <w:color w:val="0000FF"/>
                <w:szCs w:val="24"/>
                <w:u w:val="single"/>
              </w:rPr>
              <w:t>gov</w:t>
            </w:r>
          </w:p>
          <w:p w:rsidR="00A044B5" w:rsidRPr="00FD424A" w:rsidP="00A044B5" w14:paraId="32CA1FBD" w14:textId="77777777">
            <w:pPr>
              <w:autoSpaceDE w:val="0"/>
              <w:autoSpaceDN w:val="0"/>
              <w:adjustRightInd w:val="0"/>
              <w:rPr>
                <w:szCs w:val="24"/>
              </w:rPr>
            </w:pPr>
            <w:r w:rsidRPr="00FD424A">
              <w:rPr>
                <w:szCs w:val="24"/>
              </w:rPr>
              <w:t>Attorney Examiners:</w:t>
            </w:r>
          </w:p>
          <w:p w:rsidR="00FD424A" w:rsidRPr="00FD424A" w:rsidP="00A044B5" w14:paraId="4E5DC840" w14:textId="77777777">
            <w:pPr>
              <w:autoSpaceDE w:val="0"/>
              <w:autoSpaceDN w:val="0"/>
              <w:adjustRightInd w:val="0"/>
              <w:rPr>
                <w:color w:val="0000FF"/>
                <w:szCs w:val="24"/>
                <w:u w:val="single"/>
              </w:rPr>
            </w:pPr>
          </w:p>
          <w:p w:rsidR="00FD424A" w:rsidRPr="00A575BD" w:rsidP="00FD424A" w14:paraId="7ED82C31" w14:textId="62C76C92">
            <w:pPr>
              <w:rPr>
                <w:color w:val="0000FF"/>
                <w:szCs w:val="24"/>
                <w:u w:val="single"/>
              </w:rPr>
            </w:pPr>
            <w:hyperlink r:id="rId7" w:history="1">
              <w:r w:rsidRPr="00442D5C" w:rsidR="000A5402">
                <w:rPr>
                  <w:color w:val="0000FF"/>
                  <w:szCs w:val="24"/>
                  <w:u w:val="single"/>
                </w:rPr>
                <w:t>Sarah.parrot@puc.state.oh.us</w:t>
              </w:r>
            </w:hyperlink>
          </w:p>
          <w:p w:rsidR="00FD424A" w:rsidRPr="00A575BD" w:rsidP="00FD424A" w14:paraId="4624580D" w14:textId="674E3A6A">
            <w:pPr>
              <w:rPr>
                <w:color w:val="0000FF"/>
                <w:szCs w:val="24"/>
                <w:u w:val="single"/>
              </w:rPr>
            </w:pPr>
            <w:hyperlink r:id="rId8" w:history="1">
              <w:r w:rsidRPr="00A575BD" w:rsidR="000A5402">
                <w:rPr>
                  <w:color w:val="0000FF"/>
                  <w:szCs w:val="24"/>
                  <w:u w:val="single"/>
                </w:rPr>
                <w:t>Greta.see@puco.ohio.gov</w:t>
              </w:r>
            </w:hyperlink>
          </w:p>
          <w:p w:rsidR="00FD424A" w:rsidRPr="00FD424A" w:rsidP="00A044B5" w14:paraId="3BDE049C" w14:textId="0F30634A">
            <w:pPr>
              <w:autoSpaceDE w:val="0"/>
              <w:autoSpaceDN w:val="0"/>
              <w:adjustRightInd w:val="0"/>
              <w:rPr>
                <w:color w:val="0000FF"/>
                <w:szCs w:val="24"/>
                <w:u w:val="single"/>
              </w:rPr>
            </w:pPr>
          </w:p>
        </w:tc>
        <w:tc>
          <w:tcPr>
            <w:tcW w:w="4223" w:type="dxa"/>
            <w:shd w:val="clear" w:color="auto" w:fill="auto"/>
          </w:tcPr>
          <w:p w:rsidR="00A044B5" w:rsidRPr="00FD424A" w14:paraId="25923A7F" w14:textId="77777777">
            <w:pPr>
              <w:pStyle w:val="BodyText"/>
              <w:rPr>
                <w:color w:val="0000FF"/>
                <w:szCs w:val="24"/>
                <w:u w:val="single"/>
              </w:rPr>
            </w:pPr>
            <w:r w:rsidRPr="00FD424A">
              <w:rPr>
                <w:color w:val="0000FF"/>
                <w:szCs w:val="24"/>
                <w:u w:val="single"/>
              </w:rPr>
              <w:t>stnourse@aep.com</w:t>
            </w:r>
          </w:p>
          <w:p w:rsidR="00FD424A" w:rsidRPr="00FD424A" w14:paraId="37B7EE10" w14:textId="77777777">
            <w:pPr>
              <w:pStyle w:val="BodyText"/>
              <w:rPr>
                <w:color w:val="0000FF"/>
                <w:szCs w:val="24"/>
                <w:u w:val="single"/>
              </w:rPr>
            </w:pPr>
            <w:r w:rsidRPr="00FD424A">
              <w:rPr>
                <w:color w:val="0000FF"/>
                <w:szCs w:val="24"/>
                <w:u w:val="single"/>
              </w:rPr>
              <w:t>mpritchard@mcneeslaw.com</w:t>
            </w:r>
          </w:p>
          <w:p w:rsidR="00FD424A" w:rsidRPr="00FD424A" w14:paraId="7974C8B6" w14:textId="77777777">
            <w:pPr>
              <w:pStyle w:val="BodyText"/>
              <w:rPr>
                <w:color w:val="0000FF"/>
                <w:szCs w:val="24"/>
                <w:u w:val="single"/>
              </w:rPr>
            </w:pPr>
            <w:r w:rsidRPr="00FD424A">
              <w:rPr>
                <w:color w:val="0000FF"/>
                <w:szCs w:val="24"/>
                <w:u w:val="single"/>
              </w:rPr>
              <w:t>fdarr@mcneeslaw.com</w:t>
            </w:r>
          </w:p>
          <w:p w:rsidR="00FD424A" w:rsidRPr="00FD424A" w14:paraId="5BA54073" w14:textId="77777777">
            <w:pPr>
              <w:pStyle w:val="BodyText"/>
              <w:rPr>
                <w:color w:val="0000FF"/>
                <w:szCs w:val="24"/>
                <w:u w:val="single"/>
              </w:rPr>
            </w:pPr>
            <w:r w:rsidRPr="00FD424A">
              <w:rPr>
                <w:color w:val="0000FF"/>
                <w:szCs w:val="24"/>
                <w:u w:val="single"/>
              </w:rPr>
              <w:t>bojko@carpenterlipps.com</w:t>
            </w:r>
          </w:p>
          <w:p w:rsidR="00FD424A" w:rsidRPr="00FD424A" w14:paraId="5EE97262" w14:textId="77777777">
            <w:pPr>
              <w:pStyle w:val="BodyText"/>
              <w:rPr>
                <w:color w:val="0000FF"/>
                <w:szCs w:val="24"/>
                <w:u w:val="single"/>
              </w:rPr>
            </w:pPr>
            <w:r w:rsidRPr="00FD424A">
              <w:rPr>
                <w:color w:val="0000FF"/>
                <w:szCs w:val="24"/>
                <w:u w:val="single"/>
              </w:rPr>
              <w:t>paul@carpenterlipps.com</w:t>
            </w:r>
          </w:p>
          <w:p w:rsidR="00FD424A" w:rsidRPr="00FD424A" w14:paraId="4F63AB37" w14:textId="0BBFFA13">
            <w:pPr>
              <w:pStyle w:val="BodyText"/>
              <w:rPr>
                <w:color w:val="0000FF"/>
                <w:szCs w:val="24"/>
                <w:u w:val="single"/>
              </w:rPr>
            </w:pPr>
          </w:p>
        </w:tc>
      </w:tr>
    </w:tbl>
    <w:p w:rsidR="00A044B5" w14:paraId="7F433865" w14:textId="77777777">
      <w:pPr>
        <w:pStyle w:val="BodyText"/>
        <w:rPr>
          <w:b/>
          <w:bCs/>
        </w:rPr>
      </w:pPr>
    </w:p>
    <w:sectPr w:rsidSect="00482DD0">
      <w:footerReference w:type="default" r:id="rId9"/>
      <w:footerReference w:type="first" r:id="rId10"/>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34B7ED20" w14:textId="77777777">
    <w:pPr>
      <w:pStyle w:val="Footer"/>
      <w:framePr w:wrap="around" w:vAnchor="text" w:hAnchor="margin" w:xAlign="center" w:y="1"/>
      <w:jc w:val="center"/>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6C5841">
      <w:rPr>
        <w:rStyle w:val="PageNumber"/>
        <w:noProof/>
        <w:sz w:val="24"/>
        <w:szCs w:val="24"/>
      </w:rPr>
      <w:t>4</w:t>
    </w:r>
    <w:r>
      <w:rPr>
        <w:rStyle w:val="PageNumber"/>
        <w:sz w:val="24"/>
        <w:szCs w:val="24"/>
      </w:rPr>
      <w:fldChar w:fldCharType="end"/>
    </w:r>
  </w:p>
  <w:p w:rsidR="00A044B5" w:rsidP="00DA7A21" w14:paraId="0C17DE91" w14:textId="77777777">
    <w:pPr>
      <w:pStyle w:val="Footer"/>
      <w:framePr w:wrap="around" w:vAnchor="text" w:hAnchor="margin" w:xAlign="center" w:y="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7A21" w:rsidRPr="00DA7A21" w14:paraId="4E09FA16" w14:textId="72F7D716">
    <w:pPr>
      <w:pStyle w:val="Footer"/>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D2D46" w14:paraId="148A261C" w14:textId="77777777">
      <w:r>
        <w:separator/>
      </w:r>
    </w:p>
  </w:footnote>
  <w:footnote w:type="continuationSeparator" w:id="1">
    <w:p w:rsidR="004D2D46" w14:paraId="6E7E6E6D" w14:textId="77777777">
      <w:r>
        <w:continuationSeparator/>
      </w:r>
    </w:p>
  </w:footnote>
  <w:footnote w:id="2">
    <w:p w:rsidR="001949CB" w:rsidP="00B73B67" w14:paraId="163199ED" w14:textId="1C2F83A3">
      <w:pPr>
        <w:pStyle w:val="FootnoteText"/>
        <w:spacing w:after="120"/>
      </w:pPr>
      <w:r>
        <w:rPr>
          <w:rStyle w:val="FootnoteReference"/>
        </w:rPr>
        <w:footnoteRef/>
      </w:r>
      <w:r>
        <w:t xml:space="preserve"> OCC Initial Comments (Jan. 17, 2020).</w:t>
      </w:r>
    </w:p>
  </w:footnote>
  <w:footnote w:id="3">
    <w:p w:rsidR="001949CB" w:rsidP="00B73B67" w14:paraId="216222AB" w14:textId="5089CC9B">
      <w:pPr>
        <w:pStyle w:val="FootnoteText"/>
        <w:spacing w:after="120"/>
      </w:pPr>
      <w:r>
        <w:rPr>
          <w:rStyle w:val="FootnoteReference"/>
        </w:rPr>
        <w:footnoteRef/>
      </w:r>
      <w:r>
        <w:t xml:space="preserve"> Initial Comments of Ohio Power Co. (Jan. 17, 2020).</w:t>
      </w:r>
    </w:p>
  </w:footnote>
  <w:footnote w:id="4">
    <w:p w:rsidR="001949CB" w:rsidP="00B73B67" w14:paraId="24279C85" w14:textId="2212F2AD">
      <w:pPr>
        <w:pStyle w:val="FootnoteText"/>
        <w:spacing w:after="120"/>
      </w:pPr>
      <w:r>
        <w:rPr>
          <w:rStyle w:val="FootnoteReference"/>
        </w:rPr>
        <w:footnoteRef/>
      </w:r>
      <w:r>
        <w:t xml:space="preserve"> Joint Comments of The Ohio Manufacturers’ Association Energy Group and The Kroger Company (Jan. 17, 2020).</w:t>
      </w:r>
    </w:p>
  </w:footnote>
  <w:footnote w:id="5">
    <w:p w:rsidR="00D37540" w:rsidP="00B73B67" w14:paraId="331F5B56" w14:textId="5B14CF26">
      <w:pPr>
        <w:pStyle w:val="FootnoteText"/>
        <w:spacing w:after="120"/>
      </w:pPr>
      <w:r>
        <w:rPr>
          <w:rStyle w:val="FootnoteReference"/>
        </w:rPr>
        <w:footnoteRef/>
      </w:r>
      <w:r>
        <w:t xml:space="preserve"> Audit Report at 6.</w:t>
      </w:r>
    </w:p>
  </w:footnote>
  <w:footnote w:id="6">
    <w:p w:rsidR="00D37540" w:rsidP="00B73B67" w14:paraId="3BEA4923" w14:textId="5EF3E697">
      <w:pPr>
        <w:pStyle w:val="FootnoteText"/>
        <w:spacing w:after="120"/>
      </w:pPr>
      <w:r>
        <w:rPr>
          <w:rStyle w:val="FootnoteReference"/>
        </w:rPr>
        <w:footnoteRef/>
      </w:r>
      <w:r>
        <w:t xml:space="preserve"> AEP Initial Comments at 2.</w:t>
      </w:r>
    </w:p>
  </w:footnote>
  <w:footnote w:id="7">
    <w:p w:rsidR="00F24796" w:rsidP="00B73B67" w14:paraId="431DC17F" w14:textId="1CD20D50">
      <w:pPr>
        <w:pStyle w:val="FootnoteText"/>
        <w:spacing w:after="120"/>
      </w:pPr>
      <w:r>
        <w:rPr>
          <w:rStyle w:val="FootnoteReference"/>
        </w:rPr>
        <w:footnoteRef/>
      </w:r>
      <w:r>
        <w:t xml:space="preserve"> Case No. 14-1693-EL-RDR, Opinion &amp; Order at 89 (Mar. 31, 2016) (“AEP will bear the burden of proof in demonstrating th</w:t>
      </w:r>
      <w:r w:rsidR="00B73B67">
        <w:t>e prudency of all costs and sales during the review, as well as that such actions were in the best interest of retail ratepayers.”).</w:t>
      </w:r>
    </w:p>
  </w:footnote>
  <w:footnote w:id="8">
    <w:p w:rsidR="00B01B94" w:rsidP="00B73B67" w14:paraId="1B9D76A8" w14:textId="1A063CBE">
      <w:pPr>
        <w:pStyle w:val="FootnoteText"/>
        <w:spacing w:after="120"/>
      </w:pPr>
      <w:r>
        <w:rPr>
          <w:rStyle w:val="FootnoteReference"/>
        </w:rPr>
        <w:footnoteRef/>
      </w:r>
      <w:r>
        <w:t xml:space="preserve"> Audit Report at 24-25.</w:t>
      </w:r>
    </w:p>
  </w:footnote>
  <w:footnote w:id="9">
    <w:p w:rsidR="001949CB" w:rsidP="00B73B67" w14:paraId="17813324" w14:textId="77777777">
      <w:pPr>
        <w:pStyle w:val="FootnoteText"/>
        <w:spacing w:after="120"/>
      </w:pPr>
      <w:r>
        <w:rPr>
          <w:rStyle w:val="FootnoteReference"/>
        </w:rPr>
        <w:footnoteRef/>
      </w:r>
      <w:r>
        <w:t xml:space="preserve"> Audit Report at 25.</w:t>
      </w:r>
    </w:p>
  </w:footnote>
  <w:footnote w:id="10">
    <w:p w:rsidR="001949CB" w:rsidP="00B73B67" w14:paraId="75A195B1" w14:textId="629A9A67">
      <w:pPr>
        <w:pStyle w:val="FootnoteText"/>
        <w:spacing w:after="120"/>
      </w:pPr>
      <w:r>
        <w:rPr>
          <w:rStyle w:val="FootnoteReference"/>
        </w:rPr>
        <w:footnoteRef/>
      </w:r>
      <w:r>
        <w:t xml:space="preserve"> Audit Report at 19.</w:t>
      </w:r>
    </w:p>
  </w:footnote>
  <w:footnote w:id="11">
    <w:p w:rsidR="00B73B67" w:rsidRPr="00B73B67" w:rsidP="00B73B67" w14:paraId="50D5954A" w14:textId="77777777">
      <w:pPr>
        <w:pStyle w:val="FootnoteText"/>
        <w:spacing w:after="120"/>
      </w:pPr>
      <w:r>
        <w:rPr>
          <w:rStyle w:val="FootnoteReference"/>
        </w:rPr>
        <w:footnoteRef/>
      </w:r>
      <w:r>
        <w:t xml:space="preserve"> </w:t>
      </w:r>
      <w:r>
        <w:rPr>
          <w:i/>
          <w:iCs/>
        </w:rPr>
        <w:t>See</w:t>
      </w:r>
      <w:r>
        <w:t xml:space="preserve"> OCC Initial Comments at 6-7.</w:t>
      </w:r>
    </w:p>
  </w:footnote>
  <w:footnote w:id="12">
    <w:p w:rsidR="001949CB" w:rsidP="00B73B67" w14:paraId="4A429953" w14:textId="594376D6">
      <w:pPr>
        <w:pStyle w:val="FootnoteText"/>
        <w:spacing w:after="120"/>
      </w:pPr>
      <w:r>
        <w:rPr>
          <w:rStyle w:val="FootnoteReference"/>
        </w:rPr>
        <w:footnoteRef/>
      </w:r>
      <w:r>
        <w:t xml:space="preserve"> AEP Initial Comments at 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trackedChanges" w:enforcement="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12"/>
    <w:rsid w:val="00016AC1"/>
    <w:rsid w:val="00032D7F"/>
    <w:rsid w:val="00040C80"/>
    <w:rsid w:val="0004169E"/>
    <w:rsid w:val="00042B73"/>
    <w:rsid w:val="00047AE6"/>
    <w:rsid w:val="000503FF"/>
    <w:rsid w:val="000633D4"/>
    <w:rsid w:val="00064761"/>
    <w:rsid w:val="00072EF4"/>
    <w:rsid w:val="00077B27"/>
    <w:rsid w:val="000815C7"/>
    <w:rsid w:val="00082870"/>
    <w:rsid w:val="000A5402"/>
    <w:rsid w:val="000A6E13"/>
    <w:rsid w:val="000B2DB5"/>
    <w:rsid w:val="000F01F1"/>
    <w:rsid w:val="000F61C7"/>
    <w:rsid w:val="0012631F"/>
    <w:rsid w:val="00177279"/>
    <w:rsid w:val="001949CB"/>
    <w:rsid w:val="001A447E"/>
    <w:rsid w:val="001B23BA"/>
    <w:rsid w:val="001B5672"/>
    <w:rsid w:val="001C5AFE"/>
    <w:rsid w:val="001D0897"/>
    <w:rsid w:val="001E2C24"/>
    <w:rsid w:val="00224B82"/>
    <w:rsid w:val="00225D00"/>
    <w:rsid w:val="00257E25"/>
    <w:rsid w:val="00267237"/>
    <w:rsid w:val="00270856"/>
    <w:rsid w:val="00284EBC"/>
    <w:rsid w:val="002A41BD"/>
    <w:rsid w:val="002A48CD"/>
    <w:rsid w:val="002A4912"/>
    <w:rsid w:val="002B5AC8"/>
    <w:rsid w:val="002D514F"/>
    <w:rsid w:val="00310A32"/>
    <w:rsid w:val="0031242C"/>
    <w:rsid w:val="003539AF"/>
    <w:rsid w:val="00370207"/>
    <w:rsid w:val="0037786B"/>
    <w:rsid w:val="003A724B"/>
    <w:rsid w:val="003A769F"/>
    <w:rsid w:val="003B7CA8"/>
    <w:rsid w:val="003D54B7"/>
    <w:rsid w:val="003F0FBF"/>
    <w:rsid w:val="003F419D"/>
    <w:rsid w:val="003F59F0"/>
    <w:rsid w:val="00425ED7"/>
    <w:rsid w:val="0044060A"/>
    <w:rsid w:val="00442D5C"/>
    <w:rsid w:val="004540A6"/>
    <w:rsid w:val="00476981"/>
    <w:rsid w:val="00482DD0"/>
    <w:rsid w:val="00493CB9"/>
    <w:rsid w:val="004B52F7"/>
    <w:rsid w:val="004B6797"/>
    <w:rsid w:val="004D2D46"/>
    <w:rsid w:val="004F4C22"/>
    <w:rsid w:val="004F67A1"/>
    <w:rsid w:val="00505B6E"/>
    <w:rsid w:val="00512B71"/>
    <w:rsid w:val="0051520D"/>
    <w:rsid w:val="00522CBF"/>
    <w:rsid w:val="00522F5B"/>
    <w:rsid w:val="005270F0"/>
    <w:rsid w:val="00540DA2"/>
    <w:rsid w:val="0054495E"/>
    <w:rsid w:val="0055107B"/>
    <w:rsid w:val="005653E1"/>
    <w:rsid w:val="00587ED8"/>
    <w:rsid w:val="00593A9D"/>
    <w:rsid w:val="005A6744"/>
    <w:rsid w:val="005C5BB8"/>
    <w:rsid w:val="005E65C8"/>
    <w:rsid w:val="00604D34"/>
    <w:rsid w:val="0062108F"/>
    <w:rsid w:val="00641070"/>
    <w:rsid w:val="00657525"/>
    <w:rsid w:val="00661373"/>
    <w:rsid w:val="00687B7D"/>
    <w:rsid w:val="006C38B0"/>
    <w:rsid w:val="006C5841"/>
    <w:rsid w:val="006F6C88"/>
    <w:rsid w:val="00702B8E"/>
    <w:rsid w:val="00703C2C"/>
    <w:rsid w:val="00730C0C"/>
    <w:rsid w:val="00741F98"/>
    <w:rsid w:val="00760DE9"/>
    <w:rsid w:val="007648BB"/>
    <w:rsid w:val="00792C3D"/>
    <w:rsid w:val="00802C29"/>
    <w:rsid w:val="00813AF8"/>
    <w:rsid w:val="00866DA8"/>
    <w:rsid w:val="008720C5"/>
    <w:rsid w:val="008758F8"/>
    <w:rsid w:val="008A76AF"/>
    <w:rsid w:val="008B0B97"/>
    <w:rsid w:val="008D3A4F"/>
    <w:rsid w:val="008F4272"/>
    <w:rsid w:val="00921248"/>
    <w:rsid w:val="0094135A"/>
    <w:rsid w:val="00941471"/>
    <w:rsid w:val="00946E16"/>
    <w:rsid w:val="00947363"/>
    <w:rsid w:val="009512E6"/>
    <w:rsid w:val="00977762"/>
    <w:rsid w:val="00977F47"/>
    <w:rsid w:val="009869EA"/>
    <w:rsid w:val="00992E47"/>
    <w:rsid w:val="00997623"/>
    <w:rsid w:val="009A0CD3"/>
    <w:rsid w:val="009B59F5"/>
    <w:rsid w:val="009B6D8B"/>
    <w:rsid w:val="009B79D5"/>
    <w:rsid w:val="009E5087"/>
    <w:rsid w:val="00A044B5"/>
    <w:rsid w:val="00A32B5D"/>
    <w:rsid w:val="00A53437"/>
    <w:rsid w:val="00A5514C"/>
    <w:rsid w:val="00A563B8"/>
    <w:rsid w:val="00A575BD"/>
    <w:rsid w:val="00A65FB1"/>
    <w:rsid w:val="00A71762"/>
    <w:rsid w:val="00A83D81"/>
    <w:rsid w:val="00AB2BED"/>
    <w:rsid w:val="00AC102B"/>
    <w:rsid w:val="00AC164F"/>
    <w:rsid w:val="00AC3355"/>
    <w:rsid w:val="00AC3578"/>
    <w:rsid w:val="00AD135E"/>
    <w:rsid w:val="00AD367A"/>
    <w:rsid w:val="00AE437E"/>
    <w:rsid w:val="00B0047F"/>
    <w:rsid w:val="00B01B94"/>
    <w:rsid w:val="00B06263"/>
    <w:rsid w:val="00B06A10"/>
    <w:rsid w:val="00B070A4"/>
    <w:rsid w:val="00B61360"/>
    <w:rsid w:val="00B73B67"/>
    <w:rsid w:val="00B827A7"/>
    <w:rsid w:val="00BA335C"/>
    <w:rsid w:val="00BB2600"/>
    <w:rsid w:val="00BB2F46"/>
    <w:rsid w:val="00BB445B"/>
    <w:rsid w:val="00BC26AD"/>
    <w:rsid w:val="00BC7AB9"/>
    <w:rsid w:val="00BE6729"/>
    <w:rsid w:val="00BF5893"/>
    <w:rsid w:val="00C128F2"/>
    <w:rsid w:val="00C24B95"/>
    <w:rsid w:val="00C32D8B"/>
    <w:rsid w:val="00C3343B"/>
    <w:rsid w:val="00C37BEF"/>
    <w:rsid w:val="00C436A9"/>
    <w:rsid w:val="00C562C7"/>
    <w:rsid w:val="00C6286A"/>
    <w:rsid w:val="00C73551"/>
    <w:rsid w:val="00C910AC"/>
    <w:rsid w:val="00CA3F81"/>
    <w:rsid w:val="00CA55D3"/>
    <w:rsid w:val="00CD477D"/>
    <w:rsid w:val="00D37540"/>
    <w:rsid w:val="00D55177"/>
    <w:rsid w:val="00D57131"/>
    <w:rsid w:val="00D57504"/>
    <w:rsid w:val="00D6291F"/>
    <w:rsid w:val="00D74BAB"/>
    <w:rsid w:val="00D93AD7"/>
    <w:rsid w:val="00D94172"/>
    <w:rsid w:val="00DA3C8A"/>
    <w:rsid w:val="00DA7A21"/>
    <w:rsid w:val="00DB1ED1"/>
    <w:rsid w:val="00DE14BF"/>
    <w:rsid w:val="00DE3BDA"/>
    <w:rsid w:val="00DF11CB"/>
    <w:rsid w:val="00E16167"/>
    <w:rsid w:val="00E444D2"/>
    <w:rsid w:val="00E5139C"/>
    <w:rsid w:val="00E70388"/>
    <w:rsid w:val="00E75D2C"/>
    <w:rsid w:val="00EA3D4E"/>
    <w:rsid w:val="00EB681B"/>
    <w:rsid w:val="00EF2598"/>
    <w:rsid w:val="00EF3AD6"/>
    <w:rsid w:val="00F0070A"/>
    <w:rsid w:val="00F1341B"/>
    <w:rsid w:val="00F13BC9"/>
    <w:rsid w:val="00F24796"/>
    <w:rsid w:val="00F57635"/>
    <w:rsid w:val="00F661B9"/>
    <w:rsid w:val="00F8308E"/>
    <w:rsid w:val="00F83B55"/>
    <w:rsid w:val="00FC5A51"/>
    <w:rsid w:val="00FD12B3"/>
    <w:rsid w:val="00FD424A"/>
    <w:rsid w:val="00FE05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UnresolvedMention1">
    <w:name w:val="Unresolved Mention1"/>
    <w:basedOn w:val="DefaultParagraphFont"/>
    <w:uiPriority w:val="99"/>
    <w:semiHidden/>
    <w:unhideWhenUsed/>
    <w:rsid w:val="00946E16"/>
    <w:rPr>
      <w:color w:val="605E5C"/>
      <w:shd w:val="clear" w:color="auto" w:fill="E1DFDD"/>
    </w:rPr>
  </w:style>
  <w:style w:type="character" w:customStyle="1" w:styleId="FooterChar">
    <w:name w:val="Footer Char"/>
    <w:basedOn w:val="DefaultParagraphFont"/>
    <w:link w:val="Footer"/>
    <w:uiPriority w:val="99"/>
    <w:rsid w:val="00DA7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christopher.healey@occ.ohio.gov" TargetMode="External" /><Relationship Id="rId7" Type="http://schemas.openxmlformats.org/officeDocument/2006/relationships/hyperlink" Target="mailto:Sarah.parrot@puc.state.oh.us" TargetMode="External" /><Relationship Id="rId8" Type="http://schemas.openxmlformats.org/officeDocument/2006/relationships/hyperlink" Target="mailto:Greta.see@puco.ohio.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E1A48-0C78-4490-8BCC-7F7DE7EEA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AEP 19-1003 - OCC Reply Comments.mrw.dfs  (00141587.DOCX;1)</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2020-02-05T14:42:13Z</dcterms:created>
  <dcterms:modified xsi:type="dcterms:W3CDTF">2020-02-05T14:42:13Z</dcterms:modified>
</cp:coreProperties>
</file>