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7071" w14:textId="77777777" w:rsidR="009D6B05" w:rsidRDefault="009D6B0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14:paraId="1BDA894D" w14:textId="77777777" w:rsidR="009D6B05" w:rsidRDefault="009D6B05">
      <w:pPr>
        <w:pStyle w:val="HTMLPreformatted"/>
        <w:jc w:val="center"/>
        <w:rPr>
          <w:rFonts w:ascii="Times New Roman" w:hAnsi="Times New Roman"/>
          <w:sz w:val="24"/>
        </w:rPr>
      </w:pPr>
      <w:r>
        <w:rPr>
          <w:rFonts w:ascii="Times New Roman" w:hAnsi="Times New Roman"/>
          <w:b/>
          <w:bCs/>
          <w:sz w:val="24"/>
        </w:rPr>
        <w:t xml:space="preserve">THE PUBLIC UTILITIES </w:t>
      </w:r>
      <w:r w:rsidR="005851FE">
        <w:rPr>
          <w:rFonts w:ascii="Times New Roman" w:hAnsi="Times New Roman"/>
          <w:b/>
          <w:bCs/>
          <w:sz w:val="24"/>
        </w:rPr>
        <w:t>COMMISSION</w:t>
      </w:r>
      <w:r>
        <w:rPr>
          <w:rFonts w:ascii="Times New Roman" w:hAnsi="Times New Roman"/>
          <w:b/>
          <w:bCs/>
          <w:sz w:val="24"/>
        </w:rPr>
        <w:t xml:space="preserve"> OF OHIO</w:t>
      </w:r>
    </w:p>
    <w:p w14:paraId="29D2182E" w14:textId="77777777" w:rsidR="009D6B05" w:rsidRDefault="009D6B05">
      <w:pPr>
        <w:pStyle w:val="HTMLPreformatted"/>
        <w:rPr>
          <w:rFonts w:ascii="Times New Roman" w:hAnsi="Times New Roman"/>
          <w:sz w:val="24"/>
        </w:rPr>
      </w:pPr>
    </w:p>
    <w:tbl>
      <w:tblPr>
        <w:tblW w:w="9092" w:type="dxa"/>
        <w:tblLook w:val="01E0" w:firstRow="1" w:lastRow="1" w:firstColumn="1" w:lastColumn="1" w:noHBand="0" w:noVBand="0"/>
      </w:tblPr>
      <w:tblGrid>
        <w:gridCol w:w="4068"/>
        <w:gridCol w:w="540"/>
        <w:gridCol w:w="4484"/>
      </w:tblGrid>
      <w:tr w:rsidR="00E21F01" w14:paraId="4582CB2D" w14:textId="77777777" w:rsidTr="00E21F01">
        <w:trPr>
          <w:trHeight w:val="807"/>
        </w:trPr>
        <w:tc>
          <w:tcPr>
            <w:tcW w:w="4068" w:type="dxa"/>
            <w:shd w:val="clear" w:color="auto" w:fill="auto"/>
          </w:tcPr>
          <w:p w14:paraId="06263DC0" w14:textId="77777777" w:rsidR="00E21F01" w:rsidRPr="00E21F01" w:rsidRDefault="00E21F01" w:rsidP="00E21F01">
            <w:pPr>
              <w:pStyle w:val="HTMLPreformatted"/>
              <w:rPr>
                <w:rFonts w:ascii="Times New Roman" w:hAnsi="Times New Roman" w:cs="Times New Roman"/>
                <w:sz w:val="24"/>
                <w:szCs w:val="24"/>
              </w:rPr>
            </w:pPr>
            <w:r w:rsidRPr="00E21F01">
              <w:rPr>
                <w:rFonts w:ascii="Times New Roman" w:hAnsi="Times New Roman" w:cs="Times New Roman"/>
                <w:sz w:val="24"/>
                <w:szCs w:val="24"/>
              </w:rPr>
              <w:t>In the Matter of the Application of Ohio Power Company to Adopt a Final Implementation Plan for the Retail Stability Rider.</w:t>
            </w:r>
          </w:p>
        </w:tc>
        <w:tc>
          <w:tcPr>
            <w:tcW w:w="540" w:type="dxa"/>
            <w:shd w:val="clear" w:color="auto" w:fill="auto"/>
          </w:tcPr>
          <w:p w14:paraId="041BA693"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p w14:paraId="33D2153E"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p w14:paraId="1D85BC13"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p w14:paraId="2E8CE27F"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tc>
        <w:tc>
          <w:tcPr>
            <w:tcW w:w="4484" w:type="dxa"/>
            <w:shd w:val="clear" w:color="auto" w:fill="auto"/>
          </w:tcPr>
          <w:p w14:paraId="6DD9E173" w14:textId="77777777" w:rsidR="00E21F01" w:rsidRPr="00A044B5" w:rsidRDefault="00E21F01" w:rsidP="00EF5754">
            <w:pPr>
              <w:pStyle w:val="HTMLPreformatted"/>
              <w:rPr>
                <w:rFonts w:ascii="Times New Roman" w:hAnsi="Times New Roman"/>
                <w:sz w:val="24"/>
              </w:rPr>
            </w:pPr>
          </w:p>
          <w:p w14:paraId="5AAAE546"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14-1186-EL-RDR</w:t>
            </w:r>
          </w:p>
          <w:p w14:paraId="692A88DE" w14:textId="77777777" w:rsidR="00E21F01" w:rsidRPr="00A044B5" w:rsidRDefault="00E21F01" w:rsidP="00EF5754">
            <w:pPr>
              <w:pStyle w:val="HTMLPreformatted"/>
              <w:rPr>
                <w:rFonts w:ascii="Times New Roman" w:hAnsi="Times New Roman"/>
                <w:sz w:val="24"/>
              </w:rPr>
            </w:pPr>
          </w:p>
          <w:p w14:paraId="1FD18FB5" w14:textId="77777777" w:rsidR="00E21F01" w:rsidRPr="00A044B5" w:rsidRDefault="00E21F01" w:rsidP="00EF5754">
            <w:pPr>
              <w:pStyle w:val="HTMLPreformatted"/>
              <w:rPr>
                <w:rFonts w:ascii="Times New Roman" w:hAnsi="Times New Roman"/>
                <w:sz w:val="24"/>
              </w:rPr>
            </w:pPr>
          </w:p>
        </w:tc>
      </w:tr>
    </w:tbl>
    <w:p w14:paraId="389BF5B6" w14:textId="77777777" w:rsidR="009D6B05" w:rsidRDefault="009D6B05">
      <w:pPr>
        <w:pStyle w:val="HTMLPreformatted"/>
        <w:rPr>
          <w:rFonts w:ascii="Times New Roman" w:hAnsi="Times New Roman"/>
          <w:sz w:val="24"/>
        </w:rPr>
      </w:pPr>
      <w:r>
        <w:rPr>
          <w:rFonts w:ascii="Times New Roman" w:hAnsi="Times New Roman"/>
          <w:sz w:val="24"/>
        </w:rPr>
        <w:tab/>
      </w:r>
    </w:p>
    <w:p w14:paraId="522E0AC7" w14:textId="77777777" w:rsidR="009D6B05" w:rsidRDefault="009D6B05">
      <w:pPr>
        <w:pStyle w:val="HTMLPreformatted"/>
        <w:pBdr>
          <w:top w:val="single" w:sz="12" w:space="1" w:color="auto"/>
        </w:pBdr>
        <w:rPr>
          <w:rFonts w:ascii="Times New Roman" w:hAnsi="Times New Roman"/>
          <w:sz w:val="24"/>
        </w:rPr>
      </w:pPr>
    </w:p>
    <w:p w14:paraId="4B604EF5" w14:textId="4721B5CD" w:rsidR="009D6B05" w:rsidRDefault="00F73EA5">
      <w:pPr>
        <w:jc w:val="center"/>
        <w:rPr>
          <w:b/>
          <w:bCs/>
        </w:rPr>
      </w:pPr>
      <w:r>
        <w:rPr>
          <w:b/>
        </w:rPr>
        <w:t>MOTION FOR PROCEDURAL SCHEDULE</w:t>
      </w:r>
      <w:r w:rsidR="00E237B6">
        <w:rPr>
          <w:b/>
        </w:rPr>
        <w:t xml:space="preserve"> </w:t>
      </w:r>
      <w:r w:rsidR="00145295">
        <w:rPr>
          <w:b/>
        </w:rPr>
        <w:t>THAT PROVIDES ADEQUATE TIME FOR DI</w:t>
      </w:r>
      <w:r w:rsidR="00E21F01">
        <w:rPr>
          <w:b/>
        </w:rPr>
        <w:t>SCOVERY AND HEARING PREPARATION</w:t>
      </w:r>
    </w:p>
    <w:p w14:paraId="48C1DE9A" w14:textId="77777777" w:rsidR="009D6B05" w:rsidRDefault="009D6B05">
      <w:pPr>
        <w:jc w:val="center"/>
        <w:rPr>
          <w:b/>
          <w:bCs/>
        </w:rPr>
      </w:pPr>
      <w:r>
        <w:rPr>
          <w:b/>
          <w:bCs/>
        </w:rPr>
        <w:t>BY</w:t>
      </w:r>
    </w:p>
    <w:p w14:paraId="50858C5E" w14:textId="77777777" w:rsidR="009D6B05" w:rsidRDefault="009D6B05">
      <w:pPr>
        <w:jc w:val="center"/>
        <w:rPr>
          <w:b/>
          <w:bCs/>
        </w:rPr>
      </w:pPr>
      <w:r>
        <w:rPr>
          <w:b/>
          <w:bCs/>
        </w:rPr>
        <w:t>THE OFFICE OF THE OHIO CONSUMERS’ COUNSEL</w:t>
      </w:r>
    </w:p>
    <w:p w14:paraId="2E66C47F" w14:textId="77777777" w:rsidR="009D6B05" w:rsidRDefault="009D6B05">
      <w:pPr>
        <w:pBdr>
          <w:bottom w:val="single" w:sz="12" w:space="1" w:color="auto"/>
        </w:pBdr>
        <w:tabs>
          <w:tab w:val="left" w:pos="4320"/>
        </w:tabs>
      </w:pPr>
    </w:p>
    <w:p w14:paraId="378D0784" w14:textId="77777777" w:rsidR="009D6B05" w:rsidRDefault="009D6B05">
      <w:pPr>
        <w:tabs>
          <w:tab w:val="left" w:pos="4320"/>
        </w:tabs>
      </w:pPr>
    </w:p>
    <w:p w14:paraId="2068103A" w14:textId="6EE20D9F" w:rsidR="002D3969" w:rsidRDefault="00135F48" w:rsidP="002D3969">
      <w:pPr>
        <w:autoSpaceDE w:val="0"/>
        <w:autoSpaceDN w:val="0"/>
        <w:adjustRightInd w:val="0"/>
        <w:spacing w:line="480" w:lineRule="auto"/>
        <w:ind w:firstLine="720"/>
      </w:pPr>
      <w:r>
        <w:t>The Public Utilities Commission of Ohio (“</w:t>
      </w:r>
      <w:r w:rsidR="00BE06FC">
        <w:t>P</w:t>
      </w:r>
      <w:r>
        <w:t>U</w:t>
      </w:r>
      <w:r w:rsidR="00BE06FC">
        <w:t>C</w:t>
      </w:r>
      <w:r>
        <w:t xml:space="preserve">O”) </w:t>
      </w:r>
      <w:r w:rsidR="002A7671">
        <w:t xml:space="preserve">has before it a motion </w:t>
      </w:r>
      <w:r w:rsidR="008220C0">
        <w:t xml:space="preserve">to </w:t>
      </w:r>
      <w:r w:rsidR="002A7671">
        <w:t xml:space="preserve">dismiss </w:t>
      </w:r>
      <w:r w:rsidR="00E21F01">
        <w:t xml:space="preserve">this case </w:t>
      </w:r>
      <w:r w:rsidR="006A097F">
        <w:t xml:space="preserve">where Ohio Power Company (“AEP Ohio”) </w:t>
      </w:r>
      <w:r w:rsidR="006A097F">
        <w:rPr>
          <w:rFonts w:ascii="TimesNewRomanPSMT" w:hAnsi="TimesNewRomanPSMT" w:cs="TimesNewRomanPSMT"/>
          <w:szCs w:val="24"/>
        </w:rPr>
        <w:t>has proposed to collect from customers $418</w:t>
      </w:r>
      <w:r w:rsidR="00045E08">
        <w:rPr>
          <w:rFonts w:ascii="TimesNewRomanPSMT" w:hAnsi="TimesNewRomanPSMT" w:cs="TimesNewRomanPSMT"/>
          <w:szCs w:val="24"/>
        </w:rPr>
        <w:t>.4</w:t>
      </w:r>
      <w:r w:rsidR="006A097F">
        <w:rPr>
          <w:rFonts w:ascii="TimesNewRomanPSMT" w:hAnsi="TimesNewRomanPSMT" w:cs="TimesNewRomanPSMT"/>
          <w:szCs w:val="24"/>
        </w:rPr>
        <w:t xml:space="preserve"> million in capacity costs (plus carrying charges) resulting from AEP Ohio providing discounted capacity to competitive retail electric service (“CRES”) providers.</w:t>
      </w:r>
      <w:r w:rsidR="002A7671">
        <w:rPr>
          <w:rStyle w:val="FootnoteReference"/>
          <w:rFonts w:ascii="TimesNewRomanPSMT" w:hAnsi="TimesNewRomanPSMT" w:cs="TimesNewRomanPSMT"/>
          <w:szCs w:val="24"/>
        </w:rPr>
        <w:footnoteReference w:id="2"/>
      </w:r>
      <w:r w:rsidR="006A097F">
        <w:t xml:space="preserve">   </w:t>
      </w:r>
      <w:r w:rsidR="002A7671">
        <w:t>The Office of the Ohio Consumers’ Counsel (“OCC”) supports the motion to dismiss.</w:t>
      </w:r>
    </w:p>
    <w:p w14:paraId="7D9F8258" w14:textId="6A23D3F3" w:rsidR="009B66E0" w:rsidRPr="00BE06FC" w:rsidRDefault="002A7671" w:rsidP="002D3969">
      <w:pPr>
        <w:autoSpaceDE w:val="0"/>
        <w:autoSpaceDN w:val="0"/>
        <w:adjustRightInd w:val="0"/>
        <w:spacing w:line="480" w:lineRule="auto"/>
        <w:ind w:firstLine="720"/>
        <w:rPr>
          <w:i/>
        </w:rPr>
      </w:pPr>
      <w:r>
        <w:t xml:space="preserve">But if the PUCO does not dismiss the case, </w:t>
      </w:r>
      <w:r w:rsidR="006A097F">
        <w:t xml:space="preserve">OCC moves the PUCO to set a procedural schedule </w:t>
      </w:r>
      <w:r w:rsidR="008220C0">
        <w:t>that</w:t>
      </w:r>
      <w:r w:rsidR="005A24FF">
        <w:t>, in part,</w:t>
      </w:r>
      <w:r w:rsidR="008220C0">
        <w:t xml:space="preserve"> provides adequate time for discovery (including the taking of depositions) and hearing preparation.</w:t>
      </w:r>
      <w:r w:rsidR="003D3040">
        <w:rPr>
          <w:rStyle w:val="FootnoteReference"/>
        </w:rPr>
        <w:footnoteReference w:id="3"/>
      </w:r>
      <w:r w:rsidR="008220C0">
        <w:t xml:space="preserve">  OCC requests </w:t>
      </w:r>
      <w:r w:rsidR="00E21F01">
        <w:t>a</w:t>
      </w:r>
      <w:r w:rsidR="008220C0">
        <w:t xml:space="preserve"> procedural schedule </w:t>
      </w:r>
      <w:r w:rsidR="006A097F">
        <w:t>with</w:t>
      </w:r>
      <w:r w:rsidR="008220C0">
        <w:t xml:space="preserve"> the following timeframes: </w:t>
      </w:r>
    </w:p>
    <w:p w14:paraId="32C99A1F" w14:textId="1B0DAA09" w:rsidR="001B60D5" w:rsidRPr="00F46C83" w:rsidRDefault="001B60D5" w:rsidP="00EC0C7D">
      <w:pPr>
        <w:numPr>
          <w:ilvl w:val="0"/>
          <w:numId w:val="21"/>
        </w:numPr>
        <w:tabs>
          <w:tab w:val="left" w:pos="720"/>
        </w:tabs>
        <w:spacing w:after="240"/>
        <w:ind w:right="720" w:hanging="720"/>
        <w:rPr>
          <w:i/>
        </w:rPr>
      </w:pPr>
      <w:r>
        <w:t>AEP Ohio</w:t>
      </w:r>
      <w:r w:rsidR="006A097F">
        <w:t>’s</w:t>
      </w:r>
      <w:r>
        <w:t xml:space="preserve"> testimony in support of the Application</w:t>
      </w:r>
      <w:r w:rsidR="00E21F01">
        <w:t xml:space="preserve"> </w:t>
      </w:r>
      <w:r w:rsidR="002D3969">
        <w:t xml:space="preserve">to be filed </w:t>
      </w:r>
      <w:r w:rsidR="00E21F01">
        <w:t>by November 12, 2014</w:t>
      </w:r>
      <w:r>
        <w:t>;</w:t>
      </w:r>
    </w:p>
    <w:p w14:paraId="6B587795" w14:textId="62A97C2D" w:rsidR="00BE06FC" w:rsidRPr="003858C2" w:rsidRDefault="00E21F01" w:rsidP="00EC0C7D">
      <w:pPr>
        <w:numPr>
          <w:ilvl w:val="0"/>
          <w:numId w:val="21"/>
        </w:numPr>
        <w:tabs>
          <w:tab w:val="left" w:pos="720"/>
        </w:tabs>
        <w:spacing w:after="240"/>
        <w:ind w:right="720" w:hanging="720"/>
        <w:rPr>
          <w:i/>
        </w:rPr>
      </w:pPr>
      <w:r>
        <w:t xml:space="preserve">PUCO Staff and </w:t>
      </w:r>
      <w:r w:rsidR="000A3F9A">
        <w:t>Intervenor Testimony</w:t>
      </w:r>
      <w:r>
        <w:t xml:space="preserve"> </w:t>
      </w:r>
      <w:r w:rsidR="002D3969">
        <w:t xml:space="preserve">to be filed </w:t>
      </w:r>
      <w:r>
        <w:t>by December 12, 2014</w:t>
      </w:r>
      <w:r w:rsidR="00147E56">
        <w:t>;</w:t>
      </w:r>
      <w:r>
        <w:t xml:space="preserve"> and</w:t>
      </w:r>
    </w:p>
    <w:p w14:paraId="3BF07482" w14:textId="312E1134" w:rsidR="00BE06FC" w:rsidRDefault="00BE06FC" w:rsidP="00EC0C7D">
      <w:pPr>
        <w:numPr>
          <w:ilvl w:val="0"/>
          <w:numId w:val="21"/>
        </w:numPr>
        <w:tabs>
          <w:tab w:val="left" w:pos="720"/>
        </w:tabs>
        <w:spacing w:after="240"/>
        <w:ind w:right="720" w:hanging="720"/>
      </w:pPr>
      <w:r w:rsidRPr="00047E70">
        <w:lastRenderedPageBreak/>
        <w:t>Hearing</w:t>
      </w:r>
      <w:r w:rsidR="00CE5A2F">
        <w:t xml:space="preserve"> </w:t>
      </w:r>
      <w:r w:rsidR="002D3969">
        <w:t xml:space="preserve">to </w:t>
      </w:r>
      <w:r w:rsidR="00E21F01">
        <w:t>c</w:t>
      </w:r>
      <w:r w:rsidR="00CE5A2F">
        <w:t xml:space="preserve">ommence </w:t>
      </w:r>
      <w:r w:rsidR="00E21F01">
        <w:t>on January 1</w:t>
      </w:r>
      <w:r w:rsidR="00157919">
        <w:t>2</w:t>
      </w:r>
      <w:r w:rsidR="00E21F01">
        <w:t>, 2015</w:t>
      </w:r>
      <w:r w:rsidR="004C6EC0">
        <w:t>.</w:t>
      </w:r>
    </w:p>
    <w:p w14:paraId="12B26FED" w14:textId="37A7E2B8" w:rsidR="007E4821" w:rsidRDefault="000F1325" w:rsidP="002D3969">
      <w:pPr>
        <w:tabs>
          <w:tab w:val="left" w:pos="720"/>
        </w:tabs>
        <w:spacing w:line="480" w:lineRule="auto"/>
      </w:pPr>
      <w:r>
        <w:tab/>
      </w:r>
      <w:r w:rsidR="007E4821">
        <w:t>The reasons the PUCO should grant OCC’s Motion are further set forth in the attached Memorandum in Support.</w:t>
      </w:r>
    </w:p>
    <w:p w14:paraId="61002B50" w14:textId="77777777" w:rsidR="000F1325" w:rsidRDefault="000F1325" w:rsidP="007E4821">
      <w:pPr>
        <w:autoSpaceDE w:val="0"/>
        <w:autoSpaceDN w:val="0"/>
        <w:adjustRightInd w:val="0"/>
        <w:ind w:left="4320"/>
        <w:rPr>
          <w:szCs w:val="24"/>
        </w:rPr>
      </w:pPr>
    </w:p>
    <w:p w14:paraId="5E8A78E6" w14:textId="77777777" w:rsidR="000F1325" w:rsidRDefault="000F1325" w:rsidP="007E4821">
      <w:pPr>
        <w:autoSpaceDE w:val="0"/>
        <w:autoSpaceDN w:val="0"/>
        <w:adjustRightInd w:val="0"/>
        <w:ind w:left="4320"/>
        <w:rPr>
          <w:szCs w:val="24"/>
        </w:rPr>
      </w:pPr>
    </w:p>
    <w:p w14:paraId="627CA2A0" w14:textId="77777777" w:rsidR="007E4821" w:rsidRDefault="007E4821" w:rsidP="007E4821">
      <w:pPr>
        <w:autoSpaceDE w:val="0"/>
        <w:autoSpaceDN w:val="0"/>
        <w:adjustRightInd w:val="0"/>
        <w:ind w:left="4320"/>
        <w:rPr>
          <w:szCs w:val="24"/>
        </w:rPr>
      </w:pPr>
      <w:r>
        <w:rPr>
          <w:szCs w:val="24"/>
        </w:rPr>
        <w:t>Respectfully submitted,</w:t>
      </w:r>
    </w:p>
    <w:p w14:paraId="6277B18F" w14:textId="77777777" w:rsidR="007E4821" w:rsidRDefault="007E4821" w:rsidP="007E4821">
      <w:pPr>
        <w:autoSpaceDE w:val="0"/>
        <w:autoSpaceDN w:val="0"/>
        <w:adjustRightInd w:val="0"/>
        <w:ind w:left="4320"/>
        <w:rPr>
          <w:szCs w:val="24"/>
        </w:rPr>
      </w:pPr>
    </w:p>
    <w:p w14:paraId="24E3A832" w14:textId="77777777" w:rsidR="007E4821" w:rsidRDefault="007E4821" w:rsidP="007E4821">
      <w:pPr>
        <w:pStyle w:val="Footer"/>
        <w:tabs>
          <w:tab w:val="clear" w:pos="8640"/>
          <w:tab w:val="left" w:pos="4320"/>
        </w:tabs>
        <w:ind w:left="4320"/>
        <w:rPr>
          <w:sz w:val="24"/>
          <w:szCs w:val="24"/>
        </w:rPr>
      </w:pPr>
      <w:r>
        <w:rPr>
          <w:sz w:val="24"/>
          <w:szCs w:val="24"/>
        </w:rPr>
        <w:t>BRUCE J. WESTON</w:t>
      </w:r>
    </w:p>
    <w:p w14:paraId="4CB8598F" w14:textId="77777777" w:rsidR="007E4821" w:rsidRDefault="007E4821" w:rsidP="007E4821">
      <w:pPr>
        <w:tabs>
          <w:tab w:val="left" w:pos="4320"/>
        </w:tabs>
        <w:ind w:left="4320"/>
        <w:rPr>
          <w:szCs w:val="24"/>
        </w:rPr>
      </w:pPr>
      <w:r>
        <w:rPr>
          <w:szCs w:val="24"/>
        </w:rPr>
        <w:t>OHIO CONSUMERS’ COUNSEL</w:t>
      </w:r>
    </w:p>
    <w:p w14:paraId="5750A328" w14:textId="77777777" w:rsidR="007E4821" w:rsidRDefault="007E4821" w:rsidP="007E4821">
      <w:pPr>
        <w:tabs>
          <w:tab w:val="left" w:pos="4320"/>
        </w:tabs>
        <w:rPr>
          <w:szCs w:val="24"/>
        </w:rPr>
      </w:pPr>
      <w:r>
        <w:rPr>
          <w:szCs w:val="24"/>
        </w:rPr>
        <w:tab/>
      </w:r>
    </w:p>
    <w:p w14:paraId="4B901810" w14:textId="17E28B46" w:rsidR="007E4821" w:rsidRDefault="007E4821" w:rsidP="007E4821">
      <w:pPr>
        <w:tabs>
          <w:tab w:val="left" w:pos="4320"/>
        </w:tabs>
        <w:rPr>
          <w:u w:val="single"/>
        </w:rPr>
      </w:pPr>
      <w:r>
        <w:rPr>
          <w:szCs w:val="24"/>
        </w:rPr>
        <w:tab/>
      </w:r>
      <w:r>
        <w:rPr>
          <w:i/>
          <w:szCs w:val="24"/>
          <w:u w:val="single"/>
        </w:rPr>
        <w:t>/s/</w:t>
      </w:r>
      <w:r w:rsidR="00EC0C7D">
        <w:rPr>
          <w:i/>
          <w:szCs w:val="24"/>
          <w:u w:val="single"/>
        </w:rPr>
        <w:t xml:space="preserve"> Maureen R. Grady</w:t>
      </w:r>
      <w:r>
        <w:rPr>
          <w:i/>
          <w:szCs w:val="24"/>
          <w:u w:val="single"/>
        </w:rPr>
        <w:tab/>
      </w:r>
      <w:r>
        <w:rPr>
          <w:i/>
          <w:szCs w:val="24"/>
          <w:u w:val="single"/>
        </w:rPr>
        <w:tab/>
      </w:r>
      <w:r>
        <w:rPr>
          <w:i/>
          <w:szCs w:val="24"/>
          <w:u w:val="single"/>
        </w:rPr>
        <w:tab/>
      </w:r>
      <w:r>
        <w:rPr>
          <w:i/>
          <w:szCs w:val="24"/>
          <w:u w:val="single"/>
        </w:rPr>
        <w:tab/>
      </w:r>
    </w:p>
    <w:p w14:paraId="1FAF8EDC" w14:textId="77777777" w:rsidR="00E21F01" w:rsidRDefault="00E21F01" w:rsidP="007E4821">
      <w:pPr>
        <w:tabs>
          <w:tab w:val="left" w:pos="4320"/>
        </w:tabs>
        <w:ind w:left="4320"/>
        <w:rPr>
          <w:szCs w:val="24"/>
        </w:rPr>
      </w:pPr>
      <w:r>
        <w:rPr>
          <w:szCs w:val="24"/>
        </w:rPr>
        <w:t xml:space="preserve">Maureen R. Grady, Counsel of Record </w:t>
      </w:r>
    </w:p>
    <w:p w14:paraId="71F7F22E" w14:textId="34370FE5" w:rsidR="007E4821" w:rsidRDefault="007E4821" w:rsidP="007E4821">
      <w:pPr>
        <w:tabs>
          <w:tab w:val="left" w:pos="4320"/>
        </w:tabs>
        <w:ind w:left="4320"/>
        <w:rPr>
          <w:szCs w:val="24"/>
        </w:rPr>
      </w:pPr>
      <w:r>
        <w:rPr>
          <w:szCs w:val="24"/>
        </w:rPr>
        <w:t>Terry L. Etter</w:t>
      </w:r>
    </w:p>
    <w:p w14:paraId="79E1180C" w14:textId="77777777" w:rsidR="007E4821" w:rsidRDefault="007E4821" w:rsidP="007E4821">
      <w:pPr>
        <w:tabs>
          <w:tab w:val="left" w:pos="4320"/>
        </w:tabs>
        <w:ind w:left="4320"/>
        <w:rPr>
          <w:szCs w:val="24"/>
        </w:rPr>
      </w:pPr>
      <w:r>
        <w:rPr>
          <w:szCs w:val="24"/>
        </w:rPr>
        <w:t>Assistant Consumers’ Counsel</w:t>
      </w:r>
    </w:p>
    <w:p w14:paraId="6B32AEFD" w14:textId="77777777" w:rsidR="007E4821" w:rsidRPr="00047E70" w:rsidRDefault="007E4821" w:rsidP="00E21F01">
      <w:pPr>
        <w:spacing w:before="120"/>
        <w:ind w:left="4320"/>
        <w:rPr>
          <w:b/>
        </w:rPr>
      </w:pPr>
      <w:r w:rsidRPr="00047E70">
        <w:rPr>
          <w:b/>
        </w:rPr>
        <w:t>Office of the Ohio Consumers’ Counsel</w:t>
      </w:r>
    </w:p>
    <w:p w14:paraId="12701AA5" w14:textId="77777777" w:rsidR="007E4821" w:rsidRPr="00B34484" w:rsidRDefault="007E4821" w:rsidP="007E4821">
      <w:pPr>
        <w:ind w:left="4320"/>
      </w:pPr>
      <w:r w:rsidRPr="00B34484">
        <w:t>10 West Broad Street, Suite 1800</w:t>
      </w:r>
    </w:p>
    <w:p w14:paraId="71BAF3A5" w14:textId="77777777" w:rsidR="007E4821" w:rsidRPr="00B34484" w:rsidRDefault="007E4821" w:rsidP="007E4821">
      <w:pPr>
        <w:ind w:left="4320"/>
      </w:pPr>
      <w:r w:rsidRPr="00B34484">
        <w:t>Columbus, Ohio 43215-3485</w:t>
      </w:r>
    </w:p>
    <w:p w14:paraId="484ED5FB" w14:textId="43ABD366" w:rsidR="00E21F01" w:rsidRDefault="00E21F01" w:rsidP="007E4821">
      <w:pPr>
        <w:ind w:left="4320"/>
        <w:rPr>
          <w:szCs w:val="24"/>
        </w:rPr>
      </w:pPr>
      <w:r>
        <w:rPr>
          <w:szCs w:val="24"/>
        </w:rPr>
        <w:t>Telephone: (614) 466-9567 (Grady direct)</w:t>
      </w:r>
    </w:p>
    <w:p w14:paraId="2C21FAA0" w14:textId="1373E570" w:rsidR="007E4821" w:rsidRDefault="007E4821" w:rsidP="007E4821">
      <w:pPr>
        <w:ind w:left="4320"/>
        <w:rPr>
          <w:szCs w:val="24"/>
        </w:rPr>
      </w:pPr>
      <w:r>
        <w:t xml:space="preserve">Telephone: (614) </w:t>
      </w:r>
      <w:r>
        <w:rPr>
          <w:szCs w:val="24"/>
        </w:rPr>
        <w:t>466-7964 (Etter direct)</w:t>
      </w:r>
    </w:p>
    <w:p w14:paraId="0C6D71DC" w14:textId="3461D7A6" w:rsidR="00E21F01" w:rsidRDefault="00CD02B6" w:rsidP="007E4821">
      <w:pPr>
        <w:ind w:left="4320"/>
        <w:rPr>
          <w:szCs w:val="24"/>
        </w:rPr>
      </w:pPr>
      <w:hyperlink r:id="rId8" w:history="1">
        <w:r w:rsidR="00E21F01" w:rsidRPr="00DA712B">
          <w:rPr>
            <w:rStyle w:val="Hyperlink"/>
            <w:szCs w:val="24"/>
          </w:rPr>
          <w:t>Maureen.grady@occ.ohio.gov</w:t>
        </w:r>
      </w:hyperlink>
    </w:p>
    <w:p w14:paraId="5E36A1D7" w14:textId="022BD553" w:rsidR="00E21F01" w:rsidRDefault="00CD02B6" w:rsidP="007E4821">
      <w:pPr>
        <w:ind w:left="4320"/>
        <w:rPr>
          <w:szCs w:val="24"/>
        </w:rPr>
      </w:pPr>
      <w:hyperlink r:id="rId9" w:history="1">
        <w:r w:rsidR="00E21F01" w:rsidRPr="00CD43F6">
          <w:rPr>
            <w:rStyle w:val="Hyperlink"/>
            <w:szCs w:val="24"/>
          </w:rPr>
          <w:t>Terry.etter@occ.ohio.gov</w:t>
        </w:r>
      </w:hyperlink>
    </w:p>
    <w:p w14:paraId="65A12455" w14:textId="77777777" w:rsidR="00461543" w:rsidRPr="00746C80" w:rsidRDefault="00461543" w:rsidP="007E4821">
      <w:pPr>
        <w:ind w:left="4320"/>
        <w:rPr>
          <w:szCs w:val="24"/>
        </w:rPr>
      </w:pPr>
    </w:p>
    <w:p w14:paraId="7BA85E22" w14:textId="77777777" w:rsidR="00E051D1" w:rsidRDefault="00E051D1" w:rsidP="00985727">
      <w:pPr>
        <w:pStyle w:val="HTMLPreformatted"/>
        <w:jc w:val="center"/>
        <w:rPr>
          <w:b/>
          <w:u w:val="single"/>
        </w:rPr>
        <w:sectPr w:rsidR="00E051D1" w:rsidSect="0046154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326"/>
        </w:sectPr>
      </w:pPr>
    </w:p>
    <w:p w14:paraId="4503EFCD" w14:textId="05303544" w:rsidR="00985727" w:rsidRDefault="00985727" w:rsidP="00985727">
      <w:pPr>
        <w:pStyle w:val="HTMLPreformatted"/>
        <w:jc w:val="center"/>
        <w:rPr>
          <w:rFonts w:ascii="Times New Roman" w:hAnsi="Times New Roman"/>
          <w:b/>
          <w:bCs/>
          <w:sz w:val="24"/>
        </w:rPr>
      </w:pPr>
      <w:r>
        <w:rPr>
          <w:rFonts w:ascii="Times New Roman" w:hAnsi="Times New Roman"/>
          <w:b/>
          <w:bCs/>
          <w:sz w:val="24"/>
        </w:rPr>
        <w:lastRenderedPageBreak/>
        <w:t>BEFORE</w:t>
      </w:r>
    </w:p>
    <w:p w14:paraId="43137366" w14:textId="77777777" w:rsidR="00985727" w:rsidRDefault="00985727" w:rsidP="00985727">
      <w:pPr>
        <w:pStyle w:val="HTMLPreformatted"/>
        <w:jc w:val="center"/>
        <w:rPr>
          <w:rFonts w:ascii="Times New Roman" w:hAnsi="Times New Roman"/>
          <w:sz w:val="24"/>
        </w:rPr>
      </w:pPr>
      <w:r>
        <w:rPr>
          <w:rFonts w:ascii="Times New Roman" w:hAnsi="Times New Roman"/>
          <w:b/>
          <w:bCs/>
          <w:sz w:val="24"/>
        </w:rPr>
        <w:t>THE PUBLIC UTILITIES COMMISSION OF OHIO</w:t>
      </w:r>
    </w:p>
    <w:p w14:paraId="5C3EE76B" w14:textId="77777777" w:rsidR="00985727" w:rsidRDefault="00985727" w:rsidP="00985727">
      <w:pPr>
        <w:pStyle w:val="HTMLPreformatted"/>
        <w:rPr>
          <w:rFonts w:ascii="Times New Roman" w:hAnsi="Times New Roman"/>
          <w:sz w:val="24"/>
        </w:rPr>
      </w:pPr>
    </w:p>
    <w:tbl>
      <w:tblPr>
        <w:tblW w:w="9092" w:type="dxa"/>
        <w:tblLook w:val="01E0" w:firstRow="1" w:lastRow="1" w:firstColumn="1" w:lastColumn="1" w:noHBand="0" w:noVBand="0"/>
      </w:tblPr>
      <w:tblGrid>
        <w:gridCol w:w="4068"/>
        <w:gridCol w:w="540"/>
        <w:gridCol w:w="4484"/>
      </w:tblGrid>
      <w:tr w:rsidR="00E21F01" w14:paraId="090945E2" w14:textId="77777777" w:rsidTr="00E21F01">
        <w:trPr>
          <w:trHeight w:val="807"/>
        </w:trPr>
        <w:tc>
          <w:tcPr>
            <w:tcW w:w="4068" w:type="dxa"/>
            <w:shd w:val="clear" w:color="auto" w:fill="auto"/>
          </w:tcPr>
          <w:p w14:paraId="72749856" w14:textId="77777777" w:rsidR="00E21F01" w:rsidRPr="00E21F01" w:rsidRDefault="00E21F01" w:rsidP="00EF5754">
            <w:pPr>
              <w:pStyle w:val="HTMLPreformatted"/>
              <w:rPr>
                <w:rFonts w:ascii="Times New Roman" w:hAnsi="Times New Roman" w:cs="Times New Roman"/>
                <w:sz w:val="24"/>
                <w:szCs w:val="24"/>
              </w:rPr>
            </w:pPr>
            <w:r w:rsidRPr="00E21F01">
              <w:rPr>
                <w:rFonts w:ascii="Times New Roman" w:hAnsi="Times New Roman" w:cs="Times New Roman"/>
                <w:sz w:val="24"/>
                <w:szCs w:val="24"/>
              </w:rPr>
              <w:t>In the Matter of the Application of Ohio Power Company to Adopt a Final Implementation Plan for the Retail Stability Rider.</w:t>
            </w:r>
          </w:p>
        </w:tc>
        <w:tc>
          <w:tcPr>
            <w:tcW w:w="540" w:type="dxa"/>
            <w:shd w:val="clear" w:color="auto" w:fill="auto"/>
          </w:tcPr>
          <w:p w14:paraId="7E051B37"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p w14:paraId="24F2167A"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p w14:paraId="765505C8"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p w14:paraId="36CBC417"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w:t>
            </w:r>
          </w:p>
        </w:tc>
        <w:tc>
          <w:tcPr>
            <w:tcW w:w="4484" w:type="dxa"/>
            <w:shd w:val="clear" w:color="auto" w:fill="auto"/>
          </w:tcPr>
          <w:p w14:paraId="422E788D" w14:textId="77777777" w:rsidR="00E21F01" w:rsidRPr="00A044B5" w:rsidRDefault="00E21F01" w:rsidP="00EF5754">
            <w:pPr>
              <w:pStyle w:val="HTMLPreformatted"/>
              <w:rPr>
                <w:rFonts w:ascii="Times New Roman" w:hAnsi="Times New Roman"/>
                <w:sz w:val="24"/>
              </w:rPr>
            </w:pPr>
          </w:p>
          <w:p w14:paraId="0BD39D08" w14:textId="77777777" w:rsidR="00E21F01" w:rsidRPr="00A044B5" w:rsidRDefault="00E21F01" w:rsidP="00EF5754">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14-1186-EL-RDR</w:t>
            </w:r>
          </w:p>
          <w:p w14:paraId="503BED49" w14:textId="77777777" w:rsidR="00E21F01" w:rsidRPr="00A044B5" w:rsidRDefault="00E21F01" w:rsidP="00EF5754">
            <w:pPr>
              <w:pStyle w:val="HTMLPreformatted"/>
              <w:rPr>
                <w:rFonts w:ascii="Times New Roman" w:hAnsi="Times New Roman"/>
                <w:sz w:val="24"/>
              </w:rPr>
            </w:pPr>
          </w:p>
          <w:p w14:paraId="260AD7E5" w14:textId="77777777" w:rsidR="00E21F01" w:rsidRPr="00A044B5" w:rsidRDefault="00E21F01" w:rsidP="00EF5754">
            <w:pPr>
              <w:pStyle w:val="HTMLPreformatted"/>
              <w:rPr>
                <w:rFonts w:ascii="Times New Roman" w:hAnsi="Times New Roman"/>
                <w:sz w:val="24"/>
              </w:rPr>
            </w:pPr>
          </w:p>
        </w:tc>
      </w:tr>
    </w:tbl>
    <w:p w14:paraId="6AE3DFB6" w14:textId="77777777" w:rsidR="00985727" w:rsidRDefault="00985727" w:rsidP="007E4821">
      <w:pPr>
        <w:pBdr>
          <w:bottom w:val="single" w:sz="12" w:space="1" w:color="auto"/>
        </w:pBdr>
        <w:tabs>
          <w:tab w:val="left" w:pos="720"/>
        </w:tabs>
        <w:jc w:val="center"/>
        <w:rPr>
          <w:b/>
          <w:u w:val="single"/>
        </w:rPr>
      </w:pPr>
    </w:p>
    <w:p w14:paraId="1DC3A038" w14:textId="77777777" w:rsidR="00EC0C7D" w:rsidRDefault="00EC0C7D" w:rsidP="00EC0C7D">
      <w:pPr>
        <w:tabs>
          <w:tab w:val="left" w:pos="720"/>
        </w:tabs>
        <w:rPr>
          <w:b/>
          <w:u w:val="single"/>
        </w:rPr>
      </w:pPr>
    </w:p>
    <w:p w14:paraId="430A41E7" w14:textId="77777777" w:rsidR="007E4821" w:rsidRDefault="007E4821" w:rsidP="007E4821">
      <w:pPr>
        <w:tabs>
          <w:tab w:val="left" w:pos="720"/>
        </w:tabs>
        <w:jc w:val="center"/>
        <w:rPr>
          <w:b/>
        </w:rPr>
      </w:pPr>
      <w:r w:rsidRPr="00EC0C7D">
        <w:rPr>
          <w:b/>
        </w:rPr>
        <w:t>MEMORANDUM IN SUPPORT</w:t>
      </w:r>
    </w:p>
    <w:p w14:paraId="3FD59B01" w14:textId="77777777" w:rsidR="00EC0C7D" w:rsidRDefault="00EC0C7D" w:rsidP="007E4821">
      <w:pPr>
        <w:pBdr>
          <w:bottom w:val="single" w:sz="12" w:space="1" w:color="auto"/>
        </w:pBdr>
        <w:tabs>
          <w:tab w:val="left" w:pos="720"/>
        </w:tabs>
        <w:jc w:val="center"/>
        <w:rPr>
          <w:b/>
        </w:rPr>
      </w:pPr>
    </w:p>
    <w:p w14:paraId="5255622F" w14:textId="77777777" w:rsidR="00EC0C7D" w:rsidRPr="00EC0C7D" w:rsidRDefault="00EC0C7D" w:rsidP="00EC0C7D">
      <w:pPr>
        <w:tabs>
          <w:tab w:val="left" w:pos="720"/>
        </w:tabs>
        <w:rPr>
          <w:b/>
        </w:rPr>
      </w:pPr>
    </w:p>
    <w:p w14:paraId="7B8F0D43" w14:textId="77777777" w:rsidR="007E4821" w:rsidRDefault="007E4821" w:rsidP="00263F40">
      <w:pPr>
        <w:tabs>
          <w:tab w:val="left" w:pos="720"/>
        </w:tabs>
      </w:pPr>
    </w:p>
    <w:p w14:paraId="6BBD7393" w14:textId="5D60ADFB" w:rsidR="00627DB7" w:rsidRDefault="00627DB7" w:rsidP="00627DB7">
      <w:pPr>
        <w:pStyle w:val="BodyTextIndent3"/>
        <w:widowControl w:val="0"/>
        <w:spacing w:line="480" w:lineRule="auto"/>
        <w:ind w:right="-312"/>
      </w:pPr>
      <w:r>
        <w:t>AEP Ohio has proposed to collect from customers capacity costs (plus carrying charges) resulting from AEP Ohio providing discounted capacity (market-based capacity) to CRES providers</w:t>
      </w:r>
      <w:r w:rsidR="007F2258" w:rsidRPr="007F2258">
        <w:t xml:space="preserve"> </w:t>
      </w:r>
      <w:r w:rsidR="007F2258">
        <w:t>during the term of AEP Ohio’s second electric security plan</w:t>
      </w:r>
      <w:r>
        <w:t>.</w:t>
      </w:r>
      <w:r w:rsidR="00222D3B">
        <w:rPr>
          <w:rStyle w:val="FootnoteReference"/>
        </w:rPr>
        <w:footnoteReference w:id="4"/>
      </w:r>
      <w:r>
        <w:t xml:space="preserve">  The PUCO authorized that discount in AEP Ohio’s </w:t>
      </w:r>
      <w:r w:rsidR="00477728">
        <w:t>C</w:t>
      </w:r>
      <w:r>
        <w:t xml:space="preserve">apacity </w:t>
      </w:r>
      <w:r w:rsidR="00477728">
        <w:t>Charge C</w:t>
      </w:r>
      <w:r>
        <w:t>ase.</w:t>
      </w:r>
      <w:r>
        <w:rPr>
          <w:rStyle w:val="FootnoteReference"/>
        </w:rPr>
        <w:footnoteReference w:id="5"/>
      </w:r>
      <w:r>
        <w:t xml:space="preserve">  In that case, the PUCO permitted AEP Ohio to defer the difference between the market-based rate it would charge the CRES </w:t>
      </w:r>
      <w:r w:rsidR="007F2258">
        <w:t xml:space="preserve">providers </w:t>
      </w:r>
      <w:r>
        <w:t>and AEP Ohio’s fully embedded cost.</w:t>
      </w:r>
      <w:r>
        <w:rPr>
          <w:rStyle w:val="FootnoteReference"/>
        </w:rPr>
        <w:footnoteReference w:id="6"/>
      </w:r>
      <w:r>
        <w:t xml:space="preserve">  </w:t>
      </w:r>
    </w:p>
    <w:p w14:paraId="0D4FEBD9" w14:textId="03010740" w:rsidR="00806350" w:rsidRDefault="00627DB7" w:rsidP="00627DB7">
      <w:pPr>
        <w:tabs>
          <w:tab w:val="left" w:pos="720"/>
        </w:tabs>
        <w:spacing w:line="480" w:lineRule="auto"/>
        <w:ind w:firstLine="720"/>
        <w:rPr>
          <w:szCs w:val="24"/>
        </w:rPr>
      </w:pPr>
      <w:r>
        <w:t>AEP Ohio now proposes to collect the deferred cost from customers in this case by continuing its current Retail Stability Rider Charge.</w:t>
      </w:r>
      <w:r>
        <w:rPr>
          <w:rStyle w:val="FootnoteReference"/>
        </w:rPr>
        <w:footnoteReference w:id="7"/>
      </w:r>
      <w:r>
        <w:t xml:space="preserve"> </w:t>
      </w:r>
      <w:r w:rsidR="00222D3B">
        <w:t xml:space="preserve"> </w:t>
      </w:r>
      <w:r>
        <w:t>Those costs (that AEP Ohio proposes to collect from customers) amount to an estimated $418.4 million.</w:t>
      </w:r>
      <w:r w:rsidR="004570D3">
        <w:rPr>
          <w:rStyle w:val="FootnoteReference"/>
        </w:rPr>
        <w:footnoteReference w:id="8"/>
      </w:r>
      <w:r>
        <w:t xml:space="preserve">  </w:t>
      </w:r>
      <w:r w:rsidR="00222D3B">
        <w:t xml:space="preserve">AEP Ohio has proposed </w:t>
      </w:r>
      <w:r>
        <w:t xml:space="preserve">that customers will start paying these costs June 1, 2015 and will continue </w:t>
      </w:r>
      <w:r>
        <w:lastRenderedPageBreak/>
        <w:t>to pay through January 2018.</w:t>
      </w:r>
      <w:r w:rsidR="004570D3">
        <w:rPr>
          <w:rStyle w:val="FootnoteReference"/>
        </w:rPr>
        <w:footnoteReference w:id="9"/>
      </w:r>
      <w:r>
        <w:t xml:space="preserve">  This proceeding will establish how the costs are to be collected, and what portion of those costs will be charged to the residential customer class.  </w:t>
      </w:r>
    </w:p>
    <w:p w14:paraId="52AA869D" w14:textId="7F2201B2" w:rsidR="008A23F9" w:rsidRPr="008A23F9" w:rsidRDefault="00045E08" w:rsidP="00A53B95">
      <w:pPr>
        <w:tabs>
          <w:tab w:val="left" w:pos="720"/>
        </w:tabs>
        <w:spacing w:line="480" w:lineRule="auto"/>
        <w:ind w:firstLine="720"/>
      </w:pPr>
      <w:r>
        <w:t>Industrial Energy Users-Ohio</w:t>
      </w:r>
      <w:r>
        <w:rPr>
          <w:szCs w:val="24"/>
        </w:rPr>
        <w:t xml:space="preserve"> has filed a motion to dismiss this case, which OCC supports.  But if the PUCO does not dismiss this case, it </w:t>
      </w:r>
      <w:r>
        <w:t xml:space="preserve">should establish a procedural schedule that incorporates the timeframes proposed in OCC’s Motion. </w:t>
      </w:r>
      <w:r w:rsidRPr="00B96B7E">
        <w:rPr>
          <w:szCs w:val="24"/>
        </w:rPr>
        <w:t xml:space="preserve"> </w:t>
      </w:r>
      <w:r w:rsidR="00EE1E61" w:rsidRPr="00B96B7E">
        <w:rPr>
          <w:szCs w:val="24"/>
        </w:rPr>
        <w:t xml:space="preserve">Given the enormous amount of money that AEP Ohio seeks to collect from customers in this case </w:t>
      </w:r>
      <w:r>
        <w:rPr>
          <w:szCs w:val="24"/>
        </w:rPr>
        <w:t>(</w:t>
      </w:r>
      <w:r w:rsidR="004570D3">
        <w:t>$418.4 million</w:t>
      </w:r>
      <w:r w:rsidR="00EE1E61" w:rsidRPr="00B96B7E">
        <w:rPr>
          <w:szCs w:val="24"/>
        </w:rPr>
        <w:t xml:space="preserve">), </w:t>
      </w:r>
      <w:r w:rsidR="004570D3">
        <w:rPr>
          <w:szCs w:val="24"/>
        </w:rPr>
        <w:t>a</w:t>
      </w:r>
      <w:r w:rsidR="00EE1E61" w:rsidRPr="00B96B7E">
        <w:rPr>
          <w:szCs w:val="24"/>
        </w:rPr>
        <w:t xml:space="preserve"> </w:t>
      </w:r>
      <w:r w:rsidR="004570D3">
        <w:rPr>
          <w:szCs w:val="24"/>
        </w:rPr>
        <w:t xml:space="preserve">hearing and the submission of testimony </w:t>
      </w:r>
      <w:r>
        <w:rPr>
          <w:szCs w:val="24"/>
        </w:rPr>
        <w:t xml:space="preserve">would be necessary </w:t>
      </w:r>
      <w:r w:rsidR="0000570C">
        <w:rPr>
          <w:szCs w:val="24"/>
        </w:rPr>
        <w:t xml:space="preserve">if </w:t>
      </w:r>
      <w:r w:rsidR="004570D3">
        <w:rPr>
          <w:szCs w:val="24"/>
        </w:rPr>
        <w:t>this case</w:t>
      </w:r>
      <w:r w:rsidR="0000570C">
        <w:rPr>
          <w:szCs w:val="24"/>
        </w:rPr>
        <w:t xml:space="preserve"> is not dismissed</w:t>
      </w:r>
      <w:r w:rsidR="00EE1E61" w:rsidRPr="00B96B7E">
        <w:rPr>
          <w:szCs w:val="24"/>
        </w:rPr>
        <w:t xml:space="preserve">.  </w:t>
      </w:r>
      <w:r w:rsidR="00EE1E61">
        <w:t>.</w:t>
      </w:r>
      <w:r w:rsidR="008A23F9">
        <w:t xml:space="preserve"> </w:t>
      </w:r>
    </w:p>
    <w:p w14:paraId="087729CB" w14:textId="31C6CBDC" w:rsidR="00477728" w:rsidRDefault="005A24FF" w:rsidP="00245910">
      <w:pPr>
        <w:spacing w:line="480" w:lineRule="auto"/>
        <w:ind w:firstLine="720"/>
      </w:pPr>
      <w:r>
        <w:t xml:space="preserve"> </w:t>
      </w:r>
      <w:r w:rsidR="00245910">
        <w:t xml:space="preserve">The </w:t>
      </w:r>
      <w:r w:rsidR="00FD6FFC">
        <w:t xml:space="preserve">PUCO </w:t>
      </w:r>
      <w:r w:rsidR="00367351">
        <w:t>has</w:t>
      </w:r>
      <w:r w:rsidR="00FD6FFC">
        <w:t xml:space="preserve"> </w:t>
      </w:r>
      <w:r w:rsidR="00045E08">
        <w:t xml:space="preserve">not </w:t>
      </w:r>
      <w:r w:rsidR="007F2258">
        <w:t>addressed how the deferred capacity charges will be collected from customers</w:t>
      </w:r>
      <w:r w:rsidR="00477728">
        <w:t xml:space="preserve">.  </w:t>
      </w:r>
      <w:r w:rsidR="00245910">
        <w:t xml:space="preserve"> </w:t>
      </w:r>
      <w:r w:rsidR="00477728">
        <w:t xml:space="preserve">In </w:t>
      </w:r>
      <w:r w:rsidR="00245910">
        <w:t>the Capacity Charge Case</w:t>
      </w:r>
      <w:r w:rsidR="00477728">
        <w:t xml:space="preserve">, the PUCO established AEP Ohio’s capacity pricing, and stated that it would </w:t>
      </w:r>
      <w:r w:rsidR="00477728">
        <w:rPr>
          <w:szCs w:val="24"/>
        </w:rPr>
        <w:t>establish an appropriate collection mechanism for any deferred costs and address any additional financial considerations in the ESP 2 proceeding.</w:t>
      </w:r>
      <w:r w:rsidR="00477728">
        <w:rPr>
          <w:rStyle w:val="FootnoteReference"/>
          <w:szCs w:val="24"/>
        </w:rPr>
        <w:footnoteReference w:id="10"/>
      </w:r>
      <w:r w:rsidR="00477728">
        <w:t xml:space="preserve"> </w:t>
      </w:r>
    </w:p>
    <w:p w14:paraId="27470F4A" w14:textId="11A9321D" w:rsidR="00E559C5" w:rsidRDefault="00477728" w:rsidP="00245910">
      <w:pPr>
        <w:spacing w:line="480" w:lineRule="auto"/>
        <w:ind w:firstLine="720"/>
      </w:pPr>
      <w:r>
        <w:t xml:space="preserve">But at the time the Capacity Charge Order was issued, the ESP 2 case was in its final stages.  Briefs had already been filed, and reply briefs were due just one week after the Capacity Charge Order came out.  </w:t>
      </w:r>
      <w:r w:rsidR="00910E77">
        <w:t>Thus, there was no evidence in the record of the ESP 2 case that specifically addressed the rates for capacity established in the Capacity Charge Order.  Indeed, OCC and the Appalachian Peace and Justice Network moved for the PUCO to take administrative notice of certain portions of the record in the Capacity Charge Case, but the PUCO denied that motion.</w:t>
      </w:r>
      <w:r w:rsidR="00910E77">
        <w:rPr>
          <w:rStyle w:val="FootnoteReference"/>
        </w:rPr>
        <w:footnoteReference w:id="11"/>
      </w:r>
      <w:r w:rsidR="00910E77">
        <w:t xml:space="preserve">  </w:t>
      </w:r>
      <w:r w:rsidR="00E559C5">
        <w:t xml:space="preserve">The appropriate mechanism for collecting any deferrals established in the Capacity Charge Case </w:t>
      </w:r>
      <w:r w:rsidR="007F2258">
        <w:t xml:space="preserve">also </w:t>
      </w:r>
      <w:r w:rsidR="00E559C5">
        <w:t xml:space="preserve">was never discussed or analyzed in the ESP 2 proceeding.  </w:t>
      </w:r>
    </w:p>
    <w:p w14:paraId="230D0D26" w14:textId="2E581324" w:rsidR="00245910" w:rsidRDefault="00477728" w:rsidP="00245910">
      <w:pPr>
        <w:spacing w:line="480" w:lineRule="auto"/>
        <w:ind w:firstLine="720"/>
      </w:pPr>
      <w:r>
        <w:t>T</w:t>
      </w:r>
      <w:r w:rsidR="00245910">
        <w:t xml:space="preserve">he primary capacity-related issue in </w:t>
      </w:r>
      <w:r>
        <w:t>the ESP 2</w:t>
      </w:r>
      <w:r w:rsidR="00245910">
        <w:t xml:space="preserve"> proceeding was </w:t>
      </w:r>
      <w:r>
        <w:t>AEP Ohio</w:t>
      </w:r>
      <w:r w:rsidR="00245910">
        <w:t xml:space="preserve">’s discounts for capacity, i.e., the two-tiered pricing scheme for capacity and the alternative $10/MWh shopping credit from </w:t>
      </w:r>
      <w:r w:rsidR="00E03D6D" w:rsidRPr="00B96B7E">
        <w:rPr>
          <w:szCs w:val="24"/>
        </w:rPr>
        <w:t>AEP Ohio</w:t>
      </w:r>
      <w:r w:rsidR="00245910">
        <w:t xml:space="preserve">’s proposed $355/MW-day capacity price.  There was no evidence presented in </w:t>
      </w:r>
      <w:r w:rsidR="000A649E">
        <w:t xml:space="preserve">ESP 2 </w:t>
      </w:r>
      <w:r w:rsidR="00245910">
        <w:t xml:space="preserve">case for the appropriate mechanism for collecting deferrals established in the Capacity Charge Case.  </w:t>
      </w:r>
      <w:r w:rsidR="00910E77">
        <w:t>Further, b</w:t>
      </w:r>
      <w:r w:rsidR="00E03D6D">
        <w:t>oth the capacity charge and the Retail Stability Rider Charge are under appeal to the Ohio Supreme Court</w:t>
      </w:r>
      <w:r w:rsidR="00061114">
        <w:t>.</w:t>
      </w:r>
      <w:r w:rsidR="004543EC">
        <w:rPr>
          <w:rStyle w:val="FootnoteReference"/>
        </w:rPr>
        <w:footnoteReference w:id="12"/>
      </w:r>
      <w:r w:rsidR="00E03D6D">
        <w:t xml:space="preserve"> </w:t>
      </w:r>
      <w:r w:rsidR="00061114">
        <w:t xml:space="preserve"> Thus, </w:t>
      </w:r>
      <w:r w:rsidR="000A649E">
        <w:t xml:space="preserve">the PUCO should not allow AEP Ohio to continue </w:t>
      </w:r>
      <w:r w:rsidR="00E03D6D">
        <w:t>collecting the Retail Stability Rider Charge from</w:t>
      </w:r>
      <w:r w:rsidR="000A649E">
        <w:t xml:space="preserve"> customers</w:t>
      </w:r>
      <w:r w:rsidR="00E03D6D">
        <w:t xml:space="preserve"> beyond May 31, 2015, unless it is collected subject to refund</w:t>
      </w:r>
      <w:r w:rsidR="000A649E">
        <w:t xml:space="preserve">. </w:t>
      </w:r>
    </w:p>
    <w:p w14:paraId="54859BE2" w14:textId="310BF9D7" w:rsidR="005A24FF" w:rsidRPr="00B50B46" w:rsidRDefault="009158F8" w:rsidP="00245910">
      <w:pPr>
        <w:tabs>
          <w:tab w:val="left" w:pos="720"/>
        </w:tabs>
        <w:spacing w:line="480" w:lineRule="auto"/>
        <w:ind w:firstLine="720"/>
        <w:rPr>
          <w:rFonts w:eastAsiaTheme="minorHAnsi"/>
          <w:szCs w:val="24"/>
        </w:rPr>
      </w:pPr>
      <w:r>
        <w:rPr>
          <w:rFonts w:eastAsiaTheme="minorHAnsi"/>
          <w:szCs w:val="24"/>
        </w:rPr>
        <w:t xml:space="preserve">In the ESP 2 Order, the PUCO stated that “[a]t the conclusion of the Modified ESP, </w:t>
      </w:r>
      <w:r w:rsidRPr="00606D08">
        <w:rPr>
          <w:szCs w:val="24"/>
        </w:rPr>
        <w:t>the Commission will determine the deferral amount and make appropriate adjustments based on AEP-Ohio</w:t>
      </w:r>
      <w:r>
        <w:rPr>
          <w:szCs w:val="24"/>
        </w:rPr>
        <w:t>’</w:t>
      </w:r>
      <w:r w:rsidRPr="00606D08">
        <w:rPr>
          <w:szCs w:val="24"/>
        </w:rPr>
        <w:t>s actual shopping statistics and the amount that has been collected towards the deferral through the RSR, as necessary.</w:t>
      </w:r>
      <w:r>
        <w:rPr>
          <w:szCs w:val="24"/>
        </w:rPr>
        <w:t>”</w:t>
      </w:r>
      <w:r>
        <w:rPr>
          <w:rStyle w:val="FootnoteReference"/>
          <w:szCs w:val="24"/>
        </w:rPr>
        <w:footnoteReference w:id="13"/>
      </w:r>
      <w:r>
        <w:rPr>
          <w:szCs w:val="24"/>
        </w:rPr>
        <w:t xml:space="preserve">  AEP Ohio would have an audit determine the </w:t>
      </w:r>
      <w:r>
        <w:t>Retail Stability Rider Charge, with a hearing only if AEP Ohio does not agree to accept any differences between the auditor’s report and AEP Ohio’s accounting.</w:t>
      </w:r>
      <w:r>
        <w:rPr>
          <w:rStyle w:val="FootnoteReference"/>
        </w:rPr>
        <w:footnoteReference w:id="14"/>
      </w:r>
      <w:r>
        <w:rPr>
          <w:rFonts w:eastAsiaTheme="minorHAnsi"/>
          <w:szCs w:val="24"/>
        </w:rPr>
        <w:t xml:space="preserve">  But the amount that customers pay through the </w:t>
      </w:r>
      <w:r>
        <w:t>Retail Stability Rider Charge</w:t>
      </w:r>
      <w:r>
        <w:rPr>
          <w:rFonts w:eastAsiaTheme="minorHAnsi"/>
          <w:szCs w:val="24"/>
        </w:rPr>
        <w:t xml:space="preserve"> should not be left to the whim of AEP Ohio.  </w:t>
      </w:r>
      <w:r w:rsidR="006574AB">
        <w:rPr>
          <w:rFonts w:eastAsiaTheme="minorHAnsi"/>
          <w:szCs w:val="24"/>
        </w:rPr>
        <w:t>If this case is not dismissed, t</w:t>
      </w:r>
      <w:r w:rsidR="00E559C5">
        <w:rPr>
          <w:rFonts w:eastAsiaTheme="minorHAnsi"/>
          <w:szCs w:val="24"/>
        </w:rPr>
        <w:t xml:space="preserve">he PUCO should </w:t>
      </w:r>
      <w:r w:rsidR="00E559C5" w:rsidRPr="009158F8">
        <w:rPr>
          <w:rFonts w:eastAsiaTheme="minorHAnsi"/>
          <w:i/>
          <w:szCs w:val="24"/>
        </w:rPr>
        <w:t>now</w:t>
      </w:r>
      <w:r w:rsidR="00E559C5">
        <w:rPr>
          <w:rFonts w:eastAsiaTheme="minorHAnsi"/>
          <w:szCs w:val="24"/>
        </w:rPr>
        <w:t xml:space="preserve"> hold the hearing </w:t>
      </w:r>
      <w:r w:rsidR="00E559C5">
        <w:t xml:space="preserve">that should have </w:t>
      </w:r>
      <w:r w:rsidR="00E03D6D">
        <w:t xml:space="preserve">been </w:t>
      </w:r>
      <w:r w:rsidR="00E559C5">
        <w:t>held two years ago</w:t>
      </w:r>
      <w:r w:rsidR="00FB3DAD">
        <w:t xml:space="preserve"> on the appropriate mechanism for collecting the capacity deferrals</w:t>
      </w:r>
      <w:r w:rsidR="00E559C5">
        <w:t xml:space="preserve">.  </w:t>
      </w:r>
    </w:p>
    <w:p w14:paraId="0BAD3B24" w14:textId="3B700A9B" w:rsidR="005A24FF" w:rsidRDefault="005A24FF" w:rsidP="003858C2">
      <w:pPr>
        <w:pStyle w:val="BodyText"/>
        <w:spacing w:line="480" w:lineRule="auto"/>
        <w:ind w:firstLine="720"/>
        <w:jc w:val="left"/>
      </w:pPr>
      <w:r w:rsidRPr="000452B0">
        <w:t xml:space="preserve">For the reasons stated above, </w:t>
      </w:r>
      <w:r>
        <w:t>OCC respectfully requests that</w:t>
      </w:r>
      <w:r w:rsidR="006574AB">
        <w:t>, if this case is not dismissed,</w:t>
      </w:r>
      <w:r>
        <w:t xml:space="preserve"> </w:t>
      </w:r>
      <w:r w:rsidRPr="000452B0">
        <w:t>th</w:t>
      </w:r>
      <w:r>
        <w:t>e</w:t>
      </w:r>
      <w:r w:rsidRPr="000452B0">
        <w:t xml:space="preserve"> </w:t>
      </w:r>
      <w:r>
        <w:t xml:space="preserve">PUCO grant </w:t>
      </w:r>
      <w:r w:rsidR="006574AB">
        <w:t>OCC’s</w:t>
      </w:r>
      <w:r>
        <w:t xml:space="preserve"> Motion </w:t>
      </w:r>
      <w:r w:rsidR="000472C5">
        <w:t>by</w:t>
      </w:r>
      <w:r>
        <w:t xml:space="preserve"> establish</w:t>
      </w:r>
      <w:r w:rsidR="000472C5">
        <w:t>ing</w:t>
      </w:r>
      <w:r>
        <w:t xml:space="preserve"> a procedural schedule that incorporates the timeframes indicated </w:t>
      </w:r>
      <w:r w:rsidR="00EE1E61">
        <w:t xml:space="preserve">in </w:t>
      </w:r>
      <w:r w:rsidR="00B50B46">
        <w:t>its</w:t>
      </w:r>
      <w:r w:rsidR="00EE1E61">
        <w:t xml:space="preserve"> Motion</w:t>
      </w:r>
      <w:r>
        <w:t>.</w:t>
      </w:r>
    </w:p>
    <w:p w14:paraId="10FF0EDB" w14:textId="77777777" w:rsidR="009D6B05" w:rsidRDefault="009D6B05">
      <w:pPr>
        <w:autoSpaceDE w:val="0"/>
        <w:autoSpaceDN w:val="0"/>
        <w:adjustRightInd w:val="0"/>
        <w:ind w:left="4320"/>
        <w:rPr>
          <w:szCs w:val="24"/>
        </w:rPr>
      </w:pPr>
      <w:r>
        <w:rPr>
          <w:szCs w:val="24"/>
        </w:rPr>
        <w:t>Respectfully submitted,</w:t>
      </w:r>
    </w:p>
    <w:p w14:paraId="23E99F3B" w14:textId="77777777" w:rsidR="009D6B05" w:rsidRDefault="009D6B05">
      <w:pPr>
        <w:autoSpaceDE w:val="0"/>
        <w:autoSpaceDN w:val="0"/>
        <w:adjustRightInd w:val="0"/>
        <w:ind w:left="4320"/>
        <w:rPr>
          <w:szCs w:val="24"/>
        </w:rPr>
      </w:pPr>
    </w:p>
    <w:p w14:paraId="548E72B3" w14:textId="77777777" w:rsidR="009D6B05" w:rsidRDefault="009D6B05">
      <w:pPr>
        <w:pStyle w:val="Footer"/>
        <w:tabs>
          <w:tab w:val="clear" w:pos="8640"/>
          <w:tab w:val="left" w:pos="4320"/>
        </w:tabs>
        <w:ind w:left="4320"/>
        <w:rPr>
          <w:sz w:val="24"/>
          <w:szCs w:val="24"/>
        </w:rPr>
      </w:pPr>
      <w:r>
        <w:rPr>
          <w:sz w:val="24"/>
          <w:szCs w:val="24"/>
        </w:rPr>
        <w:t>BRUCE J. WESTON</w:t>
      </w:r>
    </w:p>
    <w:p w14:paraId="77D315D0" w14:textId="77777777" w:rsidR="009D6B05" w:rsidRDefault="009D6B05">
      <w:pPr>
        <w:tabs>
          <w:tab w:val="left" w:pos="4320"/>
        </w:tabs>
        <w:ind w:left="4320"/>
        <w:rPr>
          <w:szCs w:val="24"/>
        </w:rPr>
      </w:pPr>
      <w:r>
        <w:rPr>
          <w:szCs w:val="24"/>
        </w:rPr>
        <w:t>OHIO CONSUMERS’ COUNSEL</w:t>
      </w:r>
    </w:p>
    <w:p w14:paraId="77F8D621" w14:textId="77777777" w:rsidR="009D6B05" w:rsidRDefault="009D6B05">
      <w:pPr>
        <w:tabs>
          <w:tab w:val="left" w:pos="4320"/>
        </w:tabs>
        <w:rPr>
          <w:szCs w:val="24"/>
        </w:rPr>
      </w:pPr>
      <w:r>
        <w:rPr>
          <w:szCs w:val="24"/>
        </w:rPr>
        <w:tab/>
      </w:r>
    </w:p>
    <w:p w14:paraId="203B9CB6" w14:textId="344655E2" w:rsidR="009D6B05" w:rsidRDefault="009D6B05">
      <w:pPr>
        <w:tabs>
          <w:tab w:val="left" w:pos="4320"/>
        </w:tabs>
        <w:rPr>
          <w:u w:val="single"/>
        </w:rPr>
      </w:pPr>
      <w:r>
        <w:rPr>
          <w:szCs w:val="24"/>
        </w:rPr>
        <w:tab/>
      </w:r>
      <w:r w:rsidR="00884CD9">
        <w:rPr>
          <w:i/>
          <w:szCs w:val="24"/>
          <w:u w:val="single"/>
        </w:rPr>
        <w:t>/s/</w:t>
      </w:r>
      <w:r w:rsidR="00EC0C7D">
        <w:rPr>
          <w:i/>
          <w:szCs w:val="24"/>
          <w:u w:val="single"/>
        </w:rPr>
        <w:t xml:space="preserve"> Maureen R. Grady</w:t>
      </w:r>
      <w:r w:rsidR="00884CD9">
        <w:rPr>
          <w:i/>
          <w:szCs w:val="24"/>
          <w:u w:val="single"/>
        </w:rPr>
        <w:tab/>
      </w:r>
      <w:r w:rsidR="00884CD9">
        <w:rPr>
          <w:i/>
          <w:szCs w:val="24"/>
          <w:u w:val="single"/>
        </w:rPr>
        <w:tab/>
      </w:r>
      <w:r w:rsidR="00884CD9">
        <w:rPr>
          <w:i/>
          <w:szCs w:val="24"/>
          <w:u w:val="single"/>
        </w:rPr>
        <w:tab/>
      </w:r>
      <w:r w:rsidR="00884CD9">
        <w:rPr>
          <w:i/>
          <w:szCs w:val="24"/>
          <w:u w:val="single"/>
        </w:rPr>
        <w:tab/>
      </w:r>
    </w:p>
    <w:p w14:paraId="33E90D70" w14:textId="77777777" w:rsidR="00627DB7" w:rsidRDefault="00627DB7" w:rsidP="00627DB7">
      <w:pPr>
        <w:tabs>
          <w:tab w:val="left" w:pos="4320"/>
        </w:tabs>
        <w:ind w:left="4320"/>
        <w:rPr>
          <w:szCs w:val="24"/>
        </w:rPr>
      </w:pPr>
      <w:r>
        <w:rPr>
          <w:szCs w:val="24"/>
        </w:rPr>
        <w:t xml:space="preserve">Maureen R. Grady, Counsel of Record </w:t>
      </w:r>
    </w:p>
    <w:p w14:paraId="0EB55456" w14:textId="77777777" w:rsidR="00627DB7" w:rsidRDefault="00627DB7" w:rsidP="00627DB7">
      <w:pPr>
        <w:tabs>
          <w:tab w:val="left" w:pos="4320"/>
        </w:tabs>
        <w:ind w:left="4320"/>
        <w:rPr>
          <w:szCs w:val="24"/>
        </w:rPr>
      </w:pPr>
      <w:r>
        <w:rPr>
          <w:szCs w:val="24"/>
        </w:rPr>
        <w:t>Terry L. Etter</w:t>
      </w:r>
    </w:p>
    <w:p w14:paraId="5D712821" w14:textId="77777777" w:rsidR="00627DB7" w:rsidRDefault="00627DB7" w:rsidP="00627DB7">
      <w:pPr>
        <w:tabs>
          <w:tab w:val="left" w:pos="4320"/>
        </w:tabs>
        <w:ind w:left="4320"/>
        <w:rPr>
          <w:szCs w:val="24"/>
        </w:rPr>
      </w:pPr>
      <w:r>
        <w:rPr>
          <w:szCs w:val="24"/>
        </w:rPr>
        <w:t>Assistant Consumers’ Counsel</w:t>
      </w:r>
    </w:p>
    <w:p w14:paraId="591D5F5D" w14:textId="77777777" w:rsidR="00627DB7" w:rsidRPr="00047E70" w:rsidRDefault="00627DB7" w:rsidP="00627DB7">
      <w:pPr>
        <w:spacing w:before="120"/>
        <w:ind w:left="4320"/>
        <w:rPr>
          <w:b/>
        </w:rPr>
      </w:pPr>
      <w:r w:rsidRPr="00047E70">
        <w:rPr>
          <w:b/>
        </w:rPr>
        <w:t>Office of the Ohio Consumers’ Counsel</w:t>
      </w:r>
    </w:p>
    <w:p w14:paraId="56E069C5" w14:textId="77777777" w:rsidR="00627DB7" w:rsidRPr="00B34484" w:rsidRDefault="00627DB7" w:rsidP="00627DB7">
      <w:pPr>
        <w:ind w:left="4320"/>
      </w:pPr>
      <w:r w:rsidRPr="00B34484">
        <w:t>10 West Broad Street, Suite 1800</w:t>
      </w:r>
    </w:p>
    <w:p w14:paraId="7A46957C" w14:textId="77777777" w:rsidR="00627DB7" w:rsidRPr="00B34484" w:rsidRDefault="00627DB7" w:rsidP="00627DB7">
      <w:pPr>
        <w:ind w:left="4320"/>
      </w:pPr>
      <w:r w:rsidRPr="00B34484">
        <w:t>Columbus, Ohio 43215-3485</w:t>
      </w:r>
    </w:p>
    <w:p w14:paraId="00E1BDF9" w14:textId="77777777" w:rsidR="00627DB7" w:rsidRDefault="00627DB7" w:rsidP="00627DB7">
      <w:pPr>
        <w:ind w:left="4320"/>
        <w:rPr>
          <w:szCs w:val="24"/>
        </w:rPr>
      </w:pPr>
      <w:r>
        <w:rPr>
          <w:szCs w:val="24"/>
        </w:rPr>
        <w:t>Telephone: (614) 466-9567 (Grady direct)</w:t>
      </w:r>
    </w:p>
    <w:p w14:paraId="6F419999" w14:textId="77777777" w:rsidR="00627DB7" w:rsidRDefault="00627DB7" w:rsidP="00627DB7">
      <w:pPr>
        <w:ind w:left="4320"/>
        <w:rPr>
          <w:szCs w:val="24"/>
        </w:rPr>
      </w:pPr>
      <w:r>
        <w:t xml:space="preserve">Telephone: (614) </w:t>
      </w:r>
      <w:r>
        <w:rPr>
          <w:szCs w:val="24"/>
        </w:rPr>
        <w:t>466-7964 (Etter direct)</w:t>
      </w:r>
    </w:p>
    <w:p w14:paraId="42AE7FDD" w14:textId="6B8B631D" w:rsidR="00627DB7" w:rsidRDefault="00CD02B6" w:rsidP="00627DB7">
      <w:pPr>
        <w:ind w:left="4320"/>
        <w:rPr>
          <w:szCs w:val="24"/>
        </w:rPr>
      </w:pPr>
      <w:hyperlink r:id="rId16" w:history="1">
        <w:r w:rsidR="00627DB7" w:rsidRPr="00DA712B">
          <w:rPr>
            <w:rStyle w:val="Hyperlink"/>
            <w:szCs w:val="24"/>
          </w:rPr>
          <w:t>Maureen.grady@occ.ohio.gov</w:t>
        </w:r>
      </w:hyperlink>
    </w:p>
    <w:p w14:paraId="3D5F2C0A" w14:textId="6E62B3E8" w:rsidR="00627DB7" w:rsidRDefault="00CD02B6" w:rsidP="00627DB7">
      <w:pPr>
        <w:ind w:left="4320"/>
        <w:rPr>
          <w:szCs w:val="24"/>
        </w:rPr>
      </w:pPr>
      <w:hyperlink r:id="rId17" w:history="1">
        <w:r w:rsidR="00627DB7" w:rsidRPr="00CD43F6">
          <w:rPr>
            <w:rStyle w:val="Hyperlink"/>
            <w:szCs w:val="24"/>
          </w:rPr>
          <w:t>Terry.etter@occ.ohio.gov</w:t>
        </w:r>
      </w:hyperlink>
    </w:p>
    <w:p w14:paraId="1F3EC5D9" w14:textId="567363A1" w:rsidR="009D6B05" w:rsidRPr="00D623D0" w:rsidRDefault="00627DB7" w:rsidP="00562248">
      <w:pPr>
        <w:jc w:val="center"/>
        <w:rPr>
          <w:szCs w:val="24"/>
        </w:rPr>
      </w:pPr>
      <w:r>
        <w:rPr>
          <w:b/>
          <w:bCs/>
          <w:u w:val="single"/>
        </w:rPr>
        <w:br w:type="page"/>
      </w:r>
      <w:r w:rsidR="009D6B05">
        <w:rPr>
          <w:b/>
          <w:bCs/>
          <w:u w:val="single"/>
        </w:rPr>
        <w:t>CERTIFICATE OF SERVICE</w:t>
      </w:r>
    </w:p>
    <w:p w14:paraId="4638EAF4" w14:textId="04E940C0" w:rsidR="009D6B05" w:rsidRDefault="009D6B05">
      <w:pPr>
        <w:spacing w:line="480" w:lineRule="atLeast"/>
      </w:pPr>
      <w:r>
        <w:tab/>
        <w:t xml:space="preserve">I hereby certify that a copy of the foregoing </w:t>
      </w:r>
      <w:r w:rsidR="00F73EA5">
        <w:t xml:space="preserve">Motion </w:t>
      </w:r>
      <w:r>
        <w:t xml:space="preserve">was served on the persons stated below via </w:t>
      </w:r>
      <w:r w:rsidR="00746C80">
        <w:t>electronic service</w:t>
      </w:r>
      <w:r>
        <w:t xml:space="preserve"> this </w:t>
      </w:r>
      <w:r w:rsidR="006574AB">
        <w:t>2</w:t>
      </w:r>
      <w:r w:rsidR="006574AB" w:rsidRPr="006574AB">
        <w:rPr>
          <w:vertAlign w:val="superscript"/>
        </w:rPr>
        <w:t>nd</w:t>
      </w:r>
      <w:r w:rsidR="006574AB">
        <w:t xml:space="preserve"> </w:t>
      </w:r>
      <w:r>
        <w:t xml:space="preserve">day of </w:t>
      </w:r>
      <w:r w:rsidR="009158F8">
        <w:t>September</w:t>
      </w:r>
      <w:r>
        <w:t xml:space="preserve"> 201</w:t>
      </w:r>
      <w:r w:rsidR="009158F8">
        <w:t>4</w:t>
      </w:r>
      <w:r>
        <w:t>.</w:t>
      </w:r>
    </w:p>
    <w:p w14:paraId="109A6A4F" w14:textId="77777777" w:rsidR="009D6B05" w:rsidRDefault="009D6B05">
      <w:pPr>
        <w:tabs>
          <w:tab w:val="left" w:pos="4320"/>
        </w:tabs>
      </w:pPr>
    </w:p>
    <w:p w14:paraId="0EED201C" w14:textId="77777777" w:rsidR="009D6B05" w:rsidRDefault="009D6B05">
      <w:pPr>
        <w:tabs>
          <w:tab w:val="left" w:pos="4320"/>
        </w:tabs>
      </w:pPr>
    </w:p>
    <w:p w14:paraId="39F5899F" w14:textId="77777777" w:rsidR="009D6B05" w:rsidRDefault="009D6B05">
      <w:pPr>
        <w:tabs>
          <w:tab w:val="left" w:pos="4320"/>
        </w:tabs>
      </w:pPr>
    </w:p>
    <w:p w14:paraId="1BAD5C20" w14:textId="09598B3B" w:rsidR="009D6B05" w:rsidRDefault="009D6B05">
      <w:pPr>
        <w:tabs>
          <w:tab w:val="left" w:pos="4320"/>
        </w:tabs>
        <w:rPr>
          <w:u w:val="single"/>
        </w:rPr>
      </w:pPr>
      <w:r>
        <w:rPr>
          <w:szCs w:val="24"/>
        </w:rPr>
        <w:tab/>
      </w:r>
      <w:r w:rsidR="00884CD9">
        <w:rPr>
          <w:i/>
          <w:szCs w:val="24"/>
          <w:u w:val="single"/>
        </w:rPr>
        <w:t>/s/</w:t>
      </w:r>
      <w:r w:rsidR="00EC0C7D">
        <w:rPr>
          <w:i/>
          <w:szCs w:val="24"/>
          <w:u w:val="single"/>
        </w:rPr>
        <w:t xml:space="preserve"> Maureen R. Grady</w:t>
      </w:r>
      <w:r w:rsidR="00884CD9">
        <w:rPr>
          <w:i/>
          <w:szCs w:val="24"/>
          <w:u w:val="single"/>
        </w:rPr>
        <w:tab/>
      </w:r>
      <w:r w:rsidR="00884CD9">
        <w:rPr>
          <w:i/>
          <w:szCs w:val="24"/>
          <w:u w:val="single"/>
        </w:rPr>
        <w:tab/>
      </w:r>
      <w:r w:rsidR="00884CD9">
        <w:rPr>
          <w:i/>
          <w:szCs w:val="24"/>
          <w:u w:val="single"/>
        </w:rPr>
        <w:tab/>
      </w:r>
      <w:r>
        <w:rPr>
          <w:u w:val="single"/>
        </w:rPr>
        <w:t> </w:t>
      </w:r>
    </w:p>
    <w:p w14:paraId="64B3F66A" w14:textId="65FDE96B" w:rsidR="009D6B05" w:rsidRDefault="007F2258">
      <w:pPr>
        <w:tabs>
          <w:tab w:val="left" w:pos="4320"/>
        </w:tabs>
        <w:ind w:left="4320"/>
        <w:rPr>
          <w:szCs w:val="24"/>
        </w:rPr>
      </w:pPr>
      <w:r>
        <w:rPr>
          <w:szCs w:val="24"/>
        </w:rPr>
        <w:t>Maureen R. Grady</w:t>
      </w:r>
    </w:p>
    <w:p w14:paraId="67012296" w14:textId="77777777" w:rsidR="009D6B05" w:rsidRDefault="009D6B05">
      <w:pPr>
        <w:tabs>
          <w:tab w:val="left" w:pos="4320"/>
        </w:tabs>
      </w:pPr>
      <w:r>
        <w:tab/>
        <w:t>Assistant Consumers’ Counsel</w:t>
      </w:r>
    </w:p>
    <w:p w14:paraId="3198CBC7" w14:textId="77777777" w:rsidR="009D6B05" w:rsidRDefault="009D6B05">
      <w:pPr>
        <w:pStyle w:val="CommentSubject"/>
      </w:pPr>
    </w:p>
    <w:p w14:paraId="0785841B" w14:textId="77777777" w:rsidR="00461543" w:rsidRDefault="00461543" w:rsidP="00461543">
      <w:pPr>
        <w:jc w:val="center"/>
        <w:rPr>
          <w:b/>
        </w:rPr>
      </w:pPr>
      <w:r>
        <w:rPr>
          <w:b/>
        </w:rPr>
        <w:t>SERVICE LIST</w:t>
      </w:r>
    </w:p>
    <w:p w14:paraId="2829BF33" w14:textId="77777777" w:rsidR="00461543" w:rsidRDefault="00461543" w:rsidP="00461543">
      <w:pPr>
        <w:rPr>
          <w:u w:val="single"/>
        </w:rPr>
      </w:pPr>
    </w:p>
    <w:p w14:paraId="2C17545E" w14:textId="77777777" w:rsidR="00EC0C7D" w:rsidRPr="00EC0C7D" w:rsidRDefault="00EC0C7D" w:rsidP="00EC0C7D">
      <w:pPr>
        <w:jc w:val="both"/>
        <w:rPr>
          <w:b/>
          <w:bCs/>
        </w:rPr>
      </w:pPr>
    </w:p>
    <w:tbl>
      <w:tblPr>
        <w:tblW w:w="0" w:type="auto"/>
        <w:tblLook w:val="01E0" w:firstRow="1" w:lastRow="1" w:firstColumn="1" w:lastColumn="1" w:noHBand="0" w:noVBand="0"/>
      </w:tblPr>
      <w:tblGrid>
        <w:gridCol w:w="4428"/>
        <w:gridCol w:w="4428"/>
      </w:tblGrid>
      <w:tr w:rsidR="00EC0C7D" w:rsidRPr="00EC0C7D" w14:paraId="08CD7CE0" w14:textId="77777777" w:rsidTr="00536735">
        <w:tc>
          <w:tcPr>
            <w:tcW w:w="4428" w:type="dxa"/>
            <w:shd w:val="clear" w:color="auto" w:fill="auto"/>
          </w:tcPr>
          <w:p w14:paraId="160C7557" w14:textId="3546AA8C" w:rsidR="00EC0C7D" w:rsidRPr="00EC0C7D" w:rsidRDefault="00CD02B6" w:rsidP="00EC0C7D">
            <w:pPr>
              <w:autoSpaceDE w:val="0"/>
              <w:autoSpaceDN w:val="0"/>
              <w:adjustRightInd w:val="0"/>
              <w:rPr>
                <w:bCs/>
                <w:szCs w:val="24"/>
              </w:rPr>
            </w:pPr>
            <w:hyperlink r:id="rId18" w:history="1">
              <w:r w:rsidR="00EC0C7D" w:rsidRPr="00EC0C7D">
                <w:rPr>
                  <w:bCs/>
                  <w:color w:val="0000FF"/>
                  <w:szCs w:val="24"/>
                  <w:u w:val="single"/>
                </w:rPr>
                <w:t>William.wright@puc.state.oh.us</w:t>
              </w:r>
            </w:hyperlink>
          </w:p>
          <w:p w14:paraId="76FE4040" w14:textId="6279295A" w:rsidR="00EC0C7D" w:rsidRPr="00EC0C7D" w:rsidRDefault="00CD02B6" w:rsidP="00EC0C7D">
            <w:pPr>
              <w:autoSpaceDE w:val="0"/>
              <w:autoSpaceDN w:val="0"/>
              <w:adjustRightInd w:val="0"/>
              <w:rPr>
                <w:szCs w:val="24"/>
              </w:rPr>
            </w:pPr>
            <w:hyperlink r:id="rId19" w:history="1">
              <w:r w:rsidR="00EC0C7D" w:rsidRPr="00EC0C7D">
                <w:rPr>
                  <w:color w:val="0000FF"/>
                  <w:szCs w:val="24"/>
                  <w:u w:val="single"/>
                </w:rPr>
                <w:t>dboehm@BKLlawfirm.com</w:t>
              </w:r>
            </w:hyperlink>
          </w:p>
          <w:p w14:paraId="12F3D98E" w14:textId="51D05B2B" w:rsidR="00EC0C7D" w:rsidRPr="00EC0C7D" w:rsidRDefault="00CD02B6" w:rsidP="00EC0C7D">
            <w:pPr>
              <w:autoSpaceDE w:val="0"/>
              <w:autoSpaceDN w:val="0"/>
              <w:adjustRightInd w:val="0"/>
              <w:rPr>
                <w:szCs w:val="24"/>
              </w:rPr>
            </w:pPr>
            <w:hyperlink r:id="rId20" w:history="1">
              <w:r w:rsidR="00EC0C7D" w:rsidRPr="00EC0C7D">
                <w:rPr>
                  <w:color w:val="0000FF"/>
                  <w:szCs w:val="24"/>
                  <w:u w:val="single"/>
                </w:rPr>
                <w:t>mkurtz@BKL1awfirm.com</w:t>
              </w:r>
            </w:hyperlink>
          </w:p>
          <w:p w14:paraId="2FEDCB44" w14:textId="3FFE639F" w:rsidR="00EC0C7D" w:rsidRPr="00EC0C7D" w:rsidRDefault="00CD02B6" w:rsidP="00EC0C7D">
            <w:pPr>
              <w:autoSpaceDE w:val="0"/>
              <w:autoSpaceDN w:val="0"/>
              <w:adjustRightInd w:val="0"/>
              <w:rPr>
                <w:szCs w:val="24"/>
              </w:rPr>
            </w:pPr>
            <w:hyperlink r:id="rId21" w:history="1">
              <w:r w:rsidR="005A0DEF" w:rsidRPr="00C62826">
                <w:rPr>
                  <w:rStyle w:val="Hyperlink"/>
                  <w:szCs w:val="24"/>
                </w:rPr>
                <w:t>jkylercohn@BKLlawfirm.com</w:t>
              </w:r>
            </w:hyperlink>
          </w:p>
          <w:p w14:paraId="509BCFC3" w14:textId="32D1CEAB" w:rsidR="00EC0C7D" w:rsidRPr="00EC0C7D" w:rsidRDefault="00CD02B6" w:rsidP="00EC0C7D">
            <w:pPr>
              <w:autoSpaceDE w:val="0"/>
              <w:autoSpaceDN w:val="0"/>
              <w:adjustRightInd w:val="0"/>
              <w:rPr>
                <w:szCs w:val="24"/>
              </w:rPr>
            </w:pPr>
            <w:hyperlink r:id="rId22" w:history="1">
              <w:r w:rsidR="00EC0C7D" w:rsidRPr="00EC0C7D">
                <w:rPr>
                  <w:color w:val="0000FF"/>
                  <w:szCs w:val="24"/>
                  <w:u w:val="single"/>
                </w:rPr>
                <w:t>Bojko@carpenterlipps.com</w:t>
              </w:r>
            </w:hyperlink>
          </w:p>
          <w:p w14:paraId="047E4070" w14:textId="46E39994" w:rsidR="00EC0C7D" w:rsidRPr="00EC0C7D" w:rsidRDefault="00CD02B6" w:rsidP="00EC0C7D">
            <w:pPr>
              <w:autoSpaceDE w:val="0"/>
              <w:autoSpaceDN w:val="0"/>
              <w:adjustRightInd w:val="0"/>
              <w:rPr>
                <w:szCs w:val="24"/>
              </w:rPr>
            </w:pPr>
            <w:hyperlink r:id="rId23" w:history="1">
              <w:r w:rsidR="00EC0C7D" w:rsidRPr="00EC0C7D">
                <w:rPr>
                  <w:color w:val="0000FF"/>
                  <w:szCs w:val="24"/>
                  <w:u w:val="single"/>
                </w:rPr>
                <w:t>hussey@carpenterlipps.com</w:t>
              </w:r>
            </w:hyperlink>
          </w:p>
          <w:p w14:paraId="7A7ABEEF" w14:textId="2609869E" w:rsidR="00EC0C7D" w:rsidRPr="00EC0C7D" w:rsidRDefault="00CD02B6" w:rsidP="00EC0C7D">
            <w:pPr>
              <w:autoSpaceDE w:val="0"/>
              <w:autoSpaceDN w:val="0"/>
              <w:adjustRightInd w:val="0"/>
              <w:rPr>
                <w:szCs w:val="24"/>
              </w:rPr>
            </w:pPr>
            <w:hyperlink r:id="rId24" w:history="1">
              <w:r w:rsidR="00EC0C7D" w:rsidRPr="00EC0C7D">
                <w:rPr>
                  <w:color w:val="0000FF"/>
                  <w:szCs w:val="24"/>
                  <w:u w:val="single"/>
                </w:rPr>
                <w:t>mohler@carpenterlipps.com</w:t>
              </w:r>
            </w:hyperlink>
          </w:p>
          <w:p w14:paraId="51FBC425" w14:textId="77777777" w:rsidR="00EC0C7D" w:rsidRPr="00EC0C7D" w:rsidRDefault="00EC0C7D" w:rsidP="00EC0C7D">
            <w:pPr>
              <w:autoSpaceDE w:val="0"/>
              <w:autoSpaceDN w:val="0"/>
              <w:adjustRightInd w:val="0"/>
              <w:rPr>
                <w:bCs/>
                <w:szCs w:val="24"/>
              </w:rPr>
            </w:pPr>
          </w:p>
          <w:p w14:paraId="42A099E1" w14:textId="77777777" w:rsidR="00EC0C7D" w:rsidRPr="00EC0C7D" w:rsidRDefault="00EC0C7D" w:rsidP="00EC0C7D">
            <w:pPr>
              <w:autoSpaceDE w:val="0"/>
              <w:autoSpaceDN w:val="0"/>
              <w:adjustRightInd w:val="0"/>
              <w:rPr>
                <w:bCs/>
                <w:szCs w:val="24"/>
              </w:rPr>
            </w:pPr>
          </w:p>
          <w:p w14:paraId="263C2FCC" w14:textId="77777777" w:rsidR="00EC0C7D" w:rsidRPr="00EC0C7D" w:rsidRDefault="00EC0C7D" w:rsidP="00EC0C7D">
            <w:pPr>
              <w:autoSpaceDE w:val="0"/>
              <w:autoSpaceDN w:val="0"/>
              <w:adjustRightInd w:val="0"/>
              <w:rPr>
                <w:color w:val="000000"/>
                <w:szCs w:val="24"/>
              </w:rPr>
            </w:pPr>
            <w:r w:rsidRPr="00EC0C7D">
              <w:rPr>
                <w:color w:val="000000"/>
                <w:szCs w:val="24"/>
              </w:rPr>
              <w:t>Attorney Examiners:</w:t>
            </w:r>
          </w:p>
          <w:p w14:paraId="6E025D87" w14:textId="77777777" w:rsidR="00EC0C7D" w:rsidRPr="00EC0C7D" w:rsidRDefault="00EC0C7D" w:rsidP="00EC0C7D">
            <w:pPr>
              <w:autoSpaceDE w:val="0"/>
              <w:autoSpaceDN w:val="0"/>
              <w:adjustRightInd w:val="0"/>
              <w:rPr>
                <w:color w:val="000000"/>
                <w:szCs w:val="24"/>
              </w:rPr>
            </w:pPr>
          </w:p>
          <w:p w14:paraId="6BCAFBA0" w14:textId="630FAFD9" w:rsidR="00EC0C7D" w:rsidRPr="00EC0C7D" w:rsidRDefault="00CD02B6" w:rsidP="00EC0C7D">
            <w:pPr>
              <w:autoSpaceDE w:val="0"/>
              <w:autoSpaceDN w:val="0"/>
              <w:adjustRightInd w:val="0"/>
              <w:rPr>
                <w:color w:val="000000"/>
                <w:szCs w:val="24"/>
              </w:rPr>
            </w:pPr>
            <w:hyperlink r:id="rId25" w:history="1">
              <w:r w:rsidR="00EC0C7D" w:rsidRPr="00EC0C7D">
                <w:rPr>
                  <w:color w:val="0000FF"/>
                  <w:szCs w:val="24"/>
                  <w:u w:val="single"/>
                </w:rPr>
                <w:t>Sarah.parrot@puc.state.oh.us</w:t>
              </w:r>
            </w:hyperlink>
          </w:p>
          <w:p w14:paraId="6524256E" w14:textId="07A51DEE" w:rsidR="00EC0C7D" w:rsidRPr="00EC0C7D" w:rsidRDefault="00CD02B6" w:rsidP="00EC0C7D">
            <w:pPr>
              <w:autoSpaceDE w:val="0"/>
              <w:autoSpaceDN w:val="0"/>
              <w:adjustRightInd w:val="0"/>
              <w:rPr>
                <w:color w:val="000000"/>
                <w:szCs w:val="24"/>
              </w:rPr>
            </w:pPr>
            <w:hyperlink r:id="rId26" w:history="1">
              <w:r w:rsidR="00EC0C7D" w:rsidRPr="00EC0C7D">
                <w:rPr>
                  <w:color w:val="0000FF"/>
                  <w:szCs w:val="24"/>
                  <w:u w:val="single"/>
                </w:rPr>
                <w:t>Greta.see@puc.state.oh.us</w:t>
              </w:r>
            </w:hyperlink>
          </w:p>
          <w:p w14:paraId="36BCD3FD" w14:textId="77777777" w:rsidR="00EC0C7D" w:rsidRPr="00EC0C7D" w:rsidRDefault="00EC0C7D" w:rsidP="00EC0C7D">
            <w:pPr>
              <w:autoSpaceDE w:val="0"/>
              <w:autoSpaceDN w:val="0"/>
              <w:adjustRightInd w:val="0"/>
              <w:rPr>
                <w:bCs/>
                <w:szCs w:val="24"/>
              </w:rPr>
            </w:pPr>
          </w:p>
        </w:tc>
        <w:tc>
          <w:tcPr>
            <w:tcW w:w="4428" w:type="dxa"/>
            <w:shd w:val="clear" w:color="auto" w:fill="auto"/>
          </w:tcPr>
          <w:p w14:paraId="051D6163" w14:textId="3BCDCC25" w:rsidR="00EC0C7D" w:rsidRPr="00EC0C7D" w:rsidRDefault="00CD02B6" w:rsidP="00EC0C7D">
            <w:pPr>
              <w:autoSpaceDE w:val="0"/>
              <w:autoSpaceDN w:val="0"/>
              <w:adjustRightInd w:val="0"/>
              <w:rPr>
                <w:color w:val="0000FF"/>
                <w:szCs w:val="24"/>
              </w:rPr>
            </w:pPr>
            <w:hyperlink r:id="rId27" w:history="1">
              <w:r w:rsidR="00EC0C7D" w:rsidRPr="00EC0C7D">
                <w:rPr>
                  <w:color w:val="0000FF"/>
                  <w:szCs w:val="24"/>
                  <w:u w:val="single"/>
                </w:rPr>
                <w:t>stnourse@aep.com</w:t>
              </w:r>
            </w:hyperlink>
          </w:p>
          <w:p w14:paraId="532DC996" w14:textId="011D7B5F" w:rsidR="00EC0C7D" w:rsidRPr="00EC0C7D" w:rsidRDefault="00CD02B6" w:rsidP="00EC0C7D">
            <w:pPr>
              <w:autoSpaceDE w:val="0"/>
              <w:autoSpaceDN w:val="0"/>
              <w:adjustRightInd w:val="0"/>
              <w:rPr>
                <w:color w:val="0000FF"/>
                <w:szCs w:val="24"/>
              </w:rPr>
            </w:pPr>
            <w:hyperlink r:id="rId28" w:history="1">
              <w:r w:rsidR="00EC0C7D" w:rsidRPr="00EC0C7D">
                <w:rPr>
                  <w:color w:val="0000FF"/>
                  <w:szCs w:val="24"/>
                  <w:u w:val="single"/>
                </w:rPr>
                <w:t>mjsatterwhite@aep.com</w:t>
              </w:r>
            </w:hyperlink>
          </w:p>
          <w:p w14:paraId="1E9B694B" w14:textId="3846E2C5" w:rsidR="00EC0C7D" w:rsidRPr="00EC0C7D" w:rsidRDefault="00CD02B6" w:rsidP="00EC0C7D">
            <w:pPr>
              <w:autoSpaceDE w:val="0"/>
              <w:autoSpaceDN w:val="0"/>
              <w:adjustRightInd w:val="0"/>
              <w:rPr>
                <w:color w:val="0000FF"/>
                <w:szCs w:val="24"/>
              </w:rPr>
            </w:pPr>
            <w:hyperlink r:id="rId29" w:history="1">
              <w:r w:rsidR="00EC0C7D" w:rsidRPr="00EC0C7D">
                <w:rPr>
                  <w:color w:val="0000FF"/>
                  <w:szCs w:val="24"/>
                  <w:u w:val="single"/>
                </w:rPr>
                <w:t>ricks@ohanet.org</w:t>
              </w:r>
            </w:hyperlink>
          </w:p>
          <w:p w14:paraId="4B232801" w14:textId="568AEEE7" w:rsidR="00EC0C7D" w:rsidRPr="00EC0C7D" w:rsidRDefault="00CD02B6" w:rsidP="00EC0C7D">
            <w:pPr>
              <w:autoSpaceDE w:val="0"/>
              <w:autoSpaceDN w:val="0"/>
              <w:adjustRightInd w:val="0"/>
              <w:rPr>
                <w:color w:val="0000FF"/>
                <w:szCs w:val="24"/>
              </w:rPr>
            </w:pPr>
            <w:hyperlink r:id="rId30" w:history="1">
              <w:r w:rsidR="00EC0C7D" w:rsidRPr="00EC0C7D">
                <w:rPr>
                  <w:color w:val="0000FF"/>
                  <w:szCs w:val="24"/>
                  <w:u w:val="single"/>
                </w:rPr>
                <w:t>tobrien@bricker.com</w:t>
              </w:r>
            </w:hyperlink>
          </w:p>
          <w:p w14:paraId="1EC28C53" w14:textId="23C3E939" w:rsidR="00EC0C7D" w:rsidRPr="00EC0C7D" w:rsidRDefault="00CD02B6" w:rsidP="00EC0C7D">
            <w:pPr>
              <w:autoSpaceDE w:val="0"/>
              <w:autoSpaceDN w:val="0"/>
              <w:adjustRightInd w:val="0"/>
              <w:rPr>
                <w:szCs w:val="24"/>
              </w:rPr>
            </w:pPr>
            <w:hyperlink r:id="rId31" w:history="1">
              <w:r w:rsidR="00EC0C7D" w:rsidRPr="00EC0C7D">
                <w:rPr>
                  <w:color w:val="0000FF"/>
                  <w:szCs w:val="24"/>
                  <w:u w:val="single"/>
                </w:rPr>
                <w:t>sam@mwncmh.com</w:t>
              </w:r>
            </w:hyperlink>
          </w:p>
          <w:p w14:paraId="288E1D74" w14:textId="46052CDC" w:rsidR="00EC0C7D" w:rsidRPr="00EC0C7D" w:rsidRDefault="00CD02B6" w:rsidP="00EC0C7D">
            <w:pPr>
              <w:autoSpaceDE w:val="0"/>
              <w:autoSpaceDN w:val="0"/>
              <w:adjustRightInd w:val="0"/>
              <w:rPr>
                <w:szCs w:val="24"/>
              </w:rPr>
            </w:pPr>
            <w:hyperlink r:id="rId32" w:history="1">
              <w:r w:rsidR="00EC0C7D" w:rsidRPr="00EC0C7D">
                <w:rPr>
                  <w:color w:val="0000FF"/>
                  <w:szCs w:val="24"/>
                  <w:u w:val="single"/>
                </w:rPr>
                <w:t>fdarr@mwncmh.com</w:t>
              </w:r>
            </w:hyperlink>
          </w:p>
          <w:p w14:paraId="6F0CA1B0" w14:textId="2E5AEDBE" w:rsidR="00EC0C7D" w:rsidRPr="00EC0C7D" w:rsidRDefault="00CD02B6" w:rsidP="00EC0C7D">
            <w:pPr>
              <w:autoSpaceDE w:val="0"/>
              <w:autoSpaceDN w:val="0"/>
              <w:adjustRightInd w:val="0"/>
              <w:rPr>
                <w:szCs w:val="24"/>
              </w:rPr>
            </w:pPr>
            <w:hyperlink r:id="rId33" w:history="1">
              <w:r w:rsidR="00EC0C7D" w:rsidRPr="00EC0C7D">
                <w:rPr>
                  <w:color w:val="0000FF"/>
                  <w:szCs w:val="24"/>
                  <w:u w:val="single"/>
                </w:rPr>
                <w:t>mpritchard@mwncmh.com</w:t>
              </w:r>
            </w:hyperlink>
          </w:p>
          <w:p w14:paraId="52A3BFC4" w14:textId="77777777" w:rsidR="00EC0C7D" w:rsidRPr="00EC0C7D" w:rsidRDefault="00EC0C7D" w:rsidP="00EC0C7D">
            <w:pPr>
              <w:autoSpaceDE w:val="0"/>
              <w:autoSpaceDN w:val="0"/>
              <w:adjustRightInd w:val="0"/>
              <w:rPr>
                <w:szCs w:val="24"/>
              </w:rPr>
            </w:pPr>
          </w:p>
          <w:p w14:paraId="6F00B285" w14:textId="77777777" w:rsidR="00EC0C7D" w:rsidRPr="00EC0C7D" w:rsidRDefault="00EC0C7D" w:rsidP="00EC0C7D">
            <w:pPr>
              <w:jc w:val="both"/>
              <w:rPr>
                <w:bCs/>
                <w:szCs w:val="24"/>
              </w:rPr>
            </w:pPr>
          </w:p>
        </w:tc>
      </w:tr>
    </w:tbl>
    <w:p w14:paraId="4DCE71BA" w14:textId="77777777" w:rsidR="009D6B05" w:rsidRDefault="009D6B05">
      <w:pPr>
        <w:pStyle w:val="CommentText"/>
      </w:pPr>
    </w:p>
    <w:sectPr w:rsidR="009D6B05" w:rsidSect="00461543">
      <w:pgSz w:w="12240" w:h="15840"/>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7A495" w14:textId="77777777" w:rsidR="006C7F11" w:rsidRDefault="006C7F11">
      <w:r>
        <w:separator/>
      </w:r>
    </w:p>
  </w:endnote>
  <w:endnote w:type="continuationSeparator" w:id="0">
    <w:p w14:paraId="795B17DA" w14:textId="77777777" w:rsidR="006C7F11" w:rsidRDefault="006C7F11">
      <w:r>
        <w:continuationSeparator/>
      </w:r>
    </w:p>
  </w:endnote>
  <w:endnote w:type="continuationNotice" w:id="1">
    <w:p w14:paraId="703F8F22" w14:textId="77777777" w:rsidR="006C7F11" w:rsidRDefault="006C7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DB1A9" w14:textId="77777777" w:rsidR="00282B93" w:rsidRDefault="00282B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38E7" w14:textId="77777777" w:rsidR="004C6EC0" w:rsidRPr="004C6EC0" w:rsidRDefault="004C6EC0">
    <w:pPr>
      <w:pStyle w:val="Footer"/>
      <w:jc w:val="center"/>
      <w:rPr>
        <w:sz w:val="24"/>
        <w:szCs w:val="24"/>
      </w:rPr>
    </w:pPr>
    <w:r w:rsidRPr="004C6EC0">
      <w:rPr>
        <w:sz w:val="24"/>
        <w:szCs w:val="24"/>
      </w:rPr>
      <w:fldChar w:fldCharType="begin"/>
    </w:r>
    <w:r w:rsidRPr="004C6EC0">
      <w:rPr>
        <w:sz w:val="24"/>
        <w:szCs w:val="24"/>
      </w:rPr>
      <w:instrText xml:space="preserve"> PAGE   \* MERGEFORMAT </w:instrText>
    </w:r>
    <w:r w:rsidRPr="004C6EC0">
      <w:rPr>
        <w:sz w:val="24"/>
        <w:szCs w:val="24"/>
      </w:rPr>
      <w:fldChar w:fldCharType="separate"/>
    </w:r>
    <w:r w:rsidR="00CD02B6">
      <w:rPr>
        <w:noProof/>
        <w:sz w:val="24"/>
        <w:szCs w:val="24"/>
      </w:rPr>
      <w:t>2</w:t>
    </w:r>
    <w:r w:rsidRPr="004C6EC0">
      <w:rPr>
        <w:noProof/>
        <w:sz w:val="24"/>
        <w:szCs w:val="24"/>
      </w:rPr>
      <w:fldChar w:fldCharType="end"/>
    </w:r>
  </w:p>
  <w:p w14:paraId="6A3ED2AD" w14:textId="77777777" w:rsidR="004C6EC0" w:rsidRDefault="004C6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4D589" w14:textId="77777777" w:rsidR="00282B93" w:rsidRDefault="00282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31459" w14:textId="77777777" w:rsidR="006C7F11" w:rsidRDefault="006C7F11">
      <w:r>
        <w:separator/>
      </w:r>
    </w:p>
  </w:footnote>
  <w:footnote w:type="continuationSeparator" w:id="0">
    <w:p w14:paraId="002ACCC5" w14:textId="77777777" w:rsidR="006C7F11" w:rsidRDefault="006C7F11">
      <w:r>
        <w:continuationSeparator/>
      </w:r>
    </w:p>
  </w:footnote>
  <w:footnote w:type="continuationNotice" w:id="1">
    <w:p w14:paraId="2E6CFD83" w14:textId="77777777" w:rsidR="006C7F11" w:rsidRDefault="006C7F11"/>
  </w:footnote>
  <w:footnote w:id="2">
    <w:p w14:paraId="088BDDFC" w14:textId="732CCF5A" w:rsidR="002A7671" w:rsidRDefault="002A7671">
      <w:pPr>
        <w:pStyle w:val="FootnoteText"/>
      </w:pPr>
      <w:r>
        <w:rPr>
          <w:rStyle w:val="FootnoteReference"/>
        </w:rPr>
        <w:footnoteRef/>
      </w:r>
      <w:r>
        <w:t xml:space="preserve"> Industrial Energy Users-Ohio’s Motion to Dismiss (August 19, 2014).</w:t>
      </w:r>
    </w:p>
  </w:footnote>
  <w:footnote w:id="3">
    <w:p w14:paraId="16342151" w14:textId="179F849F" w:rsidR="003D3040" w:rsidRDefault="003D3040">
      <w:pPr>
        <w:pStyle w:val="FootnoteText"/>
      </w:pPr>
      <w:r>
        <w:rPr>
          <w:rStyle w:val="FootnoteReference"/>
        </w:rPr>
        <w:footnoteRef/>
      </w:r>
      <w:r>
        <w:t xml:space="preserve"> Ohio Adm. Code 4901-1-12.  The legal director, the deputy legal director or the attorney examiner may rule, in writing, upon any procedural motion or other procedural matter.  Ohio Adm. Code 4901-1-14.</w:t>
      </w:r>
    </w:p>
  </w:footnote>
  <w:footnote w:id="4">
    <w:p w14:paraId="083E70F0" w14:textId="533700AE" w:rsidR="00222D3B" w:rsidRDefault="00222D3B">
      <w:pPr>
        <w:pStyle w:val="FootnoteText"/>
      </w:pPr>
      <w:r>
        <w:rPr>
          <w:rStyle w:val="FootnoteReference"/>
        </w:rPr>
        <w:footnoteRef/>
      </w:r>
      <w:r>
        <w:t xml:space="preserve"> See Application (July 8, 2014).</w:t>
      </w:r>
    </w:p>
  </w:footnote>
  <w:footnote w:id="5">
    <w:p w14:paraId="6B6B8F0A" w14:textId="54C6CA07" w:rsidR="00627DB7" w:rsidRDefault="00627DB7" w:rsidP="00627DB7">
      <w:pPr>
        <w:pStyle w:val="FootnoteText"/>
        <w:spacing w:after="120"/>
      </w:pPr>
      <w:r>
        <w:rPr>
          <w:rStyle w:val="FootnoteReference"/>
        </w:rPr>
        <w:footnoteRef/>
      </w:r>
      <w:r>
        <w:t xml:space="preserve"> </w:t>
      </w:r>
      <w:r w:rsidRPr="0038032C">
        <w:rPr>
          <w:i/>
        </w:rPr>
        <w:t>In the Matter of the Commission Review of the Capacity Charges of Ohio Power Company and Columbus Southern Power Company</w:t>
      </w:r>
      <w:r>
        <w:t>, Case No. 10-2929-EL-UNC, Opinion and Order (July 2, 2012)</w:t>
      </w:r>
      <w:r w:rsidR="00477728">
        <w:t xml:space="preserve"> (“Capacity Charge Order”)</w:t>
      </w:r>
      <w:r>
        <w:t xml:space="preserve">.    </w:t>
      </w:r>
    </w:p>
  </w:footnote>
  <w:footnote w:id="6">
    <w:p w14:paraId="185B6C9E" w14:textId="5388DB22" w:rsidR="00627DB7" w:rsidRDefault="00627DB7" w:rsidP="00627DB7">
      <w:pPr>
        <w:pStyle w:val="FootnoteText"/>
        <w:spacing w:after="120"/>
      </w:pPr>
      <w:r>
        <w:rPr>
          <w:rStyle w:val="FootnoteReference"/>
        </w:rPr>
        <w:footnoteRef/>
      </w:r>
      <w:r>
        <w:t xml:space="preserve"> The PUCO subsequently ordered that </w:t>
      </w:r>
      <w:r w:rsidR="002A7671">
        <w:t xml:space="preserve">AEP </w:t>
      </w:r>
      <w:r>
        <w:t xml:space="preserve">Ohio could collect the deferred capacity costs from all customers, though a non-bypassable charge.  </w:t>
      </w:r>
      <w:r w:rsidRPr="0038032C">
        <w:rPr>
          <w:i/>
        </w:rPr>
        <w:t xml:space="preserve">In the Matter of the </w:t>
      </w:r>
      <w:r w:rsidRPr="00886275">
        <w:rPr>
          <w:i/>
        </w:rPr>
        <w:t>Application of Columbus</w:t>
      </w:r>
      <w:r w:rsidRPr="0038032C">
        <w:rPr>
          <w:i/>
        </w:rPr>
        <w:t xml:space="preserve"> Southern Power Company a</w:t>
      </w:r>
      <w:r>
        <w:rPr>
          <w:i/>
        </w:rPr>
        <w:t>n</w:t>
      </w:r>
      <w:r w:rsidRPr="0038032C">
        <w:rPr>
          <w:i/>
        </w:rPr>
        <w:t xml:space="preserve">d Ohio Power </w:t>
      </w:r>
      <w:r>
        <w:rPr>
          <w:i/>
        </w:rPr>
        <w:t>C</w:t>
      </w:r>
      <w:r w:rsidRPr="00886275">
        <w:rPr>
          <w:i/>
        </w:rPr>
        <w:t>ompany for Aut</w:t>
      </w:r>
      <w:r>
        <w:rPr>
          <w:i/>
        </w:rPr>
        <w:t>hority</w:t>
      </w:r>
      <w:r w:rsidRPr="00886275">
        <w:rPr>
          <w:i/>
        </w:rPr>
        <w:t xml:space="preserve"> to Establis</w:t>
      </w:r>
      <w:r w:rsidRPr="0038032C">
        <w:rPr>
          <w:i/>
        </w:rPr>
        <w:t>h a St</w:t>
      </w:r>
      <w:r>
        <w:rPr>
          <w:i/>
        </w:rPr>
        <w:t>a</w:t>
      </w:r>
      <w:r w:rsidRPr="0038032C">
        <w:rPr>
          <w:i/>
        </w:rPr>
        <w:t xml:space="preserve">ndard Service Offer Pursuant to </w:t>
      </w:r>
      <w:r>
        <w:rPr>
          <w:i/>
        </w:rPr>
        <w:t>4</w:t>
      </w:r>
      <w:r w:rsidRPr="0038032C">
        <w:rPr>
          <w:i/>
        </w:rPr>
        <w:t>928.143</w:t>
      </w:r>
      <w:r>
        <w:rPr>
          <w:i/>
        </w:rPr>
        <w:t xml:space="preserve">, </w:t>
      </w:r>
      <w:r w:rsidRPr="0038032C">
        <w:rPr>
          <w:i/>
        </w:rPr>
        <w:t>Ohio Rev. Code, in the Form of an Electric Security Plan</w:t>
      </w:r>
      <w:r>
        <w:t>, Case No. 11-346-EL-SSO, Opinion and Order (Aug</w:t>
      </w:r>
      <w:r w:rsidR="00222D3B">
        <w:t>ust</w:t>
      </w:r>
      <w:r>
        <w:t xml:space="preserve"> 8, 2012)</w:t>
      </w:r>
      <w:r w:rsidR="00477728">
        <w:t xml:space="preserve"> (“ESP 2 Order”) at 37</w:t>
      </w:r>
      <w:r>
        <w:t xml:space="preserve">. </w:t>
      </w:r>
    </w:p>
  </w:footnote>
  <w:footnote w:id="7">
    <w:p w14:paraId="64CBB34A" w14:textId="07B9A4E2" w:rsidR="00627DB7" w:rsidRDefault="00627DB7">
      <w:pPr>
        <w:pStyle w:val="FootnoteText"/>
      </w:pPr>
      <w:r>
        <w:rPr>
          <w:rStyle w:val="FootnoteReference"/>
        </w:rPr>
        <w:footnoteRef/>
      </w:r>
      <w:r>
        <w:t xml:space="preserve"> The Retail Stability Rider Charge is due to expire at the end of AEP Ohio’s current electric security plan on May 31, 2015.  </w:t>
      </w:r>
      <w:r w:rsidR="00222D3B">
        <w:t>See id. at 36.</w:t>
      </w:r>
    </w:p>
  </w:footnote>
  <w:footnote w:id="8">
    <w:p w14:paraId="3126F42D" w14:textId="57340DC4" w:rsidR="004570D3" w:rsidRDefault="004570D3">
      <w:pPr>
        <w:pStyle w:val="FootnoteText"/>
      </w:pPr>
      <w:r>
        <w:rPr>
          <w:rStyle w:val="FootnoteReference"/>
        </w:rPr>
        <w:footnoteRef/>
      </w:r>
      <w:r>
        <w:t xml:space="preserve"> See Application, Exhibit A.</w:t>
      </w:r>
    </w:p>
  </w:footnote>
  <w:footnote w:id="9">
    <w:p w14:paraId="597FDD11" w14:textId="1B9CE467" w:rsidR="004570D3" w:rsidRDefault="004570D3">
      <w:pPr>
        <w:pStyle w:val="FootnoteText"/>
      </w:pPr>
      <w:r>
        <w:rPr>
          <w:rStyle w:val="FootnoteReference"/>
        </w:rPr>
        <w:footnoteRef/>
      </w:r>
      <w:r>
        <w:t xml:space="preserve"> See id.</w:t>
      </w:r>
    </w:p>
  </w:footnote>
  <w:footnote w:id="10">
    <w:p w14:paraId="7445F8CB" w14:textId="69414815" w:rsidR="00477728" w:rsidRDefault="00477728">
      <w:pPr>
        <w:pStyle w:val="FootnoteText"/>
      </w:pPr>
      <w:r>
        <w:rPr>
          <w:rStyle w:val="FootnoteReference"/>
        </w:rPr>
        <w:footnoteRef/>
      </w:r>
      <w:r>
        <w:t xml:space="preserve"> Capacity Charge Order at 23.</w:t>
      </w:r>
    </w:p>
  </w:footnote>
  <w:footnote w:id="11">
    <w:p w14:paraId="5F22486D" w14:textId="49AF3D5D" w:rsidR="00910E77" w:rsidRDefault="00910E77">
      <w:pPr>
        <w:pStyle w:val="FootnoteText"/>
      </w:pPr>
      <w:r>
        <w:rPr>
          <w:rStyle w:val="FootnoteReference"/>
        </w:rPr>
        <w:footnoteRef/>
      </w:r>
      <w:r>
        <w:t xml:space="preserve"> See ESP 2 Order at 12-13.</w:t>
      </w:r>
    </w:p>
  </w:footnote>
  <w:footnote w:id="12">
    <w:p w14:paraId="0F5A4914" w14:textId="16F70244" w:rsidR="004543EC" w:rsidRDefault="004543EC">
      <w:pPr>
        <w:pStyle w:val="FootnoteText"/>
      </w:pPr>
      <w:r>
        <w:rPr>
          <w:rStyle w:val="FootnoteReference"/>
        </w:rPr>
        <w:footnoteRef/>
      </w:r>
      <w:r>
        <w:t xml:space="preserve"> </w:t>
      </w:r>
      <w:r w:rsidRPr="0038032C">
        <w:rPr>
          <w:i/>
        </w:rPr>
        <w:t>In the Matter of the Commission Review of the Capacity Charges of Ohio Power Company and Columbus Southern Power Company</w:t>
      </w:r>
      <w:r w:rsidR="00FB3DAD">
        <w:t xml:space="preserve">, </w:t>
      </w:r>
      <w:r w:rsidR="00FB3DAD" w:rsidRPr="00920D2B">
        <w:t>Supreme Court Case No</w:t>
      </w:r>
      <w:r w:rsidR="00FB3DAD">
        <w:t>s</w:t>
      </w:r>
      <w:r w:rsidR="00FB3DAD" w:rsidRPr="00920D2B">
        <w:t xml:space="preserve">. </w:t>
      </w:r>
      <w:r w:rsidR="00FB3DAD">
        <w:t>20</w:t>
      </w:r>
      <w:r w:rsidR="00FB3DAD" w:rsidRPr="00920D2B">
        <w:t>1</w:t>
      </w:r>
      <w:r w:rsidR="00FB3DAD">
        <w:t>2</w:t>
      </w:r>
      <w:r w:rsidR="00FB3DAD" w:rsidRPr="00920D2B">
        <w:t>-</w:t>
      </w:r>
      <w:r w:rsidR="00FB3DAD">
        <w:t>2098 and 2013-0228;</w:t>
      </w:r>
      <w:r>
        <w:t xml:space="preserve"> </w:t>
      </w:r>
      <w:r w:rsidRPr="004543EC">
        <w:rPr>
          <w:i/>
        </w:rPr>
        <w:t>In the Matter of the Application of Columbus Southern Power Company and Ohio Power Company for Authority to Establish a Standard Service Offer Pursuant to §4928.143, Ohio Rev. Code, in the Form of an Electric Security Plan</w:t>
      </w:r>
      <w:r>
        <w:t xml:space="preserve">, </w:t>
      </w:r>
      <w:r w:rsidRPr="00920D2B">
        <w:t xml:space="preserve">Supreme Court Case No. </w:t>
      </w:r>
      <w:r>
        <w:t>20</w:t>
      </w:r>
      <w:r w:rsidRPr="00920D2B">
        <w:t>13-0521</w:t>
      </w:r>
      <w:r>
        <w:t>.</w:t>
      </w:r>
    </w:p>
  </w:footnote>
  <w:footnote w:id="13">
    <w:p w14:paraId="679BB329" w14:textId="5EAFF9F0" w:rsidR="009158F8" w:rsidRDefault="009158F8">
      <w:pPr>
        <w:pStyle w:val="FootnoteText"/>
      </w:pPr>
      <w:r>
        <w:rPr>
          <w:rStyle w:val="FootnoteReference"/>
        </w:rPr>
        <w:footnoteRef/>
      </w:r>
      <w:r>
        <w:t xml:space="preserve"> ESP 2 Order at 36.</w:t>
      </w:r>
    </w:p>
  </w:footnote>
  <w:footnote w:id="14">
    <w:p w14:paraId="51142973" w14:textId="59B50E3C" w:rsidR="009158F8" w:rsidRDefault="009158F8">
      <w:pPr>
        <w:pStyle w:val="FootnoteText"/>
      </w:pPr>
      <w:r>
        <w:rPr>
          <w:rStyle w:val="FootnoteReference"/>
        </w:rPr>
        <w:footnoteRef/>
      </w:r>
      <w:r>
        <w:t xml:space="preserve"> Application at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B76B6" w14:textId="10B02BEA" w:rsidR="00E33A5A" w:rsidRDefault="00CD02B6">
    <w:pPr>
      <w:pStyle w:val="Header"/>
    </w:pPr>
    <w:r>
      <w:rPr>
        <w:noProof/>
      </w:rPr>
      <w:pict w14:anchorId="39125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82530" o:spid="_x0000_s2050" type="#_x0000_t136" style="position:absolute;margin-left:0;margin-top:0;width:522.05pt;height:87pt;rotation:315;z-index:-251658752;mso-position-horizontal:center;mso-position-horizontal-relative:margin;mso-position-vertical:center;mso-position-vertical-relative:margin" o:allowincell="f" fillcolor="#ffc000" stroked="f">
          <v:fill opacity=".5"/>
          <v:textpath style="font-family:&quot;Times New Roman&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42FC8" w14:textId="77777777" w:rsidR="00282B93" w:rsidRDefault="00282B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456" w14:textId="77777777" w:rsidR="00282B93" w:rsidRDefault="00282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A6AAD4"/>
    <w:lvl w:ilvl="0">
      <w:start w:val="1"/>
      <w:numFmt w:val="decimal"/>
      <w:lvlText w:val="%1."/>
      <w:lvlJc w:val="left"/>
      <w:pPr>
        <w:tabs>
          <w:tab w:val="num" w:pos="1800"/>
        </w:tabs>
        <w:ind w:left="1800" w:hanging="360"/>
      </w:pPr>
    </w:lvl>
  </w:abstractNum>
  <w:abstractNum w:abstractNumId="1">
    <w:nsid w:val="FFFFFF7D"/>
    <w:multiLevelType w:val="singleLevel"/>
    <w:tmpl w:val="7C6CDEE8"/>
    <w:lvl w:ilvl="0">
      <w:start w:val="1"/>
      <w:numFmt w:val="decimal"/>
      <w:lvlText w:val="%1."/>
      <w:lvlJc w:val="left"/>
      <w:pPr>
        <w:tabs>
          <w:tab w:val="num" w:pos="1440"/>
        </w:tabs>
        <w:ind w:left="1440" w:hanging="360"/>
      </w:pPr>
    </w:lvl>
  </w:abstractNum>
  <w:abstractNum w:abstractNumId="2">
    <w:nsid w:val="FFFFFF7E"/>
    <w:multiLevelType w:val="singleLevel"/>
    <w:tmpl w:val="ACE08C14"/>
    <w:lvl w:ilvl="0">
      <w:start w:val="1"/>
      <w:numFmt w:val="decimal"/>
      <w:lvlText w:val="%1."/>
      <w:lvlJc w:val="left"/>
      <w:pPr>
        <w:tabs>
          <w:tab w:val="num" w:pos="1080"/>
        </w:tabs>
        <w:ind w:left="1080" w:hanging="360"/>
      </w:pPr>
    </w:lvl>
  </w:abstractNum>
  <w:abstractNum w:abstractNumId="3">
    <w:nsid w:val="FFFFFF7F"/>
    <w:multiLevelType w:val="singleLevel"/>
    <w:tmpl w:val="5C3CBDD6"/>
    <w:lvl w:ilvl="0">
      <w:start w:val="1"/>
      <w:numFmt w:val="decimal"/>
      <w:lvlText w:val="%1."/>
      <w:lvlJc w:val="left"/>
      <w:pPr>
        <w:tabs>
          <w:tab w:val="num" w:pos="720"/>
        </w:tabs>
        <w:ind w:left="720" w:hanging="360"/>
      </w:pPr>
    </w:lvl>
  </w:abstractNum>
  <w:abstractNum w:abstractNumId="4">
    <w:nsid w:val="FFFFFF80"/>
    <w:multiLevelType w:val="singleLevel"/>
    <w:tmpl w:val="AF5605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04E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42BD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1ED7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E0F408"/>
    <w:lvl w:ilvl="0">
      <w:start w:val="1"/>
      <w:numFmt w:val="decimal"/>
      <w:lvlText w:val="%1."/>
      <w:lvlJc w:val="left"/>
      <w:pPr>
        <w:tabs>
          <w:tab w:val="num" w:pos="360"/>
        </w:tabs>
        <w:ind w:left="360" w:hanging="360"/>
      </w:pPr>
    </w:lvl>
  </w:abstractNum>
  <w:abstractNum w:abstractNumId="9">
    <w:nsid w:val="FFFFFF89"/>
    <w:multiLevelType w:val="singleLevel"/>
    <w:tmpl w:val="75B6270E"/>
    <w:lvl w:ilvl="0">
      <w:start w:val="1"/>
      <w:numFmt w:val="bullet"/>
      <w:lvlText w:val=""/>
      <w:lvlJc w:val="left"/>
      <w:pPr>
        <w:tabs>
          <w:tab w:val="num" w:pos="360"/>
        </w:tabs>
        <w:ind w:left="360" w:hanging="360"/>
      </w:pPr>
      <w:rPr>
        <w:rFonts w:ascii="Symbol" w:hAnsi="Symbol" w:hint="default"/>
      </w:rPr>
    </w:lvl>
  </w:abstractNum>
  <w:abstractNum w:abstractNumId="10">
    <w:nsid w:val="03284FD3"/>
    <w:multiLevelType w:val="hybridMultilevel"/>
    <w:tmpl w:val="5C00BE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1E3D83"/>
    <w:multiLevelType w:val="hybridMultilevel"/>
    <w:tmpl w:val="F9AA8B3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241240"/>
    <w:multiLevelType w:val="hybridMultilevel"/>
    <w:tmpl w:val="92646C06"/>
    <w:lvl w:ilvl="0" w:tplc="7DD61B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A93B29"/>
    <w:multiLevelType w:val="hybridMultilevel"/>
    <w:tmpl w:val="ECD8C0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54C5B"/>
    <w:multiLevelType w:val="hybridMultilevel"/>
    <w:tmpl w:val="2176F0D6"/>
    <w:lvl w:ilvl="0" w:tplc="A83EF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804A5"/>
    <w:multiLevelType w:val="hybridMultilevel"/>
    <w:tmpl w:val="0C464DFC"/>
    <w:lvl w:ilvl="0" w:tplc="2EE2E7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B34FC2"/>
    <w:multiLevelType w:val="hybridMultilevel"/>
    <w:tmpl w:val="F9AA8B3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41392"/>
    <w:multiLevelType w:val="hybridMultilevel"/>
    <w:tmpl w:val="4E4ABE66"/>
    <w:lvl w:ilvl="0" w:tplc="982C54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0E416D"/>
    <w:multiLevelType w:val="hybridMultilevel"/>
    <w:tmpl w:val="511AE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582483"/>
    <w:multiLevelType w:val="hybridMultilevel"/>
    <w:tmpl w:val="6A6E7BA4"/>
    <w:lvl w:ilvl="0" w:tplc="CC0C74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2E46BA8"/>
    <w:multiLevelType w:val="hybridMultilevel"/>
    <w:tmpl w:val="0AA247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14"/>
  </w:num>
  <w:num w:numId="5">
    <w:abstractNumId w:val="19"/>
  </w:num>
  <w:num w:numId="6">
    <w:abstractNumId w:val="17"/>
  </w:num>
  <w:num w:numId="7">
    <w:abstractNumId w:val="15"/>
  </w:num>
  <w:num w:numId="8">
    <w:abstractNumId w:val="12"/>
  </w:num>
  <w:num w:numId="9">
    <w:abstractNumId w:val="13"/>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4100"/>
    <w:rsid w:val="000014DB"/>
    <w:rsid w:val="000044E6"/>
    <w:rsid w:val="0000570C"/>
    <w:rsid w:val="00006AB4"/>
    <w:rsid w:val="000122B2"/>
    <w:rsid w:val="00014821"/>
    <w:rsid w:val="0003236D"/>
    <w:rsid w:val="000328D5"/>
    <w:rsid w:val="000348CE"/>
    <w:rsid w:val="00045E08"/>
    <w:rsid w:val="00047186"/>
    <w:rsid w:val="000472C5"/>
    <w:rsid w:val="00047E70"/>
    <w:rsid w:val="00051CAC"/>
    <w:rsid w:val="000603B9"/>
    <w:rsid w:val="00061114"/>
    <w:rsid w:val="00063742"/>
    <w:rsid w:val="00072034"/>
    <w:rsid w:val="00075F35"/>
    <w:rsid w:val="00082C16"/>
    <w:rsid w:val="00087747"/>
    <w:rsid w:val="000A3F9A"/>
    <w:rsid w:val="000A56AE"/>
    <w:rsid w:val="000A649E"/>
    <w:rsid w:val="000B0176"/>
    <w:rsid w:val="000C3B8A"/>
    <w:rsid w:val="000D6317"/>
    <w:rsid w:val="000D6712"/>
    <w:rsid w:val="000F1325"/>
    <w:rsid w:val="000F6023"/>
    <w:rsid w:val="00134C4A"/>
    <w:rsid w:val="00135F48"/>
    <w:rsid w:val="00141B85"/>
    <w:rsid w:val="00145295"/>
    <w:rsid w:val="00145C53"/>
    <w:rsid w:val="00147E56"/>
    <w:rsid w:val="00157919"/>
    <w:rsid w:val="001627D2"/>
    <w:rsid w:val="001810E7"/>
    <w:rsid w:val="001A1ED1"/>
    <w:rsid w:val="001A680D"/>
    <w:rsid w:val="001B3D4A"/>
    <w:rsid w:val="001B60D5"/>
    <w:rsid w:val="001F0C8B"/>
    <w:rsid w:val="001F184E"/>
    <w:rsid w:val="001F3BC2"/>
    <w:rsid w:val="002116C9"/>
    <w:rsid w:val="0021203D"/>
    <w:rsid w:val="00214273"/>
    <w:rsid w:val="00222D3B"/>
    <w:rsid w:val="00225FE9"/>
    <w:rsid w:val="00231F13"/>
    <w:rsid w:val="0023481E"/>
    <w:rsid w:val="00245910"/>
    <w:rsid w:val="002471B4"/>
    <w:rsid w:val="00250289"/>
    <w:rsid w:val="00254100"/>
    <w:rsid w:val="00260C3C"/>
    <w:rsid w:val="00263D74"/>
    <w:rsid w:val="00263F40"/>
    <w:rsid w:val="00282771"/>
    <w:rsid w:val="00282B93"/>
    <w:rsid w:val="00290ADD"/>
    <w:rsid w:val="002969DB"/>
    <w:rsid w:val="002A1389"/>
    <w:rsid w:val="002A2CCA"/>
    <w:rsid w:val="002A4C5E"/>
    <w:rsid w:val="002A7671"/>
    <w:rsid w:val="002A7D4E"/>
    <w:rsid w:val="002B6293"/>
    <w:rsid w:val="002B67FA"/>
    <w:rsid w:val="002C27D1"/>
    <w:rsid w:val="002C6CA8"/>
    <w:rsid w:val="002D3969"/>
    <w:rsid w:val="002D5961"/>
    <w:rsid w:val="002E1443"/>
    <w:rsid w:val="002F076F"/>
    <w:rsid w:val="00302BF7"/>
    <w:rsid w:val="00315F09"/>
    <w:rsid w:val="003369D3"/>
    <w:rsid w:val="003407F3"/>
    <w:rsid w:val="00355E52"/>
    <w:rsid w:val="00356D84"/>
    <w:rsid w:val="00364991"/>
    <w:rsid w:val="00367351"/>
    <w:rsid w:val="003722A8"/>
    <w:rsid w:val="00373EB3"/>
    <w:rsid w:val="00383E37"/>
    <w:rsid w:val="003858C2"/>
    <w:rsid w:val="00391FC3"/>
    <w:rsid w:val="00392BE2"/>
    <w:rsid w:val="003B1E56"/>
    <w:rsid w:val="003D3040"/>
    <w:rsid w:val="003F5C39"/>
    <w:rsid w:val="003F5D72"/>
    <w:rsid w:val="00400631"/>
    <w:rsid w:val="00400EA3"/>
    <w:rsid w:val="0040278F"/>
    <w:rsid w:val="004244CA"/>
    <w:rsid w:val="004248F5"/>
    <w:rsid w:val="00435807"/>
    <w:rsid w:val="00440071"/>
    <w:rsid w:val="0044225D"/>
    <w:rsid w:val="00447AE2"/>
    <w:rsid w:val="004543EC"/>
    <w:rsid w:val="00455A3A"/>
    <w:rsid w:val="00456446"/>
    <w:rsid w:val="004570D3"/>
    <w:rsid w:val="00461543"/>
    <w:rsid w:val="00462F7B"/>
    <w:rsid w:val="00477728"/>
    <w:rsid w:val="0048652D"/>
    <w:rsid w:val="004A03EB"/>
    <w:rsid w:val="004A05E8"/>
    <w:rsid w:val="004A2631"/>
    <w:rsid w:val="004A2710"/>
    <w:rsid w:val="004B1327"/>
    <w:rsid w:val="004B1ADF"/>
    <w:rsid w:val="004B6026"/>
    <w:rsid w:val="004C5203"/>
    <w:rsid w:val="004C6EC0"/>
    <w:rsid w:val="004D2C9F"/>
    <w:rsid w:val="004E2351"/>
    <w:rsid w:val="004E50C5"/>
    <w:rsid w:val="004F2297"/>
    <w:rsid w:val="00501C60"/>
    <w:rsid w:val="00501F8F"/>
    <w:rsid w:val="005046B3"/>
    <w:rsid w:val="00507238"/>
    <w:rsid w:val="0051128C"/>
    <w:rsid w:val="00530EE7"/>
    <w:rsid w:val="00532461"/>
    <w:rsid w:val="00542C27"/>
    <w:rsid w:val="005516A3"/>
    <w:rsid w:val="00562248"/>
    <w:rsid w:val="005769F9"/>
    <w:rsid w:val="00581CFF"/>
    <w:rsid w:val="005851FE"/>
    <w:rsid w:val="00586FCF"/>
    <w:rsid w:val="00593365"/>
    <w:rsid w:val="005975E2"/>
    <w:rsid w:val="005A0DEF"/>
    <w:rsid w:val="005A24FF"/>
    <w:rsid w:val="005A7A31"/>
    <w:rsid w:val="005B0882"/>
    <w:rsid w:val="005C1307"/>
    <w:rsid w:val="005C4DC5"/>
    <w:rsid w:val="005D122F"/>
    <w:rsid w:val="005E2BE8"/>
    <w:rsid w:val="005E48CA"/>
    <w:rsid w:val="005E731D"/>
    <w:rsid w:val="005F1C95"/>
    <w:rsid w:val="005F6B74"/>
    <w:rsid w:val="00602D9E"/>
    <w:rsid w:val="00604F3F"/>
    <w:rsid w:val="006153DA"/>
    <w:rsid w:val="00626B70"/>
    <w:rsid w:val="00627DB7"/>
    <w:rsid w:val="00653705"/>
    <w:rsid w:val="00654E17"/>
    <w:rsid w:val="006574AB"/>
    <w:rsid w:val="00672DC2"/>
    <w:rsid w:val="00691C31"/>
    <w:rsid w:val="0069273E"/>
    <w:rsid w:val="006A097F"/>
    <w:rsid w:val="006B0ACC"/>
    <w:rsid w:val="006B0F7E"/>
    <w:rsid w:val="006B4301"/>
    <w:rsid w:val="006B4BE4"/>
    <w:rsid w:val="006B754F"/>
    <w:rsid w:val="006C66B8"/>
    <w:rsid w:val="006C7F11"/>
    <w:rsid w:val="006D0C2E"/>
    <w:rsid w:val="006D4722"/>
    <w:rsid w:val="006F1E67"/>
    <w:rsid w:val="006F25E3"/>
    <w:rsid w:val="00700861"/>
    <w:rsid w:val="00700A4D"/>
    <w:rsid w:val="00701DBD"/>
    <w:rsid w:val="00706867"/>
    <w:rsid w:val="007145DB"/>
    <w:rsid w:val="0071591C"/>
    <w:rsid w:val="00717328"/>
    <w:rsid w:val="0072091D"/>
    <w:rsid w:val="0072213F"/>
    <w:rsid w:val="00722786"/>
    <w:rsid w:val="00746154"/>
    <w:rsid w:val="00746C80"/>
    <w:rsid w:val="00750E4B"/>
    <w:rsid w:val="00753313"/>
    <w:rsid w:val="00760DA9"/>
    <w:rsid w:val="0077057B"/>
    <w:rsid w:val="00771774"/>
    <w:rsid w:val="00780DC9"/>
    <w:rsid w:val="0079138E"/>
    <w:rsid w:val="007A004B"/>
    <w:rsid w:val="007B0960"/>
    <w:rsid w:val="007B7EB1"/>
    <w:rsid w:val="007C55DA"/>
    <w:rsid w:val="007D22E5"/>
    <w:rsid w:val="007E4821"/>
    <w:rsid w:val="007F2258"/>
    <w:rsid w:val="00800BC2"/>
    <w:rsid w:val="00806350"/>
    <w:rsid w:val="008220C0"/>
    <w:rsid w:val="00822814"/>
    <w:rsid w:val="008403E0"/>
    <w:rsid w:val="008559C9"/>
    <w:rsid w:val="00872390"/>
    <w:rsid w:val="00872795"/>
    <w:rsid w:val="00875A32"/>
    <w:rsid w:val="00877E20"/>
    <w:rsid w:val="00884544"/>
    <w:rsid w:val="00884CD9"/>
    <w:rsid w:val="008901E8"/>
    <w:rsid w:val="0089067D"/>
    <w:rsid w:val="00892D54"/>
    <w:rsid w:val="008A23F9"/>
    <w:rsid w:val="008A40E1"/>
    <w:rsid w:val="008A7A54"/>
    <w:rsid w:val="008A7F35"/>
    <w:rsid w:val="008C5E3C"/>
    <w:rsid w:val="008D2C5B"/>
    <w:rsid w:val="008D7090"/>
    <w:rsid w:val="008E5D5C"/>
    <w:rsid w:val="008F11E8"/>
    <w:rsid w:val="008F4477"/>
    <w:rsid w:val="0090384D"/>
    <w:rsid w:val="00910E77"/>
    <w:rsid w:val="009158F8"/>
    <w:rsid w:val="00921DCA"/>
    <w:rsid w:val="00923DF9"/>
    <w:rsid w:val="0093184C"/>
    <w:rsid w:val="00944D0B"/>
    <w:rsid w:val="00960482"/>
    <w:rsid w:val="00985727"/>
    <w:rsid w:val="00994600"/>
    <w:rsid w:val="00995F38"/>
    <w:rsid w:val="00995FAC"/>
    <w:rsid w:val="00996E31"/>
    <w:rsid w:val="009B3697"/>
    <w:rsid w:val="009B66E0"/>
    <w:rsid w:val="009C3205"/>
    <w:rsid w:val="009C380C"/>
    <w:rsid w:val="009D1731"/>
    <w:rsid w:val="009D6B05"/>
    <w:rsid w:val="009E766B"/>
    <w:rsid w:val="009F428C"/>
    <w:rsid w:val="009F54A8"/>
    <w:rsid w:val="00A13BD8"/>
    <w:rsid w:val="00A340CE"/>
    <w:rsid w:val="00A401D8"/>
    <w:rsid w:val="00A50D25"/>
    <w:rsid w:val="00A53B95"/>
    <w:rsid w:val="00A6294D"/>
    <w:rsid w:val="00A645AA"/>
    <w:rsid w:val="00A76D08"/>
    <w:rsid w:val="00A81149"/>
    <w:rsid w:val="00A85185"/>
    <w:rsid w:val="00A9167C"/>
    <w:rsid w:val="00A960D3"/>
    <w:rsid w:val="00A96E80"/>
    <w:rsid w:val="00AA6C49"/>
    <w:rsid w:val="00AC5338"/>
    <w:rsid w:val="00AE594F"/>
    <w:rsid w:val="00AE7F14"/>
    <w:rsid w:val="00B04B21"/>
    <w:rsid w:val="00B10C2F"/>
    <w:rsid w:val="00B11C7F"/>
    <w:rsid w:val="00B25673"/>
    <w:rsid w:val="00B34484"/>
    <w:rsid w:val="00B35B6A"/>
    <w:rsid w:val="00B50B46"/>
    <w:rsid w:val="00B51020"/>
    <w:rsid w:val="00B55596"/>
    <w:rsid w:val="00B77E77"/>
    <w:rsid w:val="00B913BF"/>
    <w:rsid w:val="00B91AAC"/>
    <w:rsid w:val="00B96B7E"/>
    <w:rsid w:val="00BB7DF3"/>
    <w:rsid w:val="00BC1D77"/>
    <w:rsid w:val="00BC5EB8"/>
    <w:rsid w:val="00BD18FB"/>
    <w:rsid w:val="00BE03F9"/>
    <w:rsid w:val="00BE06FC"/>
    <w:rsid w:val="00BE5DD6"/>
    <w:rsid w:val="00BF04AF"/>
    <w:rsid w:val="00BF5E46"/>
    <w:rsid w:val="00C13CCA"/>
    <w:rsid w:val="00C44DB6"/>
    <w:rsid w:val="00C531BD"/>
    <w:rsid w:val="00C61F1A"/>
    <w:rsid w:val="00C76E1C"/>
    <w:rsid w:val="00C85FE5"/>
    <w:rsid w:val="00C90AD2"/>
    <w:rsid w:val="00CD02B6"/>
    <w:rsid w:val="00CD1C57"/>
    <w:rsid w:val="00CE137A"/>
    <w:rsid w:val="00CE3B9B"/>
    <w:rsid w:val="00CE5A2F"/>
    <w:rsid w:val="00D1207E"/>
    <w:rsid w:val="00D122FF"/>
    <w:rsid w:val="00D16E8A"/>
    <w:rsid w:val="00D47F18"/>
    <w:rsid w:val="00D623D0"/>
    <w:rsid w:val="00D71564"/>
    <w:rsid w:val="00D77104"/>
    <w:rsid w:val="00D7731F"/>
    <w:rsid w:val="00D912DD"/>
    <w:rsid w:val="00D93AC2"/>
    <w:rsid w:val="00D94920"/>
    <w:rsid w:val="00DA7812"/>
    <w:rsid w:val="00DB0483"/>
    <w:rsid w:val="00DB5E0B"/>
    <w:rsid w:val="00DC7042"/>
    <w:rsid w:val="00DE73B2"/>
    <w:rsid w:val="00E03D6D"/>
    <w:rsid w:val="00E051D1"/>
    <w:rsid w:val="00E13858"/>
    <w:rsid w:val="00E17045"/>
    <w:rsid w:val="00E21F01"/>
    <w:rsid w:val="00E2225A"/>
    <w:rsid w:val="00E237B6"/>
    <w:rsid w:val="00E310E4"/>
    <w:rsid w:val="00E33A5A"/>
    <w:rsid w:val="00E37F8B"/>
    <w:rsid w:val="00E40131"/>
    <w:rsid w:val="00E40BEB"/>
    <w:rsid w:val="00E516AF"/>
    <w:rsid w:val="00E559C5"/>
    <w:rsid w:val="00E55C6F"/>
    <w:rsid w:val="00E756F5"/>
    <w:rsid w:val="00E91C6D"/>
    <w:rsid w:val="00EA1815"/>
    <w:rsid w:val="00EB3AC3"/>
    <w:rsid w:val="00EB7413"/>
    <w:rsid w:val="00EC0C7D"/>
    <w:rsid w:val="00EC1B8D"/>
    <w:rsid w:val="00ED0C03"/>
    <w:rsid w:val="00ED4644"/>
    <w:rsid w:val="00EE1E61"/>
    <w:rsid w:val="00EE3B39"/>
    <w:rsid w:val="00EE548E"/>
    <w:rsid w:val="00EF3F5D"/>
    <w:rsid w:val="00EF70AD"/>
    <w:rsid w:val="00F224C6"/>
    <w:rsid w:val="00F252AC"/>
    <w:rsid w:val="00F263FF"/>
    <w:rsid w:val="00F30222"/>
    <w:rsid w:val="00F35D11"/>
    <w:rsid w:val="00F445C6"/>
    <w:rsid w:val="00F4690F"/>
    <w:rsid w:val="00F46C83"/>
    <w:rsid w:val="00F50A5F"/>
    <w:rsid w:val="00F5515F"/>
    <w:rsid w:val="00F57612"/>
    <w:rsid w:val="00F70D93"/>
    <w:rsid w:val="00F73EA5"/>
    <w:rsid w:val="00F74802"/>
    <w:rsid w:val="00F759CE"/>
    <w:rsid w:val="00F829EC"/>
    <w:rsid w:val="00F85DC9"/>
    <w:rsid w:val="00F8733D"/>
    <w:rsid w:val="00FA28D4"/>
    <w:rsid w:val="00FB3DAD"/>
    <w:rsid w:val="00FC1D56"/>
    <w:rsid w:val="00FC4614"/>
    <w:rsid w:val="00FC70D9"/>
    <w:rsid w:val="00FD363F"/>
    <w:rsid w:val="00FD3F13"/>
    <w:rsid w:val="00FD4371"/>
    <w:rsid w:val="00FD6FFC"/>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484"/>
    <w:rPr>
      <w:sz w:val="24"/>
    </w:rPr>
  </w:style>
  <w:style w:type="paragraph" w:styleId="Heading1">
    <w:name w:val="heading 1"/>
    <w:basedOn w:val="Normal"/>
    <w:next w:val="Normal"/>
    <w:autoRedefine/>
    <w:qFormat/>
    <w:rsid w:val="00B34484"/>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B34484"/>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unhideWhenUsed/>
    <w:qFormat/>
    <w:rsid w:val="00B34484"/>
    <w:pPr>
      <w:keepNext/>
      <w:spacing w:after="240"/>
      <w:ind w:left="2160" w:hanging="720"/>
      <w:outlineLvl w:val="2"/>
    </w:pPr>
    <w:rPr>
      <w:rFonts w:ascii="Times New Roman Bold" w:hAnsi="Times New Roman 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pPr>
      <w:spacing w:before="120"/>
    </w:pPr>
    <w:rPr>
      <w:sz w:val="20"/>
    </w:rPr>
  </w:style>
  <w:style w:type="character" w:styleId="FootnoteReference">
    <w:name w:val="footnote reference"/>
    <w:aliases w:val="o,fr,Style 3,Style 13,Appel note de bas de p,Style 12,(NECG) Footnote Reference,Style 124"/>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caps">
    <w:name w:val="caps"/>
    <w:basedOn w:val="DefaultParagraphFont"/>
  </w:style>
  <w:style w:type="character" w:customStyle="1" w:styleId="FootnoteTextChar">
    <w:name w:val="Footnote Text Char"/>
    <w:aliases w:val="Footnote Text Char4 Char Char1,Footnote Text Char Char4 Char Char1,Footnote Text Char4 Char1 Char Char Char1,Footnote Text Char Char4 Char1 Char Char Char1,Footnote Text Char5 Char1 Char Char Char Char Char Char1,ALTS FOOTNOTE Char"/>
    <w:link w:val="FootnoteText"/>
    <w:uiPriority w:val="99"/>
    <w:locked/>
    <w:rPr>
      <w:lang w:val="en-US" w:eastAsia="en-US" w:bidi="ar-SA"/>
    </w:rPr>
  </w:style>
  <w:style w:type="paragraph" w:styleId="Date">
    <w:name w:val="Date"/>
    <w:basedOn w:val="Normal"/>
    <w:next w:val="Normal"/>
  </w:style>
  <w:style w:type="paragraph" w:styleId="ListParagraph">
    <w:name w:val="List Paragraph"/>
    <w:basedOn w:val="Normal"/>
    <w:uiPriority w:val="34"/>
    <w:qFormat/>
    <w:rsid w:val="00B913BF"/>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2"/>
    <w:uiPriority w:val="99"/>
    <w:semiHidden/>
    <w:locked/>
    <w:rsid w:val="002F076F"/>
    <w:rPr>
      <w:sz w:val="24"/>
      <w:szCs w:val="24"/>
      <w:lang w:val="en-US" w:eastAsia="en-US" w:bidi="ar-SA"/>
    </w:rPr>
  </w:style>
  <w:style w:type="character" w:customStyle="1" w:styleId="FooterChar">
    <w:name w:val="Footer Char"/>
    <w:link w:val="Footer"/>
    <w:uiPriority w:val="99"/>
    <w:rsid w:val="00B77E77"/>
  </w:style>
  <w:style w:type="character" w:customStyle="1" w:styleId="Heading3Char">
    <w:name w:val="Heading 3 Char"/>
    <w:link w:val="Heading3"/>
    <w:rsid w:val="00B34484"/>
    <w:rPr>
      <w:rFonts w:ascii="Times New Roman Bold" w:eastAsia="Times New Roman" w:hAnsi="Times New Roman Bold" w:cs="Times New Roman"/>
      <w:b/>
      <w:bCs/>
      <w:sz w:val="24"/>
      <w:szCs w:val="26"/>
    </w:rPr>
  </w:style>
  <w:style w:type="character" w:customStyle="1" w:styleId="BodyTextChar">
    <w:name w:val="Body Text Char"/>
    <w:link w:val="BodyText"/>
    <w:rsid w:val="00B34484"/>
    <w:rPr>
      <w:sz w:val="24"/>
    </w:rPr>
  </w:style>
  <w:style w:type="character" w:customStyle="1" w:styleId="BodyTextIndentChar">
    <w:name w:val="Body Text Indent Char"/>
    <w:link w:val="BodyTextIndent"/>
    <w:rsid w:val="00B34484"/>
    <w:rPr>
      <w:sz w:val="24"/>
    </w:rPr>
  </w:style>
  <w:style w:type="paragraph" w:styleId="TOC1">
    <w:name w:val="toc 1"/>
    <w:basedOn w:val="Normal"/>
    <w:next w:val="Normal"/>
    <w:autoRedefine/>
    <w:uiPriority w:val="39"/>
    <w:rsid w:val="00872390"/>
    <w:pPr>
      <w:tabs>
        <w:tab w:val="left" w:pos="720"/>
        <w:tab w:val="decimal" w:leader="dot" w:pos="8640"/>
      </w:tabs>
      <w:spacing w:after="120"/>
      <w:ind w:left="720" w:hanging="720"/>
    </w:pPr>
  </w:style>
  <w:style w:type="paragraph" w:styleId="TOC2">
    <w:name w:val="toc 2"/>
    <w:basedOn w:val="Normal"/>
    <w:next w:val="Normal"/>
    <w:autoRedefine/>
    <w:uiPriority w:val="39"/>
    <w:rsid w:val="00872390"/>
    <w:pPr>
      <w:tabs>
        <w:tab w:val="left" w:pos="720"/>
        <w:tab w:val="left" w:pos="1440"/>
        <w:tab w:val="decimal" w:leader="dot" w:pos="8640"/>
      </w:tabs>
      <w:spacing w:after="120"/>
      <w:ind w:left="1440" w:hanging="720"/>
    </w:pPr>
  </w:style>
  <w:style w:type="paragraph" w:styleId="TOC3">
    <w:name w:val="toc 3"/>
    <w:basedOn w:val="Normal"/>
    <w:next w:val="Normal"/>
    <w:autoRedefine/>
    <w:uiPriority w:val="39"/>
    <w:rsid w:val="00872390"/>
    <w:pPr>
      <w:tabs>
        <w:tab w:val="left" w:pos="720"/>
        <w:tab w:val="left" w:pos="1440"/>
        <w:tab w:val="decimal" w:leader="dot" w:pos="8640"/>
      </w:tabs>
      <w:spacing w:after="120"/>
      <w:ind w:left="2160" w:hanging="720"/>
    </w:pPr>
  </w:style>
  <w:style w:type="paragraph" w:styleId="Revision">
    <w:name w:val="Revision"/>
    <w:hidden/>
    <w:uiPriority w:val="99"/>
    <w:semiHidden/>
    <w:rsid w:val="008D2C5B"/>
    <w:rPr>
      <w:sz w:val="24"/>
    </w:rPr>
  </w:style>
  <w:style w:type="character" w:customStyle="1" w:styleId="term1">
    <w:name w:val="term1"/>
    <w:basedOn w:val="DefaultParagraphFont"/>
    <w:rsid w:val="00B96B7E"/>
    <w:rPr>
      <w:b/>
      <w:bCs/>
    </w:rPr>
  </w:style>
  <w:style w:type="character" w:customStyle="1" w:styleId="FootnoteTextChar1Char1">
    <w:name w:val="Footnote Text Char1 Char1"/>
    <w:aliases w:val="Footnote Text Char Char Char1,Footnote Text Char1 Char Char1 Char1,Footnote Text Char Char Char Char Char1,Footnote Text Char2 Char Char Char Char1 Char1,Footnote Text Char1 Char Char1 Char Char Char Char1"/>
    <w:semiHidden/>
    <w:locked/>
    <w:rsid w:val="00245910"/>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484"/>
    <w:rPr>
      <w:sz w:val="24"/>
    </w:rPr>
  </w:style>
  <w:style w:type="paragraph" w:styleId="Heading1">
    <w:name w:val="heading 1"/>
    <w:basedOn w:val="Normal"/>
    <w:next w:val="Normal"/>
    <w:autoRedefine/>
    <w:qFormat/>
    <w:rsid w:val="00B34484"/>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B34484"/>
    <w:pPr>
      <w:keepNext/>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link w:val="Heading3Char"/>
    <w:autoRedefine/>
    <w:unhideWhenUsed/>
    <w:qFormat/>
    <w:rsid w:val="00B34484"/>
    <w:pPr>
      <w:keepNext/>
      <w:spacing w:after="240"/>
      <w:ind w:left="2160" w:hanging="720"/>
      <w:outlineLvl w:val="2"/>
    </w:pPr>
    <w:rPr>
      <w:rFonts w:ascii="Times New Roman Bold" w:hAnsi="Times New Roman 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ALTS FOOTNOTE,fn"/>
    <w:basedOn w:val="Normal"/>
    <w:link w:val="FootnoteTextChar"/>
    <w:pPr>
      <w:spacing w:before="120"/>
    </w:pPr>
    <w:rPr>
      <w:sz w:val="20"/>
    </w:rPr>
  </w:style>
  <w:style w:type="character" w:styleId="FootnoteReference">
    <w:name w:val="footnote reference"/>
    <w:aliases w:val="o,fr,Style 3,Style 13,Appel note de bas de p,Style 12,(NECG) Footnote Reference,Style 124"/>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Header">
    <w:name w:val="header"/>
    <w:basedOn w:val="Normal"/>
    <w:pPr>
      <w:tabs>
        <w:tab w:val="center" w:pos="4320"/>
        <w:tab w:val="right" w:pos="8640"/>
      </w:tabs>
    </w:p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caps">
    <w:name w:val="caps"/>
    <w:basedOn w:val="DefaultParagraphFont"/>
  </w:style>
  <w:style w:type="character" w:customStyle="1" w:styleId="FootnoteTextChar">
    <w:name w:val="Footnote Text Char"/>
    <w:aliases w:val="Footnote Text Char4 Char Char1,Footnote Text Char Char4 Char Char1,Footnote Text Char4 Char1 Char Char Char1,Footnote Text Char Char4 Char1 Char Char Char1,Footnote Text Char5 Char1 Char Char Char Char Char Char1,ALTS FOOTNOTE Char"/>
    <w:link w:val="FootnoteText"/>
    <w:uiPriority w:val="99"/>
    <w:locked/>
    <w:rPr>
      <w:lang w:val="en-US" w:eastAsia="en-US" w:bidi="ar-SA"/>
    </w:rPr>
  </w:style>
  <w:style w:type="paragraph" w:styleId="Date">
    <w:name w:val="Date"/>
    <w:basedOn w:val="Normal"/>
    <w:next w:val="Normal"/>
  </w:style>
  <w:style w:type="paragraph" w:styleId="ListParagraph">
    <w:name w:val="List Paragraph"/>
    <w:basedOn w:val="Normal"/>
    <w:uiPriority w:val="34"/>
    <w:qFormat/>
    <w:rsid w:val="00B913BF"/>
    <w:pPr>
      <w:spacing w:after="200" w:line="276" w:lineRule="auto"/>
      <w:ind w:left="720"/>
      <w:contextualSpacing/>
    </w:pPr>
    <w:rPr>
      <w:rFonts w:ascii="Calibri" w:eastAsia="Calibri" w:hAnsi="Calibri"/>
      <w:sz w:val="22"/>
      <w:szCs w:val="22"/>
    </w:rPr>
  </w:style>
  <w:style w:type="character" w:customStyle="1" w:styleId="FootnoteTextChar1">
    <w:name w:val="Footnote Text Char1"/>
    <w:aliases w:val="Footnote Text Char4 Char Char,Footnote Text Char Char4 Char Char,Footnote Text Char4 Char1 Char Char Char,Footnote Text Char Char4 Char1 Char Char Char,Footnote Text Char5 Char1 Char Char Char Char Char Char,Footnote Text Char2 Char2"/>
    <w:uiPriority w:val="99"/>
    <w:semiHidden/>
    <w:locked/>
    <w:rsid w:val="002F076F"/>
    <w:rPr>
      <w:sz w:val="24"/>
      <w:szCs w:val="24"/>
      <w:lang w:val="en-US" w:eastAsia="en-US" w:bidi="ar-SA"/>
    </w:rPr>
  </w:style>
  <w:style w:type="character" w:customStyle="1" w:styleId="FooterChar">
    <w:name w:val="Footer Char"/>
    <w:link w:val="Footer"/>
    <w:uiPriority w:val="99"/>
    <w:rsid w:val="00B77E77"/>
  </w:style>
  <w:style w:type="character" w:customStyle="1" w:styleId="Heading3Char">
    <w:name w:val="Heading 3 Char"/>
    <w:link w:val="Heading3"/>
    <w:rsid w:val="00B34484"/>
    <w:rPr>
      <w:rFonts w:ascii="Times New Roman Bold" w:eastAsia="Times New Roman" w:hAnsi="Times New Roman Bold" w:cs="Times New Roman"/>
      <w:b/>
      <w:bCs/>
      <w:sz w:val="24"/>
      <w:szCs w:val="26"/>
    </w:rPr>
  </w:style>
  <w:style w:type="character" w:customStyle="1" w:styleId="BodyTextChar">
    <w:name w:val="Body Text Char"/>
    <w:link w:val="BodyText"/>
    <w:rsid w:val="00B34484"/>
    <w:rPr>
      <w:sz w:val="24"/>
    </w:rPr>
  </w:style>
  <w:style w:type="character" w:customStyle="1" w:styleId="BodyTextIndentChar">
    <w:name w:val="Body Text Indent Char"/>
    <w:link w:val="BodyTextIndent"/>
    <w:rsid w:val="00B34484"/>
    <w:rPr>
      <w:sz w:val="24"/>
    </w:rPr>
  </w:style>
  <w:style w:type="paragraph" w:styleId="TOC1">
    <w:name w:val="toc 1"/>
    <w:basedOn w:val="Normal"/>
    <w:next w:val="Normal"/>
    <w:autoRedefine/>
    <w:uiPriority w:val="39"/>
    <w:rsid w:val="00872390"/>
    <w:pPr>
      <w:tabs>
        <w:tab w:val="left" w:pos="720"/>
        <w:tab w:val="decimal" w:leader="dot" w:pos="8640"/>
      </w:tabs>
      <w:spacing w:after="120"/>
      <w:ind w:left="720" w:hanging="720"/>
    </w:pPr>
  </w:style>
  <w:style w:type="paragraph" w:styleId="TOC2">
    <w:name w:val="toc 2"/>
    <w:basedOn w:val="Normal"/>
    <w:next w:val="Normal"/>
    <w:autoRedefine/>
    <w:uiPriority w:val="39"/>
    <w:rsid w:val="00872390"/>
    <w:pPr>
      <w:tabs>
        <w:tab w:val="left" w:pos="720"/>
        <w:tab w:val="left" w:pos="1440"/>
        <w:tab w:val="decimal" w:leader="dot" w:pos="8640"/>
      </w:tabs>
      <w:spacing w:after="120"/>
      <w:ind w:left="1440" w:hanging="720"/>
    </w:pPr>
  </w:style>
  <w:style w:type="paragraph" w:styleId="TOC3">
    <w:name w:val="toc 3"/>
    <w:basedOn w:val="Normal"/>
    <w:next w:val="Normal"/>
    <w:autoRedefine/>
    <w:uiPriority w:val="39"/>
    <w:rsid w:val="00872390"/>
    <w:pPr>
      <w:tabs>
        <w:tab w:val="left" w:pos="720"/>
        <w:tab w:val="left" w:pos="1440"/>
        <w:tab w:val="decimal" w:leader="dot" w:pos="8640"/>
      </w:tabs>
      <w:spacing w:after="120"/>
      <w:ind w:left="2160" w:hanging="720"/>
    </w:pPr>
  </w:style>
  <w:style w:type="paragraph" w:styleId="Revision">
    <w:name w:val="Revision"/>
    <w:hidden/>
    <w:uiPriority w:val="99"/>
    <w:semiHidden/>
    <w:rsid w:val="008D2C5B"/>
    <w:rPr>
      <w:sz w:val="24"/>
    </w:rPr>
  </w:style>
  <w:style w:type="character" w:customStyle="1" w:styleId="term1">
    <w:name w:val="term1"/>
    <w:basedOn w:val="DefaultParagraphFont"/>
    <w:rsid w:val="00B96B7E"/>
    <w:rPr>
      <w:b/>
      <w:bCs/>
    </w:rPr>
  </w:style>
  <w:style w:type="character" w:customStyle="1" w:styleId="FootnoteTextChar1Char1">
    <w:name w:val="Footnote Text Char1 Char1"/>
    <w:aliases w:val="Footnote Text Char Char Char1,Footnote Text Char1 Char Char1 Char1,Footnote Text Char Char Char Char Char1,Footnote Text Char2 Char Char Char Char1 Char1,Footnote Text Char1 Char Char1 Char Char Char Char1"/>
    <w:semiHidden/>
    <w:locked/>
    <w:rsid w:val="00245910"/>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4587">
      <w:bodyDiv w:val="1"/>
      <w:marLeft w:val="0"/>
      <w:marRight w:val="0"/>
      <w:marTop w:val="0"/>
      <w:marBottom w:val="0"/>
      <w:divBdr>
        <w:top w:val="none" w:sz="0" w:space="0" w:color="auto"/>
        <w:left w:val="none" w:sz="0" w:space="0" w:color="auto"/>
        <w:bottom w:val="none" w:sz="0" w:space="0" w:color="auto"/>
        <w:right w:val="none" w:sz="0" w:space="0" w:color="auto"/>
      </w:divBdr>
    </w:div>
    <w:div w:id="323242531">
      <w:bodyDiv w:val="1"/>
      <w:marLeft w:val="0"/>
      <w:marRight w:val="0"/>
      <w:marTop w:val="0"/>
      <w:marBottom w:val="0"/>
      <w:divBdr>
        <w:top w:val="none" w:sz="0" w:space="0" w:color="auto"/>
        <w:left w:val="none" w:sz="0" w:space="0" w:color="auto"/>
        <w:bottom w:val="none" w:sz="0" w:space="0" w:color="auto"/>
        <w:right w:val="none" w:sz="0" w:space="0" w:color="auto"/>
      </w:divBdr>
    </w:div>
    <w:div w:id="567805267">
      <w:bodyDiv w:val="1"/>
      <w:marLeft w:val="0"/>
      <w:marRight w:val="0"/>
      <w:marTop w:val="0"/>
      <w:marBottom w:val="0"/>
      <w:divBdr>
        <w:top w:val="none" w:sz="0" w:space="0" w:color="auto"/>
        <w:left w:val="none" w:sz="0" w:space="0" w:color="auto"/>
        <w:bottom w:val="none" w:sz="0" w:space="0" w:color="auto"/>
        <w:right w:val="none" w:sz="0" w:space="0" w:color="auto"/>
      </w:divBdr>
    </w:div>
    <w:div w:id="673150621">
      <w:bodyDiv w:val="1"/>
      <w:marLeft w:val="48"/>
      <w:marRight w:val="48"/>
      <w:marTop w:val="48"/>
      <w:marBottom w:val="12"/>
      <w:divBdr>
        <w:top w:val="none" w:sz="0" w:space="0" w:color="auto"/>
        <w:left w:val="none" w:sz="0" w:space="0" w:color="auto"/>
        <w:bottom w:val="none" w:sz="0" w:space="0" w:color="auto"/>
        <w:right w:val="none" w:sz="0" w:space="0" w:color="auto"/>
      </w:divBdr>
      <w:divsChild>
        <w:div w:id="391739148">
          <w:marLeft w:val="0"/>
          <w:marRight w:val="0"/>
          <w:marTop w:val="0"/>
          <w:marBottom w:val="0"/>
          <w:divBdr>
            <w:top w:val="none" w:sz="0" w:space="0" w:color="auto"/>
            <w:left w:val="none" w:sz="0" w:space="0" w:color="auto"/>
            <w:bottom w:val="none" w:sz="0" w:space="0" w:color="auto"/>
            <w:right w:val="none" w:sz="0" w:space="0" w:color="auto"/>
          </w:divBdr>
        </w:div>
        <w:div w:id="429013977">
          <w:marLeft w:val="0"/>
          <w:marRight w:val="0"/>
          <w:marTop w:val="0"/>
          <w:marBottom w:val="0"/>
          <w:divBdr>
            <w:top w:val="none" w:sz="0" w:space="0" w:color="auto"/>
            <w:left w:val="none" w:sz="0" w:space="0" w:color="auto"/>
            <w:bottom w:val="none" w:sz="0" w:space="0" w:color="auto"/>
            <w:right w:val="none" w:sz="0" w:space="0" w:color="auto"/>
          </w:divBdr>
        </w:div>
        <w:div w:id="468982400">
          <w:marLeft w:val="0"/>
          <w:marRight w:val="0"/>
          <w:marTop w:val="0"/>
          <w:marBottom w:val="0"/>
          <w:divBdr>
            <w:top w:val="none" w:sz="0" w:space="0" w:color="auto"/>
            <w:left w:val="none" w:sz="0" w:space="0" w:color="auto"/>
            <w:bottom w:val="none" w:sz="0" w:space="0" w:color="auto"/>
            <w:right w:val="none" w:sz="0" w:space="0" w:color="auto"/>
          </w:divBdr>
        </w:div>
        <w:div w:id="713391440">
          <w:marLeft w:val="0"/>
          <w:marRight w:val="0"/>
          <w:marTop w:val="0"/>
          <w:marBottom w:val="0"/>
          <w:divBdr>
            <w:top w:val="none" w:sz="0" w:space="0" w:color="auto"/>
            <w:left w:val="none" w:sz="0" w:space="0" w:color="auto"/>
            <w:bottom w:val="none" w:sz="0" w:space="0" w:color="auto"/>
            <w:right w:val="none" w:sz="0" w:space="0" w:color="auto"/>
          </w:divBdr>
        </w:div>
        <w:div w:id="2062752407">
          <w:marLeft w:val="0"/>
          <w:marRight w:val="0"/>
          <w:marTop w:val="0"/>
          <w:marBottom w:val="0"/>
          <w:divBdr>
            <w:top w:val="none" w:sz="0" w:space="0" w:color="auto"/>
            <w:left w:val="none" w:sz="0" w:space="0" w:color="auto"/>
            <w:bottom w:val="none" w:sz="0" w:space="0" w:color="auto"/>
            <w:right w:val="none" w:sz="0" w:space="0" w:color="auto"/>
          </w:divBdr>
        </w:div>
      </w:divsChild>
    </w:div>
    <w:div w:id="759179504">
      <w:bodyDiv w:val="1"/>
      <w:marLeft w:val="0"/>
      <w:marRight w:val="0"/>
      <w:marTop w:val="0"/>
      <w:marBottom w:val="0"/>
      <w:divBdr>
        <w:top w:val="none" w:sz="0" w:space="0" w:color="auto"/>
        <w:left w:val="none" w:sz="0" w:space="0" w:color="auto"/>
        <w:bottom w:val="none" w:sz="0" w:space="0" w:color="auto"/>
        <w:right w:val="none" w:sz="0" w:space="0" w:color="auto"/>
      </w:divBdr>
    </w:div>
    <w:div w:id="9483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een.grady@occ.ohio.gov" TargetMode="External"/><Relationship Id="rId13" Type="http://schemas.openxmlformats.org/officeDocument/2006/relationships/footer" Target="footer2.xml"/><Relationship Id="rId18" Type="http://schemas.openxmlformats.org/officeDocument/2006/relationships/hyperlink" Target="mailto:William.wright@puc.state.oh.us" TargetMode="External"/><Relationship Id="rId26" Type="http://schemas.openxmlformats.org/officeDocument/2006/relationships/hyperlink" Target="mailto:Greta.see@puc.state.oh.us" TargetMode="External"/><Relationship Id="rId3" Type="http://schemas.microsoft.com/office/2007/relationships/stylesWithEffects" Target="stylesWithEffects.xml"/><Relationship Id="rId21" Type="http://schemas.openxmlformats.org/officeDocument/2006/relationships/hyperlink" Target="mailto:jkylercohn@BKLlawfirm.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Terry.etter@occ.ohio.gov" TargetMode="External"/><Relationship Id="rId25" Type="http://schemas.openxmlformats.org/officeDocument/2006/relationships/hyperlink" Target="mailto:Sarah.parrot@puc.state.oh.us" TargetMode="External"/><Relationship Id="rId33" Type="http://schemas.openxmlformats.org/officeDocument/2006/relationships/hyperlink" Target="mailto:mpritchard@mwncmh.com" TargetMode="External"/><Relationship Id="rId2" Type="http://schemas.openxmlformats.org/officeDocument/2006/relationships/styles" Target="styles.xml"/><Relationship Id="rId16" Type="http://schemas.openxmlformats.org/officeDocument/2006/relationships/hyperlink" Target="mailto:Maureen.grady@occ.ohio.gov" TargetMode="External"/><Relationship Id="rId20" Type="http://schemas.openxmlformats.org/officeDocument/2006/relationships/hyperlink" Target="mailto:mkurtz@BKL1awfirm.com" TargetMode="External"/><Relationship Id="rId29" Type="http://schemas.openxmlformats.org/officeDocument/2006/relationships/hyperlink" Target="mailto:ricks@ohane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mohler@carpenterlipps.com" TargetMode="External"/><Relationship Id="rId32" Type="http://schemas.openxmlformats.org/officeDocument/2006/relationships/hyperlink" Target="mailto:fdarr@mwncmh.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hussey@carpenterlipps.com" TargetMode="External"/><Relationship Id="rId28" Type="http://schemas.openxmlformats.org/officeDocument/2006/relationships/hyperlink" Target="mailto:mjsatterwhite@aep.com" TargetMode="External"/><Relationship Id="rId10" Type="http://schemas.openxmlformats.org/officeDocument/2006/relationships/header" Target="header1.xml"/><Relationship Id="rId19" Type="http://schemas.openxmlformats.org/officeDocument/2006/relationships/hyperlink" Target="mailto:dboehm@BKLlawfirm.com" TargetMode="External"/><Relationship Id="rId31" Type="http://schemas.openxmlformats.org/officeDocument/2006/relationships/hyperlink" Target="mailto:sam@mwncmh.com" TargetMode="External"/><Relationship Id="rId4" Type="http://schemas.openxmlformats.org/officeDocument/2006/relationships/settings" Target="settings.xml"/><Relationship Id="rId9" Type="http://schemas.openxmlformats.org/officeDocument/2006/relationships/hyperlink" Target="mailto:Terry.etter@occ.ohio.gov" TargetMode="External"/><Relationship Id="rId14" Type="http://schemas.openxmlformats.org/officeDocument/2006/relationships/header" Target="header3.xml"/><Relationship Id="rId22" Type="http://schemas.openxmlformats.org/officeDocument/2006/relationships/hyperlink" Target="mailto:Bojko@carpenterlipps.com" TargetMode="External"/><Relationship Id="rId27" Type="http://schemas.openxmlformats.org/officeDocument/2006/relationships/hyperlink" Target="mailto:stnourse@aep.com" TargetMode="External"/><Relationship Id="rId30" Type="http://schemas.openxmlformats.org/officeDocument/2006/relationships/hyperlink" Target="mailto:tobrien@bricker.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6121</Characters>
  <Application>Microsoft Office Word</Application>
  <DocSecurity>0</DocSecurity>
  <Lines>189</Lines>
  <Paragraphs>85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7190</CharactersWithSpaces>
  <SharedDoc>false</SharedDoc>
  <HyperlinkBase> </HyperlinkBase>
  <HLinks>
    <vt:vector size="30" baseType="variant">
      <vt:variant>
        <vt:i4>1900596</vt:i4>
      </vt:variant>
      <vt:variant>
        <vt:i4>12</vt:i4>
      </vt:variant>
      <vt:variant>
        <vt:i4>0</vt:i4>
      </vt:variant>
      <vt:variant>
        <vt:i4>5</vt:i4>
      </vt:variant>
      <vt:variant>
        <vt:lpwstr>mailto:stnourse@aep.com</vt:lpwstr>
      </vt:variant>
      <vt:variant>
        <vt:lpwstr/>
      </vt:variant>
      <vt:variant>
        <vt:i4>1900596</vt:i4>
      </vt:variant>
      <vt:variant>
        <vt:i4>9</vt:i4>
      </vt:variant>
      <vt:variant>
        <vt:i4>0</vt:i4>
      </vt:variant>
      <vt:variant>
        <vt:i4>5</vt:i4>
      </vt:variant>
      <vt:variant>
        <vt:lpwstr>mailto:stnourse@aep.com</vt:lpwstr>
      </vt:variant>
      <vt:variant>
        <vt:lpwstr/>
      </vt:variant>
      <vt:variant>
        <vt:i4>2293828</vt:i4>
      </vt:variant>
      <vt:variant>
        <vt:i4>6</vt:i4>
      </vt:variant>
      <vt:variant>
        <vt:i4>0</vt:i4>
      </vt:variant>
      <vt:variant>
        <vt:i4>5</vt:i4>
      </vt:variant>
      <vt:variant>
        <vt:lpwstr>mailto:William.wright@puc.state.oh.us</vt:lpwstr>
      </vt:variant>
      <vt:variant>
        <vt:lpwstr/>
      </vt:variant>
      <vt:variant>
        <vt:i4>3014663</vt:i4>
      </vt:variant>
      <vt:variant>
        <vt:i4>3</vt:i4>
      </vt:variant>
      <vt:variant>
        <vt:i4>0</vt:i4>
      </vt:variant>
      <vt:variant>
        <vt:i4>5</vt:i4>
      </vt:variant>
      <vt:variant>
        <vt:lpwstr>mailto:schuler@occ.state.oh.us</vt:lpwstr>
      </vt:variant>
      <vt:variant>
        <vt:lpwstr/>
      </vt:variant>
      <vt:variant>
        <vt:i4>3014663</vt:i4>
      </vt:variant>
      <vt:variant>
        <vt:i4>0</vt:i4>
      </vt:variant>
      <vt:variant>
        <vt:i4>0</vt:i4>
      </vt:variant>
      <vt:variant>
        <vt:i4>5</vt:i4>
      </vt:variant>
      <vt:variant>
        <vt:lpwstr>mailto:schuler@occ.state.oh.us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2013-07-19T18:51:00Z</cp:lastPrinted>
  <dcterms:created xsi:type="dcterms:W3CDTF">2014-09-02T20:22:00Z</dcterms:created>
  <dcterms:modified xsi:type="dcterms:W3CDTF">2014-09-02T20:22:00Z</dcterms:modified>
  <cp:category> </cp:category>
  <cp:contentStatus> </cp:contentStatus>
</cp:coreProperties>
</file>