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F882" w14:textId="4506C58C" w:rsidR="0097712F" w:rsidRPr="0097712F" w:rsidRDefault="0041056A" w:rsidP="0097712F">
      <w:pPr>
        <w:pStyle w:val="Title"/>
        <w:outlineLvl w:val="0"/>
        <w:rPr>
          <w:rFonts w:asciiTheme="minorHAnsi" w:hAnsiTheme="minorHAnsi" w:cstheme="minorHAnsi"/>
          <w:szCs w:val="24"/>
        </w:rPr>
      </w:pPr>
      <w:r w:rsidRPr="0097712F">
        <w:rPr>
          <w:rFonts w:asciiTheme="minorHAnsi" w:hAnsiTheme="minorHAnsi" w:cstheme="minorHAnsi"/>
          <w:szCs w:val="24"/>
        </w:rPr>
        <w:t>BEFORE</w:t>
      </w:r>
    </w:p>
    <w:p w14:paraId="1A7752FE" w14:textId="77777777" w:rsidR="0097712F" w:rsidRPr="0097712F" w:rsidRDefault="0041056A" w:rsidP="0097712F">
      <w:pPr>
        <w:jc w:val="center"/>
        <w:outlineLvl w:val="0"/>
        <w:rPr>
          <w:rFonts w:cstheme="minorHAnsi"/>
          <w:b/>
          <w:sz w:val="24"/>
          <w:szCs w:val="24"/>
        </w:rPr>
      </w:pPr>
      <w:r w:rsidRPr="0097712F">
        <w:rPr>
          <w:rFonts w:cstheme="minorHAnsi"/>
          <w:b/>
          <w:sz w:val="24"/>
          <w:szCs w:val="24"/>
        </w:rPr>
        <w:t>THE PUBLIC UTILITIES COMMISSION OF OHIO</w:t>
      </w:r>
    </w:p>
    <w:p w14:paraId="070182AE" w14:textId="77777777" w:rsidR="0097712F" w:rsidRDefault="0097712F" w:rsidP="0097712F">
      <w:pPr>
        <w:tabs>
          <w:tab w:val="left" w:pos="5040"/>
          <w:tab w:val="left" w:pos="5797"/>
          <w:tab w:val="left" w:pos="6919"/>
        </w:tabs>
        <w:spacing w:after="0" w:line="240" w:lineRule="auto"/>
        <w:rPr>
          <w:rFonts w:ascii="Calibri" w:hAnsi="Calibri"/>
          <w:sz w:val="24"/>
          <w:szCs w:val="24"/>
        </w:rPr>
      </w:pPr>
    </w:p>
    <w:tbl>
      <w:tblPr>
        <w:tblW w:w="10692" w:type="dxa"/>
        <w:tblLook w:val="0000" w:firstRow="0" w:lastRow="0" w:firstColumn="0" w:lastColumn="0" w:noHBand="0" w:noVBand="0"/>
      </w:tblPr>
      <w:tblGrid>
        <w:gridCol w:w="5490"/>
        <w:gridCol w:w="810"/>
        <w:gridCol w:w="4392"/>
      </w:tblGrid>
      <w:tr w:rsidR="00C77CD3" w14:paraId="49A3E6F4" w14:textId="77777777" w:rsidTr="00E93CEC">
        <w:tc>
          <w:tcPr>
            <w:tcW w:w="5490" w:type="dxa"/>
          </w:tcPr>
          <w:p w14:paraId="765EF41A" w14:textId="1002DAB0" w:rsidR="00C77CD3" w:rsidRPr="00C77CD3" w:rsidRDefault="00C77CD3" w:rsidP="00B607C7">
            <w:pPr>
              <w:contextualSpacing/>
              <w:rPr>
                <w:sz w:val="24"/>
                <w:szCs w:val="24"/>
              </w:rPr>
            </w:pPr>
            <w:r w:rsidRPr="00C77CD3">
              <w:rPr>
                <w:sz w:val="24"/>
                <w:szCs w:val="24"/>
              </w:rPr>
              <w:t xml:space="preserve">In the Matter of the Review of the Non-Market-Based Services Rider Pilot Program Established by Ohio Edison Company, </w:t>
            </w:r>
            <w:r w:rsidR="00117805">
              <w:rPr>
                <w:sz w:val="24"/>
                <w:szCs w:val="24"/>
              </w:rPr>
              <w:t>T</w:t>
            </w:r>
            <w:r w:rsidR="00117805" w:rsidRPr="00C77CD3">
              <w:rPr>
                <w:sz w:val="24"/>
                <w:szCs w:val="24"/>
              </w:rPr>
              <w:t xml:space="preserve">he </w:t>
            </w:r>
            <w:r w:rsidRPr="00C77CD3">
              <w:rPr>
                <w:sz w:val="24"/>
                <w:szCs w:val="24"/>
              </w:rPr>
              <w:t xml:space="preserve">Cleveland Electric Illuminating Company, and </w:t>
            </w:r>
            <w:r w:rsidR="00117805">
              <w:rPr>
                <w:sz w:val="24"/>
                <w:szCs w:val="24"/>
              </w:rPr>
              <w:t>T</w:t>
            </w:r>
            <w:r w:rsidR="00117805" w:rsidRPr="00C77CD3">
              <w:rPr>
                <w:sz w:val="24"/>
                <w:szCs w:val="24"/>
              </w:rPr>
              <w:t xml:space="preserve">he </w:t>
            </w:r>
            <w:r w:rsidRPr="00C77CD3">
              <w:rPr>
                <w:sz w:val="24"/>
                <w:szCs w:val="24"/>
              </w:rPr>
              <w:t>Toledo Edison Company</w:t>
            </w:r>
          </w:p>
        </w:tc>
        <w:tc>
          <w:tcPr>
            <w:tcW w:w="810" w:type="dxa"/>
          </w:tcPr>
          <w:p w14:paraId="20F53D4F" w14:textId="77777777" w:rsidR="00C77CD3" w:rsidRPr="00C77CD3" w:rsidRDefault="00C77CD3" w:rsidP="00C77CD3">
            <w:pPr>
              <w:contextualSpacing/>
              <w:jc w:val="center"/>
              <w:rPr>
                <w:sz w:val="24"/>
                <w:szCs w:val="24"/>
              </w:rPr>
            </w:pPr>
            <w:r w:rsidRPr="00C77CD3">
              <w:rPr>
                <w:sz w:val="24"/>
                <w:szCs w:val="24"/>
              </w:rPr>
              <w:t>)</w:t>
            </w:r>
          </w:p>
          <w:p w14:paraId="0813CDC9" w14:textId="77777777" w:rsidR="00C77CD3" w:rsidRPr="00C77CD3" w:rsidRDefault="00C77CD3" w:rsidP="00C77CD3">
            <w:pPr>
              <w:contextualSpacing/>
              <w:jc w:val="center"/>
              <w:rPr>
                <w:sz w:val="24"/>
                <w:szCs w:val="24"/>
              </w:rPr>
            </w:pPr>
            <w:r w:rsidRPr="00C77CD3">
              <w:rPr>
                <w:sz w:val="24"/>
                <w:szCs w:val="24"/>
              </w:rPr>
              <w:t>)</w:t>
            </w:r>
          </w:p>
          <w:p w14:paraId="7F9C5080" w14:textId="77777777" w:rsidR="00C77CD3" w:rsidRPr="00C77CD3" w:rsidRDefault="00C77CD3" w:rsidP="00C77CD3">
            <w:pPr>
              <w:contextualSpacing/>
              <w:jc w:val="center"/>
              <w:rPr>
                <w:sz w:val="24"/>
                <w:szCs w:val="24"/>
              </w:rPr>
            </w:pPr>
            <w:r w:rsidRPr="00C77CD3">
              <w:rPr>
                <w:sz w:val="24"/>
                <w:szCs w:val="24"/>
              </w:rPr>
              <w:t>)</w:t>
            </w:r>
          </w:p>
          <w:p w14:paraId="144D88CD" w14:textId="31DDD28B" w:rsidR="00C77CD3" w:rsidRPr="00C77CD3" w:rsidRDefault="00C77CD3" w:rsidP="00E93CEC">
            <w:pPr>
              <w:contextualSpacing/>
              <w:jc w:val="center"/>
              <w:rPr>
                <w:sz w:val="24"/>
                <w:szCs w:val="24"/>
              </w:rPr>
            </w:pPr>
            <w:r w:rsidRPr="00C77CD3">
              <w:rPr>
                <w:sz w:val="24"/>
                <w:szCs w:val="24"/>
              </w:rPr>
              <w:t>)</w:t>
            </w:r>
          </w:p>
        </w:tc>
        <w:tc>
          <w:tcPr>
            <w:tcW w:w="4392" w:type="dxa"/>
          </w:tcPr>
          <w:p w14:paraId="7D85DB4A" w14:textId="77777777" w:rsidR="00C77CD3" w:rsidRPr="00C77CD3" w:rsidRDefault="00C77CD3" w:rsidP="00B607C7">
            <w:pPr>
              <w:contextualSpacing/>
              <w:rPr>
                <w:sz w:val="24"/>
                <w:szCs w:val="24"/>
              </w:rPr>
            </w:pPr>
          </w:p>
          <w:p w14:paraId="6840A5EB" w14:textId="77777777" w:rsidR="00C77CD3" w:rsidRPr="00C77CD3" w:rsidRDefault="00C77CD3" w:rsidP="00C77CD3">
            <w:pPr>
              <w:contextualSpacing/>
              <w:rPr>
                <w:sz w:val="24"/>
                <w:szCs w:val="24"/>
              </w:rPr>
            </w:pPr>
          </w:p>
          <w:p w14:paraId="133A9647" w14:textId="365DED45" w:rsidR="00C77CD3" w:rsidRPr="00C77CD3" w:rsidRDefault="00C77CD3" w:rsidP="00E93CEC">
            <w:pPr>
              <w:contextualSpacing/>
              <w:rPr>
                <w:sz w:val="24"/>
                <w:szCs w:val="24"/>
              </w:rPr>
            </w:pPr>
            <w:r w:rsidRPr="00C77CD3">
              <w:rPr>
                <w:sz w:val="24"/>
                <w:szCs w:val="24"/>
              </w:rPr>
              <w:t>Case No. 22-</w:t>
            </w:r>
            <w:r w:rsidR="00117805">
              <w:rPr>
                <w:sz w:val="24"/>
                <w:szCs w:val="24"/>
              </w:rPr>
              <w:t>0</w:t>
            </w:r>
            <w:r w:rsidRPr="00C77CD3">
              <w:rPr>
                <w:sz w:val="24"/>
                <w:szCs w:val="24"/>
              </w:rPr>
              <w:t>391-EL-RDR</w:t>
            </w:r>
          </w:p>
        </w:tc>
      </w:tr>
    </w:tbl>
    <w:p w14:paraId="7E80D8AB" w14:textId="77777777" w:rsidR="0097712F" w:rsidRPr="0097712F" w:rsidRDefault="0097712F" w:rsidP="0097712F">
      <w:pPr>
        <w:pBdr>
          <w:bottom w:val="single" w:sz="12" w:space="1" w:color="auto"/>
        </w:pBdr>
        <w:jc w:val="center"/>
        <w:rPr>
          <w:rFonts w:cstheme="minorHAnsi"/>
          <w:sz w:val="24"/>
          <w:szCs w:val="24"/>
        </w:rPr>
      </w:pPr>
    </w:p>
    <w:p w14:paraId="4BA03B36" w14:textId="1D84DA93" w:rsidR="0097712F" w:rsidRPr="0097712F" w:rsidRDefault="002433B3" w:rsidP="00337290">
      <w:pPr>
        <w:spacing w:after="0" w:line="240" w:lineRule="auto"/>
        <w:jc w:val="center"/>
        <w:outlineLvl w:val="0"/>
        <w:rPr>
          <w:rFonts w:cstheme="minorHAnsi"/>
          <w:b/>
          <w:bCs/>
          <w:sz w:val="24"/>
          <w:szCs w:val="24"/>
        </w:rPr>
      </w:pPr>
      <w:r>
        <w:rPr>
          <w:rFonts w:cstheme="minorHAnsi"/>
          <w:b/>
          <w:bCs/>
          <w:sz w:val="24"/>
          <w:szCs w:val="24"/>
        </w:rPr>
        <w:t xml:space="preserve">REPLY </w:t>
      </w:r>
      <w:r w:rsidR="0041056A">
        <w:rPr>
          <w:rFonts w:cstheme="minorHAnsi"/>
          <w:b/>
          <w:bCs/>
          <w:sz w:val="24"/>
          <w:szCs w:val="24"/>
        </w:rPr>
        <w:t>COMMENTS</w:t>
      </w:r>
      <w:r w:rsidR="0041056A" w:rsidRPr="0097712F">
        <w:rPr>
          <w:rFonts w:cstheme="minorHAnsi"/>
          <w:b/>
          <w:bCs/>
          <w:sz w:val="24"/>
          <w:szCs w:val="24"/>
        </w:rPr>
        <w:t xml:space="preserve"> OF NUCOR STEEL MARION, INC. </w:t>
      </w:r>
      <w:r w:rsidR="00F6484D">
        <w:rPr>
          <w:rFonts w:cstheme="minorHAnsi"/>
          <w:b/>
          <w:bCs/>
          <w:sz w:val="24"/>
          <w:szCs w:val="24"/>
        </w:rPr>
        <w:t xml:space="preserve"> </w:t>
      </w:r>
    </w:p>
    <w:p w14:paraId="3EA0DCE4" w14:textId="6CB78C8A" w:rsidR="0097712F" w:rsidRPr="0097712F" w:rsidRDefault="0041056A" w:rsidP="0097712F">
      <w:pPr>
        <w:pBdr>
          <w:bottom w:val="single" w:sz="12" w:space="1" w:color="auto"/>
        </w:pBdr>
        <w:tabs>
          <w:tab w:val="left" w:pos="6461"/>
        </w:tabs>
        <w:rPr>
          <w:rFonts w:cstheme="minorHAnsi"/>
          <w:sz w:val="24"/>
          <w:szCs w:val="24"/>
        </w:rPr>
      </w:pPr>
      <w:r w:rsidRPr="0097712F">
        <w:rPr>
          <w:rFonts w:cstheme="minorHAnsi"/>
          <w:sz w:val="24"/>
          <w:szCs w:val="24"/>
        </w:rPr>
        <w:tab/>
      </w:r>
    </w:p>
    <w:p w14:paraId="16C6BE4B" w14:textId="45304496" w:rsidR="004F7655" w:rsidRDefault="0041056A" w:rsidP="00405CFF">
      <w:pPr>
        <w:spacing w:before="240" w:after="0" w:line="480" w:lineRule="auto"/>
        <w:jc w:val="both"/>
        <w:rPr>
          <w:sz w:val="24"/>
          <w:szCs w:val="24"/>
        </w:rPr>
      </w:pPr>
      <w:r>
        <w:rPr>
          <w:b/>
          <w:bCs/>
          <w:sz w:val="24"/>
          <w:szCs w:val="24"/>
        </w:rPr>
        <w:tab/>
      </w:r>
      <w:r>
        <w:rPr>
          <w:sz w:val="24"/>
          <w:szCs w:val="24"/>
        </w:rPr>
        <w:t xml:space="preserve">Pursuant to the </w:t>
      </w:r>
      <w:r w:rsidR="00C77CD3">
        <w:rPr>
          <w:sz w:val="24"/>
          <w:szCs w:val="24"/>
        </w:rPr>
        <w:t>Entry dated July 19, 2023,</w:t>
      </w:r>
      <w:r>
        <w:rPr>
          <w:sz w:val="24"/>
          <w:szCs w:val="24"/>
        </w:rPr>
        <w:t xml:space="preserve"> in the above-captioned proceeding, Nucor Steel Marion, Inc. hereby submits these</w:t>
      </w:r>
      <w:r w:rsidR="002433B3">
        <w:rPr>
          <w:sz w:val="24"/>
          <w:szCs w:val="24"/>
        </w:rPr>
        <w:t xml:space="preserve"> reply</w:t>
      </w:r>
      <w:r>
        <w:rPr>
          <w:sz w:val="24"/>
          <w:szCs w:val="24"/>
        </w:rPr>
        <w:t xml:space="preserve"> comments </w:t>
      </w:r>
      <w:r w:rsidR="00C77CD3">
        <w:rPr>
          <w:sz w:val="24"/>
          <w:szCs w:val="24"/>
        </w:rPr>
        <w:t xml:space="preserve">to the Public Utilities Commission of Ohio </w:t>
      </w:r>
      <w:r w:rsidR="00B8564D">
        <w:rPr>
          <w:sz w:val="24"/>
          <w:szCs w:val="24"/>
        </w:rPr>
        <w:t>responding to certain issues raised in</w:t>
      </w:r>
      <w:r>
        <w:rPr>
          <w:sz w:val="24"/>
          <w:szCs w:val="24"/>
        </w:rPr>
        <w:t xml:space="preserve"> </w:t>
      </w:r>
      <w:r w:rsidR="002433B3">
        <w:rPr>
          <w:sz w:val="24"/>
          <w:szCs w:val="24"/>
        </w:rPr>
        <w:t xml:space="preserve">comments filed by other parties regarding </w:t>
      </w:r>
      <w:r w:rsidR="00C77CD3">
        <w:rPr>
          <w:sz w:val="24"/>
          <w:szCs w:val="24"/>
        </w:rPr>
        <w:t xml:space="preserve">the </w:t>
      </w:r>
      <w:r w:rsidR="00C77CD3" w:rsidRPr="002B07EC">
        <w:rPr>
          <w:i/>
          <w:iCs/>
          <w:sz w:val="24"/>
          <w:szCs w:val="24"/>
        </w:rPr>
        <w:t>Review of the Non-Market-Based Services Riders Established by Ohio Edison Company, The Cleveland Electric Illuminating Company, and The Toledo Edison Company and Associated Pilot Program</w:t>
      </w:r>
      <w:r w:rsidR="00C77CD3">
        <w:rPr>
          <w:sz w:val="24"/>
          <w:szCs w:val="24"/>
        </w:rPr>
        <w:t xml:space="preserve"> (“Audit Report”) prepared by Exeter Associates, Inc</w:t>
      </w:r>
      <w:r>
        <w:rPr>
          <w:sz w:val="24"/>
          <w:szCs w:val="24"/>
        </w:rPr>
        <w:t>.</w:t>
      </w:r>
      <w:r w:rsidR="00E3063B">
        <w:rPr>
          <w:sz w:val="24"/>
          <w:szCs w:val="24"/>
        </w:rPr>
        <w:t xml:space="preserve">   </w:t>
      </w:r>
    </w:p>
    <w:p w14:paraId="77B98FAD" w14:textId="32CC17C5" w:rsidR="003A1D33" w:rsidRPr="00E00ED7" w:rsidRDefault="003A1D33" w:rsidP="00E00ED7">
      <w:pPr>
        <w:spacing w:after="0" w:line="480" w:lineRule="auto"/>
        <w:jc w:val="both"/>
        <w:rPr>
          <w:b/>
          <w:bCs/>
          <w:sz w:val="24"/>
          <w:szCs w:val="24"/>
        </w:rPr>
      </w:pPr>
      <w:r w:rsidRPr="00E00ED7">
        <w:rPr>
          <w:b/>
          <w:bCs/>
          <w:sz w:val="24"/>
          <w:szCs w:val="24"/>
        </w:rPr>
        <w:t>I.</w:t>
      </w:r>
      <w:r w:rsidRPr="00E00ED7">
        <w:rPr>
          <w:b/>
          <w:bCs/>
          <w:sz w:val="24"/>
          <w:szCs w:val="24"/>
        </w:rPr>
        <w:tab/>
      </w:r>
      <w:r w:rsidR="007B03A2">
        <w:rPr>
          <w:b/>
          <w:bCs/>
          <w:sz w:val="24"/>
          <w:szCs w:val="24"/>
        </w:rPr>
        <w:t xml:space="preserve">REPLY </w:t>
      </w:r>
      <w:r w:rsidRPr="00E00ED7">
        <w:rPr>
          <w:b/>
          <w:bCs/>
          <w:sz w:val="24"/>
          <w:szCs w:val="24"/>
        </w:rPr>
        <w:t>COMMENTS</w:t>
      </w:r>
    </w:p>
    <w:p w14:paraId="5E15F4C1" w14:textId="76EAA5ED" w:rsidR="005C74B4" w:rsidRDefault="003A1D33" w:rsidP="009C50CD">
      <w:pPr>
        <w:spacing w:after="0" w:line="240" w:lineRule="auto"/>
        <w:ind w:left="1440" w:hanging="720"/>
        <w:jc w:val="both"/>
        <w:rPr>
          <w:b/>
          <w:bCs/>
          <w:sz w:val="24"/>
          <w:szCs w:val="24"/>
        </w:rPr>
      </w:pPr>
      <w:r>
        <w:rPr>
          <w:b/>
          <w:bCs/>
          <w:sz w:val="24"/>
          <w:szCs w:val="24"/>
        </w:rPr>
        <w:t>A</w:t>
      </w:r>
      <w:r w:rsidR="005C74B4" w:rsidRPr="00317C24">
        <w:rPr>
          <w:b/>
          <w:bCs/>
          <w:sz w:val="24"/>
          <w:szCs w:val="24"/>
        </w:rPr>
        <w:t>.</w:t>
      </w:r>
      <w:r w:rsidR="005C74B4" w:rsidRPr="00317C24">
        <w:rPr>
          <w:b/>
          <w:bCs/>
          <w:sz w:val="24"/>
          <w:szCs w:val="24"/>
        </w:rPr>
        <w:tab/>
      </w:r>
      <w:r w:rsidR="007B03A2">
        <w:rPr>
          <w:b/>
          <w:bCs/>
          <w:sz w:val="24"/>
          <w:szCs w:val="24"/>
        </w:rPr>
        <w:t>P</w:t>
      </w:r>
      <w:r w:rsidR="00187747">
        <w:rPr>
          <w:b/>
          <w:bCs/>
          <w:sz w:val="24"/>
          <w:szCs w:val="24"/>
        </w:rPr>
        <w:t xml:space="preserve">arties </w:t>
      </w:r>
      <w:r w:rsidR="007B03A2">
        <w:rPr>
          <w:b/>
          <w:bCs/>
          <w:sz w:val="24"/>
          <w:szCs w:val="24"/>
        </w:rPr>
        <w:t>A</w:t>
      </w:r>
      <w:r w:rsidR="00187747">
        <w:rPr>
          <w:b/>
          <w:bCs/>
          <w:sz w:val="24"/>
          <w:szCs w:val="24"/>
        </w:rPr>
        <w:t>gree</w:t>
      </w:r>
      <w:r w:rsidR="0056658C">
        <w:rPr>
          <w:b/>
          <w:bCs/>
          <w:sz w:val="24"/>
          <w:szCs w:val="24"/>
        </w:rPr>
        <w:t xml:space="preserve"> </w:t>
      </w:r>
      <w:r w:rsidR="007F520B">
        <w:rPr>
          <w:b/>
          <w:bCs/>
          <w:sz w:val="24"/>
          <w:szCs w:val="24"/>
        </w:rPr>
        <w:t>with</w:t>
      </w:r>
      <w:r w:rsidR="0056658C">
        <w:rPr>
          <w:b/>
          <w:bCs/>
          <w:sz w:val="24"/>
          <w:szCs w:val="24"/>
        </w:rPr>
        <w:t xml:space="preserve"> Exeter</w:t>
      </w:r>
      <w:r w:rsidR="00187747">
        <w:rPr>
          <w:b/>
          <w:bCs/>
          <w:sz w:val="24"/>
          <w:szCs w:val="24"/>
        </w:rPr>
        <w:t xml:space="preserve"> that NSPL-</w:t>
      </w:r>
      <w:r w:rsidR="007B03A2">
        <w:rPr>
          <w:b/>
          <w:bCs/>
          <w:sz w:val="24"/>
          <w:szCs w:val="24"/>
        </w:rPr>
        <w:t>B</w:t>
      </w:r>
      <w:r w:rsidR="00187747">
        <w:rPr>
          <w:b/>
          <w:bCs/>
          <w:sz w:val="24"/>
          <w:szCs w:val="24"/>
        </w:rPr>
        <w:t xml:space="preserve">ased </w:t>
      </w:r>
      <w:r w:rsidR="007B03A2">
        <w:rPr>
          <w:b/>
          <w:bCs/>
          <w:sz w:val="24"/>
          <w:szCs w:val="24"/>
        </w:rPr>
        <w:t>P</w:t>
      </w:r>
      <w:r w:rsidR="00187747">
        <w:rPr>
          <w:b/>
          <w:bCs/>
          <w:sz w:val="24"/>
          <w:szCs w:val="24"/>
        </w:rPr>
        <w:t>ricing</w:t>
      </w:r>
      <w:r w:rsidR="007B03A2">
        <w:rPr>
          <w:b/>
          <w:bCs/>
          <w:sz w:val="24"/>
          <w:szCs w:val="24"/>
        </w:rPr>
        <w:t xml:space="preserve"> </w:t>
      </w:r>
      <w:r w:rsidR="000D6E28">
        <w:rPr>
          <w:b/>
          <w:bCs/>
          <w:sz w:val="24"/>
          <w:szCs w:val="24"/>
        </w:rPr>
        <w:t xml:space="preserve">is an Appropriate Way to Calculate Transmission Charges that </w:t>
      </w:r>
      <w:r w:rsidR="007B03A2">
        <w:rPr>
          <w:b/>
          <w:bCs/>
          <w:sz w:val="24"/>
          <w:szCs w:val="24"/>
        </w:rPr>
        <w:t xml:space="preserve">Reflects Cost Causation </w:t>
      </w:r>
      <w:r w:rsidR="00364A8D">
        <w:rPr>
          <w:b/>
          <w:bCs/>
          <w:sz w:val="24"/>
          <w:szCs w:val="24"/>
        </w:rPr>
        <w:t>and that the Design of Rider NMB is the Cause of Cost Shifts</w:t>
      </w:r>
    </w:p>
    <w:p w14:paraId="4F8B5840" w14:textId="77777777" w:rsidR="003A1D33" w:rsidRPr="005C74B4" w:rsidRDefault="003A1D33" w:rsidP="00E00ED7">
      <w:pPr>
        <w:spacing w:after="0" w:line="240" w:lineRule="auto"/>
        <w:ind w:left="1440" w:hanging="720"/>
        <w:jc w:val="both"/>
        <w:rPr>
          <w:b/>
          <w:bCs/>
          <w:sz w:val="24"/>
          <w:szCs w:val="24"/>
        </w:rPr>
      </w:pPr>
    </w:p>
    <w:p w14:paraId="598DB732" w14:textId="03FD3014" w:rsidR="0056658C" w:rsidRDefault="005C74B4" w:rsidP="00364A8D">
      <w:pPr>
        <w:spacing w:after="0" w:line="480" w:lineRule="auto"/>
        <w:ind w:firstLine="720"/>
        <w:jc w:val="both"/>
        <w:rPr>
          <w:sz w:val="24"/>
          <w:szCs w:val="24"/>
        </w:rPr>
      </w:pPr>
      <w:r>
        <w:rPr>
          <w:sz w:val="24"/>
          <w:szCs w:val="24"/>
        </w:rPr>
        <w:t xml:space="preserve"> </w:t>
      </w:r>
      <w:r w:rsidR="00187747">
        <w:rPr>
          <w:sz w:val="24"/>
          <w:szCs w:val="24"/>
        </w:rPr>
        <w:t xml:space="preserve">Under the Rider NMB </w:t>
      </w:r>
      <w:r w:rsidR="00305618">
        <w:rPr>
          <w:sz w:val="24"/>
          <w:szCs w:val="24"/>
        </w:rPr>
        <w:t>P</w:t>
      </w:r>
      <w:r w:rsidR="00187747">
        <w:rPr>
          <w:sz w:val="24"/>
          <w:szCs w:val="24"/>
        </w:rPr>
        <w:t xml:space="preserve">ilot </w:t>
      </w:r>
      <w:r w:rsidR="00305618">
        <w:rPr>
          <w:sz w:val="24"/>
          <w:szCs w:val="24"/>
        </w:rPr>
        <w:t>P</w:t>
      </w:r>
      <w:r w:rsidR="00187747">
        <w:rPr>
          <w:sz w:val="24"/>
          <w:szCs w:val="24"/>
        </w:rPr>
        <w:t>rogram, participating customers pay transmission costs calculated based on the customer</w:t>
      </w:r>
      <w:r w:rsidR="007F520B">
        <w:rPr>
          <w:sz w:val="24"/>
          <w:szCs w:val="24"/>
        </w:rPr>
        <w:t>’</w:t>
      </w:r>
      <w:r w:rsidR="00187747">
        <w:rPr>
          <w:sz w:val="24"/>
          <w:szCs w:val="24"/>
        </w:rPr>
        <w:t>s NSPL demand</w:t>
      </w:r>
      <w:r w:rsidR="001F6F9C">
        <w:rPr>
          <w:sz w:val="24"/>
          <w:szCs w:val="24"/>
        </w:rPr>
        <w:t xml:space="preserve">.  </w:t>
      </w:r>
      <w:r w:rsidR="0056658C">
        <w:rPr>
          <w:sz w:val="24"/>
          <w:szCs w:val="24"/>
        </w:rPr>
        <w:t>Several parties</w:t>
      </w:r>
      <w:r w:rsidR="00187747">
        <w:rPr>
          <w:sz w:val="24"/>
          <w:szCs w:val="24"/>
        </w:rPr>
        <w:t xml:space="preserve"> support</w:t>
      </w:r>
      <w:r w:rsidR="0056658C">
        <w:rPr>
          <w:sz w:val="24"/>
          <w:szCs w:val="24"/>
        </w:rPr>
        <w:t xml:space="preserve"> the Audit Report’s conclusions on</w:t>
      </w:r>
      <w:r w:rsidR="00187747">
        <w:rPr>
          <w:sz w:val="24"/>
          <w:szCs w:val="24"/>
        </w:rPr>
        <w:t xml:space="preserve"> </w:t>
      </w:r>
      <w:r w:rsidR="000D6E28">
        <w:rPr>
          <w:sz w:val="24"/>
          <w:szCs w:val="24"/>
        </w:rPr>
        <w:t xml:space="preserve">the merits of </w:t>
      </w:r>
      <w:r w:rsidR="00187747">
        <w:rPr>
          <w:sz w:val="24"/>
          <w:szCs w:val="24"/>
        </w:rPr>
        <w:t xml:space="preserve">NSPL-based pricing </w:t>
      </w:r>
      <w:r w:rsidR="0056658C">
        <w:rPr>
          <w:sz w:val="24"/>
          <w:szCs w:val="24"/>
        </w:rPr>
        <w:t>and</w:t>
      </w:r>
      <w:r w:rsidR="00305618">
        <w:rPr>
          <w:sz w:val="24"/>
          <w:szCs w:val="24"/>
        </w:rPr>
        <w:t xml:space="preserve"> the general structure of the Pilot Program calculation </w:t>
      </w:r>
      <w:r w:rsidR="00187747">
        <w:rPr>
          <w:sz w:val="24"/>
          <w:szCs w:val="24"/>
        </w:rPr>
        <w:t>for customer transmission charges.</w:t>
      </w:r>
      <w:r w:rsidR="0056658C">
        <w:rPr>
          <w:sz w:val="24"/>
          <w:szCs w:val="24"/>
        </w:rPr>
        <w:t xml:space="preserve">  For example, the Ohio Energy Leadership Council (“OELC”) states:</w:t>
      </w:r>
    </w:p>
    <w:p w14:paraId="56721D4B" w14:textId="77777777" w:rsidR="0056658C" w:rsidRDefault="0056658C" w:rsidP="00505CB1">
      <w:pPr>
        <w:spacing w:after="0" w:line="240" w:lineRule="auto"/>
        <w:ind w:left="720" w:right="720"/>
        <w:jc w:val="both"/>
        <w:rPr>
          <w:sz w:val="24"/>
          <w:szCs w:val="24"/>
        </w:rPr>
      </w:pPr>
      <w:r>
        <w:rPr>
          <w:sz w:val="24"/>
          <w:szCs w:val="24"/>
        </w:rPr>
        <w:t xml:space="preserve">The Exeter review and audit of Rider NMB and the NMB Pilot Program demonstrates that the pilot program has been successful in establishing a rate mechanism that sends better price signals to commercial and industrial customers </w:t>
      </w:r>
      <w:r>
        <w:rPr>
          <w:sz w:val="24"/>
          <w:szCs w:val="24"/>
        </w:rPr>
        <w:lastRenderedPageBreak/>
        <w:t>participating in the program, resulting in system-wide savings for other FirstEnergy customers through reduced system peaks, while limiting any cost-shifting in the program principally to other non-participating large commercial and industrial customers served by FirstEnergy.</w:t>
      </w:r>
      <w:r w:rsidR="00187747">
        <w:rPr>
          <w:rStyle w:val="FootnoteReference"/>
          <w:sz w:val="24"/>
          <w:szCs w:val="24"/>
        </w:rPr>
        <w:footnoteReference w:id="1"/>
      </w:r>
    </w:p>
    <w:p w14:paraId="7610E743" w14:textId="77777777" w:rsidR="00505CB1" w:rsidRDefault="00505CB1" w:rsidP="00505CB1">
      <w:pPr>
        <w:spacing w:after="0" w:line="240" w:lineRule="auto"/>
        <w:ind w:left="720" w:right="720"/>
        <w:jc w:val="both"/>
        <w:rPr>
          <w:sz w:val="24"/>
          <w:szCs w:val="24"/>
        </w:rPr>
      </w:pPr>
    </w:p>
    <w:p w14:paraId="61712DD6" w14:textId="47D652E4" w:rsidR="00505CB1" w:rsidRDefault="0056658C" w:rsidP="00505CB1">
      <w:pPr>
        <w:spacing w:after="0" w:line="480" w:lineRule="auto"/>
        <w:jc w:val="both"/>
        <w:rPr>
          <w:sz w:val="24"/>
          <w:szCs w:val="24"/>
        </w:rPr>
      </w:pPr>
      <w:r>
        <w:rPr>
          <w:sz w:val="24"/>
          <w:szCs w:val="24"/>
        </w:rPr>
        <w:t>The Ohio Energy Group</w:t>
      </w:r>
      <w:r w:rsidR="003A26CF">
        <w:rPr>
          <w:sz w:val="24"/>
          <w:szCs w:val="24"/>
        </w:rPr>
        <w:t xml:space="preserve"> (“OEG”), the Ohio Manufacturers Association Energy Group (“OMAEG”), the Retail Energy Supply Association (“RESA”)</w:t>
      </w:r>
      <w:r w:rsidR="007F520B">
        <w:rPr>
          <w:sz w:val="24"/>
          <w:szCs w:val="24"/>
        </w:rPr>
        <w:t>,</w:t>
      </w:r>
      <w:r w:rsidR="003A26CF">
        <w:rPr>
          <w:sz w:val="24"/>
          <w:szCs w:val="24"/>
        </w:rPr>
        <w:t xml:space="preserve"> and the Ohio Hospital Association (“OHA”) also recognize the benefits the NSPL pricing mechanism provides for customers </w:t>
      </w:r>
      <w:r w:rsidR="000D6E28">
        <w:rPr>
          <w:sz w:val="24"/>
          <w:szCs w:val="24"/>
        </w:rPr>
        <w:t xml:space="preserve">who </w:t>
      </w:r>
      <w:r w:rsidR="003A26CF">
        <w:rPr>
          <w:sz w:val="24"/>
          <w:szCs w:val="24"/>
        </w:rPr>
        <w:t xml:space="preserve">have the ability to respond to price signals </w:t>
      </w:r>
      <w:r w:rsidR="00CA05B6">
        <w:rPr>
          <w:sz w:val="24"/>
          <w:szCs w:val="24"/>
        </w:rPr>
        <w:t>in order to better</w:t>
      </w:r>
      <w:r w:rsidR="003A26CF">
        <w:rPr>
          <w:sz w:val="24"/>
          <w:szCs w:val="24"/>
        </w:rPr>
        <w:t xml:space="preserve"> manage their transmission costs.</w:t>
      </w:r>
      <w:r w:rsidR="003A26CF">
        <w:rPr>
          <w:rStyle w:val="FootnoteReference"/>
          <w:sz w:val="24"/>
          <w:szCs w:val="24"/>
        </w:rPr>
        <w:footnoteReference w:id="2"/>
      </w:r>
    </w:p>
    <w:p w14:paraId="5CDFE5AB" w14:textId="0436DEA1" w:rsidR="002B3174" w:rsidRDefault="00505CB1" w:rsidP="00505CB1">
      <w:pPr>
        <w:spacing w:after="0" w:line="480" w:lineRule="auto"/>
        <w:ind w:firstLine="720"/>
        <w:jc w:val="both"/>
        <w:rPr>
          <w:sz w:val="24"/>
          <w:szCs w:val="24"/>
        </w:rPr>
      </w:pPr>
      <w:r>
        <w:rPr>
          <w:sz w:val="24"/>
          <w:szCs w:val="24"/>
        </w:rPr>
        <w:t xml:space="preserve">No party takes issue with the </w:t>
      </w:r>
      <w:r w:rsidR="007F520B">
        <w:rPr>
          <w:sz w:val="24"/>
          <w:szCs w:val="24"/>
        </w:rPr>
        <w:t>cost</w:t>
      </w:r>
      <w:r>
        <w:rPr>
          <w:sz w:val="24"/>
          <w:szCs w:val="24"/>
        </w:rPr>
        <w:t xml:space="preserve"> savings and other benefits of the Pilot Program identified by Exeter in the Audit Report.  In fact, some parties observe that, if anything, the Audit Report understates the </w:t>
      </w:r>
      <w:r w:rsidR="002B3174">
        <w:rPr>
          <w:sz w:val="24"/>
          <w:szCs w:val="24"/>
        </w:rPr>
        <w:t xml:space="preserve">value provided by </w:t>
      </w:r>
      <w:r>
        <w:rPr>
          <w:sz w:val="24"/>
          <w:szCs w:val="24"/>
        </w:rPr>
        <w:t xml:space="preserve">the </w:t>
      </w:r>
      <w:r w:rsidR="002B3174">
        <w:rPr>
          <w:sz w:val="24"/>
          <w:szCs w:val="24"/>
        </w:rPr>
        <w:t>program</w:t>
      </w:r>
      <w:r>
        <w:rPr>
          <w:sz w:val="24"/>
          <w:szCs w:val="24"/>
        </w:rPr>
        <w:t>.  OMAEG observes that the Audit Report may have underestimated the transmission congestion cost savings associated with the Pilot Program.</w:t>
      </w:r>
      <w:r>
        <w:rPr>
          <w:rStyle w:val="FootnoteReference"/>
          <w:sz w:val="24"/>
          <w:szCs w:val="24"/>
        </w:rPr>
        <w:footnoteReference w:id="3"/>
      </w:r>
      <w:r w:rsidR="002B3174">
        <w:rPr>
          <w:sz w:val="24"/>
          <w:szCs w:val="24"/>
        </w:rPr>
        <w:t xml:space="preserve">  And OEG notes that the Audit Report may not have addressed the potential benefit of the Pilot Program in reducing the ATSI zone’s share of PJM region-wide costs.</w:t>
      </w:r>
      <w:r w:rsidR="002B3174">
        <w:rPr>
          <w:rStyle w:val="FootnoteReference"/>
          <w:sz w:val="24"/>
          <w:szCs w:val="24"/>
        </w:rPr>
        <w:footnoteReference w:id="4"/>
      </w:r>
    </w:p>
    <w:p w14:paraId="4A22D02F" w14:textId="1D3D8C5C" w:rsidR="00451409" w:rsidRDefault="002B3174" w:rsidP="00505CB1">
      <w:pPr>
        <w:spacing w:after="0" w:line="480" w:lineRule="auto"/>
        <w:ind w:firstLine="720"/>
        <w:jc w:val="both"/>
        <w:rPr>
          <w:sz w:val="24"/>
          <w:szCs w:val="24"/>
        </w:rPr>
      </w:pPr>
      <w:r>
        <w:rPr>
          <w:sz w:val="24"/>
          <w:szCs w:val="24"/>
        </w:rPr>
        <w:t xml:space="preserve">Finally, parties recognize that the cost shifts identified in the Audit Report are primarily due to the design of Rider NMB and not the Pilot Program.  For example, the Ohio Consumers Counsel (“OCC”) </w:t>
      </w:r>
      <w:r w:rsidR="00613A5E">
        <w:rPr>
          <w:sz w:val="24"/>
          <w:szCs w:val="24"/>
        </w:rPr>
        <w:t>notes that Exeter “identified cost shifts as occurring due to the structure of Rider NMB.”</w:t>
      </w:r>
      <w:r w:rsidR="00613A5E">
        <w:rPr>
          <w:rStyle w:val="FootnoteReference"/>
          <w:sz w:val="24"/>
          <w:szCs w:val="24"/>
        </w:rPr>
        <w:footnoteReference w:id="5"/>
      </w:r>
      <w:r w:rsidR="00613A5E">
        <w:rPr>
          <w:sz w:val="24"/>
          <w:szCs w:val="24"/>
        </w:rPr>
        <w:t xml:space="preserve">  Similarly, OMAEG agrees with Exeter’s conclusion that Rider NMB allocations are inconsistent with PJM cost causation and </w:t>
      </w:r>
      <w:r w:rsidR="0032655F">
        <w:rPr>
          <w:sz w:val="24"/>
          <w:szCs w:val="24"/>
        </w:rPr>
        <w:t xml:space="preserve">explains </w:t>
      </w:r>
      <w:r w:rsidR="00613A5E">
        <w:rPr>
          <w:sz w:val="24"/>
          <w:szCs w:val="24"/>
        </w:rPr>
        <w:t>that cost shifting is due to</w:t>
      </w:r>
      <w:r w:rsidR="0032655F">
        <w:rPr>
          <w:sz w:val="24"/>
          <w:szCs w:val="24"/>
        </w:rPr>
        <w:t xml:space="preserve"> the flawed design </w:t>
      </w:r>
      <w:r w:rsidR="0032655F">
        <w:rPr>
          <w:sz w:val="24"/>
          <w:szCs w:val="24"/>
        </w:rPr>
        <w:lastRenderedPageBreak/>
        <w:t>of Rider NMB.</w:t>
      </w:r>
      <w:r w:rsidR="00364A8D">
        <w:rPr>
          <w:rStyle w:val="FootnoteReference"/>
          <w:sz w:val="24"/>
          <w:szCs w:val="24"/>
        </w:rPr>
        <w:footnoteReference w:id="6"/>
      </w:r>
      <w:r w:rsidR="007F520B">
        <w:rPr>
          <w:sz w:val="24"/>
          <w:szCs w:val="24"/>
        </w:rPr>
        <w:t xml:space="preserve">  </w:t>
      </w:r>
      <w:r w:rsidR="0075277A">
        <w:rPr>
          <w:sz w:val="24"/>
          <w:szCs w:val="24"/>
        </w:rPr>
        <w:t>Exeter’s conclusion</w:t>
      </w:r>
      <w:r w:rsidR="007F520B">
        <w:rPr>
          <w:sz w:val="24"/>
          <w:szCs w:val="24"/>
        </w:rPr>
        <w:t xml:space="preserve"> that cost shifts are due to the design of Rider NMB</w:t>
      </w:r>
      <w:r w:rsidR="008B5911">
        <w:rPr>
          <w:sz w:val="24"/>
          <w:szCs w:val="24"/>
        </w:rPr>
        <w:t xml:space="preserve"> and not the </w:t>
      </w:r>
      <w:r w:rsidR="007F520B">
        <w:rPr>
          <w:sz w:val="24"/>
          <w:szCs w:val="24"/>
        </w:rPr>
        <w:t>Pilot Program</w:t>
      </w:r>
      <w:r w:rsidR="005866BE">
        <w:rPr>
          <w:sz w:val="24"/>
          <w:szCs w:val="24"/>
        </w:rPr>
        <w:t xml:space="preserve"> was unchallenged</w:t>
      </w:r>
      <w:r w:rsidR="007F520B">
        <w:rPr>
          <w:sz w:val="24"/>
          <w:szCs w:val="24"/>
        </w:rPr>
        <w:t>.</w:t>
      </w:r>
    </w:p>
    <w:p w14:paraId="30AA2740" w14:textId="5C2087CB" w:rsidR="007B03A2" w:rsidRDefault="007B03A2" w:rsidP="007B03A2">
      <w:pPr>
        <w:spacing w:after="0" w:line="240" w:lineRule="auto"/>
        <w:ind w:left="1440" w:hanging="720"/>
        <w:jc w:val="both"/>
        <w:rPr>
          <w:b/>
          <w:bCs/>
          <w:sz w:val="24"/>
          <w:szCs w:val="24"/>
        </w:rPr>
      </w:pPr>
      <w:r>
        <w:rPr>
          <w:b/>
          <w:bCs/>
          <w:sz w:val="24"/>
          <w:szCs w:val="24"/>
        </w:rPr>
        <w:t>B</w:t>
      </w:r>
      <w:r w:rsidRPr="009B0855">
        <w:rPr>
          <w:b/>
          <w:bCs/>
          <w:sz w:val="24"/>
          <w:szCs w:val="24"/>
        </w:rPr>
        <w:t>.</w:t>
      </w:r>
      <w:r w:rsidRPr="009B0855">
        <w:rPr>
          <w:b/>
          <w:bCs/>
          <w:sz w:val="24"/>
          <w:szCs w:val="24"/>
        </w:rPr>
        <w:tab/>
      </w:r>
      <w:r w:rsidR="005D4783">
        <w:rPr>
          <w:b/>
          <w:bCs/>
          <w:sz w:val="24"/>
          <w:szCs w:val="24"/>
        </w:rPr>
        <w:t>Any Modifications to Rider NMB and the NMB Pilot Program Should be Considered in</w:t>
      </w:r>
      <w:r w:rsidR="005D4783" w:rsidRPr="00BC39CE">
        <w:rPr>
          <w:b/>
          <w:bCs/>
          <w:sz w:val="24"/>
          <w:szCs w:val="24"/>
        </w:rPr>
        <w:t xml:space="preserve"> FirstEnergy’s </w:t>
      </w:r>
      <w:r w:rsidR="005D4783">
        <w:rPr>
          <w:b/>
          <w:bCs/>
          <w:sz w:val="24"/>
          <w:szCs w:val="24"/>
        </w:rPr>
        <w:t>P</w:t>
      </w:r>
      <w:r w:rsidR="005D4783" w:rsidRPr="00BC39CE">
        <w:rPr>
          <w:b/>
          <w:bCs/>
          <w:sz w:val="24"/>
          <w:szCs w:val="24"/>
        </w:rPr>
        <w:t xml:space="preserve">ending ESP </w:t>
      </w:r>
      <w:r w:rsidR="005D4783">
        <w:rPr>
          <w:b/>
          <w:bCs/>
          <w:sz w:val="24"/>
          <w:szCs w:val="24"/>
        </w:rPr>
        <w:t>V C</w:t>
      </w:r>
      <w:r w:rsidR="005D4783" w:rsidRPr="00BC39CE">
        <w:rPr>
          <w:b/>
          <w:bCs/>
          <w:sz w:val="24"/>
          <w:szCs w:val="24"/>
        </w:rPr>
        <w:t>ase</w:t>
      </w:r>
      <w:r w:rsidRPr="009B0855">
        <w:rPr>
          <w:b/>
          <w:bCs/>
          <w:sz w:val="24"/>
          <w:szCs w:val="24"/>
        </w:rPr>
        <w:t xml:space="preserve"> </w:t>
      </w:r>
    </w:p>
    <w:p w14:paraId="330AD177" w14:textId="77777777" w:rsidR="007B03A2" w:rsidRPr="009B0855" w:rsidRDefault="007B03A2" w:rsidP="007B03A2">
      <w:pPr>
        <w:spacing w:after="0" w:line="240" w:lineRule="auto"/>
        <w:ind w:firstLine="720"/>
        <w:jc w:val="both"/>
        <w:rPr>
          <w:b/>
          <w:bCs/>
          <w:sz w:val="24"/>
          <w:szCs w:val="24"/>
        </w:rPr>
      </w:pPr>
    </w:p>
    <w:p w14:paraId="16CC24BD" w14:textId="2DD760BD" w:rsidR="007B03A2" w:rsidRDefault="007B03A2" w:rsidP="007B03A2">
      <w:pPr>
        <w:spacing w:after="0" w:line="480" w:lineRule="auto"/>
        <w:ind w:firstLine="720"/>
        <w:jc w:val="both"/>
        <w:rPr>
          <w:sz w:val="24"/>
          <w:szCs w:val="24"/>
        </w:rPr>
      </w:pPr>
      <w:r>
        <w:rPr>
          <w:sz w:val="24"/>
          <w:szCs w:val="24"/>
        </w:rPr>
        <w:t xml:space="preserve">While there was general agreement among </w:t>
      </w:r>
      <w:r w:rsidR="00AB3B3A">
        <w:rPr>
          <w:sz w:val="24"/>
          <w:szCs w:val="24"/>
        </w:rPr>
        <w:t>most</w:t>
      </w:r>
      <w:r>
        <w:rPr>
          <w:sz w:val="24"/>
          <w:szCs w:val="24"/>
        </w:rPr>
        <w:t xml:space="preserve"> parties about the benefits of </w:t>
      </w:r>
      <w:r w:rsidR="00AB3B3A">
        <w:rPr>
          <w:sz w:val="24"/>
          <w:szCs w:val="24"/>
        </w:rPr>
        <w:t xml:space="preserve">the </w:t>
      </w:r>
      <w:r>
        <w:rPr>
          <w:sz w:val="24"/>
          <w:szCs w:val="24"/>
        </w:rPr>
        <w:t>NSPL pricing approach reflected in the Pilot Program</w:t>
      </w:r>
      <w:r w:rsidR="00364A8D">
        <w:rPr>
          <w:sz w:val="24"/>
          <w:szCs w:val="24"/>
        </w:rPr>
        <w:t xml:space="preserve"> and the flaws in the design of Rider NMB</w:t>
      </w:r>
      <w:r>
        <w:rPr>
          <w:sz w:val="24"/>
          <w:szCs w:val="24"/>
        </w:rPr>
        <w:t xml:space="preserve">, the main </w:t>
      </w:r>
      <w:r w:rsidR="005D4783">
        <w:rPr>
          <w:sz w:val="24"/>
          <w:szCs w:val="24"/>
        </w:rPr>
        <w:t>area</w:t>
      </w:r>
      <w:r>
        <w:rPr>
          <w:sz w:val="24"/>
          <w:szCs w:val="24"/>
        </w:rPr>
        <w:t xml:space="preserve"> of disagreement among the </w:t>
      </w:r>
      <w:proofErr w:type="gramStart"/>
      <w:r>
        <w:rPr>
          <w:sz w:val="24"/>
          <w:szCs w:val="24"/>
        </w:rPr>
        <w:t>parties</w:t>
      </w:r>
      <w:proofErr w:type="gramEnd"/>
      <w:r w:rsidR="009A5559">
        <w:rPr>
          <w:sz w:val="24"/>
          <w:szCs w:val="24"/>
        </w:rPr>
        <w:t xml:space="preserve"> </w:t>
      </w:r>
      <w:r w:rsidR="0071411E">
        <w:rPr>
          <w:sz w:val="24"/>
          <w:szCs w:val="24"/>
        </w:rPr>
        <w:t>concerns</w:t>
      </w:r>
      <w:r w:rsidR="009A5559">
        <w:rPr>
          <w:sz w:val="24"/>
          <w:szCs w:val="24"/>
        </w:rPr>
        <w:t xml:space="preserve"> what to do about Rider NMB itself.  Specifically, there is a split among the parties as to Ex</w:t>
      </w:r>
      <w:r w:rsidR="000060A5">
        <w:rPr>
          <w:sz w:val="24"/>
          <w:szCs w:val="24"/>
        </w:rPr>
        <w:t>e</w:t>
      </w:r>
      <w:r w:rsidR="009A5559">
        <w:rPr>
          <w:sz w:val="24"/>
          <w:szCs w:val="24"/>
        </w:rPr>
        <w:t xml:space="preserve">ter’s </w:t>
      </w:r>
      <w:r w:rsidR="006770AB">
        <w:rPr>
          <w:sz w:val="24"/>
          <w:szCs w:val="24"/>
        </w:rPr>
        <w:t xml:space="preserve">Recommendation 1, which is to eliminate Rider NMB for all customers and assign PJM transmission charges (and all other billing line items currently included in Rider NMB) to the </w:t>
      </w:r>
      <w:r w:rsidR="00E0751B">
        <w:rPr>
          <w:sz w:val="24"/>
          <w:szCs w:val="24"/>
        </w:rPr>
        <w:t xml:space="preserve">customers’ </w:t>
      </w:r>
      <w:r w:rsidR="006770AB">
        <w:rPr>
          <w:sz w:val="24"/>
          <w:szCs w:val="24"/>
        </w:rPr>
        <w:t>retail suppliers.</w:t>
      </w:r>
      <w:r w:rsidR="006770AB">
        <w:rPr>
          <w:rStyle w:val="FootnoteReference"/>
          <w:sz w:val="24"/>
          <w:szCs w:val="24"/>
        </w:rPr>
        <w:footnoteReference w:id="7"/>
      </w:r>
      <w:r w:rsidR="00283E59">
        <w:rPr>
          <w:sz w:val="24"/>
          <w:szCs w:val="24"/>
        </w:rPr>
        <w:t xml:space="preserve">  OCC</w:t>
      </w:r>
      <w:r w:rsidR="0032655F">
        <w:rPr>
          <w:sz w:val="24"/>
          <w:szCs w:val="24"/>
        </w:rPr>
        <w:t xml:space="preserve">, </w:t>
      </w:r>
      <w:r w:rsidR="00283E59">
        <w:rPr>
          <w:sz w:val="24"/>
          <w:szCs w:val="24"/>
        </w:rPr>
        <w:t>OMAEG</w:t>
      </w:r>
      <w:r w:rsidR="0032655F">
        <w:rPr>
          <w:sz w:val="24"/>
          <w:szCs w:val="24"/>
        </w:rPr>
        <w:t>, and Calpine Retail Holdings, LLC (“Calpine”)</w:t>
      </w:r>
      <w:r w:rsidR="00283E59">
        <w:rPr>
          <w:sz w:val="24"/>
          <w:szCs w:val="24"/>
        </w:rPr>
        <w:t xml:space="preserve"> urge the Commission to adopt Recommendation 1, while RESA, OEG, and FirstEnergy advise against elimination of Rider NMB.</w:t>
      </w:r>
      <w:r w:rsidR="00283E59">
        <w:rPr>
          <w:rStyle w:val="FootnoteReference"/>
          <w:sz w:val="24"/>
          <w:szCs w:val="24"/>
        </w:rPr>
        <w:footnoteReference w:id="8"/>
      </w:r>
      <w:r w:rsidR="00161357">
        <w:rPr>
          <w:sz w:val="24"/>
          <w:szCs w:val="24"/>
        </w:rPr>
        <w:t xml:space="preserve">  </w:t>
      </w:r>
      <w:r w:rsidR="00283E59">
        <w:rPr>
          <w:sz w:val="24"/>
          <w:szCs w:val="24"/>
        </w:rPr>
        <w:t xml:space="preserve"> </w:t>
      </w:r>
      <w:r w:rsidR="009A5559">
        <w:rPr>
          <w:sz w:val="24"/>
          <w:szCs w:val="24"/>
        </w:rPr>
        <w:t xml:space="preserve">  </w:t>
      </w:r>
      <w:r>
        <w:rPr>
          <w:sz w:val="24"/>
          <w:szCs w:val="24"/>
        </w:rPr>
        <w:t xml:space="preserve"> </w:t>
      </w:r>
    </w:p>
    <w:p w14:paraId="66EEFB59" w14:textId="242E8863" w:rsidR="00146FDB" w:rsidRDefault="00146FDB" w:rsidP="009B0855">
      <w:pPr>
        <w:spacing w:after="0" w:line="480" w:lineRule="auto"/>
        <w:ind w:firstLine="720"/>
        <w:jc w:val="both"/>
        <w:rPr>
          <w:sz w:val="24"/>
          <w:szCs w:val="24"/>
        </w:rPr>
      </w:pPr>
      <w:r>
        <w:rPr>
          <w:sz w:val="24"/>
          <w:szCs w:val="24"/>
        </w:rPr>
        <w:t>Consistent with Exeter’s Recommendation 3 and the comments of several parties in this case,</w:t>
      </w:r>
      <w:r>
        <w:rPr>
          <w:rStyle w:val="FootnoteReference"/>
          <w:sz w:val="24"/>
          <w:szCs w:val="24"/>
        </w:rPr>
        <w:footnoteReference w:id="9"/>
      </w:r>
      <w:r>
        <w:rPr>
          <w:sz w:val="24"/>
          <w:szCs w:val="24"/>
        </w:rPr>
        <w:t xml:space="preserve"> the discussion of what to do about Rider NMB and the Pilot Program should be continued in FirstEnergy’s </w:t>
      </w:r>
      <w:r w:rsidR="00132835">
        <w:rPr>
          <w:sz w:val="24"/>
          <w:szCs w:val="24"/>
        </w:rPr>
        <w:t xml:space="preserve">pending </w:t>
      </w:r>
      <w:r>
        <w:rPr>
          <w:sz w:val="24"/>
          <w:szCs w:val="24"/>
        </w:rPr>
        <w:t xml:space="preserve">ESP V proceeding.  In the meantime, to avoid any unnecessary disruption to customer expectations and to allow parties time to adjust to any changes to Rider NMB or the Pilot Program, no changes should be made to Rider NMB or the Pilot Program through the term of the current ESP.    As OEG recommends, the Commission “should preserve the status quo until </w:t>
      </w:r>
      <w:r>
        <w:rPr>
          <w:sz w:val="24"/>
          <w:szCs w:val="24"/>
        </w:rPr>
        <w:lastRenderedPageBreak/>
        <w:t>the current ESP expires and then make any desired modifications to the programs as part of any new ESP approved for FirstEnergy.”</w:t>
      </w:r>
      <w:r w:rsidR="00550313">
        <w:rPr>
          <w:rStyle w:val="FootnoteReference"/>
          <w:sz w:val="24"/>
          <w:szCs w:val="24"/>
        </w:rPr>
        <w:footnoteReference w:id="10"/>
      </w:r>
    </w:p>
    <w:p w14:paraId="6406506F" w14:textId="1257E2D5" w:rsidR="00290620" w:rsidRPr="005272E0" w:rsidRDefault="0041056A" w:rsidP="00682238">
      <w:pPr>
        <w:spacing w:after="0" w:line="480" w:lineRule="auto"/>
        <w:rPr>
          <w:b/>
          <w:bCs/>
          <w:sz w:val="24"/>
          <w:szCs w:val="24"/>
        </w:rPr>
      </w:pPr>
      <w:r>
        <w:rPr>
          <w:b/>
          <w:bCs/>
          <w:sz w:val="24"/>
          <w:szCs w:val="24"/>
        </w:rPr>
        <w:t>I</w:t>
      </w:r>
      <w:r w:rsidR="002E0943">
        <w:rPr>
          <w:b/>
          <w:bCs/>
          <w:sz w:val="24"/>
          <w:szCs w:val="24"/>
        </w:rPr>
        <w:t>I</w:t>
      </w:r>
      <w:r w:rsidRPr="005272E0">
        <w:rPr>
          <w:b/>
          <w:bCs/>
          <w:sz w:val="24"/>
          <w:szCs w:val="24"/>
        </w:rPr>
        <w:t>.</w:t>
      </w:r>
      <w:r w:rsidRPr="005272E0">
        <w:rPr>
          <w:b/>
          <w:bCs/>
          <w:sz w:val="24"/>
          <w:szCs w:val="24"/>
        </w:rPr>
        <w:tab/>
      </w:r>
      <w:r w:rsidR="00682238" w:rsidRPr="005272E0">
        <w:rPr>
          <w:b/>
          <w:bCs/>
          <w:sz w:val="24"/>
          <w:szCs w:val="24"/>
        </w:rPr>
        <w:t>CONCLUSION</w:t>
      </w:r>
    </w:p>
    <w:p w14:paraId="15D1D102" w14:textId="0FEF5095" w:rsidR="005272E0" w:rsidRPr="00810114" w:rsidRDefault="0041056A" w:rsidP="004050C6">
      <w:pPr>
        <w:spacing w:line="480" w:lineRule="auto"/>
        <w:jc w:val="both"/>
        <w:rPr>
          <w:sz w:val="24"/>
          <w:szCs w:val="24"/>
        </w:rPr>
      </w:pPr>
      <w:r>
        <w:rPr>
          <w:sz w:val="24"/>
          <w:szCs w:val="24"/>
        </w:rPr>
        <w:tab/>
      </w:r>
      <w:r w:rsidR="00D609A8">
        <w:rPr>
          <w:sz w:val="24"/>
          <w:szCs w:val="24"/>
        </w:rPr>
        <w:t>Nucor agrees with OELC’s observation that the “NMB Pilot Program has, in a word, been a success.”</w:t>
      </w:r>
      <w:r w:rsidR="00D609A8">
        <w:rPr>
          <w:rStyle w:val="FootnoteReference"/>
          <w:sz w:val="24"/>
          <w:szCs w:val="24"/>
        </w:rPr>
        <w:footnoteReference w:id="11"/>
      </w:r>
      <w:r w:rsidR="00D609A8">
        <w:rPr>
          <w:sz w:val="24"/>
          <w:szCs w:val="24"/>
        </w:rPr>
        <w:t xml:space="preserve">  As a result, the Pilot Program should continue at least through the term of FirstEnergy’s current ESP</w:t>
      </w:r>
      <w:r w:rsidR="0071411E">
        <w:rPr>
          <w:sz w:val="24"/>
          <w:szCs w:val="24"/>
        </w:rPr>
        <w:t xml:space="preserve">, and the NSPL pricing mechanism reflected in the Pilot Program should be </w:t>
      </w:r>
      <w:r w:rsidR="0075277A">
        <w:rPr>
          <w:sz w:val="24"/>
          <w:szCs w:val="24"/>
        </w:rPr>
        <w:t xml:space="preserve">available </w:t>
      </w:r>
      <w:r w:rsidR="0071411E">
        <w:rPr>
          <w:sz w:val="24"/>
          <w:szCs w:val="24"/>
        </w:rPr>
        <w:t>for at least certain types of customers going forward</w:t>
      </w:r>
      <w:r w:rsidR="00F92381">
        <w:rPr>
          <w:sz w:val="24"/>
          <w:szCs w:val="24"/>
        </w:rPr>
        <w:t xml:space="preserve"> </w:t>
      </w:r>
      <w:r w:rsidR="0075277A">
        <w:rPr>
          <w:sz w:val="24"/>
          <w:szCs w:val="24"/>
        </w:rPr>
        <w:t>and on a permanent basis</w:t>
      </w:r>
      <w:r w:rsidR="00D609A8">
        <w:rPr>
          <w:sz w:val="24"/>
          <w:szCs w:val="24"/>
        </w:rPr>
        <w:t xml:space="preserve">.  Modifications to Rider NMB </w:t>
      </w:r>
      <w:r w:rsidR="0071411E">
        <w:rPr>
          <w:sz w:val="24"/>
          <w:szCs w:val="24"/>
        </w:rPr>
        <w:t xml:space="preserve">and the NMB Pilot Program </w:t>
      </w:r>
      <w:r w:rsidR="00D609A8">
        <w:rPr>
          <w:sz w:val="24"/>
          <w:szCs w:val="24"/>
        </w:rPr>
        <w:t xml:space="preserve">should be addressed in FirstEnergy’s </w:t>
      </w:r>
      <w:r w:rsidR="00132835">
        <w:rPr>
          <w:sz w:val="24"/>
          <w:szCs w:val="24"/>
        </w:rPr>
        <w:t xml:space="preserve">pending </w:t>
      </w:r>
      <w:r w:rsidR="00D609A8">
        <w:rPr>
          <w:sz w:val="24"/>
          <w:szCs w:val="24"/>
        </w:rPr>
        <w:t xml:space="preserve">ESP V proceeding.  </w:t>
      </w:r>
    </w:p>
    <w:p w14:paraId="2D4BFB84" w14:textId="77777777" w:rsidR="005272E0" w:rsidRPr="00E23868" w:rsidRDefault="0041056A" w:rsidP="004050C6">
      <w:pPr>
        <w:keepNext/>
        <w:keepLines/>
        <w:widowControl w:val="0"/>
        <w:spacing w:line="480" w:lineRule="auto"/>
        <w:ind w:left="4320"/>
        <w:jc w:val="both"/>
        <w:rPr>
          <w:rFonts w:cstheme="minorHAnsi"/>
          <w:sz w:val="24"/>
          <w:szCs w:val="24"/>
        </w:rPr>
      </w:pPr>
      <w:r w:rsidRPr="00E23868">
        <w:rPr>
          <w:rFonts w:cstheme="minorHAnsi"/>
          <w:sz w:val="24"/>
          <w:szCs w:val="24"/>
        </w:rPr>
        <w:t>Respectfully submitted,</w:t>
      </w:r>
    </w:p>
    <w:p w14:paraId="56FCBCDC" w14:textId="77777777" w:rsidR="005272E0" w:rsidRPr="00E23868" w:rsidRDefault="0041056A" w:rsidP="004050C6">
      <w:pPr>
        <w:keepNext/>
        <w:keepLines/>
        <w:widowControl w:val="0"/>
        <w:tabs>
          <w:tab w:val="left" w:pos="8190"/>
        </w:tabs>
        <w:spacing w:after="0" w:line="240" w:lineRule="auto"/>
        <w:ind w:left="4320"/>
        <w:jc w:val="both"/>
        <w:rPr>
          <w:rFonts w:cstheme="minorHAnsi"/>
          <w:sz w:val="24"/>
          <w:szCs w:val="24"/>
          <w:u w:val="single"/>
        </w:rPr>
      </w:pPr>
      <w:r w:rsidRPr="00E23868">
        <w:rPr>
          <w:i/>
          <w:sz w:val="24"/>
          <w:szCs w:val="24"/>
          <w:u w:val="single"/>
        </w:rPr>
        <w:t>/s/ Michael K. Lavanga</w:t>
      </w:r>
      <w:r w:rsidRPr="00E23868">
        <w:rPr>
          <w:rFonts w:cstheme="minorHAnsi"/>
          <w:sz w:val="24"/>
          <w:szCs w:val="24"/>
          <w:u w:val="single"/>
        </w:rPr>
        <w:tab/>
      </w:r>
    </w:p>
    <w:p w14:paraId="39957E3C" w14:textId="31672C69" w:rsidR="00E93CEC" w:rsidRPr="00E93CEC" w:rsidRDefault="00E93CEC" w:rsidP="00E93CEC">
      <w:pPr>
        <w:keepNext/>
        <w:keepLines/>
        <w:widowControl w:val="0"/>
        <w:tabs>
          <w:tab w:val="left" w:pos="9270"/>
        </w:tabs>
        <w:spacing w:after="0" w:line="240" w:lineRule="auto"/>
        <w:ind w:left="4320"/>
        <w:jc w:val="both"/>
        <w:rPr>
          <w:rFonts w:ascii="Calibri" w:hAnsi="Calibri"/>
          <w:sz w:val="24"/>
          <w:szCs w:val="24"/>
        </w:rPr>
      </w:pPr>
      <w:r w:rsidRPr="00E93CEC">
        <w:rPr>
          <w:rFonts w:ascii="Calibri" w:hAnsi="Calibri"/>
          <w:sz w:val="24"/>
          <w:szCs w:val="24"/>
        </w:rPr>
        <w:t>Michael K. Lavanga</w:t>
      </w:r>
    </w:p>
    <w:p w14:paraId="3718A6EE" w14:textId="3930DE93" w:rsidR="00E93CEC" w:rsidRPr="00E93CEC" w:rsidRDefault="00E93CEC" w:rsidP="00E93CEC">
      <w:pPr>
        <w:keepNext/>
        <w:keepLines/>
        <w:widowControl w:val="0"/>
        <w:tabs>
          <w:tab w:val="left" w:pos="9270"/>
        </w:tabs>
        <w:spacing w:after="0" w:line="240" w:lineRule="auto"/>
        <w:ind w:left="4320"/>
        <w:jc w:val="both"/>
        <w:rPr>
          <w:rFonts w:ascii="Calibri" w:hAnsi="Calibri"/>
          <w:sz w:val="24"/>
          <w:szCs w:val="24"/>
        </w:rPr>
      </w:pPr>
      <w:r w:rsidRPr="00E93CEC">
        <w:rPr>
          <w:rFonts w:ascii="Calibri" w:hAnsi="Calibri"/>
          <w:sz w:val="24"/>
          <w:szCs w:val="24"/>
        </w:rPr>
        <w:t>PHV #1014-202</w:t>
      </w:r>
      <w:r w:rsidR="002B07EC">
        <w:rPr>
          <w:rFonts w:ascii="Calibri" w:hAnsi="Calibri"/>
          <w:sz w:val="24"/>
          <w:szCs w:val="24"/>
        </w:rPr>
        <w:t>3</w:t>
      </w:r>
    </w:p>
    <w:p w14:paraId="47C8B7DA" w14:textId="77777777" w:rsidR="00E93CEC" w:rsidRPr="00E93CEC" w:rsidRDefault="00E93CEC" w:rsidP="00E93CEC">
      <w:pPr>
        <w:keepNext/>
        <w:keepLines/>
        <w:widowControl w:val="0"/>
        <w:tabs>
          <w:tab w:val="left" w:pos="9270"/>
        </w:tabs>
        <w:spacing w:after="0" w:line="240" w:lineRule="auto"/>
        <w:ind w:left="4320"/>
        <w:jc w:val="both"/>
        <w:rPr>
          <w:rFonts w:ascii="Calibri" w:hAnsi="Calibri"/>
          <w:sz w:val="24"/>
          <w:szCs w:val="24"/>
        </w:rPr>
      </w:pPr>
      <w:r w:rsidRPr="00E93CEC">
        <w:rPr>
          <w:rFonts w:ascii="Calibri" w:hAnsi="Calibri"/>
          <w:sz w:val="24"/>
          <w:szCs w:val="24"/>
        </w:rPr>
        <w:t xml:space="preserve">E-Mail: </w:t>
      </w:r>
      <w:hyperlink r:id="rId7" w:history="1">
        <w:r w:rsidRPr="00E93CEC">
          <w:rPr>
            <w:rStyle w:val="Hyperlink"/>
            <w:rFonts w:ascii="Calibri" w:hAnsi="Calibri"/>
            <w:sz w:val="24"/>
            <w:szCs w:val="24"/>
          </w:rPr>
          <w:t>mkl@smxblaw.com</w:t>
        </w:r>
      </w:hyperlink>
    </w:p>
    <w:p w14:paraId="7A41F34B" w14:textId="77777777" w:rsidR="00E93CEC" w:rsidRPr="00E93CEC" w:rsidRDefault="00E93CEC" w:rsidP="00E93CEC">
      <w:pPr>
        <w:keepNext/>
        <w:keepLines/>
        <w:widowControl w:val="0"/>
        <w:tabs>
          <w:tab w:val="left" w:pos="9270"/>
        </w:tabs>
        <w:spacing w:after="0" w:line="240" w:lineRule="auto"/>
        <w:ind w:left="4320" w:firstLine="360"/>
        <w:jc w:val="both"/>
        <w:rPr>
          <w:rFonts w:ascii="Calibri" w:hAnsi="Calibri"/>
          <w:i/>
          <w:sz w:val="24"/>
          <w:szCs w:val="24"/>
        </w:rPr>
      </w:pPr>
      <w:r w:rsidRPr="00E93CEC">
        <w:rPr>
          <w:rFonts w:ascii="Calibri" w:hAnsi="Calibri"/>
          <w:i/>
          <w:sz w:val="24"/>
          <w:szCs w:val="24"/>
        </w:rPr>
        <w:t>Counsel of Record</w:t>
      </w:r>
    </w:p>
    <w:p w14:paraId="4F1F80ED" w14:textId="3AA6F08D" w:rsidR="00E93CEC" w:rsidRPr="00E93CEC" w:rsidRDefault="00E93CEC" w:rsidP="00E93CEC">
      <w:pPr>
        <w:keepNext/>
        <w:keepLines/>
        <w:widowControl w:val="0"/>
        <w:tabs>
          <w:tab w:val="left" w:pos="9270"/>
        </w:tabs>
        <w:spacing w:after="0" w:line="240" w:lineRule="auto"/>
        <w:ind w:left="4320"/>
        <w:jc w:val="both"/>
        <w:rPr>
          <w:rFonts w:ascii="Calibri" w:hAnsi="Calibri"/>
          <w:iCs/>
          <w:sz w:val="24"/>
          <w:szCs w:val="24"/>
        </w:rPr>
      </w:pPr>
      <w:r w:rsidRPr="00E93CEC">
        <w:rPr>
          <w:rFonts w:ascii="Calibri" w:hAnsi="Calibri"/>
          <w:iCs/>
          <w:sz w:val="24"/>
          <w:szCs w:val="24"/>
        </w:rPr>
        <w:t>Joseph R. Briscar</w:t>
      </w:r>
    </w:p>
    <w:p w14:paraId="06A1E788" w14:textId="430FD450" w:rsidR="00E93CEC" w:rsidRPr="00E93CEC" w:rsidRDefault="00E93CEC" w:rsidP="00E93CEC">
      <w:pPr>
        <w:keepNext/>
        <w:keepLines/>
        <w:widowControl w:val="0"/>
        <w:tabs>
          <w:tab w:val="left" w:pos="9270"/>
        </w:tabs>
        <w:spacing w:after="0" w:line="240" w:lineRule="auto"/>
        <w:ind w:left="4320"/>
        <w:jc w:val="both"/>
        <w:rPr>
          <w:rFonts w:ascii="Calibri" w:hAnsi="Calibri"/>
          <w:sz w:val="24"/>
          <w:szCs w:val="24"/>
        </w:rPr>
      </w:pPr>
      <w:r w:rsidRPr="00E93CEC">
        <w:rPr>
          <w:rFonts w:ascii="Calibri" w:hAnsi="Calibri"/>
          <w:iCs/>
          <w:sz w:val="24"/>
          <w:szCs w:val="24"/>
        </w:rPr>
        <w:t>PHV #21216-202</w:t>
      </w:r>
      <w:r w:rsidR="002B07EC">
        <w:rPr>
          <w:rFonts w:ascii="Calibri" w:hAnsi="Calibri"/>
          <w:iCs/>
          <w:sz w:val="24"/>
          <w:szCs w:val="24"/>
        </w:rPr>
        <w:t>3</w:t>
      </w:r>
    </w:p>
    <w:p w14:paraId="0C3C014F" w14:textId="77777777" w:rsidR="00E93CEC" w:rsidRPr="00E93CEC" w:rsidRDefault="00E93CEC" w:rsidP="00E93CEC">
      <w:pPr>
        <w:keepNext/>
        <w:keepLines/>
        <w:widowControl w:val="0"/>
        <w:tabs>
          <w:tab w:val="left" w:pos="9270"/>
        </w:tabs>
        <w:spacing w:after="0" w:line="240" w:lineRule="auto"/>
        <w:ind w:left="4320"/>
        <w:jc w:val="both"/>
        <w:rPr>
          <w:rFonts w:ascii="Calibri" w:hAnsi="Calibri"/>
          <w:sz w:val="24"/>
          <w:szCs w:val="24"/>
        </w:rPr>
      </w:pPr>
      <w:r w:rsidRPr="00E93CEC">
        <w:rPr>
          <w:rFonts w:ascii="Calibri" w:hAnsi="Calibri"/>
          <w:iCs/>
          <w:sz w:val="24"/>
          <w:szCs w:val="24"/>
        </w:rPr>
        <w:t xml:space="preserve">E-Mail: </w:t>
      </w:r>
      <w:hyperlink r:id="rId8" w:history="1">
        <w:r w:rsidRPr="00E93CEC">
          <w:rPr>
            <w:rStyle w:val="Hyperlink"/>
            <w:rFonts w:ascii="Calibri" w:hAnsi="Calibri"/>
            <w:iCs/>
            <w:sz w:val="24"/>
            <w:szCs w:val="24"/>
          </w:rPr>
          <w:t>jrb@smxblaw.com</w:t>
        </w:r>
      </w:hyperlink>
    </w:p>
    <w:p w14:paraId="750AF050" w14:textId="77777777" w:rsidR="00E93CEC" w:rsidRPr="00E93CEC" w:rsidRDefault="00E93CEC" w:rsidP="00E93CEC">
      <w:pPr>
        <w:keepNext/>
        <w:keepLines/>
        <w:widowControl w:val="0"/>
        <w:tabs>
          <w:tab w:val="left" w:pos="9270"/>
        </w:tabs>
        <w:spacing w:after="0" w:line="240" w:lineRule="auto"/>
        <w:ind w:left="4320"/>
        <w:jc w:val="both"/>
        <w:rPr>
          <w:rFonts w:ascii="Calibri" w:hAnsi="Calibri"/>
          <w:sz w:val="24"/>
          <w:szCs w:val="24"/>
        </w:rPr>
      </w:pPr>
    </w:p>
    <w:p w14:paraId="3FB22B3E" w14:textId="77777777" w:rsidR="00E93CEC" w:rsidRPr="00E93CEC" w:rsidRDefault="00E93CEC" w:rsidP="00E93CEC">
      <w:pPr>
        <w:keepNext/>
        <w:keepLines/>
        <w:widowControl w:val="0"/>
        <w:tabs>
          <w:tab w:val="left" w:pos="9270"/>
        </w:tabs>
        <w:spacing w:after="0" w:line="240" w:lineRule="auto"/>
        <w:ind w:left="4320"/>
        <w:jc w:val="both"/>
        <w:rPr>
          <w:rFonts w:ascii="Calibri" w:hAnsi="Calibri"/>
          <w:sz w:val="24"/>
          <w:szCs w:val="24"/>
        </w:rPr>
      </w:pPr>
      <w:r w:rsidRPr="00E93CEC">
        <w:rPr>
          <w:rFonts w:ascii="Calibri" w:hAnsi="Calibri"/>
          <w:sz w:val="24"/>
          <w:szCs w:val="24"/>
        </w:rPr>
        <w:t>Stone Mattheis Xenopoulos &amp; Brew, PC</w:t>
      </w:r>
    </w:p>
    <w:p w14:paraId="3131BEDE" w14:textId="77777777" w:rsidR="00E93CEC" w:rsidRPr="00E93CEC" w:rsidRDefault="00E93CEC" w:rsidP="00E93CEC">
      <w:pPr>
        <w:keepNext/>
        <w:keepLines/>
        <w:widowControl w:val="0"/>
        <w:tabs>
          <w:tab w:val="left" w:pos="9270"/>
        </w:tabs>
        <w:spacing w:after="0" w:line="240" w:lineRule="auto"/>
        <w:ind w:left="4320"/>
        <w:jc w:val="both"/>
        <w:rPr>
          <w:rFonts w:ascii="Calibri" w:hAnsi="Calibri"/>
          <w:sz w:val="24"/>
          <w:szCs w:val="24"/>
        </w:rPr>
      </w:pPr>
      <w:r w:rsidRPr="00E93CEC">
        <w:rPr>
          <w:rFonts w:ascii="Calibri" w:hAnsi="Calibri"/>
          <w:sz w:val="24"/>
          <w:szCs w:val="24"/>
        </w:rPr>
        <w:t>1025 Thomas Jefferson Street, NW</w:t>
      </w:r>
    </w:p>
    <w:p w14:paraId="5C742037" w14:textId="77777777" w:rsidR="00E93CEC" w:rsidRPr="00E93CEC" w:rsidRDefault="00E93CEC" w:rsidP="00E93CEC">
      <w:pPr>
        <w:keepNext/>
        <w:keepLines/>
        <w:widowControl w:val="0"/>
        <w:tabs>
          <w:tab w:val="left" w:pos="9270"/>
        </w:tabs>
        <w:spacing w:after="0" w:line="240" w:lineRule="auto"/>
        <w:ind w:left="4320"/>
        <w:jc w:val="both"/>
        <w:rPr>
          <w:rFonts w:ascii="Calibri" w:hAnsi="Calibri"/>
          <w:sz w:val="24"/>
          <w:szCs w:val="24"/>
        </w:rPr>
      </w:pPr>
      <w:r w:rsidRPr="00E93CEC">
        <w:rPr>
          <w:rFonts w:ascii="Calibri" w:hAnsi="Calibri"/>
          <w:sz w:val="24"/>
          <w:szCs w:val="24"/>
        </w:rPr>
        <w:t xml:space="preserve">Suite 800 West </w:t>
      </w:r>
    </w:p>
    <w:p w14:paraId="6E04C873" w14:textId="77777777" w:rsidR="00E93CEC" w:rsidRPr="00E93CEC" w:rsidRDefault="00E93CEC" w:rsidP="00E93CEC">
      <w:pPr>
        <w:keepNext/>
        <w:keepLines/>
        <w:widowControl w:val="0"/>
        <w:tabs>
          <w:tab w:val="left" w:pos="9270"/>
        </w:tabs>
        <w:spacing w:after="0" w:line="240" w:lineRule="auto"/>
        <w:ind w:left="4320"/>
        <w:jc w:val="both"/>
        <w:rPr>
          <w:rFonts w:ascii="Calibri" w:hAnsi="Calibri"/>
          <w:sz w:val="24"/>
          <w:szCs w:val="24"/>
        </w:rPr>
      </w:pPr>
      <w:r w:rsidRPr="00E93CEC">
        <w:rPr>
          <w:rFonts w:ascii="Calibri" w:hAnsi="Calibri"/>
          <w:sz w:val="24"/>
          <w:szCs w:val="24"/>
        </w:rPr>
        <w:t>Washington, DC 20007</w:t>
      </w:r>
    </w:p>
    <w:p w14:paraId="488AE840" w14:textId="77777777" w:rsidR="00E93CEC" w:rsidRPr="00E93CEC" w:rsidRDefault="00E93CEC" w:rsidP="00E93CEC">
      <w:pPr>
        <w:keepNext/>
        <w:keepLines/>
        <w:widowControl w:val="0"/>
        <w:tabs>
          <w:tab w:val="left" w:pos="9270"/>
        </w:tabs>
        <w:spacing w:after="0" w:line="240" w:lineRule="auto"/>
        <w:ind w:left="4320"/>
        <w:jc w:val="both"/>
        <w:rPr>
          <w:rFonts w:ascii="Calibri" w:hAnsi="Calibri"/>
          <w:sz w:val="24"/>
          <w:szCs w:val="24"/>
        </w:rPr>
      </w:pPr>
      <w:r w:rsidRPr="00E93CEC">
        <w:rPr>
          <w:rFonts w:ascii="Calibri" w:hAnsi="Calibri"/>
          <w:sz w:val="24"/>
          <w:szCs w:val="24"/>
        </w:rPr>
        <w:t>(202) 342-0800 (Main Number)</w:t>
      </w:r>
    </w:p>
    <w:p w14:paraId="13FCBE7D" w14:textId="77777777" w:rsidR="00E93CEC" w:rsidRPr="00E93CEC" w:rsidRDefault="00E93CEC" w:rsidP="00E93CEC">
      <w:pPr>
        <w:keepNext/>
        <w:keepLines/>
        <w:widowControl w:val="0"/>
        <w:tabs>
          <w:tab w:val="left" w:pos="9270"/>
        </w:tabs>
        <w:spacing w:after="0" w:line="240" w:lineRule="auto"/>
        <w:ind w:left="4320"/>
        <w:jc w:val="both"/>
        <w:rPr>
          <w:rFonts w:ascii="Calibri" w:hAnsi="Calibri"/>
          <w:sz w:val="24"/>
          <w:szCs w:val="24"/>
        </w:rPr>
      </w:pPr>
      <w:r w:rsidRPr="00E93CEC">
        <w:rPr>
          <w:rFonts w:ascii="Calibri" w:hAnsi="Calibri"/>
          <w:sz w:val="24"/>
          <w:szCs w:val="24"/>
        </w:rPr>
        <w:t>(202) 342-0807 (Facsimile)</w:t>
      </w:r>
    </w:p>
    <w:p w14:paraId="3E01286C" w14:textId="6BA1CF2A" w:rsidR="005272E0" w:rsidRPr="00E23868" w:rsidRDefault="005272E0" w:rsidP="004050C6">
      <w:pPr>
        <w:keepNext/>
        <w:keepLines/>
        <w:widowControl w:val="0"/>
        <w:tabs>
          <w:tab w:val="left" w:pos="9270"/>
        </w:tabs>
        <w:spacing w:after="0" w:line="240" w:lineRule="auto"/>
        <w:ind w:left="4320"/>
        <w:jc w:val="both"/>
        <w:rPr>
          <w:rFonts w:ascii="Calibri" w:hAnsi="Calibri"/>
          <w:sz w:val="24"/>
          <w:szCs w:val="24"/>
        </w:rPr>
      </w:pPr>
    </w:p>
    <w:p w14:paraId="57BC551B" w14:textId="66FEF6E9" w:rsidR="003E3B1C" w:rsidRDefault="0041056A" w:rsidP="004050C6">
      <w:pPr>
        <w:keepNext/>
        <w:keepLines/>
        <w:rPr>
          <w:sz w:val="24"/>
          <w:szCs w:val="24"/>
        </w:rPr>
      </w:pP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r w:rsidRPr="00E23868">
        <w:rPr>
          <w:rFonts w:ascii="Calibri" w:hAnsi="Calibri"/>
          <w:b/>
          <w:bCs/>
          <w:sz w:val="24"/>
          <w:szCs w:val="24"/>
        </w:rPr>
        <w:t>Attorney</w:t>
      </w:r>
      <w:r w:rsidR="00E93CEC">
        <w:rPr>
          <w:rFonts w:ascii="Calibri" w:hAnsi="Calibri"/>
          <w:b/>
          <w:bCs/>
          <w:sz w:val="24"/>
          <w:szCs w:val="24"/>
        </w:rPr>
        <w:t>s</w:t>
      </w:r>
      <w:r w:rsidRPr="00E23868">
        <w:rPr>
          <w:rFonts w:ascii="Calibri" w:hAnsi="Calibri"/>
          <w:b/>
          <w:bCs/>
          <w:sz w:val="24"/>
          <w:szCs w:val="24"/>
        </w:rPr>
        <w:t xml:space="preserve"> for Nucor Steel Marion, Inc.</w:t>
      </w:r>
      <w:r w:rsidR="003E0A08">
        <w:rPr>
          <w:sz w:val="24"/>
          <w:szCs w:val="24"/>
        </w:rPr>
        <w:tab/>
      </w:r>
    </w:p>
    <w:p w14:paraId="78F745A0" w14:textId="77777777" w:rsidR="00D40214" w:rsidRPr="00D74A58" w:rsidRDefault="00D40214" w:rsidP="00D40214">
      <w:pPr>
        <w:widowControl w:val="0"/>
        <w:rPr>
          <w:rFonts w:ascii="Calibri" w:hAnsi="Calibri"/>
          <w:b/>
        </w:rPr>
      </w:pPr>
    </w:p>
    <w:p w14:paraId="4136FAFF" w14:textId="77777777" w:rsidR="00D40214" w:rsidRPr="00D74A58" w:rsidRDefault="00D40214" w:rsidP="00D40214">
      <w:pPr>
        <w:widowControl w:val="0"/>
        <w:jc w:val="center"/>
        <w:rPr>
          <w:rFonts w:ascii="Calibri" w:hAnsi="Calibri"/>
          <w:b/>
          <w:color w:val="000000"/>
          <w:szCs w:val="24"/>
          <w:u w:val="single"/>
        </w:rPr>
        <w:sectPr w:rsidR="00D40214" w:rsidRPr="00D74A58" w:rsidSect="00A3511B">
          <w:footerReference w:type="default" r:id="rId9"/>
          <w:pgSz w:w="12240" w:h="15840" w:code="1"/>
          <w:pgMar w:top="1440" w:right="1440" w:bottom="1440" w:left="1440" w:header="720" w:footer="720" w:gutter="0"/>
          <w:pgNumType w:start="1"/>
          <w:cols w:space="720"/>
          <w:docGrid w:linePitch="254"/>
        </w:sectPr>
      </w:pPr>
    </w:p>
    <w:p w14:paraId="789EEF6B" w14:textId="77777777" w:rsidR="003C7735" w:rsidRPr="008F35BB" w:rsidRDefault="003C7735" w:rsidP="003C7735">
      <w:pPr>
        <w:widowControl w:val="0"/>
        <w:jc w:val="center"/>
        <w:rPr>
          <w:rFonts w:ascii="Calibri" w:hAnsi="Calibri"/>
          <w:b/>
          <w:color w:val="000000"/>
          <w:sz w:val="24"/>
          <w:szCs w:val="28"/>
          <w:u w:val="single"/>
        </w:rPr>
      </w:pPr>
      <w:r w:rsidRPr="008F35BB">
        <w:rPr>
          <w:rFonts w:ascii="Calibri" w:hAnsi="Calibri"/>
          <w:b/>
          <w:color w:val="000000"/>
          <w:sz w:val="24"/>
          <w:szCs w:val="28"/>
          <w:u w:val="single"/>
        </w:rPr>
        <w:lastRenderedPageBreak/>
        <w:t>CERTIFICATE OF SERVICE</w:t>
      </w:r>
    </w:p>
    <w:p w14:paraId="0453C8D2" w14:textId="77777777" w:rsidR="003C7735" w:rsidRPr="008F35BB" w:rsidRDefault="003C7735" w:rsidP="003C7735">
      <w:pPr>
        <w:widowControl w:val="0"/>
        <w:jc w:val="both"/>
        <w:rPr>
          <w:rFonts w:ascii="Calibri" w:hAnsi="Calibri"/>
          <w:color w:val="000000"/>
          <w:sz w:val="24"/>
          <w:szCs w:val="28"/>
        </w:rPr>
      </w:pPr>
    </w:p>
    <w:p w14:paraId="1D4BD7F7" w14:textId="6411F8F2" w:rsidR="003C7735" w:rsidRPr="008F35BB" w:rsidRDefault="003C7735" w:rsidP="003C7735">
      <w:pPr>
        <w:widowControl w:val="0"/>
        <w:ind w:firstLine="720"/>
        <w:jc w:val="both"/>
        <w:rPr>
          <w:rFonts w:ascii="Calibri" w:hAnsi="Calibri"/>
          <w:color w:val="000000"/>
          <w:sz w:val="24"/>
          <w:szCs w:val="28"/>
        </w:rPr>
      </w:pPr>
      <w:r w:rsidRPr="008F35BB">
        <w:rPr>
          <w:rFonts w:ascii="Calibri" w:hAnsi="Calibri"/>
          <w:color w:val="000000"/>
          <w:sz w:val="24"/>
          <w:szCs w:val="28"/>
        </w:rPr>
        <w:t xml:space="preserve">The Public Utilities Commission of Ohio’s e-filing system will electronically serve notice of the filing of this document on the parties who have electronically subscribed to this case. In addition, I hereby certify that a copy of the foregoing was served upon the following parties of record or as a courtesy, via electronic transmission on </w:t>
      </w:r>
      <w:r w:rsidR="008F35BB" w:rsidRPr="008F35BB">
        <w:rPr>
          <w:rFonts w:ascii="Calibri" w:hAnsi="Calibri"/>
          <w:color w:val="000000"/>
          <w:sz w:val="24"/>
          <w:szCs w:val="28"/>
        </w:rPr>
        <w:t>September 1</w:t>
      </w:r>
      <w:r w:rsidRPr="008F35BB">
        <w:rPr>
          <w:rFonts w:ascii="Calibri" w:hAnsi="Calibri"/>
          <w:color w:val="000000"/>
          <w:sz w:val="24"/>
          <w:szCs w:val="28"/>
        </w:rPr>
        <w:t>, 2023.</w:t>
      </w:r>
    </w:p>
    <w:p w14:paraId="1054A6B0" w14:textId="77777777" w:rsidR="0042437F" w:rsidRPr="008F35BB" w:rsidRDefault="00B8284A" w:rsidP="00F242C2">
      <w:pPr>
        <w:spacing w:after="0" w:line="240" w:lineRule="auto"/>
        <w:ind w:left="2880"/>
        <w:rPr>
          <w:rStyle w:val="Hyperlink"/>
          <w:rFonts w:cstheme="minorHAnsi"/>
          <w:sz w:val="24"/>
          <w:szCs w:val="24"/>
        </w:rPr>
      </w:pPr>
      <w:hyperlink r:id="rId10" w:history="1">
        <w:r w:rsidR="0042437F" w:rsidRPr="008F35BB">
          <w:rPr>
            <w:rStyle w:val="Hyperlink"/>
            <w:rFonts w:cstheme="minorHAnsi"/>
            <w:sz w:val="24"/>
            <w:szCs w:val="24"/>
          </w:rPr>
          <w:t>kfling@firstenergycorp.com</w:t>
        </w:r>
      </w:hyperlink>
    </w:p>
    <w:p w14:paraId="1A8B6A2F" w14:textId="77777777" w:rsidR="0042437F" w:rsidRPr="008F35BB" w:rsidRDefault="00B8284A" w:rsidP="00F242C2">
      <w:pPr>
        <w:spacing w:after="0" w:line="240" w:lineRule="auto"/>
        <w:ind w:left="2880"/>
        <w:rPr>
          <w:rFonts w:cstheme="minorHAnsi"/>
          <w:sz w:val="24"/>
          <w:szCs w:val="24"/>
        </w:rPr>
      </w:pPr>
      <w:hyperlink r:id="rId11" w:history="1">
        <w:r w:rsidR="0042437F" w:rsidRPr="008F35BB">
          <w:rPr>
            <w:rStyle w:val="Hyperlink"/>
            <w:rFonts w:cstheme="minorHAnsi"/>
            <w:sz w:val="24"/>
            <w:szCs w:val="24"/>
          </w:rPr>
          <w:t>edanford@firstenergycorp.com</w:t>
        </w:r>
      </w:hyperlink>
    </w:p>
    <w:p w14:paraId="7175420C" w14:textId="77777777" w:rsidR="0042437F" w:rsidRPr="008F35BB" w:rsidRDefault="00B8284A" w:rsidP="00F242C2">
      <w:pPr>
        <w:spacing w:after="0" w:line="240" w:lineRule="auto"/>
        <w:ind w:left="2880"/>
        <w:rPr>
          <w:rFonts w:cstheme="minorHAnsi"/>
          <w:sz w:val="24"/>
          <w:szCs w:val="24"/>
        </w:rPr>
      </w:pPr>
      <w:hyperlink r:id="rId12" w:history="1">
        <w:r w:rsidR="0042437F" w:rsidRPr="008F35BB">
          <w:rPr>
            <w:rStyle w:val="Hyperlink"/>
            <w:rFonts w:cstheme="minorHAnsi"/>
            <w:sz w:val="24"/>
            <w:szCs w:val="24"/>
          </w:rPr>
          <w:t>mkurtz@BKLlawfirm.com</w:t>
        </w:r>
      </w:hyperlink>
    </w:p>
    <w:p w14:paraId="3A73B04F" w14:textId="77777777" w:rsidR="0042437F" w:rsidRPr="008F35BB" w:rsidRDefault="00B8284A" w:rsidP="00F242C2">
      <w:pPr>
        <w:spacing w:after="0" w:line="240" w:lineRule="auto"/>
        <w:ind w:left="2880"/>
        <w:rPr>
          <w:rFonts w:cstheme="minorHAnsi"/>
          <w:sz w:val="24"/>
          <w:szCs w:val="24"/>
        </w:rPr>
      </w:pPr>
      <w:hyperlink r:id="rId13" w:history="1">
        <w:r w:rsidR="0042437F" w:rsidRPr="008F35BB">
          <w:rPr>
            <w:rStyle w:val="Hyperlink"/>
            <w:rFonts w:cstheme="minorHAnsi"/>
            <w:sz w:val="24"/>
            <w:szCs w:val="24"/>
          </w:rPr>
          <w:t>kboehm@BKLlawfirm.com</w:t>
        </w:r>
      </w:hyperlink>
    </w:p>
    <w:p w14:paraId="033F9A8C" w14:textId="77777777" w:rsidR="0042437F" w:rsidRPr="008F35BB" w:rsidRDefault="00B8284A" w:rsidP="00F242C2">
      <w:pPr>
        <w:spacing w:after="0" w:line="240" w:lineRule="auto"/>
        <w:ind w:left="2880"/>
        <w:rPr>
          <w:rFonts w:cstheme="minorHAnsi"/>
          <w:sz w:val="24"/>
          <w:szCs w:val="24"/>
        </w:rPr>
      </w:pPr>
      <w:hyperlink r:id="rId14" w:history="1">
        <w:r w:rsidR="0042437F" w:rsidRPr="008F35BB">
          <w:rPr>
            <w:rStyle w:val="Hyperlink"/>
            <w:rFonts w:cstheme="minorHAnsi"/>
            <w:sz w:val="24"/>
            <w:szCs w:val="24"/>
          </w:rPr>
          <w:t>jkylercohn@BKLlawfirm.com</w:t>
        </w:r>
      </w:hyperlink>
    </w:p>
    <w:p w14:paraId="3A18AA27" w14:textId="77777777" w:rsidR="0042437F" w:rsidRPr="008F35BB" w:rsidRDefault="00B8284A" w:rsidP="00F242C2">
      <w:pPr>
        <w:spacing w:after="0" w:line="240" w:lineRule="auto"/>
        <w:ind w:left="2880"/>
        <w:rPr>
          <w:rFonts w:cstheme="minorHAnsi"/>
          <w:sz w:val="24"/>
          <w:szCs w:val="24"/>
        </w:rPr>
      </w:pPr>
      <w:hyperlink r:id="rId15" w:history="1">
        <w:r w:rsidR="0042437F" w:rsidRPr="008F35BB">
          <w:rPr>
            <w:rStyle w:val="Hyperlink"/>
            <w:rFonts w:cstheme="minorHAnsi"/>
            <w:sz w:val="24"/>
            <w:szCs w:val="24"/>
          </w:rPr>
          <w:t>Stacie.Cathcart@igs.com</w:t>
        </w:r>
      </w:hyperlink>
    </w:p>
    <w:p w14:paraId="5F4463F9" w14:textId="77777777" w:rsidR="0042437F" w:rsidRPr="008F35BB" w:rsidRDefault="00B8284A" w:rsidP="00F242C2">
      <w:pPr>
        <w:spacing w:after="0" w:line="240" w:lineRule="auto"/>
        <w:ind w:left="2880"/>
        <w:rPr>
          <w:rFonts w:cstheme="minorHAnsi"/>
          <w:sz w:val="24"/>
          <w:szCs w:val="24"/>
        </w:rPr>
      </w:pPr>
      <w:hyperlink r:id="rId16" w:history="1">
        <w:r w:rsidR="0042437F" w:rsidRPr="008F35BB">
          <w:rPr>
            <w:rStyle w:val="Hyperlink"/>
            <w:rFonts w:cstheme="minorHAnsi"/>
            <w:sz w:val="24"/>
            <w:szCs w:val="24"/>
          </w:rPr>
          <w:t>Evan.Betterton@igs.com</w:t>
        </w:r>
      </w:hyperlink>
    </w:p>
    <w:p w14:paraId="5DBC3513" w14:textId="77777777" w:rsidR="0042437F" w:rsidRPr="008F35BB" w:rsidRDefault="00B8284A" w:rsidP="00F242C2">
      <w:pPr>
        <w:spacing w:after="0" w:line="240" w:lineRule="auto"/>
        <w:ind w:left="2880"/>
        <w:rPr>
          <w:rStyle w:val="Hyperlink"/>
          <w:rFonts w:cstheme="minorHAnsi"/>
          <w:sz w:val="24"/>
          <w:szCs w:val="24"/>
        </w:rPr>
      </w:pPr>
      <w:hyperlink r:id="rId17" w:history="1">
        <w:r w:rsidR="0042437F" w:rsidRPr="008F35BB">
          <w:rPr>
            <w:rStyle w:val="Hyperlink"/>
            <w:rFonts w:cstheme="minorHAnsi"/>
            <w:sz w:val="24"/>
            <w:szCs w:val="24"/>
          </w:rPr>
          <w:t>Michael.Nugent@igs.com</w:t>
        </w:r>
      </w:hyperlink>
    </w:p>
    <w:p w14:paraId="596D82E2" w14:textId="77777777" w:rsidR="00891914" w:rsidRPr="008F35BB" w:rsidRDefault="00B8284A" w:rsidP="00F242C2">
      <w:pPr>
        <w:spacing w:after="0" w:line="240" w:lineRule="auto"/>
        <w:ind w:left="2880"/>
        <w:rPr>
          <w:sz w:val="24"/>
          <w:szCs w:val="24"/>
        </w:rPr>
      </w:pPr>
      <w:hyperlink r:id="rId18" w:history="1">
        <w:r w:rsidR="00891914" w:rsidRPr="008F35BB">
          <w:rPr>
            <w:rStyle w:val="Hyperlink"/>
            <w:sz w:val="24"/>
            <w:szCs w:val="24"/>
          </w:rPr>
          <w:t>angela.obrien@occ.ohio.gov</w:t>
        </w:r>
      </w:hyperlink>
    </w:p>
    <w:p w14:paraId="5942FCCE" w14:textId="77777777" w:rsidR="00891914" w:rsidRPr="008F35BB" w:rsidRDefault="00B8284A" w:rsidP="00F242C2">
      <w:pPr>
        <w:spacing w:after="0" w:line="240" w:lineRule="auto"/>
        <w:ind w:left="2880"/>
        <w:rPr>
          <w:sz w:val="24"/>
          <w:szCs w:val="24"/>
        </w:rPr>
      </w:pPr>
      <w:hyperlink r:id="rId19" w:history="1">
        <w:r w:rsidR="00891914" w:rsidRPr="008F35BB">
          <w:rPr>
            <w:rStyle w:val="Hyperlink"/>
            <w:sz w:val="24"/>
            <w:szCs w:val="24"/>
          </w:rPr>
          <w:t>connor.semple@occ.ohio.gov</w:t>
        </w:r>
      </w:hyperlink>
    </w:p>
    <w:p w14:paraId="1A08F27D" w14:textId="77777777" w:rsidR="00186FF1" w:rsidRPr="008F35BB" w:rsidRDefault="00B8284A" w:rsidP="00F242C2">
      <w:pPr>
        <w:spacing w:after="0" w:line="240" w:lineRule="auto"/>
        <w:ind w:left="2880"/>
        <w:rPr>
          <w:rFonts w:cstheme="minorHAnsi"/>
          <w:sz w:val="24"/>
          <w:szCs w:val="24"/>
        </w:rPr>
      </w:pPr>
      <w:hyperlink r:id="rId20" w:history="1">
        <w:r w:rsidR="00186FF1" w:rsidRPr="008F35BB">
          <w:rPr>
            <w:rStyle w:val="Hyperlink"/>
            <w:rFonts w:cstheme="minorHAnsi"/>
            <w:sz w:val="24"/>
            <w:szCs w:val="24"/>
          </w:rPr>
          <w:t>dproano@bakerlaw.com</w:t>
        </w:r>
      </w:hyperlink>
    </w:p>
    <w:p w14:paraId="644B554A" w14:textId="77777777" w:rsidR="00186FF1" w:rsidRPr="008F35BB" w:rsidRDefault="00B8284A" w:rsidP="00F242C2">
      <w:pPr>
        <w:spacing w:after="0" w:line="240" w:lineRule="auto"/>
        <w:ind w:left="2880"/>
        <w:rPr>
          <w:rFonts w:cstheme="minorHAnsi"/>
          <w:sz w:val="24"/>
          <w:szCs w:val="24"/>
        </w:rPr>
      </w:pPr>
      <w:hyperlink r:id="rId21" w:history="1">
        <w:r w:rsidR="00186FF1" w:rsidRPr="008F35BB">
          <w:rPr>
            <w:rStyle w:val="Hyperlink"/>
            <w:rFonts w:cstheme="minorHAnsi"/>
            <w:sz w:val="24"/>
            <w:szCs w:val="24"/>
          </w:rPr>
          <w:t>ahaque@bakerlaw.com</w:t>
        </w:r>
      </w:hyperlink>
    </w:p>
    <w:p w14:paraId="3913D458" w14:textId="77777777" w:rsidR="00186FF1" w:rsidRPr="008F35BB" w:rsidRDefault="00B8284A" w:rsidP="00F242C2">
      <w:pPr>
        <w:spacing w:after="0" w:line="240" w:lineRule="auto"/>
        <w:ind w:left="2880"/>
        <w:rPr>
          <w:rFonts w:cstheme="minorHAnsi"/>
          <w:sz w:val="24"/>
          <w:szCs w:val="24"/>
        </w:rPr>
      </w:pPr>
      <w:hyperlink r:id="rId22" w:history="1">
        <w:r w:rsidR="00186FF1" w:rsidRPr="008F35BB">
          <w:rPr>
            <w:rStyle w:val="Hyperlink"/>
            <w:rFonts w:cstheme="minorHAnsi"/>
            <w:sz w:val="24"/>
            <w:szCs w:val="24"/>
          </w:rPr>
          <w:t>eprouty@bakerlaw.com</w:t>
        </w:r>
      </w:hyperlink>
    </w:p>
    <w:p w14:paraId="48C6135A" w14:textId="77777777" w:rsidR="00186FF1" w:rsidRPr="008F35BB" w:rsidRDefault="00B8284A" w:rsidP="00F242C2">
      <w:pPr>
        <w:spacing w:after="0" w:line="240" w:lineRule="auto"/>
        <w:ind w:left="2880"/>
        <w:rPr>
          <w:rFonts w:cstheme="minorHAnsi"/>
          <w:sz w:val="24"/>
          <w:szCs w:val="24"/>
        </w:rPr>
      </w:pPr>
      <w:hyperlink r:id="rId23" w:history="1">
        <w:r w:rsidR="00186FF1" w:rsidRPr="008F35BB">
          <w:rPr>
            <w:rStyle w:val="Hyperlink"/>
            <w:rFonts w:cstheme="minorHAnsi"/>
            <w:sz w:val="24"/>
            <w:szCs w:val="24"/>
          </w:rPr>
          <w:t>bojko@carpenterlipps.com</w:t>
        </w:r>
      </w:hyperlink>
    </w:p>
    <w:p w14:paraId="64C784FB" w14:textId="77777777" w:rsidR="00B81207" w:rsidRPr="008F35BB" w:rsidRDefault="00B8284A" w:rsidP="00F242C2">
      <w:pPr>
        <w:spacing w:after="0" w:line="240" w:lineRule="auto"/>
        <w:ind w:left="2880"/>
        <w:rPr>
          <w:rFonts w:cstheme="minorHAnsi"/>
          <w:sz w:val="24"/>
          <w:szCs w:val="24"/>
        </w:rPr>
      </w:pPr>
      <w:hyperlink r:id="rId24" w:history="1">
        <w:r w:rsidR="00B81207" w:rsidRPr="008F35BB">
          <w:rPr>
            <w:rStyle w:val="Hyperlink"/>
            <w:rFonts w:cstheme="minorHAnsi"/>
            <w:sz w:val="24"/>
            <w:szCs w:val="24"/>
          </w:rPr>
          <w:t>dparram@brickergraydon.com</w:t>
        </w:r>
      </w:hyperlink>
    </w:p>
    <w:p w14:paraId="55457C68" w14:textId="77777777" w:rsidR="00B81207" w:rsidRPr="008F35BB" w:rsidRDefault="00B8284A" w:rsidP="00F242C2">
      <w:pPr>
        <w:spacing w:after="0" w:line="240" w:lineRule="auto"/>
        <w:ind w:left="2880"/>
        <w:rPr>
          <w:rFonts w:cstheme="minorHAnsi"/>
          <w:sz w:val="24"/>
          <w:szCs w:val="24"/>
        </w:rPr>
      </w:pPr>
      <w:hyperlink r:id="rId25" w:history="1">
        <w:r w:rsidR="00B81207" w:rsidRPr="008F35BB">
          <w:rPr>
            <w:rStyle w:val="Hyperlink"/>
            <w:rFonts w:cstheme="minorHAnsi"/>
            <w:sz w:val="24"/>
            <w:szCs w:val="24"/>
          </w:rPr>
          <w:t>rmains@brickergraydon.com</w:t>
        </w:r>
      </w:hyperlink>
    </w:p>
    <w:p w14:paraId="373FB1C3" w14:textId="77777777" w:rsidR="00B81207" w:rsidRPr="008F35BB" w:rsidRDefault="00B8284A" w:rsidP="00F242C2">
      <w:pPr>
        <w:spacing w:after="0" w:line="240" w:lineRule="auto"/>
        <w:ind w:left="2880"/>
        <w:rPr>
          <w:sz w:val="24"/>
          <w:szCs w:val="24"/>
        </w:rPr>
      </w:pPr>
      <w:hyperlink r:id="rId26" w:history="1">
        <w:r w:rsidR="00B81207" w:rsidRPr="008F35BB">
          <w:rPr>
            <w:rStyle w:val="Hyperlink"/>
            <w:sz w:val="24"/>
            <w:szCs w:val="24"/>
          </w:rPr>
          <w:t>rhiannon.howard@ohioago.gov</w:t>
        </w:r>
      </w:hyperlink>
    </w:p>
    <w:p w14:paraId="21934635" w14:textId="77777777" w:rsidR="00B81207" w:rsidRPr="008F35BB" w:rsidRDefault="00B8284A" w:rsidP="00F242C2">
      <w:pPr>
        <w:spacing w:after="0" w:line="240" w:lineRule="auto"/>
        <w:ind w:left="2880"/>
        <w:rPr>
          <w:sz w:val="24"/>
          <w:szCs w:val="24"/>
        </w:rPr>
      </w:pPr>
      <w:hyperlink r:id="rId27" w:history="1">
        <w:r w:rsidR="00B81207" w:rsidRPr="008F35BB">
          <w:rPr>
            <w:rStyle w:val="Hyperlink"/>
            <w:sz w:val="24"/>
            <w:szCs w:val="24"/>
          </w:rPr>
          <w:t>amy.botschnerobrien@ohioago.gov</w:t>
        </w:r>
      </w:hyperlink>
    </w:p>
    <w:p w14:paraId="2446644C" w14:textId="77777777" w:rsidR="00B81207" w:rsidRPr="008F35BB" w:rsidRDefault="00B8284A" w:rsidP="00F242C2">
      <w:pPr>
        <w:spacing w:after="0" w:line="240" w:lineRule="auto"/>
        <w:ind w:left="2880"/>
        <w:rPr>
          <w:rFonts w:cstheme="minorHAnsi"/>
          <w:sz w:val="24"/>
          <w:szCs w:val="24"/>
        </w:rPr>
      </w:pPr>
      <w:hyperlink r:id="rId28" w:history="1">
        <w:r w:rsidR="00B81207" w:rsidRPr="008F35BB">
          <w:rPr>
            <w:rStyle w:val="Hyperlink"/>
            <w:rFonts w:cstheme="minorHAnsi"/>
            <w:sz w:val="24"/>
            <w:szCs w:val="24"/>
          </w:rPr>
          <w:t>megan.addison@puco.ohio.gov</w:t>
        </w:r>
      </w:hyperlink>
    </w:p>
    <w:p w14:paraId="3B8274E7" w14:textId="77777777" w:rsidR="00B81207" w:rsidRPr="008F35BB" w:rsidRDefault="00B8284A" w:rsidP="00F242C2">
      <w:pPr>
        <w:spacing w:after="0" w:line="240" w:lineRule="auto"/>
        <w:ind w:left="2880"/>
        <w:rPr>
          <w:rFonts w:cstheme="minorHAnsi"/>
          <w:sz w:val="24"/>
          <w:szCs w:val="24"/>
        </w:rPr>
      </w:pPr>
      <w:hyperlink r:id="rId29" w:history="1">
        <w:r w:rsidR="00B81207" w:rsidRPr="008F35BB">
          <w:rPr>
            <w:rStyle w:val="Hyperlink"/>
            <w:rFonts w:cstheme="minorHAnsi"/>
            <w:sz w:val="24"/>
            <w:szCs w:val="24"/>
          </w:rPr>
          <w:t>greg.price@puco.ohio.gov</w:t>
        </w:r>
      </w:hyperlink>
    </w:p>
    <w:p w14:paraId="16CB8BBA" w14:textId="77777777" w:rsidR="00B81207" w:rsidRPr="008F35BB" w:rsidRDefault="00B8284A" w:rsidP="00F242C2">
      <w:pPr>
        <w:spacing w:after="0" w:line="240" w:lineRule="auto"/>
        <w:ind w:left="2880"/>
        <w:rPr>
          <w:rFonts w:cstheme="minorHAnsi"/>
          <w:sz w:val="24"/>
          <w:szCs w:val="24"/>
        </w:rPr>
      </w:pPr>
      <w:hyperlink r:id="rId30" w:history="1">
        <w:r w:rsidR="00B81207" w:rsidRPr="008F35BB">
          <w:rPr>
            <w:rStyle w:val="Hyperlink"/>
            <w:rFonts w:cstheme="minorHAnsi"/>
            <w:sz w:val="24"/>
            <w:szCs w:val="24"/>
          </w:rPr>
          <w:t>jacqueline.st.john@puco.ohio.gov</w:t>
        </w:r>
      </w:hyperlink>
    </w:p>
    <w:p w14:paraId="3E1997A6" w14:textId="77777777" w:rsidR="00DF7F3F" w:rsidRPr="008F35BB" w:rsidRDefault="00DF7F3F" w:rsidP="00DF7F3F">
      <w:pPr>
        <w:widowControl w:val="0"/>
        <w:ind w:left="4320" w:firstLine="720"/>
        <w:jc w:val="both"/>
        <w:rPr>
          <w:rFonts w:ascii="Calibri" w:hAnsi="Calibri"/>
          <w:color w:val="000000"/>
          <w:sz w:val="24"/>
          <w:szCs w:val="28"/>
        </w:rPr>
      </w:pPr>
    </w:p>
    <w:p w14:paraId="76DB9944" w14:textId="77777777" w:rsidR="00DF7F3F" w:rsidRPr="008F35BB" w:rsidRDefault="00DF7F3F" w:rsidP="00DF7F3F">
      <w:pPr>
        <w:widowControl w:val="0"/>
        <w:spacing w:after="120"/>
        <w:ind w:left="4320" w:firstLine="720"/>
        <w:jc w:val="both"/>
        <w:rPr>
          <w:rFonts w:ascii="Calibri" w:hAnsi="Calibri"/>
          <w:color w:val="000000"/>
          <w:sz w:val="24"/>
          <w:szCs w:val="28"/>
        </w:rPr>
      </w:pPr>
    </w:p>
    <w:p w14:paraId="6193AE00" w14:textId="77777777" w:rsidR="00DF7F3F" w:rsidRPr="008F35BB" w:rsidRDefault="00DF7F3F" w:rsidP="00DF7F3F">
      <w:pPr>
        <w:widowControl w:val="0"/>
        <w:spacing w:after="0" w:line="240" w:lineRule="auto"/>
        <w:ind w:left="4320" w:firstLine="720"/>
        <w:jc w:val="both"/>
        <w:rPr>
          <w:rFonts w:ascii="Calibri" w:hAnsi="Calibri"/>
          <w:color w:val="000000"/>
          <w:sz w:val="24"/>
          <w:szCs w:val="28"/>
        </w:rPr>
      </w:pPr>
      <w:r w:rsidRPr="008F35BB">
        <w:rPr>
          <w:i/>
          <w:sz w:val="24"/>
          <w:szCs w:val="24"/>
          <w:u w:val="single"/>
        </w:rPr>
        <w:t>/s/ Michael K. Lavanga</w:t>
      </w:r>
      <w:r w:rsidRPr="008F35BB">
        <w:rPr>
          <w:i/>
          <w:sz w:val="24"/>
          <w:szCs w:val="24"/>
          <w:u w:val="single"/>
        </w:rPr>
        <w:tab/>
      </w:r>
    </w:p>
    <w:p w14:paraId="79873034" w14:textId="77777777" w:rsidR="00DF7F3F" w:rsidRPr="008F35BB" w:rsidRDefault="00DF7F3F" w:rsidP="00DF7F3F">
      <w:pPr>
        <w:widowControl w:val="0"/>
        <w:ind w:left="4320" w:firstLine="720"/>
        <w:jc w:val="both"/>
        <w:rPr>
          <w:rFonts w:ascii="Calibri" w:hAnsi="Calibri"/>
          <w:color w:val="000000"/>
          <w:sz w:val="24"/>
          <w:szCs w:val="28"/>
        </w:rPr>
      </w:pPr>
      <w:r w:rsidRPr="008F35BB">
        <w:rPr>
          <w:rFonts w:ascii="Calibri" w:hAnsi="Calibri"/>
          <w:color w:val="000000"/>
          <w:sz w:val="24"/>
          <w:szCs w:val="28"/>
        </w:rPr>
        <w:t xml:space="preserve"> </w:t>
      </w:r>
      <w:r w:rsidRPr="008F35BB">
        <w:rPr>
          <w:rFonts w:ascii="Calibri" w:hAnsi="Calibri"/>
          <w:sz w:val="24"/>
          <w:szCs w:val="24"/>
        </w:rPr>
        <w:t>Michael K. Lavanga, Esq.</w:t>
      </w:r>
    </w:p>
    <w:p w14:paraId="566C35B1" w14:textId="77777777" w:rsidR="0042437F" w:rsidRPr="00D74A58" w:rsidRDefault="0042437F" w:rsidP="003C7735">
      <w:pPr>
        <w:widowControl w:val="0"/>
        <w:ind w:firstLine="720"/>
        <w:jc w:val="both"/>
        <w:rPr>
          <w:rFonts w:ascii="Calibri" w:hAnsi="Calibri"/>
          <w:color w:val="000000"/>
          <w:szCs w:val="24"/>
        </w:rPr>
      </w:pPr>
    </w:p>
    <w:sectPr w:rsidR="0042437F" w:rsidRPr="00D74A58">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BA16D" w14:textId="77777777" w:rsidR="00B75F65" w:rsidRDefault="00B75F65">
      <w:pPr>
        <w:spacing w:after="0" w:line="240" w:lineRule="auto"/>
      </w:pPr>
      <w:r>
        <w:separator/>
      </w:r>
    </w:p>
  </w:endnote>
  <w:endnote w:type="continuationSeparator" w:id="0">
    <w:p w14:paraId="1D3ECCBC" w14:textId="77777777" w:rsidR="00B75F65" w:rsidRDefault="00B7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D654" w14:textId="77777777" w:rsidR="00D40214" w:rsidRDefault="00D40214">
    <w:pPr>
      <w:pStyle w:val="Footer"/>
      <w:framePr w:wrap="around" w:vAnchor="text" w:hAnchor="margin" w:xAlign="right" w:y="1"/>
      <w:ind w:right="360"/>
      <w:jc w:val="center"/>
      <w:rPr>
        <w:rStyle w:val="PageNumber"/>
      </w:rPr>
    </w:pPr>
  </w:p>
  <w:p w14:paraId="54BD02F8" w14:textId="77777777" w:rsidR="00D40214" w:rsidRPr="00A3511B" w:rsidRDefault="00D40214" w:rsidP="00A3511B">
    <w:pPr>
      <w:pStyle w:val="Footer"/>
      <w:ind w:right="360"/>
      <w:jc w:val="center"/>
      <w:rPr>
        <w:rFonts w:ascii="Calibri" w:hAnsi="Calibri"/>
      </w:rPr>
    </w:pPr>
    <w:r w:rsidRPr="00A3511B">
      <w:rPr>
        <w:rStyle w:val="PageNumber"/>
        <w:rFonts w:ascii="Calibri" w:hAnsi="Calibri"/>
      </w:rPr>
      <w:fldChar w:fldCharType="begin"/>
    </w:r>
    <w:r w:rsidRPr="00A3511B">
      <w:rPr>
        <w:rStyle w:val="PageNumber"/>
        <w:rFonts w:ascii="Calibri" w:hAnsi="Calibri"/>
      </w:rPr>
      <w:instrText xml:space="preserve"> PAGE </w:instrText>
    </w:r>
    <w:r w:rsidRPr="00A3511B">
      <w:rPr>
        <w:rStyle w:val="PageNumber"/>
        <w:rFonts w:ascii="Calibri" w:hAnsi="Calibri"/>
      </w:rPr>
      <w:fldChar w:fldCharType="separate"/>
    </w:r>
    <w:r>
      <w:rPr>
        <w:rStyle w:val="PageNumber"/>
        <w:rFonts w:ascii="Calibri" w:hAnsi="Calibri"/>
        <w:noProof/>
      </w:rPr>
      <w:t>4</w:t>
    </w:r>
    <w:r w:rsidRPr="00A3511B">
      <w:rPr>
        <w:rStyle w:val="PageNumber"/>
        <w:rFonts w:ascii="Calibri"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925286"/>
      <w:docPartObj>
        <w:docPartGallery w:val="Page Numbers (Bottom of Page)"/>
        <w:docPartUnique/>
      </w:docPartObj>
    </w:sdtPr>
    <w:sdtEndPr>
      <w:rPr>
        <w:noProof/>
      </w:rPr>
    </w:sdtEndPr>
    <w:sdtContent>
      <w:p w14:paraId="2C04D148" w14:textId="00474CE0" w:rsidR="001014B5" w:rsidRDefault="004105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4CEFA6" w14:textId="77777777" w:rsidR="001014B5" w:rsidRDefault="00101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B81BC" w14:textId="77777777" w:rsidR="00B75F65" w:rsidRDefault="00B75F65" w:rsidP="00B20D9A">
      <w:pPr>
        <w:spacing w:after="0" w:line="240" w:lineRule="auto"/>
      </w:pPr>
      <w:r>
        <w:separator/>
      </w:r>
    </w:p>
  </w:footnote>
  <w:footnote w:type="continuationSeparator" w:id="0">
    <w:p w14:paraId="6E78DE76" w14:textId="77777777" w:rsidR="00B75F65" w:rsidRDefault="00B75F65" w:rsidP="00B20D9A">
      <w:pPr>
        <w:spacing w:after="0" w:line="240" w:lineRule="auto"/>
      </w:pPr>
      <w:r>
        <w:continuationSeparator/>
      </w:r>
    </w:p>
  </w:footnote>
  <w:footnote w:id="1">
    <w:p w14:paraId="14409B7A" w14:textId="44F0EEE9" w:rsidR="00187747" w:rsidRPr="00305618" w:rsidRDefault="00187747">
      <w:pPr>
        <w:pStyle w:val="FootnoteText"/>
      </w:pPr>
      <w:r>
        <w:rPr>
          <w:rStyle w:val="FootnoteReference"/>
        </w:rPr>
        <w:footnoteRef/>
      </w:r>
      <w:r>
        <w:t xml:space="preserve"> </w:t>
      </w:r>
      <w:r w:rsidR="003A26CF">
        <w:t>OELC</w:t>
      </w:r>
      <w:r w:rsidR="00305618">
        <w:t xml:space="preserve"> Comments at </w:t>
      </w:r>
      <w:r w:rsidR="003A26CF">
        <w:t>3</w:t>
      </w:r>
      <w:r w:rsidR="00305618">
        <w:rPr>
          <w:i/>
          <w:iCs/>
        </w:rPr>
        <w:t>.</w:t>
      </w:r>
    </w:p>
  </w:footnote>
  <w:footnote w:id="2">
    <w:p w14:paraId="462607BB" w14:textId="72317C88" w:rsidR="003A26CF" w:rsidRDefault="003A26CF">
      <w:pPr>
        <w:pStyle w:val="FootnoteText"/>
      </w:pPr>
      <w:r>
        <w:rPr>
          <w:rStyle w:val="FootnoteReference"/>
        </w:rPr>
        <w:footnoteRef/>
      </w:r>
      <w:r>
        <w:t xml:space="preserve"> OEG Comments at 5-6; OMAEG Comments at 3;</w:t>
      </w:r>
      <w:r w:rsidRPr="00305618">
        <w:t xml:space="preserve"> </w:t>
      </w:r>
      <w:r>
        <w:t>RESA Comments at 10</w:t>
      </w:r>
      <w:r w:rsidR="00505CB1">
        <w:t>; OHA Comments at 5</w:t>
      </w:r>
      <w:r>
        <w:t>.</w:t>
      </w:r>
    </w:p>
  </w:footnote>
  <w:footnote w:id="3">
    <w:p w14:paraId="737B1DD4" w14:textId="56266182" w:rsidR="00505CB1" w:rsidRDefault="00505CB1">
      <w:pPr>
        <w:pStyle w:val="FootnoteText"/>
      </w:pPr>
      <w:r>
        <w:rPr>
          <w:rStyle w:val="FootnoteReference"/>
        </w:rPr>
        <w:footnoteRef/>
      </w:r>
      <w:r>
        <w:t xml:space="preserve"> OMAEG Comments at </w:t>
      </w:r>
      <w:r w:rsidR="002B3174">
        <w:t>8-10.</w:t>
      </w:r>
    </w:p>
  </w:footnote>
  <w:footnote w:id="4">
    <w:p w14:paraId="04DEF34D" w14:textId="668034A0" w:rsidR="002B3174" w:rsidRDefault="002B3174">
      <w:pPr>
        <w:pStyle w:val="FootnoteText"/>
      </w:pPr>
      <w:r>
        <w:rPr>
          <w:rStyle w:val="FootnoteReference"/>
        </w:rPr>
        <w:footnoteRef/>
      </w:r>
      <w:r>
        <w:t xml:space="preserve"> OEG Comments at 3.</w:t>
      </w:r>
    </w:p>
  </w:footnote>
  <w:footnote w:id="5">
    <w:p w14:paraId="58B64451" w14:textId="0161E681" w:rsidR="00613A5E" w:rsidRDefault="00613A5E">
      <w:pPr>
        <w:pStyle w:val="FootnoteText"/>
      </w:pPr>
      <w:r>
        <w:rPr>
          <w:rStyle w:val="FootnoteReference"/>
        </w:rPr>
        <w:footnoteRef/>
      </w:r>
      <w:r>
        <w:t xml:space="preserve"> OCC Comments at 3.</w:t>
      </w:r>
    </w:p>
  </w:footnote>
  <w:footnote w:id="6">
    <w:p w14:paraId="633531F6" w14:textId="00A03D37" w:rsidR="00364A8D" w:rsidRPr="00983606" w:rsidRDefault="00364A8D" w:rsidP="00364A8D">
      <w:pPr>
        <w:pStyle w:val="FootnoteText"/>
      </w:pPr>
      <w:r w:rsidRPr="00983606">
        <w:rPr>
          <w:rStyle w:val="FootnoteReference"/>
        </w:rPr>
        <w:footnoteRef/>
      </w:r>
      <w:r w:rsidRPr="00983606">
        <w:t xml:space="preserve"> </w:t>
      </w:r>
      <w:r w:rsidR="00A16AD6">
        <w:t>OMAEG Comments at 4-5</w:t>
      </w:r>
      <w:r w:rsidR="0032655F">
        <w:t>; 7-8</w:t>
      </w:r>
      <w:r w:rsidRPr="00983606">
        <w:t>.</w:t>
      </w:r>
    </w:p>
  </w:footnote>
  <w:footnote w:id="7">
    <w:p w14:paraId="6DD46515" w14:textId="2BA073D7" w:rsidR="006770AB" w:rsidRDefault="006770AB">
      <w:pPr>
        <w:pStyle w:val="FootnoteText"/>
      </w:pPr>
      <w:r>
        <w:rPr>
          <w:rStyle w:val="FootnoteReference"/>
        </w:rPr>
        <w:footnoteRef/>
      </w:r>
      <w:r>
        <w:t xml:space="preserve"> Audit Report at 50-51.</w:t>
      </w:r>
    </w:p>
  </w:footnote>
  <w:footnote w:id="8">
    <w:p w14:paraId="2794B7DF" w14:textId="1210E770" w:rsidR="00283E59" w:rsidRPr="00C75202" w:rsidRDefault="00283E59">
      <w:pPr>
        <w:pStyle w:val="FootnoteText"/>
      </w:pPr>
      <w:r>
        <w:rPr>
          <w:rStyle w:val="FootnoteReference"/>
        </w:rPr>
        <w:footnoteRef/>
      </w:r>
      <w:r>
        <w:t xml:space="preserve"> </w:t>
      </w:r>
      <w:r w:rsidR="00C75202" w:rsidRPr="008B5911">
        <w:rPr>
          <w:i/>
          <w:iCs/>
        </w:rPr>
        <w:t>See</w:t>
      </w:r>
      <w:r w:rsidR="00C75202">
        <w:rPr>
          <w:b/>
          <w:bCs/>
          <w:i/>
          <w:iCs/>
        </w:rPr>
        <w:t xml:space="preserve"> </w:t>
      </w:r>
      <w:r w:rsidR="00C75202">
        <w:t>OCC Comments at 2-4; OMAEG Comments at 3-4; Calpine Comments at 2-4; RESA Comments at 5-8; OEG Comments at 4-6; FirstEnergy Comments at 1-2.</w:t>
      </w:r>
    </w:p>
  </w:footnote>
  <w:footnote w:id="9">
    <w:p w14:paraId="145D3A19" w14:textId="7E819689" w:rsidR="00146FDB" w:rsidRDefault="00146FDB">
      <w:pPr>
        <w:pStyle w:val="FootnoteText"/>
      </w:pPr>
      <w:r>
        <w:rPr>
          <w:rStyle w:val="FootnoteReference"/>
        </w:rPr>
        <w:footnoteRef/>
      </w:r>
      <w:r>
        <w:t xml:space="preserve"> Audit Report at 53-54; OEG Comments at 6; RESA Comments at </w:t>
      </w:r>
      <w:r w:rsidR="00550313">
        <w:t>10.</w:t>
      </w:r>
    </w:p>
  </w:footnote>
  <w:footnote w:id="10">
    <w:p w14:paraId="57BC2C3D" w14:textId="4F340267" w:rsidR="00550313" w:rsidRDefault="00550313">
      <w:pPr>
        <w:pStyle w:val="FootnoteText"/>
      </w:pPr>
      <w:r>
        <w:rPr>
          <w:rStyle w:val="FootnoteReference"/>
        </w:rPr>
        <w:footnoteRef/>
      </w:r>
      <w:r>
        <w:t xml:space="preserve"> OEG Comments at 6.</w:t>
      </w:r>
    </w:p>
  </w:footnote>
  <w:footnote w:id="11">
    <w:p w14:paraId="2ECFF877" w14:textId="0F89A9FF" w:rsidR="00D609A8" w:rsidRDefault="00D609A8">
      <w:pPr>
        <w:pStyle w:val="FootnoteText"/>
      </w:pPr>
      <w:r>
        <w:rPr>
          <w:rStyle w:val="FootnoteReference"/>
        </w:rPr>
        <w:footnoteRef/>
      </w:r>
      <w:r>
        <w:t xml:space="preserve"> OELC Comments at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21EE" w14:textId="77777777" w:rsidR="00B45839" w:rsidRDefault="00B45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26909"/>
    <w:multiLevelType w:val="hybridMultilevel"/>
    <w:tmpl w:val="76BCAFD8"/>
    <w:lvl w:ilvl="0" w:tplc="F7563FE4">
      <w:start w:val="1"/>
      <w:numFmt w:val="bullet"/>
      <w:lvlText w:val=""/>
      <w:lvlJc w:val="left"/>
      <w:pPr>
        <w:ind w:left="778" w:hanging="360"/>
      </w:pPr>
      <w:rPr>
        <w:rFonts w:ascii="Symbol" w:hAnsi="Symbol" w:hint="default"/>
      </w:rPr>
    </w:lvl>
    <w:lvl w:ilvl="1" w:tplc="8D7416E0" w:tentative="1">
      <w:start w:val="1"/>
      <w:numFmt w:val="bullet"/>
      <w:lvlText w:val="o"/>
      <w:lvlJc w:val="left"/>
      <w:pPr>
        <w:ind w:left="1498" w:hanging="360"/>
      </w:pPr>
      <w:rPr>
        <w:rFonts w:ascii="Courier New" w:hAnsi="Courier New" w:cs="Courier New" w:hint="default"/>
      </w:rPr>
    </w:lvl>
    <w:lvl w:ilvl="2" w:tplc="D5280F84" w:tentative="1">
      <w:start w:val="1"/>
      <w:numFmt w:val="bullet"/>
      <w:lvlText w:val=""/>
      <w:lvlJc w:val="left"/>
      <w:pPr>
        <w:ind w:left="2218" w:hanging="360"/>
      </w:pPr>
      <w:rPr>
        <w:rFonts w:ascii="Wingdings" w:hAnsi="Wingdings" w:hint="default"/>
      </w:rPr>
    </w:lvl>
    <w:lvl w:ilvl="3" w:tplc="C17A08CC" w:tentative="1">
      <w:start w:val="1"/>
      <w:numFmt w:val="bullet"/>
      <w:lvlText w:val=""/>
      <w:lvlJc w:val="left"/>
      <w:pPr>
        <w:ind w:left="2938" w:hanging="360"/>
      </w:pPr>
      <w:rPr>
        <w:rFonts w:ascii="Symbol" w:hAnsi="Symbol" w:hint="default"/>
      </w:rPr>
    </w:lvl>
    <w:lvl w:ilvl="4" w:tplc="EA401BE6" w:tentative="1">
      <w:start w:val="1"/>
      <w:numFmt w:val="bullet"/>
      <w:lvlText w:val="o"/>
      <w:lvlJc w:val="left"/>
      <w:pPr>
        <w:ind w:left="3658" w:hanging="360"/>
      </w:pPr>
      <w:rPr>
        <w:rFonts w:ascii="Courier New" w:hAnsi="Courier New" w:cs="Courier New" w:hint="default"/>
      </w:rPr>
    </w:lvl>
    <w:lvl w:ilvl="5" w:tplc="8DA8001E" w:tentative="1">
      <w:start w:val="1"/>
      <w:numFmt w:val="bullet"/>
      <w:lvlText w:val=""/>
      <w:lvlJc w:val="left"/>
      <w:pPr>
        <w:ind w:left="4378" w:hanging="360"/>
      </w:pPr>
      <w:rPr>
        <w:rFonts w:ascii="Wingdings" w:hAnsi="Wingdings" w:hint="default"/>
      </w:rPr>
    </w:lvl>
    <w:lvl w:ilvl="6" w:tplc="BC8012E0" w:tentative="1">
      <w:start w:val="1"/>
      <w:numFmt w:val="bullet"/>
      <w:lvlText w:val=""/>
      <w:lvlJc w:val="left"/>
      <w:pPr>
        <w:ind w:left="5098" w:hanging="360"/>
      </w:pPr>
      <w:rPr>
        <w:rFonts w:ascii="Symbol" w:hAnsi="Symbol" w:hint="default"/>
      </w:rPr>
    </w:lvl>
    <w:lvl w:ilvl="7" w:tplc="86EA4530" w:tentative="1">
      <w:start w:val="1"/>
      <w:numFmt w:val="bullet"/>
      <w:lvlText w:val="o"/>
      <w:lvlJc w:val="left"/>
      <w:pPr>
        <w:ind w:left="5818" w:hanging="360"/>
      </w:pPr>
      <w:rPr>
        <w:rFonts w:ascii="Courier New" w:hAnsi="Courier New" w:cs="Courier New" w:hint="default"/>
      </w:rPr>
    </w:lvl>
    <w:lvl w:ilvl="8" w:tplc="D8B29DB6" w:tentative="1">
      <w:start w:val="1"/>
      <w:numFmt w:val="bullet"/>
      <w:lvlText w:val=""/>
      <w:lvlJc w:val="left"/>
      <w:pPr>
        <w:ind w:left="6538" w:hanging="360"/>
      </w:pPr>
      <w:rPr>
        <w:rFonts w:ascii="Wingdings" w:hAnsi="Wingdings" w:hint="default"/>
      </w:rPr>
    </w:lvl>
  </w:abstractNum>
  <w:num w:numId="1" w16cid:durableId="1779329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98"/>
    <w:rsid w:val="00004C92"/>
    <w:rsid w:val="000060A5"/>
    <w:rsid w:val="000115AE"/>
    <w:rsid w:val="00021997"/>
    <w:rsid w:val="00024DA2"/>
    <w:rsid w:val="00033E2B"/>
    <w:rsid w:val="00034976"/>
    <w:rsid w:val="00037BC9"/>
    <w:rsid w:val="00045511"/>
    <w:rsid w:val="00045F3B"/>
    <w:rsid w:val="000466D8"/>
    <w:rsid w:val="00054077"/>
    <w:rsid w:val="000549F0"/>
    <w:rsid w:val="000631B0"/>
    <w:rsid w:val="00063AC1"/>
    <w:rsid w:val="000662EC"/>
    <w:rsid w:val="000767A9"/>
    <w:rsid w:val="0008194B"/>
    <w:rsid w:val="0008410E"/>
    <w:rsid w:val="00086028"/>
    <w:rsid w:val="000A31A9"/>
    <w:rsid w:val="000A3965"/>
    <w:rsid w:val="000B02BD"/>
    <w:rsid w:val="000B29C3"/>
    <w:rsid w:val="000B7DBF"/>
    <w:rsid w:val="000C79EE"/>
    <w:rsid w:val="000D0F92"/>
    <w:rsid w:val="000D2986"/>
    <w:rsid w:val="000D2D49"/>
    <w:rsid w:val="000D414D"/>
    <w:rsid w:val="000D6E28"/>
    <w:rsid w:val="000E3401"/>
    <w:rsid w:val="000E40B7"/>
    <w:rsid w:val="000E6666"/>
    <w:rsid w:val="000E78BF"/>
    <w:rsid w:val="000F0683"/>
    <w:rsid w:val="000F4307"/>
    <w:rsid w:val="001014B5"/>
    <w:rsid w:val="00105605"/>
    <w:rsid w:val="00105DB9"/>
    <w:rsid w:val="00112215"/>
    <w:rsid w:val="00113539"/>
    <w:rsid w:val="00114C70"/>
    <w:rsid w:val="0011730E"/>
    <w:rsid w:val="001177FC"/>
    <w:rsid w:val="00117805"/>
    <w:rsid w:val="00117FC8"/>
    <w:rsid w:val="00122644"/>
    <w:rsid w:val="00125226"/>
    <w:rsid w:val="00132835"/>
    <w:rsid w:val="001335A3"/>
    <w:rsid w:val="001336A0"/>
    <w:rsid w:val="00134B1B"/>
    <w:rsid w:val="001414F6"/>
    <w:rsid w:val="00146FDB"/>
    <w:rsid w:val="00150C2E"/>
    <w:rsid w:val="0015629D"/>
    <w:rsid w:val="00161357"/>
    <w:rsid w:val="001655B6"/>
    <w:rsid w:val="00172B40"/>
    <w:rsid w:val="00173BA4"/>
    <w:rsid w:val="00176187"/>
    <w:rsid w:val="0018545F"/>
    <w:rsid w:val="00186FF1"/>
    <w:rsid w:val="00187747"/>
    <w:rsid w:val="00187DA9"/>
    <w:rsid w:val="00193CD4"/>
    <w:rsid w:val="00195618"/>
    <w:rsid w:val="001A4A58"/>
    <w:rsid w:val="001C32A3"/>
    <w:rsid w:val="001C48A2"/>
    <w:rsid w:val="001C79DE"/>
    <w:rsid w:val="001D3BF6"/>
    <w:rsid w:val="001D4C8D"/>
    <w:rsid w:val="001D6061"/>
    <w:rsid w:val="001D798E"/>
    <w:rsid w:val="001E0470"/>
    <w:rsid w:val="001E11B5"/>
    <w:rsid w:val="001E5250"/>
    <w:rsid w:val="001F0F2C"/>
    <w:rsid w:val="001F2E0B"/>
    <w:rsid w:val="001F342A"/>
    <w:rsid w:val="001F520F"/>
    <w:rsid w:val="001F6F9C"/>
    <w:rsid w:val="002004FB"/>
    <w:rsid w:val="00201CFE"/>
    <w:rsid w:val="00204B6D"/>
    <w:rsid w:val="00204FF3"/>
    <w:rsid w:val="00205E1B"/>
    <w:rsid w:val="00216665"/>
    <w:rsid w:val="00217073"/>
    <w:rsid w:val="002267B4"/>
    <w:rsid w:val="00226C6F"/>
    <w:rsid w:val="0024074A"/>
    <w:rsid w:val="00242DF8"/>
    <w:rsid w:val="002433B3"/>
    <w:rsid w:val="0024535E"/>
    <w:rsid w:val="00245430"/>
    <w:rsid w:val="002515E7"/>
    <w:rsid w:val="002545FE"/>
    <w:rsid w:val="00260C42"/>
    <w:rsid w:val="00264F8F"/>
    <w:rsid w:val="00266DDD"/>
    <w:rsid w:val="002708E9"/>
    <w:rsid w:val="00277652"/>
    <w:rsid w:val="00283E59"/>
    <w:rsid w:val="00283FEA"/>
    <w:rsid w:val="00290620"/>
    <w:rsid w:val="0029309B"/>
    <w:rsid w:val="00296CF2"/>
    <w:rsid w:val="002B07EC"/>
    <w:rsid w:val="002B1804"/>
    <w:rsid w:val="002B1C89"/>
    <w:rsid w:val="002B3174"/>
    <w:rsid w:val="002B63A0"/>
    <w:rsid w:val="002C1831"/>
    <w:rsid w:val="002D20B5"/>
    <w:rsid w:val="002D527D"/>
    <w:rsid w:val="002D5A7A"/>
    <w:rsid w:val="002E0943"/>
    <w:rsid w:val="002E4482"/>
    <w:rsid w:val="002F049B"/>
    <w:rsid w:val="00304E40"/>
    <w:rsid w:val="00305618"/>
    <w:rsid w:val="00305873"/>
    <w:rsid w:val="00316105"/>
    <w:rsid w:val="003167DB"/>
    <w:rsid w:val="00317C24"/>
    <w:rsid w:val="003248B7"/>
    <w:rsid w:val="003261BE"/>
    <w:rsid w:val="0032655F"/>
    <w:rsid w:val="00332D3F"/>
    <w:rsid w:val="003368D3"/>
    <w:rsid w:val="00336A15"/>
    <w:rsid w:val="00337290"/>
    <w:rsid w:val="00345015"/>
    <w:rsid w:val="0034614A"/>
    <w:rsid w:val="0035128F"/>
    <w:rsid w:val="0035611F"/>
    <w:rsid w:val="00363314"/>
    <w:rsid w:val="00364A8D"/>
    <w:rsid w:val="00373C5F"/>
    <w:rsid w:val="00373D46"/>
    <w:rsid w:val="00375FE8"/>
    <w:rsid w:val="0038448A"/>
    <w:rsid w:val="00387DD0"/>
    <w:rsid w:val="00394517"/>
    <w:rsid w:val="00396B0A"/>
    <w:rsid w:val="003A1D33"/>
    <w:rsid w:val="003A26CF"/>
    <w:rsid w:val="003A2E7F"/>
    <w:rsid w:val="003B09C9"/>
    <w:rsid w:val="003B24C5"/>
    <w:rsid w:val="003B3139"/>
    <w:rsid w:val="003C7735"/>
    <w:rsid w:val="003D2678"/>
    <w:rsid w:val="003D2B2E"/>
    <w:rsid w:val="003D4EBF"/>
    <w:rsid w:val="003D5581"/>
    <w:rsid w:val="003E0A08"/>
    <w:rsid w:val="003E1D51"/>
    <w:rsid w:val="003E3B1C"/>
    <w:rsid w:val="003F4355"/>
    <w:rsid w:val="00402BA4"/>
    <w:rsid w:val="00404F9D"/>
    <w:rsid w:val="004050C6"/>
    <w:rsid w:val="00405CFF"/>
    <w:rsid w:val="0041056A"/>
    <w:rsid w:val="0041070A"/>
    <w:rsid w:val="004144E2"/>
    <w:rsid w:val="0042437F"/>
    <w:rsid w:val="00434568"/>
    <w:rsid w:val="00437829"/>
    <w:rsid w:val="004421F4"/>
    <w:rsid w:val="004428F7"/>
    <w:rsid w:val="00442FDC"/>
    <w:rsid w:val="0044525D"/>
    <w:rsid w:val="00451409"/>
    <w:rsid w:val="004714C1"/>
    <w:rsid w:val="00477055"/>
    <w:rsid w:val="004870A6"/>
    <w:rsid w:val="0049181F"/>
    <w:rsid w:val="00494090"/>
    <w:rsid w:val="0049474D"/>
    <w:rsid w:val="004B6379"/>
    <w:rsid w:val="004D4138"/>
    <w:rsid w:val="004D53B3"/>
    <w:rsid w:val="004E67E8"/>
    <w:rsid w:val="004E6D87"/>
    <w:rsid w:val="004F7655"/>
    <w:rsid w:val="004F7E52"/>
    <w:rsid w:val="005002C0"/>
    <w:rsid w:val="00505CB1"/>
    <w:rsid w:val="00510A34"/>
    <w:rsid w:val="00515165"/>
    <w:rsid w:val="005272E0"/>
    <w:rsid w:val="005317E7"/>
    <w:rsid w:val="005364BD"/>
    <w:rsid w:val="00540570"/>
    <w:rsid w:val="00545B01"/>
    <w:rsid w:val="00550313"/>
    <w:rsid w:val="005522F4"/>
    <w:rsid w:val="005543F5"/>
    <w:rsid w:val="005553AE"/>
    <w:rsid w:val="005558DF"/>
    <w:rsid w:val="005607CB"/>
    <w:rsid w:val="00561382"/>
    <w:rsid w:val="00563321"/>
    <w:rsid w:val="00564A33"/>
    <w:rsid w:val="0056518C"/>
    <w:rsid w:val="0056658C"/>
    <w:rsid w:val="005771B8"/>
    <w:rsid w:val="0058105C"/>
    <w:rsid w:val="0058170E"/>
    <w:rsid w:val="005866BE"/>
    <w:rsid w:val="005869B9"/>
    <w:rsid w:val="00593111"/>
    <w:rsid w:val="005956DC"/>
    <w:rsid w:val="005A6E6B"/>
    <w:rsid w:val="005A7035"/>
    <w:rsid w:val="005C01DE"/>
    <w:rsid w:val="005C3D29"/>
    <w:rsid w:val="005C74B4"/>
    <w:rsid w:val="005D2C8D"/>
    <w:rsid w:val="005D42B9"/>
    <w:rsid w:val="005D4783"/>
    <w:rsid w:val="005E7327"/>
    <w:rsid w:val="005F7FF0"/>
    <w:rsid w:val="00602E7A"/>
    <w:rsid w:val="00604B11"/>
    <w:rsid w:val="00604B8F"/>
    <w:rsid w:val="006052F1"/>
    <w:rsid w:val="00613A5E"/>
    <w:rsid w:val="00620FBC"/>
    <w:rsid w:val="00626AD5"/>
    <w:rsid w:val="00631322"/>
    <w:rsid w:val="00633056"/>
    <w:rsid w:val="00633A51"/>
    <w:rsid w:val="0064222D"/>
    <w:rsid w:val="00654579"/>
    <w:rsid w:val="006561A9"/>
    <w:rsid w:val="00662FEE"/>
    <w:rsid w:val="00665976"/>
    <w:rsid w:val="00671511"/>
    <w:rsid w:val="00672F0B"/>
    <w:rsid w:val="006757A5"/>
    <w:rsid w:val="006764D1"/>
    <w:rsid w:val="00676787"/>
    <w:rsid w:val="006770AB"/>
    <w:rsid w:val="00677730"/>
    <w:rsid w:val="00682238"/>
    <w:rsid w:val="00683AF1"/>
    <w:rsid w:val="00683C4A"/>
    <w:rsid w:val="00685D7A"/>
    <w:rsid w:val="0068780C"/>
    <w:rsid w:val="0069074E"/>
    <w:rsid w:val="006908B6"/>
    <w:rsid w:val="006959F9"/>
    <w:rsid w:val="006A4D08"/>
    <w:rsid w:val="006A7E91"/>
    <w:rsid w:val="006B4426"/>
    <w:rsid w:val="006B63AE"/>
    <w:rsid w:val="006D7457"/>
    <w:rsid w:val="006F1059"/>
    <w:rsid w:val="006F53EC"/>
    <w:rsid w:val="007033A5"/>
    <w:rsid w:val="00704988"/>
    <w:rsid w:val="007102EA"/>
    <w:rsid w:val="0071411E"/>
    <w:rsid w:val="00715AC1"/>
    <w:rsid w:val="00721332"/>
    <w:rsid w:val="00723324"/>
    <w:rsid w:val="0073387B"/>
    <w:rsid w:val="00734272"/>
    <w:rsid w:val="00734EFC"/>
    <w:rsid w:val="00736FC4"/>
    <w:rsid w:val="007467DF"/>
    <w:rsid w:val="0075277A"/>
    <w:rsid w:val="00755E98"/>
    <w:rsid w:val="0075610F"/>
    <w:rsid w:val="007644FD"/>
    <w:rsid w:val="00765122"/>
    <w:rsid w:val="007707D7"/>
    <w:rsid w:val="007722B6"/>
    <w:rsid w:val="007723E8"/>
    <w:rsid w:val="007726C5"/>
    <w:rsid w:val="00776571"/>
    <w:rsid w:val="007800E9"/>
    <w:rsid w:val="00782826"/>
    <w:rsid w:val="00786A71"/>
    <w:rsid w:val="00786BEE"/>
    <w:rsid w:val="00792E2C"/>
    <w:rsid w:val="007A0F02"/>
    <w:rsid w:val="007A2722"/>
    <w:rsid w:val="007B03A2"/>
    <w:rsid w:val="007B291E"/>
    <w:rsid w:val="007B2FE7"/>
    <w:rsid w:val="007C4124"/>
    <w:rsid w:val="007C7F06"/>
    <w:rsid w:val="007E01D3"/>
    <w:rsid w:val="007E130C"/>
    <w:rsid w:val="007E7599"/>
    <w:rsid w:val="007E7846"/>
    <w:rsid w:val="007F4650"/>
    <w:rsid w:val="007F520B"/>
    <w:rsid w:val="0080648D"/>
    <w:rsid w:val="00810114"/>
    <w:rsid w:val="00830D8C"/>
    <w:rsid w:val="008371DB"/>
    <w:rsid w:val="008417FB"/>
    <w:rsid w:val="00841F64"/>
    <w:rsid w:val="008462DB"/>
    <w:rsid w:val="0086354E"/>
    <w:rsid w:val="00867FDE"/>
    <w:rsid w:val="00873550"/>
    <w:rsid w:val="00875DF3"/>
    <w:rsid w:val="0087781C"/>
    <w:rsid w:val="008779FF"/>
    <w:rsid w:val="0088518E"/>
    <w:rsid w:val="00891914"/>
    <w:rsid w:val="008929B8"/>
    <w:rsid w:val="00893109"/>
    <w:rsid w:val="00893E6D"/>
    <w:rsid w:val="008A1F41"/>
    <w:rsid w:val="008A6048"/>
    <w:rsid w:val="008B1C26"/>
    <w:rsid w:val="008B5911"/>
    <w:rsid w:val="008D4B0B"/>
    <w:rsid w:val="008D7945"/>
    <w:rsid w:val="008E53E6"/>
    <w:rsid w:val="008F0060"/>
    <w:rsid w:val="008F0ED8"/>
    <w:rsid w:val="008F35BB"/>
    <w:rsid w:val="009068A7"/>
    <w:rsid w:val="0092193F"/>
    <w:rsid w:val="00921B0E"/>
    <w:rsid w:val="00927492"/>
    <w:rsid w:val="00936BCE"/>
    <w:rsid w:val="00946A44"/>
    <w:rsid w:val="00947EE3"/>
    <w:rsid w:val="00952DD1"/>
    <w:rsid w:val="00963ECC"/>
    <w:rsid w:val="009674F2"/>
    <w:rsid w:val="00970469"/>
    <w:rsid w:val="009754DB"/>
    <w:rsid w:val="0097712F"/>
    <w:rsid w:val="00983606"/>
    <w:rsid w:val="00994EA0"/>
    <w:rsid w:val="00995896"/>
    <w:rsid w:val="009A5559"/>
    <w:rsid w:val="009A7A9B"/>
    <w:rsid w:val="009A7C14"/>
    <w:rsid w:val="009B0855"/>
    <w:rsid w:val="009C38C9"/>
    <w:rsid w:val="009C50CD"/>
    <w:rsid w:val="009C52FD"/>
    <w:rsid w:val="009E1B73"/>
    <w:rsid w:val="009E3AEA"/>
    <w:rsid w:val="009E4926"/>
    <w:rsid w:val="009E6BFC"/>
    <w:rsid w:val="009F5302"/>
    <w:rsid w:val="00A02C7A"/>
    <w:rsid w:val="00A0698D"/>
    <w:rsid w:val="00A12980"/>
    <w:rsid w:val="00A13CD0"/>
    <w:rsid w:val="00A14579"/>
    <w:rsid w:val="00A14604"/>
    <w:rsid w:val="00A16AD6"/>
    <w:rsid w:val="00A25574"/>
    <w:rsid w:val="00A3318E"/>
    <w:rsid w:val="00A41B62"/>
    <w:rsid w:val="00A42D47"/>
    <w:rsid w:val="00A43274"/>
    <w:rsid w:val="00A5279D"/>
    <w:rsid w:val="00A54E13"/>
    <w:rsid w:val="00A66263"/>
    <w:rsid w:val="00A66759"/>
    <w:rsid w:val="00A70C81"/>
    <w:rsid w:val="00A7150C"/>
    <w:rsid w:val="00A75BF2"/>
    <w:rsid w:val="00A974A7"/>
    <w:rsid w:val="00AA065F"/>
    <w:rsid w:val="00AA57CB"/>
    <w:rsid w:val="00AA7C45"/>
    <w:rsid w:val="00AB3B3A"/>
    <w:rsid w:val="00AB6012"/>
    <w:rsid w:val="00AB6DBF"/>
    <w:rsid w:val="00AC206F"/>
    <w:rsid w:val="00AC35E1"/>
    <w:rsid w:val="00AC7434"/>
    <w:rsid w:val="00AD053C"/>
    <w:rsid w:val="00AD05F3"/>
    <w:rsid w:val="00AD49FB"/>
    <w:rsid w:val="00AD535A"/>
    <w:rsid w:val="00AE0F64"/>
    <w:rsid w:val="00AE2640"/>
    <w:rsid w:val="00AE486B"/>
    <w:rsid w:val="00AE4BC2"/>
    <w:rsid w:val="00AF0CDE"/>
    <w:rsid w:val="00AF3227"/>
    <w:rsid w:val="00B01B1B"/>
    <w:rsid w:val="00B030C6"/>
    <w:rsid w:val="00B036D2"/>
    <w:rsid w:val="00B151BD"/>
    <w:rsid w:val="00B15207"/>
    <w:rsid w:val="00B17AA1"/>
    <w:rsid w:val="00B20D9A"/>
    <w:rsid w:val="00B24770"/>
    <w:rsid w:val="00B34D30"/>
    <w:rsid w:val="00B37F80"/>
    <w:rsid w:val="00B4368A"/>
    <w:rsid w:val="00B45839"/>
    <w:rsid w:val="00B47580"/>
    <w:rsid w:val="00B5299B"/>
    <w:rsid w:val="00B62D63"/>
    <w:rsid w:val="00B75F65"/>
    <w:rsid w:val="00B76163"/>
    <w:rsid w:val="00B81207"/>
    <w:rsid w:val="00B8284A"/>
    <w:rsid w:val="00B83004"/>
    <w:rsid w:val="00B8564D"/>
    <w:rsid w:val="00BA1024"/>
    <w:rsid w:val="00BA4B53"/>
    <w:rsid w:val="00BA622B"/>
    <w:rsid w:val="00BB5E98"/>
    <w:rsid w:val="00BC162C"/>
    <w:rsid w:val="00BC39CE"/>
    <w:rsid w:val="00BC3CC9"/>
    <w:rsid w:val="00BC3E22"/>
    <w:rsid w:val="00BC61C6"/>
    <w:rsid w:val="00BC6A7B"/>
    <w:rsid w:val="00BD658B"/>
    <w:rsid w:val="00BF0FFB"/>
    <w:rsid w:val="00C01616"/>
    <w:rsid w:val="00C076CC"/>
    <w:rsid w:val="00C1090E"/>
    <w:rsid w:val="00C11931"/>
    <w:rsid w:val="00C14E36"/>
    <w:rsid w:val="00C16BEC"/>
    <w:rsid w:val="00C21062"/>
    <w:rsid w:val="00C272A0"/>
    <w:rsid w:val="00C348A1"/>
    <w:rsid w:val="00C4136C"/>
    <w:rsid w:val="00C42690"/>
    <w:rsid w:val="00C43F3A"/>
    <w:rsid w:val="00C44629"/>
    <w:rsid w:val="00C50075"/>
    <w:rsid w:val="00C567C2"/>
    <w:rsid w:val="00C56A0F"/>
    <w:rsid w:val="00C65979"/>
    <w:rsid w:val="00C75202"/>
    <w:rsid w:val="00C755E8"/>
    <w:rsid w:val="00C7594F"/>
    <w:rsid w:val="00C77CD3"/>
    <w:rsid w:val="00C80CF9"/>
    <w:rsid w:val="00C80F84"/>
    <w:rsid w:val="00C82D1F"/>
    <w:rsid w:val="00C853A4"/>
    <w:rsid w:val="00C8553A"/>
    <w:rsid w:val="00CA03AC"/>
    <w:rsid w:val="00CA05B6"/>
    <w:rsid w:val="00CA63BD"/>
    <w:rsid w:val="00CB2496"/>
    <w:rsid w:val="00CB65F1"/>
    <w:rsid w:val="00CB7FC7"/>
    <w:rsid w:val="00CC292A"/>
    <w:rsid w:val="00CC29BF"/>
    <w:rsid w:val="00CD19DB"/>
    <w:rsid w:val="00CD5F12"/>
    <w:rsid w:val="00CE5064"/>
    <w:rsid w:val="00CF0DB6"/>
    <w:rsid w:val="00D01B66"/>
    <w:rsid w:val="00D039FB"/>
    <w:rsid w:val="00D03D41"/>
    <w:rsid w:val="00D05CE5"/>
    <w:rsid w:val="00D072B2"/>
    <w:rsid w:val="00D129A0"/>
    <w:rsid w:val="00D16680"/>
    <w:rsid w:val="00D17DDC"/>
    <w:rsid w:val="00D210A0"/>
    <w:rsid w:val="00D36223"/>
    <w:rsid w:val="00D40214"/>
    <w:rsid w:val="00D442C5"/>
    <w:rsid w:val="00D456A1"/>
    <w:rsid w:val="00D47838"/>
    <w:rsid w:val="00D5374E"/>
    <w:rsid w:val="00D55383"/>
    <w:rsid w:val="00D609A8"/>
    <w:rsid w:val="00D64634"/>
    <w:rsid w:val="00D66774"/>
    <w:rsid w:val="00D73644"/>
    <w:rsid w:val="00D73D06"/>
    <w:rsid w:val="00D77116"/>
    <w:rsid w:val="00D77A8D"/>
    <w:rsid w:val="00D84B95"/>
    <w:rsid w:val="00D874E9"/>
    <w:rsid w:val="00D91E2D"/>
    <w:rsid w:val="00D96A21"/>
    <w:rsid w:val="00DA1E22"/>
    <w:rsid w:val="00DA2839"/>
    <w:rsid w:val="00DC63A5"/>
    <w:rsid w:val="00DD0E67"/>
    <w:rsid w:val="00DD199A"/>
    <w:rsid w:val="00DD6E36"/>
    <w:rsid w:val="00DD76C4"/>
    <w:rsid w:val="00DF7F3F"/>
    <w:rsid w:val="00E00ED7"/>
    <w:rsid w:val="00E03990"/>
    <w:rsid w:val="00E05C0E"/>
    <w:rsid w:val="00E0751B"/>
    <w:rsid w:val="00E07EA4"/>
    <w:rsid w:val="00E12B98"/>
    <w:rsid w:val="00E12FB4"/>
    <w:rsid w:val="00E135E8"/>
    <w:rsid w:val="00E22FF0"/>
    <w:rsid w:val="00E23868"/>
    <w:rsid w:val="00E2667F"/>
    <w:rsid w:val="00E3063B"/>
    <w:rsid w:val="00E31C8A"/>
    <w:rsid w:val="00E40A92"/>
    <w:rsid w:val="00E45E87"/>
    <w:rsid w:val="00E51459"/>
    <w:rsid w:val="00E53448"/>
    <w:rsid w:val="00E53971"/>
    <w:rsid w:val="00E552B9"/>
    <w:rsid w:val="00E56B65"/>
    <w:rsid w:val="00E65AC6"/>
    <w:rsid w:val="00E7083E"/>
    <w:rsid w:val="00E76607"/>
    <w:rsid w:val="00E76EA4"/>
    <w:rsid w:val="00E77978"/>
    <w:rsid w:val="00E9273B"/>
    <w:rsid w:val="00E93CEC"/>
    <w:rsid w:val="00E977A4"/>
    <w:rsid w:val="00EA7191"/>
    <w:rsid w:val="00EB0974"/>
    <w:rsid w:val="00EB3EA0"/>
    <w:rsid w:val="00EB434E"/>
    <w:rsid w:val="00EB58F8"/>
    <w:rsid w:val="00EC365D"/>
    <w:rsid w:val="00EC694E"/>
    <w:rsid w:val="00EC6EC1"/>
    <w:rsid w:val="00ED4699"/>
    <w:rsid w:val="00EE0136"/>
    <w:rsid w:val="00EE1E02"/>
    <w:rsid w:val="00EE2B17"/>
    <w:rsid w:val="00EE2DA3"/>
    <w:rsid w:val="00EF0E8A"/>
    <w:rsid w:val="00F010B7"/>
    <w:rsid w:val="00F02F02"/>
    <w:rsid w:val="00F107A7"/>
    <w:rsid w:val="00F156FC"/>
    <w:rsid w:val="00F22FFE"/>
    <w:rsid w:val="00F242C2"/>
    <w:rsid w:val="00F31234"/>
    <w:rsid w:val="00F34417"/>
    <w:rsid w:val="00F36035"/>
    <w:rsid w:val="00F41BB9"/>
    <w:rsid w:val="00F4751A"/>
    <w:rsid w:val="00F56C0E"/>
    <w:rsid w:val="00F64761"/>
    <w:rsid w:val="00F6484D"/>
    <w:rsid w:val="00F727D8"/>
    <w:rsid w:val="00F80709"/>
    <w:rsid w:val="00F91FBA"/>
    <w:rsid w:val="00F92381"/>
    <w:rsid w:val="00F92E59"/>
    <w:rsid w:val="00F97A58"/>
    <w:rsid w:val="00FA1021"/>
    <w:rsid w:val="00FA4C79"/>
    <w:rsid w:val="00FA7015"/>
    <w:rsid w:val="00FB0045"/>
    <w:rsid w:val="00FC4151"/>
    <w:rsid w:val="00FC5E10"/>
    <w:rsid w:val="00FD3CD3"/>
    <w:rsid w:val="00FE159A"/>
    <w:rsid w:val="00FE612D"/>
    <w:rsid w:val="00FE7C6A"/>
    <w:rsid w:val="00FF1D7E"/>
    <w:rsid w:val="00FF1F96"/>
    <w:rsid w:val="00FF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20F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896"/>
    <w:pPr>
      <w:ind w:left="720"/>
      <w:contextualSpacing/>
    </w:pPr>
  </w:style>
  <w:style w:type="paragraph" w:styleId="FootnoteText">
    <w:name w:val="footnote text"/>
    <w:basedOn w:val="Normal"/>
    <w:link w:val="FootnoteTextChar"/>
    <w:uiPriority w:val="99"/>
    <w:semiHidden/>
    <w:unhideWhenUsed/>
    <w:rsid w:val="00B20D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D9A"/>
    <w:rPr>
      <w:sz w:val="20"/>
      <w:szCs w:val="20"/>
    </w:rPr>
  </w:style>
  <w:style w:type="character" w:styleId="FootnoteReference">
    <w:name w:val="footnote reference"/>
    <w:basedOn w:val="DefaultParagraphFont"/>
    <w:uiPriority w:val="99"/>
    <w:semiHidden/>
    <w:unhideWhenUsed/>
    <w:rsid w:val="00B20D9A"/>
    <w:rPr>
      <w:vertAlign w:val="superscript"/>
    </w:rPr>
  </w:style>
  <w:style w:type="character" w:styleId="CommentReference">
    <w:name w:val="annotation reference"/>
    <w:basedOn w:val="DefaultParagraphFont"/>
    <w:uiPriority w:val="99"/>
    <w:semiHidden/>
    <w:unhideWhenUsed/>
    <w:rsid w:val="00F41BB9"/>
    <w:rPr>
      <w:sz w:val="16"/>
      <w:szCs w:val="16"/>
    </w:rPr>
  </w:style>
  <w:style w:type="paragraph" w:styleId="CommentText">
    <w:name w:val="annotation text"/>
    <w:basedOn w:val="Normal"/>
    <w:link w:val="CommentTextChar"/>
    <w:uiPriority w:val="99"/>
    <w:unhideWhenUsed/>
    <w:rsid w:val="00F41BB9"/>
    <w:pPr>
      <w:spacing w:line="240" w:lineRule="auto"/>
    </w:pPr>
    <w:rPr>
      <w:sz w:val="20"/>
      <w:szCs w:val="20"/>
    </w:rPr>
  </w:style>
  <w:style w:type="character" w:customStyle="1" w:styleId="CommentTextChar">
    <w:name w:val="Comment Text Char"/>
    <w:basedOn w:val="DefaultParagraphFont"/>
    <w:link w:val="CommentText"/>
    <w:uiPriority w:val="99"/>
    <w:rsid w:val="00F41BB9"/>
    <w:rPr>
      <w:sz w:val="20"/>
      <w:szCs w:val="20"/>
    </w:rPr>
  </w:style>
  <w:style w:type="paragraph" w:styleId="CommentSubject">
    <w:name w:val="annotation subject"/>
    <w:basedOn w:val="CommentText"/>
    <w:next w:val="CommentText"/>
    <w:link w:val="CommentSubjectChar"/>
    <w:uiPriority w:val="99"/>
    <w:semiHidden/>
    <w:unhideWhenUsed/>
    <w:rsid w:val="00F41BB9"/>
    <w:rPr>
      <w:b/>
      <w:bCs/>
    </w:rPr>
  </w:style>
  <w:style w:type="character" w:customStyle="1" w:styleId="CommentSubjectChar">
    <w:name w:val="Comment Subject Char"/>
    <w:basedOn w:val="CommentTextChar"/>
    <w:link w:val="CommentSubject"/>
    <w:uiPriority w:val="99"/>
    <w:semiHidden/>
    <w:rsid w:val="00F41BB9"/>
    <w:rPr>
      <w:b/>
      <w:bCs/>
      <w:sz w:val="20"/>
      <w:szCs w:val="20"/>
    </w:rPr>
  </w:style>
  <w:style w:type="paragraph" w:styleId="Header">
    <w:name w:val="header"/>
    <w:basedOn w:val="Normal"/>
    <w:link w:val="HeaderChar"/>
    <w:uiPriority w:val="99"/>
    <w:unhideWhenUsed/>
    <w:rsid w:val="00101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4B5"/>
  </w:style>
  <w:style w:type="paragraph" w:styleId="Footer">
    <w:name w:val="footer"/>
    <w:basedOn w:val="Normal"/>
    <w:link w:val="FooterChar"/>
    <w:uiPriority w:val="99"/>
    <w:unhideWhenUsed/>
    <w:rsid w:val="00101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4B5"/>
  </w:style>
  <w:style w:type="paragraph" w:styleId="Title">
    <w:name w:val="Title"/>
    <w:basedOn w:val="Normal"/>
    <w:link w:val="TitleChar"/>
    <w:uiPriority w:val="99"/>
    <w:qFormat/>
    <w:rsid w:val="0097712F"/>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97712F"/>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602E7A"/>
    <w:rPr>
      <w:color w:val="0563C1"/>
      <w:u w:val="single"/>
    </w:rPr>
  </w:style>
  <w:style w:type="character" w:styleId="UnresolvedMention">
    <w:name w:val="Unresolved Mention"/>
    <w:basedOn w:val="DefaultParagraphFont"/>
    <w:uiPriority w:val="99"/>
    <w:rsid w:val="00E93CEC"/>
    <w:rPr>
      <w:color w:val="605E5C"/>
      <w:shd w:val="clear" w:color="auto" w:fill="E1DFDD"/>
    </w:rPr>
  </w:style>
  <w:style w:type="paragraph" w:styleId="Revision">
    <w:name w:val="Revision"/>
    <w:hidden/>
    <w:uiPriority w:val="99"/>
    <w:semiHidden/>
    <w:rsid w:val="00921B0E"/>
    <w:pPr>
      <w:spacing w:after="0" w:line="240" w:lineRule="auto"/>
    </w:pPr>
  </w:style>
  <w:style w:type="character" w:styleId="PageNumber">
    <w:name w:val="page number"/>
    <w:basedOn w:val="DefaultParagraphFont"/>
    <w:uiPriority w:val="99"/>
    <w:rsid w:val="00D4021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boehm@BKLlawfirm.com" TargetMode="External"/><Relationship Id="rId18" Type="http://schemas.openxmlformats.org/officeDocument/2006/relationships/hyperlink" Target="mailto:angela.obrien@occ.ohio.gov" TargetMode="External"/><Relationship Id="rId26" Type="http://schemas.openxmlformats.org/officeDocument/2006/relationships/hyperlink" Target="mailto:rhiannon.howard@ohioago.gov" TargetMode="External"/><Relationship Id="rId3" Type="http://schemas.openxmlformats.org/officeDocument/2006/relationships/settings" Target="settings.xml"/><Relationship Id="rId21" Type="http://schemas.openxmlformats.org/officeDocument/2006/relationships/hyperlink" Target="mailto:ahaque@bakerlaw.com" TargetMode="External"/><Relationship Id="rId34" Type="http://schemas.openxmlformats.org/officeDocument/2006/relationships/theme" Target="theme/theme1.xml"/><Relationship Id="rId7" Type="http://schemas.openxmlformats.org/officeDocument/2006/relationships/hyperlink" Target="mailto:mkl@smxblaw.com" TargetMode="External"/><Relationship Id="rId12" Type="http://schemas.openxmlformats.org/officeDocument/2006/relationships/hyperlink" Target="mailto:mkurtz@BKLlawfirm.com" TargetMode="External"/><Relationship Id="rId17" Type="http://schemas.openxmlformats.org/officeDocument/2006/relationships/hyperlink" Target="mailto:Michael.Nugent@igs.com" TargetMode="External"/><Relationship Id="rId25" Type="http://schemas.openxmlformats.org/officeDocument/2006/relationships/hyperlink" Target="mailto:rmains@brickergraydon.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van.Betterton@igs.com" TargetMode="External"/><Relationship Id="rId20" Type="http://schemas.openxmlformats.org/officeDocument/2006/relationships/hyperlink" Target="mailto:dproano@bakerlaw.com" TargetMode="External"/><Relationship Id="rId29" Type="http://schemas.openxmlformats.org/officeDocument/2006/relationships/hyperlink" Target="mailto:greg.price@puco.ohio.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anford@firstenergycorp.com" TargetMode="External"/><Relationship Id="rId24" Type="http://schemas.openxmlformats.org/officeDocument/2006/relationships/hyperlink" Target="mailto:dparram@brickergraydon.com"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Stacie.Cathcart@igs.com" TargetMode="External"/><Relationship Id="rId23" Type="http://schemas.openxmlformats.org/officeDocument/2006/relationships/hyperlink" Target="mailto:bojko@carpenterlipps.com" TargetMode="External"/><Relationship Id="rId28" Type="http://schemas.openxmlformats.org/officeDocument/2006/relationships/hyperlink" Target="mailto:megan.addison@puco.ohio.gov" TargetMode="External"/><Relationship Id="rId10" Type="http://schemas.openxmlformats.org/officeDocument/2006/relationships/hyperlink" Target="mailto:kfling@firstenergycorp.com" TargetMode="External"/><Relationship Id="rId19" Type="http://schemas.openxmlformats.org/officeDocument/2006/relationships/hyperlink" Target="mailto:connor.semple@occ.ohio.gov"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kylercohn@BKLlawfirm.com" TargetMode="External"/><Relationship Id="rId22" Type="http://schemas.openxmlformats.org/officeDocument/2006/relationships/hyperlink" Target="mailto:eprouty@bakerlaw.com" TargetMode="External"/><Relationship Id="rId27" Type="http://schemas.openxmlformats.org/officeDocument/2006/relationships/hyperlink" Target="mailto:amy.botschnerobrien@ohioago.gov" TargetMode="External"/><Relationship Id="rId30" Type="http://schemas.openxmlformats.org/officeDocument/2006/relationships/hyperlink" Target="mailto:jacqueline.st.john@puco.ohio.gov" TargetMode="External"/><Relationship Id="rId8" Type="http://schemas.openxmlformats.org/officeDocument/2006/relationships/hyperlink" Target="mailto:jrb@smxb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6740</Characters>
  <Application>Microsoft Office Word</Application>
  <DocSecurity>0</DocSecurity>
  <Lines>56</Lines>
  <Paragraphs>15</Paragraphs>
  <ScaleCrop>false</ScaleCrop>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2023-09-01T16:21:00Z</dcterms:created>
  <dcterms:modified xsi:type="dcterms:W3CDTF">2023-09-01T16:21:00Z</dcterms:modified>
</cp:coreProperties>
</file>