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7C2976" w:rsidRPr="00710E80" w:rsidP="007C2976">
      <w:pPr>
        <w:pStyle w:val="HTMLPreformatted"/>
        <w:jc w:val="center"/>
        <w:rPr>
          <w:rFonts w:ascii="Times New Roman" w:hAnsi="Times New Roman" w:cs="Times New Roman"/>
          <w:b/>
          <w:bCs/>
          <w:sz w:val="24"/>
        </w:rPr>
      </w:pPr>
      <w:bookmarkStart w:id="0" w:name="_Hlk529973796"/>
      <w:bookmarkStart w:id="1" w:name="_GoBack"/>
      <w:bookmarkEnd w:id="1"/>
      <w:r w:rsidRPr="00710E80">
        <w:rPr>
          <w:rFonts w:ascii="Times New Roman" w:hAnsi="Times New Roman" w:cs="Times New Roman"/>
          <w:b/>
          <w:bCs/>
          <w:sz w:val="24"/>
        </w:rPr>
        <w:t>BEFORE</w:t>
      </w:r>
    </w:p>
    <w:p w:rsidR="007C2976" w:rsidRPr="00710E80" w:rsidP="00403929">
      <w:pPr>
        <w:pStyle w:val="HTMLPreformatted"/>
        <w:spacing w:after="240"/>
        <w:jc w:val="center"/>
        <w:rPr>
          <w:rFonts w:ascii="Times New Roman" w:hAnsi="Times New Roman" w:cs="Times New Roman"/>
          <w:sz w:val="24"/>
        </w:rPr>
      </w:pPr>
      <w:r w:rsidRPr="00710E80">
        <w:rPr>
          <w:rFonts w:ascii="Times New Roman" w:hAnsi="Times New Roman" w:cs="Times New Roman"/>
          <w:b/>
          <w:bCs/>
          <w:sz w:val="24"/>
        </w:rPr>
        <w:t xml:space="preserve">THE PUBLIC UTILITIES COMMISSION OF </w:t>
      </w:r>
      <w:smartTag w:uri="urn:schemas-microsoft-com:office:smarttags" w:element="place">
        <w:smartTag w:uri="urn:schemas-microsoft-com:office:smarttags" w:element="State">
          <w:r w:rsidRPr="00710E80">
            <w:rPr>
              <w:rFonts w:ascii="Times New Roman" w:hAnsi="Times New Roman" w:cs="Times New Roman"/>
              <w:b/>
              <w:bCs/>
              <w:sz w:val="24"/>
            </w:rPr>
            <w:t>OHIO</w:t>
          </w:r>
        </w:smartTag>
      </w:smartTag>
    </w:p>
    <w:tbl>
      <w:tblPr>
        <w:tblW w:w="9620" w:type="dxa"/>
        <w:tblInd w:w="0" w:type="dxa"/>
        <w:tblCellMar>
          <w:top w:w="0" w:type="dxa"/>
          <w:left w:w="108" w:type="dxa"/>
          <w:bottom w:w="0" w:type="dxa"/>
          <w:right w:w="108" w:type="dxa"/>
        </w:tblCellMar>
        <w:tblLook w:val="01E0"/>
      </w:tblPr>
      <w:tblGrid>
        <w:gridCol w:w="4860"/>
        <w:gridCol w:w="360"/>
        <w:gridCol w:w="4400"/>
      </w:tblGrid>
      <w:tr w:rsidTr="00403929">
        <w:tblPrEx>
          <w:tblW w:w="9620" w:type="dxa"/>
          <w:tblInd w:w="0" w:type="dxa"/>
          <w:tblCellMar>
            <w:top w:w="0" w:type="dxa"/>
            <w:left w:w="108" w:type="dxa"/>
            <w:bottom w:w="0" w:type="dxa"/>
            <w:right w:w="108" w:type="dxa"/>
          </w:tblCellMar>
          <w:tblLook w:val="01E0"/>
        </w:tblPrEx>
        <w:trPr>
          <w:trHeight w:val="342"/>
        </w:trPr>
        <w:tc>
          <w:tcPr>
            <w:tcW w:w="4860" w:type="dxa"/>
            <w:shd w:val="clear" w:color="auto" w:fill="auto"/>
          </w:tcPr>
          <w:p w:rsidR="005E0BDD" w:rsidP="00403929">
            <w:pPr>
              <w:autoSpaceDE w:val="0"/>
              <w:autoSpaceDN w:val="0"/>
              <w:adjustRightInd w:val="0"/>
              <w:spacing w:after="120"/>
              <w:rPr>
                <w:rStyle w:val="DefaultParagraphFont"/>
                <w:sz w:val="24"/>
                <w:lang w:val="en-US" w:eastAsia="en-US" w:bidi="ar-SA"/>
              </w:rPr>
            </w:pPr>
            <w:r>
              <w:rPr>
                <w:sz w:val="24"/>
                <w:lang w:val="en-US" w:eastAsia="en-US" w:bidi="ar-SA"/>
              </w:rPr>
              <w:t xml:space="preserve">In the Matter of the </w:t>
            </w:r>
            <w:r>
              <w:rPr>
                <w:sz w:val="24"/>
                <w:szCs w:val="24"/>
                <w:lang w:val="en-US" w:eastAsia="en-US" w:bidi="ar-SA"/>
              </w:rPr>
              <w:t>Application of Ohio Edison Company, The Cleveland Electric Illuminating Company, and The Toledo Edison Company of a Grid Modernization Business Plan</w:t>
            </w:r>
            <w:r>
              <w:rPr>
                <w:sz w:val="24"/>
                <w:lang w:val="en-US" w:eastAsia="en-US" w:bidi="ar-SA"/>
              </w:rPr>
              <w:t>.</w:t>
            </w:r>
          </w:p>
          <w:p w:rsidR="005E0BDD" w:rsidRPr="00923E57" w:rsidP="00403929">
            <w:pPr>
              <w:autoSpaceDE w:val="0"/>
              <w:autoSpaceDN w:val="0"/>
              <w:adjustRightInd w:val="0"/>
              <w:spacing w:after="120"/>
              <w:rPr>
                <w:rStyle w:val="DefaultParagraphFont"/>
                <w:sz w:val="24"/>
                <w:szCs w:val="24"/>
                <w:lang w:val="en-US" w:eastAsia="en-US" w:bidi="ar-SA"/>
              </w:rPr>
            </w:pPr>
            <w:r>
              <w:rPr>
                <w:sz w:val="24"/>
                <w:lang w:val="en-US" w:eastAsia="en-US" w:bidi="ar-SA"/>
              </w:rPr>
              <w:t xml:space="preserve">In the Matter of the Filing by </w:t>
            </w:r>
            <w:r>
              <w:rPr>
                <w:sz w:val="24"/>
                <w:szCs w:val="24"/>
                <w:lang w:val="en-US" w:eastAsia="en-US" w:bidi="ar-SA"/>
              </w:rPr>
              <w:t>Ohio Edison Company, The Cleveland Electric Illuminating Company, and The Toledo Edison Company Application for Approval of a Distribution Platform Modernization Plan.</w:t>
            </w:r>
          </w:p>
          <w:p w:rsidR="005E0BDD" w:rsidRPr="00923E57" w:rsidP="00403929">
            <w:pPr>
              <w:autoSpaceDE w:val="0"/>
              <w:autoSpaceDN w:val="0"/>
              <w:adjustRightInd w:val="0"/>
              <w:spacing w:after="120"/>
              <w:rPr>
                <w:rStyle w:val="DefaultParagraphFont"/>
                <w:sz w:val="24"/>
                <w:szCs w:val="24"/>
                <w:lang w:val="en-US" w:eastAsia="en-US" w:bidi="ar-SA"/>
              </w:rPr>
            </w:pPr>
            <w:r>
              <w:rPr>
                <w:sz w:val="24"/>
                <w:lang w:val="en-US" w:eastAsia="en-US" w:bidi="ar-SA"/>
              </w:rPr>
              <w:t xml:space="preserve">In the Matter of the Application of </w:t>
            </w:r>
            <w:r>
              <w:rPr>
                <w:sz w:val="24"/>
                <w:szCs w:val="24"/>
                <w:lang w:val="en-US" w:eastAsia="en-US" w:bidi="ar-SA"/>
              </w:rPr>
              <w:t>Ohio Edison Company, The Cleveland Electric Illuminating Company, and The Toledo Edison Company to Implement Matters Relating to the Tax Cuts and Jobs Act of 2017.</w:t>
            </w:r>
          </w:p>
          <w:p w:rsidR="005E0BDD" w:rsidRPr="00710E80" w:rsidP="00403929">
            <w:pPr>
              <w:autoSpaceDE w:val="0"/>
              <w:autoSpaceDN w:val="0"/>
              <w:adjustRightInd w:val="0"/>
              <w:spacing w:after="240"/>
              <w:rPr>
                <w:rStyle w:val="DefaultParagraphFont"/>
                <w:sz w:val="24"/>
                <w:lang w:val="en-US" w:eastAsia="en-US" w:bidi="ar-SA"/>
              </w:rPr>
            </w:pPr>
            <w:r>
              <w:rPr>
                <w:sz w:val="24"/>
                <w:lang w:val="en-US" w:eastAsia="en-US" w:bidi="ar-SA"/>
              </w:rPr>
              <w:t xml:space="preserve">In the Matter of the Application of </w:t>
            </w:r>
            <w:r>
              <w:rPr>
                <w:sz w:val="24"/>
                <w:szCs w:val="24"/>
                <w:lang w:val="en-US" w:eastAsia="en-US" w:bidi="ar-SA"/>
              </w:rPr>
              <w:t>Ohio Edison Company, The Cleveland Electric Illuminating Company, and The Toledo Edison Company for Approval of a Tariff Change.</w:t>
            </w:r>
          </w:p>
        </w:tc>
        <w:tc>
          <w:tcPr>
            <w:tcW w:w="360" w:type="dxa"/>
            <w:shd w:val="clear" w:color="auto" w:fill="auto"/>
          </w:tcPr>
          <w:p w:rsidR="00592BE9"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592BE9"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E64F1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E64F10" w:rsidP="0040392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E64F1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5E0BDD"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5E0BDD"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5E0BDD"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5E0BDD" w:rsidP="0040392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5E0BDD"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5E0BDD"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5E0BDD"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r>
              <w:rPr>
                <w:rFonts w:ascii="Times New Roman" w:eastAsia="Courier New" w:hAnsi="Times New Roman" w:cs="Times New Roman"/>
                <w:sz w:val="24"/>
                <w:lang w:val="en-US" w:eastAsia="en-US" w:bidi="ar-SA"/>
              </w:rPr>
              <w:br/>
              <w:t>)</w:t>
            </w:r>
          </w:p>
          <w:p w:rsidR="005E0BDD" w:rsidP="00923E5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5E0BDD"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5E0BDD"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5E0BDD"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5E0BDD"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tc>
        <w:tc>
          <w:tcPr>
            <w:tcW w:w="4400" w:type="dxa"/>
            <w:shd w:val="clear" w:color="auto" w:fill="auto"/>
          </w:tcPr>
          <w:p w:rsidR="00403929"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592BE9"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Case No. 16-0481-EL-UNC</w:t>
            </w:r>
          </w:p>
          <w:p w:rsidR="00592BE9"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5E0BDD" w:rsidP="0040392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Style w:val="DefaultParagraphFont"/>
                <w:rFonts w:ascii="Times New Roman" w:eastAsia="Courier New" w:hAnsi="Times New Roman" w:cs="Times New Roman"/>
                <w:sz w:val="24"/>
                <w:lang w:val="en-US" w:eastAsia="en-US" w:bidi="ar-SA"/>
              </w:rPr>
            </w:pPr>
          </w:p>
          <w:p w:rsidR="005E0BDD"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5E0BDD"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Case No. 17-2436-EL-UNC</w:t>
            </w:r>
          </w:p>
          <w:p w:rsidR="005E0BDD"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5E0BDD"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5E0BDD" w:rsidP="0040392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Style w:val="DefaultParagraphFont"/>
                <w:rFonts w:ascii="Times New Roman" w:eastAsia="Courier New" w:hAnsi="Times New Roman" w:cs="Times New Roman"/>
                <w:sz w:val="24"/>
                <w:lang w:val="en-US" w:eastAsia="en-US" w:bidi="ar-SA"/>
              </w:rPr>
            </w:pPr>
          </w:p>
          <w:p w:rsidR="00403929"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5E0BDD"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Case No. 18-1604-EL-UNC</w:t>
            </w:r>
          </w:p>
          <w:p w:rsidR="005E0BDD"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5E0BDD"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5E0BDD" w:rsidP="00923E5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Style w:val="DefaultParagraphFont"/>
                <w:rFonts w:ascii="Times New Roman" w:eastAsia="Courier New" w:hAnsi="Times New Roman" w:cs="Times New Roman"/>
                <w:sz w:val="24"/>
                <w:lang w:val="en-US" w:eastAsia="en-US" w:bidi="ar-SA"/>
              </w:rPr>
            </w:pPr>
          </w:p>
          <w:p w:rsidR="000A75F3"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5E0BDD"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Case No. 18-1656-EL-ATA</w:t>
            </w:r>
          </w:p>
        </w:tc>
      </w:tr>
    </w:tbl>
    <w:p w:rsidR="007C2976" w:rsidRPr="00710E80" w:rsidP="00923E57">
      <w:pPr>
        <w:pStyle w:val="HTMLPreformatted"/>
        <w:pBdr>
          <w:top w:val="single" w:sz="12" w:space="1" w:color="auto"/>
        </w:pBdr>
        <w:spacing w:before="120"/>
        <w:rPr>
          <w:rFonts w:ascii="Times New Roman" w:hAnsi="Times New Roman" w:cs="Times New Roman"/>
          <w:sz w:val="24"/>
        </w:rPr>
      </w:pPr>
    </w:p>
    <w:p w:rsidR="00492ACA" w:rsidRPr="00710E80" w:rsidP="007C2976">
      <w:pPr>
        <w:jc w:val="center"/>
        <w:rPr>
          <w:b/>
          <w:bCs/>
        </w:rPr>
      </w:pPr>
      <w:r>
        <w:rPr>
          <w:b/>
          <w:bCs/>
        </w:rPr>
        <w:t xml:space="preserve">BRIEF IN SUPPORT OF THE SUPPLEMENTAL SETTLEMENT </w:t>
      </w:r>
    </w:p>
    <w:p w:rsidR="007C2976" w:rsidRPr="00710E80" w:rsidP="007C2976">
      <w:pPr>
        <w:jc w:val="center"/>
        <w:rPr>
          <w:b/>
          <w:bCs/>
        </w:rPr>
      </w:pPr>
      <w:r w:rsidRPr="00710E80">
        <w:rPr>
          <w:b/>
          <w:bCs/>
        </w:rPr>
        <w:t>BY</w:t>
      </w:r>
    </w:p>
    <w:p w:rsidR="007C2976" w:rsidRPr="00710E80" w:rsidP="007C2976">
      <w:pPr>
        <w:jc w:val="center"/>
        <w:rPr>
          <w:b/>
          <w:bCs/>
        </w:rPr>
      </w:pPr>
      <w:r w:rsidRPr="00710E80">
        <w:rPr>
          <w:b/>
          <w:bCs/>
        </w:rPr>
        <w:t>THE OFFICE OF THE OHIO CONSUMERS</w:t>
      </w:r>
      <w:r>
        <w:rPr>
          <w:b/>
          <w:bCs/>
        </w:rPr>
        <w:t>’</w:t>
      </w:r>
      <w:r w:rsidRPr="00710E80">
        <w:rPr>
          <w:b/>
          <w:bCs/>
        </w:rPr>
        <w:t xml:space="preserve"> COUNSEL</w:t>
      </w:r>
    </w:p>
    <w:p w:rsidR="00083556" w:rsidP="007C2976">
      <w:pPr>
        <w:pBdr>
          <w:bottom w:val="single" w:sz="12" w:space="1" w:color="auto"/>
        </w:pBdr>
        <w:tabs>
          <w:tab w:val="left" w:pos="4320"/>
        </w:tabs>
      </w:pPr>
    </w:p>
    <w:p w:rsidR="00083556" w:rsidP="00E957E4">
      <w:bookmarkEnd w:id="0"/>
    </w:p>
    <w:p w:rsidR="002C2DDA" w:rsidRPr="002C2DDA" w:rsidP="00E957E4">
      <w:pPr>
        <w:pStyle w:val="Heading1"/>
        <w:spacing w:line="480" w:lineRule="auto"/>
        <w:rPr>
          <w:u w:val="none"/>
        </w:rPr>
      </w:pPr>
      <w:bookmarkStart w:id="2" w:name="_Toc379816284"/>
      <w:r w:rsidRPr="002C2DDA">
        <w:rPr>
          <w:u w:val="none"/>
        </w:rPr>
        <w:t>I.</w:t>
      </w:r>
      <w:r w:rsidRPr="002C2DDA">
        <w:rPr>
          <w:u w:val="none"/>
        </w:rPr>
        <w:tab/>
        <w:t>INTRODUCTION</w:t>
      </w:r>
    </w:p>
    <w:p w:rsidR="00C95D47" w:rsidP="00441D97">
      <w:pPr>
        <w:spacing w:line="480" w:lineRule="auto"/>
        <w:ind w:firstLine="720"/>
      </w:pPr>
      <w:r w:rsidRPr="00923E57">
        <w:t>The Supplemental Settlement in these cases provid</w:t>
      </w:r>
      <w:r>
        <w:t>es</w:t>
      </w:r>
      <w:r w:rsidRPr="00923E57">
        <w:t xml:space="preserve"> residential consumers with </w:t>
      </w:r>
      <w:r>
        <w:t xml:space="preserve">$126 million in </w:t>
      </w:r>
      <w:r w:rsidRPr="00923E57">
        <w:t>greater bill reduction</w:t>
      </w:r>
      <w:r>
        <w:t>s</w:t>
      </w:r>
      <w:r w:rsidRPr="00923E57">
        <w:t xml:space="preserve"> from FirstEnergy</w:t>
      </w:r>
      <w:r>
        <w:t>’</w:t>
      </w:r>
      <w:r w:rsidRPr="00923E57">
        <w:t>s tax savings.</w:t>
      </w:r>
      <w:r>
        <w:rPr>
          <w:rStyle w:val="FootnoteReference"/>
        </w:rPr>
        <w:footnoteReference w:id="2"/>
      </w:r>
      <w:r w:rsidRPr="00923E57">
        <w:t xml:space="preserve"> </w:t>
      </w:r>
      <w:r>
        <w:t xml:space="preserve">  </w:t>
      </w:r>
      <w:r w:rsidRPr="00923E57">
        <w:t xml:space="preserve">This </w:t>
      </w:r>
      <w:r>
        <w:t>Supplemental S</w:t>
      </w:r>
      <w:r w:rsidRPr="00923E57">
        <w:t xml:space="preserve">ettlement helps to </w:t>
      </w:r>
      <w:r>
        <w:t xml:space="preserve">better </w:t>
      </w:r>
      <w:r w:rsidRPr="00923E57">
        <w:t xml:space="preserve">convert the </w:t>
      </w:r>
      <w:r>
        <w:t xml:space="preserve">FirstEnergy </w:t>
      </w:r>
      <w:r w:rsidRPr="00923E57">
        <w:t>federal tax savings into utility bill savings for</w:t>
      </w:r>
      <w:r>
        <w:t xml:space="preserve"> 1.9 million</w:t>
      </w:r>
      <w:r w:rsidRPr="00923E57">
        <w:t xml:space="preserve"> </w:t>
      </w:r>
      <w:r>
        <w:t xml:space="preserve">residential </w:t>
      </w:r>
      <w:r w:rsidRPr="00923E57">
        <w:t>consumers</w:t>
      </w:r>
      <w:r>
        <w:t xml:space="preserve"> (which is a key consumer goal </w:t>
      </w:r>
      <w:r w:rsidRPr="006C2B9F">
        <w:t>of the Ohio Consumers’ Counsel (“OCC”)</w:t>
      </w:r>
      <w:r>
        <w:t>)</w:t>
      </w:r>
      <w:r w:rsidRPr="00923E57">
        <w:t>.</w:t>
      </w:r>
      <w:r>
        <w:t xml:space="preserve"> </w:t>
      </w:r>
      <w:r w:rsidRPr="00923E57">
        <w:t xml:space="preserve">  </w:t>
      </w:r>
    </w:p>
    <w:p w:rsidR="00CC7C2D" w:rsidP="00441D97">
      <w:pPr>
        <w:spacing w:line="480" w:lineRule="auto"/>
        <w:ind w:firstLine="720"/>
      </w:pPr>
      <w:r>
        <w:t>These cases address two issues affecting consumers: (i) passing along to customers the benefits of a reduction in FirstEnergy’s federal corporate income tax; and (ii) making changes to FirstEnergy’s</w:t>
      </w:r>
      <w:r w:rsidRPr="003C294B">
        <w:t xml:space="preserve"> </w:t>
      </w:r>
      <w:r>
        <w:t>distribution system (grid upgrades) that will cost consumers more money.  The Public Utilities Commission of Ohio (“PUCO”) should approve the Supplemental Settlement because, among other things, residential customers will get $125.9 million more in tax savings as compared to the Original Stipulation.</w:t>
      </w:r>
      <w:r>
        <w:rPr>
          <w:rStyle w:val="FootnoteReference"/>
        </w:rPr>
        <w:footnoteReference w:id="3"/>
      </w:r>
      <w:r>
        <w:t xml:space="preserve">   </w:t>
      </w:r>
    </w:p>
    <w:p w:rsidR="00CC7C2D" w:rsidP="00CC7C2D">
      <w:pPr>
        <w:spacing w:line="480" w:lineRule="auto"/>
        <w:ind w:firstLine="720"/>
        <w:rPr>
          <w:b/>
        </w:rPr>
      </w:pPr>
      <w:r>
        <w:t>OCC, the Northeast Ohio Public Energy Council (“NOPEC”), and some other parties to these cases did not sign the Original Stipulation because it lacked sufficient benefits for residential consumers.  Nevertheless, OCC and NOPEC continued to discuss settlement with FirstEnergy, the PUCO Staff, and others.  These discussions led to a new agreement, the Supplemental Settlement, which replaced the Original Stipulation.</w:t>
      </w:r>
      <w:r>
        <w:rPr>
          <w:rStyle w:val="FootnoteReference"/>
        </w:rPr>
        <w:footnoteReference w:id="4"/>
      </w:r>
      <w:r>
        <w:t xml:space="preserve">  </w:t>
      </w:r>
    </w:p>
    <w:p w:rsidR="00CC7C2D" w:rsidP="00CC7C2D">
      <w:pPr>
        <w:pStyle w:val="Heading1"/>
        <w:spacing w:line="480" w:lineRule="auto"/>
        <w:ind w:firstLine="720"/>
        <w:rPr>
          <w:b w:val="0"/>
          <w:u w:val="none"/>
        </w:rPr>
      </w:pPr>
      <w:r>
        <w:rPr>
          <w:b w:val="0"/>
          <w:u w:val="none"/>
        </w:rPr>
        <w:t>In addition to saving residential consumers an additional $125.9 million (over the number of years to be determined by the PUCO</w:t>
      </w:r>
      <w:r>
        <w:rPr>
          <w:rStyle w:val="FootnoteReference"/>
          <w:b w:val="0"/>
          <w:u w:val="none"/>
        </w:rPr>
        <w:footnoteReference w:id="5"/>
      </w:r>
      <w:r>
        <w:rPr>
          <w:b w:val="0"/>
          <w:u w:val="none"/>
        </w:rPr>
        <w:t xml:space="preserve">) for FirstEnergy’s tax savings, residential customers will receive other benefits from the Supplemental Supplement that were not included in the Original Stipulation. Other improvements include consumer protections concerning FirstEnergy’s grid modernization program.  As a result of these improvements, OCC agreed to sign the Supplemental Settlement as it pertains to the tax benefits for consumers, but to not oppose the Supplemental Settlement as it pertains to grid modernization (without actually supporting that part). The Supplemental Settlement </w:t>
      </w:r>
      <w:r>
        <w:rPr>
          <w:b w:val="0"/>
          <w:u w:val="none"/>
        </w:rPr>
        <w:t>is in the public interest and does not violate any important regulatory principles or practices.  Therefore, the PUCO should approve the Supplemental Settlement.</w:t>
      </w:r>
    </w:p>
    <w:p w:rsidR="00AB0E97" w:rsidRPr="002C2DDA" w:rsidP="00CC7C2D">
      <w:pPr>
        <w:pStyle w:val="Heading1"/>
        <w:spacing w:before="240" w:line="480" w:lineRule="auto"/>
        <w:rPr>
          <w:u w:val="none"/>
        </w:rPr>
      </w:pPr>
      <w:r w:rsidRPr="002C2DDA">
        <w:rPr>
          <w:u w:val="none"/>
        </w:rPr>
        <w:t>II.</w:t>
      </w:r>
      <w:r w:rsidRPr="002C2DDA">
        <w:rPr>
          <w:u w:val="none"/>
        </w:rPr>
        <w:tab/>
        <w:t>STANDARD OF REVIEW</w:t>
      </w:r>
      <w:bookmarkEnd w:id="2"/>
    </w:p>
    <w:p w:rsidR="00AB0E97" w:rsidP="00AB0E97">
      <w:pPr>
        <w:autoSpaceDE w:val="0"/>
        <w:autoSpaceDN w:val="0"/>
        <w:adjustRightInd w:val="0"/>
        <w:spacing w:line="480" w:lineRule="auto"/>
        <w:ind w:firstLine="720"/>
        <w:rPr>
          <w:sz w:val="26"/>
          <w:szCs w:val="26"/>
        </w:rPr>
      </w:pPr>
      <w:r>
        <w:t xml:space="preserve">The standard of review for consideration of a settlement has been discussed in a number of PUCO cases and by the Ohio Supreme Court.  As the Supreme Court of Ohio stated in </w:t>
      </w:r>
      <w:r w:rsidRPr="00374ED0">
        <w:rPr>
          <w:i/>
        </w:rPr>
        <w:t>Duff</w:t>
      </w:r>
      <w:r>
        <w:rPr>
          <w:sz w:val="26"/>
          <w:szCs w:val="26"/>
        </w:rPr>
        <w:t>:</w:t>
      </w:r>
    </w:p>
    <w:p w:rsidR="00AB0E97" w:rsidP="00AB0E97">
      <w:pPr>
        <w:autoSpaceDE w:val="0"/>
        <w:autoSpaceDN w:val="0"/>
        <w:adjustRightInd w:val="0"/>
        <w:spacing w:after="240"/>
        <w:ind w:left="1440" w:right="720"/>
      </w:pPr>
      <w:r>
        <w:t>A stipulation entered into by the parties present at a commission hearing is merely a recommendation made to the commission and is in no sense legally binding upon the commission.  The commission may take the stipulation into consideration, but must determine what is just and reasonable from the evidence presented at the hearing.</w:t>
      </w:r>
      <w:r>
        <w:rPr>
          <w:rStyle w:val="FootnoteReference"/>
        </w:rPr>
        <w:footnoteReference w:id="6"/>
      </w:r>
    </w:p>
    <w:p w:rsidR="00AB0E97" w:rsidP="00AB0E97">
      <w:pPr>
        <w:autoSpaceDE w:val="0"/>
        <w:autoSpaceDN w:val="0"/>
        <w:adjustRightInd w:val="0"/>
        <w:spacing w:line="480" w:lineRule="auto"/>
        <w:ind w:firstLine="720"/>
      </w:pPr>
      <w:r>
        <w:t xml:space="preserve">The PUCO’s review of a settlement for </w:t>
      </w:r>
      <w:r>
        <w:rPr>
          <w:rStyle w:val="term"/>
        </w:rPr>
        <w:t>reasonableness</w:t>
      </w:r>
      <w:r>
        <w:t xml:space="preserve"> must meet three criteria: (1) the stipulation must be a product of serious </w:t>
      </w:r>
      <w:r>
        <w:rPr>
          <w:rStyle w:val="term"/>
        </w:rPr>
        <w:t>bargaining</w:t>
      </w:r>
      <w:r>
        <w:t xml:space="preserve"> among capable, </w:t>
      </w:r>
      <w:r>
        <w:rPr>
          <w:rStyle w:val="term"/>
        </w:rPr>
        <w:t>knowledgeable</w:t>
      </w:r>
      <w:r>
        <w:t xml:space="preserve"> parties (and the PUCO will consider whether the parties have diverse interests); (2) it must, as a </w:t>
      </w:r>
      <w:r>
        <w:rPr>
          <w:rStyle w:val="term"/>
        </w:rPr>
        <w:t>package</w:t>
      </w:r>
      <w:r>
        <w:t xml:space="preserve">, benefit </w:t>
      </w:r>
      <w:r>
        <w:rPr>
          <w:rStyle w:val="term"/>
        </w:rPr>
        <w:t>customers</w:t>
      </w:r>
      <w:r>
        <w:t xml:space="preserve"> and the </w:t>
      </w:r>
      <w:r>
        <w:rPr>
          <w:rStyle w:val="term"/>
        </w:rPr>
        <w:t>public interest</w:t>
      </w:r>
      <w:r>
        <w:t>; and (3) it must not violate any important regulatory principle or practice.</w:t>
      </w:r>
      <w:r>
        <w:rPr>
          <w:rStyle w:val="FootnoteReference"/>
        </w:rPr>
        <w:footnoteReference w:id="7"/>
      </w:r>
      <w:r>
        <w:t xml:space="preserve">  The ultimate question to be answered is whether, in light of the record, the stipulation is reasonable and complies with Ohio law.  The evidence in this proceeding shows that the </w:t>
      </w:r>
      <w:r>
        <w:rPr>
          <w:rFonts w:asciiTheme="majorBidi" w:hAnsiTheme="majorBidi" w:cstheme="majorBidi"/>
        </w:rPr>
        <w:t xml:space="preserve">Supplemental </w:t>
      </w:r>
      <w:r>
        <w:t>Settlement meets the PUCO’s standard for approving stipulations.</w:t>
      </w:r>
    </w:p>
    <w:p w:rsidR="00AB0E97" w:rsidP="00AB0E97">
      <w:pPr>
        <w:autoSpaceDE w:val="0"/>
        <w:autoSpaceDN w:val="0"/>
        <w:adjustRightInd w:val="0"/>
        <w:ind w:firstLine="720"/>
      </w:pPr>
    </w:p>
    <w:p w:rsidR="00AB0E97" w:rsidRPr="00AB0E97" w:rsidP="00AB0E97">
      <w:pPr>
        <w:pStyle w:val="Heading1"/>
        <w:spacing w:line="480" w:lineRule="auto"/>
        <w:rPr>
          <w:u w:val="none"/>
        </w:rPr>
      </w:pPr>
      <w:bookmarkStart w:id="3" w:name="_Toc379816285"/>
      <w:r w:rsidRPr="00AB0E97">
        <w:rPr>
          <w:u w:val="none"/>
        </w:rPr>
        <w:t>III.</w:t>
      </w:r>
      <w:r w:rsidRPr="00AB0E97">
        <w:rPr>
          <w:u w:val="none"/>
        </w:rPr>
        <w:tab/>
      </w:r>
      <w:bookmarkEnd w:id="3"/>
      <w:r>
        <w:rPr>
          <w:u w:val="none"/>
        </w:rPr>
        <w:t>RECOMMENDATIONS</w:t>
      </w:r>
    </w:p>
    <w:p w:rsidR="00AB0E97" w:rsidRPr="00505CC4" w:rsidP="00E957E4">
      <w:pPr>
        <w:pStyle w:val="Heading2"/>
        <w:spacing w:after="240"/>
        <w:ind w:left="1440" w:right="720" w:hanging="720"/>
        <w:jc w:val="left"/>
      </w:pPr>
      <w:bookmarkStart w:id="4" w:name="_Toc379816286"/>
      <w:r>
        <w:t>A.</w:t>
      </w:r>
      <w:r>
        <w:tab/>
      </w:r>
      <w:bookmarkStart w:id="5" w:name="_Toc379816287"/>
      <w:bookmarkEnd w:id="4"/>
      <w:r w:rsidRPr="00505CC4">
        <w:t xml:space="preserve">The </w:t>
      </w:r>
      <w:r>
        <w:t xml:space="preserve">PUCO should find that the </w:t>
      </w:r>
      <w:r>
        <w:rPr>
          <w:rFonts w:asciiTheme="majorBidi" w:hAnsiTheme="majorBidi" w:cstheme="majorBidi"/>
        </w:rPr>
        <w:t xml:space="preserve">Supplemental </w:t>
      </w:r>
      <w:r>
        <w:t>Settlement</w:t>
      </w:r>
      <w:r w:rsidRPr="00505CC4">
        <w:t>, as a p</w:t>
      </w:r>
      <w:r w:rsidRPr="00505CC4">
        <w:rPr>
          <w:rStyle w:val="term"/>
        </w:rPr>
        <w:t>ackage</w:t>
      </w:r>
      <w:r w:rsidRPr="00505CC4">
        <w:t xml:space="preserve">, benefits </w:t>
      </w:r>
      <w:r w:rsidRPr="00505CC4">
        <w:rPr>
          <w:rStyle w:val="term"/>
        </w:rPr>
        <w:t>customers</w:t>
      </w:r>
      <w:r w:rsidRPr="00505CC4">
        <w:t xml:space="preserve"> and the</w:t>
      </w:r>
      <w:r>
        <w:t xml:space="preserve"> </w:t>
      </w:r>
      <w:r w:rsidRPr="00505CC4">
        <w:t>p</w:t>
      </w:r>
      <w:r w:rsidRPr="00505CC4">
        <w:rPr>
          <w:rStyle w:val="term"/>
        </w:rPr>
        <w:t>ublic interest.</w:t>
      </w:r>
      <w:bookmarkEnd w:id="5"/>
    </w:p>
    <w:p w:rsidR="00AB0E97" w:rsidP="00AB0E97">
      <w:pPr>
        <w:pStyle w:val="BodyTextIndent3"/>
        <w:suppressAutoHyphens/>
        <w:spacing w:line="480" w:lineRule="auto"/>
      </w:pPr>
      <w:r>
        <w:t xml:space="preserve">The </w:t>
      </w:r>
      <w:r>
        <w:rPr>
          <w:rFonts w:asciiTheme="majorBidi" w:hAnsiTheme="majorBidi" w:cstheme="majorBidi"/>
        </w:rPr>
        <w:t xml:space="preserve">Supplemental </w:t>
      </w:r>
      <w:r>
        <w:t xml:space="preserve">Settlement gives more tax savings to residential customers and contains greater consumer protections than the Original Stipulation.  The </w:t>
      </w:r>
      <w:r>
        <w:rPr>
          <w:rFonts w:asciiTheme="majorBidi" w:hAnsiTheme="majorBidi" w:cstheme="majorBidi"/>
        </w:rPr>
        <w:t xml:space="preserve">Supplemental </w:t>
      </w:r>
      <w:r>
        <w:t>Settlement benefits customers and the public interest.</w:t>
      </w:r>
    </w:p>
    <w:p w:rsidR="00AB0E97" w:rsidRPr="00923E57" w:rsidP="00C24EAC">
      <w:pPr>
        <w:spacing w:line="480" w:lineRule="auto"/>
        <w:ind w:firstLine="720"/>
      </w:pPr>
      <w:r w:rsidRPr="00923E57">
        <w:t xml:space="preserve">The Supplemental Settlement provides additional tax-related benefits to FirstEnergy’s 1.9 million residential customers that the Original </w:t>
      </w:r>
      <w:r>
        <w:t>Stipulation</w:t>
      </w:r>
      <w:r w:rsidRPr="00923E57">
        <w:t xml:space="preserve"> did not.  The Supplemental Settlement will enable residential customers to receive a larger share (approximately $125.9 million more) of an $808 million rate reduction.</w:t>
      </w:r>
      <w:r>
        <w:rPr>
          <w:rStyle w:val="FootnoteReference"/>
        </w:rPr>
        <w:footnoteReference w:id="8"/>
      </w:r>
      <w:r w:rsidRPr="00923E57">
        <w:t xml:space="preserve">  The tax cut benefits are reflected in refunds to residential customers related to Excess Accumulated Deferred Income Taxes (“EDIT”) from the Federal Tax Cuts and Jobs Act of 2017 (“federal tax cuts”).</w:t>
      </w:r>
      <w:r>
        <w:rPr>
          <w:rStyle w:val="FootnoteReference"/>
        </w:rPr>
        <w:footnoteReference w:id="9"/>
      </w:r>
      <w:r w:rsidRPr="00923E57">
        <w:t xml:space="preserve">  The increased residential allocation percentages and variances between the Original Stipulation and the Supplemental Settlement related to the EDIT are explained in Attachment B to the testimony of OCC witness Willis (OCC Ex. 1).</w:t>
      </w:r>
    </w:p>
    <w:p w:rsidR="007B2D22" w:rsidRPr="00923E57" w:rsidP="00C24EAC">
      <w:pPr>
        <w:spacing w:line="480" w:lineRule="auto"/>
        <w:ind w:firstLine="720"/>
      </w:pPr>
      <w:r w:rsidRPr="00D703C9">
        <w:t>The Supplemental Settlement improves for consumers the terms of FirstEnergy’s proposals to charge consumers for expensive grid upgrades.</w:t>
      </w:r>
      <w:r>
        <w:t xml:space="preserve"> </w:t>
      </w:r>
      <w:r w:rsidRPr="002A0DE1">
        <w:t xml:space="preserve">Because electric grid upgrades can be very expensive for consumers, adequate regulatory reviews are needed to safeguard that consumer benefits exceed the costs to consumers.  </w:t>
      </w:r>
      <w:r w:rsidRPr="00923E57">
        <w:t>OCC is concerned that smart meters and other grid upgrades have not yet provided enough customer value to justify the increased charges to consumers.  Many of the benefits promised for consumers through grid modernization will not be realized for years.  Yet consumers pay grid modernization costs from the beginning of the project.</w:t>
      </w:r>
      <w:r>
        <w:rPr>
          <w:rStyle w:val="FootnoteReference"/>
        </w:rPr>
        <w:footnoteReference w:id="10"/>
      </w:r>
      <w:r w:rsidRPr="00923E57">
        <w:t xml:space="preserve"> </w:t>
      </w:r>
    </w:p>
    <w:p w:rsidR="00AE6C5D" w:rsidP="00AE6C5D">
      <w:pPr>
        <w:spacing w:line="480" w:lineRule="auto"/>
        <w:ind w:firstLine="720"/>
      </w:pPr>
      <w:r>
        <w:t xml:space="preserve">The </w:t>
      </w:r>
      <w:r>
        <w:rPr>
          <w:rFonts w:asciiTheme="majorBidi" w:hAnsiTheme="majorBidi" w:cstheme="majorBidi"/>
        </w:rPr>
        <w:t xml:space="preserve">Supplemental </w:t>
      </w:r>
      <w:r>
        <w:t xml:space="preserve">Settlement provides several consumer protections that were not contained in the Original Stipulation.  The </w:t>
      </w:r>
      <w:r>
        <w:rPr>
          <w:rFonts w:asciiTheme="majorBidi" w:hAnsiTheme="majorBidi" w:cstheme="majorBidi"/>
        </w:rPr>
        <w:t xml:space="preserve">Supplemental </w:t>
      </w:r>
      <w:r>
        <w:t>Settlement establishes</w:t>
      </w:r>
      <w:r w:rsidRPr="00392BB9">
        <w:t xml:space="preserve"> criteria under which </w:t>
      </w:r>
      <w:r>
        <w:t>a regulatory review</w:t>
      </w:r>
      <w:r w:rsidRPr="00392BB9">
        <w:t xml:space="preserve"> can occur </w:t>
      </w:r>
      <w:r>
        <w:t>to determine if</w:t>
      </w:r>
      <w:r w:rsidRPr="00392BB9">
        <w:t xml:space="preserve"> investments in</w:t>
      </w:r>
      <w:r>
        <w:t xml:space="preserve"> (and charges for)</w:t>
      </w:r>
      <w:r w:rsidRPr="00392BB9">
        <w:t xml:space="preserve"> grid modernization are </w:t>
      </w:r>
      <w:r>
        <w:t>“</w:t>
      </w:r>
      <w:r w:rsidRPr="00392BB9">
        <w:t>used and useful</w:t>
      </w:r>
      <w:r>
        <w:t>” for consumers</w:t>
      </w:r>
      <w:r w:rsidRPr="00392BB9">
        <w:t xml:space="preserve"> and </w:t>
      </w:r>
      <w:r>
        <w:t>if</w:t>
      </w:r>
      <w:r w:rsidRPr="00392BB9">
        <w:t xml:space="preserve"> the </w:t>
      </w:r>
      <w:r>
        <w:t>costs</w:t>
      </w:r>
      <w:r w:rsidRPr="00392BB9">
        <w:t xml:space="preserve"> are prudently incurred.</w:t>
      </w:r>
      <w:r>
        <w:rPr>
          <w:rStyle w:val="FootnoteReference"/>
        </w:rPr>
        <w:footnoteReference w:id="11"/>
      </w:r>
      <w:r>
        <w:t xml:space="preserve">  The </w:t>
      </w:r>
      <w:r>
        <w:rPr>
          <w:rFonts w:asciiTheme="majorBidi" w:hAnsiTheme="majorBidi" w:cstheme="majorBidi"/>
        </w:rPr>
        <w:t xml:space="preserve">Supplemental </w:t>
      </w:r>
      <w:r>
        <w:t xml:space="preserve">Settlement also provides due process protections for resolving issues that may arise during the regulatory reviews, including the </w:t>
      </w:r>
      <w:r w:rsidRPr="00392BB9">
        <w:t>potential</w:t>
      </w:r>
      <w:r>
        <w:t xml:space="preserve"> for </w:t>
      </w:r>
      <w:r w:rsidRPr="00392BB9">
        <w:t>disallowance of costs being collected from customers</w:t>
      </w:r>
      <w:r>
        <w:t xml:space="preserve"> where ratemaking standards such as used and useful and prudence are not met by FirstEnergy</w:t>
      </w:r>
      <w:r w:rsidRPr="00392BB9">
        <w:t>.</w:t>
      </w:r>
      <w:r>
        <w:rPr>
          <w:rStyle w:val="FootnoteReference"/>
        </w:rPr>
        <w:footnoteReference w:id="12"/>
      </w:r>
      <w:r>
        <w:t xml:space="preserve">  </w:t>
      </w:r>
    </w:p>
    <w:p w:rsidR="00C24EAC" w:rsidP="00C24EAC">
      <w:pPr>
        <w:spacing w:line="480" w:lineRule="auto"/>
        <w:ind w:firstLine="720"/>
      </w:pPr>
      <w:r>
        <w:t xml:space="preserve">Further, the </w:t>
      </w:r>
      <w:r>
        <w:rPr>
          <w:rFonts w:asciiTheme="majorBidi" w:hAnsiTheme="majorBidi" w:cstheme="majorBidi"/>
        </w:rPr>
        <w:t xml:space="preserve">Supplemental </w:t>
      </w:r>
      <w:r>
        <w:t>Settlement requires additional consumer protections in the mid-deployment regulatory review by examining the sufficiency and prudence of FirstEnergy’s efforts to maximize the salvage value (for rate offsets) of traditional meters that are being replaced with smart meters.</w:t>
      </w:r>
      <w:r>
        <w:rPr>
          <w:rStyle w:val="FootnoteReference"/>
        </w:rPr>
        <w:footnoteReference w:id="13"/>
      </w:r>
      <w:r>
        <w:t xml:space="preserve">  The </w:t>
      </w:r>
      <w:r>
        <w:rPr>
          <w:rFonts w:asciiTheme="majorBidi" w:hAnsiTheme="majorBidi" w:cstheme="majorBidi"/>
        </w:rPr>
        <w:t xml:space="preserve">Supplemental </w:t>
      </w:r>
      <w:r>
        <w:t>Settlement also supports a full examination of the cost-effectiveness of the first phase of grid modernization deployment before customers are charged for the second phase of grid modernization.</w:t>
      </w:r>
      <w:r>
        <w:rPr>
          <w:rStyle w:val="FootnoteReference"/>
        </w:rPr>
        <w:footnoteReference w:id="14"/>
      </w:r>
      <w:r>
        <w:t xml:space="preserve">  And the </w:t>
      </w:r>
      <w:r>
        <w:rPr>
          <w:rFonts w:asciiTheme="majorBidi" w:hAnsiTheme="majorBidi" w:cstheme="majorBidi"/>
        </w:rPr>
        <w:t xml:space="preserve">Supplemental </w:t>
      </w:r>
      <w:r>
        <w:t>Settlement increases the amount of FirstEnergy’s operational savings from grid upgrades that will be credited to residential consumers and help reduce their electric bills.</w:t>
      </w:r>
      <w:r>
        <w:rPr>
          <w:rStyle w:val="FootnoteReference"/>
        </w:rPr>
        <w:footnoteReference w:id="15"/>
      </w:r>
    </w:p>
    <w:p w:rsidR="00AE6C5D" w:rsidP="00AE6C5D">
      <w:pPr>
        <w:pStyle w:val="BodyTextIndent3"/>
        <w:suppressAutoHyphens/>
        <w:spacing w:line="480" w:lineRule="auto"/>
      </w:pPr>
      <w:r>
        <w:t xml:space="preserve">These are just some of the ways the </w:t>
      </w:r>
      <w:r>
        <w:rPr>
          <w:rFonts w:asciiTheme="majorBidi" w:hAnsiTheme="majorBidi" w:cstheme="majorBidi"/>
        </w:rPr>
        <w:t xml:space="preserve">Supplemental </w:t>
      </w:r>
      <w:r>
        <w:t>Settlement benefits customers and the public interest.  The Supplemental Settlement thus meets the second criterion for PUCO approval.</w:t>
      </w:r>
    </w:p>
    <w:p w:rsidR="00AB0E97" w:rsidRPr="00CC2B17" w:rsidP="00E957E4">
      <w:pPr>
        <w:pStyle w:val="Heading2"/>
        <w:spacing w:after="240"/>
        <w:ind w:left="1440" w:right="720" w:hanging="720"/>
        <w:jc w:val="left"/>
      </w:pPr>
      <w:bookmarkStart w:id="6" w:name="_Toc379816288"/>
      <w:r>
        <w:t>B.</w:t>
      </w:r>
      <w:r>
        <w:tab/>
        <w:t xml:space="preserve">The PUCO should find that the </w:t>
      </w:r>
      <w:r>
        <w:rPr>
          <w:rFonts w:asciiTheme="majorBidi" w:hAnsiTheme="majorBidi" w:cstheme="majorBidi"/>
        </w:rPr>
        <w:t xml:space="preserve">Supplemental </w:t>
      </w:r>
      <w:r>
        <w:t>Settlement does</w:t>
      </w:r>
      <w:r w:rsidRPr="00CC2B17">
        <w:t xml:space="preserve"> </w:t>
      </w:r>
      <w:r>
        <w:t>n</w:t>
      </w:r>
      <w:r w:rsidRPr="00CC2B17">
        <w:t xml:space="preserve">ot </w:t>
      </w:r>
      <w:r>
        <w:t>v</w:t>
      </w:r>
      <w:r w:rsidRPr="00CC2B17">
        <w:t xml:space="preserve">iolate </w:t>
      </w:r>
      <w:r>
        <w:t>a</w:t>
      </w:r>
      <w:r w:rsidRPr="00CC2B17">
        <w:t xml:space="preserve">ny </w:t>
      </w:r>
      <w:r>
        <w:t>i</w:t>
      </w:r>
      <w:r w:rsidRPr="00CC2B17">
        <w:t xml:space="preserve">mportant </w:t>
      </w:r>
      <w:r>
        <w:t>r</w:t>
      </w:r>
      <w:r w:rsidRPr="00CC2B17">
        <w:t xml:space="preserve">egulatory </w:t>
      </w:r>
      <w:r>
        <w:t>p</w:t>
      </w:r>
      <w:r w:rsidRPr="00CC2B17">
        <w:t xml:space="preserve">rinciple or </w:t>
      </w:r>
      <w:r>
        <w:t>p</w:t>
      </w:r>
      <w:r w:rsidRPr="00CC2B17">
        <w:t>ractice</w:t>
      </w:r>
      <w:r>
        <w:t>.</w:t>
      </w:r>
      <w:bookmarkEnd w:id="6"/>
    </w:p>
    <w:p w:rsidR="00C24EAC" w:rsidP="00AB0E97">
      <w:pPr>
        <w:pStyle w:val="BodyTextIndent3"/>
        <w:suppressAutoHyphens/>
        <w:spacing w:line="480" w:lineRule="auto"/>
        <w:rPr>
          <w:rFonts w:asciiTheme="majorBidi" w:hAnsiTheme="majorBidi" w:cstheme="majorBidi"/>
        </w:rPr>
      </w:pPr>
      <w:r>
        <w:t xml:space="preserve">The </w:t>
      </w:r>
      <w:r>
        <w:rPr>
          <w:rFonts w:asciiTheme="majorBidi" w:hAnsiTheme="majorBidi" w:cstheme="majorBidi"/>
        </w:rPr>
        <w:t xml:space="preserve">Supplemental </w:t>
      </w:r>
      <w:r>
        <w:t xml:space="preserve">Settlement provides the benefits listed above without violating any important regulatory principle or practice.  </w:t>
      </w:r>
      <w:r>
        <w:rPr>
          <w:rFonts w:asciiTheme="majorBidi" w:hAnsiTheme="majorBidi" w:cstheme="majorBidi"/>
        </w:rPr>
        <w:t>The allocation of the tax cut benefits under the Original Stipulation was unjust and unreasonable because residential customers would pay too much of grid modernization costs compared to the tax benefits they would receive.</w:t>
      </w:r>
      <w:r>
        <w:rPr>
          <w:rStyle w:val="FootnoteReference"/>
          <w:rFonts w:asciiTheme="majorBidi" w:hAnsiTheme="majorBidi" w:cstheme="majorBidi"/>
        </w:rPr>
        <w:footnoteReference w:id="16"/>
      </w:r>
      <w:r>
        <w:rPr>
          <w:rFonts w:asciiTheme="majorBidi" w:hAnsiTheme="majorBidi" w:cstheme="majorBidi"/>
        </w:rPr>
        <w:t xml:space="preserve"> The Supplemental Settlement is more equitable for residential consumers.  It allocates more of the tax benefits to residential customers, resulting in a just and reasonable credit to residential consumers’ monthly bills.</w:t>
      </w:r>
      <w:r>
        <w:rPr>
          <w:rStyle w:val="FootnoteReference"/>
          <w:rFonts w:asciiTheme="majorBidi" w:hAnsiTheme="majorBidi" w:cstheme="majorBidi"/>
        </w:rPr>
        <w:footnoteReference w:id="17"/>
      </w:r>
      <w:r>
        <w:rPr>
          <w:rFonts w:asciiTheme="majorBidi" w:hAnsiTheme="majorBidi" w:cstheme="majorBidi"/>
        </w:rPr>
        <w:t xml:space="preserve">  </w:t>
      </w:r>
    </w:p>
    <w:p w:rsidR="00C24EAC" w:rsidP="00AB0E97">
      <w:pPr>
        <w:pStyle w:val="BodyTextIndent3"/>
        <w:suppressAutoHyphens/>
        <w:spacing w:line="480" w:lineRule="auto"/>
      </w:pPr>
      <w:r>
        <w:t xml:space="preserve">The </w:t>
      </w:r>
      <w:r>
        <w:rPr>
          <w:rFonts w:asciiTheme="majorBidi" w:hAnsiTheme="majorBidi" w:cstheme="majorBidi"/>
        </w:rPr>
        <w:t xml:space="preserve">Supplemental </w:t>
      </w:r>
      <w:r>
        <w:t xml:space="preserve">Settlement also is consistent with the PUCO’s PowerForward Roadmap. </w:t>
      </w:r>
      <w:r>
        <w:rPr>
          <w:sz w:val="16"/>
          <w:szCs w:val="16"/>
        </w:rPr>
        <w:t xml:space="preserve"> </w:t>
      </w:r>
      <w:r>
        <w:t>PowerForward is the PUCO’s initiative to shape Ohio’s electricity future. The “Roadmap” resulted from the PUCO’s review of the latest in technological and regulatory innovations for enhancing the consumer’s electricity experience. The “Roadmap” includes consumer protection</w:t>
      </w:r>
      <w:r w:rsidRPr="00D27817">
        <w:t xml:space="preserve"> for what </w:t>
      </w:r>
      <w:r>
        <w:t>electric grid upgrades</w:t>
      </w:r>
      <w:r w:rsidRPr="00D27817">
        <w:t xml:space="preserve"> </w:t>
      </w:r>
      <w:r>
        <w:t>could</w:t>
      </w:r>
      <w:r w:rsidRPr="00D27817">
        <w:t xml:space="preserve"> cost consumers.</w:t>
      </w:r>
      <w:r>
        <w:rPr>
          <w:rStyle w:val="FootnoteReference"/>
        </w:rPr>
        <w:footnoteReference w:id="18"/>
      </w:r>
    </w:p>
    <w:p w:rsidR="00C24EAC" w:rsidP="00C24EAC">
      <w:pPr>
        <w:pStyle w:val="BodyTextIndent3"/>
        <w:suppressAutoHyphens/>
        <w:spacing w:line="480" w:lineRule="auto"/>
      </w:pPr>
      <w:r>
        <w:t xml:space="preserve">The </w:t>
      </w:r>
      <w:r>
        <w:rPr>
          <w:rFonts w:asciiTheme="majorBidi" w:hAnsiTheme="majorBidi" w:cstheme="majorBidi"/>
        </w:rPr>
        <w:t xml:space="preserve">Supplemental </w:t>
      </w:r>
      <w:r>
        <w:t xml:space="preserve">Settlement also removed an inappropriate restriction on the Signatory Parties’ ability to communicate with legislators.  The Original Stipulation contained the following provision: “Except for enforcement purposes or to establish that the terms of the Stipulation are lawful, neither the Stipulation nor any information or data contained in, supporting, or attached to the Stipulation shall be offered or relied upon in any other proceedings or </w:t>
      </w:r>
      <w:r w:rsidRPr="00B00589">
        <w:rPr>
          <w:i/>
        </w:rPr>
        <w:t>before the General Assembly</w:t>
      </w:r>
      <w:r>
        <w:t>.”</w:t>
      </w:r>
      <w:r>
        <w:rPr>
          <w:rStyle w:val="FootnoteReference"/>
        </w:rPr>
        <w:footnoteReference w:id="19"/>
      </w:r>
      <w:r>
        <w:t xml:space="preserve">  That provision would limit the flow of information between stakeholders and the people’s elected government.  The provision was contrary to government transparency and public policy.  That provision was deleted as part of the </w:t>
      </w:r>
      <w:r>
        <w:rPr>
          <w:rFonts w:asciiTheme="majorBidi" w:hAnsiTheme="majorBidi" w:cstheme="majorBidi"/>
        </w:rPr>
        <w:t xml:space="preserve">Supplemental </w:t>
      </w:r>
      <w:r>
        <w:t>Settlement that OCC, NOPEC, and others negotiated.</w:t>
      </w:r>
    </w:p>
    <w:p w:rsidR="00AB0E97" w:rsidP="00C24EAC">
      <w:pPr>
        <w:pStyle w:val="BodyTextIndent3"/>
        <w:suppressAutoHyphens/>
        <w:spacing w:line="480" w:lineRule="auto"/>
      </w:pPr>
      <w:r>
        <w:t xml:space="preserve">The </w:t>
      </w:r>
      <w:r>
        <w:rPr>
          <w:rFonts w:asciiTheme="majorBidi" w:hAnsiTheme="majorBidi" w:cstheme="majorBidi"/>
        </w:rPr>
        <w:t xml:space="preserve">Supplemental </w:t>
      </w:r>
      <w:r>
        <w:t>Settlement thus promotes important regulatory principles.  It meets the third criterion for PUCO approval.</w:t>
      </w:r>
    </w:p>
    <w:p w:rsidR="00AB0E97" w:rsidP="00AB0E97">
      <w:pPr>
        <w:pStyle w:val="BodyTextIndent3"/>
        <w:suppressAutoHyphens/>
        <w:spacing w:line="240" w:lineRule="auto"/>
      </w:pPr>
    </w:p>
    <w:p w:rsidR="00946337" w:rsidP="00AB0E97">
      <w:pPr>
        <w:spacing w:line="480" w:lineRule="auto"/>
      </w:pPr>
      <w:bookmarkStart w:id="7" w:name="_Toc379816289"/>
      <w:r w:rsidRPr="00AB0E97">
        <w:rPr>
          <w:b/>
        </w:rPr>
        <w:t>IV.</w:t>
      </w:r>
      <w:r w:rsidRPr="00AB0E97">
        <w:rPr>
          <w:b/>
        </w:rPr>
        <w:tab/>
        <w:t>CONCLUSION</w:t>
      </w:r>
      <w:bookmarkEnd w:id="7"/>
    </w:p>
    <w:p w:rsidR="004B78A7" w:rsidRPr="004B78A7" w:rsidP="004B78A7">
      <w:pPr>
        <w:spacing w:line="480" w:lineRule="auto"/>
        <w:ind w:firstLine="720"/>
      </w:pPr>
      <w:r>
        <w:t xml:space="preserve">Through the </w:t>
      </w:r>
      <w:r>
        <w:rPr>
          <w:rFonts w:asciiTheme="majorBidi" w:hAnsiTheme="majorBidi" w:cstheme="majorBidi"/>
        </w:rPr>
        <w:t xml:space="preserve">Supplemental </w:t>
      </w:r>
      <w:r>
        <w:t xml:space="preserve">Settlement in these cases, consumers will realize $125.9 million in savings that were not contained in the Original Stipulation.  This will help offset the charge on consumers’ bills for FirstEnergy’s grid modernization. The Supplemental Settlement provides much-needed consumer protections.  It benefits the public and does not violate important regulatory principles and practices.  The PUCO should approve the </w:t>
      </w:r>
      <w:r>
        <w:rPr>
          <w:rFonts w:asciiTheme="majorBidi" w:hAnsiTheme="majorBidi" w:cstheme="majorBidi"/>
        </w:rPr>
        <w:t xml:space="preserve">Supplemental </w:t>
      </w:r>
      <w:r>
        <w:t>Settlement without modification.</w:t>
      </w:r>
    </w:p>
    <w:p w:rsidR="00E957E4">
      <w:pPr>
        <w:rPr>
          <w:szCs w:val="24"/>
        </w:rPr>
      </w:pPr>
      <w:r>
        <w:rPr>
          <w:szCs w:val="24"/>
        </w:rPr>
        <w:br w:type="page"/>
      </w:r>
    </w:p>
    <w:p w:rsidR="007E444C" w:rsidRPr="00710E80" w:rsidP="007E444C">
      <w:pPr>
        <w:pStyle w:val="BodyTextIndent3"/>
        <w:widowControl w:val="0"/>
        <w:spacing w:line="480" w:lineRule="auto"/>
        <w:ind w:left="4320" w:firstLine="0"/>
        <w:rPr>
          <w:szCs w:val="24"/>
        </w:rPr>
      </w:pPr>
      <w:r w:rsidRPr="00710E80">
        <w:rPr>
          <w:szCs w:val="24"/>
        </w:rPr>
        <w:t>Respectfully submitted,</w:t>
      </w:r>
    </w:p>
    <w:p w:rsidR="007E444C" w:rsidRPr="00710E80" w:rsidP="007E444C">
      <w:pPr>
        <w:ind w:left="4320"/>
      </w:pPr>
      <w:bookmarkStart w:id="8" w:name="_Hlk529974082"/>
      <w:r>
        <w:t xml:space="preserve">Bruce </w:t>
      </w:r>
      <w:r w:rsidRPr="00710E80">
        <w:t>Weston (0016973)</w:t>
      </w:r>
    </w:p>
    <w:p w:rsidR="007E444C" w:rsidRPr="00710E80" w:rsidP="007E444C">
      <w:pPr>
        <w:tabs>
          <w:tab w:val="left" w:pos="4320"/>
        </w:tabs>
        <w:ind w:left="4320"/>
        <w:rPr>
          <w:szCs w:val="24"/>
        </w:rPr>
      </w:pPr>
      <w:r w:rsidRPr="00710E80">
        <w:rPr>
          <w:szCs w:val="24"/>
        </w:rPr>
        <w:t>Ohio Consumers</w:t>
      </w:r>
      <w:r>
        <w:rPr>
          <w:szCs w:val="24"/>
        </w:rPr>
        <w:t>’</w:t>
      </w:r>
      <w:r w:rsidRPr="00710E80">
        <w:rPr>
          <w:szCs w:val="24"/>
        </w:rPr>
        <w:t xml:space="preserve"> Counsel</w:t>
      </w:r>
    </w:p>
    <w:p w:rsidR="007E444C" w:rsidRPr="00710E80" w:rsidP="007E444C">
      <w:pPr>
        <w:tabs>
          <w:tab w:val="left" w:pos="4320"/>
        </w:tabs>
        <w:ind w:left="4320"/>
        <w:rPr>
          <w:szCs w:val="24"/>
        </w:rPr>
      </w:pPr>
    </w:p>
    <w:p w:rsidR="000727DD" w:rsidRPr="00710E80" w:rsidP="000727DD">
      <w:pPr>
        <w:autoSpaceDE w:val="0"/>
        <w:autoSpaceDN w:val="0"/>
        <w:adjustRightInd w:val="0"/>
        <w:ind w:left="4320"/>
        <w:rPr>
          <w:i/>
        </w:rPr>
      </w:pPr>
      <w:bookmarkStart w:id="9" w:name="_Hlk509403358"/>
      <w:r w:rsidRPr="00710E80">
        <w:rPr>
          <w:i/>
          <w:u w:val="single"/>
        </w:rPr>
        <w:t>/s/ </w:t>
      </w:r>
      <w:r>
        <w:rPr>
          <w:i/>
          <w:u w:val="single"/>
        </w:rPr>
        <w:t>Terry L. Etter</w:t>
      </w:r>
      <w:r>
        <w:rPr>
          <w:i/>
          <w:u w:val="single"/>
        </w:rPr>
        <w:tab/>
        <w:t xml:space="preserve"> </w:t>
      </w:r>
      <w:r w:rsidRPr="00710E80">
        <w:rPr>
          <w:i/>
          <w:u w:val="single"/>
        </w:rPr>
        <w:tab/>
      </w:r>
    </w:p>
    <w:p w:rsidR="00B36EC8" w:rsidP="00B36EC8">
      <w:pPr>
        <w:tabs>
          <w:tab w:val="left" w:pos="4320"/>
        </w:tabs>
        <w:ind w:left="4320"/>
      </w:pPr>
      <w:r>
        <w:t>Terry L. Etter</w:t>
      </w:r>
      <w:r w:rsidRPr="00DD5F21">
        <w:t xml:space="preserve"> (00</w:t>
      </w:r>
      <w:r>
        <w:t>67445</w:t>
      </w:r>
      <w:r w:rsidRPr="00DD5F21">
        <w:t>)</w:t>
      </w:r>
      <w:r>
        <w:t xml:space="preserve">, </w:t>
      </w:r>
      <w:r w:rsidRPr="00DD5F21">
        <w:t>Counsel of Record</w:t>
      </w:r>
    </w:p>
    <w:p w:rsidR="00B36EC8" w:rsidRPr="00DD5F21" w:rsidP="00B36EC8">
      <w:pPr>
        <w:tabs>
          <w:tab w:val="left" w:pos="4320"/>
        </w:tabs>
        <w:ind w:left="4320"/>
      </w:pPr>
      <w:r>
        <w:t>Christopher Healey (0086027)</w:t>
      </w:r>
    </w:p>
    <w:p w:rsidR="007E444C" w:rsidP="00B36EC8">
      <w:pPr>
        <w:tabs>
          <w:tab w:val="left" w:pos="4320"/>
        </w:tabs>
        <w:ind w:left="4320"/>
        <w:rPr>
          <w:szCs w:val="24"/>
        </w:rPr>
      </w:pPr>
      <w:bookmarkEnd w:id="9"/>
      <w:r>
        <w:t>Angela O’Brien (0097579)</w:t>
      </w:r>
    </w:p>
    <w:p w:rsidR="007E444C" w:rsidP="007E444C">
      <w:pPr>
        <w:tabs>
          <w:tab w:val="left" w:pos="4320"/>
        </w:tabs>
        <w:ind w:left="4320"/>
        <w:rPr>
          <w:szCs w:val="24"/>
        </w:rPr>
      </w:pPr>
      <w:r w:rsidRPr="00710E80">
        <w:rPr>
          <w:szCs w:val="24"/>
        </w:rPr>
        <w:t>Assistant Consumers</w:t>
      </w:r>
      <w:r>
        <w:rPr>
          <w:szCs w:val="24"/>
        </w:rPr>
        <w:t>’</w:t>
      </w:r>
      <w:r w:rsidRPr="00710E80">
        <w:rPr>
          <w:szCs w:val="24"/>
        </w:rPr>
        <w:t xml:space="preserve"> Counsel</w:t>
      </w:r>
    </w:p>
    <w:p w:rsidR="00FD5825" w:rsidP="007E444C">
      <w:pPr>
        <w:tabs>
          <w:tab w:val="left" w:pos="4320"/>
        </w:tabs>
        <w:ind w:left="4320"/>
        <w:rPr>
          <w:szCs w:val="24"/>
        </w:rPr>
      </w:pPr>
    </w:p>
    <w:p w:rsidR="007E444C" w:rsidRPr="00710E80" w:rsidP="007E444C">
      <w:pPr>
        <w:pStyle w:val="Heading1"/>
        <w:spacing w:before="120"/>
        <w:ind w:left="4320"/>
        <w:rPr>
          <w:u w:val="none"/>
        </w:rPr>
      </w:pPr>
      <w:r w:rsidRPr="00710E80">
        <w:rPr>
          <w:u w:val="none"/>
        </w:rPr>
        <w:t xml:space="preserve">Office of the </w:t>
      </w:r>
      <w:smartTag w:uri="urn:schemas-microsoft-com:office:smarttags" w:element="place">
        <w:smartTag w:uri="urn:schemas-microsoft-com:office:smarttags" w:element="State">
          <w:r w:rsidRPr="00710E80">
            <w:rPr>
              <w:u w:val="none"/>
            </w:rPr>
            <w:t>Ohio</w:t>
          </w:r>
        </w:smartTag>
      </w:smartTag>
      <w:r w:rsidRPr="00710E80">
        <w:rPr>
          <w:u w:val="none"/>
        </w:rPr>
        <w:t xml:space="preserve"> Consumers</w:t>
      </w:r>
      <w:r>
        <w:rPr>
          <w:u w:val="none"/>
        </w:rPr>
        <w:t>’</w:t>
      </w:r>
      <w:r w:rsidRPr="00710E80">
        <w:rPr>
          <w:u w:val="none"/>
        </w:rPr>
        <w:t xml:space="preserve"> Counsel</w:t>
      </w:r>
    </w:p>
    <w:p w:rsidR="007E444C" w:rsidRPr="00710E80" w:rsidP="007E444C">
      <w:pPr>
        <w:pStyle w:val="Heading1"/>
        <w:ind w:left="4320"/>
        <w:rPr>
          <w:b w:val="0"/>
          <w:u w:val="none"/>
        </w:rPr>
      </w:pPr>
      <w:r>
        <w:rPr>
          <w:b w:val="0"/>
          <w:u w:val="none"/>
        </w:rPr>
        <w:t>65 East State Street, 7th Floor</w:t>
      </w:r>
    </w:p>
    <w:p w:rsidR="007E444C" w:rsidRPr="00710E80" w:rsidP="007E444C">
      <w:pPr>
        <w:pStyle w:val="Heading1"/>
        <w:ind w:left="4320"/>
        <w:rPr>
          <w:b w:val="0"/>
          <w:u w:val="none"/>
        </w:rPr>
      </w:pPr>
      <w:r w:rsidRPr="00710E80">
        <w:rPr>
          <w:b w:val="0"/>
          <w:u w:val="none"/>
        </w:rPr>
        <w:t>Columbus, Ohio 43215</w:t>
      </w:r>
    </w:p>
    <w:p w:rsidR="00300AAE" w:rsidP="007E444C">
      <w:pPr>
        <w:ind w:left="4320"/>
        <w:rPr>
          <w:rStyle w:val="Hyperlink"/>
          <w:color w:val="auto"/>
          <w:szCs w:val="24"/>
          <w:u w:val="none"/>
        </w:rPr>
      </w:pPr>
      <w:r>
        <w:rPr>
          <w:rStyle w:val="Hyperlink"/>
          <w:color w:val="auto"/>
          <w:szCs w:val="24"/>
          <w:u w:val="none"/>
        </w:rPr>
        <w:t>Telephone [Etter]: (614) 466-7964</w:t>
      </w:r>
    </w:p>
    <w:p w:rsidR="00300AAE" w:rsidP="00300AAE">
      <w:pPr>
        <w:ind w:left="4320"/>
        <w:rPr>
          <w:szCs w:val="24"/>
        </w:rPr>
      </w:pPr>
      <w:r>
        <w:rPr>
          <w:szCs w:val="24"/>
        </w:rPr>
        <w:t>Telephone [</w:t>
      </w:r>
      <w:r w:rsidRPr="00F44BF3">
        <w:rPr>
          <w:szCs w:val="24"/>
        </w:rPr>
        <w:t>Healey</w:t>
      </w:r>
      <w:r>
        <w:rPr>
          <w:szCs w:val="24"/>
        </w:rPr>
        <w:t>]: (</w:t>
      </w:r>
      <w:r w:rsidRPr="00F44BF3">
        <w:rPr>
          <w:szCs w:val="24"/>
        </w:rPr>
        <w:t>614</w:t>
      </w:r>
      <w:r>
        <w:rPr>
          <w:szCs w:val="24"/>
        </w:rPr>
        <w:t xml:space="preserve">) </w:t>
      </w:r>
      <w:r w:rsidRPr="00F44BF3">
        <w:rPr>
          <w:szCs w:val="24"/>
        </w:rPr>
        <w:t xml:space="preserve">466-9571 </w:t>
      </w:r>
    </w:p>
    <w:p w:rsidR="00B36EC8" w:rsidP="00B36EC8">
      <w:pPr>
        <w:ind w:firstLine="4320"/>
      </w:pPr>
      <w:r w:rsidRPr="00DD5F21">
        <w:t xml:space="preserve">Telephone </w:t>
      </w:r>
      <w:r>
        <w:t xml:space="preserve">[O’Brien]: </w:t>
      </w:r>
      <w:r w:rsidRPr="00DD5F21">
        <w:t xml:space="preserve">(614) </w:t>
      </w:r>
      <w:r>
        <w:t>466-9531</w:t>
      </w:r>
    </w:p>
    <w:p w:rsidR="00300AAE" w:rsidRPr="00E53E6E" w:rsidP="00300AAE">
      <w:pPr>
        <w:autoSpaceDE w:val="0"/>
        <w:autoSpaceDN w:val="0"/>
        <w:adjustRightInd w:val="0"/>
        <w:ind w:left="4320"/>
        <w:rPr>
          <w:szCs w:val="24"/>
        </w:rPr>
      </w:pPr>
      <w:r>
        <w:fldChar w:fldCharType="begin"/>
      </w:r>
      <w:r>
        <w:instrText xml:space="preserve"> HYPERLINK "mailto:terry.etter@occ.ohio.gov" </w:instrText>
      </w:r>
      <w:r>
        <w:fldChar w:fldCharType="separate"/>
      </w:r>
      <w:r w:rsidRPr="009816CA" w:rsidR="00470851">
        <w:rPr>
          <w:rStyle w:val="Hyperlink"/>
          <w:szCs w:val="24"/>
        </w:rPr>
        <w:t>terry.etter@occ.ohio.gov</w:t>
      </w:r>
      <w:r>
        <w:fldChar w:fldCharType="end"/>
      </w:r>
    </w:p>
    <w:p w:rsidR="00300AAE" w:rsidP="00300AAE">
      <w:pPr>
        <w:ind w:left="4320"/>
        <w:rPr>
          <w:color w:val="0000FF"/>
          <w:szCs w:val="24"/>
          <w:u w:val="single"/>
        </w:rPr>
      </w:pPr>
      <w:r>
        <w:fldChar w:fldCharType="begin"/>
      </w:r>
      <w:r>
        <w:instrText xml:space="preserve"> HYPERLINK "mailto:christopher.healey@occ.ohio.gov" </w:instrText>
      </w:r>
      <w:r>
        <w:fldChar w:fldCharType="separate"/>
      </w:r>
      <w:r w:rsidRPr="0042626F" w:rsidR="00470851">
        <w:rPr>
          <w:rStyle w:val="Hyperlink"/>
          <w:szCs w:val="24"/>
        </w:rPr>
        <w:t>christopher.healey@occ.ohio.gov</w:t>
      </w:r>
      <w:r>
        <w:fldChar w:fldCharType="end"/>
      </w:r>
    </w:p>
    <w:p w:rsidR="00B36EC8" w:rsidP="00B36EC8">
      <w:pPr>
        <w:ind w:left="4320"/>
        <w:rPr>
          <w:rStyle w:val="Hyperlink"/>
        </w:rPr>
      </w:pPr>
      <w:r>
        <w:fldChar w:fldCharType="begin"/>
      </w:r>
      <w:r>
        <w:instrText xml:space="preserve"> HYPERLINK "mailto:angela.obrien@occ.ohio.gov" </w:instrText>
      </w:r>
      <w:r>
        <w:fldChar w:fldCharType="separate"/>
      </w:r>
      <w:r w:rsidRPr="001D42AC" w:rsidR="00470851">
        <w:rPr>
          <w:rStyle w:val="Hyperlink"/>
        </w:rPr>
        <w:t>angela.obrien@occ.ohio.gov</w:t>
      </w:r>
      <w:r>
        <w:fldChar w:fldCharType="end"/>
      </w:r>
    </w:p>
    <w:p w:rsidR="007E444C" w:rsidP="00B36EC8">
      <w:pPr>
        <w:ind w:left="4320"/>
        <w:rPr>
          <w:szCs w:val="24"/>
        </w:rPr>
      </w:pPr>
      <w:r>
        <w:rPr>
          <w:szCs w:val="24"/>
        </w:rPr>
        <w:t>(willing to accept service by e-mail</w:t>
      </w:r>
      <w:r w:rsidRPr="00710E80">
        <w:rPr>
          <w:szCs w:val="24"/>
        </w:rPr>
        <w:t>)</w:t>
      </w:r>
    </w:p>
    <w:p w:rsidR="007E444C" w:rsidP="00F97A7B">
      <w:pPr>
        <w:spacing w:line="480" w:lineRule="auto"/>
      </w:pPr>
      <w:r>
        <w:t>.</w:t>
      </w:r>
    </w:p>
    <w:p w:rsidR="00142411" w:rsidP="0040353C">
      <w:pPr>
        <w:rPr>
          <w:szCs w:val="24"/>
        </w:rPr>
        <w:sectPr w:rsidSect="00EF1522">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titlePg/>
          <w:docGrid w:linePitch="360"/>
        </w:sectPr>
      </w:pPr>
      <w:bookmarkEnd w:id="8"/>
    </w:p>
    <w:p w:rsidR="007C2976" w:rsidRPr="00710E80" w:rsidP="007C2976">
      <w:pPr>
        <w:jc w:val="center"/>
        <w:rPr>
          <w:b/>
          <w:bCs/>
          <w:u w:val="single"/>
        </w:rPr>
      </w:pPr>
      <w:r w:rsidRPr="00710E80">
        <w:rPr>
          <w:b/>
          <w:bCs/>
          <w:u w:val="single"/>
        </w:rPr>
        <w:t>CERTIFICATE OF SERVICE</w:t>
      </w:r>
    </w:p>
    <w:p w:rsidR="007C2976" w:rsidRPr="00710E80" w:rsidP="00D0554D">
      <w:pPr>
        <w:spacing w:line="480" w:lineRule="atLeast"/>
        <w:ind w:firstLine="720"/>
      </w:pPr>
      <w:r w:rsidRPr="00710E80">
        <w:t>I hereby certify that a copy of th</w:t>
      </w:r>
      <w:r>
        <w:t xml:space="preserve">is Brief </w:t>
      </w:r>
      <w:r w:rsidRPr="00710E80">
        <w:t>was served on the persons stated below via</w:t>
      </w:r>
      <w:r w:rsidRPr="00710E80">
        <w:rPr>
          <w:i/>
        </w:rPr>
        <w:t xml:space="preserve"> </w:t>
      </w:r>
      <w:r w:rsidRPr="00710E80">
        <w:t xml:space="preserve">electric transmission this </w:t>
      </w:r>
      <w:r>
        <w:t>1</w:t>
      </w:r>
      <w:r w:rsidRPr="00462506">
        <w:rPr>
          <w:vertAlign w:val="superscript"/>
        </w:rPr>
        <w:t>st</w:t>
      </w:r>
      <w:r>
        <w:t xml:space="preserve"> day</w:t>
      </w:r>
      <w:r w:rsidRPr="00710E80">
        <w:t xml:space="preserve"> of </w:t>
      </w:r>
      <w:r>
        <w:t xml:space="preserve">March </w:t>
      </w:r>
      <w:r w:rsidRPr="00710E80">
        <w:t>201</w:t>
      </w:r>
      <w:r>
        <w:t>9</w:t>
      </w:r>
      <w:r w:rsidRPr="00710E80">
        <w:t>.</w:t>
      </w:r>
    </w:p>
    <w:p w:rsidR="007C2976" w:rsidRPr="00710E80" w:rsidP="007C2976">
      <w:pPr>
        <w:spacing w:line="480" w:lineRule="atLeast"/>
      </w:pPr>
    </w:p>
    <w:p w:rsidR="00C05D8D" w:rsidRPr="00710E80" w:rsidP="00C05D8D">
      <w:pPr>
        <w:autoSpaceDE w:val="0"/>
        <w:autoSpaceDN w:val="0"/>
        <w:adjustRightInd w:val="0"/>
        <w:ind w:left="4320"/>
        <w:rPr>
          <w:i/>
        </w:rPr>
      </w:pPr>
      <w:r w:rsidRPr="00710E80">
        <w:rPr>
          <w:i/>
          <w:u w:val="single"/>
        </w:rPr>
        <w:t>/s/ </w:t>
      </w:r>
      <w:r>
        <w:rPr>
          <w:i/>
          <w:u w:val="single"/>
        </w:rPr>
        <w:t>Terry L. Etter</w:t>
      </w:r>
      <w:r>
        <w:rPr>
          <w:i/>
          <w:u w:val="single"/>
        </w:rPr>
        <w:tab/>
        <w:t xml:space="preserve"> </w:t>
      </w:r>
      <w:r w:rsidRPr="00710E80">
        <w:rPr>
          <w:i/>
          <w:u w:val="single"/>
        </w:rPr>
        <w:tab/>
      </w:r>
    </w:p>
    <w:p w:rsidR="00462506" w:rsidP="00462506">
      <w:pPr>
        <w:tabs>
          <w:tab w:val="left" w:pos="4320"/>
        </w:tabs>
        <w:ind w:left="4320"/>
        <w:rPr>
          <w:szCs w:val="24"/>
        </w:rPr>
      </w:pPr>
      <w:r>
        <w:t>Terry L. Etter</w:t>
      </w:r>
      <w:r w:rsidRPr="00710E80">
        <w:br/>
      </w:r>
      <w:r w:rsidRPr="00710E80">
        <w:rPr>
          <w:szCs w:val="24"/>
        </w:rPr>
        <w:t>Assistant Consumers</w:t>
      </w:r>
      <w:r>
        <w:rPr>
          <w:szCs w:val="24"/>
        </w:rPr>
        <w:t>’</w:t>
      </w:r>
      <w:r w:rsidRPr="00710E80">
        <w:rPr>
          <w:szCs w:val="24"/>
        </w:rPr>
        <w:t xml:space="preserve"> Counsel</w:t>
      </w:r>
    </w:p>
    <w:p w:rsidR="007C2976" w:rsidRPr="00710E80" w:rsidP="00462506">
      <w:pPr>
        <w:tabs>
          <w:tab w:val="left" w:pos="4320"/>
        </w:tabs>
        <w:ind w:left="4320"/>
      </w:pPr>
    </w:p>
    <w:p w:rsidR="00E957E4" w:rsidRPr="000F35A0" w:rsidP="00E957E4">
      <w:pPr>
        <w:jc w:val="center"/>
        <w:rPr>
          <w:b/>
          <w:u w:val="single"/>
        </w:rPr>
      </w:pPr>
      <w:r w:rsidRPr="000F35A0">
        <w:rPr>
          <w:b/>
          <w:u w:val="single"/>
        </w:rPr>
        <w:t>SERVICE LIST</w:t>
      </w:r>
    </w:p>
    <w:p w:rsidR="00E957E4" w:rsidRPr="000F35A0" w:rsidP="00E957E4">
      <w:pPr>
        <w:jc w:val="center"/>
        <w:rPr>
          <w:b/>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596"/>
        <w:gridCol w:w="4044"/>
      </w:tblGrid>
      <w:tr w:rsidTr="00D970D8">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788" w:type="dxa"/>
          </w:tcPr>
          <w:p w:rsidR="00E957E4" w:rsidP="00D970D8">
            <w:pPr>
              <w:autoSpaceDE w:val="0"/>
              <w:autoSpaceDN w:val="0"/>
              <w:adjustRightInd w:val="0"/>
              <w:rPr>
                <w:rStyle w:val="DefaultParagraphFont"/>
                <w:bCs/>
                <w:sz w:val="24"/>
                <w:szCs w:val="24"/>
                <w:lang w:val="en-US" w:eastAsia="en-US" w:bidi="ar-SA"/>
              </w:rPr>
            </w:pPr>
            <w:r>
              <w:fldChar w:fldCharType="begin"/>
            </w:r>
            <w:r>
              <w:rPr>
                <w:sz w:val="24"/>
                <w:lang w:val="en-US" w:eastAsia="en-US" w:bidi="ar-SA"/>
              </w:rPr>
              <w:instrText xml:space="preserve"> HYPERLINK "mailto:Thomas.lindgren@ohioattorneygeneral.gov" </w:instrText>
            </w:r>
            <w:r>
              <w:fldChar w:fldCharType="separate"/>
            </w:r>
            <w:r w:rsidRPr="00B44FF7" w:rsidR="00470851">
              <w:rPr>
                <w:rStyle w:val="Hyperlink"/>
                <w:bCs/>
                <w:color w:val="0000FF"/>
                <w:sz w:val="24"/>
                <w:szCs w:val="24"/>
                <w:u w:val="single"/>
                <w:lang w:val="en-US" w:eastAsia="en-US" w:bidi="ar-SA"/>
              </w:rPr>
              <w:t>Thomas.lindgren@ohioattorneygeneral.gov</w:t>
            </w:r>
            <w:r>
              <w:fldChar w:fldCharType="end"/>
            </w:r>
          </w:p>
          <w:p w:rsidR="00E957E4" w:rsidP="00D970D8">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"mailto:mkurtz@BKLlawfirm.com" </w:instrText>
            </w:r>
            <w:r>
              <w:fldChar w:fldCharType="separate"/>
            </w:r>
            <w:r w:rsidRPr="00B44FF7" w:rsidR="00470851">
              <w:rPr>
                <w:rStyle w:val="Hyperlink"/>
                <w:color w:val="0000FF"/>
                <w:sz w:val="24"/>
                <w:szCs w:val="24"/>
                <w:u w:val="single"/>
                <w:lang w:val="en-US" w:eastAsia="en-US" w:bidi="ar-SA"/>
              </w:rPr>
              <w:t>mkurtz@BKLlawfirm.com</w:t>
            </w:r>
            <w:r>
              <w:fldChar w:fldCharType="end"/>
            </w:r>
          </w:p>
          <w:p w:rsidR="00E957E4" w:rsidP="00D970D8">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"mailto:kboehm@BKLlawfirm.com" </w:instrText>
            </w:r>
            <w:r>
              <w:fldChar w:fldCharType="separate"/>
            </w:r>
            <w:r w:rsidRPr="00B44FF7" w:rsidR="00470851">
              <w:rPr>
                <w:rStyle w:val="Hyperlink"/>
                <w:color w:val="0000FF"/>
                <w:sz w:val="24"/>
                <w:szCs w:val="24"/>
                <w:u w:val="single"/>
                <w:lang w:val="en-US" w:eastAsia="en-US" w:bidi="ar-SA"/>
              </w:rPr>
              <w:t>kboehm@BKLlawfirm.com</w:t>
            </w:r>
            <w:r>
              <w:fldChar w:fldCharType="end"/>
            </w:r>
          </w:p>
          <w:p w:rsidR="00E957E4" w:rsidP="00D970D8">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"mailto:jkylercohn@BKLlawfirm.com" </w:instrText>
            </w:r>
            <w:r>
              <w:fldChar w:fldCharType="separate"/>
            </w:r>
            <w:r w:rsidRPr="00B44FF7" w:rsidR="00470851">
              <w:rPr>
                <w:rStyle w:val="Hyperlink"/>
                <w:color w:val="0000FF"/>
                <w:sz w:val="24"/>
                <w:szCs w:val="24"/>
                <w:u w:val="single"/>
                <w:lang w:val="en-US" w:eastAsia="en-US" w:bidi="ar-SA"/>
              </w:rPr>
              <w:t>jkylercohn@BKLlawfirm.com</w:t>
            </w:r>
            <w:r>
              <w:fldChar w:fldCharType="end"/>
            </w:r>
          </w:p>
          <w:p w:rsidR="00E957E4" w:rsidP="00D970D8">
            <w:pPr>
              <w:autoSpaceDE w:val="0"/>
              <w:autoSpaceDN w:val="0"/>
              <w:adjustRightInd w:val="0"/>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"mailto:gkrassen@bricker.com" </w:instrText>
            </w:r>
            <w:r>
              <w:fldChar w:fldCharType="separate"/>
            </w:r>
            <w:r w:rsidRPr="00B44FF7" w:rsidR="00470851">
              <w:rPr>
                <w:rStyle w:val="Hyperlink"/>
                <w:rFonts w:eastAsiaTheme="minorHAnsi"/>
                <w:color w:val="0000FF"/>
                <w:sz w:val="24"/>
                <w:szCs w:val="24"/>
                <w:u w:val="single"/>
                <w:lang w:val="en-US" w:eastAsia="en-US" w:bidi="ar-SA"/>
              </w:rPr>
              <w:t>gkrassen@bricker.com</w:t>
            </w:r>
            <w:r>
              <w:fldChar w:fldCharType="end"/>
            </w:r>
          </w:p>
          <w:p w:rsidR="00E957E4" w:rsidP="00D970D8">
            <w:pPr>
              <w:autoSpaceDE w:val="0"/>
              <w:autoSpaceDN w:val="0"/>
              <w:adjustRightInd w:val="0"/>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"mailto:dstinson@bricker.com" </w:instrText>
            </w:r>
            <w:r>
              <w:fldChar w:fldCharType="separate"/>
            </w:r>
            <w:r w:rsidRPr="00B44FF7" w:rsidR="00470851">
              <w:rPr>
                <w:rStyle w:val="Hyperlink"/>
                <w:rFonts w:eastAsiaTheme="minorHAnsi"/>
                <w:color w:val="0000FF"/>
                <w:sz w:val="24"/>
                <w:szCs w:val="24"/>
                <w:u w:val="single"/>
                <w:lang w:val="en-US" w:eastAsia="en-US" w:bidi="ar-SA"/>
              </w:rPr>
              <w:t>dstinson@bricker.com</w:t>
            </w:r>
            <w:r>
              <w:fldChar w:fldCharType="end"/>
            </w:r>
          </w:p>
          <w:p w:rsidR="00E957E4" w:rsidP="00D970D8">
            <w:pPr>
              <w:autoSpaceDE w:val="0"/>
              <w:autoSpaceDN w:val="0"/>
              <w:adjustRightInd w:val="0"/>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"mailto:mleppla@theOEC.org" </w:instrText>
            </w:r>
            <w:r>
              <w:fldChar w:fldCharType="separate"/>
            </w:r>
            <w:r w:rsidRPr="00B44FF7" w:rsidR="00470851">
              <w:rPr>
                <w:rStyle w:val="Hyperlink"/>
                <w:rFonts w:eastAsiaTheme="minorHAnsi"/>
                <w:color w:val="0000FF"/>
                <w:sz w:val="24"/>
                <w:szCs w:val="24"/>
                <w:u w:val="single"/>
                <w:lang w:val="en-US" w:eastAsia="en-US" w:bidi="ar-SA"/>
              </w:rPr>
              <w:t>mleppla@theOEC.org</w:t>
            </w:r>
            <w:r>
              <w:fldChar w:fldCharType="end"/>
            </w:r>
          </w:p>
          <w:p w:rsidR="00E957E4" w:rsidP="00D970D8">
            <w:pPr>
              <w:autoSpaceDE w:val="0"/>
              <w:autoSpaceDN w:val="0"/>
              <w:adjustRightInd w:val="0"/>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"mailto:tdougherty@theOEC.org" </w:instrText>
            </w:r>
            <w:r>
              <w:fldChar w:fldCharType="separate"/>
            </w:r>
            <w:r w:rsidRPr="00B44FF7" w:rsidR="00470851">
              <w:rPr>
                <w:rStyle w:val="Hyperlink"/>
                <w:rFonts w:eastAsiaTheme="minorHAnsi"/>
                <w:color w:val="0000FF"/>
                <w:sz w:val="24"/>
                <w:szCs w:val="24"/>
                <w:u w:val="single"/>
                <w:lang w:val="en-US" w:eastAsia="en-US" w:bidi="ar-SA"/>
              </w:rPr>
              <w:t>tdougherty@theOEC.org</w:t>
            </w:r>
            <w:r>
              <w:fldChar w:fldCharType="end"/>
            </w:r>
          </w:p>
          <w:p w:rsidR="00E957E4" w:rsidP="00D970D8">
            <w:pPr>
              <w:autoSpaceDE w:val="0"/>
              <w:autoSpaceDN w:val="0"/>
              <w:adjustRightInd w:val="0"/>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"mailto:jfinnigan@edf.org" </w:instrText>
            </w:r>
            <w:r>
              <w:fldChar w:fldCharType="separate"/>
            </w:r>
            <w:r w:rsidRPr="00B44FF7" w:rsidR="00470851">
              <w:rPr>
                <w:rStyle w:val="Hyperlink"/>
                <w:rFonts w:eastAsiaTheme="minorHAnsi"/>
                <w:color w:val="0000FF"/>
                <w:sz w:val="24"/>
                <w:szCs w:val="24"/>
                <w:u w:val="single"/>
                <w:lang w:val="en-US" w:eastAsia="en-US" w:bidi="ar-SA"/>
              </w:rPr>
              <w:t>jfinnigan@edf.org</w:t>
            </w:r>
            <w:r>
              <w:fldChar w:fldCharType="end"/>
            </w:r>
          </w:p>
          <w:p w:rsidR="00E957E4" w:rsidP="00D970D8">
            <w:pPr>
              <w:autoSpaceDE w:val="0"/>
              <w:autoSpaceDN w:val="0"/>
              <w:adjustRightInd w:val="0"/>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"mailto:paul@carpenterlipps.com" </w:instrText>
            </w:r>
            <w:r>
              <w:fldChar w:fldCharType="separate"/>
            </w:r>
            <w:r w:rsidRPr="00B44FF7" w:rsidR="00470851">
              <w:rPr>
                <w:rStyle w:val="Hyperlink"/>
                <w:rFonts w:eastAsiaTheme="minorHAnsi"/>
                <w:color w:val="0000FF"/>
                <w:sz w:val="24"/>
                <w:szCs w:val="24"/>
                <w:u w:val="single"/>
                <w:lang w:val="en-US" w:eastAsia="en-US" w:bidi="ar-SA"/>
              </w:rPr>
              <w:t>paul@carpenterlipps.com</w:t>
            </w:r>
            <w:r>
              <w:fldChar w:fldCharType="end"/>
            </w:r>
          </w:p>
          <w:p w:rsidR="00E957E4" w:rsidP="00D970D8">
            <w:pPr>
              <w:autoSpaceDE w:val="0"/>
              <w:autoSpaceDN w:val="0"/>
              <w:adjustRightInd w:val="0"/>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"mailto:Bojko@carpenterlipps.com" </w:instrText>
            </w:r>
            <w:r>
              <w:fldChar w:fldCharType="separate"/>
            </w:r>
            <w:r w:rsidRPr="00B44FF7" w:rsidR="00470851">
              <w:rPr>
                <w:rStyle w:val="Hyperlink"/>
                <w:rFonts w:eastAsiaTheme="minorHAnsi"/>
                <w:color w:val="0000FF"/>
                <w:sz w:val="24"/>
                <w:szCs w:val="24"/>
                <w:u w:val="single"/>
                <w:lang w:val="en-US" w:eastAsia="en-US" w:bidi="ar-SA"/>
              </w:rPr>
              <w:t>Bojko@carpenterlipps.com</w:t>
            </w:r>
            <w:r>
              <w:fldChar w:fldCharType="end"/>
            </w:r>
          </w:p>
          <w:p w:rsidR="00E957E4" w:rsidP="00D970D8">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"mailto:Dressel@carpenterlipps.com" </w:instrText>
            </w:r>
            <w:r>
              <w:fldChar w:fldCharType="separate"/>
            </w:r>
            <w:r w:rsidRPr="00B44FF7" w:rsidR="00470851">
              <w:rPr>
                <w:rStyle w:val="Hyperlink"/>
                <w:color w:val="0000FF"/>
                <w:sz w:val="24"/>
                <w:szCs w:val="24"/>
                <w:u w:val="single"/>
                <w:lang w:val="en-US" w:eastAsia="en-US" w:bidi="ar-SA"/>
              </w:rPr>
              <w:t>Dressel@carpenterlipps.com</w:t>
            </w:r>
            <w:r>
              <w:fldChar w:fldCharType="end"/>
            </w:r>
          </w:p>
          <w:p w:rsidR="00E957E4" w:rsidP="00D970D8">
            <w:pPr>
              <w:autoSpaceDE w:val="0"/>
              <w:autoSpaceDN w:val="0"/>
              <w:adjustRightInd w:val="0"/>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"mailto:ghiloni@carpenterlipps.com" </w:instrText>
            </w:r>
            <w:r>
              <w:fldChar w:fldCharType="separate"/>
            </w:r>
            <w:r w:rsidRPr="00B44FF7" w:rsidR="00470851">
              <w:rPr>
                <w:rStyle w:val="Hyperlink"/>
                <w:rFonts w:eastAsiaTheme="minorHAnsi"/>
                <w:color w:val="0000FF"/>
                <w:sz w:val="24"/>
                <w:szCs w:val="24"/>
                <w:u w:val="single"/>
                <w:lang w:val="en-US" w:eastAsia="en-US" w:bidi="ar-SA"/>
              </w:rPr>
              <w:t>ghiloni@carpenterlipps.com</w:t>
            </w:r>
            <w:r>
              <w:fldChar w:fldCharType="end"/>
            </w:r>
          </w:p>
          <w:p w:rsidR="00E957E4" w:rsidP="00D970D8">
            <w:pPr>
              <w:autoSpaceDE w:val="0"/>
              <w:autoSpaceDN w:val="0"/>
              <w:adjustRightInd w:val="0"/>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"mailto:cmooney@ohiopartners.org" </w:instrText>
            </w:r>
            <w:r>
              <w:fldChar w:fldCharType="separate"/>
            </w:r>
            <w:r w:rsidRPr="00B44FF7" w:rsidR="00470851">
              <w:rPr>
                <w:rStyle w:val="Hyperlink"/>
                <w:rFonts w:eastAsiaTheme="minorHAnsi"/>
                <w:color w:val="0000FF"/>
                <w:sz w:val="24"/>
                <w:szCs w:val="24"/>
                <w:u w:val="single"/>
                <w:lang w:val="en-US" w:eastAsia="en-US" w:bidi="ar-SA"/>
              </w:rPr>
              <w:t>cmooney@ohiopartners.org</w:t>
            </w:r>
            <w:r>
              <w:fldChar w:fldCharType="end"/>
            </w:r>
          </w:p>
          <w:p w:rsidR="00E957E4" w:rsidP="00D970D8">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"mailto:glpetrucci@vorys.com" </w:instrText>
            </w:r>
            <w:r>
              <w:fldChar w:fldCharType="separate"/>
            </w:r>
            <w:r w:rsidRPr="00B44FF7" w:rsidR="00470851">
              <w:rPr>
                <w:rStyle w:val="Hyperlink"/>
                <w:color w:val="0000FF"/>
                <w:sz w:val="24"/>
                <w:szCs w:val="24"/>
                <w:u w:val="single"/>
                <w:lang w:val="en-US" w:eastAsia="en-US" w:bidi="ar-SA"/>
              </w:rPr>
              <w:t>glpetrucci@vorys.com</w:t>
            </w:r>
            <w:r>
              <w:fldChar w:fldCharType="end"/>
            </w:r>
          </w:p>
          <w:p w:rsidR="00E957E4" w:rsidP="00D970D8">
            <w:pPr>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"mailto:mwarnock@bricker.com" </w:instrText>
            </w:r>
            <w:r>
              <w:fldChar w:fldCharType="separate"/>
            </w:r>
            <w:r w:rsidRPr="00B44FF7" w:rsidR="00470851">
              <w:rPr>
                <w:rStyle w:val="Hyperlink"/>
                <w:rFonts w:eastAsiaTheme="minorHAnsi"/>
                <w:color w:val="0000FF"/>
                <w:sz w:val="24"/>
                <w:szCs w:val="24"/>
                <w:u w:val="single"/>
                <w:lang w:val="en-US" w:eastAsia="en-US" w:bidi="ar-SA"/>
              </w:rPr>
              <w:t>mwarnock@bricker.com</w:t>
            </w:r>
            <w:r>
              <w:fldChar w:fldCharType="end"/>
            </w:r>
          </w:p>
          <w:p w:rsidR="00E957E4" w:rsidP="00D970D8">
            <w:pPr>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"mailto:dborchers@bricker.com" </w:instrText>
            </w:r>
            <w:r>
              <w:fldChar w:fldCharType="separate"/>
            </w:r>
            <w:r w:rsidRPr="00B44FF7" w:rsidR="00470851">
              <w:rPr>
                <w:rStyle w:val="Hyperlink"/>
                <w:rFonts w:eastAsiaTheme="minorHAnsi"/>
                <w:color w:val="0000FF"/>
                <w:sz w:val="24"/>
                <w:szCs w:val="24"/>
                <w:u w:val="single"/>
                <w:lang w:val="en-US" w:eastAsia="en-US" w:bidi="ar-SA"/>
              </w:rPr>
              <w:t>dborchers@bricker.com</w:t>
            </w:r>
            <w:r>
              <w:fldChar w:fldCharType="end"/>
            </w:r>
          </w:p>
          <w:p w:rsidR="00E957E4" w:rsidP="00D970D8">
            <w:pPr>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"mailto:barthroyer@aol.com" </w:instrText>
            </w:r>
            <w:r>
              <w:fldChar w:fldCharType="separate"/>
            </w:r>
            <w:r w:rsidRPr="00B44FF7" w:rsidR="00470851">
              <w:rPr>
                <w:rStyle w:val="Hyperlink"/>
                <w:rFonts w:eastAsiaTheme="minorHAnsi"/>
                <w:color w:val="0000FF"/>
                <w:sz w:val="24"/>
                <w:szCs w:val="24"/>
                <w:u w:val="single"/>
                <w:lang w:val="en-US" w:eastAsia="en-US" w:bidi="ar-SA"/>
              </w:rPr>
              <w:t>barthroyer@aol.com</w:t>
            </w:r>
            <w:r>
              <w:fldChar w:fldCharType="end"/>
            </w:r>
          </w:p>
          <w:p w:rsidR="00E957E4" w:rsidP="00D970D8">
            <w:pPr>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"mailto:rkelter@elpc.org" </w:instrText>
            </w:r>
            <w:r>
              <w:fldChar w:fldCharType="separate"/>
            </w:r>
            <w:r w:rsidRPr="00B44FF7" w:rsidR="00470851">
              <w:rPr>
                <w:rStyle w:val="Hyperlink"/>
                <w:rFonts w:eastAsiaTheme="minorHAnsi"/>
                <w:color w:val="0000FF"/>
                <w:sz w:val="24"/>
                <w:szCs w:val="24"/>
                <w:u w:val="single"/>
                <w:lang w:val="en-US" w:eastAsia="en-US" w:bidi="ar-SA"/>
              </w:rPr>
              <w:t>rkelter@elpc.org</w:t>
            </w:r>
            <w:r>
              <w:fldChar w:fldCharType="end"/>
            </w:r>
          </w:p>
          <w:p w:rsidR="00E957E4" w:rsidRPr="005A62DB" w:rsidP="00D970D8">
            <w:pPr>
              <w:rPr>
                <w:rStyle w:val="DefaultParagraphFont"/>
                <w:rFonts w:eastAsiaTheme="minorHAnsi"/>
                <w:sz w:val="24"/>
                <w:lang w:val="en-US" w:eastAsia="en-US" w:bidi="ar-SA"/>
              </w:rPr>
            </w:pPr>
          </w:p>
          <w:p w:rsidR="00E957E4" w:rsidP="00D970D8">
            <w:pPr>
              <w:autoSpaceDE w:val="0"/>
              <w:autoSpaceDN w:val="0"/>
              <w:adjustRightInd w:val="0"/>
              <w:rPr>
                <w:rStyle w:val="DefaultParagraphFont"/>
                <w:rFonts w:eastAsiaTheme="minorHAnsi"/>
                <w:sz w:val="24"/>
                <w:szCs w:val="24"/>
                <w:lang w:val="en-US" w:eastAsia="en-US" w:bidi="ar-SA"/>
              </w:rPr>
            </w:pPr>
            <w:r w:rsidRPr="005A62DB">
              <w:rPr>
                <w:rFonts w:eastAsiaTheme="minorHAnsi"/>
                <w:sz w:val="24"/>
                <w:szCs w:val="24"/>
                <w:lang w:val="en-US" w:eastAsia="en-US" w:bidi="ar-SA"/>
              </w:rPr>
              <w:t>Attorney Examiners:</w:t>
            </w:r>
          </w:p>
          <w:p w:rsidR="00E957E4" w:rsidRPr="005A62DB" w:rsidP="00D970D8">
            <w:pPr>
              <w:autoSpaceDE w:val="0"/>
              <w:autoSpaceDN w:val="0"/>
              <w:adjustRightInd w:val="0"/>
              <w:rPr>
                <w:rStyle w:val="DefaultParagraphFont"/>
                <w:rFonts w:eastAsiaTheme="minorHAnsi"/>
                <w:sz w:val="24"/>
                <w:lang w:val="en-US" w:eastAsia="en-US" w:bidi="ar-SA"/>
              </w:rPr>
            </w:pPr>
          </w:p>
          <w:p w:rsidR="00E957E4" w:rsidP="00D970D8">
            <w:pPr>
              <w:autoSpaceDE w:val="0"/>
              <w:autoSpaceDN w:val="0"/>
              <w:adjustRightInd w:val="0"/>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"mailto:Megan.addison@puc.state.oh.us" </w:instrText>
            </w:r>
            <w:r>
              <w:fldChar w:fldCharType="separate"/>
            </w:r>
            <w:r w:rsidRPr="00B44FF7" w:rsidR="00470851">
              <w:rPr>
                <w:rStyle w:val="Hyperlink"/>
                <w:rFonts w:eastAsiaTheme="minorHAnsi"/>
                <w:color w:val="0000FF"/>
                <w:sz w:val="24"/>
                <w:szCs w:val="24"/>
                <w:u w:val="single"/>
                <w:lang w:val="en-US" w:eastAsia="en-US" w:bidi="ar-SA"/>
              </w:rPr>
              <w:t>Megan.addison@puc.state.oh.us</w:t>
            </w:r>
            <w:r>
              <w:fldChar w:fldCharType="end"/>
            </w:r>
          </w:p>
          <w:p w:rsidR="00E957E4" w:rsidP="00D970D8">
            <w:pPr>
              <w:autoSpaceDE w:val="0"/>
              <w:autoSpaceDN w:val="0"/>
              <w:adjustRightInd w:val="0"/>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"mailto:Gregory.price@puc.state.oh.us" </w:instrText>
            </w:r>
            <w:r>
              <w:fldChar w:fldCharType="separate"/>
            </w:r>
            <w:r w:rsidRPr="00B44FF7" w:rsidR="00470851">
              <w:rPr>
                <w:rStyle w:val="Hyperlink"/>
                <w:rFonts w:eastAsiaTheme="minorHAnsi"/>
                <w:color w:val="0000FF"/>
                <w:sz w:val="24"/>
                <w:szCs w:val="24"/>
                <w:u w:val="single"/>
                <w:lang w:val="en-US" w:eastAsia="en-US" w:bidi="ar-SA"/>
              </w:rPr>
              <w:t>Gregory.price@puc.state.oh.us</w:t>
            </w:r>
            <w:r>
              <w:fldChar w:fldCharType="end"/>
            </w:r>
          </w:p>
          <w:p w:rsidR="00E957E4" w:rsidRPr="005A62DB" w:rsidP="00D970D8">
            <w:pPr>
              <w:autoSpaceDE w:val="0"/>
              <w:autoSpaceDN w:val="0"/>
              <w:adjustRightInd w:val="0"/>
              <w:rPr>
                <w:rStyle w:val="DefaultParagraphFont"/>
                <w:rFonts w:eastAsiaTheme="minorHAnsi"/>
                <w:sz w:val="24"/>
                <w:lang w:val="en-US" w:eastAsia="en-US" w:bidi="ar-SA"/>
              </w:rPr>
            </w:pPr>
          </w:p>
          <w:p w:rsidR="00E957E4" w:rsidRPr="005A62DB" w:rsidP="00D970D8">
            <w:pPr>
              <w:autoSpaceDE w:val="0"/>
              <w:autoSpaceDN w:val="0"/>
              <w:adjustRightInd w:val="0"/>
              <w:rPr>
                <w:rStyle w:val="DefaultParagraphFont"/>
                <w:rFonts w:eastAsiaTheme="minorHAnsi"/>
                <w:sz w:val="24"/>
                <w:lang w:val="en-US" w:eastAsia="en-US" w:bidi="ar-SA"/>
              </w:rPr>
            </w:pPr>
          </w:p>
          <w:p w:rsidR="00E957E4" w:rsidRPr="005A62DB" w:rsidP="00D970D8">
            <w:pPr>
              <w:autoSpaceDE w:val="0"/>
              <w:autoSpaceDN w:val="0"/>
              <w:adjustRightInd w:val="0"/>
              <w:rPr>
                <w:rStyle w:val="DefaultParagraphFont"/>
                <w:bCs/>
                <w:i/>
                <w:sz w:val="24"/>
                <w:lang w:val="en-US" w:eastAsia="en-US" w:bidi="ar-SA"/>
              </w:rPr>
            </w:pPr>
          </w:p>
        </w:tc>
        <w:tc>
          <w:tcPr>
            <w:tcW w:w="4788" w:type="dxa"/>
          </w:tcPr>
          <w:p w:rsidR="00E957E4" w:rsidP="00D970D8">
            <w:pPr>
              <w:ind w:left="296"/>
              <w:rPr>
                <w:rStyle w:val="DefaultParagraphFont"/>
                <w:sz w:val="24"/>
                <w:szCs w:val="24"/>
                <w:lang w:val="en-US" w:eastAsia="en-US" w:bidi="ar-SA"/>
              </w:rPr>
            </w:pPr>
            <w:r>
              <w:fldChar w:fldCharType="begin"/>
            </w:r>
            <w:r>
              <w:rPr>
                <w:sz w:val="24"/>
                <w:lang w:val="en-US" w:eastAsia="en-US" w:bidi="ar-SA"/>
              </w:rPr>
              <w:instrText xml:space="preserve"> HYPERLINK "mailto:jeckert@firstenergycorp.com" </w:instrText>
            </w:r>
            <w:r>
              <w:fldChar w:fldCharType="separate"/>
            </w:r>
            <w:r w:rsidRPr="00B44FF7" w:rsidR="00470851">
              <w:rPr>
                <w:rStyle w:val="Hyperlink"/>
                <w:color w:val="0000FF"/>
                <w:sz w:val="24"/>
                <w:szCs w:val="24"/>
                <w:u w:val="single"/>
                <w:lang w:val="en-US" w:eastAsia="en-US" w:bidi="ar-SA"/>
              </w:rPr>
              <w:t>jeckert@firstenergycorp.com</w:t>
            </w:r>
            <w:r>
              <w:fldChar w:fldCharType="end"/>
            </w:r>
          </w:p>
          <w:p w:rsidR="00E957E4" w:rsidP="00D970D8">
            <w:pPr>
              <w:ind w:left="296"/>
              <w:rPr>
                <w:rStyle w:val="DefaultParagraphFont"/>
                <w:sz w:val="24"/>
                <w:szCs w:val="24"/>
                <w:lang w:val="en-US" w:eastAsia="en-US" w:bidi="ar-SA"/>
              </w:rPr>
            </w:pPr>
            <w:r>
              <w:fldChar w:fldCharType="begin"/>
            </w:r>
            <w:r>
              <w:rPr>
                <w:sz w:val="24"/>
                <w:lang w:val="en-US" w:eastAsia="en-US" w:bidi="ar-SA"/>
              </w:rPr>
              <w:instrText xml:space="preserve"> HYPERLINK "mailto:bknipe@firstenergycorp.com" </w:instrText>
            </w:r>
            <w:r>
              <w:fldChar w:fldCharType="separate"/>
            </w:r>
            <w:r w:rsidRPr="00B44FF7" w:rsidR="00470851">
              <w:rPr>
                <w:rStyle w:val="Hyperlink"/>
                <w:color w:val="0000FF"/>
                <w:sz w:val="24"/>
                <w:szCs w:val="24"/>
                <w:u w:val="single"/>
                <w:lang w:val="en-US" w:eastAsia="en-US" w:bidi="ar-SA"/>
              </w:rPr>
              <w:t>bknipe@firstenergycorp.com</w:t>
            </w:r>
            <w:r>
              <w:fldChar w:fldCharType="end"/>
            </w:r>
          </w:p>
          <w:p w:rsidR="00E957E4" w:rsidP="00D970D8">
            <w:pPr>
              <w:jc w:val="both"/>
              <w:rPr>
                <w:rStyle w:val="DefaultParagraphFont"/>
                <w:rFonts w:eastAsia="PMingLiU"/>
                <w:iCs/>
                <w:sz w:val="24"/>
                <w:szCs w:val="24"/>
                <w:lang w:val="en-US" w:eastAsia="en-US" w:bidi="ar-SA"/>
              </w:rPr>
            </w:pPr>
            <w:r w:rsidRPr="005A62DB">
              <w:rPr>
                <w:rFonts w:eastAsia="PMingLiU"/>
                <w:iCs/>
                <w:sz w:val="24"/>
                <w:szCs w:val="24"/>
                <w:lang w:val="en-US" w:eastAsia="en-US" w:bidi="ar-SA"/>
              </w:rPr>
              <w:t xml:space="preserve">     </w:t>
            </w:r>
            <w:r>
              <w:fldChar w:fldCharType="begin"/>
            </w:r>
            <w:r>
              <w:rPr>
                <w:sz w:val="24"/>
                <w:lang w:val="en-US" w:eastAsia="en-US" w:bidi="ar-SA"/>
              </w:rPr>
              <w:instrText xml:space="preserve"> HYPERLINK "mailto:jlang@calfee.com" </w:instrText>
            </w:r>
            <w:r>
              <w:fldChar w:fldCharType="separate"/>
            </w:r>
            <w:r w:rsidRPr="00B44FF7">
              <w:rPr>
                <w:rStyle w:val="Hyperlink"/>
                <w:rFonts w:eastAsia="PMingLiU"/>
                <w:iCs/>
                <w:color w:val="0000FF"/>
                <w:sz w:val="24"/>
                <w:szCs w:val="24"/>
                <w:u w:val="single"/>
                <w:lang w:val="en-US" w:eastAsia="en-US" w:bidi="ar-SA"/>
              </w:rPr>
              <w:t>jlang@calfee.com</w:t>
            </w:r>
            <w:r>
              <w:fldChar w:fldCharType="end"/>
            </w:r>
          </w:p>
          <w:p w:rsidR="00E957E4" w:rsidP="00D970D8">
            <w:pPr>
              <w:ind w:left="296"/>
              <w:rPr>
                <w:rStyle w:val="DefaultParagraphFont"/>
                <w:sz w:val="24"/>
                <w:szCs w:val="24"/>
                <w:lang w:val="en-US" w:eastAsia="en-US" w:bidi="ar-SA"/>
              </w:rPr>
            </w:pPr>
            <w:r>
              <w:fldChar w:fldCharType="begin"/>
            </w:r>
            <w:r>
              <w:rPr>
                <w:sz w:val="24"/>
                <w:lang w:val="en-US" w:eastAsia="en-US" w:bidi="ar-SA"/>
              </w:rPr>
              <w:instrText xml:space="preserve"> HYPERLINK "mailto:mkeaney@calfee.com" </w:instrText>
            </w:r>
            <w:r>
              <w:fldChar w:fldCharType="separate"/>
            </w:r>
            <w:r w:rsidRPr="00B44FF7" w:rsidR="00470851">
              <w:rPr>
                <w:rStyle w:val="Hyperlink"/>
                <w:color w:val="0000FF"/>
                <w:sz w:val="24"/>
                <w:szCs w:val="24"/>
                <w:u w:val="single"/>
                <w:lang w:val="en-US" w:eastAsia="en-US" w:bidi="ar-SA"/>
              </w:rPr>
              <w:t>mkeaney@calfee.com</w:t>
            </w:r>
            <w:r>
              <w:fldChar w:fldCharType="end"/>
            </w:r>
          </w:p>
          <w:p w:rsidR="00E957E4" w:rsidP="00D970D8">
            <w:pPr>
              <w:ind w:left="296"/>
              <w:jc w:val="both"/>
              <w:rPr>
                <w:rStyle w:val="DefaultParagraphFont"/>
                <w:sz w:val="24"/>
                <w:szCs w:val="24"/>
                <w:lang w:val="en-US" w:eastAsia="en-US" w:bidi="ar-SA"/>
              </w:rPr>
            </w:pPr>
            <w:r>
              <w:fldChar w:fldCharType="begin"/>
            </w:r>
            <w:r>
              <w:rPr>
                <w:sz w:val="24"/>
                <w:lang w:val="en-US" w:eastAsia="en-US" w:bidi="ar-SA"/>
              </w:rPr>
              <w:instrText xml:space="preserve"> HYPERLINK "mailto:fdarr@mwncmh.com" </w:instrText>
            </w:r>
            <w:r>
              <w:fldChar w:fldCharType="separate"/>
            </w:r>
            <w:r w:rsidRPr="00B44FF7" w:rsidR="00470851">
              <w:rPr>
                <w:rStyle w:val="Hyperlink"/>
                <w:color w:val="0000FF"/>
                <w:sz w:val="24"/>
                <w:szCs w:val="24"/>
                <w:u w:val="single"/>
                <w:lang w:val="en-US" w:eastAsia="en-US" w:bidi="ar-SA"/>
              </w:rPr>
              <w:t>fdarr@mwncmh.com</w:t>
            </w:r>
            <w:r>
              <w:fldChar w:fldCharType="end"/>
            </w:r>
          </w:p>
          <w:p w:rsidR="00E957E4" w:rsidP="00D970D8">
            <w:pPr>
              <w:ind w:left="296"/>
              <w:rPr>
                <w:rStyle w:val="DefaultParagraphFont"/>
                <w:sz w:val="24"/>
                <w:szCs w:val="24"/>
                <w:lang w:val="en-US" w:eastAsia="en-US" w:bidi="ar-SA"/>
              </w:rPr>
            </w:pPr>
            <w:r>
              <w:fldChar w:fldCharType="begin"/>
            </w:r>
            <w:r>
              <w:rPr>
                <w:sz w:val="24"/>
                <w:lang w:val="en-US" w:eastAsia="en-US" w:bidi="ar-SA"/>
              </w:rPr>
              <w:instrText xml:space="preserve"> HYPERLINK "mailto:mpritchard@mwncmh.com" </w:instrText>
            </w:r>
            <w:r>
              <w:fldChar w:fldCharType="separate"/>
            </w:r>
            <w:r w:rsidRPr="00B44FF7" w:rsidR="00470851">
              <w:rPr>
                <w:rStyle w:val="Hyperlink"/>
                <w:color w:val="0000FF"/>
                <w:sz w:val="24"/>
                <w:szCs w:val="24"/>
                <w:u w:val="single"/>
                <w:lang w:val="en-US" w:eastAsia="en-US" w:bidi="ar-SA"/>
              </w:rPr>
              <w:t>mpritchard@mwncmh.com</w:t>
            </w:r>
            <w:r>
              <w:fldChar w:fldCharType="end"/>
            </w:r>
          </w:p>
          <w:p w:rsidR="00E957E4" w:rsidP="00D970D8">
            <w:pPr>
              <w:ind w:left="296"/>
              <w:jc w:val="both"/>
              <w:rPr>
                <w:rStyle w:val="DefaultParagraphFont"/>
                <w:rFonts w:eastAsia="PMingLiU"/>
                <w:iCs/>
                <w:sz w:val="24"/>
                <w:szCs w:val="24"/>
                <w:lang w:val="en-US" w:eastAsia="en-US" w:bidi="ar-SA"/>
              </w:rPr>
            </w:pPr>
            <w:r>
              <w:fldChar w:fldCharType="begin"/>
            </w:r>
            <w:r>
              <w:rPr>
                <w:sz w:val="24"/>
                <w:lang w:val="en-US" w:eastAsia="en-US" w:bidi="ar-SA"/>
              </w:rPr>
              <w:instrText xml:space="preserve"> HYPERLINK "mailto:mfleisher@elpc.org" </w:instrText>
            </w:r>
            <w:r>
              <w:fldChar w:fldCharType="separate"/>
            </w:r>
            <w:r w:rsidRPr="00B44FF7" w:rsidR="00470851">
              <w:rPr>
                <w:rStyle w:val="Hyperlink"/>
                <w:rFonts w:eastAsia="PMingLiU"/>
                <w:iCs/>
                <w:color w:val="0000FF"/>
                <w:sz w:val="24"/>
                <w:szCs w:val="24"/>
                <w:u w:val="single"/>
                <w:lang w:val="en-US" w:eastAsia="en-US" w:bidi="ar-SA"/>
              </w:rPr>
              <w:t>mfleisher@elpc.org</w:t>
            </w:r>
            <w:r>
              <w:fldChar w:fldCharType="end"/>
            </w:r>
          </w:p>
          <w:p w:rsidR="00E957E4" w:rsidP="00D970D8">
            <w:pPr>
              <w:ind w:left="296"/>
              <w:jc w:val="both"/>
              <w:rPr>
                <w:rStyle w:val="DefaultParagraphFont"/>
                <w:rFonts w:eastAsia="PMingLiU"/>
                <w:iCs/>
                <w:sz w:val="24"/>
                <w:szCs w:val="24"/>
                <w:lang w:val="en-US" w:eastAsia="en-US" w:bidi="ar-SA"/>
              </w:rPr>
            </w:pPr>
            <w:r>
              <w:fldChar w:fldCharType="begin"/>
            </w:r>
            <w:r>
              <w:rPr>
                <w:sz w:val="24"/>
                <w:lang w:val="en-US" w:eastAsia="en-US" w:bidi="ar-SA"/>
              </w:rPr>
              <w:instrText xml:space="preserve"> HYPERLINK "mailto:rdove@keglerbrown.com" </w:instrText>
            </w:r>
            <w:r>
              <w:fldChar w:fldCharType="separate"/>
            </w:r>
            <w:r w:rsidRPr="00B44FF7" w:rsidR="00470851">
              <w:rPr>
                <w:rStyle w:val="Hyperlink"/>
                <w:rFonts w:eastAsia="PMingLiU"/>
                <w:iCs/>
                <w:color w:val="0000FF"/>
                <w:sz w:val="24"/>
                <w:szCs w:val="24"/>
                <w:u w:val="single"/>
                <w:lang w:val="en-US" w:eastAsia="en-US" w:bidi="ar-SA"/>
              </w:rPr>
              <w:t>rdove@keglerbrown.com</w:t>
            </w:r>
            <w:r>
              <w:fldChar w:fldCharType="end"/>
            </w:r>
          </w:p>
          <w:p w:rsidR="00E957E4" w:rsidP="00D970D8">
            <w:pPr>
              <w:ind w:left="296"/>
              <w:jc w:val="both"/>
              <w:rPr>
                <w:rStyle w:val="DefaultParagraphFont"/>
                <w:rFonts w:eastAsiaTheme="minorHAnsi"/>
                <w:iCs/>
                <w:sz w:val="24"/>
                <w:szCs w:val="24"/>
                <w:lang w:val="en-US" w:eastAsia="en-US" w:bidi="ar-SA"/>
              </w:rPr>
            </w:pPr>
            <w:r>
              <w:fldChar w:fldCharType="begin"/>
            </w:r>
            <w:r>
              <w:rPr>
                <w:sz w:val="24"/>
                <w:lang w:val="en-US" w:eastAsia="en-US" w:bidi="ar-SA"/>
              </w:rPr>
              <w:instrText xml:space="preserve"> HYPERLINK "mailto:mdortch@kravitzllc.com" </w:instrText>
            </w:r>
            <w:r>
              <w:fldChar w:fldCharType="separate"/>
            </w:r>
            <w:r w:rsidRPr="00B44FF7" w:rsidR="00470851">
              <w:rPr>
                <w:rStyle w:val="Hyperlink"/>
                <w:rFonts w:eastAsiaTheme="minorHAnsi"/>
                <w:iCs/>
                <w:color w:val="0000FF"/>
                <w:sz w:val="24"/>
                <w:szCs w:val="24"/>
                <w:u w:val="single"/>
                <w:lang w:val="en-US" w:eastAsia="en-US" w:bidi="ar-SA"/>
              </w:rPr>
              <w:t>mdortch@kravitzllc.com</w:t>
            </w:r>
            <w:r>
              <w:fldChar w:fldCharType="end"/>
            </w:r>
          </w:p>
          <w:p w:rsidR="00E957E4" w:rsidP="00D970D8">
            <w:pPr>
              <w:autoSpaceDE w:val="0"/>
              <w:autoSpaceDN w:val="0"/>
              <w:adjustRightInd w:val="0"/>
              <w:ind w:left="296"/>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"mailto:dborchers@bricker.com" </w:instrText>
            </w:r>
            <w:r>
              <w:fldChar w:fldCharType="separate"/>
            </w:r>
            <w:r w:rsidRPr="00B44FF7" w:rsidR="00470851">
              <w:rPr>
                <w:rStyle w:val="Hyperlink"/>
                <w:rFonts w:eastAsiaTheme="minorHAnsi"/>
                <w:color w:val="0000FF"/>
                <w:sz w:val="24"/>
                <w:szCs w:val="24"/>
                <w:u w:val="single"/>
                <w:lang w:val="en-US" w:eastAsia="en-US" w:bidi="ar-SA"/>
              </w:rPr>
              <w:t>dborchers@bricker.com</w:t>
            </w:r>
            <w:r>
              <w:fldChar w:fldCharType="end"/>
            </w:r>
          </w:p>
          <w:p w:rsidR="00E957E4" w:rsidP="00D970D8">
            <w:pPr>
              <w:autoSpaceDE w:val="0"/>
              <w:autoSpaceDN w:val="0"/>
              <w:adjustRightInd w:val="0"/>
              <w:ind w:left="296"/>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"mailto:dparram@bricker.com" </w:instrText>
            </w:r>
            <w:r>
              <w:fldChar w:fldCharType="separate"/>
            </w:r>
            <w:r w:rsidRPr="00B44FF7" w:rsidR="00470851">
              <w:rPr>
                <w:rStyle w:val="Hyperlink"/>
                <w:rFonts w:eastAsiaTheme="minorHAnsi"/>
                <w:color w:val="0000FF"/>
                <w:sz w:val="24"/>
                <w:szCs w:val="24"/>
                <w:u w:val="single"/>
                <w:lang w:val="en-US" w:eastAsia="en-US" w:bidi="ar-SA"/>
              </w:rPr>
              <w:t>dparram@bricker.com</w:t>
            </w:r>
            <w:r>
              <w:fldChar w:fldCharType="end"/>
            </w:r>
          </w:p>
          <w:p w:rsidR="00E957E4" w:rsidP="00D970D8">
            <w:pPr>
              <w:ind w:left="296"/>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"mailto:nhewell@bricker.com" </w:instrText>
            </w:r>
            <w:r>
              <w:fldChar w:fldCharType="separate"/>
            </w:r>
            <w:r w:rsidRPr="00B44FF7" w:rsidR="00470851">
              <w:rPr>
                <w:rStyle w:val="Hyperlink"/>
                <w:rFonts w:eastAsiaTheme="minorHAnsi"/>
                <w:color w:val="0000FF"/>
                <w:sz w:val="24"/>
                <w:szCs w:val="24"/>
                <w:u w:val="single"/>
                <w:lang w:val="en-US" w:eastAsia="en-US" w:bidi="ar-SA"/>
              </w:rPr>
              <w:t>nhewell@bricker.com</w:t>
            </w:r>
            <w:r>
              <w:fldChar w:fldCharType="end"/>
            </w:r>
          </w:p>
          <w:p w:rsidR="00E957E4" w:rsidP="00D970D8">
            <w:pPr>
              <w:ind w:left="296"/>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"mailto:joliker@igsenergy.com" </w:instrText>
            </w:r>
            <w:r>
              <w:fldChar w:fldCharType="separate"/>
            </w:r>
            <w:r w:rsidRPr="00B44FF7" w:rsidR="00470851">
              <w:rPr>
                <w:rStyle w:val="Hyperlink"/>
                <w:rFonts w:eastAsiaTheme="minorHAnsi"/>
                <w:color w:val="0000FF"/>
                <w:sz w:val="24"/>
                <w:szCs w:val="24"/>
                <w:u w:val="single"/>
                <w:lang w:val="en-US" w:eastAsia="en-US" w:bidi="ar-SA"/>
              </w:rPr>
              <w:t>joliker@igsenergy.com</w:t>
            </w:r>
            <w:r>
              <w:fldChar w:fldCharType="end"/>
            </w:r>
          </w:p>
          <w:p w:rsidR="00E957E4" w:rsidP="00D970D8">
            <w:pPr>
              <w:ind w:left="296"/>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"mailto:mnugent@igsenergy.com" </w:instrText>
            </w:r>
            <w:r>
              <w:fldChar w:fldCharType="separate"/>
            </w:r>
            <w:r w:rsidRPr="00B44FF7" w:rsidR="00470851">
              <w:rPr>
                <w:rStyle w:val="Hyperlink"/>
                <w:rFonts w:eastAsiaTheme="minorHAnsi"/>
                <w:color w:val="0000FF"/>
                <w:sz w:val="24"/>
                <w:szCs w:val="24"/>
                <w:u w:val="single"/>
                <w:lang w:val="en-US" w:eastAsia="en-US" w:bidi="ar-SA"/>
              </w:rPr>
              <w:t>mnugent@igsenergy.com</w:t>
            </w:r>
            <w:r>
              <w:fldChar w:fldCharType="end"/>
            </w:r>
          </w:p>
          <w:p w:rsidR="00E957E4" w:rsidP="00D970D8">
            <w:pPr>
              <w:ind w:left="296"/>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"mailto:Bethany.Allen@igs.com" </w:instrText>
            </w:r>
            <w:r>
              <w:fldChar w:fldCharType="separate"/>
            </w:r>
            <w:r w:rsidRPr="00B44FF7" w:rsidR="00470851">
              <w:rPr>
                <w:rStyle w:val="Hyperlink"/>
                <w:rFonts w:eastAsiaTheme="minorHAnsi"/>
                <w:color w:val="0000FF"/>
                <w:sz w:val="24"/>
                <w:szCs w:val="24"/>
                <w:u w:val="single"/>
                <w:lang w:val="en-US" w:eastAsia="en-US" w:bidi="ar-SA"/>
              </w:rPr>
              <w:t>Bethany.Allen@igs.com</w:t>
            </w:r>
            <w:r>
              <w:fldChar w:fldCharType="end"/>
            </w:r>
          </w:p>
          <w:p w:rsidR="00E957E4" w:rsidP="00D970D8">
            <w:pPr>
              <w:autoSpaceDE w:val="0"/>
              <w:autoSpaceDN w:val="0"/>
              <w:adjustRightInd w:val="0"/>
              <w:ind w:left="296"/>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"mailto:whitt@whitt-sturtevant.com" </w:instrText>
            </w:r>
            <w:r>
              <w:fldChar w:fldCharType="separate"/>
            </w:r>
            <w:r w:rsidRPr="00B44FF7" w:rsidR="00470851">
              <w:rPr>
                <w:rStyle w:val="Hyperlink"/>
                <w:rFonts w:eastAsiaTheme="minorHAnsi"/>
                <w:color w:val="0000FF"/>
                <w:sz w:val="24"/>
                <w:szCs w:val="24"/>
                <w:u w:val="single"/>
                <w:lang w:val="en-US" w:eastAsia="en-US" w:bidi="ar-SA"/>
              </w:rPr>
              <w:t>whitt@whitt-sturtevant.com</w:t>
            </w:r>
            <w:r>
              <w:fldChar w:fldCharType="end"/>
            </w:r>
          </w:p>
          <w:p w:rsidR="00E957E4" w:rsidP="00D970D8">
            <w:pPr>
              <w:ind w:left="296"/>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"mailto:glover@whitt-sturtevant.com" </w:instrText>
            </w:r>
            <w:r>
              <w:fldChar w:fldCharType="separate"/>
            </w:r>
            <w:r w:rsidRPr="00B44FF7" w:rsidR="00470851">
              <w:rPr>
                <w:rStyle w:val="Hyperlink"/>
                <w:rFonts w:eastAsiaTheme="minorHAnsi"/>
                <w:color w:val="0000FF"/>
                <w:sz w:val="24"/>
                <w:szCs w:val="24"/>
                <w:u w:val="single"/>
                <w:lang w:val="en-US" w:eastAsia="en-US" w:bidi="ar-SA"/>
              </w:rPr>
              <w:t>glover@whitt-sturtevant.com</w:t>
            </w:r>
            <w:r>
              <w:fldChar w:fldCharType="end"/>
            </w:r>
          </w:p>
          <w:p w:rsidR="00E957E4" w:rsidP="00D970D8">
            <w:pPr>
              <w:ind w:left="296"/>
              <w:rPr>
                <w:rStyle w:val="DefaultParagraphFont"/>
                <w:rFonts w:eastAsiaTheme="minorHAnsi"/>
                <w:sz w:val="24"/>
                <w:szCs w:val="24"/>
                <w:lang w:val="en-US" w:eastAsia="en-US" w:bidi="ar-SA"/>
              </w:rPr>
            </w:pPr>
            <w:r>
              <w:fldChar w:fldCharType="begin"/>
            </w:r>
            <w:r>
              <w:rPr>
                <w:sz w:val="24"/>
                <w:lang w:val="en-US" w:eastAsia="en-US" w:bidi="ar-SA"/>
              </w:rPr>
              <w:instrText xml:space="preserve"> HYPERLINK "mailto:kennedy@hitt-sturtevant.com" </w:instrText>
            </w:r>
            <w:r>
              <w:fldChar w:fldCharType="separate"/>
            </w:r>
            <w:r w:rsidRPr="00B44FF7" w:rsidR="00470851">
              <w:rPr>
                <w:rStyle w:val="Hyperlink"/>
                <w:rFonts w:eastAsiaTheme="minorHAnsi"/>
                <w:color w:val="0000FF"/>
                <w:sz w:val="24"/>
                <w:szCs w:val="24"/>
                <w:u w:val="single"/>
                <w:lang w:val="en-US" w:eastAsia="en-US" w:bidi="ar-SA"/>
              </w:rPr>
              <w:t>kennedy@hitt-sturtevant.com</w:t>
            </w:r>
            <w:r>
              <w:fldChar w:fldCharType="end"/>
            </w:r>
          </w:p>
          <w:p w:rsidR="00E957E4" w:rsidRPr="005A62DB" w:rsidP="00D970D8">
            <w:pPr>
              <w:ind w:left="296"/>
              <w:rPr>
                <w:rStyle w:val="DefaultParagraphFont"/>
                <w:rFonts w:eastAsiaTheme="minorHAnsi"/>
                <w:sz w:val="24"/>
                <w:lang w:val="en-US" w:eastAsia="en-US" w:bidi="ar-SA"/>
              </w:rPr>
            </w:pPr>
          </w:p>
          <w:p w:rsidR="00E957E4" w:rsidRPr="005A62DB" w:rsidP="00D970D8">
            <w:pPr>
              <w:ind w:left="296"/>
              <w:rPr>
                <w:rStyle w:val="DefaultParagraphFont"/>
                <w:rFonts w:eastAsiaTheme="minorHAnsi"/>
                <w:sz w:val="24"/>
                <w:lang w:val="en-US" w:eastAsia="en-US" w:bidi="ar-SA"/>
              </w:rPr>
            </w:pPr>
          </w:p>
          <w:p w:rsidR="00E957E4" w:rsidRPr="005A62DB" w:rsidP="00D970D8">
            <w:pPr>
              <w:ind w:left="296"/>
              <w:rPr>
                <w:rStyle w:val="DefaultParagraphFont"/>
                <w:rFonts w:eastAsiaTheme="minorHAnsi"/>
                <w:sz w:val="24"/>
                <w:lang w:val="en-US" w:eastAsia="en-US" w:bidi="ar-SA"/>
              </w:rPr>
            </w:pPr>
          </w:p>
          <w:p w:rsidR="00E957E4" w:rsidRPr="005A62DB" w:rsidP="00D970D8">
            <w:pPr>
              <w:ind w:left="296"/>
              <w:rPr>
                <w:rStyle w:val="DefaultParagraphFont"/>
                <w:rFonts w:eastAsiaTheme="minorHAnsi"/>
                <w:sz w:val="24"/>
                <w:lang w:val="en-US" w:eastAsia="en-US" w:bidi="ar-SA"/>
              </w:rPr>
            </w:pPr>
          </w:p>
          <w:p w:rsidR="00E957E4" w:rsidRPr="005A62DB" w:rsidP="00D970D8">
            <w:pPr>
              <w:ind w:left="296"/>
              <w:rPr>
                <w:rStyle w:val="DefaultParagraphFont"/>
                <w:rFonts w:eastAsiaTheme="minorHAnsi"/>
                <w:sz w:val="24"/>
                <w:lang w:val="en-US" w:eastAsia="en-US" w:bidi="ar-SA"/>
              </w:rPr>
            </w:pPr>
          </w:p>
          <w:p w:rsidR="00E957E4" w:rsidRPr="005A62DB" w:rsidP="00D970D8">
            <w:pPr>
              <w:ind w:left="972"/>
              <w:rPr>
                <w:rStyle w:val="DefaultParagraphFont"/>
                <w:rFonts w:eastAsiaTheme="minorHAnsi"/>
                <w:sz w:val="24"/>
                <w:lang w:val="en-US" w:eastAsia="en-US" w:bidi="ar-SA"/>
              </w:rPr>
            </w:pPr>
          </w:p>
          <w:p w:rsidR="00E957E4" w:rsidRPr="005A62DB" w:rsidP="00D970D8">
            <w:pPr>
              <w:ind w:left="972"/>
              <w:rPr>
                <w:rStyle w:val="DefaultParagraphFont"/>
                <w:rFonts w:eastAsiaTheme="minorHAnsi"/>
                <w:sz w:val="24"/>
                <w:lang w:val="en-US" w:eastAsia="en-US" w:bidi="ar-SA"/>
              </w:rPr>
            </w:pPr>
          </w:p>
          <w:p w:rsidR="00E957E4" w:rsidRPr="005A62DB" w:rsidP="00D970D8">
            <w:pPr>
              <w:ind w:left="972"/>
              <w:rPr>
                <w:rStyle w:val="DefaultParagraphFont"/>
                <w:b/>
                <w:sz w:val="24"/>
                <w:lang w:val="en-US" w:eastAsia="en-US" w:bidi="ar-SA"/>
              </w:rPr>
            </w:pPr>
          </w:p>
        </w:tc>
      </w:tr>
    </w:tbl>
    <w:p w:rsidR="00142411" w:rsidRPr="00710E80" w:rsidP="00E957E4">
      <w:pPr>
        <w:pStyle w:val="CommentText"/>
      </w:pPr>
    </w:p>
    <w:sectPr w:rsidSect="00D50439">
      <w:headerReference w:type="even" r:id="rId11"/>
      <w:headerReference w:type="default" r:id="rId12"/>
      <w:footerReference w:type="default" r:id="rId13"/>
      <w:headerReference w:type="first" r:id="rId14"/>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64865111"/>
      <w:docPartObj>
        <w:docPartGallery w:val="Page Numbers (Bottom of Page)"/>
        <w:docPartUnique/>
      </w:docPartObj>
    </w:sdtPr>
    <w:sdtEndPr>
      <w:rPr>
        <w:noProof/>
      </w:rPr>
    </w:sdtEndPr>
    <w:sdtContent>
      <w:p w:rsidR="00FB576F">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C946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7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5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72942">
      <w:r>
        <w:separator/>
      </w:r>
    </w:p>
  </w:footnote>
  <w:footnote w:type="continuationSeparator" w:id="1">
    <w:p w:rsidR="00472942">
      <w:r>
        <w:continuationSeparator/>
      </w:r>
    </w:p>
  </w:footnote>
  <w:footnote w:id="2">
    <w:p w:rsidR="00403929" w:rsidRPr="00E957E4" w:rsidP="00403929">
      <w:pPr>
        <w:pStyle w:val="FootnoteText"/>
      </w:pPr>
      <w:r w:rsidRPr="00E957E4">
        <w:rPr>
          <w:rStyle w:val="FootnoteReference"/>
        </w:rPr>
        <w:footnoteRef/>
      </w:r>
      <w:r w:rsidRPr="00E957E4">
        <w:t xml:space="preserve"> Supplemental Stipulation and Recommendation (January 25, 2019) (FirstEnergy Ex. 3) (“Supplemental Settlement”).  “FirstEnergy” refers to Ohio Edison Company, The Cleveland Electric Illuminating Company, and The Toledo Edison Company.</w:t>
      </w:r>
    </w:p>
  </w:footnote>
  <w:footnote w:id="3">
    <w:p w:rsidR="00CC7C2D" w:rsidRPr="00E957E4" w:rsidP="00CC7C2D">
      <w:pPr>
        <w:pStyle w:val="FootnoteText"/>
      </w:pPr>
      <w:r w:rsidRPr="00E957E4">
        <w:rPr>
          <w:rStyle w:val="FootnoteReference"/>
        </w:rPr>
        <w:footnoteRef/>
      </w:r>
      <w:r w:rsidRPr="00E957E4">
        <w:t xml:space="preserve"> Stipulation and Recommendation (November 9, 2018) (FirstEnergy Ex. 1) (“Original Stipulation”).</w:t>
      </w:r>
    </w:p>
  </w:footnote>
  <w:footnote w:id="4">
    <w:p w:rsidR="00CC7C2D" w:rsidRPr="00E957E4" w:rsidP="00185821">
      <w:pPr>
        <w:autoSpaceDE w:val="0"/>
        <w:autoSpaceDN w:val="0"/>
        <w:adjustRightInd w:val="0"/>
        <w:spacing w:after="120"/>
        <w:rPr>
          <w:sz w:val="20"/>
        </w:rPr>
      </w:pPr>
      <w:r w:rsidRPr="00E957E4">
        <w:rPr>
          <w:rStyle w:val="FootnoteReference"/>
          <w:sz w:val="20"/>
        </w:rPr>
        <w:footnoteRef/>
      </w:r>
      <w:r w:rsidRPr="00E957E4">
        <w:rPr>
          <w:sz w:val="20"/>
        </w:rPr>
        <w:t xml:space="preserve"> OCC, NOPEC, and others agreed to all terms and conditions of the Original Stipulation except the terms and conditions of Sections V.B through V.I. related to grid modernization. In the interests of reaching a global settlement on a variety of issues, including providing the benefits of the Tax Cuts and Jobs Act of 2017 to customers, OCC, NOPEC, and others agreed not to oppose Sections V.B through V.I. of the Original Stipulation (but did not agree to support those Sections).  </w:t>
      </w:r>
      <w:r w:rsidRPr="00E957E4">
        <w:rPr>
          <w:i/>
          <w:sz w:val="20"/>
        </w:rPr>
        <w:t>See</w:t>
      </w:r>
      <w:r w:rsidRPr="00E957E4">
        <w:rPr>
          <w:sz w:val="20"/>
        </w:rPr>
        <w:t xml:space="preserve"> FirstEnergy Ex. 3 at 10.  </w:t>
      </w:r>
    </w:p>
  </w:footnote>
  <w:footnote w:id="5">
    <w:p w:rsidR="00185821" w:rsidRPr="00E957E4">
      <w:pPr>
        <w:pStyle w:val="FootnoteText"/>
      </w:pPr>
      <w:r w:rsidRPr="00E957E4">
        <w:rPr>
          <w:rStyle w:val="FootnoteReference"/>
        </w:rPr>
        <w:footnoteRef/>
      </w:r>
      <w:r w:rsidRPr="00E957E4">
        <w:t xml:space="preserve"> </w:t>
      </w:r>
      <w:r w:rsidRPr="00E957E4">
        <w:rPr>
          <w:i/>
        </w:rPr>
        <w:t>See</w:t>
      </w:r>
      <w:r w:rsidRPr="00E957E4">
        <w:t xml:space="preserve"> FirstEnergy Ex. 1 at 27.</w:t>
      </w:r>
    </w:p>
  </w:footnote>
  <w:footnote w:id="6">
    <w:p w:rsidR="00AB0E97" w:rsidRPr="00E957E4" w:rsidP="00AB0E97">
      <w:pPr>
        <w:pStyle w:val="FootnoteText"/>
      </w:pPr>
      <w:r w:rsidRPr="00E957E4">
        <w:rPr>
          <w:rStyle w:val="FootnoteReference"/>
        </w:rPr>
        <w:footnoteRef/>
      </w:r>
      <w:r w:rsidRPr="00E957E4">
        <w:t xml:space="preserve"> </w:t>
      </w:r>
      <w:r w:rsidRPr="00E957E4">
        <w:rPr>
          <w:i/>
        </w:rPr>
        <w:t>Duff v. Pub. Util. Comm</w:t>
      </w:r>
      <w:r w:rsidRPr="00E957E4">
        <w:t>. (1978), 56 Ohio St.2d 367, 379.</w:t>
      </w:r>
    </w:p>
  </w:footnote>
  <w:footnote w:id="7">
    <w:p w:rsidR="00AB0E97" w:rsidRPr="00E957E4" w:rsidP="00AB0E97">
      <w:pPr>
        <w:pStyle w:val="FootnoteText"/>
      </w:pPr>
      <w:r w:rsidRPr="00E957E4">
        <w:rPr>
          <w:rStyle w:val="FootnoteReference"/>
        </w:rPr>
        <w:footnoteRef/>
      </w:r>
      <w:r w:rsidRPr="00E957E4">
        <w:t xml:space="preserve"> </w:t>
      </w:r>
      <w:r w:rsidRPr="00E957E4">
        <w:rPr>
          <w:i/>
        </w:rPr>
        <w:t>See</w:t>
      </w:r>
      <w:r w:rsidRPr="00E957E4">
        <w:t xml:space="preserve"> </w:t>
      </w:r>
      <w:r w:rsidRPr="00E957E4">
        <w:rPr>
          <w:i/>
        </w:rPr>
        <w:t>Consumers’ Counsel v. Pub. Util. Comm’n</w:t>
      </w:r>
      <w:r w:rsidRPr="00E957E4">
        <w:t>. (1992), 64 Ohio St.3d 123, 126.</w:t>
      </w:r>
    </w:p>
  </w:footnote>
  <w:footnote w:id="8">
    <w:p w:rsidR="00701487" w:rsidRPr="00E957E4">
      <w:pPr>
        <w:pStyle w:val="FootnoteText"/>
      </w:pPr>
      <w:r w:rsidRPr="00E957E4">
        <w:rPr>
          <w:rStyle w:val="FootnoteReference"/>
        </w:rPr>
        <w:footnoteRef/>
      </w:r>
      <w:r w:rsidRPr="00E957E4">
        <w:t xml:space="preserve"> </w:t>
      </w:r>
      <w:r w:rsidRPr="00E957E4">
        <w:rPr>
          <w:i/>
        </w:rPr>
        <w:t>See</w:t>
      </w:r>
      <w:r w:rsidRPr="00E957E4">
        <w:t xml:space="preserve"> OCC Ex. 1 (Direct Testimony of Wm Ross Willis) at 5.</w:t>
      </w:r>
    </w:p>
  </w:footnote>
  <w:footnote w:id="9">
    <w:p w:rsidR="007B25FE" w:rsidRPr="00E957E4">
      <w:pPr>
        <w:pStyle w:val="FootnoteText"/>
        <w:rPr>
          <w:i/>
        </w:rPr>
      </w:pPr>
      <w:r w:rsidRPr="00E957E4">
        <w:rPr>
          <w:rStyle w:val="FootnoteReference"/>
        </w:rPr>
        <w:footnoteRef/>
      </w:r>
      <w:r w:rsidRPr="00E957E4">
        <w:t xml:space="preserve"> </w:t>
      </w:r>
      <w:r w:rsidRPr="00E957E4">
        <w:rPr>
          <w:i/>
        </w:rPr>
        <w:t>Id.</w:t>
      </w:r>
    </w:p>
  </w:footnote>
  <w:footnote w:id="10">
    <w:p w:rsidR="00B857D0" w:rsidRPr="00E957E4" w:rsidP="00B857D0">
      <w:pPr>
        <w:spacing w:after="120"/>
        <w:rPr>
          <w:sz w:val="20"/>
        </w:rPr>
      </w:pPr>
      <w:r w:rsidRPr="00E957E4">
        <w:rPr>
          <w:rStyle w:val="FootnoteReference"/>
          <w:sz w:val="20"/>
        </w:rPr>
        <w:footnoteRef/>
      </w:r>
      <w:r w:rsidRPr="00E957E4">
        <w:rPr>
          <w:sz w:val="20"/>
        </w:rPr>
        <w:t xml:space="preserve"> OCC is not agreeing to FirstEnergy’s proposal to spend $516 million in grid upgrades.  However, OCC will not oppose charges for the initial grid upgrades in exchange for obtaining improved terms for a future audit of the grid charges and more consumer benefits from the federal tax reduction (and other consumer benefits). </w:t>
      </w:r>
      <w:r w:rsidRPr="00E957E4">
        <w:rPr>
          <w:i/>
          <w:sz w:val="20"/>
        </w:rPr>
        <w:t>See</w:t>
      </w:r>
      <w:r w:rsidRPr="00E957E4">
        <w:rPr>
          <w:sz w:val="20"/>
        </w:rPr>
        <w:t xml:space="preserve"> FirstEnergy Ex. 3 at 5-6.  </w:t>
      </w:r>
    </w:p>
  </w:footnote>
  <w:footnote w:id="11">
    <w:p w:rsidR="00C24EAC" w:rsidRPr="00E957E4" w:rsidP="00C24EAC">
      <w:pPr>
        <w:pStyle w:val="FootnoteText"/>
      </w:pPr>
      <w:r w:rsidRPr="00E957E4">
        <w:rPr>
          <w:rStyle w:val="FootnoteReference"/>
        </w:rPr>
        <w:footnoteRef/>
      </w:r>
      <w:r w:rsidRPr="00E957E4">
        <w:t xml:space="preserve"> </w:t>
      </w:r>
      <w:r w:rsidRPr="00E957E4">
        <w:rPr>
          <w:i/>
        </w:rPr>
        <w:t xml:space="preserve">See </w:t>
      </w:r>
      <w:r w:rsidRPr="00E957E4">
        <w:t>OCC Ex. 1 (Willis Testimony) at 6.</w:t>
      </w:r>
    </w:p>
  </w:footnote>
  <w:footnote w:id="12">
    <w:p w:rsidR="00C24EAC" w:rsidRPr="00E957E4" w:rsidP="00C24EAC">
      <w:pPr>
        <w:pStyle w:val="FootnoteText"/>
      </w:pPr>
      <w:r w:rsidRPr="00E957E4">
        <w:rPr>
          <w:rStyle w:val="FootnoteReference"/>
        </w:rPr>
        <w:footnoteRef/>
      </w:r>
      <w:r w:rsidRPr="00E957E4">
        <w:t xml:space="preserve"> </w:t>
      </w:r>
      <w:r w:rsidRPr="00E957E4">
        <w:rPr>
          <w:i/>
        </w:rPr>
        <w:t>Id</w:t>
      </w:r>
      <w:r w:rsidRPr="00E957E4">
        <w:t>.</w:t>
      </w:r>
    </w:p>
  </w:footnote>
  <w:footnote w:id="13">
    <w:p w:rsidR="00C24EAC" w:rsidRPr="00E957E4" w:rsidP="00C24EAC">
      <w:pPr>
        <w:pStyle w:val="FootnoteText"/>
      </w:pPr>
      <w:r w:rsidRPr="00E957E4">
        <w:rPr>
          <w:rStyle w:val="FootnoteReference"/>
        </w:rPr>
        <w:footnoteRef/>
      </w:r>
      <w:r w:rsidRPr="00E957E4">
        <w:t xml:space="preserve"> </w:t>
      </w:r>
      <w:r w:rsidRPr="00E957E4">
        <w:rPr>
          <w:i/>
        </w:rPr>
        <w:t>Id</w:t>
      </w:r>
      <w:r w:rsidRPr="00E957E4">
        <w:t xml:space="preserve"> at 6-7.</w:t>
      </w:r>
    </w:p>
  </w:footnote>
  <w:footnote w:id="14">
    <w:p w:rsidR="00C24EAC" w:rsidRPr="00E957E4" w:rsidP="00C24EAC">
      <w:pPr>
        <w:pStyle w:val="FootnoteText"/>
      </w:pPr>
      <w:r w:rsidRPr="00E957E4">
        <w:rPr>
          <w:rStyle w:val="FootnoteReference"/>
        </w:rPr>
        <w:footnoteRef/>
      </w:r>
      <w:r w:rsidRPr="00E957E4">
        <w:t xml:space="preserve"> </w:t>
      </w:r>
      <w:r w:rsidRPr="00E957E4">
        <w:rPr>
          <w:i/>
        </w:rPr>
        <w:t>Id</w:t>
      </w:r>
      <w:r w:rsidRPr="00E957E4">
        <w:t xml:space="preserve"> at 7.</w:t>
      </w:r>
    </w:p>
  </w:footnote>
  <w:footnote w:id="15">
    <w:p w:rsidR="00C24EAC" w:rsidRPr="00E957E4" w:rsidP="00C24EAC">
      <w:pPr>
        <w:pStyle w:val="FootnoteText"/>
      </w:pPr>
      <w:r w:rsidRPr="00E957E4">
        <w:rPr>
          <w:rStyle w:val="FootnoteReference"/>
        </w:rPr>
        <w:footnoteRef/>
      </w:r>
      <w:r w:rsidRPr="00E957E4">
        <w:t xml:space="preserve"> </w:t>
      </w:r>
      <w:r w:rsidRPr="00E957E4">
        <w:rPr>
          <w:i/>
        </w:rPr>
        <w:t>Id</w:t>
      </w:r>
      <w:r w:rsidRPr="00E957E4">
        <w:t>.</w:t>
      </w:r>
    </w:p>
  </w:footnote>
  <w:footnote w:id="16">
    <w:p w:rsidR="007B25FE" w:rsidRPr="00E957E4">
      <w:pPr>
        <w:pStyle w:val="FootnoteText"/>
      </w:pPr>
      <w:r w:rsidRPr="00E957E4">
        <w:rPr>
          <w:rStyle w:val="FootnoteReference"/>
        </w:rPr>
        <w:footnoteRef/>
      </w:r>
      <w:r w:rsidRPr="00E957E4">
        <w:t xml:space="preserve"> </w:t>
      </w:r>
      <w:r w:rsidRPr="00E957E4">
        <w:rPr>
          <w:i/>
        </w:rPr>
        <w:t>See id.</w:t>
      </w:r>
      <w:r w:rsidRPr="00E957E4">
        <w:t xml:space="preserve"> at 8.</w:t>
      </w:r>
    </w:p>
  </w:footnote>
  <w:footnote w:id="17">
    <w:p w:rsidR="007B25FE" w:rsidRPr="00E957E4">
      <w:pPr>
        <w:pStyle w:val="FootnoteText"/>
        <w:rPr>
          <w:i/>
        </w:rPr>
      </w:pPr>
      <w:r w:rsidRPr="00E957E4">
        <w:rPr>
          <w:rStyle w:val="FootnoteReference"/>
        </w:rPr>
        <w:footnoteRef/>
      </w:r>
      <w:r w:rsidRPr="00E957E4">
        <w:t xml:space="preserve"> </w:t>
      </w:r>
      <w:r w:rsidRPr="00E957E4">
        <w:rPr>
          <w:i/>
        </w:rPr>
        <w:t>Id.</w:t>
      </w:r>
    </w:p>
  </w:footnote>
  <w:footnote w:id="18">
    <w:p w:rsidR="007B25FE" w:rsidRPr="00E957E4">
      <w:pPr>
        <w:pStyle w:val="FootnoteText"/>
        <w:rPr>
          <w:i/>
        </w:rPr>
      </w:pPr>
      <w:r w:rsidRPr="00E957E4">
        <w:rPr>
          <w:rStyle w:val="FootnoteReference"/>
        </w:rPr>
        <w:footnoteRef/>
      </w:r>
      <w:r w:rsidRPr="00E957E4">
        <w:t xml:space="preserve"> </w:t>
      </w:r>
      <w:r w:rsidRPr="00E957E4">
        <w:rPr>
          <w:i/>
        </w:rPr>
        <w:t>See id.</w:t>
      </w:r>
    </w:p>
  </w:footnote>
  <w:footnote w:id="19">
    <w:p w:rsidR="00C24EAC" w:rsidRPr="00E957E4" w:rsidP="00C24EAC">
      <w:pPr>
        <w:pStyle w:val="FootnoteText"/>
      </w:pPr>
      <w:r w:rsidRPr="00E957E4">
        <w:rPr>
          <w:rStyle w:val="FootnoteReference"/>
        </w:rPr>
        <w:footnoteRef/>
      </w:r>
      <w:r w:rsidRPr="00E957E4">
        <w:t xml:space="preserve"> FirstEnergy Ex. 1 at 29 (emphasis added).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7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7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27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27D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2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60527B"/>
    <w:multiLevelType w:val="hybridMultilevel"/>
    <w:tmpl w:val="237A865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553F2672"/>
    <w:multiLevelType w:val="hybridMultilevel"/>
    <w:tmpl w:val="243C64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6B1F4A93"/>
    <w:multiLevelType w:val="hybridMultilevel"/>
    <w:tmpl w:val="5FD61D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976"/>
    <w:rPr>
      <w:sz w:val="24"/>
    </w:rPr>
  </w:style>
  <w:style w:type="paragraph" w:styleId="Heading1">
    <w:name w:val="heading 1"/>
    <w:basedOn w:val="Normal"/>
    <w:next w:val="Normal"/>
    <w:qFormat/>
    <w:rsid w:val="007C2976"/>
    <w:pPr>
      <w:keepNext/>
      <w:outlineLvl w:val="0"/>
    </w:pPr>
    <w:rPr>
      <w:b/>
      <w:szCs w:val="24"/>
      <w:u w:val="single"/>
    </w:rPr>
  </w:style>
  <w:style w:type="paragraph" w:styleId="Heading2">
    <w:name w:val="heading 2"/>
    <w:basedOn w:val="Normal"/>
    <w:next w:val="Normal"/>
    <w:qFormat/>
    <w:rsid w:val="007C2976"/>
    <w:pPr>
      <w:keepNext/>
      <w:tabs>
        <w:tab w:val="left" w:pos="43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rsid w:val="007C2976"/>
    <w:rPr>
      <w:color w:val="0000FF"/>
      <w:u w:val="single"/>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rsid w:val="00CC7C2D"/>
    <w:pPr>
      <w:spacing w:after="120"/>
    </w:pPr>
    <w:rPr>
      <w:sz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rsid w:val="007C2976"/>
    <w:rPr>
      <w:vertAlign w:val="superscript"/>
    </w:rPr>
  </w:style>
  <w:style w:type="paragraph" w:styleId="BodyTextIndent">
    <w:name w:val="Body Text Indent"/>
    <w:basedOn w:val="Normal"/>
    <w:rsid w:val="007C2976"/>
    <w:pPr>
      <w:spacing w:line="480" w:lineRule="auto"/>
      <w:ind w:firstLine="720"/>
    </w:pPr>
  </w:style>
  <w:style w:type="paragraph" w:styleId="BodyTextIndent3">
    <w:name w:val="Body Text Indent 3"/>
    <w:basedOn w:val="Normal"/>
    <w:link w:val="BodyTextIndent3Char"/>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link w:val="FootnoteText"/>
    <w:locked/>
    <w:rsid w:val="00CC7C2D"/>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 w:type="character" w:customStyle="1" w:styleId="UnresolvedMention1">
    <w:name w:val="Unresolved Mention1"/>
    <w:basedOn w:val="DefaultParagraphFont"/>
    <w:uiPriority w:val="99"/>
    <w:semiHidden/>
    <w:unhideWhenUsed/>
    <w:rsid w:val="00C53E2B"/>
    <w:rPr>
      <w:color w:val="605E5C"/>
      <w:shd w:val="clear" w:color="auto" w:fill="E1DFDD"/>
    </w:rPr>
  </w:style>
  <w:style w:type="character" w:customStyle="1" w:styleId="UnresolvedMention2">
    <w:name w:val="Unresolved Mention2"/>
    <w:basedOn w:val="DefaultParagraphFont"/>
    <w:rsid w:val="00797B71"/>
    <w:rPr>
      <w:color w:val="808080"/>
      <w:shd w:val="clear" w:color="auto" w:fill="E6E6E6"/>
    </w:rPr>
  </w:style>
  <w:style w:type="paragraph" w:styleId="ListParagraph">
    <w:name w:val="List Paragraph"/>
    <w:basedOn w:val="Normal"/>
    <w:uiPriority w:val="34"/>
    <w:qFormat/>
    <w:rsid w:val="00A61C33"/>
    <w:pPr>
      <w:ind w:left="720"/>
      <w:contextualSpacing/>
    </w:pPr>
  </w:style>
  <w:style w:type="character" w:customStyle="1" w:styleId="BodyTextIndent3Char">
    <w:name w:val="Body Text Indent 3 Char"/>
    <w:link w:val="BodyTextIndent3"/>
    <w:rsid w:val="00AB0E97"/>
    <w:rPr>
      <w:sz w:val="24"/>
    </w:rPr>
  </w:style>
  <w:style w:type="character" w:customStyle="1" w:styleId="term">
    <w:name w:val="term"/>
    <w:rsid w:val="00AB0E97"/>
  </w:style>
  <w:style w:type="character" w:customStyle="1" w:styleId="UnresolvedMention3">
    <w:name w:val="Unresolved Mention3"/>
    <w:basedOn w:val="DefaultParagraphFont"/>
    <w:uiPriority w:val="99"/>
    <w:semiHidden/>
    <w:unhideWhenUsed/>
    <w:rsid w:val="00E95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2076</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Brief (16-481) w-mrw.dfs ls v2 w-te response v3.docx</vt:lpstr>
    </vt:vector>
  </TitlesOfParts>
  <Company/>
  <LinksUpToDate>false</LinksUpToDate>
  <CharactersWithSpaces>13884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2019-03-01T20:48:49Z</dcterms:created>
  <dcterms:modified xsi:type="dcterms:W3CDTF">2019-03-01T20:48:49Z</dcterms:modified>
</cp:coreProperties>
</file>