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FE" w:rsidRDefault="006352BD">
      <w:pPr>
        <w:pStyle w:val="Title"/>
        <w:rPr>
          <w:sz w:val="28"/>
        </w:rPr>
      </w:pPr>
      <w:bookmarkStart w:id="0" w:name="OLE_LINK1"/>
      <w:bookmarkStart w:id="1" w:name="OLE_LINK2"/>
      <w:r>
        <w:rPr>
          <w:sz w:val="28"/>
        </w:rPr>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0E2EFE" w:rsidRDefault="000E2EFE">
      <w:pPr>
        <w:autoSpaceDE w:val="0"/>
        <w:autoSpaceDN w:val="0"/>
        <w:adjustRightInd w:val="0"/>
        <w:rPr>
          <w:rFonts w:ascii="Arial" w:eastAsiaTheme="minorHAnsi" w:hAnsi="Arial" w:cs="Arial"/>
        </w:rPr>
      </w:pPr>
    </w:p>
    <w:p w:rsidR="00D00701" w:rsidRDefault="00D00701">
      <w:pPr>
        <w:autoSpaceDE w:val="0"/>
        <w:autoSpaceDN w:val="0"/>
        <w:adjustRightInd w:val="0"/>
        <w:rPr>
          <w:rFonts w:ascii="Arial" w:eastAsiaTheme="minorHAns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B6CF7" w:rsidTr="00A27B4A">
        <w:tc>
          <w:tcPr>
            <w:tcW w:w="4968" w:type="dxa"/>
          </w:tcPr>
          <w:p w:rsidR="009B6CF7" w:rsidRDefault="009B6CF7" w:rsidP="009B6CF7">
            <w:pPr>
              <w:pStyle w:val="BodyText"/>
              <w:tabs>
                <w:tab w:val="left" w:pos="5040"/>
              </w:tabs>
              <w:jc w:val="left"/>
            </w:pPr>
            <w:r>
              <w:t>Ohio Schools Council, Ohio School Boards Association, Ohio Association of School Business Officials, and Buckeye Association of School Administrators, dba Power4Schools,</w:t>
            </w:r>
          </w:p>
          <w:p w:rsidR="009B6CF7" w:rsidRDefault="009B6CF7" w:rsidP="009B6CF7">
            <w:pPr>
              <w:pStyle w:val="BodyText"/>
              <w:tabs>
                <w:tab w:val="left" w:pos="5040"/>
              </w:tabs>
              <w:ind w:left="720"/>
              <w:jc w:val="left"/>
            </w:pPr>
          </w:p>
          <w:p w:rsidR="009B6CF7" w:rsidRDefault="009B6CF7" w:rsidP="009B6CF7">
            <w:pPr>
              <w:pStyle w:val="BodyText"/>
              <w:tabs>
                <w:tab w:val="left" w:pos="5040"/>
              </w:tabs>
              <w:ind w:left="720"/>
              <w:jc w:val="left"/>
            </w:pPr>
            <w:r>
              <w:t>Complainants,</w:t>
            </w:r>
          </w:p>
          <w:p w:rsidR="009B6CF7" w:rsidRDefault="009B6CF7" w:rsidP="009B6CF7">
            <w:pPr>
              <w:pStyle w:val="BodyText"/>
              <w:tabs>
                <w:tab w:val="left" w:pos="5040"/>
              </w:tabs>
              <w:ind w:left="720"/>
              <w:jc w:val="left"/>
            </w:pPr>
          </w:p>
          <w:p w:rsidR="009B6CF7" w:rsidRDefault="009B6CF7" w:rsidP="009B6CF7">
            <w:pPr>
              <w:pStyle w:val="BodyText"/>
              <w:tabs>
                <w:tab w:val="left" w:pos="5040"/>
              </w:tabs>
              <w:ind w:left="720"/>
              <w:jc w:val="left"/>
            </w:pPr>
            <w:r>
              <w:t>v.</w:t>
            </w:r>
          </w:p>
          <w:p w:rsidR="009B6CF7" w:rsidRDefault="009B6CF7" w:rsidP="009B6CF7">
            <w:pPr>
              <w:pStyle w:val="BodyText"/>
              <w:tabs>
                <w:tab w:val="left" w:pos="5040"/>
              </w:tabs>
              <w:ind w:left="720"/>
              <w:jc w:val="left"/>
            </w:pPr>
          </w:p>
          <w:p w:rsidR="009B6CF7" w:rsidRDefault="009B6CF7" w:rsidP="009B6CF7">
            <w:pPr>
              <w:pStyle w:val="BodyText"/>
              <w:tabs>
                <w:tab w:val="left" w:pos="5040"/>
              </w:tabs>
              <w:jc w:val="left"/>
            </w:pPr>
            <w:r>
              <w:t>FirstEnergy Solutions Corp.,</w:t>
            </w:r>
          </w:p>
          <w:p w:rsidR="009B6CF7" w:rsidRDefault="009B6CF7" w:rsidP="009B6CF7">
            <w:pPr>
              <w:pStyle w:val="BodyText"/>
              <w:tabs>
                <w:tab w:val="left" w:pos="5040"/>
              </w:tabs>
              <w:jc w:val="left"/>
            </w:pPr>
          </w:p>
          <w:p w:rsidR="009B6CF7" w:rsidRDefault="009B6CF7" w:rsidP="009B6CF7">
            <w:pPr>
              <w:pStyle w:val="BodyText"/>
              <w:tabs>
                <w:tab w:val="left" w:pos="5040"/>
              </w:tabs>
              <w:ind w:left="720"/>
              <w:jc w:val="left"/>
            </w:pPr>
            <w:r>
              <w:t>Respondent.</w:t>
            </w:r>
          </w:p>
          <w:p w:rsidR="009B6CF7" w:rsidRDefault="009B6CF7" w:rsidP="009B6CF7">
            <w:pPr>
              <w:pStyle w:val="BodyText"/>
              <w:tabs>
                <w:tab w:val="left" w:pos="5040"/>
              </w:tabs>
              <w:jc w:val="left"/>
            </w:pPr>
          </w:p>
        </w:tc>
        <w:tc>
          <w:tcPr>
            <w:tcW w:w="450" w:type="dxa"/>
          </w:tcPr>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Pr="009B6CF7" w:rsidRDefault="009B6CF7" w:rsidP="009B6CF7">
            <w:pPr>
              <w:jc w:val="center"/>
            </w:pPr>
            <w:r>
              <w:rPr>
                <w:rFonts w:ascii="Arial" w:hAnsi="Arial" w:cs="Arial"/>
              </w:rPr>
              <w:t>)</w:t>
            </w:r>
          </w:p>
        </w:tc>
        <w:tc>
          <w:tcPr>
            <w:tcW w:w="4158" w:type="dxa"/>
          </w:tcPr>
          <w:p w:rsidR="009B6CF7" w:rsidRDefault="009B6CF7">
            <w:pPr>
              <w:pStyle w:val="BodyText"/>
              <w:tabs>
                <w:tab w:val="left" w:pos="5040"/>
              </w:tabs>
            </w:pPr>
          </w:p>
          <w:p w:rsidR="009B6CF7" w:rsidRPr="009B6CF7" w:rsidRDefault="009B6CF7" w:rsidP="009B6CF7"/>
          <w:p w:rsidR="009B6CF7" w:rsidRDefault="009B6CF7" w:rsidP="009B6CF7"/>
          <w:p w:rsidR="009B6CF7" w:rsidRDefault="009B6CF7" w:rsidP="009B6CF7"/>
          <w:p w:rsidR="009B6CF7" w:rsidRDefault="009B6CF7" w:rsidP="009B6CF7"/>
          <w:p w:rsidR="009B6CF7" w:rsidRDefault="009B6CF7" w:rsidP="009B6CF7"/>
          <w:p w:rsidR="009B6CF7" w:rsidRPr="009B6CF7" w:rsidRDefault="009B6CF7" w:rsidP="009B6CF7">
            <w:pPr>
              <w:ind w:left="342"/>
              <w:rPr>
                <w:rFonts w:ascii="Arial" w:hAnsi="Arial" w:cs="Arial"/>
              </w:rPr>
            </w:pPr>
            <w:r w:rsidRPr="009B6CF7">
              <w:rPr>
                <w:rFonts w:ascii="Arial" w:hAnsi="Arial" w:cs="Arial"/>
              </w:rPr>
              <w:t>Case No. 14-1182-EL-CSS</w:t>
            </w:r>
          </w:p>
          <w:p w:rsidR="009B6CF7" w:rsidRPr="009B6CF7" w:rsidRDefault="009B6CF7" w:rsidP="009B6CF7"/>
          <w:p w:rsidR="009B6CF7" w:rsidRDefault="009B6CF7" w:rsidP="009B6CF7"/>
          <w:p w:rsidR="009B6CF7" w:rsidRPr="009B6CF7" w:rsidRDefault="009B6CF7" w:rsidP="009B6CF7"/>
        </w:tc>
      </w:tr>
    </w:tbl>
    <w:p w:rsidR="00D00701" w:rsidRPr="009B6CF7" w:rsidRDefault="00D00701">
      <w:pPr>
        <w:pStyle w:val="BodyText"/>
        <w:tabs>
          <w:tab w:val="left" w:pos="5040"/>
        </w:tabs>
      </w:pPr>
    </w:p>
    <w:p w:rsidR="000E2EFE" w:rsidRPr="009B6CF7" w:rsidRDefault="000E2EFE">
      <w:pPr>
        <w:pStyle w:val="BodyText"/>
        <w:tabs>
          <w:tab w:val="left" w:pos="5040"/>
        </w:tabs>
      </w:pPr>
    </w:p>
    <w:p w:rsidR="000E2EFE" w:rsidRPr="00FF0FC9" w:rsidRDefault="000E2EFE">
      <w:pPr>
        <w:pStyle w:val="Heading1"/>
        <w:pBdr>
          <w:top w:val="single" w:sz="12" w:space="1" w:color="auto"/>
        </w:pBdr>
        <w:tabs>
          <w:tab w:val="left" w:pos="7320"/>
        </w:tabs>
        <w:ind w:left="0" w:right="0"/>
        <w:jc w:val="center"/>
        <w:rPr>
          <w:rFonts w:ascii="Arial Bold" w:hAnsi="Arial Bold"/>
          <w:smallCaps/>
          <w:sz w:val="24"/>
        </w:rPr>
      </w:pPr>
    </w:p>
    <w:p w:rsidR="000E2EFE" w:rsidRDefault="006352BD">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rsidR="00A05668" w:rsidRDefault="006352BD">
      <w:pPr>
        <w:pStyle w:val="Heading1"/>
        <w:tabs>
          <w:tab w:val="left" w:pos="7320"/>
        </w:tabs>
        <w:ind w:left="0" w:right="0"/>
        <w:jc w:val="center"/>
        <w:rPr>
          <w:rFonts w:ascii="Arial Bold" w:hAnsi="Arial Bold"/>
          <w:smallCaps/>
        </w:rPr>
      </w:pPr>
      <w:r>
        <w:rPr>
          <w:rFonts w:ascii="Arial Bold" w:hAnsi="Arial Bold"/>
          <w:smallCaps/>
        </w:rPr>
        <w:t xml:space="preserve">of </w:t>
      </w:r>
      <w:r w:rsidR="00F57462">
        <w:rPr>
          <w:rFonts w:ascii="Arial Bold" w:hAnsi="Arial Bold"/>
          <w:smallCaps/>
        </w:rPr>
        <w:t>Navco Enterpri</w:t>
      </w:r>
      <w:r w:rsidR="00717873">
        <w:rPr>
          <w:rFonts w:ascii="Arial Bold" w:hAnsi="Arial Bold"/>
          <w:smallCaps/>
        </w:rPr>
        <w:t>s</w:t>
      </w:r>
      <w:r w:rsidR="00F57462">
        <w:rPr>
          <w:rFonts w:ascii="Arial Bold" w:hAnsi="Arial Bold"/>
          <w:smallCaps/>
        </w:rPr>
        <w:t>es.Com, Inc., Navco Enterprises of P</w:t>
      </w:r>
      <w:r w:rsidR="00717873">
        <w:rPr>
          <w:rFonts w:ascii="Arial Bold" w:hAnsi="Arial Bold"/>
          <w:smallCaps/>
        </w:rPr>
        <w:t>.</w:t>
      </w:r>
      <w:r w:rsidR="00F57462">
        <w:rPr>
          <w:rFonts w:ascii="Arial Bold" w:hAnsi="Arial Bold"/>
          <w:smallCaps/>
        </w:rPr>
        <w:t>V</w:t>
      </w:r>
      <w:r w:rsidR="00717873">
        <w:rPr>
          <w:rFonts w:ascii="Arial Bold" w:hAnsi="Arial Bold"/>
          <w:smallCaps/>
        </w:rPr>
        <w:t>.</w:t>
      </w:r>
      <w:r w:rsidR="00F57462">
        <w:rPr>
          <w:rFonts w:ascii="Arial Bold" w:hAnsi="Arial Bold"/>
          <w:smallCaps/>
        </w:rPr>
        <w:t xml:space="preserve">, Inc., Navco Enterprises, Inc., Foodlife </w:t>
      </w:r>
      <w:r w:rsidR="00717873">
        <w:rPr>
          <w:rFonts w:ascii="Arial Bold" w:hAnsi="Arial Bold"/>
          <w:smallCaps/>
        </w:rPr>
        <w:t>International</w:t>
      </w:r>
      <w:r w:rsidR="00F57462">
        <w:rPr>
          <w:rFonts w:ascii="Arial Bold" w:hAnsi="Arial Bold"/>
          <w:smallCaps/>
        </w:rPr>
        <w:t xml:space="preserve">, Inc., </w:t>
      </w:r>
    </w:p>
    <w:p w:rsidR="000E2EFE" w:rsidRDefault="00F57462">
      <w:pPr>
        <w:pStyle w:val="Heading1"/>
        <w:tabs>
          <w:tab w:val="left" w:pos="7320"/>
        </w:tabs>
        <w:ind w:left="0" w:right="0"/>
        <w:jc w:val="center"/>
        <w:rPr>
          <w:rFonts w:ascii="Arial Bold" w:hAnsi="Arial Bold"/>
          <w:smallCaps/>
          <w:szCs w:val="28"/>
        </w:rPr>
      </w:pPr>
      <w:r>
        <w:rPr>
          <w:rFonts w:ascii="Arial Bold" w:hAnsi="Arial Bold"/>
          <w:smallCaps/>
        </w:rPr>
        <w:t>Navco Enterprises of O</w:t>
      </w:r>
      <w:r w:rsidR="00717873">
        <w:rPr>
          <w:rFonts w:ascii="Arial Bold" w:hAnsi="Arial Bold"/>
          <w:smallCaps/>
        </w:rPr>
        <w:t>.</w:t>
      </w:r>
      <w:r>
        <w:rPr>
          <w:rFonts w:ascii="Arial Bold" w:hAnsi="Arial Bold"/>
          <w:smallCaps/>
        </w:rPr>
        <w:t>V</w:t>
      </w:r>
      <w:r w:rsidR="00717873">
        <w:rPr>
          <w:rFonts w:ascii="Arial Bold" w:hAnsi="Arial Bold"/>
          <w:smallCaps/>
        </w:rPr>
        <w:t>.</w:t>
      </w:r>
      <w:r>
        <w:rPr>
          <w:rFonts w:ascii="Arial Bold" w:hAnsi="Arial Bold"/>
          <w:smallCaps/>
        </w:rPr>
        <w:t xml:space="preserve">, Inc., </w:t>
      </w:r>
      <w:r w:rsidR="00717873">
        <w:rPr>
          <w:rFonts w:ascii="Arial Bold" w:hAnsi="Arial Bold"/>
          <w:smallCaps/>
        </w:rPr>
        <w:t xml:space="preserve">and </w:t>
      </w:r>
      <w:r>
        <w:rPr>
          <w:rFonts w:ascii="Arial Bold" w:hAnsi="Arial Bold"/>
          <w:smallCaps/>
        </w:rPr>
        <w:t>Navco of York Road, Inc.</w:t>
      </w:r>
    </w:p>
    <w:bookmarkEnd w:id="0"/>
    <w:bookmarkEnd w:id="1"/>
    <w:p w:rsidR="000E2EFE" w:rsidRPr="00FF0FC9" w:rsidRDefault="000E2EFE">
      <w:pPr>
        <w:pStyle w:val="Title"/>
        <w:pBdr>
          <w:bottom w:val="single" w:sz="12" w:space="1" w:color="auto"/>
        </w:pBdr>
        <w:rPr>
          <w:sz w:val="24"/>
          <w:u w:val="single"/>
        </w:rPr>
      </w:pPr>
    </w:p>
    <w:p w:rsidR="000E2EFE" w:rsidRPr="00FF0FC9" w:rsidRDefault="000E2EFE" w:rsidP="009B6CF7">
      <w:pPr>
        <w:pStyle w:val="Title"/>
        <w:jc w:val="left"/>
        <w:rPr>
          <w:sz w:val="24"/>
          <w:u w:val="single"/>
        </w:rPr>
      </w:pPr>
    </w:p>
    <w:p w:rsidR="000E2EFE" w:rsidRPr="00FF0FC9" w:rsidRDefault="000E2EFE">
      <w:pPr>
        <w:pStyle w:val="Title"/>
        <w:rPr>
          <w:sz w:val="24"/>
          <w:u w:val="single"/>
        </w:rPr>
      </w:pPr>
    </w:p>
    <w:p w:rsidR="000E2EFE" w:rsidRPr="00FF0FC9" w:rsidRDefault="000E2EFE" w:rsidP="009B6CF7">
      <w:pPr>
        <w:pStyle w:val="Title"/>
        <w:jc w:val="left"/>
        <w:rPr>
          <w:sz w:val="24"/>
          <w:u w:val="single"/>
        </w:rPr>
      </w:pPr>
    </w:p>
    <w:p w:rsidR="00D00701" w:rsidRPr="00D00701" w:rsidRDefault="00D00701" w:rsidP="00D00701">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Pr="00D00701">
        <w:rPr>
          <w:rFonts w:ascii="Arial" w:eastAsiaTheme="minorHAnsi" w:hAnsi="Arial" w:cs="Arial"/>
        </w:rPr>
        <w:t xml:space="preserve"> </w:t>
      </w:r>
    </w:p>
    <w:p w:rsidR="0069249F" w:rsidRDefault="00D00701" w:rsidP="00D00701">
      <w:pPr>
        <w:widowControl w:val="0"/>
        <w:tabs>
          <w:tab w:val="left" w:pos="4320"/>
        </w:tabs>
        <w:ind w:left="4320"/>
        <w:rPr>
          <w:rFonts w:ascii="Arial" w:eastAsiaTheme="minorHAnsi" w:hAnsi="Arial" w:cs="Arial"/>
        </w:rPr>
      </w:pPr>
      <w:r w:rsidRPr="00D00701">
        <w:rPr>
          <w:rFonts w:ascii="Arial" w:eastAsiaTheme="minorHAnsi" w:hAnsi="Arial" w:cs="Arial"/>
          <w:bCs/>
        </w:rPr>
        <w:t>Frank P. Darr (Reg. No. 0025469)</w:t>
      </w:r>
      <w:r w:rsidR="0069249F" w:rsidRPr="0069249F">
        <w:rPr>
          <w:rFonts w:ascii="Arial" w:eastAsiaTheme="minorHAnsi" w:hAnsi="Arial" w:cs="Arial"/>
        </w:rPr>
        <w:t xml:space="preserve"> </w:t>
      </w:r>
    </w:p>
    <w:p w:rsidR="00D00701" w:rsidRPr="00D00701" w:rsidRDefault="0069249F"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rPr>
        <w:t>Telecopier:  (614) 469-4653</w:t>
      </w:r>
    </w:p>
    <w:p w:rsidR="00D00701" w:rsidRPr="00717873" w:rsidRDefault="006E6BCA"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8" w:history="1">
        <w:r w:rsidR="00D00701" w:rsidRPr="00717873">
          <w:rPr>
            <w:rStyle w:val="Hyperlink"/>
            <w:rFonts w:ascii="Arial" w:eastAsiaTheme="minorHAnsi" w:hAnsi="Arial" w:cs="Arial"/>
            <w:color w:val="000000" w:themeColor="text1"/>
            <w:u w:val="none"/>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b/>
          <w:smallCaps/>
        </w:rPr>
      </w:pPr>
    </w:p>
    <w:p w:rsidR="000E2EFE" w:rsidRDefault="009D7C49" w:rsidP="00FF0FC9">
      <w:r>
        <w:rPr>
          <w:rFonts w:ascii="Arial" w:eastAsiaTheme="minorHAnsi" w:hAnsi="Arial" w:cs="Arial"/>
          <w:b/>
        </w:rPr>
        <w:t xml:space="preserve">July </w:t>
      </w:r>
      <w:r w:rsidR="007C2763">
        <w:rPr>
          <w:rFonts w:ascii="Arial" w:eastAsiaTheme="minorHAnsi" w:hAnsi="Arial" w:cs="Arial"/>
          <w:b/>
        </w:rPr>
        <w:t>21</w:t>
      </w:r>
      <w:r w:rsidR="00D00701">
        <w:rPr>
          <w:rFonts w:ascii="Arial" w:eastAsiaTheme="minorHAnsi" w:hAnsi="Arial" w:cs="Arial"/>
          <w:b/>
        </w:rPr>
        <w:t>, 2014</w:t>
      </w:r>
      <w:r w:rsidR="00D00701">
        <w:rPr>
          <w:rFonts w:ascii="Arial" w:eastAsiaTheme="minorHAnsi" w:hAnsi="Arial" w:cs="Arial"/>
          <w:b/>
        </w:rPr>
        <w:tab/>
      </w:r>
      <w:r w:rsidR="00D00701">
        <w:rPr>
          <w:rFonts w:ascii="Arial" w:eastAsiaTheme="minorHAnsi" w:hAnsi="Arial" w:cs="Arial"/>
          <w:b/>
        </w:rPr>
        <w:tab/>
      </w:r>
      <w:r w:rsidR="00D00701">
        <w:rPr>
          <w:rFonts w:ascii="Arial" w:eastAsiaTheme="minorHAnsi" w:hAnsi="Arial" w:cs="Arial"/>
          <w:b/>
        </w:rPr>
        <w:tab/>
      </w:r>
      <w:r w:rsidR="00D00701">
        <w:rPr>
          <w:rFonts w:ascii="Arial" w:eastAsiaTheme="minorHAnsi" w:hAnsi="Arial" w:cs="Arial"/>
          <w:b/>
        </w:rPr>
        <w:tab/>
      </w:r>
      <w:r w:rsidR="00D00701" w:rsidRPr="00346121">
        <w:rPr>
          <w:rFonts w:ascii="Arial Bold" w:eastAsiaTheme="minorHAnsi" w:hAnsi="Arial Bold" w:cs="Arial"/>
          <w:b/>
          <w:smallCaps/>
        </w:rPr>
        <w:t xml:space="preserve">Attorneys for </w:t>
      </w:r>
      <w:r w:rsidR="00780B44" w:rsidRPr="00346121">
        <w:rPr>
          <w:rFonts w:ascii="Arial Bold" w:eastAsiaTheme="minorHAnsi" w:hAnsi="Arial Bold" w:cs="Arial"/>
          <w:b/>
          <w:smallCaps/>
        </w:rPr>
        <w:t>Movants</w:t>
      </w:r>
    </w:p>
    <w:p w:rsidR="008C3388" w:rsidRDefault="008C3388">
      <w:pPr>
        <w:pStyle w:val="Title"/>
        <w:rPr>
          <w:sz w:val="28"/>
        </w:rPr>
        <w:sectPr w:rsidR="008C338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141" w:left="1440" w:header="720" w:footer="720" w:gutter="0"/>
          <w:pgNumType w:start="1"/>
          <w:cols w:space="720"/>
          <w:titlePg/>
          <w:docGrid w:linePitch="326"/>
        </w:sectPr>
      </w:pPr>
    </w:p>
    <w:p w:rsidR="000E2EFE" w:rsidRDefault="006352BD">
      <w:pPr>
        <w:pStyle w:val="Title"/>
        <w:rPr>
          <w:sz w:val="28"/>
        </w:rPr>
      </w:pPr>
      <w:r>
        <w:rPr>
          <w:sz w:val="28"/>
        </w:rPr>
        <w:lastRenderedPageBreak/>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D00701" w:rsidRDefault="00D00701" w:rsidP="00D00701">
      <w:pPr>
        <w:pStyle w:val="BodyText"/>
        <w:tabs>
          <w:tab w:val="left" w:pos="50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D7C49" w:rsidTr="00A27B4A">
        <w:tc>
          <w:tcPr>
            <w:tcW w:w="4968" w:type="dxa"/>
          </w:tcPr>
          <w:p w:rsidR="009D7C49" w:rsidRDefault="009D7C49" w:rsidP="00C54FEB">
            <w:pPr>
              <w:pStyle w:val="BodyText"/>
              <w:tabs>
                <w:tab w:val="left" w:pos="5040"/>
              </w:tabs>
              <w:jc w:val="left"/>
            </w:pPr>
            <w:r>
              <w:t>Ohio Schools Council, Ohio School Boards Association, Ohio Association of School Business Officials, and Buckeye Association of School Administrators, dba Power4Schools,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Complainants,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v.</w:t>
            </w:r>
          </w:p>
          <w:p w:rsidR="009D7C49" w:rsidRDefault="009D7C49" w:rsidP="00C54FEB">
            <w:pPr>
              <w:pStyle w:val="BodyText"/>
              <w:tabs>
                <w:tab w:val="left" w:pos="5040"/>
              </w:tabs>
              <w:ind w:left="720"/>
              <w:jc w:val="left"/>
            </w:pPr>
          </w:p>
          <w:p w:rsidR="009D7C49" w:rsidRDefault="009D7C49" w:rsidP="00C54FEB">
            <w:pPr>
              <w:pStyle w:val="BodyText"/>
              <w:tabs>
                <w:tab w:val="left" w:pos="5040"/>
              </w:tabs>
              <w:jc w:val="left"/>
            </w:pPr>
            <w:r>
              <w:t>FirstEnergy Solutions Corp.,</w:t>
            </w:r>
          </w:p>
          <w:p w:rsidR="009D7C49" w:rsidRDefault="009D7C49" w:rsidP="00C54FEB">
            <w:pPr>
              <w:pStyle w:val="BodyText"/>
              <w:tabs>
                <w:tab w:val="left" w:pos="5040"/>
              </w:tabs>
              <w:jc w:val="left"/>
            </w:pPr>
          </w:p>
          <w:p w:rsidR="009D7C49" w:rsidRDefault="009D7C49" w:rsidP="00C54FEB">
            <w:pPr>
              <w:pStyle w:val="BodyText"/>
              <w:tabs>
                <w:tab w:val="left" w:pos="5040"/>
              </w:tabs>
              <w:ind w:left="720"/>
              <w:jc w:val="left"/>
            </w:pPr>
            <w:r>
              <w:t>Respondent.</w:t>
            </w:r>
          </w:p>
          <w:p w:rsidR="009D7C49" w:rsidRDefault="009D7C49" w:rsidP="00C54FEB">
            <w:pPr>
              <w:pStyle w:val="BodyText"/>
              <w:tabs>
                <w:tab w:val="left" w:pos="5040"/>
              </w:tabs>
              <w:jc w:val="left"/>
            </w:pPr>
          </w:p>
        </w:tc>
        <w:tc>
          <w:tcPr>
            <w:tcW w:w="450" w:type="dxa"/>
          </w:tcPr>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Pr="009B6CF7" w:rsidRDefault="009D7C49" w:rsidP="00C54FEB">
            <w:pPr>
              <w:jc w:val="center"/>
            </w:pPr>
            <w:r>
              <w:rPr>
                <w:rFonts w:ascii="Arial" w:hAnsi="Arial" w:cs="Arial"/>
              </w:rPr>
              <w:t>)</w:t>
            </w:r>
          </w:p>
        </w:tc>
        <w:tc>
          <w:tcPr>
            <w:tcW w:w="4158" w:type="dxa"/>
          </w:tcPr>
          <w:p w:rsidR="009D7C49" w:rsidRDefault="009D7C49" w:rsidP="00C54FEB">
            <w:pPr>
              <w:pStyle w:val="BodyText"/>
              <w:tabs>
                <w:tab w:val="left" w:pos="5040"/>
              </w:tabs>
            </w:pPr>
          </w:p>
          <w:p w:rsidR="009D7C49" w:rsidRPr="009B6CF7" w:rsidRDefault="009D7C49" w:rsidP="00C54FEB"/>
          <w:p w:rsidR="009D7C49" w:rsidRDefault="009D7C49" w:rsidP="00C54FEB"/>
          <w:p w:rsidR="009D7C49" w:rsidRDefault="009D7C49" w:rsidP="00C54FEB"/>
          <w:p w:rsidR="009D7C49" w:rsidRDefault="009D7C49" w:rsidP="00C54FEB"/>
          <w:p w:rsidR="009D7C49" w:rsidRDefault="009D7C49" w:rsidP="00C54FEB"/>
          <w:p w:rsidR="009D7C49" w:rsidRPr="009B6CF7" w:rsidRDefault="009D7C49" w:rsidP="00C54FEB">
            <w:pPr>
              <w:ind w:left="342"/>
              <w:rPr>
                <w:rFonts w:ascii="Arial" w:hAnsi="Arial" w:cs="Arial"/>
              </w:rPr>
            </w:pPr>
            <w:r w:rsidRPr="009B6CF7">
              <w:rPr>
                <w:rFonts w:ascii="Arial" w:hAnsi="Arial" w:cs="Arial"/>
              </w:rPr>
              <w:t>Case No. 14-1182-EL-CSS</w:t>
            </w:r>
          </w:p>
          <w:p w:rsidR="009D7C49" w:rsidRPr="009B6CF7" w:rsidRDefault="009D7C49" w:rsidP="00C54FEB"/>
          <w:p w:rsidR="009D7C49" w:rsidRDefault="009D7C49" w:rsidP="00C54FEB"/>
          <w:p w:rsidR="009D7C49" w:rsidRPr="009B6CF7" w:rsidRDefault="009D7C49" w:rsidP="00C54FEB"/>
        </w:tc>
      </w:tr>
    </w:tbl>
    <w:p w:rsidR="000E2EFE" w:rsidRDefault="000E2EFE">
      <w:pPr>
        <w:pStyle w:val="BodyText"/>
        <w:tabs>
          <w:tab w:val="left" w:pos="5040"/>
        </w:tabs>
        <w:rPr>
          <w:sz w:val="28"/>
        </w:rPr>
      </w:pPr>
    </w:p>
    <w:p w:rsidR="000E2EFE" w:rsidRDefault="000E2EFE">
      <w:pPr>
        <w:pStyle w:val="Heading1"/>
        <w:pBdr>
          <w:top w:val="single" w:sz="12" w:space="1" w:color="auto"/>
        </w:pBdr>
        <w:tabs>
          <w:tab w:val="left" w:pos="7320"/>
        </w:tabs>
        <w:ind w:left="0" w:right="0"/>
        <w:jc w:val="center"/>
        <w:rPr>
          <w:rFonts w:ascii="Arial Bold" w:hAnsi="Arial Bold"/>
          <w:smallCaps/>
        </w:rPr>
      </w:pPr>
    </w:p>
    <w:p w:rsidR="00A05668" w:rsidRDefault="006352BD">
      <w:pPr>
        <w:pStyle w:val="Heading1"/>
        <w:tabs>
          <w:tab w:val="left" w:pos="7320"/>
        </w:tabs>
        <w:ind w:left="0" w:right="0"/>
        <w:jc w:val="center"/>
        <w:rPr>
          <w:rFonts w:ascii="Arial Bold" w:hAnsi="Arial Bold"/>
          <w:smallCaps/>
        </w:rPr>
      </w:pPr>
      <w:r>
        <w:rPr>
          <w:rFonts w:ascii="Arial Bold" w:hAnsi="Arial Bold"/>
          <w:smallCaps/>
        </w:rPr>
        <w:t xml:space="preserve">Motion to Intervene of </w:t>
      </w:r>
      <w:r w:rsidR="00F57462">
        <w:rPr>
          <w:rFonts w:ascii="Arial Bold" w:hAnsi="Arial Bold"/>
          <w:smallCaps/>
        </w:rPr>
        <w:t>Navco Enterpri</w:t>
      </w:r>
      <w:r w:rsidR="00717873">
        <w:rPr>
          <w:rFonts w:ascii="Arial Bold" w:hAnsi="Arial Bold"/>
          <w:smallCaps/>
        </w:rPr>
        <w:t>s</w:t>
      </w:r>
      <w:r w:rsidR="00F57462">
        <w:rPr>
          <w:rFonts w:ascii="Arial Bold" w:hAnsi="Arial Bold"/>
          <w:smallCaps/>
        </w:rPr>
        <w:t>es.Com, Inc., Navco Enterprises of P</w:t>
      </w:r>
      <w:r w:rsidR="00717873">
        <w:rPr>
          <w:rFonts w:ascii="Arial Bold" w:hAnsi="Arial Bold"/>
          <w:smallCaps/>
        </w:rPr>
        <w:t>.</w:t>
      </w:r>
      <w:r w:rsidR="00F57462">
        <w:rPr>
          <w:rFonts w:ascii="Arial Bold" w:hAnsi="Arial Bold"/>
          <w:smallCaps/>
        </w:rPr>
        <w:t>V</w:t>
      </w:r>
      <w:r w:rsidR="00717873">
        <w:rPr>
          <w:rFonts w:ascii="Arial Bold" w:hAnsi="Arial Bold"/>
          <w:smallCaps/>
        </w:rPr>
        <w:t>.</w:t>
      </w:r>
      <w:r w:rsidR="00F57462">
        <w:rPr>
          <w:rFonts w:ascii="Arial Bold" w:hAnsi="Arial Bold"/>
          <w:smallCaps/>
        </w:rPr>
        <w:t xml:space="preserve">, Inc., Navco Enterprises, Inc., Foodlife </w:t>
      </w:r>
      <w:r w:rsidR="00717873">
        <w:rPr>
          <w:rFonts w:ascii="Arial Bold" w:hAnsi="Arial Bold"/>
          <w:smallCaps/>
        </w:rPr>
        <w:t>International</w:t>
      </w:r>
      <w:r w:rsidR="00F57462">
        <w:rPr>
          <w:rFonts w:ascii="Arial Bold" w:hAnsi="Arial Bold"/>
          <w:smallCaps/>
        </w:rPr>
        <w:t>, Inc., Navco Enterprises of O</w:t>
      </w:r>
      <w:r w:rsidR="00717873">
        <w:rPr>
          <w:rFonts w:ascii="Arial Bold" w:hAnsi="Arial Bold"/>
          <w:smallCaps/>
        </w:rPr>
        <w:t>.</w:t>
      </w:r>
      <w:r w:rsidR="00F57462">
        <w:rPr>
          <w:rFonts w:ascii="Arial Bold" w:hAnsi="Arial Bold"/>
          <w:smallCaps/>
        </w:rPr>
        <w:t>V</w:t>
      </w:r>
      <w:r w:rsidR="00717873">
        <w:rPr>
          <w:rFonts w:ascii="Arial Bold" w:hAnsi="Arial Bold"/>
          <w:smallCaps/>
        </w:rPr>
        <w:t>.</w:t>
      </w:r>
      <w:r w:rsidR="00F57462">
        <w:rPr>
          <w:rFonts w:ascii="Arial Bold" w:hAnsi="Arial Bold"/>
          <w:smallCaps/>
        </w:rPr>
        <w:t xml:space="preserve">, Inc., </w:t>
      </w:r>
    </w:p>
    <w:p w:rsidR="000E2EFE" w:rsidRDefault="00717873">
      <w:pPr>
        <w:pStyle w:val="Heading1"/>
        <w:tabs>
          <w:tab w:val="left" w:pos="7320"/>
        </w:tabs>
        <w:ind w:left="0" w:right="0"/>
        <w:jc w:val="center"/>
        <w:rPr>
          <w:rFonts w:ascii="Arial Bold" w:hAnsi="Arial Bold"/>
          <w:smallCaps/>
          <w:szCs w:val="28"/>
        </w:rPr>
      </w:pPr>
      <w:r>
        <w:rPr>
          <w:rFonts w:ascii="Arial Bold" w:hAnsi="Arial Bold"/>
          <w:smallCaps/>
        </w:rPr>
        <w:t xml:space="preserve">and </w:t>
      </w:r>
      <w:r w:rsidR="00F57462">
        <w:rPr>
          <w:rFonts w:ascii="Arial Bold" w:hAnsi="Arial Bold"/>
          <w:smallCaps/>
        </w:rPr>
        <w:t>Navco of York Road, Inc.</w:t>
      </w:r>
    </w:p>
    <w:p w:rsidR="000E2EFE" w:rsidRDefault="000E2EFE">
      <w:pPr>
        <w:pStyle w:val="Title"/>
        <w:pBdr>
          <w:bottom w:val="single" w:sz="12" w:space="1" w:color="auto"/>
        </w:pBdr>
        <w:rPr>
          <w:sz w:val="28"/>
          <w:u w:val="single"/>
        </w:rPr>
      </w:pPr>
    </w:p>
    <w:p w:rsidR="000E2EFE" w:rsidRDefault="000E2EFE">
      <w:pPr>
        <w:pStyle w:val="Title"/>
        <w:rPr>
          <w:sz w:val="28"/>
          <w:u w:val="single"/>
        </w:rPr>
      </w:pPr>
    </w:p>
    <w:p w:rsidR="000E2EFE" w:rsidRDefault="00F57462">
      <w:pPr>
        <w:pStyle w:val="BodyTextIndent"/>
        <w:spacing w:before="120" w:line="480" w:lineRule="auto"/>
      </w:pPr>
      <w:r w:rsidRPr="00F57462">
        <w:t>Navco Enterpri</w:t>
      </w:r>
      <w:r w:rsidR="00717873">
        <w:t>s</w:t>
      </w:r>
      <w:r w:rsidRPr="00F57462">
        <w:t>es.Com, Inc., Navco Enterprises of P</w:t>
      </w:r>
      <w:r w:rsidR="00717873">
        <w:t>.</w:t>
      </w:r>
      <w:r w:rsidRPr="00F57462">
        <w:t>V</w:t>
      </w:r>
      <w:r w:rsidR="00717873">
        <w:t>.</w:t>
      </w:r>
      <w:r w:rsidRPr="00F57462">
        <w:t xml:space="preserve">, Inc., Navco Enterprises, Inc., Foodlife </w:t>
      </w:r>
      <w:r w:rsidR="00717873">
        <w:t>International</w:t>
      </w:r>
      <w:r w:rsidRPr="00F57462">
        <w:t>, Inc., Navco Enterprises of O</w:t>
      </w:r>
      <w:r w:rsidR="00717873">
        <w:t>.</w:t>
      </w:r>
      <w:r w:rsidRPr="00F57462">
        <w:t>V</w:t>
      </w:r>
      <w:r w:rsidR="00717873">
        <w:t>.</w:t>
      </w:r>
      <w:r w:rsidRPr="00F57462">
        <w:t xml:space="preserve">, Inc., </w:t>
      </w:r>
      <w:r w:rsidR="00717873">
        <w:t xml:space="preserve">and </w:t>
      </w:r>
      <w:r w:rsidRPr="00F57462">
        <w:t>Navco of York Road, Inc.</w:t>
      </w:r>
      <w:r w:rsidR="006352BD" w:rsidRPr="00EF2BAD">
        <w:t xml:space="preserve"> </w:t>
      </w:r>
      <w:r w:rsidR="00780B44" w:rsidRPr="00EF2BAD">
        <w:t>(</w:t>
      </w:r>
      <w:r w:rsidR="00267CC7" w:rsidRPr="00EF2BAD">
        <w:t>“</w:t>
      </w:r>
      <w:r w:rsidR="00780B44" w:rsidRPr="00EF2BAD">
        <w:t>Movants</w:t>
      </w:r>
      <w:r w:rsidR="00267CC7" w:rsidRPr="00EF2BAD">
        <w:t>”</w:t>
      </w:r>
      <w:r w:rsidR="00780B44" w:rsidRPr="00EF2BAD">
        <w:t>)</w:t>
      </w:r>
      <w:r w:rsidR="00780B44">
        <w:t xml:space="preserve"> </w:t>
      </w:r>
      <w:r w:rsidR="006352BD">
        <w:t>hereby respectfully move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rsidR="000E2EFE" w:rsidRDefault="006352BD">
      <w:pPr>
        <w:autoSpaceDE w:val="0"/>
        <w:autoSpaceDN w:val="0"/>
        <w:adjustRightInd w:val="0"/>
        <w:spacing w:line="480" w:lineRule="auto"/>
        <w:ind w:firstLine="720"/>
        <w:jc w:val="both"/>
      </w:pPr>
      <w:r>
        <w:rPr>
          <w:rFonts w:ascii="Arial" w:hAnsi="Arial" w:cs="Arial"/>
        </w:rPr>
        <w:t xml:space="preserve">As demonstrated further in the Memorandum in Support attached hereto and incorporated herein, </w:t>
      </w:r>
      <w:r w:rsidR="00780B44" w:rsidRPr="00EF2BAD">
        <w:rPr>
          <w:rFonts w:ascii="Arial" w:hAnsi="Arial" w:cs="Arial"/>
        </w:rPr>
        <w:t>Movants</w:t>
      </w:r>
      <w:r>
        <w:rPr>
          <w:rFonts w:ascii="Arial" w:hAnsi="Arial" w:cs="Arial"/>
        </w:rPr>
        <w:t xml:space="preserve"> </w:t>
      </w:r>
      <w:r w:rsidR="00780B44">
        <w:rPr>
          <w:rFonts w:ascii="Arial" w:hAnsi="Arial" w:cs="Arial"/>
        </w:rPr>
        <w:t>have</w:t>
      </w:r>
      <w:r>
        <w:rPr>
          <w:rFonts w:ascii="Arial" w:hAnsi="Arial" w:cs="Arial"/>
        </w:rPr>
        <w:t xml:space="preserve"> a direct, real, and substantial interest in the issues and matters involved in the above-captioned proceeding, and is so situated that the </w:t>
      </w:r>
      <w:r>
        <w:rPr>
          <w:rFonts w:ascii="Arial" w:hAnsi="Arial" w:cs="Arial"/>
        </w:rPr>
        <w:lastRenderedPageBreak/>
        <w:t xml:space="preserve">disposition of this proceeding may, as a practical matter, impair or impede its ability to protect that interest.  </w:t>
      </w:r>
      <w:r w:rsidR="00780B44" w:rsidRPr="00EF2BAD">
        <w:rPr>
          <w:rFonts w:ascii="Arial" w:hAnsi="Arial" w:cs="Arial"/>
        </w:rPr>
        <w:t>Movants</w:t>
      </w:r>
      <w:r w:rsidR="00780B44">
        <w:rPr>
          <w:rFonts w:ascii="Arial" w:hAnsi="Arial" w:cs="Arial"/>
        </w:rPr>
        <w:t xml:space="preserve"> believe</w:t>
      </w:r>
      <w:r>
        <w:rPr>
          <w:rFonts w:ascii="Arial" w:hAnsi="Arial" w:cs="Arial"/>
        </w:rPr>
        <w:t xml:space="preserve"> that its participation will not unduly prolong or delay this proceeding and that it will significantly contribute to the full development and equitable resolution of the factual and other issues in the proceeding.  The interests of </w:t>
      </w:r>
      <w:r w:rsidR="00780B44" w:rsidRPr="00EF2BAD">
        <w:rPr>
          <w:rFonts w:ascii="Arial" w:hAnsi="Arial" w:cs="Arial"/>
        </w:rPr>
        <w:t>Movants</w:t>
      </w:r>
      <w:r>
        <w:rPr>
          <w:rFonts w:ascii="Arial" w:hAnsi="Arial" w:cs="Arial"/>
        </w:rPr>
        <w:t xml:space="preserve"> will not be adequately represented by other parties to the proceeding and, as such, </w:t>
      </w:r>
      <w:r w:rsidR="00780B44">
        <w:rPr>
          <w:rFonts w:ascii="Arial" w:hAnsi="Arial" w:cs="Arial"/>
        </w:rPr>
        <w:t>Movants</w:t>
      </w:r>
      <w:r>
        <w:rPr>
          <w:rFonts w:ascii="Arial" w:hAnsi="Arial" w:cs="Arial"/>
        </w:rPr>
        <w:t xml:space="preserve"> </w:t>
      </w:r>
      <w:r w:rsidR="00780B44">
        <w:rPr>
          <w:rFonts w:ascii="Arial" w:hAnsi="Arial" w:cs="Arial"/>
        </w:rPr>
        <w:t>are</w:t>
      </w:r>
      <w:r>
        <w:rPr>
          <w:rFonts w:ascii="Arial" w:hAnsi="Arial" w:cs="Arial"/>
        </w:rPr>
        <w:t xml:space="preserve"> entitled to intervene with the full powers and rights granted by the Commission, specifically by statute and by the provisions of the Ohio Administrative Code, to intervening parties.</w:t>
      </w:r>
    </w:p>
    <w:p w:rsidR="000E2EFE" w:rsidRDefault="006352BD">
      <w:pPr>
        <w:tabs>
          <w:tab w:val="left" w:pos="4320"/>
          <w:tab w:val="right" w:pos="8640"/>
        </w:tabs>
        <w:jc w:val="both"/>
        <w:rPr>
          <w:rFonts w:ascii="Arial" w:hAnsi="Arial" w:cs="Arial"/>
        </w:rPr>
      </w:pPr>
      <w:r>
        <w:rPr>
          <w:rFonts w:ascii="Arial" w:hAnsi="Arial" w:cs="Arial"/>
        </w:rPr>
        <w:tab/>
        <w:t>Respectfully submitted,</w:t>
      </w:r>
    </w:p>
    <w:p w:rsidR="000E2EFE" w:rsidRDefault="000E2EFE">
      <w:pPr>
        <w:tabs>
          <w:tab w:val="left" w:pos="4320"/>
          <w:tab w:val="right" w:pos="8640"/>
        </w:tabs>
        <w:jc w:val="both"/>
        <w:rPr>
          <w:rFonts w:ascii="Arial" w:hAnsi="Arial" w:cs="Arial"/>
        </w:rPr>
      </w:pPr>
    </w:p>
    <w:p w:rsidR="000E2EFE" w:rsidRDefault="000E2EFE">
      <w:pPr>
        <w:tabs>
          <w:tab w:val="left" w:pos="4320"/>
          <w:tab w:val="right" w:pos="8640"/>
        </w:tabs>
        <w:jc w:val="both"/>
        <w:rPr>
          <w:rFonts w:ascii="Arial" w:hAnsi="Arial" w:cs="Arial"/>
        </w:rPr>
      </w:pPr>
    </w:p>
    <w:p w:rsidR="000E2EFE" w:rsidRDefault="006352BD">
      <w:pPr>
        <w:tabs>
          <w:tab w:val="left" w:pos="4320"/>
          <w:tab w:val="right" w:pos="8640"/>
        </w:tabs>
        <w:ind w:left="4320"/>
        <w:jc w:val="both"/>
        <w:rPr>
          <w:rFonts w:ascii="Arial" w:hAnsi="Arial" w:cs="Arial"/>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BC0470" w:rsidRDefault="00D00701" w:rsidP="00D00701">
      <w:pPr>
        <w:widowControl w:val="0"/>
        <w:tabs>
          <w:tab w:val="left" w:pos="4320"/>
        </w:tabs>
        <w:ind w:left="4320"/>
        <w:rPr>
          <w:rFonts w:ascii="Arial" w:eastAsiaTheme="minorHAnsi" w:hAnsi="Arial" w:cs="Arial"/>
        </w:rPr>
      </w:pPr>
      <w:r w:rsidRPr="00D00701">
        <w:rPr>
          <w:rFonts w:ascii="Arial" w:eastAsiaTheme="minorHAnsi" w:hAnsi="Arial" w:cs="Arial"/>
          <w:bCs/>
        </w:rPr>
        <w:t xml:space="preserve">Frank P. Darr </w:t>
      </w:r>
    </w:p>
    <w:p w:rsidR="00D00701" w:rsidRPr="00D00701" w:rsidRDefault="00BC0470"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r w:rsidRPr="00D00701">
        <w:rPr>
          <w:rFonts w:ascii="Arial" w:eastAsiaTheme="minorHAnsi" w:hAnsi="Arial" w:cs="Arial"/>
          <w:bCs/>
        </w:rPr>
        <w:t xml:space="preserve"> </w:t>
      </w:r>
      <w:r w:rsidR="00D00701" w:rsidRPr="00D00701">
        <w:rPr>
          <w:rFonts w:ascii="Arial" w:eastAsiaTheme="minorHAnsi" w:hAnsi="Arial" w:cs="Arial"/>
          <w:bCs/>
        </w:rPr>
        <w:t>(Reg. No. 0025469)</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D00701" w:rsidRPr="00BD240F" w:rsidRDefault="006E6BCA"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15" w:history="1">
        <w:r w:rsidR="00D00701" w:rsidRPr="00CD4D58">
          <w:rPr>
            <w:rStyle w:val="Hyperlink"/>
            <w:rFonts w:ascii="Arial" w:eastAsiaTheme="minorHAnsi" w:hAnsi="Arial" w:cs="Arial"/>
            <w:color w:val="000000" w:themeColor="text1"/>
            <w:u w:val="none"/>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0E2EFE" w:rsidRDefault="000E2EFE">
      <w:pPr>
        <w:tabs>
          <w:tab w:val="left" w:pos="4320"/>
          <w:tab w:val="right" w:pos="8640"/>
        </w:tabs>
        <w:jc w:val="both"/>
      </w:pPr>
    </w:p>
    <w:p w:rsidR="000E2EFE" w:rsidRPr="00346121" w:rsidRDefault="006352BD">
      <w:pPr>
        <w:pStyle w:val="Title"/>
        <w:tabs>
          <w:tab w:val="left" w:pos="4320"/>
        </w:tabs>
        <w:jc w:val="left"/>
        <w:rPr>
          <w:rFonts w:ascii="Arial Bold" w:hAnsi="Arial Bold"/>
          <w:sz w:val="24"/>
        </w:rPr>
      </w:pPr>
      <w:r>
        <w:rPr>
          <w:smallCaps w:val="0"/>
          <w:sz w:val="24"/>
        </w:rPr>
        <w:tab/>
      </w:r>
      <w:r w:rsidRPr="00346121">
        <w:rPr>
          <w:rFonts w:ascii="Arial Bold" w:hAnsi="Arial Bold"/>
          <w:sz w:val="24"/>
        </w:rPr>
        <w:t xml:space="preserve">Attorneys for </w:t>
      </w:r>
      <w:r w:rsidR="00F87A39" w:rsidRPr="00346121">
        <w:rPr>
          <w:rFonts w:ascii="Arial Bold" w:hAnsi="Arial Bold"/>
          <w:sz w:val="24"/>
        </w:rPr>
        <w:t>Movants</w:t>
      </w:r>
    </w:p>
    <w:p w:rsidR="000E2EFE" w:rsidRDefault="006352BD">
      <w:pPr>
        <w:pStyle w:val="Title"/>
        <w:rPr>
          <w:b w:val="0"/>
        </w:rPr>
      </w:pPr>
      <w:r>
        <w:br w:type="page"/>
      </w:r>
    </w:p>
    <w:p w:rsidR="000E2EFE" w:rsidRDefault="006352BD">
      <w:pPr>
        <w:pStyle w:val="Title"/>
        <w:rPr>
          <w:sz w:val="28"/>
        </w:rPr>
      </w:pPr>
      <w:r>
        <w:rPr>
          <w:sz w:val="28"/>
        </w:rPr>
        <w:lastRenderedPageBreak/>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D00701" w:rsidRDefault="00D00701" w:rsidP="00D00701">
      <w:pPr>
        <w:pStyle w:val="BodyText"/>
        <w:tabs>
          <w:tab w:val="left" w:pos="5040"/>
        </w:tabs>
      </w:pPr>
    </w:p>
    <w:p w:rsidR="00D00701" w:rsidRDefault="00D00701" w:rsidP="00D00701">
      <w:pPr>
        <w:pStyle w:val="BodyText"/>
        <w:tabs>
          <w:tab w:val="left" w:pos="50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D7C49" w:rsidTr="00421A62">
        <w:tc>
          <w:tcPr>
            <w:tcW w:w="4968" w:type="dxa"/>
          </w:tcPr>
          <w:p w:rsidR="009D7C49" w:rsidRDefault="009D7C49" w:rsidP="00C54FEB">
            <w:pPr>
              <w:pStyle w:val="BodyText"/>
              <w:tabs>
                <w:tab w:val="left" w:pos="5040"/>
              </w:tabs>
              <w:jc w:val="left"/>
            </w:pPr>
            <w:r>
              <w:t>Ohio Schools Council, Ohio School Boards Association, Ohio Association of School Business Officials, and Buckeye Association of School Administrators, dba Power4Schools,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Complainants,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v.</w:t>
            </w:r>
          </w:p>
          <w:p w:rsidR="009D7C49" w:rsidRDefault="009D7C49" w:rsidP="00C54FEB">
            <w:pPr>
              <w:pStyle w:val="BodyText"/>
              <w:tabs>
                <w:tab w:val="left" w:pos="5040"/>
              </w:tabs>
              <w:ind w:left="720"/>
              <w:jc w:val="left"/>
            </w:pPr>
          </w:p>
          <w:p w:rsidR="009D7C49" w:rsidRDefault="009D7C49" w:rsidP="00C54FEB">
            <w:pPr>
              <w:pStyle w:val="BodyText"/>
              <w:tabs>
                <w:tab w:val="left" w:pos="5040"/>
              </w:tabs>
              <w:jc w:val="left"/>
            </w:pPr>
            <w:r>
              <w:t>FirstEnergy Solutions Corp.,</w:t>
            </w:r>
          </w:p>
          <w:p w:rsidR="009D7C49" w:rsidRDefault="009D7C49" w:rsidP="00C54FEB">
            <w:pPr>
              <w:pStyle w:val="BodyText"/>
              <w:tabs>
                <w:tab w:val="left" w:pos="5040"/>
              </w:tabs>
              <w:jc w:val="left"/>
            </w:pPr>
          </w:p>
          <w:p w:rsidR="009D7C49" w:rsidRDefault="009D7C49" w:rsidP="00C54FEB">
            <w:pPr>
              <w:pStyle w:val="BodyText"/>
              <w:tabs>
                <w:tab w:val="left" w:pos="5040"/>
              </w:tabs>
              <w:ind w:left="720"/>
              <w:jc w:val="left"/>
            </w:pPr>
            <w:r>
              <w:t>Respondent.</w:t>
            </w:r>
          </w:p>
          <w:p w:rsidR="009D7C49" w:rsidRDefault="009D7C49" w:rsidP="00C54FEB">
            <w:pPr>
              <w:pStyle w:val="BodyText"/>
              <w:tabs>
                <w:tab w:val="left" w:pos="5040"/>
              </w:tabs>
              <w:jc w:val="left"/>
            </w:pPr>
          </w:p>
        </w:tc>
        <w:tc>
          <w:tcPr>
            <w:tcW w:w="450" w:type="dxa"/>
          </w:tcPr>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Pr="009B6CF7" w:rsidRDefault="009D7C49" w:rsidP="00C54FEB">
            <w:pPr>
              <w:jc w:val="center"/>
            </w:pPr>
            <w:r>
              <w:rPr>
                <w:rFonts w:ascii="Arial" w:hAnsi="Arial" w:cs="Arial"/>
              </w:rPr>
              <w:t>)</w:t>
            </w:r>
          </w:p>
        </w:tc>
        <w:tc>
          <w:tcPr>
            <w:tcW w:w="4158" w:type="dxa"/>
          </w:tcPr>
          <w:p w:rsidR="009D7C49" w:rsidRDefault="009D7C49" w:rsidP="00C54FEB">
            <w:pPr>
              <w:pStyle w:val="BodyText"/>
              <w:tabs>
                <w:tab w:val="left" w:pos="5040"/>
              </w:tabs>
            </w:pPr>
          </w:p>
          <w:p w:rsidR="009D7C49" w:rsidRPr="009B6CF7" w:rsidRDefault="009D7C49" w:rsidP="00C54FEB"/>
          <w:p w:rsidR="009D7C49" w:rsidRDefault="009D7C49" w:rsidP="00C54FEB"/>
          <w:p w:rsidR="009D7C49" w:rsidRDefault="009D7C49" w:rsidP="00C54FEB"/>
          <w:p w:rsidR="009D7C49" w:rsidRDefault="009D7C49" w:rsidP="00C54FEB"/>
          <w:p w:rsidR="009D7C49" w:rsidRDefault="009D7C49" w:rsidP="00C54FEB"/>
          <w:p w:rsidR="009D7C49" w:rsidRPr="009B6CF7" w:rsidRDefault="009D7C49" w:rsidP="00C54FEB">
            <w:pPr>
              <w:ind w:left="342"/>
              <w:rPr>
                <w:rFonts w:ascii="Arial" w:hAnsi="Arial" w:cs="Arial"/>
              </w:rPr>
            </w:pPr>
            <w:r w:rsidRPr="009B6CF7">
              <w:rPr>
                <w:rFonts w:ascii="Arial" w:hAnsi="Arial" w:cs="Arial"/>
              </w:rPr>
              <w:t>Case No. 14-1182-EL-CSS</w:t>
            </w:r>
          </w:p>
          <w:p w:rsidR="009D7C49" w:rsidRPr="009B6CF7" w:rsidRDefault="009D7C49" w:rsidP="00C54FEB"/>
          <w:p w:rsidR="009D7C49" w:rsidRDefault="009D7C49" w:rsidP="00C54FEB"/>
          <w:p w:rsidR="009D7C49" w:rsidRPr="009B6CF7" w:rsidRDefault="009D7C49" w:rsidP="00C54FEB"/>
        </w:tc>
      </w:tr>
    </w:tbl>
    <w:p w:rsidR="00D00701" w:rsidRDefault="00D00701" w:rsidP="00D00701">
      <w:pPr>
        <w:pStyle w:val="BodyText"/>
        <w:tabs>
          <w:tab w:val="left" w:pos="5040"/>
        </w:tabs>
      </w:pPr>
    </w:p>
    <w:p w:rsidR="000E2EFE" w:rsidRDefault="000E2EFE">
      <w:pPr>
        <w:pStyle w:val="BodyText"/>
        <w:tabs>
          <w:tab w:val="left" w:pos="5040"/>
        </w:tabs>
        <w:rPr>
          <w:sz w:val="28"/>
        </w:rPr>
      </w:pPr>
    </w:p>
    <w:p w:rsidR="000E2EFE" w:rsidRDefault="000E2EFE">
      <w:pPr>
        <w:pStyle w:val="Heading1"/>
        <w:pBdr>
          <w:top w:val="single" w:sz="12" w:space="1" w:color="auto"/>
        </w:pBdr>
        <w:tabs>
          <w:tab w:val="left" w:pos="7320"/>
        </w:tabs>
        <w:ind w:left="0" w:right="0"/>
        <w:jc w:val="center"/>
        <w:rPr>
          <w:rFonts w:ascii="Arial Bold" w:hAnsi="Arial Bold"/>
          <w:smallCaps/>
        </w:rPr>
      </w:pPr>
    </w:p>
    <w:p w:rsidR="000E2EFE" w:rsidRDefault="006352BD">
      <w:pPr>
        <w:pStyle w:val="Heading1"/>
        <w:tabs>
          <w:tab w:val="left" w:pos="7320"/>
        </w:tabs>
        <w:ind w:left="0" w:right="0"/>
        <w:jc w:val="center"/>
        <w:rPr>
          <w:rFonts w:ascii="Arial Bold" w:hAnsi="Arial Bold"/>
          <w:smallCaps/>
        </w:rPr>
      </w:pPr>
      <w:r>
        <w:rPr>
          <w:rFonts w:ascii="Arial Bold" w:hAnsi="Arial Bold"/>
          <w:smallCaps/>
        </w:rPr>
        <w:t>Memorandum In Support</w:t>
      </w:r>
    </w:p>
    <w:p w:rsidR="000E2EFE" w:rsidRDefault="000E2EFE">
      <w:pPr>
        <w:pStyle w:val="Title"/>
        <w:pBdr>
          <w:bottom w:val="single" w:sz="12" w:space="1" w:color="auto"/>
        </w:pBdr>
        <w:rPr>
          <w:sz w:val="28"/>
          <w:u w:val="single"/>
        </w:rPr>
      </w:pPr>
    </w:p>
    <w:p w:rsidR="000E2EFE" w:rsidRDefault="000E2EFE">
      <w:pPr>
        <w:pStyle w:val="Title"/>
        <w:rPr>
          <w:sz w:val="28"/>
          <w:u w:val="single"/>
        </w:rPr>
      </w:pPr>
    </w:p>
    <w:p w:rsidR="00780B44" w:rsidRDefault="006352BD" w:rsidP="00780B44">
      <w:pPr>
        <w:pStyle w:val="BodyText2"/>
        <w:spacing w:before="240"/>
        <w:rPr>
          <w:rFonts w:cs="Arial"/>
        </w:rPr>
      </w:pPr>
      <w:r>
        <w:rPr>
          <w:rFonts w:cs="Arial"/>
        </w:rPr>
        <w:t xml:space="preserve">In support of this Motion to Intervene, </w:t>
      </w:r>
      <w:r w:rsidR="00780B44" w:rsidRPr="00EF2BAD">
        <w:rPr>
          <w:rFonts w:cs="Arial"/>
        </w:rPr>
        <w:t>Movants state</w:t>
      </w:r>
      <w:r>
        <w:rPr>
          <w:rFonts w:cs="Arial"/>
        </w:rPr>
        <w:t xml:space="preserve"> </w:t>
      </w:r>
      <w:r w:rsidR="00780B44">
        <w:rPr>
          <w:rFonts w:cs="Arial"/>
        </w:rPr>
        <w:t>they are customers of FirstEnergy Solutions Corp</w:t>
      </w:r>
      <w:r w:rsidR="00717873">
        <w:rPr>
          <w:rFonts w:cs="Arial"/>
        </w:rPr>
        <w:t>.</w:t>
      </w:r>
      <w:r w:rsidR="00780B44">
        <w:rPr>
          <w:rFonts w:cs="Arial"/>
        </w:rPr>
        <w:t xml:space="preserve"> (“FES”).  FES provides competitive retail electric services (“CRES”) under contracts with each </w:t>
      </w:r>
      <w:r w:rsidR="00780B44" w:rsidRPr="00EF2BAD">
        <w:rPr>
          <w:rFonts w:cs="Arial"/>
        </w:rPr>
        <w:t>Movant</w:t>
      </w:r>
      <w:r w:rsidR="00780B44">
        <w:rPr>
          <w:rFonts w:cs="Arial"/>
        </w:rPr>
        <w:t xml:space="preserve">.  </w:t>
      </w:r>
    </w:p>
    <w:p w:rsidR="008B58B8" w:rsidRDefault="00BC0470" w:rsidP="00FF0FC9">
      <w:pPr>
        <w:pStyle w:val="BodyText2"/>
        <w:rPr>
          <w:rFonts w:cs="Arial"/>
        </w:rPr>
      </w:pPr>
      <w:r>
        <w:rPr>
          <w:rFonts w:cs="Arial"/>
        </w:rPr>
        <w:t xml:space="preserve">On July 3, 2014, </w:t>
      </w:r>
      <w:r>
        <w:t>Ohio Schools Council, Ohio School Boards Association, Ohio Association of School Business Officials, and Buckeye Association of School Administrators, dba Power4Schools</w:t>
      </w:r>
      <w:r w:rsidRPr="00780B44">
        <w:rPr>
          <w:rFonts w:cs="Arial"/>
        </w:rPr>
        <w:t xml:space="preserve"> </w:t>
      </w:r>
      <w:r>
        <w:rPr>
          <w:rFonts w:cs="Arial"/>
        </w:rPr>
        <w:t>(“Complainants”) filed a multi-count complaint (“Complaint”) in this proceeding.  The Complaint alleges that certain of the Complainants’ participating members are customers of Ohio electric distribution utilities</w:t>
      </w:r>
      <w:r w:rsidR="00DA6004">
        <w:rPr>
          <w:rFonts w:cs="Arial"/>
        </w:rPr>
        <w:t xml:space="preserve"> (“EDU”)</w:t>
      </w:r>
      <w:r>
        <w:rPr>
          <w:rFonts w:cs="Arial"/>
        </w:rPr>
        <w:t xml:space="preserve"> </w:t>
      </w:r>
      <w:r w:rsidR="008B58B8">
        <w:rPr>
          <w:rFonts w:cs="Arial"/>
        </w:rPr>
        <w:t xml:space="preserve">and customers </w:t>
      </w:r>
      <w:r>
        <w:rPr>
          <w:rFonts w:cs="Arial"/>
        </w:rPr>
        <w:t xml:space="preserve">that receive </w:t>
      </w:r>
      <w:r w:rsidR="0069249F">
        <w:rPr>
          <w:rFonts w:cs="Arial"/>
        </w:rPr>
        <w:t>CRES</w:t>
      </w:r>
      <w:r>
        <w:rPr>
          <w:rFonts w:cs="Arial"/>
        </w:rPr>
        <w:t xml:space="preserve"> from FES, </w:t>
      </w:r>
      <w:r w:rsidR="00DA6004">
        <w:rPr>
          <w:rFonts w:cs="Arial"/>
        </w:rPr>
        <w:t>the Respondent in this proceeding.</w:t>
      </w:r>
      <w:r>
        <w:rPr>
          <w:rFonts w:cs="Arial"/>
        </w:rPr>
        <w:t xml:space="preserve"> </w:t>
      </w:r>
      <w:r w:rsidR="00DA6004">
        <w:rPr>
          <w:rFonts w:cs="Arial"/>
        </w:rPr>
        <w:t xml:space="preserve"> </w:t>
      </w:r>
    </w:p>
    <w:p w:rsidR="00DA6004" w:rsidRDefault="00DA6004" w:rsidP="00FF0FC9">
      <w:pPr>
        <w:pStyle w:val="BodyText2"/>
        <w:rPr>
          <w:rFonts w:cs="Arial"/>
        </w:rPr>
      </w:pPr>
      <w:r>
        <w:rPr>
          <w:rFonts w:cs="Arial"/>
        </w:rPr>
        <w:lastRenderedPageBreak/>
        <w:t>Movants are also</w:t>
      </w:r>
      <w:r w:rsidRPr="00DA6004">
        <w:rPr>
          <w:rFonts w:cs="Arial"/>
        </w:rPr>
        <w:t xml:space="preserve"> </w:t>
      </w:r>
      <w:r>
        <w:rPr>
          <w:rFonts w:cs="Arial"/>
        </w:rPr>
        <w:t xml:space="preserve">EDU </w:t>
      </w:r>
      <w:r w:rsidRPr="00DA6004">
        <w:rPr>
          <w:rFonts w:cs="Arial"/>
        </w:rPr>
        <w:t xml:space="preserve">customers </w:t>
      </w:r>
      <w:r>
        <w:rPr>
          <w:rFonts w:cs="Arial"/>
        </w:rPr>
        <w:t xml:space="preserve">and have received or are </w:t>
      </w:r>
      <w:r w:rsidRPr="00DA6004">
        <w:rPr>
          <w:rFonts w:cs="Arial"/>
        </w:rPr>
        <w:t>receiv</w:t>
      </w:r>
      <w:r>
        <w:rPr>
          <w:rFonts w:cs="Arial"/>
        </w:rPr>
        <w:t xml:space="preserve">ing </w:t>
      </w:r>
      <w:r w:rsidRPr="00DA6004">
        <w:rPr>
          <w:rFonts w:cs="Arial"/>
        </w:rPr>
        <w:t>competitive retail electric service from Respondent</w:t>
      </w:r>
      <w:r>
        <w:rPr>
          <w:rFonts w:cs="Arial"/>
        </w:rPr>
        <w:t xml:space="preserve"> pursuant to Customer Supply Agreements (“CSA”) that contain provisions either</w:t>
      </w:r>
      <w:r w:rsidR="008B58B8">
        <w:rPr>
          <w:rFonts w:cs="Arial"/>
        </w:rPr>
        <w:t xml:space="preserve"> identical to or substantially </w:t>
      </w:r>
      <w:r>
        <w:rPr>
          <w:rFonts w:cs="Arial"/>
        </w:rPr>
        <w:t>similar to the provisions described in the Complaint</w:t>
      </w:r>
      <w:r w:rsidRPr="00DA6004">
        <w:rPr>
          <w:rFonts w:cs="Arial"/>
        </w:rPr>
        <w:t>.</w:t>
      </w:r>
      <w:r>
        <w:rPr>
          <w:rFonts w:cs="Arial"/>
        </w:rPr>
        <w:t xml:space="preserve">  </w:t>
      </w:r>
    </w:p>
    <w:p w:rsidR="008B58B8" w:rsidRDefault="00DA6004" w:rsidP="00FF0FC9">
      <w:pPr>
        <w:pStyle w:val="BodyText2"/>
        <w:rPr>
          <w:rFonts w:cs="Arial"/>
        </w:rPr>
      </w:pPr>
      <w:r>
        <w:rPr>
          <w:rFonts w:cs="Arial"/>
        </w:rPr>
        <w:t xml:space="preserve">As more specifically described in the Complaint, FES has subjected or </w:t>
      </w:r>
      <w:r w:rsidR="00AC2C0A">
        <w:rPr>
          <w:rFonts w:cs="Arial"/>
        </w:rPr>
        <w:t xml:space="preserve">has threatened to </w:t>
      </w:r>
      <w:r>
        <w:rPr>
          <w:rFonts w:cs="Arial"/>
        </w:rPr>
        <w:t>subject Complainants’ participating members to an extra charge (called an “RTO Expense Surcharge”</w:t>
      </w:r>
      <w:r w:rsidR="008B58B8">
        <w:rPr>
          <w:rFonts w:cs="Arial"/>
        </w:rPr>
        <w:t>)</w:t>
      </w:r>
      <w:r>
        <w:rPr>
          <w:rFonts w:cs="Arial"/>
        </w:rPr>
        <w:t xml:space="preserve"> based on a claim by FES that it is entitled to pass-through certain </w:t>
      </w:r>
      <w:r w:rsidR="00AC2C0A">
        <w:rPr>
          <w:rFonts w:cs="Arial"/>
        </w:rPr>
        <w:t xml:space="preserve">costs which FES claims </w:t>
      </w:r>
      <w:r w:rsidR="008B58B8">
        <w:rPr>
          <w:rFonts w:cs="Arial"/>
        </w:rPr>
        <w:t xml:space="preserve">to have been </w:t>
      </w:r>
      <w:r w:rsidR="00AC2C0A">
        <w:rPr>
          <w:rFonts w:cs="Arial"/>
        </w:rPr>
        <w:t>billed by PJM Interconnection LLC</w:t>
      </w:r>
      <w:r w:rsidR="008B58B8">
        <w:rPr>
          <w:rFonts w:cs="Arial"/>
        </w:rPr>
        <w:t xml:space="preserve"> (“PJM”).</w:t>
      </w:r>
      <w:r w:rsidR="00AC2C0A">
        <w:rPr>
          <w:rFonts w:cs="Arial"/>
        </w:rPr>
        <w:t xml:space="preserve">  </w:t>
      </w:r>
    </w:p>
    <w:p w:rsidR="00780B44" w:rsidRPr="00780B44" w:rsidRDefault="00AC2C0A" w:rsidP="00FF0FC9">
      <w:pPr>
        <w:pStyle w:val="BodyText2"/>
        <w:rPr>
          <w:rFonts w:cs="Arial"/>
        </w:rPr>
      </w:pPr>
      <w:r>
        <w:rPr>
          <w:rFonts w:cs="Arial"/>
        </w:rPr>
        <w:t xml:space="preserve">FES </w:t>
      </w:r>
      <w:r w:rsidR="00EF2BAD">
        <w:rPr>
          <w:rFonts w:cs="Arial"/>
        </w:rPr>
        <w:t xml:space="preserve">also </w:t>
      </w:r>
      <w:r>
        <w:rPr>
          <w:rFonts w:cs="Arial"/>
        </w:rPr>
        <w:t>has subjected or has threatened to subject Movants to an extra charge</w:t>
      </w:r>
      <w:r w:rsidR="0069249F">
        <w:rPr>
          <w:rFonts w:cs="Arial"/>
        </w:rPr>
        <w:t>,</w:t>
      </w:r>
      <w:r>
        <w:rPr>
          <w:rFonts w:cs="Arial"/>
        </w:rPr>
        <w:t xml:space="preserve"> an RTO Expense Surcharge</w:t>
      </w:r>
      <w:r w:rsidR="0069249F">
        <w:rPr>
          <w:rFonts w:cs="Arial"/>
        </w:rPr>
        <w:t>,</w:t>
      </w:r>
      <w:r>
        <w:rPr>
          <w:rFonts w:cs="Arial"/>
        </w:rPr>
        <w:t xml:space="preserve"> based on a claim by FES that it is entitled to pass-through certain costs which FES claims that it has been billed by PJM.  Based on Movants</w:t>
      </w:r>
      <w:r w:rsidR="00D46DE6">
        <w:rPr>
          <w:rFonts w:cs="Arial"/>
        </w:rPr>
        <w:t>’</w:t>
      </w:r>
      <w:r>
        <w:rPr>
          <w:rFonts w:cs="Arial"/>
        </w:rPr>
        <w:t xml:space="preserve"> information or belief, non-residential customers of FES that are located throughout Ohio are similarly situated to Movants and Complainants with regard to the general efforts by FES to bill and collect an RTO Expense Surcharge.  </w:t>
      </w:r>
    </w:p>
    <w:p w:rsidR="000E2EFE" w:rsidRDefault="00780B44" w:rsidP="00FF0FC9">
      <w:pPr>
        <w:pStyle w:val="BodyText2"/>
        <w:rPr>
          <w:rFonts w:cs="Arial"/>
        </w:rPr>
      </w:pPr>
      <w:r w:rsidRPr="00780B44">
        <w:rPr>
          <w:rFonts w:cs="Arial"/>
        </w:rPr>
        <w:t xml:space="preserve">The </w:t>
      </w:r>
      <w:r w:rsidRPr="00EF2BAD">
        <w:rPr>
          <w:rFonts w:cs="Arial"/>
        </w:rPr>
        <w:t>Movant</w:t>
      </w:r>
      <w:r w:rsidRPr="00780B44">
        <w:rPr>
          <w:rFonts w:cs="Arial"/>
        </w:rPr>
        <w:t>s, individually, have</w:t>
      </w:r>
      <w:r w:rsidR="008B58B8">
        <w:rPr>
          <w:rFonts w:cs="Arial"/>
        </w:rPr>
        <w:t>, pursuant to the controlling CSA,</w:t>
      </w:r>
      <w:r w:rsidRPr="00780B44">
        <w:rPr>
          <w:rFonts w:cs="Arial"/>
        </w:rPr>
        <w:t xml:space="preserve"> </w:t>
      </w:r>
      <w:r w:rsidR="004776B9">
        <w:rPr>
          <w:rFonts w:cs="Arial"/>
        </w:rPr>
        <w:t xml:space="preserve">disputed </w:t>
      </w:r>
      <w:r w:rsidR="00AC2C0A">
        <w:rPr>
          <w:rFonts w:cs="Arial"/>
        </w:rPr>
        <w:t>FES’</w:t>
      </w:r>
      <w:r w:rsidR="00D46DE6">
        <w:rPr>
          <w:rFonts w:cs="Arial"/>
        </w:rPr>
        <w:t>s</w:t>
      </w:r>
      <w:r w:rsidR="00AC2C0A">
        <w:rPr>
          <w:rFonts w:cs="Arial"/>
        </w:rPr>
        <w:t xml:space="preserve"> </w:t>
      </w:r>
      <w:r w:rsidR="008B58B8">
        <w:rPr>
          <w:rFonts w:cs="Arial"/>
        </w:rPr>
        <w:t>right</w:t>
      </w:r>
      <w:r w:rsidR="00AC2C0A">
        <w:rPr>
          <w:rFonts w:cs="Arial"/>
        </w:rPr>
        <w:t xml:space="preserve"> to bill and collect </w:t>
      </w:r>
      <w:r w:rsidRPr="00780B44">
        <w:rPr>
          <w:rFonts w:cs="Arial"/>
        </w:rPr>
        <w:t xml:space="preserve">the RTO Expense Surcharge.  Some </w:t>
      </w:r>
      <w:r w:rsidRPr="00EF2BAD">
        <w:rPr>
          <w:rFonts w:cs="Arial"/>
        </w:rPr>
        <w:t>Movant</w:t>
      </w:r>
      <w:r w:rsidRPr="00780B44">
        <w:rPr>
          <w:rFonts w:cs="Arial"/>
        </w:rPr>
        <w:t xml:space="preserve">s have </w:t>
      </w:r>
      <w:r w:rsidR="004776B9">
        <w:rPr>
          <w:rFonts w:cs="Arial"/>
        </w:rPr>
        <w:t xml:space="preserve">also </w:t>
      </w:r>
      <w:r w:rsidRPr="00780B44">
        <w:rPr>
          <w:rFonts w:cs="Arial"/>
        </w:rPr>
        <w:t xml:space="preserve">withheld payment of the disputed amount, in accordance with their right to do so under their </w:t>
      </w:r>
      <w:r w:rsidR="004776B9">
        <w:rPr>
          <w:rFonts w:cs="Arial"/>
        </w:rPr>
        <w:t>C</w:t>
      </w:r>
      <w:r w:rsidR="00EF2BAD">
        <w:rPr>
          <w:rFonts w:cs="Arial"/>
        </w:rPr>
        <w:t>S</w:t>
      </w:r>
      <w:r w:rsidR="004776B9">
        <w:rPr>
          <w:rFonts w:cs="Arial"/>
        </w:rPr>
        <w:t>A</w:t>
      </w:r>
      <w:r w:rsidRPr="00780B44">
        <w:rPr>
          <w:rFonts w:cs="Arial"/>
        </w:rPr>
        <w:t xml:space="preserve"> with FES.  </w:t>
      </w:r>
      <w:r w:rsidR="00A76B78">
        <w:rPr>
          <w:rFonts w:cs="Arial"/>
        </w:rPr>
        <w:t>The</w:t>
      </w:r>
      <w:r w:rsidRPr="00780B44">
        <w:rPr>
          <w:rFonts w:cs="Arial"/>
        </w:rPr>
        <w:t xml:space="preserve"> </w:t>
      </w:r>
      <w:r w:rsidRPr="00EF2BAD">
        <w:rPr>
          <w:rFonts w:cs="Arial"/>
        </w:rPr>
        <w:t>Movant</w:t>
      </w:r>
      <w:r w:rsidRPr="00780B44">
        <w:rPr>
          <w:rFonts w:cs="Arial"/>
        </w:rPr>
        <w:t>s are current in their payments to both FES and their individual EDU or EDUs</w:t>
      </w:r>
      <w:r w:rsidR="00A76B78">
        <w:rPr>
          <w:rFonts w:cs="Arial"/>
        </w:rPr>
        <w:t xml:space="preserve"> although they may have withheld or </w:t>
      </w:r>
      <w:r w:rsidR="00D46DE6">
        <w:rPr>
          <w:rFonts w:cs="Arial"/>
        </w:rPr>
        <w:t xml:space="preserve">will </w:t>
      </w:r>
      <w:r w:rsidR="00A76B78">
        <w:rPr>
          <w:rFonts w:cs="Arial"/>
        </w:rPr>
        <w:t>withhold payment of the disputed amount of the RTO Surcharge Expense</w:t>
      </w:r>
      <w:r w:rsidRPr="00780B44">
        <w:rPr>
          <w:rFonts w:cs="Arial"/>
        </w:rPr>
        <w:t xml:space="preserve">.  </w:t>
      </w:r>
      <w:r w:rsidR="00AC2C0A">
        <w:rPr>
          <w:rFonts w:cs="Arial"/>
        </w:rPr>
        <w:t>Based on Movants’ information or belief, once they have notified FES that they dispute FES’</w:t>
      </w:r>
      <w:r w:rsidR="00EF2BAD">
        <w:rPr>
          <w:rFonts w:cs="Arial"/>
        </w:rPr>
        <w:t>s</w:t>
      </w:r>
      <w:r w:rsidR="00AC2C0A">
        <w:rPr>
          <w:rFonts w:cs="Arial"/>
        </w:rPr>
        <w:t xml:space="preserve"> </w:t>
      </w:r>
      <w:r w:rsidR="004776B9">
        <w:rPr>
          <w:rFonts w:cs="Arial"/>
        </w:rPr>
        <w:t xml:space="preserve">right </w:t>
      </w:r>
      <w:r w:rsidR="00AC2C0A">
        <w:rPr>
          <w:rFonts w:cs="Arial"/>
        </w:rPr>
        <w:t xml:space="preserve">to bill and collect the </w:t>
      </w:r>
      <w:r w:rsidRPr="00780B44">
        <w:rPr>
          <w:rFonts w:cs="Arial"/>
        </w:rPr>
        <w:t>RTO Expense Surcharge</w:t>
      </w:r>
      <w:r w:rsidR="00AC2C0A">
        <w:rPr>
          <w:rFonts w:cs="Arial"/>
        </w:rPr>
        <w:t>, Movants and all similarly situated customers may withhold payment of the disputed amount pending the resolution of the dispute.</w:t>
      </w:r>
      <w:r w:rsidRPr="00780B44">
        <w:rPr>
          <w:rFonts w:cs="Arial"/>
        </w:rPr>
        <w:t xml:space="preserve">  </w:t>
      </w:r>
      <w:r w:rsidR="00AC2C0A">
        <w:rPr>
          <w:rFonts w:cs="Arial"/>
        </w:rPr>
        <w:t xml:space="preserve">Based on Movants’ information </w:t>
      </w:r>
      <w:r w:rsidR="00AC2C0A">
        <w:rPr>
          <w:rFonts w:cs="Arial"/>
        </w:rPr>
        <w:lastRenderedPageBreak/>
        <w:t xml:space="preserve">or belief, once Movants </w:t>
      </w:r>
      <w:r w:rsidR="00F40ED9">
        <w:rPr>
          <w:rFonts w:cs="Arial"/>
        </w:rPr>
        <w:t xml:space="preserve">or any similarly situated customers </w:t>
      </w:r>
      <w:r w:rsidR="00AC2C0A">
        <w:rPr>
          <w:rFonts w:cs="Arial"/>
        </w:rPr>
        <w:t>have properly withheld payment of the disputed amount, the disputed amount is not due and payable and is, therefore</w:t>
      </w:r>
      <w:r w:rsidR="004776B9">
        <w:rPr>
          <w:rFonts w:cs="Arial"/>
        </w:rPr>
        <w:t>,</w:t>
      </w:r>
      <w:r w:rsidR="00AC2C0A">
        <w:rPr>
          <w:rFonts w:cs="Arial"/>
        </w:rPr>
        <w:t xml:space="preserve"> not </w:t>
      </w:r>
      <w:r w:rsidR="00F40ED9">
        <w:rPr>
          <w:rFonts w:cs="Arial"/>
        </w:rPr>
        <w:t>subject to late payment charges, penalties</w:t>
      </w:r>
      <w:r w:rsidR="00A76B78">
        <w:rPr>
          <w:rFonts w:cs="Arial"/>
        </w:rPr>
        <w:t>,</w:t>
      </w:r>
      <w:r w:rsidR="00F40ED9">
        <w:rPr>
          <w:rFonts w:cs="Arial"/>
        </w:rPr>
        <w:t xml:space="preserve"> or any other action by FES (or its billing and collection agents) that may be based on FES’</w:t>
      </w:r>
      <w:r w:rsidR="00DF4413">
        <w:rPr>
          <w:rFonts w:cs="Arial"/>
        </w:rPr>
        <w:t>s</w:t>
      </w:r>
      <w:r w:rsidR="00F40ED9">
        <w:rPr>
          <w:rFonts w:cs="Arial"/>
        </w:rPr>
        <w:t xml:space="preserve"> RTO Expense Surcharge claim and may adversely affect the interests of Movants or similarly situated customers.</w:t>
      </w:r>
      <w:r w:rsidRPr="00780B44">
        <w:rPr>
          <w:rFonts w:cs="Arial"/>
        </w:rPr>
        <w:t xml:space="preserve">  </w:t>
      </w:r>
    </w:p>
    <w:p w:rsidR="004776B9" w:rsidRDefault="00F40ED9" w:rsidP="00FF0FC9">
      <w:pPr>
        <w:pStyle w:val="BodyText2"/>
        <w:rPr>
          <w:rFonts w:cs="Arial"/>
        </w:rPr>
      </w:pPr>
      <w:r>
        <w:rPr>
          <w:rFonts w:cs="Arial"/>
        </w:rPr>
        <w:t>As part of their request for relief, Complainants have, among other things, asked the Commission to find that FES’</w:t>
      </w:r>
      <w:r w:rsidR="00EF2BAD">
        <w:rPr>
          <w:rFonts w:cs="Arial"/>
        </w:rPr>
        <w:t>s</w:t>
      </w:r>
      <w:r>
        <w:rPr>
          <w:rFonts w:cs="Arial"/>
        </w:rPr>
        <w:t xml:space="preserve"> </w:t>
      </w:r>
      <w:r w:rsidR="004776B9">
        <w:rPr>
          <w:rFonts w:cs="Arial"/>
        </w:rPr>
        <w:t xml:space="preserve">communications, </w:t>
      </w:r>
      <w:r>
        <w:rPr>
          <w:rFonts w:cs="Arial"/>
        </w:rPr>
        <w:t>bill</w:t>
      </w:r>
      <w:r w:rsidR="004776B9">
        <w:rPr>
          <w:rFonts w:cs="Arial"/>
        </w:rPr>
        <w:t>ing</w:t>
      </w:r>
      <w:r w:rsidR="00D46DE6">
        <w:rPr>
          <w:rFonts w:cs="Arial"/>
        </w:rPr>
        <w:t>,</w:t>
      </w:r>
      <w:r w:rsidR="004776B9">
        <w:rPr>
          <w:rFonts w:cs="Arial"/>
        </w:rPr>
        <w:t xml:space="preserve"> or collection of </w:t>
      </w:r>
      <w:r>
        <w:rPr>
          <w:rFonts w:cs="Arial"/>
        </w:rPr>
        <w:t>the RTO Expense Surcharge violate certain provisions of the Ohio Revised Code and Ohio Administrative Cod</w:t>
      </w:r>
      <w:bookmarkStart w:id="2" w:name="_GoBack"/>
      <w:bookmarkEnd w:id="2"/>
      <w:r>
        <w:rPr>
          <w:rFonts w:cs="Arial"/>
        </w:rPr>
        <w:t>e that apply to FES a</w:t>
      </w:r>
      <w:r w:rsidR="00AD0BE1">
        <w:rPr>
          <w:rFonts w:cs="Arial"/>
        </w:rPr>
        <w:t>s</w:t>
      </w:r>
      <w:r>
        <w:rPr>
          <w:rFonts w:cs="Arial"/>
        </w:rPr>
        <w:t xml:space="preserve"> a CRES provider.  This portion of Complainants</w:t>
      </w:r>
      <w:r w:rsidR="0069249F">
        <w:rPr>
          <w:rFonts w:cs="Arial"/>
        </w:rPr>
        <w:t>’</w:t>
      </w:r>
      <w:r>
        <w:rPr>
          <w:rFonts w:cs="Arial"/>
        </w:rPr>
        <w:t xml:space="preserve"> requested relief will or may, as a practical matter</w:t>
      </w:r>
      <w:r w:rsidR="00AD0BE1">
        <w:rPr>
          <w:rFonts w:cs="Arial"/>
        </w:rPr>
        <w:t>,</w:t>
      </w:r>
      <w:r>
        <w:rPr>
          <w:rFonts w:cs="Arial"/>
        </w:rPr>
        <w:t xml:space="preserve"> affect the interest of Movants</w:t>
      </w:r>
      <w:r w:rsidR="00AD0BE1">
        <w:rPr>
          <w:rFonts w:cs="Arial"/>
        </w:rPr>
        <w:t>.</w:t>
      </w:r>
      <w:r>
        <w:rPr>
          <w:rFonts w:cs="Arial"/>
        </w:rPr>
        <w:t xml:space="preserve"> </w:t>
      </w:r>
      <w:r w:rsidR="00AD0BE1">
        <w:rPr>
          <w:rFonts w:cs="Arial"/>
        </w:rPr>
        <w:t xml:space="preserve"> </w:t>
      </w:r>
    </w:p>
    <w:p w:rsidR="00F40ED9" w:rsidRDefault="00AD0BE1" w:rsidP="00FF0FC9">
      <w:pPr>
        <w:pStyle w:val="BodyText2"/>
        <w:rPr>
          <w:rFonts w:cs="Arial"/>
        </w:rPr>
      </w:pPr>
      <w:r>
        <w:rPr>
          <w:rFonts w:cs="Arial"/>
        </w:rPr>
        <w:t>The Complainants also request that the Commission suspend FES’</w:t>
      </w:r>
      <w:r w:rsidR="0069249F">
        <w:rPr>
          <w:rFonts w:cs="Arial"/>
        </w:rPr>
        <w:t>s</w:t>
      </w:r>
      <w:r>
        <w:rPr>
          <w:rFonts w:cs="Arial"/>
        </w:rPr>
        <w:t xml:space="preserve"> certificate to provide CRES in the State of Ohio.  This portion of the Complainants’ requested relief will, if granted by the Commission, affect all FES retail customers in Ohio including Movants.  To the extent that FES’</w:t>
      </w:r>
      <w:r w:rsidR="00EF2BAD">
        <w:rPr>
          <w:rFonts w:cs="Arial"/>
        </w:rPr>
        <w:t>s</w:t>
      </w:r>
      <w:r>
        <w:rPr>
          <w:rFonts w:cs="Arial"/>
        </w:rPr>
        <w:t xml:space="preserve"> CRES certificate is suspended</w:t>
      </w:r>
      <w:r w:rsidR="008B58B8">
        <w:rPr>
          <w:rFonts w:cs="Arial"/>
        </w:rPr>
        <w:t xml:space="preserve"> as Complainants have requested</w:t>
      </w:r>
      <w:r>
        <w:rPr>
          <w:rFonts w:cs="Arial"/>
        </w:rPr>
        <w:t xml:space="preserve">, </w:t>
      </w:r>
      <w:r w:rsidR="00D46DE6">
        <w:rPr>
          <w:rFonts w:cs="Arial"/>
        </w:rPr>
        <w:t xml:space="preserve">FES </w:t>
      </w:r>
      <w:r>
        <w:rPr>
          <w:rFonts w:cs="Arial"/>
        </w:rPr>
        <w:t xml:space="preserve">may </w:t>
      </w:r>
      <w:r w:rsidR="00DF4413">
        <w:rPr>
          <w:rFonts w:cs="Arial"/>
        </w:rPr>
        <w:t xml:space="preserve">be </w:t>
      </w:r>
      <w:r w:rsidR="008B58B8">
        <w:rPr>
          <w:rFonts w:cs="Arial"/>
        </w:rPr>
        <w:t xml:space="preserve">unable to perform in accordance with its existing retail service agreements since such certification is a condition for the provision of </w:t>
      </w:r>
      <w:r>
        <w:rPr>
          <w:rFonts w:cs="Arial"/>
        </w:rPr>
        <w:t>CRES in the S</w:t>
      </w:r>
      <w:r w:rsidR="008B58B8">
        <w:rPr>
          <w:rFonts w:cs="Arial"/>
        </w:rPr>
        <w:t>tate of Ohio.</w:t>
      </w:r>
    </w:p>
    <w:p w:rsidR="000E2EFE" w:rsidRDefault="00780B44">
      <w:pPr>
        <w:pStyle w:val="HTMLPreformatted"/>
        <w:spacing w:line="480" w:lineRule="auto"/>
        <w:ind w:firstLine="720"/>
        <w:jc w:val="both"/>
        <w:rPr>
          <w:rFonts w:ascii="Arial" w:hAnsi="Arial" w:cs="Arial"/>
          <w:sz w:val="24"/>
          <w:szCs w:val="24"/>
        </w:rPr>
      </w:pPr>
      <w:r w:rsidRPr="00EF2BAD">
        <w:rPr>
          <w:rFonts w:ascii="Arial" w:hAnsi="Arial" w:cs="Arial"/>
          <w:sz w:val="24"/>
          <w:szCs w:val="24"/>
        </w:rPr>
        <w:t>Movant</w:t>
      </w:r>
      <w:r>
        <w:rPr>
          <w:rFonts w:ascii="Arial" w:hAnsi="Arial" w:cs="Arial"/>
          <w:sz w:val="24"/>
          <w:szCs w:val="24"/>
        </w:rPr>
        <w:t>s</w:t>
      </w:r>
      <w:r w:rsidR="006352BD">
        <w:rPr>
          <w:rFonts w:ascii="Arial" w:hAnsi="Arial" w:cs="Arial"/>
          <w:sz w:val="24"/>
          <w:szCs w:val="24"/>
        </w:rPr>
        <w:t xml:space="preserve"> </w:t>
      </w:r>
      <w:r>
        <w:rPr>
          <w:rFonts w:ascii="Arial" w:hAnsi="Arial" w:cs="Arial"/>
          <w:sz w:val="24"/>
          <w:szCs w:val="24"/>
        </w:rPr>
        <w:t>have</w:t>
      </w:r>
      <w:r w:rsidR="006352BD">
        <w:rPr>
          <w:rFonts w:ascii="Arial" w:hAnsi="Arial" w:cs="Arial"/>
          <w:sz w:val="24"/>
          <w:szCs w:val="24"/>
        </w:rPr>
        <w:t xml:space="preserve"> a real and substantial interest in</w:t>
      </w:r>
      <w:r w:rsidR="00AD0BE1">
        <w:rPr>
          <w:rFonts w:ascii="Arial" w:hAnsi="Arial" w:cs="Arial"/>
          <w:sz w:val="24"/>
          <w:szCs w:val="24"/>
        </w:rPr>
        <w:t xml:space="preserve"> this proceeding.  The disposition of </w:t>
      </w:r>
      <w:r w:rsidR="00A76B78">
        <w:rPr>
          <w:rFonts w:ascii="Arial" w:hAnsi="Arial" w:cs="Arial"/>
          <w:sz w:val="24"/>
          <w:szCs w:val="24"/>
        </w:rPr>
        <w:t>the</w:t>
      </w:r>
      <w:r w:rsidR="00AD0BE1">
        <w:rPr>
          <w:rFonts w:ascii="Arial" w:hAnsi="Arial" w:cs="Arial"/>
          <w:sz w:val="24"/>
          <w:szCs w:val="24"/>
        </w:rPr>
        <w:t xml:space="preserve"> Complaint and the relief requested therein may, as a practical matter, impair or impede Movants</w:t>
      </w:r>
      <w:r w:rsidR="008B58B8">
        <w:rPr>
          <w:rFonts w:ascii="Arial" w:hAnsi="Arial" w:cs="Arial"/>
          <w:sz w:val="24"/>
          <w:szCs w:val="24"/>
        </w:rPr>
        <w:t>’</w:t>
      </w:r>
      <w:r w:rsidR="00AD0BE1">
        <w:rPr>
          <w:rFonts w:ascii="Arial" w:hAnsi="Arial" w:cs="Arial"/>
          <w:sz w:val="24"/>
          <w:szCs w:val="24"/>
        </w:rPr>
        <w:t xml:space="preserve"> ability to protect that substantial interest unless Movants </w:t>
      </w:r>
      <w:r w:rsidR="008B58B8">
        <w:rPr>
          <w:rFonts w:ascii="Arial" w:hAnsi="Arial" w:cs="Arial"/>
          <w:sz w:val="24"/>
          <w:szCs w:val="24"/>
        </w:rPr>
        <w:t xml:space="preserve">are able to intervene and participate in this proceeding.  Movants’ business </w:t>
      </w:r>
      <w:r w:rsidR="00AD0BE1">
        <w:rPr>
          <w:rFonts w:ascii="Arial" w:hAnsi="Arial" w:cs="Arial"/>
          <w:sz w:val="24"/>
          <w:szCs w:val="24"/>
        </w:rPr>
        <w:t>interest</w:t>
      </w:r>
      <w:r w:rsidR="008B58B8">
        <w:rPr>
          <w:rFonts w:ascii="Arial" w:hAnsi="Arial" w:cs="Arial"/>
          <w:sz w:val="24"/>
          <w:szCs w:val="24"/>
        </w:rPr>
        <w:t>s</w:t>
      </w:r>
      <w:r w:rsidR="00AD0BE1">
        <w:rPr>
          <w:rFonts w:ascii="Arial" w:hAnsi="Arial" w:cs="Arial"/>
          <w:sz w:val="24"/>
          <w:szCs w:val="24"/>
        </w:rPr>
        <w:t xml:space="preserve"> </w:t>
      </w:r>
      <w:r w:rsidR="008B58B8">
        <w:rPr>
          <w:rFonts w:ascii="Arial" w:hAnsi="Arial" w:cs="Arial"/>
          <w:sz w:val="24"/>
          <w:szCs w:val="24"/>
        </w:rPr>
        <w:t xml:space="preserve">are either </w:t>
      </w:r>
      <w:r w:rsidR="00AD0BE1">
        <w:rPr>
          <w:rFonts w:ascii="Arial" w:hAnsi="Arial" w:cs="Arial"/>
          <w:sz w:val="24"/>
          <w:szCs w:val="24"/>
        </w:rPr>
        <w:t xml:space="preserve">not </w:t>
      </w:r>
      <w:r w:rsidR="008B58B8">
        <w:rPr>
          <w:rFonts w:ascii="Arial" w:hAnsi="Arial" w:cs="Arial"/>
          <w:sz w:val="24"/>
          <w:szCs w:val="24"/>
        </w:rPr>
        <w:t xml:space="preserve">represented at all </w:t>
      </w:r>
      <w:r w:rsidR="004776B9">
        <w:rPr>
          <w:rFonts w:ascii="Arial" w:hAnsi="Arial" w:cs="Arial"/>
          <w:sz w:val="24"/>
          <w:szCs w:val="24"/>
        </w:rPr>
        <w:t xml:space="preserve">by Complainants </w:t>
      </w:r>
      <w:r w:rsidR="008B58B8">
        <w:rPr>
          <w:rFonts w:ascii="Arial" w:hAnsi="Arial" w:cs="Arial"/>
          <w:sz w:val="24"/>
          <w:szCs w:val="24"/>
        </w:rPr>
        <w:t xml:space="preserve">or are not </w:t>
      </w:r>
      <w:r w:rsidR="00AD0BE1">
        <w:rPr>
          <w:rFonts w:ascii="Arial" w:hAnsi="Arial" w:cs="Arial"/>
          <w:sz w:val="24"/>
          <w:szCs w:val="24"/>
        </w:rPr>
        <w:t xml:space="preserve">adequately represented by Complainants.  </w:t>
      </w:r>
      <w:r w:rsidR="004776B9">
        <w:rPr>
          <w:rFonts w:ascii="Arial" w:hAnsi="Arial" w:cs="Arial"/>
          <w:sz w:val="24"/>
          <w:szCs w:val="24"/>
        </w:rPr>
        <w:t>Based on Movants</w:t>
      </w:r>
      <w:r w:rsidR="00A76B78">
        <w:rPr>
          <w:rFonts w:ascii="Arial" w:hAnsi="Arial" w:cs="Arial"/>
          <w:sz w:val="24"/>
          <w:szCs w:val="24"/>
        </w:rPr>
        <w:t>’</w:t>
      </w:r>
      <w:r w:rsidR="004776B9">
        <w:rPr>
          <w:rFonts w:ascii="Arial" w:hAnsi="Arial" w:cs="Arial"/>
          <w:sz w:val="24"/>
          <w:szCs w:val="24"/>
        </w:rPr>
        <w:t xml:space="preserve"> experience with PJM and, more broadly, wholesale electric markets, </w:t>
      </w:r>
      <w:r w:rsidR="004776B9">
        <w:rPr>
          <w:rFonts w:ascii="Arial" w:hAnsi="Arial" w:cs="Arial"/>
          <w:sz w:val="24"/>
          <w:szCs w:val="24"/>
        </w:rPr>
        <w:lastRenderedPageBreak/>
        <w:t xml:space="preserve">Movants will significantly contribute to full development and equitable resolution of factual issues raised by </w:t>
      </w:r>
      <w:r w:rsidR="0069249F">
        <w:rPr>
          <w:rFonts w:ascii="Arial" w:hAnsi="Arial" w:cs="Arial"/>
          <w:sz w:val="24"/>
          <w:szCs w:val="24"/>
        </w:rPr>
        <w:t xml:space="preserve">the </w:t>
      </w:r>
      <w:r w:rsidR="004776B9">
        <w:rPr>
          <w:rFonts w:ascii="Arial" w:hAnsi="Arial" w:cs="Arial"/>
          <w:sz w:val="24"/>
          <w:szCs w:val="24"/>
        </w:rPr>
        <w:t xml:space="preserve">Complaint and the relief requested therein.  </w:t>
      </w:r>
      <w:r w:rsidR="00F83489">
        <w:rPr>
          <w:rFonts w:ascii="Arial" w:hAnsi="Arial" w:cs="Arial"/>
          <w:sz w:val="24"/>
          <w:szCs w:val="24"/>
        </w:rPr>
        <w:t xml:space="preserve">Additionally, and by separate motion, the Movants are seeking interim and preliminary orders </w:t>
      </w:r>
      <w:r w:rsidR="00F83489" w:rsidRPr="00F83489">
        <w:rPr>
          <w:rFonts w:ascii="Arial" w:eastAsia="Calibri" w:hAnsi="Arial" w:cs="Times New Roman"/>
          <w:sz w:val="24"/>
          <w:szCs w:val="24"/>
        </w:rPr>
        <w:t xml:space="preserve">to assure that they </w:t>
      </w:r>
      <w:r w:rsidR="00F83489">
        <w:rPr>
          <w:rFonts w:ascii="Arial" w:eastAsia="Calibri" w:hAnsi="Arial" w:cs="Times New Roman"/>
          <w:sz w:val="24"/>
          <w:szCs w:val="24"/>
        </w:rPr>
        <w:t xml:space="preserve">and similarly situated parties </w:t>
      </w:r>
      <w:r w:rsidR="00F83489" w:rsidRPr="00F83489">
        <w:rPr>
          <w:rFonts w:ascii="Arial" w:eastAsia="Calibri" w:hAnsi="Arial" w:cs="Times New Roman"/>
          <w:sz w:val="24"/>
          <w:szCs w:val="24"/>
        </w:rPr>
        <w:t>are not adversely affected while they and FES address the bona fide billing disputes regarding the RTO Expense Surcharge.</w:t>
      </w:r>
      <w:r w:rsidR="00F83489">
        <w:rPr>
          <w:rFonts w:ascii="Arial" w:eastAsia="Calibri" w:hAnsi="Arial" w:cs="Times New Roman"/>
          <w:sz w:val="24"/>
          <w:szCs w:val="24"/>
        </w:rPr>
        <w:t xml:space="preserve">  </w:t>
      </w:r>
      <w:r w:rsidR="00FF0FC9">
        <w:rPr>
          <w:rFonts w:ascii="Arial" w:hAnsi="Arial" w:cs="Arial"/>
          <w:sz w:val="24"/>
          <w:szCs w:val="24"/>
        </w:rPr>
        <w:t xml:space="preserve">Accordingly, </w:t>
      </w:r>
      <w:r w:rsidR="008B58B8">
        <w:rPr>
          <w:rFonts w:ascii="Arial" w:hAnsi="Arial" w:cs="Arial"/>
          <w:sz w:val="24"/>
          <w:szCs w:val="24"/>
        </w:rPr>
        <w:t xml:space="preserve">Movants urge the </w:t>
      </w:r>
      <w:r w:rsidR="00FF0FC9">
        <w:rPr>
          <w:rFonts w:ascii="Arial" w:hAnsi="Arial" w:cs="Arial"/>
          <w:sz w:val="24"/>
          <w:szCs w:val="24"/>
        </w:rPr>
        <w:t xml:space="preserve">Commission </w:t>
      </w:r>
      <w:r w:rsidR="008B58B8">
        <w:rPr>
          <w:rFonts w:ascii="Arial" w:hAnsi="Arial" w:cs="Arial"/>
          <w:sz w:val="24"/>
          <w:szCs w:val="24"/>
        </w:rPr>
        <w:t xml:space="preserve">to </w:t>
      </w:r>
      <w:r w:rsidR="00FF0FC9">
        <w:rPr>
          <w:rFonts w:ascii="Arial" w:hAnsi="Arial" w:cs="Arial"/>
          <w:sz w:val="24"/>
          <w:szCs w:val="24"/>
        </w:rPr>
        <w:t xml:space="preserve">grant the </w:t>
      </w:r>
      <w:r w:rsidR="00FF0FC9" w:rsidRPr="00EF2BAD">
        <w:rPr>
          <w:rFonts w:ascii="Arial" w:hAnsi="Arial" w:cs="Arial"/>
          <w:sz w:val="24"/>
          <w:szCs w:val="24"/>
        </w:rPr>
        <w:t>Movant</w:t>
      </w:r>
      <w:r w:rsidR="00FF0FC9">
        <w:rPr>
          <w:rFonts w:ascii="Arial" w:hAnsi="Arial" w:cs="Arial"/>
          <w:sz w:val="24"/>
          <w:szCs w:val="24"/>
        </w:rPr>
        <w:t xml:space="preserve">s’ Motion </w:t>
      </w:r>
      <w:r w:rsidR="008B58B8">
        <w:rPr>
          <w:rFonts w:ascii="Arial" w:hAnsi="Arial" w:cs="Arial"/>
          <w:sz w:val="24"/>
          <w:szCs w:val="24"/>
        </w:rPr>
        <w:t xml:space="preserve">to </w:t>
      </w:r>
      <w:r w:rsidR="00FF0FC9">
        <w:rPr>
          <w:rFonts w:ascii="Arial" w:hAnsi="Arial" w:cs="Arial"/>
          <w:sz w:val="24"/>
          <w:szCs w:val="24"/>
        </w:rPr>
        <w:t>Interven</w:t>
      </w:r>
      <w:r w:rsidR="0069249F">
        <w:rPr>
          <w:rFonts w:ascii="Arial" w:hAnsi="Arial" w:cs="Arial"/>
          <w:sz w:val="24"/>
          <w:szCs w:val="24"/>
        </w:rPr>
        <w:t>e</w:t>
      </w:r>
      <w:r w:rsidR="00FF0FC9">
        <w:rPr>
          <w:rFonts w:ascii="Arial" w:hAnsi="Arial" w:cs="Arial"/>
          <w:sz w:val="24"/>
          <w:szCs w:val="24"/>
        </w:rPr>
        <w:t>.</w:t>
      </w:r>
    </w:p>
    <w:p w:rsidR="000E2EFE" w:rsidRDefault="006352BD">
      <w:pPr>
        <w:tabs>
          <w:tab w:val="left" w:pos="4320"/>
          <w:tab w:val="right" w:pos="8640"/>
        </w:tabs>
        <w:jc w:val="both"/>
        <w:rPr>
          <w:rFonts w:ascii="Arial" w:hAnsi="Arial" w:cs="Arial"/>
        </w:rPr>
      </w:pPr>
      <w:r>
        <w:rPr>
          <w:rFonts w:ascii="Arial" w:hAnsi="Arial" w:cs="Arial"/>
        </w:rPr>
        <w:tab/>
        <w:t>Respectfully submitted,</w:t>
      </w:r>
    </w:p>
    <w:p w:rsidR="000E2EFE" w:rsidRDefault="000E2EFE">
      <w:pPr>
        <w:tabs>
          <w:tab w:val="left" w:pos="4320"/>
          <w:tab w:val="right" w:pos="8640"/>
        </w:tabs>
        <w:jc w:val="both"/>
        <w:rPr>
          <w:rFonts w:ascii="Arial" w:hAnsi="Arial" w:cs="Arial"/>
        </w:rPr>
      </w:pPr>
    </w:p>
    <w:p w:rsidR="000E2EFE" w:rsidRDefault="000E2EFE">
      <w:pPr>
        <w:tabs>
          <w:tab w:val="left" w:pos="4320"/>
          <w:tab w:val="right" w:pos="8640"/>
        </w:tabs>
        <w:jc w:val="both"/>
        <w:rPr>
          <w:rFonts w:ascii="Arial" w:hAnsi="Arial" w:cs="Arial"/>
        </w:rPr>
      </w:pPr>
    </w:p>
    <w:p w:rsidR="00D00701" w:rsidRDefault="00D00701" w:rsidP="00D00701">
      <w:pPr>
        <w:tabs>
          <w:tab w:val="left" w:pos="4320"/>
          <w:tab w:val="right" w:pos="8640"/>
        </w:tabs>
        <w:ind w:left="4320"/>
        <w:jc w:val="both"/>
        <w:rPr>
          <w:rFonts w:ascii="Arial" w:hAnsi="Arial" w:cs="Arial"/>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4776B9" w:rsidRDefault="00D00701" w:rsidP="00D00701">
      <w:pPr>
        <w:widowControl w:val="0"/>
        <w:tabs>
          <w:tab w:val="left" w:pos="4320"/>
        </w:tabs>
        <w:ind w:left="4320"/>
        <w:rPr>
          <w:rFonts w:ascii="Arial" w:eastAsiaTheme="minorHAnsi" w:hAnsi="Arial" w:cs="Arial"/>
          <w:bCs/>
        </w:rPr>
      </w:pPr>
      <w:r w:rsidRPr="00D00701">
        <w:rPr>
          <w:rFonts w:ascii="Arial" w:eastAsiaTheme="minorHAnsi" w:hAnsi="Arial" w:cs="Arial"/>
          <w:bCs/>
        </w:rPr>
        <w:t xml:space="preserve">Frank P. Darr </w:t>
      </w:r>
    </w:p>
    <w:p w:rsidR="00D00701" w:rsidRPr="00D00701" w:rsidRDefault="004776B9"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r w:rsidRPr="00D00701">
        <w:rPr>
          <w:rFonts w:ascii="Arial" w:eastAsiaTheme="minorHAnsi" w:hAnsi="Arial" w:cs="Arial"/>
          <w:bCs/>
        </w:rPr>
        <w:t xml:space="preserve"> </w:t>
      </w:r>
      <w:r w:rsidR="00D00701" w:rsidRPr="00D00701">
        <w:rPr>
          <w:rFonts w:ascii="Arial" w:eastAsiaTheme="minorHAnsi" w:hAnsi="Arial" w:cs="Arial"/>
          <w:bCs/>
        </w:rPr>
        <w:t>(Reg. No. 0025469)</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D00701" w:rsidRPr="003D4F39" w:rsidRDefault="006E6BCA"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16" w:history="1">
        <w:r w:rsidR="00D00701" w:rsidRPr="003D4F39">
          <w:rPr>
            <w:rStyle w:val="Hyperlink"/>
            <w:rFonts w:ascii="Arial" w:eastAsiaTheme="minorHAnsi" w:hAnsi="Arial" w:cs="Arial"/>
            <w:color w:val="000000" w:themeColor="text1"/>
            <w:u w:val="none"/>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Default="00D00701" w:rsidP="00D00701">
      <w:pPr>
        <w:tabs>
          <w:tab w:val="left" w:pos="4320"/>
          <w:tab w:val="right" w:pos="8640"/>
        </w:tabs>
        <w:ind w:left="4320"/>
        <w:jc w:val="both"/>
      </w:pPr>
    </w:p>
    <w:p w:rsidR="00D00701" w:rsidRDefault="00D00701" w:rsidP="00D00701">
      <w:pPr>
        <w:tabs>
          <w:tab w:val="left" w:pos="4320"/>
          <w:tab w:val="right" w:pos="8640"/>
        </w:tabs>
        <w:jc w:val="both"/>
      </w:pPr>
    </w:p>
    <w:p w:rsidR="00D00701" w:rsidRPr="00346121" w:rsidRDefault="00D00701" w:rsidP="00D00701">
      <w:pPr>
        <w:pStyle w:val="Title"/>
        <w:tabs>
          <w:tab w:val="left" w:pos="4320"/>
        </w:tabs>
        <w:jc w:val="left"/>
        <w:rPr>
          <w:rFonts w:ascii="Arial Bold" w:hAnsi="Arial Bold"/>
          <w:sz w:val="24"/>
        </w:rPr>
      </w:pPr>
      <w:r>
        <w:rPr>
          <w:smallCaps w:val="0"/>
          <w:sz w:val="24"/>
        </w:rPr>
        <w:tab/>
      </w:r>
      <w:r w:rsidRPr="00346121">
        <w:rPr>
          <w:rFonts w:ascii="Arial Bold" w:hAnsi="Arial Bold"/>
          <w:sz w:val="24"/>
        </w:rPr>
        <w:t xml:space="preserve">Attorneys for </w:t>
      </w:r>
      <w:r w:rsidR="00F87A39" w:rsidRPr="00346121">
        <w:rPr>
          <w:rFonts w:ascii="Arial Bold" w:hAnsi="Arial Bold"/>
          <w:sz w:val="24"/>
        </w:rPr>
        <w:t>Movants</w:t>
      </w:r>
    </w:p>
    <w:p w:rsidR="000E2EFE" w:rsidRDefault="000E2EFE" w:rsidP="00D00701">
      <w:pPr>
        <w:tabs>
          <w:tab w:val="left" w:pos="4320"/>
          <w:tab w:val="right" w:pos="8640"/>
        </w:tabs>
        <w:jc w:val="both"/>
        <w:rPr>
          <w:smallCaps/>
        </w:rPr>
      </w:pPr>
    </w:p>
    <w:p w:rsidR="008C3388" w:rsidRDefault="008C3388">
      <w:pPr>
        <w:pStyle w:val="Title"/>
        <w:tabs>
          <w:tab w:val="left" w:pos="4320"/>
        </w:tabs>
        <w:jc w:val="left"/>
        <w:rPr>
          <w:smallCaps w:val="0"/>
          <w:sz w:val="24"/>
        </w:rPr>
      </w:pPr>
    </w:p>
    <w:p w:rsidR="000E2EFE" w:rsidRDefault="000E2EFE">
      <w:pPr>
        <w:tabs>
          <w:tab w:val="left" w:pos="2160"/>
          <w:tab w:val="left" w:pos="2280"/>
        </w:tabs>
        <w:jc w:val="center"/>
        <w:rPr>
          <w:rFonts w:ascii="Arial" w:hAnsi="Arial" w:cs="Arial"/>
          <w:b/>
        </w:rPr>
        <w:sectPr w:rsidR="000E2EFE" w:rsidSect="008C3388">
          <w:headerReference w:type="default"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p>
    <w:p w:rsidR="000E2EFE" w:rsidRDefault="006352BD">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0E2EFE" w:rsidRDefault="000E2EFE">
      <w:pPr>
        <w:rPr>
          <w:rFonts w:ascii="Arial" w:hAnsi="Arial" w:cs="Arial"/>
        </w:rPr>
      </w:pPr>
    </w:p>
    <w:p w:rsidR="00193965" w:rsidRDefault="00A27B4A" w:rsidP="00193965">
      <w:pPr>
        <w:pStyle w:val="BodyText"/>
        <w:spacing w:line="480" w:lineRule="auto"/>
        <w:ind w:firstLine="720"/>
        <w:rPr>
          <w:b/>
          <w:smallCaps/>
        </w:rPr>
      </w:pPr>
      <w:r>
        <w:t>In a</w:t>
      </w:r>
      <w:r w:rsidR="00193965">
        <w:t>ccordance with Rule 4901-1</w:t>
      </w:r>
      <w:r>
        <w:t>-05, Ohio Administrative Code, th</w:t>
      </w:r>
      <w:r w:rsidR="00193965">
        <w:t>e P</w:t>
      </w:r>
      <w:r w:rsidR="003D4F39">
        <w:t xml:space="preserve">ublic </w:t>
      </w:r>
      <w:r w:rsidR="00193965">
        <w:t>U</w:t>
      </w:r>
      <w:r w:rsidR="003D4F39">
        <w:t xml:space="preserve">tilities </w:t>
      </w:r>
      <w:r w:rsidR="00193965">
        <w:t>C</w:t>
      </w:r>
      <w:r w:rsidR="003D4F39">
        <w:t xml:space="preserve">ommission of </w:t>
      </w:r>
      <w:r w:rsidR="00193965">
        <w:t>O</w:t>
      </w:r>
      <w:r w:rsidR="003D4F39">
        <w:t>hio</w:t>
      </w:r>
      <w:r w:rsidR="00193965">
        <w:t>'s e-filing system will electronically serve notice of the filing of this docum</w:t>
      </w:r>
      <w:r>
        <w:t>ent upon the following parties.</w:t>
      </w:r>
      <w:r w:rsidR="00193965">
        <w:t xml:space="preserve">  In addition, I hereby certify that a service copy of the foregoing </w:t>
      </w:r>
      <w:r w:rsidR="00193965">
        <w:rPr>
          <w:i/>
        </w:rPr>
        <w:t xml:space="preserve">Motion to Intervene of </w:t>
      </w:r>
      <w:r w:rsidR="00F57462" w:rsidRPr="00F57462">
        <w:rPr>
          <w:i/>
        </w:rPr>
        <w:t>Navco Enterpri</w:t>
      </w:r>
      <w:r w:rsidR="003D4F39">
        <w:rPr>
          <w:i/>
        </w:rPr>
        <w:t>s</w:t>
      </w:r>
      <w:r w:rsidR="00F57462" w:rsidRPr="00F57462">
        <w:rPr>
          <w:i/>
        </w:rPr>
        <w:t>es.Com, Inc., Navco Enterprises of P</w:t>
      </w:r>
      <w:r w:rsidR="003D4F39">
        <w:rPr>
          <w:i/>
        </w:rPr>
        <w:t>.</w:t>
      </w:r>
      <w:r w:rsidR="00F57462" w:rsidRPr="00F57462">
        <w:rPr>
          <w:i/>
        </w:rPr>
        <w:t>V</w:t>
      </w:r>
      <w:r w:rsidR="003D4F39">
        <w:rPr>
          <w:i/>
        </w:rPr>
        <w:t>.</w:t>
      </w:r>
      <w:r w:rsidR="00F57462" w:rsidRPr="00F57462">
        <w:rPr>
          <w:i/>
        </w:rPr>
        <w:t xml:space="preserve">, Inc., Navco Enterprises, Inc., Foodlife </w:t>
      </w:r>
      <w:r w:rsidR="003D4F39">
        <w:rPr>
          <w:i/>
        </w:rPr>
        <w:t>International</w:t>
      </w:r>
      <w:r w:rsidR="00F57462" w:rsidRPr="00F57462">
        <w:rPr>
          <w:i/>
        </w:rPr>
        <w:t>, Inc., Navco Enterprises of O</w:t>
      </w:r>
      <w:r w:rsidR="003D4F39">
        <w:rPr>
          <w:i/>
        </w:rPr>
        <w:t>.</w:t>
      </w:r>
      <w:r w:rsidR="00F57462" w:rsidRPr="00F57462">
        <w:rPr>
          <w:i/>
        </w:rPr>
        <w:t>V</w:t>
      </w:r>
      <w:r w:rsidR="003D4F39">
        <w:rPr>
          <w:i/>
        </w:rPr>
        <w:t>.</w:t>
      </w:r>
      <w:r w:rsidR="00F57462" w:rsidRPr="00F57462">
        <w:rPr>
          <w:i/>
        </w:rPr>
        <w:t xml:space="preserve">, Inc., </w:t>
      </w:r>
      <w:r w:rsidR="003D4F39">
        <w:rPr>
          <w:i/>
        </w:rPr>
        <w:t xml:space="preserve">and </w:t>
      </w:r>
      <w:r w:rsidR="00F57462" w:rsidRPr="00F57462">
        <w:rPr>
          <w:i/>
        </w:rPr>
        <w:t>Navco of York Road, Inc.</w:t>
      </w:r>
      <w:r w:rsidR="0069249F" w:rsidRPr="0069249F">
        <w:rPr>
          <w:i/>
        </w:rPr>
        <w:t xml:space="preserve"> </w:t>
      </w:r>
      <w:r w:rsidR="00193965">
        <w:t xml:space="preserve">was sent by, or on behalf of, the undersigned counsel for </w:t>
      </w:r>
      <w:r w:rsidR="00961F86" w:rsidRPr="00EF2BAD">
        <w:t>Movant</w:t>
      </w:r>
      <w:r w:rsidR="00961F86">
        <w:t>s</w:t>
      </w:r>
      <w:r w:rsidR="00193965">
        <w:t xml:space="preserve"> to the following parties of record this </w:t>
      </w:r>
      <w:r w:rsidR="007C2763">
        <w:t>21st</w:t>
      </w:r>
      <w:r w:rsidR="00961F86">
        <w:t xml:space="preserve"> </w:t>
      </w:r>
      <w:r w:rsidR="00193965">
        <w:t xml:space="preserve">day of </w:t>
      </w:r>
      <w:r w:rsidR="009D7C49">
        <w:t>July</w:t>
      </w:r>
      <w:r w:rsidR="00193965">
        <w:t xml:space="preserve"> 2014, </w:t>
      </w:r>
      <w:r w:rsidR="00193965">
        <w:rPr>
          <w:i/>
        </w:rPr>
        <w:t>via</w:t>
      </w:r>
      <w:r w:rsidR="00193965">
        <w:t xml:space="preserve"> electronic transmission. </w:t>
      </w:r>
    </w:p>
    <w:p w:rsidR="000E2EFE" w:rsidRDefault="000E2EFE"/>
    <w:p w:rsidR="000E2EFE" w:rsidRDefault="006352BD">
      <w:pPr>
        <w:tabs>
          <w:tab w:val="right" w:pos="8640"/>
        </w:tabs>
        <w:ind w:left="5040"/>
        <w:rPr>
          <w:rFonts w:ascii="Arial" w:hAnsi="Arial" w:cs="Arial"/>
          <w:u w:val="single"/>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0E2EFE" w:rsidRDefault="009D7C49" w:rsidP="009D7C49">
      <w:pPr>
        <w:tabs>
          <w:tab w:val="right" w:pos="8640"/>
        </w:tabs>
        <w:ind w:left="5760"/>
        <w:rPr>
          <w:rFonts w:ascii="Arial" w:hAnsi="Arial" w:cs="Arial"/>
          <w:u w:val="single"/>
        </w:rPr>
      </w:pPr>
      <w:r>
        <w:rPr>
          <w:rFonts w:ascii="Arial" w:hAnsi="Arial" w:cs="Arial"/>
        </w:rPr>
        <w:t>Frank P. Darr</w:t>
      </w:r>
    </w:p>
    <w:p w:rsidR="000E2EFE" w:rsidRDefault="000E2EFE">
      <w:pPr>
        <w:tabs>
          <w:tab w:val="left" w:pos="2160"/>
          <w:tab w:val="left" w:pos="2280"/>
        </w:tabs>
        <w:rPr>
          <w:rFonts w:ascii="Arial" w:hAnsi="Arial" w:cs="Arial"/>
        </w:rPr>
      </w:pPr>
    </w:p>
    <w:p w:rsidR="000E2EFE" w:rsidRDefault="000E2EFE">
      <w:pPr>
        <w:tabs>
          <w:tab w:val="left" w:pos="2160"/>
          <w:tab w:val="left" w:pos="2280"/>
        </w:tabs>
        <w:rPr>
          <w:rFonts w:ascii="Arial" w:hAnsi="Arial" w:cs="Arial"/>
        </w:rPr>
      </w:pPr>
    </w:p>
    <w:p w:rsidR="000E2EFE" w:rsidRDefault="000E2EFE">
      <w:pPr>
        <w:autoSpaceDE w:val="0"/>
        <w:autoSpaceDN w:val="0"/>
        <w:adjustRightInd w:val="0"/>
        <w:rPr>
          <w:rFonts w:ascii="Arial" w:eastAsiaTheme="minorHAnsi" w:hAnsi="Arial" w:cs="Arial"/>
        </w:rPr>
        <w:sectPr w:rsidR="000E2EFE">
          <w:headerReference w:type="default" r:id="rId21"/>
          <w:footerReference w:type="default" r:id="rId22"/>
          <w:headerReference w:type="first" r:id="rId23"/>
          <w:footerReference w:type="first" r:id="rId24"/>
          <w:pgSz w:w="12240" w:h="15840" w:code="1"/>
          <w:pgMar w:top="1440" w:right="1440" w:bottom="1141" w:left="1440" w:header="720" w:footer="720" w:gutter="0"/>
          <w:pgNumType w:start="1"/>
          <w:cols w:space="720"/>
          <w:titlePg/>
          <w:docGrid w:linePitch="326"/>
        </w:sectPr>
      </w:pPr>
    </w:p>
    <w:p w:rsidR="0085613D" w:rsidRPr="0085613D" w:rsidRDefault="0085613D" w:rsidP="0085613D">
      <w:pPr>
        <w:jc w:val="both"/>
        <w:rPr>
          <w:rFonts w:ascii="Arial" w:eastAsia="Calibri" w:hAnsi="Arial" w:cs="Arial"/>
        </w:rPr>
      </w:pPr>
      <w:r w:rsidRPr="0085613D">
        <w:rPr>
          <w:rFonts w:ascii="Arial" w:eastAsia="Calibri" w:hAnsi="Arial" w:cs="Arial"/>
        </w:rPr>
        <w:lastRenderedPageBreak/>
        <w:t>Dane Stinson</w:t>
      </w:r>
    </w:p>
    <w:p w:rsidR="0085613D" w:rsidRPr="0085613D" w:rsidRDefault="0085613D" w:rsidP="0085613D">
      <w:pPr>
        <w:jc w:val="both"/>
        <w:rPr>
          <w:rFonts w:ascii="Arial" w:eastAsia="Calibri" w:hAnsi="Arial" w:cs="Arial"/>
        </w:rPr>
      </w:pPr>
      <w:r w:rsidRPr="0085613D">
        <w:rPr>
          <w:rFonts w:ascii="Arial" w:eastAsia="Calibri" w:hAnsi="Arial" w:cs="Arial"/>
        </w:rPr>
        <w:t>Bricker and Eckler LLP</w:t>
      </w:r>
    </w:p>
    <w:p w:rsidR="0085613D" w:rsidRPr="0085613D" w:rsidRDefault="0085613D" w:rsidP="0085613D">
      <w:pPr>
        <w:jc w:val="both"/>
        <w:rPr>
          <w:rFonts w:ascii="Arial" w:eastAsia="Calibri" w:hAnsi="Arial" w:cs="Arial"/>
        </w:rPr>
      </w:pPr>
      <w:r w:rsidRPr="0085613D">
        <w:rPr>
          <w:rFonts w:ascii="Arial" w:eastAsia="Calibri" w:hAnsi="Arial" w:cs="Arial"/>
        </w:rPr>
        <w:t>100 South Third Street</w:t>
      </w:r>
    </w:p>
    <w:p w:rsidR="0085613D" w:rsidRPr="0085613D" w:rsidRDefault="0085613D" w:rsidP="0085613D">
      <w:pPr>
        <w:jc w:val="both"/>
        <w:rPr>
          <w:rFonts w:ascii="Arial" w:eastAsia="Calibri" w:hAnsi="Arial" w:cs="Arial"/>
        </w:rPr>
      </w:pPr>
      <w:r w:rsidRPr="0085613D">
        <w:rPr>
          <w:rFonts w:ascii="Arial" w:eastAsia="Calibri" w:hAnsi="Arial" w:cs="Arial"/>
        </w:rPr>
        <w:t>Columbus, Ohio 43215</w:t>
      </w:r>
    </w:p>
    <w:p w:rsidR="0085613D" w:rsidRPr="0085613D" w:rsidRDefault="0085613D" w:rsidP="0085613D">
      <w:pPr>
        <w:jc w:val="both"/>
        <w:rPr>
          <w:rFonts w:ascii="Arial" w:eastAsia="Calibri" w:hAnsi="Arial" w:cs="Arial"/>
        </w:rPr>
      </w:pPr>
      <w:r w:rsidRPr="0085613D">
        <w:rPr>
          <w:rFonts w:ascii="Arial" w:eastAsia="Calibri" w:hAnsi="Arial" w:cs="Arial"/>
        </w:rPr>
        <w:t>Dstinson @bricker.com</w:t>
      </w:r>
    </w:p>
    <w:p w:rsidR="0085613D" w:rsidRPr="0085613D" w:rsidRDefault="0085613D" w:rsidP="0085613D">
      <w:pPr>
        <w:jc w:val="both"/>
        <w:rPr>
          <w:rFonts w:ascii="Arial" w:eastAsia="Calibri" w:hAnsi="Arial" w:cs="Arial"/>
        </w:rPr>
      </w:pPr>
    </w:p>
    <w:p w:rsidR="0085613D" w:rsidRPr="0085613D" w:rsidRDefault="0085613D" w:rsidP="0085613D">
      <w:pPr>
        <w:jc w:val="both"/>
        <w:rPr>
          <w:rFonts w:ascii="Arial" w:eastAsia="Calibri" w:hAnsi="Arial" w:cs="Arial"/>
        </w:rPr>
      </w:pPr>
      <w:r w:rsidRPr="0085613D">
        <w:rPr>
          <w:rFonts w:ascii="Arial" w:eastAsia="Calibri" w:hAnsi="Arial" w:cs="Arial"/>
        </w:rPr>
        <w:t>Glenn S. Krassen</w:t>
      </w:r>
    </w:p>
    <w:p w:rsidR="0085613D" w:rsidRPr="0085613D" w:rsidRDefault="0085613D" w:rsidP="0085613D">
      <w:pPr>
        <w:jc w:val="both"/>
        <w:rPr>
          <w:rFonts w:ascii="Arial" w:eastAsia="Calibri" w:hAnsi="Arial" w:cs="Arial"/>
        </w:rPr>
      </w:pPr>
      <w:r w:rsidRPr="0085613D">
        <w:rPr>
          <w:rFonts w:ascii="Arial" w:eastAsia="Calibri" w:hAnsi="Arial" w:cs="Arial"/>
        </w:rPr>
        <w:t>Bricker and Eckler</w:t>
      </w:r>
    </w:p>
    <w:p w:rsidR="0085613D" w:rsidRPr="0085613D" w:rsidRDefault="00817158" w:rsidP="0085613D">
      <w:pPr>
        <w:jc w:val="both"/>
        <w:rPr>
          <w:rFonts w:ascii="Arial" w:eastAsia="Calibri" w:hAnsi="Arial" w:cs="Arial"/>
        </w:rPr>
      </w:pPr>
      <w:r>
        <w:rPr>
          <w:rFonts w:ascii="Arial" w:eastAsia="Calibri" w:hAnsi="Arial" w:cs="Arial"/>
        </w:rPr>
        <w:t>1001 Lakeside Avenue</w:t>
      </w:r>
      <w:r w:rsidR="0085613D" w:rsidRPr="0085613D">
        <w:rPr>
          <w:rFonts w:ascii="Arial" w:eastAsia="Calibri" w:hAnsi="Arial" w:cs="Arial"/>
        </w:rPr>
        <w:t>, Suite 1350</w:t>
      </w:r>
    </w:p>
    <w:p w:rsidR="0085613D" w:rsidRPr="0085613D" w:rsidRDefault="0085613D" w:rsidP="0085613D">
      <w:pPr>
        <w:jc w:val="both"/>
        <w:rPr>
          <w:rFonts w:ascii="Arial" w:eastAsia="Calibri" w:hAnsi="Arial" w:cs="Arial"/>
        </w:rPr>
      </w:pPr>
      <w:r w:rsidRPr="0085613D">
        <w:rPr>
          <w:rFonts w:ascii="Arial" w:eastAsia="Calibri" w:hAnsi="Arial" w:cs="Arial"/>
        </w:rPr>
        <w:t>Cleveland, Ohio 44114</w:t>
      </w:r>
    </w:p>
    <w:p w:rsidR="00BD240F" w:rsidRPr="00BD240F" w:rsidRDefault="006E6BCA" w:rsidP="0085613D">
      <w:pPr>
        <w:jc w:val="both"/>
        <w:rPr>
          <w:rFonts w:ascii="Arial" w:eastAsia="Calibri" w:hAnsi="Arial" w:cs="Arial"/>
        </w:rPr>
      </w:pPr>
      <w:hyperlink r:id="rId25" w:history="1">
        <w:r w:rsidR="00BD240F" w:rsidRPr="005E67E0">
          <w:rPr>
            <w:rStyle w:val="Hyperlink"/>
            <w:rFonts w:ascii="Arial" w:eastAsia="Calibri" w:hAnsi="Arial" w:cs="Arial"/>
            <w:color w:val="auto"/>
            <w:u w:val="none"/>
          </w:rPr>
          <w:t>gkrassen@bricker.com</w:t>
        </w:r>
      </w:hyperlink>
    </w:p>
    <w:p w:rsidR="00BD240F" w:rsidRDefault="00BD240F" w:rsidP="0085613D">
      <w:pPr>
        <w:jc w:val="both"/>
        <w:rPr>
          <w:rFonts w:ascii="Arial" w:eastAsia="Calibri" w:hAnsi="Arial" w:cs="Arial"/>
        </w:rPr>
      </w:pPr>
    </w:p>
    <w:p w:rsidR="0085613D" w:rsidRPr="003D4F39" w:rsidRDefault="0085613D" w:rsidP="0085613D">
      <w:pPr>
        <w:jc w:val="both"/>
        <w:rPr>
          <w:rFonts w:ascii="Arial Bold" w:eastAsia="Calibri" w:hAnsi="Arial Bold" w:cs="Arial"/>
          <w:b/>
          <w:smallCaps/>
        </w:rPr>
      </w:pPr>
      <w:r w:rsidRPr="003D4F39">
        <w:rPr>
          <w:rFonts w:ascii="Arial Bold" w:eastAsia="Calibri" w:hAnsi="Arial Bold" w:cs="Arial"/>
          <w:b/>
          <w:smallCaps/>
        </w:rPr>
        <w:t>Counsel for Complainants</w:t>
      </w:r>
    </w:p>
    <w:p w:rsidR="0085613D" w:rsidRPr="0085613D" w:rsidRDefault="0085613D" w:rsidP="0085613D">
      <w:pPr>
        <w:jc w:val="both"/>
        <w:rPr>
          <w:rFonts w:ascii="Arial" w:eastAsia="Calibri" w:hAnsi="Arial" w:cs="Arial"/>
        </w:rPr>
      </w:pPr>
    </w:p>
    <w:p w:rsidR="0085613D" w:rsidRPr="0085613D" w:rsidRDefault="0085613D" w:rsidP="0085613D">
      <w:pPr>
        <w:jc w:val="both"/>
        <w:rPr>
          <w:rFonts w:ascii="Arial" w:eastAsia="Calibri" w:hAnsi="Arial" w:cs="Arial"/>
        </w:rPr>
      </w:pPr>
      <w:r w:rsidRPr="0085613D">
        <w:rPr>
          <w:rFonts w:ascii="Arial" w:eastAsia="Calibri" w:hAnsi="Arial" w:cs="Arial"/>
        </w:rPr>
        <w:t>FirstEnergy Solutions Corp.</w:t>
      </w:r>
    </w:p>
    <w:p w:rsidR="0085613D" w:rsidRPr="0085613D" w:rsidRDefault="0085613D" w:rsidP="0085613D">
      <w:pPr>
        <w:jc w:val="both"/>
        <w:rPr>
          <w:rFonts w:ascii="Arial" w:eastAsia="Calibri" w:hAnsi="Arial" w:cs="Arial"/>
        </w:rPr>
      </w:pPr>
      <w:r w:rsidRPr="0085613D">
        <w:rPr>
          <w:rFonts w:ascii="Arial" w:eastAsia="Calibri" w:hAnsi="Arial" w:cs="Arial"/>
        </w:rPr>
        <w:t>341 White Pond Drive</w:t>
      </w:r>
    </w:p>
    <w:p w:rsidR="0085613D" w:rsidRPr="0085613D" w:rsidRDefault="0085613D" w:rsidP="0085613D">
      <w:pPr>
        <w:jc w:val="both"/>
        <w:rPr>
          <w:rFonts w:ascii="Arial" w:eastAsia="Calibri" w:hAnsi="Arial" w:cs="Arial"/>
        </w:rPr>
      </w:pPr>
      <w:r w:rsidRPr="0085613D">
        <w:rPr>
          <w:rFonts w:ascii="Arial" w:eastAsia="Calibri" w:hAnsi="Arial" w:cs="Arial"/>
        </w:rPr>
        <w:t>Akron, Ohio 44320</w:t>
      </w:r>
    </w:p>
    <w:p w:rsidR="00BD240F" w:rsidRDefault="00BD240F" w:rsidP="0085613D">
      <w:pPr>
        <w:rPr>
          <w:rFonts w:ascii="Arial" w:eastAsia="Calibri" w:hAnsi="Arial" w:cs="Arial"/>
        </w:rPr>
      </w:pPr>
    </w:p>
    <w:p w:rsidR="007E0267" w:rsidRDefault="0085613D" w:rsidP="0085613D">
      <w:pPr>
        <w:rPr>
          <w:rFonts w:ascii="Arial" w:eastAsiaTheme="minorHAnsi" w:hAnsi="Arial" w:cs="Arial"/>
          <w:bCs/>
        </w:rPr>
      </w:pPr>
      <w:r w:rsidRPr="003D4F39">
        <w:rPr>
          <w:rFonts w:ascii="Arial" w:eastAsia="Calibri" w:hAnsi="Arial" w:cs="Arial"/>
          <w:b/>
          <w:smallCaps/>
        </w:rPr>
        <w:t>Respondent</w:t>
      </w:r>
      <w:r w:rsidR="00817158">
        <w:rPr>
          <w:rFonts w:ascii="Arial" w:eastAsia="Calibri" w:hAnsi="Arial" w:cs="Arial"/>
          <w:b/>
          <w:smallCaps/>
        </w:rPr>
        <w:br w:type="column"/>
      </w:r>
      <w:r w:rsidR="00817158">
        <w:rPr>
          <w:rFonts w:ascii="Arial" w:eastAsia="Calibri" w:hAnsi="Arial" w:cs="Arial"/>
          <w:smallCaps/>
        </w:rPr>
        <w:lastRenderedPageBreak/>
        <w:t>F</w:t>
      </w:r>
      <w:r w:rsidR="00817158">
        <w:rPr>
          <w:rFonts w:ascii="Arial" w:eastAsia="Calibri" w:hAnsi="Arial" w:cs="Arial"/>
        </w:rPr>
        <w:t>rank P. Darr (</w:t>
      </w:r>
      <w:r w:rsidR="00817158" w:rsidRPr="00D00701">
        <w:rPr>
          <w:rFonts w:ascii="Arial" w:eastAsiaTheme="minorHAnsi" w:hAnsi="Arial" w:cs="Arial"/>
          <w:bCs/>
        </w:rPr>
        <w:t>Reg. No. 0025469</w:t>
      </w:r>
      <w:r w:rsidR="00817158">
        <w:rPr>
          <w:rFonts w:ascii="Arial" w:eastAsiaTheme="minorHAnsi" w:hAnsi="Arial" w:cs="Arial"/>
          <w:bCs/>
        </w:rPr>
        <w:t>)</w:t>
      </w:r>
    </w:p>
    <w:p w:rsidR="00817158" w:rsidRDefault="00817158" w:rsidP="0085613D">
      <w:pPr>
        <w:rPr>
          <w:rFonts w:ascii="Arial" w:eastAsiaTheme="minorHAnsi" w:hAnsi="Arial" w:cs="Arial"/>
          <w:bCs/>
        </w:rPr>
      </w:pPr>
      <w:r>
        <w:rPr>
          <w:rFonts w:ascii="Arial" w:eastAsiaTheme="minorHAnsi" w:hAnsi="Arial" w:cs="Arial"/>
          <w:bCs/>
        </w:rPr>
        <w:t>(Counsel of Record)</w:t>
      </w:r>
    </w:p>
    <w:p w:rsidR="00817158" w:rsidRDefault="00817158" w:rsidP="0085613D">
      <w:pPr>
        <w:rPr>
          <w:rFonts w:ascii="Arial" w:eastAsiaTheme="minorHAnsi" w:hAnsi="Arial" w:cs="Arial"/>
          <w:bCs/>
        </w:rPr>
      </w:pPr>
      <w:r>
        <w:rPr>
          <w:rFonts w:ascii="Arial" w:eastAsiaTheme="minorHAnsi" w:hAnsi="Arial" w:cs="Arial"/>
          <w:bCs/>
        </w:rPr>
        <w:t xml:space="preserve">Matthew R. Pritchard </w:t>
      </w:r>
    </w:p>
    <w:p w:rsidR="00817158" w:rsidRDefault="00817158" w:rsidP="0085613D">
      <w:pPr>
        <w:rPr>
          <w:rFonts w:ascii="Arial" w:eastAsiaTheme="minorHAnsi" w:hAnsi="Arial" w:cs="Arial"/>
          <w:bCs/>
        </w:rPr>
      </w:pPr>
      <w:r>
        <w:rPr>
          <w:rFonts w:ascii="Arial" w:eastAsiaTheme="minorHAnsi" w:hAnsi="Arial" w:cs="Arial"/>
          <w:bCs/>
        </w:rPr>
        <w:t xml:space="preserve">(Reg. No. </w:t>
      </w:r>
      <w:r w:rsidRPr="00D00701">
        <w:rPr>
          <w:rFonts w:ascii="Arial" w:eastAsiaTheme="minorHAnsi" w:hAnsi="Arial" w:cs="Arial"/>
          <w:bCs/>
        </w:rPr>
        <w:t>0088070</w:t>
      </w:r>
      <w:r>
        <w:rPr>
          <w:rFonts w:ascii="Arial" w:eastAsiaTheme="minorHAnsi" w:hAnsi="Arial" w:cs="Arial"/>
          <w:bCs/>
        </w:rPr>
        <w:t>)</w:t>
      </w:r>
    </w:p>
    <w:p w:rsidR="00817158" w:rsidRDefault="00817158" w:rsidP="0085613D">
      <w:pPr>
        <w:rPr>
          <w:rFonts w:ascii="Arial" w:eastAsiaTheme="minorHAnsi" w:hAnsi="Arial" w:cs="Arial"/>
          <w:bCs/>
        </w:rPr>
      </w:pPr>
      <w:r>
        <w:rPr>
          <w:rFonts w:ascii="Arial" w:eastAsiaTheme="minorHAnsi" w:hAnsi="Arial" w:cs="Arial"/>
          <w:bCs/>
        </w:rPr>
        <w:t>McNees Wallace &amp; Nurick</w:t>
      </w:r>
    </w:p>
    <w:p w:rsidR="00817158" w:rsidRDefault="00817158" w:rsidP="0085613D">
      <w:pPr>
        <w:rPr>
          <w:rFonts w:ascii="Arial" w:eastAsiaTheme="minorHAnsi" w:hAnsi="Arial" w:cs="Arial"/>
          <w:bCs/>
        </w:rPr>
      </w:pPr>
      <w:r>
        <w:rPr>
          <w:rFonts w:ascii="Arial" w:eastAsiaTheme="minorHAnsi" w:hAnsi="Arial" w:cs="Arial"/>
          <w:bCs/>
        </w:rPr>
        <w:t>21 East State Street, 17</w:t>
      </w:r>
      <w:r w:rsidRPr="00817158">
        <w:rPr>
          <w:rFonts w:ascii="Arial" w:eastAsiaTheme="minorHAnsi" w:hAnsi="Arial" w:cs="Arial"/>
          <w:bCs/>
          <w:vertAlign w:val="superscript"/>
        </w:rPr>
        <w:t>th</w:t>
      </w:r>
      <w:r>
        <w:rPr>
          <w:rFonts w:ascii="Arial" w:eastAsiaTheme="minorHAnsi" w:hAnsi="Arial" w:cs="Arial"/>
          <w:bCs/>
        </w:rPr>
        <w:t xml:space="preserve"> Floor</w:t>
      </w:r>
    </w:p>
    <w:p w:rsidR="00817158" w:rsidRDefault="00817158" w:rsidP="0085613D">
      <w:pPr>
        <w:rPr>
          <w:rFonts w:ascii="Arial" w:eastAsiaTheme="minorHAnsi" w:hAnsi="Arial" w:cs="Arial"/>
          <w:bCs/>
        </w:rPr>
      </w:pPr>
      <w:r>
        <w:rPr>
          <w:rFonts w:ascii="Arial" w:eastAsiaTheme="minorHAnsi" w:hAnsi="Arial" w:cs="Arial"/>
          <w:bCs/>
        </w:rPr>
        <w:t>Columbus, Ohio  43215</w:t>
      </w:r>
    </w:p>
    <w:p w:rsidR="00817158" w:rsidRDefault="00817158" w:rsidP="0085613D">
      <w:pPr>
        <w:rPr>
          <w:rFonts w:ascii="Arial" w:eastAsiaTheme="minorHAnsi" w:hAnsi="Arial" w:cs="Arial"/>
          <w:bCs/>
        </w:rPr>
      </w:pPr>
      <w:r>
        <w:rPr>
          <w:rFonts w:ascii="Arial" w:eastAsiaTheme="minorHAnsi" w:hAnsi="Arial" w:cs="Arial"/>
          <w:bCs/>
        </w:rPr>
        <w:t>fdarr@mwncmh.com</w:t>
      </w:r>
    </w:p>
    <w:p w:rsidR="00817158" w:rsidRPr="00817158" w:rsidRDefault="00817158" w:rsidP="0085613D">
      <w:pPr>
        <w:rPr>
          <w:rFonts w:ascii="Arial" w:eastAsia="Calibri" w:hAnsi="Arial" w:cs="Arial"/>
        </w:rPr>
      </w:pPr>
      <w:r>
        <w:rPr>
          <w:rFonts w:ascii="Arial" w:eastAsia="Calibri" w:hAnsi="Arial" w:cs="Arial"/>
        </w:rPr>
        <w:t>mpritchard@mwncmh.com</w:t>
      </w:r>
    </w:p>
    <w:p w:rsidR="00817158" w:rsidRDefault="00817158" w:rsidP="0085613D">
      <w:pPr>
        <w:rPr>
          <w:rFonts w:ascii="Arial" w:eastAsia="Calibri" w:hAnsi="Arial" w:cs="Arial"/>
          <w:b/>
          <w:smallCaps/>
        </w:rPr>
      </w:pPr>
    </w:p>
    <w:p w:rsidR="00817158" w:rsidRPr="00817158" w:rsidRDefault="00817158" w:rsidP="0085613D">
      <w:pPr>
        <w:rPr>
          <w:rFonts w:ascii="Arial" w:eastAsia="Calibri" w:hAnsi="Arial" w:cs="Arial"/>
          <w:smallCaps/>
        </w:rPr>
      </w:pPr>
      <w:r>
        <w:rPr>
          <w:rFonts w:ascii="Arial Bold" w:hAnsi="Arial Bold"/>
          <w:smallCaps/>
        </w:rPr>
        <w:t xml:space="preserve">Counsel for The Timken Company, Marathon Petroleum Company, Wausau Paper Towel and Tissue, LLC, ASHTA Chemicals, Inc., Columbus Castings, </w:t>
      </w:r>
      <w:r w:rsidRPr="00E6368C">
        <w:rPr>
          <w:rFonts w:ascii="Arial Bold" w:hAnsi="Arial Bold"/>
          <w:smallCaps/>
        </w:rPr>
        <w:t xml:space="preserve">Lincoln Electric Company, Delphi Corporation, </w:t>
      </w:r>
      <w:r>
        <w:rPr>
          <w:rFonts w:ascii="Arial Bold" w:hAnsi="Arial Bold"/>
          <w:smallCaps/>
        </w:rPr>
        <w:t>and Landmark Plastic Corporation</w:t>
      </w:r>
    </w:p>
    <w:sectPr w:rsidR="00817158" w:rsidRPr="00817158">
      <w:headerReference w:type="default" r:id="rId26"/>
      <w:footerReference w:type="default" r:id="rId27"/>
      <w:headerReference w:type="first" r:id="rId28"/>
      <w:footerReference w:type="first" r:id="rId29"/>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FE" w:rsidRDefault="006352BD">
      <w:r>
        <w:separator/>
      </w:r>
    </w:p>
  </w:endnote>
  <w:endnote w:type="continuationSeparator" w:id="0">
    <w:p w:rsidR="000E2EFE" w:rsidRDefault="0063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Default="006352BD">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EFE" w:rsidRDefault="000E2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Pr="001A56EA" w:rsidRDefault="006E6BCA">
    <w:pPr>
      <w:pStyle w:val="Footer"/>
      <w:rPr>
        <w:rFonts w:ascii="Arial" w:hAnsi="Arial" w:cs="Arial"/>
      </w:rPr>
    </w:pPr>
    <w:r w:rsidRPr="006E6BCA">
      <w:rPr>
        <w:rFonts w:ascii="Arial" w:hAnsi="Arial" w:cs="Arial"/>
        <w:noProof/>
        <w:sz w:val="16"/>
      </w:rPr>
      <w:t>{C44239:2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Pr="008C3388" w:rsidRDefault="006E6BCA">
    <w:pPr>
      <w:pStyle w:val="Footer"/>
      <w:rPr>
        <w:rFonts w:ascii="Arial" w:hAnsi="Arial" w:cs="Arial"/>
      </w:rPr>
    </w:pPr>
    <w:r w:rsidRPr="006E6BCA">
      <w:rPr>
        <w:rFonts w:ascii="Arial" w:hAnsi="Arial" w:cs="Arial"/>
        <w:noProof/>
        <w:sz w:val="16"/>
      </w:rPr>
      <w:t>{C44239:2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1A56EA" w:rsidRDefault="006E6BCA" w:rsidP="00810ED3">
    <w:pPr>
      <w:pStyle w:val="Footer"/>
    </w:pPr>
    <w:r w:rsidRPr="006E6BCA">
      <w:rPr>
        <w:noProof/>
        <w:sz w:val="16"/>
      </w:rPr>
      <w:t>{C44239:2 }</w:t>
    </w:r>
    <w:sdt>
      <w:sdtPr>
        <w:id w:val="2070918159"/>
        <w:docPartObj>
          <w:docPartGallery w:val="Page Numbers (Bottom of Page)"/>
          <w:docPartUnique/>
        </w:docPartObj>
      </w:sdtPr>
      <w:sdtEndPr>
        <w:rPr>
          <w:noProof/>
        </w:rPr>
      </w:sdtEndPr>
      <w:sdtContent>
        <w:r w:rsidR="00810ED3">
          <w:tab/>
        </w:r>
        <w:r w:rsidR="001A56EA" w:rsidRPr="001A56EA">
          <w:rPr>
            <w:rFonts w:ascii="Arial" w:hAnsi="Arial" w:cs="Arial"/>
          </w:rPr>
          <w:fldChar w:fldCharType="begin"/>
        </w:r>
        <w:r w:rsidR="001A56EA" w:rsidRPr="001A56EA">
          <w:rPr>
            <w:rFonts w:ascii="Arial" w:hAnsi="Arial" w:cs="Arial"/>
          </w:rPr>
          <w:instrText xml:space="preserve"> PAGE   \* MERGEFORMAT </w:instrText>
        </w:r>
        <w:r w:rsidR="001A56EA" w:rsidRPr="001A56EA">
          <w:rPr>
            <w:rFonts w:ascii="Arial" w:hAnsi="Arial" w:cs="Arial"/>
          </w:rPr>
          <w:fldChar w:fldCharType="separate"/>
        </w:r>
        <w:r>
          <w:rPr>
            <w:rFonts w:ascii="Arial" w:hAnsi="Arial" w:cs="Arial"/>
            <w:noProof/>
          </w:rPr>
          <w:t>6</w:t>
        </w:r>
        <w:r w:rsidR="001A56EA" w:rsidRPr="001A56EA">
          <w:rPr>
            <w:rFonts w:ascii="Arial" w:hAnsi="Arial" w:cs="Arial"/>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D4" w:rsidRPr="00F31AD4" w:rsidRDefault="006E6BCA" w:rsidP="00F31AD4">
    <w:pPr>
      <w:pStyle w:val="Footer"/>
      <w:rPr>
        <w:rFonts w:ascii="Arial" w:hAnsi="Arial" w:cs="Arial"/>
        <w:noProof/>
        <w:sz w:val="16"/>
      </w:rPr>
    </w:pPr>
    <w:r w:rsidRPr="006E6BCA">
      <w:rPr>
        <w:rFonts w:ascii="Arial" w:hAnsi="Arial" w:cs="Arial"/>
        <w:noProof/>
        <w:sz w:val="16"/>
      </w:rPr>
      <w:t>{C44239:2 }</w:t>
    </w:r>
  </w:p>
  <w:p w:rsidR="008C3388" w:rsidRPr="008C3388" w:rsidRDefault="008C3388" w:rsidP="001A56EA">
    <w:pPr>
      <w:pStyle w:val="Footer"/>
      <w:jc w:val="center"/>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1A56EA" w:rsidRDefault="006E6BCA">
    <w:pPr>
      <w:pStyle w:val="Footer"/>
      <w:jc w:val="center"/>
    </w:pPr>
    <w:r w:rsidRPr="006E6BCA">
      <w:rPr>
        <w:noProof/>
        <w:sz w:val="16"/>
      </w:rPr>
      <w:t>{C44239:2 }</w:t>
    </w:r>
    <w:sdt>
      <w:sdtPr>
        <w:id w:val="-181204815"/>
        <w:docPartObj>
          <w:docPartGallery w:val="Page Numbers (Bottom of Page)"/>
          <w:docPartUnique/>
        </w:docPartObj>
      </w:sdtPr>
      <w:sdtEndPr>
        <w:rPr>
          <w:noProof/>
        </w:rPr>
      </w:sdtEndPr>
      <w:sdtContent>
        <w:r w:rsidR="001A56EA" w:rsidRPr="001A56EA">
          <w:fldChar w:fldCharType="begin"/>
        </w:r>
        <w:r w:rsidR="001A56EA" w:rsidRPr="001A56EA">
          <w:instrText xml:space="preserve"> PAGE   \* MERGEFORMAT </w:instrText>
        </w:r>
        <w:r w:rsidR="001A56EA" w:rsidRPr="001A56EA">
          <w:fldChar w:fldCharType="separate"/>
        </w:r>
        <w:r w:rsidR="001A56EA" w:rsidRPr="001A56EA">
          <w:rPr>
            <w:noProof/>
          </w:rPr>
          <w:t>2</w:t>
        </w:r>
        <w:r w:rsidR="001A56EA" w:rsidRPr="001A56EA">
          <w:rPr>
            <w:noProof/>
          </w:rPr>
          <w:fldChar w:fldCharType="end"/>
        </w:r>
      </w:sdtContent>
    </w:sdt>
  </w:p>
  <w:p w:rsidR="001A56EA" w:rsidRPr="001A56EA" w:rsidRDefault="001A56EA">
    <w:pPr>
      <w:pStyle w:val="Footer"/>
      <w:rPr>
        <w:rFonts w:ascii="Arial" w:hAnsi="Arial"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88" w:rsidRPr="008C3388" w:rsidRDefault="006E6BCA">
    <w:pPr>
      <w:pStyle w:val="Footer"/>
      <w:rPr>
        <w:rFonts w:ascii="Arial" w:hAnsi="Arial" w:cs="Arial"/>
      </w:rPr>
    </w:pPr>
    <w:r w:rsidRPr="006E6BCA">
      <w:rPr>
        <w:rFonts w:ascii="Arial" w:hAnsi="Arial" w:cs="Arial"/>
        <w:noProof/>
        <w:sz w:val="16"/>
      </w:rPr>
      <w:t>{C44239:2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88" w:rsidRPr="008C3388" w:rsidRDefault="006E6BCA" w:rsidP="00F31AD4">
    <w:pPr>
      <w:pStyle w:val="Footer"/>
      <w:rPr>
        <w:rFonts w:ascii="Arial" w:hAnsi="Arial" w:cs="Arial"/>
      </w:rPr>
    </w:pPr>
    <w:r w:rsidRPr="006E6BCA">
      <w:rPr>
        <w:rFonts w:ascii="Arial" w:hAnsi="Arial" w:cs="Arial"/>
        <w:noProof/>
        <w:sz w:val="16"/>
      </w:rPr>
      <w:t>{C44239:2 }</w:t>
    </w:r>
  </w:p>
  <w:p w:rsidR="008C3388" w:rsidRPr="008C3388" w:rsidRDefault="008C3388">
    <w:pPr>
      <w:pStyle w:val="Footer"/>
      <w:rPr>
        <w:rFonts w:ascii="Arial" w:hAnsi="Arial" w:cs="Ari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8C3388" w:rsidRDefault="006E6BCA">
    <w:pPr>
      <w:pStyle w:val="Footer"/>
      <w:rPr>
        <w:rFonts w:ascii="Arial" w:hAnsi="Arial" w:cs="Arial"/>
      </w:rPr>
    </w:pPr>
    <w:r w:rsidRPr="006E6BCA">
      <w:rPr>
        <w:rFonts w:ascii="Arial" w:hAnsi="Arial" w:cs="Arial"/>
        <w:noProof/>
        <w:sz w:val="16"/>
      </w:rPr>
      <w:t>{C44239:2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FE" w:rsidRDefault="006352BD">
      <w:pPr>
        <w:rPr>
          <w:noProof/>
        </w:rPr>
      </w:pPr>
      <w:r>
        <w:rPr>
          <w:noProof/>
        </w:rPr>
        <w:separator/>
      </w:r>
    </w:p>
  </w:footnote>
  <w:footnote w:type="continuationSeparator" w:id="0">
    <w:p w:rsidR="000E2EFE" w:rsidRDefault="0063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FE"/>
    <w:rsid w:val="000E12E5"/>
    <w:rsid w:val="000E2EFE"/>
    <w:rsid w:val="00101787"/>
    <w:rsid w:val="00193965"/>
    <w:rsid w:val="001A56EA"/>
    <w:rsid w:val="001D0341"/>
    <w:rsid w:val="00261ABC"/>
    <w:rsid w:val="00267CC7"/>
    <w:rsid w:val="00334292"/>
    <w:rsid w:val="00346121"/>
    <w:rsid w:val="00392ABB"/>
    <w:rsid w:val="003D4F39"/>
    <w:rsid w:val="00421A62"/>
    <w:rsid w:val="00423DBA"/>
    <w:rsid w:val="004776B9"/>
    <w:rsid w:val="005E1700"/>
    <w:rsid w:val="005E67E0"/>
    <w:rsid w:val="006352BD"/>
    <w:rsid w:val="0069249F"/>
    <w:rsid w:val="006E6BCA"/>
    <w:rsid w:val="00717873"/>
    <w:rsid w:val="00780B44"/>
    <w:rsid w:val="007C2763"/>
    <w:rsid w:val="007D5F5B"/>
    <w:rsid w:val="007E0267"/>
    <w:rsid w:val="00810ED3"/>
    <w:rsid w:val="00817158"/>
    <w:rsid w:val="0085613D"/>
    <w:rsid w:val="008A7869"/>
    <w:rsid w:val="008B58B8"/>
    <w:rsid w:val="008C3388"/>
    <w:rsid w:val="008E3C0E"/>
    <w:rsid w:val="00961F86"/>
    <w:rsid w:val="009B6CF7"/>
    <w:rsid w:val="009D7C49"/>
    <w:rsid w:val="00A05668"/>
    <w:rsid w:val="00A27B4A"/>
    <w:rsid w:val="00A76B78"/>
    <w:rsid w:val="00AC2C0A"/>
    <w:rsid w:val="00AD0BE1"/>
    <w:rsid w:val="00BC0470"/>
    <w:rsid w:val="00BD240F"/>
    <w:rsid w:val="00C616F4"/>
    <w:rsid w:val="00CD4D58"/>
    <w:rsid w:val="00D00701"/>
    <w:rsid w:val="00D46DE6"/>
    <w:rsid w:val="00DA6004"/>
    <w:rsid w:val="00DF4413"/>
    <w:rsid w:val="00E340B4"/>
    <w:rsid w:val="00E5050D"/>
    <w:rsid w:val="00EA41FC"/>
    <w:rsid w:val="00EF2BAD"/>
    <w:rsid w:val="00F111CF"/>
    <w:rsid w:val="00F15BE4"/>
    <w:rsid w:val="00F31AD4"/>
    <w:rsid w:val="00F40ED9"/>
    <w:rsid w:val="00F57462"/>
    <w:rsid w:val="00F83489"/>
    <w:rsid w:val="00F87A39"/>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table" w:styleId="TableGrid">
    <w:name w:val="Table Grid"/>
    <w:basedOn w:val="TableNormal"/>
    <w:uiPriority w:val="59"/>
    <w:rsid w:val="009B6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0470"/>
    <w:rPr>
      <w:sz w:val="16"/>
      <w:szCs w:val="16"/>
    </w:rPr>
  </w:style>
  <w:style w:type="paragraph" w:styleId="CommentText">
    <w:name w:val="annotation text"/>
    <w:basedOn w:val="Normal"/>
    <w:link w:val="CommentTextChar"/>
    <w:uiPriority w:val="99"/>
    <w:semiHidden/>
    <w:unhideWhenUsed/>
    <w:rsid w:val="00BC0470"/>
    <w:rPr>
      <w:sz w:val="20"/>
      <w:szCs w:val="20"/>
    </w:rPr>
  </w:style>
  <w:style w:type="character" w:customStyle="1" w:styleId="CommentTextChar">
    <w:name w:val="Comment Text Char"/>
    <w:basedOn w:val="DefaultParagraphFont"/>
    <w:link w:val="CommentText"/>
    <w:uiPriority w:val="99"/>
    <w:semiHidden/>
    <w:rsid w:val="00BC0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70"/>
    <w:rPr>
      <w:b/>
      <w:bCs/>
    </w:rPr>
  </w:style>
  <w:style w:type="character" w:customStyle="1" w:styleId="CommentSubjectChar">
    <w:name w:val="Comment Subject Char"/>
    <w:basedOn w:val="CommentTextChar"/>
    <w:link w:val="CommentSubject"/>
    <w:uiPriority w:val="99"/>
    <w:semiHidden/>
    <w:rsid w:val="00BC047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table" w:styleId="TableGrid">
    <w:name w:val="Table Grid"/>
    <w:basedOn w:val="TableNormal"/>
    <w:uiPriority w:val="59"/>
    <w:rsid w:val="009B6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0470"/>
    <w:rPr>
      <w:sz w:val="16"/>
      <w:szCs w:val="16"/>
    </w:rPr>
  </w:style>
  <w:style w:type="paragraph" w:styleId="CommentText">
    <w:name w:val="annotation text"/>
    <w:basedOn w:val="Normal"/>
    <w:link w:val="CommentTextChar"/>
    <w:uiPriority w:val="99"/>
    <w:semiHidden/>
    <w:unhideWhenUsed/>
    <w:rsid w:val="00BC0470"/>
    <w:rPr>
      <w:sz w:val="20"/>
      <w:szCs w:val="20"/>
    </w:rPr>
  </w:style>
  <w:style w:type="character" w:customStyle="1" w:styleId="CommentTextChar">
    <w:name w:val="Comment Text Char"/>
    <w:basedOn w:val="DefaultParagraphFont"/>
    <w:link w:val="CommentText"/>
    <w:uiPriority w:val="99"/>
    <w:semiHidden/>
    <w:rsid w:val="00BC0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70"/>
    <w:rPr>
      <w:b/>
      <w:bCs/>
    </w:rPr>
  </w:style>
  <w:style w:type="character" w:customStyle="1" w:styleId="CommentSubjectChar">
    <w:name w:val="Comment Subject Char"/>
    <w:basedOn w:val="CommentTextChar"/>
    <w:link w:val="CommentSubject"/>
    <w:uiPriority w:val="99"/>
    <w:semiHidden/>
    <w:rsid w:val="00BC04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6158">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978342215">
      <w:bodyDiv w:val="1"/>
      <w:marLeft w:val="0"/>
      <w:marRight w:val="0"/>
      <w:marTop w:val="0"/>
      <w:marBottom w:val="0"/>
      <w:divBdr>
        <w:top w:val="none" w:sz="0" w:space="0" w:color="auto"/>
        <w:left w:val="none" w:sz="0" w:space="0" w:color="auto"/>
        <w:bottom w:val="none" w:sz="0" w:space="0" w:color="auto"/>
        <w:right w:val="none" w:sz="0" w:space="0" w:color="auto"/>
      </w:divBdr>
    </w:div>
    <w:div w:id="1102652973">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2139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gkrassen@bricker.com" TargetMode="External"/><Relationship Id="rId2" Type="http://schemas.openxmlformats.org/officeDocument/2006/relationships/styles" Target="styles.xml"/><Relationship Id="rId16" Type="http://schemas.openxmlformats.org/officeDocument/2006/relationships/hyperlink" Target="mailto:fdarr@mwncmh.com"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fdarr@mwncmh.com"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173C-E667-44CD-AE40-221418E5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1572</Words>
  <Characters>8889</Characters>
  <Application>Microsoft Office Word</Application>
  <DocSecurity>0</DocSecurity>
  <PresentationFormat/>
  <Lines>340</Lines>
  <Paragraphs>151</Paragraphs>
  <ScaleCrop>false</ScaleCrop>
  <HeadingPairs>
    <vt:vector size="2" baseType="variant">
      <vt:variant>
        <vt:lpstr>Title</vt:lpstr>
      </vt:variant>
      <vt:variant>
        <vt:i4>1</vt:i4>
      </vt:variant>
    </vt:vector>
  </HeadingPairs>
  <TitlesOfParts>
    <vt:vector size="1" baseType="lpstr">
      <vt:lpstr>14-1182  Motion to Intervene Navco (C44239-2).DOCX</vt:lpstr>
    </vt:vector>
  </TitlesOfParts>
  <Manager/>
  <Company/>
  <LinksUpToDate>false</LinksUpToDate>
  <CharactersWithSpaces>10370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14-1182  Motion to Intervene Navco (C44239-2).DOCX</dc:title>
  <dc:subject>C44239:2 /font=8</dc:subject>
  <dc:creator/>
  <cp:keywords> </cp:keywords>
  <dc:description> </dc:description>
  <cp:lastModifiedBy/>
  <cp:revision>1</cp:revision>
  <cp:lastPrinted>2012-08-24T18:07:00Z</cp:lastPrinted>
  <dcterms:created xsi:type="dcterms:W3CDTF">2014-07-19T12:32:00Z</dcterms:created>
  <dcterms:modified xsi:type="dcterms:W3CDTF">2014-07-21T19:09:00Z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7/21/2014 3:08:52 PM</vt:lpwstr>
  </property>
</Properties>
</file>