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28" w:rsidRDefault="00923F28" w:rsidP="00774BBA">
      <w:pPr>
        <w:pStyle w:val="PersonalInfo"/>
        <w:jc w:val="right"/>
      </w:pPr>
      <w:bookmarkStart w:id="0" w:name="PersonalInfo"/>
      <w:r>
        <w:t>Frank P. Darr</w:t>
      </w:r>
    </w:p>
    <w:p w:rsidR="00923F28" w:rsidRDefault="00923F28" w:rsidP="00A40A88">
      <w:pPr>
        <w:pStyle w:val="PersonalInfo"/>
        <w:ind w:left="7290"/>
        <w:jc w:val="right"/>
      </w:pPr>
      <w:r>
        <w:t xml:space="preserve">(614) 719-2855-Direct </w:t>
      </w:r>
      <w:r w:rsidR="00A40A88">
        <w:t>D</w:t>
      </w:r>
      <w:r>
        <w:t>ial</w:t>
      </w:r>
    </w:p>
    <w:p w:rsidR="001E3164" w:rsidRDefault="00923F28" w:rsidP="00774BBA">
      <w:pPr>
        <w:pStyle w:val="PersonalInfo"/>
        <w:jc w:val="right"/>
      </w:pPr>
      <w:r>
        <w:t>fdarr@mwncmh.com</w:t>
      </w:r>
      <w:bookmarkEnd w:id="0"/>
    </w:p>
    <w:p w:rsidR="001E3164" w:rsidRDefault="001E3164" w:rsidP="00774BBA">
      <w:pPr>
        <w:jc w:val="right"/>
      </w:pPr>
    </w:p>
    <w:p w:rsidR="001E3164" w:rsidRDefault="001E3164"/>
    <w:p w:rsidR="001E3164" w:rsidRPr="0016326F" w:rsidRDefault="005C6445" w:rsidP="001F0AF0">
      <w:pPr>
        <w:pStyle w:val="LetterDate"/>
        <w:rPr>
          <w:sz w:val="24"/>
          <w:szCs w:val="24"/>
        </w:rPr>
      </w:pPr>
      <w:r w:rsidRPr="0016326F">
        <w:rPr>
          <w:sz w:val="24"/>
          <w:szCs w:val="24"/>
        </w:rPr>
        <w:fldChar w:fldCharType="begin"/>
      </w:r>
      <w:r w:rsidRPr="0016326F">
        <w:rPr>
          <w:sz w:val="24"/>
          <w:szCs w:val="24"/>
        </w:rPr>
        <w:instrText xml:space="preserve"> TIME \@ "MMMM d, yyyy" </w:instrText>
      </w:r>
      <w:r w:rsidRPr="0016326F">
        <w:rPr>
          <w:sz w:val="24"/>
          <w:szCs w:val="24"/>
        </w:rPr>
        <w:fldChar w:fldCharType="separate"/>
      </w:r>
      <w:r w:rsidR="00B57237">
        <w:rPr>
          <w:sz w:val="24"/>
          <w:szCs w:val="24"/>
        </w:rPr>
        <w:t>June 29, 2015</w:t>
      </w:r>
      <w:r w:rsidRPr="0016326F">
        <w:rPr>
          <w:sz w:val="24"/>
          <w:szCs w:val="24"/>
        </w:rPr>
        <w:fldChar w:fldCharType="end"/>
      </w:r>
    </w:p>
    <w:p w:rsidR="001E3164" w:rsidRDefault="001E3164">
      <w:pPr>
        <w:rPr>
          <w:sz w:val="24"/>
          <w:szCs w:val="24"/>
        </w:rPr>
      </w:pPr>
    </w:p>
    <w:p w:rsidR="00B247DA" w:rsidRPr="0016326F" w:rsidRDefault="00B247DA">
      <w:pPr>
        <w:rPr>
          <w:sz w:val="24"/>
          <w:szCs w:val="24"/>
        </w:rPr>
      </w:pPr>
    </w:p>
    <w:p w:rsidR="00774BBA" w:rsidRPr="0016326F" w:rsidRDefault="0016326F" w:rsidP="00774BBA">
      <w:pPr>
        <w:pStyle w:val="DeliveryMethod"/>
        <w:rPr>
          <w:sz w:val="24"/>
          <w:szCs w:val="24"/>
        </w:rPr>
      </w:pPr>
      <w:bookmarkStart w:id="1" w:name="DeliveryMethod"/>
      <w:r>
        <w:rPr>
          <w:sz w:val="24"/>
          <w:szCs w:val="24"/>
        </w:rPr>
        <w:t>Electronic Filing</w:t>
      </w:r>
    </w:p>
    <w:p w:rsidR="008D0F2E" w:rsidRDefault="008D0F2E" w:rsidP="001F0AF0">
      <w:pPr>
        <w:rPr>
          <w:sz w:val="24"/>
          <w:szCs w:val="24"/>
        </w:rPr>
      </w:pPr>
    </w:p>
    <w:p w:rsidR="001F0AF0" w:rsidRPr="0016326F" w:rsidRDefault="001F0AF0" w:rsidP="001F0AF0">
      <w:pPr>
        <w:rPr>
          <w:sz w:val="24"/>
          <w:szCs w:val="24"/>
        </w:rPr>
      </w:pPr>
      <w:r w:rsidRPr="0016326F">
        <w:rPr>
          <w:sz w:val="24"/>
          <w:szCs w:val="24"/>
        </w:rPr>
        <w:t>Barcy McNeal</w:t>
      </w:r>
    </w:p>
    <w:p w:rsidR="001F0AF0" w:rsidRPr="0016326F" w:rsidRDefault="001F0AF0" w:rsidP="001F0AF0">
      <w:pPr>
        <w:rPr>
          <w:sz w:val="24"/>
          <w:szCs w:val="24"/>
        </w:rPr>
      </w:pPr>
      <w:r w:rsidRPr="0016326F">
        <w:rPr>
          <w:sz w:val="24"/>
          <w:szCs w:val="24"/>
        </w:rPr>
        <w:t>Secretary, Docketing Division</w:t>
      </w:r>
    </w:p>
    <w:p w:rsidR="001F0AF0" w:rsidRPr="0016326F" w:rsidRDefault="001F0AF0" w:rsidP="001F0AF0">
      <w:pPr>
        <w:rPr>
          <w:sz w:val="24"/>
          <w:szCs w:val="24"/>
        </w:rPr>
      </w:pPr>
      <w:r w:rsidRPr="0016326F">
        <w:rPr>
          <w:sz w:val="24"/>
          <w:szCs w:val="24"/>
        </w:rPr>
        <w:t xml:space="preserve">Public Utilities Commission of Ohio </w:t>
      </w:r>
    </w:p>
    <w:p w:rsidR="001F0AF0" w:rsidRPr="0016326F" w:rsidRDefault="001F0AF0" w:rsidP="001F0AF0">
      <w:pPr>
        <w:rPr>
          <w:sz w:val="24"/>
          <w:szCs w:val="24"/>
        </w:rPr>
      </w:pPr>
      <w:r w:rsidRPr="0016326F">
        <w:rPr>
          <w:sz w:val="24"/>
          <w:szCs w:val="24"/>
        </w:rPr>
        <w:t>180 East Broad Street</w:t>
      </w:r>
    </w:p>
    <w:p w:rsidR="00774BBA" w:rsidRPr="0016326F" w:rsidRDefault="001F0AF0" w:rsidP="001F0AF0">
      <w:pPr>
        <w:rPr>
          <w:sz w:val="24"/>
          <w:szCs w:val="24"/>
        </w:rPr>
      </w:pPr>
      <w:r w:rsidRPr="0016326F">
        <w:rPr>
          <w:sz w:val="24"/>
          <w:szCs w:val="24"/>
        </w:rPr>
        <w:t>Columbus, Ohio 43215</w:t>
      </w:r>
    </w:p>
    <w:p w:rsidR="001F0AF0" w:rsidRPr="0016326F" w:rsidRDefault="001F0AF0" w:rsidP="00774BBA">
      <w:pPr>
        <w:pStyle w:val="ReLine"/>
        <w:rPr>
          <w:sz w:val="24"/>
          <w:szCs w:val="24"/>
        </w:rPr>
      </w:pPr>
    </w:p>
    <w:p w:rsidR="0016326F" w:rsidRPr="0016326F" w:rsidRDefault="001F0AF0" w:rsidP="00983B57">
      <w:pPr>
        <w:ind w:left="1440" w:right="778" w:hanging="720"/>
        <w:jc w:val="both"/>
        <w:rPr>
          <w:b/>
          <w:sz w:val="24"/>
          <w:szCs w:val="24"/>
        </w:rPr>
      </w:pPr>
      <w:r w:rsidRPr="0016326F">
        <w:rPr>
          <w:b/>
          <w:sz w:val="24"/>
          <w:szCs w:val="24"/>
        </w:rPr>
        <w:t>Re:</w:t>
      </w:r>
      <w:r w:rsidRPr="0016326F">
        <w:rPr>
          <w:b/>
          <w:sz w:val="24"/>
          <w:szCs w:val="24"/>
        </w:rPr>
        <w:tab/>
      </w:r>
      <w:r w:rsidR="00983B57" w:rsidRPr="00983B57">
        <w:rPr>
          <w:b/>
          <w:sz w:val="24"/>
          <w:szCs w:val="24"/>
        </w:rPr>
        <w:t>In the Matter of the Application of Ohio Gas Company for Approval to Change Accounting Methods, Case No. 15-222-GA-AAM</w:t>
      </w:r>
    </w:p>
    <w:p w:rsidR="00774BBA" w:rsidRPr="0016326F" w:rsidRDefault="00774BBA" w:rsidP="0016326F">
      <w:pPr>
        <w:jc w:val="both"/>
        <w:rPr>
          <w:sz w:val="24"/>
          <w:szCs w:val="24"/>
        </w:rPr>
      </w:pPr>
    </w:p>
    <w:p w:rsidR="00774BBA" w:rsidRPr="0016326F" w:rsidRDefault="001F0AF0" w:rsidP="0016326F">
      <w:pPr>
        <w:pStyle w:val="Salutation"/>
        <w:jc w:val="both"/>
        <w:rPr>
          <w:sz w:val="24"/>
          <w:szCs w:val="24"/>
        </w:rPr>
      </w:pPr>
      <w:r w:rsidRPr="0016326F">
        <w:rPr>
          <w:sz w:val="24"/>
          <w:szCs w:val="24"/>
        </w:rPr>
        <w:t>Dear Secretary McNeal</w:t>
      </w:r>
      <w:r w:rsidR="00774BBA" w:rsidRPr="0016326F">
        <w:rPr>
          <w:sz w:val="24"/>
          <w:szCs w:val="24"/>
        </w:rPr>
        <w:t>:</w:t>
      </w:r>
    </w:p>
    <w:p w:rsidR="00983B57" w:rsidRPr="00983B57" w:rsidRDefault="00983B57" w:rsidP="00B57237">
      <w:pPr>
        <w:ind w:firstLine="720"/>
        <w:jc w:val="both"/>
        <w:rPr>
          <w:sz w:val="24"/>
          <w:szCs w:val="24"/>
        </w:rPr>
      </w:pPr>
      <w:bookmarkStart w:id="2" w:name="Closing"/>
      <w:r w:rsidRPr="00983B57">
        <w:rPr>
          <w:sz w:val="24"/>
          <w:szCs w:val="24"/>
        </w:rPr>
        <w:t xml:space="preserve">The Ohio Gas Company filed an application for approval to change accounting methods on January 28, 2015 in Case No. 15-222-GA-AAM.  On </w:t>
      </w:r>
      <w:r w:rsidR="00743C5C">
        <w:rPr>
          <w:sz w:val="24"/>
          <w:szCs w:val="24"/>
        </w:rPr>
        <w:t>June 25</w:t>
      </w:r>
      <w:r w:rsidRPr="00983B57">
        <w:rPr>
          <w:sz w:val="24"/>
          <w:szCs w:val="24"/>
        </w:rPr>
        <w:t xml:space="preserve">, 2015, the Staff of the </w:t>
      </w:r>
      <w:r w:rsidR="00B57237">
        <w:rPr>
          <w:sz w:val="24"/>
          <w:szCs w:val="24"/>
        </w:rPr>
        <w:t xml:space="preserve">Public Utilities </w:t>
      </w:r>
      <w:r w:rsidRPr="00983B57">
        <w:rPr>
          <w:sz w:val="24"/>
          <w:szCs w:val="24"/>
        </w:rPr>
        <w:t xml:space="preserve">Commission </w:t>
      </w:r>
      <w:r w:rsidR="00B57237">
        <w:rPr>
          <w:sz w:val="24"/>
          <w:szCs w:val="24"/>
        </w:rPr>
        <w:t xml:space="preserve">of Ohio (“Staff”) </w:t>
      </w:r>
      <w:r w:rsidRPr="00983B57">
        <w:rPr>
          <w:sz w:val="24"/>
          <w:szCs w:val="24"/>
        </w:rPr>
        <w:t xml:space="preserve">filed a </w:t>
      </w:r>
      <w:r w:rsidR="00743C5C">
        <w:rPr>
          <w:sz w:val="24"/>
          <w:szCs w:val="24"/>
        </w:rPr>
        <w:t>Supplemental Staff Review and Reco</w:t>
      </w:r>
      <w:r w:rsidR="00CC6619">
        <w:rPr>
          <w:sz w:val="24"/>
          <w:szCs w:val="24"/>
        </w:rPr>
        <w:t>mmendation’s Letter (“Supplemental Review”)</w:t>
      </w:r>
      <w:r w:rsidRPr="00983B57">
        <w:rPr>
          <w:sz w:val="24"/>
          <w:szCs w:val="24"/>
        </w:rPr>
        <w:t>.</w:t>
      </w:r>
    </w:p>
    <w:p w:rsidR="00983B57" w:rsidRPr="00983B57" w:rsidRDefault="00983B57" w:rsidP="00B57237">
      <w:pPr>
        <w:jc w:val="both"/>
        <w:rPr>
          <w:sz w:val="24"/>
          <w:szCs w:val="24"/>
        </w:rPr>
      </w:pPr>
    </w:p>
    <w:p w:rsidR="00DC28E8" w:rsidRDefault="00743C5C" w:rsidP="00B57237">
      <w:pPr>
        <w:ind w:firstLine="720"/>
        <w:jc w:val="both"/>
        <w:rPr>
          <w:sz w:val="24"/>
          <w:szCs w:val="24"/>
        </w:rPr>
      </w:pPr>
      <w:r>
        <w:rPr>
          <w:sz w:val="24"/>
          <w:szCs w:val="24"/>
        </w:rPr>
        <w:t xml:space="preserve">With the exception of the following, </w:t>
      </w:r>
      <w:r w:rsidR="00675A9A">
        <w:rPr>
          <w:sz w:val="24"/>
          <w:szCs w:val="24"/>
        </w:rPr>
        <w:t>t</w:t>
      </w:r>
      <w:bookmarkStart w:id="3" w:name="_GoBack"/>
      <w:bookmarkEnd w:id="3"/>
      <w:r>
        <w:rPr>
          <w:sz w:val="24"/>
          <w:szCs w:val="24"/>
        </w:rPr>
        <w:t xml:space="preserve">he Ohio Gas Company has no objections with the </w:t>
      </w:r>
      <w:r w:rsidR="00CC6619">
        <w:rPr>
          <w:sz w:val="24"/>
          <w:szCs w:val="24"/>
        </w:rPr>
        <w:t>Supplemental Review</w:t>
      </w:r>
      <w:r>
        <w:rPr>
          <w:sz w:val="24"/>
          <w:szCs w:val="24"/>
        </w:rPr>
        <w:t>.</w:t>
      </w:r>
    </w:p>
    <w:p w:rsidR="00DC28E8" w:rsidRDefault="00DC28E8" w:rsidP="00B57237">
      <w:pPr>
        <w:ind w:firstLine="720"/>
        <w:jc w:val="both"/>
        <w:rPr>
          <w:sz w:val="24"/>
          <w:szCs w:val="24"/>
        </w:rPr>
      </w:pPr>
    </w:p>
    <w:p w:rsidR="00DC28E8" w:rsidRDefault="00DC28E8" w:rsidP="00B57237">
      <w:pPr>
        <w:ind w:firstLine="720"/>
        <w:jc w:val="both"/>
        <w:rPr>
          <w:sz w:val="24"/>
          <w:szCs w:val="24"/>
        </w:rPr>
      </w:pPr>
      <w:r>
        <w:rPr>
          <w:sz w:val="24"/>
          <w:szCs w:val="24"/>
        </w:rPr>
        <w:t xml:space="preserve">The </w:t>
      </w:r>
      <w:r w:rsidR="00743C5C">
        <w:rPr>
          <w:sz w:val="24"/>
          <w:szCs w:val="24"/>
        </w:rPr>
        <w:t xml:space="preserve">Ohio Gas Company identified one recommendation that appears ambiguous.  On page two of the Supplemental Review, Staff recommends that the total </w:t>
      </w:r>
      <w:r>
        <w:rPr>
          <w:sz w:val="24"/>
          <w:szCs w:val="24"/>
        </w:rPr>
        <w:t>deferred balance</w:t>
      </w:r>
      <w:r w:rsidR="00743C5C">
        <w:rPr>
          <w:sz w:val="24"/>
          <w:szCs w:val="24"/>
        </w:rPr>
        <w:t xml:space="preserve"> for the geographic information system project, plus carrying </w:t>
      </w:r>
      <w:r>
        <w:rPr>
          <w:sz w:val="24"/>
          <w:szCs w:val="24"/>
        </w:rPr>
        <w:t xml:space="preserve">charges </w:t>
      </w:r>
      <w:r w:rsidR="00743C5C">
        <w:rPr>
          <w:sz w:val="24"/>
          <w:szCs w:val="24"/>
        </w:rPr>
        <w:t xml:space="preserve">set at 4%, should not exceed $925,000.  </w:t>
      </w:r>
      <w:r>
        <w:rPr>
          <w:sz w:val="24"/>
          <w:szCs w:val="24"/>
        </w:rPr>
        <w:t xml:space="preserve">Based on the prior paragraph in the Staff’s letter, </w:t>
      </w:r>
      <w:r w:rsidR="00B57237">
        <w:rPr>
          <w:sz w:val="24"/>
          <w:szCs w:val="24"/>
        </w:rPr>
        <w:t>t</w:t>
      </w:r>
      <w:r>
        <w:rPr>
          <w:sz w:val="24"/>
          <w:szCs w:val="24"/>
        </w:rPr>
        <w:t xml:space="preserve">he </w:t>
      </w:r>
      <w:r w:rsidR="00743C5C">
        <w:rPr>
          <w:sz w:val="24"/>
          <w:szCs w:val="24"/>
        </w:rPr>
        <w:t xml:space="preserve">Ohio Gas Company </w:t>
      </w:r>
      <w:r>
        <w:rPr>
          <w:sz w:val="24"/>
          <w:szCs w:val="24"/>
        </w:rPr>
        <w:t>believes</w:t>
      </w:r>
      <w:r w:rsidR="009A5B41">
        <w:rPr>
          <w:sz w:val="24"/>
          <w:szCs w:val="24"/>
        </w:rPr>
        <w:t xml:space="preserve"> that the Staff’s recommendation should be clarified to mean </w:t>
      </w:r>
      <w:r w:rsidR="00743C5C">
        <w:rPr>
          <w:sz w:val="24"/>
          <w:szCs w:val="24"/>
        </w:rPr>
        <w:t xml:space="preserve">that the </w:t>
      </w:r>
      <w:r w:rsidR="009A5B41">
        <w:rPr>
          <w:sz w:val="24"/>
          <w:szCs w:val="24"/>
        </w:rPr>
        <w:t>deferred balance cap</w:t>
      </w:r>
      <w:r w:rsidR="00743C5C">
        <w:rPr>
          <w:sz w:val="24"/>
          <w:szCs w:val="24"/>
        </w:rPr>
        <w:t xml:space="preserve"> should consist of a principal amount up to $925,000</w:t>
      </w:r>
      <w:r w:rsidR="009A5B41">
        <w:rPr>
          <w:sz w:val="24"/>
          <w:szCs w:val="24"/>
        </w:rPr>
        <w:t xml:space="preserve"> and that </w:t>
      </w:r>
      <w:r w:rsidR="00B57237">
        <w:rPr>
          <w:sz w:val="24"/>
          <w:szCs w:val="24"/>
        </w:rPr>
        <w:t>t</w:t>
      </w:r>
      <w:r w:rsidR="009A5B41">
        <w:rPr>
          <w:sz w:val="24"/>
          <w:szCs w:val="24"/>
        </w:rPr>
        <w:t>he Ohio Gas Company should be permitted to adjust that balance for carrying charges on the deferred expenses up to $925,000 at a</w:t>
      </w:r>
      <w:r w:rsidR="00743C5C">
        <w:rPr>
          <w:sz w:val="24"/>
          <w:szCs w:val="24"/>
        </w:rPr>
        <w:t xml:space="preserve"> rate of 4%.  If that understanding is correct, then </w:t>
      </w:r>
      <w:r w:rsidR="00B57237">
        <w:rPr>
          <w:sz w:val="24"/>
          <w:szCs w:val="24"/>
        </w:rPr>
        <w:t xml:space="preserve">the </w:t>
      </w:r>
      <w:r w:rsidR="00743C5C">
        <w:rPr>
          <w:sz w:val="24"/>
          <w:szCs w:val="24"/>
        </w:rPr>
        <w:t xml:space="preserve">Ohio Gas Company has no objection to the Supplemental Review.  </w:t>
      </w:r>
    </w:p>
    <w:p w:rsidR="00DC28E8" w:rsidRDefault="00DC28E8" w:rsidP="00B57237">
      <w:pPr>
        <w:ind w:firstLine="720"/>
        <w:jc w:val="both"/>
        <w:rPr>
          <w:sz w:val="24"/>
          <w:szCs w:val="24"/>
        </w:rPr>
      </w:pPr>
    </w:p>
    <w:p w:rsidR="00983B57" w:rsidRDefault="00DC28E8" w:rsidP="00B57237">
      <w:pPr>
        <w:ind w:firstLine="720"/>
        <w:jc w:val="both"/>
        <w:rPr>
          <w:sz w:val="24"/>
          <w:szCs w:val="24"/>
        </w:rPr>
      </w:pPr>
      <w:r>
        <w:rPr>
          <w:sz w:val="24"/>
          <w:szCs w:val="24"/>
        </w:rPr>
        <w:t>If</w:t>
      </w:r>
      <w:r w:rsidR="00743C5C">
        <w:rPr>
          <w:sz w:val="24"/>
          <w:szCs w:val="24"/>
        </w:rPr>
        <w:t xml:space="preserve"> Staff is recommending that the </w:t>
      </w:r>
      <w:r w:rsidR="009A5B41">
        <w:rPr>
          <w:sz w:val="24"/>
          <w:szCs w:val="24"/>
        </w:rPr>
        <w:t>deferred</w:t>
      </w:r>
      <w:r w:rsidR="00743C5C">
        <w:rPr>
          <w:sz w:val="24"/>
          <w:szCs w:val="24"/>
        </w:rPr>
        <w:t xml:space="preserve"> balance </w:t>
      </w:r>
      <w:r>
        <w:rPr>
          <w:sz w:val="24"/>
          <w:szCs w:val="24"/>
        </w:rPr>
        <w:t xml:space="preserve">including carrying charges </w:t>
      </w:r>
      <w:r w:rsidR="00743C5C">
        <w:rPr>
          <w:sz w:val="24"/>
          <w:szCs w:val="24"/>
        </w:rPr>
        <w:t xml:space="preserve">should be capped at $925,000, </w:t>
      </w:r>
      <w:r>
        <w:rPr>
          <w:sz w:val="24"/>
          <w:szCs w:val="24"/>
        </w:rPr>
        <w:t xml:space="preserve">however, </w:t>
      </w:r>
      <w:r w:rsidR="00743C5C">
        <w:rPr>
          <w:sz w:val="24"/>
          <w:szCs w:val="24"/>
        </w:rPr>
        <w:t xml:space="preserve">the Ohio Gas Company believes that the </w:t>
      </w:r>
      <w:r w:rsidR="00743C5C">
        <w:rPr>
          <w:sz w:val="24"/>
          <w:szCs w:val="24"/>
        </w:rPr>
        <w:lastRenderedPageBreak/>
        <w:t>recommendation is inconsistent with the Staff’s prior recognition on page 2 of the Supplemental Review that project costs</w:t>
      </w:r>
      <w:r>
        <w:rPr>
          <w:sz w:val="24"/>
          <w:szCs w:val="24"/>
        </w:rPr>
        <w:t xml:space="preserve"> </w:t>
      </w:r>
      <w:r w:rsidR="00743C5C">
        <w:rPr>
          <w:sz w:val="24"/>
          <w:szCs w:val="24"/>
        </w:rPr>
        <w:t>eligible for deferral accounting should be $925,000.</w:t>
      </w:r>
      <w:r>
        <w:rPr>
          <w:sz w:val="24"/>
          <w:szCs w:val="24"/>
        </w:rPr>
        <w:t xml:space="preserve">  Inclusion of the carrying charges in the </w:t>
      </w:r>
      <w:r w:rsidR="00BD1538">
        <w:rPr>
          <w:sz w:val="24"/>
          <w:szCs w:val="24"/>
        </w:rPr>
        <w:t>calculation of</w:t>
      </w:r>
      <w:r>
        <w:rPr>
          <w:sz w:val="24"/>
          <w:szCs w:val="24"/>
        </w:rPr>
        <w:t xml:space="preserve"> the cap would limit the amount of expenses of the project subject to deferral</w:t>
      </w:r>
      <w:r w:rsidR="00CC6619">
        <w:rPr>
          <w:sz w:val="24"/>
          <w:szCs w:val="24"/>
        </w:rPr>
        <w:t xml:space="preserve"> since the project costs would have to be reduced to accommodate the carrying charges.  Additionally, the calculation of the principal would be unworkable since the total carrying charges cannot be calculated at this time and </w:t>
      </w:r>
      <w:r w:rsidR="00B57237">
        <w:rPr>
          <w:sz w:val="24"/>
          <w:szCs w:val="24"/>
        </w:rPr>
        <w:t>t</w:t>
      </w:r>
      <w:r>
        <w:rPr>
          <w:sz w:val="24"/>
          <w:szCs w:val="24"/>
        </w:rPr>
        <w:t xml:space="preserve">he Ohio Gas Company </w:t>
      </w:r>
      <w:r w:rsidR="00CC6619">
        <w:rPr>
          <w:sz w:val="24"/>
          <w:szCs w:val="24"/>
        </w:rPr>
        <w:t>has not determined when it may seek authorization to amortize the deferred balance</w:t>
      </w:r>
      <w:r>
        <w:rPr>
          <w:sz w:val="24"/>
          <w:szCs w:val="24"/>
        </w:rPr>
        <w:t xml:space="preserve">.  Due to these concerns, </w:t>
      </w:r>
      <w:r w:rsidR="00B57237">
        <w:rPr>
          <w:sz w:val="24"/>
          <w:szCs w:val="24"/>
        </w:rPr>
        <w:t>t</w:t>
      </w:r>
      <w:r>
        <w:rPr>
          <w:sz w:val="24"/>
          <w:szCs w:val="24"/>
        </w:rPr>
        <w:t>he Ohio Gas Company would object to a cap on the total deferred balance that included the carrying charge</w:t>
      </w:r>
      <w:r w:rsidR="00CC6619">
        <w:rPr>
          <w:sz w:val="24"/>
          <w:szCs w:val="24"/>
        </w:rPr>
        <w:t>s</w:t>
      </w:r>
      <w:r>
        <w:rPr>
          <w:sz w:val="24"/>
          <w:szCs w:val="24"/>
        </w:rPr>
        <w:t>.</w:t>
      </w:r>
    </w:p>
    <w:p w:rsidR="007B1DE6" w:rsidRDefault="007B1DE6" w:rsidP="00B57237">
      <w:pPr>
        <w:ind w:firstLine="720"/>
        <w:jc w:val="both"/>
        <w:rPr>
          <w:sz w:val="24"/>
          <w:szCs w:val="24"/>
        </w:rPr>
      </w:pPr>
    </w:p>
    <w:p w:rsidR="007B1DE6" w:rsidRPr="00983B57" w:rsidRDefault="009A5B41" w:rsidP="00B57237">
      <w:pPr>
        <w:ind w:firstLine="720"/>
        <w:jc w:val="both"/>
        <w:rPr>
          <w:sz w:val="24"/>
          <w:szCs w:val="24"/>
        </w:rPr>
      </w:pPr>
      <w:r>
        <w:rPr>
          <w:sz w:val="24"/>
          <w:szCs w:val="24"/>
        </w:rPr>
        <w:t>T</w:t>
      </w:r>
      <w:r w:rsidR="004F0A1A">
        <w:rPr>
          <w:sz w:val="24"/>
          <w:szCs w:val="24"/>
        </w:rPr>
        <w:t>he Ohio Gas C</w:t>
      </w:r>
      <w:r w:rsidR="00285EF6">
        <w:rPr>
          <w:sz w:val="24"/>
          <w:szCs w:val="24"/>
        </w:rPr>
        <w:t>o</w:t>
      </w:r>
      <w:r w:rsidR="004F0A1A">
        <w:rPr>
          <w:sz w:val="24"/>
          <w:szCs w:val="24"/>
        </w:rPr>
        <w:t>mpany</w:t>
      </w:r>
      <w:r w:rsidR="007B1DE6">
        <w:rPr>
          <w:sz w:val="24"/>
          <w:szCs w:val="24"/>
        </w:rPr>
        <w:t xml:space="preserve"> does not waive any rights it may have to seek review of a Commission order regarding the application.</w:t>
      </w:r>
    </w:p>
    <w:p w:rsidR="00983B57" w:rsidRPr="00983B57" w:rsidRDefault="00983B57" w:rsidP="00B57237">
      <w:pPr>
        <w:jc w:val="both"/>
        <w:rPr>
          <w:sz w:val="24"/>
          <w:szCs w:val="24"/>
        </w:rPr>
      </w:pPr>
    </w:p>
    <w:p w:rsidR="0016326F" w:rsidRPr="00983B57" w:rsidRDefault="00983B57" w:rsidP="00B57237">
      <w:pPr>
        <w:ind w:firstLine="720"/>
        <w:jc w:val="both"/>
        <w:rPr>
          <w:rFonts w:eastAsia="Calibri" w:cs="Times New Roman"/>
          <w:sz w:val="24"/>
          <w:szCs w:val="24"/>
        </w:rPr>
      </w:pPr>
      <w:r w:rsidRPr="00983B57">
        <w:rPr>
          <w:sz w:val="24"/>
          <w:szCs w:val="24"/>
        </w:rPr>
        <w:t>If you have any questions, please contact the undersigned.</w:t>
      </w:r>
    </w:p>
    <w:p w:rsidR="001F0AF0" w:rsidRPr="0016326F" w:rsidRDefault="001F0AF0" w:rsidP="00B57237">
      <w:pPr>
        <w:pStyle w:val="Closing"/>
        <w:jc w:val="both"/>
        <w:rPr>
          <w:sz w:val="24"/>
          <w:szCs w:val="24"/>
        </w:rPr>
      </w:pPr>
    </w:p>
    <w:bookmarkEnd w:id="2"/>
    <w:p w:rsidR="00774BBA" w:rsidRPr="0016326F" w:rsidRDefault="001F0AF0" w:rsidP="00B57237">
      <w:pPr>
        <w:pStyle w:val="Closing"/>
        <w:ind w:left="3600" w:firstLine="720"/>
        <w:jc w:val="both"/>
        <w:rPr>
          <w:sz w:val="24"/>
          <w:szCs w:val="24"/>
        </w:rPr>
      </w:pPr>
      <w:r w:rsidRPr="0016326F">
        <w:rPr>
          <w:sz w:val="24"/>
          <w:szCs w:val="24"/>
        </w:rPr>
        <w:t>Sincerely,</w:t>
      </w:r>
    </w:p>
    <w:p w:rsidR="001F0AF0" w:rsidRDefault="001F0AF0" w:rsidP="00B57237">
      <w:pPr>
        <w:pStyle w:val="Closing"/>
        <w:ind w:firstLine="720"/>
        <w:jc w:val="both"/>
        <w:rPr>
          <w:sz w:val="24"/>
          <w:szCs w:val="24"/>
        </w:rPr>
      </w:pPr>
    </w:p>
    <w:p w:rsidR="001F0AF0" w:rsidRPr="0016326F" w:rsidRDefault="001F0AF0" w:rsidP="00B57237">
      <w:pPr>
        <w:pStyle w:val="Closing"/>
        <w:jc w:val="both"/>
        <w:rPr>
          <w:sz w:val="24"/>
          <w:szCs w:val="24"/>
        </w:rPr>
      </w:pPr>
    </w:p>
    <w:p w:rsidR="001F0AF0" w:rsidRPr="0016326F" w:rsidRDefault="00816915" w:rsidP="00B57237">
      <w:pPr>
        <w:pStyle w:val="Closing"/>
        <w:ind w:left="3600" w:firstLine="720"/>
        <w:jc w:val="both"/>
        <w:rPr>
          <w:sz w:val="24"/>
          <w:szCs w:val="24"/>
        </w:rPr>
      </w:pPr>
      <w:r w:rsidRPr="00B73488">
        <w:rPr>
          <w:sz w:val="24"/>
          <w:szCs w:val="24"/>
          <w:u w:val="single"/>
        </w:rPr>
        <w:t>/s/ Frank P. Darr</w:t>
      </w:r>
      <w:r>
        <w:rPr>
          <w:sz w:val="24"/>
          <w:szCs w:val="24"/>
          <w:u w:val="single"/>
        </w:rPr>
        <w:tab/>
      </w:r>
      <w:r>
        <w:rPr>
          <w:sz w:val="24"/>
          <w:szCs w:val="24"/>
          <w:u w:val="single"/>
        </w:rPr>
        <w:tab/>
      </w:r>
      <w:r>
        <w:rPr>
          <w:sz w:val="24"/>
          <w:szCs w:val="24"/>
          <w:u w:val="single"/>
        </w:rPr>
        <w:tab/>
      </w:r>
    </w:p>
    <w:p w:rsidR="00774BBA" w:rsidRPr="0016326F" w:rsidRDefault="00774BBA" w:rsidP="00B57237">
      <w:pPr>
        <w:pStyle w:val="Closing"/>
        <w:ind w:left="3600" w:firstLine="720"/>
        <w:jc w:val="both"/>
        <w:rPr>
          <w:sz w:val="24"/>
          <w:szCs w:val="24"/>
        </w:rPr>
      </w:pPr>
      <w:r w:rsidRPr="0016326F">
        <w:rPr>
          <w:sz w:val="24"/>
          <w:szCs w:val="24"/>
        </w:rPr>
        <w:t>Frank P. Darr</w:t>
      </w:r>
    </w:p>
    <w:p w:rsidR="001F0AF0" w:rsidRPr="0016326F" w:rsidRDefault="001F0AF0" w:rsidP="00B57237">
      <w:pPr>
        <w:pStyle w:val="Closing"/>
        <w:ind w:firstLine="720"/>
        <w:jc w:val="both"/>
        <w:rPr>
          <w:sz w:val="24"/>
          <w:szCs w:val="24"/>
        </w:rPr>
      </w:pPr>
    </w:p>
    <w:p w:rsidR="001F0AF0" w:rsidRPr="0016326F" w:rsidRDefault="001F0AF0" w:rsidP="00B57237">
      <w:pPr>
        <w:tabs>
          <w:tab w:val="left" w:pos="4320"/>
          <w:tab w:val="left" w:pos="6480"/>
        </w:tabs>
        <w:ind w:firstLine="720"/>
        <w:jc w:val="both"/>
        <w:rPr>
          <w:b/>
          <w:sz w:val="24"/>
          <w:szCs w:val="24"/>
        </w:rPr>
      </w:pPr>
      <w:r w:rsidRPr="0016326F">
        <w:rPr>
          <w:b/>
          <w:bCs/>
          <w:sz w:val="24"/>
          <w:szCs w:val="24"/>
        </w:rPr>
        <w:tab/>
        <w:t xml:space="preserve">Attorney for </w:t>
      </w:r>
      <w:r w:rsidR="007B1DE6">
        <w:rPr>
          <w:b/>
          <w:bCs/>
          <w:sz w:val="24"/>
          <w:szCs w:val="24"/>
        </w:rPr>
        <w:t>the Ohio Gas Company</w:t>
      </w:r>
    </w:p>
    <w:p w:rsidR="001F0AF0" w:rsidRPr="0016326F" w:rsidRDefault="001F0AF0" w:rsidP="00B57237">
      <w:pPr>
        <w:tabs>
          <w:tab w:val="left" w:pos="3510"/>
          <w:tab w:val="left" w:pos="6480"/>
        </w:tabs>
        <w:jc w:val="both"/>
        <w:rPr>
          <w:b/>
          <w:bCs/>
          <w:sz w:val="24"/>
          <w:szCs w:val="24"/>
        </w:rPr>
      </w:pPr>
    </w:p>
    <w:p w:rsidR="00774BBA" w:rsidRDefault="001F0AF0" w:rsidP="00B57237">
      <w:pPr>
        <w:pStyle w:val="Initials"/>
        <w:jc w:val="both"/>
        <w:rPr>
          <w:sz w:val="24"/>
          <w:szCs w:val="24"/>
        </w:rPr>
      </w:pPr>
      <w:r w:rsidRPr="0016326F">
        <w:rPr>
          <w:sz w:val="24"/>
          <w:szCs w:val="24"/>
        </w:rPr>
        <w:t>FPD:klb</w:t>
      </w:r>
    </w:p>
    <w:p w:rsidR="008D0F2E" w:rsidRPr="008D0F2E" w:rsidRDefault="008D0F2E" w:rsidP="00B57237">
      <w:pPr>
        <w:jc w:val="both"/>
      </w:pPr>
    </w:p>
    <w:p w:rsidR="00774BBA" w:rsidRPr="0016326F" w:rsidRDefault="00774BBA" w:rsidP="00B57237">
      <w:pPr>
        <w:tabs>
          <w:tab w:val="left" w:pos="700"/>
        </w:tabs>
        <w:ind w:left="700" w:hanging="700"/>
        <w:jc w:val="both"/>
        <w:rPr>
          <w:sz w:val="24"/>
          <w:szCs w:val="24"/>
        </w:rPr>
      </w:pPr>
      <w:r w:rsidRPr="0016326F">
        <w:rPr>
          <w:sz w:val="24"/>
          <w:szCs w:val="24"/>
        </w:rPr>
        <w:t>cc:</w:t>
      </w:r>
      <w:r w:rsidR="001F0AF0" w:rsidRPr="0016326F">
        <w:rPr>
          <w:sz w:val="24"/>
          <w:szCs w:val="24"/>
        </w:rPr>
        <w:t xml:space="preserve"> Parties of Record</w:t>
      </w:r>
    </w:p>
    <w:bookmarkEnd w:id="1"/>
    <w:p w:rsidR="005F5563" w:rsidRPr="0016326F" w:rsidRDefault="005F5563" w:rsidP="00923F28">
      <w:pPr>
        <w:pStyle w:val="bcc"/>
        <w:ind w:left="0" w:firstLine="0"/>
        <w:rPr>
          <w:sz w:val="24"/>
          <w:szCs w:val="24"/>
        </w:rPr>
      </w:pPr>
    </w:p>
    <w:sectPr w:rsidR="005F5563" w:rsidRPr="0016326F" w:rsidSect="00A40A88">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2016" w:right="1440" w:bottom="1440" w:left="1440" w:header="720" w:footer="936" w:gutter="0"/>
      <w:paperSrc w:first="15" w:other="15"/>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63" w:rsidRDefault="005F5563">
      <w:r>
        <w:separator/>
      </w:r>
    </w:p>
  </w:endnote>
  <w:endnote w:type="continuationSeparator" w:id="0">
    <w:p w:rsidR="005F5563" w:rsidRDefault="005F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9A" w:rsidRDefault="00675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3" w:rsidRPr="00323FA9" w:rsidRDefault="00675A9A">
    <w:pPr>
      <w:pStyle w:val="Footer"/>
    </w:pPr>
    <w:r w:rsidRPr="00675A9A">
      <w:rPr>
        <w:noProof/>
        <w:sz w:val="16"/>
      </w:rPr>
      <w:t>{C47590:2 }</w:t>
    </w:r>
  </w:p>
  <w:p w:rsidR="005F5563" w:rsidRPr="00323FA9" w:rsidRDefault="005F5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3" w:rsidRPr="00323FA9" w:rsidRDefault="00675A9A">
    <w:pPr>
      <w:pStyle w:val="Footer"/>
    </w:pPr>
    <w:r w:rsidRPr="00675A9A">
      <w:rPr>
        <w:noProof/>
        <w:sz w:val="16"/>
      </w:rPr>
      <w:t>{C47590:2 }</w:t>
    </w:r>
  </w:p>
  <w:p w:rsidR="005F5563" w:rsidRPr="00323FA9" w:rsidRDefault="005F5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63" w:rsidRDefault="005F5563">
      <w:pPr>
        <w:rPr>
          <w:noProof/>
        </w:rPr>
      </w:pPr>
      <w:r>
        <w:rPr>
          <w:noProof/>
        </w:rPr>
        <w:separator/>
      </w:r>
    </w:p>
  </w:footnote>
  <w:footnote w:type="continuationSeparator" w:id="0">
    <w:p w:rsidR="005F5563" w:rsidRDefault="005F5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9A" w:rsidRDefault="00675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DF" w:rsidRDefault="00B247DA">
    <w:pPr>
      <w:pStyle w:val="Header"/>
    </w:pPr>
    <w:r>
      <w:t xml:space="preserve">Page </w:t>
    </w:r>
    <w:r w:rsidR="004875DF">
      <w:t xml:space="preserve">| </w:t>
    </w:r>
    <w:r w:rsidR="004875DF">
      <w:fldChar w:fldCharType="begin"/>
    </w:r>
    <w:r w:rsidR="004875DF">
      <w:instrText xml:space="preserve"> PAGE   \* MERGEFORMAT </w:instrText>
    </w:r>
    <w:r w:rsidR="004875DF">
      <w:fldChar w:fldCharType="separate"/>
    </w:r>
    <w:r w:rsidR="00675A9A" w:rsidRPr="00675A9A">
      <w:rPr>
        <w:b/>
        <w:bCs/>
        <w:noProof/>
      </w:rPr>
      <w:t>2</w:t>
    </w:r>
    <w:r w:rsidR="004875DF">
      <w:rPr>
        <w:b/>
        <w:bCs/>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3" w:rsidRDefault="00B247DA">
    <w:pPr>
      <w:pStyle w:val="Header"/>
      <w:tabs>
        <w:tab w:val="clear" w:pos="4320"/>
        <w:tab w:val="clear" w:pos="8640"/>
        <w:tab w:val="center" w:pos="4600"/>
        <w:tab w:val="right" w:pos="9400"/>
      </w:tabs>
    </w:pPr>
    <w:r>
      <w:rPr>
        <w:noProof/>
      </w:rPr>
      <w:drawing>
        <wp:inline distT="0" distB="0" distL="0" distR="0" wp14:anchorId="2B084668" wp14:editId="4762E502">
          <wp:extent cx="2992755" cy="699770"/>
          <wp:effectExtent l="0" t="0" r="0" b="5080"/>
          <wp:docPr id="4" name="Picture 0" descr="McNees_email_letterhead.jpg"/>
          <wp:cNvGraphicFramePr/>
          <a:graphic xmlns:a="http://schemas.openxmlformats.org/drawingml/2006/main">
            <a:graphicData uri="http://schemas.openxmlformats.org/drawingml/2006/picture">
              <pic:pic xmlns:pic="http://schemas.openxmlformats.org/drawingml/2006/picture">
                <pic:nvPicPr>
                  <pic:cNvPr id="4" name="Picture 0" descr="McNees_email_letterhead.jpg"/>
                  <pic:cNvPicPr/>
                </pic:nvPicPr>
                <pic:blipFill>
                  <a:blip r:embed="rId1"/>
                  <a:stretch>
                    <a:fillRect/>
                  </a:stretch>
                </pic:blipFill>
                <pic:spPr>
                  <a:xfrm>
                    <a:off x="0" y="0"/>
                    <a:ext cx="2992755" cy="699770"/>
                  </a:xfrm>
                  <a:prstGeom prst="rect">
                    <a:avLst/>
                  </a:prstGeom>
                </pic:spPr>
              </pic:pic>
            </a:graphicData>
          </a:graphic>
        </wp:inline>
      </w:drawing>
    </w:r>
  </w:p>
  <w:p w:rsidR="00B247DA" w:rsidRDefault="00B247DA">
    <w:pPr>
      <w:pStyle w:val="Header"/>
      <w:tabs>
        <w:tab w:val="clear" w:pos="4320"/>
        <w:tab w:val="clear" w:pos="8640"/>
        <w:tab w:val="center" w:pos="4600"/>
        <w:tab w:val="right" w:pos="9400"/>
      </w:tabs>
    </w:pPr>
  </w:p>
  <w:p w:rsidR="00B247DA" w:rsidRDefault="00B247DA">
    <w:pPr>
      <w:pStyle w:val="Header"/>
      <w:tabs>
        <w:tab w:val="clear" w:pos="4320"/>
        <w:tab w:val="clear" w:pos="8640"/>
        <w:tab w:val="center" w:pos="4600"/>
        <w:tab w:val="right" w:pos="9400"/>
      </w:tabs>
    </w:pPr>
    <w:r>
      <w:rPr>
        <w:noProof/>
      </w:rPr>
      <w:drawing>
        <wp:inline distT="0" distB="0" distL="0" distR="0" wp14:anchorId="4EF91B97" wp14:editId="4DD97EBC">
          <wp:extent cx="3063240" cy="292100"/>
          <wp:effectExtent l="0" t="0" r="3810" b="0"/>
          <wp:docPr id="2" name="Picture 1" descr="ohio_letterhead.jpg"/>
          <wp:cNvGraphicFramePr/>
          <a:graphic xmlns:a="http://schemas.openxmlformats.org/drawingml/2006/main">
            <a:graphicData uri="http://schemas.openxmlformats.org/drawingml/2006/picture">
              <pic:pic xmlns:pic="http://schemas.openxmlformats.org/drawingml/2006/picture">
                <pic:nvPicPr>
                  <pic:cNvPr id="2" name="Picture 1" descr="ohio_letterhead.jpg"/>
                  <pic:cNvPicPr/>
                </pic:nvPicPr>
                <pic:blipFill>
                  <a:blip r:embed="rId2"/>
                  <a:stretch>
                    <a:fillRect/>
                  </a:stretch>
                </pic:blipFill>
                <pic:spPr>
                  <a:xfrm>
                    <a:off x="0" y="0"/>
                    <a:ext cx="3063240" cy="292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0D36A"/>
    <w:lvl w:ilvl="0">
      <w:start w:val="1"/>
      <w:numFmt w:val="decimal"/>
      <w:lvlText w:val="%1."/>
      <w:lvlJc w:val="left"/>
      <w:pPr>
        <w:tabs>
          <w:tab w:val="num" w:pos="1800"/>
        </w:tabs>
        <w:ind w:left="1800" w:hanging="360"/>
      </w:pPr>
    </w:lvl>
  </w:abstractNum>
  <w:abstractNum w:abstractNumId="1">
    <w:nsid w:val="FFFFFF7D"/>
    <w:multiLevelType w:val="singleLevel"/>
    <w:tmpl w:val="377AC684"/>
    <w:lvl w:ilvl="0">
      <w:start w:val="1"/>
      <w:numFmt w:val="decimal"/>
      <w:lvlText w:val="%1."/>
      <w:lvlJc w:val="left"/>
      <w:pPr>
        <w:tabs>
          <w:tab w:val="num" w:pos="1440"/>
        </w:tabs>
        <w:ind w:left="1440" w:hanging="360"/>
      </w:pPr>
    </w:lvl>
  </w:abstractNum>
  <w:abstractNum w:abstractNumId="2">
    <w:nsid w:val="FFFFFF7E"/>
    <w:multiLevelType w:val="singleLevel"/>
    <w:tmpl w:val="74345480"/>
    <w:lvl w:ilvl="0">
      <w:start w:val="1"/>
      <w:numFmt w:val="decimal"/>
      <w:lvlText w:val="%1."/>
      <w:lvlJc w:val="left"/>
      <w:pPr>
        <w:tabs>
          <w:tab w:val="num" w:pos="1080"/>
        </w:tabs>
        <w:ind w:left="1080" w:hanging="360"/>
      </w:pPr>
    </w:lvl>
  </w:abstractNum>
  <w:abstractNum w:abstractNumId="3">
    <w:nsid w:val="FFFFFF7F"/>
    <w:multiLevelType w:val="singleLevel"/>
    <w:tmpl w:val="482C2AAA"/>
    <w:lvl w:ilvl="0">
      <w:start w:val="1"/>
      <w:numFmt w:val="decimal"/>
      <w:lvlText w:val="%1."/>
      <w:lvlJc w:val="left"/>
      <w:pPr>
        <w:tabs>
          <w:tab w:val="num" w:pos="720"/>
        </w:tabs>
        <w:ind w:left="720" w:hanging="360"/>
      </w:pPr>
    </w:lvl>
  </w:abstractNum>
  <w:abstractNum w:abstractNumId="4">
    <w:nsid w:val="FFFFFF80"/>
    <w:multiLevelType w:val="singleLevel"/>
    <w:tmpl w:val="C4A8E8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1601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9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AC51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9564B9D0"/>
    <w:lvl w:ilvl="0">
      <w:start w:val="1"/>
      <w:numFmt w:val="bullet"/>
      <w:lvlText w:val=""/>
      <w:lvlJc w:val="left"/>
      <w:pPr>
        <w:tabs>
          <w:tab w:val="num" w:pos="360"/>
        </w:tabs>
        <w:ind w:left="360" w:hanging="360"/>
      </w:pPr>
      <w:rPr>
        <w:rFonts w:ascii="Symbol" w:hAnsi="Symbol" w:hint="default"/>
      </w:rPr>
    </w:lvl>
  </w:abstractNum>
  <w:abstractNum w:abstractNumId="1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409C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1"/>
  </w:num>
  <w:num w:numId="2">
    <w:abstractNumId w:val="11"/>
  </w:num>
  <w:num w:numId="3">
    <w:abstractNumId w:val="11"/>
  </w:num>
  <w:num w:numId="4">
    <w:abstractNumId w:val="11"/>
  </w:num>
  <w:num w:numId="5">
    <w:abstractNumId w:val="9"/>
  </w:num>
  <w:num w:numId="6">
    <w:abstractNumId w:val="10"/>
  </w:num>
  <w:num w:numId="7">
    <w:abstractNumId w:val="8"/>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LTFontsClean" w:val="True"/>
  </w:docVars>
  <w:rsids>
    <w:rsidRoot w:val="00323FA9"/>
    <w:rsid w:val="0004545C"/>
    <w:rsid w:val="000D467E"/>
    <w:rsid w:val="0016326F"/>
    <w:rsid w:val="001E3164"/>
    <w:rsid w:val="001F0AF0"/>
    <w:rsid w:val="002460CC"/>
    <w:rsid w:val="002463E1"/>
    <w:rsid w:val="00285EF6"/>
    <w:rsid w:val="00323FA9"/>
    <w:rsid w:val="00366660"/>
    <w:rsid w:val="003A73B7"/>
    <w:rsid w:val="003C7E3E"/>
    <w:rsid w:val="003F7509"/>
    <w:rsid w:val="00420EFD"/>
    <w:rsid w:val="004875DF"/>
    <w:rsid w:val="004A764E"/>
    <w:rsid w:val="004C0F5D"/>
    <w:rsid w:val="004D5B6C"/>
    <w:rsid w:val="004F0A1A"/>
    <w:rsid w:val="00510B63"/>
    <w:rsid w:val="005C6445"/>
    <w:rsid w:val="005F5563"/>
    <w:rsid w:val="00601DF0"/>
    <w:rsid w:val="00675A9A"/>
    <w:rsid w:val="00691C31"/>
    <w:rsid w:val="006A10B9"/>
    <w:rsid w:val="006E6C4B"/>
    <w:rsid w:val="00743C5C"/>
    <w:rsid w:val="00774BBA"/>
    <w:rsid w:val="007B1DE6"/>
    <w:rsid w:val="00816915"/>
    <w:rsid w:val="008D0F2E"/>
    <w:rsid w:val="008E6442"/>
    <w:rsid w:val="00904616"/>
    <w:rsid w:val="00923F28"/>
    <w:rsid w:val="00977B56"/>
    <w:rsid w:val="00983B57"/>
    <w:rsid w:val="009A3E29"/>
    <w:rsid w:val="009A5B41"/>
    <w:rsid w:val="00A40A88"/>
    <w:rsid w:val="00B211E5"/>
    <w:rsid w:val="00B247DA"/>
    <w:rsid w:val="00B57237"/>
    <w:rsid w:val="00B73488"/>
    <w:rsid w:val="00BD1538"/>
    <w:rsid w:val="00CC6619"/>
    <w:rsid w:val="00D449BD"/>
    <w:rsid w:val="00D93BC4"/>
    <w:rsid w:val="00DC28E8"/>
    <w:rsid w:val="00DE5718"/>
    <w:rsid w:val="00E05281"/>
    <w:rsid w:val="00E173DE"/>
    <w:rsid w:val="00E8150D"/>
    <w:rsid w:val="00EA659C"/>
    <w:rsid w:val="00EF10E4"/>
    <w:rsid w:val="00FA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E3164"/>
    <w:rPr>
      <w:rFonts w:ascii="Arial" w:hAnsi="Arial" w:cs="Arial"/>
      <w:sz w:val="23"/>
    </w:rPr>
  </w:style>
  <w:style w:type="paragraph" w:styleId="Heading1">
    <w:name w:val="heading 1"/>
    <w:basedOn w:val="Normal"/>
    <w:link w:val="Heading1Char"/>
    <w:uiPriority w:val="9"/>
    <w:qFormat/>
    <w:rsid w:val="001E3164"/>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1E3164"/>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1E3164"/>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1E3164"/>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E3164"/>
    <w:pPr>
      <w:spacing w:after="240"/>
      <w:ind w:left="1440" w:right="1440"/>
    </w:pPr>
  </w:style>
  <w:style w:type="paragraph" w:customStyle="1" w:styleId="bcc">
    <w:name w:val="bcc"/>
    <w:basedOn w:val="Normal"/>
    <w:rsid w:val="001E3164"/>
    <w:pPr>
      <w:tabs>
        <w:tab w:val="left" w:pos="700"/>
      </w:tabs>
      <w:ind w:left="700" w:hanging="700"/>
    </w:pPr>
  </w:style>
  <w:style w:type="paragraph" w:customStyle="1" w:styleId="PersonalInfo">
    <w:name w:val="PersonalInfo"/>
    <w:basedOn w:val="Normal"/>
    <w:next w:val="Normal"/>
    <w:rsid w:val="001E3164"/>
    <w:pPr>
      <w:ind w:left="7488"/>
    </w:pPr>
    <w:rPr>
      <w:sz w:val="16"/>
    </w:rPr>
  </w:style>
  <w:style w:type="paragraph" w:customStyle="1" w:styleId="LetterDate">
    <w:name w:val="LetterDate"/>
    <w:basedOn w:val="Normal"/>
    <w:next w:val="Normal"/>
    <w:rsid w:val="001E3164"/>
    <w:pPr>
      <w:jc w:val="center"/>
    </w:pPr>
    <w:rPr>
      <w:noProof/>
    </w:rPr>
  </w:style>
  <w:style w:type="paragraph" w:customStyle="1" w:styleId="DeliveryMethod">
    <w:name w:val="DeliveryMethod"/>
    <w:basedOn w:val="Normal"/>
    <w:next w:val="Normal"/>
    <w:rsid w:val="001E3164"/>
    <w:pPr>
      <w:spacing w:after="240"/>
    </w:pPr>
    <w:rPr>
      <w:b/>
      <w:caps/>
      <w:u w:val="single"/>
    </w:rPr>
  </w:style>
  <w:style w:type="paragraph" w:customStyle="1" w:styleId="RecipientName">
    <w:name w:val="RecipientName"/>
    <w:next w:val="RecipientAddress"/>
    <w:rsid w:val="001E3164"/>
    <w:rPr>
      <w:rFonts w:ascii="Arial" w:hAnsi="Arial" w:cs="Arial"/>
      <w:sz w:val="23"/>
    </w:rPr>
  </w:style>
  <w:style w:type="paragraph" w:customStyle="1" w:styleId="RecipientAddress">
    <w:name w:val="RecipientAddress"/>
    <w:rsid w:val="001E3164"/>
    <w:rPr>
      <w:rFonts w:ascii="Arial" w:hAnsi="Arial"/>
      <w:sz w:val="23"/>
      <w:szCs w:val="23"/>
    </w:rPr>
  </w:style>
  <w:style w:type="paragraph" w:customStyle="1" w:styleId="ReLine">
    <w:name w:val="ReLine"/>
    <w:basedOn w:val="Normal"/>
    <w:next w:val="Normal"/>
    <w:rsid w:val="001E3164"/>
    <w:pPr>
      <w:ind w:left="1440" w:hanging="720"/>
    </w:pPr>
  </w:style>
  <w:style w:type="paragraph" w:styleId="Salutation">
    <w:name w:val="Salutation"/>
    <w:basedOn w:val="Normal"/>
    <w:next w:val="Normal"/>
    <w:semiHidden/>
    <w:rsid w:val="001E3164"/>
    <w:pPr>
      <w:spacing w:after="240"/>
    </w:pPr>
  </w:style>
  <w:style w:type="paragraph" w:styleId="BodyText">
    <w:name w:val="Body Text"/>
    <w:basedOn w:val="Normal"/>
    <w:link w:val="BodyTextChar"/>
    <w:semiHidden/>
    <w:rsid w:val="001E3164"/>
    <w:pPr>
      <w:spacing w:after="240"/>
    </w:pPr>
  </w:style>
  <w:style w:type="paragraph" w:styleId="Closing">
    <w:name w:val="Closing"/>
    <w:basedOn w:val="Normal"/>
    <w:semiHidden/>
    <w:rsid w:val="001E3164"/>
  </w:style>
  <w:style w:type="paragraph" w:customStyle="1" w:styleId="Initials">
    <w:name w:val="Initials"/>
    <w:basedOn w:val="Normal"/>
    <w:next w:val="Normal"/>
    <w:rsid w:val="001E3164"/>
  </w:style>
  <w:style w:type="paragraph" w:customStyle="1" w:styleId="SenderName">
    <w:name w:val="SenderName"/>
    <w:basedOn w:val="Normal"/>
    <w:next w:val="Normal"/>
    <w:rsid w:val="001E3164"/>
  </w:style>
  <w:style w:type="paragraph" w:customStyle="1" w:styleId="Enclosure">
    <w:name w:val="Enclosure"/>
    <w:basedOn w:val="Normal"/>
    <w:next w:val="Normal"/>
    <w:rsid w:val="001E3164"/>
  </w:style>
  <w:style w:type="paragraph" w:customStyle="1" w:styleId="ioc">
    <w:name w:val="ioc"/>
    <w:basedOn w:val="Normal"/>
    <w:next w:val="Normal"/>
    <w:rsid w:val="001E3164"/>
    <w:pPr>
      <w:tabs>
        <w:tab w:val="left" w:pos="720"/>
      </w:tabs>
      <w:ind w:left="720" w:hanging="720"/>
    </w:pPr>
  </w:style>
  <w:style w:type="paragraph" w:styleId="Header">
    <w:name w:val="header"/>
    <w:basedOn w:val="Normal"/>
    <w:link w:val="HeaderChar"/>
    <w:uiPriority w:val="99"/>
    <w:rsid w:val="001E3164"/>
    <w:pPr>
      <w:tabs>
        <w:tab w:val="center" w:pos="4320"/>
        <w:tab w:val="right" w:pos="8640"/>
      </w:tabs>
    </w:pPr>
  </w:style>
  <w:style w:type="paragraph" w:styleId="Footer">
    <w:name w:val="footer"/>
    <w:basedOn w:val="Normal"/>
    <w:semiHidden/>
    <w:rsid w:val="001E3164"/>
    <w:pPr>
      <w:tabs>
        <w:tab w:val="center" w:pos="4320"/>
        <w:tab w:val="right" w:pos="8640"/>
      </w:tabs>
    </w:pPr>
  </w:style>
  <w:style w:type="character" w:styleId="PageNumber">
    <w:name w:val="page number"/>
    <w:basedOn w:val="DefaultParagraphFont"/>
    <w:semiHidden/>
    <w:rsid w:val="001E3164"/>
  </w:style>
  <w:style w:type="character" w:customStyle="1" w:styleId="Heading1Char">
    <w:name w:val="Heading 1 Char"/>
    <w:basedOn w:val="DefaultParagraphFont"/>
    <w:link w:val="Heading1"/>
    <w:uiPriority w:val="9"/>
    <w:rsid w:val="001E3164"/>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sid w:val="001E3164"/>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sid w:val="001E3164"/>
    <w:rPr>
      <w:rFonts w:ascii="Arial" w:eastAsiaTheme="majorEastAsia" w:hAnsi="Arial" w:cstheme="majorBidi"/>
      <w:bCs/>
      <w:sz w:val="23"/>
    </w:rPr>
  </w:style>
  <w:style w:type="character" w:customStyle="1" w:styleId="Heading4Char">
    <w:name w:val="Heading 4 Char"/>
    <w:basedOn w:val="DefaultParagraphFont"/>
    <w:link w:val="Heading4"/>
    <w:uiPriority w:val="9"/>
    <w:rsid w:val="001E3164"/>
    <w:rPr>
      <w:rFonts w:ascii="Arial" w:eastAsiaTheme="majorEastAsia" w:hAnsi="Arial" w:cstheme="majorBidi"/>
      <w:bCs/>
      <w:iCs/>
      <w:sz w:val="23"/>
    </w:rPr>
  </w:style>
  <w:style w:type="paragraph" w:styleId="FootnoteText">
    <w:name w:val="footnote text"/>
    <w:basedOn w:val="Normal"/>
    <w:link w:val="FootnoteTextChar"/>
    <w:uiPriority w:val="11"/>
    <w:qFormat/>
    <w:rsid w:val="001E3164"/>
    <w:pPr>
      <w:spacing w:after="120"/>
    </w:pPr>
    <w:rPr>
      <w:rFonts w:cs="Times New Roman"/>
      <w:sz w:val="20"/>
    </w:rPr>
  </w:style>
  <w:style w:type="character" w:customStyle="1" w:styleId="FootnoteTextChar">
    <w:name w:val="Footnote Text Char"/>
    <w:basedOn w:val="DefaultParagraphFont"/>
    <w:link w:val="FootnoteText"/>
    <w:uiPriority w:val="11"/>
    <w:rsid w:val="001E3164"/>
    <w:rPr>
      <w:rFonts w:ascii="Arial" w:hAnsi="Arial"/>
    </w:rPr>
  </w:style>
  <w:style w:type="paragraph" w:styleId="Caption">
    <w:name w:val="caption"/>
    <w:basedOn w:val="Normal"/>
    <w:next w:val="Normal"/>
    <w:uiPriority w:val="35"/>
    <w:semiHidden/>
    <w:unhideWhenUsed/>
    <w:qFormat/>
    <w:rsid w:val="001E3164"/>
    <w:pPr>
      <w:spacing w:after="200"/>
    </w:pPr>
    <w:rPr>
      <w:rFonts w:cs="Times New Roman"/>
      <w:b/>
      <w:bCs/>
      <w:color w:val="4F81BD" w:themeColor="accent1"/>
      <w:sz w:val="18"/>
      <w:szCs w:val="18"/>
    </w:rPr>
  </w:style>
  <w:style w:type="paragraph" w:styleId="ListBullet">
    <w:name w:val="List Bullet"/>
    <w:basedOn w:val="Normal"/>
    <w:uiPriority w:val="99"/>
    <w:qFormat/>
    <w:rsid w:val="001E3164"/>
    <w:pPr>
      <w:numPr>
        <w:numId w:val="6"/>
      </w:numPr>
      <w:spacing w:after="240"/>
      <w:contextualSpacing/>
    </w:pPr>
    <w:rPr>
      <w:rFonts w:cs="Times New Roman"/>
    </w:rPr>
  </w:style>
  <w:style w:type="paragraph" w:styleId="ListNumber">
    <w:name w:val="List Number"/>
    <w:basedOn w:val="Normal"/>
    <w:uiPriority w:val="99"/>
    <w:qFormat/>
    <w:rsid w:val="001E3164"/>
    <w:pPr>
      <w:numPr>
        <w:numId w:val="8"/>
      </w:numPr>
      <w:spacing w:after="240"/>
      <w:contextualSpacing/>
    </w:pPr>
    <w:rPr>
      <w:rFonts w:cs="Times New Roman"/>
    </w:rPr>
  </w:style>
  <w:style w:type="paragraph" w:styleId="Title">
    <w:name w:val="Title"/>
    <w:basedOn w:val="Normal"/>
    <w:link w:val="TitleChar"/>
    <w:uiPriority w:val="3"/>
    <w:qFormat/>
    <w:rsid w:val="001E3164"/>
    <w:pPr>
      <w:spacing w:after="240"/>
      <w:jc w:val="center"/>
    </w:pPr>
    <w:rPr>
      <w:rFonts w:eastAsiaTheme="majorEastAsia" w:cstheme="majorBidi"/>
      <w:szCs w:val="52"/>
    </w:rPr>
  </w:style>
  <w:style w:type="character" w:customStyle="1" w:styleId="TitleChar">
    <w:name w:val="Title Char"/>
    <w:basedOn w:val="DefaultParagraphFont"/>
    <w:link w:val="Title"/>
    <w:uiPriority w:val="3"/>
    <w:rsid w:val="001E3164"/>
    <w:rPr>
      <w:rFonts w:ascii="Arial" w:eastAsiaTheme="majorEastAsia" w:hAnsi="Arial" w:cstheme="majorBidi"/>
      <w:sz w:val="23"/>
      <w:szCs w:val="52"/>
    </w:rPr>
  </w:style>
  <w:style w:type="paragraph" w:styleId="Signature">
    <w:name w:val="Signature"/>
    <w:basedOn w:val="Normal"/>
    <w:link w:val="SignatureChar"/>
    <w:uiPriority w:val="3"/>
    <w:qFormat/>
    <w:rsid w:val="001E3164"/>
    <w:pPr>
      <w:spacing w:after="240"/>
      <w:ind w:left="4320"/>
      <w:contextualSpacing/>
    </w:pPr>
    <w:rPr>
      <w:rFonts w:cs="Times New Roman"/>
    </w:rPr>
  </w:style>
  <w:style w:type="character" w:customStyle="1" w:styleId="SignatureChar">
    <w:name w:val="Signature Char"/>
    <w:basedOn w:val="DefaultParagraphFont"/>
    <w:link w:val="Signature"/>
    <w:uiPriority w:val="3"/>
    <w:rsid w:val="001E3164"/>
    <w:rPr>
      <w:rFonts w:ascii="Arial" w:hAnsi="Arial"/>
      <w:sz w:val="23"/>
    </w:rPr>
  </w:style>
  <w:style w:type="paragraph" w:styleId="TOCHeading">
    <w:name w:val="TOC Heading"/>
    <w:basedOn w:val="Heading1"/>
    <w:next w:val="Normal"/>
    <w:uiPriority w:val="39"/>
    <w:semiHidden/>
    <w:unhideWhenUsed/>
    <w:qFormat/>
    <w:rsid w:val="001E3164"/>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rsid w:val="001E3164"/>
    <w:pPr>
      <w:spacing w:after="240"/>
      <w:ind w:left="1440" w:right="1440"/>
    </w:pPr>
    <w:rPr>
      <w:rFonts w:cs="Times New Roman"/>
    </w:rPr>
  </w:style>
  <w:style w:type="paragraph" w:customStyle="1" w:styleId="LeftIndent">
    <w:name w:val="Left Indent"/>
    <w:aliases w:val="LeftInd"/>
    <w:basedOn w:val="Normal"/>
    <w:uiPriority w:val="11"/>
    <w:qFormat/>
    <w:rsid w:val="001E3164"/>
    <w:pPr>
      <w:spacing w:after="240"/>
      <w:ind w:left="720"/>
    </w:pPr>
    <w:rPr>
      <w:rFonts w:cs="Times New Roman"/>
    </w:rPr>
  </w:style>
  <w:style w:type="paragraph" w:customStyle="1" w:styleId="FirstLineIndent">
    <w:name w:val="First Line Indent"/>
    <w:aliases w:val="FirstInd"/>
    <w:basedOn w:val="Normal"/>
    <w:uiPriority w:val="1"/>
    <w:qFormat/>
    <w:rsid w:val="001E3164"/>
    <w:pPr>
      <w:spacing w:after="240"/>
      <w:ind w:firstLine="720"/>
    </w:pPr>
    <w:rPr>
      <w:rFonts w:cs="Times New Roman"/>
    </w:rPr>
  </w:style>
  <w:style w:type="paragraph" w:customStyle="1" w:styleId="NoIndent">
    <w:name w:val="No Indent"/>
    <w:aliases w:val="NoInd"/>
    <w:basedOn w:val="Normal"/>
    <w:qFormat/>
    <w:rsid w:val="001E3164"/>
    <w:pPr>
      <w:spacing w:after="240"/>
    </w:pPr>
    <w:rPr>
      <w:rFonts w:cs="Times New Roman"/>
    </w:rPr>
  </w:style>
  <w:style w:type="paragraph" w:customStyle="1" w:styleId="DoubleIndent5">
    <w:name w:val="Double Indent .5"/>
    <w:aliases w:val="DblInd5"/>
    <w:basedOn w:val="Normal"/>
    <w:uiPriority w:val="2"/>
    <w:qFormat/>
    <w:rsid w:val="001E3164"/>
    <w:pPr>
      <w:spacing w:after="240"/>
      <w:ind w:left="720" w:right="720"/>
    </w:pPr>
    <w:rPr>
      <w:rFonts w:cs="Times New Roman"/>
      <w:iCs/>
    </w:rPr>
  </w:style>
  <w:style w:type="paragraph" w:styleId="EnvelopeAddress">
    <w:name w:val="envelope address"/>
    <w:basedOn w:val="Normal"/>
    <w:uiPriority w:val="99"/>
    <w:semiHidden/>
    <w:unhideWhenUsed/>
    <w:rsid w:val="001E3164"/>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sid w:val="001E3164"/>
    <w:rPr>
      <w:rFonts w:ascii="Arial" w:hAnsi="Arial" w:cs="Arial"/>
      <w:sz w:val="23"/>
    </w:rPr>
  </w:style>
  <w:style w:type="paragraph" w:styleId="BalloonText">
    <w:name w:val="Balloon Text"/>
    <w:basedOn w:val="Normal"/>
    <w:link w:val="BalloonTextChar"/>
    <w:uiPriority w:val="99"/>
    <w:semiHidden/>
    <w:unhideWhenUsed/>
    <w:rsid w:val="001E3164"/>
    <w:rPr>
      <w:rFonts w:ascii="Tahoma" w:hAnsi="Tahoma" w:cs="Tahoma"/>
      <w:sz w:val="16"/>
      <w:szCs w:val="16"/>
    </w:rPr>
  </w:style>
  <w:style w:type="character" w:customStyle="1" w:styleId="BalloonTextChar">
    <w:name w:val="Balloon Text Char"/>
    <w:basedOn w:val="DefaultParagraphFont"/>
    <w:link w:val="BalloonText"/>
    <w:uiPriority w:val="99"/>
    <w:semiHidden/>
    <w:rsid w:val="001E3164"/>
    <w:rPr>
      <w:rFonts w:ascii="Tahoma" w:hAnsi="Tahoma" w:cs="Tahoma"/>
      <w:sz w:val="16"/>
      <w:szCs w:val="16"/>
    </w:rPr>
  </w:style>
  <w:style w:type="character" w:customStyle="1" w:styleId="HeaderChar">
    <w:name w:val="Header Char"/>
    <w:basedOn w:val="DefaultParagraphFont"/>
    <w:link w:val="Header"/>
    <w:uiPriority w:val="99"/>
    <w:rsid w:val="004875DF"/>
    <w:rPr>
      <w:rFonts w:ascii="Arial" w:hAnsi="Arial" w:cs="Arial"/>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E3164"/>
    <w:rPr>
      <w:rFonts w:ascii="Arial" w:hAnsi="Arial" w:cs="Arial"/>
      <w:sz w:val="23"/>
    </w:rPr>
  </w:style>
  <w:style w:type="paragraph" w:styleId="Heading1">
    <w:name w:val="heading 1"/>
    <w:basedOn w:val="Normal"/>
    <w:link w:val="Heading1Char"/>
    <w:uiPriority w:val="9"/>
    <w:qFormat/>
    <w:rsid w:val="001E3164"/>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1E3164"/>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1E3164"/>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1E3164"/>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E3164"/>
    <w:pPr>
      <w:spacing w:after="240"/>
      <w:ind w:left="1440" w:right="1440"/>
    </w:pPr>
  </w:style>
  <w:style w:type="paragraph" w:customStyle="1" w:styleId="bcc">
    <w:name w:val="bcc"/>
    <w:basedOn w:val="Normal"/>
    <w:rsid w:val="001E3164"/>
    <w:pPr>
      <w:tabs>
        <w:tab w:val="left" w:pos="700"/>
      </w:tabs>
      <w:ind w:left="700" w:hanging="700"/>
    </w:pPr>
  </w:style>
  <w:style w:type="paragraph" w:customStyle="1" w:styleId="PersonalInfo">
    <w:name w:val="PersonalInfo"/>
    <w:basedOn w:val="Normal"/>
    <w:next w:val="Normal"/>
    <w:rsid w:val="001E3164"/>
    <w:pPr>
      <w:ind w:left="7488"/>
    </w:pPr>
    <w:rPr>
      <w:sz w:val="16"/>
    </w:rPr>
  </w:style>
  <w:style w:type="paragraph" w:customStyle="1" w:styleId="LetterDate">
    <w:name w:val="LetterDate"/>
    <w:basedOn w:val="Normal"/>
    <w:next w:val="Normal"/>
    <w:rsid w:val="001E3164"/>
    <w:pPr>
      <w:jc w:val="center"/>
    </w:pPr>
    <w:rPr>
      <w:noProof/>
    </w:rPr>
  </w:style>
  <w:style w:type="paragraph" w:customStyle="1" w:styleId="DeliveryMethod">
    <w:name w:val="DeliveryMethod"/>
    <w:basedOn w:val="Normal"/>
    <w:next w:val="Normal"/>
    <w:rsid w:val="001E3164"/>
    <w:pPr>
      <w:spacing w:after="240"/>
    </w:pPr>
    <w:rPr>
      <w:b/>
      <w:caps/>
      <w:u w:val="single"/>
    </w:rPr>
  </w:style>
  <w:style w:type="paragraph" w:customStyle="1" w:styleId="RecipientName">
    <w:name w:val="RecipientName"/>
    <w:next w:val="RecipientAddress"/>
    <w:rsid w:val="001E3164"/>
    <w:rPr>
      <w:rFonts w:ascii="Arial" w:hAnsi="Arial" w:cs="Arial"/>
      <w:sz w:val="23"/>
    </w:rPr>
  </w:style>
  <w:style w:type="paragraph" w:customStyle="1" w:styleId="RecipientAddress">
    <w:name w:val="RecipientAddress"/>
    <w:rsid w:val="001E3164"/>
    <w:rPr>
      <w:rFonts w:ascii="Arial" w:hAnsi="Arial"/>
      <w:sz w:val="23"/>
      <w:szCs w:val="23"/>
    </w:rPr>
  </w:style>
  <w:style w:type="paragraph" w:customStyle="1" w:styleId="ReLine">
    <w:name w:val="ReLine"/>
    <w:basedOn w:val="Normal"/>
    <w:next w:val="Normal"/>
    <w:rsid w:val="001E3164"/>
    <w:pPr>
      <w:ind w:left="1440" w:hanging="720"/>
    </w:pPr>
  </w:style>
  <w:style w:type="paragraph" w:styleId="Salutation">
    <w:name w:val="Salutation"/>
    <w:basedOn w:val="Normal"/>
    <w:next w:val="Normal"/>
    <w:semiHidden/>
    <w:rsid w:val="001E3164"/>
    <w:pPr>
      <w:spacing w:after="240"/>
    </w:pPr>
  </w:style>
  <w:style w:type="paragraph" w:styleId="BodyText">
    <w:name w:val="Body Text"/>
    <w:basedOn w:val="Normal"/>
    <w:link w:val="BodyTextChar"/>
    <w:semiHidden/>
    <w:rsid w:val="001E3164"/>
    <w:pPr>
      <w:spacing w:after="240"/>
    </w:pPr>
  </w:style>
  <w:style w:type="paragraph" w:styleId="Closing">
    <w:name w:val="Closing"/>
    <w:basedOn w:val="Normal"/>
    <w:semiHidden/>
    <w:rsid w:val="001E3164"/>
  </w:style>
  <w:style w:type="paragraph" w:customStyle="1" w:styleId="Initials">
    <w:name w:val="Initials"/>
    <w:basedOn w:val="Normal"/>
    <w:next w:val="Normal"/>
    <w:rsid w:val="001E3164"/>
  </w:style>
  <w:style w:type="paragraph" w:customStyle="1" w:styleId="SenderName">
    <w:name w:val="SenderName"/>
    <w:basedOn w:val="Normal"/>
    <w:next w:val="Normal"/>
    <w:rsid w:val="001E3164"/>
  </w:style>
  <w:style w:type="paragraph" w:customStyle="1" w:styleId="Enclosure">
    <w:name w:val="Enclosure"/>
    <w:basedOn w:val="Normal"/>
    <w:next w:val="Normal"/>
    <w:rsid w:val="001E3164"/>
  </w:style>
  <w:style w:type="paragraph" w:customStyle="1" w:styleId="ioc">
    <w:name w:val="ioc"/>
    <w:basedOn w:val="Normal"/>
    <w:next w:val="Normal"/>
    <w:rsid w:val="001E3164"/>
    <w:pPr>
      <w:tabs>
        <w:tab w:val="left" w:pos="720"/>
      </w:tabs>
      <w:ind w:left="720" w:hanging="720"/>
    </w:pPr>
  </w:style>
  <w:style w:type="paragraph" w:styleId="Header">
    <w:name w:val="header"/>
    <w:basedOn w:val="Normal"/>
    <w:link w:val="HeaderChar"/>
    <w:uiPriority w:val="99"/>
    <w:rsid w:val="001E3164"/>
    <w:pPr>
      <w:tabs>
        <w:tab w:val="center" w:pos="4320"/>
        <w:tab w:val="right" w:pos="8640"/>
      </w:tabs>
    </w:pPr>
  </w:style>
  <w:style w:type="paragraph" w:styleId="Footer">
    <w:name w:val="footer"/>
    <w:basedOn w:val="Normal"/>
    <w:semiHidden/>
    <w:rsid w:val="001E3164"/>
    <w:pPr>
      <w:tabs>
        <w:tab w:val="center" w:pos="4320"/>
        <w:tab w:val="right" w:pos="8640"/>
      </w:tabs>
    </w:pPr>
  </w:style>
  <w:style w:type="character" w:styleId="PageNumber">
    <w:name w:val="page number"/>
    <w:basedOn w:val="DefaultParagraphFont"/>
    <w:semiHidden/>
    <w:rsid w:val="001E3164"/>
  </w:style>
  <w:style w:type="character" w:customStyle="1" w:styleId="Heading1Char">
    <w:name w:val="Heading 1 Char"/>
    <w:basedOn w:val="DefaultParagraphFont"/>
    <w:link w:val="Heading1"/>
    <w:uiPriority w:val="9"/>
    <w:rsid w:val="001E3164"/>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sid w:val="001E3164"/>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sid w:val="001E3164"/>
    <w:rPr>
      <w:rFonts w:ascii="Arial" w:eastAsiaTheme="majorEastAsia" w:hAnsi="Arial" w:cstheme="majorBidi"/>
      <w:bCs/>
      <w:sz w:val="23"/>
    </w:rPr>
  </w:style>
  <w:style w:type="character" w:customStyle="1" w:styleId="Heading4Char">
    <w:name w:val="Heading 4 Char"/>
    <w:basedOn w:val="DefaultParagraphFont"/>
    <w:link w:val="Heading4"/>
    <w:uiPriority w:val="9"/>
    <w:rsid w:val="001E3164"/>
    <w:rPr>
      <w:rFonts w:ascii="Arial" w:eastAsiaTheme="majorEastAsia" w:hAnsi="Arial" w:cstheme="majorBidi"/>
      <w:bCs/>
      <w:iCs/>
      <w:sz w:val="23"/>
    </w:rPr>
  </w:style>
  <w:style w:type="paragraph" w:styleId="FootnoteText">
    <w:name w:val="footnote text"/>
    <w:basedOn w:val="Normal"/>
    <w:link w:val="FootnoteTextChar"/>
    <w:uiPriority w:val="11"/>
    <w:qFormat/>
    <w:rsid w:val="001E3164"/>
    <w:pPr>
      <w:spacing w:after="120"/>
    </w:pPr>
    <w:rPr>
      <w:rFonts w:cs="Times New Roman"/>
      <w:sz w:val="20"/>
    </w:rPr>
  </w:style>
  <w:style w:type="character" w:customStyle="1" w:styleId="FootnoteTextChar">
    <w:name w:val="Footnote Text Char"/>
    <w:basedOn w:val="DefaultParagraphFont"/>
    <w:link w:val="FootnoteText"/>
    <w:uiPriority w:val="11"/>
    <w:rsid w:val="001E3164"/>
    <w:rPr>
      <w:rFonts w:ascii="Arial" w:hAnsi="Arial"/>
    </w:rPr>
  </w:style>
  <w:style w:type="paragraph" w:styleId="Caption">
    <w:name w:val="caption"/>
    <w:basedOn w:val="Normal"/>
    <w:next w:val="Normal"/>
    <w:uiPriority w:val="35"/>
    <w:semiHidden/>
    <w:unhideWhenUsed/>
    <w:qFormat/>
    <w:rsid w:val="001E3164"/>
    <w:pPr>
      <w:spacing w:after="200"/>
    </w:pPr>
    <w:rPr>
      <w:rFonts w:cs="Times New Roman"/>
      <w:b/>
      <w:bCs/>
      <w:color w:val="4F81BD" w:themeColor="accent1"/>
      <w:sz w:val="18"/>
      <w:szCs w:val="18"/>
    </w:rPr>
  </w:style>
  <w:style w:type="paragraph" w:styleId="ListBullet">
    <w:name w:val="List Bullet"/>
    <w:basedOn w:val="Normal"/>
    <w:uiPriority w:val="99"/>
    <w:qFormat/>
    <w:rsid w:val="001E3164"/>
    <w:pPr>
      <w:numPr>
        <w:numId w:val="6"/>
      </w:numPr>
      <w:spacing w:after="240"/>
      <w:contextualSpacing/>
    </w:pPr>
    <w:rPr>
      <w:rFonts w:cs="Times New Roman"/>
    </w:rPr>
  </w:style>
  <w:style w:type="paragraph" w:styleId="ListNumber">
    <w:name w:val="List Number"/>
    <w:basedOn w:val="Normal"/>
    <w:uiPriority w:val="99"/>
    <w:qFormat/>
    <w:rsid w:val="001E3164"/>
    <w:pPr>
      <w:numPr>
        <w:numId w:val="8"/>
      </w:numPr>
      <w:spacing w:after="240"/>
      <w:contextualSpacing/>
    </w:pPr>
    <w:rPr>
      <w:rFonts w:cs="Times New Roman"/>
    </w:rPr>
  </w:style>
  <w:style w:type="paragraph" w:styleId="Title">
    <w:name w:val="Title"/>
    <w:basedOn w:val="Normal"/>
    <w:link w:val="TitleChar"/>
    <w:uiPriority w:val="3"/>
    <w:qFormat/>
    <w:rsid w:val="001E3164"/>
    <w:pPr>
      <w:spacing w:after="240"/>
      <w:jc w:val="center"/>
    </w:pPr>
    <w:rPr>
      <w:rFonts w:eastAsiaTheme="majorEastAsia" w:cstheme="majorBidi"/>
      <w:szCs w:val="52"/>
    </w:rPr>
  </w:style>
  <w:style w:type="character" w:customStyle="1" w:styleId="TitleChar">
    <w:name w:val="Title Char"/>
    <w:basedOn w:val="DefaultParagraphFont"/>
    <w:link w:val="Title"/>
    <w:uiPriority w:val="3"/>
    <w:rsid w:val="001E3164"/>
    <w:rPr>
      <w:rFonts w:ascii="Arial" w:eastAsiaTheme="majorEastAsia" w:hAnsi="Arial" w:cstheme="majorBidi"/>
      <w:sz w:val="23"/>
      <w:szCs w:val="52"/>
    </w:rPr>
  </w:style>
  <w:style w:type="paragraph" w:styleId="Signature">
    <w:name w:val="Signature"/>
    <w:basedOn w:val="Normal"/>
    <w:link w:val="SignatureChar"/>
    <w:uiPriority w:val="3"/>
    <w:qFormat/>
    <w:rsid w:val="001E3164"/>
    <w:pPr>
      <w:spacing w:after="240"/>
      <w:ind w:left="4320"/>
      <w:contextualSpacing/>
    </w:pPr>
    <w:rPr>
      <w:rFonts w:cs="Times New Roman"/>
    </w:rPr>
  </w:style>
  <w:style w:type="character" w:customStyle="1" w:styleId="SignatureChar">
    <w:name w:val="Signature Char"/>
    <w:basedOn w:val="DefaultParagraphFont"/>
    <w:link w:val="Signature"/>
    <w:uiPriority w:val="3"/>
    <w:rsid w:val="001E3164"/>
    <w:rPr>
      <w:rFonts w:ascii="Arial" w:hAnsi="Arial"/>
      <w:sz w:val="23"/>
    </w:rPr>
  </w:style>
  <w:style w:type="paragraph" w:styleId="TOCHeading">
    <w:name w:val="TOC Heading"/>
    <w:basedOn w:val="Heading1"/>
    <w:next w:val="Normal"/>
    <w:uiPriority w:val="39"/>
    <w:semiHidden/>
    <w:unhideWhenUsed/>
    <w:qFormat/>
    <w:rsid w:val="001E3164"/>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rsid w:val="001E3164"/>
    <w:pPr>
      <w:spacing w:after="240"/>
      <w:ind w:left="1440" w:right="1440"/>
    </w:pPr>
    <w:rPr>
      <w:rFonts w:cs="Times New Roman"/>
    </w:rPr>
  </w:style>
  <w:style w:type="paragraph" w:customStyle="1" w:styleId="LeftIndent">
    <w:name w:val="Left Indent"/>
    <w:aliases w:val="LeftInd"/>
    <w:basedOn w:val="Normal"/>
    <w:uiPriority w:val="11"/>
    <w:qFormat/>
    <w:rsid w:val="001E3164"/>
    <w:pPr>
      <w:spacing w:after="240"/>
      <w:ind w:left="720"/>
    </w:pPr>
    <w:rPr>
      <w:rFonts w:cs="Times New Roman"/>
    </w:rPr>
  </w:style>
  <w:style w:type="paragraph" w:customStyle="1" w:styleId="FirstLineIndent">
    <w:name w:val="First Line Indent"/>
    <w:aliases w:val="FirstInd"/>
    <w:basedOn w:val="Normal"/>
    <w:uiPriority w:val="1"/>
    <w:qFormat/>
    <w:rsid w:val="001E3164"/>
    <w:pPr>
      <w:spacing w:after="240"/>
      <w:ind w:firstLine="720"/>
    </w:pPr>
    <w:rPr>
      <w:rFonts w:cs="Times New Roman"/>
    </w:rPr>
  </w:style>
  <w:style w:type="paragraph" w:customStyle="1" w:styleId="NoIndent">
    <w:name w:val="No Indent"/>
    <w:aliases w:val="NoInd"/>
    <w:basedOn w:val="Normal"/>
    <w:qFormat/>
    <w:rsid w:val="001E3164"/>
    <w:pPr>
      <w:spacing w:after="240"/>
    </w:pPr>
    <w:rPr>
      <w:rFonts w:cs="Times New Roman"/>
    </w:rPr>
  </w:style>
  <w:style w:type="paragraph" w:customStyle="1" w:styleId="DoubleIndent5">
    <w:name w:val="Double Indent .5"/>
    <w:aliases w:val="DblInd5"/>
    <w:basedOn w:val="Normal"/>
    <w:uiPriority w:val="2"/>
    <w:qFormat/>
    <w:rsid w:val="001E3164"/>
    <w:pPr>
      <w:spacing w:after="240"/>
      <w:ind w:left="720" w:right="720"/>
    </w:pPr>
    <w:rPr>
      <w:rFonts w:cs="Times New Roman"/>
      <w:iCs/>
    </w:rPr>
  </w:style>
  <w:style w:type="paragraph" w:styleId="EnvelopeAddress">
    <w:name w:val="envelope address"/>
    <w:basedOn w:val="Normal"/>
    <w:uiPriority w:val="99"/>
    <w:semiHidden/>
    <w:unhideWhenUsed/>
    <w:rsid w:val="001E3164"/>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sid w:val="001E3164"/>
    <w:rPr>
      <w:rFonts w:ascii="Arial" w:hAnsi="Arial" w:cs="Arial"/>
      <w:sz w:val="23"/>
    </w:rPr>
  </w:style>
  <w:style w:type="paragraph" w:styleId="BalloonText">
    <w:name w:val="Balloon Text"/>
    <w:basedOn w:val="Normal"/>
    <w:link w:val="BalloonTextChar"/>
    <w:uiPriority w:val="99"/>
    <w:semiHidden/>
    <w:unhideWhenUsed/>
    <w:rsid w:val="001E3164"/>
    <w:rPr>
      <w:rFonts w:ascii="Tahoma" w:hAnsi="Tahoma" w:cs="Tahoma"/>
      <w:sz w:val="16"/>
      <w:szCs w:val="16"/>
    </w:rPr>
  </w:style>
  <w:style w:type="character" w:customStyle="1" w:styleId="BalloonTextChar">
    <w:name w:val="Balloon Text Char"/>
    <w:basedOn w:val="DefaultParagraphFont"/>
    <w:link w:val="BalloonText"/>
    <w:uiPriority w:val="99"/>
    <w:semiHidden/>
    <w:rsid w:val="001E3164"/>
    <w:rPr>
      <w:rFonts w:ascii="Tahoma" w:hAnsi="Tahoma" w:cs="Tahoma"/>
      <w:sz w:val="16"/>
      <w:szCs w:val="16"/>
    </w:rPr>
  </w:style>
  <w:style w:type="character" w:customStyle="1" w:styleId="HeaderChar">
    <w:name w:val="Header Char"/>
    <w:basedOn w:val="DefaultParagraphFont"/>
    <w:link w:val="Header"/>
    <w:uiPriority w:val="99"/>
    <w:rsid w:val="004875DF"/>
    <w:rPr>
      <w:rFonts w:ascii="Arial" w:hAnsi="Arial" w:cs="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Forms\MWN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5E96-EB3F-46E2-AFB8-2E074461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MWNLetter.dotm</Template>
  <TotalTime>13</TotalTime>
  <Pages>2</Pages>
  <Words>433</Words>
  <Characters>2297</Characters>
  <Application>Microsoft Office Word</Application>
  <DocSecurity>0</DocSecurity>
  <PresentationFormat/>
  <Lines>69</Lines>
  <Paragraphs>24</Paragraphs>
  <ScaleCrop>false</ScaleCrop>
  <HeadingPairs>
    <vt:vector size="2" baseType="variant">
      <vt:variant>
        <vt:lpstr>Title</vt:lpstr>
      </vt:variant>
      <vt:variant>
        <vt:i4>1</vt:i4>
      </vt:variant>
    </vt:vector>
  </HeadingPairs>
  <TitlesOfParts>
    <vt:vector size="1" baseType="lpstr">
      <vt:lpstr>GIS Application re Staff Report; second staff review (C47590-2).DOCX</vt:lpstr>
    </vt:vector>
  </TitlesOfParts>
  <Company>McNees Wallace &amp; Nurick</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Application re Staff Report; second staff review (C47590-2).DOCX</dc:title>
  <dc:subject>C47590:2 /font=8</dc:subject>
  <dc:creator>kbowman</dc:creator>
  <cp:lastModifiedBy>Karen Bowman</cp:lastModifiedBy>
  <cp:revision>5</cp:revision>
  <cp:lastPrinted>2015-05-20T17:05:00Z</cp:lastPrinted>
  <dcterms:created xsi:type="dcterms:W3CDTF">2015-06-29T14:17:00Z</dcterms:created>
  <dcterms:modified xsi:type="dcterms:W3CDTF">2015-06-29T18:17:00Z</dcterms:modified>
</cp:coreProperties>
</file>