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044B5" w:rsidRPr="00901B36" w14:paraId="02FEC815" w14:textId="77777777">
      <w:pPr>
        <w:pStyle w:val="HTMLPreformatted"/>
        <w:jc w:val="center"/>
        <w:rPr>
          <w:rFonts w:ascii="Times New Roman" w:hAnsi="Times New Roman" w:cs="Times New Roman"/>
          <w:b/>
          <w:bCs/>
          <w:sz w:val="24"/>
          <w:szCs w:val="24"/>
        </w:rPr>
      </w:pPr>
      <w:r w:rsidRPr="00901B36">
        <w:rPr>
          <w:rFonts w:ascii="Times New Roman" w:hAnsi="Times New Roman" w:cs="Times New Roman"/>
          <w:b/>
          <w:bCs/>
          <w:sz w:val="24"/>
          <w:szCs w:val="24"/>
        </w:rPr>
        <w:t>BEFORE</w:t>
      </w:r>
    </w:p>
    <w:p w:rsidR="00A044B5" w:rsidRPr="00901B36" w14:paraId="034E8B26" w14:textId="77777777">
      <w:pPr>
        <w:pStyle w:val="HTMLPreformatted"/>
        <w:jc w:val="center"/>
        <w:rPr>
          <w:rFonts w:ascii="Times New Roman" w:hAnsi="Times New Roman" w:cs="Times New Roman"/>
          <w:sz w:val="24"/>
          <w:szCs w:val="24"/>
        </w:rPr>
      </w:pPr>
      <w:r w:rsidRPr="00901B36">
        <w:rPr>
          <w:rFonts w:ascii="Times New Roman" w:hAnsi="Times New Roman" w:cs="Times New Roman"/>
          <w:b/>
          <w:bCs/>
          <w:sz w:val="24"/>
          <w:szCs w:val="24"/>
        </w:rPr>
        <w:t>THE PUBLIC UTILITIES COMMISSION OF OHIO</w:t>
      </w:r>
    </w:p>
    <w:p w:rsidR="00350D3F" w:rsidRPr="00901B36" w14:paraId="2FA26D55" w14:textId="77777777">
      <w:pPr>
        <w:pStyle w:val="HTMLPreformatted"/>
        <w:rPr>
          <w:rFonts w:ascii="Times New Roman" w:hAnsi="Times New Roman" w:cs="Times New Roman"/>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1760A085" w14:textId="77777777" w:rsidTr="002F72C4">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350D3F" w:rsidRPr="00901B36" w:rsidP="005A4A50" w14:paraId="142FEB9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In the Matter of the Application of The East Ohio Gas Company d/b/a Dominion Energy Ohio for Approval to Increase Natural Gas Rates</w:t>
            </w:r>
          </w:p>
          <w:p w:rsidR="00350D3F" w:rsidRPr="00901B36" w:rsidP="005A4A50" w14:paraId="38D25C4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rsidP="005A4A50" w14:paraId="3F1A3A72" w14:textId="2A1F9C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In the Matter of the Application of The East Ohio Gas Company d/b/a Dominion Energy Ohio for Approval of Alternative Ra</w:t>
            </w:r>
            <w:r w:rsidR="000830DB">
              <w:rPr>
                <w:rFonts w:ascii="Times New Roman" w:eastAsia="Courier New" w:hAnsi="Times New Roman" w:cs="Times New Roman"/>
                <w:sz w:val="24"/>
                <w:szCs w:val="24"/>
                <w:lang w:val="en-US" w:eastAsia="en-US" w:bidi="ar-SA"/>
              </w:rPr>
              <w:t>t</w:t>
            </w:r>
            <w:r w:rsidRPr="00901B36">
              <w:rPr>
                <w:rFonts w:ascii="Times New Roman" w:eastAsia="Courier New" w:hAnsi="Times New Roman" w:cs="Times New Roman"/>
                <w:sz w:val="24"/>
                <w:szCs w:val="24"/>
                <w:lang w:val="en-US" w:eastAsia="en-US" w:bidi="ar-SA"/>
              </w:rPr>
              <w:t>e Plan.</w:t>
            </w:r>
          </w:p>
          <w:p w:rsidR="00350D3F" w:rsidRPr="00901B36" w:rsidP="005A4A50" w14:paraId="151C095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rsidP="005A4A50" w14:paraId="2A2350D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In the Matter of the Application of The East Ohio Gas Company d/b/a Dominion Energy Ohio for Approval to Change Accounting Methods.</w:t>
            </w:r>
          </w:p>
          <w:p w:rsidR="00350D3F" w:rsidRPr="00901B36" w:rsidP="005A4A50" w14:paraId="7957A06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243282" w:rsidRPr="00901B36" w:rsidP="005A4A50" w14:paraId="76C95E6B" w14:textId="5D24A38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In the Matter of the Application of The East Ohio Gas Company d/b/a Dominion Energy Ohio for Approval of Tariff Revisions.</w:t>
            </w:r>
            <w:r w:rsidRPr="00901B36" w:rsidR="00624291">
              <w:rPr>
                <w:rFonts w:ascii="Times New Roman" w:eastAsia="Courier New" w:hAnsi="Times New Roman" w:cs="Times New Roman"/>
                <w:sz w:val="24"/>
                <w:szCs w:val="24"/>
                <w:lang w:val="en-US" w:eastAsia="en-US" w:bidi="ar-SA"/>
              </w:rPr>
              <w:t xml:space="preserve"> </w:t>
            </w:r>
          </w:p>
        </w:tc>
        <w:tc>
          <w:tcPr>
            <w:tcW w:w="630" w:type="dxa"/>
            <w:shd w:val="clear" w:color="auto" w:fill="auto"/>
          </w:tcPr>
          <w:p w:rsidR="00A044B5" w:rsidRPr="00901B36" w14:paraId="26381EB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A044B5" w:rsidRPr="00901B36" w14:paraId="520019D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A044B5" w:rsidRPr="00901B36" w:rsidP="00E567EE" w14:paraId="5DD5919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1323830E" w14:textId="54675A9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56F1660E" w14:textId="2CBD011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rsidP="00E567EE" w14:paraId="3A21848C" w14:textId="32E6AEC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60962A3F" w14:textId="7BDF98F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7ADAC92A" w14:textId="36643C2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337EBF27" w14:textId="207816F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65444699" w14:textId="69DEA8F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rsidP="00E567EE" w14:paraId="3FB3AB6D" w14:textId="6AC439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306B016D" w14:textId="14228B0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6EF9A4E3" w14:textId="7A3785E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6506216A" w14:textId="373CC60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5C3BB046" w14:textId="1E03EF2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rsidP="00E567EE" w14:paraId="77B11396" w14:textId="5F494C0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33E8E0F9" w14:textId="080B7D4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350D3F" w:rsidRPr="00901B36" w:rsidP="00E567EE" w14:paraId="62D64592" w14:textId="5137CBC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p w:rsidR="00243282" w:rsidRPr="00901B36" w:rsidP="00E567EE" w14:paraId="4A001CA9" w14:textId="61A2A93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w:t>
            </w:r>
          </w:p>
        </w:tc>
        <w:tc>
          <w:tcPr>
            <w:tcW w:w="3780" w:type="dxa"/>
            <w:shd w:val="clear" w:color="auto" w:fill="auto"/>
          </w:tcPr>
          <w:p w:rsidR="00A044B5" w:rsidRPr="00901B36" w14:paraId="01584BF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A044B5" w:rsidRPr="00901B36" w14:paraId="33675B5C" w14:textId="3885716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 xml:space="preserve">Case No. </w:t>
            </w:r>
            <w:r w:rsidRPr="00901B36" w:rsidR="00243282">
              <w:rPr>
                <w:rFonts w:ascii="Times New Roman" w:eastAsia="Courier New" w:hAnsi="Times New Roman" w:cs="Times New Roman"/>
                <w:sz w:val="24"/>
                <w:szCs w:val="24"/>
                <w:lang w:val="en-US" w:eastAsia="en-US" w:bidi="ar-SA"/>
              </w:rPr>
              <w:t>23-</w:t>
            </w:r>
            <w:r w:rsidRPr="00901B36" w:rsidR="00350D3F">
              <w:rPr>
                <w:rFonts w:ascii="Times New Roman" w:eastAsia="Courier New" w:hAnsi="Times New Roman" w:cs="Times New Roman"/>
                <w:sz w:val="24"/>
                <w:szCs w:val="24"/>
                <w:lang w:val="en-US" w:eastAsia="en-US" w:bidi="ar-SA"/>
              </w:rPr>
              <w:t>894</w:t>
            </w:r>
            <w:r w:rsidRPr="00901B36" w:rsidR="00243282">
              <w:rPr>
                <w:rFonts w:ascii="Times New Roman" w:eastAsia="Courier New" w:hAnsi="Times New Roman" w:cs="Times New Roman"/>
                <w:sz w:val="24"/>
                <w:szCs w:val="24"/>
                <w:lang w:val="en-US" w:eastAsia="en-US" w:bidi="ar-SA"/>
              </w:rPr>
              <w:t>-GA-AIR</w:t>
            </w:r>
          </w:p>
          <w:p w:rsidR="00A044B5" w:rsidRPr="00901B36" w14:paraId="1F28B25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4F6091A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45ECC05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5D083FE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4FC04400" w14:textId="669D24E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Case No. 23-895-GA-ALT</w:t>
            </w:r>
          </w:p>
          <w:p w:rsidR="00350D3F" w:rsidRPr="00901B36" w14:paraId="580433D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0575544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27D9B15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616AC20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32408129" w14:textId="7AD61EE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Case No. 23-896-GA-AAM</w:t>
            </w:r>
          </w:p>
          <w:p w:rsidR="00350D3F" w:rsidRPr="00901B36" w14:paraId="2358563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0A82357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1A50A79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2478504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350D3F" w:rsidRPr="00901B36" w14:paraId="25E1EC4E" w14:textId="16722E7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901B36">
              <w:rPr>
                <w:rFonts w:ascii="Times New Roman" w:eastAsia="Courier New" w:hAnsi="Times New Roman" w:cs="Times New Roman"/>
                <w:sz w:val="24"/>
                <w:szCs w:val="24"/>
                <w:lang w:val="en-US" w:eastAsia="en-US" w:bidi="ar-SA"/>
              </w:rPr>
              <w:t>Case No. 23-897-GA-ATA</w:t>
            </w:r>
          </w:p>
          <w:p w:rsidR="00DE7EFA" w:rsidRPr="00901B36" w14:paraId="774E7161" w14:textId="725CA8A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A044B5" w:rsidRPr="00901B36" w14:paraId="70FADD5D" w14:textId="77777777">
      <w:pPr>
        <w:pStyle w:val="HTMLPreformatted"/>
        <w:rPr>
          <w:rFonts w:ascii="Times New Roman" w:hAnsi="Times New Roman" w:cs="Times New Roman"/>
          <w:sz w:val="24"/>
          <w:szCs w:val="24"/>
        </w:rPr>
      </w:pPr>
    </w:p>
    <w:p w:rsidR="00A044B5" w:rsidRPr="00901B36" w14:paraId="630B2AD3" w14:textId="77777777">
      <w:pPr>
        <w:pStyle w:val="HTMLPreformatted"/>
        <w:pBdr>
          <w:top w:val="single" w:sz="12" w:space="1" w:color="auto"/>
        </w:pBdr>
        <w:rPr>
          <w:rFonts w:ascii="Times New Roman" w:hAnsi="Times New Roman" w:cs="Times New Roman"/>
          <w:sz w:val="24"/>
          <w:szCs w:val="24"/>
        </w:rPr>
      </w:pPr>
    </w:p>
    <w:p w:rsidR="004B3876" w:rsidRPr="00901B36" w:rsidP="004B3876" w14:paraId="77C7B38E" w14:textId="1F507ABF">
      <w:pPr>
        <w:pBdr>
          <w:bottom w:val="single" w:sz="12" w:space="1" w:color="auto"/>
        </w:pBdr>
        <w:tabs>
          <w:tab w:val="left" w:pos="4320"/>
        </w:tabs>
        <w:jc w:val="center"/>
        <w:rPr>
          <w:b/>
          <w:bCs/>
          <w:szCs w:val="24"/>
        </w:rPr>
      </w:pPr>
      <w:r w:rsidRPr="00901B36">
        <w:rPr>
          <w:b/>
          <w:bCs/>
          <w:szCs w:val="24"/>
        </w:rPr>
        <w:t xml:space="preserve">REPLY TO DOMINION’S MEMORANDUM CONTRA MOTION TO </w:t>
      </w:r>
      <w:r w:rsidRPr="00901B36" w:rsidR="00B32766">
        <w:rPr>
          <w:b/>
          <w:bCs/>
          <w:szCs w:val="24"/>
        </w:rPr>
        <w:t>S</w:t>
      </w:r>
      <w:r w:rsidRPr="00901B36">
        <w:rPr>
          <w:b/>
          <w:bCs/>
          <w:szCs w:val="24"/>
        </w:rPr>
        <w:t>CHEDULE A VIRTUAL LOCAL PUBLIC HEARING</w:t>
      </w:r>
    </w:p>
    <w:p w:rsidR="004B3876" w:rsidRPr="00901B36" w:rsidP="004B3876" w14:paraId="6870CAAE" w14:textId="77777777">
      <w:pPr>
        <w:pBdr>
          <w:bottom w:val="single" w:sz="12" w:space="1" w:color="auto"/>
        </w:pBdr>
        <w:tabs>
          <w:tab w:val="left" w:pos="4320"/>
        </w:tabs>
        <w:jc w:val="center"/>
        <w:rPr>
          <w:b/>
          <w:bCs/>
          <w:szCs w:val="24"/>
        </w:rPr>
      </w:pPr>
      <w:r w:rsidRPr="00901B36">
        <w:rPr>
          <w:b/>
          <w:bCs/>
          <w:szCs w:val="24"/>
        </w:rPr>
        <w:t>BY</w:t>
      </w:r>
    </w:p>
    <w:p w:rsidR="0010266C" w:rsidRPr="00901B36" w:rsidP="0010266C" w14:paraId="68893666" w14:textId="47ABD2A8">
      <w:pPr>
        <w:pBdr>
          <w:bottom w:val="single" w:sz="12" w:space="1" w:color="auto"/>
        </w:pBdr>
        <w:autoSpaceDE w:val="0"/>
        <w:autoSpaceDN w:val="0"/>
        <w:adjustRightInd w:val="0"/>
        <w:jc w:val="center"/>
        <w:rPr>
          <w:b/>
          <w:bCs/>
          <w:szCs w:val="24"/>
        </w:rPr>
      </w:pPr>
      <w:r w:rsidRPr="00901B36">
        <w:rPr>
          <w:b/>
          <w:bCs/>
          <w:szCs w:val="24"/>
        </w:rPr>
        <w:t xml:space="preserve">LEGAL AID SOCIETY OF SOUTHWEST OHIO, LLC </w:t>
      </w:r>
    </w:p>
    <w:p w:rsidR="00467732" w:rsidRPr="00901B36" w:rsidP="0010266C" w14:paraId="6AF6E222" w14:textId="7BDFC6D2">
      <w:pPr>
        <w:pBdr>
          <w:bottom w:val="single" w:sz="12" w:space="1" w:color="auto"/>
        </w:pBdr>
        <w:autoSpaceDE w:val="0"/>
        <w:autoSpaceDN w:val="0"/>
        <w:adjustRightInd w:val="0"/>
        <w:jc w:val="center"/>
        <w:rPr>
          <w:b/>
          <w:bCs/>
          <w:szCs w:val="24"/>
        </w:rPr>
      </w:pPr>
      <w:r w:rsidRPr="00901B36">
        <w:rPr>
          <w:b/>
          <w:bCs/>
          <w:szCs w:val="24"/>
        </w:rPr>
        <w:t xml:space="preserve">OFFICE OF THE </w:t>
      </w:r>
      <w:r w:rsidRPr="00901B36" w:rsidR="008A6793">
        <w:rPr>
          <w:b/>
          <w:bCs/>
          <w:szCs w:val="24"/>
        </w:rPr>
        <w:t>OHIO CONSUMERS’ COUNSEL</w:t>
      </w:r>
    </w:p>
    <w:p w:rsidR="0010266C" w:rsidRPr="00901B36" w:rsidP="0010266C" w14:paraId="29479C69" w14:textId="25BD51C6">
      <w:pPr>
        <w:pBdr>
          <w:bottom w:val="single" w:sz="12" w:space="1" w:color="auto"/>
        </w:pBdr>
        <w:autoSpaceDE w:val="0"/>
        <w:autoSpaceDN w:val="0"/>
        <w:adjustRightInd w:val="0"/>
        <w:jc w:val="center"/>
        <w:rPr>
          <w:b/>
          <w:bCs/>
          <w:szCs w:val="24"/>
        </w:rPr>
      </w:pPr>
      <w:r w:rsidRPr="00901B36">
        <w:rPr>
          <w:b/>
          <w:bCs/>
          <w:szCs w:val="24"/>
        </w:rPr>
        <w:t>AND</w:t>
      </w:r>
    </w:p>
    <w:p w:rsidR="0010266C" w:rsidRPr="00901B36" w:rsidP="0010266C" w14:paraId="50BE6CCE" w14:textId="533D9E9E">
      <w:pPr>
        <w:pBdr>
          <w:bottom w:val="single" w:sz="12" w:space="1" w:color="auto"/>
        </w:pBdr>
        <w:autoSpaceDE w:val="0"/>
        <w:autoSpaceDN w:val="0"/>
        <w:adjustRightInd w:val="0"/>
        <w:jc w:val="center"/>
        <w:rPr>
          <w:b/>
          <w:bCs/>
          <w:szCs w:val="24"/>
        </w:rPr>
      </w:pPr>
      <w:r w:rsidRPr="00901B36">
        <w:rPr>
          <w:b/>
          <w:bCs/>
          <w:szCs w:val="24"/>
        </w:rPr>
        <w:t>OHIO POVERTY LAW CENTER</w:t>
      </w:r>
    </w:p>
    <w:p w:rsidR="00467732" w:rsidRPr="00901B36" w:rsidP="0010266C" w14:paraId="129D5F17" w14:textId="77777777">
      <w:pPr>
        <w:pBdr>
          <w:bottom w:val="single" w:sz="12" w:space="1" w:color="auto"/>
        </w:pBdr>
        <w:autoSpaceDE w:val="0"/>
        <w:autoSpaceDN w:val="0"/>
        <w:adjustRightInd w:val="0"/>
        <w:jc w:val="center"/>
        <w:rPr>
          <w:b/>
          <w:bCs/>
          <w:szCs w:val="24"/>
        </w:rPr>
      </w:pPr>
    </w:p>
    <w:p w:rsidR="00A044B5" w:rsidRPr="00901B36" w14:paraId="5F54AC84" w14:textId="77777777">
      <w:pPr>
        <w:tabs>
          <w:tab w:val="left" w:pos="4320"/>
        </w:tabs>
        <w:rPr>
          <w:szCs w:val="24"/>
        </w:rPr>
      </w:pPr>
    </w:p>
    <w:p w:rsidR="00DB4E6C" w:rsidRPr="00901B36" w:rsidP="00A047EC" w14:paraId="5549EEA8" w14:textId="77777777">
      <w:pPr>
        <w:pStyle w:val="Heading1"/>
      </w:pPr>
      <w:r w:rsidRPr="00901B36">
        <w:t>I.</w:t>
      </w:r>
      <w:r w:rsidRPr="00901B36">
        <w:tab/>
        <w:t>INTRODUCTION</w:t>
      </w:r>
    </w:p>
    <w:p w:rsidR="0073688C" w:rsidP="00A047EC" w14:paraId="0435E777" w14:textId="77777777">
      <w:pPr>
        <w:spacing w:line="480" w:lineRule="auto"/>
        <w:ind w:firstLine="720"/>
      </w:pPr>
      <w:r>
        <w:rPr>
          <w:szCs w:val="24"/>
        </w:rPr>
        <w:t xml:space="preserve">Dominion seeks </w:t>
      </w:r>
      <w:r>
        <w:t xml:space="preserve">to increase the charges for natural gas distribution service for all of its 1.2 million customers by over </w:t>
      </w:r>
      <w:r w:rsidRPr="00AA595E">
        <w:rPr>
          <w:i/>
          <w:iCs/>
        </w:rPr>
        <w:t>30 percent</w:t>
      </w:r>
      <w:r>
        <w:t xml:space="preserve"> from $43.30 to $56.34. And this doesn’t even include</w:t>
      </w:r>
      <w:r w:rsidR="00B41A0C">
        <w:t xml:space="preserve"> the</w:t>
      </w:r>
      <w:r>
        <w:t xml:space="preserve"> additional charges Dominion wants consumers to pay</w:t>
      </w:r>
      <w:r w:rsidR="00B41A0C">
        <w:t xml:space="preserve"> (increasing to as much as $29.69 per month by 2032)</w:t>
      </w:r>
      <w:r>
        <w:t xml:space="preserve"> through additional riders. Consumers deserve</w:t>
      </w:r>
      <w:r>
        <w:t xml:space="preserve"> to be heard</w:t>
      </w:r>
      <w:r>
        <w:t xml:space="preserve"> regarding Dominion’s applications to increase rates and for an alternative</w:t>
      </w:r>
      <w:r>
        <w:t xml:space="preserve"> rate plan. The PUCO should grant the motion for a virtual local public hearing in this case. </w:t>
      </w:r>
    </w:p>
    <w:p w:rsidR="0073688C" w:rsidP="00A047EC" w14:paraId="325FA388" w14:textId="02999BEE">
      <w:pPr>
        <w:spacing w:line="480" w:lineRule="auto"/>
        <w:ind w:firstLine="720"/>
        <w:rPr>
          <w:szCs w:val="24"/>
        </w:rPr>
      </w:pPr>
      <w:r>
        <w:t>Dominion opposes the motion to give consumers an additional option to testify on the record regarding the massive rate increases Dominion proposes in this case. That’s no surprise</w:t>
      </w:r>
      <w:r w:rsidR="002024C5">
        <w:t xml:space="preserve"> given its proposals to charge consumers.</w:t>
      </w:r>
      <w:r>
        <w:t xml:space="preserve">  However, there is little merit to Dominion’s arguments against the PUCO conducting a virtual local public hearing. The PUCO has held virtual public hearings in the past,</w:t>
      </w:r>
      <w:r>
        <w:rPr>
          <w:rStyle w:val="FootnoteReference"/>
        </w:rPr>
        <w:footnoteReference w:id="2"/>
      </w:r>
      <w:r>
        <w:t xml:space="preserve"> and it can (and should) do so here. </w:t>
      </w:r>
      <w:r w:rsidR="000830DB">
        <w:t xml:space="preserve"> </w:t>
      </w:r>
      <w:r w:rsidR="000830DB">
        <w:rPr>
          <w:szCs w:val="24"/>
        </w:rPr>
        <w:t xml:space="preserve"> </w:t>
      </w:r>
    </w:p>
    <w:p w:rsidR="0073688C" w:rsidP="00F924F1" w14:paraId="1C6B9790" w14:textId="54A0A646">
      <w:pPr>
        <w:pStyle w:val="Heading1"/>
      </w:pPr>
      <w:r>
        <w:t>II. ARGUMENT</w:t>
      </w:r>
    </w:p>
    <w:p w:rsidR="00A047EC" w:rsidRPr="00901B36" w:rsidP="0001537E" w14:paraId="1CC03344" w14:textId="3527F323">
      <w:pPr>
        <w:pStyle w:val="Heading2"/>
      </w:pPr>
      <w:r w:rsidRPr="00901B36">
        <w:t>A.</w:t>
      </w:r>
      <w:r w:rsidRPr="00901B36">
        <w:tab/>
      </w:r>
      <w:r w:rsidR="0073688C">
        <w:t>DEO misconstrues the statutory requirements of R.C. 4903.083 requiring local public hearings.</w:t>
      </w:r>
    </w:p>
    <w:p w:rsidR="00A047EC" w:rsidRPr="00901B36" w:rsidP="00A047EC" w14:paraId="1D3812B9" w14:textId="6F744375">
      <w:pPr>
        <w:spacing w:line="480" w:lineRule="auto"/>
        <w:ind w:firstLine="720"/>
        <w:rPr>
          <w:szCs w:val="24"/>
        </w:rPr>
      </w:pPr>
      <w:r w:rsidRPr="00901B36">
        <w:rPr>
          <w:szCs w:val="24"/>
        </w:rPr>
        <w:t>While DEO correctly identifies R.C. 4903.083 as establishing</w:t>
      </w:r>
      <w:r w:rsidR="003E278F">
        <w:rPr>
          <w:szCs w:val="24"/>
        </w:rPr>
        <w:t xml:space="preserve"> </w:t>
      </w:r>
      <w:r w:rsidRPr="00901B36">
        <w:rPr>
          <w:szCs w:val="24"/>
        </w:rPr>
        <w:t>requirements for in-person public hearings</w:t>
      </w:r>
      <w:r w:rsidRPr="00901B36" w:rsidR="001410F0">
        <w:rPr>
          <w:szCs w:val="24"/>
        </w:rPr>
        <w:t>,</w:t>
      </w:r>
      <w:r>
        <w:rPr>
          <w:rStyle w:val="FootnoteReference"/>
          <w:szCs w:val="24"/>
        </w:rPr>
        <w:footnoteReference w:id="3"/>
      </w:r>
      <w:r w:rsidRPr="00901B36">
        <w:rPr>
          <w:szCs w:val="24"/>
        </w:rPr>
        <w:t xml:space="preserve"> it misinterprets its scope. The statute mandates </w:t>
      </w:r>
      <w:r w:rsidRPr="00753C4F">
        <w:rPr>
          <w:szCs w:val="24"/>
          <w:u w:val="single"/>
        </w:rPr>
        <w:t>minimum</w:t>
      </w:r>
      <w:r w:rsidRPr="00901B36">
        <w:rPr>
          <w:szCs w:val="24"/>
        </w:rPr>
        <w:t xml:space="preserve"> standards, not an exhaustive list of options</w:t>
      </w:r>
      <w:r w:rsidR="003E278F">
        <w:rPr>
          <w:szCs w:val="24"/>
        </w:rPr>
        <w:t xml:space="preserve"> within the </w:t>
      </w:r>
      <w:r w:rsidR="0073688C">
        <w:rPr>
          <w:szCs w:val="24"/>
        </w:rPr>
        <w:t xml:space="preserve">PUCO </w:t>
      </w:r>
      <w:r w:rsidR="003E278F">
        <w:rPr>
          <w:szCs w:val="24"/>
        </w:rPr>
        <w:t>authority</w:t>
      </w:r>
      <w:r w:rsidRPr="00901B36">
        <w:rPr>
          <w:szCs w:val="24"/>
        </w:rPr>
        <w:t xml:space="preserve">. </w:t>
      </w:r>
      <w:r w:rsidR="00753C4F">
        <w:rPr>
          <w:szCs w:val="24"/>
        </w:rPr>
        <w:t>S</w:t>
      </w:r>
      <w:r w:rsidRPr="00901B36">
        <w:rPr>
          <w:szCs w:val="24"/>
        </w:rPr>
        <w:t xml:space="preserve">ignificantly, it is silent on the </w:t>
      </w:r>
      <w:r w:rsidR="00C34EC2">
        <w:rPr>
          <w:szCs w:val="24"/>
        </w:rPr>
        <w:t>PUCO</w:t>
      </w:r>
      <w:r w:rsidRPr="00901B36">
        <w:rPr>
          <w:szCs w:val="24"/>
        </w:rPr>
        <w:t xml:space="preserve">’s authority to expand public participation through additional avenues like virtual hearings. Therefore, granting our motion wouldn’t be a change to the statute but an exercise of the </w:t>
      </w:r>
      <w:r w:rsidR="00C34EC2">
        <w:rPr>
          <w:szCs w:val="24"/>
        </w:rPr>
        <w:t>PUCO</w:t>
      </w:r>
      <w:r w:rsidRPr="00901B36">
        <w:rPr>
          <w:szCs w:val="24"/>
        </w:rPr>
        <w:t xml:space="preserve">’s existing </w:t>
      </w:r>
      <w:r w:rsidR="003E278F">
        <w:rPr>
          <w:szCs w:val="24"/>
        </w:rPr>
        <w:t xml:space="preserve">general </w:t>
      </w:r>
      <w:r w:rsidRPr="00901B36">
        <w:rPr>
          <w:szCs w:val="24"/>
        </w:rPr>
        <w:t>authority under R.C. 4905.05 and R.C. 4905.06 to enhance accessibility and consumer engagement.</w:t>
      </w:r>
    </w:p>
    <w:p w:rsidR="00580C7C" w:rsidRPr="00901B36" w:rsidP="005D66C2" w14:paraId="2743481B" w14:textId="5A4CCCC0">
      <w:pPr>
        <w:spacing w:line="480" w:lineRule="auto"/>
        <w:ind w:firstLine="720"/>
        <w:rPr>
          <w:szCs w:val="24"/>
        </w:rPr>
      </w:pPr>
      <w:r w:rsidRPr="00901B36">
        <w:rPr>
          <w:szCs w:val="24"/>
        </w:rPr>
        <w:t xml:space="preserve">Furthermore, DEO overlooks the significant technological advancements since </w:t>
      </w:r>
      <w:r w:rsidR="002D270E">
        <w:rPr>
          <w:szCs w:val="24"/>
        </w:rPr>
        <w:t xml:space="preserve">the enactment of </w:t>
      </w:r>
      <w:r w:rsidRPr="00901B36">
        <w:rPr>
          <w:szCs w:val="24"/>
        </w:rPr>
        <w:t>R.C. 4903.083 in 2009. These advancements make virtual hearings a viable</w:t>
      </w:r>
      <w:r w:rsidR="002D270E">
        <w:rPr>
          <w:szCs w:val="24"/>
        </w:rPr>
        <w:t>, efficient,</w:t>
      </w:r>
      <w:r w:rsidRPr="00901B36">
        <w:rPr>
          <w:szCs w:val="24"/>
        </w:rPr>
        <w:t xml:space="preserve"> and increasingly preferred method for public participation in legal proceedings. While legislative revisions may eventually codify these changes, the </w:t>
      </w:r>
      <w:r w:rsidR="00C34EC2">
        <w:rPr>
          <w:szCs w:val="24"/>
        </w:rPr>
        <w:t>PUCO</w:t>
      </w:r>
      <w:r w:rsidRPr="00901B36">
        <w:rPr>
          <w:szCs w:val="24"/>
        </w:rPr>
        <w:t xml:space="preserve"> need not wait for such amendments to utilize readily available tools to benefit consumers.</w:t>
      </w:r>
    </w:p>
    <w:p w:rsidR="00A047EC" w:rsidRPr="00901B36" w:rsidP="00F924F1" w14:paraId="414A79EA" w14:textId="5319A3DE">
      <w:pPr>
        <w:pStyle w:val="Heading2"/>
      </w:pPr>
      <w:r w:rsidRPr="00901B36">
        <w:t>B.</w:t>
      </w:r>
      <w:r w:rsidRPr="00901B36">
        <w:tab/>
        <w:t xml:space="preserve">Previous </w:t>
      </w:r>
      <w:r w:rsidR="00886D62">
        <w:t>r</w:t>
      </w:r>
      <w:r w:rsidRPr="00901B36">
        <w:t>ulings</w:t>
      </w:r>
      <w:r w:rsidR="002D270E">
        <w:t xml:space="preserve"> by the PUCO regarding virtual local public hearings are not, and should not be, controlling</w:t>
      </w:r>
      <w:r w:rsidR="002024C5">
        <w:t xml:space="preserve"> in this case</w:t>
      </w:r>
      <w:r w:rsidR="002D270E">
        <w:t>.</w:t>
      </w:r>
    </w:p>
    <w:p w:rsidR="00A047EC" w:rsidRPr="00901B36" w:rsidP="00A047EC" w14:paraId="6133D342" w14:textId="351A9DB5">
      <w:pPr>
        <w:spacing w:line="480" w:lineRule="auto"/>
        <w:ind w:firstLine="720"/>
        <w:rPr>
          <w:szCs w:val="24"/>
        </w:rPr>
      </w:pPr>
      <w:r w:rsidRPr="00901B36">
        <w:rPr>
          <w:szCs w:val="24"/>
        </w:rPr>
        <w:t xml:space="preserve">DEO mischaracterizes the </w:t>
      </w:r>
      <w:r w:rsidR="00C34EC2">
        <w:rPr>
          <w:szCs w:val="24"/>
        </w:rPr>
        <w:t>PUCO</w:t>
      </w:r>
      <w:r w:rsidRPr="00901B36">
        <w:rPr>
          <w:szCs w:val="24"/>
        </w:rPr>
        <w:t>’s previous denials of virtual hearing requests as binding precedent. As explicitly stated in Case Nos. 22-1094-WW-AIR and 22-1096-ST-AIR, such rulings are case-specific.</w:t>
      </w:r>
      <w:r>
        <w:rPr>
          <w:rStyle w:val="FootnoteReference"/>
          <w:szCs w:val="24"/>
        </w:rPr>
        <w:footnoteReference w:id="4"/>
      </w:r>
      <w:r w:rsidRPr="00901B36">
        <w:rPr>
          <w:szCs w:val="24"/>
        </w:rPr>
        <w:t xml:space="preserve"> Therefore, the </w:t>
      </w:r>
      <w:r w:rsidR="00C34EC2">
        <w:rPr>
          <w:szCs w:val="24"/>
        </w:rPr>
        <w:t>PUCO</w:t>
      </w:r>
      <w:r w:rsidRPr="00901B36">
        <w:rPr>
          <w:szCs w:val="24"/>
        </w:rPr>
        <w:t xml:space="preserve"> retains the flexibility to consider the unique circumstances of each case and grant virtual hearings where warranted.</w:t>
      </w:r>
    </w:p>
    <w:p w:rsidR="002D270E" w:rsidP="00F50780" w14:paraId="68B7328C" w14:textId="4EC82DA3">
      <w:pPr>
        <w:spacing w:line="480" w:lineRule="auto"/>
        <w:ind w:firstLine="720"/>
        <w:rPr>
          <w:szCs w:val="24"/>
        </w:rPr>
      </w:pPr>
      <w:r w:rsidRPr="00901B36">
        <w:rPr>
          <w:szCs w:val="24"/>
        </w:rPr>
        <w:t xml:space="preserve">Our request </w:t>
      </w:r>
      <w:r w:rsidR="004665CD">
        <w:rPr>
          <w:szCs w:val="24"/>
        </w:rPr>
        <w:t xml:space="preserve">here </w:t>
      </w:r>
      <w:r w:rsidRPr="00901B36">
        <w:rPr>
          <w:szCs w:val="24"/>
        </w:rPr>
        <w:t xml:space="preserve">significantly differs from the Aqua Ohio matter cited by DEO. Unlike Aqua, which filed for a relatively modest base rate </w:t>
      </w:r>
      <w:r>
        <w:rPr>
          <w:szCs w:val="24"/>
        </w:rPr>
        <w:t>increase for certain service areas</w:t>
      </w:r>
      <w:r w:rsidRPr="00901B36" w:rsidR="00971AFE">
        <w:rPr>
          <w:szCs w:val="24"/>
        </w:rPr>
        <w:t>,</w:t>
      </w:r>
      <w:r>
        <w:rPr>
          <w:rStyle w:val="FootnoteReference"/>
          <w:szCs w:val="24"/>
        </w:rPr>
        <w:footnoteReference w:id="5"/>
      </w:r>
      <w:r w:rsidRPr="00901B36">
        <w:rPr>
          <w:szCs w:val="24"/>
        </w:rPr>
        <w:t xml:space="preserve"> DEO proposes a </w:t>
      </w:r>
      <w:r>
        <w:rPr>
          <w:szCs w:val="24"/>
        </w:rPr>
        <w:t xml:space="preserve">whopping </w:t>
      </w:r>
      <w:r w:rsidRPr="00901B36">
        <w:rPr>
          <w:szCs w:val="24"/>
        </w:rPr>
        <w:t>30% increase in base charges</w:t>
      </w:r>
      <w:r>
        <w:rPr>
          <w:szCs w:val="24"/>
        </w:rPr>
        <w:t xml:space="preserve"> after going sixteen years without a rate case. Moreover, DEO proposes</w:t>
      </w:r>
      <w:r w:rsidRPr="00901B36">
        <w:rPr>
          <w:szCs w:val="24"/>
        </w:rPr>
        <w:t xml:space="preserve"> additional monthly </w:t>
      </w:r>
      <w:r>
        <w:rPr>
          <w:szCs w:val="24"/>
        </w:rPr>
        <w:t>charges</w:t>
      </w:r>
      <w:r w:rsidR="004665CD">
        <w:rPr>
          <w:szCs w:val="24"/>
        </w:rPr>
        <w:t xml:space="preserve"> </w:t>
      </w:r>
      <w:r>
        <w:rPr>
          <w:szCs w:val="24"/>
        </w:rPr>
        <w:t xml:space="preserve">through its alternative rate plan that drastically increase the amount DEO is asking </w:t>
      </w:r>
      <w:r w:rsidR="00C66263">
        <w:rPr>
          <w:szCs w:val="24"/>
        </w:rPr>
        <w:t>consumers to pay</w:t>
      </w:r>
      <w:r w:rsidRPr="00901B36" w:rsidR="0001537E">
        <w:rPr>
          <w:szCs w:val="24"/>
        </w:rPr>
        <w:t>.</w:t>
      </w:r>
      <w:r>
        <w:rPr>
          <w:rStyle w:val="FootnoteReference"/>
          <w:szCs w:val="24"/>
        </w:rPr>
        <w:footnoteReference w:id="6"/>
      </w:r>
      <w:r>
        <w:rPr>
          <w:szCs w:val="24"/>
        </w:rPr>
        <w:t xml:space="preserve"> </w:t>
      </w:r>
    </w:p>
    <w:p w:rsidR="0001537E" w:rsidRPr="00901B36" w:rsidP="00F50780" w14:paraId="163A0C94" w14:textId="383BC9BD">
      <w:pPr>
        <w:spacing w:line="480" w:lineRule="auto"/>
        <w:ind w:firstLine="720"/>
        <w:rPr>
          <w:szCs w:val="24"/>
        </w:rPr>
      </w:pPr>
      <w:r w:rsidRPr="00901B36">
        <w:rPr>
          <w:szCs w:val="24"/>
        </w:rPr>
        <w:t xml:space="preserve">This substantial financial impact on consumers underscores the critical need for robust public participation opportunities, which virtual hearings can effectively provide. Additionally, our early request allows for seamless integration of a virtual hearing </w:t>
      </w:r>
      <w:r w:rsidR="002E35B9">
        <w:rPr>
          <w:szCs w:val="24"/>
        </w:rPr>
        <w:t xml:space="preserve">date </w:t>
      </w:r>
      <w:r w:rsidRPr="00901B36">
        <w:rPr>
          <w:szCs w:val="24"/>
        </w:rPr>
        <w:t xml:space="preserve">within </w:t>
      </w:r>
      <w:r w:rsidR="004665CD">
        <w:rPr>
          <w:szCs w:val="24"/>
        </w:rPr>
        <w:t>the future</w:t>
      </w:r>
      <w:r w:rsidRPr="00901B36">
        <w:rPr>
          <w:szCs w:val="24"/>
        </w:rPr>
        <w:t xml:space="preserve"> </w:t>
      </w:r>
      <w:r w:rsidR="002E35B9">
        <w:rPr>
          <w:szCs w:val="24"/>
        </w:rPr>
        <w:t xml:space="preserve">public hearing </w:t>
      </w:r>
      <w:r w:rsidRPr="00901B36">
        <w:rPr>
          <w:szCs w:val="24"/>
        </w:rPr>
        <w:t>schedule, minimizing logistical burdens.</w:t>
      </w:r>
    </w:p>
    <w:p w:rsidR="00A047EC" w:rsidRPr="00901B36" w:rsidP="00F50780" w14:paraId="5584059F" w14:textId="6E97D9F8">
      <w:pPr>
        <w:pStyle w:val="Heading2"/>
      </w:pPr>
      <w:r w:rsidRPr="00901B36">
        <w:t>C.</w:t>
      </w:r>
      <w:r w:rsidRPr="00901B36">
        <w:tab/>
      </w:r>
      <w:r w:rsidR="002D270E">
        <w:t>DEO’s c</w:t>
      </w:r>
      <w:r w:rsidRPr="00901B36">
        <w:t xml:space="preserve">ost </w:t>
      </w:r>
      <w:r w:rsidR="002D270E">
        <w:t>c</w:t>
      </w:r>
      <w:r w:rsidRPr="00901B36">
        <w:t>oncerns</w:t>
      </w:r>
      <w:r w:rsidR="002D270E">
        <w:t xml:space="preserve"> regarding a virtual public hearing </w:t>
      </w:r>
      <w:r w:rsidR="00F52EDD">
        <w:t>are baseless and should be rejected.</w:t>
      </w:r>
    </w:p>
    <w:p w:rsidR="00F52EDD" w:rsidP="00A047EC" w14:paraId="6E7D4EBD" w14:textId="4788EBF7">
      <w:pPr>
        <w:spacing w:line="480" w:lineRule="auto"/>
        <w:ind w:firstLine="720"/>
        <w:rPr>
          <w:szCs w:val="24"/>
        </w:rPr>
      </w:pPr>
      <w:r w:rsidRPr="00901B36">
        <w:rPr>
          <w:szCs w:val="24"/>
        </w:rPr>
        <w:t xml:space="preserve">DEO raises concerns about the cost of a virtual hearing. However, these costs are negligible compared to the significant rate increase </w:t>
      </w:r>
      <w:r>
        <w:rPr>
          <w:szCs w:val="24"/>
        </w:rPr>
        <w:t>DEO</w:t>
      </w:r>
      <w:r w:rsidRPr="00901B36">
        <w:rPr>
          <w:szCs w:val="24"/>
        </w:rPr>
        <w:t xml:space="preserve"> seek</w:t>
      </w:r>
      <w:r w:rsidR="00C66263">
        <w:rPr>
          <w:szCs w:val="24"/>
        </w:rPr>
        <w:t>s</w:t>
      </w:r>
      <w:r w:rsidRPr="00901B36">
        <w:rPr>
          <w:szCs w:val="24"/>
        </w:rPr>
        <w:t xml:space="preserve"> from Ohio consumers. Furthermore, established channels exist for utilities to recover reasonable costs through future rate filings, if deemed appropriate by the </w:t>
      </w:r>
      <w:r w:rsidR="00C34EC2">
        <w:rPr>
          <w:szCs w:val="24"/>
        </w:rPr>
        <w:t>PUCO</w:t>
      </w:r>
      <w:r w:rsidRPr="00901B36">
        <w:rPr>
          <w:szCs w:val="24"/>
        </w:rPr>
        <w:t xml:space="preserve">. </w:t>
      </w:r>
      <w:r>
        <w:rPr>
          <w:szCs w:val="24"/>
        </w:rPr>
        <w:t>Because of the pandemic, the PUCO has the technology available to efficiently conduct a virtual public hearing. In the past, the PUCO has been able to quickly switch from in-person to remote hearing formats when needed to accommodate parties’ witnesses when they cannot appear in person.</w:t>
      </w:r>
      <w:r>
        <w:rPr>
          <w:rStyle w:val="FootnoteReference"/>
          <w:szCs w:val="24"/>
        </w:rPr>
        <w:footnoteReference w:id="7"/>
      </w:r>
      <w:r>
        <w:rPr>
          <w:szCs w:val="24"/>
        </w:rPr>
        <w:t xml:space="preserve"> Similarly, libraries also have the technology resources to allow consumers to testify virtually. After the pandemic, many consumers are well-acquainted with conducting business virtually and can do so easily from their own smartphone or computer without having to travel. </w:t>
      </w:r>
    </w:p>
    <w:p w:rsidR="00A047EC" w:rsidRPr="00901B36" w:rsidP="00A047EC" w14:paraId="44D880C6" w14:textId="09DC8C98">
      <w:pPr>
        <w:spacing w:line="480" w:lineRule="auto"/>
        <w:ind w:firstLine="720"/>
        <w:rPr>
          <w:szCs w:val="24"/>
        </w:rPr>
      </w:pPr>
      <w:r w:rsidRPr="00901B36">
        <w:rPr>
          <w:szCs w:val="24"/>
        </w:rPr>
        <w:t xml:space="preserve">Ultimately, complying with a </w:t>
      </w:r>
      <w:r w:rsidR="00C34EC2">
        <w:rPr>
          <w:szCs w:val="24"/>
        </w:rPr>
        <w:t>PUCO</w:t>
      </w:r>
      <w:r w:rsidRPr="00901B36">
        <w:rPr>
          <w:szCs w:val="24"/>
        </w:rPr>
        <w:t xml:space="preserve"> order for a virtual hearing represents a minimal expense for a public utility that enjoys substantial profit margins. As a privileged entity entrusted with serving the public good, DEO should embrace reasonable measures to facilitate consumer participation in proceedings significantly impacting their lives.</w:t>
      </w:r>
    </w:p>
    <w:p w:rsidR="00A047EC" w:rsidRPr="00901B36" w:rsidP="00AC0A32" w14:paraId="40D107DE" w14:textId="456EFEC5">
      <w:pPr>
        <w:pStyle w:val="Heading2"/>
      </w:pPr>
      <w:r w:rsidRPr="00901B36">
        <w:t>D.</w:t>
      </w:r>
      <w:r w:rsidRPr="00901B36">
        <w:tab/>
      </w:r>
      <w:r w:rsidR="006150C9">
        <w:t xml:space="preserve">The opportunity to provide </w:t>
      </w:r>
      <w:r w:rsidR="00072120">
        <w:t>live</w:t>
      </w:r>
      <w:r w:rsidR="006150C9">
        <w:t xml:space="preserve"> testimony on the record at a virtual local public hearing is a powerful tool for consumers to voice their concerns. </w:t>
      </w:r>
    </w:p>
    <w:p w:rsidR="00A047EC" w:rsidRPr="00901B36" w:rsidP="00A047EC" w14:paraId="2E27A49E" w14:textId="64B6DB9D">
      <w:pPr>
        <w:spacing w:line="480" w:lineRule="auto"/>
        <w:ind w:firstLine="720"/>
        <w:rPr>
          <w:szCs w:val="24"/>
        </w:rPr>
      </w:pPr>
      <w:r w:rsidRPr="00901B36">
        <w:rPr>
          <w:szCs w:val="24"/>
        </w:rPr>
        <w:t xml:space="preserve">DEO </w:t>
      </w:r>
      <w:r w:rsidR="006150C9">
        <w:rPr>
          <w:szCs w:val="24"/>
        </w:rPr>
        <w:t xml:space="preserve">claims that a virtual local public hearing is unnecessary because consumers may voice their concerns by providing </w:t>
      </w:r>
      <w:r w:rsidRPr="00901B36">
        <w:rPr>
          <w:szCs w:val="24"/>
        </w:rPr>
        <w:t>written comments</w:t>
      </w:r>
      <w:r w:rsidR="006150C9">
        <w:rPr>
          <w:szCs w:val="24"/>
        </w:rPr>
        <w:t xml:space="preserve"> on-line or </w:t>
      </w:r>
      <w:r w:rsidRPr="00901B36">
        <w:rPr>
          <w:szCs w:val="24"/>
        </w:rPr>
        <w:t>calls the PUCO</w:t>
      </w:r>
      <w:r w:rsidR="006150C9">
        <w:rPr>
          <w:szCs w:val="24"/>
        </w:rPr>
        <w:t xml:space="preserve">. While online comments and phone calls are helpful ways for consumers to participate in rate case proceedings, they are no substitute for </w:t>
      </w:r>
      <w:r w:rsidR="00072120">
        <w:rPr>
          <w:szCs w:val="24"/>
        </w:rPr>
        <w:t>providing live testimony on the record during a local public hearing. Benefits of a virtual local public hearing include:</w:t>
      </w:r>
    </w:p>
    <w:p w:rsidR="00A047EC" w:rsidRPr="00901B36" w:rsidP="00AC0A32" w14:paraId="41E31A7D" w14:textId="1C48203F">
      <w:pPr>
        <w:numPr>
          <w:ilvl w:val="0"/>
          <w:numId w:val="7"/>
        </w:numPr>
        <w:tabs>
          <w:tab w:val="clear" w:pos="720"/>
        </w:tabs>
        <w:spacing w:line="480" w:lineRule="auto"/>
        <w:ind w:left="1440" w:hanging="720"/>
        <w:rPr>
          <w:szCs w:val="24"/>
        </w:rPr>
      </w:pPr>
      <w:r w:rsidRPr="00901B36">
        <w:rPr>
          <w:szCs w:val="24"/>
        </w:rPr>
        <w:t xml:space="preserve">Interactive Engagement: Unlike written comments or phone calls, virtual hearings offer real-time interaction and exchange of ideas among participants. Consumers can not only share their own concerns but also hear and respond to the perspectives of others in real-time, fostering a more informed and nuanced public record. </w:t>
      </w:r>
      <w:r w:rsidR="00072120">
        <w:rPr>
          <w:szCs w:val="24"/>
        </w:rPr>
        <w:t xml:space="preserve">Attorneys may also choose to ask consumers or other witnesses questions about their positions. </w:t>
      </w:r>
      <w:r w:rsidRPr="00901B36">
        <w:rPr>
          <w:szCs w:val="24"/>
        </w:rPr>
        <w:t xml:space="preserve">This dynamic interplay can often </w:t>
      </w:r>
      <w:r w:rsidR="00072120">
        <w:rPr>
          <w:szCs w:val="24"/>
        </w:rPr>
        <w:t>reveal</w:t>
      </w:r>
      <w:r w:rsidRPr="00901B36">
        <w:rPr>
          <w:szCs w:val="24"/>
        </w:rPr>
        <w:t xml:space="preserve"> critical considerations that might otherwise be missed.</w:t>
      </w:r>
    </w:p>
    <w:p w:rsidR="00A047EC" w:rsidRPr="00901B36" w:rsidP="00AC0A32" w14:paraId="407C0620" w14:textId="77777777">
      <w:pPr>
        <w:numPr>
          <w:ilvl w:val="0"/>
          <w:numId w:val="7"/>
        </w:numPr>
        <w:tabs>
          <w:tab w:val="clear" w:pos="720"/>
        </w:tabs>
        <w:spacing w:line="480" w:lineRule="auto"/>
        <w:ind w:left="1440" w:hanging="720"/>
        <w:rPr>
          <w:szCs w:val="24"/>
        </w:rPr>
      </w:pPr>
      <w:r w:rsidRPr="00901B36">
        <w:rPr>
          <w:szCs w:val="24"/>
        </w:rPr>
        <w:t>Accessibility and Comfort: Written comments may present a barrier for individuals less comfortable expressing themselves in writing or unfamiliar with formal dockets. A virtual hearing provides a more accessible platform for diverse voices to be heard, potentially amplifying the concerns of those who might hesitate to engage through traditional avenues.</w:t>
      </w:r>
    </w:p>
    <w:p w:rsidR="00A047EC" w:rsidRPr="00901B36" w:rsidP="00AC0A32" w14:paraId="7103D5DC" w14:textId="20CC0306">
      <w:pPr>
        <w:numPr>
          <w:ilvl w:val="0"/>
          <w:numId w:val="7"/>
        </w:numPr>
        <w:tabs>
          <w:tab w:val="clear" w:pos="720"/>
        </w:tabs>
        <w:spacing w:line="480" w:lineRule="auto"/>
        <w:ind w:left="1440" w:hanging="720"/>
        <w:rPr>
          <w:szCs w:val="24"/>
        </w:rPr>
      </w:pPr>
      <w:r w:rsidRPr="00901B36">
        <w:rPr>
          <w:szCs w:val="24"/>
        </w:rPr>
        <w:t xml:space="preserve">Transparency and Public Scrutiny: Public hearings inherently bring increased transparency and public scrutiny to the proceedings. DEO's proposed rate increase significantly impacts Ohio consumers, and a virtual hearing would allow the public to witness firsthand the justifications and potential consequences of </w:t>
      </w:r>
      <w:r w:rsidR="00C66263">
        <w:rPr>
          <w:szCs w:val="24"/>
        </w:rPr>
        <w:t>the rate increase</w:t>
      </w:r>
      <w:r w:rsidRPr="00901B36">
        <w:rPr>
          <w:szCs w:val="24"/>
        </w:rPr>
        <w:t>. This visibility enhances accountability and strengthens public trust in the regulatory process.</w:t>
      </w:r>
    </w:p>
    <w:p w:rsidR="00A047EC" w:rsidRPr="00901B36" w:rsidP="00BC424D" w14:paraId="511A1B27" w14:textId="5A9A8FE7">
      <w:pPr>
        <w:spacing w:line="480" w:lineRule="auto"/>
        <w:ind w:firstLine="720"/>
        <w:rPr>
          <w:szCs w:val="24"/>
        </w:rPr>
      </w:pPr>
      <w:r>
        <w:rPr>
          <w:szCs w:val="24"/>
        </w:rPr>
        <w:t xml:space="preserve">Finally, </w:t>
      </w:r>
      <w:r w:rsidRPr="00901B36">
        <w:rPr>
          <w:szCs w:val="24"/>
        </w:rPr>
        <w:t xml:space="preserve">DEO </w:t>
      </w:r>
      <w:r>
        <w:rPr>
          <w:szCs w:val="24"/>
        </w:rPr>
        <w:t xml:space="preserve">claims that no consumers have </w:t>
      </w:r>
      <w:r w:rsidRPr="00901B36">
        <w:rPr>
          <w:szCs w:val="24"/>
        </w:rPr>
        <w:t>complain</w:t>
      </w:r>
      <w:r>
        <w:rPr>
          <w:szCs w:val="24"/>
        </w:rPr>
        <w:t>ed</w:t>
      </w:r>
      <w:r w:rsidRPr="00901B36">
        <w:rPr>
          <w:szCs w:val="24"/>
        </w:rPr>
        <w:t xml:space="preserve"> </w:t>
      </w:r>
      <w:r>
        <w:rPr>
          <w:szCs w:val="24"/>
        </w:rPr>
        <w:t xml:space="preserve">about the </w:t>
      </w:r>
      <w:r w:rsidRPr="00901B36">
        <w:rPr>
          <w:szCs w:val="24"/>
        </w:rPr>
        <w:t>need for a virtual hearing</w:t>
      </w:r>
      <w:r>
        <w:rPr>
          <w:szCs w:val="24"/>
        </w:rPr>
        <w:t>. However, that is no</w:t>
      </w:r>
      <w:r w:rsidR="00442AB8">
        <w:rPr>
          <w:szCs w:val="24"/>
        </w:rPr>
        <w:t xml:space="preserve"> (legitimate)</w:t>
      </w:r>
      <w:r>
        <w:rPr>
          <w:szCs w:val="24"/>
        </w:rPr>
        <w:t xml:space="preserve"> reason to deny consumers an additional way to voice their </w:t>
      </w:r>
      <w:r w:rsidR="00442AB8">
        <w:rPr>
          <w:szCs w:val="24"/>
        </w:rPr>
        <w:t>views about</w:t>
      </w:r>
      <w:r>
        <w:rPr>
          <w:szCs w:val="24"/>
        </w:rPr>
        <w:t xml:space="preserve"> DEO’s proposed rate hike.</w:t>
      </w:r>
      <w:r w:rsidR="00442AB8">
        <w:rPr>
          <w:szCs w:val="24"/>
        </w:rPr>
        <w:t xml:space="preserve"> If consumers do not know that a virtual local public hearing is an option in the first place, they cannot possibly complain about not having one. The PUCO should be proactive to benefit consumers. The PUCO has the ability and technology to conduct a virtual local public hearing, and it should use it. The motion for virtual local public hearing should be granted.  </w:t>
      </w:r>
    </w:p>
    <w:p w:rsidR="00A047EC" w:rsidRPr="00901B36" w:rsidP="005B390F" w14:paraId="71B0128B" w14:textId="1874D0A6">
      <w:pPr>
        <w:pStyle w:val="Heading1"/>
      </w:pPr>
      <w:r w:rsidRPr="00901B36">
        <w:t>II</w:t>
      </w:r>
      <w:r w:rsidR="00442AB8">
        <w:t>I</w:t>
      </w:r>
      <w:r w:rsidRPr="00901B36">
        <w:t>.</w:t>
      </w:r>
      <w:r w:rsidRPr="00901B36">
        <w:tab/>
        <w:t>CONCLUSION</w:t>
      </w:r>
    </w:p>
    <w:p w:rsidR="00A047EC" w:rsidRPr="00901B36" w:rsidP="00A047EC" w14:paraId="0AC46286" w14:textId="6C43C87C">
      <w:pPr>
        <w:spacing w:line="480" w:lineRule="auto"/>
        <w:ind w:firstLine="720"/>
        <w:rPr>
          <w:szCs w:val="24"/>
        </w:rPr>
      </w:pPr>
      <w:r>
        <w:rPr>
          <w:szCs w:val="24"/>
        </w:rPr>
        <w:t xml:space="preserve">A </w:t>
      </w:r>
      <w:r w:rsidRPr="00901B36">
        <w:rPr>
          <w:szCs w:val="24"/>
        </w:rPr>
        <w:t>virtual public hearing would significantly enhance access, engagement, and transparency in this critical proceeding</w:t>
      </w:r>
      <w:r>
        <w:rPr>
          <w:szCs w:val="24"/>
        </w:rPr>
        <w:t xml:space="preserve"> where DEO is seeking massive rate increases</w:t>
      </w:r>
      <w:r w:rsidR="008A5E78">
        <w:rPr>
          <w:szCs w:val="24"/>
        </w:rPr>
        <w:t xml:space="preserve"> from its consumers</w:t>
      </w:r>
      <w:r w:rsidRPr="00901B36">
        <w:rPr>
          <w:szCs w:val="24"/>
        </w:rPr>
        <w:t xml:space="preserve">. DEO's arguments fail to demonstrate any substantial legal, practical, or cost-based obstacles to implementing a virtual hearing, and instead seem primarily focused on preserving </w:t>
      </w:r>
      <w:r w:rsidR="002024C5">
        <w:rPr>
          <w:szCs w:val="24"/>
        </w:rPr>
        <w:t>the</w:t>
      </w:r>
      <w:r w:rsidRPr="00901B36">
        <w:rPr>
          <w:szCs w:val="24"/>
        </w:rPr>
        <w:t xml:space="preserve"> outdated status quo that excludes and disenfranchises many consumers. We urge the </w:t>
      </w:r>
      <w:r w:rsidR="00C34EC2">
        <w:rPr>
          <w:szCs w:val="24"/>
        </w:rPr>
        <w:t>PUCO</w:t>
      </w:r>
      <w:r w:rsidRPr="00901B36">
        <w:rPr>
          <w:szCs w:val="24"/>
        </w:rPr>
        <w:t xml:space="preserve"> to recognize the inherent benefits of virtual hearings for consumer participation and exercise its broad authority under R.C. 4905.05 and R.C. 4905.06 to grant our motion in the best interests of the people of Ohio.</w:t>
      </w:r>
    </w:p>
    <w:p w:rsidR="00DB4E6C" w:rsidRPr="00901B36" w14:paraId="39487855" w14:textId="77777777">
      <w:pPr>
        <w:rPr>
          <w:b/>
          <w:bCs/>
          <w:szCs w:val="24"/>
        </w:rPr>
      </w:pPr>
    </w:p>
    <w:p w:rsidR="0027728E" w:rsidRPr="00901B36" w14:paraId="1F665B72" w14:textId="105573CF">
      <w:pPr>
        <w:rPr>
          <w:b/>
          <w:bCs/>
          <w:szCs w:val="24"/>
        </w:rPr>
      </w:pPr>
      <w:r w:rsidRPr="00901B36">
        <w:rPr>
          <w:b/>
          <w:bCs/>
          <w:szCs w:val="24"/>
        </w:rPr>
        <w:br w:type="page"/>
      </w:r>
    </w:p>
    <w:p w:rsidR="007571DD" w:rsidRPr="00901B36" w:rsidP="00F924F1" w14:paraId="26302547" w14:textId="1924448C">
      <w:pPr>
        <w:ind w:left="4320" w:firstLine="720"/>
        <w:rPr>
          <w:szCs w:val="24"/>
        </w:rPr>
      </w:pPr>
      <w:r w:rsidRPr="00901B36">
        <w:rPr>
          <w:szCs w:val="24"/>
        </w:rPr>
        <w:t>Respectfully submitted,</w:t>
      </w:r>
    </w:p>
    <w:p w:rsidR="001B683C" w:rsidRPr="00901B36" w:rsidP="001B683C" w14:paraId="3FF3B231" w14:textId="77777777">
      <w:pPr>
        <w:ind w:left="3600" w:firstLine="720"/>
        <w:rPr>
          <w:szCs w:val="24"/>
        </w:rPr>
      </w:pPr>
    </w:p>
    <w:tbl>
      <w:tblPr>
        <w:tblStyle w:val="TableGrid"/>
        <w:tblW w:w="91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5040"/>
        <w:gridCol w:w="4118"/>
      </w:tblGrid>
      <w:tr w14:paraId="635DF1CF" w14:textId="77777777" w:rsidTr="00DD5D21">
        <w:tblPrEx>
          <w:tblW w:w="91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c>
          <w:tcPr>
            <w:tcW w:w="5040" w:type="dxa"/>
          </w:tcPr>
          <w:p w:rsidR="001B4DE6" w:rsidRPr="00901B36" w:rsidP="00DD5D21" w14:paraId="0F58963B" w14:textId="77777777">
            <w:pPr>
              <w:pStyle w:val="BodyTextIndent3"/>
              <w:widowControl w:val="0"/>
              <w:spacing w:line="240" w:lineRule="auto"/>
              <w:ind w:right="-672" w:firstLine="0"/>
              <w:rPr>
                <w:sz w:val="24"/>
                <w:szCs w:val="24"/>
                <w:lang w:val="en-US" w:eastAsia="en-US" w:bidi="ar-SA"/>
              </w:rPr>
            </w:pPr>
            <w:r w:rsidRPr="00901B36">
              <w:rPr>
                <w:sz w:val="24"/>
                <w:szCs w:val="24"/>
                <w:lang w:val="en-US" w:eastAsia="en-US" w:bidi="ar-SA"/>
              </w:rPr>
              <w:t>Maureen R. Willis (0020847)</w:t>
            </w:r>
          </w:p>
          <w:p w:rsidR="001B4DE6" w:rsidRPr="00901B36" w:rsidP="00DD5D21" w14:paraId="54881832" w14:textId="77777777">
            <w:pPr>
              <w:tabs>
                <w:tab w:val="left" w:pos="4320"/>
              </w:tabs>
              <w:ind w:left="-23"/>
              <w:rPr>
                <w:sz w:val="24"/>
                <w:szCs w:val="24"/>
                <w:lang w:val="en-US" w:eastAsia="en-US" w:bidi="ar-SA"/>
              </w:rPr>
            </w:pPr>
            <w:r w:rsidRPr="00901B36">
              <w:rPr>
                <w:sz w:val="24"/>
                <w:szCs w:val="24"/>
                <w:lang w:val="en-US" w:eastAsia="en-US" w:bidi="ar-SA"/>
              </w:rPr>
              <w:t>Ohio Consumers’ Counsel</w:t>
            </w:r>
          </w:p>
          <w:p w:rsidR="001B4DE6" w:rsidRPr="00901B36" w:rsidP="00DD5D21" w14:paraId="041509F0" w14:textId="77777777">
            <w:pPr>
              <w:tabs>
                <w:tab w:val="left" w:pos="4320"/>
              </w:tabs>
              <w:ind w:left="-23"/>
              <w:rPr>
                <w:sz w:val="24"/>
                <w:szCs w:val="24"/>
                <w:lang w:val="en-US" w:eastAsia="en-US" w:bidi="ar-SA"/>
              </w:rPr>
            </w:pPr>
            <w:r w:rsidRPr="00901B36">
              <w:rPr>
                <w:sz w:val="24"/>
                <w:szCs w:val="24"/>
                <w:lang w:val="en-US" w:eastAsia="en-US" w:bidi="ar-SA"/>
              </w:rPr>
              <w:tab/>
            </w:r>
          </w:p>
          <w:p w:rsidR="001B4DE6" w:rsidRPr="00901B36" w:rsidP="00DD5D21" w14:paraId="362AF283" w14:textId="77777777">
            <w:pPr>
              <w:tabs>
                <w:tab w:val="left" w:pos="4320"/>
              </w:tabs>
              <w:ind w:left="-23"/>
              <w:rPr>
                <w:i/>
                <w:iCs/>
                <w:sz w:val="24"/>
                <w:szCs w:val="24"/>
                <w:u w:val="single"/>
                <w:lang w:val="en-US" w:eastAsia="en-US" w:bidi="ar-SA"/>
              </w:rPr>
            </w:pPr>
            <w:r w:rsidRPr="00901B36">
              <w:rPr>
                <w:i/>
                <w:iCs/>
                <w:sz w:val="24"/>
                <w:szCs w:val="24"/>
                <w:u w:val="single"/>
                <w:lang w:val="en-US" w:eastAsia="en-US" w:bidi="ar-SA"/>
              </w:rPr>
              <w:t>/s/ Robert Eubanks</w:t>
            </w:r>
          </w:p>
          <w:p w:rsidR="001B4DE6" w:rsidRPr="00901B36" w:rsidP="00DD5D21" w14:paraId="28A65984" w14:textId="77777777">
            <w:pPr>
              <w:tabs>
                <w:tab w:val="left" w:pos="4320"/>
              </w:tabs>
              <w:ind w:left="-23"/>
              <w:rPr>
                <w:sz w:val="24"/>
                <w:szCs w:val="24"/>
                <w:lang w:val="en-US" w:eastAsia="en-US" w:bidi="ar-SA"/>
              </w:rPr>
            </w:pPr>
            <w:r w:rsidRPr="00901B36">
              <w:rPr>
                <w:sz w:val="24"/>
                <w:szCs w:val="24"/>
                <w:lang w:val="en-US" w:eastAsia="en-US" w:bidi="ar-SA"/>
              </w:rPr>
              <w:t>Robert Eubanks (0073386)</w:t>
            </w:r>
          </w:p>
          <w:p w:rsidR="001B4DE6" w:rsidRPr="00901B36" w:rsidP="00DD5D21" w14:paraId="10C4F333" w14:textId="77777777">
            <w:pPr>
              <w:tabs>
                <w:tab w:val="left" w:pos="4320"/>
              </w:tabs>
              <w:ind w:left="-23"/>
              <w:rPr>
                <w:sz w:val="24"/>
                <w:szCs w:val="24"/>
                <w:lang w:val="en-US" w:eastAsia="en-US" w:bidi="ar-SA"/>
              </w:rPr>
            </w:pPr>
            <w:r w:rsidRPr="00901B36">
              <w:rPr>
                <w:sz w:val="24"/>
                <w:szCs w:val="24"/>
                <w:lang w:val="en-US" w:eastAsia="en-US" w:bidi="ar-SA"/>
              </w:rPr>
              <w:t>Counsel of Record</w:t>
            </w:r>
          </w:p>
          <w:p w:rsidR="001B4DE6" w:rsidRPr="00901B36" w:rsidP="00DD5D21" w14:paraId="6EB2A1A0" w14:textId="77777777">
            <w:pPr>
              <w:ind w:left="67" w:right="-180" w:hanging="67"/>
              <w:rPr>
                <w:sz w:val="24"/>
                <w:szCs w:val="24"/>
                <w:lang w:val="en-US" w:eastAsia="en-US" w:bidi="ar-SA"/>
              </w:rPr>
            </w:pPr>
            <w:r w:rsidRPr="00901B36">
              <w:rPr>
                <w:sz w:val="24"/>
                <w:szCs w:val="24"/>
                <w:lang w:val="en-US" w:eastAsia="en-US" w:bidi="ar-SA"/>
              </w:rPr>
              <w:t>Donald J. Kral (0042091)</w:t>
            </w:r>
          </w:p>
          <w:p w:rsidR="001B4DE6" w:rsidRPr="00901B36" w:rsidP="00DD5D21" w14:paraId="55EF5682" w14:textId="77777777">
            <w:pPr>
              <w:tabs>
                <w:tab w:val="left" w:pos="4320"/>
              </w:tabs>
              <w:ind w:left="4320" w:right="-180" w:hanging="4320"/>
              <w:rPr>
                <w:sz w:val="24"/>
                <w:szCs w:val="24"/>
                <w:lang w:val="en-US" w:eastAsia="en-US" w:bidi="ar-SA"/>
              </w:rPr>
            </w:pPr>
            <w:r w:rsidRPr="00901B36">
              <w:rPr>
                <w:sz w:val="24"/>
                <w:szCs w:val="24"/>
                <w:lang w:val="en-US" w:eastAsia="en-US" w:bidi="ar-SA"/>
              </w:rPr>
              <w:t>Thomas Brodbeck (0093920)</w:t>
            </w:r>
          </w:p>
          <w:p w:rsidR="001B4DE6" w:rsidRPr="00901B36" w:rsidP="00083800" w14:paraId="1927F597" w14:textId="78AB0778">
            <w:pPr>
              <w:tabs>
                <w:tab w:val="left" w:pos="4320"/>
              </w:tabs>
              <w:ind w:left="4320" w:right="-180" w:hanging="4343"/>
              <w:rPr>
                <w:sz w:val="24"/>
                <w:szCs w:val="24"/>
                <w:lang w:val="en-US" w:eastAsia="en-US" w:bidi="ar-SA"/>
              </w:rPr>
            </w:pPr>
            <w:r w:rsidRPr="00901B36">
              <w:rPr>
                <w:sz w:val="24"/>
                <w:szCs w:val="24"/>
                <w:lang w:val="en-US" w:eastAsia="en-US" w:bidi="ar-SA"/>
              </w:rPr>
              <w:t>Assistant Consumers’ Counsel</w:t>
            </w:r>
          </w:p>
          <w:p w:rsidR="00083800" w:rsidRPr="00901B36" w:rsidP="00083800" w14:paraId="4B3EA521" w14:textId="77777777">
            <w:pPr>
              <w:tabs>
                <w:tab w:val="left" w:pos="4320"/>
              </w:tabs>
              <w:ind w:left="4320" w:right="-180" w:hanging="4343"/>
              <w:rPr>
                <w:sz w:val="24"/>
                <w:szCs w:val="24"/>
                <w:lang w:val="en-US" w:eastAsia="en-US" w:bidi="ar-SA"/>
              </w:rPr>
            </w:pPr>
          </w:p>
          <w:p w:rsidR="001B4DE6" w:rsidRPr="00901B36" w:rsidP="00083800" w14:paraId="2D056152" w14:textId="225BD47D">
            <w:pPr>
              <w:rPr>
                <w:b/>
                <w:bCs/>
                <w:sz w:val="24"/>
                <w:szCs w:val="24"/>
                <w:lang w:val="en-US" w:eastAsia="en-US" w:bidi="ar-SA"/>
              </w:rPr>
            </w:pPr>
            <w:r w:rsidRPr="00901B36">
              <w:rPr>
                <w:b/>
                <w:bCs/>
                <w:sz w:val="24"/>
                <w:szCs w:val="24"/>
                <w:lang w:val="en-US" w:eastAsia="en-US" w:bidi="ar-SA"/>
              </w:rPr>
              <w:t>Office of the Ohio Consumers’ Counsel</w:t>
            </w:r>
          </w:p>
          <w:p w:rsidR="001B4DE6" w:rsidRPr="00901B36" w:rsidP="00083800" w14:paraId="42735ADC" w14:textId="37F37270">
            <w:pPr>
              <w:rPr>
                <w:b/>
                <w:sz w:val="24"/>
                <w:szCs w:val="24"/>
                <w:lang w:val="en-US" w:eastAsia="en-US" w:bidi="ar-SA"/>
              </w:rPr>
            </w:pPr>
            <w:r w:rsidRPr="00901B36">
              <w:rPr>
                <w:sz w:val="24"/>
                <w:szCs w:val="24"/>
                <w:lang w:val="en-US" w:eastAsia="en-US" w:bidi="ar-SA"/>
              </w:rPr>
              <w:t>65 East State Street, Suite 700</w:t>
            </w:r>
          </w:p>
          <w:p w:rsidR="001B4DE6" w:rsidRPr="00901B36" w:rsidP="00083800" w14:paraId="5E717C1E" w14:textId="117A00EA">
            <w:pPr>
              <w:rPr>
                <w:b/>
                <w:sz w:val="24"/>
                <w:szCs w:val="24"/>
                <w:lang w:val="en-US" w:eastAsia="en-US" w:bidi="ar-SA"/>
              </w:rPr>
            </w:pPr>
            <w:r w:rsidRPr="00901B36">
              <w:rPr>
                <w:sz w:val="24"/>
                <w:szCs w:val="24"/>
                <w:lang w:val="en-US" w:eastAsia="en-US" w:bidi="ar-SA"/>
              </w:rPr>
              <w:t>Columbus, Ohio 43215</w:t>
            </w:r>
          </w:p>
          <w:p w:rsidR="001B4DE6" w:rsidRPr="00901B36" w:rsidP="00DD5D21" w14:paraId="42B36EB4" w14:textId="77777777">
            <w:pPr>
              <w:autoSpaceDE w:val="0"/>
              <w:autoSpaceDN w:val="0"/>
              <w:adjustRightInd w:val="0"/>
              <w:ind w:left="-23"/>
              <w:rPr>
                <w:sz w:val="24"/>
                <w:szCs w:val="24"/>
                <w:lang w:val="en-US" w:eastAsia="en-US" w:bidi="ar-SA"/>
              </w:rPr>
            </w:pPr>
            <w:r w:rsidRPr="00901B36">
              <w:rPr>
                <w:sz w:val="24"/>
                <w:szCs w:val="24"/>
                <w:lang w:val="en-US" w:eastAsia="en-US" w:bidi="ar-SA"/>
              </w:rPr>
              <w:t>Telephone [Eubanks]: (614) 466-1292</w:t>
            </w:r>
          </w:p>
          <w:p w:rsidR="001B4DE6" w:rsidRPr="00901B36" w:rsidP="00DD5D21" w14:paraId="78AAC721" w14:textId="77777777">
            <w:pPr>
              <w:suppressLineNumbers/>
              <w:ind w:left="4320" w:hanging="4320"/>
              <w:rPr>
                <w:sz w:val="24"/>
                <w:szCs w:val="24"/>
                <w:lang w:val="en-US" w:eastAsia="en-US" w:bidi="ar-SA"/>
              </w:rPr>
            </w:pPr>
            <w:r w:rsidRPr="00901B36">
              <w:rPr>
                <w:sz w:val="24"/>
                <w:szCs w:val="24"/>
                <w:lang w:val="en-US" w:eastAsia="en-US" w:bidi="ar-SA"/>
              </w:rPr>
              <w:t>Telephone: [Kral] (614) 466-9571</w:t>
            </w:r>
          </w:p>
          <w:p w:rsidR="001B4DE6" w:rsidRPr="00901B36" w:rsidP="00DD5D21" w14:paraId="4AA631BA" w14:textId="77777777">
            <w:pPr>
              <w:suppressLineNumbers/>
              <w:ind w:left="4320" w:hanging="4320"/>
              <w:rPr>
                <w:sz w:val="24"/>
                <w:szCs w:val="24"/>
                <w:lang w:val="en-US" w:eastAsia="en-US" w:bidi="ar-SA"/>
              </w:rPr>
            </w:pPr>
            <w:r w:rsidRPr="00901B36">
              <w:rPr>
                <w:sz w:val="24"/>
                <w:szCs w:val="24"/>
                <w:lang w:val="en-US" w:eastAsia="en-US" w:bidi="ar-SA"/>
              </w:rPr>
              <w:t>Telephone: [Brodbeck] (614) 466-9565</w:t>
            </w:r>
          </w:p>
          <w:p w:rsidR="001B4DE6" w:rsidRPr="00901B36" w:rsidP="00DD5D21" w14:paraId="64CE8668" w14:textId="77777777">
            <w:pPr>
              <w:ind w:left="-23"/>
              <w:rPr>
                <w:rStyle w:val="Hyperlink"/>
                <w:color w:val="0000FF"/>
                <w:sz w:val="24"/>
                <w:szCs w:val="24"/>
                <w:u w:val="single"/>
                <w:lang w:val="en-US" w:eastAsia="en-US" w:bidi="ar-SA"/>
              </w:rPr>
            </w:pPr>
            <w:r w:rsidRPr="00901B36">
              <w:rPr>
                <w:sz w:val="24"/>
                <w:szCs w:val="24"/>
                <w:lang w:val="en-US" w:eastAsia="en-US" w:bidi="ar-SA"/>
              </w:rPr>
              <w:tab/>
            </w:r>
            <w:hyperlink r:id="rId6" w:history="1">
              <w:r w:rsidRPr="00901B36">
                <w:rPr>
                  <w:rStyle w:val="Hyperlink"/>
                  <w:color w:val="0000FF"/>
                  <w:sz w:val="24"/>
                  <w:szCs w:val="24"/>
                  <w:u w:val="single"/>
                  <w:lang w:val="en-US" w:eastAsia="en-US" w:bidi="ar-SA"/>
                </w:rPr>
                <w:t>robert.eubanks@occ.ohio.gov</w:t>
              </w:r>
            </w:hyperlink>
          </w:p>
          <w:p w:rsidR="001B4DE6" w:rsidRPr="00901B36" w:rsidP="00DD5D21" w14:paraId="62073BD1" w14:textId="77777777">
            <w:pPr>
              <w:suppressLineNumbers/>
              <w:ind w:left="4320" w:hanging="4343"/>
              <w:rPr>
                <w:rStyle w:val="Hyperlink"/>
                <w:rFonts w:eastAsia="Courier New"/>
                <w:color w:val="0000FF"/>
                <w:sz w:val="24"/>
                <w:szCs w:val="24"/>
                <w:u w:val="single"/>
                <w:lang w:val="en-US" w:eastAsia="en-US" w:bidi="ar-SA"/>
              </w:rPr>
            </w:pPr>
            <w:hyperlink r:id="rId7" w:history="1">
              <w:r w:rsidRPr="00901B36" w:rsidR="000C0653">
                <w:rPr>
                  <w:rStyle w:val="Hyperlink"/>
                  <w:rFonts w:eastAsia="Courier New"/>
                  <w:color w:val="0000FF"/>
                  <w:sz w:val="24"/>
                  <w:szCs w:val="24"/>
                  <w:u w:val="single"/>
                  <w:lang w:val="en-US" w:eastAsia="en-US" w:bidi="ar-SA"/>
                </w:rPr>
                <w:t>donald.kral@occ.ohio.gov</w:t>
              </w:r>
            </w:hyperlink>
          </w:p>
          <w:p w:rsidR="001B4DE6" w:rsidRPr="00901B36" w:rsidP="00DD5D21" w14:paraId="4A8E9A51" w14:textId="77777777">
            <w:pPr>
              <w:suppressLineNumbers/>
              <w:ind w:left="4320" w:hanging="4343"/>
              <w:rPr>
                <w:sz w:val="24"/>
                <w:szCs w:val="24"/>
                <w:lang w:val="en-US" w:eastAsia="en-US" w:bidi="ar-SA"/>
              </w:rPr>
            </w:pPr>
            <w:hyperlink r:id="rId8" w:history="1">
              <w:r w:rsidRPr="00901B36" w:rsidR="000C0653">
                <w:rPr>
                  <w:rStyle w:val="Hyperlink"/>
                  <w:rFonts w:eastAsia="Courier New"/>
                  <w:color w:val="0000FF"/>
                  <w:sz w:val="24"/>
                  <w:szCs w:val="24"/>
                  <w:u w:val="single"/>
                  <w:lang w:val="en-US" w:eastAsia="en-US" w:bidi="ar-SA"/>
                </w:rPr>
                <w:t>thomas.brodbeck@occ.ohio.gov</w:t>
              </w:r>
            </w:hyperlink>
          </w:p>
          <w:p w:rsidR="001B4DE6" w:rsidRPr="00901B36" w:rsidP="00DD5D21" w14:paraId="5BC2E3A6" w14:textId="77777777">
            <w:pPr>
              <w:ind w:left="-23"/>
              <w:rPr>
                <w:sz w:val="24"/>
                <w:szCs w:val="24"/>
                <w:lang w:val="en-US" w:eastAsia="en-US" w:bidi="ar-SA"/>
              </w:rPr>
            </w:pPr>
            <w:r w:rsidRPr="00901B36">
              <w:rPr>
                <w:sz w:val="24"/>
                <w:szCs w:val="24"/>
                <w:lang w:val="en-US" w:eastAsia="en-US" w:bidi="ar-SA"/>
              </w:rPr>
              <w:tab/>
              <w:t>(willing to accept service by e-mail)</w:t>
            </w:r>
            <w:r w:rsidRPr="00901B36">
              <w:rPr>
                <w:sz w:val="24"/>
                <w:szCs w:val="24"/>
                <w:lang w:val="en-US" w:eastAsia="en-US" w:bidi="ar-SA"/>
              </w:rPr>
              <w:tab/>
            </w:r>
          </w:p>
          <w:p w:rsidR="001B4DE6" w:rsidRPr="00901B36" w:rsidP="00DD5D21" w14:paraId="5EA4496B" w14:textId="77777777">
            <w:pPr>
              <w:ind w:left="-23"/>
              <w:rPr>
                <w:sz w:val="24"/>
                <w:szCs w:val="24"/>
                <w:lang w:val="en-US" w:eastAsia="en-US" w:bidi="ar-SA"/>
              </w:rPr>
            </w:pPr>
          </w:p>
          <w:p w:rsidR="001B4DE6" w:rsidRPr="00901B36" w:rsidP="00DD5D21" w14:paraId="47E97B9A" w14:textId="77777777">
            <w:pPr>
              <w:rPr>
                <w:sz w:val="24"/>
                <w:szCs w:val="24"/>
                <w:lang w:val="en-US" w:eastAsia="en-US" w:bidi="ar-SA"/>
              </w:rPr>
            </w:pPr>
          </w:p>
          <w:p w:rsidR="001B4DE6" w:rsidRPr="00901B36" w:rsidP="00DD5D21" w14:paraId="63379B0F" w14:textId="77777777">
            <w:pPr>
              <w:rPr>
                <w:sz w:val="24"/>
                <w:szCs w:val="24"/>
                <w:lang w:val="en-US" w:eastAsia="en-US" w:bidi="ar-SA"/>
              </w:rPr>
            </w:pPr>
          </w:p>
        </w:tc>
        <w:tc>
          <w:tcPr>
            <w:tcW w:w="4118" w:type="dxa"/>
          </w:tcPr>
          <w:p w:rsidR="001B4DE6" w:rsidRPr="00901B36" w:rsidP="00DD5D21" w14:paraId="49E28834" w14:textId="30301CB1">
            <w:pPr>
              <w:pStyle w:val="BodyText"/>
              <w:ind w:right="1136"/>
              <w:jc w:val="left"/>
              <w:rPr>
                <w:i/>
                <w:iCs/>
                <w:sz w:val="24"/>
                <w:szCs w:val="24"/>
                <w:u w:val="single"/>
                <w:lang w:val="en-US" w:eastAsia="en-US" w:bidi="ar-SA"/>
              </w:rPr>
            </w:pPr>
            <w:r w:rsidRPr="00901B36">
              <w:rPr>
                <w:i/>
                <w:iCs/>
                <w:sz w:val="24"/>
                <w:szCs w:val="24"/>
                <w:u w:val="single"/>
                <w:lang w:val="en-US" w:eastAsia="en-US" w:bidi="ar-SA"/>
              </w:rPr>
              <w:t>/s/</w:t>
            </w:r>
            <w:r w:rsidR="00192220">
              <w:rPr>
                <w:i/>
                <w:iCs/>
                <w:sz w:val="24"/>
                <w:szCs w:val="24"/>
                <w:u w:val="single"/>
                <w:lang w:val="en-US" w:eastAsia="en-US" w:bidi="ar-SA"/>
              </w:rPr>
              <w:t xml:space="preserve"> Stephanie Moes</w:t>
            </w:r>
            <w:r w:rsidRPr="00901B36">
              <w:rPr>
                <w:i/>
                <w:iCs/>
                <w:sz w:val="24"/>
                <w:szCs w:val="24"/>
                <w:u w:val="single"/>
                <w:lang w:val="en-US" w:eastAsia="en-US" w:bidi="ar-SA"/>
              </w:rPr>
              <w:t xml:space="preserve"> </w:t>
            </w:r>
          </w:p>
          <w:p w:rsidR="001B4DE6" w:rsidRPr="00901B36" w:rsidP="00DD5D21" w14:paraId="12901EDE" w14:textId="77777777">
            <w:pPr>
              <w:pStyle w:val="BodyText"/>
              <w:ind w:right="1136"/>
              <w:jc w:val="left"/>
              <w:rPr>
                <w:sz w:val="24"/>
                <w:szCs w:val="24"/>
                <w:lang w:val="en-US" w:eastAsia="en-US" w:bidi="ar-SA"/>
              </w:rPr>
            </w:pPr>
            <w:r w:rsidRPr="00901B36">
              <w:rPr>
                <w:sz w:val="24"/>
                <w:szCs w:val="24"/>
                <w:lang w:val="en-US" w:eastAsia="en-US" w:bidi="ar-SA"/>
              </w:rPr>
              <w:t>Stephanie Moes (0077136)</w:t>
            </w:r>
          </w:p>
          <w:p w:rsidR="001B4DE6" w:rsidRPr="00901B36" w:rsidP="00DD5D21" w14:paraId="3DFCD44F" w14:textId="77777777">
            <w:pPr>
              <w:pStyle w:val="BodyText"/>
              <w:ind w:right="1136"/>
              <w:jc w:val="left"/>
              <w:rPr>
                <w:b/>
                <w:bCs/>
                <w:sz w:val="24"/>
                <w:szCs w:val="24"/>
                <w:lang w:val="en-US" w:eastAsia="en-US" w:bidi="ar-SA"/>
              </w:rPr>
            </w:pPr>
            <w:r w:rsidRPr="00901B36">
              <w:rPr>
                <w:b/>
                <w:bCs/>
                <w:sz w:val="24"/>
                <w:szCs w:val="24"/>
                <w:lang w:val="en-US" w:eastAsia="en-US" w:bidi="ar-SA"/>
              </w:rPr>
              <w:t xml:space="preserve">Legal Aid Society of Southwest Ohio, LLC </w:t>
            </w:r>
          </w:p>
          <w:p w:rsidR="001B4DE6" w:rsidRPr="00901B36" w:rsidP="00DD5D21" w14:paraId="2769B43E" w14:textId="77777777">
            <w:pPr>
              <w:pStyle w:val="BodyText"/>
              <w:ind w:right="1136"/>
              <w:jc w:val="left"/>
              <w:rPr>
                <w:sz w:val="24"/>
                <w:szCs w:val="24"/>
                <w:lang w:val="en-US" w:eastAsia="en-US" w:bidi="ar-SA"/>
              </w:rPr>
            </w:pPr>
            <w:r w:rsidRPr="00901B36">
              <w:rPr>
                <w:sz w:val="24"/>
                <w:szCs w:val="24"/>
                <w:lang w:val="en-US" w:eastAsia="en-US" w:bidi="ar-SA"/>
              </w:rPr>
              <w:t xml:space="preserve">215 East Ninth Street, Suite 500 Cincinnati, Ohio 45202 </w:t>
            </w:r>
          </w:p>
          <w:p w:rsidR="001B4DE6" w:rsidRPr="00901B36" w:rsidP="00DD5D21" w14:paraId="1D346453" w14:textId="77777777">
            <w:pPr>
              <w:pStyle w:val="BodyText"/>
              <w:ind w:right="1136"/>
              <w:jc w:val="left"/>
              <w:rPr>
                <w:sz w:val="24"/>
                <w:szCs w:val="24"/>
                <w:lang w:val="en-US" w:eastAsia="en-US" w:bidi="ar-SA"/>
              </w:rPr>
            </w:pPr>
            <w:r w:rsidRPr="00901B36">
              <w:rPr>
                <w:sz w:val="24"/>
                <w:szCs w:val="24"/>
                <w:lang w:val="en-US" w:eastAsia="en-US" w:bidi="ar-SA"/>
              </w:rPr>
              <w:t xml:space="preserve">(513) 362-2807 (direct dial) </w:t>
            </w:r>
          </w:p>
          <w:p w:rsidR="001B4DE6" w:rsidRPr="00901B36" w:rsidP="00DD5D21" w14:paraId="7DF987A9" w14:textId="77777777">
            <w:pPr>
              <w:pStyle w:val="BodyText"/>
              <w:ind w:right="1136"/>
              <w:jc w:val="left"/>
              <w:rPr>
                <w:sz w:val="24"/>
                <w:szCs w:val="24"/>
                <w:lang w:val="en-US" w:eastAsia="en-US" w:bidi="ar-SA"/>
              </w:rPr>
            </w:pPr>
            <w:r w:rsidRPr="00901B36">
              <w:rPr>
                <w:sz w:val="24"/>
                <w:szCs w:val="24"/>
                <w:lang w:val="en-US" w:eastAsia="en-US" w:bidi="ar-SA"/>
              </w:rPr>
              <w:t xml:space="preserve">(513) 259-7309 (cell) </w:t>
            </w:r>
            <w:hyperlink r:id="rId9" w:history="1">
              <w:r w:rsidRPr="00901B36">
                <w:rPr>
                  <w:rStyle w:val="Hyperlink"/>
                  <w:color w:val="0000FF"/>
                  <w:sz w:val="24"/>
                  <w:szCs w:val="24"/>
                  <w:u w:val="single"/>
                  <w:lang w:val="en-US" w:eastAsia="en-US" w:bidi="ar-SA"/>
                </w:rPr>
                <w:t>smoes@lascinti.org</w:t>
              </w:r>
            </w:hyperlink>
            <w:r w:rsidRPr="00901B36">
              <w:rPr>
                <w:sz w:val="24"/>
                <w:szCs w:val="24"/>
                <w:lang w:val="en-US" w:eastAsia="en-US" w:bidi="ar-SA"/>
              </w:rPr>
              <w:t xml:space="preserve"> </w:t>
            </w:r>
          </w:p>
          <w:p w:rsidR="001B4DE6" w:rsidRPr="00901B36" w:rsidP="00DD5D21" w14:paraId="68D6517B" w14:textId="77777777">
            <w:pPr>
              <w:pStyle w:val="BodyText"/>
              <w:ind w:right="143"/>
              <w:jc w:val="left"/>
              <w:rPr>
                <w:i/>
                <w:iCs/>
                <w:sz w:val="24"/>
                <w:szCs w:val="24"/>
                <w:u w:val="single"/>
                <w:lang w:val="en-US" w:eastAsia="en-US" w:bidi="ar-SA"/>
              </w:rPr>
            </w:pPr>
            <w:r w:rsidRPr="00901B36">
              <w:rPr>
                <w:sz w:val="24"/>
                <w:szCs w:val="24"/>
                <w:lang w:val="en-US" w:eastAsia="en-US" w:bidi="ar-SA"/>
              </w:rPr>
              <w:t xml:space="preserve">(will accept service via e-mail) </w:t>
            </w:r>
          </w:p>
          <w:p w:rsidR="001B4DE6" w:rsidRPr="00901B36" w:rsidP="00DD5D21" w14:paraId="0100DBE4" w14:textId="77777777">
            <w:pPr>
              <w:rPr>
                <w:sz w:val="24"/>
                <w:szCs w:val="24"/>
                <w:lang w:val="en-US" w:eastAsia="en-US" w:bidi="ar-SA"/>
              </w:rPr>
            </w:pPr>
          </w:p>
          <w:p w:rsidR="001B4DE6" w:rsidRPr="00901B36" w:rsidP="00DD5D21" w14:paraId="19006524" w14:textId="0D7F7F09">
            <w:pPr>
              <w:rPr>
                <w:i/>
                <w:iCs/>
                <w:sz w:val="24"/>
                <w:szCs w:val="24"/>
                <w:u w:val="single"/>
                <w:lang w:val="en-US" w:eastAsia="en-US" w:bidi="ar-SA"/>
              </w:rPr>
            </w:pPr>
            <w:r w:rsidRPr="00901B36">
              <w:rPr>
                <w:i/>
                <w:iCs/>
                <w:sz w:val="24"/>
                <w:szCs w:val="24"/>
                <w:u w:val="single"/>
                <w:lang w:val="en-US" w:eastAsia="en-US" w:bidi="ar-SA"/>
              </w:rPr>
              <w:t xml:space="preserve">/s/ </w:t>
            </w:r>
            <w:r w:rsidR="00F924F1">
              <w:rPr>
                <w:i/>
                <w:iCs/>
                <w:sz w:val="24"/>
                <w:szCs w:val="24"/>
                <w:u w:val="single"/>
                <w:lang w:val="en-US" w:eastAsia="en-US" w:bidi="ar-SA"/>
              </w:rPr>
              <w:t>Susan Jagers</w:t>
            </w:r>
          </w:p>
          <w:p w:rsidR="001B4DE6" w:rsidRPr="00901B36" w:rsidP="00DD5D21" w14:paraId="3F34C91B" w14:textId="77777777">
            <w:pPr>
              <w:rPr>
                <w:sz w:val="24"/>
                <w:szCs w:val="24"/>
                <w:lang w:val="en-US" w:eastAsia="en-US" w:bidi="ar-SA"/>
              </w:rPr>
            </w:pPr>
            <w:r w:rsidRPr="00901B36">
              <w:rPr>
                <w:sz w:val="24"/>
                <w:szCs w:val="24"/>
                <w:lang w:val="en-US" w:eastAsia="en-US" w:bidi="ar-SA"/>
              </w:rPr>
              <w:t>Susan Jagers (0061678)</w:t>
            </w:r>
          </w:p>
          <w:p w:rsidR="001B4DE6" w:rsidRPr="00901B36" w:rsidP="00DD5D21" w14:paraId="6713EA88" w14:textId="77777777">
            <w:pPr>
              <w:rPr>
                <w:b/>
                <w:bCs/>
                <w:sz w:val="24"/>
                <w:szCs w:val="24"/>
                <w:lang w:val="en-US" w:eastAsia="en-US" w:bidi="ar-SA"/>
              </w:rPr>
            </w:pPr>
            <w:r w:rsidRPr="00901B36">
              <w:rPr>
                <w:b/>
                <w:bCs/>
                <w:sz w:val="24"/>
                <w:szCs w:val="24"/>
                <w:lang w:val="en-US" w:eastAsia="en-US" w:bidi="ar-SA"/>
              </w:rPr>
              <w:t>Ohio Poverty Law Center</w:t>
            </w:r>
          </w:p>
          <w:p w:rsidR="001B4DE6" w:rsidRPr="00901B36" w:rsidP="00DD5D21" w14:paraId="02196423" w14:textId="77777777">
            <w:pPr>
              <w:rPr>
                <w:sz w:val="24"/>
                <w:szCs w:val="24"/>
                <w:lang w:val="en-US" w:eastAsia="en-US" w:bidi="ar-SA"/>
              </w:rPr>
            </w:pPr>
            <w:r w:rsidRPr="00901B36">
              <w:rPr>
                <w:sz w:val="24"/>
                <w:szCs w:val="24"/>
                <w:lang w:val="en-US" w:eastAsia="en-US" w:bidi="ar-SA"/>
              </w:rPr>
              <w:t>1108 City Park Ave. Suite 200</w:t>
            </w:r>
          </w:p>
          <w:p w:rsidR="001B4DE6" w:rsidRPr="00901B36" w:rsidP="00DD5D21" w14:paraId="23234871" w14:textId="77777777">
            <w:pPr>
              <w:rPr>
                <w:sz w:val="24"/>
                <w:szCs w:val="24"/>
                <w:lang w:val="en-US" w:eastAsia="en-US" w:bidi="ar-SA"/>
              </w:rPr>
            </w:pPr>
            <w:r w:rsidRPr="00901B36">
              <w:rPr>
                <w:sz w:val="24"/>
                <w:szCs w:val="24"/>
                <w:lang w:val="en-US" w:eastAsia="en-US" w:bidi="ar-SA"/>
              </w:rPr>
              <w:t>Columbus, OH 43206</w:t>
            </w:r>
          </w:p>
          <w:p w:rsidR="001B4DE6" w:rsidRPr="00901B36" w:rsidP="00DD5D21" w14:paraId="1B9ED399" w14:textId="77777777">
            <w:pPr>
              <w:rPr>
                <w:sz w:val="24"/>
                <w:szCs w:val="24"/>
                <w:lang w:val="en-US" w:eastAsia="en-US" w:bidi="ar-SA"/>
              </w:rPr>
            </w:pPr>
            <w:r w:rsidRPr="00901B36">
              <w:rPr>
                <w:sz w:val="24"/>
                <w:szCs w:val="24"/>
                <w:lang w:val="en-US" w:eastAsia="en-US" w:bidi="ar-SA"/>
              </w:rPr>
              <w:t>614-824-2501</w:t>
            </w:r>
          </w:p>
          <w:p w:rsidR="001B4DE6" w:rsidRPr="00901B36" w:rsidP="00DD5D21" w14:paraId="37285612" w14:textId="77777777">
            <w:pPr>
              <w:rPr>
                <w:rStyle w:val="Hyperlink"/>
                <w:color w:val="0000FF"/>
                <w:sz w:val="24"/>
                <w:szCs w:val="24"/>
                <w:u w:val="single"/>
                <w:lang w:val="en-US" w:eastAsia="en-US" w:bidi="ar-SA"/>
              </w:rPr>
            </w:pPr>
            <w:hyperlink r:id="rId10" w:history="1">
              <w:r w:rsidRPr="00901B36" w:rsidR="000C0653">
                <w:rPr>
                  <w:rStyle w:val="Hyperlink"/>
                  <w:color w:val="0000FF"/>
                  <w:sz w:val="24"/>
                  <w:szCs w:val="24"/>
                  <w:u w:val="single"/>
                  <w:lang w:val="en-US" w:eastAsia="en-US" w:bidi="ar-SA"/>
                </w:rPr>
                <w:t>sjagers@ohiopovertylaw.org</w:t>
              </w:r>
            </w:hyperlink>
          </w:p>
          <w:p w:rsidR="001B4DE6" w:rsidRPr="00901B36" w:rsidP="00DD5D21" w14:paraId="217AC0F0" w14:textId="5BD8EF67">
            <w:pPr>
              <w:rPr>
                <w:sz w:val="24"/>
                <w:szCs w:val="24"/>
                <w:lang w:val="en-US" w:eastAsia="en-US" w:bidi="ar-SA"/>
              </w:rPr>
            </w:pPr>
            <w:r w:rsidRPr="00901B36">
              <w:rPr>
                <w:color w:val="000000"/>
                <w:sz w:val="24"/>
                <w:szCs w:val="24"/>
                <w:lang w:val="en-US" w:eastAsia="en-US" w:bidi="ar-SA"/>
              </w:rPr>
              <w:t>(will</w:t>
            </w:r>
            <w:r w:rsidRPr="00901B36" w:rsidR="007D30C6">
              <w:rPr>
                <w:color w:val="000000"/>
                <w:sz w:val="24"/>
                <w:szCs w:val="24"/>
                <w:lang w:val="en-US" w:eastAsia="en-US" w:bidi="ar-SA"/>
              </w:rPr>
              <w:t>ing to</w:t>
            </w:r>
            <w:r w:rsidRPr="00901B36">
              <w:rPr>
                <w:color w:val="000000"/>
                <w:sz w:val="24"/>
                <w:szCs w:val="24"/>
                <w:lang w:val="en-US" w:eastAsia="en-US" w:bidi="ar-SA"/>
              </w:rPr>
              <w:t xml:space="preserve"> accept service </w:t>
            </w:r>
            <w:r w:rsidRPr="00901B36" w:rsidR="007D30C6">
              <w:rPr>
                <w:color w:val="000000"/>
                <w:sz w:val="24"/>
                <w:szCs w:val="24"/>
                <w:lang w:val="en-US" w:eastAsia="en-US" w:bidi="ar-SA"/>
              </w:rPr>
              <w:t>by</w:t>
            </w:r>
            <w:r w:rsidRPr="00901B36">
              <w:rPr>
                <w:color w:val="000000"/>
                <w:sz w:val="24"/>
                <w:szCs w:val="24"/>
                <w:lang w:val="en-US" w:eastAsia="en-US" w:bidi="ar-SA"/>
              </w:rPr>
              <w:t xml:space="preserve"> e-mail)</w:t>
            </w:r>
          </w:p>
          <w:p w:rsidR="001B4DE6" w:rsidRPr="00901B36" w:rsidP="00DD5D21" w14:paraId="7D488D34" w14:textId="77777777">
            <w:pPr>
              <w:rPr>
                <w:sz w:val="24"/>
                <w:szCs w:val="24"/>
                <w:lang w:val="en-US" w:eastAsia="en-US" w:bidi="ar-SA"/>
              </w:rPr>
            </w:pPr>
          </w:p>
        </w:tc>
      </w:tr>
    </w:tbl>
    <w:p w:rsidR="00650A41" w:rsidRPr="00901B36" w:rsidP="001B683C" w14:paraId="2D7F49C3" w14:textId="77777777">
      <w:pPr>
        <w:rPr>
          <w:szCs w:val="24"/>
        </w:rPr>
      </w:pPr>
    </w:p>
    <w:p w:rsidR="00650A41" w:rsidRPr="00901B36" w14:paraId="601369D7" w14:textId="77777777">
      <w:pPr>
        <w:rPr>
          <w:szCs w:val="24"/>
        </w:rPr>
      </w:pPr>
      <w:r w:rsidRPr="00901B36">
        <w:rPr>
          <w:szCs w:val="24"/>
        </w:rPr>
        <w:br w:type="page"/>
      </w:r>
    </w:p>
    <w:p w:rsidR="00A044B5" w:rsidRPr="00901B36" w:rsidP="00572055" w14:paraId="001CC221" w14:textId="5F2601D9">
      <w:pPr>
        <w:jc w:val="center"/>
        <w:rPr>
          <w:b/>
          <w:bCs/>
          <w:szCs w:val="24"/>
          <w:u w:val="single"/>
        </w:rPr>
      </w:pPr>
      <w:r w:rsidRPr="00901B36">
        <w:rPr>
          <w:b/>
          <w:bCs/>
          <w:szCs w:val="24"/>
          <w:u w:val="single"/>
        </w:rPr>
        <w:t>CERTIFICATE OF SERVICE</w:t>
      </w:r>
    </w:p>
    <w:p w:rsidR="000F2669" w:rsidRPr="00901B36" w:rsidP="00572055" w14:paraId="21306A82" w14:textId="77777777">
      <w:pPr>
        <w:jc w:val="center"/>
        <w:rPr>
          <w:b/>
          <w:bCs/>
          <w:szCs w:val="24"/>
          <w:u w:val="single"/>
        </w:rPr>
      </w:pPr>
    </w:p>
    <w:p w:rsidR="000F2669" w:rsidRPr="00901B36" w:rsidP="001B55EE" w14:paraId="349CFCCF" w14:textId="4A5B7A88">
      <w:pPr>
        <w:suppressAutoHyphens/>
        <w:spacing w:line="480" w:lineRule="auto"/>
        <w:ind w:firstLine="720"/>
        <w:rPr>
          <w:szCs w:val="24"/>
        </w:rPr>
      </w:pPr>
      <w:r w:rsidRPr="00901B36">
        <w:rPr>
          <w:szCs w:val="24"/>
        </w:rPr>
        <w:t xml:space="preserve">It is hereby certified that a true copy of the foregoing </w:t>
      </w:r>
      <w:r w:rsidRPr="00C65600" w:rsidR="00C65600">
        <w:rPr>
          <w:szCs w:val="24"/>
        </w:rPr>
        <w:t>Reply to Dominion’s Memorandum Contra Motion to Schedule a Virtual Local Public Hearing</w:t>
      </w:r>
      <w:r w:rsidR="00C65600">
        <w:rPr>
          <w:szCs w:val="24"/>
        </w:rPr>
        <w:t xml:space="preserve"> </w:t>
      </w:r>
      <w:r w:rsidRPr="00901B36">
        <w:rPr>
          <w:szCs w:val="24"/>
        </w:rPr>
        <w:t>was served upon the persons listed below via electronic transmission this</w:t>
      </w:r>
      <w:r w:rsidRPr="00901B36" w:rsidR="00F96CE8">
        <w:rPr>
          <w:szCs w:val="24"/>
        </w:rPr>
        <w:t xml:space="preserve"> </w:t>
      </w:r>
      <w:r w:rsidR="00C92BF4">
        <w:rPr>
          <w:szCs w:val="24"/>
        </w:rPr>
        <w:t>29</w:t>
      </w:r>
      <w:r w:rsidRPr="00901B36" w:rsidR="00F96CE8">
        <w:rPr>
          <w:szCs w:val="24"/>
          <w:vertAlign w:val="superscript"/>
        </w:rPr>
        <w:t>th</w:t>
      </w:r>
      <w:r w:rsidRPr="00901B36">
        <w:rPr>
          <w:szCs w:val="24"/>
        </w:rPr>
        <w:t xml:space="preserve"> day of </w:t>
      </w:r>
      <w:r w:rsidRPr="00901B36" w:rsidR="00F96CE8">
        <w:rPr>
          <w:szCs w:val="24"/>
        </w:rPr>
        <w:t>December</w:t>
      </w:r>
      <w:r w:rsidRPr="00901B36">
        <w:rPr>
          <w:szCs w:val="24"/>
        </w:rPr>
        <w:t xml:space="preserve"> 2023.</w:t>
      </w:r>
    </w:p>
    <w:p w:rsidR="00A044B5" w:rsidRPr="00901B36" w14:paraId="73A3B077" w14:textId="36867847">
      <w:pPr>
        <w:tabs>
          <w:tab w:val="left" w:pos="4320"/>
        </w:tabs>
        <w:rPr>
          <w:iCs/>
          <w:szCs w:val="24"/>
          <w:u w:val="single"/>
        </w:rPr>
      </w:pPr>
      <w:r w:rsidRPr="00901B36">
        <w:rPr>
          <w:szCs w:val="24"/>
        </w:rPr>
        <w:tab/>
      </w:r>
      <w:r w:rsidRPr="00901B36">
        <w:rPr>
          <w:i/>
          <w:iCs/>
          <w:szCs w:val="24"/>
          <w:u w:val="single"/>
        </w:rPr>
        <w:t xml:space="preserve">/s/ </w:t>
      </w:r>
      <w:r w:rsidRPr="00901B36" w:rsidR="00A725F2">
        <w:rPr>
          <w:i/>
          <w:iCs/>
          <w:szCs w:val="24"/>
          <w:u w:val="single"/>
        </w:rPr>
        <w:t>Robert Eubanks</w:t>
      </w:r>
    </w:p>
    <w:p w:rsidR="00A044B5" w:rsidRPr="00901B36" w14:paraId="69B5AD9A" w14:textId="09A5C3CF">
      <w:pPr>
        <w:tabs>
          <w:tab w:val="left" w:pos="4320"/>
        </w:tabs>
        <w:rPr>
          <w:szCs w:val="24"/>
        </w:rPr>
      </w:pPr>
      <w:r w:rsidRPr="00901B36">
        <w:rPr>
          <w:szCs w:val="24"/>
        </w:rPr>
        <w:tab/>
      </w:r>
      <w:r w:rsidRPr="00901B36" w:rsidR="00A725F2">
        <w:rPr>
          <w:szCs w:val="24"/>
        </w:rPr>
        <w:t>Robert Eubanks</w:t>
      </w:r>
    </w:p>
    <w:p w:rsidR="00A044B5" w:rsidRPr="00901B36" w14:paraId="79D1EE32" w14:textId="77777777">
      <w:pPr>
        <w:tabs>
          <w:tab w:val="left" w:pos="4320"/>
        </w:tabs>
        <w:rPr>
          <w:szCs w:val="24"/>
        </w:rPr>
      </w:pPr>
      <w:r w:rsidRPr="00901B36">
        <w:rPr>
          <w:szCs w:val="24"/>
        </w:rPr>
        <w:tab/>
        <w:t>Assistant Consumers’ Counsel</w:t>
      </w:r>
    </w:p>
    <w:p w:rsidR="00A044B5" w:rsidRPr="00901B36" w14:paraId="05ABDAAB" w14:textId="77777777">
      <w:pPr>
        <w:pStyle w:val="CommentSubject"/>
        <w:rPr>
          <w:szCs w:val="24"/>
        </w:rPr>
      </w:pPr>
    </w:p>
    <w:p w:rsidR="008916C8" w:rsidRPr="00901B36" w:rsidP="008916C8" w14:paraId="546ADD8A" w14:textId="77777777">
      <w:pPr>
        <w:rPr>
          <w:szCs w:val="24"/>
        </w:rPr>
      </w:pPr>
      <w:r w:rsidRPr="00901B36">
        <w:rPr>
          <w:szCs w:val="24"/>
        </w:rPr>
        <w:t>The PUCO’s e-filing system will electronically serve notice of the filing of this document on the following parties:</w:t>
      </w:r>
    </w:p>
    <w:p w:rsidR="00A044B5" w:rsidRPr="00901B36" w14:paraId="2CF0982E" w14:textId="77777777">
      <w:pPr>
        <w:pStyle w:val="CommentText"/>
      </w:pPr>
    </w:p>
    <w:p w:rsidR="00A044B5" w:rsidRPr="00901B36" w14:paraId="250AF02F" w14:textId="77777777">
      <w:pPr>
        <w:pStyle w:val="CommentText"/>
        <w:jc w:val="center"/>
        <w:rPr>
          <w:b/>
          <w:u w:val="single"/>
        </w:rPr>
      </w:pPr>
      <w:r w:rsidRPr="00901B36">
        <w:rPr>
          <w:b/>
          <w:u w:val="single"/>
        </w:rPr>
        <w:t>SERVICE LIST</w:t>
      </w:r>
    </w:p>
    <w:p w:rsidR="009D37EA" w:rsidRPr="00901B36" w14:paraId="2FACFBE3" w14:textId="77777777">
      <w:pPr>
        <w:pStyle w:val="CommentText"/>
        <w:jc w:val="center"/>
        <w:rPr>
          <w:b/>
          <w:u w:val="single"/>
        </w:rPr>
      </w:pPr>
    </w:p>
    <w:p w:rsidR="00A044B5" w:rsidRPr="00901B36" w14:paraId="1A4811E1" w14:textId="77777777">
      <w:pPr>
        <w:pStyle w:val="BodyText"/>
        <w:rPr>
          <w:b/>
          <w:bCs/>
          <w:szCs w:val="24"/>
        </w:rPr>
      </w:pP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4500"/>
        <w:gridCol w:w="4860"/>
      </w:tblGrid>
      <w:tr w14:paraId="6678586F" w14:textId="77777777" w:rsidTr="00450797">
        <w:tblPrEx>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c>
          <w:tcPr>
            <w:tcW w:w="4500" w:type="dxa"/>
          </w:tcPr>
          <w:p w:rsidR="009D37EA" w:rsidRPr="00901B36" w14:paraId="59E2931E" w14:textId="5DBDA195">
            <w:pPr>
              <w:pStyle w:val="BodyText"/>
              <w:jc w:val="both"/>
              <w:rPr>
                <w:sz w:val="24"/>
                <w:szCs w:val="24"/>
                <w:lang w:val="en-US" w:eastAsia="en-US" w:bidi="ar-SA"/>
              </w:rPr>
            </w:pPr>
            <w:hyperlink r:id="rId11" w:history="1">
              <w:r w:rsidRPr="00901B36" w:rsidR="00FD70F6">
                <w:rPr>
                  <w:rStyle w:val="Hyperlink"/>
                  <w:color w:val="0000FF"/>
                  <w:sz w:val="24"/>
                  <w:szCs w:val="24"/>
                  <w:u w:val="single"/>
                  <w:lang w:val="en-US" w:eastAsia="en-US" w:bidi="ar-SA"/>
                </w:rPr>
                <w:t>ashley.wnek@ohioAGO.gov</w:t>
              </w:r>
            </w:hyperlink>
          </w:p>
          <w:p w:rsidR="00FD70F6" w14:paraId="7DCDB325" w14:textId="25EDCBE6">
            <w:pPr>
              <w:pStyle w:val="BodyText"/>
              <w:jc w:val="both"/>
              <w:rPr>
                <w:rStyle w:val="Hyperlink"/>
                <w:color w:val="0000FF"/>
                <w:sz w:val="24"/>
                <w:szCs w:val="24"/>
                <w:u w:val="single"/>
                <w:lang w:val="en-US" w:eastAsia="en-US" w:bidi="ar-SA"/>
              </w:rPr>
            </w:pPr>
            <w:hyperlink r:id="rId12" w:history="1">
              <w:r w:rsidRPr="00901B36" w:rsidR="00E90AB3">
                <w:rPr>
                  <w:rStyle w:val="Hyperlink"/>
                  <w:color w:val="0000FF"/>
                  <w:sz w:val="24"/>
                  <w:szCs w:val="24"/>
                  <w:u w:val="single"/>
                  <w:lang w:val="en-US" w:eastAsia="en-US" w:bidi="ar-SA"/>
                </w:rPr>
                <w:t>amy.botschnerobrien@ohioAGO.gov</w:t>
              </w:r>
            </w:hyperlink>
          </w:p>
          <w:p w:rsidR="0012303E" w14:paraId="58E0C29D" w14:textId="5D36318A">
            <w:pPr>
              <w:pStyle w:val="BodyText"/>
              <w:jc w:val="both"/>
              <w:rPr>
                <w:sz w:val="24"/>
                <w:lang w:val="en-US" w:eastAsia="en-US" w:bidi="ar-SA"/>
              </w:rPr>
            </w:pPr>
            <w:hyperlink r:id="rId13" w:history="1">
              <w:r w:rsidRPr="007D1B1B">
                <w:rPr>
                  <w:rStyle w:val="Hyperlink"/>
                  <w:color w:val="0000FF"/>
                  <w:sz w:val="24"/>
                  <w:u w:val="single"/>
                  <w:lang w:val="en-US" w:eastAsia="en-US" w:bidi="ar-SA"/>
                </w:rPr>
                <w:t>Bojko@carpenterlipps.com</w:t>
              </w:r>
            </w:hyperlink>
          </w:p>
          <w:p w:rsidR="0012303E" w14:paraId="6C4D2107" w14:textId="03175C18">
            <w:pPr>
              <w:pStyle w:val="BodyText"/>
              <w:jc w:val="both"/>
              <w:rPr>
                <w:sz w:val="24"/>
                <w:lang w:val="en-US" w:eastAsia="en-US" w:bidi="ar-SA"/>
              </w:rPr>
            </w:pPr>
            <w:hyperlink r:id="rId14" w:history="1">
              <w:r w:rsidRPr="007D1B1B">
                <w:rPr>
                  <w:rStyle w:val="Hyperlink"/>
                  <w:color w:val="0000FF"/>
                  <w:sz w:val="24"/>
                  <w:u w:val="single"/>
                  <w:lang w:val="en-US" w:eastAsia="en-US" w:bidi="ar-SA"/>
                </w:rPr>
                <w:t>Easley@carpenterlipps.com</w:t>
              </w:r>
            </w:hyperlink>
          </w:p>
          <w:p w:rsidR="00572055" w:rsidRPr="00901B36" w14:paraId="47514EAA" w14:textId="77777777">
            <w:pPr>
              <w:pStyle w:val="BodyText"/>
              <w:jc w:val="both"/>
              <w:rPr>
                <w:sz w:val="24"/>
                <w:szCs w:val="24"/>
                <w:lang w:val="en-US" w:eastAsia="en-US" w:bidi="ar-SA"/>
              </w:rPr>
            </w:pPr>
          </w:p>
          <w:p w:rsidR="00FD70F6" w:rsidRPr="00901B36" w14:paraId="6301B2DA" w14:textId="43C2381C">
            <w:pPr>
              <w:pStyle w:val="BodyText"/>
              <w:jc w:val="both"/>
              <w:rPr>
                <w:sz w:val="24"/>
                <w:szCs w:val="24"/>
                <w:lang w:val="en-US" w:eastAsia="en-US" w:bidi="ar-SA"/>
              </w:rPr>
            </w:pPr>
            <w:r w:rsidRPr="00901B36">
              <w:rPr>
                <w:sz w:val="24"/>
                <w:szCs w:val="24"/>
                <w:lang w:val="en-US" w:eastAsia="en-US" w:bidi="ar-SA"/>
              </w:rPr>
              <w:t>Attorney Examiners:</w:t>
            </w:r>
          </w:p>
          <w:p w:rsidR="00D24D29" w:rsidRPr="00901B36" w14:paraId="4C9CDFDE" w14:textId="1CDCA1B5">
            <w:pPr>
              <w:pStyle w:val="BodyText"/>
              <w:jc w:val="both"/>
              <w:rPr>
                <w:sz w:val="24"/>
                <w:szCs w:val="24"/>
                <w:lang w:val="en-US" w:eastAsia="en-US" w:bidi="ar-SA"/>
              </w:rPr>
            </w:pPr>
            <w:hyperlink r:id="rId15" w:history="1">
              <w:r w:rsidRPr="00901B36" w:rsidR="00FD70F6">
                <w:rPr>
                  <w:rStyle w:val="Hyperlink"/>
                  <w:color w:val="0000FF"/>
                  <w:sz w:val="24"/>
                  <w:szCs w:val="24"/>
                  <w:u w:val="single"/>
                  <w:lang w:val="en-US" w:eastAsia="en-US" w:bidi="ar-SA"/>
                </w:rPr>
                <w:t>Gregory.price@puco.ohio.gov</w:t>
              </w:r>
            </w:hyperlink>
          </w:p>
          <w:p w:rsidR="00D24D29" w:rsidRPr="00901B36" w14:paraId="24C06867" w14:textId="0D729B32">
            <w:pPr>
              <w:pStyle w:val="BodyText"/>
              <w:jc w:val="both"/>
              <w:rPr>
                <w:sz w:val="24"/>
                <w:szCs w:val="24"/>
                <w:lang w:val="en-US" w:eastAsia="en-US" w:bidi="ar-SA"/>
              </w:rPr>
            </w:pPr>
            <w:hyperlink r:id="rId16" w:history="1">
              <w:r w:rsidRPr="00901B36" w:rsidR="00450797">
                <w:rPr>
                  <w:rStyle w:val="Hyperlink"/>
                  <w:color w:val="0000FF"/>
                  <w:sz w:val="24"/>
                  <w:szCs w:val="24"/>
                  <w:u w:val="single"/>
                  <w:lang w:val="en-US" w:eastAsia="en-US" w:bidi="ar-SA"/>
                </w:rPr>
                <w:t>clint.white@puco.ohio.gov</w:t>
              </w:r>
            </w:hyperlink>
          </w:p>
          <w:p w:rsidR="00D24D29" w:rsidRPr="00901B36" w14:paraId="20D5B426" w14:textId="52DDDEFD">
            <w:pPr>
              <w:pStyle w:val="BodyText"/>
              <w:jc w:val="both"/>
              <w:rPr>
                <w:sz w:val="24"/>
                <w:szCs w:val="24"/>
                <w:lang w:val="en-US" w:eastAsia="en-US" w:bidi="ar-SA"/>
              </w:rPr>
            </w:pPr>
          </w:p>
        </w:tc>
        <w:tc>
          <w:tcPr>
            <w:tcW w:w="4860" w:type="dxa"/>
          </w:tcPr>
          <w:p w:rsidR="00D24D29" w:rsidRPr="00901B36" w:rsidP="00450797" w14:paraId="785F6EC1" w14:textId="55A4C1C0">
            <w:pPr>
              <w:autoSpaceDE w:val="0"/>
              <w:autoSpaceDN w:val="0"/>
              <w:adjustRightInd w:val="0"/>
              <w:ind w:left="-110"/>
              <w:rPr>
                <w:sz w:val="24"/>
                <w:szCs w:val="24"/>
                <w:lang w:val="en-US" w:eastAsia="en-US" w:bidi="ar-SA"/>
              </w:rPr>
            </w:pPr>
            <w:hyperlink r:id="rId17" w:history="1">
              <w:r w:rsidRPr="00901B36" w:rsidR="00450797">
                <w:rPr>
                  <w:rStyle w:val="Hyperlink"/>
                  <w:color w:val="0000FF"/>
                  <w:sz w:val="24"/>
                  <w:szCs w:val="24"/>
                  <w:u w:val="single"/>
                  <w:lang w:val="en-US" w:eastAsia="en-US" w:bidi="ar-SA"/>
                </w:rPr>
                <w:t>kennedy@whitt-sturtevant.com</w:t>
              </w:r>
            </w:hyperlink>
          </w:p>
          <w:p w:rsidR="00450797" w:rsidRPr="00901B36" w:rsidP="00450797" w14:paraId="5C8AA06C" w14:textId="10E8F199">
            <w:pPr>
              <w:autoSpaceDE w:val="0"/>
              <w:autoSpaceDN w:val="0"/>
              <w:adjustRightInd w:val="0"/>
              <w:ind w:left="-110"/>
              <w:rPr>
                <w:rStyle w:val="Hyperlink"/>
                <w:color w:val="0000FF"/>
                <w:sz w:val="24"/>
                <w:szCs w:val="24"/>
                <w:u w:val="single"/>
                <w:lang w:val="en-US" w:eastAsia="en-US" w:bidi="ar-SA"/>
              </w:rPr>
            </w:pPr>
            <w:hyperlink r:id="rId18" w:history="1">
              <w:r w:rsidRPr="00901B36" w:rsidR="00E90AB3">
                <w:rPr>
                  <w:rStyle w:val="Hyperlink"/>
                  <w:color w:val="0000FF"/>
                  <w:sz w:val="24"/>
                  <w:szCs w:val="24"/>
                  <w:u w:val="single"/>
                  <w:lang w:val="en-US" w:eastAsia="en-US" w:bidi="ar-SA"/>
                </w:rPr>
                <w:t>Andrew.j.campbell@dominionenergy.com</w:t>
              </w:r>
            </w:hyperlink>
          </w:p>
          <w:p w:rsidR="001B683C" w:rsidRPr="00901B36" w:rsidP="00450797" w14:paraId="134A09B6" w14:textId="4676D7B2">
            <w:pPr>
              <w:autoSpaceDE w:val="0"/>
              <w:autoSpaceDN w:val="0"/>
              <w:adjustRightInd w:val="0"/>
              <w:ind w:left="-110"/>
              <w:rPr>
                <w:rStyle w:val="Hyperlink"/>
                <w:color w:val="0000FF"/>
                <w:sz w:val="24"/>
                <w:szCs w:val="24"/>
                <w:u w:val="single"/>
                <w:lang w:val="en-US" w:eastAsia="en-US" w:bidi="ar-SA"/>
              </w:rPr>
            </w:pPr>
            <w:hyperlink r:id="rId19" w:history="1">
              <w:r w:rsidRPr="00901B36" w:rsidR="0012499B">
                <w:rPr>
                  <w:rStyle w:val="Hyperlink"/>
                  <w:color w:val="0000FF"/>
                  <w:sz w:val="24"/>
                  <w:szCs w:val="24"/>
                  <w:u w:val="single"/>
                  <w:lang w:val="en-US" w:eastAsia="en-US" w:bidi="ar-SA"/>
                </w:rPr>
                <w:t>demonte@whitt-sturtevant.com</w:t>
              </w:r>
            </w:hyperlink>
          </w:p>
          <w:p w:rsidR="0012499B" w:rsidRPr="00901B36" w:rsidP="00450797" w14:paraId="2836D43E" w14:textId="0A3BA3C6">
            <w:pPr>
              <w:autoSpaceDE w:val="0"/>
              <w:autoSpaceDN w:val="0"/>
              <w:adjustRightInd w:val="0"/>
              <w:ind w:left="-110"/>
              <w:rPr>
                <w:rStyle w:val="Hyperlink"/>
                <w:color w:val="0000FF"/>
                <w:sz w:val="24"/>
                <w:szCs w:val="24"/>
                <w:u w:val="single"/>
                <w:lang w:val="en-US" w:eastAsia="en-US" w:bidi="ar-SA"/>
              </w:rPr>
            </w:pPr>
            <w:hyperlink r:id="rId20" w:history="1">
              <w:r w:rsidRPr="00901B36" w:rsidR="000C0653">
                <w:rPr>
                  <w:rStyle w:val="Hyperlink"/>
                  <w:color w:val="0000FF"/>
                  <w:sz w:val="24"/>
                  <w:szCs w:val="24"/>
                  <w:u w:val="single"/>
                  <w:lang w:val="en-US" w:eastAsia="en-US" w:bidi="ar-SA"/>
                </w:rPr>
                <w:t>mbarbara@calfee.com</w:t>
              </w:r>
            </w:hyperlink>
          </w:p>
          <w:p w:rsidR="00334EC4" w:rsidRPr="00901B36" w:rsidP="00334EC4" w14:paraId="4F84E222" w14:textId="77777777">
            <w:pPr>
              <w:adjustRightInd w:val="0"/>
              <w:ind w:left="-110"/>
              <w:rPr>
                <w:rStyle w:val="Hyperlink"/>
                <w:color w:val="0000FF"/>
                <w:sz w:val="24"/>
                <w:szCs w:val="24"/>
                <w:u w:val="single"/>
                <w:lang w:val="en-US" w:eastAsia="en-US" w:bidi="ar-SA"/>
              </w:rPr>
            </w:pPr>
            <w:hyperlink r:id="rId21" w:history="1">
              <w:r w:rsidRPr="00901B36" w:rsidR="000C0653">
                <w:rPr>
                  <w:rStyle w:val="Hyperlink"/>
                  <w:color w:val="0000FF"/>
                  <w:sz w:val="24"/>
                  <w:szCs w:val="24"/>
                  <w:u w:val="single"/>
                  <w:lang w:val="en-US" w:eastAsia="en-US" w:bidi="ar-SA"/>
                </w:rPr>
                <w:t>tgallagher@fgplaborlaw.com</w:t>
              </w:r>
            </w:hyperlink>
          </w:p>
          <w:p w:rsidR="00334EC4" w:rsidRPr="00901B36" w:rsidP="00334EC4" w14:paraId="37E41B07" w14:textId="77777777">
            <w:pPr>
              <w:adjustRightInd w:val="0"/>
              <w:ind w:left="-110"/>
              <w:rPr>
                <w:rStyle w:val="Hyperlink"/>
                <w:color w:val="0000FF"/>
                <w:sz w:val="24"/>
                <w:szCs w:val="24"/>
                <w:u w:val="single"/>
                <w:lang w:val="en-US" w:eastAsia="en-US" w:bidi="ar-SA"/>
              </w:rPr>
            </w:pPr>
            <w:hyperlink r:id="rId22" w:history="1">
              <w:r w:rsidRPr="00901B36" w:rsidR="000C0653">
                <w:rPr>
                  <w:rStyle w:val="Hyperlink"/>
                  <w:color w:val="0000FF"/>
                  <w:sz w:val="24"/>
                  <w:szCs w:val="24"/>
                  <w:u w:val="single"/>
                  <w:lang w:val="en-US" w:eastAsia="en-US" w:bidi="ar-SA"/>
                </w:rPr>
                <w:t>michael.nugent@igs.com</w:t>
              </w:r>
            </w:hyperlink>
          </w:p>
          <w:p w:rsidR="00334EC4" w:rsidRPr="00901B36" w:rsidP="00334EC4" w14:paraId="44EDABDE" w14:textId="77777777">
            <w:pPr>
              <w:adjustRightInd w:val="0"/>
              <w:ind w:left="-110"/>
              <w:rPr>
                <w:rStyle w:val="Hyperlink"/>
                <w:color w:val="0000FF"/>
                <w:sz w:val="24"/>
                <w:szCs w:val="24"/>
                <w:u w:val="single"/>
                <w:lang w:val="en-US" w:eastAsia="en-US" w:bidi="ar-SA"/>
              </w:rPr>
            </w:pPr>
            <w:hyperlink r:id="rId23" w:history="1">
              <w:r w:rsidRPr="00901B36" w:rsidR="000C0653">
                <w:rPr>
                  <w:rStyle w:val="Hyperlink"/>
                  <w:color w:val="0000FF"/>
                  <w:sz w:val="24"/>
                  <w:szCs w:val="24"/>
                  <w:u w:val="single"/>
                  <w:lang w:val="en-US" w:eastAsia="en-US" w:bidi="ar-SA"/>
                </w:rPr>
                <w:t>stacie.cathcart@igs.com</w:t>
              </w:r>
            </w:hyperlink>
          </w:p>
          <w:p w:rsidR="00334EC4" w:rsidRPr="00901B36" w:rsidP="00334EC4" w14:paraId="6CE732B2" w14:textId="77777777">
            <w:pPr>
              <w:adjustRightInd w:val="0"/>
              <w:ind w:left="-110"/>
              <w:rPr>
                <w:rStyle w:val="Hyperlink"/>
                <w:color w:val="0000FF"/>
                <w:sz w:val="24"/>
                <w:szCs w:val="24"/>
                <w:u w:val="single"/>
                <w:lang w:val="en-US" w:eastAsia="en-US" w:bidi="ar-SA"/>
              </w:rPr>
            </w:pPr>
            <w:hyperlink r:id="rId24" w:history="1">
              <w:r w:rsidRPr="00901B36" w:rsidR="000C0653">
                <w:rPr>
                  <w:rStyle w:val="Hyperlink"/>
                  <w:color w:val="0000FF"/>
                  <w:sz w:val="24"/>
                  <w:szCs w:val="24"/>
                  <w:u w:val="single"/>
                  <w:lang w:val="en-US" w:eastAsia="en-US" w:bidi="ar-SA"/>
                </w:rPr>
                <w:t>jlang@calfee.com</w:t>
              </w:r>
            </w:hyperlink>
          </w:p>
          <w:p w:rsidR="0012499B" w:rsidRPr="00901B36" w:rsidP="00450797" w14:paraId="10398F19" w14:textId="53CA3239">
            <w:pPr>
              <w:autoSpaceDE w:val="0"/>
              <w:autoSpaceDN w:val="0"/>
              <w:adjustRightInd w:val="0"/>
              <w:ind w:left="-110"/>
              <w:rPr>
                <w:rStyle w:val="Hyperlink"/>
                <w:color w:val="0000FF"/>
                <w:sz w:val="24"/>
                <w:szCs w:val="24"/>
                <w:u w:val="single"/>
                <w:lang w:val="en-US" w:eastAsia="en-US" w:bidi="ar-SA"/>
              </w:rPr>
            </w:pPr>
            <w:hyperlink r:id="rId25" w:history="1">
              <w:r w:rsidRPr="00901B36" w:rsidR="000C0653">
                <w:rPr>
                  <w:rStyle w:val="Hyperlink"/>
                  <w:color w:val="0000FF"/>
                  <w:sz w:val="24"/>
                  <w:szCs w:val="24"/>
                  <w:u w:val="single"/>
                  <w:lang w:val="en-US" w:eastAsia="en-US" w:bidi="ar-SA"/>
                </w:rPr>
                <w:t>dproano@bakerlaw.com</w:t>
              </w:r>
            </w:hyperlink>
          </w:p>
          <w:p w:rsidR="0012499B" w:rsidRPr="00901B36" w:rsidP="00450797" w14:paraId="01BBA852" w14:textId="5A26F426">
            <w:pPr>
              <w:autoSpaceDE w:val="0"/>
              <w:autoSpaceDN w:val="0"/>
              <w:adjustRightInd w:val="0"/>
              <w:ind w:left="-110"/>
              <w:rPr>
                <w:rStyle w:val="Hyperlink"/>
                <w:color w:val="0000FF"/>
                <w:sz w:val="24"/>
                <w:szCs w:val="24"/>
                <w:u w:val="single"/>
                <w:lang w:val="en-US" w:eastAsia="en-US" w:bidi="ar-SA"/>
              </w:rPr>
            </w:pPr>
            <w:hyperlink r:id="rId26" w:history="1">
              <w:r w:rsidRPr="00901B36" w:rsidR="000C0653">
                <w:rPr>
                  <w:rStyle w:val="Hyperlink"/>
                  <w:color w:val="0000FF"/>
                  <w:sz w:val="24"/>
                  <w:szCs w:val="24"/>
                  <w:u w:val="single"/>
                  <w:lang w:val="en-US" w:eastAsia="en-US" w:bidi="ar-SA"/>
                </w:rPr>
                <w:t>pwillison@bakerlaw.com</w:t>
              </w:r>
            </w:hyperlink>
          </w:p>
          <w:p w:rsidR="00E5361C" w:rsidP="00E5361C" w14:paraId="6D41803F" w14:textId="77777777">
            <w:pPr>
              <w:autoSpaceDE w:val="0"/>
              <w:autoSpaceDN w:val="0"/>
              <w:adjustRightInd w:val="0"/>
              <w:ind w:left="-110"/>
              <w:rPr>
                <w:rStyle w:val="Hyperlink"/>
                <w:color w:val="0000FF"/>
                <w:sz w:val="24"/>
                <w:szCs w:val="24"/>
                <w:u w:val="single"/>
                <w:lang w:val="en-US" w:eastAsia="en-US" w:bidi="ar-SA"/>
              </w:rPr>
            </w:pPr>
            <w:hyperlink r:id="rId27" w:history="1">
              <w:r w:rsidRPr="00901B36" w:rsidR="000C0653">
                <w:rPr>
                  <w:rStyle w:val="Hyperlink"/>
                  <w:color w:val="0000FF"/>
                  <w:sz w:val="24"/>
                  <w:szCs w:val="24"/>
                  <w:u w:val="single"/>
                  <w:lang w:val="en-US" w:eastAsia="en-US" w:bidi="ar-SA"/>
                </w:rPr>
                <w:t>whitt@whitt-sturtevant.com</w:t>
              </w:r>
            </w:hyperlink>
          </w:p>
          <w:p w:rsidR="00E5361C" w:rsidRPr="00E5361C" w:rsidP="00E5361C" w14:paraId="168C4C10" w14:textId="419431A6">
            <w:pPr>
              <w:autoSpaceDE w:val="0"/>
              <w:autoSpaceDN w:val="0"/>
              <w:adjustRightInd w:val="0"/>
              <w:ind w:left="-110"/>
              <w:rPr>
                <w:color w:val="0000FF"/>
                <w:sz w:val="24"/>
                <w:szCs w:val="24"/>
                <w:u w:val="single"/>
                <w:lang w:val="en-US" w:eastAsia="en-US" w:bidi="ar-SA"/>
              </w:rPr>
            </w:pPr>
            <w:hyperlink r:id="rId28" w:history="1">
              <w:r>
                <w:rPr>
                  <w:rStyle w:val="Hyperlink"/>
                  <w:color w:val="0000FF"/>
                  <w:sz w:val="24"/>
                  <w:u w:val="single"/>
                  <w:lang w:val="en-US" w:eastAsia="en-US" w:bidi="ar-SA"/>
                </w:rPr>
                <w:t>mcurrie@ablelaw.org</w:t>
              </w:r>
            </w:hyperlink>
            <w:r>
              <w:rPr>
                <w:sz w:val="24"/>
                <w:lang w:val="en-US" w:eastAsia="en-US" w:bidi="ar-SA"/>
              </w:rPr>
              <w:t xml:space="preserve"> </w:t>
            </w:r>
          </w:p>
          <w:p w:rsidR="0012499B" w:rsidRPr="00901B36" w:rsidP="00450797" w14:paraId="4E0A4057" w14:textId="77777777">
            <w:pPr>
              <w:autoSpaceDE w:val="0"/>
              <w:autoSpaceDN w:val="0"/>
              <w:adjustRightInd w:val="0"/>
              <w:ind w:left="-110"/>
              <w:rPr>
                <w:rStyle w:val="Hyperlink"/>
                <w:color w:val="0000FF"/>
                <w:sz w:val="24"/>
                <w:szCs w:val="24"/>
                <w:u w:val="single"/>
                <w:lang w:val="en-US" w:eastAsia="en-US" w:bidi="ar-SA"/>
              </w:rPr>
            </w:pPr>
          </w:p>
          <w:p w:rsidR="0012499B" w:rsidRPr="00901B36" w:rsidP="00450797" w14:paraId="063A4CC7" w14:textId="77777777">
            <w:pPr>
              <w:autoSpaceDE w:val="0"/>
              <w:autoSpaceDN w:val="0"/>
              <w:adjustRightInd w:val="0"/>
              <w:ind w:left="-110"/>
              <w:rPr>
                <w:rStyle w:val="Hyperlink"/>
                <w:color w:val="0000FF"/>
                <w:sz w:val="24"/>
                <w:szCs w:val="24"/>
                <w:u w:val="single"/>
                <w:lang w:val="en-US" w:eastAsia="en-US" w:bidi="ar-SA"/>
              </w:rPr>
            </w:pPr>
          </w:p>
          <w:p w:rsidR="0012499B" w:rsidRPr="00901B36" w:rsidP="00450797" w14:paraId="473604A5" w14:textId="77777777">
            <w:pPr>
              <w:autoSpaceDE w:val="0"/>
              <w:autoSpaceDN w:val="0"/>
              <w:adjustRightInd w:val="0"/>
              <w:ind w:left="-110"/>
              <w:rPr>
                <w:sz w:val="24"/>
                <w:szCs w:val="24"/>
                <w:lang w:val="en-US" w:eastAsia="en-US" w:bidi="ar-SA"/>
              </w:rPr>
            </w:pPr>
          </w:p>
          <w:p w:rsidR="009D37EA" w:rsidRPr="00901B36" w:rsidP="00AF57F7" w14:paraId="71AF2055" w14:textId="77777777">
            <w:pPr>
              <w:pStyle w:val="BodyText"/>
              <w:ind w:left="553"/>
              <w:jc w:val="both"/>
              <w:rPr>
                <w:sz w:val="24"/>
                <w:szCs w:val="24"/>
                <w:lang w:val="en-US" w:eastAsia="en-US" w:bidi="ar-SA"/>
              </w:rPr>
            </w:pPr>
          </w:p>
        </w:tc>
      </w:tr>
    </w:tbl>
    <w:p w:rsidR="00A044B5" w:rsidRPr="00901B36" w14:paraId="31E58865" w14:textId="77777777">
      <w:pPr>
        <w:pStyle w:val="BodyText"/>
        <w:rPr>
          <w:b/>
          <w:bCs/>
          <w:szCs w:val="24"/>
        </w:rPr>
      </w:pPr>
    </w:p>
    <w:sectPr w:rsidSect="00CC0981">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5F0" w14:paraId="05DF878B" w14:textId="77777777">
    <w:pPr>
      <w:pStyle w:val="Footer"/>
    </w:pPr>
  </w:p>
  <w:p w:rsidR="002E4849" w14:paraId="6078B22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FE7F0A" w:rsidRPr="0055097B" w14:paraId="15358668" w14:textId="77777777">
        <w:pPr>
          <w:pStyle w:val="Footer"/>
          <w:jc w:val="center"/>
          <w:rPr>
            <w:sz w:val="24"/>
            <w:szCs w:val="24"/>
          </w:rPr>
        </w:pPr>
        <w:r w:rsidRPr="0055097B">
          <w:rPr>
            <w:sz w:val="24"/>
            <w:szCs w:val="24"/>
          </w:rPr>
          <w:fldChar w:fldCharType="begin"/>
        </w:r>
        <w:r w:rsidRPr="0055097B">
          <w:rPr>
            <w:sz w:val="24"/>
            <w:szCs w:val="24"/>
          </w:rPr>
          <w:instrText xml:space="preserve"> PAGE   \* MERGEFORMAT </w:instrText>
        </w:r>
        <w:r w:rsidRPr="0055097B">
          <w:rPr>
            <w:sz w:val="24"/>
            <w:szCs w:val="24"/>
          </w:rPr>
          <w:fldChar w:fldCharType="separate"/>
        </w:r>
        <w:r w:rsidRPr="0055097B">
          <w:rPr>
            <w:noProof/>
            <w:sz w:val="24"/>
            <w:szCs w:val="24"/>
          </w:rPr>
          <w:t>2</w:t>
        </w:r>
        <w:r w:rsidRPr="0055097B">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B4" w14:paraId="2A721C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4FB0" w14:paraId="6412AA61" w14:textId="77777777">
      <w:r>
        <w:separator/>
      </w:r>
    </w:p>
  </w:footnote>
  <w:footnote w:type="continuationSeparator" w:id="1">
    <w:p w:rsidR="000A4FB0" w14:paraId="365F709C" w14:textId="77777777">
      <w:r>
        <w:continuationSeparator/>
      </w:r>
    </w:p>
  </w:footnote>
  <w:footnote w:id="2">
    <w:p w:rsidR="0073688C" w14:paraId="7E835536" w14:textId="05123453">
      <w:pPr>
        <w:pStyle w:val="FootnoteText"/>
      </w:pPr>
      <w:r>
        <w:rPr>
          <w:rStyle w:val="FootnoteReference"/>
        </w:rPr>
        <w:footnoteRef/>
      </w:r>
      <w:r>
        <w:t xml:space="preserve"> </w:t>
      </w:r>
      <w:r w:rsidRPr="00AA595E" w:rsidR="00AA595E">
        <w:t xml:space="preserve">Case </w:t>
      </w:r>
      <w:r w:rsidR="00AA595E">
        <w:t xml:space="preserve">Nos. </w:t>
      </w:r>
      <w:r w:rsidRPr="00AA595E" w:rsidR="00AA595E">
        <w:t>20-585</w:t>
      </w:r>
      <w:r w:rsidR="00AA595E">
        <w:t>-</w:t>
      </w:r>
      <w:r w:rsidRPr="00AA595E" w:rsidR="00AA595E">
        <w:t>EL-AIR</w:t>
      </w:r>
      <w:r w:rsidR="00AA595E">
        <w:t xml:space="preserve">, </w:t>
      </w:r>
      <w:r w:rsidRPr="00AA595E" w:rsidR="00AA595E">
        <w:t>20-586-EL-ATA</w:t>
      </w:r>
      <w:r w:rsidR="00AA595E">
        <w:t xml:space="preserve">, and </w:t>
      </w:r>
      <w:r w:rsidRPr="00AA595E" w:rsidR="00AA595E">
        <w:t>20-587-EL-AAM</w:t>
      </w:r>
      <w:r w:rsidR="00AA595E">
        <w:t>,</w:t>
      </w:r>
      <w:r w:rsidRPr="00AA595E" w:rsidR="00AA595E">
        <w:rPr>
          <w:rFonts w:ascii="Arial" w:hAnsi="Arial" w:cs="Arial"/>
          <w:color w:val="232323"/>
          <w:sz w:val="19"/>
          <w:szCs w:val="19"/>
        </w:rPr>
        <w:t xml:space="preserve"> </w:t>
      </w:r>
      <w:r w:rsidRPr="00AA595E" w:rsidR="00AA595E">
        <w:t>Attorney Examiner Entry</w:t>
      </w:r>
      <w:r w:rsidR="00AA595E">
        <w:t xml:space="preserve"> (January 14, 2021) at </w:t>
      </w:r>
      <w:r w:rsidRPr="00AA595E" w:rsidR="00AA595E">
        <w:t>¶ 9</w:t>
      </w:r>
      <w:r w:rsidR="00AA595E">
        <w:t>.</w:t>
      </w:r>
    </w:p>
  </w:footnote>
  <w:footnote w:id="3">
    <w:p w:rsidR="00A047EC" w:rsidP="009E6C67" w14:paraId="2B046441" w14:textId="54537326">
      <w:pPr>
        <w:pStyle w:val="FootnoteText"/>
        <w:spacing w:after="120"/>
      </w:pPr>
      <w:r>
        <w:rPr>
          <w:rStyle w:val="FootnoteReference"/>
        </w:rPr>
        <w:footnoteRef/>
      </w:r>
      <w:r>
        <w:t xml:space="preserve"> </w:t>
      </w:r>
      <w:r w:rsidR="004665CD">
        <w:t>R.C. 4903.083 states, in part, “…</w:t>
      </w:r>
      <w:r w:rsidRPr="00753C4F" w:rsidR="004665CD">
        <w:rPr>
          <w:u w:val="single"/>
        </w:rPr>
        <w:t>at least</w:t>
      </w:r>
      <w:r w:rsidRPr="004665CD" w:rsidR="004665CD">
        <w:t xml:space="preserve"> one public hearing shall be held in each affected service area</w:t>
      </w:r>
      <w:r w:rsidR="004665CD">
        <w:t>…”</w:t>
      </w:r>
    </w:p>
  </w:footnote>
  <w:footnote w:id="4">
    <w:p w:rsidR="00A047EC" w:rsidP="009E6C67" w14:paraId="6286E695" w14:textId="132F6C2C">
      <w:pPr>
        <w:pStyle w:val="FootnoteText"/>
        <w:spacing w:after="120"/>
      </w:pPr>
      <w:r>
        <w:rPr>
          <w:rStyle w:val="FootnoteReference"/>
        </w:rPr>
        <w:footnoteRef/>
      </w:r>
      <w:r>
        <w:t xml:space="preserve"> </w:t>
      </w:r>
      <w:r w:rsidRPr="003E278F" w:rsidR="003E278F">
        <w:t>Case Nos. 22-1094-WW-AIR and 22-1096-ST-AIR, Entry (Aug. 11, 2023) ¶</w:t>
      </w:r>
      <w:r w:rsidR="003E278F">
        <w:t xml:space="preserve"> </w:t>
      </w:r>
      <w:r w:rsidRPr="003E278F" w:rsidR="003E278F">
        <w:t>9</w:t>
      </w:r>
      <w:r w:rsidR="00753C4F">
        <w:t xml:space="preserve">. </w:t>
      </w:r>
      <w:r w:rsidR="003E278F">
        <w:t>T</w:t>
      </w:r>
      <w:r w:rsidRPr="003E278F" w:rsidR="003E278F">
        <w:t xml:space="preserve">he </w:t>
      </w:r>
      <w:r w:rsidR="00C34EC2">
        <w:t>PUCO</w:t>
      </w:r>
      <w:r w:rsidRPr="003E278F" w:rsidR="003E278F">
        <w:t xml:space="preserve"> stated</w:t>
      </w:r>
      <w:r w:rsidR="003E278F">
        <w:t xml:space="preserve"> </w:t>
      </w:r>
      <w:r w:rsidRPr="003E278F" w:rsidR="003E278F">
        <w:t xml:space="preserve">that “OCC’s motion should be denied </w:t>
      </w:r>
      <w:r w:rsidRPr="003E278F" w:rsidR="003E278F">
        <w:rPr>
          <w:u w:val="single"/>
        </w:rPr>
        <w:t>at this time</w:t>
      </w:r>
      <w:r w:rsidRPr="003E278F" w:rsidR="003E278F">
        <w:t xml:space="preserve">.” Accordingly, motions for virtual hearing are handled by the </w:t>
      </w:r>
      <w:r w:rsidR="00C34EC2">
        <w:t>PUCO</w:t>
      </w:r>
      <w:r w:rsidRPr="003E278F" w:rsidR="003E278F">
        <w:t xml:space="preserve"> on a case-by-case basis.</w:t>
      </w:r>
    </w:p>
  </w:footnote>
  <w:footnote w:id="5">
    <w:p w:rsidR="00A047EC" w:rsidP="009E6C67" w14:paraId="6C48BB37" w14:textId="13F503DD">
      <w:pPr>
        <w:pStyle w:val="FootnoteText"/>
        <w:spacing w:after="120"/>
      </w:pPr>
      <w:r>
        <w:rPr>
          <w:rStyle w:val="FootnoteReference"/>
        </w:rPr>
        <w:footnoteRef/>
      </w:r>
      <w:r>
        <w:t xml:space="preserve"> </w:t>
      </w:r>
      <w:r w:rsidR="004665CD">
        <w:rPr>
          <w:i/>
          <w:iCs/>
        </w:rPr>
        <w:t>S</w:t>
      </w:r>
      <w:r w:rsidRPr="004665CD" w:rsidR="004665CD">
        <w:rPr>
          <w:i/>
          <w:iCs/>
        </w:rPr>
        <w:t xml:space="preserve">ee </w:t>
      </w:r>
      <w:r w:rsidRPr="004665CD" w:rsidR="004665CD">
        <w:t>Case Nos. 22-1094-WW-AIR and 22-1096-ST-AIR, PUCO Staff Reports (July 13, 2023)</w:t>
      </w:r>
      <w:r w:rsidR="00F924F1">
        <w:t>.</w:t>
      </w:r>
    </w:p>
  </w:footnote>
  <w:footnote w:id="6">
    <w:p w:rsidR="00A047EC" w:rsidP="009E6C67" w14:paraId="3D432C0F" w14:textId="5290B177">
      <w:pPr>
        <w:pStyle w:val="FootnoteText"/>
        <w:spacing w:after="120"/>
      </w:pPr>
      <w:r>
        <w:rPr>
          <w:rStyle w:val="FootnoteReference"/>
        </w:rPr>
        <w:footnoteRef/>
      </w:r>
      <w:r>
        <w:t xml:space="preserve"> </w:t>
      </w:r>
      <w:r w:rsidRPr="004665CD" w:rsidR="004665CD">
        <w:rPr>
          <w:i/>
          <w:iCs/>
        </w:rPr>
        <w:t xml:space="preserve">See </w:t>
      </w:r>
      <w:r w:rsidRPr="004665CD" w:rsidR="004665CD">
        <w:t>DEO Notice of Intent to File an Application (Sept</w:t>
      </w:r>
      <w:r w:rsidR="00F924F1">
        <w:t>ember</w:t>
      </w:r>
      <w:r w:rsidRPr="004665CD" w:rsidR="004665CD">
        <w:t xml:space="preserve"> 29, 2023) at pp. 10 and 19.</w:t>
      </w:r>
    </w:p>
  </w:footnote>
  <w:footnote w:id="7">
    <w:p w:rsidR="00144842" w14:paraId="6AD143D6" w14:textId="05CE361E">
      <w:pPr>
        <w:pStyle w:val="FootnoteText"/>
      </w:pPr>
      <w:r>
        <w:rPr>
          <w:rStyle w:val="FootnoteReference"/>
        </w:rPr>
        <w:footnoteRef/>
      </w:r>
      <w:r>
        <w:t xml:space="preserve"> Case No. 20-167-EL-RDR, Entry (November 4, 2021) at</w:t>
      </w:r>
      <w:r w:rsidRPr="00AC32F2" w:rsidR="00AC32F2">
        <w:t>¶ 14</w:t>
      </w:r>
      <w:r w:rsidR="00AC32F2">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5F0" w14:paraId="73A3C8B8" w14:textId="77777777">
    <w:pPr>
      <w:pStyle w:val="Header"/>
    </w:pPr>
  </w:p>
  <w:p w:rsidR="002E4849" w14:paraId="626ADEE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5F0" w14:paraId="6B2640F7" w14:textId="77777777">
    <w:pPr>
      <w:pStyle w:val="Header"/>
    </w:pPr>
  </w:p>
  <w:p w:rsidR="002E4849" w14:paraId="059C15A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B4" w14:paraId="7F5A31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9EF2D41"/>
    <w:multiLevelType w:val="multilevel"/>
    <w:tmpl w:val="C708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E85542"/>
    <w:multiLevelType w:val="multilevel"/>
    <w:tmpl w:val="1F84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79A338E2"/>
    <w:multiLevelType w:val="hybridMultilevel"/>
    <w:tmpl w:val="4FFE5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58"/>
    <w:rsid w:val="00003F3C"/>
    <w:rsid w:val="00011796"/>
    <w:rsid w:val="0001537E"/>
    <w:rsid w:val="000159E2"/>
    <w:rsid w:val="00020E0B"/>
    <w:rsid w:val="000320A7"/>
    <w:rsid w:val="00032B2D"/>
    <w:rsid w:val="0003323D"/>
    <w:rsid w:val="000336A8"/>
    <w:rsid w:val="00041EFA"/>
    <w:rsid w:val="00043C23"/>
    <w:rsid w:val="00045A92"/>
    <w:rsid w:val="000469FD"/>
    <w:rsid w:val="000671F8"/>
    <w:rsid w:val="00072120"/>
    <w:rsid w:val="000830DB"/>
    <w:rsid w:val="00083800"/>
    <w:rsid w:val="000A4FB0"/>
    <w:rsid w:val="000B1982"/>
    <w:rsid w:val="000C0653"/>
    <w:rsid w:val="000C0F5D"/>
    <w:rsid w:val="000C7951"/>
    <w:rsid w:val="000D1D58"/>
    <w:rsid w:val="000D45A4"/>
    <w:rsid w:val="000E34FF"/>
    <w:rsid w:val="000F0654"/>
    <w:rsid w:val="000F2669"/>
    <w:rsid w:val="0010266C"/>
    <w:rsid w:val="00104D37"/>
    <w:rsid w:val="001222D0"/>
    <w:rsid w:val="0012303E"/>
    <w:rsid w:val="0012499B"/>
    <w:rsid w:val="001324D6"/>
    <w:rsid w:val="00137D04"/>
    <w:rsid w:val="001410F0"/>
    <w:rsid w:val="00144842"/>
    <w:rsid w:val="0014534B"/>
    <w:rsid w:val="00160E78"/>
    <w:rsid w:val="001611FC"/>
    <w:rsid w:val="00167265"/>
    <w:rsid w:val="00171048"/>
    <w:rsid w:val="00171889"/>
    <w:rsid w:val="00177519"/>
    <w:rsid w:val="00182CC4"/>
    <w:rsid w:val="00192220"/>
    <w:rsid w:val="0019413F"/>
    <w:rsid w:val="001A04E6"/>
    <w:rsid w:val="001A5325"/>
    <w:rsid w:val="001B2C4D"/>
    <w:rsid w:val="001B3524"/>
    <w:rsid w:val="001B406E"/>
    <w:rsid w:val="001B4DE6"/>
    <w:rsid w:val="001B55EE"/>
    <w:rsid w:val="001B683C"/>
    <w:rsid w:val="001B70A6"/>
    <w:rsid w:val="001C5BFB"/>
    <w:rsid w:val="001D1E49"/>
    <w:rsid w:val="001D1EC9"/>
    <w:rsid w:val="001F0898"/>
    <w:rsid w:val="001F1E16"/>
    <w:rsid w:val="001F754A"/>
    <w:rsid w:val="002018E3"/>
    <w:rsid w:val="00201F25"/>
    <w:rsid w:val="002024C5"/>
    <w:rsid w:val="002130A4"/>
    <w:rsid w:val="00214035"/>
    <w:rsid w:val="0021481A"/>
    <w:rsid w:val="00215046"/>
    <w:rsid w:val="00215CB2"/>
    <w:rsid w:val="00215D0C"/>
    <w:rsid w:val="002304D7"/>
    <w:rsid w:val="002336CF"/>
    <w:rsid w:val="00240539"/>
    <w:rsid w:val="002415F9"/>
    <w:rsid w:val="00243282"/>
    <w:rsid w:val="00245E1D"/>
    <w:rsid w:val="00250455"/>
    <w:rsid w:val="002644DD"/>
    <w:rsid w:val="002733E6"/>
    <w:rsid w:val="00274C22"/>
    <w:rsid w:val="0027728E"/>
    <w:rsid w:val="00282B56"/>
    <w:rsid w:val="002A749A"/>
    <w:rsid w:val="002C550F"/>
    <w:rsid w:val="002C7265"/>
    <w:rsid w:val="002C7471"/>
    <w:rsid w:val="002D2474"/>
    <w:rsid w:val="002D270E"/>
    <w:rsid w:val="002E35B9"/>
    <w:rsid w:val="002E4816"/>
    <w:rsid w:val="002E4849"/>
    <w:rsid w:val="002F144B"/>
    <w:rsid w:val="002F23D5"/>
    <w:rsid w:val="002F2D2D"/>
    <w:rsid w:val="002F72C4"/>
    <w:rsid w:val="00304554"/>
    <w:rsid w:val="0030568E"/>
    <w:rsid w:val="0031242C"/>
    <w:rsid w:val="00317647"/>
    <w:rsid w:val="003275A9"/>
    <w:rsid w:val="0033132F"/>
    <w:rsid w:val="0033422C"/>
    <w:rsid w:val="00334EC4"/>
    <w:rsid w:val="00350D3F"/>
    <w:rsid w:val="003513EB"/>
    <w:rsid w:val="00352B28"/>
    <w:rsid w:val="00353E32"/>
    <w:rsid w:val="0036250E"/>
    <w:rsid w:val="00373347"/>
    <w:rsid w:val="0039172C"/>
    <w:rsid w:val="003A2B03"/>
    <w:rsid w:val="003D3E39"/>
    <w:rsid w:val="003D5255"/>
    <w:rsid w:val="003D5EC5"/>
    <w:rsid w:val="003D6175"/>
    <w:rsid w:val="003E278F"/>
    <w:rsid w:val="003F5368"/>
    <w:rsid w:val="003F7876"/>
    <w:rsid w:val="00415210"/>
    <w:rsid w:val="0042697F"/>
    <w:rsid w:val="00432E81"/>
    <w:rsid w:val="004351B6"/>
    <w:rsid w:val="00435D0D"/>
    <w:rsid w:val="00440EAB"/>
    <w:rsid w:val="00442AB8"/>
    <w:rsid w:val="0044748B"/>
    <w:rsid w:val="00450797"/>
    <w:rsid w:val="00451E18"/>
    <w:rsid w:val="00457A68"/>
    <w:rsid w:val="00460D90"/>
    <w:rsid w:val="00460DE5"/>
    <w:rsid w:val="004665CD"/>
    <w:rsid w:val="00467732"/>
    <w:rsid w:val="00467DF7"/>
    <w:rsid w:val="00476C16"/>
    <w:rsid w:val="004840D1"/>
    <w:rsid w:val="0049162E"/>
    <w:rsid w:val="00493097"/>
    <w:rsid w:val="004B0377"/>
    <w:rsid w:val="004B3876"/>
    <w:rsid w:val="004B49FB"/>
    <w:rsid w:val="004C3EBD"/>
    <w:rsid w:val="004C67D5"/>
    <w:rsid w:val="004D1F96"/>
    <w:rsid w:val="004E6F0E"/>
    <w:rsid w:val="004F52EA"/>
    <w:rsid w:val="005008E9"/>
    <w:rsid w:val="0050593D"/>
    <w:rsid w:val="00522E94"/>
    <w:rsid w:val="005413FE"/>
    <w:rsid w:val="00546971"/>
    <w:rsid w:val="0055097B"/>
    <w:rsid w:val="00553879"/>
    <w:rsid w:val="00572055"/>
    <w:rsid w:val="005806CA"/>
    <w:rsid w:val="00580C7C"/>
    <w:rsid w:val="00584B15"/>
    <w:rsid w:val="005909FC"/>
    <w:rsid w:val="00592142"/>
    <w:rsid w:val="00596745"/>
    <w:rsid w:val="005A1B2F"/>
    <w:rsid w:val="005A44D5"/>
    <w:rsid w:val="005A4973"/>
    <w:rsid w:val="005A4A50"/>
    <w:rsid w:val="005A57D6"/>
    <w:rsid w:val="005B390F"/>
    <w:rsid w:val="005C1363"/>
    <w:rsid w:val="005D66C2"/>
    <w:rsid w:val="005E0ADF"/>
    <w:rsid w:val="005E7DD3"/>
    <w:rsid w:val="00602B88"/>
    <w:rsid w:val="006150C9"/>
    <w:rsid w:val="0061687B"/>
    <w:rsid w:val="00622B5C"/>
    <w:rsid w:val="00624291"/>
    <w:rsid w:val="00632551"/>
    <w:rsid w:val="00632C6D"/>
    <w:rsid w:val="006331E8"/>
    <w:rsid w:val="0063513F"/>
    <w:rsid w:val="00642913"/>
    <w:rsid w:val="00647425"/>
    <w:rsid w:val="00650A41"/>
    <w:rsid w:val="00662816"/>
    <w:rsid w:val="00663EC5"/>
    <w:rsid w:val="0066607A"/>
    <w:rsid w:val="006669A4"/>
    <w:rsid w:val="0066748D"/>
    <w:rsid w:val="00674B27"/>
    <w:rsid w:val="00675467"/>
    <w:rsid w:val="006815F0"/>
    <w:rsid w:val="00687FA2"/>
    <w:rsid w:val="006A1731"/>
    <w:rsid w:val="006A31F2"/>
    <w:rsid w:val="006C03FF"/>
    <w:rsid w:val="006C4BA3"/>
    <w:rsid w:val="006D3929"/>
    <w:rsid w:val="006E71FC"/>
    <w:rsid w:val="006E755E"/>
    <w:rsid w:val="006F00ED"/>
    <w:rsid w:val="00701CBC"/>
    <w:rsid w:val="0071050F"/>
    <w:rsid w:val="00710C6A"/>
    <w:rsid w:val="0073688C"/>
    <w:rsid w:val="00743156"/>
    <w:rsid w:val="00745BE0"/>
    <w:rsid w:val="00747B1B"/>
    <w:rsid w:val="00751EEA"/>
    <w:rsid w:val="00753C4F"/>
    <w:rsid w:val="00756327"/>
    <w:rsid w:val="007571DD"/>
    <w:rsid w:val="00763DAE"/>
    <w:rsid w:val="00763E0E"/>
    <w:rsid w:val="00772D6F"/>
    <w:rsid w:val="00773157"/>
    <w:rsid w:val="0077639A"/>
    <w:rsid w:val="007771EE"/>
    <w:rsid w:val="0078504C"/>
    <w:rsid w:val="007874D3"/>
    <w:rsid w:val="007A1AEC"/>
    <w:rsid w:val="007A2735"/>
    <w:rsid w:val="007A3C04"/>
    <w:rsid w:val="007A409F"/>
    <w:rsid w:val="007B3DAD"/>
    <w:rsid w:val="007C349B"/>
    <w:rsid w:val="007D009D"/>
    <w:rsid w:val="007D1B1B"/>
    <w:rsid w:val="007D2070"/>
    <w:rsid w:val="007D2ADB"/>
    <w:rsid w:val="007D30C6"/>
    <w:rsid w:val="007E3554"/>
    <w:rsid w:val="007E6C15"/>
    <w:rsid w:val="00822F05"/>
    <w:rsid w:val="00824D53"/>
    <w:rsid w:val="00840CAF"/>
    <w:rsid w:val="0084358C"/>
    <w:rsid w:val="00850286"/>
    <w:rsid w:val="00861B84"/>
    <w:rsid w:val="00867B5E"/>
    <w:rsid w:val="00886D62"/>
    <w:rsid w:val="008916C8"/>
    <w:rsid w:val="00891BAB"/>
    <w:rsid w:val="00893678"/>
    <w:rsid w:val="008A4518"/>
    <w:rsid w:val="008A5E78"/>
    <w:rsid w:val="008A6793"/>
    <w:rsid w:val="008A690C"/>
    <w:rsid w:val="008B413D"/>
    <w:rsid w:val="008C01FF"/>
    <w:rsid w:val="008C3302"/>
    <w:rsid w:val="008F44F9"/>
    <w:rsid w:val="00900102"/>
    <w:rsid w:val="00901B36"/>
    <w:rsid w:val="009066DC"/>
    <w:rsid w:val="00910F2E"/>
    <w:rsid w:val="0092691E"/>
    <w:rsid w:val="00930D0F"/>
    <w:rsid w:val="009418A1"/>
    <w:rsid w:val="00946CD9"/>
    <w:rsid w:val="009536CC"/>
    <w:rsid w:val="009556D4"/>
    <w:rsid w:val="0096270E"/>
    <w:rsid w:val="00971AFE"/>
    <w:rsid w:val="00971F68"/>
    <w:rsid w:val="00980E3E"/>
    <w:rsid w:val="009834F7"/>
    <w:rsid w:val="00994E44"/>
    <w:rsid w:val="009A1EA2"/>
    <w:rsid w:val="009C5998"/>
    <w:rsid w:val="009C6218"/>
    <w:rsid w:val="009C6AEF"/>
    <w:rsid w:val="009D37EA"/>
    <w:rsid w:val="009E6188"/>
    <w:rsid w:val="009E6C67"/>
    <w:rsid w:val="009F7175"/>
    <w:rsid w:val="00A044B5"/>
    <w:rsid w:val="00A047EC"/>
    <w:rsid w:val="00A07681"/>
    <w:rsid w:val="00A17B9E"/>
    <w:rsid w:val="00A203D2"/>
    <w:rsid w:val="00A22AD3"/>
    <w:rsid w:val="00A25005"/>
    <w:rsid w:val="00A32CAB"/>
    <w:rsid w:val="00A4449A"/>
    <w:rsid w:val="00A516E8"/>
    <w:rsid w:val="00A616E2"/>
    <w:rsid w:val="00A725F2"/>
    <w:rsid w:val="00A7347E"/>
    <w:rsid w:val="00A803B1"/>
    <w:rsid w:val="00A931E1"/>
    <w:rsid w:val="00AA0BEA"/>
    <w:rsid w:val="00AA595E"/>
    <w:rsid w:val="00AC0A32"/>
    <w:rsid w:val="00AC0E6A"/>
    <w:rsid w:val="00AC1845"/>
    <w:rsid w:val="00AC32F2"/>
    <w:rsid w:val="00AD6EE5"/>
    <w:rsid w:val="00AF178D"/>
    <w:rsid w:val="00AF57F7"/>
    <w:rsid w:val="00AF61FF"/>
    <w:rsid w:val="00B00FB3"/>
    <w:rsid w:val="00B02600"/>
    <w:rsid w:val="00B0483A"/>
    <w:rsid w:val="00B12B8F"/>
    <w:rsid w:val="00B159F9"/>
    <w:rsid w:val="00B23790"/>
    <w:rsid w:val="00B32766"/>
    <w:rsid w:val="00B41A0C"/>
    <w:rsid w:val="00B42497"/>
    <w:rsid w:val="00B4258A"/>
    <w:rsid w:val="00B52E31"/>
    <w:rsid w:val="00B57478"/>
    <w:rsid w:val="00B72F96"/>
    <w:rsid w:val="00B81E54"/>
    <w:rsid w:val="00B9255C"/>
    <w:rsid w:val="00BA2FD4"/>
    <w:rsid w:val="00BB2EA9"/>
    <w:rsid w:val="00BB5424"/>
    <w:rsid w:val="00BC424D"/>
    <w:rsid w:val="00BC7C6F"/>
    <w:rsid w:val="00BF0451"/>
    <w:rsid w:val="00BF09D0"/>
    <w:rsid w:val="00BF109F"/>
    <w:rsid w:val="00BF3CC9"/>
    <w:rsid w:val="00BF466B"/>
    <w:rsid w:val="00BF6270"/>
    <w:rsid w:val="00C02C94"/>
    <w:rsid w:val="00C07CD7"/>
    <w:rsid w:val="00C13EED"/>
    <w:rsid w:val="00C25AEB"/>
    <w:rsid w:val="00C3073B"/>
    <w:rsid w:val="00C32F1F"/>
    <w:rsid w:val="00C34EC2"/>
    <w:rsid w:val="00C45F73"/>
    <w:rsid w:val="00C50913"/>
    <w:rsid w:val="00C509CA"/>
    <w:rsid w:val="00C55FC8"/>
    <w:rsid w:val="00C6075E"/>
    <w:rsid w:val="00C65600"/>
    <w:rsid w:val="00C66263"/>
    <w:rsid w:val="00C73574"/>
    <w:rsid w:val="00C77E11"/>
    <w:rsid w:val="00C82222"/>
    <w:rsid w:val="00C92BF4"/>
    <w:rsid w:val="00C95EA3"/>
    <w:rsid w:val="00CA4785"/>
    <w:rsid w:val="00CB2AD6"/>
    <w:rsid w:val="00CB62B6"/>
    <w:rsid w:val="00CC0981"/>
    <w:rsid w:val="00CC5E58"/>
    <w:rsid w:val="00CD2C28"/>
    <w:rsid w:val="00CD3477"/>
    <w:rsid w:val="00CF537C"/>
    <w:rsid w:val="00D04E17"/>
    <w:rsid w:val="00D11863"/>
    <w:rsid w:val="00D121E3"/>
    <w:rsid w:val="00D126C8"/>
    <w:rsid w:val="00D15185"/>
    <w:rsid w:val="00D16CDA"/>
    <w:rsid w:val="00D24D29"/>
    <w:rsid w:val="00D27178"/>
    <w:rsid w:val="00D37402"/>
    <w:rsid w:val="00D418D9"/>
    <w:rsid w:val="00D41AB5"/>
    <w:rsid w:val="00D50986"/>
    <w:rsid w:val="00D5207F"/>
    <w:rsid w:val="00D5683B"/>
    <w:rsid w:val="00D57FA9"/>
    <w:rsid w:val="00D715D5"/>
    <w:rsid w:val="00D71A7D"/>
    <w:rsid w:val="00D74FF1"/>
    <w:rsid w:val="00D76111"/>
    <w:rsid w:val="00D8075B"/>
    <w:rsid w:val="00D86B27"/>
    <w:rsid w:val="00D96402"/>
    <w:rsid w:val="00D9752F"/>
    <w:rsid w:val="00DA5859"/>
    <w:rsid w:val="00DB4451"/>
    <w:rsid w:val="00DB464E"/>
    <w:rsid w:val="00DB4E6C"/>
    <w:rsid w:val="00DD53A2"/>
    <w:rsid w:val="00DD5D21"/>
    <w:rsid w:val="00DE068E"/>
    <w:rsid w:val="00DE7EFA"/>
    <w:rsid w:val="00DF5CD5"/>
    <w:rsid w:val="00E07E49"/>
    <w:rsid w:val="00E10494"/>
    <w:rsid w:val="00E16F93"/>
    <w:rsid w:val="00E50E53"/>
    <w:rsid w:val="00E5361C"/>
    <w:rsid w:val="00E567EE"/>
    <w:rsid w:val="00E6701B"/>
    <w:rsid w:val="00E71D00"/>
    <w:rsid w:val="00E77743"/>
    <w:rsid w:val="00E82C03"/>
    <w:rsid w:val="00E82F08"/>
    <w:rsid w:val="00E90AB3"/>
    <w:rsid w:val="00E94266"/>
    <w:rsid w:val="00EA1FC7"/>
    <w:rsid w:val="00EB1BD2"/>
    <w:rsid w:val="00EB3129"/>
    <w:rsid w:val="00EB44A2"/>
    <w:rsid w:val="00EB754C"/>
    <w:rsid w:val="00EC35F8"/>
    <w:rsid w:val="00EC66A0"/>
    <w:rsid w:val="00ED2AA8"/>
    <w:rsid w:val="00EF6331"/>
    <w:rsid w:val="00F00274"/>
    <w:rsid w:val="00F02D5E"/>
    <w:rsid w:val="00F02F44"/>
    <w:rsid w:val="00F12BA9"/>
    <w:rsid w:val="00F135A3"/>
    <w:rsid w:val="00F14154"/>
    <w:rsid w:val="00F15499"/>
    <w:rsid w:val="00F21B7D"/>
    <w:rsid w:val="00F312B7"/>
    <w:rsid w:val="00F3578F"/>
    <w:rsid w:val="00F43475"/>
    <w:rsid w:val="00F45119"/>
    <w:rsid w:val="00F50780"/>
    <w:rsid w:val="00F52EDD"/>
    <w:rsid w:val="00F57BDF"/>
    <w:rsid w:val="00F61957"/>
    <w:rsid w:val="00F61EFE"/>
    <w:rsid w:val="00F62D9F"/>
    <w:rsid w:val="00F74B99"/>
    <w:rsid w:val="00F775BD"/>
    <w:rsid w:val="00F83FB3"/>
    <w:rsid w:val="00F84A20"/>
    <w:rsid w:val="00F924F1"/>
    <w:rsid w:val="00F96CE8"/>
    <w:rsid w:val="00F97269"/>
    <w:rsid w:val="00F979C2"/>
    <w:rsid w:val="00FB563B"/>
    <w:rsid w:val="00FB6B6C"/>
    <w:rsid w:val="00FC2330"/>
    <w:rsid w:val="00FC7FF3"/>
    <w:rsid w:val="00FD20B8"/>
    <w:rsid w:val="00FD55F5"/>
    <w:rsid w:val="00FD70F6"/>
    <w:rsid w:val="00FE05A8"/>
    <w:rsid w:val="00FE2459"/>
    <w:rsid w:val="00FE7F0A"/>
    <w:rsid w:val="00FF1A50"/>
    <w:rsid w:val="00FF44B4"/>
    <w:rsid w:val="00FF53DC"/>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BDD38A3"/>
  <w15:docId w15:val="{197116CF-2AFF-4E35-8DEA-C51CDDAC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E6"/>
    <w:rPr>
      <w:sz w:val="24"/>
    </w:rPr>
  </w:style>
  <w:style w:type="paragraph" w:styleId="Heading1">
    <w:name w:val="heading 1"/>
    <w:basedOn w:val="Normal"/>
    <w:next w:val="Normal"/>
    <w:link w:val="Heading1Char"/>
    <w:qFormat/>
    <w:rsid w:val="00A047EC"/>
    <w:pPr>
      <w:spacing w:after="240"/>
      <w:ind w:left="720" w:hanging="720"/>
      <w:outlineLvl w:val="0"/>
    </w:pPr>
    <w:rPr>
      <w:b/>
      <w:bCs/>
      <w:szCs w:val="24"/>
    </w:rPr>
  </w:style>
  <w:style w:type="paragraph" w:styleId="Heading2">
    <w:name w:val="heading 2"/>
    <w:basedOn w:val="Heading1"/>
    <w:next w:val="Normal"/>
    <w:qFormat/>
    <w:rsid w:val="0001537E"/>
    <w:pPr>
      <w:ind w:left="1440"/>
      <w:outlineLvl w:val="1"/>
    </w:p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2">
    <w:name w:val="Unresolved Mention2"/>
    <w:basedOn w:val="DefaultParagraphFont"/>
    <w:rsid w:val="005A4A50"/>
    <w:rPr>
      <w:color w:val="605E5C"/>
      <w:shd w:val="clear" w:color="auto" w:fill="E1DFDD"/>
    </w:rPr>
  </w:style>
  <w:style w:type="character" w:customStyle="1" w:styleId="Heading1Char">
    <w:name w:val="Heading 1 Char"/>
    <w:basedOn w:val="DefaultParagraphFont"/>
    <w:link w:val="Heading1"/>
    <w:rsid w:val="00A047EC"/>
    <w:rPr>
      <w:b/>
      <w:bCs/>
      <w:sz w:val="24"/>
      <w:szCs w:val="24"/>
    </w:rPr>
  </w:style>
  <w:style w:type="character" w:customStyle="1" w:styleId="BodyTextIndent3Char">
    <w:name w:val="Body Text Indent 3 Char"/>
    <w:basedOn w:val="DefaultParagraphFont"/>
    <w:link w:val="BodyTextIndent3"/>
    <w:rsid w:val="00020E0B"/>
    <w:rPr>
      <w:sz w:val="24"/>
    </w:rPr>
  </w:style>
  <w:style w:type="character" w:customStyle="1" w:styleId="HTMLPreformattedChar">
    <w:name w:val="HTML Preformatted Char"/>
    <w:basedOn w:val="DefaultParagraphFont"/>
    <w:link w:val="HTMLPreformatted"/>
    <w:rsid w:val="00243282"/>
    <w:rPr>
      <w:rFonts w:ascii="Courier New" w:eastAsia="Courier New" w:hAnsi="Courier New" w:cs="Courier New"/>
    </w:rPr>
  </w:style>
  <w:style w:type="character" w:customStyle="1" w:styleId="UnresolvedMention3">
    <w:name w:val="Unresolved Mention3"/>
    <w:basedOn w:val="DefaultParagraphFont"/>
    <w:rsid w:val="00D24D29"/>
    <w:rPr>
      <w:color w:val="605E5C"/>
      <w:shd w:val="clear" w:color="auto" w:fill="E1DFDD"/>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locked/>
    <w:rsid w:val="00A32CAB"/>
  </w:style>
  <w:style w:type="paragraph" w:styleId="Revision">
    <w:name w:val="Revision"/>
    <w:hidden/>
    <w:uiPriority w:val="99"/>
    <w:semiHidden/>
    <w:rsid w:val="00861B84"/>
    <w:rPr>
      <w:sz w:val="24"/>
    </w:rPr>
  </w:style>
  <w:style w:type="character" w:customStyle="1" w:styleId="UnresolvedMention4">
    <w:name w:val="Unresolved Mention4"/>
    <w:basedOn w:val="DefaultParagraphFont"/>
    <w:rsid w:val="00A725F2"/>
    <w:rPr>
      <w:color w:val="605E5C"/>
      <w:shd w:val="clear" w:color="auto" w:fill="E1DFDD"/>
    </w:rPr>
  </w:style>
  <w:style w:type="character" w:customStyle="1" w:styleId="FootnoteTextChar1">
    <w:name w:val="Footnote Text Char1"/>
    <w:aliases w:val="Footnote Text Cha Char1,Footnote Text Char Char4 Char Char1,Footnote Text Char Char4 Char1 Char Char Char1,Footnote Text Char2 Char1,Footnote Text Char4 Char Char1,Footnote Text Char4 Char1 Char Char Char1"/>
    <w:basedOn w:val="DefaultParagraphFont"/>
    <w:uiPriority w:val="99"/>
    <w:rsid w:val="00FF53DC"/>
    <w:rPr>
      <w:sz w:val="20"/>
      <w:szCs w:val="20"/>
    </w:rPr>
  </w:style>
  <w:style w:type="character" w:customStyle="1" w:styleId="UnresolvedMention5">
    <w:name w:val="Unresolved Mention5"/>
    <w:basedOn w:val="DefaultParagraphFont"/>
    <w:rsid w:val="0012499B"/>
    <w:rPr>
      <w:color w:val="605E5C"/>
      <w:shd w:val="clear" w:color="auto" w:fill="E1DFDD"/>
    </w:rPr>
  </w:style>
  <w:style w:type="character" w:customStyle="1" w:styleId="BodyTextChar">
    <w:name w:val="Body Text Char"/>
    <w:basedOn w:val="DefaultParagraphFont"/>
    <w:link w:val="BodyText"/>
    <w:rsid w:val="001B4DE6"/>
    <w:rPr>
      <w:sz w:val="24"/>
    </w:rPr>
  </w:style>
  <w:style w:type="character" w:customStyle="1" w:styleId="UnresolvedMention">
    <w:name w:val="Unresolved Mention"/>
    <w:basedOn w:val="DefaultParagraphFont"/>
    <w:rsid w:val="0012303E"/>
    <w:rPr>
      <w:color w:val="605E5C"/>
      <w:shd w:val="clear" w:color="auto" w:fill="E1DFDD"/>
    </w:rPr>
  </w:style>
  <w:style w:type="paragraph" w:styleId="ListParagraph">
    <w:name w:val="List Paragraph"/>
    <w:basedOn w:val="Normal"/>
    <w:uiPriority w:val="34"/>
    <w:qFormat/>
    <w:rsid w:val="003E278F"/>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jagers@ohiopovertylaw.org" TargetMode="External" /><Relationship Id="rId11" Type="http://schemas.openxmlformats.org/officeDocument/2006/relationships/hyperlink" Target="mailto:ashley.wnek@ohioAGO.gov" TargetMode="External" /><Relationship Id="rId12" Type="http://schemas.openxmlformats.org/officeDocument/2006/relationships/hyperlink" Target="mailto:amy.botschnerobrien@ohioAGO.gov" TargetMode="External" /><Relationship Id="rId13" Type="http://schemas.openxmlformats.org/officeDocument/2006/relationships/hyperlink" Target="mailto:Bojko@carpenterlipps.com" TargetMode="External" /><Relationship Id="rId14" Type="http://schemas.openxmlformats.org/officeDocument/2006/relationships/hyperlink" Target="mailto:Easley@carpenterlipps.com" TargetMode="External" /><Relationship Id="rId15" Type="http://schemas.openxmlformats.org/officeDocument/2006/relationships/hyperlink" Target="mailto:Gregory.price@puco.ohio.gov" TargetMode="External" /><Relationship Id="rId16" Type="http://schemas.openxmlformats.org/officeDocument/2006/relationships/hyperlink" Target="mailto:clint.white@puco.ohio.gov" TargetMode="External" /><Relationship Id="rId17" Type="http://schemas.openxmlformats.org/officeDocument/2006/relationships/hyperlink" Target="mailto:kennedy@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hyperlink" Target="mailto:demonte@whitt-sturtevant.com" TargetMode="External" /><Relationship Id="rId2" Type="http://schemas.openxmlformats.org/officeDocument/2006/relationships/settings" Target="settings.xml" /><Relationship Id="rId20" Type="http://schemas.openxmlformats.org/officeDocument/2006/relationships/hyperlink" Target="mailto:mbarbara@calfee.com" TargetMode="External" /><Relationship Id="rId21" Type="http://schemas.openxmlformats.org/officeDocument/2006/relationships/hyperlink" Target="mailto:tgallagher@fgplaborlaw.com" TargetMode="External" /><Relationship Id="rId22" Type="http://schemas.openxmlformats.org/officeDocument/2006/relationships/hyperlink" Target="mailto:michael.nugent@igs.com" TargetMode="External" /><Relationship Id="rId23" Type="http://schemas.openxmlformats.org/officeDocument/2006/relationships/hyperlink" Target="mailto:stacie.cathcart@igs.com" TargetMode="External" /><Relationship Id="rId24" Type="http://schemas.openxmlformats.org/officeDocument/2006/relationships/hyperlink" Target="mailto:jlang@calfee.com" TargetMode="External" /><Relationship Id="rId25" Type="http://schemas.openxmlformats.org/officeDocument/2006/relationships/hyperlink" Target="mailto:dproano@bakerlaw.com" TargetMode="External" /><Relationship Id="rId26" Type="http://schemas.openxmlformats.org/officeDocument/2006/relationships/hyperlink" Target="mailto:pwillison@bakerlaw.com" TargetMode="External" /><Relationship Id="rId27" Type="http://schemas.openxmlformats.org/officeDocument/2006/relationships/hyperlink" Target="mailto:whitt@whitt-sturtevant.com" TargetMode="External" /><Relationship Id="rId28" Type="http://schemas.openxmlformats.org/officeDocument/2006/relationships/hyperlink" Target="mailto:mcurrie@ablelaw.org" TargetMode="External" /><Relationship Id="rId29" Type="http://schemas.openxmlformats.org/officeDocument/2006/relationships/header" Target="header1.xml" /><Relationship Id="rId3" Type="http://schemas.openxmlformats.org/officeDocument/2006/relationships/webSettings" Target="webSettings.xml" /><Relationship Id="rId30" Type="http://schemas.openxmlformats.org/officeDocument/2006/relationships/header" Target="header2.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header" Target="header3.xml" /><Relationship Id="rId34" Type="http://schemas.openxmlformats.org/officeDocument/2006/relationships/footer" Target="footer3.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robert.eubanks@occ.ohio.gov" TargetMode="External" /><Relationship Id="rId7" Type="http://schemas.openxmlformats.org/officeDocument/2006/relationships/hyperlink" Target="mailto:donald.kral@occ.ohio.gov" TargetMode="External" /><Relationship Id="rId8" Type="http://schemas.openxmlformats.org/officeDocument/2006/relationships/hyperlink" Target="mailto:thomas.brodbeck@occ.ohio.gov" TargetMode="External" /><Relationship Id="rId9" Type="http://schemas.openxmlformats.org/officeDocument/2006/relationships/hyperlink" Target="mailto:smoes@lascin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4E97-60BA-40AC-A906-5ECEDCA5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2023-12-29T20:54:37Z</dcterms:created>
  <dcterms:modified xsi:type="dcterms:W3CDTF">2023-12-29T20:54:37Z</dcterms:modified>
</cp:coreProperties>
</file>