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Before the</w:t>
      </w:r>
    </w:p>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Federal Communications Commission</w:t>
      </w:r>
    </w:p>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Washington, D.C.  20554</w:t>
      </w:r>
    </w:p>
    <w:p w:rsidR="00E6762B" w:rsidRDefault="00E6762B" w:rsidP="00E6762B">
      <w:pPr>
        <w:spacing w:after="0" w:line="240" w:lineRule="auto"/>
        <w:rPr>
          <w:rFonts w:ascii="Times New Roman" w:hAnsi="Times New Roman"/>
          <w:b/>
          <w:sz w:val="26"/>
          <w:szCs w:val="26"/>
        </w:rPr>
      </w:pPr>
    </w:p>
    <w:p w:rsidR="00E6762B" w:rsidRDefault="00E6762B" w:rsidP="00E6762B">
      <w:pPr>
        <w:spacing w:after="0" w:line="240" w:lineRule="auto"/>
        <w:rPr>
          <w:rFonts w:ascii="Times New Roman" w:hAnsi="Times New Roman"/>
          <w:b/>
          <w:sz w:val="26"/>
          <w:szCs w:val="26"/>
        </w:rPr>
      </w:pPr>
    </w:p>
    <w:tbl>
      <w:tblPr>
        <w:tblW w:w="0" w:type="auto"/>
        <w:tblLook w:val="04A0" w:firstRow="1" w:lastRow="0" w:firstColumn="1" w:lastColumn="0" w:noHBand="0" w:noVBand="1"/>
      </w:tblPr>
      <w:tblGrid>
        <w:gridCol w:w="4779"/>
        <w:gridCol w:w="289"/>
        <w:gridCol w:w="4508"/>
      </w:tblGrid>
      <w:tr w:rsidR="00E6762B" w:rsidRPr="0047191D" w:rsidTr="0047191D">
        <w:tc>
          <w:tcPr>
            <w:tcW w:w="4788" w:type="dxa"/>
          </w:tcPr>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In the Matter of</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Connect America Fund</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 xml:space="preserve"> A National Broadband Plan for Our Future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Establishing Just and Reasonable Rates</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for Local Exchange Carriers</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High-Cost universal Service Support</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Developing a Unified Intercarrier</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Compensation Regime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Federal-State Joint Board on Universal</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Service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Lifeline and Link-Up</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Universal Service Reform – Mobility Fund</w:t>
            </w:r>
          </w:p>
        </w:tc>
        <w:tc>
          <w:tcPr>
            <w:tcW w:w="270" w:type="dxa"/>
          </w:tcPr>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r w:rsidRPr="0047191D">
              <w:rPr>
                <w:rFonts w:ascii="Times New Roman" w:hAnsi="Times New Roman"/>
                <w:sz w:val="26"/>
                <w:szCs w:val="26"/>
              </w:rPr>
              <w:b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tc>
        <w:tc>
          <w:tcPr>
            <w:tcW w:w="4518" w:type="dxa"/>
          </w:tcPr>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10-90</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GN Docket No. 09-51</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07-135</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05-337</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CC Docket No. 01-92</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CC Docket No. 96-45</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03-109</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Docket No. 10-208</w:t>
            </w:r>
          </w:p>
          <w:p w:rsidR="00E6762B" w:rsidRPr="0047191D" w:rsidRDefault="00E6762B" w:rsidP="0047191D">
            <w:pPr>
              <w:spacing w:after="0" w:line="240" w:lineRule="auto"/>
              <w:rPr>
                <w:rFonts w:ascii="Times New Roman" w:hAnsi="Times New Roman"/>
                <w:sz w:val="26"/>
                <w:szCs w:val="26"/>
              </w:rPr>
            </w:pPr>
          </w:p>
        </w:tc>
      </w:tr>
    </w:tbl>
    <w:p w:rsidR="00E6762B" w:rsidRDefault="00E6762B" w:rsidP="00E6762B">
      <w:pPr>
        <w:tabs>
          <w:tab w:val="left" w:pos="4770"/>
        </w:tabs>
        <w:spacing w:after="0" w:line="240" w:lineRule="auto"/>
        <w:rPr>
          <w:rFonts w:ascii="Times New Roman" w:hAnsi="Times New Roman"/>
          <w:sz w:val="26"/>
          <w:szCs w:val="26"/>
        </w:rPr>
      </w:pPr>
    </w:p>
    <w:p w:rsidR="00E6762B" w:rsidRDefault="00E6762B" w:rsidP="00E6762B">
      <w:pPr>
        <w:tabs>
          <w:tab w:val="left" w:pos="9360"/>
        </w:tabs>
        <w:spacing w:after="240" w:line="240" w:lineRule="auto"/>
        <w:rPr>
          <w:rFonts w:ascii="Times New Roman" w:hAnsi="Times New Roman"/>
          <w:b/>
          <w:sz w:val="26"/>
          <w:szCs w:val="26"/>
          <w:u w:val="single"/>
        </w:rPr>
      </w:pPr>
      <w:r>
        <w:rPr>
          <w:rFonts w:ascii="Times New Roman" w:hAnsi="Times New Roman"/>
          <w:b/>
          <w:sz w:val="26"/>
          <w:szCs w:val="26"/>
          <w:u w:val="single"/>
        </w:rPr>
        <w:tab/>
      </w:r>
    </w:p>
    <w:p w:rsidR="00E6762B" w:rsidRDefault="00E6762B" w:rsidP="00E6762B">
      <w:pPr>
        <w:tabs>
          <w:tab w:val="left" w:pos="4770"/>
          <w:tab w:val="left" w:pos="8640"/>
        </w:tabs>
        <w:spacing w:after="0" w:line="240" w:lineRule="auto"/>
        <w:ind w:left="720" w:hanging="720"/>
        <w:jc w:val="center"/>
        <w:rPr>
          <w:rFonts w:ascii="Times New Roman" w:hAnsi="Times New Roman"/>
          <w:b/>
          <w:sz w:val="32"/>
          <w:szCs w:val="32"/>
        </w:rPr>
      </w:pPr>
      <w:r>
        <w:rPr>
          <w:rFonts w:ascii="Times New Roman" w:hAnsi="Times New Roman"/>
          <w:b/>
          <w:sz w:val="32"/>
          <w:szCs w:val="32"/>
        </w:rPr>
        <w:t xml:space="preserve">COMMENTS </w:t>
      </w:r>
    </w:p>
    <w:p w:rsidR="00E6762B" w:rsidRDefault="00E6762B" w:rsidP="00E6762B">
      <w:pPr>
        <w:tabs>
          <w:tab w:val="left" w:pos="4770"/>
          <w:tab w:val="left" w:pos="8640"/>
        </w:tabs>
        <w:spacing w:after="0" w:line="240" w:lineRule="auto"/>
        <w:ind w:left="720" w:hanging="720"/>
        <w:jc w:val="center"/>
        <w:rPr>
          <w:rFonts w:ascii="Times New Roman" w:hAnsi="Times New Roman"/>
          <w:b/>
          <w:sz w:val="28"/>
          <w:szCs w:val="28"/>
        </w:rPr>
      </w:pPr>
      <w:r>
        <w:rPr>
          <w:rFonts w:ascii="Times New Roman" w:hAnsi="Times New Roman"/>
          <w:b/>
          <w:sz w:val="28"/>
          <w:szCs w:val="28"/>
        </w:rPr>
        <w:t>SUBMITTED ON BEHALF OF</w:t>
      </w:r>
    </w:p>
    <w:p w:rsidR="00E6762B" w:rsidRDefault="00E6762B" w:rsidP="00E6762B">
      <w:pPr>
        <w:tabs>
          <w:tab w:val="left" w:pos="4770"/>
          <w:tab w:val="left" w:pos="8640"/>
        </w:tabs>
        <w:spacing w:after="0" w:line="240" w:lineRule="auto"/>
        <w:ind w:left="720" w:hanging="720"/>
        <w:jc w:val="center"/>
        <w:rPr>
          <w:rFonts w:ascii="Times New Roman" w:hAnsi="Times New Roman"/>
          <w:b/>
          <w:sz w:val="28"/>
          <w:szCs w:val="28"/>
        </w:rPr>
      </w:pPr>
      <w:r>
        <w:rPr>
          <w:rFonts w:ascii="Times New Roman" w:hAnsi="Times New Roman"/>
          <w:b/>
          <w:sz w:val="28"/>
          <w:szCs w:val="28"/>
        </w:rPr>
        <w:t>THE PUBLIC UTILITIES COMMISSION OF OHIO</w:t>
      </w:r>
    </w:p>
    <w:p w:rsidR="00E6762B" w:rsidRDefault="00E6762B" w:rsidP="00E6762B">
      <w:pPr>
        <w:tabs>
          <w:tab w:val="left" w:pos="9360"/>
        </w:tabs>
        <w:spacing w:after="240" w:line="240" w:lineRule="auto"/>
        <w:rPr>
          <w:rFonts w:ascii="Times New Roman" w:hAnsi="Times New Roman"/>
          <w:b/>
          <w:sz w:val="26"/>
          <w:szCs w:val="26"/>
          <w:u w:val="single"/>
        </w:rPr>
      </w:pPr>
      <w:r>
        <w:rPr>
          <w:rFonts w:ascii="Times New Roman" w:hAnsi="Times New Roman"/>
          <w:b/>
          <w:sz w:val="26"/>
          <w:szCs w:val="26"/>
          <w:u w:val="single"/>
        </w:rPr>
        <w:tab/>
      </w:r>
    </w:p>
    <w:p w:rsidR="00867F45" w:rsidRDefault="00867F45"/>
    <w:p w:rsidR="00E6762B" w:rsidRDefault="00E6762B">
      <w:r>
        <w:tab/>
      </w:r>
    </w:p>
    <w:p w:rsidR="0097798D" w:rsidRDefault="0097798D"/>
    <w:p w:rsidR="00E6762B" w:rsidRDefault="00E6762B"/>
    <w:p w:rsidR="002E3668" w:rsidRDefault="00E6762B" w:rsidP="00E6762B">
      <w:pPr>
        <w:jc w:val="center"/>
        <w:rPr>
          <w:rFonts w:ascii="Times New Roman" w:hAnsi="Times New Roman"/>
          <w:sz w:val="26"/>
          <w:szCs w:val="26"/>
        </w:rPr>
        <w:sectPr w:rsidR="002E3668" w:rsidSect="00867F45">
          <w:headerReference w:type="default" r:id="rId9"/>
          <w:pgSz w:w="12240" w:h="15840"/>
          <w:pgMar w:top="1440" w:right="1440" w:bottom="1440" w:left="1440" w:header="720" w:footer="720" w:gutter="0"/>
          <w:cols w:space="720"/>
          <w:docGrid w:linePitch="360"/>
        </w:sectPr>
      </w:pPr>
      <w:r w:rsidRPr="00E6762B">
        <w:rPr>
          <w:rFonts w:ascii="Times New Roman" w:hAnsi="Times New Roman"/>
          <w:sz w:val="26"/>
          <w:szCs w:val="26"/>
        </w:rPr>
        <w:t>January 18, 2012</w:t>
      </w:r>
    </w:p>
    <w:p w:rsidR="00A10819" w:rsidRDefault="00AC2156">
      <w:pPr>
        <w:pStyle w:val="TOC1"/>
        <w:rPr>
          <w:rFonts w:asciiTheme="minorHAnsi" w:eastAsiaTheme="minorEastAsia" w:hAnsiTheme="minorHAnsi" w:cstheme="minorBidi"/>
          <w:noProof/>
          <w:sz w:val="22"/>
        </w:rPr>
      </w:pPr>
      <w:r>
        <w:rPr>
          <w:szCs w:val="26"/>
        </w:rPr>
        <w:lastRenderedPageBreak/>
        <w:fldChar w:fldCharType="begin"/>
      </w:r>
      <w:r w:rsidR="00E25606">
        <w:rPr>
          <w:szCs w:val="26"/>
        </w:rPr>
        <w:instrText xml:space="preserve"> TOC \o "1-5" \u </w:instrText>
      </w:r>
      <w:r>
        <w:rPr>
          <w:szCs w:val="26"/>
        </w:rPr>
        <w:fldChar w:fldCharType="separate"/>
      </w:r>
      <w:bookmarkStart w:id="0" w:name="_GoBack"/>
      <w:bookmarkEnd w:id="0"/>
      <w:r w:rsidR="00A10819">
        <w:rPr>
          <w:noProof/>
        </w:rPr>
        <w:t>INTRODUCTION AND SUMMARY</w:t>
      </w:r>
      <w:r w:rsidR="00A10819">
        <w:rPr>
          <w:noProof/>
        </w:rPr>
        <w:tab/>
      </w:r>
      <w:r w:rsidR="00A10819">
        <w:rPr>
          <w:noProof/>
        </w:rPr>
        <w:fldChar w:fldCharType="begin"/>
      </w:r>
      <w:r w:rsidR="00A10819">
        <w:rPr>
          <w:noProof/>
        </w:rPr>
        <w:instrText xml:space="preserve"> PAGEREF _Toc314659604 \h </w:instrText>
      </w:r>
      <w:r w:rsidR="00A10819">
        <w:rPr>
          <w:noProof/>
        </w:rPr>
      </w:r>
      <w:r w:rsidR="00A10819">
        <w:rPr>
          <w:noProof/>
        </w:rPr>
        <w:fldChar w:fldCharType="separate"/>
      </w:r>
      <w:r w:rsidR="0062148C">
        <w:rPr>
          <w:noProof/>
        </w:rPr>
        <w:t>1</w:t>
      </w:r>
      <w:r w:rsidR="00A10819">
        <w:rPr>
          <w:noProof/>
        </w:rPr>
        <w:fldChar w:fldCharType="end"/>
      </w:r>
    </w:p>
    <w:p w:rsidR="00A10819" w:rsidRDefault="00A10819">
      <w:pPr>
        <w:pStyle w:val="TOC1"/>
        <w:rPr>
          <w:rFonts w:asciiTheme="minorHAnsi" w:eastAsiaTheme="minorEastAsia" w:hAnsiTheme="minorHAnsi" w:cstheme="minorBidi"/>
          <w:noProof/>
          <w:sz w:val="22"/>
        </w:rPr>
      </w:pPr>
      <w:r>
        <w:rPr>
          <w:noProof/>
          <w:lang w:bidi="en-US"/>
        </w:rPr>
        <w:t>DISCUSSION</w:t>
      </w:r>
      <w:r>
        <w:rPr>
          <w:noProof/>
        </w:rPr>
        <w:tab/>
      </w:r>
      <w:r>
        <w:rPr>
          <w:noProof/>
        </w:rPr>
        <w:fldChar w:fldCharType="begin"/>
      </w:r>
      <w:r>
        <w:rPr>
          <w:noProof/>
        </w:rPr>
        <w:instrText xml:space="preserve"> PAGEREF _Toc314659605 \h </w:instrText>
      </w:r>
      <w:r>
        <w:rPr>
          <w:noProof/>
        </w:rPr>
      </w:r>
      <w:r>
        <w:rPr>
          <w:noProof/>
        </w:rPr>
        <w:fldChar w:fldCharType="separate"/>
      </w:r>
      <w:r w:rsidR="0062148C">
        <w:rPr>
          <w:noProof/>
        </w:rPr>
        <w:t>2</w:t>
      </w:r>
      <w:r>
        <w:rPr>
          <w:noProof/>
        </w:rPr>
        <w:fldChar w:fldCharType="end"/>
      </w:r>
    </w:p>
    <w:p w:rsidR="00A10819" w:rsidRDefault="00A10819">
      <w:pPr>
        <w:pStyle w:val="TOC2"/>
        <w:tabs>
          <w:tab w:val="left" w:pos="1382"/>
        </w:tabs>
        <w:rPr>
          <w:rFonts w:asciiTheme="minorHAnsi" w:eastAsiaTheme="minorEastAsia" w:hAnsiTheme="minorHAnsi" w:cstheme="minorBidi"/>
          <w:noProof/>
          <w:sz w:val="22"/>
        </w:rPr>
      </w:pPr>
      <w:r>
        <w:rPr>
          <w:noProof/>
          <w:lang w:bidi="en-US"/>
        </w:rPr>
        <w:t>I.</w:t>
      </w:r>
      <w:r>
        <w:rPr>
          <w:rFonts w:asciiTheme="minorHAnsi" w:eastAsiaTheme="minorEastAsia" w:hAnsiTheme="minorHAnsi" w:cstheme="minorBidi"/>
          <w:noProof/>
          <w:sz w:val="22"/>
        </w:rPr>
        <w:tab/>
      </w:r>
      <w:r>
        <w:rPr>
          <w:noProof/>
          <w:lang w:bidi="en-US"/>
        </w:rPr>
        <w:t>ETC Service Obligations</w:t>
      </w:r>
      <w:r>
        <w:rPr>
          <w:noProof/>
        </w:rPr>
        <w:tab/>
      </w:r>
      <w:r>
        <w:rPr>
          <w:noProof/>
        </w:rPr>
        <w:fldChar w:fldCharType="begin"/>
      </w:r>
      <w:r>
        <w:rPr>
          <w:noProof/>
        </w:rPr>
        <w:instrText xml:space="preserve"> PAGEREF _Toc314659606 \h </w:instrText>
      </w:r>
      <w:r>
        <w:rPr>
          <w:noProof/>
        </w:rPr>
      </w:r>
      <w:r>
        <w:rPr>
          <w:noProof/>
        </w:rPr>
        <w:fldChar w:fldCharType="separate"/>
      </w:r>
      <w:r w:rsidR="0062148C">
        <w:rPr>
          <w:noProof/>
        </w:rPr>
        <w:t>2</w:t>
      </w:r>
      <w:r>
        <w:rPr>
          <w:noProof/>
        </w:rPr>
        <w:fldChar w:fldCharType="end"/>
      </w:r>
    </w:p>
    <w:p w:rsidR="00A10819" w:rsidRDefault="00A10819">
      <w:pPr>
        <w:pStyle w:val="TOC2"/>
        <w:tabs>
          <w:tab w:val="left" w:pos="1382"/>
        </w:tabs>
        <w:rPr>
          <w:rFonts w:asciiTheme="minorHAnsi" w:eastAsiaTheme="minorEastAsia" w:hAnsiTheme="minorHAnsi" w:cstheme="minorBidi"/>
          <w:noProof/>
          <w:sz w:val="22"/>
        </w:rPr>
      </w:pPr>
      <w:r>
        <w:rPr>
          <w:noProof/>
        </w:rPr>
        <w:t>II.</w:t>
      </w:r>
      <w:r>
        <w:rPr>
          <w:rFonts w:asciiTheme="minorHAnsi" w:eastAsiaTheme="minorEastAsia" w:hAnsiTheme="minorHAnsi" w:cstheme="minorBidi"/>
          <w:noProof/>
          <w:sz w:val="22"/>
        </w:rPr>
        <w:tab/>
      </w:r>
      <w:r>
        <w:rPr>
          <w:noProof/>
        </w:rPr>
        <w:t>Provider Eligibility Requirements in Price Cap Territories</w:t>
      </w:r>
      <w:r>
        <w:rPr>
          <w:noProof/>
        </w:rPr>
        <w:tab/>
      </w:r>
      <w:r>
        <w:rPr>
          <w:noProof/>
        </w:rPr>
        <w:fldChar w:fldCharType="begin"/>
      </w:r>
      <w:r>
        <w:rPr>
          <w:noProof/>
        </w:rPr>
        <w:instrText xml:space="preserve"> PAGEREF _Toc314659607 \h </w:instrText>
      </w:r>
      <w:r>
        <w:rPr>
          <w:noProof/>
        </w:rPr>
      </w:r>
      <w:r>
        <w:rPr>
          <w:noProof/>
        </w:rPr>
        <w:fldChar w:fldCharType="separate"/>
      </w:r>
      <w:r w:rsidR="0062148C">
        <w:rPr>
          <w:noProof/>
        </w:rPr>
        <w:t>7</w:t>
      </w:r>
      <w:r>
        <w:rPr>
          <w:noProof/>
        </w:rPr>
        <w:fldChar w:fldCharType="end"/>
      </w:r>
    </w:p>
    <w:p w:rsidR="00A10819" w:rsidRDefault="00A10819">
      <w:pPr>
        <w:pStyle w:val="TOC3"/>
        <w:tabs>
          <w:tab w:val="left" w:pos="2318"/>
        </w:tabs>
        <w:rPr>
          <w:rFonts w:asciiTheme="minorHAnsi" w:eastAsiaTheme="minorEastAsia" w:hAnsiTheme="minorHAnsi" w:cstheme="minorBidi"/>
          <w:noProof/>
          <w:sz w:val="22"/>
        </w:rPr>
      </w:pPr>
      <w:r>
        <w:rPr>
          <w:noProof/>
        </w:rPr>
        <w:t>A.</w:t>
      </w:r>
      <w:r>
        <w:rPr>
          <w:rFonts w:asciiTheme="minorHAnsi" w:eastAsiaTheme="minorEastAsia" w:hAnsiTheme="minorHAnsi" w:cstheme="minorBidi"/>
          <w:noProof/>
          <w:sz w:val="22"/>
        </w:rPr>
        <w:tab/>
      </w:r>
      <w:r>
        <w:rPr>
          <w:noProof/>
        </w:rPr>
        <w:t>Certification of Financial and Technical Capability</w:t>
      </w:r>
      <w:r>
        <w:rPr>
          <w:noProof/>
        </w:rPr>
        <w:tab/>
      </w:r>
      <w:r>
        <w:rPr>
          <w:noProof/>
        </w:rPr>
        <w:fldChar w:fldCharType="begin"/>
      </w:r>
      <w:r>
        <w:rPr>
          <w:noProof/>
        </w:rPr>
        <w:instrText xml:space="preserve"> PAGEREF _Toc314659608 \h </w:instrText>
      </w:r>
      <w:r>
        <w:rPr>
          <w:noProof/>
        </w:rPr>
      </w:r>
      <w:r>
        <w:rPr>
          <w:noProof/>
        </w:rPr>
        <w:fldChar w:fldCharType="separate"/>
      </w:r>
      <w:r w:rsidR="0062148C">
        <w:rPr>
          <w:noProof/>
        </w:rPr>
        <w:t>7</w:t>
      </w:r>
      <w:r>
        <w:rPr>
          <w:noProof/>
        </w:rPr>
        <w:fldChar w:fldCharType="end"/>
      </w:r>
    </w:p>
    <w:p w:rsidR="00A10819" w:rsidRDefault="00A10819">
      <w:pPr>
        <w:pStyle w:val="TOC3"/>
        <w:tabs>
          <w:tab w:val="left" w:pos="2318"/>
        </w:tabs>
        <w:rPr>
          <w:rFonts w:asciiTheme="minorHAnsi" w:eastAsiaTheme="minorEastAsia" w:hAnsiTheme="minorHAnsi" w:cstheme="minorBidi"/>
          <w:noProof/>
          <w:sz w:val="22"/>
        </w:rPr>
      </w:pPr>
      <w:r>
        <w:rPr>
          <w:noProof/>
        </w:rPr>
        <w:t>B.</w:t>
      </w:r>
      <w:r>
        <w:rPr>
          <w:rFonts w:asciiTheme="minorHAnsi" w:eastAsiaTheme="minorEastAsia" w:hAnsiTheme="minorHAnsi" w:cstheme="minorBidi"/>
          <w:noProof/>
          <w:sz w:val="22"/>
        </w:rPr>
        <w:tab/>
      </w:r>
      <w:r>
        <w:rPr>
          <w:noProof/>
        </w:rPr>
        <w:t>Eligibility of Carriers Declining a State-Level Commitment</w:t>
      </w:r>
      <w:r>
        <w:rPr>
          <w:noProof/>
        </w:rPr>
        <w:tab/>
      </w:r>
      <w:r>
        <w:rPr>
          <w:noProof/>
        </w:rPr>
        <w:fldChar w:fldCharType="begin"/>
      </w:r>
      <w:r>
        <w:rPr>
          <w:noProof/>
        </w:rPr>
        <w:instrText xml:space="preserve"> PAGEREF _Toc314659609 \h </w:instrText>
      </w:r>
      <w:r>
        <w:rPr>
          <w:noProof/>
        </w:rPr>
      </w:r>
      <w:r>
        <w:rPr>
          <w:noProof/>
        </w:rPr>
        <w:fldChar w:fldCharType="separate"/>
      </w:r>
      <w:r w:rsidR="0062148C">
        <w:rPr>
          <w:noProof/>
        </w:rPr>
        <w:t>8</w:t>
      </w:r>
      <w:r>
        <w:rPr>
          <w:noProof/>
        </w:rPr>
        <w:fldChar w:fldCharType="end"/>
      </w:r>
    </w:p>
    <w:p w:rsidR="00A10819" w:rsidRDefault="00A10819">
      <w:pPr>
        <w:pStyle w:val="TOC3"/>
        <w:tabs>
          <w:tab w:val="left" w:pos="2318"/>
        </w:tabs>
        <w:rPr>
          <w:rFonts w:asciiTheme="minorHAnsi" w:eastAsiaTheme="minorEastAsia" w:hAnsiTheme="minorHAnsi" w:cstheme="minorBidi"/>
          <w:noProof/>
          <w:sz w:val="22"/>
        </w:rPr>
      </w:pPr>
      <w:r>
        <w:rPr>
          <w:noProof/>
        </w:rPr>
        <w:t>C.</w:t>
      </w:r>
      <w:r>
        <w:rPr>
          <w:rFonts w:asciiTheme="minorHAnsi" w:eastAsiaTheme="minorEastAsia" w:hAnsiTheme="minorHAnsi" w:cstheme="minorBidi"/>
          <w:noProof/>
          <w:sz w:val="22"/>
        </w:rPr>
        <w:tab/>
      </w:r>
      <w:r>
        <w:rPr>
          <w:noProof/>
        </w:rPr>
        <w:t>Public Interest Obligations</w:t>
      </w:r>
      <w:r>
        <w:rPr>
          <w:noProof/>
        </w:rPr>
        <w:tab/>
      </w:r>
      <w:r>
        <w:rPr>
          <w:noProof/>
        </w:rPr>
        <w:fldChar w:fldCharType="begin"/>
      </w:r>
      <w:r>
        <w:rPr>
          <w:noProof/>
        </w:rPr>
        <w:instrText xml:space="preserve"> PAGEREF _Toc314659610 \h </w:instrText>
      </w:r>
      <w:r>
        <w:rPr>
          <w:noProof/>
        </w:rPr>
      </w:r>
      <w:r>
        <w:rPr>
          <w:noProof/>
        </w:rPr>
        <w:fldChar w:fldCharType="separate"/>
      </w:r>
      <w:r w:rsidR="0062148C">
        <w:rPr>
          <w:noProof/>
        </w:rPr>
        <w:t>9</w:t>
      </w:r>
      <w:r>
        <w:rPr>
          <w:noProof/>
        </w:rPr>
        <w:fldChar w:fldCharType="end"/>
      </w:r>
    </w:p>
    <w:p w:rsidR="00A10819" w:rsidRDefault="00A10819">
      <w:pPr>
        <w:pStyle w:val="TOC2"/>
        <w:tabs>
          <w:tab w:val="left" w:pos="1382"/>
        </w:tabs>
        <w:rPr>
          <w:rFonts w:asciiTheme="minorHAnsi" w:eastAsiaTheme="minorEastAsia" w:hAnsiTheme="minorHAnsi" w:cstheme="minorBidi"/>
          <w:noProof/>
          <w:sz w:val="22"/>
        </w:rPr>
      </w:pPr>
      <w:r>
        <w:rPr>
          <w:noProof/>
        </w:rPr>
        <w:t>III.</w:t>
      </w:r>
      <w:r>
        <w:rPr>
          <w:rFonts w:asciiTheme="minorHAnsi" w:eastAsiaTheme="minorEastAsia" w:hAnsiTheme="minorHAnsi" w:cstheme="minorBidi"/>
          <w:noProof/>
          <w:sz w:val="22"/>
        </w:rPr>
        <w:tab/>
      </w:r>
      <w:r>
        <w:rPr>
          <w:noProof/>
        </w:rPr>
        <w:t>Remote Areas Fund</w:t>
      </w:r>
      <w:r>
        <w:rPr>
          <w:noProof/>
        </w:rPr>
        <w:tab/>
      </w:r>
      <w:r>
        <w:rPr>
          <w:noProof/>
        </w:rPr>
        <w:fldChar w:fldCharType="begin"/>
      </w:r>
      <w:r>
        <w:rPr>
          <w:noProof/>
        </w:rPr>
        <w:instrText xml:space="preserve"> PAGEREF _Toc314659611 \h </w:instrText>
      </w:r>
      <w:r>
        <w:rPr>
          <w:noProof/>
        </w:rPr>
      </w:r>
      <w:r>
        <w:rPr>
          <w:noProof/>
        </w:rPr>
        <w:fldChar w:fldCharType="separate"/>
      </w:r>
      <w:r w:rsidR="0062148C">
        <w:rPr>
          <w:noProof/>
        </w:rPr>
        <w:t>10</w:t>
      </w:r>
      <w:r>
        <w:rPr>
          <w:noProof/>
        </w:rPr>
        <w:fldChar w:fldCharType="end"/>
      </w:r>
    </w:p>
    <w:p w:rsidR="00A10819" w:rsidRDefault="00A10819">
      <w:pPr>
        <w:pStyle w:val="TOC1"/>
        <w:rPr>
          <w:rFonts w:asciiTheme="minorHAnsi" w:eastAsiaTheme="minorEastAsia" w:hAnsiTheme="minorHAnsi" w:cstheme="minorBidi"/>
          <w:noProof/>
          <w:sz w:val="22"/>
        </w:rPr>
      </w:pPr>
      <w:r>
        <w:rPr>
          <w:noProof/>
        </w:rPr>
        <w:t>CONCLUSION</w:t>
      </w:r>
      <w:r>
        <w:rPr>
          <w:noProof/>
        </w:rPr>
        <w:tab/>
      </w:r>
      <w:r>
        <w:rPr>
          <w:noProof/>
        </w:rPr>
        <w:fldChar w:fldCharType="begin"/>
      </w:r>
      <w:r>
        <w:rPr>
          <w:noProof/>
        </w:rPr>
        <w:instrText xml:space="preserve"> PAGEREF _Toc314659612 \h </w:instrText>
      </w:r>
      <w:r>
        <w:rPr>
          <w:noProof/>
        </w:rPr>
      </w:r>
      <w:r>
        <w:rPr>
          <w:noProof/>
        </w:rPr>
        <w:fldChar w:fldCharType="separate"/>
      </w:r>
      <w:r w:rsidR="0062148C">
        <w:rPr>
          <w:noProof/>
        </w:rPr>
        <w:t>15</w:t>
      </w:r>
      <w:r>
        <w:rPr>
          <w:noProof/>
        </w:rPr>
        <w:fldChar w:fldCharType="end"/>
      </w:r>
    </w:p>
    <w:p w:rsidR="002E3668" w:rsidRDefault="00AC2156" w:rsidP="00E6762B">
      <w:pPr>
        <w:jc w:val="center"/>
        <w:rPr>
          <w:rFonts w:ascii="Times New Roman" w:hAnsi="Times New Roman"/>
          <w:sz w:val="26"/>
          <w:szCs w:val="26"/>
        </w:rPr>
        <w:sectPr w:rsidR="002E3668" w:rsidSect="002E3668">
          <w:headerReference w:type="default" r:id="rId10"/>
          <w:footerReference w:type="default" r:id="rId11"/>
          <w:pgSz w:w="12240" w:h="15840"/>
          <w:pgMar w:top="1440" w:right="1440" w:bottom="1440" w:left="1440" w:header="720" w:footer="720" w:gutter="0"/>
          <w:pgNumType w:fmt="lowerRoman" w:start="1"/>
          <w:cols w:space="720"/>
          <w:docGrid w:linePitch="360"/>
        </w:sectPr>
      </w:pPr>
      <w:r>
        <w:rPr>
          <w:rFonts w:ascii="Times New Roman" w:hAnsi="Times New Roman"/>
          <w:sz w:val="26"/>
          <w:szCs w:val="26"/>
        </w:rPr>
        <w:fldChar w:fldCharType="end"/>
      </w:r>
    </w:p>
    <w:p w:rsidR="00E6762B" w:rsidRDefault="00E6762B" w:rsidP="00E6762B">
      <w:pPr>
        <w:jc w:val="center"/>
        <w:rPr>
          <w:rFonts w:ascii="Times New Roman" w:hAnsi="Times New Roman"/>
          <w:sz w:val="26"/>
          <w:szCs w:val="26"/>
        </w:rPr>
      </w:pPr>
    </w:p>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Before the</w:t>
      </w:r>
    </w:p>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Federal Communications Commission</w:t>
      </w:r>
    </w:p>
    <w:p w:rsidR="00E6762B" w:rsidRDefault="00E6762B" w:rsidP="00E6762B">
      <w:pPr>
        <w:spacing w:after="0" w:line="240" w:lineRule="auto"/>
        <w:jc w:val="center"/>
        <w:rPr>
          <w:rFonts w:ascii="Times New Roman" w:hAnsi="Times New Roman"/>
          <w:b/>
          <w:sz w:val="26"/>
          <w:szCs w:val="26"/>
        </w:rPr>
      </w:pPr>
      <w:r>
        <w:rPr>
          <w:rFonts w:ascii="Times New Roman" w:hAnsi="Times New Roman"/>
          <w:b/>
          <w:sz w:val="26"/>
          <w:szCs w:val="26"/>
        </w:rPr>
        <w:t>Washington, D.C.  20554</w:t>
      </w:r>
    </w:p>
    <w:p w:rsidR="00E6762B" w:rsidRDefault="00E6762B" w:rsidP="00E6762B">
      <w:pPr>
        <w:spacing w:after="0" w:line="240" w:lineRule="auto"/>
        <w:rPr>
          <w:rFonts w:ascii="Times New Roman" w:hAnsi="Times New Roman"/>
          <w:b/>
          <w:sz w:val="26"/>
          <w:szCs w:val="26"/>
        </w:rPr>
      </w:pPr>
    </w:p>
    <w:p w:rsidR="00E6762B" w:rsidRDefault="00E6762B" w:rsidP="00E6762B">
      <w:pPr>
        <w:spacing w:after="0" w:line="240" w:lineRule="auto"/>
        <w:rPr>
          <w:rFonts w:ascii="Times New Roman" w:hAnsi="Times New Roman"/>
          <w:b/>
          <w:sz w:val="26"/>
          <w:szCs w:val="26"/>
        </w:rPr>
      </w:pPr>
    </w:p>
    <w:tbl>
      <w:tblPr>
        <w:tblW w:w="0" w:type="auto"/>
        <w:tblLook w:val="04A0" w:firstRow="1" w:lastRow="0" w:firstColumn="1" w:lastColumn="0" w:noHBand="0" w:noVBand="1"/>
      </w:tblPr>
      <w:tblGrid>
        <w:gridCol w:w="4779"/>
        <w:gridCol w:w="289"/>
        <w:gridCol w:w="4508"/>
      </w:tblGrid>
      <w:tr w:rsidR="00E6762B" w:rsidRPr="0047191D" w:rsidTr="0047191D">
        <w:tc>
          <w:tcPr>
            <w:tcW w:w="4788" w:type="dxa"/>
          </w:tcPr>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In the Matter of</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Connect America Fund</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 xml:space="preserve"> A National Broadband Plan for Our Future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Establishing Just and Reasonable Rates</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for Local Exchange Carriers</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High-Cost universal Service Support</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Developing a Unified Intercarrier</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Compensation Regime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Federal-State Joint Board on Universal</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Service</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Lifeline and Link-Up</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Universal Service Reform – Mobility Fund</w:t>
            </w:r>
          </w:p>
        </w:tc>
        <w:tc>
          <w:tcPr>
            <w:tcW w:w="270" w:type="dxa"/>
          </w:tcPr>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r w:rsidRPr="0047191D">
              <w:rPr>
                <w:rFonts w:ascii="Times New Roman" w:hAnsi="Times New Roman"/>
                <w:sz w:val="26"/>
                <w:szCs w:val="26"/>
              </w:rPr>
              <w:b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w:r>
          </w:p>
        </w:tc>
        <w:tc>
          <w:tcPr>
            <w:tcW w:w="4518" w:type="dxa"/>
          </w:tcPr>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10-90</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GN Docket No. 09-51</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07-135</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05-337</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CC Docket No. 01-92</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CC Docket No. 96-45</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WC Docket No. 03-109</w:t>
            </w:r>
          </w:p>
          <w:p w:rsidR="00E6762B" w:rsidRPr="0047191D" w:rsidRDefault="00E6762B" w:rsidP="0047191D">
            <w:pPr>
              <w:spacing w:after="0" w:line="240" w:lineRule="auto"/>
              <w:rPr>
                <w:rFonts w:ascii="Times New Roman" w:hAnsi="Times New Roman"/>
                <w:sz w:val="26"/>
                <w:szCs w:val="26"/>
              </w:rPr>
            </w:pPr>
          </w:p>
          <w:p w:rsidR="00E6762B" w:rsidRPr="0047191D" w:rsidRDefault="00E6762B" w:rsidP="0047191D">
            <w:pPr>
              <w:spacing w:after="0" w:line="240" w:lineRule="auto"/>
              <w:rPr>
                <w:rFonts w:ascii="Times New Roman" w:hAnsi="Times New Roman"/>
                <w:sz w:val="26"/>
                <w:szCs w:val="26"/>
              </w:rPr>
            </w:pPr>
            <w:r w:rsidRPr="0047191D">
              <w:rPr>
                <w:rFonts w:ascii="Times New Roman" w:hAnsi="Times New Roman"/>
                <w:sz w:val="26"/>
                <w:szCs w:val="26"/>
              </w:rPr>
              <w:t>WT Docket No. 10-208</w:t>
            </w:r>
          </w:p>
          <w:p w:rsidR="00E6762B" w:rsidRPr="0047191D" w:rsidRDefault="00E6762B" w:rsidP="0047191D">
            <w:pPr>
              <w:spacing w:after="0" w:line="240" w:lineRule="auto"/>
              <w:rPr>
                <w:rFonts w:ascii="Times New Roman" w:hAnsi="Times New Roman"/>
                <w:sz w:val="26"/>
                <w:szCs w:val="26"/>
              </w:rPr>
            </w:pPr>
          </w:p>
        </w:tc>
      </w:tr>
    </w:tbl>
    <w:p w:rsidR="00E6762B" w:rsidRDefault="00E6762B" w:rsidP="00E6762B">
      <w:pPr>
        <w:tabs>
          <w:tab w:val="left" w:pos="4770"/>
        </w:tabs>
        <w:spacing w:after="0" w:line="240" w:lineRule="auto"/>
        <w:rPr>
          <w:rFonts w:ascii="Times New Roman" w:hAnsi="Times New Roman"/>
          <w:sz w:val="26"/>
          <w:szCs w:val="26"/>
        </w:rPr>
      </w:pPr>
    </w:p>
    <w:p w:rsidR="00E6762B" w:rsidRDefault="00E6762B" w:rsidP="00E6762B">
      <w:pPr>
        <w:tabs>
          <w:tab w:val="left" w:pos="9360"/>
        </w:tabs>
        <w:spacing w:after="240" w:line="240" w:lineRule="auto"/>
        <w:rPr>
          <w:rFonts w:ascii="Times New Roman" w:hAnsi="Times New Roman"/>
          <w:b/>
          <w:sz w:val="26"/>
          <w:szCs w:val="26"/>
          <w:u w:val="single"/>
        </w:rPr>
      </w:pPr>
      <w:r>
        <w:rPr>
          <w:rFonts w:ascii="Times New Roman" w:hAnsi="Times New Roman"/>
          <w:b/>
          <w:sz w:val="26"/>
          <w:szCs w:val="26"/>
          <w:u w:val="single"/>
        </w:rPr>
        <w:tab/>
      </w:r>
    </w:p>
    <w:p w:rsidR="00E6762B" w:rsidRDefault="00E6762B" w:rsidP="00E6762B">
      <w:pPr>
        <w:tabs>
          <w:tab w:val="left" w:pos="4770"/>
          <w:tab w:val="left" w:pos="8640"/>
        </w:tabs>
        <w:spacing w:after="0" w:line="240" w:lineRule="auto"/>
        <w:ind w:left="720" w:hanging="720"/>
        <w:jc w:val="center"/>
        <w:rPr>
          <w:rFonts w:ascii="Times New Roman" w:hAnsi="Times New Roman"/>
          <w:b/>
          <w:sz w:val="32"/>
          <w:szCs w:val="32"/>
        </w:rPr>
      </w:pPr>
      <w:r>
        <w:rPr>
          <w:rFonts w:ascii="Times New Roman" w:hAnsi="Times New Roman"/>
          <w:b/>
          <w:sz w:val="32"/>
          <w:szCs w:val="32"/>
        </w:rPr>
        <w:t xml:space="preserve">COMMENTS </w:t>
      </w:r>
    </w:p>
    <w:p w:rsidR="00E6762B" w:rsidRDefault="00E6762B" w:rsidP="00E6762B">
      <w:pPr>
        <w:tabs>
          <w:tab w:val="left" w:pos="4770"/>
          <w:tab w:val="left" w:pos="8640"/>
        </w:tabs>
        <w:spacing w:after="0" w:line="240" w:lineRule="auto"/>
        <w:ind w:left="720" w:hanging="720"/>
        <w:jc w:val="center"/>
        <w:rPr>
          <w:rFonts w:ascii="Times New Roman" w:hAnsi="Times New Roman"/>
          <w:b/>
          <w:sz w:val="28"/>
          <w:szCs w:val="28"/>
        </w:rPr>
      </w:pPr>
      <w:r>
        <w:rPr>
          <w:rFonts w:ascii="Times New Roman" w:hAnsi="Times New Roman"/>
          <w:b/>
          <w:sz w:val="28"/>
          <w:szCs w:val="28"/>
        </w:rPr>
        <w:t>SUBMITTED ON BEHALF OF</w:t>
      </w:r>
    </w:p>
    <w:p w:rsidR="00E6762B" w:rsidRDefault="00E6762B" w:rsidP="00E6762B">
      <w:pPr>
        <w:tabs>
          <w:tab w:val="left" w:pos="4770"/>
          <w:tab w:val="left" w:pos="8640"/>
        </w:tabs>
        <w:spacing w:after="0" w:line="240" w:lineRule="auto"/>
        <w:ind w:left="720" w:hanging="720"/>
        <w:jc w:val="center"/>
        <w:rPr>
          <w:rFonts w:ascii="Times New Roman" w:hAnsi="Times New Roman"/>
          <w:b/>
          <w:sz w:val="28"/>
          <w:szCs w:val="28"/>
        </w:rPr>
      </w:pPr>
      <w:r>
        <w:rPr>
          <w:rFonts w:ascii="Times New Roman" w:hAnsi="Times New Roman"/>
          <w:b/>
          <w:sz w:val="28"/>
          <w:szCs w:val="28"/>
        </w:rPr>
        <w:t>THE PUBLIC UTILITIES COMMISSION OF OHIO</w:t>
      </w:r>
    </w:p>
    <w:p w:rsidR="00E6762B" w:rsidRDefault="00E6762B" w:rsidP="00E6762B">
      <w:pPr>
        <w:tabs>
          <w:tab w:val="left" w:pos="9360"/>
        </w:tabs>
        <w:spacing w:after="240" w:line="240" w:lineRule="auto"/>
        <w:rPr>
          <w:rFonts w:ascii="Times New Roman" w:hAnsi="Times New Roman"/>
          <w:b/>
          <w:sz w:val="26"/>
          <w:szCs w:val="26"/>
          <w:u w:val="single"/>
        </w:rPr>
      </w:pPr>
      <w:r>
        <w:rPr>
          <w:rFonts w:ascii="Times New Roman" w:hAnsi="Times New Roman"/>
          <w:b/>
          <w:sz w:val="26"/>
          <w:szCs w:val="26"/>
          <w:u w:val="single"/>
        </w:rPr>
        <w:tab/>
      </w:r>
    </w:p>
    <w:p w:rsidR="00045752" w:rsidRPr="0047191D" w:rsidRDefault="00045752" w:rsidP="002E3668">
      <w:pPr>
        <w:pStyle w:val="Heading1"/>
      </w:pPr>
      <w:bookmarkStart w:id="1" w:name="_Toc314659604"/>
      <w:r w:rsidRPr="0047191D">
        <w:t>INTRODUCTION AND SUMMARY</w:t>
      </w:r>
      <w:bookmarkEnd w:id="1"/>
    </w:p>
    <w:p w:rsidR="0047191D" w:rsidRDefault="002E3668" w:rsidP="002E3668">
      <w:pPr>
        <w:pStyle w:val="Textstyle"/>
        <w:rPr>
          <w:lang w:bidi="en-US"/>
        </w:rPr>
      </w:pPr>
      <w:r>
        <w:tab/>
      </w:r>
      <w:r w:rsidR="00E6762B" w:rsidRPr="00045752">
        <w:t xml:space="preserve">On November 18, 2011, the Federal Communications Commission </w:t>
      </w:r>
      <w:r w:rsidR="00045752" w:rsidRPr="00045752">
        <w:t xml:space="preserve">(FCC) </w:t>
      </w:r>
      <w:r w:rsidR="00E6762B" w:rsidRPr="00045752">
        <w:t xml:space="preserve">issued a </w:t>
      </w:r>
      <w:r w:rsidR="00045752" w:rsidRPr="00045752">
        <w:t xml:space="preserve">sweeping Report and Order (R&amp;O) that comprehensively </w:t>
      </w:r>
      <w:r w:rsidR="00045752" w:rsidRPr="00045752">
        <w:rPr>
          <w:lang w:bidi="en-US"/>
        </w:rPr>
        <w:t xml:space="preserve">reforms the </w:t>
      </w:r>
      <w:r w:rsidR="001C2F2A">
        <w:rPr>
          <w:lang w:bidi="en-US"/>
        </w:rPr>
        <w:t>universal service fun</w:t>
      </w:r>
      <w:r w:rsidR="005871DF">
        <w:rPr>
          <w:lang w:bidi="en-US"/>
        </w:rPr>
        <w:t>d</w:t>
      </w:r>
      <w:r w:rsidR="001C2F2A">
        <w:rPr>
          <w:lang w:bidi="en-US"/>
        </w:rPr>
        <w:t xml:space="preserve"> (</w:t>
      </w:r>
      <w:r w:rsidR="00045752" w:rsidRPr="00045752">
        <w:rPr>
          <w:lang w:bidi="en-US"/>
        </w:rPr>
        <w:t>USF</w:t>
      </w:r>
      <w:r w:rsidR="001C2F2A">
        <w:rPr>
          <w:lang w:bidi="en-US"/>
        </w:rPr>
        <w:t>) intercarrier compensation</w:t>
      </w:r>
      <w:r w:rsidR="00045752" w:rsidRPr="00045752">
        <w:rPr>
          <w:lang w:bidi="en-US"/>
        </w:rPr>
        <w:t xml:space="preserve"> systems to facilitate the transition from the tradi</w:t>
      </w:r>
      <w:r w:rsidR="005008B5">
        <w:rPr>
          <w:lang w:bidi="en-US"/>
        </w:rPr>
        <w:softHyphen/>
      </w:r>
      <w:r w:rsidR="00045752" w:rsidRPr="00045752">
        <w:rPr>
          <w:lang w:bidi="en-US"/>
        </w:rPr>
        <w:lastRenderedPageBreak/>
        <w:t>tional public switched telephone network to IP-based networks that are available to all</w:t>
      </w:r>
      <w:r w:rsidR="00045752">
        <w:rPr>
          <w:lang w:bidi="en-US"/>
        </w:rPr>
        <w:t xml:space="preserve">.  </w:t>
      </w:r>
      <w:r w:rsidR="00264250">
        <w:rPr>
          <w:lang w:bidi="en-US"/>
        </w:rPr>
        <w:t xml:space="preserve">Additionally, the FCC released an </w:t>
      </w:r>
      <w:r w:rsidR="00264250" w:rsidRPr="00264250">
        <w:rPr>
          <w:lang w:bidi="en-US"/>
        </w:rPr>
        <w:t>accompany</w:t>
      </w:r>
      <w:r w:rsidR="00C770A3">
        <w:rPr>
          <w:lang w:bidi="en-US"/>
        </w:rPr>
        <w:softHyphen/>
      </w:r>
      <w:r w:rsidR="00264250" w:rsidRPr="00264250">
        <w:rPr>
          <w:lang w:bidi="en-US"/>
        </w:rPr>
        <w:t>ing Further Notice of Proposed Rulemak</w:t>
      </w:r>
      <w:r w:rsidR="005008B5">
        <w:rPr>
          <w:lang w:bidi="en-US"/>
        </w:rPr>
        <w:softHyphen/>
      </w:r>
      <w:r w:rsidR="00264250" w:rsidRPr="00264250">
        <w:rPr>
          <w:lang w:bidi="en-US"/>
        </w:rPr>
        <w:t xml:space="preserve">ing </w:t>
      </w:r>
      <w:r w:rsidR="00832546">
        <w:rPr>
          <w:lang w:bidi="en-US"/>
        </w:rPr>
        <w:t>(</w:t>
      </w:r>
      <w:r w:rsidR="00264250">
        <w:rPr>
          <w:lang w:bidi="en-US"/>
        </w:rPr>
        <w:t xml:space="preserve">FNPRM) </w:t>
      </w:r>
      <w:r w:rsidR="00E7645F">
        <w:rPr>
          <w:lang w:bidi="en-US"/>
        </w:rPr>
        <w:t>seeking</w:t>
      </w:r>
      <w:r w:rsidR="00264250" w:rsidRPr="00264250">
        <w:rPr>
          <w:lang w:bidi="en-US"/>
        </w:rPr>
        <w:t xml:space="preserve"> comment on several matters related to this transition</w:t>
      </w:r>
      <w:r w:rsidR="00264250">
        <w:rPr>
          <w:lang w:bidi="en-US"/>
        </w:rPr>
        <w:t xml:space="preserve">.  </w:t>
      </w:r>
      <w:r w:rsidR="00A77B45">
        <w:rPr>
          <w:lang w:bidi="en-US"/>
        </w:rPr>
        <w:t>T</w:t>
      </w:r>
      <w:r w:rsidR="00832546">
        <w:rPr>
          <w:lang w:bidi="en-US"/>
        </w:rPr>
        <w:t xml:space="preserve">he </w:t>
      </w:r>
      <w:r w:rsidR="00DF2F6E">
        <w:rPr>
          <w:lang w:bidi="en-US"/>
        </w:rPr>
        <w:t>Public Utilities Commission of Ohio (</w:t>
      </w:r>
      <w:r w:rsidR="00832546">
        <w:rPr>
          <w:lang w:bidi="en-US"/>
        </w:rPr>
        <w:t>Ohio Commission</w:t>
      </w:r>
      <w:r w:rsidR="00DF2F6E">
        <w:rPr>
          <w:lang w:bidi="en-US"/>
        </w:rPr>
        <w:t>)</w:t>
      </w:r>
      <w:r w:rsidR="00832546">
        <w:rPr>
          <w:lang w:bidi="en-US"/>
        </w:rPr>
        <w:t xml:space="preserve"> w</w:t>
      </w:r>
      <w:r w:rsidR="0047191D">
        <w:rPr>
          <w:lang w:bidi="en-US"/>
        </w:rPr>
        <w:t>ill lim</w:t>
      </w:r>
      <w:r w:rsidR="00932D08">
        <w:rPr>
          <w:lang w:bidi="en-US"/>
        </w:rPr>
        <w:t>it its comments to sec</w:t>
      </w:r>
      <w:r w:rsidR="00C770A3">
        <w:rPr>
          <w:lang w:bidi="en-US"/>
        </w:rPr>
        <w:softHyphen/>
      </w:r>
      <w:r w:rsidR="00932D08">
        <w:rPr>
          <w:lang w:bidi="en-US"/>
        </w:rPr>
        <w:t>tions F, J</w:t>
      </w:r>
      <w:r w:rsidR="0047191D">
        <w:rPr>
          <w:lang w:bidi="en-US"/>
        </w:rPr>
        <w:t xml:space="preserve"> and K </w:t>
      </w:r>
      <w:r w:rsidR="00A77B45">
        <w:rPr>
          <w:lang w:bidi="en-US"/>
        </w:rPr>
        <w:t xml:space="preserve">that </w:t>
      </w:r>
      <w:r w:rsidR="0047191D">
        <w:rPr>
          <w:lang w:bidi="en-US"/>
        </w:rPr>
        <w:t xml:space="preserve">pertain to </w:t>
      </w:r>
      <w:r w:rsidR="001C2F2A">
        <w:rPr>
          <w:lang w:bidi="en-US"/>
        </w:rPr>
        <w:t>eligible telecommunications carrier (</w:t>
      </w:r>
      <w:r w:rsidR="0047191D">
        <w:rPr>
          <w:lang w:bidi="en-US"/>
        </w:rPr>
        <w:t>ETC</w:t>
      </w:r>
      <w:r w:rsidR="001C2F2A">
        <w:rPr>
          <w:lang w:bidi="en-US"/>
        </w:rPr>
        <w:t>)</w:t>
      </w:r>
      <w:r w:rsidR="0047191D">
        <w:rPr>
          <w:lang w:bidi="en-US"/>
        </w:rPr>
        <w:t xml:space="preserve"> service obligations, </w:t>
      </w:r>
      <w:r w:rsidR="00932D08">
        <w:rPr>
          <w:lang w:bidi="en-US"/>
        </w:rPr>
        <w:t>pro</w:t>
      </w:r>
      <w:r w:rsidR="005008B5">
        <w:rPr>
          <w:lang w:bidi="en-US"/>
        </w:rPr>
        <w:softHyphen/>
      </w:r>
      <w:r w:rsidR="00932D08">
        <w:rPr>
          <w:lang w:bidi="en-US"/>
        </w:rPr>
        <w:t>vider eligibility requirements</w:t>
      </w:r>
      <w:r w:rsidR="0047191D">
        <w:rPr>
          <w:lang w:bidi="en-US"/>
        </w:rPr>
        <w:t xml:space="preserve"> and the Remote Areas Fund, respectively.  The Ohio Com</w:t>
      </w:r>
      <w:r w:rsidR="005008B5">
        <w:rPr>
          <w:lang w:bidi="en-US"/>
        </w:rPr>
        <w:softHyphen/>
      </w:r>
      <w:r w:rsidR="0047191D">
        <w:rPr>
          <w:lang w:bidi="en-US"/>
        </w:rPr>
        <w:t>mission is pleased to present these comments for the FCC’s consideration.</w:t>
      </w:r>
    </w:p>
    <w:p w:rsidR="005C52E7" w:rsidRDefault="0047191D" w:rsidP="002E3668">
      <w:pPr>
        <w:pStyle w:val="Heading1"/>
        <w:rPr>
          <w:lang w:bidi="en-US"/>
        </w:rPr>
      </w:pPr>
      <w:bookmarkStart w:id="2" w:name="_Toc314659605"/>
      <w:r w:rsidRPr="0047191D">
        <w:rPr>
          <w:lang w:bidi="en-US"/>
        </w:rPr>
        <w:t>DISCUSSIO</w:t>
      </w:r>
      <w:r w:rsidR="005C52E7">
        <w:rPr>
          <w:lang w:bidi="en-US"/>
        </w:rPr>
        <w:t>N</w:t>
      </w:r>
      <w:bookmarkEnd w:id="2"/>
    </w:p>
    <w:p w:rsidR="005C52E7" w:rsidRPr="009A5D43" w:rsidRDefault="005C3639" w:rsidP="002E3668">
      <w:pPr>
        <w:pStyle w:val="Heading2"/>
        <w:rPr>
          <w:lang w:bidi="en-US"/>
        </w:rPr>
      </w:pPr>
      <w:bookmarkStart w:id="3" w:name="_Toc314659606"/>
      <w:r w:rsidRPr="005C3639">
        <w:rPr>
          <w:lang w:bidi="en-US"/>
        </w:rPr>
        <w:t>ETC Service Obligations</w:t>
      </w:r>
      <w:bookmarkEnd w:id="3"/>
    </w:p>
    <w:p w:rsidR="00C129E2" w:rsidRPr="00073673" w:rsidRDefault="003E4948" w:rsidP="002E3668">
      <w:pPr>
        <w:pStyle w:val="Textstyle"/>
      </w:pPr>
      <w:r>
        <w:tab/>
      </w:r>
      <w:r w:rsidR="00C129E2" w:rsidRPr="00073673">
        <w:t xml:space="preserve">Through its </w:t>
      </w:r>
      <w:r w:rsidR="000A2743">
        <w:t>R&amp;O</w:t>
      </w:r>
      <w:r w:rsidR="00C129E2" w:rsidRPr="00073673">
        <w:t xml:space="preserve">, the FCC </w:t>
      </w:r>
      <w:r w:rsidR="000A2743">
        <w:t xml:space="preserve">has </w:t>
      </w:r>
      <w:r w:rsidR="00C129E2" w:rsidRPr="00073673">
        <w:t>established the Connect America Fund (CAF), which will ultimately replace all existing high-cost support mechanisms.</w:t>
      </w:r>
      <w:r w:rsidR="00C129E2" w:rsidRPr="00073673">
        <w:rPr>
          <w:rStyle w:val="FootnoteReference"/>
        </w:rPr>
        <w:footnoteReference w:id="1"/>
      </w:r>
      <w:r w:rsidR="00C129E2" w:rsidRPr="00073673">
        <w:t xml:space="preserve">  In its accom</w:t>
      </w:r>
      <w:r w:rsidR="005008B5">
        <w:softHyphen/>
      </w:r>
      <w:r w:rsidR="00C129E2" w:rsidRPr="00073673">
        <w:t xml:space="preserve">panying FNPRM, the FCC seeks comment on whether to relax or eliminate the section 214(e)(1) voice service obligations of ETCs </w:t>
      </w:r>
      <w:r w:rsidR="00A77B45">
        <w:t>where the</w:t>
      </w:r>
      <w:r w:rsidR="00C129E2" w:rsidRPr="00073673">
        <w:t xml:space="preserve"> ETC receives reduced high-cost support or no longer receives federal high-cost sup</w:t>
      </w:r>
      <w:r w:rsidR="00C770A3">
        <w:softHyphen/>
      </w:r>
      <w:r w:rsidR="00C129E2" w:rsidRPr="00073673">
        <w:t>port of any kind.</w:t>
      </w:r>
      <w:r w:rsidR="00C129E2" w:rsidRPr="00073673">
        <w:rPr>
          <w:rStyle w:val="FootnoteReference"/>
        </w:rPr>
        <w:footnoteReference w:id="2"/>
      </w:r>
      <w:r w:rsidR="00C129E2" w:rsidRPr="00073673">
        <w:t xml:space="preserve">   </w:t>
      </w:r>
    </w:p>
    <w:p w:rsidR="00F35E0A" w:rsidRPr="00073673" w:rsidRDefault="00C129E2" w:rsidP="002E3668">
      <w:pPr>
        <w:pStyle w:val="Textstyle"/>
      </w:pPr>
      <w:r w:rsidRPr="00073673">
        <w:tab/>
        <w:t xml:space="preserve">The CAF </w:t>
      </w:r>
      <w:r w:rsidR="00A77B45">
        <w:t>has</w:t>
      </w:r>
      <w:r w:rsidRPr="00073673">
        <w:t xml:space="preserve"> two phases.  </w:t>
      </w:r>
      <w:r w:rsidR="00A77B45">
        <w:t xml:space="preserve">The </w:t>
      </w:r>
      <w:r w:rsidR="00E7645F">
        <w:t>first</w:t>
      </w:r>
      <w:r w:rsidR="00A77B45" w:rsidRPr="00073673">
        <w:t xml:space="preserve"> </w:t>
      </w:r>
      <w:r w:rsidR="00363056" w:rsidRPr="00073673">
        <w:t>p</w:t>
      </w:r>
      <w:r w:rsidRPr="00073673">
        <w:t>hase consist</w:t>
      </w:r>
      <w:r w:rsidR="000A2743">
        <w:t>s</w:t>
      </w:r>
      <w:r w:rsidRPr="00073673">
        <w:t xml:space="preserve"> of incremental sup</w:t>
      </w:r>
      <w:r w:rsidR="00C770A3">
        <w:softHyphen/>
      </w:r>
      <w:r w:rsidRPr="00073673">
        <w:t xml:space="preserve">port and “frozen high-cost” support.  Incremental support is a one-time disbursement of funds </w:t>
      </w:r>
      <w:r w:rsidRPr="00073673">
        <w:lastRenderedPageBreak/>
        <w:t>“designed to provide an immediate boost to broadband deployment.”</w:t>
      </w:r>
      <w:r w:rsidRPr="00073673">
        <w:rPr>
          <w:rStyle w:val="FootnoteReference"/>
        </w:rPr>
        <w:footnoteReference w:id="3"/>
      </w:r>
      <w:r w:rsidRPr="00073673">
        <w:t xml:space="preserve">  Frozen high-cost support is </w:t>
      </w:r>
      <w:r w:rsidR="000A2743">
        <w:t xml:space="preserve"> </w:t>
      </w:r>
      <w:r w:rsidR="00A77B45">
        <w:t xml:space="preserve">provided to </w:t>
      </w:r>
      <w:r w:rsidRPr="00073673">
        <w:t xml:space="preserve">price cap </w:t>
      </w:r>
      <w:r w:rsidR="00A77B45">
        <w:t>local exchange carriers</w:t>
      </w:r>
      <w:r w:rsidR="00A77B45" w:rsidRPr="00073673">
        <w:t xml:space="preserve"> </w:t>
      </w:r>
      <w:r w:rsidRPr="00073673">
        <w:t>and their rate-of-return affiliates</w:t>
      </w:r>
      <w:r w:rsidR="00A77B45">
        <w:t xml:space="preserve">.  It </w:t>
      </w:r>
      <w:r w:rsidRPr="00073673">
        <w:t>is capped and based upon the “amount of [legacy high-cost] support each carrier received in 2011.”</w:t>
      </w:r>
      <w:r w:rsidRPr="00073673">
        <w:rPr>
          <w:rStyle w:val="FootnoteReference"/>
        </w:rPr>
        <w:footnoteReference w:id="4"/>
      </w:r>
      <w:r w:rsidRPr="00073673">
        <w:t xml:space="preserve">  Pursuant to the </w:t>
      </w:r>
      <w:r w:rsidR="00A77B45">
        <w:t xml:space="preserve">FCC’s </w:t>
      </w:r>
      <w:r w:rsidRPr="00073673">
        <w:t xml:space="preserve">R&amp;O, </w:t>
      </w:r>
      <w:r w:rsidRPr="00D975DD">
        <w:t>fr</w:t>
      </w:r>
      <w:r w:rsidRPr="00073673">
        <w:t>ozen high-cost support will be reduced each year to the extent that a carrier’s rates for local voice service fall below an urban local rate floor set by the FCC.</w:t>
      </w:r>
      <w:r w:rsidRPr="00073673">
        <w:rPr>
          <w:rStyle w:val="FootnoteReference"/>
        </w:rPr>
        <w:footnoteReference w:id="5"/>
      </w:r>
      <w:r w:rsidRPr="00073673">
        <w:t xml:space="preserve">  </w:t>
      </w:r>
      <w:r w:rsidR="00F35E0A" w:rsidRPr="00073673">
        <w:t xml:space="preserve">During </w:t>
      </w:r>
      <w:r w:rsidR="00A77B45">
        <w:t>the second</w:t>
      </w:r>
      <w:r w:rsidR="00A77B45" w:rsidRPr="00073673">
        <w:t xml:space="preserve"> </w:t>
      </w:r>
      <w:r w:rsidR="00363056" w:rsidRPr="00073673">
        <w:t>p</w:t>
      </w:r>
      <w:r w:rsidRPr="00073673">
        <w:t xml:space="preserve">hase </w:t>
      </w:r>
      <w:r w:rsidR="00A77B45">
        <w:t>of the CAF</w:t>
      </w:r>
      <w:r w:rsidR="00F35E0A" w:rsidRPr="00073673">
        <w:t xml:space="preserve">, </w:t>
      </w:r>
      <w:r w:rsidRPr="00073673">
        <w:t>ongoing sup</w:t>
      </w:r>
      <w:r w:rsidR="005008B5">
        <w:softHyphen/>
      </w:r>
      <w:r w:rsidRPr="00073673">
        <w:t xml:space="preserve">port </w:t>
      </w:r>
      <w:r w:rsidR="00F35E0A" w:rsidRPr="00073673">
        <w:t xml:space="preserve">will </w:t>
      </w:r>
      <w:r w:rsidR="000A2743">
        <w:t xml:space="preserve">continue to </w:t>
      </w:r>
      <w:r w:rsidR="00F35E0A" w:rsidRPr="00073673">
        <w:t xml:space="preserve">be provided </w:t>
      </w:r>
      <w:r w:rsidR="00A77B45">
        <w:t>in</w:t>
      </w:r>
      <w:r w:rsidR="000A2743">
        <w:t xml:space="preserve"> </w:t>
      </w:r>
      <w:r w:rsidRPr="00073673">
        <w:t>price cap territories over a five</w:t>
      </w:r>
      <w:r w:rsidR="00071BF7">
        <w:t>-</w:t>
      </w:r>
      <w:r w:rsidRPr="00073673">
        <w:t>year period.</w:t>
      </w:r>
      <w:r w:rsidRPr="00073673">
        <w:rPr>
          <w:rStyle w:val="FootnoteReference"/>
        </w:rPr>
        <w:footnoteReference w:id="6"/>
      </w:r>
      <w:r w:rsidRPr="00073673">
        <w:t xml:space="preserve">  </w:t>
      </w:r>
      <w:r w:rsidR="00A77B45">
        <w:t>T</w:t>
      </w:r>
      <w:r w:rsidRPr="00073673">
        <w:t xml:space="preserve">he FCC will </w:t>
      </w:r>
      <w:r w:rsidR="00A77B45">
        <w:t xml:space="preserve">distribute this funding using </w:t>
      </w:r>
      <w:r w:rsidRPr="00073673">
        <w:t>a com</w:t>
      </w:r>
      <w:r w:rsidR="00C770A3">
        <w:softHyphen/>
      </w:r>
      <w:r w:rsidRPr="00073673">
        <w:t>bination of competitive bidding and a new forward-looking model of the cost of con</w:t>
      </w:r>
      <w:r w:rsidR="00C770A3">
        <w:softHyphen/>
      </w:r>
      <w:r w:rsidRPr="00073673">
        <w:t>structing modern multi-purpose networks.</w:t>
      </w:r>
      <w:r w:rsidRPr="00073673">
        <w:rPr>
          <w:rStyle w:val="FootnoteReference"/>
        </w:rPr>
        <w:footnoteReference w:id="7"/>
      </w:r>
      <w:r w:rsidRPr="00073673">
        <w:t xml:space="preserve">  </w:t>
      </w:r>
    </w:p>
    <w:p w:rsidR="00C129E2" w:rsidRPr="00073673" w:rsidRDefault="00F35E0A" w:rsidP="002E3668">
      <w:pPr>
        <w:pStyle w:val="Textstyle"/>
      </w:pPr>
      <w:r w:rsidRPr="00073673">
        <w:tab/>
      </w:r>
      <w:r w:rsidR="00C129E2" w:rsidRPr="00073673">
        <w:t xml:space="preserve">The Ohio Commission believes </w:t>
      </w:r>
      <w:r w:rsidR="00A77B45">
        <w:t xml:space="preserve">that, where </w:t>
      </w:r>
      <w:r w:rsidR="00C129E2" w:rsidRPr="00073673">
        <w:t>a</w:t>
      </w:r>
      <w:r w:rsidRPr="00073673">
        <w:t>n ETC</w:t>
      </w:r>
      <w:r w:rsidR="00C129E2" w:rsidRPr="00073673">
        <w:t xml:space="preserve"> accepts </w:t>
      </w:r>
      <w:r w:rsidR="00A77B45">
        <w:t>either type</w:t>
      </w:r>
      <w:r w:rsidR="00A77B45" w:rsidRPr="00073673">
        <w:t xml:space="preserve"> </w:t>
      </w:r>
      <w:r w:rsidR="00A77B45">
        <w:t>of P</w:t>
      </w:r>
      <w:r w:rsidR="00C129E2" w:rsidRPr="00073673">
        <w:t>hase I sup</w:t>
      </w:r>
      <w:r w:rsidR="00C770A3">
        <w:softHyphen/>
      </w:r>
      <w:r w:rsidR="00C129E2" w:rsidRPr="00073673">
        <w:t>port</w:t>
      </w:r>
      <w:r w:rsidR="00071BF7">
        <w:t>,</w:t>
      </w:r>
      <w:r w:rsidR="00C129E2" w:rsidRPr="00073673">
        <w:t xml:space="preserve"> Sec</w:t>
      </w:r>
      <w:r w:rsidR="00C770A3">
        <w:softHyphen/>
      </w:r>
      <w:r w:rsidR="00C129E2" w:rsidRPr="00073673">
        <w:t xml:space="preserve">tion 214(e)(1) voice service obligations </w:t>
      </w:r>
      <w:r w:rsidR="00A77B45">
        <w:t xml:space="preserve">should not be </w:t>
      </w:r>
      <w:r w:rsidR="00C129E2" w:rsidRPr="00073673">
        <w:t xml:space="preserve">relaxed or eliminated.  </w:t>
      </w:r>
      <w:r w:rsidR="00A77B45">
        <w:t>The</w:t>
      </w:r>
      <w:r w:rsidRPr="00073673">
        <w:t xml:space="preserve"> Ohio Commis</w:t>
      </w:r>
      <w:r w:rsidR="00C770A3">
        <w:softHyphen/>
      </w:r>
      <w:r w:rsidRPr="00073673">
        <w:t>sion</w:t>
      </w:r>
      <w:r w:rsidR="00A77B45">
        <w:t xml:space="preserve"> </w:t>
      </w:r>
      <w:r w:rsidR="00071BF7">
        <w:t xml:space="preserve">further </w:t>
      </w:r>
      <w:r w:rsidR="00A77B45">
        <w:t>believe</w:t>
      </w:r>
      <w:r w:rsidRPr="00073673">
        <w:t>s that</w:t>
      </w:r>
      <w:r w:rsidR="00A77B45">
        <w:t>, where</w:t>
      </w:r>
      <w:r w:rsidRPr="00073673">
        <w:t xml:space="preserve"> </w:t>
      </w:r>
      <w:r w:rsidR="00C129E2" w:rsidRPr="00073673">
        <w:t>a</w:t>
      </w:r>
      <w:r w:rsidRPr="00073673">
        <w:t>n ETC</w:t>
      </w:r>
      <w:r w:rsidR="00C129E2" w:rsidRPr="00073673">
        <w:t xml:space="preserve"> accepts the one-time incre</w:t>
      </w:r>
      <w:r w:rsidR="0097798D">
        <w:softHyphen/>
      </w:r>
      <w:r w:rsidR="00C129E2" w:rsidRPr="00073673">
        <w:t>mental support</w:t>
      </w:r>
      <w:r w:rsidR="00A77B45">
        <w:t>, it</w:t>
      </w:r>
      <w:r w:rsidR="00C129E2" w:rsidRPr="00073673">
        <w:t xml:space="preserve"> </w:t>
      </w:r>
      <w:r w:rsidR="00A77B45">
        <w:t xml:space="preserve">continues to be required </w:t>
      </w:r>
      <w:r w:rsidR="00C129E2" w:rsidRPr="00073673">
        <w:t>to meet its Section 214(e</w:t>
      </w:r>
      <w:proofErr w:type="gramStart"/>
      <w:r w:rsidR="00C129E2" w:rsidRPr="00073673">
        <w:t>)(</w:t>
      </w:r>
      <w:proofErr w:type="gramEnd"/>
      <w:r w:rsidR="00C129E2" w:rsidRPr="00073673">
        <w:t>1) voice service obliga</w:t>
      </w:r>
      <w:r w:rsidR="005008B5">
        <w:softHyphen/>
      </w:r>
      <w:r w:rsidR="00C129E2" w:rsidRPr="00073673">
        <w:t>tions</w:t>
      </w:r>
      <w:r w:rsidR="00BE1CAD" w:rsidRPr="00073673">
        <w:rPr>
          <w:rStyle w:val="FootnoteReference"/>
        </w:rPr>
        <w:footnoteReference w:id="8"/>
      </w:r>
      <w:r w:rsidR="00C129E2" w:rsidRPr="00073673">
        <w:t xml:space="preserve"> for some period of time even if that carrier does not receive ongoing support.</w:t>
      </w:r>
      <w:r w:rsidR="00DF2F6E">
        <w:t xml:space="preserve"> </w:t>
      </w:r>
      <w:r w:rsidR="00C129E2" w:rsidRPr="00073673">
        <w:t xml:space="preserve"> </w:t>
      </w:r>
      <w:r w:rsidR="00A77B45">
        <w:lastRenderedPageBreak/>
        <w:t xml:space="preserve">Whether the ETC receives some incremental support or none at all, the </w:t>
      </w:r>
      <w:r w:rsidR="00A77B45" w:rsidRPr="00073673">
        <w:t xml:space="preserve">Ohio Commission believes that the section 214(e)(1) service obligation </w:t>
      </w:r>
      <w:r w:rsidR="00A77B45">
        <w:t xml:space="preserve">to serve throughout its area should </w:t>
      </w:r>
      <w:r w:rsidR="00A77B45" w:rsidRPr="00073673">
        <w:t xml:space="preserve">remain </w:t>
      </w:r>
      <w:r w:rsidR="00A77B45">
        <w:t>unaltered</w:t>
      </w:r>
      <w:r w:rsidR="00A77B45" w:rsidRPr="00073673">
        <w:t xml:space="preserve"> unless the ETC avails itself of one of the statutory processes discussed </w:t>
      </w:r>
      <w:r w:rsidR="00A77B45" w:rsidRPr="00073673">
        <w:rPr>
          <w:i/>
        </w:rPr>
        <w:t>infra</w:t>
      </w:r>
      <w:r w:rsidR="00A77B45" w:rsidRPr="00073673">
        <w:t xml:space="preserve">.  </w:t>
      </w:r>
    </w:p>
    <w:p w:rsidR="00C129E2" w:rsidRPr="00073673" w:rsidRDefault="002E3668" w:rsidP="002E3668">
      <w:pPr>
        <w:pStyle w:val="Textstyle"/>
      </w:pPr>
      <w:r>
        <w:tab/>
      </w:r>
      <w:r w:rsidR="00DC53F2" w:rsidRPr="00073673">
        <w:t>The FCC notes that in certain areas</w:t>
      </w:r>
      <w:r w:rsidR="001C2F2A">
        <w:t>,</w:t>
      </w:r>
      <w:r w:rsidR="00DC53F2" w:rsidRPr="00073673">
        <w:t xml:space="preserve"> ETCs will retain existing support levels or even receive greater funding under the CAF.</w:t>
      </w:r>
      <w:r w:rsidR="00D04AA9">
        <w:rPr>
          <w:rStyle w:val="FootnoteReference"/>
        </w:rPr>
        <w:footnoteReference w:id="9"/>
      </w:r>
      <w:r w:rsidR="00DC53F2" w:rsidRPr="00073673">
        <w:t xml:space="preserve">  </w:t>
      </w:r>
      <w:r w:rsidR="00E600E8" w:rsidRPr="00073673">
        <w:t>However</w:t>
      </w:r>
      <w:r w:rsidR="00DC53F2" w:rsidRPr="00073673">
        <w:t xml:space="preserve">, this funding will </w:t>
      </w:r>
      <w:r w:rsidR="001C2F2A">
        <w:t xml:space="preserve">be </w:t>
      </w:r>
      <w:r w:rsidR="00DC53F2" w:rsidRPr="00073673">
        <w:t>increasingly targeted at the census block level, or to other precisely defined geographic areas.</w:t>
      </w:r>
      <w:r w:rsidR="00DC53F2" w:rsidRPr="00073673">
        <w:rPr>
          <w:rStyle w:val="FootnoteReference"/>
        </w:rPr>
        <w:footnoteReference w:id="10"/>
      </w:r>
      <w:r w:rsidR="00DC53F2" w:rsidRPr="00073673">
        <w:t xml:space="preserve">  </w:t>
      </w:r>
      <w:r w:rsidR="00C129E2" w:rsidRPr="00073673">
        <w:t xml:space="preserve">The FCC </w:t>
      </w:r>
      <w:r w:rsidR="00DC53F2" w:rsidRPr="00073673">
        <w:t>asks</w:t>
      </w:r>
      <w:r w:rsidR="00C129E2" w:rsidRPr="00073673">
        <w:t xml:space="preserve"> whether some adjustment </w:t>
      </w:r>
      <w:r w:rsidR="00CA2676" w:rsidRPr="00073673">
        <w:t xml:space="preserve">to </w:t>
      </w:r>
      <w:r w:rsidR="00DC53F2" w:rsidRPr="00073673">
        <w:t xml:space="preserve">an </w:t>
      </w:r>
      <w:r w:rsidR="00C129E2" w:rsidRPr="00073673">
        <w:t>ETC</w:t>
      </w:r>
      <w:r w:rsidR="001C2F2A">
        <w:t>’</w:t>
      </w:r>
      <w:r w:rsidR="00C129E2" w:rsidRPr="00073673">
        <w:t>s section 214(e</w:t>
      </w:r>
      <w:proofErr w:type="gramStart"/>
      <w:r w:rsidR="00C129E2" w:rsidRPr="00073673">
        <w:t>)(</w:t>
      </w:r>
      <w:proofErr w:type="gramEnd"/>
      <w:r w:rsidR="00C129E2" w:rsidRPr="00073673">
        <w:t>1) obligation</w:t>
      </w:r>
      <w:r w:rsidR="00A77B45">
        <w:t xml:space="preserve"> </w:t>
      </w:r>
      <w:r w:rsidR="00C129E2" w:rsidRPr="00073673">
        <w:t>may be appropriate</w:t>
      </w:r>
      <w:r w:rsidR="00DC53F2" w:rsidRPr="00073673">
        <w:t xml:space="preserve"> in such instances.</w:t>
      </w:r>
      <w:r w:rsidR="00C129E2" w:rsidRPr="00073673">
        <w:rPr>
          <w:rStyle w:val="FootnoteReference"/>
        </w:rPr>
        <w:footnoteReference w:id="11"/>
      </w:r>
      <w:r w:rsidR="00C129E2" w:rsidRPr="00073673">
        <w:t xml:space="preserve">  </w:t>
      </w:r>
      <w:r w:rsidR="00A77B45">
        <w:t>T</w:t>
      </w:r>
      <w:r w:rsidR="00C129E2" w:rsidRPr="00073673">
        <w:t xml:space="preserve">he FCC </w:t>
      </w:r>
      <w:r w:rsidR="00DC53F2" w:rsidRPr="00073673">
        <w:t xml:space="preserve">suggests </w:t>
      </w:r>
      <w:r w:rsidR="00C129E2" w:rsidRPr="00073673">
        <w:t xml:space="preserve">that </w:t>
      </w:r>
      <w:r w:rsidR="00DC53F2" w:rsidRPr="00073673">
        <w:t xml:space="preserve">the </w:t>
      </w:r>
      <w:r w:rsidR="00C129E2" w:rsidRPr="00073673">
        <w:t xml:space="preserve">existing </w:t>
      </w:r>
      <w:r w:rsidR="00DC53F2" w:rsidRPr="00073673">
        <w:t xml:space="preserve">section 214 </w:t>
      </w:r>
      <w:r w:rsidR="00C129E2" w:rsidRPr="00073673">
        <w:t>ETC relin</w:t>
      </w:r>
      <w:r w:rsidR="005008B5">
        <w:softHyphen/>
      </w:r>
      <w:r w:rsidR="00C129E2" w:rsidRPr="00073673">
        <w:t>quishment and service area redefinition procedures,</w:t>
      </w:r>
      <w:r w:rsidR="00DC53F2" w:rsidRPr="00073673">
        <w:rPr>
          <w:rStyle w:val="FootnoteReference"/>
        </w:rPr>
        <w:footnoteReference w:id="12"/>
      </w:r>
      <w:r w:rsidR="00C129E2" w:rsidRPr="00073673">
        <w:t xml:space="preserve"> backstopped by the availability of forbearance from federal requirements,</w:t>
      </w:r>
      <w:r w:rsidR="00DC53F2" w:rsidRPr="00073673">
        <w:rPr>
          <w:rStyle w:val="FootnoteReference"/>
        </w:rPr>
        <w:footnoteReference w:id="13"/>
      </w:r>
      <w:r w:rsidR="00C129E2" w:rsidRPr="00073673">
        <w:t xml:space="preserve"> provide an appropriate case-by-case frame</w:t>
      </w:r>
      <w:r w:rsidR="005008B5">
        <w:softHyphen/>
      </w:r>
      <w:r w:rsidR="00C129E2" w:rsidRPr="00073673">
        <w:t>work in which to address</w:t>
      </w:r>
      <w:r w:rsidR="00CA2676" w:rsidRPr="00073673">
        <w:t xml:space="preserve"> situa</w:t>
      </w:r>
      <w:r w:rsidR="00C770A3">
        <w:softHyphen/>
      </w:r>
      <w:r w:rsidR="00CA2676" w:rsidRPr="00073673">
        <w:t>tions such as this, as well as those discussed in the pre</w:t>
      </w:r>
      <w:r w:rsidR="005008B5">
        <w:softHyphen/>
      </w:r>
      <w:r w:rsidR="00CA2676" w:rsidRPr="00073673">
        <w:t>ceding paragraph</w:t>
      </w:r>
      <w:r w:rsidR="00C129E2" w:rsidRPr="00073673">
        <w:t>.</w:t>
      </w:r>
      <w:r w:rsidR="00C129E2" w:rsidRPr="00073673">
        <w:rPr>
          <w:rStyle w:val="FootnoteReference"/>
        </w:rPr>
        <w:footnoteReference w:id="14"/>
      </w:r>
      <w:r w:rsidR="00C129E2" w:rsidRPr="00073673">
        <w:t xml:space="preserve">  The Ohio Commission agrees with the FCC</w:t>
      </w:r>
      <w:r w:rsidR="00CA2676" w:rsidRPr="00073673">
        <w:t>’s assessment</w:t>
      </w:r>
      <w:r w:rsidR="00C129E2" w:rsidRPr="00073673">
        <w:t xml:space="preserve"> that </w:t>
      </w:r>
      <w:r w:rsidR="00CA2676" w:rsidRPr="00073673">
        <w:t xml:space="preserve">the </w:t>
      </w:r>
      <w:r w:rsidR="00C129E2" w:rsidRPr="00073673">
        <w:t xml:space="preserve">existing </w:t>
      </w:r>
      <w:r w:rsidR="00CA2676" w:rsidRPr="00073673">
        <w:t>statu</w:t>
      </w:r>
      <w:r w:rsidR="00C770A3">
        <w:softHyphen/>
      </w:r>
      <w:r w:rsidR="00CA2676" w:rsidRPr="00073673">
        <w:t xml:space="preserve">tory </w:t>
      </w:r>
      <w:r w:rsidR="00C129E2" w:rsidRPr="00073673">
        <w:t>ETC relinquishment and service area redefinition procedure</w:t>
      </w:r>
      <w:r w:rsidR="00CA2676" w:rsidRPr="00073673">
        <w:t>s</w:t>
      </w:r>
      <w:r w:rsidR="00C129E2" w:rsidRPr="00073673">
        <w:t xml:space="preserve"> provide an appro</w:t>
      </w:r>
      <w:r w:rsidR="00C770A3">
        <w:softHyphen/>
      </w:r>
      <w:r w:rsidR="00C129E2" w:rsidRPr="00073673">
        <w:t xml:space="preserve">priate case-by-case framework </w:t>
      </w:r>
      <w:r w:rsidR="00A77B45">
        <w:t xml:space="preserve">in which </w:t>
      </w:r>
      <w:r w:rsidR="00C129E2" w:rsidRPr="00073673">
        <w:t>to address the</w:t>
      </w:r>
      <w:r w:rsidR="00CA2676" w:rsidRPr="00073673">
        <w:t>se</w:t>
      </w:r>
      <w:r w:rsidR="00C129E2" w:rsidRPr="00073673">
        <w:t xml:space="preserve"> issue</w:t>
      </w:r>
      <w:r w:rsidR="00E74F3D">
        <w:t>s</w:t>
      </w:r>
      <w:r w:rsidR="00C129E2" w:rsidRPr="00073673">
        <w:t>.</w:t>
      </w:r>
      <w:r w:rsidR="00C129E2" w:rsidRPr="00073673">
        <w:rPr>
          <w:rStyle w:val="FootnoteReference"/>
        </w:rPr>
        <w:footnoteReference w:id="15"/>
      </w:r>
      <w:r w:rsidR="00C129E2" w:rsidRPr="00073673">
        <w:t xml:space="preserve">  </w:t>
      </w:r>
      <w:r w:rsidR="003B42A4" w:rsidRPr="00073673">
        <w:t>B</w:t>
      </w:r>
      <w:r w:rsidR="00C129E2" w:rsidRPr="00073673">
        <w:t>arring a</w:t>
      </w:r>
      <w:r w:rsidR="003B42A4" w:rsidRPr="00073673">
        <w:t>n amendment</w:t>
      </w:r>
      <w:r w:rsidR="00C129E2" w:rsidRPr="00073673">
        <w:t xml:space="preserve"> to </w:t>
      </w:r>
      <w:r w:rsidR="004E670F">
        <w:t>section 214</w:t>
      </w:r>
      <w:r w:rsidR="00C129E2" w:rsidRPr="00073673">
        <w:t xml:space="preserve">, the processes set forth in </w:t>
      </w:r>
      <w:r w:rsidR="004E670F">
        <w:t xml:space="preserve">that </w:t>
      </w:r>
      <w:r w:rsidR="00C129E2" w:rsidRPr="00073673">
        <w:t xml:space="preserve">section </w:t>
      </w:r>
      <w:r>
        <w:t>provide a sufficient</w:t>
      </w:r>
      <w:r w:rsidR="00C129E2" w:rsidRPr="00073673">
        <w:t xml:space="preserve"> </w:t>
      </w:r>
      <w:r w:rsidR="00C129E2" w:rsidRPr="00073673">
        <w:lastRenderedPageBreak/>
        <w:t xml:space="preserve">remedy </w:t>
      </w:r>
      <w:r w:rsidR="00323569" w:rsidRPr="00073673">
        <w:t xml:space="preserve">to ETCs </w:t>
      </w:r>
      <w:r w:rsidR="00A77B45">
        <w:t xml:space="preserve">that </w:t>
      </w:r>
      <w:r w:rsidR="00323569" w:rsidRPr="00073673">
        <w:t xml:space="preserve">wish to </w:t>
      </w:r>
      <w:r w:rsidR="00A77B45">
        <w:t xml:space="preserve">be </w:t>
      </w:r>
      <w:r w:rsidR="00CE0B22">
        <w:t>relieved</w:t>
      </w:r>
      <w:r w:rsidR="00A77B45">
        <w:t xml:space="preserve"> </w:t>
      </w:r>
      <w:r w:rsidR="00323569" w:rsidRPr="00073673">
        <w:t xml:space="preserve">of their </w:t>
      </w:r>
      <w:r w:rsidR="00C025E2" w:rsidRPr="00073673">
        <w:t>section 214 (e</w:t>
      </w:r>
      <w:proofErr w:type="gramStart"/>
      <w:r w:rsidR="00C025E2" w:rsidRPr="00073673">
        <w:t>)(</w:t>
      </w:r>
      <w:proofErr w:type="gramEnd"/>
      <w:r w:rsidR="00C025E2" w:rsidRPr="00073673">
        <w:t xml:space="preserve">1) </w:t>
      </w:r>
      <w:r w:rsidR="00323569" w:rsidRPr="00073673">
        <w:t>voice service obliga</w:t>
      </w:r>
      <w:r w:rsidR="0097798D">
        <w:softHyphen/>
      </w:r>
      <w:r w:rsidR="00323569" w:rsidRPr="00073673">
        <w:t>tion</w:t>
      </w:r>
      <w:r w:rsidR="00C025E2" w:rsidRPr="00073673">
        <w:t>s</w:t>
      </w:r>
      <w:r w:rsidR="00C129E2" w:rsidRPr="00073673">
        <w:t xml:space="preserve">.  </w:t>
      </w:r>
    </w:p>
    <w:p w:rsidR="00C129E2" w:rsidRPr="00073673" w:rsidRDefault="002E3668" w:rsidP="002E3668">
      <w:pPr>
        <w:pStyle w:val="Textstyle"/>
      </w:pPr>
      <w:r>
        <w:tab/>
      </w:r>
      <w:r w:rsidR="003B42A4" w:rsidRPr="00073673">
        <w:t>Should an</w:t>
      </w:r>
      <w:r w:rsidR="00C129E2" w:rsidRPr="00073673">
        <w:t xml:space="preserve"> ETC find th</w:t>
      </w:r>
      <w:r w:rsidR="003B42A4" w:rsidRPr="00073673">
        <w:t xml:space="preserve">e relinquishment and/or service area redefinition provisions of section 214 </w:t>
      </w:r>
      <w:r w:rsidR="00C129E2" w:rsidRPr="00073673">
        <w:t>to be insufficient, the</w:t>
      </w:r>
      <w:r w:rsidR="003B42A4" w:rsidRPr="00073673">
        <w:t xml:space="preserve"> FCC indicates</w:t>
      </w:r>
      <w:r w:rsidR="00C129E2" w:rsidRPr="00073673">
        <w:t xml:space="preserve"> that forbearance</w:t>
      </w:r>
      <w:r w:rsidR="003B42A4" w:rsidRPr="00073673">
        <w:t>, handled on a case-by-case basis,</w:t>
      </w:r>
      <w:r w:rsidR="00C129E2" w:rsidRPr="00073673">
        <w:t xml:space="preserve"> </w:t>
      </w:r>
      <w:r w:rsidR="00F31C84">
        <w:t>provides an</w:t>
      </w:r>
      <w:r w:rsidR="00C129E2" w:rsidRPr="00073673">
        <w:t xml:space="preserve"> appropriate remedy.</w:t>
      </w:r>
      <w:r w:rsidR="00C129E2" w:rsidRPr="00073673">
        <w:rPr>
          <w:rStyle w:val="FootnoteReference"/>
        </w:rPr>
        <w:footnoteReference w:id="16"/>
      </w:r>
      <w:r w:rsidR="00C129E2" w:rsidRPr="00073673">
        <w:t xml:space="preserve">  Section 1</w:t>
      </w:r>
      <w:r w:rsidR="007D186E" w:rsidRPr="00073673">
        <w:t xml:space="preserve">60(a) </w:t>
      </w:r>
      <w:r w:rsidR="00C129E2" w:rsidRPr="00073673">
        <w:t xml:space="preserve">states </w:t>
      </w:r>
      <w:r w:rsidR="004E670F">
        <w:t xml:space="preserve">that </w:t>
      </w:r>
      <w:r w:rsidR="00C129E2" w:rsidRPr="00073673">
        <w:t xml:space="preserve">the FCC </w:t>
      </w:r>
      <w:r w:rsidR="007D186E" w:rsidRPr="00073673">
        <w:t xml:space="preserve">shall </w:t>
      </w:r>
      <w:r w:rsidR="00C129E2" w:rsidRPr="00073673">
        <w:t>“for</w:t>
      </w:r>
      <w:r w:rsidR="005008B5">
        <w:softHyphen/>
      </w:r>
      <w:r w:rsidR="00C129E2" w:rsidRPr="00073673">
        <w:t>bear from applying any regulation or any provision of [the] Act to a telecommunica</w:t>
      </w:r>
      <w:r w:rsidR="00C770A3">
        <w:softHyphen/>
      </w:r>
      <w:r w:rsidR="00C129E2" w:rsidRPr="00073673">
        <w:t>tions carrier . . . in any or some of it geographic markets,”</w:t>
      </w:r>
      <w:r w:rsidR="007D186E" w:rsidRPr="00073673">
        <w:t xml:space="preserve"> </w:t>
      </w:r>
      <w:r w:rsidR="00C025E2" w:rsidRPr="00073673">
        <w:t>in certain instances</w:t>
      </w:r>
      <w:r w:rsidR="00E51DCA">
        <w:t>.</w:t>
      </w:r>
      <w:r w:rsidR="00786426">
        <w:rPr>
          <w:rStyle w:val="FootnoteReference"/>
        </w:rPr>
        <w:footnoteReference w:id="17"/>
      </w:r>
      <w:r w:rsidR="00E51DCA">
        <w:t xml:space="preserve">  </w:t>
      </w:r>
      <w:r w:rsidR="001100E9" w:rsidRPr="00073673">
        <w:t>The Ohio Commission concurs with the FCC’s assess</w:t>
      </w:r>
      <w:r w:rsidR="00C770A3">
        <w:softHyphen/>
      </w:r>
      <w:r w:rsidR="001100E9" w:rsidRPr="00073673">
        <w:t xml:space="preserve">ment that </w:t>
      </w:r>
      <w:r w:rsidR="007D186E" w:rsidRPr="00073673">
        <w:t>the FCC</w:t>
      </w:r>
      <w:r w:rsidR="00CE0B22">
        <w:t xml:space="preserve">’s forbearance </w:t>
      </w:r>
      <w:r w:rsidR="001100E9" w:rsidRPr="00073673">
        <w:t>from</w:t>
      </w:r>
      <w:r w:rsidR="00C129E2" w:rsidRPr="00073673">
        <w:t xml:space="preserve"> </w:t>
      </w:r>
      <w:r w:rsidR="001100E9" w:rsidRPr="00073673">
        <w:t xml:space="preserve">the </w:t>
      </w:r>
      <w:r w:rsidR="00C129E2" w:rsidRPr="00073673">
        <w:t xml:space="preserve">section 214(e)(1) requirement that ETCs offer service “throughout [their] service area” </w:t>
      </w:r>
      <w:r w:rsidR="00CE0B22">
        <w:t>may be proper, but</w:t>
      </w:r>
      <w:r w:rsidR="005871DF">
        <w:t xml:space="preserve"> only where</w:t>
      </w:r>
      <w:r w:rsidR="00C129E2" w:rsidRPr="00073673">
        <w:t xml:space="preserve"> the statutory criteria for forbearance </w:t>
      </w:r>
      <w:r w:rsidR="005871DF">
        <w:t>are</w:t>
      </w:r>
      <w:r w:rsidR="00CE0B22" w:rsidRPr="00073673">
        <w:t xml:space="preserve"> </w:t>
      </w:r>
      <w:r w:rsidR="00C129E2" w:rsidRPr="00073673">
        <w:t>met.</w:t>
      </w:r>
      <w:r w:rsidR="00C129E2" w:rsidRPr="00073673">
        <w:rPr>
          <w:rStyle w:val="FootnoteReference"/>
        </w:rPr>
        <w:footnoteReference w:id="18"/>
      </w:r>
      <w:r w:rsidR="00C129E2" w:rsidRPr="00073673">
        <w:t xml:space="preserve">  </w:t>
      </w:r>
      <w:r w:rsidR="00CE0B22">
        <w:t xml:space="preserve">This, the Ohio Commission submits, is the required result </w:t>
      </w:r>
      <w:r w:rsidR="007D186E" w:rsidRPr="00073673">
        <w:t>under section 160(a) to forbear from the 214(e)(1) requirements.</w:t>
      </w:r>
      <w:r w:rsidR="00C129E2" w:rsidRPr="00073673">
        <w:t xml:space="preserve"> </w:t>
      </w:r>
    </w:p>
    <w:p w:rsidR="00C129E2" w:rsidRPr="00073673" w:rsidRDefault="002E3668" w:rsidP="002E3668">
      <w:pPr>
        <w:pStyle w:val="Textstyle"/>
      </w:pPr>
      <w:r>
        <w:tab/>
      </w:r>
      <w:r w:rsidR="00C129E2" w:rsidRPr="00073673">
        <w:t xml:space="preserve">Some commenters </w:t>
      </w:r>
      <w:r w:rsidR="00CE0B22">
        <w:t xml:space="preserve">have </w:t>
      </w:r>
      <w:r w:rsidR="00C129E2" w:rsidRPr="00073673">
        <w:t>suggest</w:t>
      </w:r>
      <w:r w:rsidR="00CE0B22">
        <w:t>ed</w:t>
      </w:r>
      <w:r w:rsidR="00C129E2" w:rsidRPr="00073673">
        <w:t xml:space="preserve"> that an ETC’s section 214(e)(1) service area “should be limited to those specific geographies where the ETC is receiving universal service support.”</w:t>
      </w:r>
      <w:r w:rsidR="00C129E2" w:rsidRPr="00073673">
        <w:rPr>
          <w:rStyle w:val="FootnoteReference"/>
        </w:rPr>
        <w:footnoteReference w:id="19"/>
      </w:r>
      <w:r w:rsidR="00C129E2" w:rsidRPr="00073673">
        <w:t xml:space="preserve">  These commenters </w:t>
      </w:r>
      <w:r w:rsidR="007D186E" w:rsidRPr="00073673">
        <w:t xml:space="preserve">further </w:t>
      </w:r>
      <w:r w:rsidR="00C129E2" w:rsidRPr="00073673">
        <w:t xml:space="preserve">suggest that the FCC grant blanket section </w:t>
      </w:r>
      <w:r w:rsidR="00C129E2" w:rsidRPr="00073673">
        <w:lastRenderedPageBreak/>
        <w:t>1</w:t>
      </w:r>
      <w:r w:rsidR="007D186E" w:rsidRPr="00073673">
        <w:t>6</w:t>
      </w:r>
      <w:r w:rsidR="00C129E2" w:rsidRPr="00073673">
        <w:t>0</w:t>
      </w:r>
      <w:r w:rsidR="007D186E" w:rsidRPr="00073673">
        <w:t>(a)</w:t>
      </w:r>
      <w:r w:rsidR="00C129E2" w:rsidRPr="00073673">
        <w:t xml:space="preserve"> forbearance “to the extent section 214(e)(1) requires ETCs to offer service in areas where they receive no universal service support.”</w:t>
      </w:r>
      <w:r w:rsidR="00C129E2" w:rsidRPr="00073673">
        <w:rPr>
          <w:rStyle w:val="FootnoteReference"/>
        </w:rPr>
        <w:footnoteReference w:id="20"/>
      </w:r>
      <w:r w:rsidR="00C129E2" w:rsidRPr="00073673">
        <w:t xml:space="preserve">  The FCC </w:t>
      </w:r>
      <w:r w:rsidR="00CE0B22">
        <w:t>invites</w:t>
      </w:r>
      <w:r w:rsidR="00CE0B22" w:rsidRPr="00073673">
        <w:t xml:space="preserve"> </w:t>
      </w:r>
      <w:r w:rsidR="00C129E2" w:rsidRPr="00073673">
        <w:t>comment on these sugges</w:t>
      </w:r>
      <w:r w:rsidR="00C770A3">
        <w:softHyphen/>
      </w:r>
      <w:r w:rsidR="00C129E2" w:rsidRPr="00073673">
        <w:t xml:space="preserve">tions.  The Ohio Commission </w:t>
      </w:r>
      <w:r w:rsidR="007D186E" w:rsidRPr="00073673">
        <w:t>find</w:t>
      </w:r>
      <w:r w:rsidR="00F31C84">
        <w:t>s</w:t>
      </w:r>
      <w:r w:rsidR="007D186E" w:rsidRPr="00073673">
        <w:t xml:space="preserve"> </w:t>
      </w:r>
      <w:r w:rsidR="00F31C84">
        <w:t xml:space="preserve">little </w:t>
      </w:r>
      <w:r w:rsidR="007D186E" w:rsidRPr="00073673">
        <w:t>merit in these suggestions</w:t>
      </w:r>
      <w:r w:rsidR="00CE0B22">
        <w:t xml:space="preserve"> and </w:t>
      </w:r>
      <w:r w:rsidR="00C129E2" w:rsidRPr="00073673">
        <w:t xml:space="preserve">believes that </w:t>
      </w:r>
      <w:r w:rsidR="007D186E" w:rsidRPr="00073673">
        <w:t xml:space="preserve">section 214 sets forth the appropriate remedies should an ETC wish to be </w:t>
      </w:r>
      <w:r w:rsidR="00CE0B22">
        <w:t>relieved</w:t>
      </w:r>
      <w:r w:rsidR="00CE0B22" w:rsidRPr="00073673">
        <w:t xml:space="preserve"> </w:t>
      </w:r>
      <w:r w:rsidR="007D186E" w:rsidRPr="00073673">
        <w:t xml:space="preserve">of its section 214(e)(1) service obligations in </w:t>
      </w:r>
      <w:r w:rsidR="00CE0B22">
        <w:t xml:space="preserve">all or any portion of </w:t>
      </w:r>
      <w:r w:rsidR="007D186E" w:rsidRPr="00073673">
        <w:t>its ser</w:t>
      </w:r>
      <w:r w:rsidR="00C770A3">
        <w:softHyphen/>
      </w:r>
      <w:r w:rsidR="007D186E" w:rsidRPr="00073673">
        <w:t xml:space="preserve">vice territory.  </w:t>
      </w:r>
      <w:r w:rsidR="00CE0B22">
        <w:t>This more reasoned position properly</w:t>
      </w:r>
      <w:r w:rsidR="00F92E64" w:rsidRPr="00073673">
        <w:t xml:space="preserve"> recognize</w:t>
      </w:r>
      <w:r w:rsidR="00CE0B22">
        <w:t>s</w:t>
      </w:r>
      <w:r w:rsidR="00F92E64" w:rsidRPr="00073673">
        <w:t xml:space="preserve"> the</w:t>
      </w:r>
      <w:r w:rsidR="00CE0B22">
        <w:t xml:space="preserve"> important</w:t>
      </w:r>
      <w:r w:rsidR="00F92E64" w:rsidRPr="00073673">
        <w:t xml:space="preserve"> </w:t>
      </w:r>
      <w:r w:rsidR="00C129E2" w:rsidRPr="00073673">
        <w:t xml:space="preserve">balance </w:t>
      </w:r>
      <w:r w:rsidR="00F92E64" w:rsidRPr="00073673">
        <w:t xml:space="preserve">between </w:t>
      </w:r>
      <w:r w:rsidR="00C129E2" w:rsidRPr="00073673">
        <w:t xml:space="preserve">the </w:t>
      </w:r>
      <w:r w:rsidR="00F92E64" w:rsidRPr="00073673">
        <w:t xml:space="preserve">FCC </w:t>
      </w:r>
      <w:r w:rsidR="00C129E2" w:rsidRPr="00073673">
        <w:t xml:space="preserve">and </w:t>
      </w:r>
      <w:r w:rsidR="00DF2F6E">
        <w:t xml:space="preserve">the </w:t>
      </w:r>
      <w:r w:rsidR="00C129E2" w:rsidRPr="00073673">
        <w:t>state</w:t>
      </w:r>
      <w:r w:rsidR="00DF2F6E">
        <w:t>s</w:t>
      </w:r>
      <w:r w:rsidR="00CE0B22">
        <w:t>, consistent with the role left to state commissions under</w:t>
      </w:r>
      <w:r w:rsidR="00F31C84">
        <w:t xml:space="preserve"> </w:t>
      </w:r>
      <w:r w:rsidR="00F92E64" w:rsidRPr="00073673">
        <w:t>s</w:t>
      </w:r>
      <w:r w:rsidR="00C129E2" w:rsidRPr="00073673">
        <w:t>ection 214</w:t>
      </w:r>
      <w:r w:rsidR="00F92E64" w:rsidRPr="00073673">
        <w:t>(e)</w:t>
      </w:r>
      <w:r w:rsidR="00C129E2" w:rsidRPr="00073673">
        <w:t xml:space="preserve">(5).  </w:t>
      </w:r>
      <w:r w:rsidR="00F92E64" w:rsidRPr="00073673">
        <w:t xml:space="preserve">The Ohio Commission </w:t>
      </w:r>
      <w:r w:rsidR="00CE0B22">
        <w:t xml:space="preserve">submits that </w:t>
      </w:r>
      <w:r w:rsidR="004E670F">
        <w:t>this position is consistent with</w:t>
      </w:r>
      <w:r w:rsidR="00F37AEF">
        <w:t xml:space="preserve"> intent of </w:t>
      </w:r>
      <w:r w:rsidR="00CE0B22">
        <w:t xml:space="preserve">Congress when it </w:t>
      </w:r>
      <w:r w:rsidR="00F92E64" w:rsidRPr="00073673">
        <w:t>enact</w:t>
      </w:r>
      <w:r w:rsidR="00CE0B22">
        <w:t>ed</w:t>
      </w:r>
      <w:r w:rsidR="00F92E64" w:rsidRPr="00073673">
        <w:t xml:space="preserve"> section 214.</w:t>
      </w:r>
    </w:p>
    <w:p w:rsidR="00C129E2" w:rsidRPr="00073673" w:rsidRDefault="002E3668" w:rsidP="002E3668">
      <w:pPr>
        <w:pStyle w:val="Textstyle"/>
      </w:pPr>
      <w:r>
        <w:tab/>
      </w:r>
      <w:r w:rsidR="00C129E2" w:rsidRPr="00073673">
        <w:t>The FCC seek</w:t>
      </w:r>
      <w:r w:rsidR="00222B38" w:rsidRPr="00073673">
        <w:t>s</w:t>
      </w:r>
      <w:r w:rsidR="00C129E2" w:rsidRPr="00073673">
        <w:t xml:space="preserve"> comment on how to ensure that low-income consumers</w:t>
      </w:r>
      <w:r w:rsidR="00CE0B22">
        <w:t xml:space="preserve"> who</w:t>
      </w:r>
      <w:r w:rsidR="00C129E2" w:rsidRPr="00073673">
        <w:t xml:space="preserve"> only wish to subscribe to voice service continue to have the ability to receive Lifeline bene</w:t>
      </w:r>
      <w:r w:rsidR="00C770A3">
        <w:softHyphen/>
      </w:r>
      <w:r w:rsidR="00C129E2" w:rsidRPr="00073673">
        <w:t>fits.</w:t>
      </w:r>
      <w:r w:rsidR="00C129E2" w:rsidRPr="00073673">
        <w:rPr>
          <w:rStyle w:val="FootnoteReference"/>
        </w:rPr>
        <w:footnoteReference w:id="21"/>
      </w:r>
      <w:r w:rsidR="00C129E2" w:rsidRPr="00073673">
        <w:t xml:space="preserve">  The ETC designation </w:t>
      </w:r>
      <w:r w:rsidR="00222B38" w:rsidRPr="00073673">
        <w:t>does not</w:t>
      </w:r>
      <w:r w:rsidR="00C129E2" w:rsidRPr="00073673">
        <w:t xml:space="preserve"> make carriers eligible to receive universal service support in high cost areas</w:t>
      </w:r>
      <w:r w:rsidR="00222B38" w:rsidRPr="00073673">
        <w:t xml:space="preserve"> only</w:t>
      </w:r>
      <w:r w:rsidR="00CE0B22">
        <w:t>;</w:t>
      </w:r>
      <w:r w:rsidR="00222B38" w:rsidRPr="00073673">
        <w:t xml:space="preserve"> rather, </w:t>
      </w:r>
      <w:r w:rsidR="00CE0B22">
        <w:t xml:space="preserve">it </w:t>
      </w:r>
      <w:r w:rsidR="00C129E2" w:rsidRPr="00073673">
        <w:t xml:space="preserve">comes with the </w:t>
      </w:r>
      <w:r w:rsidR="00222B38" w:rsidRPr="00073673">
        <w:t>obligation</w:t>
      </w:r>
      <w:r w:rsidR="00C129E2" w:rsidRPr="00073673">
        <w:t xml:space="preserve"> to provide </w:t>
      </w:r>
      <w:r w:rsidR="003A34EE">
        <w:t xml:space="preserve">discounted </w:t>
      </w:r>
      <w:r w:rsidR="00C129E2" w:rsidRPr="00073673">
        <w:t xml:space="preserve">service to low-income consumers </w:t>
      </w:r>
      <w:r w:rsidR="00CE0B22">
        <w:t xml:space="preserve">without regard to where </w:t>
      </w:r>
      <w:r w:rsidR="00C129E2" w:rsidRPr="00073673">
        <w:t xml:space="preserve">the consumer lives.  ETCs providing </w:t>
      </w:r>
      <w:r w:rsidR="003A34EE">
        <w:t>L</w:t>
      </w:r>
      <w:r w:rsidR="00C129E2" w:rsidRPr="00073673">
        <w:t xml:space="preserve">ifeline service to low-income consumers in urbanized areas are reimbursed though the </w:t>
      </w:r>
      <w:r w:rsidR="00222B38" w:rsidRPr="00073673">
        <w:t>L</w:t>
      </w:r>
      <w:r w:rsidR="00C129E2" w:rsidRPr="00073673">
        <w:t xml:space="preserve">ifeline component of the </w:t>
      </w:r>
      <w:r w:rsidR="003A34EE">
        <w:t>USF</w:t>
      </w:r>
      <w:r w:rsidR="00C129E2" w:rsidRPr="00073673">
        <w:t xml:space="preserve"> and will continue to receive such support.  ETCs that provide </w:t>
      </w:r>
      <w:r w:rsidR="00222B38" w:rsidRPr="00073673">
        <w:t>L</w:t>
      </w:r>
      <w:r w:rsidR="00C129E2" w:rsidRPr="00073673">
        <w:t>ifeline service to consumers in high-cost area</w:t>
      </w:r>
      <w:r w:rsidR="00767B04">
        <w:t>s</w:t>
      </w:r>
      <w:r w:rsidR="00C129E2" w:rsidRPr="00073673">
        <w:t xml:space="preserve"> </w:t>
      </w:r>
      <w:r w:rsidR="00222B38" w:rsidRPr="00073673">
        <w:t>remain</w:t>
      </w:r>
      <w:r w:rsidR="00C129E2" w:rsidRPr="00073673">
        <w:t xml:space="preserve"> eligible to receive </w:t>
      </w:r>
      <w:r w:rsidR="003A34EE">
        <w:t xml:space="preserve">reimbursement </w:t>
      </w:r>
      <w:r w:rsidR="00C129E2" w:rsidRPr="00073673">
        <w:t xml:space="preserve">from the </w:t>
      </w:r>
      <w:r w:rsidR="00222B38" w:rsidRPr="00073673">
        <w:t>L</w:t>
      </w:r>
      <w:r w:rsidR="00C129E2" w:rsidRPr="00073673">
        <w:t xml:space="preserve">ifeline component of the </w:t>
      </w:r>
      <w:r w:rsidR="003A34EE">
        <w:t>USF</w:t>
      </w:r>
      <w:r w:rsidR="00C129E2" w:rsidRPr="00073673">
        <w:t xml:space="preserve"> even if the</w:t>
      </w:r>
      <w:r w:rsidR="00222B38" w:rsidRPr="00073673">
        <w:t>y</w:t>
      </w:r>
      <w:r w:rsidR="00C129E2" w:rsidRPr="00073673">
        <w:t xml:space="preserve"> do not con</w:t>
      </w:r>
      <w:r w:rsidR="005008B5">
        <w:softHyphen/>
      </w:r>
      <w:r w:rsidR="00C129E2" w:rsidRPr="00073673">
        <w:t xml:space="preserve">tinue to receive funding from the high-cost component of the </w:t>
      </w:r>
      <w:r w:rsidR="003A34EE">
        <w:t>USF</w:t>
      </w:r>
      <w:r w:rsidR="00C129E2" w:rsidRPr="00073673">
        <w:t xml:space="preserve"> </w:t>
      </w:r>
      <w:r w:rsidR="00222B38" w:rsidRPr="00073673">
        <w:t xml:space="preserve">following </w:t>
      </w:r>
      <w:r w:rsidR="00C129E2" w:rsidRPr="00073673">
        <w:t>the imple</w:t>
      </w:r>
      <w:r w:rsidR="005008B5">
        <w:softHyphen/>
      </w:r>
      <w:r w:rsidR="00C129E2" w:rsidRPr="00073673">
        <w:t xml:space="preserve">mentation of the CAF.  </w:t>
      </w:r>
      <w:r w:rsidR="00222B38" w:rsidRPr="00073673">
        <w:t>T</w:t>
      </w:r>
      <w:r w:rsidR="00C129E2" w:rsidRPr="00073673">
        <w:t xml:space="preserve">he FCC </w:t>
      </w:r>
      <w:r w:rsidR="00222B38" w:rsidRPr="00073673">
        <w:t xml:space="preserve">notes </w:t>
      </w:r>
      <w:r w:rsidR="00C129E2" w:rsidRPr="00073673">
        <w:t xml:space="preserve">that a safeguard </w:t>
      </w:r>
      <w:r w:rsidR="00222B38" w:rsidRPr="00073673">
        <w:t xml:space="preserve">is in place </w:t>
      </w:r>
      <w:r w:rsidR="00C129E2" w:rsidRPr="00073673">
        <w:t>to protect consumers</w:t>
      </w:r>
      <w:r w:rsidR="003A34EE">
        <w:t xml:space="preserve"> </w:t>
      </w:r>
      <w:r w:rsidR="00767B04">
        <w:lastRenderedPageBreak/>
        <w:t>as</w:t>
      </w:r>
      <w:r w:rsidR="003A34EE">
        <w:t xml:space="preserve"> a</w:t>
      </w:r>
      <w:r w:rsidR="00222B38" w:rsidRPr="00073673">
        <w:t>n ETC may</w:t>
      </w:r>
      <w:r w:rsidR="003A34EE">
        <w:t xml:space="preserve"> </w:t>
      </w:r>
      <w:r w:rsidR="00C129E2" w:rsidRPr="00073673">
        <w:t xml:space="preserve">seek relief from some or all of </w:t>
      </w:r>
      <w:r w:rsidR="00222B38" w:rsidRPr="00073673">
        <w:t xml:space="preserve">the FCC’s USF </w:t>
      </w:r>
      <w:r w:rsidR="00C129E2" w:rsidRPr="00073673">
        <w:t xml:space="preserve">reforms </w:t>
      </w:r>
      <w:r w:rsidR="00767B04">
        <w:t xml:space="preserve">where </w:t>
      </w:r>
      <w:r w:rsidR="00C129E2" w:rsidRPr="00073673">
        <w:t>the carrier can demonstrate that reduction</w:t>
      </w:r>
      <w:r w:rsidR="00767B04">
        <w:t>s</w:t>
      </w:r>
      <w:r w:rsidR="00C129E2" w:rsidRPr="00073673">
        <w:t xml:space="preserve"> in existing high-cost sup</w:t>
      </w:r>
      <w:r w:rsidR="00C770A3">
        <w:softHyphen/>
      </w:r>
      <w:r w:rsidR="00C129E2" w:rsidRPr="00073673">
        <w:t>port w</w:t>
      </w:r>
      <w:r w:rsidR="00211582" w:rsidRPr="00073673">
        <w:t>ill</w:t>
      </w:r>
      <w:r w:rsidR="00C129E2" w:rsidRPr="00073673">
        <w:t xml:space="preserve"> </w:t>
      </w:r>
      <w:r w:rsidR="00767B04">
        <w:t>place</w:t>
      </w:r>
      <w:r w:rsidR="00767B04" w:rsidRPr="00073673">
        <w:t xml:space="preserve"> </w:t>
      </w:r>
      <w:r w:rsidR="00C129E2" w:rsidRPr="00073673">
        <w:t xml:space="preserve">customers at risk of losing service </w:t>
      </w:r>
      <w:r w:rsidR="00767B04">
        <w:t>where</w:t>
      </w:r>
      <w:r w:rsidR="00767B04" w:rsidRPr="00073673">
        <w:t xml:space="preserve"> </w:t>
      </w:r>
      <w:r w:rsidR="00C129E2" w:rsidRPr="00073673">
        <w:t xml:space="preserve">no alternative terrestrial providers </w:t>
      </w:r>
      <w:r w:rsidR="00767B04">
        <w:t>exist</w:t>
      </w:r>
      <w:r w:rsidR="00C129E2" w:rsidRPr="00073673">
        <w:t>.</w:t>
      </w:r>
      <w:r w:rsidR="00C129E2" w:rsidRPr="00073673">
        <w:rPr>
          <w:rStyle w:val="FootnoteReference"/>
        </w:rPr>
        <w:footnoteReference w:id="22"/>
      </w:r>
      <w:r w:rsidR="00C129E2" w:rsidRPr="00073673">
        <w:t xml:space="preserve">  </w:t>
      </w:r>
      <w:r w:rsidR="00222B38" w:rsidRPr="00073673">
        <w:t>The Ohio Commission believes that th</w:t>
      </w:r>
      <w:r w:rsidR="001274F2">
        <w:t>is</w:t>
      </w:r>
      <w:r w:rsidR="00222B38" w:rsidRPr="00073673">
        <w:t xml:space="preserve"> CAF waiver mechanism </w:t>
      </w:r>
      <w:r w:rsidR="00211582" w:rsidRPr="00073673">
        <w:t>i</w:t>
      </w:r>
      <w:r w:rsidR="003A34EE">
        <w:t>s</w:t>
      </w:r>
      <w:r w:rsidR="00211582" w:rsidRPr="00073673">
        <w:t xml:space="preserve"> an effective means </w:t>
      </w:r>
      <w:r w:rsidR="00767B04">
        <w:t>to</w:t>
      </w:r>
      <w:r w:rsidR="00767B04" w:rsidRPr="00073673">
        <w:t xml:space="preserve"> </w:t>
      </w:r>
      <w:r w:rsidR="00211582" w:rsidRPr="00073673">
        <w:t>ensur</w:t>
      </w:r>
      <w:r w:rsidR="00767B04">
        <w:t>e</w:t>
      </w:r>
      <w:r w:rsidR="00222B38" w:rsidRPr="00073673">
        <w:t xml:space="preserve"> that </w:t>
      </w:r>
      <w:r w:rsidR="003A34EE">
        <w:t xml:space="preserve">Lifeline providers remain able to provide </w:t>
      </w:r>
      <w:r w:rsidR="00222B38" w:rsidRPr="00073673">
        <w:t>voice</w:t>
      </w:r>
      <w:r w:rsidR="003A34EE">
        <w:t xml:space="preserve">-only Lifeline </w:t>
      </w:r>
      <w:r w:rsidR="00222B38" w:rsidRPr="00073673">
        <w:t xml:space="preserve">service to Lifeline </w:t>
      </w:r>
      <w:r w:rsidR="003A34EE">
        <w:t>customers</w:t>
      </w:r>
      <w:r w:rsidR="00222B38" w:rsidRPr="00073673">
        <w:t xml:space="preserve">.  </w:t>
      </w:r>
    </w:p>
    <w:p w:rsidR="005C52E7" w:rsidRPr="00022E23" w:rsidRDefault="005C3639" w:rsidP="002E3668">
      <w:pPr>
        <w:pStyle w:val="Heading2"/>
      </w:pPr>
      <w:bookmarkStart w:id="4" w:name="_Toc314659607"/>
      <w:r w:rsidRPr="005C3639">
        <w:t>Provider Eligibility Requirements in Price Cap Territories</w:t>
      </w:r>
      <w:bookmarkEnd w:id="4"/>
      <w:r w:rsidRPr="005C3639">
        <w:t xml:space="preserve">    </w:t>
      </w:r>
    </w:p>
    <w:p w:rsidR="00932D08" w:rsidRPr="008D2EFF" w:rsidRDefault="00932D08" w:rsidP="002E3668">
      <w:pPr>
        <w:pStyle w:val="Heading3"/>
      </w:pPr>
      <w:bookmarkStart w:id="5" w:name="_Toc314659608"/>
      <w:r w:rsidRPr="008D2EFF">
        <w:t>Certification of Financial and Technical Capability</w:t>
      </w:r>
      <w:bookmarkEnd w:id="5"/>
    </w:p>
    <w:p w:rsidR="00932D08" w:rsidRPr="008D2EFF" w:rsidRDefault="002E3668" w:rsidP="002E3668">
      <w:pPr>
        <w:pStyle w:val="Textstyle"/>
        <w:rPr>
          <w:b/>
        </w:rPr>
      </w:pPr>
      <w:r>
        <w:tab/>
      </w:r>
      <w:r w:rsidR="00932D08" w:rsidRPr="008D2EFF">
        <w:t>The FCC propose</w:t>
      </w:r>
      <w:r w:rsidR="00767B04">
        <w:t>s</w:t>
      </w:r>
      <w:r w:rsidR="00932D08" w:rsidRPr="008D2EFF">
        <w:t xml:space="preserve"> </w:t>
      </w:r>
      <w:r w:rsidR="00767B04">
        <w:t>that</w:t>
      </w:r>
      <w:r w:rsidR="00767B04" w:rsidRPr="008D2EFF">
        <w:t xml:space="preserve"> </w:t>
      </w:r>
      <w:r w:rsidR="000B7DD0">
        <w:t xml:space="preserve">each </w:t>
      </w:r>
      <w:r w:rsidR="003B15FB">
        <w:t>ETC</w:t>
      </w:r>
      <w:r w:rsidR="000B7DD0">
        <w:t xml:space="preserve"> seeking to receive support through a competitive bidding process </w:t>
      </w:r>
      <w:r w:rsidR="00932D08" w:rsidRPr="008D2EFF">
        <w:t>certify that it is financially and technically capable of providing service within a specified timeframe.</w:t>
      </w:r>
      <w:r w:rsidR="00932D08">
        <w:rPr>
          <w:rStyle w:val="FootnoteReference"/>
        </w:rPr>
        <w:footnoteReference w:id="23"/>
      </w:r>
      <w:r w:rsidR="00932D08" w:rsidRPr="008D2EFF">
        <w:t xml:space="preserve">  The Ohio Commission </w:t>
      </w:r>
      <w:r w:rsidR="000B7DD0">
        <w:t>supports this proposal</w:t>
      </w:r>
      <w:r w:rsidR="003B15FB">
        <w:t>.  In Ohio, a similar showing has long been required of entities wishing to be certified as telecom</w:t>
      </w:r>
      <w:r w:rsidR="0097798D">
        <w:softHyphen/>
      </w:r>
      <w:r w:rsidR="003B15FB">
        <w:t xml:space="preserve">munications carriers in the state.  </w:t>
      </w:r>
      <w:r w:rsidR="00767B04">
        <w:t>T</w:t>
      </w:r>
      <w:r w:rsidR="003B15FB">
        <w:t>he Ohio Commission</w:t>
      </w:r>
      <w:r w:rsidR="00767B04">
        <w:t xml:space="preserve"> believe</w:t>
      </w:r>
      <w:r w:rsidR="003B15FB">
        <w:t>s</w:t>
      </w:r>
      <w:r w:rsidR="00767B04">
        <w:t xml:space="preserve"> that such a requirement</w:t>
      </w:r>
      <w:r w:rsidR="003B15FB">
        <w:t xml:space="preserve"> provides </w:t>
      </w:r>
      <w:r w:rsidR="00EF357A">
        <w:t>a level of certainty</w:t>
      </w:r>
      <w:r w:rsidR="003B15FB">
        <w:t xml:space="preserve"> that carriers </w:t>
      </w:r>
      <w:r w:rsidR="00EF357A">
        <w:t>will</w:t>
      </w:r>
      <w:r w:rsidR="003B15FB">
        <w:t xml:space="preserve"> actually </w:t>
      </w:r>
      <w:r w:rsidR="00EF357A">
        <w:t xml:space="preserve">be able to </w:t>
      </w:r>
      <w:r w:rsidR="003B15FB">
        <w:t xml:space="preserve">provide the services that they </w:t>
      </w:r>
      <w:r w:rsidR="00EF357A">
        <w:t>intend to offer</w:t>
      </w:r>
      <w:r w:rsidR="003B15FB">
        <w:t xml:space="preserve"> and </w:t>
      </w:r>
      <w:r w:rsidR="00EF357A">
        <w:t>that con</w:t>
      </w:r>
      <w:r w:rsidR="00C770A3">
        <w:softHyphen/>
      </w:r>
      <w:r w:rsidR="00EF357A">
        <w:t>sumers</w:t>
      </w:r>
      <w:r w:rsidR="003B15FB">
        <w:t xml:space="preserve"> ultimately rely upon.</w:t>
      </w:r>
      <w:r w:rsidR="00EF357A" w:rsidRPr="008D2EFF">
        <w:rPr>
          <w:rStyle w:val="FootnoteReference"/>
        </w:rPr>
        <w:footnoteReference w:id="24"/>
      </w:r>
      <w:r w:rsidR="003B15FB">
        <w:t xml:space="preserve">  </w:t>
      </w:r>
      <w:r w:rsidR="00EF357A">
        <w:t>Certainly, if such a show</w:t>
      </w:r>
      <w:r w:rsidR="005008B5">
        <w:softHyphen/>
      </w:r>
      <w:r w:rsidR="00EF357A">
        <w:t xml:space="preserve">ing is appropriate in situations in which USF dollars are not a factor, it is all the more appropriate in those situations, such as the competitive bidding process, in which they are. </w:t>
      </w:r>
      <w:r w:rsidR="004E670F">
        <w:t xml:space="preserve"> </w:t>
      </w:r>
      <w:r w:rsidR="00767B04">
        <w:t>S</w:t>
      </w:r>
      <w:r w:rsidR="00932D08" w:rsidRPr="008D2EFF">
        <w:t>tate</w:t>
      </w:r>
      <w:r w:rsidR="00022E23">
        <w:t xml:space="preserve"> commission</w:t>
      </w:r>
      <w:r w:rsidR="00932D08" w:rsidRPr="008D2EFF">
        <w:t>s are best position</w:t>
      </w:r>
      <w:r w:rsidR="00767B04">
        <w:t>ed</w:t>
      </w:r>
      <w:r w:rsidR="00932D08" w:rsidRPr="008D2EFF">
        <w:t xml:space="preserve"> to </w:t>
      </w:r>
      <w:r w:rsidR="00797769">
        <w:t>ascertain</w:t>
      </w:r>
      <w:r w:rsidR="00797769" w:rsidRPr="008D2EFF">
        <w:t xml:space="preserve"> </w:t>
      </w:r>
      <w:r w:rsidR="00932D08" w:rsidRPr="008D2EFF">
        <w:t>financial and technical capability</w:t>
      </w:r>
      <w:r w:rsidR="00767B04">
        <w:t>,</w:t>
      </w:r>
      <w:r w:rsidR="00022E23">
        <w:t xml:space="preserve"> </w:t>
      </w:r>
      <w:r w:rsidR="00797769">
        <w:lastRenderedPageBreak/>
        <w:t>pursuant to criteria established by the FCC</w:t>
      </w:r>
      <w:r w:rsidR="004E670F">
        <w:t>,</w:t>
      </w:r>
      <w:r w:rsidR="00797769">
        <w:t xml:space="preserve"> </w:t>
      </w:r>
      <w:r w:rsidR="00022E23">
        <w:t xml:space="preserve">either as part of the ETC designation process or </w:t>
      </w:r>
      <w:r w:rsidR="003A34EE">
        <w:t xml:space="preserve">through </w:t>
      </w:r>
      <w:r w:rsidR="00022E23">
        <w:t>an independent p</w:t>
      </w:r>
      <w:r w:rsidR="00797769">
        <w:t>rocess for existing ETCs that have not previously made such a showing</w:t>
      </w:r>
      <w:r w:rsidR="00932D08" w:rsidRPr="008D2EFF">
        <w:t xml:space="preserve">.  </w:t>
      </w:r>
    </w:p>
    <w:p w:rsidR="008F1E5B" w:rsidRDefault="00932D08" w:rsidP="002E3668">
      <w:pPr>
        <w:pStyle w:val="Heading3"/>
      </w:pPr>
      <w:bookmarkStart w:id="6" w:name="_Toc314659609"/>
      <w:r w:rsidRPr="00EF531B">
        <w:t>Eligibility</w:t>
      </w:r>
      <w:r>
        <w:t xml:space="preserve"> </w:t>
      </w:r>
      <w:r w:rsidRPr="00EF531B">
        <w:t>of Carriers Declining a State-Level Commitment</w:t>
      </w:r>
      <w:bookmarkEnd w:id="6"/>
      <w:r w:rsidRPr="00EF531B">
        <w:t xml:space="preserve"> </w:t>
      </w:r>
    </w:p>
    <w:p w:rsidR="002C59B3" w:rsidRDefault="002E3668" w:rsidP="002E3668">
      <w:pPr>
        <w:pStyle w:val="Textstyle"/>
      </w:pPr>
      <w:r>
        <w:tab/>
      </w:r>
      <w:r w:rsidR="00932D08">
        <w:t>The Ohio Commission</w:t>
      </w:r>
      <w:r w:rsidR="00932D08" w:rsidRPr="00154A62">
        <w:t xml:space="preserve"> agree</w:t>
      </w:r>
      <w:r w:rsidR="00932D08">
        <w:t>s</w:t>
      </w:r>
      <w:r w:rsidR="00932D08" w:rsidRPr="00154A62">
        <w:t xml:space="preserve"> with the FCC’s inclination to </w:t>
      </w:r>
      <w:r w:rsidR="00767B04">
        <w:t xml:space="preserve">allow </w:t>
      </w:r>
      <w:r w:rsidR="004C5BE7">
        <w:t xml:space="preserve">incumbent </w:t>
      </w:r>
      <w:r w:rsidR="00932D08" w:rsidRPr="00154A62">
        <w:t>carri</w:t>
      </w:r>
      <w:r w:rsidR="005008B5">
        <w:softHyphen/>
      </w:r>
      <w:r w:rsidR="00932D08" w:rsidRPr="00154A62">
        <w:t>er</w:t>
      </w:r>
      <w:r w:rsidR="00932D08">
        <w:t>s</w:t>
      </w:r>
      <w:r w:rsidR="00932D08" w:rsidRPr="00154A62">
        <w:t xml:space="preserve"> that </w:t>
      </w:r>
      <w:r w:rsidR="00CD3102">
        <w:t xml:space="preserve">decline the state-level commitment </w:t>
      </w:r>
      <w:r w:rsidR="003A34EE">
        <w:t xml:space="preserve">to </w:t>
      </w:r>
      <w:r w:rsidR="00CD3102">
        <w:t>participat</w:t>
      </w:r>
      <w:r w:rsidR="003A34EE">
        <w:t>e</w:t>
      </w:r>
      <w:r w:rsidR="00CD3102">
        <w:t xml:space="preserve"> in the competitive bidding pro</w:t>
      </w:r>
      <w:r w:rsidR="005008B5">
        <w:softHyphen/>
      </w:r>
      <w:r w:rsidR="00CD3102">
        <w:t>cess</w:t>
      </w:r>
      <w:r w:rsidR="00932D08" w:rsidRPr="00154A62">
        <w:t>.</w:t>
      </w:r>
      <w:r w:rsidR="00932D08">
        <w:rPr>
          <w:rStyle w:val="FootnoteReference"/>
        </w:rPr>
        <w:footnoteReference w:id="25"/>
      </w:r>
      <w:r w:rsidR="00932D08" w:rsidRPr="00154A62">
        <w:t xml:space="preserve">  This approach recognizes that there may be instances </w:t>
      </w:r>
      <w:r w:rsidR="000B7DD0">
        <w:t>in which</w:t>
      </w:r>
      <w:r w:rsidR="000B7DD0" w:rsidRPr="00154A62">
        <w:t xml:space="preserve"> </w:t>
      </w:r>
      <w:r w:rsidR="00932D08" w:rsidRPr="00154A62">
        <w:t>the model-deter</w:t>
      </w:r>
      <w:r w:rsidR="005008B5">
        <w:softHyphen/>
      </w:r>
      <w:r w:rsidR="00932D08" w:rsidRPr="00154A62">
        <w:t xml:space="preserve">mined support </w:t>
      </w:r>
      <w:r w:rsidR="00CD3102">
        <w:t>may</w:t>
      </w:r>
      <w:r w:rsidR="00CD3102" w:rsidRPr="00154A62">
        <w:t xml:space="preserve"> </w:t>
      </w:r>
      <w:r w:rsidR="00932D08" w:rsidRPr="00154A62">
        <w:t xml:space="preserve">not </w:t>
      </w:r>
      <w:r w:rsidR="00767B04">
        <w:t xml:space="preserve">be </w:t>
      </w:r>
      <w:r w:rsidR="00932D08" w:rsidRPr="00154A62">
        <w:t>sufficient</w:t>
      </w:r>
      <w:r w:rsidR="00CD3102">
        <w:t xml:space="preserve"> </w:t>
      </w:r>
      <w:r w:rsidR="00767B04">
        <w:t xml:space="preserve">to enable </w:t>
      </w:r>
      <w:r w:rsidR="00CD3102">
        <w:t>the incumbent carrier to meet the state-level commitment</w:t>
      </w:r>
      <w:r w:rsidR="00932D08" w:rsidRPr="00154A62">
        <w:t xml:space="preserve">.  In </w:t>
      </w:r>
      <w:r w:rsidR="000B7DD0">
        <w:t>such</w:t>
      </w:r>
      <w:r w:rsidR="000B7DD0" w:rsidRPr="00154A62">
        <w:t xml:space="preserve"> </w:t>
      </w:r>
      <w:r w:rsidR="00932D08" w:rsidRPr="00154A62">
        <w:t>instances</w:t>
      </w:r>
      <w:r w:rsidR="000B7DD0" w:rsidRPr="00154A62">
        <w:t>,</w:t>
      </w:r>
      <w:r w:rsidR="000B7DD0">
        <w:t xml:space="preserve"> incumbent </w:t>
      </w:r>
      <w:r w:rsidR="00932D08" w:rsidRPr="00154A62">
        <w:t>carriers declining the state-level com</w:t>
      </w:r>
      <w:r w:rsidR="005008B5">
        <w:softHyphen/>
      </w:r>
      <w:r w:rsidR="00932D08" w:rsidRPr="00154A62">
        <w:t>mitment,</w:t>
      </w:r>
      <w:r w:rsidR="00932D08" w:rsidRPr="002E3668">
        <w:rPr>
          <w:i/>
        </w:rPr>
        <w:t xml:space="preserve"> i.e.,</w:t>
      </w:r>
      <w:r w:rsidR="00932D08" w:rsidRPr="00154A62">
        <w:t xml:space="preserve"> model-determined support, </w:t>
      </w:r>
      <w:r w:rsidR="00CD3102">
        <w:t>sh</w:t>
      </w:r>
      <w:r w:rsidR="00932D08" w:rsidRPr="00154A62">
        <w:t xml:space="preserve">ould have an opportunity to </w:t>
      </w:r>
      <w:r w:rsidR="00CD3102">
        <w:t xml:space="preserve">take part </w:t>
      </w:r>
      <w:r w:rsidR="004C5BE7">
        <w:t xml:space="preserve">on an equal basis with other service providers </w:t>
      </w:r>
      <w:r w:rsidR="00CD3102">
        <w:t>in the competitive bidding process</w:t>
      </w:r>
      <w:r w:rsidR="00CD3102" w:rsidRPr="00154A62">
        <w:t xml:space="preserve"> </w:t>
      </w:r>
      <w:r w:rsidR="004C5BE7">
        <w:t xml:space="preserve">to receive </w:t>
      </w:r>
      <w:r w:rsidR="004D4F0E">
        <w:t>suf</w:t>
      </w:r>
      <w:r w:rsidR="005008B5">
        <w:softHyphen/>
      </w:r>
      <w:r w:rsidR="004D4F0E">
        <w:t>ficient support</w:t>
      </w:r>
      <w:r w:rsidR="00932D08" w:rsidRPr="00154A62">
        <w:t xml:space="preserve">.  </w:t>
      </w:r>
      <w:r w:rsidR="000B7DD0">
        <w:t xml:space="preserve">In allowing </w:t>
      </w:r>
      <w:r w:rsidR="004D4F0E">
        <w:t xml:space="preserve">such </w:t>
      </w:r>
      <w:r w:rsidR="000B7DD0">
        <w:t xml:space="preserve">carriers </w:t>
      </w:r>
      <w:r w:rsidR="004D4F0E">
        <w:t>to do so</w:t>
      </w:r>
      <w:r w:rsidR="00932D08" w:rsidRPr="00154A62">
        <w:t xml:space="preserve">, the </w:t>
      </w:r>
      <w:r w:rsidR="004C5BE7">
        <w:t xml:space="preserve">incumbent carriers’ no-win </w:t>
      </w:r>
      <w:r w:rsidR="00932D08" w:rsidRPr="00154A62">
        <w:t>propo</w:t>
      </w:r>
      <w:r w:rsidR="005008B5">
        <w:softHyphen/>
      </w:r>
      <w:r w:rsidR="00932D08" w:rsidRPr="00154A62">
        <w:t xml:space="preserve">sition of having to choose between receiving insufficient support or receiving no support </w:t>
      </w:r>
      <w:r w:rsidR="004C5BE7">
        <w:t xml:space="preserve">at all </w:t>
      </w:r>
      <w:r w:rsidR="000B7DD0">
        <w:t>is eliminated</w:t>
      </w:r>
      <w:r w:rsidR="00932D08" w:rsidRPr="00154A62">
        <w:t>.</w:t>
      </w:r>
      <w:r w:rsidR="00932D08">
        <w:t xml:space="preserve">  </w:t>
      </w:r>
    </w:p>
    <w:p w:rsidR="009A5D43" w:rsidRDefault="002E3668" w:rsidP="002E3668">
      <w:pPr>
        <w:pStyle w:val="Textstyle"/>
      </w:pPr>
      <w:r>
        <w:tab/>
      </w:r>
      <w:r w:rsidR="004D4F0E">
        <w:t xml:space="preserve">While this “second bite at the apple” may </w:t>
      </w:r>
      <w:r w:rsidR="00767B04">
        <w:t xml:space="preserve">serve </w:t>
      </w:r>
      <w:r w:rsidR="004D4F0E">
        <w:t xml:space="preserve">as a disincentive </w:t>
      </w:r>
      <w:r w:rsidR="004C5BE7">
        <w:t xml:space="preserve">for incumbent carriers </w:t>
      </w:r>
      <w:r w:rsidR="004D4F0E">
        <w:t>to accept the state-level commitment in some instances, no carrier is guaranteed any support through the competitive bidding process</w:t>
      </w:r>
      <w:r w:rsidR="00767B04">
        <w:t xml:space="preserve"> in any event</w:t>
      </w:r>
      <w:r w:rsidR="004D4F0E">
        <w:t>.  As such, the Ohio Commission believes that a</w:t>
      </w:r>
      <w:r w:rsidR="004C5BE7">
        <w:t>n incumbent</w:t>
      </w:r>
      <w:r w:rsidR="004D4F0E">
        <w:t xml:space="preserve"> carrier will be unlikely to </w:t>
      </w:r>
      <w:r w:rsidR="00CE72A9">
        <w:t xml:space="preserve">gamble </w:t>
      </w:r>
      <w:r w:rsidR="00F2744B">
        <w:t>in a truly</w:t>
      </w:r>
      <w:r w:rsidR="00CE72A9">
        <w:t xml:space="preserve"> com</w:t>
      </w:r>
      <w:r w:rsidR="005008B5">
        <w:softHyphen/>
      </w:r>
      <w:r w:rsidR="00CE72A9">
        <w:t>petitiv</w:t>
      </w:r>
      <w:r w:rsidR="006C710C">
        <w:t xml:space="preserve">e bidding process if the model-determined </w:t>
      </w:r>
      <w:r w:rsidR="004D4F0E">
        <w:t>support is sufficient</w:t>
      </w:r>
      <w:r w:rsidR="006C710C">
        <w:t xml:space="preserve">.  </w:t>
      </w:r>
      <w:r w:rsidR="00F2744B">
        <w:t xml:space="preserve">Nonetheless, the Ohio Commission recognizes that this may not always be the case and encourages the </w:t>
      </w:r>
      <w:r w:rsidR="00F2744B">
        <w:lastRenderedPageBreak/>
        <w:t xml:space="preserve">FCC to take affirmative steps to assure a </w:t>
      </w:r>
      <w:r w:rsidR="00393798">
        <w:t xml:space="preserve">truly </w:t>
      </w:r>
      <w:r w:rsidR="00F2744B">
        <w:t xml:space="preserve">competitive bidding process that does not allow incumbent carriers to take advantage </w:t>
      </w:r>
      <w:r w:rsidR="00393798">
        <w:t xml:space="preserve">of </w:t>
      </w:r>
      <w:r w:rsidR="00F2744B">
        <w:t>the process.</w:t>
      </w:r>
      <w:r w:rsidR="00160E94">
        <w:rPr>
          <w:rStyle w:val="FootnoteReference"/>
        </w:rPr>
        <w:footnoteReference w:id="26"/>
      </w:r>
      <w:r w:rsidR="00F2744B">
        <w:t xml:space="preserve">  </w:t>
      </w:r>
      <w:r w:rsidR="00B32AB4">
        <w:t xml:space="preserve">The Ohio Commission believes that such instances “affect[] the fair and efficient conduct of the bidding” in a competitive bidding process and, accordingly, fall </w:t>
      </w:r>
      <w:r w:rsidR="00D55652">
        <w:t>under the FCC’s discretion to “</w:t>
      </w:r>
      <w:r w:rsidR="00B32AB4">
        <w:t>delay, suspend or cancel bidding before or after a reverse auction begins.”</w:t>
      </w:r>
      <w:r w:rsidR="00B32AB4">
        <w:rPr>
          <w:rStyle w:val="FootnoteReference"/>
        </w:rPr>
        <w:footnoteReference w:id="27"/>
      </w:r>
      <w:proofErr w:type="gramStart"/>
      <w:r w:rsidR="00B32AB4">
        <w:t xml:space="preserve"> </w:t>
      </w:r>
      <w:proofErr w:type="gramEnd"/>
      <w:r w:rsidR="00160E94">
        <w:t xml:space="preserve">Nonetheless, </w:t>
      </w:r>
      <w:r w:rsidR="00060F6F">
        <w:t xml:space="preserve">the </w:t>
      </w:r>
      <w:r w:rsidR="00160E94">
        <w:t xml:space="preserve">Ohio Commission </w:t>
      </w:r>
      <w:r w:rsidR="00393798">
        <w:t xml:space="preserve">believes that the </w:t>
      </w:r>
      <w:r w:rsidR="00060F6F">
        <w:t xml:space="preserve">FCC’s proposed </w:t>
      </w:r>
      <w:r w:rsidR="002C59B3">
        <w:t xml:space="preserve">approach </w:t>
      </w:r>
      <w:r w:rsidR="00130A73">
        <w:t xml:space="preserve">injects the economies of scale and scope </w:t>
      </w:r>
      <w:r w:rsidR="00CF4C98">
        <w:t>of the incumbent car</w:t>
      </w:r>
      <w:r w:rsidR="005008B5">
        <w:softHyphen/>
      </w:r>
      <w:r w:rsidR="00CF4C98">
        <w:t xml:space="preserve">rier </w:t>
      </w:r>
      <w:r w:rsidR="00130A73">
        <w:t>into the competitive bidding process, which will help ensure that the bidding process achieves the most efficient level of support.</w:t>
      </w:r>
      <w:r w:rsidR="002C59B3">
        <w:t xml:space="preserve"> </w:t>
      </w:r>
      <w:r w:rsidR="00DF2F6E">
        <w:t xml:space="preserve"> </w:t>
      </w:r>
      <w:r w:rsidR="003B78AB">
        <w:t>By tak</w:t>
      </w:r>
      <w:r w:rsidR="0097798D">
        <w:softHyphen/>
      </w:r>
      <w:r w:rsidR="003B78AB">
        <w:t>ing this approach, the FCC will better be able to constrain the growth of the USF and remain within its newly adopted high-cost budget.</w:t>
      </w:r>
    </w:p>
    <w:p w:rsidR="008F1E5B" w:rsidRPr="005F37DC" w:rsidRDefault="009A5D43" w:rsidP="002E3668">
      <w:pPr>
        <w:pStyle w:val="Heading3"/>
      </w:pPr>
      <w:bookmarkStart w:id="7" w:name="_Toc314659610"/>
      <w:r w:rsidRPr="005F37DC">
        <w:t>Public Interest Obligations</w:t>
      </w:r>
      <w:bookmarkEnd w:id="7"/>
    </w:p>
    <w:p w:rsidR="008F1E5B" w:rsidRDefault="009A5D43" w:rsidP="002E3668">
      <w:pPr>
        <w:pStyle w:val="Textstyle"/>
      </w:pPr>
      <w:r>
        <w:tab/>
      </w:r>
      <w:r w:rsidR="00767B04">
        <w:t>T</w:t>
      </w:r>
      <w:r>
        <w:t xml:space="preserve">he FCC’s proposal to </w:t>
      </w:r>
      <w:r w:rsidR="00767B04">
        <w:t xml:space="preserve">impose the same performance requirements upon carriers that receive support </w:t>
      </w:r>
      <w:r w:rsidR="005871DF">
        <w:t xml:space="preserve">either </w:t>
      </w:r>
      <w:r>
        <w:t>through the competitive bid</w:t>
      </w:r>
      <w:r w:rsidR="00CE72A9">
        <w:t xml:space="preserve">ding process </w:t>
      </w:r>
      <w:r w:rsidR="005871DF">
        <w:t xml:space="preserve">or </w:t>
      </w:r>
      <w:r w:rsidR="00CE72A9">
        <w:t>model-determined support</w:t>
      </w:r>
      <w:r w:rsidR="00767B04">
        <w:t xml:space="preserve"> is endorsed by the Ohio Commission</w:t>
      </w:r>
      <w:r w:rsidR="00CE72A9">
        <w:t>.</w:t>
      </w:r>
      <w:r w:rsidR="00CE72A9">
        <w:rPr>
          <w:rStyle w:val="FootnoteReference"/>
        </w:rPr>
        <w:footnoteReference w:id="28"/>
      </w:r>
      <w:r w:rsidR="00DF2F6E">
        <w:t xml:space="preserve"> </w:t>
      </w:r>
      <w:r w:rsidR="00CE72A9">
        <w:t xml:space="preserve"> </w:t>
      </w:r>
      <w:r w:rsidR="009E5C82">
        <w:t xml:space="preserve">This </w:t>
      </w:r>
      <w:r w:rsidR="00CE72A9">
        <w:t>prevents incum</w:t>
      </w:r>
      <w:r w:rsidR="00C770A3">
        <w:softHyphen/>
      </w:r>
      <w:r w:rsidR="00CE72A9">
        <w:t xml:space="preserve">bent carriers from gaming the system when they are in positions </w:t>
      </w:r>
      <w:r w:rsidR="004C5BE7">
        <w:t>that</w:t>
      </w:r>
      <w:r w:rsidR="00CE72A9">
        <w:t xml:space="preserve"> they are the most likely to be awarded support through competitive bidding.  Without this parity, incumbent carriers may choose to decline the model-determined support if the field of competitive bidders is weak, </w:t>
      </w:r>
      <w:r w:rsidR="00CE72A9">
        <w:lastRenderedPageBreak/>
        <w:t xml:space="preserve">choosing instead to participate in the competitive process.  </w:t>
      </w:r>
      <w:r w:rsidR="00415A62">
        <w:t xml:space="preserve">Should the incumbent carrier win the auction, it </w:t>
      </w:r>
      <w:r w:rsidR="00626AA7">
        <w:t>w</w:t>
      </w:r>
      <w:r w:rsidR="004E670F">
        <w:t>ould</w:t>
      </w:r>
      <w:r w:rsidR="00415A62">
        <w:t xml:space="preserve"> receive support that is greater than the model-determined </w:t>
      </w:r>
      <w:r w:rsidR="004C5BE7">
        <w:t>sup</w:t>
      </w:r>
      <w:r w:rsidR="0097798D">
        <w:softHyphen/>
      </w:r>
      <w:r w:rsidR="004C5BE7">
        <w:t xml:space="preserve">port, </w:t>
      </w:r>
      <w:r w:rsidR="00626AA7">
        <w:t>yet</w:t>
      </w:r>
      <w:r w:rsidR="00415A62">
        <w:t xml:space="preserve"> be obligated to less stringent performance requirements than it would have been had it accepted the state-level commitment.  A</w:t>
      </w:r>
      <w:r w:rsidR="00CE72A9">
        <w:t xml:space="preserve">s </w:t>
      </w:r>
      <w:r w:rsidR="00626AA7">
        <w:t xml:space="preserve">discussed </w:t>
      </w:r>
      <w:r w:rsidR="00626AA7" w:rsidRPr="00626AA7">
        <w:rPr>
          <w:i/>
        </w:rPr>
        <w:t>supra</w:t>
      </w:r>
      <w:r w:rsidR="00CE72A9">
        <w:t>, support is not guaran</w:t>
      </w:r>
      <w:r w:rsidR="0097798D">
        <w:softHyphen/>
      </w:r>
      <w:r w:rsidR="00415A62">
        <w:t>teed to any carrier through the competitive bidding process</w:t>
      </w:r>
      <w:r w:rsidR="00626AA7">
        <w:t xml:space="preserve"> and, </w:t>
      </w:r>
      <w:r w:rsidR="009E5C82">
        <w:t xml:space="preserve">the Ohio Commission believes, </w:t>
      </w:r>
      <w:r w:rsidR="00626AA7">
        <w:t xml:space="preserve">if the model-determined support is sufficient, incumbent carriers </w:t>
      </w:r>
      <w:r w:rsidR="00FF082C">
        <w:t>w</w:t>
      </w:r>
      <w:r w:rsidR="00833F85">
        <w:t>ill</w:t>
      </w:r>
      <w:r w:rsidR="00FF082C">
        <w:t xml:space="preserve"> not </w:t>
      </w:r>
      <w:r w:rsidR="00626AA7">
        <w:t>likely gamble on the competitive bidding process</w:t>
      </w:r>
      <w:r w:rsidR="00FF082C">
        <w:t>.</w:t>
      </w:r>
      <w:r w:rsidR="00415A62">
        <w:t xml:space="preserve">  Nonetheless, </w:t>
      </w:r>
      <w:r w:rsidR="00626AA7">
        <w:t xml:space="preserve">it is foreseeable that situations </w:t>
      </w:r>
      <w:r w:rsidR="004C5BE7">
        <w:t xml:space="preserve">may </w:t>
      </w:r>
      <w:r w:rsidR="00626AA7">
        <w:t xml:space="preserve">arise in which </w:t>
      </w:r>
      <w:r w:rsidR="00FF082C">
        <w:t>an incumbent</w:t>
      </w:r>
      <w:r w:rsidR="00626AA7">
        <w:t xml:space="preserve"> </w:t>
      </w:r>
      <w:r w:rsidR="00FF082C">
        <w:t>has such a distinct advantage over other potential bid</w:t>
      </w:r>
      <w:r w:rsidR="005008B5">
        <w:softHyphen/>
      </w:r>
      <w:r w:rsidR="00FF082C">
        <w:t>ders that it would forego the model-determined support for the competitive bidding pro</w:t>
      </w:r>
      <w:r w:rsidR="005008B5">
        <w:softHyphen/>
      </w:r>
      <w:r w:rsidR="00FF082C">
        <w:t xml:space="preserve">cess.  </w:t>
      </w:r>
      <w:r w:rsidR="00393798">
        <w:t>The Ohio Commission</w:t>
      </w:r>
      <w:r w:rsidR="00160E94">
        <w:t>’</w:t>
      </w:r>
      <w:r w:rsidR="00393798">
        <w:t xml:space="preserve">s recommendations regarding non-competitive bidding notwithstanding, </w:t>
      </w:r>
      <w:r w:rsidR="00FF082C">
        <w:t>the incumbent should not</w:t>
      </w:r>
      <w:r w:rsidR="00393798">
        <w:t>, in such cases,</w:t>
      </w:r>
      <w:r w:rsidR="00FF082C">
        <w:t xml:space="preserve"> reap the benefits of both greater support and lessened performance requirements.</w:t>
      </w:r>
    </w:p>
    <w:p w:rsidR="005C52E7" w:rsidRPr="009A5D43" w:rsidRDefault="005C3639" w:rsidP="002E3668">
      <w:pPr>
        <w:pStyle w:val="Heading2"/>
      </w:pPr>
      <w:bookmarkStart w:id="8" w:name="_Toc314659611"/>
      <w:r w:rsidRPr="005C3639">
        <w:t>Remote Areas Fund</w:t>
      </w:r>
      <w:bookmarkEnd w:id="8"/>
    </w:p>
    <w:p w:rsidR="00511C32" w:rsidRDefault="005C52E7" w:rsidP="002E3668">
      <w:pPr>
        <w:pStyle w:val="Textstyle"/>
      </w:pPr>
      <w:r>
        <w:rPr>
          <w:b/>
        </w:rPr>
        <w:tab/>
      </w:r>
      <w:r w:rsidR="005C3639" w:rsidRPr="005C3639">
        <w:t xml:space="preserve">The FCC has dedicated an annual budget of at least $100 million to ensure that the less than one percent of Americans </w:t>
      </w:r>
      <w:r w:rsidR="009E5C82">
        <w:t xml:space="preserve">who </w:t>
      </w:r>
      <w:proofErr w:type="gramStart"/>
      <w:r w:rsidR="009E5C82">
        <w:t xml:space="preserve">live </w:t>
      </w:r>
      <w:r w:rsidR="009E5C82" w:rsidRPr="005C3639">
        <w:t xml:space="preserve"> </w:t>
      </w:r>
      <w:r w:rsidR="004C5BE7">
        <w:t>in</w:t>
      </w:r>
      <w:proofErr w:type="gramEnd"/>
      <w:r w:rsidR="004C5BE7">
        <w:t xml:space="preserve"> </w:t>
      </w:r>
      <w:r w:rsidR="005C3639" w:rsidRPr="005C3639">
        <w:t xml:space="preserve">remote, extremely high-cost areas </w:t>
      </w:r>
      <w:r w:rsidR="004C5BE7">
        <w:t>are able to</w:t>
      </w:r>
      <w:r w:rsidR="004C5BE7" w:rsidRPr="005C3639">
        <w:t xml:space="preserve"> </w:t>
      </w:r>
      <w:r w:rsidR="005C3639" w:rsidRPr="005C3639">
        <w:t>obtain affordable broadband.</w:t>
      </w:r>
      <w:r w:rsidR="002F1DE0">
        <w:rPr>
          <w:rStyle w:val="FootnoteReference"/>
        </w:rPr>
        <w:footnoteReference w:id="29"/>
      </w:r>
      <w:r w:rsidR="002F1DE0">
        <w:t xml:space="preserve">  In </w:t>
      </w:r>
      <w:r w:rsidR="00CF15E5">
        <w:t xml:space="preserve">discussing </w:t>
      </w:r>
      <w:r w:rsidR="005B4E64">
        <w:t>its</w:t>
      </w:r>
      <w:r w:rsidR="002F1DE0">
        <w:t xml:space="preserve"> implement</w:t>
      </w:r>
      <w:r w:rsidR="00CF15E5">
        <w:t>ation of</w:t>
      </w:r>
      <w:r w:rsidR="002F1DE0">
        <w:t xml:space="preserve"> this “Remote Area Fund” (RAF)</w:t>
      </w:r>
      <w:r w:rsidR="00CF15E5">
        <w:t xml:space="preserve">, the FCC has proposed </w:t>
      </w:r>
      <w:r w:rsidR="007E3737">
        <w:t>using CAF support to make discounted voice and broad</w:t>
      </w:r>
      <w:r w:rsidR="00C770A3">
        <w:softHyphen/>
      </w:r>
      <w:r w:rsidR="007E3737">
        <w:t xml:space="preserve">band services available to qualifying residences/households in </w:t>
      </w:r>
      <w:r w:rsidR="004C5BE7">
        <w:t xml:space="preserve">these </w:t>
      </w:r>
      <w:r w:rsidR="007E3737">
        <w:t>remote areas</w:t>
      </w:r>
      <w:r w:rsidR="002F1DE0">
        <w:t>.</w:t>
      </w:r>
      <w:r w:rsidR="002F1DE0">
        <w:rPr>
          <w:rStyle w:val="FootnoteReference"/>
        </w:rPr>
        <w:footnoteReference w:id="30"/>
      </w:r>
      <w:r w:rsidR="002F1DE0">
        <w:t xml:space="preserve">  </w:t>
      </w:r>
      <w:r w:rsidR="007E3737">
        <w:t>Th</w:t>
      </w:r>
      <w:r w:rsidR="005B4E64">
        <w:t>e FCC notes that this support would be provided in a</w:t>
      </w:r>
      <w:r w:rsidR="002609EE">
        <w:t xml:space="preserve"> </w:t>
      </w:r>
      <w:r w:rsidR="005B4E64">
        <w:t xml:space="preserve">manner similar to the </w:t>
      </w:r>
      <w:r w:rsidR="005B4E64">
        <w:lastRenderedPageBreak/>
        <w:t>support provided under its Lifeline program and, as such, has proposed limiting support for remote areas to one subsidy per residence/household.</w:t>
      </w:r>
      <w:r w:rsidR="005B4E64">
        <w:rPr>
          <w:rStyle w:val="FootnoteReference"/>
        </w:rPr>
        <w:footnoteReference w:id="31"/>
      </w:r>
      <w:r w:rsidR="007E3737">
        <w:t xml:space="preserve"> </w:t>
      </w:r>
      <w:r w:rsidR="005B4E64">
        <w:t xml:space="preserve"> As part of its proposal, the FCC </w:t>
      </w:r>
      <w:r w:rsidR="009E5C82">
        <w:t xml:space="preserve">invites comment on </w:t>
      </w:r>
      <w:r w:rsidR="005B4E64">
        <w:t>whether there should be</w:t>
      </w:r>
      <w:r w:rsidR="00511C32">
        <w:t xml:space="preserve"> a </w:t>
      </w:r>
      <w:r w:rsidR="005B4E64">
        <w:t>means test that residences/household</w:t>
      </w:r>
      <w:r w:rsidR="00511C32">
        <w:t>s must meet to receive support.</w:t>
      </w:r>
      <w:r w:rsidR="00511C32">
        <w:rPr>
          <w:rStyle w:val="FootnoteReference"/>
        </w:rPr>
        <w:footnoteReference w:id="32"/>
      </w:r>
    </w:p>
    <w:p w:rsidR="00DC4F8E" w:rsidRPr="00073673" w:rsidRDefault="00511C32" w:rsidP="002E3668">
      <w:pPr>
        <w:pStyle w:val="Textstyle"/>
      </w:pPr>
      <w:r>
        <w:tab/>
      </w:r>
      <w:r w:rsidRPr="00073673">
        <w:t>From t</w:t>
      </w:r>
      <w:r w:rsidR="005C52E7" w:rsidRPr="00073673">
        <w:t>he Ohio Commission</w:t>
      </w:r>
      <w:r w:rsidRPr="00073673">
        <w:t xml:space="preserve">’s perspective, </w:t>
      </w:r>
      <w:r w:rsidR="00853959" w:rsidRPr="00073673">
        <w:t xml:space="preserve">CAF support </w:t>
      </w:r>
      <w:r w:rsidR="00115B27" w:rsidRPr="00073673">
        <w:t xml:space="preserve">that </w:t>
      </w:r>
      <w:r w:rsidR="002415E7" w:rsidRPr="00073673">
        <w:t>is to</w:t>
      </w:r>
      <w:r w:rsidR="00115B27" w:rsidRPr="00073673">
        <w:t xml:space="preserve"> be </w:t>
      </w:r>
      <w:r w:rsidR="00853959" w:rsidRPr="00073673">
        <w:t xml:space="preserve">provided in remote areas </w:t>
      </w:r>
      <w:r w:rsidR="009640DD" w:rsidRPr="00073673">
        <w:t xml:space="preserve">through the RAF </w:t>
      </w:r>
      <w:r w:rsidR="00115B27" w:rsidRPr="00073673">
        <w:t>would</w:t>
      </w:r>
      <w:r w:rsidR="00853959" w:rsidRPr="00073673">
        <w:t xml:space="preserve">, in fact, </w:t>
      </w:r>
      <w:r w:rsidR="00115B27" w:rsidRPr="00073673">
        <w:t xml:space="preserve">be </w:t>
      </w:r>
      <w:r w:rsidR="00853959" w:rsidRPr="00073673">
        <w:t xml:space="preserve">very similar to support </w:t>
      </w:r>
      <w:r w:rsidR="00115B27" w:rsidRPr="00073673">
        <w:t xml:space="preserve">currently </w:t>
      </w:r>
      <w:r w:rsidR="00853959" w:rsidRPr="00073673">
        <w:t>pro</w:t>
      </w:r>
      <w:r w:rsidR="00C770A3">
        <w:softHyphen/>
      </w:r>
      <w:r w:rsidR="00853959" w:rsidRPr="00073673">
        <w:t>vided under the Lifeline program and should be subject to</w:t>
      </w:r>
      <w:r w:rsidR="00115B27" w:rsidRPr="00073673">
        <w:t xml:space="preserve"> restrictions and requirements similar to those applied to the Lifeline program.</w:t>
      </w:r>
      <w:r w:rsidR="00853959" w:rsidRPr="00073673">
        <w:t xml:space="preserve">  Accordingly, the Ohio Commission</w:t>
      </w:r>
      <w:r w:rsidR="005C52E7" w:rsidRPr="00073673">
        <w:t xml:space="preserve"> </w:t>
      </w:r>
      <w:r w:rsidR="004C5BE7">
        <w:t>supports</w:t>
      </w:r>
      <w:r w:rsidR="005C52E7" w:rsidRPr="00073673">
        <w:t xml:space="preserve"> the FCC’s propos</w:t>
      </w:r>
      <w:r w:rsidR="000868AF" w:rsidRPr="00073673">
        <w:t>al</w:t>
      </w:r>
      <w:r w:rsidR="005C52E7" w:rsidRPr="00073673">
        <w:t xml:space="preserve"> to limit </w:t>
      </w:r>
      <w:r w:rsidR="00115B27" w:rsidRPr="00073673">
        <w:t xml:space="preserve">CAF support </w:t>
      </w:r>
      <w:r w:rsidR="005C52E7" w:rsidRPr="00073673">
        <w:t xml:space="preserve">to one </w:t>
      </w:r>
      <w:r w:rsidR="00115B27" w:rsidRPr="00073673">
        <w:t xml:space="preserve">subsidy </w:t>
      </w:r>
      <w:r w:rsidR="005C52E7" w:rsidRPr="00073673">
        <w:t xml:space="preserve">per </w:t>
      </w:r>
      <w:r w:rsidR="004C5BE7">
        <w:t>residence/</w:t>
      </w:r>
      <w:r w:rsidR="005C52E7" w:rsidRPr="00073673">
        <w:t>household in remote areas.</w:t>
      </w:r>
      <w:r w:rsidR="000868AF" w:rsidRPr="00073673">
        <w:rPr>
          <w:rStyle w:val="FootnoteReference"/>
        </w:rPr>
        <w:footnoteReference w:id="33"/>
      </w:r>
      <w:r w:rsidR="005C52E7" w:rsidRPr="00073673">
        <w:t xml:space="preserve">  </w:t>
      </w:r>
      <w:r w:rsidR="00025B78" w:rsidRPr="00073673">
        <w:t xml:space="preserve">As with Lifeline support, the adoption of </w:t>
      </w:r>
      <w:r w:rsidR="009E5C82">
        <w:t>this</w:t>
      </w:r>
      <w:r w:rsidR="00025B78" w:rsidRPr="00073673">
        <w:t xml:space="preserve"> limitation will ensure that support is sufficient, but not excessive.</w:t>
      </w:r>
      <w:r w:rsidR="00025B78" w:rsidRPr="00073673">
        <w:rPr>
          <w:rStyle w:val="FootnoteReference"/>
        </w:rPr>
        <w:footnoteReference w:id="34"/>
      </w:r>
      <w:r w:rsidR="00025B78" w:rsidRPr="00073673">
        <w:t xml:space="preserve"> </w:t>
      </w:r>
      <w:r w:rsidR="005C52E7" w:rsidRPr="00073673">
        <w:t xml:space="preserve">The </w:t>
      </w:r>
      <w:r w:rsidR="002415E7" w:rsidRPr="00073673">
        <w:t>Ohio Commission agrees that a single, fixed broad</w:t>
      </w:r>
      <w:r w:rsidR="00C770A3">
        <w:softHyphen/>
      </w:r>
      <w:r w:rsidR="002415E7" w:rsidRPr="00073673">
        <w:t xml:space="preserve">band connection </w:t>
      </w:r>
      <w:r w:rsidR="009E5C82">
        <w:t>per</w:t>
      </w:r>
      <w:r w:rsidR="002415E7" w:rsidRPr="00073673">
        <w:t xml:space="preserve"> single residence/household</w:t>
      </w:r>
      <w:r w:rsidR="009E5C82">
        <w:t>,</w:t>
      </w:r>
      <w:r w:rsidR="002415E7" w:rsidRPr="00073673">
        <w:rPr>
          <w:rStyle w:val="FootnoteReference"/>
        </w:rPr>
        <w:footnoteReference w:id="35"/>
      </w:r>
      <w:r w:rsidR="009E5C82">
        <w:t xml:space="preserve"> is sufficient </w:t>
      </w:r>
      <w:r w:rsidR="002415E7" w:rsidRPr="00073673">
        <w:t>given the availa</w:t>
      </w:r>
      <w:r w:rsidR="005008B5">
        <w:softHyphen/>
      </w:r>
      <w:r w:rsidR="002415E7" w:rsidRPr="00073673">
        <w:t xml:space="preserve">bility and relative low cost of wireless routers that make broadband available </w:t>
      </w:r>
      <w:r w:rsidR="005000FD" w:rsidRPr="00073673">
        <w:t>sim</w:t>
      </w:r>
      <w:r w:rsidR="005008B5">
        <w:softHyphen/>
      </w:r>
      <w:r w:rsidR="005000FD" w:rsidRPr="00073673">
        <w:t xml:space="preserve">ultaneously </w:t>
      </w:r>
      <w:r w:rsidR="002415E7" w:rsidRPr="00073673">
        <w:t xml:space="preserve">to multiple devices through a single broadband connection.  </w:t>
      </w:r>
      <w:r w:rsidR="009E5C82">
        <w:t>That being the case</w:t>
      </w:r>
      <w:r w:rsidR="00025B78" w:rsidRPr="00073673">
        <w:t>,</w:t>
      </w:r>
      <w:r w:rsidR="002415E7" w:rsidRPr="00073673">
        <w:t xml:space="preserve"> </w:t>
      </w:r>
      <w:r w:rsidR="004C5BE7">
        <w:t xml:space="preserve">it </w:t>
      </w:r>
      <w:r w:rsidR="002415E7" w:rsidRPr="00073673">
        <w:t>make</w:t>
      </w:r>
      <w:r w:rsidR="004C5BE7">
        <w:t>s</w:t>
      </w:r>
      <w:r w:rsidR="002415E7" w:rsidRPr="00073673">
        <w:t xml:space="preserve"> little sense to </w:t>
      </w:r>
      <w:r w:rsidR="005000FD" w:rsidRPr="00073673">
        <w:t>provide multiple, subsidized connections to a sin</w:t>
      </w:r>
      <w:r w:rsidR="00C770A3">
        <w:softHyphen/>
      </w:r>
      <w:r w:rsidR="005000FD" w:rsidRPr="00073673">
        <w:t>gle resi</w:t>
      </w:r>
      <w:r w:rsidR="005008B5">
        <w:softHyphen/>
      </w:r>
      <w:r w:rsidR="005000FD" w:rsidRPr="00073673">
        <w:t xml:space="preserve">dence/household in any extremely high-cost remote area.  </w:t>
      </w:r>
    </w:p>
    <w:p w:rsidR="008F1E5B" w:rsidRPr="00073673" w:rsidRDefault="00DC4F8E" w:rsidP="002E3668">
      <w:pPr>
        <w:pStyle w:val="Textstyle"/>
      </w:pPr>
      <w:r w:rsidRPr="00073673">
        <w:lastRenderedPageBreak/>
        <w:tab/>
      </w:r>
      <w:r w:rsidR="00C95C8D" w:rsidRPr="00073673">
        <w:t>In proposing to limit support to one subsidy per residence/household, the FCC seeks comment on adopting the</w:t>
      </w:r>
      <w:r w:rsidR="00D63718" w:rsidRPr="00073673">
        <w:t xml:space="preserve"> </w:t>
      </w:r>
      <w:r w:rsidR="005C52E7" w:rsidRPr="00073673">
        <w:t xml:space="preserve">definition of residence or household </w:t>
      </w:r>
      <w:r w:rsidR="000868AF" w:rsidRPr="00073673">
        <w:t xml:space="preserve">that it </w:t>
      </w:r>
      <w:r w:rsidR="005C52E7" w:rsidRPr="00073673">
        <w:t xml:space="preserve">adopted  </w:t>
      </w:r>
      <w:r w:rsidR="00D63718" w:rsidRPr="00073673">
        <w:t xml:space="preserve">for the Lifeline program in its </w:t>
      </w:r>
      <w:r w:rsidR="005C52E7" w:rsidRPr="00073673">
        <w:t>Lifeline and Link Up Reform and Modernization N</w:t>
      </w:r>
      <w:r w:rsidR="00D63718" w:rsidRPr="00073673">
        <w:t xml:space="preserve">otice of </w:t>
      </w:r>
      <w:r w:rsidR="005C52E7" w:rsidRPr="00073673">
        <w:t>P</w:t>
      </w:r>
      <w:r w:rsidR="00D63718" w:rsidRPr="00073673">
        <w:t xml:space="preserve">roposed </w:t>
      </w:r>
      <w:r w:rsidR="005C52E7" w:rsidRPr="00073673">
        <w:t>R</w:t>
      </w:r>
      <w:r w:rsidR="00D63718" w:rsidRPr="00073673">
        <w:t>ulemaking</w:t>
      </w:r>
      <w:r w:rsidR="00014773" w:rsidRPr="00073673">
        <w:t xml:space="preserve"> (Lifeline NPRM)</w:t>
      </w:r>
      <w:r w:rsidR="005C52E7" w:rsidRPr="00073673">
        <w:t>.</w:t>
      </w:r>
      <w:r w:rsidR="000868AF" w:rsidRPr="00073673">
        <w:rPr>
          <w:rStyle w:val="FootnoteReference"/>
        </w:rPr>
        <w:footnoteReference w:id="36"/>
      </w:r>
      <w:r w:rsidR="008605B0" w:rsidRPr="00073673">
        <w:t xml:space="preserve">  The Ohio Commission supports the FCC’s adoption of </w:t>
      </w:r>
      <w:r w:rsidR="009D12B8" w:rsidRPr="00073673">
        <w:t>this definition</w:t>
      </w:r>
      <w:r w:rsidR="008605B0" w:rsidRPr="00073673">
        <w:t>.</w:t>
      </w:r>
      <w:r w:rsidR="009D12B8" w:rsidRPr="00073673">
        <w:t xml:space="preserve">  According to</w:t>
      </w:r>
      <w:r w:rsidR="00014773" w:rsidRPr="00073673">
        <w:t xml:space="preserve"> the</w:t>
      </w:r>
      <w:r w:rsidR="009D12B8" w:rsidRPr="00073673">
        <w:t xml:space="preserve"> Lifeline NPRM, </w:t>
      </w:r>
      <w:r w:rsidR="00014773" w:rsidRPr="00073673">
        <w:t xml:space="preserve">a residence/household </w:t>
      </w:r>
      <w:r w:rsidR="009D12B8" w:rsidRPr="00073673">
        <w:t xml:space="preserve">is defined </w:t>
      </w:r>
      <w:r w:rsidR="00014773" w:rsidRPr="00073673">
        <w:t xml:space="preserve">as a “billing residential address.”  A billing residence address is </w:t>
      </w:r>
      <w:r w:rsidR="009D12B8" w:rsidRPr="00073673">
        <w:t xml:space="preserve">further defined as </w:t>
      </w:r>
      <w:r w:rsidR="00014773" w:rsidRPr="00073673">
        <w:t>“a unique residential address recognized by the U.S. Postal Service address.”</w:t>
      </w:r>
      <w:r w:rsidR="00014773" w:rsidRPr="00073673">
        <w:rPr>
          <w:rStyle w:val="FootnoteReference"/>
        </w:rPr>
        <w:footnoteReference w:id="37"/>
      </w:r>
      <w:r w:rsidR="00014773" w:rsidRPr="00073673">
        <w:t xml:space="preserve">  The Ohio Commission believes that by adopting this definition, the FCC will reduce the like</w:t>
      </w:r>
      <w:r w:rsidR="00C770A3">
        <w:softHyphen/>
      </w:r>
      <w:r w:rsidR="00014773" w:rsidRPr="00073673">
        <w:t xml:space="preserve">lihood that multiple subsidies are provided at a single address. </w:t>
      </w:r>
      <w:r w:rsidR="005402CE" w:rsidRPr="00073673">
        <w:t xml:space="preserve"> </w:t>
      </w:r>
      <w:r w:rsidR="009E5C82">
        <w:t>T</w:t>
      </w:r>
      <w:r w:rsidR="005402CE" w:rsidRPr="00073673">
        <w:t>he Ohio Com</w:t>
      </w:r>
      <w:r w:rsidR="00C770A3">
        <w:softHyphen/>
      </w:r>
      <w:r w:rsidR="005402CE" w:rsidRPr="00073673">
        <w:t xml:space="preserve">mission encourages the FCC to place the burden upon the service provider to cross-check a </w:t>
      </w:r>
      <w:r w:rsidR="00071BF7">
        <w:t xml:space="preserve">potential </w:t>
      </w:r>
      <w:r w:rsidR="005402CE" w:rsidRPr="00073673">
        <w:t>sub</w:t>
      </w:r>
      <w:r w:rsidR="005008B5">
        <w:softHyphen/>
      </w:r>
      <w:r w:rsidR="005402CE" w:rsidRPr="00073673">
        <w:t>scriber’s address</w:t>
      </w:r>
      <w:r w:rsidR="00014773" w:rsidRPr="00073673">
        <w:t xml:space="preserve"> </w:t>
      </w:r>
      <w:r w:rsidR="005402CE" w:rsidRPr="00073673">
        <w:t xml:space="preserve">when a qualifying </w:t>
      </w:r>
      <w:r w:rsidR="000A2743">
        <w:t xml:space="preserve">a </w:t>
      </w:r>
      <w:r w:rsidR="005402CE" w:rsidRPr="00073673">
        <w:t xml:space="preserve">request for new service in a remote area.  </w:t>
      </w:r>
      <w:r w:rsidR="000A2743">
        <w:t>T</w:t>
      </w:r>
      <w:r w:rsidR="008605B0" w:rsidRPr="00073673">
        <w:t>he pro</w:t>
      </w:r>
      <w:r w:rsidR="005008B5">
        <w:softHyphen/>
      </w:r>
      <w:r w:rsidR="008605B0" w:rsidRPr="00073673">
        <w:t xml:space="preserve">vider would </w:t>
      </w:r>
      <w:r w:rsidR="000A2743">
        <w:t xml:space="preserve">then </w:t>
      </w:r>
      <w:r w:rsidR="008605B0" w:rsidRPr="00073673">
        <w:t xml:space="preserve">assume the responsibility for ensuring that a subsidy is not </w:t>
      </w:r>
      <w:r w:rsidR="000A2743">
        <w:t>presently</w:t>
      </w:r>
      <w:r w:rsidR="000A2743" w:rsidRPr="00073673">
        <w:t xml:space="preserve"> </w:t>
      </w:r>
      <w:r w:rsidR="008605B0" w:rsidRPr="00073673">
        <w:t xml:space="preserve">being provided at the residential address.  If it is later discovered that multiple subsidies have been provided to a </w:t>
      </w:r>
      <w:r w:rsidR="00E600E8" w:rsidRPr="00073673">
        <w:t>single</w:t>
      </w:r>
      <w:r w:rsidR="008605B0" w:rsidRPr="00073673">
        <w:t xml:space="preserve"> residential address, the service provider should not be eli</w:t>
      </w:r>
      <w:r w:rsidR="005008B5">
        <w:softHyphen/>
      </w:r>
      <w:r w:rsidR="008605B0" w:rsidRPr="00073673">
        <w:t xml:space="preserve">gible to be reimbursed for the </w:t>
      </w:r>
      <w:r w:rsidR="00071BF7">
        <w:t xml:space="preserve">duplicative </w:t>
      </w:r>
      <w:r w:rsidR="008605B0" w:rsidRPr="00073673">
        <w:t xml:space="preserve">discount provided to the subscriber at that address.  </w:t>
      </w:r>
      <w:r w:rsidR="009E5C82">
        <w:t>T</w:t>
      </w:r>
      <w:r w:rsidR="008605B0" w:rsidRPr="00073673">
        <w:t>he Ohio Commission</w:t>
      </w:r>
      <w:r w:rsidR="009E5C82">
        <w:t xml:space="preserve"> believe</w:t>
      </w:r>
      <w:r w:rsidR="008605B0" w:rsidRPr="00073673">
        <w:t xml:space="preserve">s </w:t>
      </w:r>
      <w:r w:rsidR="009E5C82">
        <w:t xml:space="preserve">that </w:t>
      </w:r>
      <w:r w:rsidR="008605B0" w:rsidRPr="00073673">
        <w:t>this should not be a common occur</w:t>
      </w:r>
      <w:r w:rsidR="0097798D">
        <w:softHyphen/>
      </w:r>
      <w:r w:rsidR="008605B0" w:rsidRPr="00073673">
        <w:t xml:space="preserve">rence </w:t>
      </w:r>
      <w:r w:rsidR="009E5C82">
        <w:t>because</w:t>
      </w:r>
      <w:r w:rsidR="008605B0" w:rsidRPr="00073673">
        <w:t>,</w:t>
      </w:r>
      <w:r w:rsidR="00014773" w:rsidRPr="00073673">
        <w:t xml:space="preserve"> unlike Lifeline service with multiple service providers, </w:t>
      </w:r>
      <w:r w:rsidR="000A2743">
        <w:t xml:space="preserve">only </w:t>
      </w:r>
      <w:r w:rsidR="00014773" w:rsidRPr="00073673">
        <w:t xml:space="preserve">one supported broadband provider in a remote area will </w:t>
      </w:r>
      <w:r w:rsidR="008605B0" w:rsidRPr="00073673">
        <w:t>be responsible for providing ser</w:t>
      </w:r>
      <w:r w:rsidR="00C770A3">
        <w:softHyphen/>
      </w:r>
      <w:r w:rsidR="008605B0" w:rsidRPr="00073673">
        <w:t>vice to all sub</w:t>
      </w:r>
      <w:r w:rsidR="0097798D">
        <w:softHyphen/>
      </w:r>
      <w:r w:rsidR="008605B0" w:rsidRPr="00073673">
        <w:t xml:space="preserve">sidized subscribers in that area. </w:t>
      </w:r>
      <w:r w:rsidR="00C95C8D" w:rsidRPr="00073673">
        <w:t xml:space="preserve">  </w:t>
      </w:r>
    </w:p>
    <w:p w:rsidR="008F1E5B" w:rsidRPr="00073673" w:rsidRDefault="009D12B8" w:rsidP="002E3668">
      <w:pPr>
        <w:pStyle w:val="Textstyle"/>
      </w:pPr>
      <w:r w:rsidRPr="00073673">
        <w:lastRenderedPageBreak/>
        <w:tab/>
        <w:t xml:space="preserve">The FCC points out that it is likely that there are presently subscribers in high-cost, remote areas who are capable of and willing to pay for satellite </w:t>
      </w:r>
      <w:r w:rsidR="00071BF7">
        <w:t xml:space="preserve">voice </w:t>
      </w:r>
      <w:r w:rsidRPr="00073673">
        <w:t>and broadband ser</w:t>
      </w:r>
      <w:r w:rsidR="005008B5">
        <w:softHyphen/>
      </w:r>
      <w:r w:rsidRPr="00073673">
        <w:t>vices at current prices.  As such, the FCC has proposed limiting RAF support to new sub</w:t>
      </w:r>
      <w:r w:rsidR="005008B5">
        <w:softHyphen/>
      </w:r>
      <w:r w:rsidRPr="00073673">
        <w:t>scribers only.</w:t>
      </w:r>
      <w:r w:rsidRPr="00073673">
        <w:rPr>
          <w:rStyle w:val="FootnoteReference"/>
        </w:rPr>
        <w:footnoteReference w:id="38"/>
      </w:r>
      <w:r w:rsidR="00DF2F6E">
        <w:t xml:space="preserve"> </w:t>
      </w:r>
      <w:r w:rsidRPr="00073673">
        <w:t xml:space="preserve"> </w:t>
      </w:r>
      <w:r w:rsidR="009E5C82">
        <w:t xml:space="preserve"> T</w:t>
      </w:r>
      <w:r w:rsidRPr="00073673">
        <w:t xml:space="preserve">he Ohio Commission believes that such a limitation </w:t>
      </w:r>
      <w:r w:rsidR="009E5C82">
        <w:t xml:space="preserve">may constitute an overly </w:t>
      </w:r>
      <w:r w:rsidR="00281EC7" w:rsidRPr="00073673">
        <w:t>judicious use of the RAF</w:t>
      </w:r>
      <w:r w:rsidR="009E5C82">
        <w:t xml:space="preserve"> and</w:t>
      </w:r>
      <w:r w:rsidR="00281EC7" w:rsidRPr="00073673">
        <w:t xml:space="preserve"> prove very difficult to enforce.  Rather than try to determine who or what a new sub</w:t>
      </w:r>
      <w:r w:rsidR="00C770A3">
        <w:softHyphen/>
      </w:r>
      <w:r w:rsidR="00281EC7" w:rsidRPr="00073673">
        <w:t>scriber is, the Ohio Commission encourages the FCC to focus on providing the RAF sub</w:t>
      </w:r>
      <w:r w:rsidR="00C770A3">
        <w:softHyphen/>
      </w:r>
      <w:r w:rsidR="00281EC7" w:rsidRPr="00073673">
        <w:t xml:space="preserve">sidy </w:t>
      </w:r>
      <w:r w:rsidR="006D0EB1" w:rsidRPr="00073673">
        <w:t>to those who need it</w:t>
      </w:r>
      <w:r w:rsidR="009E5C82">
        <w:t xml:space="preserve"> by </w:t>
      </w:r>
      <w:r w:rsidR="006D0EB1" w:rsidRPr="00073673">
        <w:t>making eli</w:t>
      </w:r>
      <w:r w:rsidR="00C770A3">
        <w:softHyphen/>
      </w:r>
      <w:r w:rsidR="006D0EB1" w:rsidRPr="00073673">
        <w:t xml:space="preserve">gibility for RAF support contingent upon a means-based test.  </w:t>
      </w:r>
      <w:r w:rsidR="009E5C82">
        <w:t>This will</w:t>
      </w:r>
      <w:r w:rsidR="006D0EB1" w:rsidRPr="00073673">
        <w:t xml:space="preserve"> direct</w:t>
      </w:r>
      <w:r w:rsidR="009E5C82">
        <w:t xml:space="preserve"> support</w:t>
      </w:r>
      <w:r w:rsidR="006D0EB1" w:rsidRPr="00073673">
        <w:t xml:space="preserve"> to those who truly need it</w:t>
      </w:r>
      <w:r w:rsidR="009E5C82">
        <w:t xml:space="preserve"> and predominantly focus upon</w:t>
      </w:r>
      <w:r w:rsidR="006D0EB1" w:rsidRPr="00073673">
        <w:t xml:space="preserve"> new subscribers who previously could not</w:t>
      </w:r>
      <w:r w:rsidR="005871DF">
        <w:t>,</w:t>
      </w:r>
      <w:r w:rsidR="006D0EB1" w:rsidRPr="00073673">
        <w:t xml:space="preserve"> </w:t>
      </w:r>
      <w:r w:rsidR="000A2743">
        <w:t>prior to the subsidy</w:t>
      </w:r>
      <w:r w:rsidR="005871DF">
        <w:t>,</w:t>
      </w:r>
      <w:r w:rsidR="000A2743">
        <w:t xml:space="preserve"> a</w:t>
      </w:r>
      <w:r w:rsidR="006D0EB1" w:rsidRPr="00073673">
        <w:t xml:space="preserve">fford such service.  </w:t>
      </w:r>
    </w:p>
    <w:p w:rsidR="008F1E5B" w:rsidRDefault="00C95C8D" w:rsidP="002E3668">
      <w:pPr>
        <w:pStyle w:val="Textstyle"/>
      </w:pPr>
      <w:r w:rsidRPr="00073673">
        <w:tab/>
      </w:r>
      <w:r w:rsidR="00393ED0" w:rsidRPr="00073673">
        <w:t xml:space="preserve">With the RAF potentially taking on the characteristics of a subscriber means-based subsidy rather than direct high-cost provider support, the </w:t>
      </w:r>
      <w:r w:rsidRPr="00073673">
        <w:t xml:space="preserve">FCC seeks comment on the relationship between </w:t>
      </w:r>
      <w:proofErr w:type="spellStart"/>
      <w:r w:rsidRPr="00073673">
        <w:t>CAF</w:t>
      </w:r>
      <w:proofErr w:type="spellEnd"/>
      <w:r w:rsidRPr="00073673">
        <w:t xml:space="preserve"> support </w:t>
      </w:r>
      <w:r w:rsidR="002609EE" w:rsidRPr="00073673">
        <w:t>through the RAF</w:t>
      </w:r>
      <w:r w:rsidRPr="00073673">
        <w:t xml:space="preserve"> and the Lifeline program.</w:t>
      </w:r>
      <w:r w:rsidRPr="00073673">
        <w:rPr>
          <w:rStyle w:val="FootnoteReference"/>
        </w:rPr>
        <w:footnoteReference w:id="39"/>
      </w:r>
      <w:r w:rsidRPr="00073673">
        <w:t xml:space="preserve">  As indi</w:t>
      </w:r>
      <w:r w:rsidR="00C770A3">
        <w:softHyphen/>
      </w:r>
      <w:r w:rsidRPr="00073673">
        <w:t>cated above, the Ohio Commission believes that CAF support for remote areas and Life</w:t>
      </w:r>
      <w:r w:rsidR="00C770A3">
        <w:softHyphen/>
      </w:r>
      <w:r w:rsidRPr="00073673">
        <w:t xml:space="preserve">line support are very similar in nature.  As such, CAF support </w:t>
      </w:r>
      <w:r w:rsidR="002609EE" w:rsidRPr="00073673">
        <w:t xml:space="preserve">through the RAF </w:t>
      </w:r>
      <w:r w:rsidRPr="00073673">
        <w:t xml:space="preserve">should be treated in the same or </w:t>
      </w:r>
      <w:r w:rsidR="009E5C82">
        <w:t>largely</w:t>
      </w:r>
      <w:r w:rsidR="009E5C82" w:rsidRPr="00073673">
        <w:t xml:space="preserve"> </w:t>
      </w:r>
      <w:r w:rsidRPr="00073673">
        <w:t xml:space="preserve">similar manner to the Lifeline program with regard to </w:t>
      </w:r>
      <w:r w:rsidR="000A2743">
        <w:t>sup</w:t>
      </w:r>
      <w:r w:rsidR="0097798D">
        <w:softHyphen/>
      </w:r>
      <w:r w:rsidR="000A2743">
        <w:t xml:space="preserve">port </w:t>
      </w:r>
      <w:r w:rsidRPr="00073673">
        <w:t xml:space="preserve">eligibility.  </w:t>
      </w:r>
      <w:r w:rsidR="009E5C82">
        <w:t>While</w:t>
      </w:r>
      <w:r w:rsidR="002609EE" w:rsidRPr="00073673">
        <w:t xml:space="preserve"> the Ohio Commission recognizes the possibility that a sub</w:t>
      </w:r>
      <w:r w:rsidR="005008B5">
        <w:softHyphen/>
      </w:r>
      <w:r w:rsidR="002609EE" w:rsidRPr="00073673">
        <w:t>scriber may qualify for service discount</w:t>
      </w:r>
      <w:r w:rsidR="008E17E5" w:rsidRPr="00073673">
        <w:t>s</w:t>
      </w:r>
      <w:r w:rsidR="002609EE" w:rsidRPr="00073673">
        <w:t xml:space="preserve"> </w:t>
      </w:r>
      <w:r w:rsidR="009E5C82">
        <w:t>under</w:t>
      </w:r>
      <w:r w:rsidR="009E5C82" w:rsidRPr="00073673">
        <w:t xml:space="preserve"> </w:t>
      </w:r>
      <w:r w:rsidR="002609EE" w:rsidRPr="00073673">
        <w:t>both the RAF and the Lifeline program</w:t>
      </w:r>
      <w:r w:rsidR="009E5C82">
        <w:t>,</w:t>
      </w:r>
      <w:r w:rsidR="002609EE" w:rsidRPr="00073673">
        <w:t xml:space="preserve">  </w:t>
      </w:r>
      <w:r w:rsidR="009E5C82">
        <w:t>it</w:t>
      </w:r>
      <w:r w:rsidR="002609EE" w:rsidRPr="00073673">
        <w:t xml:space="preserve"> does not find this inappropriate so long as Lifeline subscribers in remote areas are not put in a better position than their counterparts in areas</w:t>
      </w:r>
      <w:r w:rsidR="004A0059">
        <w:t xml:space="preserve"> that are not extremely high-cost</w:t>
      </w:r>
      <w:r w:rsidR="002609EE" w:rsidRPr="00073673">
        <w:t xml:space="preserve">.  </w:t>
      </w:r>
      <w:r w:rsidR="00BC7F0C">
        <w:t xml:space="preserve">While </w:t>
      </w:r>
      <w:r w:rsidR="00BC7F0C">
        <w:lastRenderedPageBreak/>
        <w:t xml:space="preserve">service rates </w:t>
      </w:r>
      <w:r w:rsidR="00877A05">
        <w:t>will</w:t>
      </w:r>
      <w:r w:rsidR="00BC7F0C">
        <w:t xml:space="preserve"> </w:t>
      </w:r>
      <w:r w:rsidR="00877A05">
        <w:t>vary</w:t>
      </w:r>
      <w:r w:rsidR="00BC7F0C">
        <w:t xml:space="preserve"> from state to state, and even service area to service area, Lifeline customers in extremely high-cost remote areas should not receive what would essentially be a windfall simply by virtue of living in a</w:t>
      </w:r>
      <w:r w:rsidR="004A0059">
        <w:t>n extremely high-cost</w:t>
      </w:r>
      <w:r w:rsidR="00BC7F0C">
        <w:t xml:space="preserve"> remote area.  Ulti</w:t>
      </w:r>
      <w:r w:rsidR="0097798D">
        <w:softHyphen/>
      </w:r>
      <w:r w:rsidR="00BC7F0C">
        <w:t>mately</w:t>
      </w:r>
      <w:r w:rsidR="001E1A98" w:rsidRPr="00073673">
        <w:t>, the combined subsidy should not</w:t>
      </w:r>
      <w:r w:rsidR="00BC7F0C">
        <w:t>, on average,</w:t>
      </w:r>
      <w:r w:rsidR="001E1A98" w:rsidRPr="00073673">
        <w:t xml:space="preserve"> result in lower monthly service rate</w:t>
      </w:r>
      <w:r w:rsidR="009E5C82">
        <w:t>s</w:t>
      </w:r>
      <w:r w:rsidR="001E1A98" w:rsidRPr="00073673">
        <w:t xml:space="preserve"> for Lifeline subscrib</w:t>
      </w:r>
      <w:r w:rsidR="005008B5">
        <w:softHyphen/>
      </w:r>
      <w:r w:rsidR="001E1A98" w:rsidRPr="00073673">
        <w:t xml:space="preserve">ers in </w:t>
      </w:r>
      <w:r w:rsidR="004A0059">
        <w:t xml:space="preserve">extremely high-cost </w:t>
      </w:r>
      <w:r w:rsidR="001E1A98" w:rsidRPr="00073673">
        <w:t xml:space="preserve">remote areas than </w:t>
      </w:r>
      <w:r w:rsidR="009E5C82">
        <w:t>it does</w:t>
      </w:r>
      <w:r w:rsidR="000A2743">
        <w:t xml:space="preserve"> </w:t>
      </w:r>
      <w:r w:rsidR="00240B7A">
        <w:t xml:space="preserve">for Lifeline subscribers </w:t>
      </w:r>
      <w:r w:rsidR="004A0059">
        <w:t>outside of these</w:t>
      </w:r>
      <w:r w:rsidR="001E1A98" w:rsidRPr="00073673">
        <w:t xml:space="preserve"> areas.  Further</w:t>
      </w:r>
      <w:r w:rsidR="005008B5">
        <w:softHyphen/>
      </w:r>
      <w:r w:rsidR="001E1A98" w:rsidRPr="00073673">
        <w:t xml:space="preserve">more, the Ohio Commission believes that </w:t>
      </w:r>
      <w:r w:rsidR="000A2743">
        <w:t>if</w:t>
      </w:r>
      <w:r w:rsidR="001E1A98" w:rsidRPr="00073673">
        <w:t xml:space="preserve"> FCC adopt</w:t>
      </w:r>
      <w:r w:rsidR="000A2743">
        <w:t>s</w:t>
      </w:r>
      <w:r w:rsidR="001E1A98" w:rsidRPr="00073673">
        <w:t xml:space="preserve"> a means-based requirement for the receipt of RAF support, subscribers should be subject to the same or significantly similar income eligibility guidelines and verification requirements as Lifeline customers</w:t>
      </w:r>
      <w:r w:rsidR="00F20076">
        <w:t>. This will</w:t>
      </w:r>
      <w:r w:rsidR="001E1A98" w:rsidRPr="00073673">
        <w:t xml:space="preserve"> help ensure that support is </w:t>
      </w:r>
      <w:r w:rsidR="00F20076">
        <w:t xml:space="preserve">available </w:t>
      </w:r>
      <w:r w:rsidR="001E1A98" w:rsidRPr="00073673">
        <w:t xml:space="preserve">only </w:t>
      </w:r>
      <w:r w:rsidR="00F20076">
        <w:t>for</w:t>
      </w:r>
      <w:r w:rsidR="001E1A98" w:rsidRPr="00073673">
        <w:t xml:space="preserve"> those for whom it is intended</w:t>
      </w:r>
      <w:r w:rsidR="00F20076">
        <w:t>,</w:t>
      </w:r>
      <w:r w:rsidR="001E1A98" w:rsidRPr="00073673">
        <w:t xml:space="preserve"> </w:t>
      </w:r>
      <w:r w:rsidR="000A2743">
        <w:t xml:space="preserve">while </w:t>
      </w:r>
      <w:r w:rsidR="001E1A98" w:rsidRPr="00073673">
        <w:t xml:space="preserve">guarding against </w:t>
      </w:r>
      <w:r w:rsidR="00E7645F" w:rsidRPr="00073673">
        <w:t>u</w:t>
      </w:r>
      <w:r w:rsidR="00E7645F">
        <w:t>nnecessary</w:t>
      </w:r>
      <w:r w:rsidR="00F20076">
        <w:t xml:space="preserve"> </w:t>
      </w:r>
      <w:r w:rsidR="00E7645F" w:rsidRPr="00073673">
        <w:t>growth</w:t>
      </w:r>
      <w:r w:rsidR="001E1A98" w:rsidRPr="00073673">
        <w:t xml:space="preserve"> of the RAF.  To this end, the Ohio Commis</w:t>
      </w:r>
      <w:r w:rsidR="005008B5">
        <w:softHyphen/>
      </w:r>
      <w:r w:rsidR="001E1A98" w:rsidRPr="00073673">
        <w:t>sion suggests that recipients of means-based RAF support could be included in any national database established by the FCC for Lifeline purposes.</w:t>
      </w:r>
    </w:p>
    <w:p w:rsidR="00E74F3D" w:rsidRDefault="00554774" w:rsidP="002E3668">
      <w:pPr>
        <w:pStyle w:val="Heading1"/>
      </w:pPr>
      <w:r>
        <w:br w:type="page"/>
      </w:r>
      <w:bookmarkStart w:id="9" w:name="_Toc314659612"/>
      <w:r w:rsidR="00E74F3D" w:rsidRPr="00E74F3D">
        <w:lastRenderedPageBreak/>
        <w:t>CONCLUSION</w:t>
      </w:r>
      <w:bookmarkEnd w:id="9"/>
    </w:p>
    <w:p w:rsidR="00E74F3D" w:rsidRDefault="00EA2AB9" w:rsidP="002E3668">
      <w:pPr>
        <w:pStyle w:val="Textstyle"/>
      </w:pPr>
      <w:r>
        <w:rPr>
          <w:b/>
          <w:sz w:val="28"/>
          <w:szCs w:val="28"/>
        </w:rPr>
        <w:tab/>
      </w:r>
      <w:r w:rsidR="00973F18">
        <w:rPr>
          <w:sz w:val="28"/>
          <w:szCs w:val="28"/>
        </w:rPr>
        <w:t>T</w:t>
      </w:r>
      <w:r w:rsidR="00986B9B">
        <w:t xml:space="preserve">he FCC’s R&amp;O has ushered in numerous </w:t>
      </w:r>
      <w:r w:rsidR="00F20076">
        <w:t xml:space="preserve">and comprehensive </w:t>
      </w:r>
      <w:r w:rsidR="00986B9B">
        <w:t>refo</w:t>
      </w:r>
      <w:r w:rsidR="00973F18">
        <w:t>rms to the high-cost USF and</w:t>
      </w:r>
      <w:r w:rsidR="00986B9B">
        <w:t xml:space="preserve"> </w:t>
      </w:r>
      <w:r w:rsidR="00973F18">
        <w:t xml:space="preserve">Ohio, like all states, will be impacted as a result.  </w:t>
      </w:r>
      <w:r w:rsidR="00F20076">
        <w:t>T</w:t>
      </w:r>
      <w:r w:rsidR="00973F18">
        <w:t xml:space="preserve">he FCC’s reforms </w:t>
      </w:r>
      <w:r w:rsidR="00F20076">
        <w:t xml:space="preserve">have also created </w:t>
      </w:r>
      <w:r w:rsidR="00973F18">
        <w:t>many unresolved questions and issues as recognized in the FNPRM.  The Ohio Commission believes that the approach the FCC takes in resolving these mat</w:t>
      </w:r>
      <w:r w:rsidR="00C770A3">
        <w:softHyphen/>
      </w:r>
      <w:r w:rsidR="00973F18">
        <w:t>ters will weigh heavily determining the ultimate success of the FC</w:t>
      </w:r>
      <w:r w:rsidR="00265AD3">
        <w:t>C’s high-cost reform efforts.</w:t>
      </w:r>
      <w:r w:rsidR="00973F18">
        <w:t xml:space="preserve">  Accordingly, the Ohio Commission appreciates this opportunity to provide its thoughts and recommendations to the FCC for its </w:t>
      </w:r>
      <w:r w:rsidR="00F20076">
        <w:t xml:space="preserve">studied </w:t>
      </w:r>
      <w:r w:rsidR="00973F18">
        <w:t>consideration.</w:t>
      </w:r>
      <w:r w:rsidR="00986B9B">
        <w:t xml:space="preserve">  </w:t>
      </w:r>
      <w:r w:rsidR="00973F18">
        <w:t xml:space="preserve"> </w:t>
      </w:r>
    </w:p>
    <w:p w:rsidR="002E3668" w:rsidRDefault="002E3668" w:rsidP="002E3668">
      <w:pPr>
        <w:tabs>
          <w:tab w:val="left" w:pos="9360"/>
        </w:tabs>
        <w:spacing w:after="0" w:line="240" w:lineRule="auto"/>
        <w:ind w:left="4320"/>
        <w:rPr>
          <w:rFonts w:ascii="Times New Roman" w:hAnsi="Times New Roman"/>
          <w:sz w:val="26"/>
          <w:szCs w:val="26"/>
        </w:rPr>
      </w:pPr>
    </w:p>
    <w:p w:rsidR="002E3668" w:rsidRPr="007A78D7"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Respectfully submitted,</w:t>
      </w:r>
    </w:p>
    <w:p w:rsidR="002E3668" w:rsidRPr="007A78D7" w:rsidRDefault="002E3668" w:rsidP="002E3668">
      <w:pPr>
        <w:tabs>
          <w:tab w:val="left" w:pos="9360"/>
        </w:tabs>
        <w:spacing w:after="0" w:line="240" w:lineRule="auto"/>
        <w:ind w:left="4320"/>
        <w:rPr>
          <w:rFonts w:ascii="Times New Roman" w:hAnsi="Times New Roman"/>
          <w:sz w:val="26"/>
          <w:szCs w:val="26"/>
        </w:rPr>
      </w:pPr>
    </w:p>
    <w:p w:rsidR="002E3668" w:rsidRPr="007A78D7" w:rsidRDefault="002E3668" w:rsidP="002E3668">
      <w:pPr>
        <w:tabs>
          <w:tab w:val="left" w:pos="9360"/>
        </w:tabs>
        <w:spacing w:after="0" w:line="240" w:lineRule="auto"/>
        <w:ind w:left="4320"/>
        <w:rPr>
          <w:rFonts w:ascii="Brush Script MT" w:hAnsi="Brush Script MT"/>
          <w:sz w:val="36"/>
          <w:szCs w:val="36"/>
          <w:u w:val="single"/>
        </w:rPr>
      </w:pPr>
      <w:r>
        <w:rPr>
          <w:rFonts w:ascii="Brush Script MT" w:hAnsi="Brush Script MT"/>
          <w:sz w:val="36"/>
          <w:szCs w:val="36"/>
          <w:u w:val="single"/>
        </w:rPr>
        <w:t>/s/ William L. Wright</w:t>
      </w:r>
      <w:r w:rsidRPr="007A78D7">
        <w:rPr>
          <w:rFonts w:ascii="Brush Script MT" w:hAnsi="Brush Script MT"/>
          <w:sz w:val="36"/>
          <w:szCs w:val="36"/>
          <w:u w:val="single"/>
        </w:rPr>
        <w:tab/>
      </w:r>
    </w:p>
    <w:p w:rsidR="002E3668" w:rsidRPr="007A78D7" w:rsidRDefault="002E3668" w:rsidP="002E3668">
      <w:pPr>
        <w:tabs>
          <w:tab w:val="left" w:pos="9360"/>
        </w:tabs>
        <w:spacing w:after="0" w:line="240" w:lineRule="auto"/>
        <w:ind w:left="4320"/>
        <w:rPr>
          <w:rFonts w:ascii="Times New Roman" w:hAnsi="Times New Roman"/>
          <w:b/>
          <w:sz w:val="26"/>
          <w:szCs w:val="26"/>
        </w:rPr>
      </w:pPr>
      <w:r>
        <w:rPr>
          <w:rFonts w:ascii="Times New Roman" w:hAnsi="Times New Roman"/>
          <w:b/>
          <w:sz w:val="26"/>
          <w:szCs w:val="26"/>
        </w:rPr>
        <w:t>William L. Wright</w:t>
      </w:r>
    </w:p>
    <w:p w:rsidR="002E3668" w:rsidRPr="007A78D7"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180 East Broad Street, 6</w:t>
      </w:r>
      <w:r w:rsidRPr="007A78D7">
        <w:rPr>
          <w:rFonts w:ascii="Times New Roman" w:hAnsi="Times New Roman"/>
          <w:sz w:val="26"/>
          <w:szCs w:val="26"/>
          <w:vertAlign w:val="superscript"/>
        </w:rPr>
        <w:t>th</w:t>
      </w:r>
      <w:r w:rsidRPr="007A78D7">
        <w:rPr>
          <w:rFonts w:ascii="Times New Roman" w:hAnsi="Times New Roman"/>
          <w:sz w:val="26"/>
          <w:szCs w:val="26"/>
        </w:rPr>
        <w:t xml:space="preserve"> Floor</w:t>
      </w:r>
    </w:p>
    <w:p w:rsidR="002E3668" w:rsidRPr="007A78D7"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Columbus, OH  43215-3793</w:t>
      </w:r>
    </w:p>
    <w:p w:rsidR="002E3668" w:rsidRPr="007A78D7"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614.466.4397 (telephone)</w:t>
      </w:r>
    </w:p>
    <w:p w:rsidR="002E3668" w:rsidRPr="007A78D7"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614.644.8764 (fax)</w:t>
      </w:r>
    </w:p>
    <w:p w:rsidR="002E3668" w:rsidRPr="007A78D7" w:rsidRDefault="0062148C" w:rsidP="002E3668">
      <w:pPr>
        <w:tabs>
          <w:tab w:val="left" w:pos="9360"/>
        </w:tabs>
        <w:spacing w:after="0" w:line="240" w:lineRule="auto"/>
        <w:ind w:left="4320"/>
        <w:rPr>
          <w:rFonts w:ascii="Times New Roman" w:hAnsi="Times New Roman"/>
          <w:sz w:val="26"/>
          <w:szCs w:val="26"/>
        </w:rPr>
      </w:pPr>
      <w:hyperlink r:id="rId12" w:history="1">
        <w:r w:rsidR="002E3668" w:rsidRPr="00B12E3C">
          <w:rPr>
            <w:rStyle w:val="Hyperlink"/>
            <w:rFonts w:ascii="Times New Roman" w:hAnsi="Times New Roman"/>
            <w:sz w:val="26"/>
            <w:szCs w:val="26"/>
          </w:rPr>
          <w:t>william.wright@puc.state.oh.us</w:t>
        </w:r>
      </w:hyperlink>
    </w:p>
    <w:p w:rsidR="002E3668" w:rsidRPr="00D6028D" w:rsidRDefault="002E3668" w:rsidP="002E3668">
      <w:pPr>
        <w:tabs>
          <w:tab w:val="left" w:pos="9360"/>
        </w:tabs>
        <w:spacing w:after="0" w:line="240" w:lineRule="auto"/>
        <w:ind w:left="4320"/>
        <w:rPr>
          <w:rFonts w:ascii="Times New Roman" w:hAnsi="Times New Roman"/>
          <w:sz w:val="16"/>
          <w:szCs w:val="16"/>
        </w:rPr>
      </w:pPr>
    </w:p>
    <w:p w:rsidR="002E3668" w:rsidRPr="007A78D7" w:rsidRDefault="002E3668" w:rsidP="002E3668">
      <w:pPr>
        <w:tabs>
          <w:tab w:val="left" w:pos="9360"/>
        </w:tabs>
        <w:spacing w:after="0" w:line="240" w:lineRule="auto"/>
        <w:ind w:left="4320"/>
        <w:rPr>
          <w:rFonts w:ascii="Times New Roman" w:hAnsi="Times New Roman"/>
          <w:sz w:val="26"/>
          <w:szCs w:val="26"/>
        </w:rPr>
      </w:pPr>
      <w:r>
        <w:rPr>
          <w:rFonts w:ascii="Times New Roman" w:hAnsi="Times New Roman"/>
          <w:sz w:val="26"/>
          <w:szCs w:val="26"/>
        </w:rPr>
        <w:t>Attorney</w:t>
      </w:r>
      <w:r w:rsidRPr="007A78D7">
        <w:rPr>
          <w:rFonts w:ascii="Times New Roman" w:hAnsi="Times New Roman"/>
          <w:sz w:val="26"/>
          <w:szCs w:val="26"/>
        </w:rPr>
        <w:t xml:space="preserve"> for </w:t>
      </w:r>
    </w:p>
    <w:p w:rsidR="002E3668" w:rsidRDefault="002E3668" w:rsidP="002E3668">
      <w:pPr>
        <w:tabs>
          <w:tab w:val="left" w:pos="9360"/>
        </w:tabs>
        <w:spacing w:after="0" w:line="240" w:lineRule="auto"/>
        <w:ind w:left="4320"/>
        <w:rPr>
          <w:rFonts w:ascii="Times New Roman" w:hAnsi="Times New Roman"/>
          <w:sz w:val="26"/>
          <w:szCs w:val="26"/>
        </w:rPr>
      </w:pPr>
      <w:r w:rsidRPr="007A78D7">
        <w:rPr>
          <w:rFonts w:ascii="Times New Roman" w:hAnsi="Times New Roman"/>
          <w:sz w:val="26"/>
          <w:szCs w:val="26"/>
        </w:rPr>
        <w:t>The Public Utilities Commission of Ohio</w:t>
      </w:r>
    </w:p>
    <w:p w:rsidR="002E3668" w:rsidRPr="00D6028D" w:rsidRDefault="002E3668" w:rsidP="002E3668">
      <w:pPr>
        <w:tabs>
          <w:tab w:val="left" w:pos="9360"/>
        </w:tabs>
        <w:spacing w:after="0" w:line="240" w:lineRule="auto"/>
        <w:rPr>
          <w:rFonts w:ascii="Times New Roman" w:hAnsi="Times New Roman"/>
          <w:sz w:val="26"/>
          <w:szCs w:val="26"/>
        </w:rPr>
      </w:pPr>
      <w:r w:rsidRPr="00D6028D">
        <w:rPr>
          <w:rFonts w:ascii="Times New Roman" w:hAnsi="Times New Roman"/>
          <w:sz w:val="26"/>
          <w:szCs w:val="26"/>
        </w:rPr>
        <w:t xml:space="preserve">Dated:  </w:t>
      </w:r>
      <w:r>
        <w:rPr>
          <w:rFonts w:ascii="Times New Roman" w:hAnsi="Times New Roman"/>
          <w:sz w:val="26"/>
          <w:szCs w:val="26"/>
        </w:rPr>
        <w:t>January 18, 2012</w:t>
      </w:r>
    </w:p>
    <w:p w:rsidR="002E3668" w:rsidRDefault="002E3668" w:rsidP="002E3668">
      <w:pPr>
        <w:pStyle w:val="Textstyle"/>
      </w:pPr>
    </w:p>
    <w:sectPr w:rsidR="002E3668" w:rsidSect="00C770A3">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23" w:rsidRDefault="00BB2B23" w:rsidP="00043A6E">
      <w:pPr>
        <w:spacing w:after="0" w:line="240" w:lineRule="auto"/>
      </w:pPr>
      <w:r>
        <w:separator/>
      </w:r>
    </w:p>
  </w:endnote>
  <w:endnote w:type="continuationSeparator" w:id="0">
    <w:p w:rsidR="00BB2B23" w:rsidRDefault="00BB2B23" w:rsidP="00043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Pr="002E3668" w:rsidRDefault="0062148C" w:rsidP="002E3668">
    <w:pPr>
      <w:pStyle w:val="Footer"/>
      <w:jc w:val="center"/>
      <w:rPr>
        <w:rFonts w:ascii="Times New Roman" w:hAnsi="Times New Roman"/>
        <w:sz w:val="24"/>
        <w:szCs w:val="24"/>
      </w:rPr>
    </w:pPr>
    <w:r>
      <w:fldChar w:fldCharType="begin"/>
    </w:r>
    <w:r>
      <w:instrText xml:space="preserve"> PAGE   \* MERGEFORMAT </w:instrText>
    </w:r>
    <w:r>
      <w:fldChar w:fldCharType="separate"/>
    </w:r>
    <w:r>
      <w:rPr>
        <w:noProof/>
      </w:rPr>
      <w:t>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Pr="00C770A3" w:rsidRDefault="00AC2156" w:rsidP="00C770A3">
    <w:pPr>
      <w:pStyle w:val="Footer"/>
      <w:jc w:val="center"/>
      <w:rPr>
        <w:rFonts w:ascii="Times New Roman" w:hAnsi="Times New Roman"/>
        <w:sz w:val="24"/>
        <w:szCs w:val="24"/>
      </w:rPr>
    </w:pPr>
    <w:r w:rsidRPr="00C770A3">
      <w:rPr>
        <w:rFonts w:ascii="Times New Roman" w:hAnsi="Times New Roman"/>
        <w:sz w:val="24"/>
        <w:szCs w:val="24"/>
      </w:rPr>
      <w:fldChar w:fldCharType="begin"/>
    </w:r>
    <w:r w:rsidR="00160E94" w:rsidRPr="00C770A3">
      <w:rPr>
        <w:rFonts w:ascii="Times New Roman" w:hAnsi="Times New Roman"/>
        <w:sz w:val="24"/>
        <w:szCs w:val="24"/>
      </w:rPr>
      <w:instrText xml:space="preserve"> PAGE   \* MERGEFORMAT </w:instrText>
    </w:r>
    <w:r w:rsidRPr="00C770A3">
      <w:rPr>
        <w:rFonts w:ascii="Times New Roman" w:hAnsi="Times New Roman"/>
        <w:sz w:val="24"/>
        <w:szCs w:val="24"/>
      </w:rPr>
      <w:fldChar w:fldCharType="separate"/>
    </w:r>
    <w:r w:rsidR="0062148C">
      <w:rPr>
        <w:rFonts w:ascii="Times New Roman" w:hAnsi="Times New Roman"/>
        <w:noProof/>
        <w:sz w:val="24"/>
        <w:szCs w:val="24"/>
      </w:rPr>
      <w:t>15</w:t>
    </w:r>
    <w:r w:rsidRPr="00C770A3">
      <w:rPr>
        <w:rFonts w:ascii="Times New Roman" w:hAnsi="Times New Roman"/>
        <w:noProof/>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Default="00160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23" w:rsidRDefault="00BB2B23" w:rsidP="00043A6E">
      <w:pPr>
        <w:spacing w:after="0" w:line="240" w:lineRule="auto"/>
      </w:pPr>
      <w:r>
        <w:separator/>
      </w:r>
    </w:p>
  </w:footnote>
  <w:footnote w:type="continuationSeparator" w:id="0">
    <w:p w:rsidR="00BB2B23" w:rsidRDefault="00BB2B23" w:rsidP="00043A6E">
      <w:pPr>
        <w:spacing w:after="0" w:line="240" w:lineRule="auto"/>
      </w:pPr>
      <w:r>
        <w:continuationSeparator/>
      </w:r>
    </w:p>
  </w:footnote>
  <w:footnote w:id="1">
    <w:p w:rsidR="00160E94" w:rsidRPr="003F3391" w:rsidRDefault="00160E94" w:rsidP="002E3668">
      <w:pPr>
        <w:pStyle w:val="FootnoteText"/>
      </w:pPr>
      <w:r w:rsidRPr="003F3391">
        <w:rPr>
          <w:rStyle w:val="FootnoteReference"/>
        </w:rPr>
        <w:footnoteRef/>
      </w:r>
      <w:r w:rsidRPr="003F3391">
        <w:tab/>
      </w:r>
      <w:r w:rsidRPr="003F3391">
        <w:tab/>
        <w:t xml:space="preserve"> </w:t>
      </w:r>
      <w:r w:rsidRPr="00071BF7">
        <w:rPr>
          <w:i/>
        </w:rPr>
        <w:t>In the Matter of</w:t>
      </w:r>
      <w:r>
        <w:t xml:space="preserve"> </w:t>
      </w:r>
      <w:r w:rsidRPr="00071BF7">
        <w:rPr>
          <w:i/>
        </w:rPr>
        <w:t>Connect America Fund; A National Broadband Plan for Our Future; Establishing Just and Reasonable Rates for Local Exchange Carriers; High-Cost Universal Service Support; Developing a Unified Intercarrier Compensation Regime; Federal-State Joint Board on Universal Service; Lifeline and Link-Up; Universal Service Reform – Mobility Fund</w:t>
      </w:r>
      <w:r w:rsidRPr="003F3391">
        <w:t>; WC Docket Nos. 10-90, 07-135, 05-337, 03-109, CC Docket Nos. 01-92, 96-45, GN Docket No. 09-51, WT Docket No. 10-208, Report and Order and Further Notice of Proposed Rulemaking, FCC 11-161 (rel. Nov. 18, 2011)</w:t>
      </w:r>
      <w:r>
        <w:t xml:space="preserve"> at 11, ¶ 20</w:t>
      </w:r>
      <w:r w:rsidRPr="003F3391">
        <w:t xml:space="preserve"> (R&amp;O/FNPRM).</w:t>
      </w:r>
    </w:p>
  </w:footnote>
  <w:footnote w:id="2">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iCs/>
        </w:rPr>
        <w:t xml:space="preserve">Id. at </w:t>
      </w:r>
      <w:r w:rsidRPr="003F3391">
        <w:t>400, ¶ 1095.</w:t>
      </w:r>
    </w:p>
  </w:footnote>
  <w:footnote w:id="3">
    <w:p w:rsidR="00160E94" w:rsidRPr="003F3391" w:rsidRDefault="00160E94" w:rsidP="002E3668">
      <w:pPr>
        <w:pStyle w:val="FootnoteText"/>
      </w:pPr>
      <w:r w:rsidRPr="003F3391">
        <w:rPr>
          <w:rStyle w:val="FootnoteReference"/>
        </w:rPr>
        <w:footnoteRef/>
      </w:r>
      <w:r w:rsidRPr="003F3391">
        <w:rPr>
          <w:color w:val="000000"/>
        </w:rPr>
        <w:tab/>
      </w:r>
      <w:r w:rsidRPr="003F3391">
        <w:rPr>
          <w:color w:val="000000"/>
        </w:rPr>
        <w:tab/>
      </w:r>
      <w:r w:rsidR="0097798D" w:rsidRPr="003F3391">
        <w:t>R&amp;O/FNPRM</w:t>
      </w:r>
      <w:r w:rsidR="0097798D">
        <w:t xml:space="preserve"> </w:t>
      </w:r>
      <w:r w:rsidRPr="003F3391">
        <w:t>at 54, ¶137</w:t>
      </w:r>
      <w:r w:rsidRPr="003F3391">
        <w:rPr>
          <w:i/>
        </w:rPr>
        <w:t>.</w:t>
      </w:r>
    </w:p>
  </w:footnote>
  <w:footnote w:id="4">
    <w:p w:rsidR="00160E94" w:rsidRPr="003F3391" w:rsidRDefault="00160E94" w:rsidP="002E3668">
      <w:pPr>
        <w:pStyle w:val="FootnoteText"/>
        <w:rPr>
          <w:i/>
        </w:rPr>
      </w:pPr>
      <w:r w:rsidRPr="003F3391">
        <w:rPr>
          <w:rStyle w:val="FootnoteReference"/>
        </w:rPr>
        <w:footnoteRef/>
      </w:r>
      <w:r w:rsidRPr="003F3391">
        <w:t xml:space="preserve"> </w:t>
      </w:r>
      <w:r w:rsidRPr="003F3391">
        <w:tab/>
      </w:r>
      <w:r w:rsidRPr="003F3391">
        <w:tab/>
      </w:r>
      <w:r w:rsidRPr="003F3391">
        <w:rPr>
          <w:i/>
        </w:rPr>
        <w:t xml:space="preserve">Id. </w:t>
      </w:r>
      <w:r w:rsidRPr="003F3391">
        <w:t>at 52, ¶ 133</w:t>
      </w:r>
      <w:r w:rsidRPr="003F3391">
        <w:rPr>
          <w:i/>
        </w:rPr>
        <w:t xml:space="preserve">. </w:t>
      </w:r>
    </w:p>
  </w:footnote>
  <w:footnote w:id="5">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Id.</w:t>
      </w:r>
    </w:p>
  </w:footnote>
  <w:footnote w:id="6">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 xml:space="preserve">Id. at </w:t>
      </w:r>
      <w:r w:rsidRPr="003F3391">
        <w:t>62, ¶ 156.</w:t>
      </w:r>
    </w:p>
  </w:footnote>
  <w:footnote w:id="7">
    <w:p w:rsidR="00160E94" w:rsidRDefault="00160E94" w:rsidP="002E3668">
      <w:pPr>
        <w:pStyle w:val="FootnoteText"/>
      </w:pPr>
      <w:r w:rsidRPr="003F3391">
        <w:rPr>
          <w:rStyle w:val="FootnoteReference"/>
        </w:rPr>
        <w:footnoteRef/>
      </w:r>
      <w:r w:rsidRPr="003F3391">
        <w:tab/>
      </w:r>
      <w:r w:rsidRPr="003F3391">
        <w:tab/>
      </w:r>
      <w:r w:rsidRPr="003F3391">
        <w:rPr>
          <w:i/>
          <w:color w:val="000000"/>
        </w:rPr>
        <w:t>Id.</w:t>
      </w:r>
      <w:r>
        <w:rPr>
          <w:rFonts w:ascii="Palatino Linotype" w:hAnsi="Palatino Linotype"/>
          <w:i/>
          <w:color w:val="000000"/>
          <w:sz w:val="16"/>
          <w:szCs w:val="16"/>
        </w:rPr>
        <w:t xml:space="preserve"> </w:t>
      </w:r>
    </w:p>
  </w:footnote>
  <w:footnote w:id="8">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t>Section 214(e)(1)(A) states “[a] common carrier designated as an eligible telecommunications carrier under paragraph (2), (3), or (6) shall be eligible to receive universal service support in accordance with section 254 of this title and shall, throughout the service area for whi</w:t>
      </w:r>
      <w:r>
        <w:t>ch the designation is received—</w:t>
      </w:r>
      <w:r w:rsidRPr="003F3391">
        <w:t>(A) offer the services that are supported by Federal universal service support mechanisms under section 254 (c) of this title, either using its own facilities or a combination of its own facilities and resale of another carrier’s services (including the services offered by another eligible telecommunications carrier).”  47 U.S.C. § 214(e)(1)(A).</w:t>
      </w:r>
    </w:p>
  </w:footnote>
  <w:footnote w:id="9">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t xml:space="preserve">R&amp;O/FNPRM at </w:t>
      </w:r>
      <w:r>
        <w:t>400</w:t>
      </w:r>
      <w:r w:rsidRPr="003F3391">
        <w:t>, ¶ 1095</w:t>
      </w:r>
      <w:r>
        <w:t>.</w:t>
      </w:r>
    </w:p>
  </w:footnote>
  <w:footnote w:id="10">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 xml:space="preserve">Id. </w:t>
      </w:r>
      <w:r w:rsidRPr="003F3391">
        <w:t>at 40</w:t>
      </w:r>
      <w:r>
        <w:t>1</w:t>
      </w:r>
      <w:r w:rsidRPr="003F3391">
        <w:t>, ¶ 1096</w:t>
      </w:r>
    </w:p>
  </w:footnote>
  <w:footnote w:id="11">
    <w:p w:rsidR="00160E94"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Id.</w:t>
      </w:r>
      <w:r>
        <w:rPr>
          <w:i/>
        </w:rPr>
        <w:t xml:space="preserve"> </w:t>
      </w:r>
    </w:p>
  </w:footnote>
  <w:footnote w:id="12">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t>47 U.S.C. § 214(e)(4)(5) (2012).</w:t>
      </w:r>
    </w:p>
  </w:footnote>
  <w:footnote w:id="13">
    <w:p w:rsidR="00160E94" w:rsidRPr="003F3391" w:rsidRDefault="00160E94">
      <w:pPr>
        <w:rPr>
          <w:rFonts w:ascii="Times New Roman" w:hAnsi="Times New Roman"/>
          <w:sz w:val="20"/>
          <w:szCs w:val="20"/>
        </w:rPr>
      </w:pPr>
      <w:r w:rsidRPr="003F3391">
        <w:rPr>
          <w:rStyle w:val="FootnoteReference"/>
          <w:rFonts w:ascii="Times New Roman" w:hAnsi="Times New Roman"/>
          <w:sz w:val="20"/>
          <w:szCs w:val="20"/>
        </w:rPr>
        <w:footnoteRef/>
      </w:r>
      <w:r w:rsidRPr="003F3391">
        <w:rPr>
          <w:rFonts w:ascii="Times New Roman" w:hAnsi="Times New Roman"/>
          <w:sz w:val="20"/>
          <w:szCs w:val="20"/>
        </w:rPr>
        <w:t xml:space="preserve"> </w:t>
      </w:r>
      <w:r w:rsidRPr="003F3391">
        <w:rPr>
          <w:rFonts w:ascii="Times New Roman" w:hAnsi="Times New Roman"/>
          <w:sz w:val="20"/>
          <w:szCs w:val="20"/>
        </w:rPr>
        <w:tab/>
      </w:r>
      <w:r w:rsidRPr="003F3391">
        <w:rPr>
          <w:rFonts w:ascii="Times New Roman" w:hAnsi="Times New Roman"/>
          <w:sz w:val="20"/>
          <w:szCs w:val="20"/>
        </w:rPr>
        <w:tab/>
        <w:t>47 U.S.C. § 160 (2012).</w:t>
      </w:r>
    </w:p>
  </w:footnote>
  <w:footnote w:id="14">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t>R&amp;O/FNPRM at.40</w:t>
      </w:r>
      <w:r>
        <w:t>1 -402</w:t>
      </w:r>
      <w:r w:rsidRPr="003F3391">
        <w:t>, ¶</w:t>
      </w:r>
      <w:r w:rsidR="00240B7A">
        <w:t xml:space="preserve"> </w:t>
      </w:r>
      <w:r w:rsidRPr="003F3391">
        <w:t>1097.</w:t>
      </w:r>
    </w:p>
  </w:footnote>
  <w:footnote w:id="15">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Id</w:t>
      </w:r>
      <w:r w:rsidRPr="003F3391">
        <w:t>.</w:t>
      </w:r>
    </w:p>
  </w:footnote>
  <w:footnote w:id="16">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0097798D" w:rsidRPr="003F3391">
        <w:t xml:space="preserve">R&amp;O/FNPRM </w:t>
      </w:r>
      <w:r w:rsidR="0097798D" w:rsidRPr="003F3391">
        <w:t>at 40</w:t>
      </w:r>
      <w:r w:rsidR="0097798D">
        <w:t>1</w:t>
      </w:r>
      <w:r w:rsidR="0097798D">
        <w:t>-402</w:t>
      </w:r>
      <w:r w:rsidR="0097798D" w:rsidRPr="003F3391">
        <w:t>, ¶</w:t>
      </w:r>
      <w:r w:rsidR="0097798D">
        <w:t xml:space="preserve"> </w:t>
      </w:r>
      <w:r w:rsidR="0097798D" w:rsidRPr="003F3391">
        <w:t>1097</w:t>
      </w:r>
      <w:r w:rsidRPr="003F3391">
        <w:t>.</w:t>
      </w:r>
    </w:p>
  </w:footnote>
  <w:footnote w:id="17">
    <w:p w:rsidR="00160E94" w:rsidRDefault="00160E94">
      <w:pPr>
        <w:pStyle w:val="FootnoteText"/>
      </w:pPr>
      <w:r>
        <w:rPr>
          <w:rStyle w:val="FootnoteReference"/>
        </w:rPr>
        <w:footnoteRef/>
      </w:r>
      <w:r>
        <w:t xml:space="preserve"> </w:t>
      </w:r>
      <w:r>
        <w:tab/>
      </w:r>
      <w:r>
        <w:tab/>
        <w:t xml:space="preserve">The criteria for forbearance set forth in section 160(a) are as follows:  </w:t>
      </w:r>
      <w:r w:rsidRPr="003F3391">
        <w:t>(1) enforcement of such regulation or provision is not necessary to ensure that the charges, practices, classifications, or regulations by, for, or in connection with that telecommunications</w:t>
      </w:r>
      <w:r>
        <w:t xml:space="preserve"> carrier or telecommunications service are just and reasonable and are not unjustly or unreasonably </w:t>
      </w:r>
      <w:r w:rsidRPr="003F3391">
        <w:t>discriminatory; (2) enforcement of such regulation or provision is not necessary for the protection of consumers; and (3) forbearance from applying such provision or regulation is consistent with the public interest. (b) Competitive effect to be weighed In making the determination under subsection (a)(3) of this section, the Commission shall consider whether forbearance from enforcing the provision or regulation will promote competitive market conditions, including the extent to which such forbearance will enhance competition among providers of telecommunications services.  47 U.S.C § 160(a) (2012).</w:t>
      </w:r>
    </w:p>
  </w:footnote>
  <w:footnote w:id="18">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0097798D" w:rsidRPr="003F3391">
        <w:t>R&amp;O/FNPRM</w:t>
      </w:r>
      <w:r w:rsidRPr="003F3391">
        <w:t xml:space="preserve"> at 401</w:t>
      </w:r>
      <w:r w:rsidR="0097798D">
        <w:t>-</w:t>
      </w:r>
      <w:r>
        <w:t>402</w:t>
      </w:r>
      <w:r w:rsidRPr="003F3391">
        <w:t xml:space="preserve">, ¶ 1097.  </w:t>
      </w:r>
    </w:p>
  </w:footnote>
  <w:footnote w:id="19">
    <w:p w:rsidR="00160E94" w:rsidRPr="003F3391"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rPr>
        <w:t>Id</w:t>
      </w:r>
      <w:r w:rsidRPr="003F3391">
        <w:t>. at</w:t>
      </w:r>
      <w:r w:rsidR="00240B7A">
        <w:t xml:space="preserve"> 402,</w:t>
      </w:r>
      <w:r w:rsidRPr="003F3391">
        <w:t xml:space="preserve"> ¶ 1098.</w:t>
      </w:r>
    </w:p>
  </w:footnote>
  <w:footnote w:id="20">
    <w:p w:rsidR="00160E94" w:rsidRDefault="00160E94" w:rsidP="002E3668">
      <w:pPr>
        <w:pStyle w:val="FootnoteText"/>
      </w:pPr>
      <w:r w:rsidRPr="003F3391">
        <w:rPr>
          <w:rStyle w:val="FootnoteReference"/>
        </w:rPr>
        <w:footnoteRef/>
      </w:r>
      <w:r w:rsidRPr="003F3391">
        <w:tab/>
      </w:r>
      <w:r w:rsidRPr="003F3391">
        <w:tab/>
      </w:r>
      <w:r w:rsidR="0097798D" w:rsidRPr="003F3391">
        <w:t>R&amp;O/FNPRM</w:t>
      </w:r>
      <w:r w:rsidRPr="003F3391">
        <w:t xml:space="preserve"> at</w:t>
      </w:r>
      <w:r>
        <w:t xml:space="preserve"> 402,</w:t>
      </w:r>
      <w:r w:rsidRPr="003F3391">
        <w:t xml:space="preserve"> ¶ 1099.</w:t>
      </w:r>
    </w:p>
  </w:footnote>
  <w:footnote w:id="21">
    <w:p w:rsidR="00160E94" w:rsidRPr="003F3391" w:rsidRDefault="00160E94" w:rsidP="002E3668">
      <w:pPr>
        <w:pStyle w:val="FootnoteText"/>
      </w:pPr>
      <w:r w:rsidRPr="003F3391">
        <w:rPr>
          <w:rStyle w:val="FootnoteReference"/>
        </w:rPr>
        <w:footnoteRef/>
      </w:r>
      <w:r w:rsidRPr="003F3391">
        <w:tab/>
      </w:r>
      <w:r w:rsidRPr="003F3391">
        <w:tab/>
        <w:t xml:space="preserve"> </w:t>
      </w:r>
      <w:r w:rsidRPr="003F3391">
        <w:rPr>
          <w:i/>
        </w:rPr>
        <w:t>Id</w:t>
      </w:r>
      <w:r w:rsidRPr="003F3391">
        <w:t>. at 40</w:t>
      </w:r>
      <w:r>
        <w:t>3</w:t>
      </w:r>
      <w:r w:rsidRPr="003F3391">
        <w:t>, ¶</w:t>
      </w:r>
      <w:r w:rsidR="00D464E4">
        <w:t xml:space="preserve"> </w:t>
      </w:r>
      <w:r w:rsidRPr="003F3391">
        <w:t>1102.</w:t>
      </w:r>
    </w:p>
  </w:footnote>
  <w:footnote w:id="22">
    <w:p w:rsidR="00160E94" w:rsidRPr="003F3391" w:rsidRDefault="00160E94" w:rsidP="002E3668">
      <w:pPr>
        <w:pStyle w:val="FootnoteText"/>
      </w:pPr>
      <w:r w:rsidRPr="003F3391">
        <w:rPr>
          <w:rStyle w:val="FootnoteReference"/>
        </w:rPr>
        <w:footnoteRef/>
      </w:r>
      <w:r w:rsidRPr="003F3391">
        <w:tab/>
      </w:r>
      <w:r w:rsidRPr="003F3391">
        <w:tab/>
        <w:t xml:space="preserve"> R&amp;O/FNPRM</w:t>
      </w:r>
      <w:r w:rsidRPr="003F3391">
        <w:rPr>
          <w:i/>
        </w:rPr>
        <w:t xml:space="preserve"> at </w:t>
      </w:r>
      <w:r w:rsidRPr="003F3391">
        <w:t>14, ¶ 32</w:t>
      </w:r>
    </w:p>
  </w:footnote>
  <w:footnote w:id="23">
    <w:p w:rsidR="00160E94" w:rsidRDefault="00160E94" w:rsidP="002E3668">
      <w:pPr>
        <w:pStyle w:val="FootnoteText"/>
      </w:pPr>
      <w:r w:rsidRPr="003F3391">
        <w:rPr>
          <w:rStyle w:val="FootnoteReference"/>
        </w:rPr>
        <w:footnoteRef/>
      </w:r>
      <w:r w:rsidRPr="003F3391">
        <w:t xml:space="preserve"> </w:t>
      </w:r>
      <w:r w:rsidRPr="003F3391">
        <w:tab/>
      </w:r>
      <w:r w:rsidRPr="003F3391">
        <w:tab/>
      </w:r>
      <w:r w:rsidRPr="003F3391">
        <w:rPr>
          <w:i/>
          <w:iCs/>
        </w:rPr>
        <w:t>Id.</w:t>
      </w:r>
      <w:r w:rsidRPr="003F3391">
        <w:t xml:space="preserve"> at 42</w:t>
      </w:r>
      <w:r>
        <w:t>4</w:t>
      </w:r>
      <w:r w:rsidRPr="003F3391">
        <w:t>, ¶</w:t>
      </w:r>
      <w:r w:rsidR="00D464E4">
        <w:t>¶</w:t>
      </w:r>
      <w:r w:rsidRPr="003F3391">
        <w:t xml:space="preserve"> 1198, 1200.</w:t>
      </w:r>
    </w:p>
  </w:footnote>
  <w:footnote w:id="24">
    <w:p w:rsidR="00160E94" w:rsidRPr="002E3668" w:rsidRDefault="00160E94" w:rsidP="002E3668">
      <w:pPr>
        <w:pStyle w:val="FootnoteText"/>
      </w:pPr>
      <w:r w:rsidRPr="00B62CB8">
        <w:rPr>
          <w:rStyle w:val="FootnoteReference"/>
          <w:b/>
        </w:rPr>
        <w:footnoteRef/>
      </w:r>
      <w:r w:rsidRPr="00B62CB8">
        <w:rPr>
          <w:b/>
        </w:rPr>
        <w:t xml:space="preserve"> </w:t>
      </w:r>
      <w:r>
        <w:rPr>
          <w:b/>
        </w:rPr>
        <w:tab/>
      </w:r>
      <w:r>
        <w:rPr>
          <w:b/>
        </w:rPr>
        <w:tab/>
      </w:r>
      <w:r w:rsidRPr="00B62CB8">
        <w:rPr>
          <w:i/>
        </w:rPr>
        <w:t>See</w:t>
      </w:r>
      <w:r w:rsidR="00D464E4">
        <w:rPr>
          <w:i/>
        </w:rPr>
        <w:t>,</w:t>
      </w:r>
      <w:r w:rsidRPr="00B62CB8">
        <w:rPr>
          <w:i/>
        </w:rPr>
        <w:t xml:space="preserve"> </w:t>
      </w:r>
      <w:r w:rsidRPr="00B62CB8">
        <w:rPr>
          <w:iCs/>
        </w:rPr>
        <w:t xml:space="preserve">The Public Utilities Commission of Ohio </w:t>
      </w:r>
      <w:r w:rsidRPr="00B62CB8">
        <w:t>Telecommunications Supplemental Application Form</w:t>
      </w:r>
      <w:r w:rsidRPr="00B62CB8">
        <w:rPr>
          <w:iCs/>
        </w:rPr>
        <w:t xml:space="preserve"> </w:t>
      </w:r>
      <w:r w:rsidRPr="00B62CB8">
        <w:t>for Carrier Certification</w:t>
      </w:r>
      <w:r>
        <w:t>, Attachment 1 available at</w:t>
      </w:r>
      <w:r w:rsidRPr="002E3668">
        <w:t xml:space="preserve"> </w:t>
      </w:r>
      <w:hyperlink r:id="rId1" w:history="1">
        <w:r w:rsidRPr="002E3668">
          <w:rPr>
            <w:rStyle w:val="Hyperlink"/>
            <w:bCs/>
            <w:color w:val="auto"/>
            <w:u w:val="none"/>
          </w:rPr>
          <w:t>http://www.puco.ohio.gov/emplibrary/files/util/ TelecomFiles/Telecom%20Application%20Forms/Supplem</w:t>
        </w:r>
      </w:hyperlink>
      <w:r w:rsidRPr="002E3668">
        <w:t>ental%20ACE%20Application%201-19-11.pdf.</w:t>
      </w:r>
    </w:p>
  </w:footnote>
  <w:footnote w:id="25">
    <w:p w:rsidR="00160E94" w:rsidRDefault="00160E94" w:rsidP="002E3668">
      <w:pPr>
        <w:pStyle w:val="FootnoteText"/>
      </w:pPr>
      <w:r>
        <w:rPr>
          <w:rStyle w:val="FootnoteReference"/>
        </w:rPr>
        <w:footnoteRef/>
      </w:r>
      <w:r>
        <w:t xml:space="preserve"> </w:t>
      </w:r>
      <w:r>
        <w:tab/>
      </w:r>
      <w:r>
        <w:tab/>
      </w:r>
      <w:r w:rsidRPr="006F7EA9">
        <w:t>R&amp;O</w:t>
      </w:r>
      <w:r>
        <w:t>/FNPRM at 424-425, ¶ 1201.</w:t>
      </w:r>
    </w:p>
  </w:footnote>
  <w:footnote w:id="26">
    <w:p w:rsidR="00160E94" w:rsidRDefault="00160E94">
      <w:pPr>
        <w:pStyle w:val="FootnoteText"/>
      </w:pPr>
      <w:r>
        <w:rPr>
          <w:rStyle w:val="FootnoteReference"/>
        </w:rPr>
        <w:footnoteRef/>
      </w:r>
      <w:r>
        <w:t xml:space="preserve"> </w:t>
      </w:r>
      <w:r>
        <w:tab/>
      </w:r>
      <w:r>
        <w:tab/>
        <w:t xml:space="preserve">The Ohio Commission acknowledges the FCC’s recognition that there may be instances that warrant the delay, suspension or cancellation of a reverse auction and </w:t>
      </w:r>
      <w:r w:rsidR="00D55652">
        <w:t xml:space="preserve">its </w:t>
      </w:r>
      <w:r>
        <w:t>delegation of authority to</w:t>
      </w:r>
      <w:r w:rsidR="00D55652">
        <w:t xml:space="preserve"> its Bureaus</w:t>
      </w:r>
      <w:r>
        <w:t xml:space="preserve"> take such action under rules adopted for Mobility Fund Phase I.  The Ohio Commission recommends</w:t>
      </w:r>
      <w:r w:rsidR="00D55652">
        <w:t xml:space="preserve"> that the FCC adopt a similar rule by which it may take similar action either on its own initiative or through its Bureaus for price cap CAF auctions.  </w:t>
      </w:r>
      <w:r w:rsidR="00AC2156" w:rsidRPr="00AC2156">
        <w:rPr>
          <w:i/>
        </w:rPr>
        <w:t xml:space="preserve">See </w:t>
      </w:r>
      <w:r w:rsidR="0097798D" w:rsidRPr="003F3391">
        <w:t>R&amp;O/FNPRM</w:t>
      </w:r>
      <w:r w:rsidR="00D55652">
        <w:t xml:space="preserve"> at 428, ¶ 1216.</w:t>
      </w:r>
    </w:p>
  </w:footnote>
  <w:footnote w:id="27">
    <w:p w:rsidR="00160E94" w:rsidRDefault="00160E94">
      <w:pPr>
        <w:pStyle w:val="FootnoteText"/>
      </w:pPr>
      <w:r>
        <w:rPr>
          <w:rStyle w:val="FootnoteReference"/>
        </w:rPr>
        <w:footnoteRef/>
      </w:r>
      <w:r>
        <w:t xml:space="preserve"> </w:t>
      </w:r>
      <w:r>
        <w:tab/>
      </w:r>
      <w:r>
        <w:tab/>
      </w:r>
      <w:r w:rsidR="00AC2156" w:rsidRPr="00AC2156">
        <w:rPr>
          <w:i/>
        </w:rPr>
        <w:t>Id</w:t>
      </w:r>
      <w:r>
        <w:t>. at 144, ¶ 432; 428, ¶ 1216.</w:t>
      </w:r>
      <w:r w:rsidR="00D55652">
        <w:t xml:space="preserve">  </w:t>
      </w:r>
      <w:r w:rsidR="00AC2156" w:rsidRPr="00AC2156">
        <w:rPr>
          <w:i/>
        </w:rPr>
        <w:t>See</w:t>
      </w:r>
      <w:r w:rsidR="00D55652">
        <w:t>, 47 C.F.R § 1.2104 (2012).</w:t>
      </w:r>
    </w:p>
  </w:footnote>
  <w:footnote w:id="28">
    <w:p w:rsidR="00160E94" w:rsidRDefault="00160E94" w:rsidP="002E3668">
      <w:pPr>
        <w:pStyle w:val="FootnoteText"/>
      </w:pPr>
      <w:r>
        <w:rPr>
          <w:rStyle w:val="FootnoteReference"/>
        </w:rPr>
        <w:footnoteRef/>
      </w:r>
      <w:r>
        <w:t xml:space="preserve"> </w:t>
      </w:r>
      <w:r>
        <w:tab/>
      </w:r>
      <w:r>
        <w:tab/>
      </w:r>
      <w:r w:rsidRPr="006F7EA9">
        <w:rPr>
          <w:i/>
        </w:rPr>
        <w:t>Id</w:t>
      </w:r>
      <w:r w:rsidRPr="006F7EA9">
        <w:t>. at 42</w:t>
      </w:r>
      <w:r>
        <w:t>5</w:t>
      </w:r>
      <w:r w:rsidRPr="006F7EA9">
        <w:t>, ¶ 1203</w:t>
      </w:r>
      <w:r>
        <w:t>.</w:t>
      </w:r>
    </w:p>
  </w:footnote>
  <w:footnote w:id="29">
    <w:p w:rsidR="00160E94" w:rsidRDefault="00160E94" w:rsidP="002E3668">
      <w:pPr>
        <w:pStyle w:val="FootnoteText"/>
      </w:pPr>
      <w:r>
        <w:rPr>
          <w:rStyle w:val="FootnoteReference"/>
        </w:rPr>
        <w:footnoteRef/>
      </w:r>
      <w:r>
        <w:tab/>
      </w:r>
      <w:r>
        <w:tab/>
      </w:r>
      <w:r w:rsidRPr="006F7EA9">
        <w:t>R&amp;O/NPRM at 42</w:t>
      </w:r>
      <w:r>
        <w:t>9</w:t>
      </w:r>
      <w:r w:rsidRPr="006F7EA9">
        <w:t>, ¶ 1223</w:t>
      </w:r>
      <w:r>
        <w:t>.</w:t>
      </w:r>
    </w:p>
  </w:footnote>
  <w:footnote w:id="30">
    <w:p w:rsidR="00160E94" w:rsidRPr="006F7EA9" w:rsidRDefault="00160E94" w:rsidP="002E3668">
      <w:pPr>
        <w:pStyle w:val="FootnoteText"/>
      </w:pPr>
      <w:r w:rsidRPr="006F7EA9">
        <w:rPr>
          <w:rStyle w:val="FootnoteReference"/>
        </w:rPr>
        <w:footnoteRef/>
      </w:r>
      <w:r w:rsidRPr="006F7EA9">
        <w:t xml:space="preserve"> </w:t>
      </w:r>
      <w:r>
        <w:tab/>
      </w:r>
      <w:r>
        <w:tab/>
      </w:r>
      <w:r w:rsidRPr="006F7EA9">
        <w:t>R&amp;O/FNPRM at 43</w:t>
      </w:r>
      <w:r>
        <w:t>6</w:t>
      </w:r>
      <w:r w:rsidR="0097798D">
        <w:t>-</w:t>
      </w:r>
      <w:r>
        <w:t>437</w:t>
      </w:r>
      <w:r w:rsidRPr="006F7EA9">
        <w:t xml:space="preserve">, ¶ 1255. </w:t>
      </w:r>
    </w:p>
  </w:footnote>
  <w:footnote w:id="31">
    <w:p w:rsidR="00160E94" w:rsidRPr="006F7EA9" w:rsidRDefault="00160E94" w:rsidP="002E3668">
      <w:pPr>
        <w:pStyle w:val="FootnoteText"/>
      </w:pPr>
      <w:r w:rsidRPr="006F7EA9">
        <w:rPr>
          <w:rStyle w:val="FootnoteReference"/>
        </w:rPr>
        <w:footnoteRef/>
      </w:r>
      <w:r w:rsidRPr="006F7EA9">
        <w:t xml:space="preserve"> </w:t>
      </w:r>
      <w:r>
        <w:tab/>
      </w:r>
      <w:r>
        <w:tab/>
      </w:r>
      <w:r w:rsidR="0097798D" w:rsidRPr="006F7EA9">
        <w:t>R&amp;O/FNPRM at 43</w:t>
      </w:r>
      <w:r w:rsidR="0097798D">
        <w:t>6-437</w:t>
      </w:r>
      <w:r w:rsidR="0097798D" w:rsidRPr="006F7EA9">
        <w:t>, ¶ 1255</w:t>
      </w:r>
      <w:r w:rsidRPr="006F7EA9">
        <w:t>.</w:t>
      </w:r>
    </w:p>
  </w:footnote>
  <w:footnote w:id="32">
    <w:p w:rsidR="00160E94" w:rsidRPr="006F7EA9" w:rsidRDefault="00160E94" w:rsidP="002E3668">
      <w:pPr>
        <w:pStyle w:val="FootnoteText"/>
      </w:pPr>
      <w:r w:rsidRPr="006F7EA9">
        <w:rPr>
          <w:rStyle w:val="FootnoteReference"/>
        </w:rPr>
        <w:footnoteRef/>
      </w:r>
      <w:r w:rsidRPr="006F7EA9">
        <w:t xml:space="preserve"> </w:t>
      </w:r>
      <w:r>
        <w:tab/>
      </w:r>
      <w:r>
        <w:tab/>
      </w:r>
      <w:r w:rsidRPr="006F7EA9">
        <w:rPr>
          <w:i/>
        </w:rPr>
        <w:t>Id</w:t>
      </w:r>
      <w:r w:rsidRPr="006F7EA9">
        <w:t>. at 43</w:t>
      </w:r>
      <w:r>
        <w:t>6</w:t>
      </w:r>
      <w:r w:rsidR="0097798D">
        <w:t>-</w:t>
      </w:r>
      <w:r w:rsidRPr="006F7EA9">
        <w:t>43</w:t>
      </w:r>
      <w:r>
        <w:t>7</w:t>
      </w:r>
      <w:r w:rsidRPr="006F7EA9">
        <w:t>, ¶¶ 1255, 1261.</w:t>
      </w:r>
    </w:p>
  </w:footnote>
  <w:footnote w:id="33">
    <w:p w:rsidR="00160E94" w:rsidRPr="006F7EA9" w:rsidRDefault="00160E94" w:rsidP="002E3668">
      <w:pPr>
        <w:pStyle w:val="FootnoteText"/>
      </w:pPr>
      <w:r w:rsidRPr="006F7EA9">
        <w:rPr>
          <w:rStyle w:val="FootnoteReference"/>
        </w:rPr>
        <w:footnoteRef/>
      </w:r>
      <w:r w:rsidRPr="006F7EA9">
        <w:t xml:space="preserve"> </w:t>
      </w:r>
      <w:r>
        <w:tab/>
      </w:r>
      <w:r>
        <w:tab/>
      </w:r>
      <w:r w:rsidRPr="006F7EA9">
        <w:rPr>
          <w:i/>
        </w:rPr>
        <w:t>Id</w:t>
      </w:r>
      <w:r w:rsidRPr="006F7EA9">
        <w:t>. at 43</w:t>
      </w:r>
      <w:r>
        <w:t>7</w:t>
      </w:r>
      <w:r w:rsidRPr="006F7EA9">
        <w:t>, ¶ 1256.</w:t>
      </w:r>
    </w:p>
  </w:footnote>
  <w:footnote w:id="34">
    <w:p w:rsidR="00160E94" w:rsidRPr="006F7EA9" w:rsidRDefault="00160E94" w:rsidP="002E3668">
      <w:pPr>
        <w:pStyle w:val="FootnoteText"/>
      </w:pPr>
      <w:r w:rsidRPr="006F7EA9">
        <w:rPr>
          <w:rStyle w:val="FootnoteReference"/>
        </w:rPr>
        <w:footnoteRef/>
      </w:r>
      <w:r w:rsidRPr="006F7EA9">
        <w:t xml:space="preserve"> </w:t>
      </w:r>
      <w:r>
        <w:tab/>
      </w:r>
      <w:r>
        <w:tab/>
      </w:r>
      <w:r w:rsidRPr="00595175">
        <w:rPr>
          <w:i/>
        </w:rPr>
        <w:t>See In the Matter of Lifeline and Link Up Reform and Modernization, Federal-State Joint Board on Universal Service, Lifeline and Link Up</w:t>
      </w:r>
      <w:r w:rsidRPr="006F7EA9">
        <w:t xml:space="preserve">, WC Docket No. 11-42, CC Docket No.95-45, WC Docket No. 03-109 (Comments Submitted on Behalf the Staff of the Public Utilities Commission of Ohio at 10) (filed April 21, 2011).   </w:t>
      </w:r>
      <w:r w:rsidRPr="006F7EA9">
        <w:rPr>
          <w:sz w:val="24"/>
          <w:szCs w:val="24"/>
        </w:rPr>
        <w:t xml:space="preserve">  </w:t>
      </w:r>
    </w:p>
  </w:footnote>
  <w:footnote w:id="35">
    <w:p w:rsidR="00160E94" w:rsidRDefault="00160E94" w:rsidP="002E3668">
      <w:pPr>
        <w:pStyle w:val="FootnoteText"/>
      </w:pPr>
      <w:r w:rsidRPr="006F7EA9">
        <w:rPr>
          <w:rStyle w:val="FootnoteReference"/>
        </w:rPr>
        <w:footnoteRef/>
      </w:r>
      <w:r>
        <w:tab/>
      </w:r>
      <w:r>
        <w:tab/>
      </w:r>
      <w:r w:rsidRPr="006F7EA9">
        <w:t xml:space="preserve"> R&amp;O/FNPRM at 43</w:t>
      </w:r>
      <w:r>
        <w:t>7</w:t>
      </w:r>
      <w:r w:rsidRPr="006F7EA9">
        <w:t>, ¶ 1256.</w:t>
      </w:r>
    </w:p>
  </w:footnote>
  <w:footnote w:id="36">
    <w:p w:rsidR="00160E94" w:rsidRPr="006F7EA9" w:rsidRDefault="00160E94" w:rsidP="0097798D">
      <w:pPr>
        <w:pStyle w:val="FootnoteText"/>
      </w:pPr>
      <w:r w:rsidRPr="006F7EA9">
        <w:rPr>
          <w:rStyle w:val="FootnoteReference"/>
        </w:rPr>
        <w:footnoteRef/>
      </w:r>
      <w:r w:rsidRPr="006F7EA9">
        <w:t xml:space="preserve"> </w:t>
      </w:r>
      <w:r>
        <w:tab/>
      </w:r>
      <w:r>
        <w:tab/>
      </w:r>
      <w:r w:rsidR="0097798D" w:rsidRPr="006F7EA9">
        <w:t>R&amp;O/FNPRM</w:t>
      </w:r>
      <w:r w:rsidRPr="006F7EA9">
        <w:t xml:space="preserve"> at 43</w:t>
      </w:r>
      <w:r>
        <w:t>7</w:t>
      </w:r>
      <w:r w:rsidRPr="006F7EA9">
        <w:t xml:space="preserve">, ¶ 1257.  </w:t>
      </w:r>
    </w:p>
  </w:footnote>
  <w:footnote w:id="37">
    <w:p w:rsidR="00160E94" w:rsidRDefault="00160E94" w:rsidP="002E3668">
      <w:pPr>
        <w:pStyle w:val="FootnoteText"/>
      </w:pPr>
      <w:r w:rsidRPr="006F7EA9">
        <w:rPr>
          <w:rStyle w:val="FootnoteReference"/>
        </w:rPr>
        <w:footnoteRef/>
      </w:r>
      <w:r>
        <w:tab/>
      </w:r>
      <w:r>
        <w:tab/>
      </w:r>
      <w:r w:rsidRPr="006F7EA9">
        <w:t xml:space="preserve"> </w:t>
      </w:r>
      <w:r w:rsidRPr="006F7EA9">
        <w:rPr>
          <w:i/>
          <w:iCs/>
        </w:rPr>
        <w:t>In the Matter of Federal State Joint Board of Lifeline and Link Up Reform and Modernization</w:t>
      </w:r>
      <w:r w:rsidRPr="006F7EA9">
        <w:t>, Notice, WC Docket No. 11-42, 26 FCC Rcd 2770, 2872-3, Appendix A (proposed 47 C.F.R. § 54.408)</w:t>
      </w:r>
    </w:p>
  </w:footnote>
  <w:footnote w:id="38">
    <w:p w:rsidR="00160E94" w:rsidRDefault="00160E94" w:rsidP="002E3668">
      <w:pPr>
        <w:pStyle w:val="FootnoteText"/>
      </w:pPr>
      <w:r>
        <w:rPr>
          <w:rStyle w:val="FootnoteReference"/>
        </w:rPr>
        <w:footnoteRef/>
      </w:r>
      <w:r>
        <w:tab/>
      </w:r>
      <w:r>
        <w:tab/>
      </w:r>
      <w:r w:rsidRPr="006F7EA9">
        <w:t>R&amp;O/FNPRM at 43</w:t>
      </w:r>
      <w:r>
        <w:t>7</w:t>
      </w:r>
      <w:r w:rsidRPr="006F7EA9">
        <w:t>, ¶ 1260.</w:t>
      </w:r>
    </w:p>
  </w:footnote>
  <w:footnote w:id="39">
    <w:p w:rsidR="00160E94" w:rsidRDefault="00160E94" w:rsidP="002E3668">
      <w:pPr>
        <w:pStyle w:val="FootnoteText"/>
      </w:pPr>
      <w:r>
        <w:rPr>
          <w:rStyle w:val="FootnoteReference"/>
        </w:rPr>
        <w:footnoteRef/>
      </w:r>
      <w:r>
        <w:tab/>
      </w:r>
      <w:r>
        <w:tab/>
      </w:r>
      <w:r w:rsidRPr="006F7EA9">
        <w:rPr>
          <w:i/>
        </w:rPr>
        <w:t>Id</w:t>
      </w:r>
      <w:r w:rsidRPr="006F7EA9">
        <w:t>. at 43</w:t>
      </w:r>
      <w:r>
        <w:t>7</w:t>
      </w:r>
      <w:r w:rsidRPr="006F7EA9">
        <w:t>, ¶ 1258.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Pr="00E25606" w:rsidRDefault="00160E94" w:rsidP="00E25606">
    <w:pPr>
      <w:pStyle w:val="Header"/>
      <w:jc w:val="center"/>
      <w:rPr>
        <w:rFonts w:ascii="Arial" w:hAnsi="Arial" w:cs="Arial"/>
        <w:b/>
        <w:color w:val="FF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Default="00160E94" w:rsidP="00E25606">
    <w:pPr>
      <w:pStyle w:val="Header"/>
      <w:jc w:val="center"/>
      <w:rPr>
        <w:rFonts w:ascii="Times New Roman" w:hAnsi="Times New Roman"/>
        <w:b/>
        <w:sz w:val="28"/>
        <w:szCs w:val="28"/>
      </w:rPr>
    </w:pPr>
    <w:r>
      <w:rPr>
        <w:rFonts w:ascii="Times New Roman" w:hAnsi="Times New Roman"/>
        <w:b/>
        <w:sz w:val="28"/>
        <w:szCs w:val="28"/>
      </w:rPr>
      <w:t>TABLE OF CONTENTS</w:t>
    </w:r>
  </w:p>
  <w:p w:rsidR="00160E94" w:rsidRPr="00E25606" w:rsidRDefault="00160E94" w:rsidP="00E25606">
    <w:pPr>
      <w:pStyle w:val="Header"/>
      <w:jc w:val="right"/>
      <w:rPr>
        <w:rFonts w:ascii="Times New Roman" w:hAnsi="Times New Roman"/>
        <w:b/>
        <w:sz w:val="28"/>
        <w:szCs w:val="28"/>
      </w:rPr>
    </w:pPr>
    <w:r>
      <w:rPr>
        <w:rFonts w:ascii="Times New Roman" w:hAnsi="Times New Roman"/>
        <w:b/>
        <w:sz w:val="28"/>
        <w:szCs w:val="28"/>
      </w:rPr>
      <w:t>Page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Pr="00E25606" w:rsidRDefault="00160E94" w:rsidP="00E25606">
    <w:pPr>
      <w:pStyle w:val="Header"/>
      <w:jc w:val="center"/>
      <w:rPr>
        <w:rFonts w:ascii="Arial" w:hAnsi="Arial" w:cs="Arial"/>
        <w:b/>
        <w:color w:val="FF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E94" w:rsidRPr="00E25606" w:rsidRDefault="00160E94" w:rsidP="00E25606">
    <w:pPr>
      <w:pStyle w:val="Header"/>
      <w:jc w:val="center"/>
      <w:rPr>
        <w:rFonts w:ascii="Arial" w:hAnsi="Arial" w:cs="Arial"/>
        <w:b/>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370FF"/>
    <w:multiLevelType w:val="hybridMultilevel"/>
    <w:tmpl w:val="3AC4BBA0"/>
    <w:lvl w:ilvl="0" w:tplc="8878E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AE1625"/>
    <w:multiLevelType w:val="hybridMultilevel"/>
    <w:tmpl w:val="4F34D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085510"/>
    <w:multiLevelType w:val="hybridMultilevel"/>
    <w:tmpl w:val="01B4AEF8"/>
    <w:lvl w:ilvl="0" w:tplc="77F2EC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2232DE"/>
    <w:multiLevelType w:val="hybridMultilevel"/>
    <w:tmpl w:val="700AA832"/>
    <w:lvl w:ilvl="0" w:tplc="D71AB59C">
      <w:start w:val="1"/>
      <w:numFmt w:val="upperRoman"/>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81496"/>
    <w:multiLevelType w:val="hybridMultilevel"/>
    <w:tmpl w:val="578AB1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BE2DA0"/>
    <w:multiLevelType w:val="hybridMultilevel"/>
    <w:tmpl w:val="3360522A"/>
    <w:lvl w:ilvl="0" w:tplc="A44EC2C8">
      <w:start w:val="1"/>
      <w:numFmt w:val="upperLetter"/>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7"/>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62B"/>
    <w:rsid w:val="00014773"/>
    <w:rsid w:val="00022E23"/>
    <w:rsid w:val="00025B78"/>
    <w:rsid w:val="00043A6E"/>
    <w:rsid w:val="00045752"/>
    <w:rsid w:val="00045C9F"/>
    <w:rsid w:val="00060F6F"/>
    <w:rsid w:val="00071BF7"/>
    <w:rsid w:val="00073673"/>
    <w:rsid w:val="000868AF"/>
    <w:rsid w:val="000A2743"/>
    <w:rsid w:val="000B7DD0"/>
    <w:rsid w:val="000D6927"/>
    <w:rsid w:val="001100E9"/>
    <w:rsid w:val="00115B27"/>
    <w:rsid w:val="001274F2"/>
    <w:rsid w:val="00130A73"/>
    <w:rsid w:val="0016083A"/>
    <w:rsid w:val="00160E94"/>
    <w:rsid w:val="00195995"/>
    <w:rsid w:val="001C2F2A"/>
    <w:rsid w:val="001E1A98"/>
    <w:rsid w:val="00211582"/>
    <w:rsid w:val="00222B38"/>
    <w:rsid w:val="00240B7A"/>
    <w:rsid w:val="002415E7"/>
    <w:rsid w:val="002609EE"/>
    <w:rsid w:val="00260CF0"/>
    <w:rsid w:val="00264250"/>
    <w:rsid w:val="00265AD3"/>
    <w:rsid w:val="00281693"/>
    <w:rsid w:val="00281EC7"/>
    <w:rsid w:val="002B0389"/>
    <w:rsid w:val="002C59B3"/>
    <w:rsid w:val="002D59F6"/>
    <w:rsid w:val="002E3668"/>
    <w:rsid w:val="002F1DE0"/>
    <w:rsid w:val="00323569"/>
    <w:rsid w:val="00363056"/>
    <w:rsid w:val="00393798"/>
    <w:rsid w:val="00393ED0"/>
    <w:rsid w:val="003A1D9C"/>
    <w:rsid w:val="003A34EE"/>
    <w:rsid w:val="003B15FB"/>
    <w:rsid w:val="003B42A4"/>
    <w:rsid w:val="003B78AB"/>
    <w:rsid w:val="003E4948"/>
    <w:rsid w:val="003E6759"/>
    <w:rsid w:val="003F3391"/>
    <w:rsid w:val="00415A62"/>
    <w:rsid w:val="00441D22"/>
    <w:rsid w:val="00452D7F"/>
    <w:rsid w:val="0047191D"/>
    <w:rsid w:val="004A0059"/>
    <w:rsid w:val="004C5BE7"/>
    <w:rsid w:val="004D4F0E"/>
    <w:rsid w:val="004E670F"/>
    <w:rsid w:val="005000FD"/>
    <w:rsid w:val="005008B5"/>
    <w:rsid w:val="005055C1"/>
    <w:rsid w:val="00511C32"/>
    <w:rsid w:val="005402CE"/>
    <w:rsid w:val="00554774"/>
    <w:rsid w:val="005871DF"/>
    <w:rsid w:val="00587F3A"/>
    <w:rsid w:val="0059299B"/>
    <w:rsid w:val="00595175"/>
    <w:rsid w:val="005A2035"/>
    <w:rsid w:val="005B4E64"/>
    <w:rsid w:val="005C3639"/>
    <w:rsid w:val="005C52E7"/>
    <w:rsid w:val="005E3B8D"/>
    <w:rsid w:val="005E4E03"/>
    <w:rsid w:val="005F37DC"/>
    <w:rsid w:val="0062148C"/>
    <w:rsid w:val="00626AA7"/>
    <w:rsid w:val="00652140"/>
    <w:rsid w:val="0068718D"/>
    <w:rsid w:val="006C0D92"/>
    <w:rsid w:val="006C710C"/>
    <w:rsid w:val="006D0EB1"/>
    <w:rsid w:val="006F0F94"/>
    <w:rsid w:val="006F7EA9"/>
    <w:rsid w:val="007121A3"/>
    <w:rsid w:val="007341EB"/>
    <w:rsid w:val="00767B04"/>
    <w:rsid w:val="0078554C"/>
    <w:rsid w:val="00786426"/>
    <w:rsid w:val="00791FDD"/>
    <w:rsid w:val="00797769"/>
    <w:rsid w:val="007A38AB"/>
    <w:rsid w:val="007D186E"/>
    <w:rsid w:val="007D5915"/>
    <w:rsid w:val="007E3737"/>
    <w:rsid w:val="00832546"/>
    <w:rsid w:val="00833F85"/>
    <w:rsid w:val="00853959"/>
    <w:rsid w:val="008605B0"/>
    <w:rsid w:val="00867F45"/>
    <w:rsid w:val="00877A05"/>
    <w:rsid w:val="008C5536"/>
    <w:rsid w:val="008D0DF8"/>
    <w:rsid w:val="008E17E5"/>
    <w:rsid w:val="008F1E5B"/>
    <w:rsid w:val="00924AFD"/>
    <w:rsid w:val="00932D08"/>
    <w:rsid w:val="009475B5"/>
    <w:rsid w:val="00950836"/>
    <w:rsid w:val="00955DE1"/>
    <w:rsid w:val="009640DD"/>
    <w:rsid w:val="00973F18"/>
    <w:rsid w:val="0097798D"/>
    <w:rsid w:val="00986B9B"/>
    <w:rsid w:val="009A5D43"/>
    <w:rsid w:val="009D12B8"/>
    <w:rsid w:val="009E5C82"/>
    <w:rsid w:val="009F024D"/>
    <w:rsid w:val="009F3479"/>
    <w:rsid w:val="00A10819"/>
    <w:rsid w:val="00A53A15"/>
    <w:rsid w:val="00A77B45"/>
    <w:rsid w:val="00AC2156"/>
    <w:rsid w:val="00AE3CA6"/>
    <w:rsid w:val="00B32AB4"/>
    <w:rsid w:val="00B46B4F"/>
    <w:rsid w:val="00B4712A"/>
    <w:rsid w:val="00BB2B23"/>
    <w:rsid w:val="00BB78C9"/>
    <w:rsid w:val="00BC7F0C"/>
    <w:rsid w:val="00BD145A"/>
    <w:rsid w:val="00BE1CAD"/>
    <w:rsid w:val="00BE55A4"/>
    <w:rsid w:val="00BE7316"/>
    <w:rsid w:val="00C025E2"/>
    <w:rsid w:val="00C129E2"/>
    <w:rsid w:val="00C60CDC"/>
    <w:rsid w:val="00C770A3"/>
    <w:rsid w:val="00C95C8D"/>
    <w:rsid w:val="00CA2676"/>
    <w:rsid w:val="00CD3102"/>
    <w:rsid w:val="00CE0B22"/>
    <w:rsid w:val="00CE72A9"/>
    <w:rsid w:val="00CF15E5"/>
    <w:rsid w:val="00CF4C98"/>
    <w:rsid w:val="00D04AA9"/>
    <w:rsid w:val="00D067C8"/>
    <w:rsid w:val="00D464E4"/>
    <w:rsid w:val="00D55652"/>
    <w:rsid w:val="00D63718"/>
    <w:rsid w:val="00D72908"/>
    <w:rsid w:val="00D96E21"/>
    <w:rsid w:val="00D975DD"/>
    <w:rsid w:val="00DA3936"/>
    <w:rsid w:val="00DA4C60"/>
    <w:rsid w:val="00DB1B44"/>
    <w:rsid w:val="00DC4F8E"/>
    <w:rsid w:val="00DC53F2"/>
    <w:rsid w:val="00DD3F7C"/>
    <w:rsid w:val="00DF2F6E"/>
    <w:rsid w:val="00E14ED1"/>
    <w:rsid w:val="00E25606"/>
    <w:rsid w:val="00E519F3"/>
    <w:rsid w:val="00E51DCA"/>
    <w:rsid w:val="00E600E8"/>
    <w:rsid w:val="00E6762B"/>
    <w:rsid w:val="00E74F3D"/>
    <w:rsid w:val="00E7645F"/>
    <w:rsid w:val="00EA2AB9"/>
    <w:rsid w:val="00EC0800"/>
    <w:rsid w:val="00EF357A"/>
    <w:rsid w:val="00F20076"/>
    <w:rsid w:val="00F2515D"/>
    <w:rsid w:val="00F2744B"/>
    <w:rsid w:val="00F31C84"/>
    <w:rsid w:val="00F35E0A"/>
    <w:rsid w:val="00F37AEF"/>
    <w:rsid w:val="00F42B9E"/>
    <w:rsid w:val="00F92E64"/>
    <w:rsid w:val="00FA2936"/>
    <w:rsid w:val="00FF0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2B"/>
    <w:pPr>
      <w:spacing w:after="200" w:line="276" w:lineRule="auto"/>
    </w:pPr>
    <w:rPr>
      <w:sz w:val="22"/>
      <w:szCs w:val="22"/>
    </w:rPr>
  </w:style>
  <w:style w:type="paragraph" w:styleId="Heading1">
    <w:name w:val="heading 1"/>
    <w:basedOn w:val="Normal"/>
    <w:next w:val="Normal"/>
    <w:link w:val="Heading1Char"/>
    <w:autoRedefine/>
    <w:uiPriority w:val="9"/>
    <w:qFormat/>
    <w:rsid w:val="002E3668"/>
    <w:pPr>
      <w:keepNext/>
      <w:spacing w:before="360" w:after="240" w:line="240" w:lineRule="auto"/>
      <w:jc w:val="center"/>
      <w:outlineLvl w:val="0"/>
    </w:pPr>
    <w:rPr>
      <w:rFonts w:ascii="Times New Roman" w:hAnsi="Times New Roman"/>
      <w:b/>
      <w:bCs/>
      <w:kern w:val="32"/>
      <w:sz w:val="28"/>
      <w:szCs w:val="32"/>
    </w:rPr>
  </w:style>
  <w:style w:type="paragraph" w:styleId="Heading2">
    <w:name w:val="heading 2"/>
    <w:basedOn w:val="Normal"/>
    <w:next w:val="Normal"/>
    <w:link w:val="Heading2Char"/>
    <w:autoRedefine/>
    <w:uiPriority w:val="9"/>
    <w:unhideWhenUsed/>
    <w:qFormat/>
    <w:rsid w:val="002E3668"/>
    <w:pPr>
      <w:keepNext/>
      <w:numPr>
        <w:numId w:val="5"/>
      </w:numPr>
      <w:spacing w:before="360" w:after="240" w:line="240" w:lineRule="auto"/>
      <w:ind w:hanging="720"/>
      <w:outlineLvl w:val="1"/>
    </w:pPr>
    <w:rPr>
      <w:rFonts w:ascii="Times New Roman" w:hAnsi="Times New Roman"/>
      <w:b/>
      <w:bCs/>
      <w:iCs/>
      <w:sz w:val="28"/>
      <w:szCs w:val="28"/>
    </w:rPr>
  </w:style>
  <w:style w:type="paragraph" w:styleId="Heading3">
    <w:name w:val="heading 3"/>
    <w:basedOn w:val="Normal"/>
    <w:next w:val="Normal"/>
    <w:link w:val="Heading3Char"/>
    <w:autoRedefine/>
    <w:uiPriority w:val="9"/>
    <w:unhideWhenUsed/>
    <w:qFormat/>
    <w:rsid w:val="002E3668"/>
    <w:pPr>
      <w:keepNext/>
      <w:numPr>
        <w:numId w:val="6"/>
      </w:numPr>
      <w:spacing w:before="360" w:after="240" w:line="240" w:lineRule="auto"/>
      <w:ind w:right="720" w:hanging="720"/>
      <w:outlineLvl w:val="2"/>
    </w:pPr>
    <w:rPr>
      <w:rFonts w:ascii="Times New Roman" w:hAnsi="Times New Roman"/>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6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autoRedefine/>
    <w:uiPriority w:val="99"/>
    <w:unhideWhenUsed/>
    <w:rsid w:val="002E3668"/>
    <w:pPr>
      <w:spacing w:before="240" w:after="240" w:line="240" w:lineRule="auto"/>
      <w:ind w:left="720" w:hanging="720"/>
      <w:jc w:val="both"/>
    </w:pPr>
    <w:rPr>
      <w:rFonts w:ascii="Times New Roman" w:hAnsi="Times New Roman"/>
      <w:sz w:val="20"/>
      <w:szCs w:val="20"/>
    </w:rPr>
  </w:style>
  <w:style w:type="character" w:customStyle="1" w:styleId="FootnoteTextChar">
    <w:name w:val="Footnote Text Char"/>
    <w:link w:val="FootnoteText"/>
    <w:uiPriority w:val="99"/>
    <w:rsid w:val="002E3668"/>
    <w:rPr>
      <w:rFonts w:ascii="Times New Roman" w:hAnsi="Times New Roman"/>
    </w:rPr>
  </w:style>
  <w:style w:type="character" w:styleId="FootnoteReference">
    <w:name w:val="footnote reference"/>
    <w:uiPriority w:val="99"/>
    <w:semiHidden/>
    <w:unhideWhenUsed/>
    <w:rsid w:val="00043A6E"/>
    <w:rPr>
      <w:vertAlign w:val="superscript"/>
    </w:rPr>
  </w:style>
  <w:style w:type="paragraph" w:styleId="BalloonText">
    <w:name w:val="Balloon Text"/>
    <w:basedOn w:val="Normal"/>
    <w:link w:val="BalloonTextChar"/>
    <w:uiPriority w:val="99"/>
    <w:semiHidden/>
    <w:unhideWhenUsed/>
    <w:rsid w:val="002F1D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F1DE0"/>
    <w:rPr>
      <w:rFonts w:ascii="Tahoma" w:hAnsi="Tahoma" w:cs="Tahoma"/>
      <w:sz w:val="16"/>
      <w:szCs w:val="16"/>
    </w:rPr>
  </w:style>
  <w:style w:type="character" w:styleId="Hyperlink">
    <w:name w:val="Hyperlink"/>
    <w:uiPriority w:val="99"/>
    <w:unhideWhenUsed/>
    <w:rsid w:val="006F7EA9"/>
    <w:rPr>
      <w:color w:val="0000FF"/>
      <w:u w:val="single"/>
    </w:rPr>
  </w:style>
  <w:style w:type="character" w:customStyle="1" w:styleId="Heading1Char">
    <w:name w:val="Heading 1 Char"/>
    <w:link w:val="Heading1"/>
    <w:uiPriority w:val="9"/>
    <w:rsid w:val="002E3668"/>
    <w:rPr>
      <w:rFonts w:ascii="Times New Roman" w:eastAsia="Times New Roman" w:hAnsi="Times New Roman" w:cs="Times New Roman"/>
      <w:b/>
      <w:bCs/>
      <w:kern w:val="32"/>
      <w:sz w:val="28"/>
      <w:szCs w:val="32"/>
    </w:rPr>
  </w:style>
  <w:style w:type="paragraph" w:customStyle="1" w:styleId="Textstyle">
    <w:name w:val="Text style"/>
    <w:basedOn w:val="Normal"/>
    <w:autoRedefine/>
    <w:rsid w:val="002E3668"/>
    <w:pPr>
      <w:spacing w:after="0" w:line="480" w:lineRule="auto"/>
      <w:jc w:val="both"/>
    </w:pPr>
    <w:rPr>
      <w:rFonts w:ascii="Times New Roman" w:hAnsi="Times New Roman"/>
      <w:sz w:val="26"/>
      <w:szCs w:val="26"/>
    </w:rPr>
  </w:style>
  <w:style w:type="character" w:customStyle="1" w:styleId="Heading2Char">
    <w:name w:val="Heading 2 Char"/>
    <w:link w:val="Heading2"/>
    <w:uiPriority w:val="9"/>
    <w:rsid w:val="002E3668"/>
    <w:rPr>
      <w:rFonts w:ascii="Times New Roman" w:eastAsia="Times New Roman" w:hAnsi="Times New Roman" w:cs="Times New Roman"/>
      <w:b/>
      <w:bCs/>
      <w:iCs/>
      <w:sz w:val="28"/>
      <w:szCs w:val="28"/>
    </w:rPr>
  </w:style>
  <w:style w:type="character" w:customStyle="1" w:styleId="Heading3Char">
    <w:name w:val="Heading 3 Char"/>
    <w:link w:val="Heading3"/>
    <w:uiPriority w:val="9"/>
    <w:rsid w:val="002E3668"/>
    <w:rPr>
      <w:rFonts w:ascii="Times New Roman" w:eastAsia="Times New Roman" w:hAnsi="Times New Roman" w:cs="Times New Roman"/>
      <w:b/>
      <w:bCs/>
      <w:sz w:val="28"/>
      <w:szCs w:val="26"/>
    </w:rPr>
  </w:style>
  <w:style w:type="paragraph" w:styleId="Header">
    <w:name w:val="header"/>
    <w:basedOn w:val="Normal"/>
    <w:link w:val="HeaderChar"/>
    <w:uiPriority w:val="99"/>
    <w:unhideWhenUsed/>
    <w:rsid w:val="002E3668"/>
    <w:pPr>
      <w:tabs>
        <w:tab w:val="center" w:pos="4680"/>
        <w:tab w:val="right" w:pos="9360"/>
      </w:tabs>
    </w:pPr>
  </w:style>
  <w:style w:type="character" w:customStyle="1" w:styleId="HeaderChar">
    <w:name w:val="Header Char"/>
    <w:link w:val="Header"/>
    <w:uiPriority w:val="99"/>
    <w:rsid w:val="002E3668"/>
    <w:rPr>
      <w:sz w:val="22"/>
      <w:szCs w:val="22"/>
    </w:rPr>
  </w:style>
  <w:style w:type="paragraph" w:styleId="Footer">
    <w:name w:val="footer"/>
    <w:basedOn w:val="Normal"/>
    <w:link w:val="FooterChar"/>
    <w:uiPriority w:val="99"/>
    <w:unhideWhenUsed/>
    <w:rsid w:val="002E3668"/>
    <w:pPr>
      <w:tabs>
        <w:tab w:val="center" w:pos="4680"/>
        <w:tab w:val="right" w:pos="9360"/>
      </w:tabs>
    </w:pPr>
  </w:style>
  <w:style w:type="character" w:customStyle="1" w:styleId="FooterChar">
    <w:name w:val="Footer Char"/>
    <w:link w:val="Footer"/>
    <w:uiPriority w:val="99"/>
    <w:rsid w:val="002E3668"/>
    <w:rPr>
      <w:sz w:val="22"/>
      <w:szCs w:val="22"/>
    </w:rPr>
  </w:style>
  <w:style w:type="paragraph" w:styleId="TOC1">
    <w:name w:val="toc 1"/>
    <w:basedOn w:val="Normal"/>
    <w:next w:val="Normal"/>
    <w:autoRedefine/>
    <w:uiPriority w:val="39"/>
    <w:unhideWhenUsed/>
    <w:rsid w:val="00E25606"/>
    <w:pPr>
      <w:tabs>
        <w:tab w:val="right" w:leader="dot" w:pos="9346"/>
      </w:tabs>
      <w:spacing w:before="240" w:after="240" w:line="240" w:lineRule="auto"/>
      <w:ind w:left="720" w:hanging="720"/>
    </w:pPr>
    <w:rPr>
      <w:rFonts w:ascii="Times New Roman" w:hAnsi="Times New Roman"/>
      <w:sz w:val="26"/>
    </w:rPr>
  </w:style>
  <w:style w:type="paragraph" w:styleId="TOC2">
    <w:name w:val="toc 2"/>
    <w:basedOn w:val="Normal"/>
    <w:next w:val="Normal"/>
    <w:autoRedefine/>
    <w:uiPriority w:val="39"/>
    <w:unhideWhenUsed/>
    <w:rsid w:val="00E25606"/>
    <w:pPr>
      <w:tabs>
        <w:tab w:val="right" w:leader="dot" w:pos="9350"/>
      </w:tabs>
      <w:spacing w:before="240" w:after="240" w:line="240" w:lineRule="auto"/>
      <w:ind w:left="1382" w:right="1440" w:hanging="662"/>
    </w:pPr>
    <w:rPr>
      <w:rFonts w:ascii="Times New Roman" w:hAnsi="Times New Roman"/>
      <w:sz w:val="26"/>
    </w:rPr>
  </w:style>
  <w:style w:type="paragraph" w:styleId="TOC3">
    <w:name w:val="toc 3"/>
    <w:basedOn w:val="Normal"/>
    <w:next w:val="Normal"/>
    <w:autoRedefine/>
    <w:uiPriority w:val="39"/>
    <w:unhideWhenUsed/>
    <w:rsid w:val="00E25606"/>
    <w:pPr>
      <w:tabs>
        <w:tab w:val="right" w:leader="dot" w:pos="9350"/>
      </w:tabs>
      <w:spacing w:before="240" w:after="240" w:line="240" w:lineRule="auto"/>
      <w:ind w:left="2318" w:right="1440" w:hanging="878"/>
    </w:pPr>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404157">
      <w:bodyDiv w:val="1"/>
      <w:marLeft w:val="0"/>
      <w:marRight w:val="0"/>
      <w:marTop w:val="0"/>
      <w:marBottom w:val="0"/>
      <w:divBdr>
        <w:top w:val="none" w:sz="0" w:space="0" w:color="auto"/>
        <w:left w:val="none" w:sz="0" w:space="0" w:color="auto"/>
        <w:bottom w:val="none" w:sz="0" w:space="0" w:color="auto"/>
        <w:right w:val="none" w:sz="0" w:space="0" w:color="auto"/>
      </w:divBdr>
    </w:div>
    <w:div w:id="1291088561">
      <w:bodyDiv w:val="1"/>
      <w:marLeft w:val="0"/>
      <w:marRight w:val="0"/>
      <w:marTop w:val="0"/>
      <w:marBottom w:val="0"/>
      <w:divBdr>
        <w:top w:val="none" w:sz="0" w:space="0" w:color="auto"/>
        <w:left w:val="none" w:sz="0" w:space="0" w:color="auto"/>
        <w:bottom w:val="none" w:sz="0" w:space="0" w:color="auto"/>
        <w:right w:val="none" w:sz="0" w:space="0" w:color="auto"/>
      </w:divBdr>
    </w:div>
    <w:div w:id="1531262142">
      <w:bodyDiv w:val="1"/>
      <w:marLeft w:val="0"/>
      <w:marRight w:val="0"/>
      <w:marTop w:val="0"/>
      <w:marBottom w:val="0"/>
      <w:divBdr>
        <w:top w:val="none" w:sz="0" w:space="0" w:color="auto"/>
        <w:left w:val="none" w:sz="0" w:space="0" w:color="auto"/>
        <w:bottom w:val="none" w:sz="0" w:space="0" w:color="auto"/>
        <w:right w:val="none" w:sz="0" w:space="0" w:color="auto"/>
      </w:divBdr>
    </w:div>
    <w:div w:id="182840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william.wright@puc.state.oh.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uco.ohio.gov/emplibrary/files/util/%20TelecomFiles/Telecom%20Application%20Forms/Supp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182B3-429B-41C7-893E-BB24C999F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3212</Words>
  <Characters>18309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PUCO</Company>
  <LinksUpToDate>false</LinksUpToDate>
  <CharactersWithSpaces>21479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dc:creator>
  <cp:lastModifiedBy>Keeton, Kim</cp:lastModifiedBy>
  <cp:revision>6</cp:revision>
  <cp:lastPrinted>2012-01-18T19:18:00Z</cp:lastPrinted>
  <dcterms:created xsi:type="dcterms:W3CDTF">2012-01-18T19:12:00Z</dcterms:created>
  <dcterms:modified xsi:type="dcterms:W3CDTF">2012-01-18T19:19:00Z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-1822328956</vt:i4>
  </property>
  <property fmtid="{D5CDD505-2E9C-101B-9397-08002B2CF9AE}" pid="3" name="_NewReviewCycle">
    <vt:lpwstr/>
  </property>
  <property fmtid="{D5CDD505-2E9C-101B-9397-08002B2CF9AE}" pid="4" name="_EmailSubject">
    <vt:lpwstr>USF-ICC FNPRM Comments 011812 (1-13-13).docx</vt:lpwstr>
  </property>
  <property fmtid="{D5CDD505-2E9C-101B-9397-08002B2CF9AE}" pid="5" name="_AuthorEmail">
    <vt:lpwstr>Jason.Well@puc.state.oh.us</vt:lpwstr>
  </property>
  <property fmtid="{D5CDD505-2E9C-101B-9397-08002B2CF9AE}" pid="6" name="_AuthorEmailDisplayName">
    <vt:lpwstr>Well, Jason</vt:lpwstr>
  </property>
  <property fmtid="{D5CDD505-2E9C-101B-9397-08002B2CF9AE}" pid="7" name="_PreviousAdHocReviewCycleID">
    <vt:i4>1078134429</vt:i4>
  </property>
  <property fmtid="{D5CDD505-2E9C-101B-9397-08002B2CF9AE}" pid="8" name="_ReviewingToolsShownOnce">
    <vt:lpwstr/>
  </property>
</Properties>
</file>