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B65A3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w:t>
            </w:r>
            <w:r w:rsidRPr="00B65A3A">
              <w:rPr>
                <w:rFonts w:ascii="Times New Roman" w:eastAsia="Courier New" w:hAnsi="Times New Roman" w:cs="Times New Roman"/>
                <w:sz w:val="24"/>
                <w:szCs w:val="24"/>
                <w:lang w:val="en-US" w:eastAsia="en-US" w:bidi="ar-SA"/>
              </w:rPr>
              <w:t xml:space="preserve">Application of </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Vectren Energy Delivery of Ohio, Inc. for Authority to Adjust its Distribution Replacement Rider Charges.</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19-1011</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GA</w:t>
            </w:r>
            <w:r w:rsidRPr="00B65A3A">
              <w:rPr>
                <w:rFonts w:ascii="Times New Roman" w:eastAsia="Courier New" w:hAnsi="Times New Roman" w:cs="Times New Roman"/>
                <w:sz w:val="24"/>
                <w:szCs w:val="24"/>
                <w:lang w:val="en-US" w:eastAsia="en-US" w:bidi="ar-SA"/>
              </w:rPr>
              <w:t>-RDR</w:t>
            </w:r>
            <w:r w:rsidRPr="00A044B5">
              <w:rPr>
                <w:rFonts w:ascii="Times New Roman" w:eastAsia="Courier New" w:hAnsi="Times New Roman" w:cs="Courier New"/>
                <w:sz w:val="24"/>
                <w:lang w:val="en-US" w:eastAsia="en-US" w:bidi="ar-SA"/>
              </w:rPr>
              <w:t xml:space="preserve"> </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A23C37" w:rsidP="007A0716">
      <w:pPr>
        <w:pStyle w:val="BodyTextIndent3"/>
        <w:widowControl w:val="0"/>
        <w:spacing w:line="480" w:lineRule="auto"/>
        <w:ind w:right="-312"/>
        <w:rPr>
          <w:szCs w:val="24"/>
        </w:rPr>
      </w:pPr>
      <w:r>
        <w:t>The Office of the Ohio Consumers’ Counsel (“OCC”) moves to intervene</w:t>
      </w:r>
      <w:r>
        <w:rPr>
          <w:rStyle w:val="FootnoteReference"/>
        </w:rPr>
        <w:footnoteReference w:id="2"/>
      </w:r>
      <w:r>
        <w:t xml:space="preserve"> in this case where Vectren Energy Delivery of Ohio, Inc. (“Vectren”) proposes to charge residential customers over $6.4 million for pipeline replacement costs incurred in 2018.  OCC is filing on behalf of Vectren’s 297,000 residential utility customers.  The reasons the Public Utilities Commission of Ohio (“PUCO”) should grant OCC’s Motion are further set forth in the attached Memorandum in Support.</w:t>
      </w:r>
    </w:p>
    <w:p w:rsidR="00A044B5" w:rsidP="00A037BB">
      <w:pPr>
        <w:pStyle w:val="BodyTextIndent3"/>
        <w:widowControl w:val="0"/>
        <w:spacing w:line="480" w:lineRule="auto"/>
        <w:ind w:left="3600" w:right="-677" w:firstLine="0"/>
        <w:rPr>
          <w:szCs w:val="24"/>
        </w:rPr>
      </w:pPr>
      <w:r>
        <w:rPr>
          <w:szCs w:val="24"/>
        </w:rPr>
        <w:t>Respectfully submitted,</w:t>
      </w:r>
    </w:p>
    <w:p w:rsidR="00A044B5" w:rsidP="00A037BB">
      <w:pPr>
        <w:pStyle w:val="Footer"/>
        <w:tabs>
          <w:tab w:val="left" w:pos="4320"/>
          <w:tab w:val="clear" w:pos="8640"/>
        </w:tabs>
        <w:ind w:left="3600"/>
        <w:rPr>
          <w:sz w:val="24"/>
          <w:szCs w:val="24"/>
        </w:rPr>
      </w:pPr>
      <w:r>
        <w:rPr>
          <w:sz w:val="24"/>
          <w:szCs w:val="24"/>
        </w:rPr>
        <w:t>Bruce Weston (0016973)</w:t>
      </w:r>
    </w:p>
    <w:p w:rsidR="00A044B5" w:rsidP="00BE2568">
      <w:pPr>
        <w:tabs>
          <w:tab w:val="left" w:pos="4320"/>
        </w:tabs>
        <w:ind w:left="3600"/>
        <w:rPr>
          <w:szCs w:val="24"/>
        </w:rPr>
      </w:pPr>
      <w:r>
        <w:rPr>
          <w:szCs w:val="24"/>
        </w:rPr>
        <w:t>Ohio Consumers’ Counsel</w:t>
      </w:r>
    </w:p>
    <w:p w:rsidR="00A044B5">
      <w:pPr>
        <w:tabs>
          <w:tab w:val="left" w:pos="4320"/>
        </w:tabs>
        <w:rPr>
          <w:szCs w:val="24"/>
        </w:rPr>
      </w:pPr>
      <w:r>
        <w:rPr>
          <w:szCs w:val="24"/>
        </w:rPr>
        <w:tab/>
      </w:r>
    </w:p>
    <w:p w:rsidR="00A044B5" w:rsidRPr="004535A2" w:rsidP="00BE2568">
      <w:pPr>
        <w:tabs>
          <w:tab w:val="left" w:pos="4320"/>
        </w:tabs>
        <w:ind w:left="3600"/>
        <w:rPr>
          <w:i/>
          <w:szCs w:val="24"/>
          <w:u w:val="single"/>
        </w:rPr>
      </w:pPr>
      <w:r>
        <w:rPr>
          <w:i/>
          <w:szCs w:val="24"/>
          <w:u w:val="single"/>
        </w:rPr>
        <w:t>/s/ Angela O’Brien</w:t>
      </w:r>
      <w:r>
        <w:rPr>
          <w:i/>
          <w:szCs w:val="24"/>
          <w:u w:val="single"/>
        </w:rPr>
        <w:tab/>
      </w:r>
      <w:r>
        <w:rPr>
          <w:i/>
          <w:szCs w:val="24"/>
          <w:u w:val="single"/>
        </w:rPr>
        <w:tab/>
      </w:r>
      <w:r>
        <w:rPr>
          <w:i/>
          <w:szCs w:val="24"/>
          <w:u w:val="single"/>
        </w:rPr>
        <w:tab/>
      </w:r>
    </w:p>
    <w:p w:rsidR="00B379B2" w:rsidP="00BE2568">
      <w:pPr>
        <w:tabs>
          <w:tab w:val="left" w:pos="4320"/>
        </w:tabs>
        <w:ind w:left="3600"/>
        <w:rPr>
          <w:sz w:val="28"/>
          <w:szCs w:val="28"/>
        </w:rPr>
      </w:pPr>
      <w:r>
        <w:rPr>
          <w:szCs w:val="24"/>
        </w:rPr>
        <w:t>Angela O’Brien (</w:t>
      </w:r>
      <w:r w:rsidRPr="00B379B2">
        <w:rPr>
          <w:szCs w:val="24"/>
        </w:rPr>
        <w:t>0097579)</w:t>
      </w:r>
      <w:r>
        <w:rPr>
          <w:sz w:val="28"/>
          <w:szCs w:val="28"/>
        </w:rPr>
        <w:t xml:space="preserve"> </w:t>
      </w:r>
    </w:p>
    <w:p w:rsidR="00A044B5" w:rsidP="00BE2568">
      <w:pPr>
        <w:tabs>
          <w:tab w:val="left" w:pos="4320"/>
        </w:tabs>
        <w:ind w:left="3600"/>
        <w:rPr>
          <w:szCs w:val="24"/>
        </w:rPr>
      </w:pPr>
      <w:r>
        <w:rPr>
          <w:szCs w:val="24"/>
        </w:rPr>
        <w:t>Counsel of Record</w:t>
      </w:r>
    </w:p>
    <w:p w:rsidR="0067510C" w:rsidP="00BE2568">
      <w:pPr>
        <w:tabs>
          <w:tab w:val="left" w:pos="4320"/>
        </w:tabs>
        <w:ind w:left="3600"/>
        <w:rPr>
          <w:szCs w:val="24"/>
        </w:rPr>
      </w:pPr>
      <w:r>
        <w:rPr>
          <w:szCs w:val="24"/>
        </w:rPr>
        <w:t>Bryce McKenney (0088203)</w:t>
      </w:r>
    </w:p>
    <w:p w:rsidR="00A044B5" w:rsidP="00A037BB">
      <w:pPr>
        <w:tabs>
          <w:tab w:val="left" w:pos="4320"/>
        </w:tabs>
        <w:ind w:left="3600"/>
        <w:rPr>
          <w:szCs w:val="24"/>
        </w:rPr>
      </w:pPr>
      <w:r>
        <w:rPr>
          <w:szCs w:val="24"/>
        </w:rPr>
        <w:t>Assistant Consumers’ Counsel</w:t>
      </w:r>
    </w:p>
    <w:p w:rsidR="00A044B5" w:rsidP="00A037BB">
      <w:pPr>
        <w:pStyle w:val="Heading1"/>
        <w:spacing w:before="120"/>
        <w:ind w:left="3600" w:right="-648"/>
        <w:rPr>
          <w:u w:val="none"/>
        </w:rPr>
      </w:pPr>
      <w:r>
        <w:rPr>
          <w:u w:val="none"/>
        </w:rPr>
        <w:t>Office of the Ohio Consumers’ Counsel</w:t>
      </w:r>
    </w:p>
    <w:p w:rsidR="00A044B5" w:rsidP="00BE2568">
      <w:pPr>
        <w:pStyle w:val="Heading1"/>
        <w:ind w:left="3600" w:right="-648"/>
        <w:rPr>
          <w:b w:val="0"/>
          <w:u w:val="none"/>
        </w:rPr>
      </w:pPr>
      <w:r>
        <w:rPr>
          <w:b w:val="0"/>
          <w:u w:val="none"/>
        </w:rPr>
        <w:t>65 East State Street, 7</w:t>
      </w:r>
      <w:r w:rsidRPr="00476981">
        <w:rPr>
          <w:b w:val="0"/>
          <w:u w:val="none"/>
          <w:vertAlign w:val="superscript"/>
        </w:rPr>
        <w:t>th</w:t>
      </w:r>
      <w:r>
        <w:rPr>
          <w:b w:val="0"/>
          <w:u w:val="none"/>
        </w:rPr>
        <w:t xml:space="preserve"> Floor</w:t>
      </w:r>
    </w:p>
    <w:p w:rsidR="00A044B5" w:rsidP="00BE2568">
      <w:pPr>
        <w:pStyle w:val="Heading1"/>
        <w:ind w:left="3600" w:right="-648"/>
        <w:rPr>
          <w:b w:val="0"/>
          <w:u w:val="none"/>
        </w:rPr>
      </w:pPr>
      <w:r>
        <w:rPr>
          <w:b w:val="0"/>
          <w:u w:val="none"/>
        </w:rPr>
        <w:t>Columbus, Ohio 43215-4213</w:t>
      </w:r>
    </w:p>
    <w:p w:rsidR="00A044B5" w:rsidP="00BE2568">
      <w:pPr>
        <w:autoSpaceDE w:val="0"/>
        <w:autoSpaceDN w:val="0"/>
        <w:adjustRightInd w:val="0"/>
        <w:ind w:left="3600"/>
        <w:rPr>
          <w:szCs w:val="24"/>
        </w:rPr>
      </w:pPr>
      <w:r>
        <w:rPr>
          <w:szCs w:val="24"/>
        </w:rPr>
        <w:t xml:space="preserve">Telephone [O’Brien]: </w:t>
      </w:r>
      <w:r w:rsidRPr="00B379B2">
        <w:rPr>
          <w:szCs w:val="24"/>
        </w:rPr>
        <w:t>(614) 466-9531</w:t>
      </w:r>
    </w:p>
    <w:p w:rsidR="00A044B5" w:rsidP="00BE2568">
      <w:pPr>
        <w:autoSpaceDE w:val="0"/>
        <w:autoSpaceDN w:val="0"/>
        <w:adjustRightInd w:val="0"/>
        <w:ind w:left="3600"/>
        <w:rPr>
          <w:szCs w:val="24"/>
        </w:rPr>
      </w:pPr>
      <w:r>
        <w:rPr>
          <w:szCs w:val="24"/>
        </w:rPr>
        <w:t>Telephone [McKenney]: (614) 466-9585</w:t>
      </w:r>
    </w:p>
    <w:p w:rsidR="00B379B2"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"mailto:Angela.obrien@occ.ohio.gov" </w:instrText>
      </w:r>
      <w:r>
        <w:fldChar w:fldCharType="separate"/>
      </w:r>
      <w:r w:rsidRPr="00BC7DE7">
        <w:rPr>
          <w:rStyle w:val="Hyperlink"/>
          <w:szCs w:val="24"/>
        </w:rPr>
        <w:t>Angela.obrien@occ.ohio.gov</w:t>
      </w:r>
      <w:r>
        <w:fldChar w:fldCharType="end"/>
      </w:r>
      <w:r>
        <w:rPr>
          <w:szCs w:val="24"/>
        </w:rPr>
        <w:t xml:space="preserve"> </w:t>
      </w:r>
    </w:p>
    <w:p w:rsidR="00B15B34"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"mailto:Bryce.mckenney@occ.ohio.gov" </w:instrText>
      </w:r>
      <w:r>
        <w:fldChar w:fldCharType="separate"/>
      </w:r>
      <w:r w:rsidRPr="0061109A">
        <w:rPr>
          <w:rStyle w:val="Hyperlink"/>
          <w:szCs w:val="24"/>
        </w:rPr>
        <w:t>Bryce.mckenney@occ.ohio.gov</w:t>
      </w:r>
      <w:r>
        <w:fldChar w:fldCharType="end"/>
      </w:r>
    </w:p>
    <w:p w:rsidR="00A044B5" w:rsidRPr="00A037BB" w:rsidP="00A037BB">
      <w:pPr>
        <w:ind w:left="3600"/>
        <w:rPr>
          <w:szCs w:val="24"/>
        </w:rPr>
      </w:pPr>
      <w:r>
        <w:rPr>
          <w:szCs w:val="24"/>
        </w:rPr>
        <w:t>(Will accept service via email)</w:t>
      </w:r>
    </w:p>
    <w:p w:rsidR="005042D6">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w:t>
            </w:r>
            <w:r w:rsidRPr="00B65A3A">
              <w:rPr>
                <w:rFonts w:ascii="Times New Roman" w:eastAsia="Courier New" w:hAnsi="Times New Roman" w:cs="Times New Roman"/>
                <w:sz w:val="24"/>
                <w:szCs w:val="24"/>
                <w:lang w:val="en-US" w:eastAsia="en-US" w:bidi="ar-SA"/>
              </w:rPr>
              <w:t xml:space="preserve">Application of </w:t>
            </w:r>
            <w:r>
              <w:rPr>
                <w:rFonts w:ascii="Times New Roman" w:eastAsia="Courier New" w:hAnsi="Times New Roman" w:cs="Times New Roman"/>
                <w:sz w:val="24"/>
                <w:szCs w:val="24"/>
                <w:lang w:val="en-US" w:eastAsia="en-US" w:bidi="ar-SA"/>
              </w:rPr>
              <w:t>Vectren Energy Delivery of Ohio, Inc.</w:t>
            </w:r>
            <w:r w:rsidRPr="00B65A3A">
              <w:rPr>
                <w:rFonts w:ascii="Times New Roman" w:eastAsia="Courier New" w:hAnsi="Times New Roman" w:cs="Times New Roman"/>
                <w:sz w:val="24"/>
                <w:szCs w:val="24"/>
                <w:lang w:val="en-US" w:eastAsia="en-US" w:bidi="ar-SA"/>
              </w:rPr>
              <w:t xml:space="preserve"> </w:t>
            </w:r>
            <w:r>
              <w:rPr>
                <w:rFonts w:ascii="Times New Roman" w:eastAsia="Courier New" w:hAnsi="Times New Roman" w:cs="Times New Roman"/>
                <w:sz w:val="24"/>
                <w:szCs w:val="24"/>
                <w:lang w:val="en-US" w:eastAsia="en-US" w:bidi="ar-SA"/>
              </w:rPr>
              <w:t>for Authority to Adjust Its Distribution Replacement Rider Charges.</w:t>
            </w:r>
          </w:p>
          <w:p w:rsidR="00B379B2" w:rsidRPr="00A044B5" w:rsidP="00B379B2">
            <w:pPr>
              <w:autoSpaceDE w:val="0"/>
              <w:autoSpaceDN w:val="0"/>
              <w:adjustRightInd w:val="0"/>
              <w:rPr>
                <w:rStyle w:val="DefaultParagraphFont"/>
                <w:sz w:val="24"/>
                <w:szCs w:val="24"/>
                <w:lang w:val="en-US" w:eastAsia="en-US" w:bidi="ar-SA"/>
              </w:rPr>
            </w:pPr>
          </w:p>
        </w:tc>
        <w:tc>
          <w:tcPr>
            <w:tcW w:w="36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19-1011</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GA</w:t>
            </w:r>
            <w:r w:rsidRPr="00B65A3A">
              <w:rPr>
                <w:rFonts w:ascii="Times New Roman" w:eastAsia="Courier New" w:hAnsi="Times New Roman" w:cs="Times New Roman"/>
                <w:sz w:val="24"/>
                <w:szCs w:val="24"/>
                <w:lang w:val="en-US" w:eastAsia="en-US" w:bidi="ar-SA"/>
              </w:rPr>
              <w:t>-RDR</w:t>
            </w:r>
            <w:r w:rsidRPr="00A044B5">
              <w:rPr>
                <w:rFonts w:ascii="Times New Roman" w:eastAsia="Courier New" w:hAnsi="Times New Roman" w:cs="Courier New"/>
                <w:sz w:val="24"/>
                <w:lang w:val="en-US" w:eastAsia="en-US" w:bidi="ar-SA"/>
              </w:rPr>
              <w:t xml:space="preserve"> </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pPr>
        <w:pStyle w:val="BodyTextIndent3"/>
        <w:widowControl w:val="0"/>
        <w:spacing w:line="480" w:lineRule="auto"/>
        <w:ind w:right="-24"/>
      </w:pPr>
      <w:r>
        <w:t>Vectren’s Application proposes to charge residential customers over $6.4 million ($1.81 per residential customer per month) for pipeline replacement costs that it incurred in 2018 through the Distribution Replacement Rider (“DRR”).</w:t>
      </w:r>
      <w:r>
        <w:rPr>
          <w:rStyle w:val="FootnoteReference"/>
        </w:rPr>
        <w:footnoteReference w:id="3"/>
      </w:r>
      <w:r>
        <w:t xml:space="preserve">  Meanwhile, in Case No. 18-298-GA-AIR, </w:t>
      </w:r>
      <w:r>
        <w:rPr>
          <w:i/>
        </w:rPr>
        <w:t>et al.</w:t>
      </w:r>
      <w:r>
        <w:t>, Vectren, PUCO Staff, and other parties submitted a settlement that would, among other things, charge customers the balance of Vectren’s DRR as of December 31, 2017 through its base rates.</w:t>
      </w:r>
      <w:r>
        <w:rPr>
          <w:rStyle w:val="FootnoteReference"/>
        </w:rPr>
        <w:footnoteReference w:id="4"/>
      </w:r>
      <w:r>
        <w:t xml:space="preserve">  PUCO approval of that settlement is pending.  </w:t>
      </w:r>
      <w:r>
        <w:rPr>
          <w:szCs w:val="24"/>
        </w:rPr>
        <w:t xml:space="preserve">OCC has authority under law to represent </w:t>
      </w:r>
      <w:r>
        <w:t>the interests of Vectren’s 297,000 residential utility customers, pursuant to R.C. Chapter 4911.</w:t>
      </w:r>
      <w:r>
        <w:rPr>
          <w:szCs w:val="24"/>
        </w:rPr>
        <w:t xml:space="preserve"> </w:t>
      </w:r>
      <w:r>
        <w:t xml:space="preserve">  </w:t>
      </w:r>
    </w:p>
    <w:p w:rsidR="00A044B5">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Vectren’s residential customers in Ohio may be “adversely affected” by this case, especially if those customers were unrepresented in a proceeding where the PUCO is determining the rates Vectren will charge customers for pipeline replacement costs over the next year.  Thus, this element of the intervention standard in R.C. 4903.221 is satisfied. </w:t>
      </w:r>
    </w:p>
    <w:p w:rsidR="00A044B5">
      <w:pPr>
        <w:spacing w:line="480" w:lineRule="auto"/>
        <w:ind w:firstLine="720"/>
        <w:rPr>
          <w:szCs w:val="24"/>
        </w:rPr>
      </w:pPr>
      <w:r>
        <w:rPr>
          <w:szCs w:val="24"/>
        </w:rPr>
        <w:t>R.C. 4903.221(B) requires the PUCO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B379B2" w:rsidP="00B379B2">
      <w:pPr>
        <w:spacing w:before="240"/>
        <w:ind w:left="2160" w:right="720" w:hanging="720"/>
        <w:rPr>
          <w:szCs w:val="24"/>
        </w:rPr>
      </w:pPr>
      <w:r>
        <w:rPr>
          <w:szCs w:val="24"/>
        </w:rPr>
        <w:t>(3)</w:t>
      </w:r>
      <w:r>
        <w:rPr>
          <w:szCs w:val="24"/>
        </w:rPr>
        <w:tab/>
        <w:t>Whether the intervention by the prospective intervenor will unduly prolong or delay the proceedings;</w:t>
      </w:r>
    </w:p>
    <w:p w:rsidR="00A044B5" w:rsidP="00B379B2">
      <w:pPr>
        <w:spacing w:before="240"/>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753BBB" w:rsidP="005042D6">
      <w:pPr>
        <w:pStyle w:val="BodyTextIndent3"/>
        <w:spacing w:line="240" w:lineRule="auto"/>
      </w:pPr>
    </w:p>
    <w:p w:rsidR="00A044B5">
      <w:pPr>
        <w:pStyle w:val="BodyTextIndent3"/>
        <w:spacing w:line="480" w:lineRule="auto"/>
        <w:rPr>
          <w:szCs w:val="24"/>
        </w:rPr>
      </w:pPr>
      <w:r>
        <w:t xml:space="preserve">First, the nature and extent of OCC’s interest is representing Vectren’s residential customers </w:t>
      </w:r>
      <w:r>
        <w:rPr>
          <w:szCs w:val="24"/>
        </w:rPr>
        <w:t>in this case where Vectren will be setting the rates customers will pay over the next year for pipeline replacement costs Vectren incurred in 2018.  This interest is different from that of any other party, and especially different from that of the utility whose advocacy includes the financial interest of stockholders.</w:t>
      </w:r>
    </w:p>
    <w:p w:rsidR="00A044B5">
      <w:pPr>
        <w:pStyle w:val="Footer"/>
        <w:tabs>
          <w:tab w:val="clear" w:pos="4320"/>
          <w:tab w:val="clear" w:pos="8640"/>
        </w:tabs>
        <w:spacing w:line="480" w:lineRule="auto"/>
        <w:ind w:firstLine="720"/>
        <w:rPr>
          <w:sz w:val="24"/>
          <w:szCs w:val="24"/>
        </w:rPr>
      </w:pPr>
      <w:r>
        <w:rPr>
          <w:sz w:val="24"/>
          <w:szCs w:val="24"/>
        </w:rPr>
        <w:t>Second, OCC’s advocacy for residential customers will include advancing the position that rates that customers pay should be no more than what is reasonable and lawful under Ohio law, for service that is adequate under Ohio law.  In this case, OCC seeks to ensure that the rates Vectren charges to customers through the DRR are just, reasonable, and consistent with the PUCO’s ultimate decision</w:t>
      </w:r>
      <w:r w:rsidRPr="00A1018F">
        <w:rPr>
          <w:sz w:val="24"/>
          <w:szCs w:val="24"/>
        </w:rPr>
        <w:t xml:space="preserve"> </w:t>
      </w:r>
      <w:r>
        <w:rPr>
          <w:sz w:val="24"/>
          <w:szCs w:val="24"/>
        </w:rPr>
        <w:t xml:space="preserve">in </w:t>
      </w:r>
      <w:r w:rsidRPr="00A1018F">
        <w:rPr>
          <w:sz w:val="24"/>
          <w:szCs w:val="24"/>
        </w:rPr>
        <w:t xml:space="preserve">Case No. 18-298-GA-AIR, </w:t>
      </w:r>
      <w:r w:rsidRPr="00A1018F">
        <w:rPr>
          <w:i/>
          <w:sz w:val="24"/>
          <w:szCs w:val="24"/>
        </w:rPr>
        <w:t>et al.</w:t>
      </w:r>
      <w:r>
        <w:rPr>
          <w:sz w:val="24"/>
          <w:szCs w:val="24"/>
        </w:rPr>
        <w:t xml:space="preserve">  OCC’s position is therefore directly related to the merits of this case pending before the PUCO, the authority with regulatory control of public utilities’ rates and service quality in Ohio. </w:t>
      </w:r>
    </w:p>
    <w:p w:rsidR="008C2783">
      <w:pPr>
        <w:pStyle w:val="Footer"/>
        <w:tabs>
          <w:tab w:val="clear" w:pos="4320"/>
          <w:tab w:val="clear" w:pos="8640"/>
        </w:tabs>
        <w:spacing w:line="480" w:lineRule="auto"/>
        <w:ind w:firstLine="720"/>
        <w:rPr>
          <w:sz w:val="24"/>
          <w:szCs w:val="24"/>
        </w:rPr>
        <w:sectPr w:rsidSect="008C2783">
          <w:headerReference w:type="default" r:id="rId11"/>
          <w:headerReference w:type="first" r:id="rId12"/>
          <w:footerReference w:type="first" r:id="rId13"/>
          <w:pgSz w:w="12240" w:h="15840"/>
          <w:pgMar w:top="1440" w:right="1800" w:bottom="1440" w:left="1800" w:header="720" w:footer="720" w:gutter="0"/>
          <w:pgNumType w:start="1"/>
          <w:cols w:space="720"/>
          <w:titlePg/>
          <w:docGrid w:linePitch="65"/>
        </w:sectPr>
      </w:pPr>
    </w:p>
    <w:p w:rsidR="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to equitably and lawfully decide the case in the public interest. </w:t>
      </w:r>
    </w:p>
    <w:p w:rsidR="00A044B5" w:rsidP="000F537E">
      <w:pPr>
        <w:pStyle w:val="WW-BodyTextIndent3"/>
        <w:spacing w:line="480" w:lineRule="auto"/>
        <w:ind w:right="-29"/>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that involves setting the appropriate pipeline replacement rates that customers will pay over the next year.  </w:t>
      </w:r>
    </w:p>
    <w:p w:rsidR="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A044B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C60092">
      <w:pPr>
        <w:pStyle w:val="BodyTextIndent3"/>
        <w:widowControl w:val="0"/>
        <w:spacing w:line="480" w:lineRule="auto"/>
        <w:ind w:right="-24"/>
        <w:rPr>
          <w:szCs w:val="24"/>
        </w:rPr>
        <w:sectPr w:rsidSect="008C2783">
          <w:pgSz w:w="12240" w:h="15840"/>
          <w:pgMar w:top="1440" w:right="1800" w:bottom="1440" w:left="1800" w:header="720" w:footer="720" w:gutter="0"/>
          <w:cols w:space="720"/>
          <w:titlePg/>
          <w:docGrid w:linePitch="65"/>
        </w:sectPr>
      </w:pPr>
    </w:p>
    <w:p w:rsidR="00A044B5" w:rsidP="005042D6">
      <w:pPr>
        <w:spacing w:line="480" w:lineRule="auto"/>
        <w:ind w:firstLine="720"/>
      </w:pPr>
      <w: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5"/>
      </w:r>
      <w:r>
        <w:t xml:space="preserve">  </w:t>
      </w:r>
    </w:p>
    <w:p w:rsidR="004535A2">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BE2568" w:rsidP="00BE2568">
      <w:pPr>
        <w:pStyle w:val="BodyTextIndent3"/>
        <w:widowControl w:val="0"/>
        <w:ind w:left="3600" w:right="-672" w:firstLine="0"/>
        <w:rPr>
          <w:szCs w:val="24"/>
        </w:rPr>
      </w:pPr>
      <w:r>
        <w:rPr>
          <w:szCs w:val="24"/>
        </w:rPr>
        <w:t>Respectfully submitted,</w:t>
      </w:r>
    </w:p>
    <w:p w:rsidR="00BE2568" w:rsidP="00BE2568">
      <w:pPr>
        <w:pStyle w:val="Footer"/>
        <w:tabs>
          <w:tab w:val="left" w:pos="4320"/>
          <w:tab w:val="clear" w:pos="8640"/>
        </w:tabs>
        <w:spacing w:before="240"/>
        <w:ind w:left="3600"/>
        <w:rPr>
          <w:sz w:val="24"/>
          <w:szCs w:val="24"/>
        </w:rPr>
      </w:pPr>
      <w:r>
        <w:rPr>
          <w:sz w:val="24"/>
          <w:szCs w:val="24"/>
        </w:rPr>
        <w:t>Bruce Weston (0016973)</w:t>
      </w:r>
    </w:p>
    <w:p w:rsidR="00BE2568" w:rsidP="00BE2568">
      <w:pPr>
        <w:tabs>
          <w:tab w:val="left" w:pos="4320"/>
        </w:tabs>
        <w:ind w:left="3600"/>
        <w:rPr>
          <w:szCs w:val="24"/>
        </w:rPr>
      </w:pPr>
      <w:r>
        <w:rPr>
          <w:szCs w:val="24"/>
        </w:rPr>
        <w:t>Ohio Consumers’ Counsel</w:t>
      </w:r>
    </w:p>
    <w:p w:rsidR="00A037BB" w:rsidP="00BE2568">
      <w:pPr>
        <w:tabs>
          <w:tab w:val="left" w:pos="4320"/>
        </w:tabs>
        <w:ind w:left="3600"/>
        <w:rPr>
          <w:szCs w:val="24"/>
        </w:rPr>
      </w:pPr>
    </w:p>
    <w:p w:rsidR="00B379B2" w:rsidRPr="004535A2" w:rsidP="00B379B2">
      <w:pPr>
        <w:tabs>
          <w:tab w:val="left" w:pos="4320"/>
        </w:tabs>
        <w:ind w:left="3600"/>
        <w:rPr>
          <w:i/>
          <w:szCs w:val="24"/>
          <w:u w:val="single"/>
        </w:rPr>
      </w:pPr>
      <w:r>
        <w:rPr>
          <w:i/>
          <w:szCs w:val="24"/>
          <w:u w:val="single"/>
        </w:rPr>
        <w:t>/s/ Angela O’Brien</w:t>
      </w:r>
      <w:r>
        <w:rPr>
          <w:i/>
          <w:szCs w:val="24"/>
          <w:u w:val="single"/>
        </w:rPr>
        <w:tab/>
      </w:r>
      <w:r>
        <w:rPr>
          <w:i/>
          <w:szCs w:val="24"/>
          <w:u w:val="single"/>
        </w:rPr>
        <w:tab/>
      </w:r>
      <w:r>
        <w:rPr>
          <w:i/>
          <w:szCs w:val="24"/>
          <w:u w:val="single"/>
        </w:rPr>
        <w:tab/>
      </w:r>
    </w:p>
    <w:p w:rsidR="00B379B2" w:rsidP="00B379B2">
      <w:pPr>
        <w:tabs>
          <w:tab w:val="left" w:pos="4320"/>
        </w:tabs>
        <w:ind w:left="3600"/>
        <w:rPr>
          <w:sz w:val="28"/>
          <w:szCs w:val="28"/>
        </w:rPr>
      </w:pPr>
      <w:r>
        <w:rPr>
          <w:szCs w:val="24"/>
        </w:rPr>
        <w:t>Angela O’Brien (</w:t>
      </w:r>
      <w:r w:rsidRPr="00B379B2">
        <w:rPr>
          <w:szCs w:val="24"/>
        </w:rPr>
        <w:t>0097579)</w:t>
      </w:r>
      <w:r>
        <w:rPr>
          <w:sz w:val="28"/>
          <w:szCs w:val="28"/>
        </w:rPr>
        <w:t xml:space="preserve"> </w:t>
      </w:r>
    </w:p>
    <w:p w:rsidR="00B379B2" w:rsidP="00B379B2">
      <w:pPr>
        <w:tabs>
          <w:tab w:val="left" w:pos="4320"/>
        </w:tabs>
        <w:ind w:left="3600"/>
        <w:rPr>
          <w:szCs w:val="24"/>
        </w:rPr>
      </w:pPr>
      <w:r>
        <w:rPr>
          <w:szCs w:val="24"/>
        </w:rPr>
        <w:t>Counsel of Record</w:t>
      </w:r>
    </w:p>
    <w:p w:rsidR="00B379B2" w:rsidP="00B379B2">
      <w:pPr>
        <w:tabs>
          <w:tab w:val="left" w:pos="4320"/>
        </w:tabs>
        <w:ind w:left="3600"/>
        <w:rPr>
          <w:szCs w:val="24"/>
        </w:rPr>
      </w:pPr>
      <w:r>
        <w:rPr>
          <w:szCs w:val="24"/>
        </w:rPr>
        <w:t>Bryce McKenney (0088203)</w:t>
      </w:r>
    </w:p>
    <w:p w:rsidR="00B379B2" w:rsidP="00B379B2">
      <w:pPr>
        <w:tabs>
          <w:tab w:val="left" w:pos="4320"/>
        </w:tabs>
        <w:ind w:left="3600"/>
        <w:rPr>
          <w:szCs w:val="24"/>
        </w:rPr>
      </w:pPr>
      <w:r>
        <w:rPr>
          <w:szCs w:val="24"/>
        </w:rPr>
        <w:t>Assistant Consumers’ Counsel</w:t>
      </w:r>
    </w:p>
    <w:p w:rsidR="00B379B2" w:rsidP="00B379B2">
      <w:pPr>
        <w:pStyle w:val="Heading1"/>
        <w:spacing w:before="120"/>
        <w:ind w:left="3600" w:right="-648"/>
        <w:rPr>
          <w:u w:val="none"/>
        </w:rPr>
      </w:pPr>
      <w:r>
        <w:rPr>
          <w:u w:val="none"/>
        </w:rPr>
        <w:t>Office of the Ohio Consumers’ Counsel</w:t>
      </w:r>
    </w:p>
    <w:p w:rsidR="00B379B2" w:rsidP="00B379B2">
      <w:pPr>
        <w:pStyle w:val="Heading1"/>
        <w:ind w:left="3600" w:right="-648"/>
        <w:rPr>
          <w:b w:val="0"/>
          <w:u w:val="none"/>
        </w:rPr>
      </w:pPr>
      <w:r>
        <w:rPr>
          <w:b w:val="0"/>
          <w:u w:val="none"/>
        </w:rPr>
        <w:t>65 East State Street, 7</w:t>
      </w:r>
      <w:r w:rsidRPr="00476981">
        <w:rPr>
          <w:b w:val="0"/>
          <w:u w:val="none"/>
          <w:vertAlign w:val="superscript"/>
        </w:rPr>
        <w:t>th</w:t>
      </w:r>
      <w:r>
        <w:rPr>
          <w:b w:val="0"/>
          <w:u w:val="none"/>
        </w:rPr>
        <w:t xml:space="preserve"> Floor</w:t>
      </w:r>
    </w:p>
    <w:p w:rsidR="00B379B2" w:rsidP="00B379B2">
      <w:pPr>
        <w:pStyle w:val="Heading1"/>
        <w:ind w:left="3600" w:right="-648"/>
        <w:rPr>
          <w:b w:val="0"/>
          <w:u w:val="none"/>
        </w:rPr>
      </w:pPr>
      <w:r>
        <w:rPr>
          <w:b w:val="0"/>
          <w:u w:val="none"/>
        </w:rPr>
        <w:t>Columbus, Ohio 43215-4213</w:t>
      </w:r>
    </w:p>
    <w:p w:rsidR="00B379B2" w:rsidP="00B379B2">
      <w:pPr>
        <w:autoSpaceDE w:val="0"/>
        <w:autoSpaceDN w:val="0"/>
        <w:adjustRightInd w:val="0"/>
        <w:ind w:left="3600"/>
        <w:rPr>
          <w:szCs w:val="24"/>
        </w:rPr>
      </w:pPr>
      <w:r>
        <w:rPr>
          <w:szCs w:val="24"/>
        </w:rPr>
        <w:t xml:space="preserve">Telephone [O’Brien]: </w:t>
      </w:r>
      <w:r w:rsidRPr="00B379B2">
        <w:rPr>
          <w:szCs w:val="24"/>
        </w:rPr>
        <w:t>(614) 466-9531</w:t>
      </w:r>
    </w:p>
    <w:p w:rsidR="00B379B2" w:rsidP="00B379B2">
      <w:pPr>
        <w:autoSpaceDE w:val="0"/>
        <w:autoSpaceDN w:val="0"/>
        <w:adjustRightInd w:val="0"/>
        <w:ind w:left="3600"/>
        <w:rPr>
          <w:szCs w:val="24"/>
        </w:rPr>
      </w:pPr>
      <w:r>
        <w:rPr>
          <w:szCs w:val="24"/>
        </w:rPr>
        <w:t>Telephone [McKenney]: (614) 466-9585</w:t>
      </w:r>
    </w:p>
    <w:p w:rsidR="00B379B2"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"mailto:Angela.obrien@occ.ohio.gov" </w:instrText>
      </w:r>
      <w:r>
        <w:fldChar w:fldCharType="separate"/>
      </w:r>
      <w:r w:rsidRPr="00BC7DE7">
        <w:rPr>
          <w:rStyle w:val="Hyperlink"/>
          <w:szCs w:val="24"/>
        </w:rPr>
        <w:t>Angela.obrien@occ.ohio.gov</w:t>
      </w:r>
      <w:r>
        <w:fldChar w:fldCharType="end"/>
      </w:r>
      <w:r>
        <w:rPr>
          <w:szCs w:val="24"/>
        </w:rPr>
        <w:t xml:space="preserve"> </w:t>
      </w:r>
    </w:p>
    <w:p w:rsidR="000F537E"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"mailto:Bryce.mckenney@occ.ohio.gov" </w:instrText>
      </w:r>
      <w:r>
        <w:fldChar w:fldCharType="separate"/>
      </w:r>
      <w:r w:rsidRPr="0061109A">
        <w:rPr>
          <w:rStyle w:val="Hyperlink"/>
          <w:szCs w:val="24"/>
        </w:rPr>
        <w:t>Bryce.mckenney@occ.ohio.gov</w:t>
      </w:r>
      <w:r>
        <w:fldChar w:fldCharType="end"/>
      </w:r>
    </w:p>
    <w:p w:rsidR="00B379B2" w:rsidRPr="00A037BB" w:rsidP="00B379B2">
      <w:pPr>
        <w:ind w:left="3600"/>
        <w:rPr>
          <w:szCs w:val="24"/>
        </w:rPr>
      </w:pPr>
      <w:r>
        <w:rPr>
          <w:szCs w:val="24"/>
        </w:rPr>
        <w:t>(Will accept service via email)</w:t>
      </w:r>
    </w:p>
    <w:p w:rsidR="00A044B5" w:rsidP="00B379B2">
      <w:pPr>
        <w:rPr>
          <w:szCs w:val="24"/>
        </w:rPr>
      </w:pPr>
    </w:p>
    <w:p w:rsidR="00A044B5">
      <w:pPr>
        <w:rPr>
          <w:szCs w:val="24"/>
        </w:rPr>
      </w:pPr>
    </w:p>
    <w:p w:rsidR="00306859" w:rsidP="00306859">
      <w:pPr>
        <w:rPr>
          <w:szCs w:val="24"/>
        </w:rPr>
        <w:sectPr w:rsidSect="008C2783">
          <w:pgSz w:w="12240" w:h="15840"/>
          <w:pgMar w:top="1440" w:right="1800" w:bottom="1440" w:left="1800" w:header="720" w:footer="720" w:gutter="0"/>
          <w:cols w:space="720"/>
          <w:titlePg/>
          <w:docGrid w:linePitch="65"/>
        </w:sectPr>
      </w:pPr>
      <w:r>
        <w:rPr>
          <w:szCs w:val="24"/>
        </w:rPr>
        <w:tab/>
      </w:r>
      <w:r>
        <w:rPr>
          <w:szCs w:val="24"/>
        </w:rPr>
        <w:tab/>
      </w:r>
      <w:r>
        <w:rPr>
          <w:szCs w:val="24"/>
        </w:rPr>
        <w:tab/>
      </w:r>
      <w:r>
        <w:rPr>
          <w:szCs w:val="24"/>
        </w:rPr>
        <w:tab/>
      </w:r>
      <w:r>
        <w:rPr>
          <w:szCs w:val="24"/>
        </w:rPr>
        <w:tab/>
      </w:r>
      <w:r>
        <w:rPr>
          <w:szCs w:val="24"/>
        </w:rPr>
        <w:tab/>
      </w:r>
    </w:p>
    <w:p w:rsidR="00A044B5" w:rsidP="00306859">
      <w:pPr>
        <w:jc w:val="center"/>
        <w:rPr>
          <w:b/>
          <w:bCs/>
          <w:u w:val="single"/>
        </w:rPr>
      </w:pPr>
      <w:r>
        <w:rPr>
          <w:b/>
          <w:bCs/>
          <w:u w:val="single"/>
        </w:rPr>
        <w:t>CERTIFICATE OF SERVICE</w:t>
      </w:r>
    </w:p>
    <w:p w:rsidR="00A044B5" w:rsidP="004535A2">
      <w:pPr>
        <w:spacing w:line="480" w:lineRule="atLeast"/>
        <w:ind w:firstLine="720"/>
      </w:pPr>
      <w:r>
        <w:t xml:space="preserve">I hereby certify that a copy of this </w:t>
      </w:r>
      <w:r w:rsidRPr="0049109A">
        <w:t>Motion to Intervene</w:t>
      </w:r>
      <w:r>
        <w:t xml:space="preserve"> was served on the persons stated below </w:t>
      </w:r>
      <w:r w:rsidRPr="0049109A">
        <w:t>via</w:t>
      </w:r>
      <w:r>
        <w:t xml:space="preserve"> electronic transmission, this 11th day of June 2019.</w:t>
      </w:r>
    </w:p>
    <w:p w:rsidR="00A044B5">
      <w:pPr>
        <w:spacing w:line="480" w:lineRule="atLeast"/>
      </w:pPr>
    </w:p>
    <w:p w:rsidR="00B379B2">
      <w:pPr>
        <w:tabs>
          <w:tab w:val="left" w:pos="4320"/>
        </w:tabs>
        <w:rPr>
          <w:i/>
          <w:u w:val="single"/>
        </w:rPr>
      </w:pPr>
      <w:r>
        <w:tab/>
      </w:r>
      <w:r w:rsidRPr="004535A2">
        <w:rPr>
          <w:u w:val="single"/>
        </w:rPr>
        <w:t xml:space="preserve">/s/ </w:t>
      </w:r>
      <w:r>
        <w:rPr>
          <w:i/>
          <w:u w:val="single"/>
        </w:rPr>
        <w:t>Angela O’Brien</w:t>
      </w:r>
    </w:p>
    <w:p w:rsidR="00A044B5">
      <w:pPr>
        <w:tabs>
          <w:tab w:val="left" w:pos="4320"/>
        </w:tabs>
      </w:pPr>
      <w:r>
        <w:tab/>
        <w:t>Angela O’Brien</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91434C">
      <w:pPr>
        <w:pStyle w:val="CommentText"/>
        <w:jc w:val="center"/>
        <w:rPr>
          <w:b/>
          <w:u w:val="single"/>
        </w:rPr>
      </w:pPr>
    </w:p>
    <w:p w:rsidR="0091434C">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5042D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91434C">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F175FD" w:rsidR="00C44E93">
              <w:rPr>
                <w:rStyle w:val="Hyperlink"/>
                <w:bCs/>
                <w:color w:val="0000FF"/>
                <w:sz w:val="24"/>
                <w:u w:val="single"/>
                <w:lang w:val="en-US" w:eastAsia="en-US" w:bidi="ar-SA"/>
              </w:rPr>
              <w:t>John.jones@ohioattorneygeneral.gov</w:t>
            </w:r>
            <w:r>
              <w:fldChar w:fldCharType="end"/>
            </w:r>
          </w:p>
          <w:p w:rsidR="007A0716">
            <w:pPr>
              <w:pStyle w:val="BodyText"/>
              <w:jc w:val="both"/>
              <w:rPr>
                <w:rStyle w:val="DefaultParagraphFont"/>
                <w:bCs/>
                <w:sz w:val="24"/>
                <w:lang w:val="en-US" w:eastAsia="en-US" w:bidi="ar-SA"/>
              </w:rPr>
            </w:pPr>
          </w:p>
          <w:p w:rsidR="007A0716">
            <w:pPr>
              <w:pStyle w:val="BodyText"/>
              <w:jc w:val="both"/>
              <w:rPr>
                <w:rStyle w:val="DefaultParagraphFont"/>
                <w:bCs/>
                <w:sz w:val="24"/>
                <w:lang w:val="en-US" w:eastAsia="en-US" w:bidi="ar-SA"/>
              </w:rPr>
            </w:pPr>
            <w:r>
              <w:rPr>
                <w:bCs/>
                <w:sz w:val="24"/>
                <w:lang w:val="en-US" w:eastAsia="en-US" w:bidi="ar-SA"/>
              </w:rPr>
              <w:t>Attorney Examiner:</w:t>
            </w:r>
          </w:p>
          <w:p w:rsidR="007A0716">
            <w:pPr>
              <w:pStyle w:val="BodyText"/>
              <w:jc w:val="both"/>
              <w:rPr>
                <w:rStyle w:val="DefaultParagraphFont"/>
                <w:bCs/>
                <w:sz w:val="24"/>
                <w:lang w:val="en-US" w:eastAsia="en-US" w:bidi="ar-SA"/>
              </w:rPr>
            </w:pPr>
          </w:p>
          <w:p w:rsidR="007A0716">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"mailto:Patricia.schabo@puco.ohio.gov" </w:instrText>
            </w:r>
            <w:r>
              <w:fldChar w:fldCharType="separate"/>
            </w:r>
            <w:r w:rsidRPr="00F175FD" w:rsidR="00C44E93">
              <w:rPr>
                <w:rStyle w:val="Hyperlink"/>
                <w:bCs/>
                <w:color w:val="0000FF"/>
                <w:sz w:val="24"/>
                <w:u w:val="single"/>
                <w:lang w:val="en-US" w:eastAsia="en-US" w:bidi="ar-SA"/>
              </w:rPr>
              <w:t>Patricia.schabo@puco.ohio.gov</w:t>
            </w:r>
            <w:r>
              <w:fldChar w:fldCharType="end"/>
            </w:r>
          </w:p>
          <w:p w:rsidR="007A0716" w:rsidRPr="0091434C">
            <w:pPr>
              <w:pStyle w:val="BodyText"/>
              <w:jc w:val="both"/>
              <w:rPr>
                <w:rStyle w:val="DefaultParagraphFont"/>
                <w:bCs/>
                <w:sz w:val="24"/>
                <w:lang w:val="en-US" w:eastAsia="en-US" w:bidi="ar-SA"/>
              </w:rPr>
            </w:pPr>
          </w:p>
        </w:tc>
        <w:tc>
          <w:tcPr>
            <w:tcW w:w="4315" w:type="dxa"/>
          </w:tcPr>
          <w:p w:rsidR="0091434C">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F175FD" w:rsidR="00C44E93">
              <w:rPr>
                <w:rStyle w:val="Hyperlink"/>
                <w:bCs/>
                <w:color w:val="0000FF"/>
                <w:sz w:val="24"/>
                <w:u w:val="single"/>
                <w:lang w:val="en-US" w:eastAsia="en-US" w:bidi="ar-SA"/>
              </w:rPr>
              <w:t>Whitt@whitt-sturtevant.com</w:t>
            </w:r>
            <w:r>
              <w:fldChar w:fldCharType="end"/>
            </w:r>
          </w:p>
          <w:p w:rsidR="007A0716">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"mailto:kennedy@whitt-sturtevant.com" </w:instrText>
            </w:r>
            <w:r>
              <w:fldChar w:fldCharType="separate"/>
            </w:r>
            <w:r w:rsidRPr="00F175FD" w:rsidR="00C44E93">
              <w:rPr>
                <w:rStyle w:val="Hyperlink"/>
                <w:bCs/>
                <w:color w:val="0000FF"/>
                <w:sz w:val="24"/>
                <w:u w:val="single"/>
                <w:lang w:val="en-US" w:eastAsia="en-US" w:bidi="ar-SA"/>
              </w:rPr>
              <w:t>kennedy@whitt-sturtevant.com</w:t>
            </w:r>
            <w:r>
              <w:fldChar w:fldCharType="end"/>
            </w:r>
          </w:p>
          <w:p w:rsidR="007A0716">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"mailto:glover@whitt-sturtevant.com" </w:instrText>
            </w:r>
            <w:r>
              <w:fldChar w:fldCharType="separate"/>
            </w:r>
            <w:r w:rsidRPr="00F175FD" w:rsidR="00C44E93">
              <w:rPr>
                <w:rStyle w:val="Hyperlink"/>
                <w:bCs/>
                <w:color w:val="0000FF"/>
                <w:sz w:val="24"/>
                <w:u w:val="single"/>
                <w:lang w:val="en-US" w:eastAsia="en-US" w:bidi="ar-SA"/>
              </w:rPr>
              <w:t>glover@whitt-sturtevant.com</w:t>
            </w:r>
            <w:r>
              <w:fldChar w:fldCharType="end"/>
            </w:r>
          </w:p>
          <w:p w:rsidR="007A0716" w:rsidRPr="0091434C">
            <w:pPr>
              <w:pStyle w:val="BodyText"/>
              <w:jc w:val="both"/>
              <w:rPr>
                <w:rStyle w:val="DefaultParagraphFont"/>
                <w:bCs/>
                <w:sz w:val="24"/>
                <w:lang w:val="en-US" w:eastAsia="en-US" w:bidi="ar-SA"/>
              </w:rPr>
            </w:pPr>
          </w:p>
        </w:tc>
      </w:tr>
    </w:tbl>
    <w:p w:rsidR="00A044B5">
      <w:pPr>
        <w:pStyle w:val="BodyText"/>
        <w:rPr>
          <w:b/>
          <w:bCs/>
        </w:rPr>
      </w:pPr>
    </w:p>
    <w:sectPr w:rsidSect="00C60092">
      <w:footerReference w:type="first" r:id="rId14"/>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5618376"/>
      <w:docPartObj>
        <w:docPartGallery w:val="Page Numbers (Bottom of Page)"/>
        <w:docPartUnique/>
      </w:docPartObj>
    </w:sdtPr>
    <w:sdtEndPr>
      <w:rPr>
        <w:noProof/>
        <w:sz w:val="24"/>
        <w:szCs w:val="24"/>
      </w:rPr>
    </w:sdtEndPr>
    <w:sdtContent>
      <w:p w:rsidR="00A23C37" w:rsidRPr="00A23C37">
        <w:pPr>
          <w:pStyle w:val="Footer"/>
          <w:jc w:val="center"/>
          <w:rPr>
            <w:sz w:val="24"/>
            <w:szCs w:val="24"/>
          </w:rPr>
        </w:pPr>
        <w:r>
          <w:rPr>
            <w:sz w:val="24"/>
            <w:szCs w:val="24"/>
          </w:rPr>
          <w:t>2</w:t>
        </w:r>
      </w:p>
    </w:sdtContent>
  </w:sdt>
  <w:p w:rsidR="00504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9469457"/>
      <w:docPartObj>
        <w:docPartGallery w:val="Page Numbers (Bottom of Page)"/>
        <w:docPartUnique/>
      </w:docPartObj>
    </w:sdtPr>
    <w:sdtEndPr>
      <w:rPr>
        <w:noProof/>
        <w:sz w:val="24"/>
        <w:szCs w:val="24"/>
      </w:rPr>
    </w:sdtEndPr>
    <w:sdtContent>
      <w:p w:rsidR="00C60092" w:rsidRPr="00BC6D13">
        <w:pPr>
          <w:pStyle w:val="Footer"/>
          <w:jc w:val="center"/>
          <w:rPr>
            <w:sz w:val="24"/>
            <w:szCs w:val="24"/>
          </w:rPr>
        </w:pPr>
        <w:r w:rsidRPr="00BC6D13">
          <w:rPr>
            <w:sz w:val="24"/>
            <w:szCs w:val="24"/>
          </w:rPr>
          <w:fldChar w:fldCharType="begin"/>
        </w:r>
        <w:r w:rsidRPr="00BC6D13">
          <w:rPr>
            <w:sz w:val="24"/>
            <w:szCs w:val="24"/>
          </w:rPr>
          <w:instrText xml:space="preserve"> PAGE   \* MERGEFORMAT </w:instrText>
        </w:r>
        <w:r w:rsidRPr="00BC6D13">
          <w:rPr>
            <w:sz w:val="24"/>
            <w:szCs w:val="24"/>
          </w:rPr>
          <w:fldChar w:fldCharType="separate"/>
        </w:r>
        <w:r w:rsidRPr="00BC6D13">
          <w:rPr>
            <w:noProof/>
            <w:sz w:val="24"/>
            <w:szCs w:val="24"/>
          </w:rPr>
          <w:t>2</w:t>
        </w:r>
        <w:r w:rsidRPr="00BC6D13">
          <w:rPr>
            <w:noProof/>
            <w:sz w:val="24"/>
            <w:szCs w:val="24"/>
          </w:rPr>
          <w:fldChar w:fldCharType="end"/>
        </w:r>
      </w:p>
    </w:sdtContent>
  </w:sdt>
  <w:p w:rsidR="00306859" w:rsidRPr="008C2783" w:rsidP="00A23C37">
    <w:pPr>
      <w:pStyle w:val="Foo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23408"/>
      <w:docPartObj>
        <w:docPartGallery w:val="Page Numbers (Bottom of Page)"/>
        <w:docPartUnique/>
      </w:docPartObj>
    </w:sdtPr>
    <w:sdtEndPr>
      <w:rPr>
        <w:noProof/>
      </w:rPr>
    </w:sdtEndPr>
    <w:sdtContent>
      <w:p w:rsidR="00C60092">
        <w:pPr>
          <w:pStyle w:val="Footer"/>
          <w:jc w:val="center"/>
        </w:pPr>
        <w:r w:rsidRPr="00C60092">
          <w:rPr>
            <w:sz w:val="24"/>
            <w:szCs w:val="24"/>
          </w:rPr>
          <w:fldChar w:fldCharType="begin"/>
        </w:r>
        <w:r w:rsidRPr="00C60092">
          <w:rPr>
            <w:sz w:val="24"/>
            <w:szCs w:val="24"/>
          </w:rPr>
          <w:instrText xml:space="preserve"> PAGE   \* MERGEFORMAT </w:instrText>
        </w:r>
        <w:r w:rsidRPr="00C60092">
          <w:rPr>
            <w:sz w:val="24"/>
            <w:szCs w:val="24"/>
          </w:rPr>
          <w:fldChar w:fldCharType="separate"/>
        </w:r>
        <w:r w:rsidRPr="00C60092">
          <w:rPr>
            <w:noProof/>
            <w:sz w:val="24"/>
            <w:szCs w:val="24"/>
          </w:rPr>
          <w:t>2</w:t>
        </w:r>
        <w:r w:rsidRPr="00C60092">
          <w:rPr>
            <w:noProof/>
            <w:sz w:val="24"/>
            <w:szCs w:val="24"/>
          </w:rPr>
          <w:fldChar w:fldCharType="end"/>
        </w:r>
      </w:p>
    </w:sdtContent>
  </w:sdt>
  <w:p w:rsidR="00306859" w:rsidRPr="00306859" w:rsidP="0030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87511">
      <w:r>
        <w:separator/>
      </w:r>
    </w:p>
  </w:footnote>
  <w:footnote w:type="continuationSeparator" w:id="1">
    <w:p w:rsidR="00D87511">
      <w:r>
        <w:continuationSeparator/>
      </w:r>
    </w:p>
  </w:footnote>
  <w:footnote w:id="2">
    <w:p w:rsidR="00A30A96" w:rsidP="00A30A96">
      <w:pPr>
        <w:pStyle w:val="FootnoteText"/>
      </w:pPr>
      <w:r>
        <w:rPr>
          <w:rStyle w:val="FootnoteReference"/>
        </w:rPr>
        <w:footnoteRef/>
      </w:r>
      <w:r>
        <w:t xml:space="preserve"> </w:t>
      </w:r>
      <w:r>
        <w:rPr>
          <w:i/>
        </w:rPr>
        <w:t>See</w:t>
      </w:r>
      <w:r>
        <w:t xml:space="preserve"> R.C. Chapter 4911, R.C. 4903.221, and Ohio Adm. Code 4901-1-11.</w:t>
      </w:r>
    </w:p>
  </w:footnote>
  <w:footnote w:id="3">
    <w:p w:rsidR="00EA4B75">
      <w:pPr>
        <w:pStyle w:val="FootnoteText"/>
      </w:pPr>
      <w:r>
        <w:rPr>
          <w:rStyle w:val="FootnoteReference"/>
        </w:rPr>
        <w:footnoteRef/>
      </w:r>
      <w:r>
        <w:t xml:space="preserve"> Application, Exhibit JCS-5, p. 3 of 6.</w:t>
      </w:r>
    </w:p>
    <w:p w:rsidR="00EA4B75">
      <w:pPr>
        <w:pStyle w:val="FootnoteText"/>
      </w:pPr>
    </w:p>
  </w:footnote>
  <w:footnote w:id="4">
    <w:p w:rsidR="00475614">
      <w:pPr>
        <w:pStyle w:val="FootnoteText"/>
      </w:pPr>
      <w:r>
        <w:rPr>
          <w:rStyle w:val="FootnoteReference"/>
        </w:rPr>
        <w:footnoteRef/>
      </w:r>
      <w:r>
        <w:t xml:space="preserve"> Application, at ¶ 6.</w:t>
      </w:r>
    </w:p>
  </w:footnote>
  <w:footnote w:id="5">
    <w:p w:rsidR="00A044B5">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8DA95FC"/>
    <w:lvl w:ilvl="0">
      <w:start w:val="1"/>
      <w:numFmt w:val="decimal"/>
      <w:lvlText w:val="%1."/>
      <w:lvlJc w:val="left"/>
      <w:pPr>
        <w:tabs>
          <w:tab w:val="num" w:pos="1800"/>
        </w:tabs>
        <w:ind w:left="1800" w:hanging="360"/>
      </w:pPr>
    </w:lvl>
  </w:abstractNum>
  <w:abstractNum w:abstractNumId="1">
    <w:nsid w:val="FFFFFF7D"/>
    <w:multiLevelType w:val="singleLevel"/>
    <w:tmpl w:val="C69E466E"/>
    <w:lvl w:ilvl="0">
      <w:start w:val="1"/>
      <w:numFmt w:val="decimal"/>
      <w:lvlText w:val="%1."/>
      <w:lvlJc w:val="left"/>
      <w:pPr>
        <w:tabs>
          <w:tab w:val="num" w:pos="1440"/>
        </w:tabs>
        <w:ind w:left="1440" w:hanging="360"/>
      </w:pPr>
    </w:lvl>
  </w:abstractNum>
  <w:abstractNum w:abstractNumId="2">
    <w:nsid w:val="FFFFFF7E"/>
    <w:multiLevelType w:val="singleLevel"/>
    <w:tmpl w:val="DFC63F60"/>
    <w:lvl w:ilvl="0">
      <w:start w:val="1"/>
      <w:numFmt w:val="decimal"/>
      <w:lvlText w:val="%1."/>
      <w:lvlJc w:val="left"/>
      <w:pPr>
        <w:tabs>
          <w:tab w:val="num" w:pos="1080"/>
        </w:tabs>
        <w:ind w:left="1080" w:hanging="360"/>
      </w:pPr>
    </w:lvl>
  </w:abstractNum>
  <w:abstractNum w:abstractNumId="3">
    <w:nsid w:val="FFFFFF7F"/>
    <w:multiLevelType w:val="singleLevel"/>
    <w:tmpl w:val="4086E9F4"/>
    <w:lvl w:ilvl="0">
      <w:start w:val="1"/>
      <w:numFmt w:val="decimal"/>
      <w:lvlText w:val="%1."/>
      <w:lvlJc w:val="left"/>
      <w:pPr>
        <w:tabs>
          <w:tab w:val="num" w:pos="720"/>
        </w:tabs>
        <w:ind w:left="720" w:hanging="360"/>
      </w:pPr>
    </w:lvl>
  </w:abstractNum>
  <w:abstractNum w:abstractNumId="4">
    <w:nsid w:val="FFFFFF80"/>
    <w:multiLevelType w:val="singleLevel"/>
    <w:tmpl w:val="1E60B8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961D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DEC9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00E3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922D40"/>
    <w:lvl w:ilvl="0">
      <w:start w:val="1"/>
      <w:numFmt w:val="decimal"/>
      <w:lvlText w:val="%1."/>
      <w:lvlJc w:val="left"/>
      <w:pPr>
        <w:tabs>
          <w:tab w:val="num" w:pos="360"/>
        </w:tabs>
        <w:ind w:left="360" w:hanging="360"/>
      </w:pPr>
    </w:lvl>
  </w:abstractNum>
  <w:abstractNum w:abstractNumId="9">
    <w:nsid w:val="FFFFFF89"/>
    <w:multiLevelType w:val="singleLevel"/>
    <w:tmpl w:val="EE34F08C"/>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2"/>
  </w:num>
  <w:num w:numId="2">
    <w:abstractNumId w:val="11"/>
  </w:num>
  <w:num w:numId="3">
    <w:abstractNumId w:val="14"/>
  </w:num>
  <w:num w:numId="4">
    <w:abstractNumId w:val="13"/>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D6"/>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 w:type="character" w:customStyle="1" w:styleId="BodyTextChar">
    <w:name w:val="Body Text Char"/>
    <w:basedOn w:val="DefaultParagraphFont"/>
    <w:link w:val="BodyText"/>
    <w:rsid w:val="005042D6"/>
    <w:rPr>
      <w:sz w:val="24"/>
    </w:rPr>
  </w:style>
  <w:style w:type="character" w:customStyle="1" w:styleId="BodyTextIndentChar">
    <w:name w:val="Body Text Indent Char"/>
    <w:basedOn w:val="DefaultParagraphFont"/>
    <w:link w:val="BodyTextIndent"/>
    <w:rsid w:val="005042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2019-06-11T20:26:08Z</dcterms:created>
  <dcterms:modified xsi:type="dcterms:W3CDTF">2019-06-11T20:26:08Z</dcterms:modified>
</cp:coreProperties>
</file>