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D8" w:rsidRPr="00487731" w:rsidRDefault="00C608D8" w:rsidP="00C608D8">
      <w:pPr>
        <w:pStyle w:val="Title"/>
        <w:widowControl w:val="0"/>
        <w:rPr>
          <w:rFonts w:ascii="Arial" w:hAnsi="Arial" w:cs="Arial"/>
          <w:sz w:val="28"/>
          <w:szCs w:val="28"/>
        </w:rPr>
      </w:pPr>
      <w:bookmarkStart w:id="0" w:name="_GoBack"/>
      <w:bookmarkEnd w:id="0"/>
      <w:r w:rsidRPr="00487731">
        <w:rPr>
          <w:rFonts w:ascii="Arial" w:hAnsi="Arial" w:cs="Arial"/>
          <w:sz w:val="28"/>
          <w:szCs w:val="28"/>
        </w:rPr>
        <w:t>BEFORE</w:t>
      </w:r>
    </w:p>
    <w:p w:rsidR="00C608D8" w:rsidRPr="00487731" w:rsidRDefault="00C608D8" w:rsidP="00C608D8">
      <w:pPr>
        <w:widowControl w:val="0"/>
        <w:jc w:val="center"/>
        <w:rPr>
          <w:rFonts w:ascii="Arial" w:hAnsi="Arial" w:cs="Arial"/>
          <w:b/>
          <w:sz w:val="28"/>
          <w:szCs w:val="28"/>
        </w:rPr>
      </w:pPr>
      <w:r w:rsidRPr="00487731">
        <w:rPr>
          <w:rFonts w:ascii="Arial" w:hAnsi="Arial" w:cs="Arial"/>
          <w:b/>
          <w:sz w:val="28"/>
          <w:szCs w:val="28"/>
        </w:rPr>
        <w:t>THE PUBLIC UTILITIES COMMISSION OF OHIO</w:t>
      </w:r>
    </w:p>
    <w:tbl>
      <w:tblPr>
        <w:tblW w:w="0" w:type="auto"/>
        <w:jc w:val="center"/>
        <w:tblInd w:w="-315" w:type="dxa"/>
        <w:tblLook w:val="01E0" w:firstRow="1" w:lastRow="1" w:firstColumn="1" w:lastColumn="1" w:noHBand="0" w:noVBand="0"/>
      </w:tblPr>
      <w:tblGrid>
        <w:gridCol w:w="4769"/>
        <w:gridCol w:w="634"/>
        <w:gridCol w:w="3954"/>
      </w:tblGrid>
      <w:tr w:rsidR="00C608D8" w:rsidRPr="00487731" w:rsidTr="00AC737B">
        <w:trPr>
          <w:trHeight w:val="1288"/>
          <w:jc w:val="center"/>
        </w:trPr>
        <w:tc>
          <w:tcPr>
            <w:tcW w:w="4769" w:type="dxa"/>
          </w:tcPr>
          <w:p w:rsidR="00C608D8" w:rsidRPr="00487731" w:rsidRDefault="00C608D8" w:rsidP="00AC737B">
            <w:pPr>
              <w:widowControl w:val="0"/>
              <w:spacing w:after="0" w:line="240" w:lineRule="auto"/>
              <w:rPr>
                <w:rFonts w:ascii="Arial" w:hAnsi="Arial" w:cs="Arial"/>
                <w:sz w:val="28"/>
                <w:szCs w:val="28"/>
              </w:rPr>
            </w:pPr>
            <w:r w:rsidRPr="00487731">
              <w:rPr>
                <w:rFonts w:ascii="Arial" w:hAnsi="Arial" w:cs="Arial"/>
                <w:sz w:val="28"/>
                <w:szCs w:val="28"/>
              </w:rPr>
              <w:t>In the Matter of the Commission's Investigation of Ohio’s Retail Electric Service Market</w:t>
            </w:r>
          </w:p>
        </w:tc>
        <w:tc>
          <w:tcPr>
            <w:tcW w:w="634" w:type="dxa"/>
          </w:tcPr>
          <w:p w:rsidR="00C608D8" w:rsidRPr="00487731" w:rsidRDefault="00C608D8" w:rsidP="00AC737B">
            <w:pPr>
              <w:widowControl w:val="0"/>
              <w:spacing w:after="0" w:line="240" w:lineRule="auto"/>
              <w:jc w:val="center"/>
              <w:rPr>
                <w:rFonts w:ascii="Arial" w:hAnsi="Arial" w:cs="Arial"/>
                <w:sz w:val="28"/>
                <w:szCs w:val="28"/>
              </w:rPr>
            </w:pPr>
            <w:r w:rsidRPr="00487731">
              <w:rPr>
                <w:rFonts w:ascii="Arial" w:hAnsi="Arial" w:cs="Arial"/>
                <w:sz w:val="28"/>
                <w:szCs w:val="28"/>
              </w:rPr>
              <w:t>)</w:t>
            </w:r>
          </w:p>
          <w:p w:rsidR="00C608D8" w:rsidRPr="00487731" w:rsidRDefault="00C608D8" w:rsidP="00AC737B">
            <w:pPr>
              <w:widowControl w:val="0"/>
              <w:spacing w:after="0" w:line="240" w:lineRule="auto"/>
              <w:jc w:val="center"/>
              <w:rPr>
                <w:rFonts w:ascii="Arial" w:hAnsi="Arial" w:cs="Arial"/>
                <w:sz w:val="28"/>
                <w:szCs w:val="28"/>
              </w:rPr>
            </w:pPr>
            <w:r w:rsidRPr="00487731">
              <w:rPr>
                <w:rFonts w:ascii="Arial" w:hAnsi="Arial" w:cs="Arial"/>
                <w:sz w:val="28"/>
                <w:szCs w:val="28"/>
              </w:rPr>
              <w:t>)</w:t>
            </w:r>
          </w:p>
          <w:p w:rsidR="00C608D8" w:rsidRPr="00487731" w:rsidRDefault="00C608D8" w:rsidP="00AC737B">
            <w:pPr>
              <w:widowControl w:val="0"/>
              <w:spacing w:after="0" w:line="240" w:lineRule="auto"/>
              <w:jc w:val="center"/>
              <w:rPr>
                <w:rFonts w:ascii="Arial" w:hAnsi="Arial" w:cs="Arial"/>
                <w:sz w:val="28"/>
                <w:szCs w:val="28"/>
              </w:rPr>
            </w:pPr>
            <w:r w:rsidRPr="00487731">
              <w:rPr>
                <w:rFonts w:ascii="Arial" w:hAnsi="Arial" w:cs="Arial"/>
                <w:sz w:val="28"/>
                <w:szCs w:val="28"/>
              </w:rPr>
              <w:t>)</w:t>
            </w:r>
          </w:p>
        </w:tc>
        <w:tc>
          <w:tcPr>
            <w:tcW w:w="3954" w:type="dxa"/>
          </w:tcPr>
          <w:p w:rsidR="00C608D8" w:rsidRPr="00487731" w:rsidRDefault="00C608D8" w:rsidP="00AC737B">
            <w:pPr>
              <w:widowControl w:val="0"/>
              <w:spacing w:after="0" w:line="240" w:lineRule="auto"/>
              <w:rPr>
                <w:rFonts w:ascii="Arial" w:hAnsi="Arial" w:cs="Arial"/>
                <w:sz w:val="28"/>
                <w:szCs w:val="28"/>
              </w:rPr>
            </w:pPr>
          </w:p>
          <w:p w:rsidR="00C608D8" w:rsidRPr="00487731" w:rsidRDefault="00C608D8" w:rsidP="00AC737B">
            <w:pPr>
              <w:widowControl w:val="0"/>
              <w:spacing w:after="0" w:line="240" w:lineRule="auto"/>
              <w:rPr>
                <w:rFonts w:ascii="Arial" w:hAnsi="Arial" w:cs="Arial"/>
                <w:sz w:val="28"/>
                <w:szCs w:val="28"/>
              </w:rPr>
            </w:pPr>
            <w:r w:rsidRPr="00487731">
              <w:rPr>
                <w:rFonts w:ascii="Arial" w:hAnsi="Arial" w:cs="Arial"/>
                <w:sz w:val="28"/>
                <w:szCs w:val="28"/>
              </w:rPr>
              <w:t>Case No. 12-3151-EL-COI</w:t>
            </w:r>
          </w:p>
          <w:p w:rsidR="00C608D8" w:rsidRPr="00487731" w:rsidRDefault="00C608D8" w:rsidP="00AC737B">
            <w:pPr>
              <w:widowControl w:val="0"/>
              <w:spacing w:after="0" w:line="240" w:lineRule="auto"/>
              <w:rPr>
                <w:rFonts w:ascii="Arial" w:hAnsi="Arial" w:cs="Arial"/>
                <w:sz w:val="28"/>
                <w:szCs w:val="28"/>
              </w:rPr>
            </w:pPr>
          </w:p>
        </w:tc>
      </w:tr>
    </w:tbl>
    <w:p w:rsidR="00C608D8" w:rsidRPr="00487731" w:rsidRDefault="00C608D8" w:rsidP="00C608D8">
      <w:pPr>
        <w:pStyle w:val="Footer"/>
        <w:pBdr>
          <w:top w:val="single" w:sz="12" w:space="1" w:color="auto"/>
          <w:bottom w:val="single" w:sz="12" w:space="1" w:color="auto"/>
        </w:pBdr>
        <w:tabs>
          <w:tab w:val="left" w:pos="4320"/>
        </w:tabs>
        <w:rPr>
          <w:rFonts w:ascii="Arial" w:hAnsi="Arial" w:cs="Arial"/>
          <w:sz w:val="28"/>
          <w:szCs w:val="28"/>
        </w:rPr>
      </w:pPr>
    </w:p>
    <w:p w:rsidR="00C608D8" w:rsidRPr="00487731" w:rsidRDefault="00C608D8" w:rsidP="00C608D8">
      <w:pPr>
        <w:pStyle w:val="Footer"/>
        <w:pBdr>
          <w:top w:val="single" w:sz="12" w:space="1" w:color="auto"/>
          <w:bottom w:val="single" w:sz="12" w:space="1" w:color="auto"/>
        </w:pBdr>
        <w:tabs>
          <w:tab w:val="left" w:pos="4320"/>
        </w:tabs>
        <w:jc w:val="center"/>
        <w:rPr>
          <w:rFonts w:ascii="Arial" w:hAnsi="Arial" w:cs="Arial"/>
          <w:b/>
          <w:sz w:val="28"/>
          <w:szCs w:val="28"/>
        </w:rPr>
      </w:pPr>
      <w:r w:rsidRPr="00487731">
        <w:rPr>
          <w:rFonts w:ascii="Arial" w:hAnsi="Arial" w:cs="Arial"/>
          <w:b/>
          <w:sz w:val="28"/>
          <w:szCs w:val="28"/>
        </w:rPr>
        <w:t xml:space="preserve">COMMENTS OF INTERSTATE GAS SUPPLY, INC. </w:t>
      </w:r>
    </w:p>
    <w:p w:rsidR="00C608D8" w:rsidRDefault="00C608D8" w:rsidP="00C608D8">
      <w:pPr>
        <w:pStyle w:val="TOCTitle"/>
      </w:pPr>
    </w:p>
    <w:p w:rsidR="00C608D8" w:rsidRDefault="00C608D8" w:rsidP="00C608D8">
      <w:pPr>
        <w:pStyle w:val="TOCTitle"/>
      </w:pPr>
    </w:p>
    <w:p w:rsidR="00C608D8" w:rsidRPr="003E552C" w:rsidRDefault="00C608D8" w:rsidP="00C608D8">
      <w:pPr>
        <w:pStyle w:val="TOCTitle"/>
        <w:rPr>
          <w:rFonts w:ascii="Arial" w:hAnsi="Arial" w:cs="Arial"/>
          <w:sz w:val="28"/>
          <w:szCs w:val="28"/>
        </w:rPr>
      </w:pPr>
      <w:r w:rsidRPr="003E552C">
        <w:rPr>
          <w:rFonts w:ascii="Arial" w:hAnsi="Arial" w:cs="Arial"/>
          <w:sz w:val="28"/>
          <w:szCs w:val="28"/>
        </w:rPr>
        <w:t>TABLE OF CONTENTS</w:t>
      </w:r>
    </w:p>
    <w:p w:rsidR="00C608D8" w:rsidRPr="003E552C" w:rsidRDefault="00C608D8" w:rsidP="00C608D8">
      <w:pPr>
        <w:pStyle w:val="Level1"/>
        <w:rPr>
          <w:rFonts w:ascii="Arial" w:hAnsi="Arial" w:cs="Arial"/>
          <w:sz w:val="28"/>
          <w:szCs w:val="28"/>
        </w:rPr>
      </w:pPr>
      <w:r w:rsidRPr="003E552C">
        <w:rPr>
          <w:rFonts w:ascii="Arial" w:hAnsi="Arial" w:cs="Arial"/>
          <w:webHidden/>
          <w:sz w:val="28"/>
          <w:szCs w:val="28"/>
        </w:rPr>
        <w:t>Introduction</w:t>
      </w:r>
      <w:r w:rsidRPr="003E552C">
        <w:rPr>
          <w:rFonts w:ascii="Arial" w:hAnsi="Arial" w:cs="Arial"/>
          <w:webHidden/>
          <w:sz w:val="28"/>
          <w:szCs w:val="28"/>
        </w:rPr>
        <w:tab/>
        <w:t>1</w:t>
      </w:r>
    </w:p>
    <w:p w:rsidR="00C608D8" w:rsidRPr="003E552C" w:rsidRDefault="00C608D8" w:rsidP="00C608D8">
      <w:pPr>
        <w:pStyle w:val="Level1"/>
        <w:rPr>
          <w:rFonts w:ascii="Arial" w:hAnsi="Arial" w:cs="Arial"/>
          <w:sz w:val="28"/>
          <w:szCs w:val="28"/>
        </w:rPr>
      </w:pPr>
      <w:r w:rsidRPr="003E552C">
        <w:rPr>
          <w:rFonts w:ascii="Arial" w:hAnsi="Arial" w:cs="Arial"/>
          <w:webHidden/>
          <w:sz w:val="28"/>
          <w:szCs w:val="28"/>
        </w:rPr>
        <w:t>comments</w:t>
      </w:r>
      <w:r w:rsidRPr="003E552C">
        <w:rPr>
          <w:rFonts w:ascii="Arial" w:hAnsi="Arial" w:cs="Arial"/>
          <w:webHidden/>
          <w:sz w:val="28"/>
          <w:szCs w:val="28"/>
        </w:rPr>
        <w:tab/>
        <w:t>3</w:t>
      </w:r>
    </w:p>
    <w:p w:rsidR="00C608D8" w:rsidRPr="003E552C" w:rsidRDefault="00C608D8" w:rsidP="00C608D8">
      <w:pPr>
        <w:pStyle w:val="Level2"/>
        <w:rPr>
          <w:rFonts w:ascii="Arial" w:hAnsi="Arial" w:cs="Arial"/>
          <w:sz w:val="28"/>
          <w:szCs w:val="28"/>
        </w:rPr>
      </w:pPr>
      <w:r w:rsidRPr="003E552C">
        <w:rPr>
          <w:rFonts w:ascii="Arial" w:hAnsi="Arial" w:cs="Arial"/>
          <w:webHidden/>
          <w:sz w:val="28"/>
          <w:szCs w:val="28"/>
        </w:rPr>
        <w:t>A: The Existing sso default rate structure should not be the end state for ohio’s competitive markets</w:t>
      </w:r>
      <w:r w:rsidRPr="003E552C">
        <w:rPr>
          <w:rFonts w:ascii="Arial" w:hAnsi="Arial" w:cs="Arial"/>
          <w:webHidden/>
          <w:sz w:val="28"/>
          <w:szCs w:val="28"/>
        </w:rPr>
        <w:tab/>
        <w:t>3</w:t>
      </w:r>
    </w:p>
    <w:p w:rsidR="00C608D8" w:rsidRPr="003E552C" w:rsidRDefault="00C608D8" w:rsidP="00C608D8">
      <w:pPr>
        <w:pStyle w:val="Level2"/>
        <w:rPr>
          <w:rFonts w:ascii="Arial" w:hAnsi="Arial" w:cs="Arial"/>
          <w:sz w:val="28"/>
          <w:szCs w:val="28"/>
        </w:rPr>
      </w:pPr>
      <w:r w:rsidRPr="003E552C">
        <w:rPr>
          <w:rFonts w:ascii="Arial" w:hAnsi="Arial" w:cs="Arial"/>
          <w:webHidden/>
          <w:sz w:val="28"/>
          <w:szCs w:val="28"/>
        </w:rPr>
        <w:t>B: customer billing and collections</w:t>
      </w:r>
      <w:r w:rsidRPr="003E552C">
        <w:rPr>
          <w:rFonts w:ascii="Arial" w:hAnsi="Arial" w:cs="Arial"/>
          <w:webHidden/>
          <w:sz w:val="28"/>
          <w:szCs w:val="28"/>
        </w:rPr>
        <w:tab/>
        <w:t>6</w:t>
      </w:r>
    </w:p>
    <w:p w:rsidR="00C608D8" w:rsidRPr="003E552C" w:rsidRDefault="00C608D8" w:rsidP="00C608D8">
      <w:pPr>
        <w:pStyle w:val="Level2"/>
        <w:rPr>
          <w:rFonts w:ascii="Arial" w:hAnsi="Arial" w:cs="Arial"/>
          <w:webHidden/>
          <w:sz w:val="28"/>
          <w:szCs w:val="28"/>
        </w:rPr>
      </w:pPr>
      <w:r w:rsidRPr="003E552C">
        <w:rPr>
          <w:rFonts w:ascii="Arial" w:hAnsi="Arial" w:cs="Arial"/>
          <w:webHidden/>
          <w:sz w:val="28"/>
          <w:szCs w:val="28"/>
        </w:rPr>
        <w:t>C. corporate separation should be fully enforced including the elimination of shared resources</w:t>
      </w:r>
      <w:r w:rsidRPr="003E552C">
        <w:rPr>
          <w:rFonts w:ascii="Arial" w:hAnsi="Arial" w:cs="Arial"/>
          <w:webHidden/>
          <w:sz w:val="28"/>
          <w:szCs w:val="28"/>
        </w:rPr>
        <w:tab/>
        <w:t xml:space="preserve">10 </w:t>
      </w:r>
    </w:p>
    <w:p w:rsidR="00C608D8" w:rsidRPr="003E552C" w:rsidRDefault="00C608D8" w:rsidP="00C608D8">
      <w:pPr>
        <w:pStyle w:val="Level2"/>
        <w:rPr>
          <w:rFonts w:ascii="Arial" w:hAnsi="Arial" w:cs="Arial"/>
          <w:sz w:val="28"/>
          <w:szCs w:val="28"/>
        </w:rPr>
      </w:pPr>
      <w:r w:rsidRPr="003E552C">
        <w:rPr>
          <w:rFonts w:ascii="Arial" w:hAnsi="Arial" w:cs="Arial"/>
          <w:webHidden/>
          <w:sz w:val="28"/>
          <w:szCs w:val="28"/>
        </w:rPr>
        <w:t>d. seamless move and contract portability should be adopted</w:t>
      </w:r>
      <w:r w:rsidRPr="003E552C">
        <w:rPr>
          <w:rFonts w:ascii="Arial" w:hAnsi="Arial" w:cs="Arial"/>
          <w:webHidden/>
          <w:sz w:val="28"/>
          <w:szCs w:val="28"/>
        </w:rPr>
        <w:tab/>
        <w:t>12</w:t>
      </w:r>
    </w:p>
    <w:p w:rsidR="00C608D8" w:rsidRPr="003E552C" w:rsidRDefault="00C608D8" w:rsidP="00C608D8">
      <w:pPr>
        <w:pStyle w:val="Level2"/>
        <w:rPr>
          <w:rFonts w:ascii="Arial" w:hAnsi="Arial" w:cs="Arial"/>
          <w:sz w:val="28"/>
          <w:szCs w:val="28"/>
        </w:rPr>
      </w:pPr>
      <w:r w:rsidRPr="003E552C">
        <w:rPr>
          <w:rFonts w:ascii="Arial" w:hAnsi="Arial" w:cs="Arial"/>
          <w:webHidden/>
          <w:sz w:val="28"/>
          <w:szCs w:val="28"/>
        </w:rPr>
        <w:t>e. the requirement that all new edu customers enroll on the sso first should be eliminated</w:t>
      </w:r>
      <w:r w:rsidRPr="003E552C">
        <w:rPr>
          <w:rFonts w:ascii="Arial" w:hAnsi="Arial" w:cs="Arial"/>
          <w:webHidden/>
          <w:sz w:val="28"/>
          <w:szCs w:val="28"/>
        </w:rPr>
        <w:tab/>
        <w:t>13</w:t>
      </w:r>
    </w:p>
    <w:p w:rsidR="00C608D8" w:rsidRPr="003E552C" w:rsidRDefault="00C608D8" w:rsidP="00C608D8">
      <w:pPr>
        <w:pStyle w:val="Level2"/>
        <w:rPr>
          <w:rFonts w:ascii="Arial" w:hAnsi="Arial" w:cs="Arial"/>
          <w:sz w:val="28"/>
          <w:szCs w:val="28"/>
        </w:rPr>
      </w:pPr>
      <w:r w:rsidRPr="003E552C">
        <w:rPr>
          <w:rFonts w:ascii="Arial" w:hAnsi="Arial" w:cs="Arial"/>
          <w:webHidden/>
          <w:sz w:val="28"/>
          <w:szCs w:val="28"/>
        </w:rPr>
        <w:t>f. if the edu price to compare is required to be disclosed on the bill for shopping customers, then a similar disclosure should be made on the bill for sso customers that indicates the savings customer could have achieved had they switched to a cres provider</w:t>
      </w:r>
      <w:r w:rsidRPr="003E552C">
        <w:rPr>
          <w:rFonts w:ascii="Arial" w:hAnsi="Arial" w:cs="Arial"/>
          <w:webHidden/>
          <w:sz w:val="28"/>
          <w:szCs w:val="28"/>
        </w:rPr>
        <w:tab/>
        <w:t>14</w:t>
      </w:r>
    </w:p>
    <w:p w:rsidR="00C608D8" w:rsidRPr="003E552C" w:rsidRDefault="00C608D8" w:rsidP="00C608D8">
      <w:pPr>
        <w:pStyle w:val="Level2"/>
        <w:rPr>
          <w:rFonts w:ascii="Arial" w:hAnsi="Arial" w:cs="Arial"/>
          <w:sz w:val="28"/>
          <w:szCs w:val="28"/>
        </w:rPr>
      </w:pPr>
      <w:r w:rsidRPr="003E552C">
        <w:rPr>
          <w:rFonts w:ascii="Arial" w:hAnsi="Arial" w:cs="Arial"/>
          <w:webHidden/>
          <w:sz w:val="28"/>
          <w:szCs w:val="28"/>
        </w:rPr>
        <w:t>g. cres suppliers should not be required to make public proprietary information</w:t>
      </w:r>
      <w:r w:rsidRPr="003E552C">
        <w:rPr>
          <w:rFonts w:ascii="Arial" w:hAnsi="Arial" w:cs="Arial"/>
          <w:webHidden/>
          <w:sz w:val="28"/>
          <w:szCs w:val="28"/>
        </w:rPr>
        <w:tab/>
        <w:t>15</w:t>
      </w:r>
    </w:p>
    <w:p w:rsidR="00C608D8" w:rsidRPr="003E552C" w:rsidRDefault="00C608D8" w:rsidP="00C608D8">
      <w:pPr>
        <w:pStyle w:val="Level2"/>
        <w:rPr>
          <w:rFonts w:ascii="Arial" w:hAnsi="Arial" w:cs="Arial"/>
          <w:sz w:val="28"/>
          <w:szCs w:val="28"/>
        </w:rPr>
      </w:pPr>
    </w:p>
    <w:p w:rsidR="00C608D8" w:rsidRPr="003E552C" w:rsidRDefault="00C608D8" w:rsidP="00C608D8">
      <w:pPr>
        <w:pStyle w:val="Level1"/>
        <w:rPr>
          <w:rFonts w:ascii="Arial" w:hAnsi="Arial" w:cs="Arial"/>
          <w:sz w:val="28"/>
          <w:szCs w:val="28"/>
        </w:rPr>
      </w:pPr>
      <w:r w:rsidRPr="003E552C">
        <w:rPr>
          <w:rFonts w:ascii="Arial" w:hAnsi="Arial" w:cs="Arial"/>
          <w:webHidden/>
          <w:sz w:val="28"/>
          <w:szCs w:val="28"/>
        </w:rPr>
        <w:t>conclusion</w:t>
      </w:r>
      <w:r w:rsidRPr="003E552C">
        <w:rPr>
          <w:rFonts w:ascii="Arial" w:hAnsi="Arial" w:cs="Arial"/>
          <w:webHidden/>
          <w:sz w:val="28"/>
          <w:szCs w:val="28"/>
        </w:rPr>
        <w:tab/>
        <w:t>17</w:t>
      </w:r>
    </w:p>
    <w:p w:rsidR="00C608D8" w:rsidRPr="003E552C" w:rsidRDefault="00C608D8">
      <w:pPr>
        <w:rPr>
          <w:rFonts w:ascii="Arial" w:eastAsia="Times New Roman" w:hAnsi="Arial" w:cs="Arial"/>
          <w:b/>
          <w:sz w:val="28"/>
          <w:szCs w:val="28"/>
        </w:rPr>
      </w:pPr>
      <w:r w:rsidRPr="003E552C">
        <w:rPr>
          <w:rFonts w:ascii="Arial" w:hAnsi="Arial" w:cs="Arial"/>
          <w:sz w:val="28"/>
          <w:szCs w:val="28"/>
        </w:rPr>
        <w:br w:type="page"/>
      </w:r>
    </w:p>
    <w:p w:rsidR="00DA198D" w:rsidRPr="00DA198D" w:rsidRDefault="00DA198D" w:rsidP="00DA198D">
      <w:pPr>
        <w:pStyle w:val="ListParagraph"/>
        <w:numPr>
          <w:ilvl w:val="0"/>
          <w:numId w:val="1"/>
        </w:numPr>
        <w:spacing w:line="480" w:lineRule="auto"/>
        <w:rPr>
          <w:rFonts w:ascii="Arial" w:hAnsi="Arial" w:cs="Arial"/>
          <w:b/>
          <w:sz w:val="24"/>
          <w:szCs w:val="24"/>
        </w:rPr>
      </w:pPr>
      <w:r w:rsidRPr="00DA198D">
        <w:rPr>
          <w:rFonts w:ascii="Arial" w:hAnsi="Arial" w:cs="Arial"/>
          <w:b/>
          <w:sz w:val="24"/>
          <w:szCs w:val="24"/>
        </w:rPr>
        <w:lastRenderedPageBreak/>
        <w:t>INTRODUCTION</w:t>
      </w:r>
    </w:p>
    <w:p w:rsidR="001F10BE" w:rsidRDefault="0057159A" w:rsidP="006A08A1">
      <w:pPr>
        <w:spacing w:line="480" w:lineRule="auto"/>
        <w:ind w:firstLine="720"/>
        <w:jc w:val="both"/>
        <w:rPr>
          <w:rFonts w:ascii="Arial" w:hAnsi="Arial" w:cs="Arial"/>
          <w:sz w:val="24"/>
          <w:szCs w:val="24"/>
        </w:rPr>
      </w:pPr>
      <w:r>
        <w:rPr>
          <w:rFonts w:ascii="Arial" w:hAnsi="Arial" w:cs="Arial"/>
          <w:sz w:val="24"/>
          <w:szCs w:val="24"/>
        </w:rPr>
        <w:t>On December 12, 2012</w:t>
      </w:r>
      <w:r w:rsidR="00B93B2E">
        <w:rPr>
          <w:rFonts w:ascii="Arial" w:hAnsi="Arial" w:cs="Arial"/>
          <w:sz w:val="24"/>
          <w:szCs w:val="24"/>
        </w:rPr>
        <w:t xml:space="preserve"> the </w:t>
      </w:r>
      <w:r w:rsidR="008A1E3E">
        <w:rPr>
          <w:rFonts w:ascii="Arial" w:hAnsi="Arial" w:cs="Arial"/>
          <w:sz w:val="24"/>
          <w:szCs w:val="24"/>
        </w:rPr>
        <w:t xml:space="preserve">Public Utilities </w:t>
      </w:r>
      <w:r w:rsidR="00B93B2E">
        <w:rPr>
          <w:rFonts w:ascii="Arial" w:hAnsi="Arial" w:cs="Arial"/>
          <w:sz w:val="24"/>
          <w:szCs w:val="24"/>
        </w:rPr>
        <w:t>Commission</w:t>
      </w:r>
      <w:r w:rsidR="008A1E3E">
        <w:rPr>
          <w:rFonts w:ascii="Arial" w:hAnsi="Arial" w:cs="Arial"/>
          <w:sz w:val="24"/>
          <w:szCs w:val="24"/>
        </w:rPr>
        <w:t xml:space="preserve"> of Ohio (“Commission”)</w:t>
      </w:r>
      <w:r>
        <w:rPr>
          <w:rFonts w:ascii="Arial" w:hAnsi="Arial" w:cs="Arial"/>
          <w:sz w:val="24"/>
          <w:szCs w:val="24"/>
        </w:rPr>
        <w:t xml:space="preserve"> initiated this proceeding</w:t>
      </w:r>
      <w:r w:rsidR="00B93B2E">
        <w:rPr>
          <w:rFonts w:ascii="Arial" w:hAnsi="Arial" w:cs="Arial"/>
          <w:sz w:val="24"/>
          <w:szCs w:val="24"/>
        </w:rPr>
        <w:t xml:space="preserve"> to</w:t>
      </w:r>
      <w:r w:rsidR="00CE2DC9">
        <w:rPr>
          <w:rFonts w:ascii="Arial" w:hAnsi="Arial" w:cs="Arial"/>
          <w:sz w:val="24"/>
          <w:szCs w:val="24"/>
        </w:rPr>
        <w:t>, among other reasons,</w:t>
      </w:r>
      <w:r w:rsidR="00B93B2E">
        <w:rPr>
          <w:rFonts w:ascii="Arial" w:hAnsi="Arial" w:cs="Arial"/>
          <w:sz w:val="24"/>
          <w:szCs w:val="24"/>
        </w:rPr>
        <w:t xml:space="preserve"> evaluate </w:t>
      </w:r>
      <w:r w:rsidR="00CE2DC9">
        <w:rPr>
          <w:rFonts w:ascii="Arial" w:hAnsi="Arial" w:cs="Arial"/>
          <w:sz w:val="24"/>
          <w:szCs w:val="24"/>
        </w:rPr>
        <w:t>“</w:t>
      </w:r>
      <w:r w:rsidR="00B93B2E" w:rsidRPr="00B93B2E">
        <w:rPr>
          <w:rFonts w:ascii="Arial" w:hAnsi="Arial" w:cs="Arial"/>
          <w:sz w:val="24"/>
          <w:szCs w:val="24"/>
        </w:rPr>
        <w:t>actions that the Comm</w:t>
      </w:r>
      <w:r w:rsidR="00CE2DC9">
        <w:rPr>
          <w:rFonts w:ascii="Arial" w:hAnsi="Arial" w:cs="Arial"/>
          <w:sz w:val="24"/>
          <w:szCs w:val="24"/>
        </w:rPr>
        <w:t xml:space="preserve">ission may take to enhance the </w:t>
      </w:r>
      <w:r w:rsidR="00B93B2E" w:rsidRPr="00B93B2E">
        <w:rPr>
          <w:rFonts w:ascii="Arial" w:hAnsi="Arial" w:cs="Arial"/>
          <w:sz w:val="24"/>
          <w:szCs w:val="24"/>
        </w:rPr>
        <w:t>health/strength/vitality</w:t>
      </w:r>
      <w:r w:rsidR="00417C3A">
        <w:rPr>
          <w:rFonts w:ascii="Arial" w:hAnsi="Arial" w:cs="Arial"/>
          <w:sz w:val="24"/>
          <w:szCs w:val="24"/>
        </w:rPr>
        <w:t>”</w:t>
      </w:r>
      <w:r w:rsidR="00B93B2E" w:rsidRPr="00B93B2E">
        <w:rPr>
          <w:rFonts w:ascii="Arial" w:hAnsi="Arial" w:cs="Arial"/>
          <w:sz w:val="24"/>
          <w:szCs w:val="24"/>
        </w:rPr>
        <w:t xml:space="preserve"> of </w:t>
      </w:r>
      <w:r w:rsidR="008A1E3E">
        <w:rPr>
          <w:rFonts w:ascii="Arial" w:hAnsi="Arial" w:cs="Arial"/>
          <w:sz w:val="24"/>
          <w:szCs w:val="24"/>
        </w:rPr>
        <w:t>Ohio’s</w:t>
      </w:r>
      <w:r w:rsidR="00417C3A">
        <w:rPr>
          <w:rFonts w:ascii="Arial" w:hAnsi="Arial" w:cs="Arial"/>
          <w:sz w:val="24"/>
          <w:szCs w:val="24"/>
        </w:rPr>
        <w:t xml:space="preserve"> electric markets</w:t>
      </w:r>
      <w:r w:rsidR="00CE2DC9">
        <w:rPr>
          <w:rFonts w:ascii="Arial" w:hAnsi="Arial" w:cs="Arial"/>
          <w:sz w:val="24"/>
          <w:szCs w:val="24"/>
        </w:rPr>
        <w:t>.</w:t>
      </w:r>
      <w:r w:rsidR="00CE2DC9">
        <w:rPr>
          <w:rStyle w:val="FootnoteReference"/>
          <w:rFonts w:ascii="Arial" w:hAnsi="Arial" w:cs="Arial"/>
          <w:sz w:val="24"/>
          <w:szCs w:val="24"/>
        </w:rPr>
        <w:footnoteReference w:id="1"/>
      </w:r>
      <w:r w:rsidR="00CE2DC9">
        <w:rPr>
          <w:rFonts w:ascii="Arial" w:hAnsi="Arial" w:cs="Arial"/>
          <w:sz w:val="24"/>
          <w:szCs w:val="24"/>
        </w:rPr>
        <w:t xml:space="preserve"> </w:t>
      </w:r>
      <w:r w:rsidR="00686B57">
        <w:rPr>
          <w:rFonts w:ascii="Arial" w:hAnsi="Arial" w:cs="Arial"/>
          <w:sz w:val="24"/>
          <w:szCs w:val="24"/>
        </w:rPr>
        <w:t xml:space="preserve">After parties had an opportunity to comment on the </w:t>
      </w:r>
      <w:r w:rsidR="008A1E3E">
        <w:rPr>
          <w:rFonts w:ascii="Arial" w:hAnsi="Arial" w:cs="Arial"/>
          <w:sz w:val="24"/>
          <w:szCs w:val="24"/>
        </w:rPr>
        <w:t xml:space="preserve">Commission’s </w:t>
      </w:r>
      <w:r w:rsidR="00686B57">
        <w:rPr>
          <w:rFonts w:ascii="Arial" w:hAnsi="Arial" w:cs="Arial"/>
          <w:sz w:val="24"/>
          <w:szCs w:val="24"/>
        </w:rPr>
        <w:t>initial inquiry into Ohio’s retail electric markets, the</w:t>
      </w:r>
      <w:r w:rsidR="00CE2DC9">
        <w:rPr>
          <w:rFonts w:ascii="Arial" w:hAnsi="Arial" w:cs="Arial"/>
          <w:sz w:val="24"/>
          <w:szCs w:val="24"/>
        </w:rPr>
        <w:t xml:space="preserve"> Commission initiated a series of workshops </w:t>
      </w:r>
      <w:r w:rsidR="001950D0">
        <w:rPr>
          <w:rFonts w:ascii="Arial" w:hAnsi="Arial" w:cs="Arial"/>
          <w:sz w:val="24"/>
          <w:szCs w:val="24"/>
        </w:rPr>
        <w:t>that were designed to “identify changes that the Commission can adopt to promote the development of Ohio’s retail electric service market.”</w:t>
      </w:r>
      <w:r w:rsidR="001950D0">
        <w:rPr>
          <w:rStyle w:val="FootnoteReference"/>
          <w:rFonts w:ascii="Arial" w:hAnsi="Arial" w:cs="Arial"/>
          <w:sz w:val="24"/>
          <w:szCs w:val="24"/>
        </w:rPr>
        <w:footnoteReference w:id="2"/>
      </w:r>
      <w:r w:rsidR="001950D0">
        <w:rPr>
          <w:rFonts w:ascii="Arial" w:hAnsi="Arial" w:cs="Arial"/>
          <w:sz w:val="24"/>
          <w:szCs w:val="24"/>
        </w:rPr>
        <w:t xml:space="preserve">  </w:t>
      </w:r>
      <w:r w:rsidR="001D0AF8">
        <w:rPr>
          <w:rFonts w:ascii="Arial" w:hAnsi="Arial" w:cs="Arial"/>
          <w:sz w:val="24"/>
          <w:szCs w:val="24"/>
        </w:rPr>
        <w:t>Over the next six months, s</w:t>
      </w:r>
      <w:r w:rsidR="005E63E7">
        <w:rPr>
          <w:rFonts w:ascii="Arial" w:hAnsi="Arial" w:cs="Arial"/>
          <w:sz w:val="24"/>
          <w:szCs w:val="24"/>
        </w:rPr>
        <w:t>takeholders</w:t>
      </w:r>
      <w:r w:rsidR="001950D0">
        <w:rPr>
          <w:rFonts w:ascii="Arial" w:hAnsi="Arial" w:cs="Arial"/>
          <w:sz w:val="24"/>
          <w:szCs w:val="24"/>
        </w:rPr>
        <w:t xml:space="preserve"> including electric distribution utilities (“EDUs”), consumer advocates and competitive retail electric service (“CRES”) providers</w:t>
      </w:r>
      <w:r w:rsidR="001D0AF8">
        <w:rPr>
          <w:rFonts w:ascii="Arial" w:hAnsi="Arial" w:cs="Arial"/>
          <w:sz w:val="24"/>
          <w:szCs w:val="24"/>
        </w:rPr>
        <w:t xml:space="preserve"> participated in the stakeholder process to develop changes that could be implemented that would benefit Ohio’s electric markets</w:t>
      </w:r>
      <w:r w:rsidR="005E63E7">
        <w:rPr>
          <w:rFonts w:ascii="Arial" w:hAnsi="Arial" w:cs="Arial"/>
          <w:sz w:val="24"/>
          <w:szCs w:val="24"/>
        </w:rPr>
        <w:t xml:space="preserve">.  Shortly after the </w:t>
      </w:r>
      <w:r w:rsidR="00AD23A5">
        <w:rPr>
          <w:rFonts w:ascii="Arial" w:hAnsi="Arial" w:cs="Arial"/>
          <w:sz w:val="24"/>
          <w:szCs w:val="24"/>
        </w:rPr>
        <w:t xml:space="preserve">completion </w:t>
      </w:r>
      <w:r w:rsidR="005E63E7">
        <w:rPr>
          <w:rFonts w:ascii="Arial" w:hAnsi="Arial" w:cs="Arial"/>
          <w:sz w:val="24"/>
          <w:szCs w:val="24"/>
        </w:rPr>
        <w:t xml:space="preserve">of the workshop process </w:t>
      </w:r>
      <w:r w:rsidR="008A1E3E">
        <w:rPr>
          <w:rFonts w:ascii="Arial" w:hAnsi="Arial" w:cs="Arial"/>
          <w:sz w:val="24"/>
          <w:szCs w:val="24"/>
        </w:rPr>
        <w:t xml:space="preserve">Commission </w:t>
      </w:r>
      <w:r w:rsidR="00FA5412">
        <w:rPr>
          <w:rFonts w:ascii="Arial" w:hAnsi="Arial" w:cs="Arial"/>
          <w:sz w:val="24"/>
          <w:szCs w:val="24"/>
        </w:rPr>
        <w:t>Staff</w:t>
      </w:r>
      <w:r w:rsidR="008A1E3E">
        <w:rPr>
          <w:rFonts w:ascii="Arial" w:hAnsi="Arial" w:cs="Arial"/>
          <w:sz w:val="24"/>
          <w:szCs w:val="24"/>
        </w:rPr>
        <w:t xml:space="preserve"> (“Staff”)</w:t>
      </w:r>
      <w:r w:rsidR="00FA5412">
        <w:rPr>
          <w:rFonts w:ascii="Arial" w:hAnsi="Arial" w:cs="Arial"/>
          <w:sz w:val="24"/>
          <w:szCs w:val="24"/>
        </w:rPr>
        <w:t xml:space="preserve"> </w:t>
      </w:r>
      <w:r w:rsidR="001F10BE">
        <w:rPr>
          <w:rFonts w:ascii="Arial" w:hAnsi="Arial" w:cs="Arial"/>
          <w:sz w:val="24"/>
          <w:szCs w:val="24"/>
        </w:rPr>
        <w:t>filed a</w:t>
      </w:r>
      <w:r w:rsidR="00FA5412">
        <w:rPr>
          <w:rFonts w:ascii="Arial" w:hAnsi="Arial" w:cs="Arial"/>
          <w:sz w:val="24"/>
          <w:szCs w:val="24"/>
        </w:rPr>
        <w:t xml:space="preserve"> report in this</w:t>
      </w:r>
      <w:r w:rsidR="00417C3A">
        <w:rPr>
          <w:rFonts w:ascii="Arial" w:hAnsi="Arial" w:cs="Arial"/>
          <w:sz w:val="24"/>
          <w:szCs w:val="24"/>
        </w:rPr>
        <w:t xml:space="preserve"> proceeding on January 16</w:t>
      </w:r>
      <w:r w:rsidR="00417C3A" w:rsidRPr="00417C3A">
        <w:rPr>
          <w:rFonts w:ascii="Arial" w:hAnsi="Arial" w:cs="Arial"/>
          <w:sz w:val="24"/>
          <w:szCs w:val="24"/>
          <w:vertAlign w:val="superscript"/>
        </w:rPr>
        <w:t>th</w:t>
      </w:r>
      <w:r w:rsidR="00417C3A">
        <w:rPr>
          <w:rFonts w:ascii="Arial" w:hAnsi="Arial" w:cs="Arial"/>
          <w:sz w:val="24"/>
          <w:szCs w:val="24"/>
        </w:rPr>
        <w:t xml:space="preserve"> 2014</w:t>
      </w:r>
      <w:r w:rsidR="005E63E7">
        <w:rPr>
          <w:rFonts w:ascii="Arial" w:hAnsi="Arial" w:cs="Arial"/>
          <w:sz w:val="24"/>
          <w:szCs w:val="24"/>
        </w:rPr>
        <w:t xml:space="preserve"> that summarized the </w:t>
      </w:r>
      <w:r>
        <w:rPr>
          <w:rFonts w:ascii="Arial" w:hAnsi="Arial" w:cs="Arial"/>
          <w:sz w:val="24"/>
          <w:szCs w:val="24"/>
        </w:rPr>
        <w:t>stakeholder positions</w:t>
      </w:r>
      <w:r w:rsidR="005E63E7">
        <w:rPr>
          <w:rFonts w:ascii="Arial" w:hAnsi="Arial" w:cs="Arial"/>
          <w:sz w:val="24"/>
          <w:szCs w:val="24"/>
        </w:rPr>
        <w:t xml:space="preserve"> and made recommendations based on stakeholder feedback </w:t>
      </w:r>
      <w:r w:rsidR="00417C3A">
        <w:rPr>
          <w:rFonts w:ascii="Arial" w:hAnsi="Arial" w:cs="Arial"/>
          <w:sz w:val="24"/>
          <w:szCs w:val="24"/>
        </w:rPr>
        <w:t xml:space="preserve">(“Staff Report”). </w:t>
      </w:r>
    </w:p>
    <w:p w:rsidR="00B93B2E" w:rsidRDefault="00AD23A5" w:rsidP="006A08A1">
      <w:pPr>
        <w:spacing w:line="480" w:lineRule="auto"/>
        <w:ind w:firstLine="720"/>
        <w:jc w:val="both"/>
        <w:rPr>
          <w:rFonts w:ascii="Arial" w:hAnsi="Arial" w:cs="Arial"/>
          <w:sz w:val="24"/>
          <w:szCs w:val="24"/>
        </w:rPr>
      </w:pPr>
      <w:r>
        <w:rPr>
          <w:rFonts w:ascii="Arial" w:hAnsi="Arial" w:cs="Arial"/>
          <w:sz w:val="24"/>
          <w:szCs w:val="24"/>
        </w:rPr>
        <w:t>Interstate Gas Supply, Inc., (“</w:t>
      </w:r>
      <w:r w:rsidR="001F10BE">
        <w:rPr>
          <w:rFonts w:ascii="Arial" w:hAnsi="Arial" w:cs="Arial"/>
          <w:sz w:val="24"/>
          <w:szCs w:val="24"/>
        </w:rPr>
        <w:t>IGS Energy</w:t>
      </w:r>
      <w:r>
        <w:rPr>
          <w:rFonts w:ascii="Arial" w:hAnsi="Arial" w:cs="Arial"/>
          <w:sz w:val="24"/>
          <w:szCs w:val="24"/>
        </w:rPr>
        <w:t>” or “IGS”)</w:t>
      </w:r>
      <w:r w:rsidR="001F10BE">
        <w:rPr>
          <w:rFonts w:ascii="Arial" w:hAnsi="Arial" w:cs="Arial"/>
          <w:sz w:val="24"/>
          <w:szCs w:val="24"/>
        </w:rPr>
        <w:t xml:space="preserve"> would first like to commend Staff and all of the stakeholders that participated in the workshop process. Much time and effort </w:t>
      </w:r>
      <w:r w:rsidR="00B1081A">
        <w:rPr>
          <w:rFonts w:ascii="Arial" w:hAnsi="Arial" w:cs="Arial"/>
          <w:sz w:val="24"/>
          <w:szCs w:val="24"/>
        </w:rPr>
        <w:t>was put into the process</w:t>
      </w:r>
      <w:r w:rsidR="001F10BE">
        <w:rPr>
          <w:rFonts w:ascii="Arial" w:hAnsi="Arial" w:cs="Arial"/>
          <w:sz w:val="24"/>
          <w:szCs w:val="24"/>
        </w:rPr>
        <w:t xml:space="preserve">, and while </w:t>
      </w:r>
      <w:r w:rsidR="005E63E7">
        <w:rPr>
          <w:rFonts w:ascii="Arial" w:hAnsi="Arial" w:cs="Arial"/>
          <w:sz w:val="24"/>
          <w:szCs w:val="24"/>
        </w:rPr>
        <w:t>some of</w:t>
      </w:r>
      <w:r w:rsidR="001F10BE">
        <w:rPr>
          <w:rFonts w:ascii="Arial" w:hAnsi="Arial" w:cs="Arial"/>
          <w:sz w:val="24"/>
          <w:szCs w:val="24"/>
        </w:rPr>
        <w:t xml:space="preserve"> the stakeholders may disagree on issues, </w:t>
      </w:r>
      <w:r w:rsidR="000C6A8E">
        <w:rPr>
          <w:rFonts w:ascii="Arial" w:hAnsi="Arial" w:cs="Arial"/>
          <w:sz w:val="24"/>
          <w:szCs w:val="24"/>
        </w:rPr>
        <w:t>Staff and</w:t>
      </w:r>
      <w:r w:rsidR="001F10BE">
        <w:rPr>
          <w:rFonts w:ascii="Arial" w:hAnsi="Arial" w:cs="Arial"/>
          <w:sz w:val="24"/>
          <w:szCs w:val="24"/>
        </w:rPr>
        <w:t xml:space="preserve"> the stakeholders</w:t>
      </w:r>
      <w:r w:rsidR="000C6A8E">
        <w:rPr>
          <w:rFonts w:ascii="Arial" w:hAnsi="Arial" w:cs="Arial"/>
          <w:sz w:val="24"/>
          <w:szCs w:val="24"/>
        </w:rPr>
        <w:t xml:space="preserve"> </w:t>
      </w:r>
      <w:r w:rsidR="001F10BE">
        <w:rPr>
          <w:rFonts w:ascii="Arial" w:hAnsi="Arial" w:cs="Arial"/>
          <w:sz w:val="24"/>
          <w:szCs w:val="24"/>
        </w:rPr>
        <w:t xml:space="preserve">share </w:t>
      </w:r>
      <w:r w:rsidR="00DA198D">
        <w:rPr>
          <w:rFonts w:ascii="Arial" w:hAnsi="Arial" w:cs="Arial"/>
          <w:sz w:val="24"/>
          <w:szCs w:val="24"/>
        </w:rPr>
        <w:t>the common goal of making</w:t>
      </w:r>
      <w:r w:rsidR="001F10BE">
        <w:rPr>
          <w:rFonts w:ascii="Arial" w:hAnsi="Arial" w:cs="Arial"/>
          <w:sz w:val="24"/>
          <w:szCs w:val="24"/>
        </w:rPr>
        <w:t xml:space="preserve"> the Ohio electric markets better for </w:t>
      </w:r>
      <w:r w:rsidR="005E63E7">
        <w:rPr>
          <w:rFonts w:ascii="Arial" w:hAnsi="Arial" w:cs="Arial"/>
          <w:sz w:val="24"/>
          <w:szCs w:val="24"/>
        </w:rPr>
        <w:t>customers</w:t>
      </w:r>
      <w:r w:rsidR="001F10BE">
        <w:rPr>
          <w:rFonts w:ascii="Arial" w:hAnsi="Arial" w:cs="Arial"/>
          <w:sz w:val="24"/>
          <w:szCs w:val="24"/>
        </w:rPr>
        <w:t>.</w:t>
      </w:r>
      <w:r w:rsidR="0010088A">
        <w:rPr>
          <w:rFonts w:ascii="Arial" w:hAnsi="Arial" w:cs="Arial"/>
          <w:sz w:val="24"/>
          <w:szCs w:val="24"/>
        </w:rPr>
        <w:t xml:space="preserve"> IGS</w:t>
      </w:r>
      <w:r w:rsidR="009F435D">
        <w:rPr>
          <w:rFonts w:ascii="Arial" w:hAnsi="Arial" w:cs="Arial"/>
          <w:sz w:val="24"/>
          <w:szCs w:val="24"/>
        </w:rPr>
        <w:t xml:space="preserve"> also</w:t>
      </w:r>
      <w:r w:rsidR="0010088A">
        <w:rPr>
          <w:rFonts w:ascii="Arial" w:hAnsi="Arial" w:cs="Arial"/>
          <w:sz w:val="24"/>
          <w:szCs w:val="24"/>
        </w:rPr>
        <w:t xml:space="preserve"> believes that it is a testament to </w:t>
      </w:r>
      <w:r w:rsidR="00B1081A">
        <w:rPr>
          <w:rFonts w:ascii="Arial" w:hAnsi="Arial" w:cs="Arial"/>
          <w:sz w:val="24"/>
          <w:szCs w:val="24"/>
        </w:rPr>
        <w:t>the benefits of competition</w:t>
      </w:r>
      <w:r w:rsidR="0010088A">
        <w:rPr>
          <w:rFonts w:ascii="Arial" w:hAnsi="Arial" w:cs="Arial"/>
          <w:sz w:val="24"/>
          <w:szCs w:val="24"/>
        </w:rPr>
        <w:t xml:space="preserve">, that </w:t>
      </w:r>
      <w:r w:rsidR="001D0AF8">
        <w:rPr>
          <w:rFonts w:ascii="Arial" w:hAnsi="Arial" w:cs="Arial"/>
          <w:sz w:val="24"/>
          <w:szCs w:val="24"/>
        </w:rPr>
        <w:t xml:space="preserve">there </w:t>
      </w:r>
      <w:r w:rsidR="00B1081A">
        <w:rPr>
          <w:rFonts w:ascii="Arial" w:hAnsi="Arial" w:cs="Arial"/>
          <w:sz w:val="24"/>
          <w:szCs w:val="24"/>
        </w:rPr>
        <w:t xml:space="preserve">is little doubt expressed </w:t>
      </w:r>
      <w:r w:rsidR="00CD6C51">
        <w:rPr>
          <w:rFonts w:ascii="Arial" w:hAnsi="Arial" w:cs="Arial"/>
          <w:sz w:val="24"/>
          <w:szCs w:val="24"/>
        </w:rPr>
        <w:t>now</w:t>
      </w:r>
      <w:r w:rsidR="00B1081A">
        <w:rPr>
          <w:rFonts w:ascii="Arial" w:hAnsi="Arial" w:cs="Arial"/>
          <w:sz w:val="24"/>
          <w:szCs w:val="24"/>
        </w:rPr>
        <w:t xml:space="preserve"> </w:t>
      </w:r>
      <w:r w:rsidR="0046230E">
        <w:rPr>
          <w:rFonts w:ascii="Arial" w:hAnsi="Arial" w:cs="Arial"/>
          <w:sz w:val="24"/>
          <w:szCs w:val="24"/>
        </w:rPr>
        <w:t xml:space="preserve">amongst any </w:t>
      </w:r>
      <w:r w:rsidR="0046230E">
        <w:rPr>
          <w:rFonts w:ascii="Arial" w:hAnsi="Arial" w:cs="Arial"/>
          <w:sz w:val="24"/>
          <w:szCs w:val="24"/>
        </w:rPr>
        <w:lastRenderedPageBreak/>
        <w:t xml:space="preserve">stakeholder </w:t>
      </w:r>
      <w:r w:rsidR="00B1081A">
        <w:rPr>
          <w:rFonts w:ascii="Arial" w:hAnsi="Arial" w:cs="Arial"/>
          <w:sz w:val="24"/>
          <w:szCs w:val="24"/>
        </w:rPr>
        <w:t>that</w:t>
      </w:r>
      <w:r w:rsidR="0057159A">
        <w:rPr>
          <w:rFonts w:ascii="Arial" w:hAnsi="Arial" w:cs="Arial"/>
          <w:sz w:val="24"/>
          <w:szCs w:val="24"/>
        </w:rPr>
        <w:t xml:space="preserve"> Ohio’s transition to competitive electric markets has brought benefits to</w:t>
      </w:r>
      <w:r w:rsidR="00CD6C51">
        <w:rPr>
          <w:rFonts w:ascii="Arial" w:hAnsi="Arial" w:cs="Arial"/>
          <w:sz w:val="24"/>
          <w:szCs w:val="24"/>
        </w:rPr>
        <w:t xml:space="preserve"> </w:t>
      </w:r>
      <w:r w:rsidR="0057159A">
        <w:rPr>
          <w:rFonts w:ascii="Arial" w:hAnsi="Arial" w:cs="Arial"/>
          <w:sz w:val="24"/>
          <w:szCs w:val="24"/>
        </w:rPr>
        <w:t>customers.</w:t>
      </w:r>
      <w:r w:rsidR="0010088A">
        <w:rPr>
          <w:rFonts w:ascii="Arial" w:hAnsi="Arial" w:cs="Arial"/>
          <w:sz w:val="24"/>
          <w:szCs w:val="24"/>
        </w:rPr>
        <w:t xml:space="preserve"> </w:t>
      </w:r>
    </w:p>
    <w:p w:rsidR="009678DF" w:rsidRDefault="00B1081A" w:rsidP="006A08A1">
      <w:pPr>
        <w:spacing w:line="480" w:lineRule="auto"/>
        <w:ind w:firstLine="720"/>
        <w:jc w:val="both"/>
        <w:rPr>
          <w:rFonts w:ascii="Arial" w:hAnsi="Arial" w:cs="Arial"/>
          <w:sz w:val="24"/>
          <w:szCs w:val="24"/>
        </w:rPr>
      </w:pPr>
      <w:r>
        <w:rPr>
          <w:rFonts w:ascii="Arial" w:hAnsi="Arial" w:cs="Arial"/>
          <w:sz w:val="24"/>
          <w:szCs w:val="24"/>
        </w:rPr>
        <w:t>While IGS is proud of the benefits Ohio’s competitive electric markets ha</w:t>
      </w:r>
      <w:r w:rsidR="00AD23A5">
        <w:rPr>
          <w:rFonts w:ascii="Arial" w:hAnsi="Arial" w:cs="Arial"/>
          <w:sz w:val="24"/>
          <w:szCs w:val="24"/>
        </w:rPr>
        <w:t>ve</w:t>
      </w:r>
      <w:r>
        <w:rPr>
          <w:rFonts w:ascii="Arial" w:hAnsi="Arial" w:cs="Arial"/>
          <w:sz w:val="24"/>
          <w:szCs w:val="24"/>
        </w:rPr>
        <w:t xml:space="preserve"> brought to customers, it is important that </w:t>
      </w:r>
      <w:r w:rsidR="000C6A8E">
        <w:rPr>
          <w:rFonts w:ascii="Arial" w:hAnsi="Arial" w:cs="Arial"/>
          <w:sz w:val="24"/>
          <w:szCs w:val="24"/>
        </w:rPr>
        <w:t>Commission</w:t>
      </w:r>
      <w:r>
        <w:rPr>
          <w:rFonts w:ascii="Arial" w:hAnsi="Arial" w:cs="Arial"/>
          <w:sz w:val="24"/>
          <w:szCs w:val="24"/>
        </w:rPr>
        <w:t xml:space="preserve"> not adopt an –if it’s not broke, don’t fix it –attitude.</w:t>
      </w:r>
      <w:r w:rsidR="00CD6C51">
        <w:rPr>
          <w:rFonts w:ascii="Arial" w:hAnsi="Arial" w:cs="Arial"/>
          <w:sz w:val="24"/>
          <w:szCs w:val="24"/>
        </w:rPr>
        <w:t xml:space="preserve"> </w:t>
      </w:r>
      <w:r w:rsidR="00CA67FA">
        <w:rPr>
          <w:rFonts w:ascii="Arial" w:hAnsi="Arial" w:cs="Arial"/>
          <w:sz w:val="24"/>
          <w:szCs w:val="24"/>
        </w:rPr>
        <w:t>I</w:t>
      </w:r>
      <w:r w:rsidR="00CD6C51">
        <w:rPr>
          <w:rFonts w:ascii="Arial" w:hAnsi="Arial" w:cs="Arial"/>
          <w:sz w:val="24"/>
          <w:szCs w:val="24"/>
        </w:rPr>
        <w:t>f this attitude were adopted when Ohio made the decision to transition to competitive markets (as some argued then</w:t>
      </w:r>
      <w:r w:rsidR="00686B57">
        <w:rPr>
          <w:rFonts w:ascii="Arial" w:hAnsi="Arial" w:cs="Arial"/>
          <w:sz w:val="24"/>
          <w:szCs w:val="24"/>
        </w:rPr>
        <w:t>) Ohio</w:t>
      </w:r>
      <w:r w:rsidR="00CD6C51">
        <w:rPr>
          <w:rFonts w:ascii="Arial" w:hAnsi="Arial" w:cs="Arial"/>
          <w:sz w:val="24"/>
          <w:szCs w:val="24"/>
        </w:rPr>
        <w:t xml:space="preserve"> would not have seen the benefits that electric Choice </w:t>
      </w:r>
      <w:r w:rsidR="00CA67FA">
        <w:rPr>
          <w:rFonts w:ascii="Arial" w:hAnsi="Arial" w:cs="Arial"/>
          <w:sz w:val="24"/>
          <w:szCs w:val="24"/>
        </w:rPr>
        <w:t xml:space="preserve">has brought to consumers today.  Instead, </w:t>
      </w:r>
      <w:r w:rsidR="00850E71">
        <w:rPr>
          <w:rFonts w:ascii="Arial" w:hAnsi="Arial" w:cs="Arial"/>
          <w:sz w:val="24"/>
          <w:szCs w:val="24"/>
        </w:rPr>
        <w:t xml:space="preserve">the </w:t>
      </w:r>
      <w:r w:rsidR="000C6A8E">
        <w:rPr>
          <w:rFonts w:ascii="Arial" w:hAnsi="Arial" w:cs="Arial"/>
          <w:sz w:val="24"/>
          <w:szCs w:val="24"/>
        </w:rPr>
        <w:t>Commission</w:t>
      </w:r>
      <w:r w:rsidR="00CA67FA">
        <w:rPr>
          <w:rFonts w:ascii="Arial" w:hAnsi="Arial" w:cs="Arial"/>
          <w:sz w:val="24"/>
          <w:szCs w:val="24"/>
        </w:rPr>
        <w:t xml:space="preserve"> should </w:t>
      </w:r>
      <w:r w:rsidR="00AD23A5">
        <w:rPr>
          <w:rFonts w:ascii="Arial" w:hAnsi="Arial" w:cs="Arial"/>
          <w:sz w:val="24"/>
          <w:szCs w:val="24"/>
        </w:rPr>
        <w:t xml:space="preserve">remain </w:t>
      </w:r>
      <w:r w:rsidR="00CA67FA">
        <w:rPr>
          <w:rFonts w:ascii="Arial" w:hAnsi="Arial" w:cs="Arial"/>
          <w:sz w:val="24"/>
          <w:szCs w:val="24"/>
        </w:rPr>
        <w:t xml:space="preserve">focused on the </w:t>
      </w:r>
      <w:r w:rsidR="00AD23A5">
        <w:rPr>
          <w:rFonts w:ascii="Arial" w:hAnsi="Arial" w:cs="Arial"/>
          <w:sz w:val="24"/>
          <w:szCs w:val="24"/>
        </w:rPr>
        <w:t xml:space="preserve">continuing </w:t>
      </w:r>
      <w:r w:rsidR="00CA67FA">
        <w:rPr>
          <w:rFonts w:ascii="Arial" w:hAnsi="Arial" w:cs="Arial"/>
          <w:sz w:val="24"/>
          <w:szCs w:val="24"/>
        </w:rPr>
        <w:t>evolution of competitive electric markets, and the</w:t>
      </w:r>
      <w:r w:rsidR="00697FD4">
        <w:rPr>
          <w:rFonts w:ascii="Arial" w:hAnsi="Arial" w:cs="Arial"/>
          <w:sz w:val="24"/>
          <w:szCs w:val="24"/>
        </w:rPr>
        <w:t xml:space="preserve"> rapidly evolving</w:t>
      </w:r>
      <w:r w:rsidR="00CA67FA">
        <w:rPr>
          <w:rFonts w:ascii="Arial" w:hAnsi="Arial" w:cs="Arial"/>
          <w:sz w:val="24"/>
          <w:szCs w:val="24"/>
        </w:rPr>
        <w:t xml:space="preserve"> technologies and products that are on the </w:t>
      </w:r>
      <w:r w:rsidR="00AD23A5">
        <w:rPr>
          <w:rFonts w:ascii="Arial" w:hAnsi="Arial" w:cs="Arial"/>
          <w:sz w:val="24"/>
          <w:szCs w:val="24"/>
        </w:rPr>
        <w:t>horizon</w:t>
      </w:r>
      <w:r w:rsidR="00CA67FA">
        <w:rPr>
          <w:rFonts w:ascii="Arial" w:hAnsi="Arial" w:cs="Arial"/>
          <w:sz w:val="24"/>
          <w:szCs w:val="24"/>
        </w:rPr>
        <w:t xml:space="preserve">. </w:t>
      </w:r>
      <w:r w:rsidR="00547530">
        <w:rPr>
          <w:rFonts w:ascii="Arial" w:hAnsi="Arial" w:cs="Arial"/>
          <w:sz w:val="24"/>
          <w:szCs w:val="24"/>
        </w:rPr>
        <w:t>T</w:t>
      </w:r>
      <w:r w:rsidR="00686B57">
        <w:rPr>
          <w:rFonts w:ascii="Arial" w:hAnsi="Arial" w:cs="Arial"/>
          <w:sz w:val="24"/>
          <w:szCs w:val="24"/>
        </w:rPr>
        <w:t xml:space="preserve">he Commission should </w:t>
      </w:r>
      <w:r w:rsidR="00991937">
        <w:rPr>
          <w:rFonts w:ascii="Arial" w:hAnsi="Arial" w:cs="Arial"/>
          <w:sz w:val="24"/>
          <w:szCs w:val="24"/>
        </w:rPr>
        <w:t>make it i</w:t>
      </w:r>
      <w:r w:rsidR="00C247A9">
        <w:rPr>
          <w:rFonts w:ascii="Arial" w:hAnsi="Arial" w:cs="Arial"/>
          <w:sz w:val="24"/>
          <w:szCs w:val="24"/>
        </w:rPr>
        <w:t>t</w:t>
      </w:r>
      <w:r w:rsidR="00991937">
        <w:rPr>
          <w:rFonts w:ascii="Arial" w:hAnsi="Arial" w:cs="Arial"/>
          <w:sz w:val="24"/>
          <w:szCs w:val="24"/>
        </w:rPr>
        <w:t>s policy to</w:t>
      </w:r>
      <w:r w:rsidR="00686B57">
        <w:rPr>
          <w:rFonts w:ascii="Arial" w:hAnsi="Arial" w:cs="Arial"/>
          <w:sz w:val="24"/>
          <w:szCs w:val="24"/>
        </w:rPr>
        <w:t xml:space="preserve"> allow competitive forces to drive product offerings and pricing to customers.  The Commission should also make it its goal to eliminate the artificial market structures</w:t>
      </w:r>
      <w:r w:rsidR="00B3076B">
        <w:rPr>
          <w:rFonts w:ascii="Arial" w:hAnsi="Arial" w:cs="Arial"/>
          <w:sz w:val="24"/>
          <w:szCs w:val="24"/>
        </w:rPr>
        <w:t xml:space="preserve"> and subsidies that exist</w:t>
      </w:r>
      <w:r w:rsidR="009F435D">
        <w:rPr>
          <w:rFonts w:ascii="Arial" w:hAnsi="Arial" w:cs="Arial"/>
          <w:sz w:val="24"/>
          <w:szCs w:val="24"/>
        </w:rPr>
        <w:t xml:space="preserve"> current</w:t>
      </w:r>
      <w:r w:rsidR="00B3076B">
        <w:rPr>
          <w:rFonts w:ascii="Arial" w:hAnsi="Arial" w:cs="Arial"/>
          <w:sz w:val="24"/>
          <w:szCs w:val="24"/>
        </w:rPr>
        <w:t>ly in Ohio’s</w:t>
      </w:r>
      <w:r w:rsidR="00686B57">
        <w:rPr>
          <w:rFonts w:ascii="Arial" w:hAnsi="Arial" w:cs="Arial"/>
          <w:sz w:val="24"/>
          <w:szCs w:val="24"/>
        </w:rPr>
        <w:t xml:space="preserve"> electric mark</w:t>
      </w:r>
      <w:r w:rsidR="00697FD4">
        <w:rPr>
          <w:rFonts w:ascii="Arial" w:hAnsi="Arial" w:cs="Arial"/>
          <w:sz w:val="24"/>
          <w:szCs w:val="24"/>
        </w:rPr>
        <w:t>et</w:t>
      </w:r>
      <w:r w:rsidR="00DA198D">
        <w:rPr>
          <w:rFonts w:ascii="Arial" w:hAnsi="Arial" w:cs="Arial"/>
          <w:sz w:val="24"/>
          <w:szCs w:val="24"/>
        </w:rPr>
        <w:t>s</w:t>
      </w:r>
      <w:r w:rsidR="00697FD4">
        <w:rPr>
          <w:rFonts w:ascii="Arial" w:hAnsi="Arial" w:cs="Arial"/>
          <w:sz w:val="24"/>
          <w:szCs w:val="24"/>
        </w:rPr>
        <w:t>.</w:t>
      </w:r>
      <w:r w:rsidR="00DA198D">
        <w:rPr>
          <w:rFonts w:ascii="Arial" w:hAnsi="Arial" w:cs="Arial"/>
          <w:sz w:val="24"/>
          <w:szCs w:val="24"/>
        </w:rPr>
        <w:t xml:space="preserve">  </w:t>
      </w:r>
    </w:p>
    <w:p w:rsidR="00DA198D" w:rsidRDefault="00DA198D" w:rsidP="006A08A1">
      <w:pPr>
        <w:spacing w:line="480" w:lineRule="auto"/>
        <w:ind w:firstLine="720"/>
        <w:jc w:val="both"/>
        <w:rPr>
          <w:rFonts w:ascii="Arial" w:hAnsi="Arial" w:cs="Arial"/>
          <w:sz w:val="24"/>
          <w:szCs w:val="24"/>
        </w:rPr>
      </w:pPr>
      <w:r>
        <w:rPr>
          <w:rFonts w:ascii="Arial" w:hAnsi="Arial" w:cs="Arial"/>
          <w:sz w:val="24"/>
          <w:szCs w:val="24"/>
        </w:rPr>
        <w:t xml:space="preserve">In this context IGS </w:t>
      </w:r>
      <w:r w:rsidR="009678DF">
        <w:rPr>
          <w:rFonts w:ascii="Arial" w:hAnsi="Arial" w:cs="Arial"/>
          <w:sz w:val="24"/>
          <w:szCs w:val="24"/>
        </w:rPr>
        <w:t>makes the following</w:t>
      </w:r>
      <w:r w:rsidR="0046230E">
        <w:rPr>
          <w:rFonts w:ascii="Arial" w:hAnsi="Arial" w:cs="Arial"/>
          <w:sz w:val="24"/>
          <w:szCs w:val="24"/>
        </w:rPr>
        <w:t xml:space="preserve"> comments on the Staff Report:</w:t>
      </w:r>
    </w:p>
    <w:p w:rsidR="009678DF" w:rsidRDefault="009678DF" w:rsidP="00E831FD">
      <w:pPr>
        <w:pStyle w:val="ListParagraph"/>
        <w:numPr>
          <w:ilvl w:val="0"/>
          <w:numId w:val="5"/>
        </w:numPr>
        <w:spacing w:line="240" w:lineRule="auto"/>
        <w:jc w:val="both"/>
        <w:rPr>
          <w:rFonts w:ascii="Arial" w:hAnsi="Arial" w:cs="Arial"/>
          <w:b/>
          <w:sz w:val="24"/>
          <w:szCs w:val="24"/>
        </w:rPr>
      </w:pPr>
      <w:r w:rsidRPr="0046230E">
        <w:rPr>
          <w:rFonts w:ascii="Arial" w:hAnsi="Arial" w:cs="Arial"/>
          <w:b/>
          <w:sz w:val="24"/>
          <w:szCs w:val="24"/>
        </w:rPr>
        <w:t>The existing SSO default rate structure should not be the end state for Ohio’s competitive markets;</w:t>
      </w:r>
    </w:p>
    <w:p w:rsidR="0046230E" w:rsidRPr="0046230E" w:rsidRDefault="0046230E" w:rsidP="00E831FD">
      <w:pPr>
        <w:pStyle w:val="ListParagraph"/>
        <w:spacing w:line="240" w:lineRule="auto"/>
        <w:ind w:left="1080"/>
        <w:jc w:val="both"/>
        <w:rPr>
          <w:rFonts w:ascii="Arial" w:hAnsi="Arial" w:cs="Arial"/>
          <w:b/>
          <w:sz w:val="24"/>
          <w:szCs w:val="24"/>
        </w:rPr>
      </w:pPr>
    </w:p>
    <w:p w:rsidR="009678DF" w:rsidRDefault="00756DD0" w:rsidP="00E831FD">
      <w:pPr>
        <w:pStyle w:val="ListParagraph"/>
        <w:numPr>
          <w:ilvl w:val="0"/>
          <w:numId w:val="5"/>
        </w:numPr>
        <w:spacing w:line="240" w:lineRule="auto"/>
        <w:jc w:val="both"/>
        <w:rPr>
          <w:rFonts w:ascii="Arial" w:hAnsi="Arial" w:cs="Arial"/>
          <w:b/>
          <w:sz w:val="24"/>
          <w:szCs w:val="24"/>
        </w:rPr>
      </w:pPr>
      <w:r>
        <w:rPr>
          <w:rFonts w:ascii="Arial" w:hAnsi="Arial" w:cs="Arial"/>
          <w:b/>
          <w:sz w:val="24"/>
          <w:szCs w:val="24"/>
        </w:rPr>
        <w:t>EDUs should be required</w:t>
      </w:r>
      <w:r w:rsidR="009678DF" w:rsidRPr="0046230E">
        <w:rPr>
          <w:rFonts w:ascii="Arial" w:hAnsi="Arial" w:cs="Arial"/>
          <w:b/>
          <w:sz w:val="24"/>
          <w:szCs w:val="24"/>
        </w:rPr>
        <w:t xml:space="preserve"> to implement supplier consolidated billing </w:t>
      </w:r>
      <w:r w:rsidR="009678DF" w:rsidRPr="0046230E">
        <w:rPr>
          <w:rFonts w:ascii="Arial" w:hAnsi="Arial" w:cs="Arial"/>
          <w:b/>
          <w:i/>
          <w:sz w:val="24"/>
          <w:szCs w:val="24"/>
        </w:rPr>
        <w:t>in addition to</w:t>
      </w:r>
      <w:r w:rsidR="009678DF" w:rsidRPr="0046230E">
        <w:rPr>
          <w:rFonts w:ascii="Arial" w:hAnsi="Arial" w:cs="Arial"/>
          <w:b/>
          <w:sz w:val="24"/>
          <w:szCs w:val="24"/>
        </w:rPr>
        <w:t xml:space="preserve"> purchase of receivables programs</w:t>
      </w:r>
      <w:r w:rsidR="00991937">
        <w:rPr>
          <w:rFonts w:ascii="Arial" w:hAnsi="Arial" w:cs="Arial"/>
          <w:b/>
          <w:sz w:val="24"/>
          <w:szCs w:val="24"/>
        </w:rPr>
        <w:t>;</w:t>
      </w:r>
    </w:p>
    <w:p w:rsidR="0046230E" w:rsidRPr="0046230E" w:rsidRDefault="0046230E" w:rsidP="00E831FD">
      <w:pPr>
        <w:pStyle w:val="ListParagraph"/>
        <w:spacing w:line="240" w:lineRule="auto"/>
        <w:rPr>
          <w:rFonts w:ascii="Arial" w:hAnsi="Arial" w:cs="Arial"/>
          <w:b/>
          <w:sz w:val="24"/>
          <w:szCs w:val="24"/>
        </w:rPr>
      </w:pPr>
    </w:p>
    <w:p w:rsidR="0046230E" w:rsidRPr="0046230E" w:rsidRDefault="0046230E" w:rsidP="00E831FD">
      <w:pPr>
        <w:pStyle w:val="ListParagraph"/>
        <w:spacing w:line="240" w:lineRule="auto"/>
        <w:ind w:left="1080"/>
        <w:jc w:val="both"/>
        <w:rPr>
          <w:rFonts w:ascii="Arial" w:hAnsi="Arial" w:cs="Arial"/>
          <w:b/>
          <w:sz w:val="24"/>
          <w:szCs w:val="24"/>
        </w:rPr>
      </w:pPr>
    </w:p>
    <w:p w:rsidR="009678DF" w:rsidRDefault="009678DF" w:rsidP="00E831FD">
      <w:pPr>
        <w:pStyle w:val="ListParagraph"/>
        <w:numPr>
          <w:ilvl w:val="0"/>
          <w:numId w:val="5"/>
        </w:numPr>
        <w:spacing w:line="240" w:lineRule="auto"/>
        <w:jc w:val="both"/>
        <w:rPr>
          <w:rFonts w:ascii="Arial" w:hAnsi="Arial" w:cs="Arial"/>
          <w:b/>
          <w:sz w:val="24"/>
          <w:szCs w:val="24"/>
        </w:rPr>
      </w:pPr>
      <w:r w:rsidRPr="0046230E">
        <w:rPr>
          <w:rFonts w:ascii="Arial" w:hAnsi="Arial" w:cs="Arial"/>
          <w:b/>
          <w:sz w:val="24"/>
          <w:szCs w:val="24"/>
        </w:rPr>
        <w:t xml:space="preserve">If non-commodity products or services are already being billed </w:t>
      </w:r>
      <w:r w:rsidR="00991937">
        <w:rPr>
          <w:rFonts w:ascii="Arial" w:hAnsi="Arial" w:cs="Arial"/>
          <w:b/>
          <w:sz w:val="24"/>
          <w:szCs w:val="24"/>
        </w:rPr>
        <w:t>on</w:t>
      </w:r>
      <w:r w:rsidRPr="0046230E">
        <w:rPr>
          <w:rFonts w:ascii="Arial" w:hAnsi="Arial" w:cs="Arial"/>
          <w:b/>
          <w:sz w:val="24"/>
          <w:szCs w:val="24"/>
        </w:rPr>
        <w:t xml:space="preserve"> the EDU bill, th</w:t>
      </w:r>
      <w:r w:rsidR="008A1E3E">
        <w:rPr>
          <w:rFonts w:ascii="Arial" w:hAnsi="Arial" w:cs="Arial"/>
          <w:b/>
          <w:sz w:val="24"/>
          <w:szCs w:val="24"/>
        </w:rPr>
        <w:t>e</w:t>
      </w:r>
      <w:r w:rsidRPr="0046230E">
        <w:rPr>
          <w:rFonts w:ascii="Arial" w:hAnsi="Arial" w:cs="Arial"/>
          <w:b/>
          <w:sz w:val="24"/>
          <w:szCs w:val="24"/>
        </w:rPr>
        <w:t xml:space="preserve">n the Commission should require EDUs to make that billing option available to CRES suppliers that wish to offer that non-commodity </w:t>
      </w:r>
      <w:r w:rsidR="0046230E">
        <w:rPr>
          <w:rFonts w:ascii="Arial" w:hAnsi="Arial" w:cs="Arial"/>
          <w:b/>
          <w:sz w:val="24"/>
          <w:szCs w:val="24"/>
        </w:rPr>
        <w:t>product or service to customers;</w:t>
      </w:r>
    </w:p>
    <w:p w:rsidR="0046230E" w:rsidRPr="0046230E" w:rsidRDefault="0046230E" w:rsidP="00E831FD">
      <w:pPr>
        <w:pStyle w:val="ListParagraph"/>
        <w:spacing w:line="240" w:lineRule="auto"/>
        <w:ind w:left="1080"/>
        <w:jc w:val="both"/>
        <w:rPr>
          <w:rFonts w:ascii="Arial" w:hAnsi="Arial" w:cs="Arial"/>
          <w:b/>
          <w:sz w:val="24"/>
          <w:szCs w:val="24"/>
        </w:rPr>
      </w:pPr>
    </w:p>
    <w:p w:rsidR="00991937" w:rsidRDefault="005E4CEE" w:rsidP="00E831FD">
      <w:pPr>
        <w:pStyle w:val="ListParagraph"/>
        <w:numPr>
          <w:ilvl w:val="0"/>
          <w:numId w:val="5"/>
        </w:numPr>
        <w:spacing w:line="240" w:lineRule="auto"/>
        <w:jc w:val="both"/>
        <w:rPr>
          <w:rFonts w:ascii="Arial" w:hAnsi="Arial" w:cs="Arial"/>
          <w:b/>
          <w:sz w:val="24"/>
          <w:szCs w:val="24"/>
        </w:rPr>
      </w:pPr>
      <w:r>
        <w:rPr>
          <w:rFonts w:ascii="Arial" w:hAnsi="Arial" w:cs="Arial"/>
          <w:b/>
          <w:sz w:val="24"/>
          <w:szCs w:val="24"/>
        </w:rPr>
        <w:t>C</w:t>
      </w:r>
      <w:r w:rsidR="009678DF" w:rsidRPr="0046230E">
        <w:rPr>
          <w:rFonts w:ascii="Arial" w:hAnsi="Arial" w:cs="Arial"/>
          <w:b/>
          <w:sz w:val="24"/>
          <w:szCs w:val="24"/>
        </w:rPr>
        <w:t xml:space="preserve">orporate separation </w:t>
      </w:r>
      <w:r w:rsidR="00991937">
        <w:rPr>
          <w:rFonts w:ascii="Arial" w:hAnsi="Arial" w:cs="Arial"/>
          <w:b/>
          <w:sz w:val="24"/>
          <w:szCs w:val="24"/>
        </w:rPr>
        <w:t>should be</w:t>
      </w:r>
      <w:r w:rsidR="009678DF" w:rsidRPr="0046230E">
        <w:rPr>
          <w:rFonts w:ascii="Arial" w:hAnsi="Arial" w:cs="Arial"/>
          <w:b/>
          <w:sz w:val="24"/>
          <w:szCs w:val="24"/>
        </w:rPr>
        <w:t xml:space="preserve"> enforced</w:t>
      </w:r>
      <w:r w:rsidR="00AD23A5">
        <w:rPr>
          <w:rFonts w:ascii="Arial" w:hAnsi="Arial" w:cs="Arial"/>
          <w:b/>
          <w:sz w:val="24"/>
          <w:szCs w:val="24"/>
        </w:rPr>
        <w:t>,</w:t>
      </w:r>
      <w:r>
        <w:rPr>
          <w:rFonts w:ascii="Arial" w:hAnsi="Arial" w:cs="Arial"/>
          <w:b/>
          <w:sz w:val="24"/>
          <w:szCs w:val="24"/>
        </w:rPr>
        <w:t xml:space="preserve"> including the elimination of shared </w:t>
      </w:r>
      <w:r w:rsidR="00783F60">
        <w:rPr>
          <w:rFonts w:ascii="Arial" w:hAnsi="Arial" w:cs="Arial"/>
          <w:b/>
          <w:sz w:val="24"/>
          <w:szCs w:val="24"/>
        </w:rPr>
        <w:t>resources</w:t>
      </w:r>
      <w:r w:rsidR="009678DF" w:rsidRPr="0046230E">
        <w:rPr>
          <w:rFonts w:ascii="Arial" w:hAnsi="Arial" w:cs="Arial"/>
          <w:b/>
          <w:sz w:val="24"/>
          <w:szCs w:val="24"/>
        </w:rPr>
        <w:t>;</w:t>
      </w:r>
    </w:p>
    <w:p w:rsidR="00850E71" w:rsidRPr="00850E71" w:rsidRDefault="00850E71" w:rsidP="00E831FD">
      <w:pPr>
        <w:pStyle w:val="ListParagraph"/>
        <w:spacing w:line="240" w:lineRule="auto"/>
        <w:rPr>
          <w:rFonts w:ascii="Arial" w:hAnsi="Arial" w:cs="Arial"/>
          <w:b/>
          <w:sz w:val="24"/>
          <w:szCs w:val="24"/>
        </w:rPr>
      </w:pPr>
    </w:p>
    <w:p w:rsidR="00E831FD" w:rsidRPr="00E831FD" w:rsidRDefault="00850E71" w:rsidP="00E831FD">
      <w:pPr>
        <w:pStyle w:val="ListParagraph"/>
        <w:numPr>
          <w:ilvl w:val="0"/>
          <w:numId w:val="5"/>
        </w:numPr>
        <w:spacing w:line="240" w:lineRule="auto"/>
        <w:jc w:val="both"/>
        <w:rPr>
          <w:rFonts w:ascii="Arial" w:hAnsi="Arial" w:cs="Arial"/>
          <w:b/>
          <w:sz w:val="24"/>
          <w:szCs w:val="24"/>
        </w:rPr>
      </w:pPr>
      <w:r>
        <w:rPr>
          <w:rFonts w:ascii="Arial" w:hAnsi="Arial" w:cs="Arial"/>
          <w:b/>
          <w:sz w:val="24"/>
          <w:szCs w:val="24"/>
        </w:rPr>
        <w:t>Seamless move and contract portability should be adopted;</w:t>
      </w:r>
    </w:p>
    <w:p w:rsidR="00E831FD" w:rsidRPr="00E831FD" w:rsidRDefault="00E831FD" w:rsidP="00E831FD">
      <w:pPr>
        <w:pStyle w:val="ListParagraph"/>
        <w:spacing w:line="240" w:lineRule="auto"/>
        <w:ind w:left="1080"/>
        <w:jc w:val="both"/>
        <w:rPr>
          <w:rFonts w:ascii="Arial" w:hAnsi="Arial" w:cs="Arial"/>
          <w:b/>
          <w:sz w:val="24"/>
          <w:szCs w:val="24"/>
        </w:rPr>
      </w:pPr>
    </w:p>
    <w:p w:rsidR="0046230E" w:rsidRDefault="0046230E" w:rsidP="00E831FD">
      <w:pPr>
        <w:pStyle w:val="ListParagraph"/>
        <w:numPr>
          <w:ilvl w:val="0"/>
          <w:numId w:val="5"/>
        </w:numPr>
        <w:spacing w:line="240" w:lineRule="auto"/>
        <w:jc w:val="both"/>
        <w:rPr>
          <w:rFonts w:ascii="Arial" w:hAnsi="Arial" w:cs="Arial"/>
          <w:b/>
          <w:sz w:val="24"/>
          <w:szCs w:val="24"/>
        </w:rPr>
      </w:pPr>
      <w:r w:rsidRPr="0046230E">
        <w:rPr>
          <w:rFonts w:ascii="Arial" w:hAnsi="Arial" w:cs="Arial"/>
          <w:b/>
          <w:sz w:val="24"/>
          <w:szCs w:val="24"/>
        </w:rPr>
        <w:lastRenderedPageBreak/>
        <w:t>T</w:t>
      </w:r>
      <w:r w:rsidR="009678DF" w:rsidRPr="0046230E">
        <w:rPr>
          <w:rFonts w:ascii="Arial" w:hAnsi="Arial" w:cs="Arial"/>
          <w:b/>
          <w:sz w:val="24"/>
          <w:szCs w:val="24"/>
        </w:rPr>
        <w:t>he requirement that new EDU distribution customers enroll in the SSO for a minimum period of time, before switching to a competitive product</w:t>
      </w:r>
      <w:r w:rsidR="00991937">
        <w:rPr>
          <w:rFonts w:ascii="Arial" w:hAnsi="Arial" w:cs="Arial"/>
          <w:b/>
          <w:sz w:val="24"/>
          <w:szCs w:val="24"/>
        </w:rPr>
        <w:t>,</w:t>
      </w:r>
      <w:r w:rsidRPr="0046230E">
        <w:rPr>
          <w:rFonts w:ascii="Arial" w:hAnsi="Arial" w:cs="Arial"/>
          <w:b/>
          <w:sz w:val="24"/>
          <w:szCs w:val="24"/>
        </w:rPr>
        <w:t xml:space="preserve"> should be eliminated</w:t>
      </w:r>
      <w:r w:rsidR="009678DF" w:rsidRPr="0046230E">
        <w:rPr>
          <w:rFonts w:ascii="Arial" w:hAnsi="Arial" w:cs="Arial"/>
          <w:b/>
          <w:sz w:val="24"/>
          <w:szCs w:val="24"/>
        </w:rPr>
        <w:t>;</w:t>
      </w:r>
    </w:p>
    <w:p w:rsidR="00E831FD" w:rsidRPr="00E831FD" w:rsidRDefault="00E831FD" w:rsidP="00E831FD">
      <w:pPr>
        <w:pStyle w:val="ListParagraph"/>
        <w:spacing w:line="240" w:lineRule="auto"/>
        <w:ind w:left="1080"/>
        <w:jc w:val="both"/>
        <w:rPr>
          <w:rFonts w:ascii="Arial" w:hAnsi="Arial" w:cs="Arial"/>
          <w:b/>
          <w:sz w:val="24"/>
          <w:szCs w:val="24"/>
        </w:rPr>
      </w:pPr>
    </w:p>
    <w:p w:rsidR="0046230E" w:rsidRDefault="0046230E" w:rsidP="00E831FD">
      <w:pPr>
        <w:pStyle w:val="ListParagraph"/>
        <w:numPr>
          <w:ilvl w:val="0"/>
          <w:numId w:val="5"/>
        </w:numPr>
        <w:spacing w:line="240" w:lineRule="auto"/>
        <w:jc w:val="both"/>
        <w:rPr>
          <w:rFonts w:ascii="Arial" w:hAnsi="Arial" w:cs="Arial"/>
          <w:b/>
          <w:sz w:val="24"/>
          <w:szCs w:val="24"/>
        </w:rPr>
      </w:pPr>
      <w:r w:rsidRPr="0046230E">
        <w:rPr>
          <w:rFonts w:ascii="Arial" w:hAnsi="Arial" w:cs="Arial"/>
          <w:b/>
          <w:sz w:val="24"/>
          <w:szCs w:val="24"/>
        </w:rPr>
        <w:t xml:space="preserve">If the EDU price to compare is required to be disclosed on the </w:t>
      </w:r>
      <w:r w:rsidR="008A1E3E">
        <w:rPr>
          <w:rFonts w:ascii="Arial" w:hAnsi="Arial" w:cs="Arial"/>
          <w:b/>
          <w:sz w:val="24"/>
          <w:szCs w:val="24"/>
        </w:rPr>
        <w:t>bill for shopping customers, the</w:t>
      </w:r>
      <w:r w:rsidRPr="0046230E">
        <w:rPr>
          <w:rFonts w:ascii="Arial" w:hAnsi="Arial" w:cs="Arial"/>
          <w:b/>
          <w:sz w:val="24"/>
          <w:szCs w:val="24"/>
        </w:rPr>
        <w:t>n a similar disclosure should be made on the bill for SSO customers that indicates the savings customers could have achieved had they switched to a CRES provider;</w:t>
      </w:r>
    </w:p>
    <w:p w:rsidR="0046230E" w:rsidRPr="0046230E" w:rsidRDefault="0046230E" w:rsidP="00E831FD">
      <w:pPr>
        <w:pStyle w:val="ListParagraph"/>
        <w:spacing w:line="240" w:lineRule="auto"/>
        <w:ind w:left="1080"/>
        <w:jc w:val="both"/>
        <w:rPr>
          <w:rFonts w:ascii="Arial" w:hAnsi="Arial" w:cs="Arial"/>
          <w:b/>
          <w:sz w:val="24"/>
          <w:szCs w:val="24"/>
        </w:rPr>
      </w:pPr>
    </w:p>
    <w:p w:rsidR="0046230E" w:rsidRDefault="0046230E" w:rsidP="00756DD0">
      <w:pPr>
        <w:pStyle w:val="ListParagraph"/>
        <w:numPr>
          <w:ilvl w:val="0"/>
          <w:numId w:val="5"/>
        </w:numPr>
        <w:spacing w:line="240" w:lineRule="auto"/>
        <w:jc w:val="both"/>
        <w:rPr>
          <w:rFonts w:ascii="Arial" w:hAnsi="Arial" w:cs="Arial"/>
          <w:b/>
          <w:sz w:val="24"/>
          <w:szCs w:val="24"/>
        </w:rPr>
      </w:pPr>
      <w:r w:rsidRPr="0046230E">
        <w:rPr>
          <w:rFonts w:ascii="Arial" w:hAnsi="Arial" w:cs="Arial"/>
          <w:b/>
          <w:sz w:val="24"/>
          <w:szCs w:val="24"/>
        </w:rPr>
        <w:t>CRES suppliers</w:t>
      </w:r>
      <w:r w:rsidR="00756DD0">
        <w:rPr>
          <w:rFonts w:ascii="Arial" w:hAnsi="Arial" w:cs="Arial"/>
          <w:b/>
          <w:sz w:val="24"/>
          <w:szCs w:val="24"/>
        </w:rPr>
        <w:t xml:space="preserve"> should not be required</w:t>
      </w:r>
      <w:r w:rsidRPr="0046230E">
        <w:rPr>
          <w:rFonts w:ascii="Arial" w:hAnsi="Arial" w:cs="Arial"/>
          <w:b/>
          <w:sz w:val="24"/>
          <w:szCs w:val="24"/>
        </w:rPr>
        <w:t xml:space="preserve"> to make public proprietary information.</w:t>
      </w:r>
    </w:p>
    <w:p w:rsidR="00E831FD" w:rsidRPr="00E831FD" w:rsidRDefault="00E831FD" w:rsidP="00E831FD">
      <w:pPr>
        <w:pStyle w:val="ListParagraph"/>
        <w:rPr>
          <w:rFonts w:ascii="Arial" w:hAnsi="Arial" w:cs="Arial"/>
          <w:b/>
          <w:sz w:val="24"/>
          <w:szCs w:val="24"/>
        </w:rPr>
      </w:pPr>
    </w:p>
    <w:p w:rsidR="00E831FD" w:rsidRPr="00E831FD" w:rsidRDefault="00E831FD" w:rsidP="00E831FD">
      <w:pPr>
        <w:pStyle w:val="ListParagraph"/>
        <w:spacing w:line="240" w:lineRule="auto"/>
        <w:ind w:left="1080"/>
        <w:jc w:val="both"/>
        <w:rPr>
          <w:rFonts w:ascii="Arial" w:hAnsi="Arial" w:cs="Arial"/>
          <w:b/>
          <w:sz w:val="24"/>
          <w:szCs w:val="24"/>
        </w:rPr>
      </w:pPr>
    </w:p>
    <w:p w:rsidR="009678DF" w:rsidRDefault="0046230E" w:rsidP="0046230E">
      <w:pPr>
        <w:spacing w:line="480" w:lineRule="auto"/>
        <w:ind w:firstLine="720"/>
        <w:jc w:val="both"/>
        <w:rPr>
          <w:rFonts w:ascii="Arial" w:hAnsi="Arial" w:cs="Arial"/>
          <w:sz w:val="24"/>
          <w:szCs w:val="24"/>
        </w:rPr>
      </w:pPr>
      <w:r>
        <w:rPr>
          <w:rFonts w:ascii="Arial" w:hAnsi="Arial" w:cs="Arial"/>
          <w:sz w:val="24"/>
          <w:szCs w:val="24"/>
        </w:rPr>
        <w:t xml:space="preserve">IGS respectfully requests the Commission consider its comments and </w:t>
      </w:r>
      <w:r w:rsidR="00300731">
        <w:rPr>
          <w:rFonts w:ascii="Arial" w:hAnsi="Arial" w:cs="Arial"/>
          <w:sz w:val="24"/>
          <w:szCs w:val="24"/>
        </w:rPr>
        <w:t xml:space="preserve">adopt its </w:t>
      </w:r>
      <w:r>
        <w:rPr>
          <w:rFonts w:ascii="Arial" w:hAnsi="Arial" w:cs="Arial"/>
          <w:sz w:val="24"/>
          <w:szCs w:val="24"/>
        </w:rPr>
        <w:t>recommendations for the reasons more fully set forth below.</w:t>
      </w:r>
    </w:p>
    <w:p w:rsidR="00B1081A" w:rsidRDefault="00DA198D" w:rsidP="00DA198D">
      <w:pPr>
        <w:pStyle w:val="ListParagraph"/>
        <w:numPr>
          <w:ilvl w:val="0"/>
          <w:numId w:val="1"/>
        </w:numPr>
        <w:spacing w:line="480" w:lineRule="auto"/>
        <w:rPr>
          <w:rFonts w:ascii="Arial" w:hAnsi="Arial" w:cs="Arial"/>
          <w:b/>
          <w:sz w:val="24"/>
          <w:szCs w:val="24"/>
        </w:rPr>
      </w:pPr>
      <w:r w:rsidRPr="00DA198D">
        <w:rPr>
          <w:rFonts w:ascii="Arial" w:hAnsi="Arial" w:cs="Arial"/>
          <w:b/>
          <w:sz w:val="24"/>
          <w:szCs w:val="24"/>
        </w:rPr>
        <w:t>COMMENTS</w:t>
      </w:r>
      <w:r w:rsidR="00697FD4" w:rsidRPr="00DA198D">
        <w:rPr>
          <w:rFonts w:ascii="Arial" w:hAnsi="Arial" w:cs="Arial"/>
          <w:b/>
          <w:sz w:val="24"/>
          <w:szCs w:val="24"/>
        </w:rPr>
        <w:t xml:space="preserve"> </w:t>
      </w:r>
    </w:p>
    <w:p w:rsidR="00DA198D" w:rsidRDefault="00DA198D" w:rsidP="002A7B17">
      <w:pPr>
        <w:pStyle w:val="ListParagraph"/>
        <w:numPr>
          <w:ilvl w:val="0"/>
          <w:numId w:val="2"/>
        </w:numPr>
        <w:spacing w:line="240" w:lineRule="auto"/>
        <w:rPr>
          <w:rFonts w:ascii="Arial" w:hAnsi="Arial" w:cs="Arial"/>
          <w:b/>
          <w:sz w:val="24"/>
          <w:szCs w:val="24"/>
        </w:rPr>
      </w:pPr>
      <w:r>
        <w:rPr>
          <w:rFonts w:ascii="Arial" w:hAnsi="Arial" w:cs="Arial"/>
          <w:b/>
          <w:sz w:val="24"/>
          <w:szCs w:val="24"/>
        </w:rPr>
        <w:t xml:space="preserve">The Existing SSO Default Rate Structure Should not be the </w:t>
      </w:r>
      <w:r w:rsidR="00A319A4">
        <w:rPr>
          <w:rFonts w:ascii="Arial" w:hAnsi="Arial" w:cs="Arial"/>
          <w:b/>
          <w:sz w:val="24"/>
          <w:szCs w:val="24"/>
        </w:rPr>
        <w:t xml:space="preserve">End State </w:t>
      </w:r>
      <w:r>
        <w:rPr>
          <w:rFonts w:ascii="Arial" w:hAnsi="Arial" w:cs="Arial"/>
          <w:b/>
          <w:sz w:val="24"/>
          <w:szCs w:val="24"/>
        </w:rPr>
        <w:t>for</w:t>
      </w:r>
      <w:r w:rsidR="00A319A4">
        <w:rPr>
          <w:rFonts w:ascii="Arial" w:hAnsi="Arial" w:cs="Arial"/>
          <w:b/>
          <w:sz w:val="24"/>
          <w:szCs w:val="24"/>
        </w:rPr>
        <w:t xml:space="preserve"> Ohio’s</w:t>
      </w:r>
      <w:r>
        <w:rPr>
          <w:rFonts w:ascii="Arial" w:hAnsi="Arial" w:cs="Arial"/>
          <w:b/>
          <w:sz w:val="24"/>
          <w:szCs w:val="24"/>
        </w:rPr>
        <w:t xml:space="preserve"> Competitive Markets.</w:t>
      </w:r>
    </w:p>
    <w:p w:rsidR="006A08A1" w:rsidRDefault="00547530" w:rsidP="006A08A1">
      <w:pPr>
        <w:spacing w:line="480" w:lineRule="auto"/>
        <w:ind w:firstLine="720"/>
        <w:jc w:val="both"/>
        <w:rPr>
          <w:rFonts w:ascii="Arial" w:hAnsi="Arial" w:cs="Arial"/>
          <w:sz w:val="24"/>
          <w:szCs w:val="24"/>
        </w:rPr>
      </w:pPr>
      <w:r>
        <w:rPr>
          <w:rFonts w:ascii="Arial" w:hAnsi="Arial" w:cs="Arial"/>
          <w:sz w:val="24"/>
          <w:szCs w:val="24"/>
        </w:rPr>
        <w:t>The Staff Report</w:t>
      </w:r>
      <w:r w:rsidR="006A08A1">
        <w:rPr>
          <w:rFonts w:ascii="Arial" w:hAnsi="Arial" w:cs="Arial"/>
          <w:sz w:val="24"/>
          <w:szCs w:val="24"/>
        </w:rPr>
        <w:t xml:space="preserve"> recommends that</w:t>
      </w:r>
      <w:r w:rsidR="00487731">
        <w:rPr>
          <w:rFonts w:ascii="Arial" w:hAnsi="Arial" w:cs="Arial"/>
          <w:sz w:val="24"/>
          <w:szCs w:val="24"/>
        </w:rPr>
        <w:t xml:space="preserve"> the</w:t>
      </w:r>
      <w:r w:rsidR="000C6A8E">
        <w:rPr>
          <w:rFonts w:ascii="Arial" w:hAnsi="Arial" w:cs="Arial"/>
          <w:sz w:val="24"/>
          <w:szCs w:val="24"/>
        </w:rPr>
        <w:t xml:space="preserve"> </w:t>
      </w:r>
      <w:r w:rsidR="006A08A1">
        <w:rPr>
          <w:rFonts w:ascii="Arial" w:hAnsi="Arial" w:cs="Arial"/>
          <w:sz w:val="24"/>
          <w:szCs w:val="24"/>
        </w:rPr>
        <w:t>Commission maintain the current SSO model which assigns customers by default to the SSO product</w:t>
      </w:r>
      <w:r w:rsidR="004C23A2">
        <w:rPr>
          <w:rFonts w:ascii="Arial" w:hAnsi="Arial" w:cs="Arial"/>
          <w:sz w:val="24"/>
          <w:szCs w:val="24"/>
        </w:rPr>
        <w:t xml:space="preserve"> procured via a competitively bid descending clock auction</w:t>
      </w:r>
      <w:r w:rsidR="006A08A1">
        <w:rPr>
          <w:rFonts w:ascii="Arial" w:hAnsi="Arial" w:cs="Arial"/>
          <w:sz w:val="24"/>
          <w:szCs w:val="24"/>
        </w:rPr>
        <w:t>.</w:t>
      </w:r>
      <w:r w:rsidR="006A08A1">
        <w:rPr>
          <w:rStyle w:val="FootnoteReference"/>
          <w:rFonts w:ascii="Arial" w:hAnsi="Arial" w:cs="Arial"/>
          <w:sz w:val="24"/>
          <w:szCs w:val="24"/>
        </w:rPr>
        <w:footnoteReference w:id="3"/>
      </w:r>
      <w:r w:rsidR="006A08A1">
        <w:rPr>
          <w:rFonts w:ascii="Arial" w:hAnsi="Arial" w:cs="Arial"/>
          <w:sz w:val="24"/>
          <w:szCs w:val="24"/>
        </w:rPr>
        <w:t xml:space="preserve">  Staff</w:t>
      </w:r>
      <w:r w:rsidR="000C6A8E">
        <w:rPr>
          <w:rFonts w:ascii="Arial" w:hAnsi="Arial" w:cs="Arial"/>
          <w:sz w:val="24"/>
          <w:szCs w:val="24"/>
        </w:rPr>
        <w:t xml:space="preserve"> also</w:t>
      </w:r>
      <w:r w:rsidR="006A08A1">
        <w:rPr>
          <w:rFonts w:ascii="Arial" w:hAnsi="Arial" w:cs="Arial"/>
          <w:sz w:val="24"/>
          <w:szCs w:val="24"/>
        </w:rPr>
        <w:t xml:space="preserve"> recommends that the Commission reevaluate the current SSO structure once “customer awareness and participation” in the competitive electric markets</w:t>
      </w:r>
      <w:r w:rsidR="000C6A8E">
        <w:rPr>
          <w:rFonts w:ascii="Arial" w:hAnsi="Arial" w:cs="Arial"/>
          <w:sz w:val="24"/>
          <w:szCs w:val="24"/>
        </w:rPr>
        <w:t xml:space="preserve"> increases</w:t>
      </w:r>
      <w:r w:rsidR="006A08A1">
        <w:rPr>
          <w:rFonts w:ascii="Arial" w:hAnsi="Arial" w:cs="Arial"/>
          <w:sz w:val="24"/>
          <w:szCs w:val="24"/>
        </w:rPr>
        <w:t>.</w:t>
      </w:r>
      <w:r w:rsidR="000C6A8E">
        <w:rPr>
          <w:rStyle w:val="FootnoteReference"/>
          <w:rFonts w:ascii="Arial" w:hAnsi="Arial" w:cs="Arial"/>
          <w:sz w:val="24"/>
          <w:szCs w:val="24"/>
        </w:rPr>
        <w:footnoteReference w:id="4"/>
      </w:r>
      <w:r w:rsidR="006A08A1">
        <w:rPr>
          <w:rFonts w:ascii="Arial" w:hAnsi="Arial" w:cs="Arial"/>
          <w:sz w:val="24"/>
          <w:szCs w:val="24"/>
        </w:rPr>
        <w:t xml:space="preserve">  IGS </w:t>
      </w:r>
      <w:r w:rsidR="00F20965">
        <w:rPr>
          <w:rFonts w:ascii="Arial" w:hAnsi="Arial" w:cs="Arial"/>
          <w:sz w:val="24"/>
          <w:szCs w:val="24"/>
        </w:rPr>
        <w:t>commends</w:t>
      </w:r>
      <w:r w:rsidR="006A08A1">
        <w:rPr>
          <w:rFonts w:ascii="Arial" w:hAnsi="Arial" w:cs="Arial"/>
          <w:sz w:val="24"/>
          <w:szCs w:val="24"/>
        </w:rPr>
        <w:t xml:space="preserve"> Staff </w:t>
      </w:r>
      <w:r w:rsidR="00F20965">
        <w:rPr>
          <w:rFonts w:ascii="Arial" w:hAnsi="Arial" w:cs="Arial"/>
          <w:sz w:val="24"/>
          <w:szCs w:val="24"/>
        </w:rPr>
        <w:t xml:space="preserve">for its </w:t>
      </w:r>
      <w:r w:rsidR="006A08A1">
        <w:rPr>
          <w:rFonts w:ascii="Arial" w:hAnsi="Arial" w:cs="Arial"/>
          <w:sz w:val="24"/>
          <w:szCs w:val="24"/>
        </w:rPr>
        <w:t xml:space="preserve">recognition that </w:t>
      </w:r>
      <w:r w:rsidR="000C6A8E">
        <w:rPr>
          <w:rFonts w:ascii="Arial" w:hAnsi="Arial" w:cs="Arial"/>
          <w:sz w:val="24"/>
          <w:szCs w:val="24"/>
        </w:rPr>
        <w:t xml:space="preserve">the current SSO structure </w:t>
      </w:r>
      <w:r w:rsidR="00D538D9">
        <w:rPr>
          <w:rFonts w:ascii="Arial" w:hAnsi="Arial" w:cs="Arial"/>
          <w:sz w:val="24"/>
          <w:szCs w:val="24"/>
        </w:rPr>
        <w:t>may</w:t>
      </w:r>
      <w:r w:rsidR="000C6A8E">
        <w:rPr>
          <w:rFonts w:ascii="Arial" w:hAnsi="Arial" w:cs="Arial"/>
          <w:sz w:val="24"/>
          <w:szCs w:val="24"/>
        </w:rPr>
        <w:t xml:space="preserve"> not</w:t>
      </w:r>
      <w:r w:rsidR="00D538D9">
        <w:rPr>
          <w:rFonts w:ascii="Arial" w:hAnsi="Arial" w:cs="Arial"/>
          <w:sz w:val="24"/>
          <w:szCs w:val="24"/>
        </w:rPr>
        <w:t xml:space="preserve"> be</w:t>
      </w:r>
      <w:r w:rsidR="000C6A8E">
        <w:rPr>
          <w:rFonts w:ascii="Arial" w:hAnsi="Arial" w:cs="Arial"/>
          <w:sz w:val="24"/>
          <w:szCs w:val="24"/>
        </w:rPr>
        <w:t xml:space="preserve"> the desired end state for Ohio’s competitive retail electric markets; however, the current SSO structure</w:t>
      </w:r>
      <w:r w:rsidR="00F20965">
        <w:rPr>
          <w:rFonts w:ascii="Arial" w:hAnsi="Arial" w:cs="Arial"/>
          <w:sz w:val="24"/>
          <w:szCs w:val="24"/>
        </w:rPr>
        <w:t xml:space="preserve"> severely inhibits</w:t>
      </w:r>
      <w:r w:rsidR="000C6A8E">
        <w:rPr>
          <w:rFonts w:ascii="Arial" w:hAnsi="Arial" w:cs="Arial"/>
          <w:sz w:val="24"/>
          <w:szCs w:val="24"/>
        </w:rPr>
        <w:t xml:space="preserve"> customer awareness and participation in competitive markets</w:t>
      </w:r>
      <w:r w:rsidR="00AD23A5">
        <w:rPr>
          <w:rFonts w:ascii="Arial" w:hAnsi="Arial" w:cs="Arial"/>
          <w:sz w:val="24"/>
          <w:szCs w:val="24"/>
        </w:rPr>
        <w:t xml:space="preserve">; </w:t>
      </w:r>
      <w:r w:rsidR="00F20965">
        <w:rPr>
          <w:rFonts w:ascii="Arial" w:hAnsi="Arial" w:cs="Arial"/>
          <w:sz w:val="24"/>
          <w:szCs w:val="24"/>
        </w:rPr>
        <w:t>thus</w:t>
      </w:r>
      <w:r w:rsidR="00AD23A5">
        <w:rPr>
          <w:rFonts w:ascii="Arial" w:hAnsi="Arial" w:cs="Arial"/>
          <w:sz w:val="24"/>
          <w:szCs w:val="24"/>
        </w:rPr>
        <w:t>,</w:t>
      </w:r>
      <w:r w:rsidR="00C60870">
        <w:rPr>
          <w:rFonts w:ascii="Arial" w:hAnsi="Arial" w:cs="Arial"/>
          <w:sz w:val="24"/>
          <w:szCs w:val="24"/>
        </w:rPr>
        <w:t xml:space="preserve"> the level of</w:t>
      </w:r>
      <w:r w:rsidR="00F20965">
        <w:rPr>
          <w:rFonts w:ascii="Arial" w:hAnsi="Arial" w:cs="Arial"/>
          <w:sz w:val="24"/>
          <w:szCs w:val="24"/>
        </w:rPr>
        <w:t xml:space="preserve"> </w:t>
      </w:r>
      <w:r w:rsidR="000C6A8E">
        <w:rPr>
          <w:rFonts w:ascii="Arial" w:hAnsi="Arial" w:cs="Arial"/>
          <w:sz w:val="24"/>
          <w:szCs w:val="24"/>
        </w:rPr>
        <w:t>customer awareness and participation in the competitive markets</w:t>
      </w:r>
      <w:r w:rsidR="005C7C9C">
        <w:rPr>
          <w:rFonts w:ascii="Arial" w:hAnsi="Arial" w:cs="Arial"/>
          <w:sz w:val="24"/>
          <w:szCs w:val="24"/>
        </w:rPr>
        <w:t xml:space="preserve"> that Staff seeks</w:t>
      </w:r>
      <w:r w:rsidR="000C6A8E">
        <w:rPr>
          <w:rFonts w:ascii="Arial" w:hAnsi="Arial" w:cs="Arial"/>
          <w:sz w:val="24"/>
          <w:szCs w:val="24"/>
        </w:rPr>
        <w:t xml:space="preserve"> </w:t>
      </w:r>
      <w:r w:rsidR="00F20965">
        <w:rPr>
          <w:rFonts w:ascii="Arial" w:hAnsi="Arial" w:cs="Arial"/>
          <w:sz w:val="24"/>
          <w:szCs w:val="24"/>
        </w:rPr>
        <w:t xml:space="preserve">is </w:t>
      </w:r>
      <w:r w:rsidR="00C60870">
        <w:rPr>
          <w:rFonts w:ascii="Arial" w:hAnsi="Arial" w:cs="Arial"/>
          <w:sz w:val="24"/>
          <w:szCs w:val="24"/>
        </w:rPr>
        <w:t>unlikely</w:t>
      </w:r>
      <w:r w:rsidR="00F20965">
        <w:rPr>
          <w:rFonts w:ascii="Arial" w:hAnsi="Arial" w:cs="Arial"/>
          <w:sz w:val="24"/>
          <w:szCs w:val="24"/>
        </w:rPr>
        <w:t xml:space="preserve"> to materialize if the </w:t>
      </w:r>
      <w:r w:rsidR="00D538D9">
        <w:rPr>
          <w:rFonts w:ascii="Arial" w:hAnsi="Arial" w:cs="Arial"/>
          <w:sz w:val="24"/>
          <w:szCs w:val="24"/>
        </w:rPr>
        <w:t>current default rate structure</w:t>
      </w:r>
      <w:r w:rsidR="00F20965">
        <w:rPr>
          <w:rFonts w:ascii="Arial" w:hAnsi="Arial" w:cs="Arial"/>
          <w:sz w:val="24"/>
          <w:szCs w:val="24"/>
        </w:rPr>
        <w:t xml:space="preserve"> is maintained.</w:t>
      </w:r>
    </w:p>
    <w:p w:rsidR="005C7C9C" w:rsidRDefault="00D538D9" w:rsidP="006A08A1">
      <w:pPr>
        <w:spacing w:line="480" w:lineRule="auto"/>
        <w:ind w:firstLine="720"/>
        <w:jc w:val="both"/>
        <w:rPr>
          <w:rFonts w:ascii="Arial" w:hAnsi="Arial" w:cs="Arial"/>
          <w:sz w:val="24"/>
          <w:szCs w:val="24"/>
        </w:rPr>
      </w:pPr>
      <w:r>
        <w:rPr>
          <w:rFonts w:ascii="Arial" w:hAnsi="Arial" w:cs="Arial"/>
          <w:sz w:val="24"/>
          <w:szCs w:val="24"/>
        </w:rPr>
        <w:lastRenderedPageBreak/>
        <w:t>U</w:t>
      </w:r>
      <w:r w:rsidR="005C7C9C">
        <w:rPr>
          <w:rFonts w:ascii="Arial" w:hAnsi="Arial" w:cs="Arial"/>
          <w:sz w:val="24"/>
          <w:szCs w:val="24"/>
        </w:rPr>
        <w:t xml:space="preserve">nder the current SSO structure in Ohio, all customers are assigned to the EDU SSO rate, </w:t>
      </w:r>
      <w:r w:rsidR="005C7C9C" w:rsidRPr="005C7C9C">
        <w:rPr>
          <w:rFonts w:ascii="Arial" w:hAnsi="Arial" w:cs="Arial"/>
          <w:i/>
          <w:sz w:val="24"/>
          <w:szCs w:val="24"/>
        </w:rPr>
        <w:t>by default</w:t>
      </w:r>
      <w:r w:rsidR="005C7C9C">
        <w:rPr>
          <w:rFonts w:ascii="Arial" w:hAnsi="Arial" w:cs="Arial"/>
          <w:sz w:val="24"/>
          <w:szCs w:val="24"/>
        </w:rPr>
        <w:t>, unless the customer affirmatively choses another competitive product.</w:t>
      </w:r>
      <w:r w:rsidR="00C60870">
        <w:rPr>
          <w:rFonts w:ascii="Arial" w:hAnsi="Arial" w:cs="Arial"/>
          <w:sz w:val="24"/>
          <w:szCs w:val="24"/>
        </w:rPr>
        <w:t xml:space="preserve"> Further,</w:t>
      </w:r>
      <w:r w:rsidR="00547530">
        <w:rPr>
          <w:rFonts w:ascii="Arial" w:hAnsi="Arial" w:cs="Arial"/>
          <w:sz w:val="24"/>
          <w:szCs w:val="24"/>
        </w:rPr>
        <w:t xml:space="preserve"> all customers are required to</w:t>
      </w:r>
      <w:r w:rsidR="00C60870">
        <w:rPr>
          <w:rFonts w:ascii="Arial" w:hAnsi="Arial" w:cs="Arial"/>
          <w:sz w:val="24"/>
          <w:szCs w:val="24"/>
        </w:rPr>
        <w:t xml:space="preserve"> </w:t>
      </w:r>
      <w:r w:rsidR="00CD4A50">
        <w:rPr>
          <w:rFonts w:ascii="Arial" w:hAnsi="Arial" w:cs="Arial"/>
          <w:sz w:val="24"/>
          <w:szCs w:val="24"/>
        </w:rPr>
        <w:t>enroll in</w:t>
      </w:r>
      <w:r w:rsidR="00C60870">
        <w:rPr>
          <w:rFonts w:ascii="Arial" w:hAnsi="Arial" w:cs="Arial"/>
          <w:sz w:val="24"/>
          <w:szCs w:val="24"/>
        </w:rPr>
        <w:t xml:space="preserve"> the SSO product, for an initial period of at least one to two months</w:t>
      </w:r>
      <w:r w:rsidR="00121F1E">
        <w:rPr>
          <w:rFonts w:ascii="Arial" w:hAnsi="Arial" w:cs="Arial"/>
          <w:sz w:val="24"/>
          <w:szCs w:val="24"/>
        </w:rPr>
        <w:t>,</w:t>
      </w:r>
      <w:r w:rsidR="00C60870">
        <w:rPr>
          <w:rFonts w:ascii="Arial" w:hAnsi="Arial" w:cs="Arial"/>
          <w:sz w:val="24"/>
          <w:szCs w:val="24"/>
        </w:rPr>
        <w:t xml:space="preserve"> before the customer is even able to </w:t>
      </w:r>
      <w:r w:rsidR="006F1EB6">
        <w:rPr>
          <w:rFonts w:ascii="Arial" w:hAnsi="Arial" w:cs="Arial"/>
          <w:sz w:val="24"/>
          <w:szCs w:val="24"/>
        </w:rPr>
        <w:t>affirmatively choose</w:t>
      </w:r>
      <w:r w:rsidR="00C60870">
        <w:rPr>
          <w:rFonts w:ascii="Arial" w:hAnsi="Arial" w:cs="Arial"/>
          <w:sz w:val="24"/>
          <w:szCs w:val="24"/>
        </w:rPr>
        <w:t xml:space="preserve"> a non-SSO product.</w:t>
      </w:r>
      <w:r w:rsidR="005C7C9C">
        <w:rPr>
          <w:rFonts w:ascii="Arial" w:hAnsi="Arial" w:cs="Arial"/>
          <w:sz w:val="24"/>
          <w:szCs w:val="24"/>
        </w:rPr>
        <w:t xml:space="preserve"> </w:t>
      </w:r>
      <w:r w:rsidR="00515121">
        <w:rPr>
          <w:rFonts w:ascii="Arial" w:hAnsi="Arial" w:cs="Arial"/>
          <w:sz w:val="24"/>
          <w:szCs w:val="24"/>
        </w:rPr>
        <w:t xml:space="preserve">This default rate structure creates a significant bias towards customers remaining on the default rate and thus </w:t>
      </w:r>
      <w:r w:rsidR="00121F1E">
        <w:rPr>
          <w:rFonts w:ascii="Arial" w:hAnsi="Arial" w:cs="Arial"/>
          <w:sz w:val="24"/>
          <w:szCs w:val="24"/>
        </w:rPr>
        <w:t>the current default structure encourages customers</w:t>
      </w:r>
      <w:r w:rsidR="00515121">
        <w:rPr>
          <w:rFonts w:ascii="Arial" w:hAnsi="Arial" w:cs="Arial"/>
          <w:sz w:val="24"/>
          <w:szCs w:val="24"/>
        </w:rPr>
        <w:t xml:space="preserve"> </w:t>
      </w:r>
      <w:r w:rsidR="00515121" w:rsidRPr="00121F1E">
        <w:rPr>
          <w:rFonts w:ascii="Arial" w:hAnsi="Arial" w:cs="Arial"/>
          <w:i/>
          <w:sz w:val="24"/>
          <w:szCs w:val="24"/>
        </w:rPr>
        <w:t>not</w:t>
      </w:r>
      <w:r w:rsidR="00121F1E">
        <w:rPr>
          <w:rFonts w:ascii="Arial" w:hAnsi="Arial" w:cs="Arial"/>
          <w:sz w:val="24"/>
          <w:szCs w:val="24"/>
        </w:rPr>
        <w:t xml:space="preserve"> to</w:t>
      </w:r>
      <w:r w:rsidR="00515121" w:rsidRPr="00121F1E">
        <w:rPr>
          <w:rFonts w:ascii="Arial" w:hAnsi="Arial" w:cs="Arial"/>
          <w:sz w:val="24"/>
          <w:szCs w:val="24"/>
        </w:rPr>
        <w:t xml:space="preserve"> </w:t>
      </w:r>
      <w:r w:rsidR="00121F1E">
        <w:rPr>
          <w:rFonts w:ascii="Arial" w:hAnsi="Arial" w:cs="Arial"/>
          <w:sz w:val="24"/>
          <w:szCs w:val="24"/>
        </w:rPr>
        <w:t>engage</w:t>
      </w:r>
      <w:r w:rsidR="00515121">
        <w:rPr>
          <w:rFonts w:ascii="Arial" w:hAnsi="Arial" w:cs="Arial"/>
          <w:sz w:val="24"/>
          <w:szCs w:val="24"/>
        </w:rPr>
        <w:t xml:space="preserve"> in the</w:t>
      </w:r>
      <w:r w:rsidR="00121F1E">
        <w:rPr>
          <w:rFonts w:ascii="Arial" w:hAnsi="Arial" w:cs="Arial"/>
          <w:sz w:val="24"/>
          <w:szCs w:val="24"/>
        </w:rPr>
        <w:t xml:space="preserve"> competitive</w:t>
      </w:r>
      <w:r w:rsidR="00515121">
        <w:rPr>
          <w:rFonts w:ascii="Arial" w:hAnsi="Arial" w:cs="Arial"/>
          <w:sz w:val="24"/>
          <w:szCs w:val="24"/>
        </w:rPr>
        <w:t xml:space="preserve"> market.  As long as the system is structured so that customers are effectively encouraged not to make an affirmative decision with respect to their retail electric product, customers will continue to have limited awareness and participation in the retail electric markets.</w:t>
      </w:r>
    </w:p>
    <w:p w:rsidR="004B1BBD" w:rsidRDefault="004B1BBD" w:rsidP="00CD4A50">
      <w:pPr>
        <w:spacing w:line="480" w:lineRule="auto"/>
        <w:ind w:firstLine="720"/>
        <w:jc w:val="both"/>
        <w:rPr>
          <w:rFonts w:ascii="Arial" w:hAnsi="Arial" w:cs="Arial"/>
          <w:sz w:val="24"/>
          <w:szCs w:val="24"/>
        </w:rPr>
      </w:pPr>
      <w:r>
        <w:rPr>
          <w:rFonts w:ascii="Arial" w:hAnsi="Arial" w:cs="Arial"/>
          <w:sz w:val="24"/>
          <w:szCs w:val="24"/>
        </w:rPr>
        <w:t>IGS appreciates the Commission</w:t>
      </w:r>
      <w:r w:rsidR="00AD23A5">
        <w:rPr>
          <w:rFonts w:ascii="Arial" w:hAnsi="Arial" w:cs="Arial"/>
          <w:sz w:val="24"/>
          <w:szCs w:val="24"/>
        </w:rPr>
        <w:t>’s</w:t>
      </w:r>
      <w:r>
        <w:rPr>
          <w:rFonts w:ascii="Arial" w:hAnsi="Arial" w:cs="Arial"/>
          <w:sz w:val="24"/>
          <w:szCs w:val="24"/>
        </w:rPr>
        <w:t xml:space="preserve"> and Staff’s </w:t>
      </w:r>
      <w:r w:rsidR="00D538D9">
        <w:rPr>
          <w:rFonts w:ascii="Arial" w:hAnsi="Arial" w:cs="Arial"/>
          <w:sz w:val="24"/>
          <w:szCs w:val="24"/>
        </w:rPr>
        <w:t xml:space="preserve">desire to </w:t>
      </w:r>
      <w:r w:rsidR="00D538D9" w:rsidRPr="00D538D9">
        <w:rPr>
          <w:rFonts w:ascii="Arial" w:hAnsi="Arial" w:cs="Arial"/>
          <w:i/>
          <w:sz w:val="24"/>
          <w:szCs w:val="24"/>
        </w:rPr>
        <w:t>transition</w:t>
      </w:r>
      <w:r>
        <w:rPr>
          <w:rFonts w:ascii="Arial" w:hAnsi="Arial" w:cs="Arial"/>
          <w:sz w:val="24"/>
          <w:szCs w:val="24"/>
        </w:rPr>
        <w:t xml:space="preserve"> to fully competitive market</w:t>
      </w:r>
      <w:r w:rsidR="00D538D9">
        <w:rPr>
          <w:rFonts w:ascii="Arial" w:hAnsi="Arial" w:cs="Arial"/>
          <w:sz w:val="24"/>
          <w:szCs w:val="24"/>
        </w:rPr>
        <w:t>s</w:t>
      </w:r>
      <w:r>
        <w:rPr>
          <w:rFonts w:ascii="Arial" w:hAnsi="Arial" w:cs="Arial"/>
          <w:sz w:val="24"/>
          <w:szCs w:val="24"/>
        </w:rPr>
        <w:t xml:space="preserve"> and thus understands- to an extent – the need to take </w:t>
      </w:r>
      <w:r w:rsidR="00D538D9">
        <w:rPr>
          <w:rFonts w:ascii="Arial" w:hAnsi="Arial" w:cs="Arial"/>
          <w:sz w:val="24"/>
          <w:szCs w:val="24"/>
        </w:rPr>
        <w:t xml:space="preserve">intermediary </w:t>
      </w:r>
      <w:r>
        <w:rPr>
          <w:rFonts w:ascii="Arial" w:hAnsi="Arial" w:cs="Arial"/>
          <w:sz w:val="24"/>
          <w:szCs w:val="24"/>
        </w:rPr>
        <w:t>measures to ease into more competitive markets.</w:t>
      </w:r>
      <w:r w:rsidR="00E10410">
        <w:rPr>
          <w:rFonts w:ascii="Arial" w:hAnsi="Arial" w:cs="Arial"/>
          <w:sz w:val="24"/>
          <w:szCs w:val="24"/>
        </w:rPr>
        <w:t xml:space="preserve"> </w:t>
      </w:r>
      <w:r>
        <w:rPr>
          <w:rFonts w:ascii="Arial" w:hAnsi="Arial" w:cs="Arial"/>
          <w:sz w:val="24"/>
          <w:szCs w:val="24"/>
        </w:rPr>
        <w:t xml:space="preserve"> </w:t>
      </w:r>
      <w:r w:rsidR="00CD4A50">
        <w:rPr>
          <w:rFonts w:ascii="Arial" w:hAnsi="Arial" w:cs="Arial"/>
          <w:sz w:val="24"/>
          <w:szCs w:val="24"/>
        </w:rPr>
        <w:t xml:space="preserve">However, </w:t>
      </w:r>
      <w:r w:rsidR="00161201">
        <w:rPr>
          <w:rFonts w:ascii="Arial" w:hAnsi="Arial" w:cs="Arial"/>
          <w:sz w:val="24"/>
          <w:szCs w:val="24"/>
        </w:rPr>
        <w:t>g</w:t>
      </w:r>
      <w:r>
        <w:rPr>
          <w:rFonts w:ascii="Arial" w:hAnsi="Arial" w:cs="Arial"/>
          <w:sz w:val="24"/>
          <w:szCs w:val="24"/>
        </w:rPr>
        <w:t>iven the significant limitations of the current default rate structure it should not be the policy of the Commission to maintain the status-quo default rate structure indefinitely. Further, it should not be the policy of the Commission to wait until customer participation and awareness materializes to reevaluate the current default rate, considering the current default rate is likely to stifle customer awareness and participation.  Rather, the Commission should signal its intent to transition beyond the current default rate structure and take affirmative and immediate steps to do so.</w:t>
      </w:r>
    </w:p>
    <w:p w:rsidR="004B1BBD" w:rsidRDefault="00C23160" w:rsidP="004B1BBD">
      <w:pPr>
        <w:spacing w:line="480" w:lineRule="auto"/>
        <w:ind w:firstLine="720"/>
        <w:jc w:val="both"/>
        <w:rPr>
          <w:rFonts w:ascii="Arial" w:hAnsi="Arial" w:cs="Arial"/>
          <w:sz w:val="24"/>
          <w:szCs w:val="24"/>
        </w:rPr>
      </w:pPr>
      <w:r>
        <w:rPr>
          <w:rFonts w:ascii="Arial" w:hAnsi="Arial" w:cs="Arial"/>
          <w:sz w:val="24"/>
          <w:szCs w:val="24"/>
        </w:rPr>
        <w:t>A</w:t>
      </w:r>
      <w:r w:rsidR="004B1BBD">
        <w:rPr>
          <w:rFonts w:ascii="Arial" w:hAnsi="Arial" w:cs="Arial"/>
          <w:sz w:val="24"/>
          <w:szCs w:val="24"/>
        </w:rPr>
        <w:t xml:space="preserve">t a minimum, the policy of requiring all </w:t>
      </w:r>
      <w:r w:rsidR="00BD756A">
        <w:rPr>
          <w:rFonts w:ascii="Arial" w:hAnsi="Arial" w:cs="Arial"/>
          <w:sz w:val="24"/>
          <w:szCs w:val="24"/>
        </w:rPr>
        <w:t xml:space="preserve">newly enrolled EDU </w:t>
      </w:r>
      <w:r w:rsidR="004B1BBD">
        <w:rPr>
          <w:rFonts w:ascii="Arial" w:hAnsi="Arial" w:cs="Arial"/>
          <w:sz w:val="24"/>
          <w:szCs w:val="24"/>
        </w:rPr>
        <w:t xml:space="preserve">customers to be enrolled on the SSO </w:t>
      </w:r>
      <w:r w:rsidR="00BD756A">
        <w:rPr>
          <w:rFonts w:ascii="Arial" w:hAnsi="Arial" w:cs="Arial"/>
          <w:sz w:val="24"/>
          <w:szCs w:val="24"/>
        </w:rPr>
        <w:t xml:space="preserve">product </w:t>
      </w:r>
      <w:r w:rsidR="004B1BBD">
        <w:rPr>
          <w:rFonts w:ascii="Arial" w:hAnsi="Arial" w:cs="Arial"/>
          <w:sz w:val="24"/>
          <w:szCs w:val="24"/>
        </w:rPr>
        <w:t>for a minimum period of time</w:t>
      </w:r>
      <w:r w:rsidR="00756DD0">
        <w:rPr>
          <w:rFonts w:ascii="Arial" w:hAnsi="Arial" w:cs="Arial"/>
          <w:sz w:val="24"/>
          <w:szCs w:val="24"/>
        </w:rPr>
        <w:t xml:space="preserve"> should be reconsidered</w:t>
      </w:r>
      <w:r w:rsidR="004B1BBD">
        <w:rPr>
          <w:rFonts w:ascii="Arial" w:hAnsi="Arial" w:cs="Arial"/>
          <w:sz w:val="24"/>
          <w:szCs w:val="24"/>
        </w:rPr>
        <w:t xml:space="preserve">.  There is no </w:t>
      </w:r>
      <w:r w:rsidR="00A319A4">
        <w:rPr>
          <w:rFonts w:ascii="Arial" w:hAnsi="Arial" w:cs="Arial"/>
          <w:sz w:val="24"/>
          <w:szCs w:val="24"/>
        </w:rPr>
        <w:t>justifiable</w:t>
      </w:r>
      <w:r w:rsidR="004B1BBD">
        <w:rPr>
          <w:rFonts w:ascii="Arial" w:hAnsi="Arial" w:cs="Arial"/>
          <w:sz w:val="24"/>
          <w:szCs w:val="24"/>
        </w:rPr>
        <w:t xml:space="preserve"> ration</w:t>
      </w:r>
      <w:r w:rsidR="00A319A4">
        <w:rPr>
          <w:rFonts w:ascii="Arial" w:hAnsi="Arial" w:cs="Arial"/>
          <w:sz w:val="24"/>
          <w:szCs w:val="24"/>
        </w:rPr>
        <w:t>ale</w:t>
      </w:r>
      <w:r w:rsidR="004B1BBD">
        <w:rPr>
          <w:rFonts w:ascii="Arial" w:hAnsi="Arial" w:cs="Arial"/>
          <w:sz w:val="24"/>
          <w:szCs w:val="24"/>
        </w:rPr>
        <w:t xml:space="preserve"> for this restriction to remain in place, other than to stifle </w:t>
      </w:r>
      <w:r w:rsidR="004B1BBD">
        <w:rPr>
          <w:rFonts w:ascii="Arial" w:hAnsi="Arial" w:cs="Arial"/>
          <w:sz w:val="24"/>
          <w:szCs w:val="24"/>
        </w:rPr>
        <w:lastRenderedPageBreak/>
        <w:t>migration away from the SSO.  Customers should have the option to choose a non-SSO product as soon as they sign</w:t>
      </w:r>
      <w:r w:rsidR="00830C0D">
        <w:rPr>
          <w:rFonts w:ascii="Arial" w:hAnsi="Arial" w:cs="Arial"/>
          <w:sz w:val="24"/>
          <w:szCs w:val="24"/>
        </w:rPr>
        <w:t xml:space="preserve"> up for distribution service with</w:t>
      </w:r>
      <w:r w:rsidR="004B1BBD">
        <w:rPr>
          <w:rFonts w:ascii="Arial" w:hAnsi="Arial" w:cs="Arial"/>
          <w:sz w:val="24"/>
          <w:szCs w:val="24"/>
        </w:rPr>
        <w:t xml:space="preserve"> the EDU and any restrictions to the contrary only f</w:t>
      </w:r>
      <w:r w:rsidR="005C37D7">
        <w:rPr>
          <w:rFonts w:ascii="Arial" w:hAnsi="Arial" w:cs="Arial"/>
          <w:sz w:val="24"/>
          <w:szCs w:val="24"/>
        </w:rPr>
        <w:t>urthers the regulatory bias in favor of</w:t>
      </w:r>
      <w:r w:rsidR="004B1BBD">
        <w:rPr>
          <w:rFonts w:ascii="Arial" w:hAnsi="Arial" w:cs="Arial"/>
          <w:sz w:val="24"/>
          <w:szCs w:val="24"/>
        </w:rPr>
        <w:t xml:space="preserve"> the SSO product.</w:t>
      </w:r>
    </w:p>
    <w:p w:rsidR="00CD4A50" w:rsidRDefault="00C23160" w:rsidP="004B1BBD">
      <w:pPr>
        <w:spacing w:line="480" w:lineRule="auto"/>
        <w:ind w:firstLine="720"/>
        <w:jc w:val="both"/>
        <w:rPr>
          <w:rFonts w:ascii="Arial" w:hAnsi="Arial" w:cs="Arial"/>
          <w:sz w:val="24"/>
          <w:szCs w:val="24"/>
        </w:rPr>
      </w:pPr>
      <w:r>
        <w:rPr>
          <w:rFonts w:ascii="Arial" w:hAnsi="Arial" w:cs="Arial"/>
          <w:sz w:val="24"/>
          <w:szCs w:val="24"/>
        </w:rPr>
        <w:t xml:space="preserve">Additionally, IGS and other </w:t>
      </w:r>
      <w:r w:rsidR="00161201">
        <w:rPr>
          <w:rFonts w:ascii="Arial" w:hAnsi="Arial" w:cs="Arial"/>
          <w:sz w:val="24"/>
          <w:szCs w:val="24"/>
        </w:rPr>
        <w:t>parties have made a number of proposals</w:t>
      </w:r>
      <w:r w:rsidR="00A319A4">
        <w:rPr>
          <w:rFonts w:ascii="Arial" w:hAnsi="Arial" w:cs="Arial"/>
          <w:sz w:val="24"/>
          <w:szCs w:val="24"/>
        </w:rPr>
        <w:t xml:space="preserve"> in this preceding</w:t>
      </w:r>
      <w:r w:rsidR="00161201">
        <w:rPr>
          <w:rFonts w:ascii="Arial" w:hAnsi="Arial" w:cs="Arial"/>
          <w:sz w:val="24"/>
          <w:szCs w:val="24"/>
        </w:rPr>
        <w:t xml:space="preserve"> that </w:t>
      </w:r>
      <w:r w:rsidR="007E718C">
        <w:rPr>
          <w:rFonts w:ascii="Arial" w:hAnsi="Arial" w:cs="Arial"/>
          <w:sz w:val="24"/>
          <w:szCs w:val="24"/>
        </w:rPr>
        <w:t xml:space="preserve">would further </w:t>
      </w:r>
      <w:r w:rsidR="00D538D9">
        <w:rPr>
          <w:rFonts w:ascii="Arial" w:hAnsi="Arial" w:cs="Arial"/>
          <w:sz w:val="24"/>
          <w:szCs w:val="24"/>
        </w:rPr>
        <w:t>the SSO towards a more competitive model, while at the same time maintaining sufficient consumer protection for customers</w:t>
      </w:r>
      <w:r w:rsidR="00161201">
        <w:rPr>
          <w:rFonts w:ascii="Arial" w:hAnsi="Arial" w:cs="Arial"/>
          <w:sz w:val="24"/>
          <w:szCs w:val="24"/>
        </w:rPr>
        <w:t xml:space="preserve">. </w:t>
      </w:r>
      <w:r w:rsidR="00850E71">
        <w:rPr>
          <w:rFonts w:ascii="Arial" w:hAnsi="Arial" w:cs="Arial"/>
          <w:sz w:val="24"/>
          <w:szCs w:val="24"/>
        </w:rPr>
        <w:t>The</w:t>
      </w:r>
      <w:r w:rsidR="00D456BC">
        <w:rPr>
          <w:rFonts w:ascii="Arial" w:hAnsi="Arial" w:cs="Arial"/>
          <w:sz w:val="24"/>
          <w:szCs w:val="24"/>
        </w:rPr>
        <w:t xml:space="preserve"> common denominator in all of these proposals is </w:t>
      </w:r>
      <w:r>
        <w:rPr>
          <w:rFonts w:ascii="Arial" w:hAnsi="Arial" w:cs="Arial"/>
          <w:sz w:val="24"/>
          <w:szCs w:val="24"/>
        </w:rPr>
        <w:t>transitioning the</w:t>
      </w:r>
      <w:r w:rsidR="00D456BC">
        <w:rPr>
          <w:rFonts w:ascii="Arial" w:hAnsi="Arial" w:cs="Arial"/>
          <w:sz w:val="24"/>
          <w:szCs w:val="24"/>
        </w:rPr>
        <w:t xml:space="preserve"> SSO product</w:t>
      </w:r>
      <w:r w:rsidR="00A319A4">
        <w:rPr>
          <w:rFonts w:ascii="Arial" w:hAnsi="Arial" w:cs="Arial"/>
          <w:sz w:val="24"/>
          <w:szCs w:val="24"/>
        </w:rPr>
        <w:t xml:space="preserve"> to</w:t>
      </w:r>
      <w:r w:rsidR="00D456BC">
        <w:rPr>
          <w:rFonts w:ascii="Arial" w:hAnsi="Arial" w:cs="Arial"/>
          <w:sz w:val="24"/>
          <w:szCs w:val="24"/>
        </w:rPr>
        <w:t xml:space="preserve"> a true </w:t>
      </w:r>
      <w:r w:rsidR="00D456BC" w:rsidRPr="00D538D9">
        <w:rPr>
          <w:rFonts w:ascii="Arial" w:hAnsi="Arial" w:cs="Arial"/>
          <w:i/>
          <w:sz w:val="24"/>
          <w:szCs w:val="24"/>
        </w:rPr>
        <w:t xml:space="preserve">provider of last resort </w:t>
      </w:r>
      <w:r w:rsidR="00D456BC" w:rsidRPr="00D538D9">
        <w:rPr>
          <w:rFonts w:ascii="Arial" w:hAnsi="Arial" w:cs="Arial"/>
          <w:sz w:val="24"/>
          <w:szCs w:val="24"/>
        </w:rPr>
        <w:t>service rather</w:t>
      </w:r>
      <w:r w:rsidR="00D538D9">
        <w:rPr>
          <w:rFonts w:ascii="Arial" w:hAnsi="Arial" w:cs="Arial"/>
          <w:sz w:val="24"/>
          <w:szCs w:val="24"/>
        </w:rPr>
        <w:t xml:space="preserve"> than </w:t>
      </w:r>
      <w:r>
        <w:rPr>
          <w:rFonts w:ascii="Arial" w:hAnsi="Arial" w:cs="Arial"/>
          <w:sz w:val="24"/>
          <w:szCs w:val="24"/>
        </w:rPr>
        <w:t>the</w:t>
      </w:r>
      <w:r w:rsidR="00D456BC">
        <w:rPr>
          <w:rFonts w:ascii="Arial" w:hAnsi="Arial" w:cs="Arial"/>
          <w:sz w:val="24"/>
          <w:szCs w:val="24"/>
        </w:rPr>
        <w:t xml:space="preserve"> </w:t>
      </w:r>
      <w:r w:rsidR="00D456BC" w:rsidRPr="00D538D9">
        <w:rPr>
          <w:rFonts w:ascii="Arial" w:hAnsi="Arial" w:cs="Arial"/>
          <w:i/>
          <w:sz w:val="24"/>
          <w:szCs w:val="24"/>
        </w:rPr>
        <w:t>provider of first resort</w:t>
      </w:r>
      <w:r w:rsidR="00D456BC">
        <w:rPr>
          <w:rFonts w:ascii="Arial" w:hAnsi="Arial" w:cs="Arial"/>
          <w:sz w:val="24"/>
          <w:szCs w:val="24"/>
        </w:rPr>
        <w:t xml:space="preserve"> service that </w:t>
      </w:r>
      <w:r>
        <w:rPr>
          <w:rFonts w:ascii="Arial" w:hAnsi="Arial" w:cs="Arial"/>
          <w:sz w:val="24"/>
          <w:szCs w:val="24"/>
        </w:rPr>
        <w:t>the SSO</w:t>
      </w:r>
      <w:r w:rsidR="00D456BC">
        <w:rPr>
          <w:rFonts w:ascii="Arial" w:hAnsi="Arial" w:cs="Arial"/>
          <w:sz w:val="24"/>
          <w:szCs w:val="24"/>
        </w:rPr>
        <w:t xml:space="preserve"> is today.</w:t>
      </w:r>
      <w:r w:rsidR="006E15D5">
        <w:rPr>
          <w:rFonts w:ascii="Arial" w:hAnsi="Arial" w:cs="Arial"/>
          <w:sz w:val="24"/>
          <w:szCs w:val="24"/>
        </w:rPr>
        <w:t xml:space="preserve"> </w:t>
      </w:r>
      <w:r w:rsidR="00756DD0">
        <w:rPr>
          <w:rFonts w:ascii="Arial" w:hAnsi="Arial" w:cs="Arial"/>
          <w:sz w:val="24"/>
          <w:szCs w:val="24"/>
        </w:rPr>
        <w:t>T</w:t>
      </w:r>
      <w:r w:rsidR="006E15D5">
        <w:rPr>
          <w:rFonts w:ascii="Arial" w:hAnsi="Arial" w:cs="Arial"/>
          <w:sz w:val="24"/>
          <w:szCs w:val="24"/>
        </w:rPr>
        <w:t>hese proposals</w:t>
      </w:r>
      <w:r w:rsidR="00756DD0">
        <w:rPr>
          <w:rFonts w:ascii="Arial" w:hAnsi="Arial" w:cs="Arial"/>
          <w:sz w:val="24"/>
          <w:szCs w:val="24"/>
        </w:rPr>
        <w:t xml:space="preserve"> should be revisited by the Commission</w:t>
      </w:r>
      <w:r w:rsidR="006E15D5">
        <w:rPr>
          <w:rFonts w:ascii="Arial" w:hAnsi="Arial" w:cs="Arial"/>
          <w:sz w:val="24"/>
          <w:szCs w:val="24"/>
        </w:rPr>
        <w:t>, i</w:t>
      </w:r>
      <w:r>
        <w:rPr>
          <w:rFonts w:ascii="Arial" w:hAnsi="Arial" w:cs="Arial"/>
          <w:sz w:val="24"/>
          <w:szCs w:val="24"/>
        </w:rPr>
        <w:t>f not in this proceeding</w:t>
      </w:r>
      <w:r w:rsidR="005730E0">
        <w:rPr>
          <w:rFonts w:ascii="Arial" w:hAnsi="Arial" w:cs="Arial"/>
          <w:sz w:val="24"/>
          <w:szCs w:val="24"/>
        </w:rPr>
        <w:t>, the</w:t>
      </w:r>
      <w:r w:rsidR="006E15D5">
        <w:rPr>
          <w:rFonts w:ascii="Arial" w:hAnsi="Arial" w:cs="Arial"/>
          <w:sz w:val="24"/>
          <w:szCs w:val="24"/>
        </w:rPr>
        <w:t>n in other proceedings in the near future</w:t>
      </w:r>
      <w:r>
        <w:rPr>
          <w:rFonts w:ascii="Arial" w:hAnsi="Arial" w:cs="Arial"/>
          <w:sz w:val="24"/>
          <w:szCs w:val="24"/>
        </w:rPr>
        <w:t>.</w:t>
      </w:r>
    </w:p>
    <w:p w:rsidR="00CD4A50" w:rsidRDefault="00547530" w:rsidP="004B1BBD">
      <w:pPr>
        <w:spacing w:line="480" w:lineRule="auto"/>
        <w:ind w:firstLine="720"/>
        <w:jc w:val="both"/>
        <w:rPr>
          <w:rFonts w:ascii="Arial" w:hAnsi="Arial" w:cs="Arial"/>
          <w:sz w:val="24"/>
          <w:szCs w:val="24"/>
        </w:rPr>
      </w:pPr>
      <w:r>
        <w:rPr>
          <w:rFonts w:ascii="Arial" w:hAnsi="Arial" w:cs="Arial"/>
          <w:sz w:val="24"/>
          <w:szCs w:val="24"/>
        </w:rPr>
        <w:t xml:space="preserve">The Commission should be commended for its evident desire to move Ohio’s competitive markets forward. </w:t>
      </w:r>
      <w:r w:rsidR="00161201">
        <w:rPr>
          <w:rFonts w:ascii="Arial" w:hAnsi="Arial" w:cs="Arial"/>
          <w:sz w:val="24"/>
          <w:szCs w:val="24"/>
        </w:rPr>
        <w:t>However,</w:t>
      </w:r>
      <w:r>
        <w:rPr>
          <w:rFonts w:ascii="Arial" w:hAnsi="Arial" w:cs="Arial"/>
          <w:sz w:val="24"/>
          <w:szCs w:val="24"/>
        </w:rPr>
        <w:t xml:space="preserve"> there is still much to be done</w:t>
      </w:r>
      <w:r w:rsidR="00161201">
        <w:rPr>
          <w:rFonts w:ascii="Arial" w:hAnsi="Arial" w:cs="Arial"/>
          <w:sz w:val="24"/>
          <w:szCs w:val="24"/>
        </w:rPr>
        <w:t xml:space="preserve"> in order to ensure that customers are able to realize the full benefits of competition</w:t>
      </w:r>
      <w:r>
        <w:rPr>
          <w:rFonts w:ascii="Arial" w:hAnsi="Arial" w:cs="Arial"/>
          <w:sz w:val="24"/>
          <w:szCs w:val="24"/>
        </w:rPr>
        <w:t xml:space="preserve">.  </w:t>
      </w:r>
      <w:r w:rsidR="00053E68">
        <w:rPr>
          <w:rFonts w:ascii="Arial" w:hAnsi="Arial" w:cs="Arial"/>
          <w:sz w:val="24"/>
          <w:szCs w:val="24"/>
        </w:rPr>
        <w:t xml:space="preserve">One of the biggest steps the Commission can take that will benefit customers is </w:t>
      </w:r>
      <w:r>
        <w:rPr>
          <w:rFonts w:ascii="Arial" w:hAnsi="Arial" w:cs="Arial"/>
          <w:sz w:val="24"/>
          <w:szCs w:val="24"/>
        </w:rPr>
        <w:t>fixing</w:t>
      </w:r>
      <w:r w:rsidR="00161201">
        <w:rPr>
          <w:rFonts w:ascii="Arial" w:hAnsi="Arial" w:cs="Arial"/>
          <w:sz w:val="24"/>
          <w:szCs w:val="24"/>
        </w:rPr>
        <w:t xml:space="preserve"> </w:t>
      </w:r>
      <w:r w:rsidR="00053E68">
        <w:rPr>
          <w:rFonts w:ascii="Arial" w:hAnsi="Arial" w:cs="Arial"/>
          <w:sz w:val="24"/>
          <w:szCs w:val="24"/>
        </w:rPr>
        <w:t>the structural deficiencies</w:t>
      </w:r>
      <w:r w:rsidR="00161201">
        <w:rPr>
          <w:rFonts w:ascii="Arial" w:hAnsi="Arial" w:cs="Arial"/>
          <w:sz w:val="24"/>
          <w:szCs w:val="24"/>
        </w:rPr>
        <w:t xml:space="preserve"> </w:t>
      </w:r>
      <w:r w:rsidR="00F03E6B">
        <w:rPr>
          <w:rFonts w:ascii="Arial" w:hAnsi="Arial" w:cs="Arial"/>
          <w:sz w:val="24"/>
          <w:szCs w:val="24"/>
        </w:rPr>
        <w:t xml:space="preserve">and biases </w:t>
      </w:r>
      <w:r>
        <w:rPr>
          <w:rFonts w:ascii="Arial" w:hAnsi="Arial" w:cs="Arial"/>
          <w:sz w:val="24"/>
          <w:szCs w:val="24"/>
        </w:rPr>
        <w:t>inherent in the current</w:t>
      </w:r>
      <w:r w:rsidR="00161201">
        <w:rPr>
          <w:rFonts w:ascii="Arial" w:hAnsi="Arial" w:cs="Arial"/>
          <w:sz w:val="24"/>
          <w:szCs w:val="24"/>
        </w:rPr>
        <w:t xml:space="preserve"> default rate</w:t>
      </w:r>
      <w:r>
        <w:rPr>
          <w:rFonts w:ascii="Arial" w:hAnsi="Arial" w:cs="Arial"/>
          <w:sz w:val="24"/>
          <w:szCs w:val="24"/>
        </w:rPr>
        <w:t xml:space="preserve"> structure</w:t>
      </w:r>
      <w:r w:rsidR="004C23A2">
        <w:rPr>
          <w:rFonts w:ascii="Arial" w:hAnsi="Arial" w:cs="Arial"/>
          <w:sz w:val="24"/>
          <w:szCs w:val="24"/>
        </w:rPr>
        <w:t>.</w:t>
      </w:r>
      <w:r w:rsidR="00053E68">
        <w:rPr>
          <w:rFonts w:ascii="Arial" w:hAnsi="Arial" w:cs="Arial"/>
          <w:sz w:val="24"/>
          <w:szCs w:val="24"/>
        </w:rPr>
        <w:t xml:space="preserve"> </w:t>
      </w:r>
      <w:r w:rsidR="004C23A2">
        <w:rPr>
          <w:rFonts w:ascii="Arial" w:hAnsi="Arial" w:cs="Arial"/>
          <w:sz w:val="24"/>
          <w:szCs w:val="24"/>
        </w:rPr>
        <w:t xml:space="preserve">Until the anomalies and distortions created in the market by the current default rate structure are remedied, Ohio’s </w:t>
      </w:r>
      <w:r w:rsidR="004C23A2" w:rsidRPr="004C23A2">
        <w:rPr>
          <w:rFonts w:ascii="Arial" w:hAnsi="Arial" w:cs="Arial"/>
          <w:i/>
          <w:sz w:val="24"/>
          <w:szCs w:val="24"/>
        </w:rPr>
        <w:t xml:space="preserve">retail </w:t>
      </w:r>
      <w:r w:rsidR="004C23A2">
        <w:rPr>
          <w:rFonts w:ascii="Arial" w:hAnsi="Arial" w:cs="Arial"/>
          <w:sz w:val="24"/>
          <w:szCs w:val="24"/>
        </w:rPr>
        <w:t>electric markets will not truly be competitive</w:t>
      </w:r>
      <w:r w:rsidR="006E15D5">
        <w:rPr>
          <w:rFonts w:ascii="Arial" w:hAnsi="Arial" w:cs="Arial"/>
          <w:sz w:val="24"/>
          <w:szCs w:val="24"/>
        </w:rPr>
        <w:t>.</w:t>
      </w:r>
      <w:r w:rsidR="00A319A4">
        <w:rPr>
          <w:rFonts w:ascii="Arial" w:hAnsi="Arial" w:cs="Arial"/>
          <w:sz w:val="24"/>
          <w:szCs w:val="24"/>
        </w:rPr>
        <w:t xml:space="preserve"> </w:t>
      </w:r>
    </w:p>
    <w:p w:rsidR="00D76F2A" w:rsidRDefault="00D76F2A" w:rsidP="00A319A4">
      <w:pPr>
        <w:pStyle w:val="ListParagraph"/>
        <w:numPr>
          <w:ilvl w:val="0"/>
          <w:numId w:val="2"/>
        </w:numPr>
        <w:spacing w:line="480" w:lineRule="auto"/>
        <w:jc w:val="both"/>
        <w:rPr>
          <w:rFonts w:ascii="Arial" w:hAnsi="Arial" w:cs="Arial"/>
          <w:b/>
          <w:sz w:val="24"/>
          <w:szCs w:val="24"/>
        </w:rPr>
      </w:pPr>
      <w:r>
        <w:rPr>
          <w:rFonts w:ascii="Arial" w:hAnsi="Arial" w:cs="Arial"/>
          <w:b/>
          <w:sz w:val="24"/>
          <w:szCs w:val="24"/>
        </w:rPr>
        <w:t xml:space="preserve">Customer Billing </w:t>
      </w:r>
      <w:r w:rsidR="00783F60">
        <w:rPr>
          <w:rFonts w:ascii="Arial" w:hAnsi="Arial" w:cs="Arial"/>
          <w:b/>
          <w:sz w:val="24"/>
          <w:szCs w:val="24"/>
        </w:rPr>
        <w:t>and Collections</w:t>
      </w:r>
    </w:p>
    <w:p w:rsidR="001E1188" w:rsidRDefault="00D76F2A" w:rsidP="00D76F2A">
      <w:pPr>
        <w:spacing w:line="480" w:lineRule="auto"/>
        <w:ind w:firstLine="720"/>
        <w:jc w:val="both"/>
        <w:rPr>
          <w:rFonts w:ascii="Arial" w:hAnsi="Arial" w:cs="Arial"/>
          <w:sz w:val="24"/>
          <w:szCs w:val="24"/>
        </w:rPr>
      </w:pPr>
      <w:r>
        <w:rPr>
          <w:rFonts w:ascii="Arial" w:hAnsi="Arial" w:cs="Arial"/>
          <w:sz w:val="24"/>
          <w:szCs w:val="24"/>
        </w:rPr>
        <w:t xml:space="preserve">The Staff </w:t>
      </w:r>
      <w:r w:rsidR="00B3076B">
        <w:rPr>
          <w:rFonts w:ascii="Arial" w:hAnsi="Arial" w:cs="Arial"/>
          <w:sz w:val="24"/>
          <w:szCs w:val="24"/>
        </w:rPr>
        <w:t>Report recommended that all EDU</w:t>
      </w:r>
      <w:r>
        <w:rPr>
          <w:rFonts w:ascii="Arial" w:hAnsi="Arial" w:cs="Arial"/>
          <w:sz w:val="24"/>
          <w:szCs w:val="24"/>
        </w:rPr>
        <w:t xml:space="preserve">s be required to implement a purchase of receivables (“POR”) programs and that EDUs should file a POR </w:t>
      </w:r>
      <w:r>
        <w:rPr>
          <w:rFonts w:ascii="Arial" w:hAnsi="Arial" w:cs="Arial"/>
          <w:sz w:val="24"/>
          <w:szCs w:val="24"/>
        </w:rPr>
        <w:lastRenderedPageBreak/>
        <w:t>implementation plan within one year of a final order in this proceeding.</w:t>
      </w:r>
      <w:r>
        <w:rPr>
          <w:rStyle w:val="FootnoteReference"/>
          <w:rFonts w:ascii="Arial" w:hAnsi="Arial" w:cs="Arial"/>
          <w:sz w:val="24"/>
          <w:szCs w:val="24"/>
        </w:rPr>
        <w:footnoteReference w:id="5"/>
      </w:r>
      <w:r>
        <w:rPr>
          <w:rFonts w:ascii="Arial" w:hAnsi="Arial" w:cs="Arial"/>
          <w:sz w:val="24"/>
          <w:szCs w:val="24"/>
        </w:rPr>
        <w:t xml:space="preserve">  IGS commends Staff for making this recommendation </w:t>
      </w:r>
      <w:r w:rsidR="001E1188">
        <w:rPr>
          <w:rFonts w:ascii="Arial" w:hAnsi="Arial" w:cs="Arial"/>
          <w:sz w:val="24"/>
          <w:szCs w:val="24"/>
        </w:rPr>
        <w:t xml:space="preserve">and </w:t>
      </w:r>
      <w:r w:rsidR="007E718C">
        <w:rPr>
          <w:rFonts w:ascii="Arial" w:hAnsi="Arial" w:cs="Arial"/>
          <w:sz w:val="24"/>
          <w:szCs w:val="24"/>
        </w:rPr>
        <w:t>is supportive of Staff’s POR proposal</w:t>
      </w:r>
      <w:r>
        <w:rPr>
          <w:rFonts w:ascii="Arial" w:hAnsi="Arial" w:cs="Arial"/>
          <w:sz w:val="24"/>
          <w:szCs w:val="24"/>
        </w:rPr>
        <w:t>.</w:t>
      </w:r>
      <w:r w:rsidR="001E1188">
        <w:rPr>
          <w:rFonts w:ascii="Arial" w:hAnsi="Arial" w:cs="Arial"/>
          <w:sz w:val="24"/>
          <w:szCs w:val="24"/>
        </w:rPr>
        <w:t xml:space="preserve"> </w:t>
      </w:r>
    </w:p>
    <w:p w:rsidR="00D76F2A" w:rsidRPr="001E1188" w:rsidRDefault="001E1188" w:rsidP="001E1188">
      <w:pPr>
        <w:spacing w:line="480" w:lineRule="auto"/>
        <w:ind w:firstLine="720"/>
        <w:jc w:val="both"/>
        <w:rPr>
          <w:rFonts w:ascii="Arial" w:hAnsi="Arial" w:cs="Arial"/>
          <w:sz w:val="24"/>
          <w:szCs w:val="24"/>
        </w:rPr>
      </w:pPr>
      <w:r>
        <w:rPr>
          <w:rFonts w:ascii="Arial" w:hAnsi="Arial" w:cs="Arial"/>
          <w:sz w:val="24"/>
          <w:szCs w:val="24"/>
        </w:rPr>
        <w:t xml:space="preserve">The implementation of POR is a good first step, but more can be done to enhance the product offerings for customers. </w:t>
      </w:r>
      <w:r w:rsidR="007E718C">
        <w:rPr>
          <w:rFonts w:ascii="Arial" w:hAnsi="Arial" w:cs="Arial"/>
          <w:sz w:val="24"/>
          <w:szCs w:val="24"/>
        </w:rPr>
        <w:t>The introduction of new electric products</w:t>
      </w:r>
      <w:r>
        <w:rPr>
          <w:rFonts w:ascii="Arial" w:hAnsi="Arial" w:cs="Arial"/>
          <w:sz w:val="24"/>
          <w:szCs w:val="24"/>
        </w:rPr>
        <w:t xml:space="preserve"> should be </w:t>
      </w:r>
      <w:r w:rsidR="00053E68">
        <w:rPr>
          <w:rFonts w:ascii="Arial" w:hAnsi="Arial" w:cs="Arial"/>
          <w:sz w:val="24"/>
          <w:szCs w:val="24"/>
        </w:rPr>
        <w:t>encouraged</w:t>
      </w:r>
      <w:r>
        <w:rPr>
          <w:rFonts w:ascii="Arial" w:hAnsi="Arial" w:cs="Arial"/>
          <w:sz w:val="24"/>
          <w:szCs w:val="24"/>
        </w:rPr>
        <w:t xml:space="preserve"> as it is </w:t>
      </w:r>
      <w:r w:rsidR="007E718C">
        <w:rPr>
          <w:rFonts w:ascii="Arial" w:hAnsi="Arial" w:cs="Arial"/>
          <w:sz w:val="24"/>
          <w:szCs w:val="24"/>
        </w:rPr>
        <w:t>one of the greatest benefits competition brings to customers</w:t>
      </w:r>
      <w:r>
        <w:rPr>
          <w:rFonts w:ascii="Arial" w:hAnsi="Arial" w:cs="Arial"/>
          <w:sz w:val="24"/>
          <w:szCs w:val="24"/>
        </w:rPr>
        <w:t>.</w:t>
      </w:r>
      <w:r w:rsidR="00B3076B">
        <w:rPr>
          <w:rFonts w:ascii="Arial" w:hAnsi="Arial" w:cs="Arial"/>
          <w:sz w:val="24"/>
          <w:szCs w:val="24"/>
        </w:rPr>
        <w:t xml:space="preserve">  One only need </w:t>
      </w:r>
      <w:r w:rsidR="007E718C">
        <w:rPr>
          <w:rFonts w:ascii="Arial" w:hAnsi="Arial" w:cs="Arial"/>
          <w:sz w:val="24"/>
          <w:szCs w:val="24"/>
        </w:rPr>
        <w:t>look at the telecommunications industry to see the transformative effects innovative products brought on by competition can have on society.</w:t>
      </w:r>
      <w:r>
        <w:rPr>
          <w:rFonts w:ascii="Arial" w:hAnsi="Arial" w:cs="Arial"/>
          <w:sz w:val="24"/>
          <w:szCs w:val="24"/>
        </w:rPr>
        <w:t xml:space="preserve"> </w:t>
      </w:r>
      <w:r w:rsidR="007E718C">
        <w:rPr>
          <w:rFonts w:ascii="Arial" w:hAnsi="Arial" w:cs="Arial"/>
          <w:sz w:val="24"/>
          <w:szCs w:val="24"/>
        </w:rPr>
        <w:t>T</w:t>
      </w:r>
      <w:r>
        <w:rPr>
          <w:rFonts w:ascii="Arial" w:hAnsi="Arial" w:cs="Arial"/>
          <w:sz w:val="24"/>
          <w:szCs w:val="24"/>
        </w:rPr>
        <w:t>he Commission</w:t>
      </w:r>
      <w:r w:rsidR="007E718C">
        <w:rPr>
          <w:rFonts w:ascii="Arial" w:hAnsi="Arial" w:cs="Arial"/>
          <w:sz w:val="24"/>
          <w:szCs w:val="24"/>
        </w:rPr>
        <w:t>, thus,</w:t>
      </w:r>
      <w:r>
        <w:rPr>
          <w:rFonts w:ascii="Arial" w:hAnsi="Arial" w:cs="Arial"/>
          <w:sz w:val="24"/>
          <w:szCs w:val="24"/>
        </w:rPr>
        <w:t xml:space="preserve"> should make it a policy to implement means by which CRES suppliers can offer and make available more dynamic products to customers.  </w:t>
      </w:r>
      <w:r w:rsidR="007E718C">
        <w:rPr>
          <w:rFonts w:ascii="Arial" w:hAnsi="Arial" w:cs="Arial"/>
          <w:sz w:val="24"/>
          <w:szCs w:val="24"/>
        </w:rPr>
        <w:t xml:space="preserve">As such, </w:t>
      </w:r>
      <w:r>
        <w:rPr>
          <w:rFonts w:ascii="Arial" w:hAnsi="Arial" w:cs="Arial"/>
          <w:sz w:val="24"/>
          <w:szCs w:val="24"/>
        </w:rPr>
        <w:t>IGS makes the following additional recommendations for EDU billing</w:t>
      </w:r>
      <w:r w:rsidR="00783F60">
        <w:rPr>
          <w:rFonts w:ascii="Arial" w:hAnsi="Arial" w:cs="Arial"/>
          <w:sz w:val="24"/>
          <w:szCs w:val="24"/>
        </w:rPr>
        <w:t xml:space="preserve"> and collections</w:t>
      </w:r>
      <w:r>
        <w:rPr>
          <w:rFonts w:ascii="Arial" w:hAnsi="Arial" w:cs="Arial"/>
          <w:sz w:val="24"/>
          <w:szCs w:val="24"/>
        </w:rPr>
        <w:t>.</w:t>
      </w:r>
    </w:p>
    <w:p w:rsidR="00A319A4" w:rsidRPr="00D76F2A" w:rsidRDefault="00756DD0" w:rsidP="002A7B17">
      <w:pPr>
        <w:pStyle w:val="ListParagraph"/>
        <w:numPr>
          <w:ilvl w:val="0"/>
          <w:numId w:val="3"/>
        </w:numPr>
        <w:spacing w:line="240" w:lineRule="auto"/>
        <w:jc w:val="both"/>
        <w:rPr>
          <w:rFonts w:ascii="Arial" w:hAnsi="Arial" w:cs="Arial"/>
          <w:b/>
          <w:sz w:val="24"/>
          <w:szCs w:val="24"/>
        </w:rPr>
      </w:pPr>
      <w:r>
        <w:rPr>
          <w:rFonts w:ascii="Arial" w:hAnsi="Arial" w:cs="Arial"/>
          <w:b/>
          <w:sz w:val="24"/>
          <w:szCs w:val="24"/>
        </w:rPr>
        <w:t>EDUs Should be Required</w:t>
      </w:r>
      <w:r w:rsidR="00A319A4" w:rsidRPr="00D76F2A">
        <w:rPr>
          <w:rFonts w:ascii="Arial" w:hAnsi="Arial" w:cs="Arial"/>
          <w:b/>
          <w:sz w:val="24"/>
          <w:szCs w:val="24"/>
        </w:rPr>
        <w:t xml:space="preserve"> to Implement Supplier Consolidated Billing</w:t>
      </w:r>
      <w:r w:rsidR="004C23A2" w:rsidRPr="00D76F2A">
        <w:rPr>
          <w:rFonts w:ascii="Arial" w:hAnsi="Arial" w:cs="Arial"/>
          <w:b/>
          <w:sz w:val="24"/>
          <w:szCs w:val="24"/>
        </w:rPr>
        <w:t xml:space="preserve"> With their Purchase of Receivables Plan</w:t>
      </w:r>
      <w:r w:rsidR="00A319A4" w:rsidRPr="00D76F2A">
        <w:rPr>
          <w:rFonts w:ascii="Arial" w:hAnsi="Arial" w:cs="Arial"/>
          <w:b/>
          <w:sz w:val="24"/>
          <w:szCs w:val="24"/>
        </w:rPr>
        <w:t>.</w:t>
      </w:r>
    </w:p>
    <w:p w:rsidR="001F3C82" w:rsidRDefault="004C23A2" w:rsidP="00D76F2A">
      <w:pPr>
        <w:spacing w:line="480" w:lineRule="auto"/>
        <w:ind w:firstLine="720"/>
        <w:jc w:val="both"/>
        <w:rPr>
          <w:rFonts w:ascii="Arial" w:hAnsi="Arial" w:cs="Arial"/>
          <w:sz w:val="24"/>
          <w:szCs w:val="24"/>
        </w:rPr>
      </w:pPr>
      <w:r>
        <w:rPr>
          <w:rFonts w:ascii="Arial" w:hAnsi="Arial" w:cs="Arial"/>
          <w:sz w:val="24"/>
          <w:szCs w:val="24"/>
        </w:rPr>
        <w:t xml:space="preserve">IGS suggests that </w:t>
      </w:r>
      <w:r w:rsidR="00F11274">
        <w:rPr>
          <w:rFonts w:ascii="Arial" w:hAnsi="Arial" w:cs="Arial"/>
          <w:sz w:val="24"/>
          <w:szCs w:val="24"/>
        </w:rPr>
        <w:t>the</w:t>
      </w:r>
      <w:r w:rsidR="00F63410">
        <w:rPr>
          <w:rFonts w:ascii="Arial" w:hAnsi="Arial" w:cs="Arial"/>
          <w:sz w:val="24"/>
          <w:szCs w:val="24"/>
        </w:rPr>
        <w:t xml:space="preserve"> EDUs</w:t>
      </w:r>
      <w:r w:rsidR="00BD756A">
        <w:rPr>
          <w:rFonts w:ascii="Arial" w:hAnsi="Arial" w:cs="Arial"/>
          <w:sz w:val="24"/>
          <w:szCs w:val="24"/>
        </w:rPr>
        <w:t xml:space="preserve"> POR </w:t>
      </w:r>
      <w:r w:rsidR="00F11274">
        <w:rPr>
          <w:rFonts w:ascii="Arial" w:hAnsi="Arial" w:cs="Arial"/>
          <w:sz w:val="24"/>
          <w:szCs w:val="24"/>
        </w:rPr>
        <w:t>implementation plan</w:t>
      </w:r>
      <w:r w:rsidR="00F63410">
        <w:rPr>
          <w:rFonts w:ascii="Arial" w:hAnsi="Arial" w:cs="Arial"/>
          <w:sz w:val="24"/>
          <w:szCs w:val="24"/>
        </w:rPr>
        <w:t>s recommended by Staff</w:t>
      </w:r>
      <w:r w:rsidR="00F11274">
        <w:rPr>
          <w:rFonts w:ascii="Arial" w:hAnsi="Arial" w:cs="Arial"/>
          <w:sz w:val="24"/>
          <w:szCs w:val="24"/>
        </w:rPr>
        <w:t xml:space="preserve"> also include a plan to implement supplier consolidated billing</w:t>
      </w:r>
      <w:r w:rsidR="001F3C82">
        <w:rPr>
          <w:rFonts w:ascii="Arial" w:hAnsi="Arial" w:cs="Arial"/>
          <w:sz w:val="24"/>
          <w:szCs w:val="24"/>
        </w:rPr>
        <w:t>.</w:t>
      </w:r>
      <w:r w:rsidR="00D76F2A">
        <w:rPr>
          <w:rFonts w:ascii="Arial" w:hAnsi="Arial" w:cs="Arial"/>
          <w:sz w:val="24"/>
          <w:szCs w:val="24"/>
        </w:rPr>
        <w:t xml:space="preserve"> </w:t>
      </w:r>
      <w:r w:rsidR="001F3C82">
        <w:rPr>
          <w:rFonts w:ascii="Arial" w:hAnsi="Arial" w:cs="Arial"/>
          <w:sz w:val="24"/>
          <w:szCs w:val="24"/>
        </w:rPr>
        <w:t xml:space="preserve">The purpose of POR programs and utility consolidated billing is to allow customers to transact with a single entity throughout the entire </w:t>
      </w:r>
      <w:r w:rsidR="00BD756A">
        <w:rPr>
          <w:rFonts w:ascii="Arial" w:hAnsi="Arial" w:cs="Arial"/>
          <w:sz w:val="24"/>
          <w:szCs w:val="24"/>
        </w:rPr>
        <w:t xml:space="preserve">billing and </w:t>
      </w:r>
      <w:r w:rsidR="001F3C82">
        <w:rPr>
          <w:rFonts w:ascii="Arial" w:hAnsi="Arial" w:cs="Arial"/>
          <w:sz w:val="24"/>
          <w:szCs w:val="24"/>
        </w:rPr>
        <w:t>collections process. Simplicity in cus</w:t>
      </w:r>
      <w:r w:rsidR="00B3076B">
        <w:rPr>
          <w:rFonts w:ascii="Arial" w:hAnsi="Arial" w:cs="Arial"/>
          <w:sz w:val="24"/>
          <w:szCs w:val="24"/>
        </w:rPr>
        <w:t xml:space="preserve">tomer billing and collections is undisputedly </w:t>
      </w:r>
      <w:r w:rsidR="001F3C82">
        <w:rPr>
          <w:rFonts w:ascii="Arial" w:hAnsi="Arial" w:cs="Arial"/>
          <w:sz w:val="24"/>
          <w:szCs w:val="24"/>
        </w:rPr>
        <w:t>positive for customers and thus should be encouraged</w:t>
      </w:r>
      <w:r w:rsidR="00F63410">
        <w:rPr>
          <w:rFonts w:ascii="Arial" w:hAnsi="Arial" w:cs="Arial"/>
          <w:sz w:val="24"/>
          <w:szCs w:val="24"/>
        </w:rPr>
        <w:t>.</w:t>
      </w:r>
      <w:r w:rsidR="001F3C82">
        <w:rPr>
          <w:rFonts w:ascii="Arial" w:hAnsi="Arial" w:cs="Arial"/>
          <w:sz w:val="24"/>
          <w:szCs w:val="24"/>
        </w:rPr>
        <w:t xml:space="preserve">  Supplier consolidated billing would offer the same simplicity for customers as POR and utility consolidated billing, the only difference </w:t>
      </w:r>
      <w:r w:rsidR="00B50118">
        <w:rPr>
          <w:rFonts w:ascii="Arial" w:hAnsi="Arial" w:cs="Arial"/>
          <w:sz w:val="24"/>
          <w:szCs w:val="24"/>
        </w:rPr>
        <w:t>being</w:t>
      </w:r>
      <w:r w:rsidR="001F3C82">
        <w:rPr>
          <w:rFonts w:ascii="Arial" w:hAnsi="Arial" w:cs="Arial"/>
          <w:sz w:val="24"/>
          <w:szCs w:val="24"/>
        </w:rPr>
        <w:t xml:space="preserve"> that the CRES supplier would be the customer’s </w:t>
      </w:r>
      <w:r w:rsidR="00BD756A">
        <w:rPr>
          <w:rFonts w:ascii="Arial" w:hAnsi="Arial" w:cs="Arial"/>
          <w:sz w:val="24"/>
          <w:szCs w:val="24"/>
        </w:rPr>
        <w:t>billing and collectio</w:t>
      </w:r>
      <w:r w:rsidR="00B50118">
        <w:rPr>
          <w:rFonts w:ascii="Arial" w:hAnsi="Arial" w:cs="Arial"/>
          <w:sz w:val="24"/>
          <w:szCs w:val="24"/>
        </w:rPr>
        <w:t>ns entity instead of the EDU</w:t>
      </w:r>
      <w:r w:rsidR="00BD756A">
        <w:rPr>
          <w:rFonts w:ascii="Arial" w:hAnsi="Arial" w:cs="Arial"/>
          <w:sz w:val="24"/>
          <w:szCs w:val="24"/>
        </w:rPr>
        <w:t xml:space="preserve">.  </w:t>
      </w:r>
    </w:p>
    <w:p w:rsidR="00BD756A" w:rsidRPr="00A319A4" w:rsidRDefault="00BD756A" w:rsidP="00A319A4">
      <w:pPr>
        <w:spacing w:line="480" w:lineRule="auto"/>
        <w:ind w:firstLine="720"/>
        <w:jc w:val="both"/>
        <w:rPr>
          <w:rFonts w:ascii="Arial" w:hAnsi="Arial" w:cs="Arial"/>
          <w:sz w:val="24"/>
          <w:szCs w:val="24"/>
        </w:rPr>
      </w:pPr>
      <w:r>
        <w:rPr>
          <w:rFonts w:ascii="Arial" w:hAnsi="Arial" w:cs="Arial"/>
          <w:sz w:val="24"/>
          <w:szCs w:val="24"/>
        </w:rPr>
        <w:lastRenderedPageBreak/>
        <w:t xml:space="preserve">Under the supplier consolidated billing model, CRES suppliers </w:t>
      </w:r>
      <w:r w:rsidR="00292EB3">
        <w:rPr>
          <w:rFonts w:ascii="Arial" w:hAnsi="Arial" w:cs="Arial"/>
          <w:sz w:val="24"/>
          <w:szCs w:val="24"/>
        </w:rPr>
        <w:t>would purchase the receivables for</w:t>
      </w:r>
      <w:r>
        <w:rPr>
          <w:rFonts w:ascii="Arial" w:hAnsi="Arial" w:cs="Arial"/>
          <w:sz w:val="24"/>
          <w:szCs w:val="24"/>
        </w:rPr>
        <w:t xml:space="preserve"> the </w:t>
      </w:r>
      <w:r w:rsidR="00292EB3">
        <w:rPr>
          <w:rFonts w:ascii="Arial" w:hAnsi="Arial" w:cs="Arial"/>
          <w:sz w:val="24"/>
          <w:szCs w:val="24"/>
        </w:rPr>
        <w:t>EDU distribution charges</w:t>
      </w:r>
      <w:r w:rsidR="00B50118">
        <w:rPr>
          <w:rFonts w:ascii="Arial" w:hAnsi="Arial" w:cs="Arial"/>
          <w:sz w:val="24"/>
          <w:szCs w:val="24"/>
        </w:rPr>
        <w:t xml:space="preserve">, at a reasonable rate set administratively by the Commission, and then the CRES supplier would be responsible for collecting and billing all electric distribution and generation charges from the customer.  </w:t>
      </w:r>
      <w:r w:rsidR="001E1188">
        <w:rPr>
          <w:rFonts w:ascii="Arial" w:hAnsi="Arial" w:cs="Arial"/>
          <w:sz w:val="24"/>
          <w:szCs w:val="24"/>
        </w:rPr>
        <w:t xml:space="preserve">Having </w:t>
      </w:r>
      <w:r w:rsidR="00292EB3">
        <w:rPr>
          <w:rFonts w:ascii="Arial" w:hAnsi="Arial" w:cs="Arial"/>
          <w:sz w:val="24"/>
          <w:szCs w:val="24"/>
        </w:rPr>
        <w:t xml:space="preserve">the availability of </w:t>
      </w:r>
      <w:r w:rsidR="001E1188">
        <w:rPr>
          <w:rFonts w:ascii="Arial" w:hAnsi="Arial" w:cs="Arial"/>
          <w:sz w:val="24"/>
          <w:szCs w:val="24"/>
        </w:rPr>
        <w:t>both</w:t>
      </w:r>
      <w:r w:rsidR="00B50118">
        <w:rPr>
          <w:rFonts w:ascii="Arial" w:hAnsi="Arial" w:cs="Arial"/>
          <w:sz w:val="24"/>
          <w:szCs w:val="24"/>
        </w:rPr>
        <w:t xml:space="preserve"> supplier consolidated billing an</w:t>
      </w:r>
      <w:r w:rsidR="00053E68">
        <w:rPr>
          <w:rFonts w:ascii="Arial" w:hAnsi="Arial" w:cs="Arial"/>
          <w:sz w:val="24"/>
          <w:szCs w:val="24"/>
        </w:rPr>
        <w:t xml:space="preserve">d utility consolidated billing </w:t>
      </w:r>
      <w:r w:rsidR="00B50118">
        <w:rPr>
          <w:rFonts w:ascii="Arial" w:hAnsi="Arial" w:cs="Arial"/>
          <w:sz w:val="24"/>
          <w:szCs w:val="24"/>
        </w:rPr>
        <w:t xml:space="preserve">maximizes the </w:t>
      </w:r>
      <w:r w:rsidR="00221C63">
        <w:rPr>
          <w:rFonts w:ascii="Arial" w:hAnsi="Arial" w:cs="Arial"/>
          <w:sz w:val="24"/>
          <w:szCs w:val="24"/>
        </w:rPr>
        <w:t>options</w:t>
      </w:r>
      <w:r w:rsidR="00B50118">
        <w:rPr>
          <w:rFonts w:ascii="Arial" w:hAnsi="Arial" w:cs="Arial"/>
          <w:sz w:val="24"/>
          <w:szCs w:val="24"/>
        </w:rPr>
        <w:t xml:space="preserve"> for customers</w:t>
      </w:r>
      <w:r w:rsidR="00221C63">
        <w:rPr>
          <w:rFonts w:ascii="Arial" w:hAnsi="Arial" w:cs="Arial"/>
          <w:sz w:val="24"/>
          <w:szCs w:val="24"/>
        </w:rPr>
        <w:t xml:space="preserve"> thus making the electric shopping experience better for customers</w:t>
      </w:r>
      <w:r w:rsidR="00114E58">
        <w:rPr>
          <w:rFonts w:ascii="Arial" w:hAnsi="Arial" w:cs="Arial"/>
          <w:sz w:val="24"/>
          <w:szCs w:val="24"/>
        </w:rPr>
        <w:t>.</w:t>
      </w:r>
      <w:r>
        <w:rPr>
          <w:rFonts w:ascii="Arial" w:hAnsi="Arial" w:cs="Arial"/>
          <w:sz w:val="24"/>
          <w:szCs w:val="24"/>
        </w:rPr>
        <w:t xml:space="preserve"> </w:t>
      </w:r>
    </w:p>
    <w:p w:rsidR="00053E68" w:rsidRDefault="00053E68" w:rsidP="004B1BBD">
      <w:pPr>
        <w:spacing w:line="480" w:lineRule="auto"/>
        <w:ind w:firstLine="720"/>
        <w:jc w:val="both"/>
        <w:rPr>
          <w:rFonts w:ascii="Arial" w:hAnsi="Arial" w:cs="Arial"/>
          <w:sz w:val="24"/>
          <w:szCs w:val="24"/>
        </w:rPr>
      </w:pPr>
      <w:r>
        <w:rPr>
          <w:rFonts w:ascii="Arial" w:hAnsi="Arial" w:cs="Arial"/>
          <w:sz w:val="24"/>
          <w:szCs w:val="24"/>
        </w:rPr>
        <w:t>S</w:t>
      </w:r>
      <w:r w:rsidR="00221C63">
        <w:rPr>
          <w:rFonts w:ascii="Arial" w:hAnsi="Arial" w:cs="Arial"/>
          <w:sz w:val="24"/>
          <w:szCs w:val="24"/>
        </w:rPr>
        <w:t>upplier consolidated billing will</w:t>
      </w:r>
      <w:r>
        <w:rPr>
          <w:rFonts w:ascii="Arial" w:hAnsi="Arial" w:cs="Arial"/>
          <w:sz w:val="24"/>
          <w:szCs w:val="24"/>
        </w:rPr>
        <w:t xml:space="preserve"> also</w:t>
      </w:r>
      <w:r w:rsidR="00221C63">
        <w:rPr>
          <w:rFonts w:ascii="Arial" w:hAnsi="Arial" w:cs="Arial"/>
          <w:sz w:val="24"/>
          <w:szCs w:val="24"/>
        </w:rPr>
        <w:t xml:space="preserve"> </w:t>
      </w:r>
      <w:r w:rsidR="00F63410">
        <w:rPr>
          <w:rFonts w:ascii="Arial" w:hAnsi="Arial" w:cs="Arial"/>
          <w:sz w:val="24"/>
          <w:szCs w:val="24"/>
        </w:rPr>
        <w:t>enable CRES suppliers</w:t>
      </w:r>
      <w:r w:rsidR="00221C63">
        <w:rPr>
          <w:rFonts w:ascii="Arial" w:hAnsi="Arial" w:cs="Arial"/>
          <w:sz w:val="24"/>
          <w:szCs w:val="24"/>
        </w:rPr>
        <w:t xml:space="preserve"> </w:t>
      </w:r>
      <w:r w:rsidR="00292EB3">
        <w:rPr>
          <w:rFonts w:ascii="Arial" w:hAnsi="Arial" w:cs="Arial"/>
          <w:sz w:val="24"/>
          <w:szCs w:val="24"/>
        </w:rPr>
        <w:t>to offer 1) more dynamic billing options to customers for the commodity product and</w:t>
      </w:r>
      <w:r w:rsidR="00221C63">
        <w:rPr>
          <w:rFonts w:ascii="Arial" w:hAnsi="Arial" w:cs="Arial"/>
          <w:sz w:val="24"/>
          <w:szCs w:val="24"/>
        </w:rPr>
        <w:t xml:space="preserve"> </w:t>
      </w:r>
      <w:r w:rsidR="00292EB3">
        <w:rPr>
          <w:rFonts w:ascii="Arial" w:hAnsi="Arial" w:cs="Arial"/>
          <w:sz w:val="24"/>
          <w:szCs w:val="24"/>
        </w:rPr>
        <w:t xml:space="preserve">2) </w:t>
      </w:r>
      <w:r w:rsidR="00F63410">
        <w:rPr>
          <w:rFonts w:ascii="Arial" w:hAnsi="Arial" w:cs="Arial"/>
          <w:sz w:val="24"/>
          <w:szCs w:val="24"/>
        </w:rPr>
        <w:t xml:space="preserve">more </w:t>
      </w:r>
      <w:r w:rsidR="00221C63">
        <w:rPr>
          <w:rFonts w:ascii="Arial" w:hAnsi="Arial" w:cs="Arial"/>
          <w:sz w:val="24"/>
          <w:szCs w:val="24"/>
        </w:rPr>
        <w:t>products and services</w:t>
      </w:r>
      <w:r w:rsidR="00F63410">
        <w:rPr>
          <w:rFonts w:ascii="Arial" w:hAnsi="Arial" w:cs="Arial"/>
          <w:sz w:val="24"/>
          <w:szCs w:val="24"/>
        </w:rPr>
        <w:t xml:space="preserve"> </w:t>
      </w:r>
      <w:r w:rsidR="00292EB3">
        <w:rPr>
          <w:rFonts w:ascii="Arial" w:hAnsi="Arial" w:cs="Arial"/>
          <w:sz w:val="24"/>
          <w:szCs w:val="24"/>
        </w:rPr>
        <w:t>to</w:t>
      </w:r>
      <w:r w:rsidR="00221C63">
        <w:rPr>
          <w:rFonts w:ascii="Arial" w:hAnsi="Arial" w:cs="Arial"/>
          <w:sz w:val="24"/>
          <w:szCs w:val="24"/>
        </w:rPr>
        <w:t xml:space="preserve"> customers </w:t>
      </w:r>
      <w:r>
        <w:rPr>
          <w:rFonts w:ascii="Arial" w:hAnsi="Arial" w:cs="Arial"/>
          <w:sz w:val="24"/>
          <w:szCs w:val="24"/>
        </w:rPr>
        <w:t>in addition to the commodity product</w:t>
      </w:r>
      <w:r w:rsidR="00221C63">
        <w:rPr>
          <w:rFonts w:ascii="Arial" w:hAnsi="Arial" w:cs="Arial"/>
          <w:sz w:val="24"/>
          <w:szCs w:val="24"/>
        </w:rPr>
        <w:t xml:space="preserve">.  </w:t>
      </w:r>
      <w:r w:rsidR="00F11274">
        <w:rPr>
          <w:rFonts w:ascii="Arial" w:hAnsi="Arial" w:cs="Arial"/>
          <w:sz w:val="24"/>
          <w:szCs w:val="24"/>
        </w:rPr>
        <w:t>The CRES provider consolidated bill, of course, would</w:t>
      </w:r>
      <w:r w:rsidR="00292EB3">
        <w:rPr>
          <w:rFonts w:ascii="Arial" w:hAnsi="Arial" w:cs="Arial"/>
          <w:sz w:val="24"/>
          <w:szCs w:val="24"/>
        </w:rPr>
        <w:t xml:space="preserve"> still</w:t>
      </w:r>
      <w:r w:rsidR="00F11274">
        <w:rPr>
          <w:rFonts w:ascii="Arial" w:hAnsi="Arial" w:cs="Arial"/>
          <w:sz w:val="24"/>
          <w:szCs w:val="24"/>
        </w:rPr>
        <w:t xml:space="preserve"> be subject to the same consumer protection standards that</w:t>
      </w:r>
      <w:r w:rsidR="00BF57C7">
        <w:rPr>
          <w:rFonts w:ascii="Arial" w:hAnsi="Arial" w:cs="Arial"/>
          <w:sz w:val="24"/>
          <w:szCs w:val="24"/>
        </w:rPr>
        <w:t xml:space="preserve"> are</w:t>
      </w:r>
      <w:r w:rsidR="00F11274">
        <w:rPr>
          <w:rFonts w:ascii="Arial" w:hAnsi="Arial" w:cs="Arial"/>
          <w:sz w:val="24"/>
          <w:szCs w:val="24"/>
        </w:rPr>
        <w:t xml:space="preserve"> required </w:t>
      </w:r>
      <w:r w:rsidR="00BF57C7">
        <w:rPr>
          <w:rFonts w:ascii="Arial" w:hAnsi="Arial" w:cs="Arial"/>
          <w:sz w:val="24"/>
          <w:szCs w:val="24"/>
        </w:rPr>
        <w:t>for CRES provider bill</w:t>
      </w:r>
      <w:r w:rsidR="008030B2">
        <w:rPr>
          <w:rFonts w:ascii="Arial" w:hAnsi="Arial" w:cs="Arial"/>
          <w:sz w:val="24"/>
          <w:szCs w:val="24"/>
        </w:rPr>
        <w:t>s today</w:t>
      </w:r>
      <w:r w:rsidR="00F11274">
        <w:rPr>
          <w:rFonts w:ascii="Arial" w:hAnsi="Arial" w:cs="Arial"/>
          <w:sz w:val="24"/>
          <w:szCs w:val="24"/>
        </w:rPr>
        <w:t>- the only differenc</w:t>
      </w:r>
      <w:r w:rsidR="00830C0D">
        <w:rPr>
          <w:rFonts w:ascii="Arial" w:hAnsi="Arial" w:cs="Arial"/>
          <w:sz w:val="24"/>
          <w:szCs w:val="24"/>
        </w:rPr>
        <w:t>e is that there would be a line-</w:t>
      </w:r>
      <w:r w:rsidR="00F11274">
        <w:rPr>
          <w:rFonts w:ascii="Arial" w:hAnsi="Arial" w:cs="Arial"/>
          <w:sz w:val="24"/>
          <w:szCs w:val="24"/>
        </w:rPr>
        <w:t>item on the CRES bill for the EDU</w:t>
      </w:r>
      <w:r w:rsidR="00850E71">
        <w:rPr>
          <w:rFonts w:ascii="Arial" w:hAnsi="Arial" w:cs="Arial"/>
          <w:sz w:val="24"/>
          <w:szCs w:val="24"/>
        </w:rPr>
        <w:t>’</w:t>
      </w:r>
      <w:r w:rsidR="00F11274">
        <w:rPr>
          <w:rFonts w:ascii="Arial" w:hAnsi="Arial" w:cs="Arial"/>
          <w:sz w:val="24"/>
          <w:szCs w:val="24"/>
        </w:rPr>
        <w:t>s distribution charges.</w:t>
      </w:r>
      <w:r>
        <w:rPr>
          <w:rFonts w:ascii="Arial" w:hAnsi="Arial" w:cs="Arial"/>
          <w:sz w:val="24"/>
          <w:szCs w:val="24"/>
        </w:rPr>
        <w:t xml:space="preserve"> </w:t>
      </w:r>
    </w:p>
    <w:p w:rsidR="00221C63" w:rsidRDefault="00292EB3" w:rsidP="004B1BBD">
      <w:pPr>
        <w:spacing w:line="480" w:lineRule="auto"/>
        <w:ind w:firstLine="720"/>
        <w:jc w:val="both"/>
        <w:rPr>
          <w:rFonts w:ascii="Arial" w:hAnsi="Arial" w:cs="Arial"/>
          <w:sz w:val="24"/>
          <w:szCs w:val="24"/>
        </w:rPr>
      </w:pPr>
      <w:r>
        <w:rPr>
          <w:rFonts w:ascii="Arial" w:hAnsi="Arial" w:cs="Arial"/>
          <w:sz w:val="24"/>
          <w:szCs w:val="24"/>
        </w:rPr>
        <w:t>It makes sense that as POR is being implemented throughout the EDU service territories, supplier consolidated billing is implemented as well</w:t>
      </w:r>
      <w:r w:rsidR="00C05480">
        <w:rPr>
          <w:rFonts w:ascii="Arial" w:hAnsi="Arial" w:cs="Arial"/>
          <w:sz w:val="24"/>
          <w:szCs w:val="24"/>
        </w:rPr>
        <w:t>.</w:t>
      </w:r>
      <w:r>
        <w:rPr>
          <w:rFonts w:ascii="Arial" w:hAnsi="Arial" w:cs="Arial"/>
          <w:sz w:val="24"/>
          <w:szCs w:val="24"/>
        </w:rPr>
        <w:t xml:space="preserve">  Thus, </w:t>
      </w:r>
      <w:r w:rsidR="00756DD0">
        <w:rPr>
          <w:rFonts w:ascii="Arial" w:hAnsi="Arial" w:cs="Arial"/>
          <w:sz w:val="24"/>
          <w:szCs w:val="24"/>
        </w:rPr>
        <w:t>IGS respectfully requests that the Commission require</w:t>
      </w:r>
      <w:r>
        <w:rPr>
          <w:rFonts w:ascii="Arial" w:hAnsi="Arial" w:cs="Arial"/>
          <w:sz w:val="24"/>
          <w:szCs w:val="24"/>
        </w:rPr>
        <w:t xml:space="preserve"> EDUs to file a POR implementation plan as recommended by Staff, </w:t>
      </w:r>
      <w:r w:rsidR="008030B2" w:rsidRPr="008030B2">
        <w:rPr>
          <w:rFonts w:ascii="Arial" w:hAnsi="Arial" w:cs="Arial"/>
          <w:i/>
          <w:sz w:val="24"/>
          <w:szCs w:val="24"/>
        </w:rPr>
        <w:t>and</w:t>
      </w:r>
      <w:r w:rsidR="008030B2">
        <w:rPr>
          <w:rFonts w:ascii="Arial" w:hAnsi="Arial" w:cs="Arial"/>
          <w:sz w:val="24"/>
          <w:szCs w:val="24"/>
        </w:rPr>
        <w:t xml:space="preserve"> a plan for the</w:t>
      </w:r>
      <w:r w:rsidR="00521C6F">
        <w:rPr>
          <w:rFonts w:ascii="Arial" w:hAnsi="Arial" w:cs="Arial"/>
          <w:sz w:val="24"/>
          <w:szCs w:val="24"/>
        </w:rPr>
        <w:t xml:space="preserve"> EDUs to implement </w:t>
      </w:r>
      <w:r>
        <w:rPr>
          <w:rFonts w:ascii="Arial" w:hAnsi="Arial" w:cs="Arial"/>
          <w:sz w:val="24"/>
          <w:szCs w:val="24"/>
        </w:rPr>
        <w:t>supplier consolidated billing.</w:t>
      </w:r>
    </w:p>
    <w:p w:rsidR="00C05480" w:rsidRDefault="00F63410" w:rsidP="002A7B17">
      <w:pPr>
        <w:pStyle w:val="ListParagraph"/>
        <w:numPr>
          <w:ilvl w:val="0"/>
          <w:numId w:val="3"/>
        </w:numPr>
        <w:spacing w:line="240" w:lineRule="auto"/>
        <w:jc w:val="both"/>
        <w:rPr>
          <w:rFonts w:ascii="Arial" w:hAnsi="Arial" w:cs="Arial"/>
          <w:b/>
          <w:sz w:val="24"/>
          <w:szCs w:val="24"/>
        </w:rPr>
      </w:pPr>
      <w:r>
        <w:rPr>
          <w:rFonts w:ascii="Arial" w:hAnsi="Arial" w:cs="Arial"/>
          <w:b/>
          <w:sz w:val="24"/>
          <w:szCs w:val="24"/>
        </w:rPr>
        <w:t xml:space="preserve">If a Non-Commodity Product and Service is Already Being Billed by the EDU, </w:t>
      </w:r>
      <w:r w:rsidR="00F03E6B">
        <w:rPr>
          <w:rFonts w:ascii="Arial" w:hAnsi="Arial" w:cs="Arial"/>
          <w:b/>
          <w:sz w:val="24"/>
          <w:szCs w:val="24"/>
        </w:rPr>
        <w:t xml:space="preserve">Then </w:t>
      </w:r>
      <w:r>
        <w:rPr>
          <w:rFonts w:ascii="Arial" w:hAnsi="Arial" w:cs="Arial"/>
          <w:b/>
          <w:sz w:val="24"/>
          <w:szCs w:val="24"/>
        </w:rPr>
        <w:t>the</w:t>
      </w:r>
      <w:r w:rsidR="00C05480">
        <w:rPr>
          <w:rFonts w:ascii="Arial" w:hAnsi="Arial" w:cs="Arial"/>
          <w:b/>
          <w:sz w:val="24"/>
          <w:szCs w:val="24"/>
        </w:rPr>
        <w:t xml:space="preserve"> EDUs Should be Required to Allow CRES Suppliers </w:t>
      </w:r>
      <w:r>
        <w:rPr>
          <w:rFonts w:ascii="Arial" w:hAnsi="Arial" w:cs="Arial"/>
          <w:b/>
          <w:sz w:val="24"/>
          <w:szCs w:val="24"/>
        </w:rPr>
        <w:t>to Include Charges for that</w:t>
      </w:r>
      <w:r w:rsidR="00C05480">
        <w:rPr>
          <w:rFonts w:ascii="Arial" w:hAnsi="Arial" w:cs="Arial"/>
          <w:b/>
          <w:sz w:val="24"/>
          <w:szCs w:val="24"/>
        </w:rPr>
        <w:t xml:space="preserve"> Non-Commodity Product and Service</w:t>
      </w:r>
      <w:r>
        <w:rPr>
          <w:rFonts w:ascii="Arial" w:hAnsi="Arial" w:cs="Arial"/>
          <w:b/>
          <w:sz w:val="24"/>
          <w:szCs w:val="24"/>
        </w:rPr>
        <w:t xml:space="preserve"> on the EDU Bill</w:t>
      </w:r>
      <w:r w:rsidR="00C05480" w:rsidRPr="00A319A4">
        <w:rPr>
          <w:rFonts w:ascii="Arial" w:hAnsi="Arial" w:cs="Arial"/>
          <w:b/>
          <w:sz w:val="24"/>
          <w:szCs w:val="24"/>
        </w:rPr>
        <w:t>.</w:t>
      </w:r>
    </w:p>
    <w:p w:rsidR="00BF4E61" w:rsidRDefault="00BF4E61" w:rsidP="00F00A2C">
      <w:pPr>
        <w:spacing w:line="480" w:lineRule="auto"/>
        <w:ind w:firstLine="720"/>
        <w:jc w:val="both"/>
        <w:rPr>
          <w:rFonts w:ascii="Arial" w:hAnsi="Arial" w:cs="Arial"/>
          <w:sz w:val="24"/>
          <w:szCs w:val="24"/>
        </w:rPr>
      </w:pPr>
      <w:r>
        <w:rPr>
          <w:rFonts w:ascii="Arial" w:hAnsi="Arial" w:cs="Arial"/>
          <w:sz w:val="24"/>
          <w:szCs w:val="24"/>
        </w:rPr>
        <w:t xml:space="preserve">Currently there are EDUs billing for </w:t>
      </w:r>
      <w:r w:rsidRPr="008030B2">
        <w:rPr>
          <w:rFonts w:ascii="Arial" w:hAnsi="Arial" w:cs="Arial"/>
          <w:i/>
          <w:sz w:val="24"/>
          <w:szCs w:val="24"/>
        </w:rPr>
        <w:t>non-</w:t>
      </w:r>
      <w:r w:rsidR="008030B2">
        <w:rPr>
          <w:rFonts w:ascii="Arial" w:hAnsi="Arial" w:cs="Arial"/>
          <w:i/>
          <w:sz w:val="24"/>
          <w:szCs w:val="24"/>
        </w:rPr>
        <w:t>electric</w:t>
      </w:r>
      <w:r w:rsidRPr="008030B2">
        <w:rPr>
          <w:rFonts w:ascii="Arial" w:hAnsi="Arial" w:cs="Arial"/>
          <w:sz w:val="24"/>
          <w:szCs w:val="24"/>
        </w:rPr>
        <w:t xml:space="preserve"> product</w:t>
      </w:r>
      <w:r w:rsidR="008030B2">
        <w:rPr>
          <w:rFonts w:ascii="Arial" w:hAnsi="Arial" w:cs="Arial"/>
          <w:sz w:val="24"/>
          <w:szCs w:val="24"/>
        </w:rPr>
        <w:t>s</w:t>
      </w:r>
      <w:r w:rsidRPr="008030B2">
        <w:rPr>
          <w:rFonts w:ascii="Arial" w:hAnsi="Arial" w:cs="Arial"/>
          <w:sz w:val="24"/>
          <w:szCs w:val="24"/>
        </w:rPr>
        <w:t xml:space="preserve"> or service</w:t>
      </w:r>
      <w:r w:rsidR="00F03E6B">
        <w:rPr>
          <w:rFonts w:ascii="Arial" w:hAnsi="Arial" w:cs="Arial"/>
          <w:sz w:val="24"/>
          <w:szCs w:val="24"/>
        </w:rPr>
        <w:t>s</w:t>
      </w:r>
      <w:r>
        <w:rPr>
          <w:rFonts w:ascii="Arial" w:hAnsi="Arial" w:cs="Arial"/>
          <w:sz w:val="24"/>
          <w:szCs w:val="24"/>
        </w:rPr>
        <w:t xml:space="preserve"> on the EDU bill. </w:t>
      </w:r>
      <w:r w:rsidR="008030B2">
        <w:rPr>
          <w:rFonts w:ascii="Arial" w:hAnsi="Arial" w:cs="Arial"/>
          <w:sz w:val="24"/>
          <w:szCs w:val="24"/>
        </w:rPr>
        <w:t xml:space="preserve">For instance, FirstEnergy currently offers an HVAC and utility line insurance service </w:t>
      </w:r>
      <w:r w:rsidR="008030B2">
        <w:rPr>
          <w:rFonts w:ascii="Arial" w:hAnsi="Arial" w:cs="Arial"/>
          <w:sz w:val="24"/>
          <w:szCs w:val="24"/>
        </w:rPr>
        <w:lastRenderedPageBreak/>
        <w:t>which is billed on its regulated EDU bill.</w:t>
      </w:r>
      <w:r w:rsidR="008030B2">
        <w:rPr>
          <w:rStyle w:val="FootnoteReference"/>
          <w:rFonts w:ascii="Arial" w:hAnsi="Arial" w:cs="Arial"/>
          <w:sz w:val="24"/>
          <w:szCs w:val="24"/>
        </w:rPr>
        <w:footnoteReference w:id="6"/>
      </w:r>
      <w:r w:rsidR="008030B2">
        <w:rPr>
          <w:rFonts w:ascii="Arial" w:hAnsi="Arial" w:cs="Arial"/>
          <w:sz w:val="24"/>
          <w:szCs w:val="24"/>
        </w:rPr>
        <w:t xml:space="preserve">  HVAC and utility line insurance is a non-regulated service, and it is a service that is not traditionally provided by a regulated distribution monopoly. </w:t>
      </w:r>
      <w:r>
        <w:rPr>
          <w:rFonts w:ascii="Arial" w:hAnsi="Arial" w:cs="Arial"/>
          <w:sz w:val="24"/>
          <w:szCs w:val="24"/>
        </w:rPr>
        <w:t>IGS is not opposed to allowing non-</w:t>
      </w:r>
      <w:r w:rsidR="008030B2">
        <w:rPr>
          <w:rFonts w:ascii="Arial" w:hAnsi="Arial" w:cs="Arial"/>
          <w:sz w:val="24"/>
          <w:szCs w:val="24"/>
        </w:rPr>
        <w:t xml:space="preserve">electric </w:t>
      </w:r>
      <w:r>
        <w:rPr>
          <w:rFonts w:ascii="Arial" w:hAnsi="Arial" w:cs="Arial"/>
          <w:sz w:val="24"/>
          <w:szCs w:val="24"/>
        </w:rPr>
        <w:t xml:space="preserve">services to be billed on the </w:t>
      </w:r>
      <w:r w:rsidR="004D2EE2">
        <w:rPr>
          <w:rFonts w:ascii="Arial" w:hAnsi="Arial" w:cs="Arial"/>
          <w:sz w:val="24"/>
          <w:szCs w:val="24"/>
        </w:rPr>
        <w:t xml:space="preserve">EDU </w:t>
      </w:r>
      <w:r>
        <w:rPr>
          <w:rFonts w:ascii="Arial" w:hAnsi="Arial" w:cs="Arial"/>
          <w:sz w:val="24"/>
          <w:szCs w:val="24"/>
        </w:rPr>
        <w:t>bill; however, if the EDU is going t</w:t>
      </w:r>
      <w:r w:rsidR="00850E71">
        <w:rPr>
          <w:rFonts w:ascii="Arial" w:hAnsi="Arial" w:cs="Arial"/>
          <w:sz w:val="24"/>
          <w:szCs w:val="24"/>
        </w:rPr>
        <w:t>o open its bill to non-electric</w:t>
      </w:r>
      <w:r>
        <w:rPr>
          <w:rFonts w:ascii="Arial" w:hAnsi="Arial" w:cs="Arial"/>
          <w:sz w:val="24"/>
          <w:szCs w:val="24"/>
        </w:rPr>
        <w:t xml:space="preserve"> </w:t>
      </w:r>
      <w:r w:rsidR="008030B2">
        <w:rPr>
          <w:rFonts w:ascii="Arial" w:hAnsi="Arial" w:cs="Arial"/>
          <w:sz w:val="24"/>
          <w:szCs w:val="24"/>
        </w:rPr>
        <w:t>charges</w:t>
      </w:r>
      <w:r>
        <w:rPr>
          <w:rFonts w:ascii="Arial" w:hAnsi="Arial" w:cs="Arial"/>
          <w:sz w:val="24"/>
          <w:szCs w:val="24"/>
        </w:rPr>
        <w:t xml:space="preserve">, CRES suppliers that offer those same products and services to customers should be allowed </w:t>
      </w:r>
      <w:r w:rsidR="00D96C96">
        <w:rPr>
          <w:rFonts w:ascii="Arial" w:hAnsi="Arial" w:cs="Arial"/>
          <w:sz w:val="24"/>
          <w:szCs w:val="24"/>
        </w:rPr>
        <w:t xml:space="preserve">to utilize the </w:t>
      </w:r>
      <w:r w:rsidR="00F00A2C">
        <w:rPr>
          <w:rFonts w:ascii="Arial" w:hAnsi="Arial" w:cs="Arial"/>
          <w:sz w:val="24"/>
          <w:szCs w:val="24"/>
        </w:rPr>
        <w:t>EDU</w:t>
      </w:r>
      <w:r w:rsidR="00D96C96">
        <w:rPr>
          <w:rFonts w:ascii="Arial" w:hAnsi="Arial" w:cs="Arial"/>
          <w:sz w:val="24"/>
          <w:szCs w:val="24"/>
        </w:rPr>
        <w:t xml:space="preserve"> bill as well.</w:t>
      </w:r>
    </w:p>
    <w:p w:rsidR="008030B2" w:rsidRPr="00F00A2C" w:rsidRDefault="008030B2" w:rsidP="00F00A2C">
      <w:pPr>
        <w:spacing w:line="480" w:lineRule="auto"/>
        <w:ind w:firstLine="720"/>
        <w:rPr>
          <w:rFonts w:ascii="Arial" w:hAnsi="Arial" w:cs="Arial"/>
          <w:sz w:val="24"/>
          <w:szCs w:val="24"/>
        </w:rPr>
      </w:pPr>
      <w:r>
        <w:rPr>
          <w:rFonts w:ascii="Arial" w:hAnsi="Arial" w:cs="Arial"/>
          <w:sz w:val="24"/>
          <w:szCs w:val="24"/>
        </w:rPr>
        <w:t>EDUs</w:t>
      </w:r>
      <w:r w:rsidRPr="008030B2">
        <w:rPr>
          <w:rFonts w:ascii="Arial" w:hAnsi="Arial" w:cs="Arial"/>
          <w:sz w:val="24"/>
          <w:szCs w:val="24"/>
        </w:rPr>
        <w:t xml:space="preserve"> build their billing systems through </w:t>
      </w:r>
      <w:r>
        <w:rPr>
          <w:rFonts w:ascii="Arial" w:hAnsi="Arial" w:cs="Arial"/>
          <w:sz w:val="24"/>
          <w:szCs w:val="24"/>
        </w:rPr>
        <w:t>rates paid by all distribution customers</w:t>
      </w:r>
      <w:r w:rsidRPr="008030B2">
        <w:rPr>
          <w:rFonts w:ascii="Arial" w:hAnsi="Arial" w:cs="Arial"/>
          <w:sz w:val="24"/>
          <w:szCs w:val="24"/>
        </w:rPr>
        <w:t xml:space="preserve">.  </w:t>
      </w:r>
      <w:r w:rsidRPr="00F00A2C">
        <w:rPr>
          <w:rFonts w:ascii="Arial" w:hAnsi="Arial" w:cs="Arial"/>
          <w:sz w:val="24"/>
          <w:szCs w:val="24"/>
        </w:rPr>
        <w:t>EDUs do not have to compete for these revenues and are allowed a regulated rate of return for the billing services paid for by all consumers.  As such the bill belongs to the consumer.  As part of its state sanctioned monopoly, electric utilities get full cost recovery for billing.  Thu</w:t>
      </w:r>
      <w:r w:rsidRPr="00F00A2C">
        <w:rPr>
          <w:rFonts w:ascii="Arial" w:hAnsi="Arial" w:cs="Arial"/>
          <w:sz w:val="24"/>
          <w:szCs w:val="24"/>
          <w:shd w:val="clear" w:color="auto" w:fill="FFFFFF"/>
        </w:rPr>
        <w:t xml:space="preserve">s when the utility decides to leverage the bill in a </w:t>
      </w:r>
      <w:r w:rsidR="005E4CEE">
        <w:rPr>
          <w:rFonts w:ascii="Arial" w:hAnsi="Arial" w:cs="Arial"/>
          <w:sz w:val="24"/>
          <w:szCs w:val="24"/>
          <w:shd w:val="clear" w:color="auto" w:fill="FFFFFF"/>
        </w:rPr>
        <w:t>non-regulated</w:t>
      </w:r>
      <w:r w:rsidRPr="00F00A2C">
        <w:rPr>
          <w:rFonts w:ascii="Arial" w:hAnsi="Arial" w:cs="Arial"/>
          <w:sz w:val="24"/>
          <w:szCs w:val="24"/>
          <w:shd w:val="clear" w:color="auto" w:fill="FFFFFF"/>
        </w:rPr>
        <w:t xml:space="preserve"> industry with a for-profit motive, it is essential that the utility’s unique position in the market is not unfairly leveraged. </w:t>
      </w:r>
      <w:r w:rsidRPr="00F00A2C">
        <w:rPr>
          <w:rFonts w:ascii="Arial" w:hAnsi="Arial" w:cs="Arial"/>
          <w:sz w:val="24"/>
          <w:szCs w:val="24"/>
        </w:rPr>
        <w:t> </w:t>
      </w:r>
    </w:p>
    <w:p w:rsidR="00F00A2C" w:rsidRDefault="00F00A2C" w:rsidP="00F00A2C">
      <w:pPr>
        <w:spacing w:line="480" w:lineRule="auto"/>
        <w:ind w:firstLine="720"/>
        <w:rPr>
          <w:rFonts w:ascii="Arial" w:hAnsi="Arial" w:cs="Arial"/>
          <w:sz w:val="24"/>
          <w:szCs w:val="24"/>
        </w:rPr>
      </w:pPr>
      <w:r w:rsidRPr="00F00A2C">
        <w:rPr>
          <w:rFonts w:ascii="Arial" w:hAnsi="Arial" w:cs="Arial"/>
          <w:sz w:val="24"/>
          <w:szCs w:val="24"/>
        </w:rPr>
        <w:t>Limiting access to the</w:t>
      </w:r>
      <w:r>
        <w:rPr>
          <w:rFonts w:ascii="Arial" w:hAnsi="Arial" w:cs="Arial"/>
          <w:sz w:val="24"/>
          <w:szCs w:val="24"/>
        </w:rPr>
        <w:t xml:space="preserve"> EDU</w:t>
      </w:r>
      <w:r w:rsidRPr="00F00A2C">
        <w:rPr>
          <w:rFonts w:ascii="Arial" w:hAnsi="Arial" w:cs="Arial"/>
          <w:sz w:val="24"/>
          <w:szCs w:val="24"/>
        </w:rPr>
        <w:t xml:space="preserve"> bill can lead to abuse of market power and consequently higher prices for consumers</w:t>
      </w:r>
      <w:r w:rsidR="004D2EE2">
        <w:rPr>
          <w:rFonts w:ascii="Arial" w:hAnsi="Arial" w:cs="Arial"/>
          <w:sz w:val="24"/>
          <w:szCs w:val="24"/>
        </w:rPr>
        <w:t xml:space="preserve"> for </w:t>
      </w:r>
      <w:r>
        <w:rPr>
          <w:rFonts w:ascii="Arial" w:hAnsi="Arial" w:cs="Arial"/>
          <w:sz w:val="24"/>
          <w:szCs w:val="24"/>
        </w:rPr>
        <w:t>the non-electric service</w:t>
      </w:r>
      <w:r w:rsidR="004D2EE2">
        <w:rPr>
          <w:rFonts w:ascii="Arial" w:hAnsi="Arial" w:cs="Arial"/>
          <w:sz w:val="24"/>
          <w:szCs w:val="24"/>
        </w:rPr>
        <w:t xml:space="preserve"> being billed</w:t>
      </w:r>
      <w:r w:rsidRPr="00F00A2C">
        <w:rPr>
          <w:rFonts w:ascii="Arial" w:hAnsi="Arial" w:cs="Arial"/>
          <w:sz w:val="24"/>
          <w:szCs w:val="24"/>
        </w:rPr>
        <w:t xml:space="preserve">. It is IGS’ experience that companies with exclusive access to the </w:t>
      </w:r>
      <w:r w:rsidR="004D2EE2">
        <w:rPr>
          <w:rFonts w:ascii="Arial" w:hAnsi="Arial" w:cs="Arial"/>
          <w:sz w:val="24"/>
          <w:szCs w:val="24"/>
        </w:rPr>
        <w:t>EDU</w:t>
      </w:r>
      <w:r w:rsidRPr="00F00A2C">
        <w:rPr>
          <w:rFonts w:ascii="Arial" w:hAnsi="Arial" w:cs="Arial"/>
          <w:sz w:val="24"/>
          <w:szCs w:val="24"/>
        </w:rPr>
        <w:t xml:space="preserve"> bill can charge a significant premium for their products </w:t>
      </w:r>
      <w:r w:rsidR="00F03E6B">
        <w:rPr>
          <w:rFonts w:ascii="Arial" w:hAnsi="Arial" w:cs="Arial"/>
          <w:sz w:val="24"/>
          <w:szCs w:val="24"/>
        </w:rPr>
        <w:t xml:space="preserve">while </w:t>
      </w:r>
      <w:r w:rsidRPr="00F00A2C">
        <w:rPr>
          <w:rFonts w:ascii="Arial" w:hAnsi="Arial" w:cs="Arial"/>
          <w:sz w:val="24"/>
          <w:szCs w:val="24"/>
        </w:rPr>
        <w:t>creat</w:t>
      </w:r>
      <w:r w:rsidR="00F03E6B">
        <w:rPr>
          <w:rFonts w:ascii="Arial" w:hAnsi="Arial" w:cs="Arial"/>
          <w:sz w:val="24"/>
          <w:szCs w:val="24"/>
        </w:rPr>
        <w:t>ing</w:t>
      </w:r>
      <w:r w:rsidRPr="00F00A2C">
        <w:rPr>
          <w:rFonts w:ascii="Arial" w:hAnsi="Arial" w:cs="Arial"/>
          <w:sz w:val="24"/>
          <w:szCs w:val="24"/>
        </w:rPr>
        <w:t xml:space="preserve"> a barrier to entry to competing products. This is despite the fact that </w:t>
      </w:r>
      <w:r w:rsidR="004D2EE2">
        <w:rPr>
          <w:rFonts w:ascii="Arial" w:hAnsi="Arial" w:cs="Arial"/>
          <w:sz w:val="24"/>
          <w:szCs w:val="24"/>
        </w:rPr>
        <w:t>EDU</w:t>
      </w:r>
      <w:r w:rsidRPr="00F00A2C">
        <w:rPr>
          <w:rFonts w:ascii="Arial" w:hAnsi="Arial" w:cs="Arial"/>
          <w:sz w:val="24"/>
          <w:szCs w:val="24"/>
        </w:rPr>
        <w:t xml:space="preserve"> billed products have lower costs because they are able to utilize the utility billing infrastructure.</w:t>
      </w:r>
    </w:p>
    <w:p w:rsidR="00F00A2C" w:rsidRDefault="00F00A2C" w:rsidP="00F00A2C">
      <w:pPr>
        <w:spacing w:line="480" w:lineRule="auto"/>
        <w:ind w:firstLine="720"/>
        <w:rPr>
          <w:rFonts w:ascii="Arial" w:hAnsi="Arial" w:cs="Arial"/>
          <w:sz w:val="24"/>
          <w:szCs w:val="24"/>
        </w:rPr>
      </w:pPr>
      <w:r>
        <w:rPr>
          <w:rFonts w:ascii="Arial" w:hAnsi="Arial" w:cs="Arial"/>
          <w:sz w:val="24"/>
          <w:szCs w:val="24"/>
        </w:rPr>
        <w:lastRenderedPageBreak/>
        <w:t>To be clear, IGS is not asking that EDUs be required to place any</w:t>
      </w:r>
      <w:r w:rsidR="005F6A61">
        <w:rPr>
          <w:rFonts w:ascii="Arial" w:hAnsi="Arial" w:cs="Arial"/>
          <w:sz w:val="24"/>
          <w:szCs w:val="24"/>
        </w:rPr>
        <w:t xml:space="preserve"> and all</w:t>
      </w:r>
      <w:r>
        <w:rPr>
          <w:rFonts w:ascii="Arial" w:hAnsi="Arial" w:cs="Arial"/>
          <w:sz w:val="24"/>
          <w:szCs w:val="24"/>
        </w:rPr>
        <w:t xml:space="preserve"> product</w:t>
      </w:r>
      <w:r w:rsidR="005F6A61">
        <w:rPr>
          <w:rFonts w:ascii="Arial" w:hAnsi="Arial" w:cs="Arial"/>
          <w:sz w:val="24"/>
          <w:szCs w:val="24"/>
        </w:rPr>
        <w:t>s</w:t>
      </w:r>
      <w:r>
        <w:rPr>
          <w:rFonts w:ascii="Arial" w:hAnsi="Arial" w:cs="Arial"/>
          <w:sz w:val="24"/>
          <w:szCs w:val="24"/>
        </w:rPr>
        <w:t xml:space="preserve"> or service</w:t>
      </w:r>
      <w:r w:rsidR="00A53A78">
        <w:rPr>
          <w:rFonts w:ascii="Arial" w:hAnsi="Arial" w:cs="Arial"/>
          <w:sz w:val="24"/>
          <w:szCs w:val="24"/>
        </w:rPr>
        <w:t>s</w:t>
      </w:r>
      <w:r>
        <w:rPr>
          <w:rFonts w:ascii="Arial" w:hAnsi="Arial" w:cs="Arial"/>
          <w:sz w:val="24"/>
          <w:szCs w:val="24"/>
        </w:rPr>
        <w:t xml:space="preserve"> on the EDU bill – </w:t>
      </w:r>
      <w:r w:rsidR="004D2EE2">
        <w:rPr>
          <w:rFonts w:ascii="Arial" w:hAnsi="Arial" w:cs="Arial"/>
          <w:sz w:val="24"/>
          <w:szCs w:val="24"/>
        </w:rPr>
        <w:t xml:space="preserve">IGS is only asking that </w:t>
      </w:r>
      <w:r w:rsidR="004D2EE2" w:rsidRPr="00F00A2C">
        <w:rPr>
          <w:rFonts w:ascii="Arial" w:hAnsi="Arial" w:cs="Arial"/>
          <w:sz w:val="24"/>
          <w:szCs w:val="24"/>
        </w:rPr>
        <w:t xml:space="preserve">CRES </w:t>
      </w:r>
      <w:r w:rsidR="004D2EE2">
        <w:rPr>
          <w:rFonts w:ascii="Arial" w:hAnsi="Arial" w:cs="Arial"/>
          <w:sz w:val="24"/>
          <w:szCs w:val="24"/>
        </w:rPr>
        <w:t xml:space="preserve">providers be allowed to place </w:t>
      </w:r>
      <w:r w:rsidRPr="00F00A2C">
        <w:rPr>
          <w:rFonts w:ascii="Arial" w:hAnsi="Arial" w:cs="Arial"/>
          <w:sz w:val="24"/>
          <w:szCs w:val="24"/>
        </w:rPr>
        <w:t xml:space="preserve">products and services </w:t>
      </w:r>
      <w:r w:rsidR="004D2EE2">
        <w:rPr>
          <w:rFonts w:ascii="Arial" w:hAnsi="Arial" w:cs="Arial"/>
          <w:sz w:val="24"/>
          <w:szCs w:val="24"/>
        </w:rPr>
        <w:t>on the EDU bill</w:t>
      </w:r>
      <w:r w:rsidRPr="00F00A2C">
        <w:rPr>
          <w:rFonts w:ascii="Arial" w:hAnsi="Arial" w:cs="Arial"/>
          <w:sz w:val="24"/>
          <w:szCs w:val="24"/>
        </w:rPr>
        <w:t xml:space="preserve"> that are the same or substantially similar to the products and services already being billed by the EDU</w:t>
      </w:r>
      <w:r>
        <w:rPr>
          <w:rFonts w:ascii="Arial" w:hAnsi="Arial" w:cs="Arial"/>
          <w:sz w:val="24"/>
          <w:szCs w:val="24"/>
        </w:rPr>
        <w:t xml:space="preserve">.  </w:t>
      </w:r>
      <w:r w:rsidR="004D2EE2">
        <w:rPr>
          <w:rFonts w:ascii="Arial" w:hAnsi="Arial" w:cs="Arial"/>
          <w:sz w:val="24"/>
          <w:szCs w:val="24"/>
        </w:rPr>
        <w:t xml:space="preserve">Also, IGS is not asking for these non-electric services to be subject to the EDUs POR programs or utility shut-off procedures.  </w:t>
      </w:r>
      <w:r w:rsidR="00756DD0">
        <w:rPr>
          <w:rFonts w:ascii="Arial" w:hAnsi="Arial" w:cs="Arial"/>
          <w:sz w:val="24"/>
          <w:szCs w:val="24"/>
        </w:rPr>
        <w:t>T</w:t>
      </w:r>
      <w:r w:rsidR="004D2EE2">
        <w:rPr>
          <w:rFonts w:ascii="Arial" w:hAnsi="Arial" w:cs="Arial"/>
          <w:sz w:val="24"/>
          <w:szCs w:val="24"/>
        </w:rPr>
        <w:t xml:space="preserve">hese charges </w:t>
      </w:r>
      <w:r w:rsidR="00756DD0">
        <w:rPr>
          <w:rFonts w:ascii="Arial" w:hAnsi="Arial" w:cs="Arial"/>
          <w:sz w:val="24"/>
          <w:szCs w:val="24"/>
        </w:rPr>
        <w:t xml:space="preserve">should be excluded </w:t>
      </w:r>
      <w:r w:rsidR="004D2EE2">
        <w:rPr>
          <w:rFonts w:ascii="Arial" w:hAnsi="Arial" w:cs="Arial"/>
          <w:sz w:val="24"/>
          <w:szCs w:val="24"/>
        </w:rPr>
        <w:t>from any</w:t>
      </w:r>
      <w:r w:rsidR="00756DD0">
        <w:rPr>
          <w:rFonts w:ascii="Arial" w:hAnsi="Arial" w:cs="Arial"/>
          <w:sz w:val="24"/>
          <w:szCs w:val="24"/>
        </w:rPr>
        <w:t xml:space="preserve"> EDU</w:t>
      </w:r>
      <w:r w:rsidR="004D2EE2">
        <w:rPr>
          <w:rFonts w:ascii="Arial" w:hAnsi="Arial" w:cs="Arial"/>
          <w:sz w:val="24"/>
          <w:szCs w:val="24"/>
        </w:rPr>
        <w:t xml:space="preserve"> POR program and non-payment of these charges should not trigger electric shut off for customers.  Finally, IGS is not asking that CRES suppliers receive this service for free.  Rather</w:t>
      </w:r>
      <w:r w:rsidR="005F6A61">
        <w:rPr>
          <w:rFonts w:ascii="Arial" w:hAnsi="Arial" w:cs="Arial"/>
          <w:sz w:val="24"/>
          <w:szCs w:val="24"/>
        </w:rPr>
        <w:t>,</w:t>
      </w:r>
      <w:r w:rsidR="004D2EE2">
        <w:rPr>
          <w:rFonts w:ascii="Arial" w:hAnsi="Arial" w:cs="Arial"/>
          <w:sz w:val="24"/>
          <w:szCs w:val="24"/>
        </w:rPr>
        <w:t xml:space="preserve"> CRES suppliers should have to pay the </w:t>
      </w:r>
      <w:r w:rsidR="00756DD0">
        <w:rPr>
          <w:rFonts w:ascii="Arial" w:hAnsi="Arial" w:cs="Arial"/>
          <w:sz w:val="24"/>
          <w:szCs w:val="24"/>
        </w:rPr>
        <w:t>same costs of the billing service</w:t>
      </w:r>
      <w:r w:rsidR="004D2EE2">
        <w:rPr>
          <w:rFonts w:ascii="Arial" w:hAnsi="Arial" w:cs="Arial"/>
          <w:sz w:val="24"/>
          <w:szCs w:val="24"/>
        </w:rPr>
        <w:t xml:space="preserve"> that is already being charged for the non-electric service that the EDU is currently billing.</w:t>
      </w:r>
    </w:p>
    <w:p w:rsidR="004D2EE2" w:rsidRDefault="004D2EE2" w:rsidP="004D2EE2">
      <w:pPr>
        <w:spacing w:line="480" w:lineRule="auto"/>
        <w:ind w:firstLine="720"/>
        <w:rPr>
          <w:rFonts w:ascii="Arial" w:hAnsi="Arial" w:cs="Arial"/>
          <w:sz w:val="24"/>
          <w:szCs w:val="24"/>
        </w:rPr>
      </w:pPr>
      <w:r>
        <w:rPr>
          <w:rFonts w:ascii="Arial" w:hAnsi="Arial" w:cs="Arial"/>
          <w:sz w:val="24"/>
          <w:szCs w:val="24"/>
        </w:rPr>
        <w:t xml:space="preserve">Again, IGS is supportive </w:t>
      </w:r>
      <w:r w:rsidR="00A53A78">
        <w:rPr>
          <w:rFonts w:ascii="Arial" w:hAnsi="Arial" w:cs="Arial"/>
          <w:sz w:val="24"/>
          <w:szCs w:val="24"/>
        </w:rPr>
        <w:t xml:space="preserve">of </w:t>
      </w:r>
      <w:r>
        <w:rPr>
          <w:rFonts w:ascii="Arial" w:hAnsi="Arial" w:cs="Arial"/>
          <w:sz w:val="24"/>
          <w:szCs w:val="24"/>
        </w:rPr>
        <w:t>expanding opportunities to allow customers to receive a more diverse range o</w:t>
      </w:r>
      <w:r w:rsidR="00A53A78">
        <w:rPr>
          <w:rFonts w:ascii="Arial" w:hAnsi="Arial" w:cs="Arial"/>
          <w:sz w:val="24"/>
          <w:szCs w:val="24"/>
        </w:rPr>
        <w:t>f</w:t>
      </w:r>
      <w:r>
        <w:rPr>
          <w:rFonts w:ascii="Arial" w:hAnsi="Arial" w:cs="Arial"/>
          <w:sz w:val="24"/>
          <w:szCs w:val="24"/>
        </w:rPr>
        <w:t xml:space="preserve"> energy products.  However, the EDU should not be allowed to grant just one company or product exclusive right</w:t>
      </w:r>
      <w:r w:rsidR="005F6A61">
        <w:rPr>
          <w:rFonts w:ascii="Arial" w:hAnsi="Arial" w:cs="Arial"/>
          <w:sz w:val="24"/>
          <w:szCs w:val="24"/>
        </w:rPr>
        <w:t>s</w:t>
      </w:r>
      <w:r>
        <w:rPr>
          <w:rFonts w:ascii="Arial" w:hAnsi="Arial" w:cs="Arial"/>
          <w:sz w:val="24"/>
          <w:szCs w:val="24"/>
        </w:rPr>
        <w:t xml:space="preserve"> to the EDU bill, while excluding all other products and services in that market from this unique advantage.  </w:t>
      </w:r>
      <w:r w:rsidR="005F6A61">
        <w:rPr>
          <w:rFonts w:ascii="Arial" w:hAnsi="Arial" w:cs="Arial"/>
          <w:sz w:val="24"/>
          <w:szCs w:val="24"/>
        </w:rPr>
        <w:t xml:space="preserve">As such, in this proceeding the Commission should implement the following rule: </w:t>
      </w:r>
    </w:p>
    <w:p w:rsidR="005F6A61" w:rsidRDefault="005F6A61" w:rsidP="002A7B17">
      <w:pPr>
        <w:autoSpaceDE w:val="0"/>
        <w:autoSpaceDN w:val="0"/>
        <w:adjustRightInd w:val="0"/>
        <w:spacing w:after="0" w:line="240" w:lineRule="auto"/>
        <w:ind w:left="576" w:right="720"/>
        <w:rPr>
          <w:rFonts w:ascii="Arial" w:hAnsi="Arial" w:cs="Arial"/>
          <w:sz w:val="24"/>
          <w:szCs w:val="24"/>
          <w:u w:val="single"/>
        </w:rPr>
      </w:pPr>
      <w:r w:rsidRPr="005F6A61">
        <w:rPr>
          <w:rFonts w:ascii="Arial" w:hAnsi="Arial" w:cs="Arial"/>
          <w:sz w:val="24"/>
          <w:szCs w:val="24"/>
          <w:u w:val="single"/>
        </w:rPr>
        <w:t xml:space="preserve">If an electric distribution utility bills for a non-electric product or service </w:t>
      </w:r>
      <w:r w:rsidR="005E4CEE">
        <w:rPr>
          <w:rFonts w:ascii="Arial" w:hAnsi="Arial" w:cs="Arial"/>
          <w:sz w:val="24"/>
          <w:szCs w:val="24"/>
          <w:u w:val="single"/>
        </w:rPr>
        <w:t>the</w:t>
      </w:r>
      <w:r w:rsidRPr="005F6A61">
        <w:rPr>
          <w:rFonts w:ascii="Arial" w:hAnsi="Arial" w:cs="Arial"/>
          <w:sz w:val="24"/>
          <w:szCs w:val="24"/>
          <w:u w:val="single"/>
        </w:rPr>
        <w:t xml:space="preserve">n that electric distribution utility shall also make the same billing services available to all other </w:t>
      </w:r>
      <w:r w:rsidR="005E4CEE">
        <w:rPr>
          <w:rFonts w:ascii="Arial" w:hAnsi="Arial" w:cs="Arial"/>
          <w:sz w:val="24"/>
          <w:szCs w:val="24"/>
          <w:u w:val="single"/>
        </w:rPr>
        <w:t>CRES providers</w:t>
      </w:r>
      <w:r w:rsidRPr="005F6A61">
        <w:rPr>
          <w:rFonts w:ascii="Arial" w:hAnsi="Arial" w:cs="Arial"/>
          <w:sz w:val="24"/>
          <w:szCs w:val="24"/>
          <w:u w:val="single"/>
        </w:rPr>
        <w:t xml:space="preserve"> that wish to bill the same or substantially similar products or services, on an equal and non-discriminatory basis</w:t>
      </w:r>
      <w:r w:rsidR="002A7B17">
        <w:rPr>
          <w:rFonts w:ascii="Arial" w:hAnsi="Arial" w:cs="Arial"/>
          <w:sz w:val="24"/>
          <w:szCs w:val="24"/>
          <w:u w:val="single"/>
        </w:rPr>
        <w:t>:</w:t>
      </w:r>
    </w:p>
    <w:p w:rsidR="002A7B17" w:rsidRPr="005F6A61" w:rsidRDefault="002A7B17" w:rsidP="002A7B17">
      <w:pPr>
        <w:autoSpaceDE w:val="0"/>
        <w:autoSpaceDN w:val="0"/>
        <w:adjustRightInd w:val="0"/>
        <w:spacing w:after="0" w:line="240" w:lineRule="auto"/>
        <w:ind w:left="576" w:right="720"/>
        <w:rPr>
          <w:rFonts w:ascii="Arial" w:hAnsi="Arial" w:cs="Arial"/>
          <w:sz w:val="24"/>
          <w:szCs w:val="24"/>
          <w:u w:val="single"/>
        </w:rPr>
      </w:pPr>
    </w:p>
    <w:p w:rsidR="005F6A61" w:rsidRDefault="005F6A61" w:rsidP="002A7B17">
      <w:pPr>
        <w:pStyle w:val="ListParagraph"/>
        <w:numPr>
          <w:ilvl w:val="0"/>
          <w:numId w:val="4"/>
        </w:numPr>
        <w:autoSpaceDE w:val="0"/>
        <w:autoSpaceDN w:val="0"/>
        <w:adjustRightInd w:val="0"/>
        <w:spacing w:after="0" w:line="240" w:lineRule="auto"/>
        <w:ind w:left="1512" w:right="720"/>
        <w:rPr>
          <w:rFonts w:ascii="Arial" w:hAnsi="Arial" w:cs="Arial"/>
          <w:sz w:val="24"/>
          <w:szCs w:val="24"/>
          <w:u w:val="single"/>
        </w:rPr>
      </w:pPr>
      <w:r w:rsidRPr="002A7B17">
        <w:rPr>
          <w:rFonts w:ascii="Arial" w:hAnsi="Arial" w:cs="Arial"/>
          <w:sz w:val="24"/>
          <w:szCs w:val="24"/>
          <w:u w:val="single"/>
        </w:rPr>
        <w:t>For all electric distribution utilities that are currently providing billing services for a non-electric product or service</w:t>
      </w:r>
      <w:r w:rsidR="005E4CEE" w:rsidRPr="002A7B17">
        <w:rPr>
          <w:rFonts w:ascii="Arial" w:hAnsi="Arial" w:cs="Arial"/>
          <w:sz w:val="24"/>
          <w:szCs w:val="24"/>
          <w:u w:val="single"/>
        </w:rPr>
        <w:t xml:space="preserve">, </w:t>
      </w:r>
      <w:r w:rsidRPr="002A7B17">
        <w:rPr>
          <w:rFonts w:ascii="Arial" w:hAnsi="Arial" w:cs="Arial"/>
          <w:sz w:val="24"/>
          <w:szCs w:val="24"/>
          <w:u w:val="single"/>
        </w:rPr>
        <w:t xml:space="preserve"> that electric distribution utility must make the same billing services available to competitive retail electric service providers, in accordance with this section, within 180 days of the effective date of this section</w:t>
      </w:r>
      <w:r w:rsidR="002A7B17">
        <w:rPr>
          <w:rFonts w:ascii="Arial" w:hAnsi="Arial" w:cs="Arial"/>
          <w:sz w:val="24"/>
          <w:szCs w:val="24"/>
          <w:u w:val="single"/>
        </w:rPr>
        <w:t>;</w:t>
      </w:r>
    </w:p>
    <w:p w:rsidR="002A7B17" w:rsidRPr="002A7B17" w:rsidRDefault="002A7B17" w:rsidP="002A7B17">
      <w:pPr>
        <w:pStyle w:val="ListParagraph"/>
        <w:autoSpaceDE w:val="0"/>
        <w:autoSpaceDN w:val="0"/>
        <w:adjustRightInd w:val="0"/>
        <w:spacing w:after="0" w:line="240" w:lineRule="auto"/>
        <w:ind w:left="1512" w:right="720"/>
        <w:rPr>
          <w:rFonts w:ascii="Arial" w:hAnsi="Arial" w:cs="Arial"/>
          <w:sz w:val="24"/>
          <w:szCs w:val="24"/>
          <w:u w:val="single"/>
        </w:rPr>
      </w:pPr>
    </w:p>
    <w:p w:rsidR="005F6A61" w:rsidRPr="005F6A61" w:rsidRDefault="005F6A61" w:rsidP="002A7B17">
      <w:pPr>
        <w:pStyle w:val="ListParagraph"/>
        <w:numPr>
          <w:ilvl w:val="0"/>
          <w:numId w:val="4"/>
        </w:numPr>
        <w:autoSpaceDE w:val="0"/>
        <w:autoSpaceDN w:val="0"/>
        <w:adjustRightInd w:val="0"/>
        <w:spacing w:after="0" w:line="240" w:lineRule="auto"/>
        <w:ind w:left="1512" w:right="720"/>
        <w:rPr>
          <w:rFonts w:ascii="Arial" w:hAnsi="Arial" w:cs="Arial"/>
          <w:sz w:val="24"/>
          <w:szCs w:val="24"/>
          <w:u w:val="single"/>
        </w:rPr>
      </w:pPr>
      <w:r>
        <w:rPr>
          <w:rFonts w:ascii="Arial" w:hAnsi="Arial" w:cs="Arial"/>
          <w:sz w:val="24"/>
          <w:szCs w:val="24"/>
          <w:u w:val="single"/>
        </w:rPr>
        <w:lastRenderedPageBreak/>
        <w:t>Electric distribution utilities that bill for non-electric products and services in accordance with this section shall file an application</w:t>
      </w:r>
      <w:r w:rsidRPr="005F6A61">
        <w:rPr>
          <w:rFonts w:ascii="Arial" w:hAnsi="Arial" w:cs="Arial"/>
          <w:sz w:val="24"/>
          <w:szCs w:val="24"/>
          <w:u w:val="single"/>
        </w:rPr>
        <w:t xml:space="preserve"> </w:t>
      </w:r>
      <w:r>
        <w:rPr>
          <w:rFonts w:ascii="Arial" w:hAnsi="Arial" w:cs="Arial"/>
          <w:sz w:val="24"/>
          <w:szCs w:val="24"/>
          <w:u w:val="single"/>
        </w:rPr>
        <w:t>at the public utilities commission to establish appropriate charges</w:t>
      </w:r>
      <w:r w:rsidRPr="005F6A61">
        <w:rPr>
          <w:rFonts w:ascii="Arial" w:hAnsi="Arial" w:cs="Arial"/>
          <w:sz w:val="24"/>
          <w:szCs w:val="24"/>
          <w:u w:val="single"/>
        </w:rPr>
        <w:t xml:space="preserve"> </w:t>
      </w:r>
      <w:r>
        <w:rPr>
          <w:rFonts w:ascii="Arial" w:hAnsi="Arial" w:cs="Arial"/>
          <w:sz w:val="24"/>
          <w:szCs w:val="24"/>
          <w:u w:val="single"/>
        </w:rPr>
        <w:t xml:space="preserve">for competitive retail electric </w:t>
      </w:r>
      <w:r w:rsidR="005E4CEE">
        <w:rPr>
          <w:rFonts w:ascii="Arial" w:hAnsi="Arial" w:cs="Arial"/>
          <w:sz w:val="24"/>
          <w:szCs w:val="24"/>
          <w:u w:val="single"/>
        </w:rPr>
        <w:t xml:space="preserve">service </w:t>
      </w:r>
      <w:r>
        <w:rPr>
          <w:rFonts w:ascii="Arial" w:hAnsi="Arial" w:cs="Arial"/>
          <w:sz w:val="24"/>
          <w:szCs w:val="24"/>
          <w:u w:val="single"/>
        </w:rPr>
        <w:t>providers</w:t>
      </w:r>
      <w:r w:rsidRPr="005F6A61">
        <w:rPr>
          <w:rFonts w:ascii="Arial" w:hAnsi="Arial" w:cs="Arial"/>
          <w:sz w:val="24"/>
          <w:szCs w:val="24"/>
          <w:u w:val="single"/>
        </w:rPr>
        <w:t xml:space="preserve"> that use the billing services of the electric distribution utility in accordance with this section</w:t>
      </w:r>
    </w:p>
    <w:p w:rsidR="00F00A2C" w:rsidRPr="008030B2" w:rsidRDefault="00F00A2C" w:rsidP="005F6A61">
      <w:pPr>
        <w:spacing w:line="480" w:lineRule="auto"/>
        <w:rPr>
          <w:rFonts w:ascii="Arial" w:hAnsi="Arial" w:cs="Arial"/>
          <w:sz w:val="24"/>
          <w:szCs w:val="24"/>
        </w:rPr>
      </w:pPr>
    </w:p>
    <w:p w:rsidR="00C05480" w:rsidRDefault="00BF57C7" w:rsidP="002A7B17">
      <w:pPr>
        <w:pStyle w:val="ListParagraph"/>
        <w:numPr>
          <w:ilvl w:val="0"/>
          <w:numId w:val="2"/>
        </w:numPr>
        <w:spacing w:line="240" w:lineRule="auto"/>
        <w:jc w:val="both"/>
        <w:rPr>
          <w:rFonts w:ascii="Arial" w:hAnsi="Arial" w:cs="Arial"/>
          <w:b/>
          <w:sz w:val="24"/>
          <w:szCs w:val="24"/>
        </w:rPr>
      </w:pPr>
      <w:r w:rsidRPr="00BF57C7">
        <w:rPr>
          <w:rFonts w:ascii="Arial" w:hAnsi="Arial" w:cs="Arial"/>
          <w:b/>
          <w:sz w:val="24"/>
          <w:szCs w:val="24"/>
        </w:rPr>
        <w:t>Corporate Separation Should be Fully Enforced</w:t>
      </w:r>
      <w:r w:rsidR="005E4CEE">
        <w:rPr>
          <w:rFonts w:ascii="Arial" w:hAnsi="Arial" w:cs="Arial"/>
          <w:b/>
          <w:sz w:val="24"/>
          <w:szCs w:val="24"/>
        </w:rPr>
        <w:t xml:space="preserve"> Including the Elimination of Shared </w:t>
      </w:r>
      <w:r w:rsidR="00783F60">
        <w:rPr>
          <w:rFonts w:ascii="Arial" w:hAnsi="Arial" w:cs="Arial"/>
          <w:b/>
          <w:sz w:val="24"/>
          <w:szCs w:val="24"/>
        </w:rPr>
        <w:t>Resources.</w:t>
      </w:r>
    </w:p>
    <w:p w:rsidR="00756DD0" w:rsidRDefault="005E4CEE" w:rsidP="00EF786C">
      <w:pPr>
        <w:spacing w:line="480" w:lineRule="auto"/>
        <w:ind w:firstLine="720"/>
        <w:jc w:val="both"/>
        <w:rPr>
          <w:rFonts w:ascii="Arial" w:hAnsi="Arial" w:cs="Arial"/>
          <w:sz w:val="24"/>
          <w:szCs w:val="24"/>
        </w:rPr>
      </w:pPr>
      <w:r w:rsidRPr="005E4CEE">
        <w:rPr>
          <w:rFonts w:ascii="Arial" w:hAnsi="Arial" w:cs="Arial"/>
          <w:sz w:val="24"/>
          <w:szCs w:val="24"/>
        </w:rPr>
        <w:t>The Staff Report</w:t>
      </w:r>
      <w:r>
        <w:rPr>
          <w:rFonts w:ascii="Arial" w:hAnsi="Arial" w:cs="Arial"/>
          <w:sz w:val="24"/>
          <w:szCs w:val="24"/>
        </w:rPr>
        <w:t xml:space="preserve"> recommends that </w:t>
      </w:r>
      <w:r w:rsidR="00830C0D">
        <w:rPr>
          <w:rFonts w:ascii="Arial" w:hAnsi="Arial" w:cs="Arial"/>
          <w:sz w:val="24"/>
          <w:szCs w:val="24"/>
        </w:rPr>
        <w:t>every four years each EDU</w:t>
      </w:r>
      <w:r w:rsidR="00B82C8B">
        <w:rPr>
          <w:rFonts w:ascii="Arial" w:hAnsi="Arial" w:cs="Arial"/>
          <w:sz w:val="24"/>
          <w:szCs w:val="24"/>
        </w:rPr>
        <w:t xml:space="preserve"> is audited to ensure that EDUs and their</w:t>
      </w:r>
      <w:r w:rsidR="00EF786C">
        <w:rPr>
          <w:rFonts w:ascii="Arial" w:hAnsi="Arial" w:cs="Arial"/>
          <w:sz w:val="24"/>
          <w:szCs w:val="24"/>
        </w:rPr>
        <w:t xml:space="preserve"> affiliated companies are in compliance with corporate separation plans, rules and statutes.</w:t>
      </w:r>
      <w:r w:rsidR="00EF786C">
        <w:rPr>
          <w:rStyle w:val="FootnoteReference"/>
          <w:rFonts w:ascii="Arial" w:hAnsi="Arial" w:cs="Arial"/>
          <w:sz w:val="24"/>
          <w:szCs w:val="24"/>
        </w:rPr>
        <w:footnoteReference w:id="7"/>
      </w:r>
      <w:r w:rsidR="00EF786C">
        <w:rPr>
          <w:rFonts w:ascii="Arial" w:hAnsi="Arial" w:cs="Arial"/>
          <w:sz w:val="24"/>
          <w:szCs w:val="24"/>
        </w:rPr>
        <w:t xml:space="preserve"> IGS supports this recommendation, as it is important that corporate separation is fully enforced.  The Staff</w:t>
      </w:r>
      <w:r w:rsidR="008F2BCE">
        <w:rPr>
          <w:rFonts w:ascii="Arial" w:hAnsi="Arial" w:cs="Arial"/>
          <w:sz w:val="24"/>
          <w:szCs w:val="24"/>
        </w:rPr>
        <w:t>,</w:t>
      </w:r>
      <w:r w:rsidR="00EF786C">
        <w:rPr>
          <w:rFonts w:ascii="Arial" w:hAnsi="Arial" w:cs="Arial"/>
          <w:sz w:val="24"/>
          <w:szCs w:val="24"/>
        </w:rPr>
        <w:t xml:space="preserve"> </w:t>
      </w:r>
      <w:r w:rsidR="00756DD0">
        <w:rPr>
          <w:rFonts w:ascii="Arial" w:hAnsi="Arial" w:cs="Arial"/>
          <w:sz w:val="24"/>
          <w:szCs w:val="24"/>
        </w:rPr>
        <w:t>however</w:t>
      </w:r>
      <w:r w:rsidR="008F2BCE">
        <w:rPr>
          <w:rFonts w:ascii="Arial" w:hAnsi="Arial" w:cs="Arial"/>
          <w:sz w:val="24"/>
          <w:szCs w:val="24"/>
        </w:rPr>
        <w:t>,</w:t>
      </w:r>
      <w:r w:rsidR="00756DD0">
        <w:rPr>
          <w:rFonts w:ascii="Arial" w:hAnsi="Arial" w:cs="Arial"/>
          <w:sz w:val="24"/>
          <w:szCs w:val="24"/>
        </w:rPr>
        <w:t xml:space="preserve"> does not go as far as to</w:t>
      </w:r>
      <w:r w:rsidR="00EF786C">
        <w:rPr>
          <w:rFonts w:ascii="Arial" w:hAnsi="Arial" w:cs="Arial"/>
          <w:sz w:val="24"/>
          <w:szCs w:val="24"/>
        </w:rPr>
        <w:t xml:space="preserve"> recommend </w:t>
      </w:r>
      <w:r w:rsidR="008F2BCE">
        <w:rPr>
          <w:rFonts w:ascii="Arial" w:hAnsi="Arial" w:cs="Arial"/>
          <w:sz w:val="24"/>
          <w:szCs w:val="24"/>
        </w:rPr>
        <w:t>“full corporate separation” where</w:t>
      </w:r>
      <w:r w:rsidR="00EF786C">
        <w:rPr>
          <w:rFonts w:ascii="Arial" w:hAnsi="Arial" w:cs="Arial"/>
          <w:sz w:val="24"/>
          <w:szCs w:val="24"/>
        </w:rPr>
        <w:t xml:space="preserve"> </w:t>
      </w:r>
      <w:r w:rsidR="008F2BCE">
        <w:rPr>
          <w:rFonts w:ascii="Arial" w:hAnsi="Arial" w:cs="Arial"/>
          <w:sz w:val="24"/>
          <w:szCs w:val="24"/>
        </w:rPr>
        <w:t>EDUs</w:t>
      </w:r>
      <w:r w:rsidR="00EF786C">
        <w:rPr>
          <w:rFonts w:ascii="Arial" w:hAnsi="Arial" w:cs="Arial"/>
          <w:sz w:val="24"/>
          <w:szCs w:val="24"/>
        </w:rPr>
        <w:t xml:space="preserve"> and their affiliates </w:t>
      </w:r>
      <w:r w:rsidR="008F2BCE">
        <w:rPr>
          <w:rFonts w:ascii="Arial" w:hAnsi="Arial" w:cs="Arial"/>
          <w:sz w:val="24"/>
          <w:szCs w:val="24"/>
        </w:rPr>
        <w:t>are required to be</w:t>
      </w:r>
      <w:r w:rsidR="00EF786C">
        <w:rPr>
          <w:rFonts w:ascii="Arial" w:hAnsi="Arial" w:cs="Arial"/>
          <w:sz w:val="24"/>
          <w:szCs w:val="24"/>
        </w:rPr>
        <w:t xml:space="preserve"> completely separate entities with separate shareholders.</w:t>
      </w:r>
      <w:r w:rsidR="00EF786C">
        <w:rPr>
          <w:rStyle w:val="FootnoteReference"/>
          <w:rFonts w:ascii="Arial" w:hAnsi="Arial" w:cs="Arial"/>
          <w:sz w:val="24"/>
          <w:szCs w:val="24"/>
        </w:rPr>
        <w:footnoteReference w:id="8"/>
      </w:r>
      <w:r w:rsidR="00EF786C">
        <w:rPr>
          <w:rFonts w:ascii="Arial" w:hAnsi="Arial" w:cs="Arial"/>
          <w:sz w:val="24"/>
          <w:szCs w:val="24"/>
        </w:rPr>
        <w:t xml:space="preserve">  </w:t>
      </w:r>
    </w:p>
    <w:p w:rsidR="00BF4E61" w:rsidRDefault="00756DD0" w:rsidP="00EF786C">
      <w:pPr>
        <w:spacing w:line="480" w:lineRule="auto"/>
        <w:ind w:firstLine="720"/>
        <w:jc w:val="both"/>
        <w:rPr>
          <w:rFonts w:ascii="Arial" w:hAnsi="Arial" w:cs="Arial"/>
          <w:sz w:val="24"/>
          <w:szCs w:val="24"/>
        </w:rPr>
      </w:pPr>
      <w:r>
        <w:rPr>
          <w:rFonts w:ascii="Arial" w:hAnsi="Arial" w:cs="Arial"/>
          <w:sz w:val="24"/>
          <w:szCs w:val="24"/>
        </w:rPr>
        <w:t>A</w:t>
      </w:r>
      <w:r w:rsidR="00EF786C">
        <w:rPr>
          <w:rFonts w:ascii="Arial" w:hAnsi="Arial" w:cs="Arial"/>
          <w:sz w:val="24"/>
          <w:szCs w:val="24"/>
        </w:rPr>
        <w:t xml:space="preserve">bsent full corporate separation, it is very difficult to enforce </w:t>
      </w:r>
      <w:r w:rsidR="008F2BCE">
        <w:rPr>
          <w:rFonts w:ascii="Arial" w:hAnsi="Arial" w:cs="Arial"/>
          <w:sz w:val="24"/>
          <w:szCs w:val="24"/>
        </w:rPr>
        <w:t xml:space="preserve">corporate </w:t>
      </w:r>
      <w:r w:rsidR="00EF786C">
        <w:rPr>
          <w:rFonts w:ascii="Arial" w:hAnsi="Arial" w:cs="Arial"/>
          <w:sz w:val="24"/>
          <w:szCs w:val="24"/>
        </w:rPr>
        <w:t xml:space="preserve">separation, given that functional separation relies heavily on self-reporting by the EDU </w:t>
      </w:r>
      <w:r w:rsidR="00B82C8B">
        <w:rPr>
          <w:rFonts w:ascii="Arial" w:hAnsi="Arial" w:cs="Arial"/>
          <w:sz w:val="24"/>
          <w:szCs w:val="24"/>
        </w:rPr>
        <w:t>and EDU affiliated companies</w:t>
      </w:r>
      <w:r w:rsidR="00786659">
        <w:rPr>
          <w:rFonts w:ascii="Arial" w:hAnsi="Arial" w:cs="Arial"/>
          <w:sz w:val="24"/>
          <w:szCs w:val="24"/>
        </w:rPr>
        <w:t>. Further, with functional separation,</w:t>
      </w:r>
      <w:r w:rsidR="00EF786C">
        <w:rPr>
          <w:rFonts w:ascii="Arial" w:hAnsi="Arial" w:cs="Arial"/>
          <w:sz w:val="24"/>
          <w:szCs w:val="24"/>
        </w:rPr>
        <w:t xml:space="preserve"> there will always be a perverse incentive to allocate costs to the regulated distribution company that receives</w:t>
      </w:r>
      <w:r w:rsidR="00B82C8B">
        <w:rPr>
          <w:rFonts w:ascii="Arial" w:hAnsi="Arial" w:cs="Arial"/>
          <w:sz w:val="24"/>
          <w:szCs w:val="24"/>
        </w:rPr>
        <w:t xml:space="preserve"> </w:t>
      </w:r>
      <w:r w:rsidR="00AD78D4">
        <w:rPr>
          <w:rFonts w:ascii="Arial" w:hAnsi="Arial" w:cs="Arial"/>
          <w:sz w:val="24"/>
          <w:szCs w:val="24"/>
        </w:rPr>
        <w:t>cost recovery</w:t>
      </w:r>
      <w:r w:rsidR="00EF786C">
        <w:rPr>
          <w:rFonts w:ascii="Arial" w:hAnsi="Arial" w:cs="Arial"/>
          <w:sz w:val="24"/>
          <w:szCs w:val="24"/>
        </w:rPr>
        <w:t xml:space="preserve"> from distribution ratepayers.</w:t>
      </w:r>
      <w:r w:rsidR="00786659">
        <w:rPr>
          <w:rFonts w:ascii="Arial" w:hAnsi="Arial" w:cs="Arial"/>
          <w:sz w:val="24"/>
          <w:szCs w:val="24"/>
        </w:rPr>
        <w:t xml:space="preserve"> As such, absent full corporate separation, IGS proposes that Commission prohibit shared</w:t>
      </w:r>
      <w:r w:rsidR="00783F60">
        <w:rPr>
          <w:rFonts w:ascii="Arial" w:hAnsi="Arial" w:cs="Arial"/>
          <w:sz w:val="24"/>
          <w:szCs w:val="24"/>
        </w:rPr>
        <w:t xml:space="preserve"> services</w:t>
      </w:r>
      <w:r w:rsidR="00786659">
        <w:rPr>
          <w:rFonts w:ascii="Arial" w:hAnsi="Arial" w:cs="Arial"/>
          <w:sz w:val="24"/>
          <w:szCs w:val="24"/>
        </w:rPr>
        <w:t xml:space="preserve"> and other similar cost sharing arrangements between regulated </w:t>
      </w:r>
      <w:r w:rsidR="00C107E2">
        <w:rPr>
          <w:rFonts w:ascii="Arial" w:hAnsi="Arial" w:cs="Arial"/>
          <w:sz w:val="24"/>
          <w:szCs w:val="24"/>
        </w:rPr>
        <w:t>EDUs</w:t>
      </w:r>
      <w:r w:rsidR="00786659" w:rsidRPr="00786659">
        <w:rPr>
          <w:rFonts w:ascii="Arial" w:hAnsi="Arial" w:cs="Arial"/>
          <w:sz w:val="24"/>
          <w:szCs w:val="24"/>
        </w:rPr>
        <w:t xml:space="preserve"> and competitive affiliates</w:t>
      </w:r>
      <w:r w:rsidR="00786659">
        <w:rPr>
          <w:rFonts w:ascii="Arial" w:hAnsi="Arial" w:cs="Arial"/>
          <w:sz w:val="24"/>
          <w:szCs w:val="24"/>
        </w:rPr>
        <w:t>.</w:t>
      </w:r>
    </w:p>
    <w:p w:rsidR="00E41537" w:rsidRDefault="00C411D7" w:rsidP="00C107E2">
      <w:pPr>
        <w:spacing w:line="480" w:lineRule="auto"/>
        <w:ind w:firstLine="720"/>
        <w:jc w:val="both"/>
        <w:rPr>
          <w:rFonts w:ascii="Arial" w:hAnsi="Arial" w:cs="Arial"/>
          <w:sz w:val="24"/>
          <w:szCs w:val="24"/>
        </w:rPr>
      </w:pPr>
      <w:r>
        <w:rPr>
          <w:rFonts w:ascii="Arial" w:hAnsi="Arial" w:cs="Arial"/>
          <w:sz w:val="24"/>
          <w:szCs w:val="24"/>
        </w:rPr>
        <w:t>First</w:t>
      </w:r>
      <w:r w:rsidR="00C0266A">
        <w:rPr>
          <w:rFonts w:ascii="Arial" w:hAnsi="Arial" w:cs="Arial"/>
          <w:sz w:val="24"/>
          <w:szCs w:val="24"/>
        </w:rPr>
        <w:t xml:space="preserve">, shared </w:t>
      </w:r>
      <w:r w:rsidR="00783F60">
        <w:rPr>
          <w:rFonts w:ascii="Arial" w:hAnsi="Arial" w:cs="Arial"/>
          <w:sz w:val="24"/>
          <w:szCs w:val="24"/>
        </w:rPr>
        <w:t xml:space="preserve">services </w:t>
      </w:r>
      <w:r w:rsidR="00786659">
        <w:rPr>
          <w:rFonts w:ascii="Arial" w:hAnsi="Arial" w:cs="Arial"/>
          <w:sz w:val="24"/>
          <w:szCs w:val="24"/>
        </w:rPr>
        <w:t xml:space="preserve">and other similar cost sharing arrangements between EDUs and their affiliates are anti-competitive and give utility affiliates undue advantages in the market place.  Non-utility affiliated CRES suppliers do not have the ability to </w:t>
      </w:r>
      <w:r w:rsidR="00786659">
        <w:rPr>
          <w:rFonts w:ascii="Arial" w:hAnsi="Arial" w:cs="Arial"/>
          <w:sz w:val="24"/>
          <w:szCs w:val="24"/>
        </w:rPr>
        <w:lastRenderedPageBreak/>
        <w:t>leverage</w:t>
      </w:r>
      <w:r w:rsidR="00521C6F">
        <w:rPr>
          <w:rFonts w:ascii="Arial" w:hAnsi="Arial" w:cs="Arial"/>
          <w:sz w:val="24"/>
          <w:szCs w:val="24"/>
        </w:rPr>
        <w:t xml:space="preserve"> regulated</w:t>
      </w:r>
      <w:r w:rsidR="00786659">
        <w:rPr>
          <w:rFonts w:ascii="Arial" w:hAnsi="Arial" w:cs="Arial"/>
          <w:sz w:val="24"/>
          <w:szCs w:val="24"/>
        </w:rPr>
        <w:t xml:space="preserve"> EDU assets or personnel</w:t>
      </w:r>
      <w:r w:rsidR="00C0266A">
        <w:rPr>
          <w:rFonts w:ascii="Arial" w:hAnsi="Arial" w:cs="Arial"/>
          <w:sz w:val="24"/>
          <w:szCs w:val="24"/>
        </w:rPr>
        <w:t xml:space="preserve"> to reduce costs</w:t>
      </w:r>
      <w:r w:rsidR="00786659">
        <w:rPr>
          <w:rFonts w:ascii="Arial" w:hAnsi="Arial" w:cs="Arial"/>
          <w:sz w:val="24"/>
          <w:szCs w:val="24"/>
        </w:rPr>
        <w:t xml:space="preserve">, thus shared services and cost sharing arrangements </w:t>
      </w:r>
      <w:r w:rsidR="00B3076B">
        <w:rPr>
          <w:rFonts w:ascii="Arial" w:hAnsi="Arial" w:cs="Arial"/>
          <w:sz w:val="24"/>
          <w:szCs w:val="24"/>
        </w:rPr>
        <w:t>give</w:t>
      </w:r>
      <w:r w:rsidR="00786659">
        <w:rPr>
          <w:rFonts w:ascii="Arial" w:hAnsi="Arial" w:cs="Arial"/>
          <w:sz w:val="24"/>
          <w:szCs w:val="24"/>
        </w:rPr>
        <w:t xml:space="preserve"> EDU aff</w:t>
      </w:r>
      <w:r w:rsidR="00B3076B">
        <w:rPr>
          <w:rFonts w:ascii="Arial" w:hAnsi="Arial" w:cs="Arial"/>
          <w:sz w:val="24"/>
          <w:szCs w:val="24"/>
        </w:rPr>
        <w:t>iliated companies an undue advantage in the market</w:t>
      </w:r>
      <w:r w:rsidR="00786659">
        <w:rPr>
          <w:rFonts w:ascii="Arial" w:hAnsi="Arial" w:cs="Arial"/>
          <w:sz w:val="24"/>
          <w:szCs w:val="24"/>
        </w:rPr>
        <w:t xml:space="preserve">, </w:t>
      </w:r>
      <w:r w:rsidR="00786659" w:rsidRPr="00786659">
        <w:rPr>
          <w:rFonts w:ascii="Arial" w:hAnsi="Arial" w:cs="Arial"/>
          <w:i/>
          <w:sz w:val="24"/>
          <w:szCs w:val="24"/>
        </w:rPr>
        <w:t>even if costs are allocated correct</w:t>
      </w:r>
      <w:r w:rsidR="00C0266A">
        <w:rPr>
          <w:rFonts w:ascii="Arial" w:hAnsi="Arial" w:cs="Arial"/>
          <w:i/>
          <w:sz w:val="24"/>
          <w:szCs w:val="24"/>
        </w:rPr>
        <w:t>ly</w:t>
      </w:r>
      <w:r w:rsidR="00786659">
        <w:rPr>
          <w:rFonts w:ascii="Arial" w:hAnsi="Arial" w:cs="Arial"/>
          <w:sz w:val="24"/>
          <w:szCs w:val="24"/>
        </w:rPr>
        <w:t xml:space="preserve">. </w:t>
      </w:r>
      <w:r w:rsidR="00B82C8B">
        <w:rPr>
          <w:rFonts w:ascii="Arial" w:hAnsi="Arial" w:cs="Arial"/>
          <w:sz w:val="24"/>
          <w:szCs w:val="24"/>
        </w:rPr>
        <w:t xml:space="preserve"> </w:t>
      </w:r>
    </w:p>
    <w:p w:rsidR="00C0266A" w:rsidRDefault="00786659" w:rsidP="00C107E2">
      <w:pPr>
        <w:spacing w:line="480" w:lineRule="auto"/>
        <w:ind w:firstLine="720"/>
        <w:jc w:val="both"/>
        <w:rPr>
          <w:rFonts w:ascii="Arial" w:hAnsi="Arial" w:cs="Arial"/>
          <w:sz w:val="24"/>
          <w:szCs w:val="24"/>
        </w:rPr>
      </w:pPr>
      <w:r>
        <w:rPr>
          <w:rFonts w:ascii="Arial" w:hAnsi="Arial" w:cs="Arial"/>
          <w:sz w:val="24"/>
          <w:szCs w:val="24"/>
        </w:rPr>
        <w:t xml:space="preserve">Further, </w:t>
      </w:r>
      <w:r w:rsidR="004478C4">
        <w:rPr>
          <w:rFonts w:ascii="Arial" w:hAnsi="Arial" w:cs="Arial"/>
          <w:sz w:val="24"/>
          <w:szCs w:val="24"/>
        </w:rPr>
        <w:t>as noted already</w:t>
      </w:r>
      <w:r w:rsidR="00783F60">
        <w:rPr>
          <w:rFonts w:ascii="Arial" w:hAnsi="Arial" w:cs="Arial"/>
          <w:sz w:val="24"/>
          <w:szCs w:val="24"/>
        </w:rPr>
        <w:t>, with shared resource arrangements</w:t>
      </w:r>
      <w:r w:rsidR="00B82C8B">
        <w:rPr>
          <w:rFonts w:ascii="Arial" w:hAnsi="Arial" w:cs="Arial"/>
          <w:sz w:val="24"/>
          <w:szCs w:val="24"/>
        </w:rPr>
        <w:t xml:space="preserve"> there is a perverse incentive to</w:t>
      </w:r>
      <w:r w:rsidR="00C0266A">
        <w:rPr>
          <w:rFonts w:ascii="Arial" w:hAnsi="Arial" w:cs="Arial"/>
          <w:sz w:val="24"/>
          <w:szCs w:val="24"/>
        </w:rPr>
        <w:t xml:space="preserve"> put costs on the EDU and not the unregulated affiliated company</w:t>
      </w:r>
      <w:r w:rsidR="00B82C8B">
        <w:rPr>
          <w:rFonts w:ascii="Arial" w:hAnsi="Arial" w:cs="Arial"/>
          <w:sz w:val="24"/>
          <w:szCs w:val="24"/>
        </w:rPr>
        <w:t xml:space="preserve">. </w:t>
      </w:r>
      <w:r w:rsidR="00C0266A">
        <w:rPr>
          <w:rFonts w:ascii="Arial" w:hAnsi="Arial" w:cs="Arial"/>
          <w:sz w:val="24"/>
          <w:szCs w:val="24"/>
        </w:rPr>
        <w:t xml:space="preserve"> </w:t>
      </w:r>
      <w:r w:rsidR="00B82C8B">
        <w:rPr>
          <w:rFonts w:ascii="Arial" w:hAnsi="Arial" w:cs="Arial"/>
          <w:sz w:val="24"/>
          <w:szCs w:val="24"/>
        </w:rPr>
        <w:t>A</w:t>
      </w:r>
      <w:r w:rsidR="00C0266A">
        <w:rPr>
          <w:rFonts w:ascii="Arial" w:hAnsi="Arial" w:cs="Arial"/>
          <w:sz w:val="24"/>
          <w:szCs w:val="24"/>
        </w:rPr>
        <w:t>udits by t</w:t>
      </w:r>
      <w:r w:rsidR="00B82C8B">
        <w:rPr>
          <w:rFonts w:ascii="Arial" w:hAnsi="Arial" w:cs="Arial"/>
          <w:sz w:val="24"/>
          <w:szCs w:val="24"/>
        </w:rPr>
        <w:t>he Commission are unlikely to completely eliminate</w:t>
      </w:r>
      <w:r w:rsidR="00C0266A">
        <w:rPr>
          <w:rFonts w:ascii="Arial" w:hAnsi="Arial" w:cs="Arial"/>
          <w:sz w:val="24"/>
          <w:szCs w:val="24"/>
        </w:rPr>
        <w:t xml:space="preserve"> </w:t>
      </w:r>
      <w:r w:rsidR="005C0C95">
        <w:rPr>
          <w:rFonts w:ascii="Arial" w:hAnsi="Arial" w:cs="Arial"/>
          <w:sz w:val="24"/>
          <w:szCs w:val="24"/>
        </w:rPr>
        <w:t xml:space="preserve">this </w:t>
      </w:r>
      <w:r w:rsidR="00C0266A">
        <w:rPr>
          <w:rFonts w:ascii="Arial" w:hAnsi="Arial" w:cs="Arial"/>
          <w:sz w:val="24"/>
          <w:szCs w:val="24"/>
        </w:rPr>
        <w:t>incentive</w:t>
      </w:r>
      <w:r w:rsidR="00B82C8B">
        <w:rPr>
          <w:rFonts w:ascii="Arial" w:hAnsi="Arial" w:cs="Arial"/>
          <w:sz w:val="24"/>
          <w:szCs w:val="24"/>
        </w:rPr>
        <w:t xml:space="preserve">, because cost allocation </w:t>
      </w:r>
      <w:r w:rsidR="00C107E2">
        <w:rPr>
          <w:rFonts w:ascii="Arial" w:hAnsi="Arial" w:cs="Arial"/>
          <w:sz w:val="24"/>
          <w:szCs w:val="24"/>
        </w:rPr>
        <w:t>is greatly influenced by</w:t>
      </w:r>
      <w:r w:rsidR="00B82C8B">
        <w:rPr>
          <w:rFonts w:ascii="Arial" w:hAnsi="Arial" w:cs="Arial"/>
          <w:sz w:val="24"/>
          <w:szCs w:val="24"/>
        </w:rPr>
        <w:t xml:space="preserve"> what is being reported by the EDUs and affiliated companies</w:t>
      </w:r>
      <w:r w:rsidR="00E41537">
        <w:rPr>
          <w:rFonts w:ascii="Arial" w:hAnsi="Arial" w:cs="Arial"/>
          <w:sz w:val="24"/>
          <w:szCs w:val="24"/>
        </w:rPr>
        <w:t xml:space="preserve"> and their individual employees</w:t>
      </w:r>
      <w:r w:rsidR="00C0266A">
        <w:rPr>
          <w:rFonts w:ascii="Arial" w:hAnsi="Arial" w:cs="Arial"/>
          <w:sz w:val="24"/>
          <w:szCs w:val="24"/>
        </w:rPr>
        <w:t>.</w:t>
      </w:r>
      <w:r w:rsidR="00C107E2">
        <w:rPr>
          <w:rFonts w:ascii="Arial" w:hAnsi="Arial" w:cs="Arial"/>
          <w:sz w:val="24"/>
          <w:szCs w:val="24"/>
        </w:rPr>
        <w:t xml:space="preserve"> </w:t>
      </w:r>
      <w:r w:rsidR="00E41537">
        <w:rPr>
          <w:rFonts w:ascii="Arial" w:hAnsi="Arial" w:cs="Arial"/>
          <w:sz w:val="24"/>
          <w:szCs w:val="24"/>
        </w:rPr>
        <w:t>Staff or auditors cannot be at the EDU offi</w:t>
      </w:r>
      <w:r w:rsidR="004478C4">
        <w:rPr>
          <w:rFonts w:ascii="Arial" w:hAnsi="Arial" w:cs="Arial"/>
          <w:sz w:val="24"/>
          <w:szCs w:val="24"/>
        </w:rPr>
        <w:t>ces all of the time to ensure</w:t>
      </w:r>
      <w:r w:rsidR="00E41537">
        <w:rPr>
          <w:rFonts w:ascii="Arial" w:hAnsi="Arial" w:cs="Arial"/>
          <w:sz w:val="24"/>
          <w:szCs w:val="24"/>
        </w:rPr>
        <w:t xml:space="preserve"> resource allocation</w:t>
      </w:r>
      <w:r w:rsidR="004478C4">
        <w:rPr>
          <w:rFonts w:ascii="Arial" w:hAnsi="Arial" w:cs="Arial"/>
          <w:sz w:val="24"/>
          <w:szCs w:val="24"/>
        </w:rPr>
        <w:t xml:space="preserve"> is being accurately reported</w:t>
      </w:r>
      <w:r w:rsidR="00E41537">
        <w:rPr>
          <w:rFonts w:ascii="Arial" w:hAnsi="Arial" w:cs="Arial"/>
          <w:sz w:val="24"/>
          <w:szCs w:val="24"/>
        </w:rPr>
        <w:t xml:space="preserve"> and thus there are inherent limitations to what audits can achieve.</w:t>
      </w:r>
    </w:p>
    <w:p w:rsidR="00E41537" w:rsidRDefault="008F2BCE" w:rsidP="002A7B17">
      <w:pPr>
        <w:spacing w:line="480" w:lineRule="auto"/>
        <w:ind w:firstLine="720"/>
        <w:jc w:val="both"/>
        <w:rPr>
          <w:rFonts w:ascii="Arial" w:hAnsi="Arial" w:cs="Arial"/>
          <w:sz w:val="24"/>
          <w:szCs w:val="24"/>
        </w:rPr>
      </w:pPr>
      <w:r>
        <w:rPr>
          <w:rFonts w:ascii="Arial" w:hAnsi="Arial" w:cs="Arial"/>
          <w:sz w:val="24"/>
          <w:szCs w:val="24"/>
        </w:rPr>
        <w:t xml:space="preserve">Elimination of shared resources will </w:t>
      </w:r>
      <w:r w:rsidR="004478C4">
        <w:rPr>
          <w:rFonts w:ascii="Arial" w:hAnsi="Arial" w:cs="Arial"/>
          <w:sz w:val="24"/>
          <w:szCs w:val="24"/>
        </w:rPr>
        <w:t xml:space="preserve">also </w:t>
      </w:r>
      <w:r w:rsidR="00E41537">
        <w:rPr>
          <w:rFonts w:ascii="Arial" w:hAnsi="Arial" w:cs="Arial"/>
          <w:sz w:val="24"/>
          <w:szCs w:val="24"/>
        </w:rPr>
        <w:t>reduce the costs of audits and enforcement by the Commission.  It is much easier to ensure that costs are being allocated correctly if there are very limited, if any</w:t>
      </w:r>
      <w:r>
        <w:rPr>
          <w:rFonts w:ascii="Arial" w:hAnsi="Arial" w:cs="Arial"/>
          <w:sz w:val="24"/>
          <w:szCs w:val="24"/>
        </w:rPr>
        <w:t>, costs</w:t>
      </w:r>
      <w:r w:rsidR="00E41537">
        <w:rPr>
          <w:rFonts w:ascii="Arial" w:hAnsi="Arial" w:cs="Arial"/>
          <w:sz w:val="24"/>
          <w:szCs w:val="24"/>
        </w:rPr>
        <w:t xml:space="preserve"> to allocate.  </w:t>
      </w:r>
    </w:p>
    <w:p w:rsidR="00C107E2" w:rsidRDefault="00C107E2" w:rsidP="00EF786C">
      <w:pPr>
        <w:spacing w:line="480" w:lineRule="auto"/>
        <w:ind w:firstLine="720"/>
        <w:jc w:val="both"/>
        <w:rPr>
          <w:rFonts w:ascii="Arial" w:hAnsi="Arial" w:cs="Arial"/>
          <w:sz w:val="24"/>
          <w:szCs w:val="24"/>
        </w:rPr>
      </w:pPr>
      <w:r>
        <w:rPr>
          <w:rFonts w:ascii="Arial" w:hAnsi="Arial" w:cs="Arial"/>
          <w:sz w:val="24"/>
          <w:szCs w:val="24"/>
        </w:rPr>
        <w:t>Finally, the elimination of shared resources between the EDU</w:t>
      </w:r>
      <w:r w:rsidR="00E41537">
        <w:rPr>
          <w:rFonts w:ascii="Arial" w:hAnsi="Arial" w:cs="Arial"/>
          <w:sz w:val="24"/>
          <w:szCs w:val="24"/>
        </w:rPr>
        <w:t>s</w:t>
      </w:r>
      <w:r>
        <w:rPr>
          <w:rFonts w:ascii="Arial" w:hAnsi="Arial" w:cs="Arial"/>
          <w:sz w:val="24"/>
          <w:szCs w:val="24"/>
        </w:rPr>
        <w:t xml:space="preserve"> and</w:t>
      </w:r>
      <w:r w:rsidR="00E41537">
        <w:rPr>
          <w:rFonts w:ascii="Arial" w:hAnsi="Arial" w:cs="Arial"/>
          <w:sz w:val="24"/>
          <w:szCs w:val="24"/>
        </w:rPr>
        <w:t xml:space="preserve"> their</w:t>
      </w:r>
      <w:r>
        <w:rPr>
          <w:rFonts w:ascii="Arial" w:hAnsi="Arial" w:cs="Arial"/>
          <w:sz w:val="24"/>
          <w:szCs w:val="24"/>
        </w:rPr>
        <w:t xml:space="preserve"> affiliate</w:t>
      </w:r>
      <w:r w:rsidR="0059265C">
        <w:rPr>
          <w:rFonts w:ascii="Arial" w:hAnsi="Arial" w:cs="Arial"/>
          <w:sz w:val="24"/>
          <w:szCs w:val="24"/>
        </w:rPr>
        <w:t>s</w:t>
      </w:r>
      <w:r>
        <w:rPr>
          <w:rFonts w:ascii="Arial" w:hAnsi="Arial" w:cs="Arial"/>
          <w:sz w:val="24"/>
          <w:szCs w:val="24"/>
        </w:rPr>
        <w:t xml:space="preserve"> will greatly reduce the likelihood that the utility affiliated company will have undue access to competitive information from the EDU that can be utilize</w:t>
      </w:r>
      <w:r w:rsidR="00830C0D">
        <w:rPr>
          <w:rFonts w:ascii="Arial" w:hAnsi="Arial" w:cs="Arial"/>
          <w:sz w:val="24"/>
          <w:szCs w:val="24"/>
        </w:rPr>
        <w:t>d as an advantage in the market</w:t>
      </w:r>
      <w:r>
        <w:rPr>
          <w:rFonts w:ascii="Arial" w:hAnsi="Arial" w:cs="Arial"/>
          <w:sz w:val="24"/>
          <w:szCs w:val="24"/>
        </w:rPr>
        <w:t xml:space="preserve">place. </w:t>
      </w:r>
    </w:p>
    <w:p w:rsidR="00E41537" w:rsidRDefault="008F2BCE" w:rsidP="00E41537">
      <w:pPr>
        <w:spacing w:line="480" w:lineRule="auto"/>
        <w:ind w:firstLine="720"/>
        <w:jc w:val="both"/>
        <w:rPr>
          <w:rFonts w:ascii="Arial" w:hAnsi="Arial" w:cs="Arial"/>
          <w:sz w:val="24"/>
          <w:szCs w:val="24"/>
        </w:rPr>
      </w:pPr>
      <w:r>
        <w:rPr>
          <w:rFonts w:ascii="Arial" w:hAnsi="Arial" w:cs="Arial"/>
          <w:sz w:val="24"/>
          <w:szCs w:val="24"/>
        </w:rPr>
        <w:t>Elimination (or reduction to the greatest extent possible) of</w:t>
      </w:r>
      <w:r w:rsidR="00C107E2">
        <w:rPr>
          <w:rFonts w:ascii="Arial" w:hAnsi="Arial" w:cs="Arial"/>
          <w:sz w:val="24"/>
          <w:szCs w:val="24"/>
        </w:rPr>
        <w:t xml:space="preserve"> all</w:t>
      </w:r>
      <w:r>
        <w:rPr>
          <w:rFonts w:ascii="Arial" w:hAnsi="Arial" w:cs="Arial"/>
          <w:sz w:val="24"/>
          <w:szCs w:val="24"/>
        </w:rPr>
        <w:t xml:space="preserve"> shared</w:t>
      </w:r>
      <w:r w:rsidR="00C107E2">
        <w:rPr>
          <w:rFonts w:ascii="Arial" w:hAnsi="Arial" w:cs="Arial"/>
          <w:sz w:val="24"/>
          <w:szCs w:val="24"/>
        </w:rPr>
        <w:t xml:space="preserve"> activities, resources and personnel </w:t>
      </w:r>
      <w:r>
        <w:rPr>
          <w:rFonts w:ascii="Arial" w:hAnsi="Arial" w:cs="Arial"/>
          <w:sz w:val="24"/>
          <w:szCs w:val="24"/>
        </w:rPr>
        <w:t>between th</w:t>
      </w:r>
      <w:r w:rsidR="002534B7">
        <w:rPr>
          <w:rFonts w:ascii="Arial" w:hAnsi="Arial" w:cs="Arial"/>
          <w:sz w:val="24"/>
          <w:szCs w:val="24"/>
        </w:rPr>
        <w:t>e EDU and its affiliated companies</w:t>
      </w:r>
      <w:r w:rsidR="004478C4">
        <w:rPr>
          <w:rFonts w:ascii="Arial" w:hAnsi="Arial" w:cs="Arial"/>
          <w:sz w:val="24"/>
          <w:szCs w:val="24"/>
        </w:rPr>
        <w:t xml:space="preserve"> is the best way to ensure </w:t>
      </w:r>
      <w:r w:rsidR="002534B7">
        <w:rPr>
          <w:rFonts w:ascii="Arial" w:hAnsi="Arial" w:cs="Arial"/>
          <w:sz w:val="24"/>
          <w:szCs w:val="24"/>
        </w:rPr>
        <w:t>corporate</w:t>
      </w:r>
      <w:r w:rsidR="004478C4">
        <w:rPr>
          <w:rFonts w:ascii="Arial" w:hAnsi="Arial" w:cs="Arial"/>
          <w:sz w:val="24"/>
          <w:szCs w:val="24"/>
        </w:rPr>
        <w:t xml:space="preserve"> separation</w:t>
      </w:r>
      <w:r w:rsidR="002534B7">
        <w:rPr>
          <w:rFonts w:ascii="Arial" w:hAnsi="Arial" w:cs="Arial"/>
          <w:sz w:val="24"/>
          <w:szCs w:val="24"/>
        </w:rPr>
        <w:t xml:space="preserve"> is actually achieved</w:t>
      </w:r>
      <w:r w:rsidR="00C107E2">
        <w:rPr>
          <w:rFonts w:ascii="Arial" w:hAnsi="Arial" w:cs="Arial"/>
          <w:sz w:val="24"/>
          <w:szCs w:val="24"/>
        </w:rPr>
        <w:t>.  This means that</w:t>
      </w:r>
      <w:r w:rsidR="00E41537">
        <w:rPr>
          <w:rFonts w:ascii="Arial" w:hAnsi="Arial" w:cs="Arial"/>
          <w:sz w:val="24"/>
          <w:szCs w:val="24"/>
        </w:rPr>
        <w:t xml:space="preserve"> EDU</w:t>
      </w:r>
      <w:r w:rsidR="00C107E2">
        <w:rPr>
          <w:rFonts w:ascii="Arial" w:hAnsi="Arial" w:cs="Arial"/>
          <w:sz w:val="24"/>
          <w:szCs w:val="24"/>
        </w:rPr>
        <w:t xml:space="preserve"> affiliated companies should be required to have their own personnel, offices, lawyers,</w:t>
      </w:r>
      <w:r w:rsidR="00830C0D">
        <w:rPr>
          <w:rFonts w:ascii="Arial" w:hAnsi="Arial" w:cs="Arial"/>
          <w:sz w:val="24"/>
          <w:szCs w:val="24"/>
        </w:rPr>
        <w:t xml:space="preserve"> accountants,</w:t>
      </w:r>
      <w:r w:rsidR="00C107E2">
        <w:rPr>
          <w:rFonts w:ascii="Arial" w:hAnsi="Arial" w:cs="Arial"/>
          <w:sz w:val="24"/>
          <w:szCs w:val="24"/>
        </w:rPr>
        <w:t xml:space="preserve"> call centers, IT</w:t>
      </w:r>
      <w:r>
        <w:rPr>
          <w:rFonts w:ascii="Arial" w:hAnsi="Arial" w:cs="Arial"/>
          <w:sz w:val="24"/>
          <w:szCs w:val="24"/>
        </w:rPr>
        <w:t xml:space="preserve"> departments</w:t>
      </w:r>
      <w:r w:rsidR="00C107E2">
        <w:rPr>
          <w:rFonts w:ascii="Arial" w:hAnsi="Arial" w:cs="Arial"/>
          <w:sz w:val="24"/>
          <w:szCs w:val="24"/>
        </w:rPr>
        <w:t>, etc.</w:t>
      </w:r>
      <w:r>
        <w:rPr>
          <w:rFonts w:ascii="Arial" w:hAnsi="Arial" w:cs="Arial"/>
          <w:sz w:val="24"/>
          <w:szCs w:val="24"/>
        </w:rPr>
        <w:t>,</w:t>
      </w:r>
      <w:r w:rsidR="00C107E2">
        <w:rPr>
          <w:rFonts w:ascii="Arial" w:hAnsi="Arial" w:cs="Arial"/>
          <w:sz w:val="24"/>
          <w:szCs w:val="24"/>
        </w:rPr>
        <w:t xml:space="preserve"> and none of this sho</w:t>
      </w:r>
      <w:r w:rsidR="002534B7">
        <w:rPr>
          <w:rFonts w:ascii="Arial" w:hAnsi="Arial" w:cs="Arial"/>
          <w:sz w:val="24"/>
          <w:szCs w:val="24"/>
        </w:rPr>
        <w:t xml:space="preserve">uld be shared with </w:t>
      </w:r>
      <w:r w:rsidR="002534B7">
        <w:rPr>
          <w:rFonts w:ascii="Arial" w:hAnsi="Arial" w:cs="Arial"/>
          <w:sz w:val="24"/>
          <w:szCs w:val="24"/>
        </w:rPr>
        <w:lastRenderedPageBreak/>
        <w:t>the EDU.  Thus</w:t>
      </w:r>
      <w:r w:rsidR="00C411D7">
        <w:rPr>
          <w:rFonts w:ascii="Arial" w:hAnsi="Arial" w:cs="Arial"/>
          <w:sz w:val="24"/>
          <w:szCs w:val="24"/>
        </w:rPr>
        <w:t>,</w:t>
      </w:r>
      <w:r w:rsidR="002534B7">
        <w:rPr>
          <w:rFonts w:ascii="Arial" w:hAnsi="Arial" w:cs="Arial"/>
          <w:sz w:val="24"/>
          <w:szCs w:val="24"/>
        </w:rPr>
        <w:t xml:space="preserve"> if the Commission is not going to require full corporate separation, the</w:t>
      </w:r>
      <w:r w:rsidR="00C107E2">
        <w:rPr>
          <w:rFonts w:ascii="Arial" w:hAnsi="Arial" w:cs="Arial"/>
          <w:sz w:val="24"/>
          <w:szCs w:val="24"/>
        </w:rPr>
        <w:t xml:space="preserve"> only thing</w:t>
      </w:r>
      <w:r w:rsidR="002534B7">
        <w:rPr>
          <w:rFonts w:ascii="Arial" w:hAnsi="Arial" w:cs="Arial"/>
          <w:sz w:val="24"/>
          <w:szCs w:val="24"/>
        </w:rPr>
        <w:t>s</w:t>
      </w:r>
      <w:r w:rsidR="00C107E2">
        <w:rPr>
          <w:rFonts w:ascii="Arial" w:hAnsi="Arial" w:cs="Arial"/>
          <w:sz w:val="24"/>
          <w:szCs w:val="24"/>
        </w:rPr>
        <w:t xml:space="preserve"> that should be allowed to be shared between the EDU and the unregulated affiliate </w:t>
      </w:r>
      <w:r w:rsidR="002534B7">
        <w:rPr>
          <w:rFonts w:ascii="Arial" w:hAnsi="Arial" w:cs="Arial"/>
          <w:sz w:val="24"/>
          <w:szCs w:val="24"/>
        </w:rPr>
        <w:t>are</w:t>
      </w:r>
      <w:r w:rsidR="00C107E2">
        <w:rPr>
          <w:rFonts w:ascii="Arial" w:hAnsi="Arial" w:cs="Arial"/>
          <w:sz w:val="24"/>
          <w:szCs w:val="24"/>
        </w:rPr>
        <w:t xml:space="preserve"> </w:t>
      </w:r>
      <w:r>
        <w:rPr>
          <w:rFonts w:ascii="Arial" w:hAnsi="Arial" w:cs="Arial"/>
          <w:sz w:val="24"/>
          <w:szCs w:val="24"/>
        </w:rPr>
        <w:t>1</w:t>
      </w:r>
      <w:r w:rsidR="00C107E2">
        <w:rPr>
          <w:rFonts w:ascii="Arial" w:hAnsi="Arial" w:cs="Arial"/>
          <w:sz w:val="24"/>
          <w:szCs w:val="24"/>
        </w:rPr>
        <w:t xml:space="preserve">) the shareholders, and </w:t>
      </w:r>
      <w:r>
        <w:rPr>
          <w:rFonts w:ascii="Arial" w:hAnsi="Arial" w:cs="Arial"/>
          <w:sz w:val="24"/>
          <w:szCs w:val="24"/>
        </w:rPr>
        <w:t>2</w:t>
      </w:r>
      <w:r w:rsidR="00C107E2">
        <w:rPr>
          <w:rFonts w:ascii="Arial" w:hAnsi="Arial" w:cs="Arial"/>
          <w:sz w:val="24"/>
          <w:szCs w:val="24"/>
        </w:rPr>
        <w:t xml:space="preserve">) the highest level of corporate executives.  </w:t>
      </w:r>
      <w:r w:rsidR="002534B7">
        <w:rPr>
          <w:rFonts w:ascii="Arial" w:hAnsi="Arial" w:cs="Arial"/>
          <w:sz w:val="24"/>
          <w:szCs w:val="24"/>
        </w:rPr>
        <w:t>Anything more than this creates substantial conflicts of in</w:t>
      </w:r>
      <w:r w:rsidR="00650A65">
        <w:rPr>
          <w:rFonts w:ascii="Arial" w:hAnsi="Arial" w:cs="Arial"/>
          <w:sz w:val="24"/>
          <w:szCs w:val="24"/>
        </w:rPr>
        <w:t>terest and anti-competitive effects</w:t>
      </w:r>
      <w:r w:rsidR="002534B7">
        <w:rPr>
          <w:rFonts w:ascii="Arial" w:hAnsi="Arial" w:cs="Arial"/>
          <w:sz w:val="24"/>
          <w:szCs w:val="24"/>
        </w:rPr>
        <w:t xml:space="preserve"> in the marketplace.  </w:t>
      </w:r>
    </w:p>
    <w:p w:rsidR="00613BB9" w:rsidRPr="00613BB9" w:rsidRDefault="007D74AC" w:rsidP="00613BB9">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Seamless Move and Contract Po</w:t>
      </w:r>
      <w:r w:rsidR="00613BB9">
        <w:rPr>
          <w:rFonts w:ascii="Arial" w:hAnsi="Arial" w:cs="Arial"/>
          <w:b/>
          <w:sz w:val="24"/>
          <w:szCs w:val="24"/>
        </w:rPr>
        <w:t>rtability Should be Adopted.</w:t>
      </w:r>
    </w:p>
    <w:p w:rsidR="007F437D" w:rsidRDefault="007F437D" w:rsidP="007F437D">
      <w:pPr>
        <w:spacing w:line="480" w:lineRule="auto"/>
        <w:ind w:firstLine="720"/>
        <w:jc w:val="both"/>
        <w:rPr>
          <w:rFonts w:ascii="Arial" w:hAnsi="Arial" w:cs="Arial"/>
          <w:sz w:val="24"/>
          <w:szCs w:val="24"/>
        </w:rPr>
      </w:pPr>
      <w:r>
        <w:rPr>
          <w:rFonts w:ascii="Arial" w:hAnsi="Arial" w:cs="Arial"/>
          <w:sz w:val="24"/>
          <w:szCs w:val="24"/>
        </w:rPr>
        <w:t>The Staff Report recommends that EDUs should offer seamless move to CRES customers so that CRES customers can remain with the CRES supplier even as they move to a new residence without reverting back to the SSO rate.</w:t>
      </w:r>
      <w:r>
        <w:rPr>
          <w:rStyle w:val="FootnoteReference"/>
          <w:rFonts w:ascii="Arial" w:hAnsi="Arial" w:cs="Arial"/>
          <w:sz w:val="24"/>
          <w:szCs w:val="24"/>
        </w:rPr>
        <w:footnoteReference w:id="9"/>
      </w:r>
      <w:r>
        <w:rPr>
          <w:rFonts w:ascii="Arial" w:hAnsi="Arial" w:cs="Arial"/>
          <w:sz w:val="24"/>
          <w:szCs w:val="24"/>
        </w:rPr>
        <w:t xml:space="preserve">  IGS supports this recommendation and looks forward to working with the Ohio EDI Working Group (“OEWG”) to put seamless move into effect.  </w:t>
      </w:r>
      <w:r w:rsidR="007D74AC">
        <w:rPr>
          <w:rFonts w:ascii="Arial" w:hAnsi="Arial" w:cs="Arial"/>
          <w:sz w:val="24"/>
          <w:szCs w:val="24"/>
        </w:rPr>
        <w:t>Contract portability</w:t>
      </w:r>
      <w:r>
        <w:rPr>
          <w:rFonts w:ascii="Arial" w:hAnsi="Arial" w:cs="Arial"/>
          <w:sz w:val="24"/>
          <w:szCs w:val="24"/>
        </w:rPr>
        <w:t xml:space="preserve"> also</w:t>
      </w:r>
      <w:r w:rsidR="007D74AC">
        <w:rPr>
          <w:rFonts w:ascii="Arial" w:hAnsi="Arial" w:cs="Arial"/>
          <w:sz w:val="24"/>
          <w:szCs w:val="24"/>
        </w:rPr>
        <w:t xml:space="preserve"> </w:t>
      </w:r>
      <w:r w:rsidR="00390ADD">
        <w:rPr>
          <w:rFonts w:ascii="Arial" w:hAnsi="Arial" w:cs="Arial"/>
          <w:sz w:val="24"/>
          <w:szCs w:val="24"/>
        </w:rPr>
        <w:t xml:space="preserve">would </w:t>
      </w:r>
      <w:r>
        <w:rPr>
          <w:rFonts w:ascii="Arial" w:hAnsi="Arial" w:cs="Arial"/>
          <w:sz w:val="24"/>
          <w:szCs w:val="24"/>
        </w:rPr>
        <w:t>enhance the customer experience as some customers may wish to remain in the contract that they have in place</w:t>
      </w:r>
      <w:r w:rsidR="007D74AC">
        <w:rPr>
          <w:rFonts w:ascii="Arial" w:hAnsi="Arial" w:cs="Arial"/>
          <w:sz w:val="24"/>
          <w:szCs w:val="24"/>
        </w:rPr>
        <w:t xml:space="preserve"> with </w:t>
      </w:r>
      <w:r w:rsidR="00390ADD">
        <w:rPr>
          <w:rFonts w:ascii="Arial" w:hAnsi="Arial" w:cs="Arial"/>
          <w:sz w:val="24"/>
          <w:szCs w:val="24"/>
        </w:rPr>
        <w:t xml:space="preserve">a </w:t>
      </w:r>
      <w:r w:rsidR="007D74AC">
        <w:rPr>
          <w:rFonts w:ascii="Arial" w:hAnsi="Arial" w:cs="Arial"/>
          <w:sz w:val="24"/>
          <w:szCs w:val="24"/>
        </w:rPr>
        <w:t xml:space="preserve">CRES provider. As such the OEWG should also be tasked with developing a means to implement contract portability for customers.  </w:t>
      </w:r>
      <w:r w:rsidR="0028110C">
        <w:rPr>
          <w:rFonts w:ascii="Arial" w:hAnsi="Arial" w:cs="Arial"/>
          <w:sz w:val="24"/>
          <w:szCs w:val="24"/>
        </w:rPr>
        <w:t xml:space="preserve">IGS notes that contract portability </w:t>
      </w:r>
      <w:r w:rsidR="004478C4">
        <w:rPr>
          <w:rFonts w:ascii="Arial" w:hAnsi="Arial" w:cs="Arial"/>
          <w:sz w:val="24"/>
          <w:szCs w:val="24"/>
        </w:rPr>
        <w:t xml:space="preserve">is currently available, or </w:t>
      </w:r>
      <w:r w:rsidR="0028110C">
        <w:rPr>
          <w:rFonts w:ascii="Arial" w:hAnsi="Arial" w:cs="Arial"/>
          <w:sz w:val="24"/>
          <w:szCs w:val="24"/>
        </w:rPr>
        <w:t>soon</w:t>
      </w:r>
      <w:r w:rsidR="004478C4">
        <w:rPr>
          <w:rFonts w:ascii="Arial" w:hAnsi="Arial" w:cs="Arial"/>
          <w:sz w:val="24"/>
          <w:szCs w:val="24"/>
        </w:rPr>
        <w:t xml:space="preserve"> will</w:t>
      </w:r>
      <w:r w:rsidR="0028110C">
        <w:rPr>
          <w:rFonts w:ascii="Arial" w:hAnsi="Arial" w:cs="Arial"/>
          <w:sz w:val="24"/>
          <w:szCs w:val="24"/>
        </w:rPr>
        <w:t xml:space="preserve"> be available, for </w:t>
      </w:r>
      <w:r w:rsidR="002A7B17">
        <w:rPr>
          <w:rFonts w:ascii="Arial" w:hAnsi="Arial" w:cs="Arial"/>
          <w:sz w:val="24"/>
          <w:szCs w:val="24"/>
        </w:rPr>
        <w:t>three out of the four</w:t>
      </w:r>
      <w:r w:rsidR="0028110C">
        <w:rPr>
          <w:rFonts w:ascii="Arial" w:hAnsi="Arial" w:cs="Arial"/>
          <w:sz w:val="24"/>
          <w:szCs w:val="24"/>
        </w:rPr>
        <w:t xml:space="preserve"> </w:t>
      </w:r>
      <w:r w:rsidR="004478C4">
        <w:rPr>
          <w:rFonts w:ascii="Arial" w:hAnsi="Arial" w:cs="Arial"/>
          <w:sz w:val="24"/>
          <w:szCs w:val="24"/>
        </w:rPr>
        <w:t xml:space="preserve">Ohio </w:t>
      </w:r>
      <w:r w:rsidR="0028110C">
        <w:rPr>
          <w:rFonts w:ascii="Arial" w:hAnsi="Arial" w:cs="Arial"/>
          <w:sz w:val="24"/>
          <w:szCs w:val="24"/>
        </w:rPr>
        <w:t>natural gas utilities with Choice programs, and thus it is clearly not an insurmountable obstacle for EDUs to implement contract portability.</w:t>
      </w:r>
      <w:r w:rsidR="0028110C">
        <w:rPr>
          <w:rStyle w:val="FootnoteReference"/>
          <w:rFonts w:ascii="Arial" w:hAnsi="Arial" w:cs="Arial"/>
          <w:sz w:val="24"/>
          <w:szCs w:val="24"/>
        </w:rPr>
        <w:footnoteReference w:id="10"/>
      </w:r>
      <w:r w:rsidR="0028110C">
        <w:rPr>
          <w:rFonts w:ascii="Arial" w:hAnsi="Arial" w:cs="Arial"/>
          <w:sz w:val="24"/>
          <w:szCs w:val="24"/>
        </w:rPr>
        <w:t xml:space="preserve"> </w:t>
      </w:r>
    </w:p>
    <w:p w:rsidR="00613BB9" w:rsidRPr="00613BB9" w:rsidRDefault="00613BB9" w:rsidP="00E831FD">
      <w:pPr>
        <w:pStyle w:val="ListParagraph"/>
        <w:numPr>
          <w:ilvl w:val="0"/>
          <w:numId w:val="2"/>
        </w:numPr>
        <w:spacing w:line="240" w:lineRule="auto"/>
        <w:jc w:val="both"/>
        <w:rPr>
          <w:rFonts w:ascii="Arial" w:hAnsi="Arial" w:cs="Arial"/>
          <w:b/>
          <w:sz w:val="24"/>
          <w:szCs w:val="24"/>
        </w:rPr>
      </w:pPr>
      <w:r w:rsidRPr="00613BB9">
        <w:rPr>
          <w:rFonts w:ascii="Arial" w:hAnsi="Arial" w:cs="Arial"/>
          <w:b/>
          <w:sz w:val="24"/>
          <w:szCs w:val="24"/>
        </w:rPr>
        <w:t>The Requirement that all New EDU Customers Enroll on the SSO First Should be Eliminated.</w:t>
      </w:r>
    </w:p>
    <w:p w:rsidR="0028110C" w:rsidRDefault="0028110C" w:rsidP="007F437D">
      <w:pPr>
        <w:spacing w:line="480" w:lineRule="auto"/>
        <w:ind w:firstLine="720"/>
        <w:jc w:val="both"/>
        <w:rPr>
          <w:rStyle w:val="apple-converted-space"/>
          <w:rFonts w:ascii="Arial" w:hAnsi="Arial" w:cs="Arial"/>
          <w:color w:val="000000"/>
          <w:sz w:val="24"/>
          <w:szCs w:val="24"/>
          <w:shd w:val="clear" w:color="auto" w:fill="FFFFFF"/>
        </w:rPr>
      </w:pPr>
      <w:r w:rsidRPr="00390ADD">
        <w:rPr>
          <w:rFonts w:ascii="Arial" w:hAnsi="Arial" w:cs="Arial"/>
          <w:sz w:val="24"/>
          <w:szCs w:val="24"/>
        </w:rPr>
        <w:t xml:space="preserve">The discussion of seamless move and contract portability begs the question of why new EDU customers must be enrolled on the SSO rate </w:t>
      </w:r>
      <w:r w:rsidR="00390ADD">
        <w:rPr>
          <w:rFonts w:ascii="Arial" w:hAnsi="Arial" w:cs="Arial"/>
          <w:sz w:val="24"/>
          <w:szCs w:val="24"/>
        </w:rPr>
        <w:t>for a minimum of one to two months before choosi</w:t>
      </w:r>
      <w:r w:rsidR="002A7B17">
        <w:rPr>
          <w:rFonts w:ascii="Arial" w:hAnsi="Arial" w:cs="Arial"/>
          <w:sz w:val="24"/>
          <w:szCs w:val="24"/>
        </w:rPr>
        <w:t>ng a non-SSO product</w:t>
      </w:r>
      <w:r w:rsidRPr="00390ADD">
        <w:rPr>
          <w:rFonts w:ascii="Arial" w:hAnsi="Arial" w:cs="Arial"/>
          <w:sz w:val="24"/>
          <w:szCs w:val="24"/>
        </w:rPr>
        <w:t xml:space="preserve">?   Ohio Revised Code 4928.02 states that </w:t>
      </w:r>
      <w:r w:rsidRPr="00390ADD">
        <w:rPr>
          <w:rFonts w:ascii="Arial" w:hAnsi="Arial" w:cs="Arial"/>
          <w:sz w:val="24"/>
          <w:szCs w:val="24"/>
        </w:rPr>
        <w:lastRenderedPageBreak/>
        <w:t>it is the policy of the State of Ohio to “</w:t>
      </w:r>
      <w:r w:rsidR="00390ADD" w:rsidRPr="00390ADD">
        <w:rPr>
          <w:rFonts w:ascii="Arial" w:hAnsi="Arial" w:cs="Arial"/>
          <w:color w:val="000000"/>
          <w:sz w:val="24"/>
          <w:szCs w:val="24"/>
          <w:shd w:val="clear" w:color="auto" w:fill="FFFFFF"/>
        </w:rPr>
        <w:t xml:space="preserve">ensure diversity of electricity supplies and suppliers, by </w:t>
      </w:r>
      <w:r w:rsidR="00390ADD" w:rsidRPr="00390ADD">
        <w:rPr>
          <w:rFonts w:ascii="Arial" w:hAnsi="Arial" w:cs="Arial"/>
          <w:i/>
          <w:color w:val="000000"/>
          <w:sz w:val="24"/>
          <w:szCs w:val="24"/>
          <w:shd w:val="clear" w:color="auto" w:fill="FFFFFF"/>
        </w:rPr>
        <w:t>giving consumers effective choices</w:t>
      </w:r>
      <w:r w:rsidR="00390ADD" w:rsidRPr="00390ADD">
        <w:rPr>
          <w:rFonts w:ascii="Arial" w:hAnsi="Arial" w:cs="Arial"/>
          <w:color w:val="000000"/>
          <w:sz w:val="24"/>
          <w:szCs w:val="24"/>
          <w:shd w:val="clear" w:color="auto" w:fill="FFFFFF"/>
        </w:rPr>
        <w:t xml:space="preserve"> over the selection of those supplies and suppliers.”</w:t>
      </w:r>
      <w:r w:rsidR="00390ADD" w:rsidRPr="00390ADD">
        <w:rPr>
          <w:rStyle w:val="apple-converted-space"/>
          <w:rFonts w:ascii="Arial" w:hAnsi="Arial" w:cs="Arial"/>
          <w:color w:val="000000"/>
          <w:sz w:val="24"/>
          <w:szCs w:val="24"/>
          <w:shd w:val="clear" w:color="auto" w:fill="FFFFFF"/>
        </w:rPr>
        <w:t> </w:t>
      </w:r>
      <w:r w:rsidR="00390ADD">
        <w:rPr>
          <w:rStyle w:val="apple-converted-space"/>
          <w:rFonts w:ascii="Arial" w:hAnsi="Arial" w:cs="Arial"/>
          <w:color w:val="000000"/>
          <w:sz w:val="24"/>
          <w:szCs w:val="24"/>
          <w:shd w:val="clear" w:color="auto" w:fill="FFFFFF"/>
        </w:rPr>
        <w:t>(emphasis added).  Limiting customers’ ability to choose a non-SSO service upon enrollment limits custo</w:t>
      </w:r>
      <w:r w:rsidR="00C411D7">
        <w:rPr>
          <w:rStyle w:val="apple-converted-space"/>
          <w:rFonts w:ascii="Arial" w:hAnsi="Arial" w:cs="Arial"/>
          <w:color w:val="000000"/>
          <w:sz w:val="24"/>
          <w:szCs w:val="24"/>
          <w:shd w:val="clear" w:color="auto" w:fill="FFFFFF"/>
        </w:rPr>
        <w:t>mers choices of suppliers,</w:t>
      </w:r>
      <w:r w:rsidR="00B47FB6">
        <w:rPr>
          <w:rStyle w:val="apple-converted-space"/>
          <w:rFonts w:ascii="Arial" w:hAnsi="Arial" w:cs="Arial"/>
          <w:color w:val="000000"/>
          <w:sz w:val="24"/>
          <w:szCs w:val="24"/>
          <w:shd w:val="clear" w:color="auto" w:fill="FFFFFF"/>
        </w:rPr>
        <w:t xml:space="preserve"> which</w:t>
      </w:r>
      <w:r w:rsidR="00390ADD">
        <w:rPr>
          <w:rStyle w:val="apple-converted-space"/>
          <w:rFonts w:ascii="Arial" w:hAnsi="Arial" w:cs="Arial"/>
          <w:color w:val="000000"/>
          <w:sz w:val="24"/>
          <w:szCs w:val="24"/>
          <w:shd w:val="clear" w:color="auto" w:fill="FFFFFF"/>
        </w:rPr>
        <w:t xml:space="preserve"> is squarely contrary to the policy of the state of Ohio. </w:t>
      </w:r>
    </w:p>
    <w:p w:rsidR="00670A17" w:rsidRDefault="00670A17" w:rsidP="007F437D">
      <w:pPr>
        <w:spacing w:line="480" w:lineRule="auto"/>
        <w:ind w:firstLine="720"/>
        <w:jc w:val="both"/>
        <w:rPr>
          <w:rStyle w:val="apple-converted-space"/>
          <w:rFonts w:ascii="Arial" w:hAnsi="Arial" w:cs="Arial"/>
          <w:color w:val="000000"/>
          <w:sz w:val="24"/>
          <w:szCs w:val="24"/>
          <w:shd w:val="clear" w:color="auto" w:fill="FFFFFF"/>
        </w:rPr>
      </w:pPr>
      <w:r>
        <w:rPr>
          <w:rStyle w:val="apple-converted-space"/>
          <w:rFonts w:ascii="Arial" w:hAnsi="Arial" w:cs="Arial"/>
          <w:color w:val="000000"/>
          <w:sz w:val="24"/>
          <w:szCs w:val="24"/>
          <w:shd w:val="clear" w:color="auto" w:fill="FFFFFF"/>
        </w:rPr>
        <w:t>Many of the administrative burdens created when customers move</w:t>
      </w:r>
      <w:r w:rsidR="002A7B17">
        <w:rPr>
          <w:rStyle w:val="apple-converted-space"/>
          <w:rFonts w:ascii="Arial" w:hAnsi="Arial" w:cs="Arial"/>
          <w:color w:val="000000"/>
          <w:sz w:val="24"/>
          <w:szCs w:val="24"/>
          <w:shd w:val="clear" w:color="auto" w:fill="FFFFFF"/>
        </w:rPr>
        <w:t xml:space="preserve"> residences </w:t>
      </w:r>
      <w:r>
        <w:rPr>
          <w:rStyle w:val="apple-converted-space"/>
          <w:rFonts w:ascii="Arial" w:hAnsi="Arial" w:cs="Arial"/>
          <w:color w:val="000000"/>
          <w:sz w:val="24"/>
          <w:szCs w:val="24"/>
          <w:shd w:val="clear" w:color="auto" w:fill="FFFFFF"/>
        </w:rPr>
        <w:t>stem from the requirement that customers must remain with the SSO rate for at least one to two months before enrolling with a CRES provider.  Seamless move and contract portability would be much easier to implement if th</w:t>
      </w:r>
      <w:r w:rsidR="002A7B17">
        <w:rPr>
          <w:rStyle w:val="apple-converted-space"/>
          <w:rFonts w:ascii="Arial" w:hAnsi="Arial" w:cs="Arial"/>
          <w:color w:val="000000"/>
          <w:sz w:val="24"/>
          <w:szCs w:val="24"/>
          <w:shd w:val="clear" w:color="auto" w:fill="FFFFFF"/>
        </w:rPr>
        <w:t>e requirement</w:t>
      </w:r>
      <w:r w:rsidR="00C411D7">
        <w:rPr>
          <w:rStyle w:val="apple-converted-space"/>
          <w:rFonts w:ascii="Arial" w:hAnsi="Arial" w:cs="Arial"/>
          <w:color w:val="000000"/>
          <w:sz w:val="24"/>
          <w:szCs w:val="24"/>
          <w:shd w:val="clear" w:color="auto" w:fill="FFFFFF"/>
        </w:rPr>
        <w:t xml:space="preserve"> for customers</w:t>
      </w:r>
      <w:r w:rsidR="002A7B17">
        <w:rPr>
          <w:rStyle w:val="apple-converted-space"/>
          <w:rFonts w:ascii="Arial" w:hAnsi="Arial" w:cs="Arial"/>
          <w:color w:val="000000"/>
          <w:sz w:val="24"/>
          <w:szCs w:val="24"/>
          <w:shd w:val="clear" w:color="auto" w:fill="FFFFFF"/>
        </w:rPr>
        <w:t xml:space="preserve"> to enroll in the SSO first is</w:t>
      </w:r>
      <w:r>
        <w:rPr>
          <w:rStyle w:val="apple-converted-space"/>
          <w:rFonts w:ascii="Arial" w:hAnsi="Arial" w:cs="Arial"/>
          <w:color w:val="000000"/>
          <w:sz w:val="24"/>
          <w:szCs w:val="24"/>
          <w:shd w:val="clear" w:color="auto" w:fill="FFFFFF"/>
        </w:rPr>
        <w:t xml:space="preserve"> eliminated.  </w:t>
      </w:r>
      <w:r w:rsidR="002A7B17">
        <w:rPr>
          <w:rStyle w:val="apple-converted-space"/>
          <w:rFonts w:ascii="Arial" w:hAnsi="Arial" w:cs="Arial"/>
          <w:color w:val="000000"/>
          <w:sz w:val="24"/>
          <w:szCs w:val="24"/>
          <w:shd w:val="clear" w:color="auto" w:fill="FFFFFF"/>
        </w:rPr>
        <w:t>As such, in addition to, and in conjunction with, requiring the EDUs to implement contract portability and seamless move, the Commission should eliminate the requirement that all new</w:t>
      </w:r>
      <w:r w:rsidR="004478C4">
        <w:rPr>
          <w:rStyle w:val="apple-converted-space"/>
          <w:rFonts w:ascii="Arial" w:hAnsi="Arial" w:cs="Arial"/>
          <w:color w:val="000000"/>
          <w:sz w:val="24"/>
          <w:szCs w:val="24"/>
          <w:shd w:val="clear" w:color="auto" w:fill="FFFFFF"/>
        </w:rPr>
        <w:t>ly</w:t>
      </w:r>
      <w:r w:rsidR="002A7B17">
        <w:rPr>
          <w:rStyle w:val="apple-converted-space"/>
          <w:rFonts w:ascii="Arial" w:hAnsi="Arial" w:cs="Arial"/>
          <w:color w:val="000000"/>
          <w:sz w:val="24"/>
          <w:szCs w:val="24"/>
          <w:shd w:val="clear" w:color="auto" w:fill="FFFFFF"/>
        </w:rPr>
        <w:t xml:space="preserve"> enrolled customers must remain on SSO service before enrolling in a non-SSO product.</w:t>
      </w:r>
    </w:p>
    <w:p w:rsidR="002A7B17" w:rsidRPr="002A7B17" w:rsidRDefault="005C37D7" w:rsidP="002A7B17">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 xml:space="preserve"> If the EDU P</w:t>
      </w:r>
      <w:r w:rsidR="002A7B17" w:rsidRPr="002A7B17">
        <w:rPr>
          <w:rFonts w:ascii="Arial" w:hAnsi="Arial" w:cs="Arial"/>
          <w:b/>
          <w:sz w:val="24"/>
          <w:szCs w:val="24"/>
        </w:rPr>
        <w:t>rice</w:t>
      </w:r>
      <w:r>
        <w:rPr>
          <w:rFonts w:ascii="Arial" w:hAnsi="Arial" w:cs="Arial"/>
          <w:b/>
          <w:sz w:val="24"/>
          <w:szCs w:val="24"/>
        </w:rPr>
        <w:t xml:space="preserve"> to Compare is Required to be D</w:t>
      </w:r>
      <w:r w:rsidR="002A7B17" w:rsidRPr="002A7B17">
        <w:rPr>
          <w:rFonts w:ascii="Arial" w:hAnsi="Arial" w:cs="Arial"/>
          <w:b/>
          <w:sz w:val="24"/>
          <w:szCs w:val="24"/>
        </w:rPr>
        <w:t xml:space="preserve">isclosed on the </w:t>
      </w:r>
      <w:r>
        <w:rPr>
          <w:rFonts w:ascii="Arial" w:hAnsi="Arial" w:cs="Arial"/>
          <w:b/>
          <w:sz w:val="24"/>
          <w:szCs w:val="24"/>
        </w:rPr>
        <w:t>Bill for Shopping C</w:t>
      </w:r>
      <w:r w:rsidR="004C4AFE">
        <w:rPr>
          <w:rFonts w:ascii="Arial" w:hAnsi="Arial" w:cs="Arial"/>
          <w:b/>
          <w:sz w:val="24"/>
          <w:szCs w:val="24"/>
        </w:rPr>
        <w:t>ustomers, the</w:t>
      </w:r>
      <w:r>
        <w:rPr>
          <w:rFonts w:ascii="Arial" w:hAnsi="Arial" w:cs="Arial"/>
          <w:b/>
          <w:sz w:val="24"/>
          <w:szCs w:val="24"/>
        </w:rPr>
        <w:t>n a Similar Disclosure Should be Made on the Bill for SSO Customers that Indicates the Savings Customers Could Have Achieved Had They S</w:t>
      </w:r>
      <w:r w:rsidR="005D04D6">
        <w:rPr>
          <w:rFonts w:ascii="Arial" w:hAnsi="Arial" w:cs="Arial"/>
          <w:b/>
          <w:sz w:val="24"/>
          <w:szCs w:val="24"/>
        </w:rPr>
        <w:t>witched to a CRES P</w:t>
      </w:r>
      <w:r w:rsidR="002A7B17" w:rsidRPr="002A7B17">
        <w:rPr>
          <w:rFonts w:ascii="Arial" w:hAnsi="Arial" w:cs="Arial"/>
          <w:b/>
          <w:sz w:val="24"/>
          <w:szCs w:val="24"/>
        </w:rPr>
        <w:t>rovider.</w:t>
      </w:r>
    </w:p>
    <w:p w:rsidR="00752AEB" w:rsidRDefault="00C411D7" w:rsidP="00752AEB">
      <w:pPr>
        <w:spacing w:line="480" w:lineRule="auto"/>
        <w:ind w:firstLine="720"/>
        <w:jc w:val="both"/>
        <w:rPr>
          <w:rFonts w:ascii="Arial" w:hAnsi="Arial" w:cs="Arial"/>
          <w:sz w:val="24"/>
          <w:szCs w:val="24"/>
        </w:rPr>
      </w:pPr>
      <w:r>
        <w:rPr>
          <w:rFonts w:ascii="Arial" w:hAnsi="Arial" w:cs="Arial"/>
          <w:sz w:val="24"/>
          <w:szCs w:val="24"/>
        </w:rPr>
        <w:t xml:space="preserve">The Staff Report recommends that </w:t>
      </w:r>
      <w:r w:rsidR="00787BE5">
        <w:rPr>
          <w:rFonts w:ascii="Arial" w:hAnsi="Arial" w:cs="Arial"/>
          <w:sz w:val="24"/>
          <w:szCs w:val="24"/>
        </w:rPr>
        <w:t xml:space="preserve">the price to compare should be placed on the customer’s bill and remain </w:t>
      </w:r>
      <w:r w:rsidR="00D1591E">
        <w:rPr>
          <w:rFonts w:ascii="Arial" w:hAnsi="Arial" w:cs="Arial"/>
          <w:sz w:val="24"/>
          <w:szCs w:val="24"/>
        </w:rPr>
        <w:t>“</w:t>
      </w:r>
      <w:r w:rsidR="00787BE5">
        <w:rPr>
          <w:rFonts w:ascii="Arial" w:hAnsi="Arial" w:cs="Arial"/>
          <w:sz w:val="24"/>
          <w:szCs w:val="24"/>
        </w:rPr>
        <w:t xml:space="preserve">the customer’s utility rate, </w:t>
      </w:r>
      <w:r w:rsidR="00787BE5" w:rsidRPr="00787BE5">
        <w:rPr>
          <w:rFonts w:ascii="Arial" w:hAnsi="Arial" w:cs="Arial"/>
          <w:i/>
          <w:sz w:val="24"/>
          <w:szCs w:val="24"/>
        </w:rPr>
        <w:t>even if the customer is shopping</w:t>
      </w:r>
      <w:r w:rsidR="00787BE5">
        <w:rPr>
          <w:rStyle w:val="FootnoteReference"/>
          <w:rFonts w:ascii="Arial" w:hAnsi="Arial" w:cs="Arial"/>
          <w:sz w:val="24"/>
          <w:szCs w:val="24"/>
        </w:rPr>
        <w:footnoteReference w:id="11"/>
      </w:r>
      <w:r w:rsidR="00787BE5">
        <w:rPr>
          <w:rFonts w:ascii="Arial" w:hAnsi="Arial" w:cs="Arial"/>
          <w:sz w:val="24"/>
          <w:szCs w:val="24"/>
        </w:rPr>
        <w:t xml:space="preserve"> (emphasis added). </w:t>
      </w:r>
      <w:r w:rsidR="0095028E">
        <w:rPr>
          <w:rFonts w:ascii="Arial" w:hAnsi="Arial" w:cs="Arial"/>
          <w:sz w:val="24"/>
          <w:szCs w:val="24"/>
        </w:rPr>
        <w:t xml:space="preserve"> T</w:t>
      </w:r>
      <w:r w:rsidR="00787BE5">
        <w:rPr>
          <w:rFonts w:ascii="Arial" w:hAnsi="Arial" w:cs="Arial"/>
          <w:sz w:val="24"/>
          <w:szCs w:val="24"/>
        </w:rPr>
        <w:t>he SSO</w:t>
      </w:r>
      <w:r w:rsidR="0095028E">
        <w:rPr>
          <w:rFonts w:ascii="Arial" w:hAnsi="Arial" w:cs="Arial"/>
          <w:sz w:val="24"/>
          <w:szCs w:val="24"/>
        </w:rPr>
        <w:t xml:space="preserve"> product is a product that competes </w:t>
      </w:r>
      <w:r w:rsidR="00C70E22">
        <w:rPr>
          <w:rFonts w:ascii="Arial" w:hAnsi="Arial" w:cs="Arial"/>
          <w:sz w:val="24"/>
          <w:szCs w:val="24"/>
        </w:rPr>
        <w:t xml:space="preserve">against all other products in the market place.  </w:t>
      </w:r>
      <w:r w:rsidR="005D2BB9">
        <w:rPr>
          <w:rFonts w:ascii="Arial" w:hAnsi="Arial" w:cs="Arial"/>
          <w:sz w:val="24"/>
          <w:szCs w:val="24"/>
        </w:rPr>
        <w:t>Requiring</w:t>
      </w:r>
      <w:r w:rsidR="00C70E22">
        <w:rPr>
          <w:rFonts w:ascii="Arial" w:hAnsi="Arial" w:cs="Arial"/>
          <w:sz w:val="24"/>
          <w:szCs w:val="24"/>
        </w:rPr>
        <w:t xml:space="preserve"> </w:t>
      </w:r>
      <w:r w:rsidR="005D2BB9">
        <w:rPr>
          <w:rFonts w:ascii="Arial" w:hAnsi="Arial" w:cs="Arial"/>
          <w:sz w:val="24"/>
          <w:szCs w:val="24"/>
        </w:rPr>
        <w:t>CRES customers</w:t>
      </w:r>
      <w:r w:rsidR="0059265C">
        <w:rPr>
          <w:rFonts w:ascii="Arial" w:hAnsi="Arial" w:cs="Arial"/>
          <w:sz w:val="24"/>
          <w:szCs w:val="24"/>
        </w:rPr>
        <w:t>’</w:t>
      </w:r>
      <w:r w:rsidR="005D2BB9">
        <w:rPr>
          <w:rFonts w:ascii="Arial" w:hAnsi="Arial" w:cs="Arial"/>
          <w:sz w:val="24"/>
          <w:szCs w:val="24"/>
        </w:rPr>
        <w:t xml:space="preserve"> bills to include an SSO price comparison</w:t>
      </w:r>
      <w:r w:rsidR="00C70E22">
        <w:rPr>
          <w:rFonts w:ascii="Arial" w:hAnsi="Arial" w:cs="Arial"/>
          <w:sz w:val="24"/>
          <w:szCs w:val="24"/>
        </w:rPr>
        <w:t>, with no other comparable requirement for the SSO product</w:t>
      </w:r>
      <w:r w:rsidR="00AD47AB">
        <w:rPr>
          <w:rFonts w:ascii="Arial" w:hAnsi="Arial" w:cs="Arial"/>
          <w:sz w:val="24"/>
          <w:szCs w:val="24"/>
        </w:rPr>
        <w:t>,</w:t>
      </w:r>
      <w:r w:rsidR="009306CA">
        <w:rPr>
          <w:rFonts w:ascii="Arial" w:hAnsi="Arial" w:cs="Arial"/>
          <w:sz w:val="24"/>
          <w:szCs w:val="24"/>
        </w:rPr>
        <w:t xml:space="preserve"> is another</w:t>
      </w:r>
      <w:r w:rsidR="000F4903">
        <w:rPr>
          <w:rFonts w:ascii="Arial" w:hAnsi="Arial" w:cs="Arial"/>
          <w:sz w:val="24"/>
          <w:szCs w:val="24"/>
        </w:rPr>
        <w:t xml:space="preserve"> ex</w:t>
      </w:r>
      <w:r w:rsidR="005D04D6">
        <w:rPr>
          <w:rFonts w:ascii="Arial" w:hAnsi="Arial" w:cs="Arial"/>
          <w:sz w:val="24"/>
          <w:szCs w:val="24"/>
        </w:rPr>
        <w:t>ample of regulatory bias in favor of the</w:t>
      </w:r>
      <w:r w:rsidR="00C70E22">
        <w:rPr>
          <w:rFonts w:ascii="Arial" w:hAnsi="Arial" w:cs="Arial"/>
          <w:sz w:val="24"/>
          <w:szCs w:val="24"/>
        </w:rPr>
        <w:t xml:space="preserve"> </w:t>
      </w:r>
      <w:r w:rsidR="005D2BB9">
        <w:rPr>
          <w:rFonts w:ascii="Arial" w:hAnsi="Arial" w:cs="Arial"/>
          <w:sz w:val="24"/>
          <w:szCs w:val="24"/>
        </w:rPr>
        <w:t>S</w:t>
      </w:r>
      <w:r w:rsidR="000F4903">
        <w:rPr>
          <w:rFonts w:ascii="Arial" w:hAnsi="Arial" w:cs="Arial"/>
          <w:sz w:val="24"/>
          <w:szCs w:val="24"/>
        </w:rPr>
        <w:t>SO product</w:t>
      </w:r>
      <w:r w:rsidR="005D2BB9">
        <w:rPr>
          <w:rFonts w:ascii="Arial" w:hAnsi="Arial" w:cs="Arial"/>
          <w:sz w:val="24"/>
          <w:szCs w:val="24"/>
        </w:rPr>
        <w:t xml:space="preserve"> in Ohio’s</w:t>
      </w:r>
      <w:r w:rsidR="00C70E22">
        <w:rPr>
          <w:rFonts w:ascii="Arial" w:hAnsi="Arial" w:cs="Arial"/>
          <w:sz w:val="24"/>
          <w:szCs w:val="24"/>
        </w:rPr>
        <w:t xml:space="preserve"> retail electric markets. </w:t>
      </w:r>
      <w:r w:rsidR="005D2BB9">
        <w:rPr>
          <w:rFonts w:ascii="Arial" w:hAnsi="Arial" w:cs="Arial"/>
          <w:sz w:val="24"/>
          <w:szCs w:val="24"/>
        </w:rPr>
        <w:t xml:space="preserve"> </w:t>
      </w:r>
    </w:p>
    <w:p w:rsidR="005D2BB9" w:rsidRDefault="005D2BB9" w:rsidP="00752AEB">
      <w:pPr>
        <w:spacing w:line="480" w:lineRule="auto"/>
        <w:ind w:firstLine="720"/>
        <w:jc w:val="both"/>
        <w:rPr>
          <w:rFonts w:ascii="Arial" w:hAnsi="Arial" w:cs="Arial"/>
          <w:sz w:val="24"/>
          <w:szCs w:val="24"/>
        </w:rPr>
      </w:pPr>
      <w:r>
        <w:rPr>
          <w:rFonts w:ascii="Arial" w:hAnsi="Arial" w:cs="Arial"/>
          <w:sz w:val="24"/>
          <w:szCs w:val="24"/>
        </w:rPr>
        <w:lastRenderedPageBreak/>
        <w:t>The simplest means to remedy this inequity is to eliminate price comparisons on customers’</w:t>
      </w:r>
      <w:r w:rsidR="00752AEB">
        <w:rPr>
          <w:rFonts w:ascii="Arial" w:hAnsi="Arial" w:cs="Arial"/>
          <w:sz w:val="24"/>
          <w:szCs w:val="24"/>
        </w:rPr>
        <w:t xml:space="preserve"> bills.  Price comparisons</w:t>
      </w:r>
      <w:r w:rsidR="00B47FB6">
        <w:rPr>
          <w:rFonts w:ascii="Arial" w:hAnsi="Arial" w:cs="Arial"/>
          <w:sz w:val="24"/>
          <w:szCs w:val="24"/>
        </w:rPr>
        <w:t xml:space="preserve"> on the bill</w:t>
      </w:r>
      <w:r w:rsidR="00752AEB">
        <w:rPr>
          <w:rFonts w:ascii="Arial" w:hAnsi="Arial" w:cs="Arial"/>
          <w:sz w:val="24"/>
          <w:szCs w:val="24"/>
        </w:rPr>
        <w:t xml:space="preserve"> are often </w:t>
      </w:r>
      <w:r>
        <w:rPr>
          <w:rFonts w:ascii="Arial" w:hAnsi="Arial" w:cs="Arial"/>
          <w:sz w:val="24"/>
          <w:szCs w:val="24"/>
        </w:rPr>
        <w:t xml:space="preserve">misleading </w:t>
      </w:r>
      <w:r w:rsidR="00752AEB">
        <w:rPr>
          <w:rFonts w:ascii="Arial" w:hAnsi="Arial" w:cs="Arial"/>
          <w:sz w:val="24"/>
          <w:szCs w:val="24"/>
        </w:rPr>
        <w:t>and confusing to customers as they do</w:t>
      </w:r>
      <w:r>
        <w:rPr>
          <w:rFonts w:ascii="Arial" w:hAnsi="Arial" w:cs="Arial"/>
          <w:sz w:val="24"/>
          <w:szCs w:val="24"/>
        </w:rPr>
        <w:t xml:space="preserve"> not take into consideration, product differences (e.g. fixed rate, variable rates, renewable products, bundled products, etc.) or past</w:t>
      </w:r>
      <w:r w:rsidR="000F4903">
        <w:rPr>
          <w:rFonts w:ascii="Arial" w:hAnsi="Arial" w:cs="Arial"/>
          <w:sz w:val="24"/>
          <w:szCs w:val="24"/>
        </w:rPr>
        <w:t xml:space="preserve"> or future price</w:t>
      </w:r>
      <w:r w:rsidR="00752AEB">
        <w:rPr>
          <w:rFonts w:ascii="Arial" w:hAnsi="Arial" w:cs="Arial"/>
          <w:sz w:val="24"/>
          <w:szCs w:val="24"/>
        </w:rPr>
        <w:t>s</w:t>
      </w:r>
      <w:r w:rsidR="000F4903">
        <w:rPr>
          <w:rFonts w:ascii="Arial" w:hAnsi="Arial" w:cs="Arial"/>
          <w:sz w:val="24"/>
          <w:szCs w:val="24"/>
        </w:rPr>
        <w:t xml:space="preserve">. </w:t>
      </w:r>
      <w:r w:rsidR="00752AEB">
        <w:rPr>
          <w:rFonts w:ascii="Arial" w:hAnsi="Arial" w:cs="Arial"/>
          <w:sz w:val="24"/>
          <w:szCs w:val="24"/>
        </w:rPr>
        <w:t>Further,</w:t>
      </w:r>
      <w:r w:rsidR="000F4903">
        <w:rPr>
          <w:rFonts w:ascii="Arial" w:hAnsi="Arial" w:cs="Arial"/>
          <w:sz w:val="24"/>
          <w:szCs w:val="24"/>
        </w:rPr>
        <w:t xml:space="preserve"> </w:t>
      </w:r>
      <w:r w:rsidR="00752AEB">
        <w:rPr>
          <w:rFonts w:ascii="Arial" w:hAnsi="Arial" w:cs="Arial"/>
          <w:sz w:val="24"/>
          <w:szCs w:val="24"/>
        </w:rPr>
        <w:t>a</w:t>
      </w:r>
      <w:r>
        <w:rPr>
          <w:rFonts w:ascii="Arial" w:hAnsi="Arial" w:cs="Arial"/>
          <w:sz w:val="24"/>
          <w:szCs w:val="24"/>
        </w:rPr>
        <w:t>s CRES</w:t>
      </w:r>
      <w:r w:rsidR="000F4903">
        <w:rPr>
          <w:rFonts w:ascii="Arial" w:hAnsi="Arial" w:cs="Arial"/>
          <w:sz w:val="24"/>
          <w:szCs w:val="24"/>
        </w:rPr>
        <w:t xml:space="preserve"> product offerings become more diverse, and pricing becomes more dynamic, the SSO price comparison will become even less relevant</w:t>
      </w:r>
      <w:r w:rsidR="00752AEB">
        <w:rPr>
          <w:rFonts w:ascii="Arial" w:hAnsi="Arial" w:cs="Arial"/>
          <w:sz w:val="24"/>
          <w:szCs w:val="24"/>
        </w:rPr>
        <w:t xml:space="preserve"> and have greater potential to mislead</w:t>
      </w:r>
      <w:r w:rsidR="000F4903">
        <w:rPr>
          <w:rFonts w:ascii="Arial" w:hAnsi="Arial" w:cs="Arial"/>
          <w:sz w:val="24"/>
          <w:szCs w:val="24"/>
        </w:rPr>
        <w:t>.</w:t>
      </w:r>
    </w:p>
    <w:p w:rsidR="00B238F3" w:rsidRDefault="00B238F3" w:rsidP="005D2BB9">
      <w:pPr>
        <w:spacing w:line="480" w:lineRule="auto"/>
        <w:ind w:firstLine="720"/>
        <w:jc w:val="both"/>
        <w:rPr>
          <w:rFonts w:ascii="Arial" w:hAnsi="Arial" w:cs="Arial"/>
          <w:sz w:val="24"/>
          <w:szCs w:val="24"/>
        </w:rPr>
      </w:pPr>
      <w:r>
        <w:rPr>
          <w:rFonts w:ascii="Arial" w:hAnsi="Arial" w:cs="Arial"/>
          <w:sz w:val="24"/>
          <w:szCs w:val="24"/>
        </w:rPr>
        <w:t>IGS is</w:t>
      </w:r>
      <w:r w:rsidR="00752AEB">
        <w:rPr>
          <w:rFonts w:ascii="Arial" w:hAnsi="Arial" w:cs="Arial"/>
          <w:sz w:val="24"/>
          <w:szCs w:val="24"/>
        </w:rPr>
        <w:t xml:space="preserve"> also</w:t>
      </w:r>
      <w:r>
        <w:rPr>
          <w:rFonts w:ascii="Arial" w:hAnsi="Arial" w:cs="Arial"/>
          <w:sz w:val="24"/>
          <w:szCs w:val="24"/>
        </w:rPr>
        <w:t xml:space="preserve"> not aware of any other market for products and services where one product must place the prices of competing products on the bill, while </w:t>
      </w:r>
      <w:r w:rsidR="00752AEB">
        <w:rPr>
          <w:rFonts w:ascii="Arial" w:hAnsi="Arial" w:cs="Arial"/>
          <w:sz w:val="24"/>
          <w:szCs w:val="24"/>
        </w:rPr>
        <w:t>other</w:t>
      </w:r>
      <w:r>
        <w:rPr>
          <w:rFonts w:ascii="Arial" w:hAnsi="Arial" w:cs="Arial"/>
          <w:sz w:val="24"/>
          <w:szCs w:val="24"/>
        </w:rPr>
        <w:t xml:space="preserve"> competing products </w:t>
      </w:r>
      <w:r w:rsidR="00752AEB">
        <w:rPr>
          <w:rFonts w:ascii="Arial" w:hAnsi="Arial" w:cs="Arial"/>
          <w:sz w:val="24"/>
          <w:szCs w:val="24"/>
        </w:rPr>
        <w:t>are exempt from the</w:t>
      </w:r>
      <w:r>
        <w:rPr>
          <w:rFonts w:ascii="Arial" w:hAnsi="Arial" w:cs="Arial"/>
          <w:sz w:val="24"/>
          <w:szCs w:val="24"/>
        </w:rPr>
        <w:t xml:space="preserve"> same requirement.</w:t>
      </w:r>
      <w:r w:rsidR="004478C4">
        <w:rPr>
          <w:rFonts w:ascii="Arial" w:hAnsi="Arial" w:cs="Arial"/>
          <w:sz w:val="24"/>
          <w:szCs w:val="24"/>
        </w:rPr>
        <w:t xml:space="preserve"> </w:t>
      </w:r>
      <w:r w:rsidR="00B47FB6" w:rsidRPr="00B47FB6">
        <w:rPr>
          <w:rFonts w:ascii="Arial" w:hAnsi="Arial" w:cs="Arial"/>
          <w:sz w:val="24"/>
          <w:szCs w:val="24"/>
        </w:rPr>
        <w:t xml:space="preserve">To illustrate the absurdity of this concept, imagine a scenario where one set of car insurance companies had to list the rates of their competitors on their bills, but another set of car insurance companies did not.  Clearly this would create anti-competitive bias towards the companies that did not have price comparisons on their bill, and this is why no industry would adopt such a policy.  </w:t>
      </w:r>
      <w:r w:rsidR="00AD47AB">
        <w:rPr>
          <w:rFonts w:ascii="Arial" w:hAnsi="Arial" w:cs="Arial"/>
          <w:sz w:val="24"/>
          <w:szCs w:val="24"/>
        </w:rPr>
        <w:t>I</w:t>
      </w:r>
      <w:r>
        <w:rPr>
          <w:rFonts w:ascii="Arial" w:hAnsi="Arial" w:cs="Arial"/>
          <w:sz w:val="24"/>
          <w:szCs w:val="24"/>
        </w:rPr>
        <w:t>n</w:t>
      </w:r>
      <w:r w:rsidR="00AD47AB">
        <w:rPr>
          <w:rFonts w:ascii="Arial" w:hAnsi="Arial" w:cs="Arial"/>
          <w:sz w:val="24"/>
          <w:szCs w:val="24"/>
        </w:rPr>
        <w:t>-fact in the competitive</w:t>
      </w:r>
      <w:r>
        <w:rPr>
          <w:rFonts w:ascii="Arial" w:hAnsi="Arial" w:cs="Arial"/>
          <w:sz w:val="24"/>
          <w:szCs w:val="24"/>
        </w:rPr>
        <w:t xml:space="preserve"> natural gas market</w:t>
      </w:r>
      <w:r w:rsidR="00AD47AB">
        <w:rPr>
          <w:rFonts w:ascii="Arial" w:hAnsi="Arial" w:cs="Arial"/>
          <w:sz w:val="24"/>
          <w:szCs w:val="24"/>
        </w:rPr>
        <w:t>s</w:t>
      </w:r>
      <w:r>
        <w:rPr>
          <w:rFonts w:ascii="Arial" w:hAnsi="Arial" w:cs="Arial"/>
          <w:sz w:val="24"/>
          <w:szCs w:val="24"/>
        </w:rPr>
        <w:t xml:space="preserve"> in Ohio, the price to comp</w:t>
      </w:r>
      <w:r w:rsidR="00AD47AB">
        <w:rPr>
          <w:rFonts w:ascii="Arial" w:hAnsi="Arial" w:cs="Arial"/>
          <w:sz w:val="24"/>
          <w:szCs w:val="24"/>
        </w:rPr>
        <w:t>are is not listed</w:t>
      </w:r>
      <w:r>
        <w:rPr>
          <w:rFonts w:ascii="Arial" w:hAnsi="Arial" w:cs="Arial"/>
          <w:sz w:val="24"/>
          <w:szCs w:val="24"/>
        </w:rPr>
        <w:t xml:space="preserve"> on shopping customers’ bills</w:t>
      </w:r>
      <w:r w:rsidR="00AD47AB">
        <w:rPr>
          <w:rFonts w:ascii="Arial" w:hAnsi="Arial" w:cs="Arial"/>
          <w:sz w:val="24"/>
          <w:szCs w:val="24"/>
        </w:rPr>
        <w:t>.</w:t>
      </w:r>
      <w:r>
        <w:rPr>
          <w:rFonts w:ascii="Arial" w:hAnsi="Arial" w:cs="Arial"/>
          <w:sz w:val="24"/>
          <w:szCs w:val="24"/>
        </w:rPr>
        <w:t xml:space="preserve"> </w:t>
      </w:r>
    </w:p>
    <w:p w:rsidR="00752AEB" w:rsidRDefault="000F4903" w:rsidP="00752AEB">
      <w:pPr>
        <w:spacing w:line="480" w:lineRule="auto"/>
        <w:ind w:firstLine="720"/>
        <w:jc w:val="both"/>
        <w:rPr>
          <w:rFonts w:ascii="Arial" w:hAnsi="Arial" w:cs="Arial"/>
          <w:sz w:val="24"/>
          <w:szCs w:val="24"/>
        </w:rPr>
      </w:pPr>
      <w:r>
        <w:rPr>
          <w:rFonts w:ascii="Arial" w:hAnsi="Arial" w:cs="Arial"/>
          <w:sz w:val="24"/>
          <w:szCs w:val="24"/>
        </w:rPr>
        <w:t>However, i</w:t>
      </w:r>
      <w:r w:rsidR="005D2BB9">
        <w:rPr>
          <w:rFonts w:ascii="Arial" w:hAnsi="Arial" w:cs="Arial"/>
          <w:sz w:val="24"/>
          <w:szCs w:val="24"/>
        </w:rPr>
        <w:t xml:space="preserve">f </w:t>
      </w:r>
      <w:r w:rsidR="005D04D6">
        <w:rPr>
          <w:rFonts w:ascii="Arial" w:hAnsi="Arial" w:cs="Arial"/>
          <w:sz w:val="24"/>
          <w:szCs w:val="24"/>
        </w:rPr>
        <w:t>there is a policy to include</w:t>
      </w:r>
      <w:r w:rsidR="005D2BB9">
        <w:rPr>
          <w:rFonts w:ascii="Arial" w:hAnsi="Arial" w:cs="Arial"/>
          <w:sz w:val="24"/>
          <w:szCs w:val="24"/>
        </w:rPr>
        <w:t xml:space="preserve"> price comparisons on customers</w:t>
      </w:r>
      <w:r w:rsidR="0059265C">
        <w:rPr>
          <w:rFonts w:ascii="Arial" w:hAnsi="Arial" w:cs="Arial"/>
          <w:sz w:val="24"/>
          <w:szCs w:val="24"/>
        </w:rPr>
        <w:t>’</w:t>
      </w:r>
      <w:r w:rsidR="005D2BB9">
        <w:rPr>
          <w:rFonts w:ascii="Arial" w:hAnsi="Arial" w:cs="Arial"/>
          <w:sz w:val="24"/>
          <w:szCs w:val="24"/>
        </w:rPr>
        <w:t xml:space="preserve"> bills, all products should be treated equally.</w:t>
      </w:r>
      <w:r>
        <w:rPr>
          <w:rFonts w:ascii="Arial" w:hAnsi="Arial" w:cs="Arial"/>
          <w:sz w:val="24"/>
          <w:szCs w:val="24"/>
        </w:rPr>
        <w:t xml:space="preserve">  </w:t>
      </w:r>
      <w:r w:rsidR="00752AEB">
        <w:rPr>
          <w:rFonts w:ascii="Arial" w:hAnsi="Arial" w:cs="Arial"/>
          <w:sz w:val="24"/>
          <w:szCs w:val="24"/>
        </w:rPr>
        <w:t>At a minimum, there should be a comparable metric placed on SSO customers</w:t>
      </w:r>
      <w:r w:rsidR="0059265C">
        <w:rPr>
          <w:rFonts w:ascii="Arial" w:hAnsi="Arial" w:cs="Arial"/>
          <w:sz w:val="24"/>
          <w:szCs w:val="24"/>
        </w:rPr>
        <w:t>’</w:t>
      </w:r>
      <w:r w:rsidR="00752AEB">
        <w:rPr>
          <w:rFonts w:ascii="Arial" w:hAnsi="Arial" w:cs="Arial"/>
          <w:sz w:val="24"/>
          <w:szCs w:val="24"/>
        </w:rPr>
        <w:t xml:space="preserve"> bills indicating when SSO customers could be receiving a lower price if they switch to a CRES product.</w:t>
      </w:r>
      <w:r>
        <w:rPr>
          <w:rFonts w:ascii="Arial" w:hAnsi="Arial" w:cs="Arial"/>
          <w:sz w:val="24"/>
          <w:szCs w:val="24"/>
        </w:rPr>
        <w:t xml:space="preserve"> Over the past several years SSO customers have missed out on the opportunity to save a significant amount of money on their electric bills by failing to switch to a CRES product with a lower price.  This is</w:t>
      </w:r>
      <w:r w:rsidR="00752AEB">
        <w:rPr>
          <w:rFonts w:ascii="Arial" w:hAnsi="Arial" w:cs="Arial"/>
          <w:sz w:val="24"/>
          <w:szCs w:val="24"/>
        </w:rPr>
        <w:t xml:space="preserve"> in part</w:t>
      </w:r>
      <w:r>
        <w:rPr>
          <w:rFonts w:ascii="Arial" w:hAnsi="Arial" w:cs="Arial"/>
          <w:sz w:val="24"/>
          <w:szCs w:val="24"/>
        </w:rPr>
        <w:t xml:space="preserve"> because ther</w:t>
      </w:r>
      <w:r w:rsidR="005D04D6">
        <w:rPr>
          <w:rFonts w:ascii="Arial" w:hAnsi="Arial" w:cs="Arial"/>
          <w:sz w:val="24"/>
          <w:szCs w:val="24"/>
        </w:rPr>
        <w:t>e has been a strong bias in favor of</w:t>
      </w:r>
      <w:r>
        <w:rPr>
          <w:rFonts w:ascii="Arial" w:hAnsi="Arial" w:cs="Arial"/>
          <w:sz w:val="24"/>
          <w:szCs w:val="24"/>
        </w:rPr>
        <w:t xml:space="preserve"> the SSO product by </w:t>
      </w:r>
      <w:r>
        <w:rPr>
          <w:rFonts w:ascii="Arial" w:hAnsi="Arial" w:cs="Arial"/>
          <w:sz w:val="24"/>
          <w:szCs w:val="24"/>
        </w:rPr>
        <w:lastRenderedPageBreak/>
        <w:t>regulators and consumer advocates, even when it is clear switching from the SSO can benefit customers.</w:t>
      </w:r>
    </w:p>
    <w:p w:rsidR="00C70E22" w:rsidRDefault="00752AEB" w:rsidP="00752AEB">
      <w:pPr>
        <w:spacing w:line="480" w:lineRule="auto"/>
        <w:ind w:firstLine="720"/>
        <w:jc w:val="both"/>
        <w:rPr>
          <w:rFonts w:ascii="Arial" w:hAnsi="Arial" w:cs="Arial"/>
          <w:sz w:val="24"/>
          <w:szCs w:val="24"/>
        </w:rPr>
      </w:pPr>
      <w:r>
        <w:rPr>
          <w:rFonts w:ascii="Arial" w:hAnsi="Arial" w:cs="Arial"/>
          <w:sz w:val="24"/>
          <w:szCs w:val="24"/>
        </w:rPr>
        <w:t xml:space="preserve">IGS recommends that </w:t>
      </w:r>
      <w:r w:rsidRPr="00752AEB">
        <w:rPr>
          <w:rFonts w:ascii="Arial" w:hAnsi="Arial" w:cs="Arial"/>
          <w:i/>
          <w:sz w:val="24"/>
          <w:szCs w:val="24"/>
        </w:rPr>
        <w:t>if</w:t>
      </w:r>
      <w:r w:rsidR="000F4903" w:rsidRPr="00752AEB">
        <w:rPr>
          <w:rFonts w:ascii="Arial" w:hAnsi="Arial" w:cs="Arial"/>
          <w:i/>
          <w:sz w:val="24"/>
          <w:szCs w:val="24"/>
        </w:rPr>
        <w:t xml:space="preserve"> </w:t>
      </w:r>
      <w:r>
        <w:rPr>
          <w:rFonts w:ascii="Arial" w:hAnsi="Arial" w:cs="Arial"/>
          <w:sz w:val="24"/>
          <w:szCs w:val="24"/>
        </w:rPr>
        <w:t>the Commission is going to maintain t</w:t>
      </w:r>
      <w:r w:rsidR="00AD47AB">
        <w:rPr>
          <w:rFonts w:ascii="Arial" w:hAnsi="Arial" w:cs="Arial"/>
          <w:sz w:val="24"/>
          <w:szCs w:val="24"/>
        </w:rPr>
        <w:t>he policy of</w:t>
      </w:r>
      <w:r>
        <w:rPr>
          <w:rFonts w:ascii="Arial" w:hAnsi="Arial" w:cs="Arial"/>
          <w:sz w:val="24"/>
          <w:szCs w:val="24"/>
        </w:rPr>
        <w:t xml:space="preserve"> </w:t>
      </w:r>
      <w:r w:rsidR="00AD47AB">
        <w:rPr>
          <w:rFonts w:ascii="Arial" w:hAnsi="Arial" w:cs="Arial"/>
          <w:sz w:val="24"/>
          <w:szCs w:val="24"/>
        </w:rPr>
        <w:t>listing the SSO price</w:t>
      </w:r>
      <w:r>
        <w:rPr>
          <w:rFonts w:ascii="Arial" w:hAnsi="Arial" w:cs="Arial"/>
          <w:sz w:val="24"/>
          <w:szCs w:val="24"/>
        </w:rPr>
        <w:t xml:space="preserve"> on shopping customers’ bills, t</w:t>
      </w:r>
      <w:r w:rsidR="004C4AFE">
        <w:rPr>
          <w:rFonts w:ascii="Arial" w:hAnsi="Arial" w:cs="Arial"/>
          <w:sz w:val="24"/>
          <w:szCs w:val="24"/>
        </w:rPr>
        <w:t>he</w:t>
      </w:r>
      <w:r w:rsidR="00B47FB6">
        <w:rPr>
          <w:rFonts w:ascii="Arial" w:hAnsi="Arial" w:cs="Arial"/>
          <w:sz w:val="24"/>
          <w:szCs w:val="24"/>
        </w:rPr>
        <w:t>n the following statement should</w:t>
      </w:r>
      <w:r>
        <w:rPr>
          <w:rFonts w:ascii="Arial" w:hAnsi="Arial" w:cs="Arial"/>
          <w:sz w:val="24"/>
          <w:szCs w:val="24"/>
        </w:rPr>
        <w:t xml:space="preserve"> also be placed on SSO customers’ bills:</w:t>
      </w:r>
    </w:p>
    <w:p w:rsidR="00752AEB" w:rsidRDefault="00752AEB" w:rsidP="00AD47AB">
      <w:pPr>
        <w:spacing w:line="240" w:lineRule="auto"/>
        <w:ind w:left="720" w:right="720"/>
        <w:jc w:val="both"/>
        <w:rPr>
          <w:rFonts w:ascii="Arial" w:hAnsi="Arial" w:cs="Arial"/>
          <w:sz w:val="24"/>
          <w:szCs w:val="24"/>
        </w:rPr>
      </w:pPr>
      <w:r>
        <w:rPr>
          <w:rFonts w:ascii="Arial" w:hAnsi="Arial" w:cs="Arial"/>
          <w:sz w:val="24"/>
          <w:szCs w:val="24"/>
        </w:rPr>
        <w:t>In Ohio you have an opportunity to choose your electric generation supplier.  Currently there are (</w:t>
      </w:r>
      <w:r w:rsidR="00AD47AB">
        <w:rPr>
          <w:rFonts w:ascii="Arial" w:hAnsi="Arial" w:cs="Arial"/>
          <w:sz w:val="24"/>
          <w:szCs w:val="24"/>
        </w:rPr>
        <w:t xml:space="preserve">insert number of suppliers) </w:t>
      </w:r>
      <w:r>
        <w:rPr>
          <w:rFonts w:ascii="Arial" w:hAnsi="Arial" w:cs="Arial"/>
          <w:sz w:val="24"/>
          <w:szCs w:val="24"/>
        </w:rPr>
        <w:t>suppliers</w:t>
      </w:r>
      <w:r w:rsidR="00AD47AB">
        <w:rPr>
          <w:rFonts w:ascii="Arial" w:hAnsi="Arial" w:cs="Arial"/>
          <w:sz w:val="24"/>
          <w:szCs w:val="24"/>
        </w:rPr>
        <w:t xml:space="preserve"> that are offering prices below the price you are currently paying.  To find out more about how you can enroll in these offers, please go to (insert link to PUCO Apples-to-Apples website).</w:t>
      </w:r>
    </w:p>
    <w:p w:rsidR="00AD47AB" w:rsidRDefault="00AD47AB" w:rsidP="00AD47AB">
      <w:pPr>
        <w:spacing w:line="240" w:lineRule="auto"/>
        <w:ind w:left="720" w:right="720"/>
        <w:jc w:val="both"/>
        <w:rPr>
          <w:rFonts w:ascii="Arial" w:hAnsi="Arial" w:cs="Arial"/>
          <w:sz w:val="24"/>
          <w:szCs w:val="24"/>
        </w:rPr>
      </w:pPr>
    </w:p>
    <w:p w:rsidR="00AD47AB" w:rsidRPr="00F604FF" w:rsidRDefault="00AD47AB" w:rsidP="00F604FF">
      <w:pPr>
        <w:pStyle w:val="ListParagraph"/>
        <w:numPr>
          <w:ilvl w:val="0"/>
          <w:numId w:val="2"/>
        </w:numPr>
        <w:spacing w:line="240" w:lineRule="auto"/>
        <w:jc w:val="both"/>
        <w:rPr>
          <w:rFonts w:ascii="Arial" w:hAnsi="Arial" w:cs="Arial"/>
          <w:b/>
          <w:sz w:val="24"/>
          <w:szCs w:val="24"/>
        </w:rPr>
      </w:pPr>
      <w:r>
        <w:rPr>
          <w:rFonts w:ascii="Arial" w:hAnsi="Arial" w:cs="Arial"/>
          <w:b/>
          <w:sz w:val="24"/>
          <w:szCs w:val="24"/>
        </w:rPr>
        <w:t>CRES S</w:t>
      </w:r>
      <w:r w:rsidRPr="0046230E">
        <w:rPr>
          <w:rFonts w:ascii="Arial" w:hAnsi="Arial" w:cs="Arial"/>
          <w:b/>
          <w:sz w:val="24"/>
          <w:szCs w:val="24"/>
        </w:rPr>
        <w:t>uppliers</w:t>
      </w:r>
      <w:r>
        <w:rPr>
          <w:rFonts w:ascii="Arial" w:hAnsi="Arial" w:cs="Arial"/>
          <w:b/>
          <w:sz w:val="24"/>
          <w:szCs w:val="24"/>
        </w:rPr>
        <w:t xml:space="preserve"> Should not be Required to Make Public Proprietary I</w:t>
      </w:r>
      <w:r w:rsidRPr="0046230E">
        <w:rPr>
          <w:rFonts w:ascii="Arial" w:hAnsi="Arial" w:cs="Arial"/>
          <w:b/>
          <w:sz w:val="24"/>
          <w:szCs w:val="24"/>
        </w:rPr>
        <w:t>nformation.</w:t>
      </w:r>
    </w:p>
    <w:p w:rsidR="005C7C9C" w:rsidRDefault="00B47FB6" w:rsidP="006A08A1">
      <w:pPr>
        <w:spacing w:line="480" w:lineRule="auto"/>
        <w:ind w:firstLine="720"/>
        <w:jc w:val="both"/>
        <w:rPr>
          <w:rFonts w:ascii="Arial" w:hAnsi="Arial" w:cs="Arial"/>
          <w:sz w:val="24"/>
          <w:szCs w:val="24"/>
        </w:rPr>
      </w:pPr>
      <w:r>
        <w:rPr>
          <w:rFonts w:ascii="Arial" w:hAnsi="Arial" w:cs="Arial"/>
          <w:sz w:val="24"/>
          <w:szCs w:val="24"/>
        </w:rPr>
        <w:t>The Staff Report recommends that</w:t>
      </w:r>
      <w:r w:rsidR="004C4AFE">
        <w:rPr>
          <w:rFonts w:ascii="Arial" w:hAnsi="Arial" w:cs="Arial"/>
          <w:sz w:val="24"/>
          <w:szCs w:val="24"/>
        </w:rPr>
        <w:t xml:space="preserve"> CRES provider</w:t>
      </w:r>
      <w:r>
        <w:rPr>
          <w:rFonts w:ascii="Arial" w:hAnsi="Arial" w:cs="Arial"/>
          <w:sz w:val="24"/>
          <w:szCs w:val="24"/>
        </w:rPr>
        <w:t xml:space="preserve"> customer</w:t>
      </w:r>
      <w:r w:rsidR="004C4AFE">
        <w:rPr>
          <w:rFonts w:ascii="Arial" w:hAnsi="Arial" w:cs="Arial"/>
          <w:sz w:val="24"/>
          <w:szCs w:val="24"/>
        </w:rPr>
        <w:t xml:space="preserve"> count and </w:t>
      </w:r>
      <w:r>
        <w:rPr>
          <w:rFonts w:ascii="Arial" w:hAnsi="Arial" w:cs="Arial"/>
          <w:sz w:val="24"/>
          <w:szCs w:val="24"/>
        </w:rPr>
        <w:t xml:space="preserve">electric </w:t>
      </w:r>
      <w:r w:rsidR="004C4AFE">
        <w:rPr>
          <w:rFonts w:ascii="Arial" w:hAnsi="Arial" w:cs="Arial"/>
          <w:sz w:val="24"/>
          <w:szCs w:val="24"/>
        </w:rPr>
        <w:t>load data should be made available to the public</w:t>
      </w:r>
      <w:r>
        <w:rPr>
          <w:rFonts w:ascii="Arial" w:hAnsi="Arial" w:cs="Arial"/>
          <w:sz w:val="24"/>
          <w:szCs w:val="24"/>
        </w:rPr>
        <w:t>.</w:t>
      </w:r>
      <w:r>
        <w:rPr>
          <w:rStyle w:val="FootnoteReference"/>
          <w:rFonts w:ascii="Arial" w:hAnsi="Arial" w:cs="Arial"/>
          <w:sz w:val="24"/>
          <w:szCs w:val="24"/>
        </w:rPr>
        <w:footnoteReference w:id="12"/>
      </w:r>
      <w:r>
        <w:rPr>
          <w:rFonts w:ascii="Arial" w:hAnsi="Arial" w:cs="Arial"/>
          <w:sz w:val="24"/>
          <w:szCs w:val="24"/>
        </w:rPr>
        <w:t xml:space="preserve">  This information is proprietary information and should remain confidential, consistent with the Commission’s current policy.</w:t>
      </w:r>
    </w:p>
    <w:p w:rsidR="00B47FB6" w:rsidRDefault="00B47FB6" w:rsidP="006A08A1">
      <w:pPr>
        <w:spacing w:line="480" w:lineRule="auto"/>
        <w:ind w:firstLine="720"/>
        <w:jc w:val="both"/>
        <w:rPr>
          <w:rFonts w:ascii="Arial" w:hAnsi="Arial" w:cs="Arial"/>
          <w:sz w:val="24"/>
          <w:szCs w:val="24"/>
        </w:rPr>
      </w:pPr>
      <w:r>
        <w:rPr>
          <w:rFonts w:ascii="Arial" w:hAnsi="Arial" w:cs="Arial"/>
          <w:sz w:val="24"/>
          <w:szCs w:val="24"/>
        </w:rPr>
        <w:t>The Staff report cites anti-trust concerns as justification for making</w:t>
      </w:r>
      <w:r w:rsidR="0059265C">
        <w:rPr>
          <w:rFonts w:ascii="Arial" w:hAnsi="Arial" w:cs="Arial"/>
          <w:sz w:val="24"/>
          <w:szCs w:val="24"/>
        </w:rPr>
        <w:t xml:space="preserve"> a</w:t>
      </w:r>
      <w:r>
        <w:rPr>
          <w:rFonts w:ascii="Arial" w:hAnsi="Arial" w:cs="Arial"/>
          <w:sz w:val="24"/>
          <w:szCs w:val="24"/>
        </w:rPr>
        <w:t xml:space="preserve"> CRES supplier</w:t>
      </w:r>
      <w:r w:rsidR="00B55A44">
        <w:rPr>
          <w:rFonts w:ascii="Arial" w:hAnsi="Arial" w:cs="Arial"/>
          <w:sz w:val="24"/>
          <w:szCs w:val="24"/>
        </w:rPr>
        <w:t>’</w:t>
      </w:r>
      <w:r>
        <w:rPr>
          <w:rFonts w:ascii="Arial" w:hAnsi="Arial" w:cs="Arial"/>
          <w:sz w:val="24"/>
          <w:szCs w:val="24"/>
        </w:rPr>
        <w:t>s customer count and load information available to the public.</w:t>
      </w:r>
      <w:r w:rsidR="00B4330A">
        <w:rPr>
          <w:rStyle w:val="FootnoteReference"/>
          <w:rFonts w:ascii="Arial" w:hAnsi="Arial" w:cs="Arial"/>
          <w:sz w:val="24"/>
          <w:szCs w:val="24"/>
        </w:rPr>
        <w:footnoteReference w:id="13"/>
      </w:r>
      <w:r>
        <w:rPr>
          <w:rFonts w:ascii="Arial" w:hAnsi="Arial" w:cs="Arial"/>
          <w:sz w:val="24"/>
          <w:szCs w:val="24"/>
        </w:rPr>
        <w:t xml:space="preserve">  While IGS</w:t>
      </w:r>
      <w:r w:rsidR="00B4330A">
        <w:rPr>
          <w:rFonts w:ascii="Arial" w:hAnsi="Arial" w:cs="Arial"/>
          <w:sz w:val="24"/>
          <w:szCs w:val="24"/>
        </w:rPr>
        <w:t xml:space="preserve"> </w:t>
      </w:r>
      <w:r w:rsidR="005D04D6">
        <w:rPr>
          <w:rFonts w:ascii="Arial" w:hAnsi="Arial" w:cs="Arial"/>
          <w:sz w:val="24"/>
          <w:szCs w:val="24"/>
        </w:rPr>
        <w:t>too wishes to prevent anti-trust violations</w:t>
      </w:r>
      <w:r w:rsidR="00B4330A">
        <w:rPr>
          <w:rFonts w:ascii="Arial" w:hAnsi="Arial" w:cs="Arial"/>
          <w:sz w:val="24"/>
          <w:szCs w:val="24"/>
        </w:rPr>
        <w:t>, it is not clear how making customer counts available to the public would prevent anti-trust violations.  The Staff and the Commission already have access to this data</w:t>
      </w:r>
      <w:r w:rsidR="004C4AFE">
        <w:rPr>
          <w:rFonts w:ascii="Arial" w:hAnsi="Arial" w:cs="Arial"/>
          <w:sz w:val="24"/>
          <w:szCs w:val="24"/>
        </w:rPr>
        <w:t xml:space="preserve"> in the CRES provider’s annual reports</w:t>
      </w:r>
      <w:r w:rsidR="00B4330A">
        <w:rPr>
          <w:rFonts w:ascii="Arial" w:hAnsi="Arial" w:cs="Arial"/>
          <w:sz w:val="24"/>
          <w:szCs w:val="24"/>
        </w:rPr>
        <w:t xml:space="preserve"> even if it is filed under seal.  Thus making the information public will not enhance the enforcement options available to the Commission.</w:t>
      </w:r>
    </w:p>
    <w:p w:rsidR="00B4330A" w:rsidRDefault="00B4330A" w:rsidP="006A08A1">
      <w:pPr>
        <w:spacing w:line="480" w:lineRule="auto"/>
        <w:ind w:firstLine="720"/>
        <w:jc w:val="both"/>
        <w:rPr>
          <w:rFonts w:ascii="Arial" w:hAnsi="Arial" w:cs="Arial"/>
          <w:sz w:val="24"/>
          <w:szCs w:val="24"/>
        </w:rPr>
      </w:pPr>
      <w:r>
        <w:rPr>
          <w:rFonts w:ascii="Arial" w:hAnsi="Arial" w:cs="Arial"/>
          <w:sz w:val="24"/>
          <w:szCs w:val="24"/>
        </w:rPr>
        <w:lastRenderedPageBreak/>
        <w:t xml:space="preserve">The information on customer count and supplier load is also proprietary </w:t>
      </w:r>
      <w:r w:rsidR="00650A65">
        <w:rPr>
          <w:rFonts w:ascii="Arial" w:hAnsi="Arial" w:cs="Arial"/>
          <w:sz w:val="24"/>
          <w:szCs w:val="24"/>
        </w:rPr>
        <w:t>and could be utilize</w:t>
      </w:r>
      <w:r w:rsidR="0059265C">
        <w:rPr>
          <w:rFonts w:ascii="Arial" w:hAnsi="Arial" w:cs="Arial"/>
          <w:sz w:val="24"/>
          <w:szCs w:val="24"/>
        </w:rPr>
        <w:t>d</w:t>
      </w:r>
      <w:r w:rsidR="00650A65">
        <w:rPr>
          <w:rFonts w:ascii="Arial" w:hAnsi="Arial" w:cs="Arial"/>
          <w:sz w:val="24"/>
          <w:szCs w:val="24"/>
        </w:rPr>
        <w:t xml:space="preserve"> by</w:t>
      </w:r>
      <w:r>
        <w:rPr>
          <w:rFonts w:ascii="Arial" w:hAnsi="Arial" w:cs="Arial"/>
          <w:sz w:val="24"/>
          <w:szCs w:val="24"/>
        </w:rPr>
        <w:t xml:space="preserve"> competitors to the detriment of a specific CRES provider</w:t>
      </w:r>
      <w:r w:rsidR="00B55A44">
        <w:rPr>
          <w:rFonts w:ascii="Arial" w:hAnsi="Arial" w:cs="Arial"/>
          <w:sz w:val="24"/>
          <w:szCs w:val="24"/>
        </w:rPr>
        <w:t>.  For instance, with</w:t>
      </w:r>
      <w:r>
        <w:rPr>
          <w:rFonts w:ascii="Arial" w:hAnsi="Arial" w:cs="Arial"/>
          <w:sz w:val="24"/>
          <w:szCs w:val="24"/>
        </w:rPr>
        <w:t xml:space="preserve"> customer count and customer load data of a CRES provider </w:t>
      </w:r>
      <w:r w:rsidR="00B55A44">
        <w:rPr>
          <w:rFonts w:ascii="Arial" w:hAnsi="Arial" w:cs="Arial"/>
          <w:sz w:val="24"/>
          <w:szCs w:val="24"/>
        </w:rPr>
        <w:t xml:space="preserve">anyone can </w:t>
      </w:r>
      <w:r w:rsidR="004C4AFE">
        <w:rPr>
          <w:rFonts w:ascii="Arial" w:hAnsi="Arial" w:cs="Arial"/>
          <w:sz w:val="24"/>
          <w:szCs w:val="24"/>
        </w:rPr>
        <w:t>calculate a</w:t>
      </w:r>
      <w:r>
        <w:rPr>
          <w:rFonts w:ascii="Arial" w:hAnsi="Arial" w:cs="Arial"/>
          <w:sz w:val="24"/>
          <w:szCs w:val="24"/>
        </w:rPr>
        <w:t xml:space="preserve"> CRES provider</w:t>
      </w:r>
      <w:r w:rsidR="004C4AFE">
        <w:rPr>
          <w:rFonts w:ascii="Arial" w:hAnsi="Arial" w:cs="Arial"/>
          <w:sz w:val="24"/>
          <w:szCs w:val="24"/>
        </w:rPr>
        <w:t>’</w:t>
      </w:r>
      <w:r>
        <w:rPr>
          <w:rFonts w:ascii="Arial" w:hAnsi="Arial" w:cs="Arial"/>
          <w:sz w:val="24"/>
          <w:szCs w:val="24"/>
        </w:rPr>
        <w:t xml:space="preserve">s average </w:t>
      </w:r>
      <w:r w:rsidR="00650A65">
        <w:rPr>
          <w:rFonts w:ascii="Arial" w:hAnsi="Arial" w:cs="Arial"/>
          <w:sz w:val="24"/>
          <w:szCs w:val="24"/>
        </w:rPr>
        <w:t>customer</w:t>
      </w:r>
      <w:r>
        <w:rPr>
          <w:rFonts w:ascii="Arial" w:hAnsi="Arial" w:cs="Arial"/>
          <w:sz w:val="24"/>
          <w:szCs w:val="24"/>
        </w:rPr>
        <w:t xml:space="preserve"> size.  This information can be utilized </w:t>
      </w:r>
      <w:r w:rsidR="00B55A44">
        <w:rPr>
          <w:rFonts w:ascii="Arial" w:hAnsi="Arial" w:cs="Arial"/>
          <w:sz w:val="24"/>
          <w:szCs w:val="24"/>
        </w:rPr>
        <w:t xml:space="preserve">by </w:t>
      </w:r>
      <w:r>
        <w:rPr>
          <w:rFonts w:ascii="Arial" w:hAnsi="Arial" w:cs="Arial"/>
          <w:sz w:val="24"/>
          <w:szCs w:val="24"/>
        </w:rPr>
        <w:t xml:space="preserve">competitors to make decisions on which type of customers to target.  Further, IGS is not aware of any other business or market where non-public companies must make available </w:t>
      </w:r>
      <w:r w:rsidR="004C4AFE">
        <w:rPr>
          <w:rFonts w:ascii="Arial" w:hAnsi="Arial" w:cs="Arial"/>
          <w:sz w:val="24"/>
          <w:szCs w:val="24"/>
        </w:rPr>
        <w:t>their</w:t>
      </w:r>
      <w:r>
        <w:rPr>
          <w:rFonts w:ascii="Arial" w:hAnsi="Arial" w:cs="Arial"/>
          <w:sz w:val="24"/>
          <w:szCs w:val="24"/>
        </w:rPr>
        <w:t xml:space="preserve"> customer count</w:t>
      </w:r>
      <w:r w:rsidR="004C4AFE">
        <w:rPr>
          <w:rFonts w:ascii="Arial" w:hAnsi="Arial" w:cs="Arial"/>
          <w:sz w:val="24"/>
          <w:szCs w:val="24"/>
        </w:rPr>
        <w:t xml:space="preserve"> and sales statistics</w:t>
      </w:r>
      <w:r>
        <w:rPr>
          <w:rFonts w:ascii="Arial" w:hAnsi="Arial" w:cs="Arial"/>
          <w:sz w:val="24"/>
          <w:szCs w:val="24"/>
        </w:rPr>
        <w:t xml:space="preserve"> to the public.</w:t>
      </w:r>
    </w:p>
    <w:p w:rsidR="00B55A44" w:rsidRDefault="005D04D6" w:rsidP="006A08A1">
      <w:pPr>
        <w:spacing w:line="480" w:lineRule="auto"/>
        <w:ind w:firstLine="720"/>
        <w:jc w:val="both"/>
        <w:rPr>
          <w:rFonts w:ascii="Arial" w:hAnsi="Arial" w:cs="Arial"/>
          <w:sz w:val="24"/>
          <w:szCs w:val="24"/>
        </w:rPr>
      </w:pPr>
      <w:r>
        <w:rPr>
          <w:rFonts w:ascii="Arial" w:hAnsi="Arial" w:cs="Arial"/>
          <w:sz w:val="24"/>
          <w:szCs w:val="24"/>
        </w:rPr>
        <w:t>A reasonable alternative to Staff’s proposal would be for the Commission to</w:t>
      </w:r>
      <w:r w:rsidR="00B4330A">
        <w:rPr>
          <w:rFonts w:ascii="Arial" w:hAnsi="Arial" w:cs="Arial"/>
          <w:sz w:val="24"/>
          <w:szCs w:val="24"/>
        </w:rPr>
        <w:t xml:space="preserve"> publish stat</w:t>
      </w:r>
      <w:r w:rsidR="00B55A44">
        <w:rPr>
          <w:rFonts w:ascii="Arial" w:hAnsi="Arial" w:cs="Arial"/>
          <w:sz w:val="24"/>
          <w:szCs w:val="24"/>
        </w:rPr>
        <w:t>istics on market share but not include names of supplier</w:t>
      </w:r>
      <w:r w:rsidR="004C4AFE">
        <w:rPr>
          <w:rFonts w:ascii="Arial" w:hAnsi="Arial" w:cs="Arial"/>
          <w:sz w:val="24"/>
          <w:szCs w:val="24"/>
        </w:rPr>
        <w:t>s</w:t>
      </w:r>
      <w:r w:rsidR="00B55A44">
        <w:rPr>
          <w:rFonts w:ascii="Arial" w:hAnsi="Arial" w:cs="Arial"/>
          <w:sz w:val="24"/>
          <w:szCs w:val="24"/>
        </w:rPr>
        <w:t xml:space="preserve"> on the statistics.  For insta</w:t>
      </w:r>
      <w:r w:rsidR="004C4AFE">
        <w:rPr>
          <w:rFonts w:ascii="Arial" w:hAnsi="Arial" w:cs="Arial"/>
          <w:sz w:val="24"/>
          <w:szCs w:val="24"/>
        </w:rPr>
        <w:t>nce, the Commission could</w:t>
      </w:r>
      <w:r w:rsidR="00B55A44">
        <w:rPr>
          <w:rFonts w:ascii="Arial" w:hAnsi="Arial" w:cs="Arial"/>
          <w:sz w:val="24"/>
          <w:szCs w:val="24"/>
        </w:rPr>
        <w:t xml:space="preserve"> creat</w:t>
      </w:r>
      <w:r w:rsidR="004C4AFE">
        <w:rPr>
          <w:rFonts w:ascii="Arial" w:hAnsi="Arial" w:cs="Arial"/>
          <w:sz w:val="24"/>
          <w:szCs w:val="24"/>
        </w:rPr>
        <w:t>e a list of the top ten</w:t>
      </w:r>
      <w:r w:rsidR="00B55A44">
        <w:rPr>
          <w:rFonts w:ascii="Arial" w:hAnsi="Arial" w:cs="Arial"/>
          <w:sz w:val="24"/>
          <w:szCs w:val="24"/>
        </w:rPr>
        <w:t xml:space="preserve"> CRES providers as a percentage of customer load and customer count, but not include the </w:t>
      </w:r>
      <w:r w:rsidR="004C4AFE">
        <w:rPr>
          <w:rFonts w:ascii="Arial" w:hAnsi="Arial" w:cs="Arial"/>
          <w:sz w:val="24"/>
          <w:szCs w:val="24"/>
        </w:rPr>
        <w:t>suppliers</w:t>
      </w:r>
      <w:r w:rsidR="0059265C">
        <w:rPr>
          <w:rFonts w:ascii="Arial" w:hAnsi="Arial" w:cs="Arial"/>
          <w:sz w:val="24"/>
          <w:szCs w:val="24"/>
        </w:rPr>
        <w:t>’</w:t>
      </w:r>
      <w:r w:rsidR="004C4AFE">
        <w:rPr>
          <w:rFonts w:ascii="Arial" w:hAnsi="Arial" w:cs="Arial"/>
          <w:sz w:val="24"/>
          <w:szCs w:val="24"/>
        </w:rPr>
        <w:t xml:space="preserve"> names on the list, only identifying</w:t>
      </w:r>
      <w:r w:rsidR="00B55A44">
        <w:rPr>
          <w:rFonts w:ascii="Arial" w:hAnsi="Arial" w:cs="Arial"/>
          <w:sz w:val="24"/>
          <w:szCs w:val="24"/>
        </w:rPr>
        <w:t xml:space="preserve"> </w:t>
      </w:r>
      <w:r w:rsidR="0059265C">
        <w:rPr>
          <w:rFonts w:ascii="Arial" w:hAnsi="Arial" w:cs="Arial"/>
          <w:sz w:val="24"/>
          <w:szCs w:val="24"/>
        </w:rPr>
        <w:t xml:space="preserve">each </w:t>
      </w:r>
      <w:r w:rsidR="00B55A44">
        <w:rPr>
          <w:rFonts w:ascii="Arial" w:hAnsi="Arial" w:cs="Arial"/>
          <w:sz w:val="24"/>
          <w:szCs w:val="24"/>
        </w:rPr>
        <w:t>su</w:t>
      </w:r>
      <w:r w:rsidR="004C4AFE">
        <w:rPr>
          <w:rFonts w:ascii="Arial" w:hAnsi="Arial" w:cs="Arial"/>
          <w:sz w:val="24"/>
          <w:szCs w:val="24"/>
        </w:rPr>
        <w:t>pplier as</w:t>
      </w:r>
      <w:r w:rsidR="00B55A44">
        <w:rPr>
          <w:rFonts w:ascii="Arial" w:hAnsi="Arial" w:cs="Arial"/>
          <w:sz w:val="24"/>
          <w:szCs w:val="24"/>
        </w:rPr>
        <w:t xml:space="preserve"> a number.  This would be a </w:t>
      </w:r>
      <w:r w:rsidR="004C4AFE">
        <w:rPr>
          <w:rFonts w:ascii="Arial" w:hAnsi="Arial" w:cs="Arial"/>
          <w:sz w:val="24"/>
          <w:szCs w:val="24"/>
        </w:rPr>
        <w:t>less invasive</w:t>
      </w:r>
      <w:r w:rsidR="00B55A44">
        <w:rPr>
          <w:rFonts w:ascii="Arial" w:hAnsi="Arial" w:cs="Arial"/>
          <w:sz w:val="24"/>
          <w:szCs w:val="24"/>
        </w:rPr>
        <w:t xml:space="preserve"> means to ensure the publi</w:t>
      </w:r>
      <w:r w:rsidR="004C4AFE">
        <w:rPr>
          <w:rFonts w:ascii="Arial" w:hAnsi="Arial" w:cs="Arial"/>
          <w:sz w:val="24"/>
          <w:szCs w:val="24"/>
        </w:rPr>
        <w:t>c is aware of the customer</w:t>
      </w:r>
      <w:r w:rsidR="00B55A44">
        <w:rPr>
          <w:rFonts w:ascii="Arial" w:hAnsi="Arial" w:cs="Arial"/>
          <w:sz w:val="24"/>
          <w:szCs w:val="24"/>
        </w:rPr>
        <w:t xml:space="preserve"> concentration in the market.</w:t>
      </w:r>
    </w:p>
    <w:p w:rsidR="00650A65" w:rsidRPr="00650A65" w:rsidRDefault="00B55A44" w:rsidP="00650A65">
      <w:pPr>
        <w:pStyle w:val="ListParagraph"/>
        <w:numPr>
          <w:ilvl w:val="0"/>
          <w:numId w:val="1"/>
        </w:numPr>
        <w:spacing w:line="480" w:lineRule="auto"/>
        <w:rPr>
          <w:rFonts w:ascii="Arial" w:hAnsi="Arial" w:cs="Arial"/>
          <w:b/>
          <w:sz w:val="24"/>
          <w:szCs w:val="24"/>
        </w:rPr>
      </w:pPr>
      <w:r>
        <w:rPr>
          <w:rFonts w:ascii="Arial" w:hAnsi="Arial" w:cs="Arial"/>
          <w:sz w:val="24"/>
          <w:szCs w:val="24"/>
        </w:rPr>
        <w:t xml:space="preserve">   </w:t>
      </w:r>
      <w:r>
        <w:rPr>
          <w:rFonts w:ascii="Arial" w:hAnsi="Arial" w:cs="Arial"/>
          <w:b/>
          <w:sz w:val="24"/>
          <w:szCs w:val="24"/>
        </w:rPr>
        <w:t>CONCLUSION</w:t>
      </w:r>
      <w:r w:rsidRPr="00DA198D">
        <w:rPr>
          <w:rFonts w:ascii="Arial" w:hAnsi="Arial" w:cs="Arial"/>
          <w:b/>
          <w:sz w:val="24"/>
          <w:szCs w:val="24"/>
        </w:rPr>
        <w:t xml:space="preserve"> </w:t>
      </w:r>
    </w:p>
    <w:p w:rsidR="00650A65" w:rsidRDefault="005D04D6" w:rsidP="005D04D6">
      <w:pPr>
        <w:spacing w:line="480" w:lineRule="auto"/>
        <w:ind w:firstLine="720"/>
        <w:jc w:val="both"/>
        <w:rPr>
          <w:rFonts w:ascii="Arial" w:hAnsi="Arial" w:cs="Arial"/>
          <w:sz w:val="24"/>
          <w:szCs w:val="24"/>
        </w:rPr>
      </w:pPr>
      <w:r w:rsidRPr="005D04D6">
        <w:rPr>
          <w:rFonts w:ascii="Arial" w:hAnsi="Arial" w:cs="Arial"/>
          <w:sz w:val="24"/>
          <w:szCs w:val="24"/>
        </w:rPr>
        <w:t xml:space="preserve">IGS is extremely appreciative the work Staff has done to host the stakeholder process and compile a Staff Report.  While the Staff Report proposes some positive steps, there is still much to be done in order to maximize the benefits of competition for Ohio electric customers. </w:t>
      </w:r>
      <w:r w:rsidR="00650A65">
        <w:rPr>
          <w:rFonts w:ascii="Arial" w:hAnsi="Arial" w:cs="Arial"/>
          <w:sz w:val="24"/>
          <w:szCs w:val="24"/>
        </w:rPr>
        <w:t xml:space="preserve">The electric industry today is at a flexion point, and there is great potential to revolutionize the way consumers use energy for the better.  However, transformative innovations in the electric market are only likely to materialize if truly competitive electric markets are able to take hold.  If Ohio’s electric markets continue to contain artificial structures, where one product is favored in the market, other competing </w:t>
      </w:r>
      <w:r w:rsidR="00650A65">
        <w:rPr>
          <w:rFonts w:ascii="Arial" w:hAnsi="Arial" w:cs="Arial"/>
          <w:sz w:val="24"/>
          <w:szCs w:val="24"/>
        </w:rPr>
        <w:lastRenderedPageBreak/>
        <w:t xml:space="preserve">products will be severely restrained from emerging.  As such, the Commission should continue to push forward until Ohio’s electric markets are fully competitive. </w:t>
      </w:r>
    </w:p>
    <w:p w:rsidR="005D04D6" w:rsidRDefault="005D04D6" w:rsidP="008A1E3E">
      <w:pPr>
        <w:widowControl w:val="0"/>
        <w:overflowPunct w:val="0"/>
        <w:autoSpaceDE w:val="0"/>
        <w:autoSpaceDN w:val="0"/>
        <w:adjustRightInd w:val="0"/>
        <w:spacing w:after="0" w:line="480" w:lineRule="auto"/>
        <w:ind w:left="3600" w:firstLine="720"/>
        <w:rPr>
          <w:rFonts w:ascii="Arial" w:eastAsia="Times New Roman" w:hAnsi="Arial" w:cs="Arial"/>
          <w:kern w:val="28"/>
          <w:sz w:val="24"/>
          <w:szCs w:val="24"/>
        </w:rPr>
      </w:pPr>
    </w:p>
    <w:p w:rsidR="008A1E3E" w:rsidRDefault="008A1E3E" w:rsidP="008A1E3E">
      <w:pPr>
        <w:widowControl w:val="0"/>
        <w:overflowPunct w:val="0"/>
        <w:autoSpaceDE w:val="0"/>
        <w:autoSpaceDN w:val="0"/>
        <w:adjustRightInd w:val="0"/>
        <w:spacing w:after="0" w:line="480" w:lineRule="auto"/>
        <w:ind w:left="3600" w:firstLine="720"/>
        <w:rPr>
          <w:rFonts w:ascii="Arial" w:eastAsia="Times New Roman" w:hAnsi="Arial" w:cs="Arial"/>
          <w:kern w:val="28"/>
          <w:sz w:val="24"/>
          <w:szCs w:val="24"/>
        </w:rPr>
      </w:pPr>
      <w:r w:rsidRPr="00A74C98">
        <w:rPr>
          <w:rFonts w:ascii="Arial" w:eastAsia="Times New Roman" w:hAnsi="Arial" w:cs="Arial"/>
          <w:kern w:val="28"/>
          <w:sz w:val="24"/>
          <w:szCs w:val="24"/>
        </w:rPr>
        <w:t>Respectfully submitted</w:t>
      </w:r>
    </w:p>
    <w:p w:rsidR="008A1E3E" w:rsidRDefault="008A1E3E" w:rsidP="008A1E3E">
      <w:pPr>
        <w:widowControl w:val="0"/>
        <w:overflowPunct w:val="0"/>
        <w:autoSpaceDE w:val="0"/>
        <w:autoSpaceDN w:val="0"/>
        <w:adjustRightInd w:val="0"/>
        <w:spacing w:after="0" w:line="480" w:lineRule="auto"/>
        <w:ind w:left="3600" w:firstLine="720"/>
        <w:rPr>
          <w:rFonts w:ascii="Arial" w:eastAsia="Arial" w:hAnsi="Arial" w:cs="Arial"/>
          <w:sz w:val="24"/>
          <w:szCs w:val="24"/>
          <w:u w:val="single"/>
        </w:rPr>
      </w:pPr>
      <w:r>
        <w:rPr>
          <w:rFonts w:ascii="Arial" w:eastAsia="Arial" w:hAnsi="Arial" w:cs="Arial"/>
          <w:i/>
          <w:sz w:val="24"/>
          <w:szCs w:val="24"/>
          <w:u w:val="single"/>
        </w:rPr>
        <w:t xml:space="preserve">/s/ </w:t>
      </w:r>
      <w:r w:rsidRPr="005204E8">
        <w:rPr>
          <w:rFonts w:ascii="Arial" w:eastAsia="Arial" w:hAnsi="Arial" w:cs="Arial"/>
          <w:i/>
          <w:sz w:val="24"/>
          <w:szCs w:val="24"/>
          <w:u w:val="single"/>
        </w:rPr>
        <w:t>Matthew White</w:t>
      </w:r>
    </w:p>
    <w:p w:rsidR="008A1E3E" w:rsidRDefault="008A1E3E" w:rsidP="008A1E3E">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r>
        <w:rPr>
          <w:rFonts w:ascii="Arial" w:eastAsia="Times New Roman" w:hAnsi="Arial" w:cs="Arial"/>
          <w:kern w:val="28"/>
          <w:sz w:val="24"/>
          <w:szCs w:val="24"/>
        </w:rPr>
        <w:t>Matthew S. White (0082859)</w:t>
      </w:r>
    </w:p>
    <w:p w:rsidR="008A1E3E" w:rsidRPr="00A74C98" w:rsidRDefault="008A1E3E" w:rsidP="008A1E3E">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r>
        <w:rPr>
          <w:rFonts w:ascii="Arial" w:eastAsia="Times New Roman" w:hAnsi="Arial" w:cs="Arial"/>
          <w:kern w:val="28"/>
          <w:sz w:val="24"/>
          <w:szCs w:val="24"/>
        </w:rPr>
        <w:t xml:space="preserve">Counsel of Record </w:t>
      </w:r>
    </w:p>
    <w:p w:rsidR="008A1E3E" w:rsidRPr="00A74C98" w:rsidRDefault="008A1E3E" w:rsidP="008A1E3E">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r w:rsidRPr="00A74C98">
        <w:rPr>
          <w:rFonts w:ascii="Arial" w:eastAsia="Times New Roman" w:hAnsi="Arial" w:cs="Arial"/>
          <w:kern w:val="28"/>
          <w:sz w:val="24"/>
          <w:szCs w:val="24"/>
        </w:rPr>
        <w:t>Interstate Gas Supply, Inc.</w:t>
      </w:r>
    </w:p>
    <w:p w:rsidR="008A1E3E" w:rsidRPr="00A74C98" w:rsidRDefault="008A1E3E" w:rsidP="008A1E3E">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r w:rsidRPr="00A74C98">
        <w:rPr>
          <w:rFonts w:ascii="Arial" w:eastAsia="Times New Roman" w:hAnsi="Arial" w:cs="Arial"/>
          <w:kern w:val="28"/>
          <w:sz w:val="24"/>
          <w:szCs w:val="24"/>
        </w:rPr>
        <w:t>6100 Emerald Parkway</w:t>
      </w:r>
    </w:p>
    <w:p w:rsidR="008A1E3E" w:rsidRPr="00A74C98" w:rsidRDefault="008A1E3E" w:rsidP="008A1E3E">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r w:rsidRPr="00A74C98">
        <w:rPr>
          <w:rFonts w:ascii="Arial" w:eastAsia="Times New Roman" w:hAnsi="Arial" w:cs="Arial"/>
          <w:kern w:val="28"/>
          <w:sz w:val="24"/>
          <w:szCs w:val="24"/>
        </w:rPr>
        <w:t>Dublin OH 43026</w:t>
      </w:r>
    </w:p>
    <w:p w:rsidR="008A1E3E" w:rsidRPr="00A74C98" w:rsidRDefault="008A1E3E" w:rsidP="008A1E3E">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r w:rsidRPr="00A74C98">
        <w:rPr>
          <w:rFonts w:ascii="Arial" w:eastAsia="Times New Roman" w:hAnsi="Arial" w:cs="Arial"/>
          <w:kern w:val="28"/>
          <w:sz w:val="24"/>
          <w:szCs w:val="24"/>
        </w:rPr>
        <w:t>(614) 659-5055</w:t>
      </w:r>
    </w:p>
    <w:p w:rsidR="008A1E3E" w:rsidRPr="00A74C98" w:rsidRDefault="00843B26" w:rsidP="008A1E3E">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hyperlink r:id="rId9" w:history="1">
        <w:r w:rsidR="008A1E3E" w:rsidRPr="00A74C98">
          <w:rPr>
            <w:rStyle w:val="Hyperlink"/>
            <w:rFonts w:ascii="Arial" w:hAnsi="Arial" w:cs="Arial"/>
            <w:kern w:val="28"/>
            <w:szCs w:val="24"/>
          </w:rPr>
          <w:t>mswhite@igsenergy.com</w:t>
        </w:r>
      </w:hyperlink>
    </w:p>
    <w:p w:rsidR="008A1E3E" w:rsidRPr="00A74C98" w:rsidRDefault="008A1E3E" w:rsidP="008A1E3E">
      <w:pPr>
        <w:keepNext/>
        <w:widowControl w:val="0"/>
        <w:tabs>
          <w:tab w:val="right" w:pos="9360"/>
        </w:tabs>
        <w:overflowPunct w:val="0"/>
        <w:autoSpaceDE w:val="0"/>
        <w:autoSpaceDN w:val="0"/>
        <w:adjustRightInd w:val="0"/>
        <w:spacing w:after="0" w:line="240" w:lineRule="auto"/>
        <w:ind w:left="4320"/>
        <w:rPr>
          <w:rFonts w:ascii="Arial" w:eastAsia="Times New Roman" w:hAnsi="Arial" w:cs="Arial"/>
          <w:kern w:val="28"/>
          <w:sz w:val="24"/>
          <w:szCs w:val="24"/>
        </w:rPr>
      </w:pPr>
    </w:p>
    <w:p w:rsidR="008A1E3E" w:rsidRDefault="008A1E3E" w:rsidP="008A1E3E">
      <w:pPr>
        <w:widowControl w:val="0"/>
        <w:tabs>
          <w:tab w:val="right" w:pos="9360"/>
        </w:tabs>
        <w:overflowPunct w:val="0"/>
        <w:autoSpaceDE w:val="0"/>
        <w:autoSpaceDN w:val="0"/>
        <w:adjustRightInd w:val="0"/>
        <w:spacing w:after="0" w:line="240" w:lineRule="auto"/>
        <w:ind w:left="4320"/>
        <w:rPr>
          <w:rFonts w:ascii="Arial" w:eastAsia="Times New Roman" w:hAnsi="Arial" w:cs="Arial"/>
          <w:b/>
          <w:kern w:val="28"/>
          <w:sz w:val="24"/>
          <w:szCs w:val="24"/>
        </w:rPr>
      </w:pPr>
    </w:p>
    <w:p w:rsidR="00F604FF" w:rsidRDefault="001C24DA" w:rsidP="00B55A44">
      <w:pPr>
        <w:spacing w:line="480" w:lineRule="auto"/>
        <w:ind w:firstLine="720"/>
        <w:jc w:val="both"/>
        <w:rPr>
          <w:rFonts w:ascii="Arial" w:hAnsi="Arial" w:cs="Arial"/>
          <w:sz w:val="24"/>
          <w:szCs w:val="24"/>
        </w:rPr>
      </w:pPr>
      <w:r>
        <w:rPr>
          <w:rFonts w:ascii="Arial" w:hAnsi="Arial" w:cs="Arial"/>
          <w:sz w:val="24"/>
          <w:szCs w:val="24"/>
        </w:rPr>
        <w:t xml:space="preserve">  </w:t>
      </w:r>
    </w:p>
    <w:p w:rsidR="00F604FF" w:rsidRDefault="00F604FF">
      <w:pPr>
        <w:rPr>
          <w:rFonts w:ascii="Arial" w:hAnsi="Arial" w:cs="Arial"/>
          <w:sz w:val="24"/>
          <w:szCs w:val="24"/>
        </w:rPr>
      </w:pPr>
      <w:r>
        <w:rPr>
          <w:rFonts w:ascii="Arial" w:hAnsi="Arial" w:cs="Arial"/>
          <w:sz w:val="24"/>
          <w:szCs w:val="24"/>
        </w:rPr>
        <w:br w:type="page"/>
      </w:r>
    </w:p>
    <w:p w:rsidR="00F604FF" w:rsidRPr="0091226B" w:rsidRDefault="00F604FF" w:rsidP="00F604FF">
      <w:pPr>
        <w:jc w:val="center"/>
        <w:rPr>
          <w:b/>
          <w:u w:val="single"/>
        </w:rPr>
      </w:pPr>
      <w:r>
        <w:rPr>
          <w:b/>
          <w:u w:val="single"/>
        </w:rPr>
        <w:lastRenderedPageBreak/>
        <w:t>CERTIFICATE OF SERVICE</w:t>
      </w:r>
    </w:p>
    <w:p w:rsidR="00F604FF" w:rsidRDefault="00F604FF" w:rsidP="00F604FF">
      <w:r>
        <w:tab/>
        <w:t>I certify that a copy of this Application for Rehearing was served via electronic mail this 6</w:t>
      </w:r>
      <w:r>
        <w:rPr>
          <w:vertAlign w:val="superscript"/>
        </w:rPr>
        <w:t>th</w:t>
      </w:r>
      <w:r>
        <w:t xml:space="preserve"> day of February 2014 on the parties listed below.</w:t>
      </w:r>
    </w:p>
    <w:p w:rsidR="00F604FF" w:rsidRDefault="00F604FF" w:rsidP="00F604FF">
      <w:pPr>
        <w:ind w:left="5040"/>
      </w:pPr>
      <w:r>
        <w:rPr>
          <w:rFonts w:ascii="Arial" w:eastAsia="Arial" w:hAnsi="Arial" w:cs="Arial"/>
          <w:i/>
          <w:sz w:val="24"/>
          <w:szCs w:val="24"/>
          <w:u w:val="single"/>
        </w:rPr>
        <w:t>/s/ Matthew White</w:t>
      </w:r>
      <w:r>
        <w:t xml:space="preserve"> </w:t>
      </w:r>
    </w:p>
    <w:p w:rsidR="00F604FF" w:rsidRDefault="00F604FF" w:rsidP="00F604FF">
      <w:pPr>
        <w:ind w:left="5040"/>
      </w:pPr>
      <w:r>
        <w:t xml:space="preserve">Matthew White </w:t>
      </w:r>
    </w:p>
    <w:tbl>
      <w:tblPr>
        <w:tblStyle w:val="TableGrid"/>
        <w:tblpPr w:leftFromText="180" w:rightFromText="180" w:vertAnchor="page" w:horzAnchor="margin" w:tblpY="4321"/>
        <w:tblW w:w="0" w:type="auto"/>
        <w:tblLook w:val="04A0" w:firstRow="1" w:lastRow="0" w:firstColumn="1" w:lastColumn="0" w:noHBand="0" w:noVBand="1"/>
      </w:tblPr>
      <w:tblGrid>
        <w:gridCol w:w="4788"/>
        <w:gridCol w:w="4788"/>
      </w:tblGrid>
      <w:tr w:rsidR="00F604FF" w:rsidTr="00F604FF">
        <w:tc>
          <w:tcPr>
            <w:tcW w:w="4788" w:type="dxa"/>
          </w:tcPr>
          <w:p w:rsidR="00F604FF" w:rsidRDefault="00843B26" w:rsidP="00F604FF">
            <w:pPr>
              <w:rPr>
                <w:rFonts w:ascii="Times New Roman" w:hAnsi="Times New Roman"/>
              </w:rPr>
            </w:pPr>
            <w:hyperlink r:id="rId10" w:history="1">
              <w:r w:rsidR="00F604FF">
                <w:rPr>
                  <w:rStyle w:val="Hyperlink"/>
                  <w:rFonts w:ascii="Times New Roman" w:hAnsi="Times New Roman"/>
                </w:rPr>
                <w:t>grady@occ.state.oh.us</w:t>
              </w:r>
            </w:hyperlink>
          </w:p>
          <w:p w:rsidR="00F604FF" w:rsidRDefault="00843B26" w:rsidP="00F604FF">
            <w:pPr>
              <w:rPr>
                <w:rFonts w:ascii="Times New Roman" w:hAnsi="Times New Roman"/>
              </w:rPr>
            </w:pPr>
            <w:hyperlink r:id="rId11" w:history="1">
              <w:r w:rsidR="00F604FF">
                <w:rPr>
                  <w:rStyle w:val="Hyperlink"/>
                  <w:rFonts w:ascii="Times New Roman" w:hAnsi="Times New Roman"/>
                </w:rPr>
                <w:t>serio@occ.state.oh.us</w:t>
              </w:r>
            </w:hyperlink>
          </w:p>
          <w:p w:rsidR="00F604FF" w:rsidRDefault="00843B26" w:rsidP="00F604FF">
            <w:pPr>
              <w:rPr>
                <w:rFonts w:ascii="Times New Roman" w:hAnsi="Times New Roman"/>
              </w:rPr>
            </w:pPr>
            <w:hyperlink r:id="rId12" w:history="1">
              <w:r w:rsidR="00F604FF">
                <w:rPr>
                  <w:rStyle w:val="Hyperlink"/>
                  <w:rFonts w:ascii="Times New Roman" w:hAnsi="Times New Roman"/>
                </w:rPr>
                <w:t>fdarr@mwncmh.com</w:t>
              </w:r>
            </w:hyperlink>
          </w:p>
          <w:p w:rsidR="00F604FF" w:rsidRDefault="00843B26" w:rsidP="00F604FF">
            <w:pPr>
              <w:rPr>
                <w:rFonts w:ascii="Times New Roman" w:hAnsi="Times New Roman"/>
              </w:rPr>
            </w:pPr>
            <w:hyperlink r:id="rId13" w:history="1">
              <w:r w:rsidR="00F604FF">
                <w:rPr>
                  <w:rStyle w:val="Hyperlink"/>
                  <w:rFonts w:ascii="Times New Roman" w:hAnsi="Times New Roman"/>
                </w:rPr>
                <w:t>sam@mwncmh.com</w:t>
              </w:r>
            </w:hyperlink>
          </w:p>
          <w:p w:rsidR="00F604FF" w:rsidRDefault="00843B26" w:rsidP="00F604FF">
            <w:pPr>
              <w:rPr>
                <w:rFonts w:ascii="Times New Roman" w:hAnsi="Times New Roman"/>
              </w:rPr>
            </w:pPr>
            <w:hyperlink r:id="rId14" w:history="1">
              <w:r w:rsidR="00F604FF">
                <w:rPr>
                  <w:rStyle w:val="Hyperlink"/>
                  <w:rFonts w:ascii="Times New Roman" w:hAnsi="Times New Roman"/>
                </w:rPr>
                <w:t>dboehm@BKLlawfirm.com</w:t>
              </w:r>
            </w:hyperlink>
          </w:p>
          <w:p w:rsidR="00F604FF" w:rsidRDefault="00843B26" w:rsidP="00F604FF">
            <w:pPr>
              <w:rPr>
                <w:rFonts w:ascii="Times New Roman" w:hAnsi="Times New Roman"/>
              </w:rPr>
            </w:pPr>
            <w:hyperlink r:id="rId15" w:history="1">
              <w:r w:rsidR="00F604FF">
                <w:rPr>
                  <w:rStyle w:val="Hyperlink"/>
                  <w:rFonts w:ascii="Times New Roman" w:hAnsi="Times New Roman"/>
                </w:rPr>
                <w:t>mkurtz@BKLlawfirm.com</w:t>
              </w:r>
            </w:hyperlink>
          </w:p>
          <w:p w:rsidR="00F604FF" w:rsidRDefault="00843B26" w:rsidP="00F604FF">
            <w:pPr>
              <w:rPr>
                <w:rFonts w:ascii="Times New Roman" w:hAnsi="Times New Roman"/>
              </w:rPr>
            </w:pPr>
            <w:hyperlink r:id="rId16" w:history="1">
              <w:r w:rsidR="00F604FF">
                <w:rPr>
                  <w:rStyle w:val="Hyperlink"/>
                  <w:rFonts w:ascii="Times New Roman" w:hAnsi="Times New Roman"/>
                </w:rPr>
                <w:t>cmooney@ohiopartners.org</w:t>
              </w:r>
            </w:hyperlink>
            <w:r w:rsidR="00F604FF">
              <w:rPr>
                <w:rFonts w:ascii="Times New Roman" w:hAnsi="Times New Roman"/>
              </w:rPr>
              <w:t xml:space="preserve"> </w:t>
            </w:r>
          </w:p>
          <w:p w:rsidR="00F604FF" w:rsidRDefault="00843B26" w:rsidP="00F604FF">
            <w:pPr>
              <w:rPr>
                <w:rFonts w:ascii="Times New Roman" w:hAnsi="Times New Roman"/>
              </w:rPr>
            </w:pPr>
            <w:hyperlink r:id="rId17" w:history="1">
              <w:r w:rsidR="00F604FF">
                <w:rPr>
                  <w:rStyle w:val="Hyperlink"/>
                  <w:rFonts w:ascii="Times New Roman" w:hAnsi="Times New Roman"/>
                </w:rPr>
                <w:t>drinebolt@ohiopartners.org</w:t>
              </w:r>
            </w:hyperlink>
          </w:p>
          <w:p w:rsidR="00F604FF" w:rsidRDefault="00843B26" w:rsidP="00F604FF">
            <w:pPr>
              <w:rPr>
                <w:rFonts w:ascii="Times New Roman" w:hAnsi="Times New Roman"/>
              </w:rPr>
            </w:pPr>
            <w:hyperlink r:id="rId18" w:history="1">
              <w:r w:rsidR="00F604FF">
                <w:rPr>
                  <w:rStyle w:val="Hyperlink"/>
                  <w:rFonts w:ascii="Times New Roman" w:hAnsi="Times New Roman"/>
                </w:rPr>
                <w:t>msmalz@ohiopovertylaw.org</w:t>
              </w:r>
            </w:hyperlink>
          </w:p>
          <w:p w:rsidR="00F604FF" w:rsidRDefault="00843B26" w:rsidP="00F604FF">
            <w:pPr>
              <w:rPr>
                <w:rFonts w:ascii="Times New Roman" w:hAnsi="Times New Roman"/>
              </w:rPr>
            </w:pPr>
            <w:hyperlink r:id="rId19" w:history="1">
              <w:r w:rsidR="00F604FF">
                <w:rPr>
                  <w:rStyle w:val="Hyperlink"/>
                  <w:rFonts w:ascii="Times New Roman" w:hAnsi="Times New Roman"/>
                </w:rPr>
                <w:t>jmaskovyak@ohiopovertylaw.org</w:t>
              </w:r>
            </w:hyperlink>
          </w:p>
          <w:p w:rsidR="00F604FF" w:rsidRDefault="00843B26" w:rsidP="00F604FF">
            <w:pPr>
              <w:rPr>
                <w:rFonts w:ascii="Times New Roman" w:hAnsi="Times New Roman"/>
              </w:rPr>
            </w:pPr>
            <w:hyperlink r:id="rId20" w:history="1">
              <w:r w:rsidR="00F604FF">
                <w:rPr>
                  <w:rStyle w:val="Hyperlink"/>
                  <w:rFonts w:ascii="Times New Roman" w:hAnsi="Times New Roman"/>
                </w:rPr>
                <w:t>gkrassen@bricker.com</w:t>
              </w:r>
            </w:hyperlink>
          </w:p>
          <w:p w:rsidR="00F604FF" w:rsidRDefault="00843B26" w:rsidP="00F604FF">
            <w:pPr>
              <w:rPr>
                <w:rFonts w:ascii="Times New Roman" w:hAnsi="Times New Roman"/>
              </w:rPr>
            </w:pPr>
            <w:hyperlink r:id="rId21" w:history="1">
              <w:r w:rsidR="00F604FF">
                <w:rPr>
                  <w:rStyle w:val="Hyperlink"/>
                  <w:rFonts w:ascii="Times New Roman" w:hAnsi="Times New Roman"/>
                </w:rPr>
                <w:t>william.wright@puc.state.oh.us</w:t>
              </w:r>
            </w:hyperlink>
          </w:p>
          <w:p w:rsidR="00F604FF" w:rsidRDefault="00843B26" w:rsidP="00F604FF">
            <w:pPr>
              <w:rPr>
                <w:rFonts w:ascii="Times New Roman" w:hAnsi="Times New Roman"/>
              </w:rPr>
            </w:pPr>
            <w:hyperlink r:id="rId22" w:history="1">
              <w:r w:rsidR="00F604FF">
                <w:rPr>
                  <w:rStyle w:val="Hyperlink"/>
                  <w:rFonts w:ascii="Times New Roman" w:hAnsi="Times New Roman"/>
                </w:rPr>
                <w:t>burkj@firstenergycorp.com</w:t>
              </w:r>
            </w:hyperlink>
          </w:p>
          <w:p w:rsidR="00F604FF" w:rsidRDefault="00843B26" w:rsidP="00F604FF">
            <w:pPr>
              <w:rPr>
                <w:rFonts w:ascii="Times New Roman" w:hAnsi="Times New Roman"/>
              </w:rPr>
            </w:pPr>
            <w:hyperlink r:id="rId23" w:history="1">
              <w:r w:rsidR="00F604FF">
                <w:rPr>
                  <w:rStyle w:val="Hyperlink"/>
                  <w:rFonts w:ascii="Times New Roman" w:hAnsi="Times New Roman"/>
                </w:rPr>
                <w:t>stnourse@aep.com</w:t>
              </w:r>
            </w:hyperlink>
          </w:p>
          <w:p w:rsidR="00F604FF" w:rsidRDefault="00843B26" w:rsidP="00F604FF">
            <w:pPr>
              <w:rPr>
                <w:rFonts w:ascii="Times New Roman" w:hAnsi="Times New Roman"/>
              </w:rPr>
            </w:pPr>
            <w:hyperlink r:id="rId24" w:history="1">
              <w:r w:rsidR="00F604FF">
                <w:rPr>
                  <w:rStyle w:val="Hyperlink"/>
                  <w:rFonts w:ascii="Times New Roman" w:hAnsi="Times New Roman"/>
                </w:rPr>
                <w:t>judi.sobecki@dplinc.com</w:t>
              </w:r>
            </w:hyperlink>
          </w:p>
          <w:p w:rsidR="00F604FF" w:rsidRDefault="00843B26" w:rsidP="00F604FF">
            <w:pPr>
              <w:rPr>
                <w:rFonts w:ascii="Times New Roman" w:hAnsi="Times New Roman"/>
              </w:rPr>
            </w:pPr>
            <w:hyperlink r:id="rId25" w:history="1">
              <w:r w:rsidR="00F604FF">
                <w:rPr>
                  <w:rStyle w:val="Hyperlink"/>
                  <w:rFonts w:ascii="Times New Roman" w:hAnsi="Times New Roman"/>
                </w:rPr>
                <w:t>amy.spiller@duke-energy.com</w:t>
              </w:r>
            </w:hyperlink>
          </w:p>
          <w:p w:rsidR="00F604FF" w:rsidRDefault="00843B26" w:rsidP="00F604FF">
            <w:pPr>
              <w:rPr>
                <w:rFonts w:ascii="Times New Roman" w:hAnsi="Times New Roman"/>
              </w:rPr>
            </w:pPr>
            <w:hyperlink r:id="rId26" w:history="1">
              <w:r w:rsidR="00F604FF">
                <w:rPr>
                  <w:rStyle w:val="Hyperlink"/>
                  <w:rFonts w:ascii="Times New Roman" w:hAnsi="Times New Roman"/>
                </w:rPr>
                <w:t>elizabeth.stevens@puc.state.oh.us</w:t>
              </w:r>
            </w:hyperlink>
          </w:p>
          <w:p w:rsidR="00F604FF" w:rsidRDefault="00843B26" w:rsidP="00F604FF">
            <w:pPr>
              <w:rPr>
                <w:rFonts w:ascii="Times New Roman" w:hAnsi="Times New Roman"/>
              </w:rPr>
            </w:pPr>
            <w:hyperlink r:id="rId27" w:history="1">
              <w:r w:rsidR="00F604FF">
                <w:rPr>
                  <w:rStyle w:val="Hyperlink"/>
                  <w:rFonts w:ascii="Times New Roman" w:hAnsi="Times New Roman"/>
                </w:rPr>
                <w:t>Cynthia.Brady@Constellation.com</w:t>
              </w:r>
            </w:hyperlink>
            <w:r w:rsidR="00F604FF">
              <w:rPr>
                <w:rFonts w:ascii="Times New Roman" w:hAnsi="Times New Roman"/>
              </w:rPr>
              <w:t xml:space="preserve"> </w:t>
            </w:r>
          </w:p>
          <w:p w:rsidR="00F604FF" w:rsidRDefault="00F604FF" w:rsidP="00F604FF"/>
        </w:tc>
        <w:tc>
          <w:tcPr>
            <w:tcW w:w="4788" w:type="dxa"/>
          </w:tcPr>
          <w:p w:rsidR="00F604FF" w:rsidRDefault="00843B26" w:rsidP="00F604FF">
            <w:pPr>
              <w:rPr>
                <w:rFonts w:ascii="Times New Roman" w:hAnsi="Times New Roman"/>
              </w:rPr>
            </w:pPr>
            <w:hyperlink r:id="rId28" w:history="1">
              <w:r w:rsidR="00F604FF">
                <w:rPr>
                  <w:rStyle w:val="Hyperlink"/>
                  <w:rFonts w:ascii="Times New Roman" w:hAnsi="Times New Roman"/>
                </w:rPr>
                <w:t>jkylercohn@BKLlawfirm.com</w:t>
              </w:r>
            </w:hyperlink>
          </w:p>
          <w:p w:rsidR="00F604FF" w:rsidRDefault="00843B26" w:rsidP="00F604FF">
            <w:pPr>
              <w:rPr>
                <w:rFonts w:ascii="Times New Roman" w:hAnsi="Times New Roman"/>
              </w:rPr>
            </w:pPr>
            <w:hyperlink r:id="rId29" w:history="1">
              <w:r w:rsidR="00F604FF">
                <w:rPr>
                  <w:rStyle w:val="Hyperlink"/>
                  <w:rFonts w:ascii="Times New Roman" w:hAnsi="Times New Roman"/>
                </w:rPr>
                <w:t>joliker@mwncmh.com</w:t>
              </w:r>
            </w:hyperlink>
          </w:p>
          <w:p w:rsidR="00F604FF" w:rsidRDefault="00843B26" w:rsidP="00F604FF">
            <w:pPr>
              <w:rPr>
                <w:rFonts w:ascii="Times New Roman" w:hAnsi="Times New Roman"/>
              </w:rPr>
            </w:pPr>
            <w:hyperlink r:id="rId30" w:history="1">
              <w:r w:rsidR="00F604FF">
                <w:rPr>
                  <w:rStyle w:val="Hyperlink"/>
                  <w:rFonts w:ascii="Times New Roman" w:hAnsi="Times New Roman"/>
                </w:rPr>
                <w:t>gpoulos@enernoc.com</w:t>
              </w:r>
            </w:hyperlink>
          </w:p>
          <w:p w:rsidR="00F604FF" w:rsidRDefault="00843B26" w:rsidP="00F604FF">
            <w:pPr>
              <w:rPr>
                <w:rFonts w:ascii="Times New Roman" w:hAnsi="Times New Roman"/>
              </w:rPr>
            </w:pPr>
            <w:hyperlink r:id="rId31" w:history="1">
              <w:r w:rsidR="00F604FF">
                <w:rPr>
                  <w:rStyle w:val="Hyperlink"/>
                  <w:rFonts w:ascii="Times New Roman" w:hAnsi="Times New Roman"/>
                </w:rPr>
                <w:t>ejacobs@ablelaw.org</w:t>
              </w:r>
            </w:hyperlink>
          </w:p>
          <w:p w:rsidR="00F604FF" w:rsidRDefault="00843B26" w:rsidP="00F604FF">
            <w:pPr>
              <w:rPr>
                <w:rFonts w:ascii="Times New Roman" w:hAnsi="Times New Roman"/>
              </w:rPr>
            </w:pPr>
            <w:hyperlink r:id="rId32" w:history="1">
              <w:r w:rsidR="00F604FF">
                <w:rPr>
                  <w:rStyle w:val="Hyperlink"/>
                  <w:rFonts w:ascii="Times New Roman" w:hAnsi="Times New Roman"/>
                </w:rPr>
                <w:t>tsiwo@bricker.com</w:t>
              </w:r>
            </w:hyperlink>
          </w:p>
          <w:p w:rsidR="00F604FF" w:rsidRDefault="00843B26" w:rsidP="00F604FF">
            <w:pPr>
              <w:rPr>
                <w:rFonts w:ascii="Calibri" w:hAnsi="Calibri"/>
              </w:rPr>
            </w:pPr>
            <w:hyperlink r:id="rId33" w:history="1">
              <w:r w:rsidR="00F604FF">
                <w:rPr>
                  <w:rStyle w:val="Hyperlink"/>
                  <w:rFonts w:ascii="Times New Roman" w:hAnsi="Times New Roman"/>
                </w:rPr>
                <w:t>mwarnock@bricker.com</w:t>
              </w:r>
            </w:hyperlink>
          </w:p>
          <w:p w:rsidR="00F604FF" w:rsidRDefault="00843B26" w:rsidP="00F604FF">
            <w:pPr>
              <w:rPr>
                <w:rFonts w:ascii="Times New Roman" w:hAnsi="Times New Roman"/>
              </w:rPr>
            </w:pPr>
            <w:hyperlink r:id="rId34" w:history="1">
              <w:r w:rsidR="00F604FF">
                <w:rPr>
                  <w:rStyle w:val="Hyperlink"/>
                  <w:rFonts w:ascii="Times New Roman" w:hAnsi="Times New Roman"/>
                </w:rPr>
                <w:t>nmorgan@lascinti.org</w:t>
              </w:r>
            </w:hyperlink>
          </w:p>
          <w:p w:rsidR="00F604FF" w:rsidRDefault="00843B26" w:rsidP="00F604FF">
            <w:pPr>
              <w:rPr>
                <w:rFonts w:ascii="Times New Roman" w:hAnsi="Times New Roman"/>
              </w:rPr>
            </w:pPr>
            <w:hyperlink r:id="rId35" w:history="1">
              <w:r w:rsidR="00F604FF">
                <w:rPr>
                  <w:rStyle w:val="Hyperlink"/>
                  <w:rFonts w:ascii="Times New Roman" w:hAnsi="Times New Roman"/>
                </w:rPr>
                <w:t>julie.robie@lasclev.org</w:t>
              </w:r>
            </w:hyperlink>
          </w:p>
          <w:p w:rsidR="00F604FF" w:rsidRDefault="00843B26" w:rsidP="00F604FF">
            <w:pPr>
              <w:rPr>
                <w:rFonts w:ascii="Times New Roman" w:hAnsi="Times New Roman"/>
              </w:rPr>
            </w:pPr>
            <w:hyperlink r:id="rId36" w:history="1">
              <w:r w:rsidR="00F604FF">
                <w:rPr>
                  <w:rStyle w:val="Hyperlink"/>
                  <w:rFonts w:ascii="Times New Roman" w:hAnsi="Times New Roman"/>
                </w:rPr>
                <w:t>mwalters@proseniors.org</w:t>
              </w:r>
            </w:hyperlink>
          </w:p>
          <w:p w:rsidR="00F604FF" w:rsidRDefault="00843B26" w:rsidP="00F604FF">
            <w:pPr>
              <w:rPr>
                <w:rFonts w:ascii="Times New Roman" w:hAnsi="Times New Roman"/>
              </w:rPr>
            </w:pPr>
            <w:hyperlink r:id="rId37" w:history="1">
              <w:r w:rsidR="00F604FF">
                <w:rPr>
                  <w:rStyle w:val="Hyperlink"/>
                  <w:rFonts w:ascii="Times New Roman" w:hAnsi="Times New Roman"/>
                </w:rPr>
                <w:t>plee@oslsa.org</w:t>
              </w:r>
            </w:hyperlink>
          </w:p>
          <w:p w:rsidR="00F604FF" w:rsidRDefault="00843B26" w:rsidP="00F604FF">
            <w:pPr>
              <w:rPr>
                <w:rFonts w:ascii="Times New Roman" w:hAnsi="Times New Roman"/>
              </w:rPr>
            </w:pPr>
            <w:hyperlink r:id="rId38" w:history="1">
              <w:r w:rsidR="00F604FF">
                <w:rPr>
                  <w:rStyle w:val="Hyperlink"/>
                  <w:rFonts w:ascii="Times New Roman" w:hAnsi="Times New Roman"/>
                </w:rPr>
                <w:t>rjohns@oslsa.org</w:t>
              </w:r>
            </w:hyperlink>
          </w:p>
          <w:p w:rsidR="00F604FF" w:rsidRDefault="00843B26" w:rsidP="00F604FF">
            <w:pPr>
              <w:rPr>
                <w:rFonts w:ascii="Times New Roman" w:hAnsi="Times New Roman"/>
              </w:rPr>
            </w:pPr>
            <w:hyperlink r:id="rId39" w:history="1">
              <w:r w:rsidR="00F604FF">
                <w:rPr>
                  <w:rStyle w:val="Hyperlink"/>
                  <w:rFonts w:ascii="Times New Roman" w:hAnsi="Times New Roman"/>
                </w:rPr>
                <w:t>gbenjamin@communitylegalaid.org</w:t>
              </w:r>
            </w:hyperlink>
          </w:p>
          <w:p w:rsidR="00F604FF" w:rsidRDefault="00843B26" w:rsidP="00F604FF">
            <w:pPr>
              <w:rPr>
                <w:rFonts w:ascii="Times New Roman" w:hAnsi="Times New Roman"/>
              </w:rPr>
            </w:pPr>
            <w:hyperlink r:id="rId40" w:history="1">
              <w:r w:rsidR="00F604FF">
                <w:rPr>
                  <w:rStyle w:val="Hyperlink"/>
                  <w:rFonts w:ascii="Times New Roman" w:hAnsi="Times New Roman"/>
                </w:rPr>
                <w:t>David.Fein@Constellation.com</w:t>
              </w:r>
            </w:hyperlink>
          </w:p>
          <w:p w:rsidR="00F604FF" w:rsidRDefault="00843B26" w:rsidP="00F604FF">
            <w:pPr>
              <w:rPr>
                <w:rFonts w:ascii="Times New Roman" w:hAnsi="Times New Roman"/>
              </w:rPr>
            </w:pPr>
            <w:hyperlink r:id="rId41" w:history="1">
              <w:r w:rsidR="00F604FF">
                <w:rPr>
                  <w:rStyle w:val="Hyperlink"/>
                  <w:rFonts w:ascii="Times New Roman" w:hAnsi="Times New Roman"/>
                </w:rPr>
                <w:t>mjsatterwhite@aep.com</w:t>
              </w:r>
            </w:hyperlink>
          </w:p>
          <w:p w:rsidR="00F604FF" w:rsidRDefault="00843B26" w:rsidP="00F604FF">
            <w:pPr>
              <w:rPr>
                <w:rFonts w:ascii="Times New Roman" w:hAnsi="Times New Roman"/>
              </w:rPr>
            </w:pPr>
            <w:hyperlink r:id="rId42" w:history="1">
              <w:r w:rsidR="00F604FF">
                <w:rPr>
                  <w:rStyle w:val="Hyperlink"/>
                  <w:rFonts w:ascii="Times New Roman" w:hAnsi="Times New Roman"/>
                </w:rPr>
                <w:t>yalami@aep.com</w:t>
              </w:r>
            </w:hyperlink>
          </w:p>
          <w:p w:rsidR="00F604FF" w:rsidRDefault="00843B26" w:rsidP="00F604FF">
            <w:pPr>
              <w:rPr>
                <w:rFonts w:ascii="Times New Roman" w:hAnsi="Times New Roman"/>
              </w:rPr>
            </w:pPr>
            <w:hyperlink r:id="rId43" w:history="1">
              <w:r w:rsidR="00F604FF">
                <w:rPr>
                  <w:rStyle w:val="Hyperlink"/>
                  <w:rFonts w:ascii="Times New Roman" w:hAnsi="Times New Roman"/>
                </w:rPr>
                <w:t>cgoodman@energymarketers.com</w:t>
              </w:r>
            </w:hyperlink>
          </w:p>
          <w:p w:rsidR="00F604FF" w:rsidRDefault="00843B26" w:rsidP="00F604FF">
            <w:pPr>
              <w:rPr>
                <w:rFonts w:ascii="Times New Roman" w:hAnsi="Times New Roman"/>
              </w:rPr>
            </w:pPr>
            <w:hyperlink r:id="rId44" w:history="1">
              <w:r w:rsidR="00F604FF">
                <w:rPr>
                  <w:rStyle w:val="Hyperlink"/>
                  <w:rFonts w:ascii="Times New Roman" w:hAnsi="Times New Roman"/>
                </w:rPr>
                <w:t>srantala@energymarketers.com</w:t>
              </w:r>
            </w:hyperlink>
          </w:p>
          <w:p w:rsidR="00F604FF" w:rsidRDefault="00843B26" w:rsidP="00F604FF">
            <w:pPr>
              <w:rPr>
                <w:rFonts w:ascii="Times New Roman" w:hAnsi="Times New Roman"/>
              </w:rPr>
            </w:pPr>
            <w:hyperlink r:id="rId45" w:history="1">
              <w:r w:rsidR="00F604FF">
                <w:rPr>
                  <w:rStyle w:val="Hyperlink"/>
                  <w:rFonts w:ascii="Times New Roman" w:hAnsi="Times New Roman"/>
                </w:rPr>
                <w:t>cdunn@firstenergycorp.com</w:t>
              </w:r>
            </w:hyperlink>
          </w:p>
          <w:p w:rsidR="00F604FF" w:rsidRDefault="00843B26" w:rsidP="00F604FF">
            <w:pPr>
              <w:rPr>
                <w:rFonts w:ascii="Times New Roman" w:hAnsi="Times New Roman"/>
              </w:rPr>
            </w:pPr>
            <w:hyperlink r:id="rId46" w:history="1">
              <w:r w:rsidR="00F604FF">
                <w:rPr>
                  <w:rStyle w:val="Hyperlink"/>
                  <w:rFonts w:ascii="Times New Roman" w:hAnsi="Times New Roman"/>
                </w:rPr>
                <w:t>rocco.dascenzo@duke-energy.com</w:t>
              </w:r>
            </w:hyperlink>
          </w:p>
          <w:p w:rsidR="00F604FF" w:rsidRDefault="00843B26" w:rsidP="00F604FF">
            <w:pPr>
              <w:rPr>
                <w:rFonts w:ascii="Times New Roman" w:hAnsi="Times New Roman"/>
              </w:rPr>
            </w:pPr>
            <w:hyperlink r:id="rId47" w:history="1">
              <w:r w:rsidR="00F604FF">
                <w:rPr>
                  <w:rStyle w:val="Hyperlink"/>
                  <w:rFonts w:ascii="Times New Roman" w:hAnsi="Times New Roman"/>
                </w:rPr>
                <w:t>Elizabeth.watts@duke-energy.com</w:t>
              </w:r>
            </w:hyperlink>
          </w:p>
          <w:p w:rsidR="00F604FF" w:rsidRDefault="00F604FF" w:rsidP="00F604FF"/>
        </w:tc>
      </w:tr>
    </w:tbl>
    <w:p w:rsidR="00B4330A" w:rsidRPr="006A08A1" w:rsidRDefault="00B4330A" w:rsidP="00F604FF">
      <w:pPr>
        <w:rPr>
          <w:rFonts w:ascii="Arial" w:hAnsi="Arial" w:cs="Arial"/>
          <w:sz w:val="24"/>
          <w:szCs w:val="24"/>
        </w:rPr>
      </w:pPr>
    </w:p>
    <w:sectPr w:rsidR="00B4330A" w:rsidRPr="006A08A1">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DC9" w:rsidRDefault="00CE2DC9" w:rsidP="00CE2DC9">
      <w:pPr>
        <w:spacing w:after="0" w:line="240" w:lineRule="auto"/>
      </w:pPr>
      <w:r>
        <w:separator/>
      </w:r>
    </w:p>
  </w:endnote>
  <w:endnote w:type="continuationSeparator" w:id="0">
    <w:p w:rsidR="00CE2DC9" w:rsidRDefault="00CE2DC9" w:rsidP="00CE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811875"/>
      <w:docPartObj>
        <w:docPartGallery w:val="Page Numbers (Bottom of Page)"/>
        <w:docPartUnique/>
      </w:docPartObj>
    </w:sdtPr>
    <w:sdtEndPr>
      <w:rPr>
        <w:noProof/>
      </w:rPr>
    </w:sdtEndPr>
    <w:sdtContent>
      <w:p w:rsidR="00CD4A50" w:rsidRDefault="00CD4A50">
        <w:pPr>
          <w:pStyle w:val="Footer"/>
          <w:jc w:val="center"/>
        </w:pPr>
        <w:r>
          <w:fldChar w:fldCharType="begin"/>
        </w:r>
        <w:r>
          <w:instrText xml:space="preserve"> PAGE   \* MERGEFORMAT </w:instrText>
        </w:r>
        <w:r>
          <w:fldChar w:fldCharType="separate"/>
        </w:r>
        <w:r w:rsidR="00843B26">
          <w:rPr>
            <w:noProof/>
          </w:rPr>
          <w:t>2</w:t>
        </w:r>
        <w:r>
          <w:rPr>
            <w:noProof/>
          </w:rPr>
          <w:fldChar w:fldCharType="end"/>
        </w:r>
      </w:p>
    </w:sdtContent>
  </w:sdt>
  <w:p w:rsidR="00CD4A50" w:rsidRDefault="00CD4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DC9" w:rsidRDefault="00CE2DC9" w:rsidP="00CE2DC9">
      <w:pPr>
        <w:spacing w:after="0" w:line="240" w:lineRule="auto"/>
      </w:pPr>
      <w:r>
        <w:separator/>
      </w:r>
    </w:p>
  </w:footnote>
  <w:footnote w:type="continuationSeparator" w:id="0">
    <w:p w:rsidR="00CE2DC9" w:rsidRDefault="00CE2DC9" w:rsidP="00CE2DC9">
      <w:pPr>
        <w:spacing w:after="0" w:line="240" w:lineRule="auto"/>
      </w:pPr>
      <w:r>
        <w:continuationSeparator/>
      </w:r>
    </w:p>
  </w:footnote>
  <w:footnote w:id="1">
    <w:p w:rsidR="00CE2DC9" w:rsidRDefault="00CE2DC9">
      <w:pPr>
        <w:pStyle w:val="FootnoteText"/>
      </w:pPr>
      <w:r>
        <w:rPr>
          <w:rStyle w:val="FootnoteReference"/>
        </w:rPr>
        <w:footnoteRef/>
      </w:r>
      <w:r>
        <w:t xml:space="preserve"> PUCO Case No. 12-3151-EL-COI, Entry (12/12/12), at 2.  </w:t>
      </w:r>
    </w:p>
  </w:footnote>
  <w:footnote w:id="2">
    <w:p w:rsidR="001950D0" w:rsidRDefault="001950D0">
      <w:pPr>
        <w:pStyle w:val="FootnoteText"/>
      </w:pPr>
      <w:r>
        <w:rPr>
          <w:rStyle w:val="FootnoteReference"/>
        </w:rPr>
        <w:footnoteRef/>
      </w:r>
      <w:r>
        <w:t xml:space="preserve"> PUCO Case No. 12-3151-EL-COI, Entry (5/29/13), at 2.  </w:t>
      </w:r>
    </w:p>
  </w:footnote>
  <w:footnote w:id="3">
    <w:p w:rsidR="006A08A1" w:rsidRDefault="006A08A1">
      <w:pPr>
        <w:pStyle w:val="FootnoteText"/>
      </w:pPr>
      <w:r>
        <w:rPr>
          <w:rStyle w:val="FootnoteReference"/>
        </w:rPr>
        <w:footnoteRef/>
      </w:r>
      <w:r>
        <w:t xml:space="preserve"> Staff Report at 15.</w:t>
      </w:r>
    </w:p>
  </w:footnote>
  <w:footnote w:id="4">
    <w:p w:rsidR="000C6A8E" w:rsidRDefault="000C6A8E">
      <w:pPr>
        <w:pStyle w:val="FootnoteText"/>
      </w:pPr>
      <w:r>
        <w:rPr>
          <w:rStyle w:val="FootnoteReference"/>
        </w:rPr>
        <w:footnoteRef/>
      </w:r>
      <w:r>
        <w:t xml:space="preserve"> Id.</w:t>
      </w:r>
    </w:p>
  </w:footnote>
  <w:footnote w:id="5">
    <w:p w:rsidR="00D76F2A" w:rsidRDefault="00D76F2A" w:rsidP="00D76F2A">
      <w:pPr>
        <w:pStyle w:val="FootnoteText"/>
      </w:pPr>
      <w:r>
        <w:rPr>
          <w:rStyle w:val="FootnoteReference"/>
        </w:rPr>
        <w:footnoteRef/>
      </w:r>
      <w:r>
        <w:t xml:space="preserve"> </w:t>
      </w:r>
      <w:r w:rsidR="00F604FF">
        <w:t>Staff Report at 16-17.</w:t>
      </w:r>
    </w:p>
  </w:footnote>
  <w:footnote w:id="6">
    <w:p w:rsidR="00F604FF" w:rsidRDefault="008030B2">
      <w:pPr>
        <w:pStyle w:val="FootnoteText"/>
        <w:rPr>
          <w:rFonts w:cs="Helvetica"/>
          <w:shd w:val="clear" w:color="auto" w:fill="FFFFFF"/>
        </w:rPr>
      </w:pPr>
      <w:r w:rsidRPr="00F604FF">
        <w:rPr>
          <w:rStyle w:val="FootnoteReference"/>
        </w:rPr>
        <w:footnoteRef/>
      </w:r>
      <w:r w:rsidRPr="00F604FF">
        <w:t xml:space="preserve"> </w:t>
      </w:r>
      <w:r w:rsidR="00F604FF" w:rsidRPr="00F604FF">
        <w:t xml:space="preserve">According to the </w:t>
      </w:r>
      <w:r w:rsidR="00F604FF">
        <w:t>FirstEnergy</w:t>
      </w:r>
      <w:r w:rsidR="00F604FF" w:rsidRPr="00F604FF">
        <w:t xml:space="preserve"> website, charges for its HVAC and utility line protection services are “</w:t>
      </w:r>
      <w:r w:rsidR="00F604FF" w:rsidRPr="00F604FF">
        <w:rPr>
          <w:rFonts w:cs="Helvetica"/>
          <w:shd w:val="clear" w:color="auto" w:fill="FFFFFF"/>
        </w:rPr>
        <w:t>conveniently added to your electric bill</w:t>
      </w:r>
      <w:r w:rsidR="00F604FF">
        <w:rPr>
          <w:rFonts w:cs="Helvetica"/>
          <w:shd w:val="clear" w:color="auto" w:fill="FFFFFF"/>
        </w:rPr>
        <w:t xml:space="preserve">.”  See: </w:t>
      </w:r>
    </w:p>
    <w:p w:rsidR="00F604FF" w:rsidRDefault="00F604FF">
      <w:pPr>
        <w:pStyle w:val="FootnoteText"/>
        <w:rPr>
          <w:rFonts w:cs="Helvetica"/>
          <w:shd w:val="clear" w:color="auto" w:fill="FFFFFF"/>
        </w:rPr>
      </w:pPr>
    </w:p>
    <w:p w:rsidR="008030B2" w:rsidRPr="00F604FF" w:rsidRDefault="00F604FF">
      <w:pPr>
        <w:pStyle w:val="FootnoteText"/>
      </w:pPr>
      <w:r w:rsidRPr="00F604FF">
        <w:rPr>
          <w:rFonts w:cs="Helvetica"/>
          <w:shd w:val="clear" w:color="auto" w:fill="FFFFFF"/>
        </w:rPr>
        <w:t>https://www.firstenergycorp.com/content/customer/products/protect_your_home/line_protection_program.html</w:t>
      </w:r>
      <w:r>
        <w:rPr>
          <w:rFonts w:cs="Helvetica"/>
          <w:shd w:val="clear" w:color="auto" w:fill="FFFFFF"/>
        </w:rPr>
        <w:t xml:space="preserve">   </w:t>
      </w:r>
      <w:r w:rsidRPr="00F604FF">
        <w:rPr>
          <w:rFonts w:cs="Helvetica"/>
          <w:shd w:val="clear" w:color="auto" w:fill="FFFFFF"/>
        </w:rPr>
        <w:t> </w:t>
      </w:r>
    </w:p>
  </w:footnote>
  <w:footnote w:id="7">
    <w:p w:rsidR="00EF786C" w:rsidRDefault="00EF786C">
      <w:pPr>
        <w:pStyle w:val="FootnoteText"/>
      </w:pPr>
      <w:r>
        <w:rPr>
          <w:rStyle w:val="FootnoteReference"/>
        </w:rPr>
        <w:footnoteRef/>
      </w:r>
      <w:r>
        <w:t xml:space="preserve"> Staff Report at 13-14.  </w:t>
      </w:r>
    </w:p>
  </w:footnote>
  <w:footnote w:id="8">
    <w:p w:rsidR="00EF786C" w:rsidRDefault="00EF786C">
      <w:pPr>
        <w:pStyle w:val="FootnoteText"/>
      </w:pPr>
      <w:r>
        <w:rPr>
          <w:rStyle w:val="FootnoteReference"/>
        </w:rPr>
        <w:footnoteRef/>
      </w:r>
      <w:r>
        <w:t xml:space="preserve"> Id.</w:t>
      </w:r>
    </w:p>
  </w:footnote>
  <w:footnote w:id="9">
    <w:p w:rsidR="007F437D" w:rsidRDefault="007F437D">
      <w:pPr>
        <w:pStyle w:val="FootnoteText"/>
      </w:pPr>
      <w:r>
        <w:rPr>
          <w:rStyle w:val="FootnoteReference"/>
        </w:rPr>
        <w:footnoteRef/>
      </w:r>
      <w:r>
        <w:t xml:space="preserve"> Staff Report at 18-19.</w:t>
      </w:r>
    </w:p>
  </w:footnote>
  <w:footnote w:id="10">
    <w:p w:rsidR="0028110C" w:rsidRDefault="0028110C">
      <w:pPr>
        <w:pStyle w:val="FootnoteText"/>
      </w:pPr>
      <w:r>
        <w:rPr>
          <w:rStyle w:val="FootnoteReference"/>
        </w:rPr>
        <w:footnoteRef/>
      </w:r>
      <w:r>
        <w:t xml:space="preserve"> Currently Dominion East Ohio and Columbia Gas of Ohio offer contract portability as part of their natural gas Choice programs.  Vectren Energy Delivery of Ohio is in the process of implementing contract portability as well.</w:t>
      </w:r>
    </w:p>
  </w:footnote>
  <w:footnote w:id="11">
    <w:p w:rsidR="00787BE5" w:rsidRDefault="00787BE5">
      <w:pPr>
        <w:pStyle w:val="FootnoteText"/>
      </w:pPr>
      <w:r>
        <w:rPr>
          <w:rStyle w:val="FootnoteReference"/>
        </w:rPr>
        <w:footnoteRef/>
      </w:r>
      <w:r>
        <w:t xml:space="preserve"> Staff Report at 20.</w:t>
      </w:r>
    </w:p>
  </w:footnote>
  <w:footnote w:id="12">
    <w:p w:rsidR="00B47FB6" w:rsidRDefault="00B47FB6">
      <w:pPr>
        <w:pStyle w:val="FootnoteText"/>
      </w:pPr>
      <w:r>
        <w:rPr>
          <w:rStyle w:val="FootnoteReference"/>
        </w:rPr>
        <w:footnoteRef/>
      </w:r>
      <w:r>
        <w:t xml:space="preserve"> Staff Report, at 11-12</w:t>
      </w:r>
    </w:p>
  </w:footnote>
  <w:footnote w:id="13">
    <w:p w:rsidR="00B4330A" w:rsidRDefault="00B4330A">
      <w:pPr>
        <w:pStyle w:val="FootnoteText"/>
      </w:pPr>
      <w:r>
        <w:rPr>
          <w:rStyle w:val="FootnoteReference"/>
        </w:rPr>
        <w:footnoteRef/>
      </w:r>
      <w:r>
        <w:t xml:space="preserve"> 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F6756"/>
    <w:multiLevelType w:val="hybridMultilevel"/>
    <w:tmpl w:val="E9285982"/>
    <w:lvl w:ilvl="0" w:tplc="8FC4C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AE01D5"/>
    <w:multiLevelType w:val="hybridMultilevel"/>
    <w:tmpl w:val="3FEC8CDE"/>
    <w:lvl w:ilvl="0" w:tplc="B0F41F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3B33ED"/>
    <w:multiLevelType w:val="hybridMultilevel"/>
    <w:tmpl w:val="9C46BE9E"/>
    <w:lvl w:ilvl="0" w:tplc="05527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0F1A20"/>
    <w:multiLevelType w:val="hybridMultilevel"/>
    <w:tmpl w:val="D438E7A0"/>
    <w:lvl w:ilvl="0" w:tplc="766C8964">
      <w:start w:val="1"/>
      <w:numFmt w:val="decimal"/>
      <w:lvlText w:val="%1)"/>
      <w:lvlJc w:val="left"/>
      <w:pPr>
        <w:ind w:left="2160" w:hanging="360"/>
      </w:pPr>
      <w:rPr>
        <w:rFonts w:ascii="Arial" w:eastAsiaTheme="minorHAnsi" w:hAnsi="Arial" w:cs="Arial"/>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7A8E6015"/>
    <w:multiLevelType w:val="hybridMultilevel"/>
    <w:tmpl w:val="D56ABF3E"/>
    <w:lvl w:ilvl="0" w:tplc="DD9067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2E"/>
    <w:rsid w:val="00053E68"/>
    <w:rsid w:val="00055C77"/>
    <w:rsid w:val="000C6A8E"/>
    <w:rsid w:val="000F4903"/>
    <w:rsid w:val="0010088A"/>
    <w:rsid w:val="00114E58"/>
    <w:rsid w:val="00121F1E"/>
    <w:rsid w:val="00161201"/>
    <w:rsid w:val="001950D0"/>
    <w:rsid w:val="001C24DA"/>
    <w:rsid w:val="001D0AF8"/>
    <w:rsid w:val="001E1188"/>
    <w:rsid w:val="001F10BE"/>
    <w:rsid w:val="001F3C82"/>
    <w:rsid w:val="00221C63"/>
    <w:rsid w:val="002534B7"/>
    <w:rsid w:val="0028110C"/>
    <w:rsid w:val="00292EB3"/>
    <w:rsid w:val="002A7B17"/>
    <w:rsid w:val="00300731"/>
    <w:rsid w:val="00360157"/>
    <w:rsid w:val="00390ADD"/>
    <w:rsid w:val="003C797B"/>
    <w:rsid w:val="003E552C"/>
    <w:rsid w:val="00417C3A"/>
    <w:rsid w:val="004478C4"/>
    <w:rsid w:val="0046230E"/>
    <w:rsid w:val="004864B0"/>
    <w:rsid w:val="00487731"/>
    <w:rsid w:val="004B1BBD"/>
    <w:rsid w:val="004C1832"/>
    <w:rsid w:val="004C23A2"/>
    <w:rsid w:val="004C4AFE"/>
    <w:rsid w:val="004D2EE2"/>
    <w:rsid w:val="00515121"/>
    <w:rsid w:val="00521C6F"/>
    <w:rsid w:val="00547530"/>
    <w:rsid w:val="005560B7"/>
    <w:rsid w:val="00567B2B"/>
    <w:rsid w:val="0057159A"/>
    <w:rsid w:val="005730E0"/>
    <w:rsid w:val="0059265C"/>
    <w:rsid w:val="005C0C95"/>
    <w:rsid w:val="005C37D7"/>
    <w:rsid w:val="005C7C9C"/>
    <w:rsid w:val="005D04D6"/>
    <w:rsid w:val="005D2BB9"/>
    <w:rsid w:val="005E4CEE"/>
    <w:rsid w:val="005E63E7"/>
    <w:rsid w:val="005F6A61"/>
    <w:rsid w:val="00613BB9"/>
    <w:rsid w:val="00650A65"/>
    <w:rsid w:val="00670A17"/>
    <w:rsid w:val="00686B57"/>
    <w:rsid w:val="00697FD4"/>
    <w:rsid w:val="006A08A1"/>
    <w:rsid w:val="006D6084"/>
    <w:rsid w:val="006E15D5"/>
    <w:rsid w:val="006F1EB6"/>
    <w:rsid w:val="00736F40"/>
    <w:rsid w:val="00752AEB"/>
    <w:rsid w:val="00756DD0"/>
    <w:rsid w:val="007700DA"/>
    <w:rsid w:val="00783F60"/>
    <w:rsid w:val="00786659"/>
    <w:rsid w:val="00787BE5"/>
    <w:rsid w:val="007D74AC"/>
    <w:rsid w:val="007E718C"/>
    <w:rsid w:val="007F437D"/>
    <w:rsid w:val="008030B2"/>
    <w:rsid w:val="00830C0D"/>
    <w:rsid w:val="00843B26"/>
    <w:rsid w:val="00850E71"/>
    <w:rsid w:val="008A1E3E"/>
    <w:rsid w:val="008F2BCE"/>
    <w:rsid w:val="009306CA"/>
    <w:rsid w:val="0095028E"/>
    <w:rsid w:val="009678DF"/>
    <w:rsid w:val="009817FC"/>
    <w:rsid w:val="00991937"/>
    <w:rsid w:val="009F435D"/>
    <w:rsid w:val="00A23D50"/>
    <w:rsid w:val="00A319A4"/>
    <w:rsid w:val="00A53A78"/>
    <w:rsid w:val="00A6107E"/>
    <w:rsid w:val="00AD23A5"/>
    <w:rsid w:val="00AD47AB"/>
    <w:rsid w:val="00AD78D4"/>
    <w:rsid w:val="00B1081A"/>
    <w:rsid w:val="00B238F3"/>
    <w:rsid w:val="00B3076B"/>
    <w:rsid w:val="00B4330A"/>
    <w:rsid w:val="00B47FB6"/>
    <w:rsid w:val="00B50118"/>
    <w:rsid w:val="00B55A44"/>
    <w:rsid w:val="00B631D4"/>
    <w:rsid w:val="00B7015C"/>
    <w:rsid w:val="00B82C8B"/>
    <w:rsid w:val="00B93B2E"/>
    <w:rsid w:val="00BD756A"/>
    <w:rsid w:val="00BF4E61"/>
    <w:rsid w:val="00BF57C7"/>
    <w:rsid w:val="00C0266A"/>
    <w:rsid w:val="00C05480"/>
    <w:rsid w:val="00C107E2"/>
    <w:rsid w:val="00C23160"/>
    <w:rsid w:val="00C247A9"/>
    <w:rsid w:val="00C411D7"/>
    <w:rsid w:val="00C60870"/>
    <w:rsid w:val="00C608D8"/>
    <w:rsid w:val="00C70E22"/>
    <w:rsid w:val="00CA67FA"/>
    <w:rsid w:val="00CC434B"/>
    <w:rsid w:val="00CD4A50"/>
    <w:rsid w:val="00CD6C51"/>
    <w:rsid w:val="00CE2DC9"/>
    <w:rsid w:val="00D1591E"/>
    <w:rsid w:val="00D24936"/>
    <w:rsid w:val="00D456BC"/>
    <w:rsid w:val="00D538D9"/>
    <w:rsid w:val="00D76F2A"/>
    <w:rsid w:val="00D96C96"/>
    <w:rsid w:val="00DA198D"/>
    <w:rsid w:val="00DA4C9C"/>
    <w:rsid w:val="00DB43E7"/>
    <w:rsid w:val="00E10410"/>
    <w:rsid w:val="00E41537"/>
    <w:rsid w:val="00E831FD"/>
    <w:rsid w:val="00EB748D"/>
    <w:rsid w:val="00EC6526"/>
    <w:rsid w:val="00EF786C"/>
    <w:rsid w:val="00F00A2C"/>
    <w:rsid w:val="00F03E6B"/>
    <w:rsid w:val="00F11274"/>
    <w:rsid w:val="00F20965"/>
    <w:rsid w:val="00F20A28"/>
    <w:rsid w:val="00F604FF"/>
    <w:rsid w:val="00F63410"/>
    <w:rsid w:val="00FA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93B2E"/>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93B2E"/>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B93B2E"/>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B93B2E"/>
    <w:rPr>
      <w:rFonts w:eastAsiaTheme="minorEastAsia"/>
    </w:rPr>
  </w:style>
  <w:style w:type="paragraph" w:styleId="FootnoteText">
    <w:name w:val="footnote text"/>
    <w:basedOn w:val="Normal"/>
    <w:link w:val="FootnoteTextChar"/>
    <w:uiPriority w:val="99"/>
    <w:unhideWhenUsed/>
    <w:rsid w:val="00CE2DC9"/>
    <w:pPr>
      <w:spacing w:after="0" w:line="240" w:lineRule="auto"/>
    </w:pPr>
    <w:rPr>
      <w:sz w:val="20"/>
      <w:szCs w:val="20"/>
    </w:rPr>
  </w:style>
  <w:style w:type="character" w:customStyle="1" w:styleId="FootnoteTextChar">
    <w:name w:val="Footnote Text Char"/>
    <w:basedOn w:val="DefaultParagraphFont"/>
    <w:link w:val="FootnoteText"/>
    <w:uiPriority w:val="99"/>
    <w:rsid w:val="00CE2DC9"/>
    <w:rPr>
      <w:sz w:val="20"/>
      <w:szCs w:val="20"/>
    </w:rPr>
  </w:style>
  <w:style w:type="character" w:styleId="FootnoteReference">
    <w:name w:val="footnote reference"/>
    <w:basedOn w:val="DefaultParagraphFont"/>
    <w:uiPriority w:val="99"/>
    <w:semiHidden/>
    <w:unhideWhenUsed/>
    <w:rsid w:val="00CE2DC9"/>
    <w:rPr>
      <w:vertAlign w:val="superscript"/>
    </w:rPr>
  </w:style>
  <w:style w:type="paragraph" w:styleId="ListParagraph">
    <w:name w:val="List Paragraph"/>
    <w:basedOn w:val="Normal"/>
    <w:uiPriority w:val="34"/>
    <w:qFormat/>
    <w:rsid w:val="00DA198D"/>
    <w:pPr>
      <w:ind w:left="720"/>
      <w:contextualSpacing/>
    </w:pPr>
  </w:style>
  <w:style w:type="paragraph" w:styleId="Header">
    <w:name w:val="header"/>
    <w:basedOn w:val="Normal"/>
    <w:link w:val="HeaderChar"/>
    <w:uiPriority w:val="99"/>
    <w:unhideWhenUsed/>
    <w:rsid w:val="00CD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A50"/>
  </w:style>
  <w:style w:type="character" w:customStyle="1" w:styleId="apple-converted-space">
    <w:name w:val="apple-converted-space"/>
    <w:basedOn w:val="DefaultParagraphFont"/>
    <w:rsid w:val="00390ADD"/>
  </w:style>
  <w:style w:type="character" w:styleId="Hyperlink">
    <w:name w:val="Hyperlink"/>
    <w:basedOn w:val="DefaultParagraphFont"/>
    <w:uiPriority w:val="99"/>
    <w:unhideWhenUsed/>
    <w:rsid w:val="008A1E3E"/>
    <w:rPr>
      <w:color w:val="0000FF" w:themeColor="hyperlink"/>
      <w:u w:val="single"/>
    </w:rPr>
  </w:style>
  <w:style w:type="character" w:styleId="CommentReference">
    <w:name w:val="annotation reference"/>
    <w:basedOn w:val="DefaultParagraphFont"/>
    <w:uiPriority w:val="99"/>
    <w:semiHidden/>
    <w:unhideWhenUsed/>
    <w:rsid w:val="00F03E6B"/>
    <w:rPr>
      <w:sz w:val="16"/>
      <w:szCs w:val="16"/>
    </w:rPr>
  </w:style>
  <w:style w:type="paragraph" w:styleId="CommentText">
    <w:name w:val="annotation text"/>
    <w:basedOn w:val="Normal"/>
    <w:link w:val="CommentTextChar"/>
    <w:uiPriority w:val="99"/>
    <w:semiHidden/>
    <w:unhideWhenUsed/>
    <w:rsid w:val="00F03E6B"/>
    <w:pPr>
      <w:spacing w:line="240" w:lineRule="auto"/>
    </w:pPr>
    <w:rPr>
      <w:sz w:val="20"/>
      <w:szCs w:val="20"/>
    </w:rPr>
  </w:style>
  <w:style w:type="character" w:customStyle="1" w:styleId="CommentTextChar">
    <w:name w:val="Comment Text Char"/>
    <w:basedOn w:val="DefaultParagraphFont"/>
    <w:link w:val="CommentText"/>
    <w:uiPriority w:val="99"/>
    <w:semiHidden/>
    <w:rsid w:val="00F03E6B"/>
    <w:rPr>
      <w:sz w:val="20"/>
      <w:szCs w:val="20"/>
    </w:rPr>
  </w:style>
  <w:style w:type="paragraph" w:styleId="CommentSubject">
    <w:name w:val="annotation subject"/>
    <w:basedOn w:val="CommentText"/>
    <w:next w:val="CommentText"/>
    <w:link w:val="CommentSubjectChar"/>
    <w:uiPriority w:val="99"/>
    <w:semiHidden/>
    <w:unhideWhenUsed/>
    <w:rsid w:val="00F03E6B"/>
    <w:rPr>
      <w:b/>
      <w:bCs/>
    </w:rPr>
  </w:style>
  <w:style w:type="character" w:customStyle="1" w:styleId="CommentSubjectChar">
    <w:name w:val="Comment Subject Char"/>
    <w:basedOn w:val="CommentTextChar"/>
    <w:link w:val="CommentSubject"/>
    <w:uiPriority w:val="99"/>
    <w:semiHidden/>
    <w:rsid w:val="00F03E6B"/>
    <w:rPr>
      <w:b/>
      <w:bCs/>
      <w:sz w:val="20"/>
      <w:szCs w:val="20"/>
    </w:rPr>
  </w:style>
  <w:style w:type="paragraph" w:styleId="BalloonText">
    <w:name w:val="Balloon Text"/>
    <w:basedOn w:val="Normal"/>
    <w:link w:val="BalloonTextChar"/>
    <w:uiPriority w:val="99"/>
    <w:semiHidden/>
    <w:unhideWhenUsed/>
    <w:rsid w:val="00F0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E6B"/>
    <w:rPr>
      <w:rFonts w:ascii="Tahoma" w:hAnsi="Tahoma" w:cs="Tahoma"/>
      <w:sz w:val="16"/>
      <w:szCs w:val="16"/>
    </w:rPr>
  </w:style>
  <w:style w:type="paragraph" w:customStyle="1" w:styleId="TOCTitle">
    <w:name w:val="TOC Title"/>
    <w:basedOn w:val="Normal"/>
    <w:qFormat/>
    <w:rsid w:val="00C608D8"/>
    <w:pPr>
      <w:spacing w:after="240" w:line="240" w:lineRule="auto"/>
      <w:jc w:val="center"/>
    </w:pPr>
    <w:rPr>
      <w:rFonts w:asciiTheme="majorHAnsi" w:eastAsia="Times New Roman" w:hAnsiTheme="majorHAnsi" w:cs="Times New Roman"/>
      <w:b/>
      <w:sz w:val="24"/>
      <w:szCs w:val="24"/>
    </w:rPr>
  </w:style>
  <w:style w:type="paragraph" w:customStyle="1" w:styleId="Level1">
    <w:name w:val="Level 1"/>
    <w:basedOn w:val="TOC1"/>
    <w:link w:val="Level1Char"/>
    <w:qFormat/>
    <w:rsid w:val="00C608D8"/>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C608D8"/>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C608D8"/>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C608D8"/>
    <w:rPr>
      <w:rFonts w:asciiTheme="majorHAnsi" w:eastAsia="Times New Roman" w:hAnsiTheme="majorHAnsi" w:cs="Times New Roman"/>
      <w:smallCaps/>
      <w:color w:val="000000"/>
      <w:sz w:val="20"/>
      <w:szCs w:val="20"/>
    </w:rPr>
  </w:style>
  <w:style w:type="paragraph" w:styleId="TOC1">
    <w:name w:val="toc 1"/>
    <w:basedOn w:val="Normal"/>
    <w:next w:val="Normal"/>
    <w:autoRedefine/>
    <w:uiPriority w:val="39"/>
    <w:semiHidden/>
    <w:unhideWhenUsed/>
    <w:rsid w:val="00C608D8"/>
    <w:pPr>
      <w:spacing w:after="100"/>
    </w:pPr>
  </w:style>
  <w:style w:type="paragraph" w:styleId="TOC2">
    <w:name w:val="toc 2"/>
    <w:basedOn w:val="Normal"/>
    <w:next w:val="Normal"/>
    <w:autoRedefine/>
    <w:uiPriority w:val="39"/>
    <w:semiHidden/>
    <w:unhideWhenUsed/>
    <w:rsid w:val="00C608D8"/>
    <w:pPr>
      <w:spacing w:after="100"/>
      <w:ind w:left="220"/>
    </w:pPr>
  </w:style>
  <w:style w:type="table" w:styleId="TableGrid">
    <w:name w:val="Table Grid"/>
    <w:basedOn w:val="TableNormal"/>
    <w:uiPriority w:val="59"/>
    <w:rsid w:val="00F60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93B2E"/>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93B2E"/>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B93B2E"/>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B93B2E"/>
    <w:rPr>
      <w:rFonts w:eastAsiaTheme="minorEastAsia"/>
    </w:rPr>
  </w:style>
  <w:style w:type="paragraph" w:styleId="FootnoteText">
    <w:name w:val="footnote text"/>
    <w:basedOn w:val="Normal"/>
    <w:link w:val="FootnoteTextChar"/>
    <w:uiPriority w:val="99"/>
    <w:unhideWhenUsed/>
    <w:rsid w:val="00CE2DC9"/>
    <w:pPr>
      <w:spacing w:after="0" w:line="240" w:lineRule="auto"/>
    </w:pPr>
    <w:rPr>
      <w:sz w:val="20"/>
      <w:szCs w:val="20"/>
    </w:rPr>
  </w:style>
  <w:style w:type="character" w:customStyle="1" w:styleId="FootnoteTextChar">
    <w:name w:val="Footnote Text Char"/>
    <w:basedOn w:val="DefaultParagraphFont"/>
    <w:link w:val="FootnoteText"/>
    <w:uiPriority w:val="99"/>
    <w:rsid w:val="00CE2DC9"/>
    <w:rPr>
      <w:sz w:val="20"/>
      <w:szCs w:val="20"/>
    </w:rPr>
  </w:style>
  <w:style w:type="character" w:styleId="FootnoteReference">
    <w:name w:val="footnote reference"/>
    <w:basedOn w:val="DefaultParagraphFont"/>
    <w:uiPriority w:val="99"/>
    <w:semiHidden/>
    <w:unhideWhenUsed/>
    <w:rsid w:val="00CE2DC9"/>
    <w:rPr>
      <w:vertAlign w:val="superscript"/>
    </w:rPr>
  </w:style>
  <w:style w:type="paragraph" w:styleId="ListParagraph">
    <w:name w:val="List Paragraph"/>
    <w:basedOn w:val="Normal"/>
    <w:uiPriority w:val="34"/>
    <w:qFormat/>
    <w:rsid w:val="00DA198D"/>
    <w:pPr>
      <w:ind w:left="720"/>
      <w:contextualSpacing/>
    </w:pPr>
  </w:style>
  <w:style w:type="paragraph" w:styleId="Header">
    <w:name w:val="header"/>
    <w:basedOn w:val="Normal"/>
    <w:link w:val="HeaderChar"/>
    <w:uiPriority w:val="99"/>
    <w:unhideWhenUsed/>
    <w:rsid w:val="00CD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A50"/>
  </w:style>
  <w:style w:type="character" w:customStyle="1" w:styleId="apple-converted-space">
    <w:name w:val="apple-converted-space"/>
    <w:basedOn w:val="DefaultParagraphFont"/>
    <w:rsid w:val="00390ADD"/>
  </w:style>
  <w:style w:type="character" w:styleId="Hyperlink">
    <w:name w:val="Hyperlink"/>
    <w:basedOn w:val="DefaultParagraphFont"/>
    <w:uiPriority w:val="99"/>
    <w:unhideWhenUsed/>
    <w:rsid w:val="008A1E3E"/>
    <w:rPr>
      <w:color w:val="0000FF" w:themeColor="hyperlink"/>
      <w:u w:val="single"/>
    </w:rPr>
  </w:style>
  <w:style w:type="character" w:styleId="CommentReference">
    <w:name w:val="annotation reference"/>
    <w:basedOn w:val="DefaultParagraphFont"/>
    <w:uiPriority w:val="99"/>
    <w:semiHidden/>
    <w:unhideWhenUsed/>
    <w:rsid w:val="00F03E6B"/>
    <w:rPr>
      <w:sz w:val="16"/>
      <w:szCs w:val="16"/>
    </w:rPr>
  </w:style>
  <w:style w:type="paragraph" w:styleId="CommentText">
    <w:name w:val="annotation text"/>
    <w:basedOn w:val="Normal"/>
    <w:link w:val="CommentTextChar"/>
    <w:uiPriority w:val="99"/>
    <w:semiHidden/>
    <w:unhideWhenUsed/>
    <w:rsid w:val="00F03E6B"/>
    <w:pPr>
      <w:spacing w:line="240" w:lineRule="auto"/>
    </w:pPr>
    <w:rPr>
      <w:sz w:val="20"/>
      <w:szCs w:val="20"/>
    </w:rPr>
  </w:style>
  <w:style w:type="character" w:customStyle="1" w:styleId="CommentTextChar">
    <w:name w:val="Comment Text Char"/>
    <w:basedOn w:val="DefaultParagraphFont"/>
    <w:link w:val="CommentText"/>
    <w:uiPriority w:val="99"/>
    <w:semiHidden/>
    <w:rsid w:val="00F03E6B"/>
    <w:rPr>
      <w:sz w:val="20"/>
      <w:szCs w:val="20"/>
    </w:rPr>
  </w:style>
  <w:style w:type="paragraph" w:styleId="CommentSubject">
    <w:name w:val="annotation subject"/>
    <w:basedOn w:val="CommentText"/>
    <w:next w:val="CommentText"/>
    <w:link w:val="CommentSubjectChar"/>
    <w:uiPriority w:val="99"/>
    <w:semiHidden/>
    <w:unhideWhenUsed/>
    <w:rsid w:val="00F03E6B"/>
    <w:rPr>
      <w:b/>
      <w:bCs/>
    </w:rPr>
  </w:style>
  <w:style w:type="character" w:customStyle="1" w:styleId="CommentSubjectChar">
    <w:name w:val="Comment Subject Char"/>
    <w:basedOn w:val="CommentTextChar"/>
    <w:link w:val="CommentSubject"/>
    <w:uiPriority w:val="99"/>
    <w:semiHidden/>
    <w:rsid w:val="00F03E6B"/>
    <w:rPr>
      <w:b/>
      <w:bCs/>
      <w:sz w:val="20"/>
      <w:szCs w:val="20"/>
    </w:rPr>
  </w:style>
  <w:style w:type="paragraph" w:styleId="BalloonText">
    <w:name w:val="Balloon Text"/>
    <w:basedOn w:val="Normal"/>
    <w:link w:val="BalloonTextChar"/>
    <w:uiPriority w:val="99"/>
    <w:semiHidden/>
    <w:unhideWhenUsed/>
    <w:rsid w:val="00F0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E6B"/>
    <w:rPr>
      <w:rFonts w:ascii="Tahoma" w:hAnsi="Tahoma" w:cs="Tahoma"/>
      <w:sz w:val="16"/>
      <w:szCs w:val="16"/>
    </w:rPr>
  </w:style>
  <w:style w:type="paragraph" w:customStyle="1" w:styleId="TOCTitle">
    <w:name w:val="TOC Title"/>
    <w:basedOn w:val="Normal"/>
    <w:qFormat/>
    <w:rsid w:val="00C608D8"/>
    <w:pPr>
      <w:spacing w:after="240" w:line="240" w:lineRule="auto"/>
      <w:jc w:val="center"/>
    </w:pPr>
    <w:rPr>
      <w:rFonts w:asciiTheme="majorHAnsi" w:eastAsia="Times New Roman" w:hAnsiTheme="majorHAnsi" w:cs="Times New Roman"/>
      <w:b/>
      <w:sz w:val="24"/>
      <w:szCs w:val="24"/>
    </w:rPr>
  </w:style>
  <w:style w:type="paragraph" w:customStyle="1" w:styleId="Level1">
    <w:name w:val="Level 1"/>
    <w:basedOn w:val="TOC1"/>
    <w:link w:val="Level1Char"/>
    <w:qFormat/>
    <w:rsid w:val="00C608D8"/>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C608D8"/>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C608D8"/>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C608D8"/>
    <w:rPr>
      <w:rFonts w:asciiTheme="majorHAnsi" w:eastAsia="Times New Roman" w:hAnsiTheme="majorHAnsi" w:cs="Times New Roman"/>
      <w:smallCaps/>
      <w:color w:val="000000"/>
      <w:sz w:val="20"/>
      <w:szCs w:val="20"/>
    </w:rPr>
  </w:style>
  <w:style w:type="paragraph" w:styleId="TOC1">
    <w:name w:val="toc 1"/>
    <w:basedOn w:val="Normal"/>
    <w:next w:val="Normal"/>
    <w:autoRedefine/>
    <w:uiPriority w:val="39"/>
    <w:semiHidden/>
    <w:unhideWhenUsed/>
    <w:rsid w:val="00C608D8"/>
    <w:pPr>
      <w:spacing w:after="100"/>
    </w:pPr>
  </w:style>
  <w:style w:type="paragraph" w:styleId="TOC2">
    <w:name w:val="toc 2"/>
    <w:basedOn w:val="Normal"/>
    <w:next w:val="Normal"/>
    <w:autoRedefine/>
    <w:uiPriority w:val="39"/>
    <w:semiHidden/>
    <w:unhideWhenUsed/>
    <w:rsid w:val="00C608D8"/>
    <w:pPr>
      <w:spacing w:after="100"/>
      <w:ind w:left="220"/>
    </w:pPr>
  </w:style>
  <w:style w:type="table" w:styleId="TableGrid">
    <w:name w:val="Table Grid"/>
    <w:basedOn w:val="TableNormal"/>
    <w:uiPriority w:val="59"/>
    <w:rsid w:val="00F60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861645">
      <w:bodyDiv w:val="1"/>
      <w:marLeft w:val="0"/>
      <w:marRight w:val="0"/>
      <w:marTop w:val="0"/>
      <w:marBottom w:val="0"/>
      <w:divBdr>
        <w:top w:val="none" w:sz="0" w:space="0" w:color="auto"/>
        <w:left w:val="none" w:sz="0" w:space="0" w:color="auto"/>
        <w:bottom w:val="none" w:sz="0" w:space="0" w:color="auto"/>
        <w:right w:val="none" w:sz="0" w:space="0" w:color="auto"/>
      </w:divBdr>
    </w:div>
    <w:div w:id="21201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mwncmh.com" TargetMode="External"/><Relationship Id="rId18" Type="http://schemas.openxmlformats.org/officeDocument/2006/relationships/hyperlink" Target="mailto:msmalz@ohiopovertylaw.org" TargetMode="External"/><Relationship Id="rId26" Type="http://schemas.openxmlformats.org/officeDocument/2006/relationships/hyperlink" Target="mailto:elizabeth.stevens@puc.state.oh.us" TargetMode="External"/><Relationship Id="rId39" Type="http://schemas.openxmlformats.org/officeDocument/2006/relationships/hyperlink" Target="mailto:gbenjamin@communitylegalaid.org" TargetMode="External"/><Relationship Id="rId3" Type="http://schemas.openxmlformats.org/officeDocument/2006/relationships/styles" Target="styles.xml"/><Relationship Id="rId21" Type="http://schemas.openxmlformats.org/officeDocument/2006/relationships/hyperlink" Target="mailto:william.wright@puc.state.oh.us" TargetMode="External"/><Relationship Id="rId34" Type="http://schemas.openxmlformats.org/officeDocument/2006/relationships/hyperlink" Target="mailto:nmorgan@lascinti.org" TargetMode="External"/><Relationship Id="rId42" Type="http://schemas.openxmlformats.org/officeDocument/2006/relationships/hyperlink" Target="mailto:yalami@aep.com" TargetMode="External"/><Relationship Id="rId47" Type="http://schemas.openxmlformats.org/officeDocument/2006/relationships/hyperlink" Target="mailto:Elizabeth.watts@duke-energy.com"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fdarr@mwncmh.com" TargetMode="External"/><Relationship Id="rId17" Type="http://schemas.openxmlformats.org/officeDocument/2006/relationships/hyperlink" Target="mailto:drinebolt@ohiopartners.org" TargetMode="External"/><Relationship Id="rId25" Type="http://schemas.openxmlformats.org/officeDocument/2006/relationships/hyperlink" Target="mailto:amy.spiller@duke-energy.com" TargetMode="External"/><Relationship Id="rId33" Type="http://schemas.openxmlformats.org/officeDocument/2006/relationships/hyperlink" Target="mailto:mwarnock@bricker.com" TargetMode="External"/><Relationship Id="rId38" Type="http://schemas.openxmlformats.org/officeDocument/2006/relationships/hyperlink" Target="mailto:rjohns@oslsa.org" TargetMode="External"/><Relationship Id="rId46" Type="http://schemas.openxmlformats.org/officeDocument/2006/relationships/hyperlink" Target="mailto:rocco.dascenzo@duke-energy.com" TargetMode="External"/><Relationship Id="rId2" Type="http://schemas.openxmlformats.org/officeDocument/2006/relationships/numbering" Target="numbering.xml"/><Relationship Id="rId16" Type="http://schemas.openxmlformats.org/officeDocument/2006/relationships/hyperlink" Target="mailto:cmooney@ohiopartners.org" TargetMode="External"/><Relationship Id="rId20" Type="http://schemas.openxmlformats.org/officeDocument/2006/relationships/hyperlink" Target="mailto:gkrassen@bricker.com" TargetMode="External"/><Relationship Id="rId29" Type="http://schemas.openxmlformats.org/officeDocument/2006/relationships/hyperlink" Target="mailto:joliker@mwncmh.com" TargetMode="External"/><Relationship Id="rId41" Type="http://schemas.openxmlformats.org/officeDocument/2006/relationships/hyperlink" Target="mailto:mjsatterwhite@aep.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io@occ.state.oh.us" TargetMode="External"/><Relationship Id="rId24" Type="http://schemas.openxmlformats.org/officeDocument/2006/relationships/hyperlink" Target="mailto:judi.sobecki@dplinc.com" TargetMode="External"/><Relationship Id="rId32" Type="http://schemas.openxmlformats.org/officeDocument/2006/relationships/hyperlink" Target="mailto:tsiwo@bricker.com" TargetMode="External"/><Relationship Id="rId37" Type="http://schemas.openxmlformats.org/officeDocument/2006/relationships/hyperlink" Target="mailto:plee@oslsa.org" TargetMode="External"/><Relationship Id="rId40" Type="http://schemas.openxmlformats.org/officeDocument/2006/relationships/hyperlink" Target="mailto:David.Fein@Constellation.com" TargetMode="External"/><Relationship Id="rId45" Type="http://schemas.openxmlformats.org/officeDocument/2006/relationships/hyperlink" Target="mailto:cdunn@firstenergycorp.com" TargetMode="External"/><Relationship Id="rId5" Type="http://schemas.openxmlformats.org/officeDocument/2006/relationships/settings" Target="settings.xml"/><Relationship Id="rId15" Type="http://schemas.openxmlformats.org/officeDocument/2006/relationships/hyperlink" Target="mailto:mkurtz@BKLlawfirm.com" TargetMode="External"/><Relationship Id="rId23" Type="http://schemas.openxmlformats.org/officeDocument/2006/relationships/hyperlink" Target="mailto:stnourse@aep.com" TargetMode="External"/><Relationship Id="rId28" Type="http://schemas.openxmlformats.org/officeDocument/2006/relationships/hyperlink" Target="mailto:jkylercohn@BKLlawfirm.com" TargetMode="External"/><Relationship Id="rId36" Type="http://schemas.openxmlformats.org/officeDocument/2006/relationships/hyperlink" Target="mailto:mwalters@proseniors.org" TargetMode="External"/><Relationship Id="rId49" Type="http://schemas.openxmlformats.org/officeDocument/2006/relationships/fontTable" Target="fontTable.xml"/><Relationship Id="rId10" Type="http://schemas.openxmlformats.org/officeDocument/2006/relationships/hyperlink" Target="mailto:grady@occ.state.oh.us" TargetMode="External"/><Relationship Id="rId19" Type="http://schemas.openxmlformats.org/officeDocument/2006/relationships/hyperlink" Target="mailto:jmaskovyak@ohiopovertylaw.org" TargetMode="External"/><Relationship Id="rId31" Type="http://schemas.openxmlformats.org/officeDocument/2006/relationships/hyperlink" Target="mailto:ejacobs@ablelaw.org" TargetMode="External"/><Relationship Id="rId44" Type="http://schemas.openxmlformats.org/officeDocument/2006/relationships/hyperlink" Target="mailto:srantala@energymarketers.com" TargetMode="External"/><Relationship Id="rId4" Type="http://schemas.microsoft.com/office/2007/relationships/stylesWithEffects" Target="stylesWithEffects.xml"/><Relationship Id="rId9" Type="http://schemas.openxmlformats.org/officeDocument/2006/relationships/hyperlink" Target="mailto:mswhite@igsenergy.com" TargetMode="External"/><Relationship Id="rId14" Type="http://schemas.openxmlformats.org/officeDocument/2006/relationships/hyperlink" Target="mailto:dboehm@BKLlawfirm.com" TargetMode="External"/><Relationship Id="rId22" Type="http://schemas.openxmlformats.org/officeDocument/2006/relationships/hyperlink" Target="mailto:burkj@firstenergycorp.com" TargetMode="External"/><Relationship Id="rId27" Type="http://schemas.openxmlformats.org/officeDocument/2006/relationships/hyperlink" Target="mailto:Cynthia.Brady@Constellation.com" TargetMode="External"/><Relationship Id="rId30" Type="http://schemas.openxmlformats.org/officeDocument/2006/relationships/hyperlink" Target="mailto:gpoulos@enernoc.com" TargetMode="External"/><Relationship Id="rId35" Type="http://schemas.openxmlformats.org/officeDocument/2006/relationships/hyperlink" Target="mailto:julie.robie@lasclev.org" TargetMode="External"/><Relationship Id="rId43" Type="http://schemas.openxmlformats.org/officeDocument/2006/relationships/hyperlink" Target="mailto:cgoodman@energymarketers.com"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947A-90DA-4BC8-BFE7-7F5915FA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4692</Words>
  <Characters>26748</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IMAGE</cp:lastModifiedBy>
  <cp:revision>2</cp:revision>
  <cp:lastPrinted>2014-02-06T21:34:00Z</cp:lastPrinted>
  <dcterms:created xsi:type="dcterms:W3CDTF">2014-02-06T21:43:00Z</dcterms:created>
  <dcterms:modified xsi:type="dcterms:W3CDTF">2014-02-06T21:43:00Z</dcterms:modified>
</cp:coreProperties>
</file>