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14:paraId="02FEC815" w14:textId="3C61B009">
      <w:pPr>
        <w:pStyle w:val="HTMLPreformatted"/>
        <w:jc w:val="center"/>
        <w:rPr>
          <w:rFonts w:ascii="Times New Roman" w:hAnsi="Times New Roman"/>
          <w:b/>
          <w:bCs/>
          <w:sz w:val="24"/>
        </w:rPr>
      </w:pPr>
      <w:r>
        <w:rPr>
          <w:rFonts w:ascii="Times New Roman" w:hAnsi="Times New Roman"/>
          <w:b/>
          <w:bCs/>
          <w:sz w:val="24"/>
        </w:rPr>
        <w:t>BEFORE</w:t>
      </w:r>
    </w:p>
    <w:p w:rsidR="00A044B5" w14:paraId="034E8B26"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14:paraId="773CE926" w14:textId="77777777">
      <w:pPr>
        <w:pStyle w:val="HTMLPreformatted"/>
        <w:rPr>
          <w:rFonts w:ascii="Times New Roman" w:hAnsi="Times New Roman"/>
          <w:sz w:val="24"/>
        </w:rPr>
      </w:pPr>
    </w:p>
    <w:tbl>
      <w:tblPr>
        <w:tblW w:w="8640" w:type="dxa"/>
        <w:tblLook w:val="01E0"/>
      </w:tblPr>
      <w:tblGrid>
        <w:gridCol w:w="4332"/>
        <w:gridCol w:w="360"/>
        <w:gridCol w:w="3948"/>
      </w:tblGrid>
      <w:tr w14:paraId="1760A085" w14:textId="77777777" w:rsidTr="00E567EE">
        <w:tblPrEx>
          <w:tblW w:w="8640" w:type="dxa"/>
          <w:tblLook w:val="01E0"/>
        </w:tblPrEx>
        <w:trPr>
          <w:trHeight w:val="807"/>
        </w:trPr>
        <w:tc>
          <w:tcPr>
            <w:tcW w:w="4332" w:type="dxa"/>
            <w:shd w:val="clear" w:color="auto" w:fill="auto"/>
          </w:tcPr>
          <w:p w:rsidR="00113D54" w:rsidP="005A4A50" w14:paraId="767605E8" w14:textId="77777777">
            <w:pPr>
              <w:pStyle w:val="HTMLPreformatted"/>
              <w:rPr>
                <w:rFonts w:ascii="Times New Roman" w:hAnsi="Times New Roman" w:cs="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w:t>
            </w:r>
            <w:r w:rsidR="005A4A50">
              <w:rPr>
                <w:rFonts w:ascii="Times New Roman" w:hAnsi="Times New Roman" w:cs="Times New Roman"/>
                <w:sz w:val="24"/>
                <w:szCs w:val="24"/>
              </w:rPr>
              <w:t xml:space="preserve">Application of </w:t>
            </w:r>
            <w:r>
              <w:rPr>
                <w:rFonts w:ascii="Times New Roman" w:hAnsi="Times New Roman" w:cs="Times New Roman"/>
                <w:sz w:val="24"/>
                <w:szCs w:val="24"/>
              </w:rPr>
              <w:t>The East Ohio Gas Company d/b/a</w:t>
            </w:r>
          </w:p>
          <w:p w:rsidR="00A044B5" w:rsidRPr="00A044B5" w:rsidP="005A4A50" w14:paraId="76C95E6B" w14:textId="23FCCFA9">
            <w:pPr>
              <w:pStyle w:val="HTMLPreformatted"/>
              <w:rPr>
                <w:rFonts w:ascii="Times New Roman" w:hAnsi="Times New Roman"/>
                <w:sz w:val="24"/>
                <w:szCs w:val="24"/>
              </w:rPr>
            </w:pPr>
            <w:r>
              <w:rPr>
                <w:rFonts w:ascii="Times New Roman" w:hAnsi="Times New Roman" w:cs="Times New Roman"/>
                <w:sz w:val="24"/>
                <w:szCs w:val="24"/>
              </w:rPr>
              <w:t xml:space="preserve">Dominion Energy Ohio </w:t>
            </w:r>
            <w:r w:rsidR="0064238F">
              <w:rPr>
                <w:rFonts w:ascii="Times New Roman" w:hAnsi="Times New Roman" w:cs="Times New Roman"/>
                <w:sz w:val="24"/>
                <w:szCs w:val="24"/>
              </w:rPr>
              <w:t>to Adjust its Pipeline Infrastructure Cost Recovery Charge and Related Matters.</w:t>
            </w:r>
          </w:p>
        </w:tc>
        <w:tc>
          <w:tcPr>
            <w:tcW w:w="360" w:type="dxa"/>
            <w:shd w:val="clear" w:color="auto" w:fill="auto"/>
          </w:tcPr>
          <w:p w:rsidR="00A044B5" w:rsidRPr="00A044B5" w14:paraId="26381EBE" w14:textId="77777777">
            <w:pPr>
              <w:pStyle w:val="HTMLPreformatted"/>
              <w:rPr>
                <w:rFonts w:ascii="Times New Roman" w:hAnsi="Times New Roman"/>
                <w:sz w:val="24"/>
              </w:rPr>
            </w:pPr>
            <w:r w:rsidRPr="00A044B5">
              <w:rPr>
                <w:rFonts w:ascii="Times New Roman" w:hAnsi="Times New Roman"/>
                <w:sz w:val="24"/>
              </w:rPr>
              <w:t>)</w:t>
            </w:r>
          </w:p>
          <w:p w:rsidR="00A044B5" w:rsidRPr="00A044B5" w14:paraId="520019D7" w14:textId="77777777">
            <w:pPr>
              <w:pStyle w:val="HTMLPreformatted"/>
              <w:rPr>
                <w:rFonts w:ascii="Times New Roman" w:hAnsi="Times New Roman"/>
                <w:sz w:val="24"/>
              </w:rPr>
            </w:pPr>
            <w:r w:rsidRPr="00A044B5">
              <w:rPr>
                <w:rFonts w:ascii="Times New Roman" w:hAnsi="Times New Roman"/>
                <w:sz w:val="24"/>
              </w:rPr>
              <w:t>)</w:t>
            </w:r>
          </w:p>
          <w:p w:rsidR="00A044B5" w:rsidP="00E567EE" w14:paraId="6BA1C172" w14:textId="77777777">
            <w:pPr>
              <w:pStyle w:val="HTMLPreformatted"/>
              <w:rPr>
                <w:rFonts w:ascii="Times New Roman" w:hAnsi="Times New Roman"/>
                <w:sz w:val="24"/>
              </w:rPr>
            </w:pPr>
            <w:r w:rsidRPr="00A044B5">
              <w:rPr>
                <w:rFonts w:ascii="Times New Roman" w:hAnsi="Times New Roman"/>
                <w:sz w:val="24"/>
              </w:rPr>
              <w:t>)</w:t>
            </w:r>
          </w:p>
          <w:p w:rsidR="002F4BA7" w:rsidP="00E567EE" w14:paraId="03C011EA" w14:textId="77777777">
            <w:pPr>
              <w:pStyle w:val="HTMLPreformatted"/>
              <w:rPr>
                <w:rFonts w:ascii="Times New Roman" w:hAnsi="Times New Roman"/>
                <w:sz w:val="24"/>
              </w:rPr>
            </w:pPr>
            <w:r>
              <w:rPr>
                <w:rFonts w:ascii="Times New Roman" w:hAnsi="Times New Roman"/>
                <w:sz w:val="24"/>
              </w:rPr>
              <w:t>)</w:t>
            </w:r>
          </w:p>
          <w:p w:rsidR="007D5580" w:rsidRPr="00A044B5" w:rsidP="00E567EE" w14:paraId="4A001CA9" w14:textId="7A7BF2AE">
            <w:pPr>
              <w:pStyle w:val="HTMLPreformatted"/>
              <w:rPr>
                <w:rFonts w:ascii="Times New Roman" w:hAnsi="Times New Roman"/>
                <w:sz w:val="24"/>
              </w:rPr>
            </w:pPr>
            <w:r>
              <w:rPr>
                <w:rFonts w:ascii="Times New Roman" w:hAnsi="Times New Roman"/>
                <w:sz w:val="24"/>
              </w:rPr>
              <w:t>)</w:t>
            </w:r>
          </w:p>
        </w:tc>
        <w:tc>
          <w:tcPr>
            <w:tcW w:w="3948" w:type="dxa"/>
            <w:shd w:val="clear" w:color="auto" w:fill="auto"/>
          </w:tcPr>
          <w:p w:rsidR="00A044B5" w:rsidRPr="00A044B5" w14:paraId="01584BFA" w14:textId="77777777">
            <w:pPr>
              <w:pStyle w:val="HTMLPreformatted"/>
              <w:rPr>
                <w:rFonts w:ascii="Times New Roman" w:hAnsi="Times New Roman"/>
                <w:sz w:val="24"/>
              </w:rPr>
            </w:pPr>
          </w:p>
          <w:p w:rsidR="00A044B5" w:rsidRPr="00A044B5" w14:paraId="33675B5C" w14:textId="4A07C4CE">
            <w:pPr>
              <w:pStyle w:val="HTMLPreformatted"/>
              <w:rPr>
                <w:rFonts w:ascii="Times New Roman" w:hAnsi="Times New Roman"/>
                <w:sz w:val="24"/>
              </w:rPr>
            </w:pPr>
            <w:r w:rsidRPr="00A044B5">
              <w:rPr>
                <w:rFonts w:ascii="Times New Roman" w:hAnsi="Times New Roman"/>
                <w:sz w:val="24"/>
              </w:rPr>
              <w:t xml:space="preserve">Case No. </w:t>
            </w:r>
            <w:r w:rsidR="005A4A50">
              <w:rPr>
                <w:rFonts w:ascii="Times New Roman" w:hAnsi="Times New Roman"/>
                <w:sz w:val="24"/>
              </w:rPr>
              <w:t>2</w:t>
            </w:r>
            <w:r w:rsidR="0064238F">
              <w:rPr>
                <w:rFonts w:ascii="Times New Roman" w:hAnsi="Times New Roman"/>
                <w:sz w:val="24"/>
              </w:rPr>
              <w:t>1-109</w:t>
            </w:r>
            <w:r w:rsidR="00DE0FD7">
              <w:rPr>
                <w:rFonts w:ascii="Times New Roman" w:hAnsi="Times New Roman"/>
                <w:sz w:val="24"/>
              </w:rPr>
              <w:t>5</w:t>
            </w:r>
            <w:r w:rsidR="0064238F">
              <w:rPr>
                <w:rFonts w:ascii="Times New Roman" w:hAnsi="Times New Roman"/>
                <w:sz w:val="24"/>
              </w:rPr>
              <w:t>-GA-RDR</w:t>
            </w:r>
          </w:p>
          <w:p w:rsidR="00A044B5" w:rsidRPr="00A044B5" w14:paraId="1F28B257" w14:textId="77777777">
            <w:pPr>
              <w:pStyle w:val="HTMLPreformatted"/>
              <w:rPr>
                <w:rFonts w:ascii="Times New Roman" w:hAnsi="Times New Roman"/>
                <w:sz w:val="24"/>
              </w:rPr>
            </w:pPr>
          </w:p>
          <w:p w:rsidR="00A044B5" w:rsidRPr="00A044B5" w14:paraId="774E7161" w14:textId="77777777">
            <w:pPr>
              <w:pStyle w:val="HTMLPreformatted"/>
              <w:rPr>
                <w:rFonts w:ascii="Times New Roman" w:hAnsi="Times New Roman"/>
                <w:sz w:val="24"/>
              </w:rPr>
            </w:pPr>
          </w:p>
        </w:tc>
      </w:tr>
    </w:tbl>
    <w:p w:rsidR="00A044B5" w14:paraId="70FADD5D" w14:textId="77777777">
      <w:pPr>
        <w:pStyle w:val="HTMLPreformatted"/>
        <w:rPr>
          <w:rFonts w:ascii="Times New Roman" w:hAnsi="Times New Roman"/>
          <w:sz w:val="24"/>
        </w:rPr>
      </w:pPr>
    </w:p>
    <w:p w:rsidR="00A044B5" w14:paraId="630B2AD3" w14:textId="77777777">
      <w:pPr>
        <w:pStyle w:val="HTMLPreformatted"/>
        <w:pBdr>
          <w:top w:val="single" w:sz="12" w:space="1" w:color="auto"/>
        </w:pBdr>
        <w:rPr>
          <w:rFonts w:ascii="Times New Roman" w:hAnsi="Times New Roman"/>
          <w:sz w:val="24"/>
        </w:rPr>
      </w:pPr>
    </w:p>
    <w:p w:rsidR="00AA063A" w:rsidRPr="00CB76F9" w:rsidP="00AA063A" w14:paraId="5692A6F7" w14:textId="32D91BE1">
      <w:pPr>
        <w:jc w:val="center"/>
        <w:rPr>
          <w:b/>
          <w:szCs w:val="24"/>
        </w:rPr>
      </w:pPr>
      <w:r>
        <w:rPr>
          <w:b/>
          <w:szCs w:val="24"/>
        </w:rPr>
        <w:t>REPLY</w:t>
      </w:r>
      <w:r w:rsidR="00F14EA5">
        <w:rPr>
          <w:b/>
          <w:szCs w:val="24"/>
        </w:rPr>
        <w:t xml:space="preserve"> BRIEF FOR CONSUMER PROTECTION </w:t>
      </w:r>
    </w:p>
    <w:p w:rsidR="00A044B5" w14:paraId="6E83A6EC" w14:textId="77777777">
      <w:pPr>
        <w:jc w:val="center"/>
        <w:rPr>
          <w:b/>
          <w:bCs/>
        </w:rPr>
      </w:pPr>
      <w:r>
        <w:rPr>
          <w:b/>
          <w:bCs/>
        </w:rPr>
        <w:t>BY</w:t>
      </w:r>
    </w:p>
    <w:p w:rsidR="00A044B5" w14:paraId="4BA79E00" w14:textId="0019F1A7">
      <w:pPr>
        <w:jc w:val="center"/>
        <w:rPr>
          <w:b/>
          <w:bCs/>
        </w:rPr>
      </w:pPr>
      <w:r>
        <w:rPr>
          <w:b/>
          <w:bCs/>
        </w:rPr>
        <w:t>OFFICE OF THE OHIO CONSUMERS’ COUNSEL</w:t>
      </w:r>
    </w:p>
    <w:p w:rsidR="00A044B5" w14:paraId="78653FFC" w14:textId="77777777">
      <w:pPr>
        <w:pBdr>
          <w:bottom w:val="single" w:sz="12" w:space="1" w:color="auto"/>
        </w:pBdr>
        <w:tabs>
          <w:tab w:val="left" w:pos="4320"/>
        </w:tabs>
      </w:pPr>
    </w:p>
    <w:p w:rsidR="00A044B5" w14:paraId="5F54AC84" w14:textId="77777777">
      <w:pPr>
        <w:tabs>
          <w:tab w:val="left" w:pos="4320"/>
        </w:tabs>
      </w:pPr>
    </w:p>
    <w:p w:rsidR="00AA063A" w:rsidRPr="00D97B1C" w:rsidP="006B4C9F" w14:paraId="4F15F442" w14:textId="1BDE0E84">
      <w:pPr>
        <w:pStyle w:val="Heading1"/>
        <w:numPr>
          <w:ilvl w:val="0"/>
          <w:numId w:val="7"/>
        </w:numPr>
        <w:ind w:left="720"/>
      </w:pPr>
      <w:bookmarkStart w:id="0" w:name="_Toc101360627"/>
      <w:bookmarkStart w:id="1" w:name="_Toc444787517"/>
      <w:bookmarkStart w:id="2" w:name="_Toc445824332"/>
      <w:r w:rsidRPr="00D97B1C">
        <w:t>INTRODUCTION</w:t>
      </w:r>
      <w:bookmarkEnd w:id="0"/>
      <w:r w:rsidRPr="00D97B1C">
        <w:t xml:space="preserve"> </w:t>
      </w:r>
      <w:bookmarkEnd w:id="1"/>
      <w:bookmarkEnd w:id="2"/>
    </w:p>
    <w:p w:rsidR="00E605BA" w:rsidP="00B0334A" w14:paraId="243667BF" w14:textId="4BCA6EE7">
      <w:pPr>
        <w:spacing w:line="480" w:lineRule="auto"/>
        <w:ind w:firstLine="720"/>
      </w:pPr>
      <w:r>
        <w:t>Dominion</w:t>
      </w:r>
      <w:r w:rsidR="00111457">
        <w:t xml:space="preserve"> Energy Ohio’s </w:t>
      </w:r>
      <w:r w:rsidR="006E5EDD">
        <w:t xml:space="preserve">(“Dominion”) </w:t>
      </w:r>
      <w:r w:rsidR="00111457">
        <w:t>proposed increase for its pipeline infrastructure replacement (“PIR”) program</w:t>
      </w:r>
      <w:r w:rsidR="001C6961">
        <w:t xml:space="preserve"> is based on earning excessive profits on its investment</w:t>
      </w:r>
      <w:r w:rsidR="004C10A2">
        <w:t xml:space="preserve">; </w:t>
      </w:r>
      <w:r w:rsidR="00D53BD0">
        <w:t>relying</w:t>
      </w:r>
      <w:r w:rsidR="001C6961">
        <w:t xml:space="preserve"> on a thirteen</w:t>
      </w:r>
      <w:r w:rsidR="00D53BD0">
        <w:t>-</w:t>
      </w:r>
      <w:r w:rsidR="001C6961">
        <w:t>year</w:t>
      </w:r>
      <w:r w:rsidR="00902228">
        <w:t>-</w:t>
      </w:r>
      <w:r w:rsidR="001C6961">
        <w:t xml:space="preserve">old </w:t>
      </w:r>
      <w:r>
        <w:t xml:space="preserve">pre-tax rate of return </w:t>
      </w:r>
      <w:r w:rsidR="00C8028B">
        <w:t>(9.91%)</w:t>
      </w:r>
      <w:r>
        <w:t>.</w:t>
      </w:r>
      <w:r>
        <w:rPr>
          <w:rStyle w:val="FootnoteReference"/>
        </w:rPr>
        <w:footnoteReference w:id="2"/>
      </w:r>
      <w:r w:rsidR="0033015C">
        <w:t xml:space="preserve"> </w:t>
      </w:r>
      <w:r w:rsidR="00EF47B6">
        <w:t xml:space="preserve">Dominion’s </w:t>
      </w:r>
      <w:r w:rsidR="00BC497A">
        <w:t>a</w:t>
      </w:r>
      <w:r w:rsidR="00EF47B6">
        <w:t xml:space="preserve">pplication does not meet the legal requirements under either the </w:t>
      </w:r>
      <w:r>
        <w:t>specific alternate rate plan statute (</w:t>
      </w:r>
      <w:r w:rsidR="00D15C61">
        <w:t>R.C. 4929.05</w:t>
      </w:r>
      <w:r w:rsidR="009C33AB">
        <w:t>)</w:t>
      </w:r>
      <w:r>
        <w:t xml:space="preserve"> or the general utility rate statut</w:t>
      </w:r>
      <w:r w:rsidR="009C33AB">
        <w:t>es</w:t>
      </w:r>
      <w:r>
        <w:t xml:space="preserve"> (</w:t>
      </w:r>
      <w:r w:rsidRPr="00E605BA">
        <w:t>R.C. 4905.22</w:t>
      </w:r>
      <w:r w:rsidR="009C33AB">
        <w:t xml:space="preserve"> and R.C. 4909.18)</w:t>
      </w:r>
      <w:r>
        <w:t>. It should be rejected or modified.</w:t>
      </w:r>
      <w:r w:rsidR="00EF47B6">
        <w:t xml:space="preserve"> </w:t>
      </w:r>
    </w:p>
    <w:p w:rsidR="00131313" w:rsidP="00B0334A" w14:paraId="41B67BD6" w14:textId="667999E9">
      <w:pPr>
        <w:spacing w:line="480" w:lineRule="auto"/>
        <w:ind w:firstLine="720"/>
      </w:pPr>
      <w:r>
        <w:t>Dominion’s application to adjust its PIR charge to consumers was filed under R.C. 4909.18,</w:t>
      </w:r>
      <w:r>
        <w:rPr>
          <w:rStyle w:val="FootnoteReference"/>
        </w:rPr>
        <w:footnoteReference w:id="3"/>
      </w:r>
      <w:r>
        <w:t xml:space="preserve"> which requires the utility to show “that the proposals in the application are just and reasonable.” But it is </w:t>
      </w:r>
      <w:r w:rsidR="00B0334A">
        <w:t xml:space="preserve">neither just nor reasonable to </w:t>
      </w:r>
      <w:r w:rsidR="001C6961">
        <w:t>require Dominion</w:t>
      </w:r>
      <w:r w:rsidR="00A20924">
        <w:t>’s</w:t>
      </w:r>
      <w:r w:rsidR="001C6961">
        <w:t xml:space="preserve"> consumers to</w:t>
      </w:r>
      <w:r w:rsidR="004D24AD">
        <w:t xml:space="preserve"> </w:t>
      </w:r>
      <w:r w:rsidR="001C6961">
        <w:t>pay rates that are based on an</w:t>
      </w:r>
      <w:r w:rsidR="00B0334A">
        <w:t xml:space="preserve"> </w:t>
      </w:r>
      <w:r w:rsidR="00545817">
        <w:t xml:space="preserve">outdated and </w:t>
      </w:r>
      <w:r w:rsidR="00B0334A">
        <w:t>excessive 9.91% pre-tax rate of return.</w:t>
      </w:r>
      <w:r>
        <w:rPr>
          <w:rStyle w:val="FootnoteReference"/>
        </w:rPr>
        <w:footnoteReference w:id="4"/>
      </w:r>
      <w:r w:rsidR="00B0334A">
        <w:t xml:space="preserve"> </w:t>
      </w:r>
    </w:p>
    <w:p w:rsidR="00B0334A" w:rsidP="00B0334A" w14:paraId="18642728" w14:textId="2B5DBE88">
      <w:pPr>
        <w:spacing w:line="480" w:lineRule="auto"/>
        <w:ind w:firstLine="720"/>
      </w:pPr>
      <w:r>
        <w:t xml:space="preserve">As </w:t>
      </w:r>
      <w:r w:rsidR="003621D9">
        <w:t xml:space="preserve">the </w:t>
      </w:r>
      <w:r>
        <w:t>Office of the Ohio Consumers’ Counsel (“OCC”) explained in our initial brief, t</w:t>
      </w:r>
      <w:r w:rsidR="00F14EA5">
        <w:t>h</w:t>
      </w:r>
      <w:r w:rsidR="004D24AD">
        <w:t xml:space="preserve">is </w:t>
      </w:r>
      <w:r w:rsidR="00F14EA5">
        <w:t xml:space="preserve">stale </w:t>
      </w:r>
      <w:r w:rsidR="004D24AD">
        <w:t xml:space="preserve">and unreasonable </w:t>
      </w:r>
      <w:r w:rsidR="00CD372A">
        <w:t xml:space="preserve">pre-tax </w:t>
      </w:r>
      <w:r w:rsidR="00F14EA5">
        <w:t xml:space="preserve">rate of return will result in consumers overpaying </w:t>
      </w:r>
      <w:r w:rsidR="00523FA0">
        <w:t>(approximately $45.8 million over a 12-month period)</w:t>
      </w:r>
      <w:r w:rsidR="00CD372A">
        <w:t>.</w:t>
      </w:r>
      <w:r>
        <w:rPr>
          <w:rStyle w:val="FootnoteReference"/>
        </w:rPr>
        <w:footnoteReference w:id="5"/>
      </w:r>
      <w:r w:rsidR="00523FA0">
        <w:t xml:space="preserve"> </w:t>
      </w:r>
      <w:r w:rsidR="00CD372A">
        <w:t xml:space="preserve">It </w:t>
      </w:r>
      <w:r w:rsidR="004D24AD">
        <w:t xml:space="preserve">also </w:t>
      </w:r>
      <w:r w:rsidR="003439E8">
        <w:t>allow</w:t>
      </w:r>
      <w:r w:rsidR="00CD372A">
        <w:t>s</w:t>
      </w:r>
      <w:r w:rsidR="003439E8">
        <w:t xml:space="preserve"> </w:t>
      </w:r>
      <w:r w:rsidR="00F14EA5">
        <w:t xml:space="preserve">Dominion </w:t>
      </w:r>
      <w:r w:rsidR="003439E8">
        <w:t xml:space="preserve">to earn </w:t>
      </w:r>
      <w:r w:rsidR="00F14EA5">
        <w:t xml:space="preserve">profits that are too high for current financial market conditions. </w:t>
      </w:r>
      <w:r w:rsidR="008D3BFC">
        <w:t>I</w:t>
      </w:r>
      <w:r w:rsidR="003439E8">
        <w:t xml:space="preserve">f the </w:t>
      </w:r>
      <w:r w:rsidR="000E73E2">
        <w:t>a</w:t>
      </w:r>
      <w:r w:rsidR="00F14EA5">
        <w:t>pplication</w:t>
      </w:r>
      <w:r w:rsidR="003439E8">
        <w:t xml:space="preserve"> were approved </w:t>
      </w:r>
      <w:r w:rsidR="00CD372A">
        <w:t>as filed</w:t>
      </w:r>
      <w:r w:rsidR="00056B63">
        <w:t xml:space="preserve"> (which it should not be)</w:t>
      </w:r>
      <w:r w:rsidR="00F14EA5">
        <w:t xml:space="preserve">, </w:t>
      </w:r>
      <w:r w:rsidR="003439E8">
        <w:t>Dominion will</w:t>
      </w:r>
      <w:r w:rsidR="00706D1C">
        <w:t>, among other things,</w:t>
      </w:r>
      <w:r w:rsidR="003439E8">
        <w:t xml:space="preserve"> </w:t>
      </w:r>
      <w:r w:rsidR="005D3A4E">
        <w:t xml:space="preserve">unreasonably </w:t>
      </w:r>
      <w:r w:rsidR="00F14EA5">
        <w:t xml:space="preserve">collect a cost of debt from </w:t>
      </w:r>
      <w:r w:rsidR="003439E8">
        <w:t xml:space="preserve">consumers </w:t>
      </w:r>
      <w:r w:rsidR="00934677">
        <w:t xml:space="preserve">(6.50%) </w:t>
      </w:r>
      <w:r w:rsidR="00F14EA5">
        <w:t>that is nearly three times its actual cost of debt</w:t>
      </w:r>
      <w:r w:rsidR="0079555F">
        <w:t xml:space="preserve"> (2.29%)</w:t>
      </w:r>
      <w:r w:rsidR="00F14EA5">
        <w:t>.</w:t>
      </w:r>
      <w:r>
        <w:rPr>
          <w:rStyle w:val="FootnoteReference"/>
        </w:rPr>
        <w:footnoteReference w:id="6"/>
      </w:r>
      <w:r w:rsidR="00F14EA5">
        <w:t xml:space="preserve"> </w:t>
      </w:r>
    </w:p>
    <w:p w:rsidR="00D30487" w:rsidP="00A43903" w14:paraId="487B67B7" w14:textId="73422E2E">
      <w:pPr>
        <w:pStyle w:val="ListParagraph"/>
        <w:spacing w:line="480" w:lineRule="auto"/>
        <w:ind w:left="0" w:firstLine="720"/>
        <w:rPr>
          <w:bCs/>
          <w:szCs w:val="24"/>
        </w:rPr>
      </w:pPr>
      <w:r>
        <w:rPr>
          <w:szCs w:val="24"/>
        </w:rPr>
        <w:t>Overcharging consumers for utility services violates Ohio law which requires that all utility rates b</w:t>
      </w:r>
      <w:r w:rsidR="0027219D">
        <w:rPr>
          <w:szCs w:val="24"/>
        </w:rPr>
        <w:t>e</w:t>
      </w:r>
      <w:r>
        <w:rPr>
          <w:szCs w:val="24"/>
        </w:rPr>
        <w:t xml:space="preserve"> just and reasonable.</w:t>
      </w:r>
      <w:r>
        <w:rPr>
          <w:rStyle w:val="FootnoteReference"/>
          <w:szCs w:val="24"/>
        </w:rPr>
        <w:footnoteReference w:id="7"/>
      </w:r>
      <w:r>
        <w:rPr>
          <w:szCs w:val="24"/>
        </w:rPr>
        <w:t xml:space="preserve"> </w:t>
      </w:r>
      <w:r w:rsidRPr="00171E93" w:rsidR="004B0C02">
        <w:rPr>
          <w:szCs w:val="24"/>
        </w:rPr>
        <w:t xml:space="preserve">OCC </w:t>
      </w:r>
      <w:r w:rsidR="004B0C02">
        <w:rPr>
          <w:szCs w:val="24"/>
        </w:rPr>
        <w:t xml:space="preserve">demonstrated that </w:t>
      </w:r>
      <w:r w:rsidRPr="00340405" w:rsidR="004B0C02">
        <w:rPr>
          <w:bCs/>
          <w:szCs w:val="24"/>
        </w:rPr>
        <w:t>the use of the 9.</w:t>
      </w:r>
      <w:r w:rsidR="004B0C02">
        <w:rPr>
          <w:bCs/>
          <w:szCs w:val="24"/>
        </w:rPr>
        <w:t>91</w:t>
      </w:r>
      <w:r w:rsidRPr="00340405" w:rsidR="004B0C02">
        <w:rPr>
          <w:bCs/>
          <w:szCs w:val="24"/>
        </w:rPr>
        <w:t xml:space="preserve">% pre-tax rate of return </w:t>
      </w:r>
      <w:r w:rsidR="004B0C02">
        <w:rPr>
          <w:bCs/>
          <w:szCs w:val="24"/>
        </w:rPr>
        <w:t xml:space="preserve">proposed by Dominion </w:t>
      </w:r>
      <w:r w:rsidRPr="00340405" w:rsidR="004B0C02">
        <w:rPr>
          <w:bCs/>
          <w:szCs w:val="24"/>
        </w:rPr>
        <w:t xml:space="preserve">(vs. the </w:t>
      </w:r>
      <w:r w:rsidR="004B0C02">
        <w:rPr>
          <w:bCs/>
          <w:szCs w:val="24"/>
        </w:rPr>
        <w:t>7.20</w:t>
      </w:r>
      <w:r w:rsidRPr="00340405" w:rsidR="004B0C02">
        <w:rPr>
          <w:bCs/>
          <w:szCs w:val="24"/>
        </w:rPr>
        <w:t xml:space="preserve">% pre-tax rate of return </w:t>
      </w:r>
      <w:r w:rsidR="004B0C02">
        <w:rPr>
          <w:bCs/>
          <w:szCs w:val="24"/>
        </w:rPr>
        <w:t xml:space="preserve">OCC </w:t>
      </w:r>
      <w:r w:rsidRPr="00340405" w:rsidR="004B0C02">
        <w:rPr>
          <w:bCs/>
          <w:szCs w:val="24"/>
        </w:rPr>
        <w:t>recommend</w:t>
      </w:r>
      <w:r w:rsidR="004B0C02">
        <w:rPr>
          <w:bCs/>
          <w:szCs w:val="24"/>
        </w:rPr>
        <w:t>s</w:t>
      </w:r>
      <w:r w:rsidRPr="00340405" w:rsidR="004B0C02">
        <w:rPr>
          <w:bCs/>
          <w:szCs w:val="24"/>
        </w:rPr>
        <w:t xml:space="preserve">) would increase the </w:t>
      </w:r>
      <w:r w:rsidR="004B0C02">
        <w:rPr>
          <w:bCs/>
          <w:szCs w:val="24"/>
        </w:rPr>
        <w:t>PIR</w:t>
      </w:r>
      <w:r w:rsidRPr="00340405" w:rsidR="004B0C02">
        <w:rPr>
          <w:bCs/>
          <w:szCs w:val="24"/>
        </w:rPr>
        <w:t xml:space="preserve"> </w:t>
      </w:r>
      <w:r w:rsidR="004B0C02">
        <w:rPr>
          <w:bCs/>
          <w:szCs w:val="24"/>
        </w:rPr>
        <w:t xml:space="preserve">Rider </w:t>
      </w:r>
      <w:r w:rsidRPr="00340405" w:rsidR="004B0C02">
        <w:rPr>
          <w:bCs/>
          <w:szCs w:val="24"/>
        </w:rPr>
        <w:t xml:space="preserve">charges </w:t>
      </w:r>
      <w:r w:rsidR="004B0C02">
        <w:rPr>
          <w:bCs/>
          <w:szCs w:val="24"/>
        </w:rPr>
        <w:t xml:space="preserve">to consumers by </w:t>
      </w:r>
      <w:r w:rsidRPr="008F1179" w:rsidR="004B0C02">
        <w:rPr>
          <w:bCs/>
          <w:szCs w:val="24"/>
        </w:rPr>
        <w:t>approximately $45.8 million for the twelve-month period</w:t>
      </w:r>
      <w:r w:rsidR="004B0C02">
        <w:rPr>
          <w:bCs/>
          <w:szCs w:val="24"/>
        </w:rPr>
        <w:t xml:space="preserve"> under review in this case</w:t>
      </w:r>
      <w:r w:rsidRPr="008F1179" w:rsidR="004B0C02">
        <w:rPr>
          <w:bCs/>
          <w:szCs w:val="24"/>
        </w:rPr>
        <w:t>.</w:t>
      </w:r>
      <w:r>
        <w:rPr>
          <w:rStyle w:val="FootnoteReference"/>
          <w:bCs/>
          <w:szCs w:val="24"/>
        </w:rPr>
        <w:footnoteReference w:id="8"/>
      </w:r>
      <w:r w:rsidR="0033015C">
        <w:rPr>
          <w:bCs/>
          <w:szCs w:val="24"/>
        </w:rPr>
        <w:t xml:space="preserve"> </w:t>
      </w:r>
    </w:p>
    <w:p w:rsidR="004B0C02" w:rsidRPr="00171E93" w:rsidP="00A43903" w14:paraId="37DF0609" w14:textId="15E15365">
      <w:pPr>
        <w:pStyle w:val="ListParagraph"/>
        <w:spacing w:line="480" w:lineRule="auto"/>
        <w:ind w:left="0" w:firstLine="720"/>
        <w:rPr>
          <w:szCs w:val="24"/>
        </w:rPr>
      </w:pPr>
      <w:r>
        <w:rPr>
          <w:bCs/>
          <w:szCs w:val="24"/>
        </w:rPr>
        <w:t>Conversely, adopting the 7.20% pre-tax rate of return, as recommended by OCC, will save Dominion’s customers $45.8 million over the next twelve months. For Dominion’s 1.2 million residential consumers, this will translate into a monthly saving of $2.82.</w:t>
      </w:r>
      <w:r>
        <w:rPr>
          <w:rStyle w:val="FootnoteReference"/>
          <w:bCs/>
          <w:szCs w:val="24"/>
        </w:rPr>
        <w:footnoteReference w:id="9"/>
      </w:r>
      <w:r>
        <w:rPr>
          <w:bCs/>
          <w:szCs w:val="24"/>
        </w:rPr>
        <w:t xml:space="preserve"> There is no justification, when many Ohioans are struggling to pay their monthly bills, for Dominion to keep approximately $45.8 million in excessive profits simply because the PUCO refuses to adopt an updated rate of return.</w:t>
      </w:r>
    </w:p>
    <w:p w:rsidR="00CB4739" w:rsidP="00B673B0" w14:paraId="391E4F9C" w14:textId="4DA38789">
      <w:pPr>
        <w:spacing w:line="480" w:lineRule="auto"/>
        <w:ind w:firstLine="720"/>
      </w:pPr>
      <w:r>
        <w:t>Contrary to Dominion’s arguments</w:t>
      </w:r>
      <w:r w:rsidR="00632AA0">
        <w:t>,</w:t>
      </w:r>
      <w:r>
        <w:rPr>
          <w:rStyle w:val="FootnoteReference"/>
        </w:rPr>
        <w:footnoteReference w:id="10"/>
      </w:r>
      <w:r w:rsidR="00632AA0">
        <w:t xml:space="preserve"> </w:t>
      </w:r>
      <w:r>
        <w:t xml:space="preserve">the </w:t>
      </w:r>
      <w:r w:rsidR="00C5721D">
        <w:t xml:space="preserve">PUCO is not required to rely on its past practice </w:t>
      </w:r>
      <w:r w:rsidR="0034156D">
        <w:t>of not</w:t>
      </w:r>
      <w:r w:rsidR="00C5721D">
        <w:t xml:space="preserve"> adjusting </w:t>
      </w:r>
      <w:r w:rsidR="0034156D">
        <w:t xml:space="preserve">the </w:t>
      </w:r>
      <w:r w:rsidR="00C5721D">
        <w:t>rate of return</w:t>
      </w:r>
      <w:r w:rsidR="009B0055">
        <w:t xml:space="preserve"> applied to </w:t>
      </w:r>
      <w:r w:rsidR="0034156D">
        <w:t xml:space="preserve">riders like </w:t>
      </w:r>
      <w:r w:rsidR="009B0055">
        <w:t xml:space="preserve">the pipeline infrastructure replacement program. </w:t>
      </w:r>
      <w:r w:rsidR="00B673B0">
        <w:t>As demonstrated in OCC’s initial brief, the PUCO clearly has the authority to depart from past precedent as long as it explains its reasoning. That is part of the PUCO’s role in administering justice</w:t>
      </w:r>
      <w:r w:rsidR="0001058B">
        <w:t>.</w:t>
      </w:r>
      <w:r>
        <w:rPr>
          <w:rStyle w:val="FootnoteReference"/>
        </w:rPr>
        <w:footnoteReference w:id="11"/>
      </w:r>
      <w:r w:rsidR="00B673B0">
        <w:t xml:space="preserve"> In administering justice, the PUCO should </w:t>
      </w:r>
      <w:r w:rsidR="00DB0FA4">
        <w:t xml:space="preserve">not continue to use a rate of return set 13 years ago under vastly different conditions. </w:t>
      </w:r>
    </w:p>
    <w:p w:rsidR="00A20924" w:rsidP="00B673B0" w14:paraId="16ADFE14" w14:textId="144A016C">
      <w:pPr>
        <w:spacing w:line="480" w:lineRule="auto"/>
        <w:ind w:firstLine="720"/>
        <w:rPr>
          <w:szCs w:val="24"/>
        </w:rPr>
      </w:pPr>
      <w:r>
        <w:t xml:space="preserve">Nor does </w:t>
      </w:r>
      <w:r w:rsidR="000D335D">
        <w:t xml:space="preserve">adjusting the outdated, inflated rate of return </w:t>
      </w:r>
      <w:r w:rsidR="00C5721D">
        <w:t>represent “cherry</w:t>
      </w:r>
      <w:r w:rsidR="004A563C">
        <w:t xml:space="preserve"> </w:t>
      </w:r>
      <w:r w:rsidR="00C5721D">
        <w:t>picking.”</w:t>
      </w:r>
      <w:r>
        <w:rPr>
          <w:rStyle w:val="FootnoteReference"/>
        </w:rPr>
        <w:footnoteReference w:id="12"/>
      </w:r>
      <w:r w:rsidR="0033015C">
        <w:t xml:space="preserve"> </w:t>
      </w:r>
      <w:r w:rsidR="00CB4739">
        <w:t xml:space="preserve">In fact, </w:t>
      </w:r>
      <w:r w:rsidR="00DB0FA4">
        <w:t>it is Dominion doing the “cherry</w:t>
      </w:r>
      <w:r w:rsidR="004A563C">
        <w:t xml:space="preserve"> </w:t>
      </w:r>
      <w:r w:rsidR="00DB0FA4">
        <w:t xml:space="preserve">picking” because, under its proposal, the PIR charge </w:t>
      </w:r>
      <w:r w:rsidR="0051343E">
        <w:t xml:space="preserve">is calculated by updating every component of the program (the amounts of PIR investments, the O&amp;M expenses, and taxes) </w:t>
      </w:r>
      <w:r w:rsidR="00CB4739">
        <w:t>--</w:t>
      </w:r>
      <w:r w:rsidR="0051343E">
        <w:t>except the stale and unreasonably high rate of return.</w:t>
      </w:r>
      <w:r w:rsidR="00272B33">
        <w:t xml:space="preserve"> </w:t>
      </w:r>
    </w:p>
    <w:p w:rsidR="006B4C9F" w:rsidP="006B4C9F" w14:paraId="6F0C968C" w14:textId="77777777">
      <w:pPr>
        <w:ind w:firstLine="720"/>
      </w:pPr>
    </w:p>
    <w:p w:rsidR="00313201" w:rsidP="000A0A83" w14:paraId="7306A192" w14:textId="5E473390">
      <w:pPr>
        <w:pStyle w:val="Heading1"/>
        <w:numPr>
          <w:ilvl w:val="0"/>
          <w:numId w:val="7"/>
        </w:numPr>
        <w:ind w:left="720"/>
      </w:pPr>
      <w:bookmarkStart w:id="3" w:name="_Toc101360628"/>
      <w:r w:rsidRPr="00F64C84">
        <w:t>RE</w:t>
      </w:r>
      <w:r w:rsidR="00C5721D">
        <w:t>PLY</w:t>
      </w:r>
      <w:bookmarkEnd w:id="3"/>
    </w:p>
    <w:p w:rsidR="00313201" w:rsidRPr="004A60E4" w:rsidP="000A0A83" w14:paraId="327A93E8" w14:textId="7A61DB20">
      <w:pPr>
        <w:pStyle w:val="Heading2"/>
        <w:numPr>
          <w:ilvl w:val="0"/>
          <w:numId w:val="18"/>
        </w:numPr>
        <w:ind w:left="1440" w:hanging="720"/>
        <w:rPr>
          <w:rFonts w:eastAsia="SimSun"/>
        </w:rPr>
      </w:pPr>
      <w:bookmarkStart w:id="4" w:name="_Toc101360629"/>
      <w:bookmarkStart w:id="5" w:name="_Toc445824337"/>
      <w:bookmarkStart w:id="6" w:name="_Toc444787522"/>
      <w:r w:rsidRPr="004A60E4">
        <w:rPr>
          <w:rFonts w:eastAsia="SimSun"/>
        </w:rPr>
        <w:t>T</w:t>
      </w:r>
      <w:r w:rsidR="0001058B">
        <w:rPr>
          <w:rFonts w:eastAsia="SimSun"/>
        </w:rPr>
        <w:t>o protect consumers, t</w:t>
      </w:r>
      <w:r w:rsidR="00C5721D">
        <w:rPr>
          <w:rFonts w:eastAsia="SimSun"/>
        </w:rPr>
        <w:t>he PUCO</w:t>
      </w:r>
      <w:r w:rsidR="0001058B">
        <w:rPr>
          <w:rFonts w:eastAsia="SimSun"/>
        </w:rPr>
        <w:t xml:space="preserve"> should abandon its</w:t>
      </w:r>
      <w:r w:rsidR="00C5721D">
        <w:rPr>
          <w:rFonts w:eastAsia="SimSun"/>
        </w:rPr>
        <w:t xml:space="preserve"> past practice </w:t>
      </w:r>
      <w:r w:rsidR="00165A5E">
        <w:rPr>
          <w:rFonts w:eastAsia="SimSun"/>
        </w:rPr>
        <w:t>of using a rate of return set in a utility’s last rate case</w:t>
      </w:r>
      <w:r w:rsidR="0001058B">
        <w:rPr>
          <w:rFonts w:eastAsia="SimSun"/>
        </w:rPr>
        <w:t>.</w:t>
      </w:r>
      <w:r w:rsidR="00272B33">
        <w:rPr>
          <w:rFonts w:eastAsia="SimSun"/>
        </w:rPr>
        <w:t xml:space="preserve"> </w:t>
      </w:r>
      <w:r w:rsidR="0001058B">
        <w:rPr>
          <w:rFonts w:eastAsia="SimSun"/>
        </w:rPr>
        <w:t>This practice</w:t>
      </w:r>
      <w:r w:rsidR="00165A5E">
        <w:rPr>
          <w:rFonts w:eastAsia="SimSun"/>
        </w:rPr>
        <w:t xml:space="preserve"> </w:t>
      </w:r>
      <w:r w:rsidR="00C5721D">
        <w:rPr>
          <w:rFonts w:eastAsia="SimSun"/>
        </w:rPr>
        <w:t xml:space="preserve">is not a substitute for the legal standard under Ohio law, </w:t>
      </w:r>
      <w:r w:rsidR="000D335D">
        <w:rPr>
          <w:rFonts w:eastAsia="SimSun"/>
        </w:rPr>
        <w:t xml:space="preserve">R.C. 4905.22, </w:t>
      </w:r>
      <w:r w:rsidR="00C5721D">
        <w:rPr>
          <w:rFonts w:eastAsia="SimSun"/>
        </w:rPr>
        <w:t>R.C. 4929.05(A)</w:t>
      </w:r>
      <w:r w:rsidR="00165A5E">
        <w:rPr>
          <w:rFonts w:eastAsia="SimSun"/>
        </w:rPr>
        <w:t>(3) and R.C. 4909.18</w:t>
      </w:r>
      <w:bookmarkEnd w:id="4"/>
      <w:r w:rsidR="00165A5E">
        <w:rPr>
          <w:rFonts w:eastAsia="SimSun"/>
        </w:rPr>
        <w:t>.</w:t>
      </w:r>
      <w:r w:rsidR="00002C60">
        <w:rPr>
          <w:rFonts w:eastAsia="SimSun"/>
        </w:rPr>
        <w:t xml:space="preserve"> </w:t>
      </w:r>
    </w:p>
    <w:p w:rsidR="00165A5E" w:rsidP="00FD5660" w14:paraId="6E6CC6DD" w14:textId="15E32D9C">
      <w:pPr>
        <w:pStyle w:val="ListParagraph"/>
        <w:spacing w:line="480" w:lineRule="auto"/>
        <w:ind w:left="0" w:firstLine="720"/>
      </w:pPr>
      <w:r>
        <w:t xml:space="preserve">Dominion cites to recent PUCO orders </w:t>
      </w:r>
      <w:r w:rsidR="005C0EAA">
        <w:t>where the PUCO has utilized the cost of capital and capital structure approved in the utility’s last rate case in subsequent alternative rate plan and rider proceedings. But there is no law or rule requiring the PUCO to do this. And past practice should not outweigh the standards under Ohio law.</w:t>
      </w:r>
      <w:r>
        <w:t xml:space="preserve"> </w:t>
      </w:r>
    </w:p>
    <w:p w:rsidR="00906D45" w:rsidP="00906D45" w14:paraId="701C1506" w14:textId="576D991F">
      <w:pPr>
        <w:pStyle w:val="ListParagraph"/>
        <w:spacing w:line="480" w:lineRule="auto"/>
        <w:ind w:left="0" w:firstLine="720"/>
        <w:rPr>
          <w:szCs w:val="24"/>
        </w:rPr>
      </w:pPr>
      <w:r>
        <w:t>U</w:t>
      </w:r>
      <w:r w:rsidR="00375D75">
        <w:t>nder R.C. 4909.18, the proposals in any application for establishment of change in rate must be shown by the public utility to be just and reasonable.</w:t>
      </w:r>
      <w:r w:rsidRPr="00906D45">
        <w:rPr>
          <w:szCs w:val="24"/>
        </w:rPr>
        <w:t xml:space="preserve"> </w:t>
      </w:r>
      <w:r w:rsidR="0034156D">
        <w:t xml:space="preserve">Under </w:t>
      </w:r>
      <w:r w:rsidR="0027219D">
        <w:t xml:space="preserve">R.C. </w:t>
      </w:r>
      <w:r w:rsidR="0034156D">
        <w:t xml:space="preserve">4905.22 a “public utility must furnish necessary and adequate service…that in all respects is just and reasonable.” </w:t>
      </w:r>
      <w:r w:rsidR="00FA4ED8">
        <w:t xml:space="preserve">Under R.C. 4929.05(A)(3), alternative rate plans must be shown to be just and reasonable. </w:t>
      </w:r>
      <w:r w:rsidRPr="006952F8">
        <w:rPr>
          <w:szCs w:val="24"/>
        </w:rPr>
        <w:t>And R</w:t>
      </w:r>
      <w:r>
        <w:rPr>
          <w:szCs w:val="24"/>
        </w:rPr>
        <w:t>.C.</w:t>
      </w:r>
      <w:r w:rsidRPr="006952F8">
        <w:rPr>
          <w:szCs w:val="24"/>
        </w:rPr>
        <w:t xml:space="preserve"> 4929.05(B) provides that the utility has the burden of proof.</w:t>
      </w:r>
      <w:r>
        <w:rPr>
          <w:szCs w:val="24"/>
        </w:rPr>
        <w:t xml:space="preserve"> </w:t>
      </w:r>
    </w:p>
    <w:p w:rsidR="00F740DF" w:rsidP="00FD5660" w14:paraId="32BB4DEC" w14:textId="02859840">
      <w:pPr>
        <w:pStyle w:val="ListParagraph"/>
        <w:spacing w:line="480" w:lineRule="auto"/>
        <w:ind w:left="0" w:firstLine="720"/>
      </w:pPr>
      <w:r>
        <w:t>Taken together,</w:t>
      </w:r>
      <w:r w:rsidR="00C55310">
        <w:t xml:space="preserve"> </w:t>
      </w:r>
      <w:r>
        <w:t xml:space="preserve">under </w:t>
      </w:r>
      <w:r w:rsidR="00C55310">
        <w:t xml:space="preserve">these statutes, the PUCO must find that all aspects of the pipeline infrastructure program </w:t>
      </w:r>
      <w:r w:rsidR="0084463B">
        <w:t>are</w:t>
      </w:r>
      <w:r w:rsidR="00C55310">
        <w:t xml:space="preserve"> “just and reasonable.” </w:t>
      </w:r>
      <w:r w:rsidR="00375D75">
        <w:t>T</w:t>
      </w:r>
      <w:r w:rsidR="00165A5E">
        <w:t xml:space="preserve">he PUCO’s past practice </w:t>
      </w:r>
      <w:r w:rsidR="00375D75">
        <w:t xml:space="preserve">of using a utility’s </w:t>
      </w:r>
      <w:r w:rsidR="00906D45">
        <w:t xml:space="preserve">rate of return from its last rate case </w:t>
      </w:r>
      <w:r w:rsidR="00165A5E">
        <w:t>is not a substitute for the legal standard under Ohio law</w:t>
      </w:r>
      <w:r>
        <w:t>.</w:t>
      </w:r>
      <w:r>
        <w:rPr>
          <w:rStyle w:val="FootnoteReference"/>
        </w:rPr>
        <w:footnoteReference w:id="13"/>
      </w:r>
      <w:r w:rsidR="00165A5E">
        <w:t xml:space="preserve"> </w:t>
      </w:r>
      <w:r w:rsidR="00CB4739">
        <w:t xml:space="preserve">This is particularly true when the </w:t>
      </w:r>
      <w:r>
        <w:t xml:space="preserve">“last rate case” </w:t>
      </w:r>
      <w:r w:rsidR="00CB4739">
        <w:t xml:space="preserve">rate of </w:t>
      </w:r>
      <w:r w:rsidR="0072433E">
        <w:t xml:space="preserve">return is now </w:t>
      </w:r>
      <w:r w:rsidR="00CB4739">
        <w:t xml:space="preserve">13 years old, compared to a just and reasonable rate of return based on current market conditions. </w:t>
      </w:r>
      <w:r w:rsidR="00165A5E">
        <w:t>Using the outdated and inflated rate of return that was set more than 13 years ago, without any supporting evidence, fails to show that it is just and reasonable to use in 2022.</w:t>
      </w:r>
      <w:r>
        <w:t xml:space="preserve"> </w:t>
      </w:r>
    </w:p>
    <w:p w:rsidR="000D335D" w:rsidP="00FD5660" w14:paraId="73C9D146" w14:textId="5A2E89FE">
      <w:pPr>
        <w:pStyle w:val="ListParagraph"/>
        <w:spacing w:line="480" w:lineRule="auto"/>
        <w:ind w:left="0" w:firstLine="720"/>
      </w:pPr>
      <w:r>
        <w:t xml:space="preserve">The only evidence in the record </w:t>
      </w:r>
      <w:r w:rsidR="00F740DF">
        <w:t xml:space="preserve">regarding use </w:t>
      </w:r>
      <w:r w:rsidR="00E90643">
        <w:t xml:space="preserve">(or improper use) </w:t>
      </w:r>
      <w:r w:rsidR="00F740DF">
        <w:t>of the 13-year-old rate of return is</w:t>
      </w:r>
      <w:r>
        <w:t xml:space="preserve"> the uncontroverted testimony of OCC Witness Duann</w:t>
      </w:r>
      <w:r w:rsidR="00F740DF">
        <w:t>.</w:t>
      </w:r>
      <w:r>
        <w:rPr>
          <w:rStyle w:val="FootnoteReference"/>
        </w:rPr>
        <w:footnoteReference w:id="14"/>
      </w:r>
      <w:r w:rsidR="0033015C">
        <w:t xml:space="preserve"> </w:t>
      </w:r>
      <w:r>
        <w:t>He testified that the 13</w:t>
      </w:r>
      <w:r w:rsidR="00825586">
        <w:t>-</w:t>
      </w:r>
      <w:r>
        <w:t>year-old rates were unjust and unreasonable.</w:t>
      </w:r>
      <w:r>
        <w:rPr>
          <w:rStyle w:val="FootnoteReference"/>
        </w:rPr>
        <w:footnoteReference w:id="15"/>
      </w:r>
      <w:r>
        <w:t xml:space="preserve"> </w:t>
      </w:r>
      <w:r w:rsidR="00825586">
        <w:t>Dominion should not be permitted to charge</w:t>
      </w:r>
      <w:r>
        <w:t xml:space="preserve"> consumers for rates that are unjust and </w:t>
      </w:r>
      <w:r w:rsidR="00825586">
        <w:t xml:space="preserve">unreasonable </w:t>
      </w:r>
      <w:r w:rsidR="009B0055">
        <w:t>because doing so violates Ohio law.</w:t>
      </w:r>
    </w:p>
    <w:p w:rsidR="00315354" w:rsidP="00315354" w14:paraId="4EFBB0B1" w14:textId="77777777">
      <w:pPr>
        <w:spacing w:line="480" w:lineRule="auto"/>
        <w:ind w:firstLine="720"/>
        <w:rPr>
          <w:bCs/>
          <w:iCs/>
        </w:rPr>
      </w:pPr>
      <w:r>
        <w:rPr>
          <w:bCs/>
          <w:iCs/>
        </w:rPr>
        <w:t>Adherence to</w:t>
      </w:r>
      <w:r w:rsidRPr="001A3446">
        <w:rPr>
          <w:bCs/>
          <w:iCs/>
        </w:rPr>
        <w:t xml:space="preserve"> PUCO past practice should not be used as an excuse for ignoring important legal and regulatory requirements and responsibility in ratemaking.</w:t>
      </w:r>
      <w:r>
        <w:rPr>
          <w:bCs/>
          <w:iCs/>
        </w:rPr>
        <w:t xml:space="preserve"> Especially when applying past practice will obviously lead to unjust and unreasonable outcomes for consumers. As demonstrated by OCC in several recent cases, a rate of return of 9.91% based on cost of capital components set 13 years ago under vastly different market conditions is outdated and unreasonable.</w:t>
      </w:r>
      <w:r>
        <w:rPr>
          <w:rStyle w:val="FootnoteReference"/>
          <w:bCs/>
          <w:iCs/>
        </w:rPr>
        <w:footnoteReference w:id="16"/>
      </w:r>
      <w:r>
        <w:rPr>
          <w:bCs/>
          <w:iCs/>
        </w:rPr>
        <w:t xml:space="preserve"> </w:t>
      </w:r>
    </w:p>
    <w:p w:rsidR="00315354" w:rsidP="00E53509" w14:paraId="4156B64F" w14:textId="0D67C024">
      <w:pPr>
        <w:spacing w:line="480" w:lineRule="auto"/>
        <w:ind w:firstLine="720"/>
      </w:pPr>
      <w:r>
        <w:t xml:space="preserve">The PUCO’s </w:t>
      </w:r>
      <w:r w:rsidR="00252F5C">
        <w:t xml:space="preserve">“past practice” or </w:t>
      </w:r>
      <w:r>
        <w:t xml:space="preserve">“precedent,” in its role as judge, should </w:t>
      </w:r>
      <w:r w:rsidR="0001058B">
        <w:t>follow the law</w:t>
      </w:r>
      <w:r>
        <w:t xml:space="preserve"> to provide justice</w:t>
      </w:r>
      <w:r w:rsidR="00252F5C">
        <w:t xml:space="preserve">. </w:t>
      </w:r>
      <w:r w:rsidR="00080910">
        <w:t>Under applicable laws in this case,</w:t>
      </w:r>
      <w:r>
        <w:rPr>
          <w:rStyle w:val="FootnoteReference"/>
        </w:rPr>
        <w:footnoteReference w:id="17"/>
      </w:r>
      <w:r w:rsidR="00080910">
        <w:t xml:space="preserve"> the PUCO has an affirmative responsibility to review and make a finding on the justness and reasonableness of Dominion’s </w:t>
      </w:r>
      <w:r w:rsidR="00BC497A">
        <w:t>a</w:t>
      </w:r>
      <w:r w:rsidR="00080910">
        <w:t>pplication.</w:t>
      </w:r>
      <w:r w:rsidR="0033015C">
        <w:t xml:space="preserve"> </w:t>
      </w:r>
      <w:r w:rsidR="00080910">
        <w:t xml:space="preserve">The PUCO must determine if its past policy and precedent is still just and still reasonable </w:t>
      </w:r>
      <w:r w:rsidR="0091279D">
        <w:t>today in this case based on the evidence presented in this case.</w:t>
      </w:r>
      <w:r>
        <w:t xml:space="preserve"> An assessment of this point of law </w:t>
      </w:r>
      <w:r w:rsidR="00420409">
        <w:t xml:space="preserve">was </w:t>
      </w:r>
      <w:r>
        <w:t xml:space="preserve">recently provided by the Ohio Supreme Court in </w:t>
      </w:r>
      <w:r w:rsidRPr="00934677">
        <w:rPr>
          <w:i/>
          <w:iCs/>
        </w:rPr>
        <w:t>In re Complaint of Suburban Gas Company</w:t>
      </w:r>
      <w:r w:rsidR="00252F5C">
        <w:rPr>
          <w:i/>
          <w:iCs/>
        </w:rPr>
        <w:t>.</w:t>
      </w:r>
      <w:r>
        <w:rPr>
          <w:rStyle w:val="FootnoteReference"/>
          <w:i/>
          <w:iCs/>
        </w:rPr>
        <w:footnoteReference w:id="18"/>
      </w:r>
      <w:r w:rsidR="00252F5C">
        <w:rPr>
          <w:i/>
          <w:iCs/>
        </w:rPr>
        <w:t xml:space="preserve"> </w:t>
      </w:r>
    </w:p>
    <w:p w:rsidR="004901EF" w:rsidP="004901EF" w14:paraId="7DF9290F" w14:textId="37E2D20E">
      <w:pPr>
        <w:spacing w:line="480" w:lineRule="auto"/>
        <w:ind w:firstLine="720"/>
      </w:pPr>
      <w:r>
        <w:t xml:space="preserve">No law, rule, or PUCO precedent requires that the PUCO apply the rate of return from a utility’s most recent base rate case to determine a rider rate. Especially when to do so contravenes Ohio law. </w:t>
      </w:r>
      <w:r w:rsidR="00252F5C">
        <w:t xml:space="preserve">Nothing in the arguments provided in Dominion’s initial brief have demonstrated that </w:t>
      </w:r>
      <w:r w:rsidR="005A120B">
        <w:t xml:space="preserve">the </w:t>
      </w:r>
      <w:r w:rsidR="00252F5C">
        <w:t xml:space="preserve">PUCO cannot set a new and reasonable rate of return for calculating the PIR charge. </w:t>
      </w:r>
      <w:r>
        <w:t>Th</w:t>
      </w:r>
      <w:r w:rsidR="003B2FA8">
        <w:t xml:space="preserve">is is a choice, </w:t>
      </w:r>
      <w:r w:rsidR="00E53509">
        <w:t>and the</w:t>
      </w:r>
      <w:r w:rsidR="003B2FA8">
        <w:t xml:space="preserve"> right choice for the </w:t>
      </w:r>
      <w:r>
        <w:t xml:space="preserve">PUCO </w:t>
      </w:r>
      <w:r w:rsidR="003B2FA8">
        <w:t xml:space="preserve">to </w:t>
      </w:r>
      <w:r w:rsidR="0067122B">
        <w:t>m</w:t>
      </w:r>
      <w:r w:rsidR="003B2FA8">
        <w:t xml:space="preserve">ake to protect Dominion’s </w:t>
      </w:r>
      <w:r w:rsidR="005A120B">
        <w:t xml:space="preserve">natural </w:t>
      </w:r>
      <w:r w:rsidR="003B2FA8">
        <w:t xml:space="preserve">gas consumers. </w:t>
      </w:r>
    </w:p>
    <w:p w:rsidR="004901EF" w:rsidRPr="005B698B" w:rsidP="004901EF" w14:paraId="3F2A9FFD" w14:textId="3669DE71">
      <w:pPr>
        <w:pStyle w:val="Heading2"/>
        <w:rPr>
          <w:rFonts w:eastAsia="SimSun"/>
        </w:rPr>
      </w:pPr>
      <w:r>
        <w:rPr>
          <w:rFonts w:eastAsia="SimSun"/>
        </w:rPr>
        <w:t xml:space="preserve">B. </w:t>
      </w:r>
      <w:r>
        <w:rPr>
          <w:rFonts w:eastAsia="SimSun"/>
        </w:rPr>
        <w:tab/>
      </w:r>
      <w:r w:rsidR="00CC3370">
        <w:rPr>
          <w:rFonts w:eastAsia="SimSun"/>
        </w:rPr>
        <w:t>T</w:t>
      </w:r>
      <w:r w:rsidR="0067122B">
        <w:rPr>
          <w:rFonts w:eastAsia="SimSun"/>
        </w:rPr>
        <w:t>o protect consumers, t</w:t>
      </w:r>
      <w:r w:rsidR="00CC3370">
        <w:rPr>
          <w:rFonts w:eastAsia="SimSun"/>
        </w:rPr>
        <w:t xml:space="preserve">he PUCO </w:t>
      </w:r>
      <w:r w:rsidR="003B2FA8">
        <w:rPr>
          <w:rFonts w:eastAsia="SimSun"/>
        </w:rPr>
        <w:t xml:space="preserve">should set a new and reasonable </w:t>
      </w:r>
      <w:r w:rsidR="00CC3370">
        <w:rPr>
          <w:rFonts w:eastAsia="SimSun"/>
        </w:rPr>
        <w:t xml:space="preserve">rate of return </w:t>
      </w:r>
      <w:r w:rsidR="003B2FA8">
        <w:rPr>
          <w:rFonts w:eastAsia="SimSun"/>
        </w:rPr>
        <w:t>for</w:t>
      </w:r>
      <w:r w:rsidR="00E7504D">
        <w:rPr>
          <w:rFonts w:eastAsia="SimSun"/>
        </w:rPr>
        <w:t xml:space="preserve"> Dominion’s</w:t>
      </w:r>
      <w:r w:rsidR="00CC3370">
        <w:rPr>
          <w:rFonts w:eastAsia="SimSun"/>
        </w:rPr>
        <w:t xml:space="preserve"> pipeline infrastructure program </w:t>
      </w:r>
      <w:r w:rsidR="003B2FA8">
        <w:rPr>
          <w:rFonts w:eastAsia="SimSun"/>
        </w:rPr>
        <w:t>to avoid the</w:t>
      </w:r>
      <w:r w:rsidR="00CC3370">
        <w:rPr>
          <w:rFonts w:eastAsia="SimSun"/>
        </w:rPr>
        <w:t xml:space="preserve"> “cherry-picking</w:t>
      </w:r>
      <w:r w:rsidR="003B2FA8">
        <w:rPr>
          <w:rFonts w:eastAsia="SimSun"/>
        </w:rPr>
        <w:t>” advocated by Dominion.</w:t>
      </w:r>
      <w:r w:rsidRPr="005B698B">
        <w:rPr>
          <w:rFonts w:eastAsia="SimSun"/>
        </w:rPr>
        <w:t xml:space="preserve"> </w:t>
      </w:r>
    </w:p>
    <w:p w:rsidR="00E53509" w:rsidP="00FD5660" w14:paraId="70032851" w14:textId="0D3E7A59">
      <w:pPr>
        <w:pStyle w:val="ListParagraph"/>
        <w:spacing w:line="480" w:lineRule="auto"/>
        <w:ind w:left="0" w:firstLine="720"/>
        <w:rPr>
          <w:szCs w:val="24"/>
        </w:rPr>
      </w:pPr>
      <w:r>
        <w:rPr>
          <w:szCs w:val="24"/>
        </w:rPr>
        <w:t>Contrary to Dominion’s argument,</w:t>
      </w:r>
      <w:r>
        <w:rPr>
          <w:rStyle w:val="FootnoteReference"/>
          <w:szCs w:val="24"/>
        </w:rPr>
        <w:footnoteReference w:id="19"/>
      </w:r>
      <w:r>
        <w:rPr>
          <w:szCs w:val="24"/>
        </w:rPr>
        <w:t xml:space="preserve"> OCC witness Duann presented </w:t>
      </w:r>
      <w:r w:rsidR="0001078C">
        <w:rPr>
          <w:szCs w:val="24"/>
        </w:rPr>
        <w:t>complete testimony on rate of return.</w:t>
      </w:r>
      <w:r>
        <w:rPr>
          <w:rStyle w:val="FootnoteReference"/>
          <w:szCs w:val="24"/>
        </w:rPr>
        <w:footnoteReference w:id="20"/>
      </w:r>
      <w:r w:rsidR="0001078C">
        <w:rPr>
          <w:szCs w:val="24"/>
        </w:rPr>
        <w:t xml:space="preserve"> He did not</w:t>
      </w:r>
      <w:r w:rsidR="007B731C">
        <w:rPr>
          <w:szCs w:val="24"/>
        </w:rPr>
        <w:t xml:space="preserve"> just</w:t>
      </w:r>
      <w:r w:rsidR="0001078C">
        <w:rPr>
          <w:szCs w:val="24"/>
        </w:rPr>
        <w:t xml:space="preserve"> “focus on the long-term debt rate” </w:t>
      </w:r>
      <w:r w:rsidR="00BC497A">
        <w:rPr>
          <w:szCs w:val="24"/>
        </w:rPr>
        <w:t>n</w:t>
      </w:r>
      <w:r w:rsidR="0064488A">
        <w:rPr>
          <w:szCs w:val="24"/>
        </w:rPr>
        <w:t xml:space="preserve">or was </w:t>
      </w:r>
      <w:r w:rsidR="0067122B">
        <w:rPr>
          <w:szCs w:val="24"/>
        </w:rPr>
        <w:t xml:space="preserve">he </w:t>
      </w:r>
      <w:r w:rsidR="0064488A">
        <w:rPr>
          <w:szCs w:val="24"/>
        </w:rPr>
        <w:t xml:space="preserve">“cherry picking” </w:t>
      </w:r>
      <w:r w:rsidR="0001078C">
        <w:rPr>
          <w:szCs w:val="24"/>
        </w:rPr>
        <w:t>in his arguments.</w:t>
      </w:r>
      <w:r>
        <w:rPr>
          <w:rStyle w:val="FootnoteReference"/>
          <w:szCs w:val="24"/>
        </w:rPr>
        <w:footnoteReference w:id="21"/>
      </w:r>
      <w:r w:rsidR="0001078C">
        <w:rPr>
          <w:szCs w:val="24"/>
        </w:rPr>
        <w:t xml:space="preserve"> </w:t>
      </w:r>
      <w:r w:rsidR="000E1760">
        <w:rPr>
          <w:szCs w:val="24"/>
        </w:rPr>
        <w:t>OCC’s witness did not recommend that the PUCO</w:t>
      </w:r>
      <w:r w:rsidR="006260C5">
        <w:rPr>
          <w:szCs w:val="24"/>
        </w:rPr>
        <w:t xml:space="preserve"> only modify Dominion’s cost of debt. </w:t>
      </w:r>
      <w:r>
        <w:rPr>
          <w:szCs w:val="24"/>
        </w:rPr>
        <w:t>R</w:t>
      </w:r>
      <w:r w:rsidR="0001078C">
        <w:rPr>
          <w:szCs w:val="24"/>
        </w:rPr>
        <w:t>ecord support exists for the PUCO to modify the entire rate of return calculation</w:t>
      </w:r>
      <w:r w:rsidR="00577399">
        <w:rPr>
          <w:szCs w:val="24"/>
        </w:rPr>
        <w:t xml:space="preserve">. </w:t>
      </w:r>
    </w:p>
    <w:p w:rsidR="006260C5" w:rsidP="00FD5660" w14:paraId="2FD9F888" w14:textId="74BEFA03">
      <w:pPr>
        <w:pStyle w:val="ListParagraph"/>
        <w:spacing w:line="480" w:lineRule="auto"/>
        <w:ind w:left="0" w:firstLine="720"/>
        <w:rPr>
          <w:szCs w:val="24"/>
        </w:rPr>
      </w:pPr>
      <w:r>
        <w:rPr>
          <w:szCs w:val="24"/>
        </w:rPr>
        <w:t>Instead, i</w:t>
      </w:r>
      <w:r w:rsidR="00E7457B">
        <w:rPr>
          <w:szCs w:val="24"/>
        </w:rPr>
        <w:t xml:space="preserve">t is Dominion that is </w:t>
      </w:r>
      <w:r w:rsidR="00420409">
        <w:rPr>
          <w:szCs w:val="24"/>
        </w:rPr>
        <w:t>“</w:t>
      </w:r>
      <w:r w:rsidR="00BC497A">
        <w:rPr>
          <w:szCs w:val="24"/>
        </w:rPr>
        <w:t xml:space="preserve">cherry </w:t>
      </w:r>
      <w:r w:rsidR="00E7457B">
        <w:rPr>
          <w:szCs w:val="24"/>
        </w:rPr>
        <w:t>picking</w:t>
      </w:r>
      <w:r w:rsidR="00BC497A">
        <w:rPr>
          <w:szCs w:val="24"/>
        </w:rPr>
        <w:t>.</w:t>
      </w:r>
      <w:r w:rsidR="00420409">
        <w:rPr>
          <w:szCs w:val="24"/>
        </w:rPr>
        <w:t>”</w:t>
      </w:r>
      <w:r w:rsidR="00BC497A">
        <w:rPr>
          <w:szCs w:val="24"/>
        </w:rPr>
        <w:t xml:space="preserve"> In</w:t>
      </w:r>
      <w:r w:rsidR="00E7457B">
        <w:rPr>
          <w:szCs w:val="24"/>
        </w:rPr>
        <w:t xml:space="preserve"> updating its PIR charge, Dominion wants to update every component of its PIR program except the stale and inflated rate of return of 9.91%. The PIR charge is calculated by using the updated amount of PIR capital investments, the updated operating and maintenance expenses, the updated depreciation expenses, and the updated tax expenses. Only the rate of return is not updated</w:t>
      </w:r>
      <w:r w:rsidR="00EF47B6">
        <w:rPr>
          <w:szCs w:val="24"/>
        </w:rPr>
        <w:t>. This is “cherry picking</w:t>
      </w:r>
      <w:r w:rsidR="00E7504D">
        <w:rPr>
          <w:szCs w:val="24"/>
        </w:rPr>
        <w:t>,</w:t>
      </w:r>
      <w:r w:rsidR="00EF47B6">
        <w:rPr>
          <w:szCs w:val="24"/>
        </w:rPr>
        <w:t>” and it is done by Dominion.</w:t>
      </w:r>
      <w:r w:rsidR="0033015C">
        <w:rPr>
          <w:szCs w:val="24"/>
        </w:rPr>
        <w:t xml:space="preserve"> </w:t>
      </w:r>
    </w:p>
    <w:p w:rsidR="009755E5" w:rsidP="00FD5660" w14:paraId="0A4A68AF" w14:textId="5D8A47D7">
      <w:pPr>
        <w:pStyle w:val="ListParagraph"/>
        <w:spacing w:line="480" w:lineRule="auto"/>
        <w:ind w:left="0" w:firstLine="720"/>
        <w:rPr>
          <w:szCs w:val="24"/>
        </w:rPr>
      </w:pPr>
      <w:r>
        <w:rPr>
          <w:szCs w:val="24"/>
        </w:rPr>
        <w:t xml:space="preserve">OCC has proposed that the PUCO adjust </w:t>
      </w:r>
      <w:r w:rsidR="00081D42">
        <w:rPr>
          <w:szCs w:val="24"/>
        </w:rPr>
        <w:t>Dominion’s entire cost of capital</w:t>
      </w:r>
      <w:r>
        <w:rPr>
          <w:szCs w:val="24"/>
        </w:rPr>
        <w:t>.</w:t>
      </w:r>
      <w:r>
        <w:rPr>
          <w:rStyle w:val="FootnoteReference"/>
          <w:szCs w:val="24"/>
        </w:rPr>
        <w:footnoteReference w:id="22"/>
      </w:r>
      <w:r>
        <w:rPr>
          <w:szCs w:val="24"/>
        </w:rPr>
        <w:t xml:space="preserve"> OCC presented the only expert rate of return witness in this proceeding, whose testimony was not challenged by opposing testimony or cross-examination. OCC witness Dr. Duann presented detailed testimony as to the appropriate </w:t>
      </w:r>
      <w:r w:rsidR="00B75E89">
        <w:rPr>
          <w:szCs w:val="24"/>
        </w:rPr>
        <w:t>cost of debt,</w:t>
      </w:r>
      <w:r>
        <w:rPr>
          <w:rStyle w:val="FootnoteReference"/>
          <w:szCs w:val="24"/>
        </w:rPr>
        <w:footnoteReference w:id="23"/>
      </w:r>
      <w:r w:rsidR="00B75E89">
        <w:rPr>
          <w:szCs w:val="24"/>
        </w:rPr>
        <w:t xml:space="preserve"> cost of equity</w:t>
      </w:r>
      <w:r>
        <w:rPr>
          <w:rStyle w:val="FootnoteReference"/>
          <w:szCs w:val="24"/>
        </w:rPr>
        <w:footnoteReference w:id="24"/>
      </w:r>
      <w:r w:rsidR="00B75E89">
        <w:rPr>
          <w:szCs w:val="24"/>
        </w:rPr>
        <w:t xml:space="preserve"> and capital structure.</w:t>
      </w:r>
      <w:r>
        <w:rPr>
          <w:rStyle w:val="FootnoteReference"/>
          <w:szCs w:val="24"/>
        </w:rPr>
        <w:footnoteReference w:id="25"/>
      </w:r>
      <w:r w:rsidR="00B75E89">
        <w:rPr>
          <w:szCs w:val="24"/>
        </w:rPr>
        <w:t xml:space="preserve"> </w:t>
      </w:r>
    </w:p>
    <w:p w:rsidR="009755E5" w:rsidP="009755E5" w14:paraId="639EA9BC" w14:textId="4C1BCD49">
      <w:pPr>
        <w:pStyle w:val="ListParagraph"/>
        <w:spacing w:line="480" w:lineRule="auto"/>
        <w:ind w:left="0" w:firstLine="720"/>
        <w:rPr>
          <w:szCs w:val="24"/>
        </w:rPr>
      </w:pPr>
      <w:r>
        <w:rPr>
          <w:szCs w:val="24"/>
        </w:rPr>
        <w:t xml:space="preserve">OCC is the only party to demonstrate </w:t>
      </w:r>
      <w:r w:rsidRPr="00AA0799">
        <w:rPr>
          <w:szCs w:val="24"/>
        </w:rPr>
        <w:t xml:space="preserve">that the return on equity component of Dominion’s rate of return no longer reflects Dominion’s current financial risks and </w:t>
      </w:r>
      <w:r w:rsidRPr="00FD5660">
        <w:rPr>
          <w:szCs w:val="24"/>
        </w:rPr>
        <w:t xml:space="preserve">is far higher than recent returns on equity for comparable </w:t>
      </w:r>
      <w:r w:rsidR="0067122B">
        <w:rPr>
          <w:szCs w:val="24"/>
        </w:rPr>
        <w:t xml:space="preserve">natural gas </w:t>
      </w:r>
      <w:r w:rsidRPr="00FD5660">
        <w:rPr>
          <w:szCs w:val="24"/>
        </w:rPr>
        <w:t>utilities.</w:t>
      </w:r>
      <w:r w:rsidRPr="00AA0799">
        <w:rPr>
          <w:szCs w:val="24"/>
        </w:rPr>
        <w:t xml:space="preserve"> </w:t>
      </w:r>
      <w:r w:rsidR="00EC561B">
        <w:rPr>
          <w:szCs w:val="24"/>
        </w:rPr>
        <w:t>Dr. Duann</w:t>
      </w:r>
      <w:r w:rsidR="00272B33">
        <w:rPr>
          <w:szCs w:val="24"/>
        </w:rPr>
        <w:t xml:space="preserve"> </w:t>
      </w:r>
      <w:r w:rsidRPr="00AA0799">
        <w:rPr>
          <w:szCs w:val="24"/>
        </w:rPr>
        <w:t>testified that Dominion’s return on equity should be no higher than 9.36% instead of the 10.38% embedded in Dominion’s proposed rate of return.</w:t>
      </w:r>
      <w:r>
        <w:rPr>
          <w:rStyle w:val="FootnoteReference"/>
          <w:szCs w:val="24"/>
        </w:rPr>
        <w:footnoteReference w:id="26"/>
      </w:r>
      <w:r w:rsidRPr="00AA0799">
        <w:rPr>
          <w:szCs w:val="24"/>
        </w:rPr>
        <w:t xml:space="preserve"> Similarly, </w:t>
      </w:r>
      <w:r w:rsidR="00EC561B">
        <w:rPr>
          <w:szCs w:val="24"/>
        </w:rPr>
        <w:t xml:space="preserve">Dr. Duann </w:t>
      </w:r>
      <w:r w:rsidRPr="00AA0799">
        <w:rPr>
          <w:szCs w:val="24"/>
        </w:rPr>
        <w:t>showed that Dominion’s outdated rate of return includes an embedded cost of debt component of 6.50%, since its actual cost of debt is only 2.29%, as shown in DEO’s own filing with the PUCO.</w:t>
      </w:r>
      <w:r>
        <w:rPr>
          <w:rStyle w:val="FootnoteReference"/>
          <w:szCs w:val="24"/>
        </w:rPr>
        <w:footnoteReference w:id="27"/>
      </w:r>
      <w:r w:rsidRPr="00AA0799">
        <w:rPr>
          <w:szCs w:val="24"/>
        </w:rPr>
        <w:t xml:space="preserve"> Taken together (updated return on equity and current cost of debt), </w:t>
      </w:r>
      <w:r w:rsidR="00850507">
        <w:rPr>
          <w:szCs w:val="24"/>
        </w:rPr>
        <w:t>OCC’s expert</w:t>
      </w:r>
      <w:r w:rsidRPr="00AA0799">
        <w:rPr>
          <w:szCs w:val="24"/>
        </w:rPr>
        <w:t xml:space="preserve"> showed conclusively</w:t>
      </w:r>
      <w:r>
        <w:rPr>
          <w:szCs w:val="24"/>
        </w:rPr>
        <w:t xml:space="preserve"> (and exclusively)</w:t>
      </w:r>
      <w:r w:rsidRPr="00AA0799">
        <w:rPr>
          <w:szCs w:val="24"/>
        </w:rPr>
        <w:t xml:space="preserve"> that Dominion’s updated pre-tax rate of return should be no </w:t>
      </w:r>
      <w:r>
        <w:rPr>
          <w:szCs w:val="24"/>
        </w:rPr>
        <w:t>more than 7.2%.</w:t>
      </w:r>
      <w:r>
        <w:rPr>
          <w:rStyle w:val="FootnoteReference"/>
          <w:szCs w:val="24"/>
        </w:rPr>
        <w:footnoteReference w:id="28"/>
      </w:r>
      <w:r w:rsidRPr="00AA0799">
        <w:rPr>
          <w:szCs w:val="24"/>
        </w:rPr>
        <w:t xml:space="preserve"> </w:t>
      </w:r>
    </w:p>
    <w:p w:rsidR="00D751B0" w:rsidP="00FD5660" w14:paraId="0A07BE5F" w14:textId="740431D3">
      <w:pPr>
        <w:pStyle w:val="ListParagraph"/>
        <w:spacing w:line="480" w:lineRule="auto"/>
        <w:ind w:left="0" w:firstLine="720"/>
      </w:pPr>
      <w:r>
        <w:t>It is not “cherry</w:t>
      </w:r>
      <w:r w:rsidR="006C3C24">
        <w:t xml:space="preserve"> </w:t>
      </w:r>
      <w:r>
        <w:t xml:space="preserve">picking” to recommend </w:t>
      </w:r>
      <w:r w:rsidR="00B4642B">
        <w:t xml:space="preserve">that the PUCO </w:t>
      </w:r>
      <w:r>
        <w:t>adjust the rate of return component of a utility’s filing</w:t>
      </w:r>
      <w:r w:rsidR="00850507">
        <w:t xml:space="preserve"> when market conditions demand th</w:t>
      </w:r>
      <w:r w:rsidR="00081D42">
        <w:t>is</w:t>
      </w:r>
      <w:r w:rsidR="00850507">
        <w:t xml:space="preserve"> review.</w:t>
      </w:r>
      <w:r w:rsidR="00B465A2">
        <w:t xml:space="preserve"> Especially when the recommendation is supported by undisputed witness testimony. </w:t>
      </w:r>
    </w:p>
    <w:p w:rsidR="00D751B0" w:rsidP="00D751B0" w14:paraId="146652F8" w14:textId="7DE36567">
      <w:pPr>
        <w:pStyle w:val="ListParagraph"/>
        <w:spacing w:line="480" w:lineRule="auto"/>
        <w:ind w:left="0" w:firstLine="720"/>
      </w:pPr>
      <w:r>
        <w:t>The PUCO’s direction that Dominion file a base rate case no later than October 2023, a year earlier than previously determined</w:t>
      </w:r>
      <w:r w:rsidR="005342D7">
        <w:t>,</w:t>
      </w:r>
      <w:r>
        <w:rPr>
          <w:rStyle w:val="FootnoteReference"/>
        </w:rPr>
        <w:footnoteReference w:id="29"/>
      </w:r>
      <w:r>
        <w:t xml:space="preserve"> might bring some relief to Dominion’s 1.2 million residential consumers. But there is no guarantee about the timing or the outcome of the yet-to-be-filed base rate case. </w:t>
      </w:r>
      <w:r w:rsidR="00BD775C">
        <w:t>T</w:t>
      </w:r>
      <w:r>
        <w:t>he PUCO’s objective of “a more expedient alignment of the Company’s cost of capital and capital structure with the market conditions”</w:t>
      </w:r>
      <w:r>
        <w:rPr>
          <w:rStyle w:val="FootnoteReference"/>
        </w:rPr>
        <w:footnoteReference w:id="30"/>
      </w:r>
      <w:r>
        <w:t xml:space="preserve"> will not be achieved for approximately three more years. </w:t>
      </w:r>
    </w:p>
    <w:p w:rsidR="00D751B0" w:rsidP="00D751B0" w14:paraId="3489B5F5" w14:textId="100FC4C0">
      <w:pPr>
        <w:spacing w:line="480" w:lineRule="auto"/>
        <w:ind w:firstLine="720"/>
      </w:pPr>
      <w:r>
        <w:t xml:space="preserve">There is no reason to ask </w:t>
      </w:r>
      <w:r w:rsidR="00BD775C">
        <w:t xml:space="preserve">Dominion’s </w:t>
      </w:r>
      <w:r>
        <w:t xml:space="preserve">residential consumers to continue to pay this excessive and unreasonable pre-tax rate of return of 9.91%. The PUCO’s modification of the timing of the filing of the </w:t>
      </w:r>
      <w:r w:rsidR="00BD775C">
        <w:t>u</w:t>
      </w:r>
      <w:r>
        <w:t>tility’s next base rate case is a further indication of the need to update the rate of return sooner rather than later. Consumers continue to overpay while the PUCO waits until Dominion’s next rate case to consider the rate of return embedded in the PIR revenue requirement, as its witness proposes.</w:t>
      </w:r>
      <w:r>
        <w:rPr>
          <w:rStyle w:val="FootnoteReference"/>
        </w:rPr>
        <w:footnoteReference w:id="31"/>
      </w:r>
      <w:r w:rsidR="00272B33">
        <w:t xml:space="preserve">  </w:t>
      </w:r>
      <w:r>
        <w:t xml:space="preserve"> </w:t>
      </w:r>
    </w:p>
    <w:p w:rsidR="00E53509" w:rsidP="0033015C" w14:paraId="0A520889" w14:textId="77777777">
      <w:pPr>
        <w:ind w:firstLine="720"/>
      </w:pPr>
    </w:p>
    <w:p w:rsidR="00313201" w:rsidRPr="009624E5" w:rsidP="000A0A83" w14:paraId="60223F6A" w14:textId="56D896AB">
      <w:pPr>
        <w:pStyle w:val="Heading1"/>
        <w:rPr>
          <w:rFonts w:eastAsia="SimSun"/>
        </w:rPr>
      </w:pPr>
      <w:bookmarkStart w:id="7" w:name="_Toc101360637"/>
      <w:r w:rsidRPr="009624E5">
        <w:rPr>
          <w:rFonts w:eastAsia="SimSun"/>
        </w:rPr>
        <w:t xml:space="preserve">III. </w:t>
      </w:r>
      <w:r w:rsidR="00FE7DAE">
        <w:rPr>
          <w:rFonts w:eastAsia="SimSun"/>
        </w:rPr>
        <w:tab/>
      </w:r>
      <w:r w:rsidR="000A0A83">
        <w:rPr>
          <w:rFonts w:eastAsia="SimSun"/>
        </w:rPr>
        <w:t>CONCLUSION</w:t>
      </w:r>
      <w:bookmarkEnd w:id="7"/>
    </w:p>
    <w:p w:rsidR="00545817" w:rsidP="00A43903" w14:paraId="3ADFEAE8" w14:textId="16A5B17C">
      <w:pPr>
        <w:spacing w:line="480" w:lineRule="auto"/>
        <w:ind w:firstLine="720"/>
        <w:rPr>
          <w:szCs w:val="24"/>
        </w:rPr>
      </w:pPr>
      <w:r>
        <w:rPr>
          <w:szCs w:val="24"/>
        </w:rPr>
        <w:t xml:space="preserve">No law, rule or the PUCO’s precedent requires that the PUCO apply the </w:t>
      </w:r>
      <w:r w:rsidR="0067122B">
        <w:rPr>
          <w:szCs w:val="24"/>
        </w:rPr>
        <w:t xml:space="preserve">excessive </w:t>
      </w:r>
      <w:r>
        <w:rPr>
          <w:szCs w:val="24"/>
        </w:rPr>
        <w:t>rate o</w:t>
      </w:r>
      <w:r w:rsidR="0067122B">
        <w:rPr>
          <w:szCs w:val="24"/>
        </w:rPr>
        <w:t>f</w:t>
      </w:r>
      <w:r>
        <w:rPr>
          <w:szCs w:val="24"/>
        </w:rPr>
        <w:t xml:space="preserve"> return from a utility’s most recent base rate case to determine a rider rate. It </w:t>
      </w:r>
      <w:r w:rsidR="00BD775C">
        <w:rPr>
          <w:szCs w:val="24"/>
        </w:rPr>
        <w:t xml:space="preserve">is </w:t>
      </w:r>
      <w:r>
        <w:rPr>
          <w:szCs w:val="24"/>
        </w:rPr>
        <w:t xml:space="preserve">particularly egregious to do so here, where the utility’s last rate case was </w:t>
      </w:r>
      <w:r w:rsidR="00642D54">
        <w:rPr>
          <w:szCs w:val="24"/>
        </w:rPr>
        <w:t>13</w:t>
      </w:r>
      <w:r>
        <w:rPr>
          <w:szCs w:val="24"/>
        </w:rPr>
        <w:t xml:space="preserve"> years ago. </w:t>
      </w:r>
      <w:r w:rsidRPr="00313201" w:rsidR="00A43903">
        <w:rPr>
          <w:szCs w:val="24"/>
        </w:rPr>
        <w:t xml:space="preserve">Dominion's filed application, requesting to </w:t>
      </w:r>
      <w:r w:rsidR="00A43903">
        <w:rPr>
          <w:szCs w:val="24"/>
        </w:rPr>
        <w:t>continue charging consumers an outdated and inflated rate of return,</w:t>
      </w:r>
      <w:r w:rsidRPr="00313201" w:rsidR="00A43903">
        <w:rPr>
          <w:szCs w:val="24"/>
        </w:rPr>
        <w:t xml:space="preserve"> should be </w:t>
      </w:r>
      <w:r w:rsidR="00A43903">
        <w:rPr>
          <w:szCs w:val="24"/>
        </w:rPr>
        <w:t>modified as recommended in OCC’s testimony and explained in OCC’s brief</w:t>
      </w:r>
      <w:r w:rsidR="00191E74">
        <w:rPr>
          <w:szCs w:val="24"/>
        </w:rPr>
        <w:t>s</w:t>
      </w:r>
      <w:r w:rsidR="00A43903">
        <w:rPr>
          <w:szCs w:val="24"/>
        </w:rPr>
        <w:t>.</w:t>
      </w:r>
      <w:r w:rsidRPr="00313201" w:rsidR="00A43903">
        <w:rPr>
          <w:szCs w:val="24"/>
        </w:rPr>
        <w:t xml:space="preserve"> </w:t>
      </w:r>
    </w:p>
    <w:p w:rsidR="00A43903" w:rsidP="00A43903" w14:paraId="5C4B2164" w14:textId="1DACE5B6">
      <w:pPr>
        <w:spacing w:line="480" w:lineRule="auto"/>
        <w:ind w:firstLine="720"/>
      </w:pPr>
      <w:r>
        <w:rPr>
          <w:szCs w:val="24"/>
        </w:rPr>
        <w:t>The PUCO should protect consumers by adjusting Dominion’s rate of return for the utility’s pipeline infrastructure replacement program to a more reasonable pre-tax rate of return of no higher than 7.20%</w:t>
      </w:r>
      <w:r w:rsidR="00642D54">
        <w:rPr>
          <w:szCs w:val="24"/>
        </w:rPr>
        <w:t xml:space="preserve"> (as supported by OCC’s witness, the only witness testifying on rate of return in this proceeding)</w:t>
      </w:r>
      <w:r w:rsidR="00545817">
        <w:rPr>
          <w:szCs w:val="24"/>
        </w:rPr>
        <w:t>.</w:t>
      </w:r>
      <w:r>
        <w:rPr>
          <w:szCs w:val="24"/>
        </w:rPr>
        <w:t xml:space="preserve"> Adopting a just and reasonable pre-tax rate of return of 7.20% will protect consumers at this challenging time while still allowing Dominion to continue its previously</w:t>
      </w:r>
      <w:r w:rsidR="00B14D46">
        <w:rPr>
          <w:szCs w:val="24"/>
        </w:rPr>
        <w:t xml:space="preserve"> </w:t>
      </w:r>
      <w:r>
        <w:rPr>
          <w:szCs w:val="24"/>
        </w:rPr>
        <w:t xml:space="preserve">approved </w:t>
      </w:r>
      <w:r>
        <w:t xml:space="preserve">pipeline infrastructure replacement program. </w:t>
      </w:r>
    </w:p>
    <w:p w:rsidR="0033015C" w14:paraId="05E4317B" w14:textId="4670BEB3">
      <w:r>
        <w:br w:type="page"/>
      </w:r>
    </w:p>
    <w:p w:rsidR="00FE7DAE" w:rsidP="00F37A27" w14:paraId="32E13C84" w14:textId="0C20CAD6">
      <w:pPr>
        <w:widowControl w:val="0"/>
        <w:ind w:right="-672"/>
        <w:rPr>
          <w:szCs w:val="24"/>
        </w:rPr>
      </w:pPr>
      <w:r>
        <w:rPr>
          <w:szCs w:val="24"/>
        </w:rPr>
        <w:tab/>
      </w:r>
      <w:r>
        <w:rPr>
          <w:szCs w:val="24"/>
        </w:rPr>
        <w:tab/>
      </w:r>
      <w:r>
        <w:rPr>
          <w:szCs w:val="24"/>
        </w:rPr>
        <w:tab/>
      </w:r>
      <w:r>
        <w:rPr>
          <w:szCs w:val="24"/>
        </w:rPr>
        <w:tab/>
      </w:r>
      <w:r>
        <w:rPr>
          <w:szCs w:val="24"/>
        </w:rPr>
        <w:tab/>
      </w:r>
      <w:r>
        <w:rPr>
          <w:szCs w:val="24"/>
        </w:rPr>
        <w:tab/>
        <w:t>Respectfully submitted,</w:t>
      </w:r>
    </w:p>
    <w:p w:rsidR="00FE7DAE" w:rsidP="00F37A27" w14:paraId="61122FD5" w14:textId="77777777">
      <w:pPr>
        <w:widowControl w:val="0"/>
        <w:ind w:right="-672"/>
        <w:rPr>
          <w:szCs w:val="24"/>
        </w:rPr>
      </w:pPr>
    </w:p>
    <w:p w:rsidR="00313201" w:rsidRPr="00313201" w:rsidP="00F37A27" w14:paraId="23183B2F" w14:textId="7535CD8E">
      <w:pPr>
        <w:widowControl w:val="0"/>
        <w:ind w:left="3600" w:right="-672" w:firstLine="720"/>
        <w:rPr>
          <w:szCs w:val="24"/>
        </w:rPr>
      </w:pPr>
      <w:r w:rsidRPr="00313201">
        <w:rPr>
          <w:szCs w:val="24"/>
        </w:rPr>
        <w:t>Bruce Weston (0016973)</w:t>
      </w:r>
    </w:p>
    <w:p w:rsidR="00313201" w:rsidRPr="00313201" w:rsidP="00313201" w14:paraId="73A331AB" w14:textId="77777777">
      <w:pPr>
        <w:tabs>
          <w:tab w:val="left" w:pos="4320"/>
        </w:tabs>
        <w:rPr>
          <w:szCs w:val="24"/>
        </w:rPr>
      </w:pPr>
      <w:r w:rsidRPr="00313201">
        <w:rPr>
          <w:szCs w:val="24"/>
        </w:rPr>
        <w:tab/>
        <w:t>Ohio Consumers’ Counsel</w:t>
      </w:r>
    </w:p>
    <w:p w:rsidR="00313201" w:rsidRPr="00313201" w:rsidP="00313201" w14:paraId="56B564C8" w14:textId="77777777">
      <w:pPr>
        <w:tabs>
          <w:tab w:val="left" w:pos="4320"/>
        </w:tabs>
        <w:rPr>
          <w:szCs w:val="24"/>
        </w:rPr>
      </w:pPr>
      <w:r w:rsidRPr="00313201">
        <w:rPr>
          <w:szCs w:val="24"/>
        </w:rPr>
        <w:tab/>
      </w:r>
    </w:p>
    <w:p w:rsidR="00313201" w:rsidRPr="00313201" w:rsidP="00313201" w14:paraId="07E829A5" w14:textId="77777777">
      <w:pPr>
        <w:tabs>
          <w:tab w:val="left" w:pos="4320"/>
        </w:tabs>
        <w:rPr>
          <w:i/>
          <w:iCs/>
          <w:szCs w:val="24"/>
          <w:u w:val="single"/>
        </w:rPr>
      </w:pPr>
      <w:r w:rsidRPr="00313201">
        <w:rPr>
          <w:szCs w:val="24"/>
        </w:rPr>
        <w:tab/>
      </w:r>
      <w:r w:rsidRPr="00313201">
        <w:rPr>
          <w:i/>
          <w:iCs/>
          <w:szCs w:val="24"/>
          <w:u w:val="single"/>
        </w:rPr>
        <w:t>/s/ Amy Botschner O’Brien</w:t>
      </w:r>
    </w:p>
    <w:p w:rsidR="00313201" w:rsidRPr="00313201" w:rsidP="00313201" w14:paraId="70926260" w14:textId="77777777">
      <w:pPr>
        <w:tabs>
          <w:tab w:val="left" w:pos="4320"/>
        </w:tabs>
        <w:rPr>
          <w:szCs w:val="24"/>
        </w:rPr>
      </w:pPr>
      <w:r w:rsidRPr="00313201">
        <w:rPr>
          <w:szCs w:val="24"/>
        </w:rPr>
        <w:tab/>
        <w:t>Amy Botschner O’Brien (0074423)</w:t>
      </w:r>
    </w:p>
    <w:p w:rsidR="00313201" w:rsidRPr="00313201" w:rsidP="00313201" w14:paraId="3AD4E8FF" w14:textId="77777777">
      <w:pPr>
        <w:tabs>
          <w:tab w:val="left" w:pos="4320"/>
        </w:tabs>
        <w:ind w:firstLine="4320"/>
        <w:rPr>
          <w:szCs w:val="24"/>
        </w:rPr>
      </w:pPr>
      <w:r w:rsidRPr="00313201">
        <w:rPr>
          <w:szCs w:val="24"/>
        </w:rPr>
        <w:t>Counsel of Record</w:t>
      </w:r>
    </w:p>
    <w:p w:rsidR="00313201" w:rsidRPr="00313201" w:rsidP="00313201" w14:paraId="14FB5CAD" w14:textId="77777777">
      <w:pPr>
        <w:tabs>
          <w:tab w:val="left" w:pos="4320"/>
        </w:tabs>
        <w:ind w:left="4320"/>
        <w:jc w:val="both"/>
      </w:pPr>
      <w:r w:rsidRPr="00313201">
        <w:t>Ambrosia E. Wilson (0096598)</w:t>
      </w:r>
    </w:p>
    <w:p w:rsidR="00313201" w:rsidRPr="00313201" w:rsidP="00313201" w14:paraId="0A1F0AC1" w14:textId="77777777">
      <w:pPr>
        <w:tabs>
          <w:tab w:val="left" w:pos="4320"/>
        </w:tabs>
        <w:rPr>
          <w:szCs w:val="24"/>
        </w:rPr>
      </w:pPr>
      <w:r w:rsidRPr="00313201">
        <w:rPr>
          <w:szCs w:val="24"/>
        </w:rPr>
        <w:tab/>
        <w:t>Assistant Consumers’ Counsel</w:t>
      </w:r>
    </w:p>
    <w:p w:rsidR="00313201" w:rsidRPr="00313201" w:rsidP="00313201" w14:paraId="63EC408A" w14:textId="77777777">
      <w:r w:rsidRPr="00313201">
        <w:tab/>
      </w:r>
    </w:p>
    <w:p w:rsidR="00313201" w:rsidRPr="00313201" w:rsidP="00313201" w14:paraId="7974D156" w14:textId="77777777">
      <w:pPr>
        <w:ind w:left="4320"/>
        <w:rPr>
          <w:b/>
          <w:bCs/>
        </w:rPr>
      </w:pPr>
      <w:r w:rsidRPr="00313201">
        <w:rPr>
          <w:b/>
          <w:bCs/>
        </w:rPr>
        <w:t>Office of the Ohio Consumers’ Counsel</w:t>
      </w:r>
    </w:p>
    <w:p w:rsidR="00313201" w:rsidRPr="00313201" w:rsidP="00313201" w14:paraId="118FBCF7" w14:textId="6CD43FAB">
      <w:pPr>
        <w:ind w:left="4320"/>
        <w:rPr>
          <w:b/>
        </w:rPr>
      </w:pPr>
      <w:r w:rsidRPr="00313201">
        <w:t xml:space="preserve">65 East State Street, </w:t>
      </w:r>
      <w:r w:rsidR="006B4C9F">
        <w:t>Suite 700</w:t>
      </w:r>
    </w:p>
    <w:p w:rsidR="00313201" w:rsidRPr="00313201" w:rsidP="00313201" w14:paraId="525118C9" w14:textId="11C1F225">
      <w:pPr>
        <w:ind w:left="4320"/>
        <w:rPr>
          <w:b/>
        </w:rPr>
      </w:pPr>
      <w:r w:rsidRPr="00313201">
        <w:t>Columbus, Ohio 43215</w:t>
      </w:r>
    </w:p>
    <w:p w:rsidR="00313201" w:rsidRPr="00313201" w:rsidP="00313201" w14:paraId="0C30B4AF" w14:textId="77777777">
      <w:pPr>
        <w:autoSpaceDE w:val="0"/>
        <w:autoSpaceDN w:val="0"/>
        <w:adjustRightInd w:val="0"/>
        <w:ind w:left="3600" w:firstLine="720"/>
        <w:rPr>
          <w:szCs w:val="24"/>
        </w:rPr>
      </w:pPr>
      <w:r w:rsidRPr="00313201">
        <w:rPr>
          <w:szCs w:val="24"/>
        </w:rPr>
        <w:t>Telephone [Botschner]: (614) 466-9575</w:t>
      </w:r>
    </w:p>
    <w:p w:rsidR="00313201" w:rsidRPr="00313201" w:rsidP="00313201" w14:paraId="43905300" w14:textId="77777777">
      <w:pPr>
        <w:autoSpaceDE w:val="0"/>
        <w:autoSpaceDN w:val="0"/>
        <w:adjustRightInd w:val="0"/>
        <w:ind w:left="3600" w:firstLine="720"/>
        <w:rPr>
          <w:szCs w:val="24"/>
        </w:rPr>
      </w:pPr>
      <w:r w:rsidRPr="00313201">
        <w:rPr>
          <w:szCs w:val="24"/>
        </w:rPr>
        <w:t>Telephone [Wilson]: (614) 466-1292</w:t>
      </w:r>
    </w:p>
    <w:p w:rsidR="00313201" w:rsidRPr="00313201" w:rsidP="00313201" w14:paraId="12CCEE09" w14:textId="77777777">
      <w:pPr>
        <w:rPr>
          <w:szCs w:val="24"/>
        </w:rPr>
      </w:pPr>
      <w:r w:rsidRPr="00313201">
        <w:rPr>
          <w:szCs w:val="24"/>
        </w:rPr>
        <w:tab/>
      </w:r>
      <w:r w:rsidRPr="00313201">
        <w:rPr>
          <w:szCs w:val="24"/>
        </w:rPr>
        <w:tab/>
      </w:r>
      <w:r w:rsidRPr="00313201">
        <w:rPr>
          <w:szCs w:val="24"/>
        </w:rPr>
        <w:tab/>
      </w:r>
      <w:r w:rsidRPr="00313201">
        <w:rPr>
          <w:szCs w:val="24"/>
        </w:rPr>
        <w:tab/>
      </w:r>
      <w:r w:rsidRPr="00313201">
        <w:rPr>
          <w:szCs w:val="24"/>
        </w:rPr>
        <w:tab/>
      </w:r>
      <w:r w:rsidRPr="00313201">
        <w:rPr>
          <w:szCs w:val="24"/>
        </w:rPr>
        <w:tab/>
      </w:r>
      <w:hyperlink r:id="rId6" w:history="1">
        <w:r w:rsidRPr="00313201">
          <w:rPr>
            <w:rFonts w:eastAsia="SimSun"/>
            <w:color w:val="0000FF"/>
            <w:szCs w:val="24"/>
            <w:u w:val="single"/>
          </w:rPr>
          <w:t>amy.botschner.obrien@occ.ohio.gov</w:t>
        </w:r>
      </w:hyperlink>
    </w:p>
    <w:p w:rsidR="00313201" w:rsidRPr="00313201" w:rsidP="00313201" w14:paraId="5AD48A3D" w14:textId="77777777">
      <w:pPr>
        <w:ind w:left="4320"/>
        <w:jc w:val="both"/>
        <w:rPr>
          <w:color w:val="0000FF"/>
        </w:rPr>
      </w:pPr>
      <w:hyperlink r:id="rId7" w:history="1">
        <w:r w:rsidRPr="00313201" w:rsidR="00F14EA5">
          <w:rPr>
            <w:rFonts w:eastAsia="SimSun"/>
            <w:color w:val="0000FF"/>
            <w:u w:val="single"/>
          </w:rPr>
          <w:t>ambrosia.wilson@occ.ohio.gov</w:t>
        </w:r>
      </w:hyperlink>
      <w:r w:rsidRPr="00313201" w:rsidR="00F14EA5">
        <w:rPr>
          <w:color w:val="0000FF"/>
        </w:rPr>
        <w:t xml:space="preserve"> </w:t>
      </w:r>
    </w:p>
    <w:p w:rsidR="00313201" w:rsidRPr="00313201" w:rsidP="00313201" w14:paraId="26C81E21" w14:textId="54602EF2">
      <w:pPr>
        <w:rPr>
          <w:szCs w:val="24"/>
        </w:rPr>
      </w:pPr>
      <w:r w:rsidRPr="00313201">
        <w:rPr>
          <w:szCs w:val="24"/>
        </w:rPr>
        <w:tab/>
      </w:r>
      <w:r w:rsidRPr="00313201">
        <w:rPr>
          <w:szCs w:val="24"/>
        </w:rPr>
        <w:tab/>
      </w:r>
      <w:r w:rsidRPr="00313201">
        <w:rPr>
          <w:szCs w:val="24"/>
        </w:rPr>
        <w:tab/>
      </w:r>
      <w:r w:rsidRPr="00313201">
        <w:rPr>
          <w:szCs w:val="24"/>
        </w:rPr>
        <w:tab/>
      </w:r>
      <w:r w:rsidRPr="00313201">
        <w:rPr>
          <w:szCs w:val="24"/>
        </w:rPr>
        <w:tab/>
      </w:r>
      <w:r w:rsidRPr="00313201">
        <w:rPr>
          <w:szCs w:val="24"/>
        </w:rPr>
        <w:tab/>
        <w:t>(</w:t>
      </w:r>
      <w:r w:rsidR="0091075E">
        <w:rPr>
          <w:szCs w:val="24"/>
        </w:rPr>
        <w:t>willing</w:t>
      </w:r>
      <w:r w:rsidRPr="00313201">
        <w:t xml:space="preserve"> to accept service by e-mail)</w:t>
      </w:r>
      <w:r w:rsidRPr="00313201">
        <w:rPr>
          <w:szCs w:val="24"/>
        </w:rPr>
        <w:tab/>
      </w:r>
    </w:p>
    <w:p w:rsidR="00313201" w:rsidRPr="00313201" w:rsidP="00313201" w14:paraId="663894E7" w14:textId="77777777">
      <w:pPr>
        <w:rPr>
          <w:szCs w:val="24"/>
        </w:rPr>
      </w:pPr>
      <w:r w:rsidRPr="00313201">
        <w:rPr>
          <w:szCs w:val="24"/>
        </w:rPr>
        <w:br w:type="page"/>
      </w:r>
    </w:p>
    <w:p w:rsidR="006B4C9F" w:rsidP="006B4C9F" w14:paraId="2DE55BB0" w14:textId="77777777">
      <w:pPr>
        <w:jc w:val="center"/>
        <w:rPr>
          <w:b/>
          <w:bCs/>
          <w:u w:val="single"/>
        </w:rPr>
      </w:pPr>
      <w:r>
        <w:rPr>
          <w:szCs w:val="24"/>
        </w:rPr>
        <w:tab/>
      </w:r>
      <w:bookmarkEnd w:id="5"/>
      <w:bookmarkEnd w:id="6"/>
      <w:r>
        <w:rPr>
          <w:b/>
          <w:bCs/>
          <w:u w:val="single"/>
        </w:rPr>
        <w:t>CERTIFICATE OF SERVICE</w:t>
      </w:r>
    </w:p>
    <w:p w:rsidR="006B4C9F" w:rsidP="006B4C9F" w14:paraId="52FB2EB3" w14:textId="03C8A709">
      <w:pPr>
        <w:spacing w:line="480" w:lineRule="atLeast"/>
      </w:pPr>
      <w:r>
        <w:tab/>
        <w:t xml:space="preserve">I hereby certify that a copy of </w:t>
      </w:r>
      <w:r w:rsidRPr="006B4C9F">
        <w:t>th</w:t>
      </w:r>
      <w:r w:rsidR="00DA368D">
        <w:t>is</w:t>
      </w:r>
      <w:r w:rsidRPr="006B4C9F">
        <w:t xml:space="preserve"> </w:t>
      </w:r>
      <w:r w:rsidR="00A9742A">
        <w:t>Reply</w:t>
      </w:r>
      <w:r w:rsidR="00DA368D">
        <w:t xml:space="preserve"> Brief for </w:t>
      </w:r>
      <w:r w:rsidRPr="006B4C9F">
        <w:t>Consumer Protection</w:t>
      </w:r>
      <w:r>
        <w:t xml:space="preserve"> was served on the persons stated below </w:t>
      </w:r>
      <w:r w:rsidRPr="009D37EA">
        <w:t xml:space="preserve">via </w:t>
      </w:r>
      <w:r>
        <w:t xml:space="preserve">electronic transmission, this </w:t>
      </w:r>
      <w:r w:rsidR="00CD1CB9">
        <w:t>4</w:t>
      </w:r>
      <w:r w:rsidRPr="00CD1CB9" w:rsidR="00CD1CB9">
        <w:rPr>
          <w:vertAlign w:val="superscript"/>
        </w:rPr>
        <w:t>th</w:t>
      </w:r>
      <w:r w:rsidR="00CD1CB9">
        <w:t xml:space="preserve"> </w:t>
      </w:r>
      <w:r>
        <w:t xml:space="preserve">day of </w:t>
      </w:r>
      <w:r w:rsidR="00CD1CB9">
        <w:t>May</w:t>
      </w:r>
      <w:r w:rsidR="00DA368D">
        <w:t xml:space="preserve"> </w:t>
      </w:r>
      <w:r>
        <w:t>2022.</w:t>
      </w:r>
    </w:p>
    <w:p w:rsidR="006B4C9F" w:rsidP="006B4C9F" w14:paraId="093B78F9" w14:textId="77777777">
      <w:pPr>
        <w:spacing w:line="480" w:lineRule="atLeast"/>
      </w:pPr>
    </w:p>
    <w:p w:rsidR="006B4C9F" w:rsidRPr="00460D90" w:rsidP="006B4C9F" w14:paraId="499CAA2B" w14:textId="77777777">
      <w:pPr>
        <w:tabs>
          <w:tab w:val="left" w:pos="4320"/>
        </w:tabs>
        <w:rPr>
          <w:iCs/>
          <w:u w:val="single"/>
        </w:rPr>
      </w:pPr>
      <w:r>
        <w:tab/>
      </w:r>
      <w:r>
        <w:rPr>
          <w:i/>
          <w:iCs/>
          <w:u w:val="single"/>
        </w:rPr>
        <w:t>/s/ Amy Botschner O’Brien</w:t>
      </w:r>
      <w:r>
        <w:rPr>
          <w:iCs/>
          <w:u w:val="single"/>
        </w:rPr>
        <w:tab/>
      </w:r>
      <w:r>
        <w:rPr>
          <w:iCs/>
          <w:u w:val="single"/>
        </w:rPr>
        <w:tab/>
      </w:r>
    </w:p>
    <w:p w:rsidR="006B4C9F" w:rsidP="006B4C9F" w14:paraId="1A3918ED" w14:textId="77777777">
      <w:pPr>
        <w:tabs>
          <w:tab w:val="left" w:pos="4320"/>
        </w:tabs>
      </w:pPr>
      <w:r>
        <w:tab/>
        <w:t>Amy Botschner O’Brien</w:t>
      </w:r>
    </w:p>
    <w:p w:rsidR="006B4C9F" w:rsidP="006B4C9F" w14:paraId="1B7E05C1" w14:textId="77777777">
      <w:pPr>
        <w:tabs>
          <w:tab w:val="left" w:pos="4320"/>
        </w:tabs>
      </w:pPr>
      <w:r>
        <w:tab/>
        <w:t>Assistant Consumers’ Counsel</w:t>
      </w:r>
    </w:p>
    <w:p w:rsidR="006B4C9F" w:rsidP="006B4C9F" w14:paraId="4CAF85CB" w14:textId="77777777">
      <w:pPr>
        <w:pStyle w:val="CommentSubject"/>
      </w:pPr>
    </w:p>
    <w:p w:rsidR="006B4C9F" w:rsidRPr="005D4EA5" w:rsidP="006B4C9F" w14:paraId="04AC9DEF" w14:textId="77777777">
      <w:pPr>
        <w:rPr>
          <w:b/>
          <w:bCs/>
        </w:rPr>
      </w:pPr>
      <w:r w:rsidRPr="005D4EA5">
        <w:t>The PUCO’s e-filing system will electronically serve notice of the filing of this document on the following parties:</w:t>
      </w:r>
    </w:p>
    <w:p w:rsidR="006B4C9F" w:rsidRPr="005D4EA5" w:rsidP="006B4C9F" w14:paraId="6D337D7D" w14:textId="77777777">
      <w:pPr>
        <w:widowControl w:val="0"/>
        <w:autoSpaceDE w:val="0"/>
        <w:autoSpaceDN w:val="0"/>
        <w:adjustRightInd w:val="0"/>
      </w:pPr>
    </w:p>
    <w:p w:rsidR="006B4C9F" w:rsidRPr="00CE1566" w:rsidP="006B4C9F" w14:paraId="6B620FEE" w14:textId="77777777">
      <w:pPr>
        <w:jc w:val="center"/>
        <w:rPr>
          <w:b/>
          <w:bCs/>
          <w:u w:val="single"/>
        </w:rPr>
      </w:pPr>
      <w:r w:rsidRPr="00CE1566">
        <w:rPr>
          <w:b/>
          <w:bCs/>
          <w:u w:val="single"/>
        </w:rPr>
        <w:t>SERVICE LIST</w:t>
      </w:r>
    </w:p>
    <w:p w:rsidR="006B4C9F" w:rsidRPr="002F4BA7" w:rsidP="006B4C9F" w14:paraId="2C0A107A" w14:textId="77777777">
      <w:pPr>
        <w:jc w:val="center"/>
        <w:rPr>
          <w:u w:val="single"/>
        </w:rPr>
      </w:pPr>
    </w:p>
    <w:tbl>
      <w:tblPr>
        <w:tblW w:w="0" w:type="auto"/>
        <w:tblLook w:val="01E0"/>
      </w:tblPr>
      <w:tblGrid>
        <w:gridCol w:w="3748"/>
        <w:gridCol w:w="4892"/>
      </w:tblGrid>
      <w:tr w14:paraId="265D8C18" w14:textId="77777777" w:rsidTr="00DD0C02">
        <w:tblPrEx>
          <w:tblW w:w="0" w:type="auto"/>
          <w:tblLook w:val="01E0"/>
        </w:tblPrEx>
        <w:trPr>
          <w:trHeight w:val="1647"/>
        </w:trPr>
        <w:tc>
          <w:tcPr>
            <w:tcW w:w="3748" w:type="dxa"/>
            <w:shd w:val="clear" w:color="auto" w:fill="auto"/>
          </w:tcPr>
          <w:p w:rsidR="006B4C9F" w:rsidRPr="00A93456" w:rsidP="00DD0C02" w14:paraId="1926EB45" w14:textId="77777777">
            <w:pPr>
              <w:rPr>
                <w:bCs/>
              </w:rPr>
            </w:pPr>
            <w:hyperlink r:id="rId8" w:history="1">
              <w:r w:rsidRPr="00A93456" w:rsidR="00F14EA5">
                <w:rPr>
                  <w:rStyle w:val="Hyperlink"/>
                  <w:bCs/>
                </w:rPr>
                <w:t>Sarah.feldkamp@ohioAGO.gov</w:t>
              </w:r>
            </w:hyperlink>
          </w:p>
          <w:p w:rsidR="006B4C9F" w:rsidP="00DD0C02" w14:paraId="051C6C78" w14:textId="77777777">
            <w:pPr>
              <w:rPr>
                <w:bCs/>
              </w:rPr>
            </w:pPr>
            <w:hyperlink r:id="rId9" w:history="1">
              <w:r w:rsidRPr="00A93456" w:rsidR="00F14EA5">
                <w:rPr>
                  <w:rStyle w:val="Hyperlink"/>
                  <w:bCs/>
                </w:rPr>
                <w:t>Jodi.bair@ohioAGO.gov</w:t>
              </w:r>
            </w:hyperlink>
          </w:p>
          <w:p w:rsidR="006B4C9F" w:rsidRPr="00A93456" w:rsidP="00DD0C02" w14:paraId="2E79E620" w14:textId="77777777">
            <w:pPr>
              <w:rPr>
                <w:bCs/>
              </w:rPr>
            </w:pPr>
          </w:p>
          <w:p w:rsidR="006B4C9F" w:rsidRPr="00A93456" w:rsidP="00DD0C02" w14:paraId="157E2BC0" w14:textId="77777777">
            <w:pPr>
              <w:rPr>
                <w:bCs/>
              </w:rPr>
            </w:pPr>
            <w:r w:rsidRPr="00A93456">
              <w:rPr>
                <w:bCs/>
              </w:rPr>
              <w:t>Attorney Examiner:</w:t>
            </w:r>
          </w:p>
          <w:p w:rsidR="006B4C9F" w:rsidRPr="005D4EA5" w:rsidP="00DD0C02" w14:paraId="24611B3A" w14:textId="77777777">
            <w:pPr>
              <w:spacing w:line="480" w:lineRule="auto"/>
              <w:rPr>
                <w:b/>
              </w:rPr>
            </w:pPr>
            <w:hyperlink r:id="rId10" w:history="1">
              <w:r w:rsidRPr="00A93456" w:rsidR="00F14EA5">
                <w:rPr>
                  <w:rStyle w:val="Hyperlink"/>
                  <w:bCs/>
                </w:rPr>
                <w:t>Greta.see@puco.ohio.gov</w:t>
              </w:r>
            </w:hyperlink>
          </w:p>
        </w:tc>
        <w:tc>
          <w:tcPr>
            <w:tcW w:w="4892" w:type="dxa"/>
            <w:shd w:val="clear" w:color="auto" w:fill="auto"/>
          </w:tcPr>
          <w:p w:rsidR="006B4C9F" w:rsidRPr="00A93456" w:rsidP="00DD0C02" w14:paraId="3C5E3592" w14:textId="77777777">
            <w:pPr>
              <w:autoSpaceDE w:val="0"/>
              <w:autoSpaceDN w:val="0"/>
              <w:adjustRightInd w:val="0"/>
              <w:ind w:left="636"/>
              <w:rPr>
                <w:bCs/>
              </w:rPr>
            </w:pPr>
            <w:hyperlink r:id="rId11" w:history="1">
              <w:r w:rsidRPr="00A93456" w:rsidR="00F14EA5">
                <w:rPr>
                  <w:rStyle w:val="Hyperlink"/>
                  <w:bCs/>
                </w:rPr>
                <w:t>whitt@whitt-sturtevant.com</w:t>
              </w:r>
            </w:hyperlink>
          </w:p>
          <w:p w:rsidR="006B4C9F" w:rsidRPr="00A93456" w:rsidP="00DD0C02" w14:paraId="0539F00B" w14:textId="77777777">
            <w:pPr>
              <w:autoSpaceDE w:val="0"/>
              <w:autoSpaceDN w:val="0"/>
              <w:adjustRightInd w:val="0"/>
              <w:ind w:left="636"/>
              <w:rPr>
                <w:bCs/>
              </w:rPr>
            </w:pPr>
            <w:hyperlink r:id="rId12" w:history="1">
              <w:r w:rsidRPr="00A93456" w:rsidR="00F14EA5">
                <w:rPr>
                  <w:rStyle w:val="Hyperlink"/>
                  <w:bCs/>
                </w:rPr>
                <w:t>kennedy@whitt-sturtevant.com</w:t>
              </w:r>
            </w:hyperlink>
          </w:p>
          <w:p w:rsidR="006B4C9F" w:rsidRPr="00A93456" w:rsidP="00DD0C02" w14:paraId="1ABA8CD9" w14:textId="77777777">
            <w:pPr>
              <w:autoSpaceDE w:val="0"/>
              <w:autoSpaceDN w:val="0"/>
              <w:adjustRightInd w:val="0"/>
              <w:ind w:left="636"/>
              <w:rPr>
                <w:bCs/>
              </w:rPr>
            </w:pPr>
            <w:hyperlink r:id="rId13" w:history="1">
              <w:r w:rsidRPr="00A93456" w:rsidR="00F14EA5">
                <w:rPr>
                  <w:rStyle w:val="Hyperlink"/>
                  <w:bCs/>
                </w:rPr>
                <w:t>fykes@whitt-sturtevant.com</w:t>
              </w:r>
            </w:hyperlink>
          </w:p>
          <w:p w:rsidR="006B4C9F" w:rsidRPr="00A93456" w:rsidP="00DD0C02" w14:paraId="01BA12D0" w14:textId="77777777">
            <w:pPr>
              <w:autoSpaceDE w:val="0"/>
              <w:autoSpaceDN w:val="0"/>
              <w:adjustRightInd w:val="0"/>
              <w:ind w:left="636"/>
              <w:rPr>
                <w:bCs/>
              </w:rPr>
            </w:pPr>
            <w:hyperlink r:id="rId14" w:history="1">
              <w:r w:rsidRPr="00A93456" w:rsidR="00F14EA5">
                <w:rPr>
                  <w:rStyle w:val="Hyperlink"/>
                  <w:bCs/>
                </w:rPr>
                <w:t>andrew.j.campbell@dominionenergy.com</w:t>
              </w:r>
            </w:hyperlink>
          </w:p>
          <w:p w:rsidR="006B4C9F" w:rsidRPr="005D4EA5" w:rsidP="00DD0C02" w14:paraId="5A706EF5" w14:textId="77777777">
            <w:pPr>
              <w:autoSpaceDE w:val="0"/>
              <w:autoSpaceDN w:val="0"/>
              <w:adjustRightInd w:val="0"/>
              <w:ind w:left="636"/>
              <w:rPr>
                <w:b/>
              </w:rPr>
            </w:pPr>
          </w:p>
        </w:tc>
      </w:tr>
    </w:tbl>
    <w:p w:rsidR="006B4C9F" w:rsidP="006B4C9F" w14:paraId="6DD42C17" w14:textId="77777777">
      <w:pPr>
        <w:rPr>
          <w:b/>
          <w:bCs/>
        </w:rPr>
      </w:pPr>
    </w:p>
    <w:p w:rsidR="00A044B5" w:rsidP="002F4BA7" w14:paraId="1A4811E1" w14:textId="7FAC511B">
      <w:pPr>
        <w:rPr>
          <w:b/>
          <w:bCs/>
        </w:rPr>
      </w:pPr>
    </w:p>
    <w:sectPr w:rsidSect="0033015C">
      <w:footerReference w:type="default" r:id="rId15"/>
      <w:footerReference w:type="first" r:id="rId16"/>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7623279"/>
      <w:docPartObj>
        <w:docPartGallery w:val="Page Numbers (Bottom of Page)"/>
        <w:docPartUnique/>
      </w:docPartObj>
    </w:sdtPr>
    <w:sdtEndPr>
      <w:rPr>
        <w:noProof/>
        <w:sz w:val="24"/>
        <w:szCs w:val="24"/>
      </w:rPr>
    </w:sdtEndPr>
    <w:sdtContent>
      <w:p w:rsidR="005072D9" w:rsidRPr="005072D9" w14:paraId="4B653E70" w14:textId="2F16D251">
        <w:pPr>
          <w:pStyle w:val="Footer"/>
          <w:jc w:val="center"/>
          <w:rPr>
            <w:sz w:val="24"/>
            <w:szCs w:val="24"/>
          </w:rPr>
        </w:pPr>
        <w:r w:rsidRPr="005072D9">
          <w:rPr>
            <w:sz w:val="24"/>
            <w:szCs w:val="24"/>
          </w:rPr>
          <w:fldChar w:fldCharType="begin"/>
        </w:r>
        <w:r w:rsidRPr="005072D9">
          <w:rPr>
            <w:sz w:val="24"/>
            <w:szCs w:val="24"/>
          </w:rPr>
          <w:instrText xml:space="preserve"> PAGE   \* MERGEFORMAT </w:instrText>
        </w:r>
        <w:r w:rsidRPr="005072D9">
          <w:rPr>
            <w:sz w:val="24"/>
            <w:szCs w:val="24"/>
          </w:rPr>
          <w:fldChar w:fldCharType="separate"/>
        </w:r>
        <w:r w:rsidRPr="005072D9">
          <w:rPr>
            <w:noProof/>
            <w:sz w:val="24"/>
            <w:szCs w:val="24"/>
          </w:rPr>
          <w:t>2</w:t>
        </w:r>
        <w:r w:rsidRPr="005072D9">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6282610"/>
      <w:docPartObj>
        <w:docPartGallery w:val="Page Numbers (Bottom of Page)"/>
        <w:docPartUnique/>
      </w:docPartObj>
    </w:sdtPr>
    <w:sdtEndPr>
      <w:rPr>
        <w:noProof/>
        <w:sz w:val="24"/>
        <w:szCs w:val="24"/>
      </w:rPr>
    </w:sdtEndPr>
    <w:sdtContent>
      <w:p w:rsidR="0033015C" w:rsidRPr="0033015C" w14:paraId="4E407854" w14:textId="34AB913F">
        <w:pPr>
          <w:pStyle w:val="Footer"/>
          <w:jc w:val="center"/>
          <w:rPr>
            <w:sz w:val="24"/>
            <w:szCs w:val="24"/>
          </w:rPr>
        </w:pPr>
        <w:r w:rsidRPr="0033015C">
          <w:rPr>
            <w:sz w:val="24"/>
            <w:szCs w:val="24"/>
          </w:rPr>
          <w:fldChar w:fldCharType="begin"/>
        </w:r>
        <w:r w:rsidRPr="0033015C">
          <w:rPr>
            <w:sz w:val="24"/>
            <w:szCs w:val="24"/>
          </w:rPr>
          <w:instrText xml:space="preserve"> PAGE   \* MERGEFORMAT </w:instrText>
        </w:r>
        <w:r w:rsidRPr="0033015C">
          <w:rPr>
            <w:sz w:val="24"/>
            <w:szCs w:val="24"/>
          </w:rPr>
          <w:fldChar w:fldCharType="separate"/>
        </w:r>
        <w:r w:rsidRPr="0033015C">
          <w:rPr>
            <w:noProof/>
            <w:sz w:val="24"/>
            <w:szCs w:val="24"/>
          </w:rPr>
          <w:t>2</w:t>
        </w:r>
        <w:r w:rsidRPr="0033015C">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52F5A" w14:paraId="40F0A873" w14:textId="77777777">
      <w:r>
        <w:separator/>
      </w:r>
    </w:p>
  </w:footnote>
  <w:footnote w:type="continuationSeparator" w:id="1">
    <w:p w:rsidR="00052F5A" w14:paraId="6C7CAFF5" w14:textId="77777777">
      <w:r>
        <w:continuationSeparator/>
      </w:r>
    </w:p>
  </w:footnote>
  <w:footnote w:id="2">
    <w:p w:rsidR="00056B63" w:rsidP="00272B33" w14:paraId="1C0E5083" w14:textId="71582F73">
      <w:pPr>
        <w:pStyle w:val="FootnoteText"/>
        <w:spacing w:after="120"/>
      </w:pPr>
      <w:r>
        <w:rPr>
          <w:rStyle w:val="FootnoteReference"/>
        </w:rPr>
        <w:footnoteRef/>
      </w:r>
      <w:r>
        <w:t xml:space="preserve"> </w:t>
      </w:r>
      <w:r w:rsidRPr="00934677" w:rsidR="00934677">
        <w:rPr>
          <w:i/>
          <w:iCs/>
        </w:rPr>
        <w:t>See</w:t>
      </w:r>
      <w:r w:rsidR="00934677">
        <w:t xml:space="preserve">, </w:t>
      </w:r>
      <w:r>
        <w:t>OCC Ex. 2.0, Consumer Protection Comments by Office of the Ohio Consumers’ Counsel (March 23, 2022)</w:t>
      </w:r>
      <w:r w:rsidR="00111457">
        <w:t xml:space="preserve">; </w:t>
      </w:r>
      <w:r w:rsidR="006E5EDD">
        <w:t xml:space="preserve">OCC Ex. 1.0, Testimony of Daniel J. Duann (Duann Testimony) (March 31, 2022); </w:t>
      </w:r>
      <w:r w:rsidR="00111457">
        <w:t>Initial Brief for Consumer Protection by Office of the Ohio Consumers’ Counsel (“OCC Brief”) (April 20, 2022</w:t>
      </w:r>
      <w:r w:rsidR="00A20924">
        <w:t>)</w:t>
      </w:r>
      <w:r w:rsidR="00111457">
        <w:t>.</w:t>
      </w:r>
    </w:p>
  </w:footnote>
  <w:footnote w:id="3">
    <w:p w:rsidR="00C5721D" w:rsidP="00272B33" w14:paraId="3A7BBC8B" w14:textId="0B7B9135">
      <w:pPr>
        <w:pStyle w:val="FootnoteText"/>
        <w:spacing w:after="120"/>
      </w:pPr>
      <w:r>
        <w:rPr>
          <w:rStyle w:val="FootnoteReference"/>
        </w:rPr>
        <w:footnoteRef/>
      </w:r>
      <w:r>
        <w:t xml:space="preserve"> DEO Ex</w:t>
      </w:r>
      <w:r w:rsidR="00D53B85">
        <w:t xml:space="preserve">. </w:t>
      </w:r>
      <w:r>
        <w:t>1.0, Application at 2 (February 25, 2022).</w:t>
      </w:r>
    </w:p>
  </w:footnote>
  <w:footnote w:id="4">
    <w:p w:rsidR="00523FA0" w:rsidP="00272B33" w14:paraId="4EF59365" w14:textId="698368CB">
      <w:pPr>
        <w:pStyle w:val="FootnoteText"/>
        <w:spacing w:after="120"/>
      </w:pPr>
      <w:r>
        <w:rPr>
          <w:rStyle w:val="FootnoteReference"/>
        </w:rPr>
        <w:footnoteRef/>
      </w:r>
      <w:r>
        <w:t xml:space="preserve"> </w:t>
      </w:r>
      <w:r w:rsidR="00111457">
        <w:t>OCC Initial Brief</w:t>
      </w:r>
      <w:r w:rsidR="00A20924">
        <w:t xml:space="preserve">; </w:t>
      </w:r>
      <w:r w:rsidR="00056B63">
        <w:t>OCC. Ex. 1.0, T</w:t>
      </w:r>
      <w:r w:rsidR="008D3BFC">
        <w:t xml:space="preserve">estimony of Daniel J. </w:t>
      </w:r>
      <w:r>
        <w:t>Duann</w:t>
      </w:r>
      <w:r w:rsidR="008D3BFC">
        <w:t xml:space="preserve"> </w:t>
      </w:r>
      <w:r>
        <w:t>at 4-5.</w:t>
      </w:r>
    </w:p>
  </w:footnote>
  <w:footnote w:id="5">
    <w:p w:rsidR="00523FA0" w:rsidP="00272B33" w14:paraId="6DD7A99F" w14:textId="7F089F9C">
      <w:pPr>
        <w:pStyle w:val="FootnoteText"/>
        <w:spacing w:after="120"/>
      </w:pPr>
      <w:r>
        <w:rPr>
          <w:rStyle w:val="FootnoteReference"/>
        </w:rPr>
        <w:footnoteRef/>
      </w:r>
      <w:r>
        <w:t xml:space="preserve"> </w:t>
      </w:r>
      <w:r w:rsidR="00A20924">
        <w:t xml:space="preserve">OCC Initial Brief; </w:t>
      </w:r>
      <w:r w:rsidR="00056B63">
        <w:t>OCC Ex. 1.0</w:t>
      </w:r>
      <w:r w:rsidR="0098098A">
        <w:t xml:space="preserve"> (</w:t>
      </w:r>
      <w:r w:rsidR="00B269E8">
        <w:t>Duann Testimony</w:t>
      </w:r>
      <w:r w:rsidR="0098098A">
        <w:t>)</w:t>
      </w:r>
      <w:r>
        <w:t xml:space="preserve"> at 6.</w:t>
      </w:r>
    </w:p>
  </w:footnote>
  <w:footnote w:id="6">
    <w:p w:rsidR="0079555F" w:rsidP="00272B33" w14:paraId="0D5F639A" w14:textId="767D850A">
      <w:pPr>
        <w:pStyle w:val="FootnoteText"/>
        <w:spacing w:after="120"/>
      </w:pPr>
      <w:r>
        <w:rPr>
          <w:rStyle w:val="FootnoteReference"/>
        </w:rPr>
        <w:footnoteRef/>
      </w:r>
      <w:r>
        <w:t xml:space="preserve"> </w:t>
      </w:r>
      <w:r w:rsidR="00056B63">
        <w:t>OCC Ex. 1.0</w:t>
      </w:r>
      <w:r w:rsidR="0098098A">
        <w:t xml:space="preserve"> (</w:t>
      </w:r>
      <w:r w:rsidR="00B269E8">
        <w:t>Duann Testimony</w:t>
      </w:r>
      <w:r w:rsidR="0098098A">
        <w:t>)</w:t>
      </w:r>
      <w:r w:rsidR="00056B63">
        <w:t xml:space="preserve"> </w:t>
      </w:r>
      <w:r>
        <w:t xml:space="preserve">at 6, </w:t>
      </w:r>
      <w:r w:rsidR="00FF0975">
        <w:t>9-10</w:t>
      </w:r>
      <w:r w:rsidR="00BB7936">
        <w:t>; OCC Initial Brief</w:t>
      </w:r>
      <w:r w:rsidR="003439E8">
        <w:t xml:space="preserve">. </w:t>
      </w:r>
    </w:p>
  </w:footnote>
  <w:footnote w:id="7">
    <w:p w:rsidR="00495C32" w:rsidP="00272B33" w14:paraId="19BB066A" w14:textId="479BCBA9">
      <w:pPr>
        <w:pStyle w:val="FootnoteText"/>
        <w:spacing w:after="120"/>
      </w:pPr>
      <w:r>
        <w:rPr>
          <w:rStyle w:val="FootnoteReference"/>
        </w:rPr>
        <w:footnoteRef/>
      </w:r>
      <w:r>
        <w:t xml:space="preserve"> R.C. 4905.22; R.C. 4929.05(A)(3).</w:t>
      </w:r>
      <w:r w:rsidR="00545817">
        <w:t xml:space="preserve"> </w:t>
      </w:r>
      <w:r w:rsidRPr="00A9742A" w:rsidR="00545817">
        <w:rPr>
          <w:i/>
          <w:iCs/>
        </w:rPr>
        <w:t>See</w:t>
      </w:r>
      <w:r w:rsidR="00545817">
        <w:t xml:space="preserve">, OCC Initial Brief at </w:t>
      </w:r>
      <w:r w:rsidR="00BB7936">
        <w:t>2-3.</w:t>
      </w:r>
    </w:p>
  </w:footnote>
  <w:footnote w:id="8">
    <w:p w:rsidR="004B0C02" w:rsidP="00272B33" w14:paraId="01F757F9" w14:textId="3E4239BB">
      <w:pPr>
        <w:pStyle w:val="FootnoteText"/>
        <w:spacing w:after="120"/>
      </w:pPr>
      <w:r>
        <w:rPr>
          <w:rStyle w:val="FootnoteReference"/>
        </w:rPr>
        <w:footnoteRef/>
      </w:r>
      <w:r>
        <w:t xml:space="preserve"> </w:t>
      </w:r>
      <w:r w:rsidR="00D30487">
        <w:t>OCC Ex. 1.0 (Duann Testimony)</w:t>
      </w:r>
      <w:r>
        <w:t xml:space="preserve"> at 10-11</w:t>
      </w:r>
      <w:r w:rsidR="00F261FA">
        <w:t xml:space="preserve">; </w:t>
      </w:r>
      <w:r w:rsidRPr="00A9742A" w:rsidR="00F261FA">
        <w:rPr>
          <w:i/>
          <w:iCs/>
        </w:rPr>
        <w:t>See</w:t>
      </w:r>
      <w:r w:rsidR="00F261FA">
        <w:t xml:space="preserve"> OCC Initial Brief at</w:t>
      </w:r>
      <w:r w:rsidR="00BB7936">
        <w:t xml:space="preserve"> 2-3</w:t>
      </w:r>
      <w:r>
        <w:t>.</w:t>
      </w:r>
    </w:p>
  </w:footnote>
  <w:footnote w:id="9">
    <w:p w:rsidR="004B0C02" w:rsidP="00272B33" w14:paraId="08F690A0" w14:textId="3E089EF5">
      <w:pPr>
        <w:pStyle w:val="FootnoteText"/>
        <w:spacing w:after="120"/>
      </w:pPr>
      <w:r>
        <w:rPr>
          <w:rStyle w:val="FootnoteReference"/>
        </w:rPr>
        <w:footnoteRef/>
      </w:r>
      <w:r>
        <w:t xml:space="preserve"> </w:t>
      </w:r>
      <w:r w:rsidRPr="005D3A4E">
        <w:rPr>
          <w:i/>
          <w:iCs/>
        </w:rPr>
        <w:t>Id</w:t>
      </w:r>
      <w:r>
        <w:t>. at 11</w:t>
      </w:r>
      <w:r w:rsidR="00F53BDF">
        <w:t>;</w:t>
      </w:r>
      <w:r w:rsidR="00A43903">
        <w:t xml:space="preserve"> OCC Initial Brief a</w:t>
      </w:r>
      <w:r w:rsidR="00BB7936">
        <w:t>t 9-10</w:t>
      </w:r>
      <w:r>
        <w:t>.</w:t>
      </w:r>
    </w:p>
  </w:footnote>
  <w:footnote w:id="10">
    <w:p w:rsidR="00D30487" w:rsidP="00272B33" w14:paraId="162E8A82" w14:textId="10348470">
      <w:pPr>
        <w:pStyle w:val="FootnoteText"/>
        <w:spacing w:after="120"/>
      </w:pPr>
      <w:r>
        <w:rPr>
          <w:rStyle w:val="FootnoteReference"/>
        </w:rPr>
        <w:footnoteRef/>
      </w:r>
      <w:r>
        <w:t xml:space="preserve"> Initial Brief of the East Ohio Gas Company d/b/a/ Dominion Energy Ohio (“Dominion Brief”) at 5-8 (April 20, 2022).</w:t>
      </w:r>
      <w:r w:rsidR="00577399">
        <w:t xml:space="preserve"> </w:t>
      </w:r>
      <w:r w:rsidR="003735C5">
        <w:t>PUCO Staff also submitted a brief but did not address rate of return issues. (Initial Brief Submitted on Behalf of the Staff of the Public Utilities Commission of Ohio (April 20, 2022)).</w:t>
      </w:r>
    </w:p>
  </w:footnote>
  <w:footnote w:id="11">
    <w:p w:rsidR="00B673B0" w:rsidP="00272B33" w14:paraId="73B4D492" w14:textId="7AB76A54">
      <w:pPr>
        <w:pStyle w:val="FootnoteText"/>
        <w:spacing w:after="120"/>
      </w:pPr>
      <w:r>
        <w:rPr>
          <w:rStyle w:val="FootnoteReference"/>
        </w:rPr>
        <w:footnoteRef/>
      </w:r>
      <w:r>
        <w:t xml:space="preserve"> OCC Brief at </w:t>
      </w:r>
      <w:r w:rsidR="00747B28">
        <w:t>6-</w:t>
      </w:r>
      <w:r>
        <w:t>7.</w:t>
      </w:r>
    </w:p>
  </w:footnote>
  <w:footnote w:id="12">
    <w:p w:rsidR="00DB0FA4" w:rsidP="00272B33" w14:paraId="489A9021" w14:textId="210E889F">
      <w:pPr>
        <w:pStyle w:val="FootnoteText"/>
        <w:spacing w:after="120"/>
      </w:pPr>
      <w:r>
        <w:rPr>
          <w:rStyle w:val="FootnoteReference"/>
        </w:rPr>
        <w:footnoteRef/>
      </w:r>
      <w:r>
        <w:t xml:space="preserve"> DEO Brief at 6.</w:t>
      </w:r>
    </w:p>
  </w:footnote>
  <w:footnote w:id="13">
    <w:p w:rsidR="00FA4ED8" w:rsidP="00272B33" w14:paraId="6B18FA66" w14:textId="6EC1F4C0">
      <w:pPr>
        <w:pStyle w:val="FootnoteText"/>
        <w:spacing w:after="120"/>
      </w:pPr>
      <w:r>
        <w:rPr>
          <w:rStyle w:val="FootnoteReference"/>
        </w:rPr>
        <w:footnoteRef/>
      </w:r>
      <w:r>
        <w:t xml:space="preserve"> R.C. 4905.22, R.C. 4929.05(A)(3) and R.C. 4909.18.</w:t>
      </w:r>
    </w:p>
  </w:footnote>
  <w:footnote w:id="14">
    <w:p w:rsidR="00906D45" w:rsidP="00272B33" w14:paraId="474299A7" w14:textId="49C97795">
      <w:pPr>
        <w:pStyle w:val="FootnoteText"/>
        <w:spacing w:after="120"/>
      </w:pPr>
      <w:r>
        <w:rPr>
          <w:rStyle w:val="FootnoteReference"/>
        </w:rPr>
        <w:footnoteRef/>
      </w:r>
      <w:r>
        <w:t xml:space="preserve"> </w:t>
      </w:r>
      <w:r w:rsidRPr="00140815" w:rsidR="00140815">
        <w:rPr>
          <w:i/>
          <w:iCs/>
        </w:rPr>
        <w:t>See</w:t>
      </w:r>
      <w:r w:rsidR="00140815">
        <w:t xml:space="preserve">, </w:t>
      </w:r>
      <w:r>
        <w:t>OCC Ex. 1.0 (Duann Testimony).</w:t>
      </w:r>
    </w:p>
  </w:footnote>
  <w:footnote w:id="15">
    <w:p w:rsidR="00825586" w:rsidP="00272B33" w14:paraId="7608E4C3" w14:textId="479950AA">
      <w:pPr>
        <w:pStyle w:val="FootnoteText"/>
        <w:spacing w:after="120"/>
      </w:pPr>
      <w:r>
        <w:rPr>
          <w:rStyle w:val="FootnoteReference"/>
        </w:rPr>
        <w:footnoteRef/>
      </w:r>
      <w:r>
        <w:t xml:space="preserve"> </w:t>
      </w:r>
      <w:r w:rsidRPr="00825586">
        <w:rPr>
          <w:i/>
          <w:iCs/>
        </w:rPr>
        <w:t>Id</w:t>
      </w:r>
      <w:r>
        <w:t>.</w:t>
      </w:r>
    </w:p>
  </w:footnote>
  <w:footnote w:id="16">
    <w:p w:rsidR="00315354" w:rsidP="00272B33" w14:paraId="76B43529" w14:textId="33591DBE">
      <w:pPr>
        <w:pStyle w:val="FootnoteText"/>
        <w:spacing w:after="120"/>
      </w:pPr>
      <w:r>
        <w:rPr>
          <w:rStyle w:val="FootnoteReference"/>
        </w:rPr>
        <w:footnoteRef/>
      </w:r>
      <w:r>
        <w:t xml:space="preserve"> </w:t>
      </w:r>
      <w:r w:rsidRPr="0098098A">
        <w:rPr>
          <w:i/>
          <w:iCs/>
        </w:rPr>
        <w:t>See, e.g</w:t>
      </w:r>
      <w:r>
        <w:t>., PUCO Case Nos. 19-468-GA-ALT and 20-1634-GA-ALT</w:t>
      </w:r>
      <w:r w:rsidR="00795900">
        <w:t>; OCC Ex. 1.0 (Duann Testimony) at 4-5</w:t>
      </w:r>
      <w:r w:rsidR="007B731C">
        <w:t>; OCC Initial Brief at 6.</w:t>
      </w:r>
      <w:r>
        <w:t xml:space="preserve"> </w:t>
      </w:r>
    </w:p>
  </w:footnote>
  <w:footnote w:id="17">
    <w:p w:rsidR="00413E96" w:rsidP="00272B33" w14:paraId="78711577" w14:textId="69CD47D8">
      <w:pPr>
        <w:pStyle w:val="FootnoteText"/>
        <w:spacing w:after="120"/>
      </w:pPr>
      <w:r>
        <w:rPr>
          <w:rStyle w:val="FootnoteReference"/>
        </w:rPr>
        <w:footnoteRef/>
      </w:r>
      <w:r>
        <w:t xml:space="preserve"> R.C. </w:t>
      </w:r>
      <w:r w:rsidR="00E53509">
        <w:t>4909.18; R.C. 4929.05(A)(3).</w:t>
      </w:r>
    </w:p>
  </w:footnote>
  <w:footnote w:id="18">
    <w:p w:rsidR="00252F5C" w:rsidP="00272B33" w14:paraId="5D065A23" w14:textId="1BE4EDD7">
      <w:pPr>
        <w:pStyle w:val="FootnoteText"/>
        <w:spacing w:after="120"/>
      </w:pPr>
      <w:r>
        <w:rPr>
          <w:rStyle w:val="FootnoteReference"/>
        </w:rPr>
        <w:footnoteRef/>
      </w:r>
      <w:r>
        <w:t xml:space="preserve"> </w:t>
      </w:r>
      <w:r w:rsidRPr="00E7504D" w:rsidR="0064488A">
        <w:rPr>
          <w:i/>
          <w:iCs/>
        </w:rPr>
        <w:t>See</w:t>
      </w:r>
      <w:r w:rsidR="0064488A">
        <w:t xml:space="preserve">, </w:t>
      </w:r>
      <w:r>
        <w:t>OCC Brief at 6</w:t>
      </w:r>
      <w:r w:rsidR="00C835AE">
        <w:t xml:space="preserve"> quoting </w:t>
      </w:r>
      <w:r w:rsidRPr="00E7504D" w:rsidR="00C835AE">
        <w:rPr>
          <w:i/>
          <w:iCs/>
        </w:rPr>
        <w:t>In re Complaint of Suburban Gas Company</w:t>
      </w:r>
      <w:r w:rsidR="00C835AE">
        <w:t>, “A few simple sentences in the commission’s order in this case would have sufficed to explain why a previous order had been overruled</w:t>
      </w:r>
      <w:r w:rsidR="0064488A">
        <w:t>,” 162 Ohio St.3d 162, 169, 2020-Ohio-5221 ¶ 29, 164 N.E.3d 425 (2020).</w:t>
      </w:r>
    </w:p>
  </w:footnote>
  <w:footnote w:id="19">
    <w:p w:rsidR="0001078C" w:rsidP="00272B33" w14:paraId="0D056ABA" w14:textId="553CD2D1">
      <w:pPr>
        <w:pStyle w:val="FootnoteText"/>
        <w:spacing w:after="120"/>
      </w:pPr>
      <w:r>
        <w:rPr>
          <w:rStyle w:val="FootnoteReference"/>
        </w:rPr>
        <w:footnoteRef/>
      </w:r>
      <w:r>
        <w:t xml:space="preserve"> Dominion </w:t>
      </w:r>
      <w:r w:rsidR="007B731C">
        <w:t>B</w:t>
      </w:r>
      <w:r>
        <w:t>rief at 6-7.</w:t>
      </w:r>
    </w:p>
  </w:footnote>
  <w:footnote w:id="20">
    <w:p w:rsidR="0001078C" w:rsidP="00272B33" w14:paraId="360B235E" w14:textId="1DC00A90">
      <w:pPr>
        <w:pStyle w:val="FootnoteText"/>
        <w:spacing w:after="120"/>
      </w:pPr>
      <w:r>
        <w:rPr>
          <w:rStyle w:val="FootnoteReference"/>
        </w:rPr>
        <w:footnoteRef/>
      </w:r>
      <w:r>
        <w:t xml:space="preserve"> </w:t>
      </w:r>
      <w:r w:rsidRPr="0001078C">
        <w:rPr>
          <w:i/>
          <w:iCs/>
        </w:rPr>
        <w:t>See</w:t>
      </w:r>
      <w:r>
        <w:t>, OCC Ex. 1.0 (Duann Testimony) at 6.</w:t>
      </w:r>
    </w:p>
  </w:footnote>
  <w:footnote w:id="21">
    <w:p w:rsidR="0064488A" w:rsidP="00272B33" w14:paraId="2340DA30" w14:textId="033C3FCE">
      <w:pPr>
        <w:pStyle w:val="FootnoteText"/>
        <w:spacing w:after="120"/>
      </w:pPr>
      <w:r>
        <w:rPr>
          <w:rStyle w:val="FootnoteReference"/>
        </w:rPr>
        <w:footnoteRef/>
      </w:r>
      <w:r>
        <w:t xml:space="preserve"> </w:t>
      </w:r>
      <w:r w:rsidR="00E7504D">
        <w:t>Dominion Brief at 6-7.</w:t>
      </w:r>
    </w:p>
  </w:footnote>
  <w:footnote w:id="22">
    <w:p w:rsidR="00420409" w:rsidP="00272B33" w14:paraId="1CF2DB99" w14:textId="2EE0F936">
      <w:pPr>
        <w:pStyle w:val="FootnoteText"/>
        <w:spacing w:after="120"/>
      </w:pPr>
      <w:r>
        <w:rPr>
          <w:rStyle w:val="FootnoteReference"/>
        </w:rPr>
        <w:footnoteRef/>
      </w:r>
      <w:r>
        <w:t xml:space="preserve"> OCC Ex. 1.0 (Duann Testimony) at 6, 9-13.</w:t>
      </w:r>
    </w:p>
  </w:footnote>
  <w:footnote w:id="23">
    <w:p w:rsidR="009755E5" w:rsidP="00272B33" w14:paraId="4BC3BE2B" w14:textId="5082DAED">
      <w:pPr>
        <w:pStyle w:val="FootnoteText"/>
        <w:spacing w:after="120"/>
      </w:pPr>
      <w:r>
        <w:rPr>
          <w:rStyle w:val="FootnoteReference"/>
        </w:rPr>
        <w:footnoteRef/>
      </w:r>
      <w:r>
        <w:t xml:space="preserve"> OCC Ex. 1.0 (Duann Testimony) at 9-10</w:t>
      </w:r>
      <w:r w:rsidR="00673C7D">
        <w:t>.</w:t>
      </w:r>
    </w:p>
  </w:footnote>
  <w:footnote w:id="24">
    <w:p w:rsidR="009755E5" w:rsidP="00272B33" w14:paraId="19CEFDFE" w14:textId="703556E1">
      <w:pPr>
        <w:pStyle w:val="FootnoteText"/>
        <w:spacing w:after="120"/>
      </w:pPr>
      <w:r>
        <w:rPr>
          <w:rStyle w:val="FootnoteReference"/>
        </w:rPr>
        <w:footnoteRef/>
      </w:r>
      <w:r>
        <w:t xml:space="preserve"> </w:t>
      </w:r>
      <w:r w:rsidRPr="00673C7D">
        <w:rPr>
          <w:i/>
          <w:iCs/>
        </w:rPr>
        <w:t>Id</w:t>
      </w:r>
      <w:r>
        <w:t>.</w:t>
      </w:r>
    </w:p>
  </w:footnote>
  <w:footnote w:id="25">
    <w:p w:rsidR="009755E5" w:rsidP="00272B33" w14:paraId="0DF438D6" w14:textId="5B56899F">
      <w:pPr>
        <w:pStyle w:val="FootnoteText"/>
        <w:spacing w:after="120"/>
      </w:pPr>
      <w:r>
        <w:rPr>
          <w:rStyle w:val="FootnoteReference"/>
        </w:rPr>
        <w:footnoteRef/>
      </w:r>
      <w:r>
        <w:t xml:space="preserve"> OCC Ex. 1.0 (Duann Testimony) at 6</w:t>
      </w:r>
      <w:r w:rsidR="00966BD3">
        <w:t>, 9-12.</w:t>
      </w:r>
      <w:r>
        <w:t xml:space="preserve"> </w:t>
      </w:r>
    </w:p>
  </w:footnote>
  <w:footnote w:id="26">
    <w:p w:rsidR="009755E5" w:rsidP="00272B33" w14:paraId="58E278EC" w14:textId="77777777">
      <w:pPr>
        <w:pStyle w:val="FootnoteText"/>
        <w:spacing w:after="120"/>
      </w:pPr>
      <w:r>
        <w:rPr>
          <w:rStyle w:val="FootnoteReference"/>
        </w:rPr>
        <w:footnoteRef/>
      </w:r>
      <w:r>
        <w:t xml:space="preserve"> OCC Ex. 1.0 (Duann Testimony) at 9-10.</w:t>
      </w:r>
    </w:p>
  </w:footnote>
  <w:footnote w:id="27">
    <w:p w:rsidR="009755E5" w:rsidP="00272B33" w14:paraId="0345D798" w14:textId="47C57142">
      <w:pPr>
        <w:pStyle w:val="FootnoteText"/>
        <w:spacing w:after="120"/>
      </w:pPr>
      <w:r>
        <w:rPr>
          <w:rStyle w:val="FootnoteReference"/>
        </w:rPr>
        <w:footnoteRef/>
      </w:r>
      <w:r>
        <w:t xml:space="preserve"> </w:t>
      </w:r>
      <w:r w:rsidRPr="005D3A4E">
        <w:rPr>
          <w:i/>
          <w:iCs/>
        </w:rPr>
        <w:t>Id</w:t>
      </w:r>
      <w:r>
        <w:t>. at 9</w:t>
      </w:r>
      <w:r w:rsidR="001B1C82">
        <w:t xml:space="preserve">; </w:t>
      </w:r>
      <w:r w:rsidRPr="00FF56A5" w:rsidR="001B1C82">
        <w:rPr>
          <w:i/>
          <w:iCs/>
        </w:rPr>
        <w:t>See</w:t>
      </w:r>
      <w:r w:rsidR="00FF56A5">
        <w:rPr>
          <w:i/>
          <w:iCs/>
        </w:rPr>
        <w:t>,</w:t>
      </w:r>
      <w:r w:rsidR="001B1C82">
        <w:t xml:space="preserve"> DEO Ex. 1.0, Attachment </w:t>
      </w:r>
      <w:r w:rsidR="00FF56A5">
        <w:t>A, Schedule 12.</w:t>
      </w:r>
    </w:p>
  </w:footnote>
  <w:footnote w:id="28">
    <w:p w:rsidR="009755E5" w:rsidP="00272B33" w14:paraId="296C9E3D" w14:textId="65788C52">
      <w:pPr>
        <w:pStyle w:val="FootnoteText"/>
        <w:spacing w:after="120"/>
      </w:pPr>
      <w:r>
        <w:rPr>
          <w:rStyle w:val="FootnoteReference"/>
        </w:rPr>
        <w:footnoteRef/>
      </w:r>
      <w:r>
        <w:t xml:space="preserve"> </w:t>
      </w:r>
      <w:r w:rsidR="00FF56A5">
        <w:t>OCC Ex. 1.0 (Duann Testimony) at</w:t>
      </w:r>
      <w:r>
        <w:t xml:space="preserve"> 1</w:t>
      </w:r>
      <w:r w:rsidR="00FF56A5">
        <w:t>0; OCC Brief at 9-11</w:t>
      </w:r>
      <w:r>
        <w:t>.</w:t>
      </w:r>
    </w:p>
  </w:footnote>
  <w:footnote w:id="29">
    <w:p w:rsidR="00D751B0" w:rsidP="00272B33" w14:paraId="221644E2" w14:textId="77777777">
      <w:pPr>
        <w:pStyle w:val="FootnoteText"/>
        <w:spacing w:after="120"/>
      </w:pPr>
      <w:r>
        <w:rPr>
          <w:rStyle w:val="FootnoteReference"/>
        </w:rPr>
        <w:footnoteRef/>
      </w:r>
      <w:r>
        <w:t xml:space="preserve"> PUCO Case No. 21-619-GA-RDR, Opinion and Order at 28 (February 23, 2022). </w:t>
      </w:r>
    </w:p>
  </w:footnote>
  <w:footnote w:id="30">
    <w:p w:rsidR="00D751B0" w:rsidP="00272B33" w14:paraId="4B5D5383" w14:textId="77777777">
      <w:pPr>
        <w:pStyle w:val="FootnoteText"/>
        <w:spacing w:after="120"/>
      </w:pPr>
      <w:r>
        <w:rPr>
          <w:rStyle w:val="FootnoteReference"/>
        </w:rPr>
        <w:footnoteRef/>
      </w:r>
      <w:r>
        <w:t xml:space="preserve"> </w:t>
      </w:r>
      <w:r w:rsidRPr="00AE151D">
        <w:rPr>
          <w:i/>
          <w:iCs/>
        </w:rPr>
        <w:t>Id</w:t>
      </w:r>
      <w:r>
        <w:t>.</w:t>
      </w:r>
    </w:p>
  </w:footnote>
  <w:footnote w:id="31">
    <w:p w:rsidR="00D751B0" w:rsidP="00272B33" w14:paraId="5659B862" w14:textId="3AD395D1">
      <w:pPr>
        <w:pStyle w:val="FootnoteText"/>
        <w:spacing w:after="120"/>
      </w:pPr>
      <w:r>
        <w:rPr>
          <w:rStyle w:val="FootnoteReference"/>
        </w:rPr>
        <w:footnoteRef/>
      </w:r>
      <w:r>
        <w:t xml:space="preserve"> DEO Ex. 2.0 at 3 (March 31,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11D04D8"/>
    <w:multiLevelType w:val="hybridMultilevel"/>
    <w:tmpl w:val="1A767ACE"/>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224079D"/>
    <w:multiLevelType w:val="hybridMultilevel"/>
    <w:tmpl w:val="E58A857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8F3373F"/>
    <w:multiLevelType w:val="hybridMultilevel"/>
    <w:tmpl w:val="B17EC76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9CB0FD4"/>
    <w:multiLevelType w:val="hybridMultilevel"/>
    <w:tmpl w:val="6040F33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C306626"/>
    <w:multiLevelType w:val="hybridMultilevel"/>
    <w:tmpl w:val="7B62DC0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AC4883"/>
    <w:multiLevelType w:val="hybridMultilevel"/>
    <w:tmpl w:val="71867C2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D8971FA"/>
    <w:multiLevelType w:val="hybridMultilevel"/>
    <w:tmpl w:val="E006CF86"/>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EC81354"/>
    <w:multiLevelType w:val="hybridMultilevel"/>
    <w:tmpl w:val="6B22636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9">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3">
    <w:nsid w:val="6BEE4CE2"/>
    <w:multiLevelType w:val="hybridMultilevel"/>
    <w:tmpl w:val="2FF2DFF4"/>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73F12727"/>
    <w:multiLevelType w:val="hybridMultilevel"/>
    <w:tmpl w:val="5F4A28F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51B5FAF"/>
    <w:multiLevelType w:val="hybridMultilevel"/>
    <w:tmpl w:val="7AFEF1E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54B0E0C"/>
    <w:multiLevelType w:val="hybridMultilevel"/>
    <w:tmpl w:val="6E148B9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8">
    <w:nsid w:val="7FF0662F"/>
    <w:multiLevelType w:val="hybridMultilevel"/>
    <w:tmpl w:val="8F64925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9"/>
  </w:num>
  <w:num w:numId="3">
    <w:abstractNumId w:val="12"/>
  </w:num>
  <w:num w:numId="4">
    <w:abstractNumId w:val="11"/>
  </w:num>
  <w:num w:numId="5">
    <w:abstractNumId w:val="0"/>
  </w:num>
  <w:num w:numId="6">
    <w:abstractNumId w:val="17"/>
  </w:num>
  <w:num w:numId="7">
    <w:abstractNumId w:val="14"/>
  </w:num>
  <w:num w:numId="8">
    <w:abstractNumId w:val="16"/>
  </w:num>
  <w:num w:numId="9">
    <w:abstractNumId w:val="2"/>
  </w:num>
  <w:num w:numId="10">
    <w:abstractNumId w:val="18"/>
  </w:num>
  <w:num w:numId="11">
    <w:abstractNumId w:val="4"/>
  </w:num>
  <w:num w:numId="12">
    <w:abstractNumId w:val="3"/>
  </w:num>
  <w:num w:numId="13">
    <w:abstractNumId w:val="15"/>
  </w:num>
  <w:num w:numId="14">
    <w:abstractNumId w:val="13"/>
  </w:num>
  <w:num w:numId="15">
    <w:abstractNumId w:val="7"/>
  </w:num>
  <w:num w:numId="16">
    <w:abstractNumId w:val="8"/>
  </w:num>
  <w:num w:numId="17">
    <w:abstractNumId w:val="5"/>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58"/>
    <w:rsid w:val="00002C60"/>
    <w:rsid w:val="00007DDB"/>
    <w:rsid w:val="0001058B"/>
    <w:rsid w:val="0001078C"/>
    <w:rsid w:val="00020E0B"/>
    <w:rsid w:val="00030E6F"/>
    <w:rsid w:val="0004418B"/>
    <w:rsid w:val="00052F5A"/>
    <w:rsid w:val="00056B63"/>
    <w:rsid w:val="00077662"/>
    <w:rsid w:val="00080910"/>
    <w:rsid w:val="00081D42"/>
    <w:rsid w:val="00082F6B"/>
    <w:rsid w:val="000830FB"/>
    <w:rsid w:val="000914AB"/>
    <w:rsid w:val="000A0A83"/>
    <w:rsid w:val="000C1343"/>
    <w:rsid w:val="000C21EF"/>
    <w:rsid w:val="000C766E"/>
    <w:rsid w:val="000D1D58"/>
    <w:rsid w:val="000D335D"/>
    <w:rsid w:val="000D6949"/>
    <w:rsid w:val="000D7EDF"/>
    <w:rsid w:val="000E1760"/>
    <w:rsid w:val="000E5D85"/>
    <w:rsid w:val="000E73E2"/>
    <w:rsid w:val="00111457"/>
    <w:rsid w:val="00113D54"/>
    <w:rsid w:val="0011517F"/>
    <w:rsid w:val="00131313"/>
    <w:rsid w:val="00136D88"/>
    <w:rsid w:val="00140815"/>
    <w:rsid w:val="001572D1"/>
    <w:rsid w:val="001573CC"/>
    <w:rsid w:val="0016164D"/>
    <w:rsid w:val="00163EEB"/>
    <w:rsid w:val="00165A5E"/>
    <w:rsid w:val="00165AF9"/>
    <w:rsid w:val="00171048"/>
    <w:rsid w:val="00171E93"/>
    <w:rsid w:val="00177519"/>
    <w:rsid w:val="00182CC4"/>
    <w:rsid w:val="00186B4F"/>
    <w:rsid w:val="00191E74"/>
    <w:rsid w:val="001A3446"/>
    <w:rsid w:val="001A51D4"/>
    <w:rsid w:val="001A5325"/>
    <w:rsid w:val="001B1C82"/>
    <w:rsid w:val="001B2E6B"/>
    <w:rsid w:val="001C3193"/>
    <w:rsid w:val="001C5BFB"/>
    <w:rsid w:val="001C6961"/>
    <w:rsid w:val="001D1E49"/>
    <w:rsid w:val="001F4809"/>
    <w:rsid w:val="001F66DD"/>
    <w:rsid w:val="0020720A"/>
    <w:rsid w:val="002103FD"/>
    <w:rsid w:val="00222CAF"/>
    <w:rsid w:val="00232029"/>
    <w:rsid w:val="00252F5C"/>
    <w:rsid w:val="00253E0A"/>
    <w:rsid w:val="00263A16"/>
    <w:rsid w:val="002706C9"/>
    <w:rsid w:val="0027219D"/>
    <w:rsid w:val="00272B33"/>
    <w:rsid w:val="00274033"/>
    <w:rsid w:val="0027600C"/>
    <w:rsid w:val="00282B56"/>
    <w:rsid w:val="002901C7"/>
    <w:rsid w:val="002A57B6"/>
    <w:rsid w:val="002E1D4E"/>
    <w:rsid w:val="002E252A"/>
    <w:rsid w:val="002F4BA7"/>
    <w:rsid w:val="0030568E"/>
    <w:rsid w:val="003060D0"/>
    <w:rsid w:val="0031242C"/>
    <w:rsid w:val="00313201"/>
    <w:rsid w:val="00315354"/>
    <w:rsid w:val="00327BD1"/>
    <w:rsid w:val="0033015C"/>
    <w:rsid w:val="003324D0"/>
    <w:rsid w:val="00340405"/>
    <w:rsid w:val="0034156D"/>
    <w:rsid w:val="003439E8"/>
    <w:rsid w:val="003513EB"/>
    <w:rsid w:val="003621D9"/>
    <w:rsid w:val="003735C5"/>
    <w:rsid w:val="00373FC2"/>
    <w:rsid w:val="00375D75"/>
    <w:rsid w:val="00387674"/>
    <w:rsid w:val="003B2FA8"/>
    <w:rsid w:val="003B5E20"/>
    <w:rsid w:val="003C08DE"/>
    <w:rsid w:val="003F4042"/>
    <w:rsid w:val="00404731"/>
    <w:rsid w:val="0041019C"/>
    <w:rsid w:val="00413E96"/>
    <w:rsid w:val="00415210"/>
    <w:rsid w:val="00420409"/>
    <w:rsid w:val="0043192F"/>
    <w:rsid w:val="00434043"/>
    <w:rsid w:val="0044647A"/>
    <w:rsid w:val="00457A68"/>
    <w:rsid w:val="00460D90"/>
    <w:rsid w:val="00471FD2"/>
    <w:rsid w:val="00472901"/>
    <w:rsid w:val="0047335E"/>
    <w:rsid w:val="0047354D"/>
    <w:rsid w:val="00482C43"/>
    <w:rsid w:val="0048490D"/>
    <w:rsid w:val="00486336"/>
    <w:rsid w:val="004901EF"/>
    <w:rsid w:val="00493097"/>
    <w:rsid w:val="00495C32"/>
    <w:rsid w:val="004A4C50"/>
    <w:rsid w:val="004A563C"/>
    <w:rsid w:val="004A60E4"/>
    <w:rsid w:val="004B0C02"/>
    <w:rsid w:val="004C10A2"/>
    <w:rsid w:val="004C19D3"/>
    <w:rsid w:val="004C3EBD"/>
    <w:rsid w:val="004C47CF"/>
    <w:rsid w:val="004C5798"/>
    <w:rsid w:val="004C682A"/>
    <w:rsid w:val="004D24AD"/>
    <w:rsid w:val="004E0F8E"/>
    <w:rsid w:val="005009E0"/>
    <w:rsid w:val="005072D9"/>
    <w:rsid w:val="0051343E"/>
    <w:rsid w:val="00514389"/>
    <w:rsid w:val="0052391D"/>
    <w:rsid w:val="00523FA0"/>
    <w:rsid w:val="00530AD0"/>
    <w:rsid w:val="005342D7"/>
    <w:rsid w:val="00543D28"/>
    <w:rsid w:val="00543FB0"/>
    <w:rsid w:val="00545817"/>
    <w:rsid w:val="0055299A"/>
    <w:rsid w:val="005673E0"/>
    <w:rsid w:val="005705A1"/>
    <w:rsid w:val="00572055"/>
    <w:rsid w:val="00577399"/>
    <w:rsid w:val="00584B15"/>
    <w:rsid w:val="00592142"/>
    <w:rsid w:val="005966EF"/>
    <w:rsid w:val="005A120B"/>
    <w:rsid w:val="005A4A50"/>
    <w:rsid w:val="005B033C"/>
    <w:rsid w:val="005B67E8"/>
    <w:rsid w:val="005B698B"/>
    <w:rsid w:val="005C0EAA"/>
    <w:rsid w:val="005D3A4E"/>
    <w:rsid w:val="005D4EA5"/>
    <w:rsid w:val="005F0BF2"/>
    <w:rsid w:val="00604D16"/>
    <w:rsid w:val="00616A60"/>
    <w:rsid w:val="00622D94"/>
    <w:rsid w:val="006260C5"/>
    <w:rsid w:val="00632AA0"/>
    <w:rsid w:val="0064238F"/>
    <w:rsid w:val="00642D54"/>
    <w:rsid w:val="0064488A"/>
    <w:rsid w:val="006521A3"/>
    <w:rsid w:val="00653EFA"/>
    <w:rsid w:val="00654E5D"/>
    <w:rsid w:val="0067122B"/>
    <w:rsid w:val="00673C7D"/>
    <w:rsid w:val="006952F8"/>
    <w:rsid w:val="006A1731"/>
    <w:rsid w:val="006A31F2"/>
    <w:rsid w:val="006B4C9F"/>
    <w:rsid w:val="006B63DF"/>
    <w:rsid w:val="006B7B05"/>
    <w:rsid w:val="006C3C24"/>
    <w:rsid w:val="006D726E"/>
    <w:rsid w:val="006E53F3"/>
    <w:rsid w:val="006E5EDD"/>
    <w:rsid w:val="006E7FB7"/>
    <w:rsid w:val="006F23BC"/>
    <w:rsid w:val="00705E0E"/>
    <w:rsid w:val="00706D1C"/>
    <w:rsid w:val="0071605A"/>
    <w:rsid w:val="0072433E"/>
    <w:rsid w:val="007260CD"/>
    <w:rsid w:val="00733442"/>
    <w:rsid w:val="00737871"/>
    <w:rsid w:val="00741121"/>
    <w:rsid w:val="00747B28"/>
    <w:rsid w:val="007523AC"/>
    <w:rsid w:val="00761D6D"/>
    <w:rsid w:val="00773157"/>
    <w:rsid w:val="0079244C"/>
    <w:rsid w:val="0079555F"/>
    <w:rsid w:val="00795900"/>
    <w:rsid w:val="007A3C04"/>
    <w:rsid w:val="007B35D7"/>
    <w:rsid w:val="007B72FE"/>
    <w:rsid w:val="007B731C"/>
    <w:rsid w:val="007C0801"/>
    <w:rsid w:val="007C0F00"/>
    <w:rsid w:val="007D5580"/>
    <w:rsid w:val="007D7A8A"/>
    <w:rsid w:val="00815FA1"/>
    <w:rsid w:val="0082488C"/>
    <w:rsid w:val="00824D53"/>
    <w:rsid w:val="00825586"/>
    <w:rsid w:val="00837128"/>
    <w:rsid w:val="008371F9"/>
    <w:rsid w:val="0084358C"/>
    <w:rsid w:val="0084463B"/>
    <w:rsid w:val="00850507"/>
    <w:rsid w:val="00855416"/>
    <w:rsid w:val="00862543"/>
    <w:rsid w:val="00862BE5"/>
    <w:rsid w:val="0089046B"/>
    <w:rsid w:val="008916C8"/>
    <w:rsid w:val="008A3891"/>
    <w:rsid w:val="008A53D5"/>
    <w:rsid w:val="008B3E7A"/>
    <w:rsid w:val="008B5AD8"/>
    <w:rsid w:val="008D2F91"/>
    <w:rsid w:val="008D3BFC"/>
    <w:rsid w:val="008E7EC6"/>
    <w:rsid w:val="008F1179"/>
    <w:rsid w:val="008F44F9"/>
    <w:rsid w:val="00902228"/>
    <w:rsid w:val="00904CA6"/>
    <w:rsid w:val="00906D45"/>
    <w:rsid w:val="0091075E"/>
    <w:rsid w:val="0091279D"/>
    <w:rsid w:val="00922CB6"/>
    <w:rsid w:val="00934677"/>
    <w:rsid w:val="00947F82"/>
    <w:rsid w:val="009624E5"/>
    <w:rsid w:val="00966BD3"/>
    <w:rsid w:val="00973651"/>
    <w:rsid w:val="009755E5"/>
    <w:rsid w:val="00976C12"/>
    <w:rsid w:val="0098098A"/>
    <w:rsid w:val="0098323E"/>
    <w:rsid w:val="00985BCC"/>
    <w:rsid w:val="0099139C"/>
    <w:rsid w:val="009B0055"/>
    <w:rsid w:val="009B2C25"/>
    <w:rsid w:val="009C33AB"/>
    <w:rsid w:val="009C5951"/>
    <w:rsid w:val="009D37EA"/>
    <w:rsid w:val="009D452D"/>
    <w:rsid w:val="009E313B"/>
    <w:rsid w:val="009F0ADB"/>
    <w:rsid w:val="009F72AB"/>
    <w:rsid w:val="00A04388"/>
    <w:rsid w:val="00A044B5"/>
    <w:rsid w:val="00A20924"/>
    <w:rsid w:val="00A27DA8"/>
    <w:rsid w:val="00A35614"/>
    <w:rsid w:val="00A36B32"/>
    <w:rsid w:val="00A43903"/>
    <w:rsid w:val="00A45086"/>
    <w:rsid w:val="00A458AF"/>
    <w:rsid w:val="00A5774E"/>
    <w:rsid w:val="00A907DF"/>
    <w:rsid w:val="00A93456"/>
    <w:rsid w:val="00A965A3"/>
    <w:rsid w:val="00A96C12"/>
    <w:rsid w:val="00A96F6A"/>
    <w:rsid w:val="00A9742A"/>
    <w:rsid w:val="00AA063A"/>
    <w:rsid w:val="00AA0799"/>
    <w:rsid w:val="00AC0E6A"/>
    <w:rsid w:val="00AC3771"/>
    <w:rsid w:val="00AD30C2"/>
    <w:rsid w:val="00AD3EF2"/>
    <w:rsid w:val="00AD40E1"/>
    <w:rsid w:val="00AD522D"/>
    <w:rsid w:val="00AE151D"/>
    <w:rsid w:val="00B0334A"/>
    <w:rsid w:val="00B067EA"/>
    <w:rsid w:val="00B12B8F"/>
    <w:rsid w:val="00B14D46"/>
    <w:rsid w:val="00B21758"/>
    <w:rsid w:val="00B222F8"/>
    <w:rsid w:val="00B23790"/>
    <w:rsid w:val="00B269E8"/>
    <w:rsid w:val="00B34969"/>
    <w:rsid w:val="00B41F85"/>
    <w:rsid w:val="00B4642B"/>
    <w:rsid w:val="00B465A2"/>
    <w:rsid w:val="00B47115"/>
    <w:rsid w:val="00B61087"/>
    <w:rsid w:val="00B673B0"/>
    <w:rsid w:val="00B75E89"/>
    <w:rsid w:val="00B7648A"/>
    <w:rsid w:val="00B81E54"/>
    <w:rsid w:val="00B943E5"/>
    <w:rsid w:val="00BA65DA"/>
    <w:rsid w:val="00BB3A1D"/>
    <w:rsid w:val="00BB7936"/>
    <w:rsid w:val="00BC497A"/>
    <w:rsid w:val="00BD775C"/>
    <w:rsid w:val="00BD7BCE"/>
    <w:rsid w:val="00BD7F7B"/>
    <w:rsid w:val="00BE474C"/>
    <w:rsid w:val="00BF078B"/>
    <w:rsid w:val="00BF3CC9"/>
    <w:rsid w:val="00C0145F"/>
    <w:rsid w:val="00C1151D"/>
    <w:rsid w:val="00C1272D"/>
    <w:rsid w:val="00C25AEB"/>
    <w:rsid w:val="00C55310"/>
    <w:rsid w:val="00C5721D"/>
    <w:rsid w:val="00C8028B"/>
    <w:rsid w:val="00C835AE"/>
    <w:rsid w:val="00C9050C"/>
    <w:rsid w:val="00C92D1E"/>
    <w:rsid w:val="00C930B0"/>
    <w:rsid w:val="00C93B14"/>
    <w:rsid w:val="00CB4739"/>
    <w:rsid w:val="00CB5CB2"/>
    <w:rsid w:val="00CB6D80"/>
    <w:rsid w:val="00CB76F9"/>
    <w:rsid w:val="00CC3370"/>
    <w:rsid w:val="00CD1CB9"/>
    <w:rsid w:val="00CD372A"/>
    <w:rsid w:val="00CE1566"/>
    <w:rsid w:val="00D026EC"/>
    <w:rsid w:val="00D042EE"/>
    <w:rsid w:val="00D15C61"/>
    <w:rsid w:val="00D24446"/>
    <w:rsid w:val="00D30487"/>
    <w:rsid w:val="00D3674D"/>
    <w:rsid w:val="00D53B85"/>
    <w:rsid w:val="00D53BD0"/>
    <w:rsid w:val="00D54BCE"/>
    <w:rsid w:val="00D56145"/>
    <w:rsid w:val="00D60A0A"/>
    <w:rsid w:val="00D628A8"/>
    <w:rsid w:val="00D74797"/>
    <w:rsid w:val="00D74FF1"/>
    <w:rsid w:val="00D751B0"/>
    <w:rsid w:val="00D9752F"/>
    <w:rsid w:val="00D97B1C"/>
    <w:rsid w:val="00DA368D"/>
    <w:rsid w:val="00DA5859"/>
    <w:rsid w:val="00DA7A96"/>
    <w:rsid w:val="00DB0196"/>
    <w:rsid w:val="00DB0FA4"/>
    <w:rsid w:val="00DB2831"/>
    <w:rsid w:val="00DD0C02"/>
    <w:rsid w:val="00DD5E85"/>
    <w:rsid w:val="00DE0FD7"/>
    <w:rsid w:val="00DE1F0E"/>
    <w:rsid w:val="00E05AB8"/>
    <w:rsid w:val="00E06134"/>
    <w:rsid w:val="00E10C89"/>
    <w:rsid w:val="00E3296C"/>
    <w:rsid w:val="00E53509"/>
    <w:rsid w:val="00E5502E"/>
    <w:rsid w:val="00E567EE"/>
    <w:rsid w:val="00E605BA"/>
    <w:rsid w:val="00E71D00"/>
    <w:rsid w:val="00E7457B"/>
    <w:rsid w:val="00E7504D"/>
    <w:rsid w:val="00E90643"/>
    <w:rsid w:val="00E94266"/>
    <w:rsid w:val="00EA1FC7"/>
    <w:rsid w:val="00EA615E"/>
    <w:rsid w:val="00EB1CE1"/>
    <w:rsid w:val="00EC561B"/>
    <w:rsid w:val="00EE2E89"/>
    <w:rsid w:val="00EF1FEC"/>
    <w:rsid w:val="00EF47B6"/>
    <w:rsid w:val="00EF5FDB"/>
    <w:rsid w:val="00EF74EA"/>
    <w:rsid w:val="00F00274"/>
    <w:rsid w:val="00F02990"/>
    <w:rsid w:val="00F02A93"/>
    <w:rsid w:val="00F146F2"/>
    <w:rsid w:val="00F14EA5"/>
    <w:rsid w:val="00F16A10"/>
    <w:rsid w:val="00F21B7D"/>
    <w:rsid w:val="00F261FA"/>
    <w:rsid w:val="00F312B7"/>
    <w:rsid w:val="00F35D3A"/>
    <w:rsid w:val="00F37A27"/>
    <w:rsid w:val="00F41C8D"/>
    <w:rsid w:val="00F45119"/>
    <w:rsid w:val="00F53BDF"/>
    <w:rsid w:val="00F577D8"/>
    <w:rsid w:val="00F64C84"/>
    <w:rsid w:val="00F71114"/>
    <w:rsid w:val="00F740DF"/>
    <w:rsid w:val="00F773A5"/>
    <w:rsid w:val="00F775BD"/>
    <w:rsid w:val="00F805D9"/>
    <w:rsid w:val="00F87EAC"/>
    <w:rsid w:val="00FA4ED8"/>
    <w:rsid w:val="00FB0059"/>
    <w:rsid w:val="00FC37A4"/>
    <w:rsid w:val="00FD0572"/>
    <w:rsid w:val="00FD11C8"/>
    <w:rsid w:val="00FD4A57"/>
    <w:rsid w:val="00FD55F5"/>
    <w:rsid w:val="00FD5660"/>
    <w:rsid w:val="00FE7DAE"/>
    <w:rsid w:val="00FE7F0A"/>
    <w:rsid w:val="00FF0975"/>
    <w:rsid w:val="00FF15AE"/>
    <w:rsid w:val="00FF56A5"/>
    <w:rsid w:val="00FF760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96"/>
    <w:rPr>
      <w:sz w:val="24"/>
    </w:rPr>
  </w:style>
  <w:style w:type="paragraph" w:styleId="Heading1">
    <w:name w:val="heading 1"/>
    <w:basedOn w:val="Normal"/>
    <w:next w:val="Normal"/>
    <w:link w:val="Heading1Char"/>
    <w:qFormat/>
    <w:rsid w:val="000A0A83"/>
    <w:pPr>
      <w:keepNext/>
      <w:spacing w:after="240"/>
      <w:ind w:left="720" w:hanging="720"/>
      <w:outlineLvl w:val="0"/>
    </w:pPr>
    <w:rPr>
      <w:b/>
      <w:szCs w:val="24"/>
    </w:rPr>
  </w:style>
  <w:style w:type="paragraph" w:styleId="Heading2">
    <w:name w:val="heading 2"/>
    <w:basedOn w:val="Normal"/>
    <w:next w:val="Normal"/>
    <w:qFormat/>
    <w:rsid w:val="000A0A83"/>
    <w:pPr>
      <w:keepNext/>
      <w:tabs>
        <w:tab w:val="left" w:pos="4320"/>
      </w:tabs>
      <w:spacing w:after="240"/>
      <w:ind w:left="1440" w:hanging="720"/>
      <w:outlineLvl w:val="1"/>
    </w:pPr>
    <w:rPr>
      <w:b/>
    </w:rPr>
  </w:style>
  <w:style w:type="paragraph" w:styleId="Heading3">
    <w:name w:val="heading 3"/>
    <w:basedOn w:val="Normal"/>
    <w:next w:val="Normal"/>
    <w:qFormat/>
    <w:rsid w:val="000A0A83"/>
    <w:pPr>
      <w:keepNext/>
      <w:spacing w:after="240"/>
      <w:ind w:left="216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aliases w:val="Footnote Text Char Char,Footnote Text Char Char Char Char,Footnote Text Char Char Char1,Footnote Text Char Char1,Footnote Text Char1 Char Char,Footnote Text Char1 Char1,Footnote Text Char2,Footnote Text Char4 Char Char Char Char,fn"/>
    <w:basedOn w:val="Normal"/>
    <w:link w:val="FootnoteTextChar"/>
    <w:qFormat/>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qFormat/>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uiPriority w:val="99"/>
    <w:semiHidden/>
    <w:rPr>
      <w:sz w:val="18"/>
    </w:rPr>
  </w:style>
  <w:style w:type="paragraph" w:styleId="CommentText">
    <w:name w:val="annotation text"/>
    <w:basedOn w:val="Normal"/>
    <w:link w:val="CommentTextChar"/>
    <w:uiPriority w:val="99"/>
    <w:semiHidden/>
    <w:rPr>
      <w:szCs w:val="24"/>
    </w:rPr>
  </w:style>
  <w:style w:type="paragraph" w:styleId="CommentSubject">
    <w:name w:val="annotation subject"/>
    <w:basedOn w:val="CommentText"/>
    <w:next w:val="CommentText"/>
    <w:link w:val="CommentSubjectChar"/>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UnresolvedMention2">
    <w:name w:val="Unresolved Mention2"/>
    <w:basedOn w:val="DefaultParagraphFont"/>
    <w:rsid w:val="005A4A50"/>
    <w:rPr>
      <w:color w:val="605E5C"/>
      <w:shd w:val="clear" w:color="auto" w:fill="E1DFDD"/>
    </w:rPr>
  </w:style>
  <w:style w:type="character" w:customStyle="1" w:styleId="Heading1Char">
    <w:name w:val="Heading 1 Char"/>
    <w:basedOn w:val="DefaultParagraphFont"/>
    <w:link w:val="Heading1"/>
    <w:rsid w:val="000A0A83"/>
    <w:rPr>
      <w:b/>
      <w:sz w:val="24"/>
      <w:szCs w:val="24"/>
    </w:rPr>
  </w:style>
  <w:style w:type="character" w:customStyle="1" w:styleId="BodyTextIndent3Char">
    <w:name w:val="Body Text Indent 3 Char"/>
    <w:basedOn w:val="DefaultParagraphFont"/>
    <w:link w:val="BodyTextIndent3"/>
    <w:rsid w:val="00020E0B"/>
    <w:rPr>
      <w:sz w:val="24"/>
    </w:rPr>
  </w:style>
  <w:style w:type="character" w:customStyle="1" w:styleId="FootnoteTextChar">
    <w:name w:val="Footnote Text Char"/>
    <w:aliases w:val="Footnote Text Char Char Char,Footnote Text Char Char Char Char Char,Footnote Text Char Char Char1 Char,Footnote Text Char Char1 Char,Footnote Text Char1 Char Char Char,Footnote Text Char1 Char1 Char,Footnote Text Char2 Char,fn Char"/>
    <w:basedOn w:val="DefaultParagraphFont"/>
    <w:link w:val="FootnoteText"/>
    <w:uiPriority w:val="99"/>
    <w:rsid w:val="00B61087"/>
  </w:style>
  <w:style w:type="character" w:customStyle="1" w:styleId="UnresolvedMention3">
    <w:name w:val="Unresolved Mention3"/>
    <w:basedOn w:val="DefaultParagraphFont"/>
    <w:rsid w:val="007D5580"/>
    <w:rPr>
      <w:color w:val="605E5C"/>
      <w:shd w:val="clear" w:color="auto" w:fill="E1DFDD"/>
    </w:rPr>
  </w:style>
  <w:style w:type="character" w:customStyle="1" w:styleId="CommentTextChar">
    <w:name w:val="Comment Text Char"/>
    <w:basedOn w:val="DefaultParagraphFont"/>
    <w:link w:val="CommentText"/>
    <w:uiPriority w:val="99"/>
    <w:semiHidden/>
    <w:rsid w:val="00313201"/>
    <w:rPr>
      <w:sz w:val="24"/>
      <w:szCs w:val="24"/>
    </w:rPr>
  </w:style>
  <w:style w:type="paragraph" w:styleId="ListParagraph">
    <w:name w:val="List Paragraph"/>
    <w:basedOn w:val="Normal"/>
    <w:uiPriority w:val="34"/>
    <w:qFormat/>
    <w:rsid w:val="00313201"/>
    <w:pPr>
      <w:ind w:left="720"/>
      <w:contextualSpacing/>
    </w:pPr>
  </w:style>
  <w:style w:type="character" w:customStyle="1" w:styleId="CommentSubjectChar">
    <w:name w:val="Comment Subject Char"/>
    <w:basedOn w:val="CommentTextChar"/>
    <w:link w:val="CommentSubject"/>
    <w:semiHidden/>
    <w:rsid w:val="006B4C9F"/>
    <w:rPr>
      <w:sz w:val="24"/>
      <w:szCs w:val="24"/>
    </w:rPr>
  </w:style>
  <w:style w:type="character" w:customStyle="1" w:styleId="HTMLPreformattedChar">
    <w:name w:val="HTML Preformatted Char"/>
    <w:basedOn w:val="DefaultParagraphFont"/>
    <w:link w:val="HTMLPreformatted"/>
    <w:rsid w:val="00DA7A96"/>
    <w:rPr>
      <w:rFonts w:ascii="Courier New" w:eastAsia="Courier New" w:hAnsi="Courier New" w:cs="Courier New"/>
    </w:rPr>
  </w:style>
  <w:style w:type="paragraph" w:styleId="TOC1">
    <w:name w:val="toc 1"/>
    <w:basedOn w:val="Normal"/>
    <w:next w:val="Normal"/>
    <w:autoRedefine/>
    <w:uiPriority w:val="39"/>
    <w:rsid w:val="00A35614"/>
    <w:pPr>
      <w:tabs>
        <w:tab w:val="decimal" w:leader="dot" w:pos="8640"/>
      </w:tabs>
      <w:spacing w:after="240"/>
      <w:ind w:left="720" w:hanging="720"/>
    </w:pPr>
  </w:style>
  <w:style w:type="paragraph" w:styleId="TOC2">
    <w:name w:val="toc 2"/>
    <w:basedOn w:val="Normal"/>
    <w:next w:val="Normal"/>
    <w:autoRedefine/>
    <w:uiPriority w:val="39"/>
    <w:rsid w:val="00A35614"/>
    <w:pPr>
      <w:tabs>
        <w:tab w:val="decimal" w:leader="dot" w:pos="8640"/>
      </w:tabs>
      <w:spacing w:after="240"/>
      <w:ind w:left="1440" w:hanging="720"/>
    </w:pPr>
  </w:style>
  <w:style w:type="paragraph" w:styleId="TOC3">
    <w:name w:val="toc 3"/>
    <w:basedOn w:val="Normal"/>
    <w:next w:val="Normal"/>
    <w:autoRedefine/>
    <w:uiPriority w:val="39"/>
    <w:rsid w:val="00A35614"/>
    <w:pPr>
      <w:tabs>
        <w:tab w:val="decimal" w:leader="dot" w:pos="8640"/>
      </w:tabs>
      <w:spacing w:after="240"/>
      <w:ind w:left="2160" w:hanging="720"/>
    </w:pPr>
  </w:style>
  <w:style w:type="paragraph" w:styleId="Revision">
    <w:name w:val="Revision"/>
    <w:hidden/>
    <w:uiPriority w:val="99"/>
    <w:semiHidden/>
    <w:rsid w:val="00706D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Greta.see@puco.ohio.gov" TargetMode="External" /><Relationship Id="rId11" Type="http://schemas.openxmlformats.org/officeDocument/2006/relationships/hyperlink" Target="mailto:whitt@whitt-sturtevant.com" TargetMode="External" /><Relationship Id="rId12" Type="http://schemas.openxmlformats.org/officeDocument/2006/relationships/hyperlink" Target="mailto:kennedy@whitt-sturtevant.com" TargetMode="External" /><Relationship Id="rId13" Type="http://schemas.openxmlformats.org/officeDocument/2006/relationships/hyperlink" Target="mailto:fykes@whitt-sturtevant.com" TargetMode="External" /><Relationship Id="rId14" Type="http://schemas.openxmlformats.org/officeDocument/2006/relationships/hyperlink" Target="mailto:andrew.j.campbell@dominionenergy.com"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hyperlink" Target="mailto:ambrosia.wilson@occ.ohio.gov" TargetMode="External" /><Relationship Id="rId8" Type="http://schemas.openxmlformats.org/officeDocument/2006/relationships/hyperlink" Target="mailto:Sarah.feldkamp@ohioAGO.gov" TargetMode="External" /><Relationship Id="rId9" Type="http://schemas.openxmlformats.org/officeDocument/2006/relationships/hyperlink" Target="mailto:Jodi.bair@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88070-6990-4A15-A6C0-7013D20E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2022-05-04T20:08:46Z</dcterms:created>
  <dcterms:modified xsi:type="dcterms:W3CDTF">2022-05-04T20:08:46Z</dcterms:modified>
</cp:coreProperties>
</file>