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10" w:rsidRDefault="00950010" w:rsidP="00950010">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950010" w:rsidRDefault="00950010" w:rsidP="00950010">
      <w:pPr>
        <w:pStyle w:val="HTMLPreformatted"/>
        <w:jc w:val="center"/>
        <w:rPr>
          <w:rFonts w:ascii="Times New Roman" w:hAnsi="Times New Roman"/>
          <w:sz w:val="24"/>
        </w:rPr>
      </w:pPr>
      <w:r>
        <w:rPr>
          <w:rFonts w:ascii="Times New Roman" w:hAnsi="Times New Roman"/>
          <w:b/>
          <w:bCs/>
          <w:sz w:val="24"/>
        </w:rPr>
        <w:t>THE PUBLIC UTILITIES COMMISSION OF OHIO</w:t>
      </w:r>
    </w:p>
    <w:p w:rsidR="00950010" w:rsidRDefault="00950010" w:rsidP="00950010">
      <w:pPr>
        <w:pStyle w:val="HTMLPreformatted"/>
        <w:rPr>
          <w:rFonts w:ascii="Times New Roman" w:hAnsi="Times New Roman"/>
          <w:sz w:val="24"/>
        </w:rPr>
      </w:pPr>
    </w:p>
    <w:p w:rsidR="00950010" w:rsidRDefault="00950010" w:rsidP="00950010">
      <w:pPr>
        <w:pStyle w:val="HTMLPreformatted"/>
        <w:rPr>
          <w:rFonts w:ascii="Times New Roman" w:hAnsi="Times New Roman"/>
          <w:sz w:val="24"/>
        </w:rPr>
      </w:pPr>
    </w:p>
    <w:tbl>
      <w:tblPr>
        <w:tblW w:w="9008" w:type="dxa"/>
        <w:tblLook w:val="01E0" w:firstRow="1" w:lastRow="1" w:firstColumn="1" w:lastColumn="1" w:noHBand="0" w:noVBand="0"/>
      </w:tblPr>
      <w:tblGrid>
        <w:gridCol w:w="4248"/>
        <w:gridCol w:w="360"/>
        <w:gridCol w:w="4400"/>
      </w:tblGrid>
      <w:tr w:rsidR="00950010" w:rsidTr="0018726C">
        <w:trPr>
          <w:trHeight w:val="807"/>
        </w:trPr>
        <w:tc>
          <w:tcPr>
            <w:tcW w:w="4248" w:type="dxa"/>
            <w:shd w:val="clear" w:color="auto" w:fill="auto"/>
          </w:tcPr>
          <w:p w:rsidR="00950010" w:rsidRPr="005717D2" w:rsidRDefault="004B0A26" w:rsidP="004B0A26">
            <w:pPr>
              <w:autoSpaceDE w:val="0"/>
              <w:autoSpaceDN w:val="0"/>
              <w:adjustRightInd w:val="0"/>
              <w:rPr>
                <w:szCs w:val="24"/>
              </w:rPr>
            </w:pPr>
            <w:r>
              <w:t>In the Matter of the Application of Middle Point Home Telephone Company to Amend its Basic Local Exchange Service Tariff and to Authorize a Mechanism to Change Its Residential BLES Rates under R.C.4927.15(C)</w:t>
            </w:r>
            <w:r w:rsidR="00950010" w:rsidRPr="005717D2">
              <w:rPr>
                <w:szCs w:val="24"/>
              </w:rPr>
              <w:t xml:space="preserve">. </w:t>
            </w:r>
          </w:p>
        </w:tc>
        <w:tc>
          <w:tcPr>
            <w:tcW w:w="360" w:type="dxa"/>
            <w:shd w:val="clear" w:color="auto" w:fill="auto"/>
          </w:tcPr>
          <w:p w:rsidR="00950010" w:rsidRPr="005717D2" w:rsidRDefault="00950010" w:rsidP="006F0D16">
            <w:pPr>
              <w:pStyle w:val="HTMLPreformatted"/>
              <w:rPr>
                <w:rFonts w:ascii="Times New Roman" w:hAnsi="Times New Roman"/>
                <w:sz w:val="24"/>
              </w:rPr>
            </w:pPr>
            <w:r w:rsidRPr="005717D2">
              <w:rPr>
                <w:rFonts w:ascii="Times New Roman" w:hAnsi="Times New Roman"/>
                <w:sz w:val="24"/>
              </w:rPr>
              <w:t>)</w:t>
            </w:r>
          </w:p>
          <w:p w:rsidR="00950010" w:rsidRPr="005717D2" w:rsidRDefault="00950010" w:rsidP="006F0D16">
            <w:pPr>
              <w:pStyle w:val="HTMLPreformatted"/>
              <w:rPr>
                <w:rFonts w:ascii="Times New Roman" w:hAnsi="Times New Roman"/>
                <w:sz w:val="24"/>
              </w:rPr>
            </w:pPr>
            <w:r w:rsidRPr="005717D2">
              <w:rPr>
                <w:rFonts w:ascii="Times New Roman" w:hAnsi="Times New Roman"/>
                <w:sz w:val="24"/>
              </w:rPr>
              <w:t>)</w:t>
            </w:r>
          </w:p>
          <w:p w:rsidR="00950010" w:rsidRDefault="00950010" w:rsidP="006F0D16">
            <w:pPr>
              <w:pStyle w:val="HTMLPreformatted"/>
              <w:rPr>
                <w:rFonts w:ascii="Times New Roman" w:hAnsi="Times New Roman"/>
                <w:sz w:val="24"/>
              </w:rPr>
            </w:pPr>
            <w:r w:rsidRPr="005717D2">
              <w:rPr>
                <w:rFonts w:ascii="Times New Roman" w:hAnsi="Times New Roman"/>
                <w:sz w:val="24"/>
              </w:rPr>
              <w:t>)</w:t>
            </w:r>
          </w:p>
          <w:p w:rsidR="004B0A26" w:rsidRDefault="004B0A26" w:rsidP="006F0D16">
            <w:pPr>
              <w:pStyle w:val="HTMLPreformatted"/>
              <w:rPr>
                <w:rFonts w:ascii="Times New Roman" w:hAnsi="Times New Roman"/>
                <w:sz w:val="24"/>
              </w:rPr>
            </w:pPr>
            <w:r>
              <w:rPr>
                <w:rFonts w:ascii="Times New Roman" w:hAnsi="Times New Roman"/>
                <w:sz w:val="24"/>
              </w:rPr>
              <w:t>)</w:t>
            </w:r>
          </w:p>
          <w:p w:rsidR="004B0A26" w:rsidRDefault="004B0A26" w:rsidP="006F0D16">
            <w:pPr>
              <w:pStyle w:val="HTMLPreformatted"/>
              <w:rPr>
                <w:rFonts w:ascii="Times New Roman" w:hAnsi="Times New Roman"/>
                <w:sz w:val="24"/>
              </w:rPr>
            </w:pPr>
            <w:r>
              <w:rPr>
                <w:rFonts w:ascii="Times New Roman" w:hAnsi="Times New Roman"/>
                <w:sz w:val="24"/>
              </w:rPr>
              <w:t>)</w:t>
            </w:r>
          </w:p>
          <w:p w:rsidR="004B0A26" w:rsidRPr="005717D2" w:rsidRDefault="004B0A26" w:rsidP="006F0D16">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950010" w:rsidRPr="005717D2" w:rsidRDefault="00950010" w:rsidP="006F0D16">
            <w:pPr>
              <w:pStyle w:val="HTMLPreformatted"/>
              <w:rPr>
                <w:rFonts w:ascii="Times New Roman" w:hAnsi="Times New Roman"/>
                <w:sz w:val="24"/>
              </w:rPr>
            </w:pPr>
          </w:p>
          <w:p w:rsidR="00950010" w:rsidRPr="005717D2" w:rsidRDefault="00950010" w:rsidP="006F0D16">
            <w:pPr>
              <w:pStyle w:val="HTMLPreformatted"/>
              <w:rPr>
                <w:rFonts w:ascii="Times New Roman" w:hAnsi="Times New Roman"/>
                <w:sz w:val="24"/>
              </w:rPr>
            </w:pPr>
            <w:r w:rsidRPr="005717D2">
              <w:rPr>
                <w:rFonts w:ascii="Times New Roman" w:hAnsi="Times New Roman"/>
                <w:sz w:val="24"/>
              </w:rPr>
              <w:t>Case No</w:t>
            </w:r>
            <w:r>
              <w:rPr>
                <w:rFonts w:ascii="Times New Roman" w:hAnsi="Times New Roman"/>
                <w:sz w:val="24"/>
              </w:rPr>
              <w:t>. 1</w:t>
            </w:r>
            <w:r w:rsidR="004B0A26">
              <w:rPr>
                <w:rFonts w:ascii="Times New Roman" w:hAnsi="Times New Roman"/>
                <w:sz w:val="24"/>
              </w:rPr>
              <w:t>4</w:t>
            </w:r>
            <w:r>
              <w:rPr>
                <w:rFonts w:ascii="Times New Roman" w:hAnsi="Times New Roman"/>
                <w:sz w:val="24"/>
              </w:rPr>
              <w:t>-</w:t>
            </w:r>
            <w:r w:rsidR="004B0A26">
              <w:rPr>
                <w:rFonts w:ascii="Times New Roman" w:hAnsi="Times New Roman"/>
                <w:sz w:val="24"/>
              </w:rPr>
              <w:t>191</w:t>
            </w:r>
            <w:r>
              <w:rPr>
                <w:rFonts w:ascii="Times New Roman" w:hAnsi="Times New Roman"/>
                <w:sz w:val="24"/>
              </w:rPr>
              <w:t>-TP-</w:t>
            </w:r>
            <w:r w:rsidR="004B0A26">
              <w:rPr>
                <w:rFonts w:ascii="Times New Roman" w:hAnsi="Times New Roman"/>
                <w:sz w:val="24"/>
              </w:rPr>
              <w:t>UNC</w:t>
            </w:r>
          </w:p>
          <w:p w:rsidR="00950010" w:rsidRPr="005717D2" w:rsidRDefault="00950010" w:rsidP="006F0D16">
            <w:pPr>
              <w:pStyle w:val="HTMLPreformatted"/>
              <w:rPr>
                <w:rFonts w:ascii="Times New Roman" w:hAnsi="Times New Roman"/>
                <w:sz w:val="24"/>
              </w:rPr>
            </w:pPr>
          </w:p>
          <w:p w:rsidR="00950010" w:rsidRPr="005717D2" w:rsidRDefault="00950010" w:rsidP="006F0D16">
            <w:pPr>
              <w:pStyle w:val="HTMLPreformatted"/>
              <w:rPr>
                <w:rFonts w:ascii="Times New Roman" w:hAnsi="Times New Roman"/>
                <w:sz w:val="24"/>
              </w:rPr>
            </w:pPr>
          </w:p>
        </w:tc>
      </w:tr>
    </w:tbl>
    <w:p w:rsidR="00950010" w:rsidRDefault="00950010" w:rsidP="00950010">
      <w:pPr>
        <w:pStyle w:val="HTMLPreformatted"/>
        <w:rPr>
          <w:rFonts w:ascii="Times New Roman" w:hAnsi="Times New Roman"/>
          <w:sz w:val="24"/>
        </w:rPr>
      </w:pPr>
      <w:r>
        <w:rPr>
          <w:rFonts w:ascii="Times New Roman" w:hAnsi="Times New Roman"/>
          <w:sz w:val="24"/>
        </w:rPr>
        <w:tab/>
      </w:r>
    </w:p>
    <w:p w:rsidR="00D92A8C" w:rsidRDefault="00D92A8C" w:rsidP="00950010">
      <w:pPr>
        <w:pStyle w:val="HTMLPreformatted"/>
        <w:rPr>
          <w:rFonts w:ascii="Times New Roman" w:hAnsi="Times New Roman"/>
          <w:sz w:val="24"/>
        </w:rPr>
      </w:pPr>
    </w:p>
    <w:p w:rsidR="00950010" w:rsidRDefault="00950010" w:rsidP="00950010">
      <w:pPr>
        <w:pStyle w:val="HTMLPreformatted"/>
        <w:pBdr>
          <w:top w:val="single" w:sz="12" w:space="1" w:color="auto"/>
        </w:pBdr>
        <w:rPr>
          <w:rFonts w:ascii="Times New Roman" w:hAnsi="Times New Roman"/>
          <w:sz w:val="24"/>
        </w:rPr>
      </w:pPr>
    </w:p>
    <w:p w:rsidR="00950010" w:rsidRDefault="00D92A8C" w:rsidP="00950010">
      <w:pPr>
        <w:jc w:val="center"/>
        <w:rPr>
          <w:b/>
          <w:bCs/>
        </w:rPr>
      </w:pPr>
      <w:r>
        <w:rPr>
          <w:b/>
          <w:bCs/>
        </w:rPr>
        <w:t xml:space="preserve">REPLY </w:t>
      </w:r>
      <w:r w:rsidR="00950010">
        <w:rPr>
          <w:b/>
          <w:bCs/>
        </w:rPr>
        <w:t>COMMENTS</w:t>
      </w:r>
    </w:p>
    <w:p w:rsidR="00950010" w:rsidRDefault="00950010" w:rsidP="00950010">
      <w:pPr>
        <w:jc w:val="center"/>
        <w:rPr>
          <w:b/>
          <w:bCs/>
        </w:rPr>
      </w:pPr>
      <w:r>
        <w:rPr>
          <w:b/>
          <w:bCs/>
        </w:rPr>
        <w:t>BY</w:t>
      </w:r>
    </w:p>
    <w:p w:rsidR="00950010" w:rsidRDefault="00950010" w:rsidP="00950010">
      <w:pPr>
        <w:jc w:val="center"/>
        <w:rPr>
          <w:b/>
          <w:bCs/>
        </w:rPr>
      </w:pPr>
      <w:r>
        <w:rPr>
          <w:b/>
          <w:bCs/>
        </w:rPr>
        <w:t>THE OFFICE OF THE OHIO CONSUMERS</w:t>
      </w:r>
      <w:r w:rsidR="008820EC">
        <w:rPr>
          <w:b/>
          <w:bCs/>
        </w:rPr>
        <w:t>’</w:t>
      </w:r>
      <w:r>
        <w:rPr>
          <w:b/>
          <w:bCs/>
        </w:rPr>
        <w:t xml:space="preserve"> COUNSEL</w:t>
      </w:r>
    </w:p>
    <w:p w:rsidR="00950010" w:rsidRDefault="00950010" w:rsidP="00950010">
      <w:pPr>
        <w:pBdr>
          <w:bottom w:val="single" w:sz="12" w:space="1" w:color="auto"/>
        </w:pBdr>
        <w:tabs>
          <w:tab w:val="left" w:pos="4320"/>
        </w:tabs>
      </w:pPr>
    </w:p>
    <w:p w:rsidR="00950010" w:rsidRDefault="00950010" w:rsidP="00950010">
      <w:pPr>
        <w:tabs>
          <w:tab w:val="left" w:pos="4320"/>
        </w:tabs>
      </w:pPr>
    </w:p>
    <w:p w:rsidR="00171878" w:rsidRDefault="00D92A8C" w:rsidP="00171878">
      <w:pPr>
        <w:pStyle w:val="BodyTextIndent3"/>
        <w:suppressAutoHyphens/>
        <w:spacing w:before="240" w:line="480" w:lineRule="auto"/>
      </w:pPr>
      <w:r>
        <w:t>I</w:t>
      </w:r>
      <w:r w:rsidR="00950010" w:rsidRPr="003735FD">
        <w:t xml:space="preserve">n this </w:t>
      </w:r>
      <w:r>
        <w:t xml:space="preserve">proceeding, </w:t>
      </w:r>
      <w:r w:rsidR="00CF6322">
        <w:t xml:space="preserve">Middle Point Home Telephone Company </w:t>
      </w:r>
      <w:r w:rsidR="00FC7110">
        <w:t>(</w:t>
      </w:r>
      <w:r w:rsidR="008820EC">
        <w:t>“</w:t>
      </w:r>
      <w:r w:rsidR="00FC7110">
        <w:t>Middle Point</w:t>
      </w:r>
      <w:r w:rsidR="008820EC">
        <w:t>”</w:t>
      </w:r>
      <w:r w:rsidR="00FC7110">
        <w:t xml:space="preserve">) </w:t>
      </w:r>
      <w:r w:rsidR="00CF6322">
        <w:t>seeks special approval to raise</w:t>
      </w:r>
      <w:r w:rsidR="00B80D86">
        <w:t>, by 122%,</w:t>
      </w:r>
      <w:r w:rsidR="00CF6322">
        <w:t xml:space="preserve"> the rates its residential customers pay for</w:t>
      </w:r>
      <w:r w:rsidR="00950010">
        <w:t xml:space="preserve"> basic local exchange service</w:t>
      </w:r>
      <w:r w:rsidR="00950010" w:rsidRPr="0077355B">
        <w:t xml:space="preserve">.  </w:t>
      </w:r>
      <w:r>
        <w:t>In order to meet the floor established by the Federal Communications Commission (</w:t>
      </w:r>
      <w:r w:rsidR="008820EC">
        <w:t>“</w:t>
      </w:r>
      <w:r>
        <w:t>FCC</w:t>
      </w:r>
      <w:r w:rsidR="008820EC">
        <w:t>”</w:t>
      </w:r>
      <w:r>
        <w:t>) for high-cost Universal Service funding,</w:t>
      </w:r>
      <w:r>
        <w:rPr>
          <w:rStyle w:val="FootnoteReference"/>
        </w:rPr>
        <w:footnoteReference w:id="1"/>
      </w:r>
      <w:r>
        <w:t xml:space="preserve"> Middle Point wants to raise its monthly basic service rate from the current rate of $6.30 to $14</w:t>
      </w:r>
      <w:r w:rsidR="00171878">
        <w:t xml:space="preserve"> by June 1, 2014.</w:t>
      </w:r>
      <w:r>
        <w:rPr>
          <w:rStyle w:val="FootnoteReference"/>
        </w:rPr>
        <w:footnoteReference w:id="2"/>
      </w:r>
      <w:r>
        <w:t xml:space="preserve">  </w:t>
      </w:r>
      <w:r w:rsidR="00171878">
        <w:t xml:space="preserve">Middle Point states that without the $7.70 increase in residential basic service rates, it will lose </w:t>
      </w:r>
      <w:r w:rsidR="00171878">
        <w:rPr>
          <w:szCs w:val="24"/>
        </w:rPr>
        <w:t>High Cost Line Support (</w:t>
      </w:r>
      <w:r w:rsidR="008820EC">
        <w:rPr>
          <w:szCs w:val="24"/>
        </w:rPr>
        <w:t>“</w:t>
      </w:r>
      <w:r w:rsidR="00171878">
        <w:rPr>
          <w:szCs w:val="24"/>
        </w:rPr>
        <w:t>HCLS</w:t>
      </w:r>
      <w:r w:rsidR="008820EC">
        <w:rPr>
          <w:szCs w:val="24"/>
        </w:rPr>
        <w:t>”</w:t>
      </w:r>
      <w:r w:rsidR="00171878">
        <w:rPr>
          <w:szCs w:val="24"/>
        </w:rPr>
        <w:t>).</w:t>
      </w:r>
      <w:r w:rsidR="00171878">
        <w:rPr>
          <w:rStyle w:val="FootnoteReference"/>
          <w:szCs w:val="24"/>
        </w:rPr>
        <w:footnoteReference w:id="3"/>
      </w:r>
    </w:p>
    <w:p w:rsidR="00D92A8C" w:rsidRDefault="00171878" w:rsidP="00171878">
      <w:pPr>
        <w:pStyle w:val="BodyTextIndent3"/>
        <w:suppressAutoHyphens/>
        <w:spacing w:line="480" w:lineRule="auto"/>
      </w:pPr>
      <w:r>
        <w:t>Under t</w:t>
      </w:r>
      <w:r w:rsidR="001B7817">
        <w:t>he basic service pricing flexibility Middle Point sought and received last year</w:t>
      </w:r>
      <w:r>
        <w:t>,</w:t>
      </w:r>
      <w:r w:rsidR="008653BF">
        <w:rPr>
          <w:rStyle w:val="FootnoteReference"/>
        </w:rPr>
        <w:footnoteReference w:id="4"/>
      </w:r>
      <w:r w:rsidR="001B7817">
        <w:t xml:space="preserve"> Middle Point may increase its monthly basic service rate by $1.25 per year</w:t>
      </w:r>
      <w:r w:rsidR="00A95176">
        <w:t>.</w:t>
      </w:r>
      <w:r w:rsidR="001B7817">
        <w:rPr>
          <w:rStyle w:val="FootnoteReference"/>
        </w:rPr>
        <w:footnoteReference w:id="5"/>
      </w:r>
      <w:r w:rsidR="001B7817">
        <w:t xml:space="preserve">  </w:t>
      </w:r>
      <w:r w:rsidR="00D92A8C">
        <w:lastRenderedPageBreak/>
        <w:t xml:space="preserve">Middle Point contends that </w:t>
      </w:r>
      <w:r w:rsidR="00D92A8C" w:rsidRPr="003735FD">
        <w:t xml:space="preserve">the </w:t>
      </w:r>
      <w:r w:rsidR="00D92A8C" w:rsidRPr="0077355B">
        <w:t>Public Utilit</w:t>
      </w:r>
      <w:r w:rsidR="00D92A8C">
        <w:t>ies</w:t>
      </w:r>
      <w:r w:rsidR="00D92A8C" w:rsidRPr="0077355B">
        <w:t xml:space="preserve"> Commission of Ohio</w:t>
      </w:r>
      <w:r w:rsidR="00D92A8C" w:rsidRPr="003735FD">
        <w:t xml:space="preserve"> </w:t>
      </w:r>
      <w:r w:rsidR="00D92A8C">
        <w:t>(</w:t>
      </w:r>
      <w:r w:rsidR="008820EC">
        <w:t>“</w:t>
      </w:r>
      <w:r w:rsidR="00D92A8C" w:rsidRPr="003735FD">
        <w:t>PUCO</w:t>
      </w:r>
      <w:r w:rsidR="008820EC">
        <w:t>”</w:t>
      </w:r>
      <w:r w:rsidR="00D92A8C">
        <w:t>) may allow Middle Point to increase its basic service rates through R.C. 4927.15(B) and (C).</w:t>
      </w:r>
      <w:r w:rsidR="00D92A8C">
        <w:rPr>
          <w:rStyle w:val="FootnoteReference"/>
        </w:rPr>
        <w:footnoteReference w:id="6"/>
      </w:r>
    </w:p>
    <w:p w:rsidR="00C93E60" w:rsidRDefault="00A16ADD" w:rsidP="00950010">
      <w:pPr>
        <w:pStyle w:val="BodyTextIndent3"/>
        <w:suppressAutoHyphens/>
        <w:spacing w:line="480" w:lineRule="auto"/>
        <w:rPr>
          <w:szCs w:val="24"/>
        </w:rPr>
      </w:pPr>
      <w:r>
        <w:t>On February 21, 2014, i</w:t>
      </w:r>
      <w:r w:rsidR="00001E40">
        <w:t>n response to the Entry issued in this proceeding,</w:t>
      </w:r>
      <w:r w:rsidR="00001E40">
        <w:rPr>
          <w:rStyle w:val="FootnoteReference"/>
          <w:szCs w:val="24"/>
        </w:rPr>
        <w:footnoteReference w:id="7"/>
      </w:r>
      <w:r w:rsidR="00001E40">
        <w:t xml:space="preserve"> t</w:t>
      </w:r>
      <w:r w:rsidR="00D92A8C" w:rsidRPr="003735FD">
        <w:t>he Office of the Ohio Consumers</w:t>
      </w:r>
      <w:r w:rsidR="008820EC">
        <w:t>’</w:t>
      </w:r>
      <w:r w:rsidR="00D92A8C" w:rsidRPr="003735FD">
        <w:t xml:space="preserve"> Counsel (</w:t>
      </w:r>
      <w:r w:rsidR="008820EC">
        <w:t>“</w:t>
      </w:r>
      <w:r w:rsidR="00D92A8C" w:rsidRPr="003735FD">
        <w:t>OCC</w:t>
      </w:r>
      <w:r w:rsidR="008820EC">
        <w:t>”</w:t>
      </w:r>
      <w:r w:rsidR="00D92A8C" w:rsidRPr="003735FD">
        <w:t xml:space="preserve">) </w:t>
      </w:r>
      <w:r w:rsidR="00001E40">
        <w:t xml:space="preserve">filed a Motion </w:t>
      </w:r>
      <w:r w:rsidR="00D92A8C" w:rsidRPr="003735FD">
        <w:t xml:space="preserve">to </w:t>
      </w:r>
      <w:r w:rsidR="00001E40">
        <w:t>I</w:t>
      </w:r>
      <w:r w:rsidR="00D92A8C" w:rsidRPr="003735FD">
        <w:t xml:space="preserve">ntervene </w:t>
      </w:r>
      <w:r w:rsidR="00001E40">
        <w:t xml:space="preserve">and </w:t>
      </w:r>
      <w:r w:rsidR="00950010">
        <w:rPr>
          <w:szCs w:val="24"/>
        </w:rPr>
        <w:t xml:space="preserve">Comments </w:t>
      </w:r>
      <w:r w:rsidR="00001E40">
        <w:rPr>
          <w:szCs w:val="24"/>
        </w:rPr>
        <w:t>regarding</w:t>
      </w:r>
      <w:r w:rsidR="00950010">
        <w:rPr>
          <w:szCs w:val="24"/>
        </w:rPr>
        <w:t xml:space="preserve"> </w:t>
      </w:r>
      <w:r w:rsidR="00CF6322">
        <w:rPr>
          <w:szCs w:val="24"/>
        </w:rPr>
        <w:t>Middle Point</w:t>
      </w:r>
      <w:r w:rsidR="008820EC">
        <w:rPr>
          <w:szCs w:val="24"/>
        </w:rPr>
        <w:t>’</w:t>
      </w:r>
      <w:r w:rsidR="00CF6322">
        <w:rPr>
          <w:szCs w:val="24"/>
        </w:rPr>
        <w:t>s</w:t>
      </w:r>
      <w:r w:rsidR="00950010">
        <w:rPr>
          <w:szCs w:val="24"/>
        </w:rPr>
        <w:t xml:space="preserve"> proposed </w:t>
      </w:r>
      <w:r w:rsidR="00CF6322">
        <w:rPr>
          <w:szCs w:val="24"/>
        </w:rPr>
        <w:t>rate increase</w:t>
      </w:r>
      <w:r w:rsidR="00950010">
        <w:rPr>
          <w:szCs w:val="24"/>
        </w:rPr>
        <w:t>.</w:t>
      </w:r>
      <w:r w:rsidR="00001E40">
        <w:rPr>
          <w:szCs w:val="24"/>
        </w:rPr>
        <w:t xml:space="preserve">  In its Comments, </w:t>
      </w:r>
      <w:r w:rsidR="00C93E60">
        <w:rPr>
          <w:szCs w:val="24"/>
        </w:rPr>
        <w:t>OCC discussed that the FCC</w:t>
      </w:r>
      <w:r w:rsidR="008820EC">
        <w:rPr>
          <w:szCs w:val="24"/>
        </w:rPr>
        <w:t>’</w:t>
      </w:r>
      <w:r w:rsidR="00C93E60">
        <w:rPr>
          <w:szCs w:val="24"/>
        </w:rPr>
        <w:t xml:space="preserve">s reasoning for the floor was to end </w:t>
      </w:r>
      <w:r w:rsidR="008820EC">
        <w:rPr>
          <w:szCs w:val="24"/>
        </w:rPr>
        <w:t>“</w:t>
      </w:r>
      <w:r w:rsidR="00C93E60">
        <w:t>artificially low local rates in rural areas</w:t>
      </w:r>
      <w:r w:rsidR="008820EC">
        <w:t>”</w:t>
      </w:r>
      <w:r w:rsidR="00C93E60">
        <w:t xml:space="preserve"> that resulted from HCLS.</w:t>
      </w:r>
      <w:r w:rsidR="00C93E60">
        <w:rPr>
          <w:rStyle w:val="FootnoteReference"/>
        </w:rPr>
        <w:footnoteReference w:id="8"/>
      </w:r>
      <w:r w:rsidR="00C93E60">
        <w:t xml:space="preserve">  The FCC also phased-in the floor </w:t>
      </w:r>
      <w:r w:rsidR="00C93E60">
        <w:softHyphen/>
        <w:t xml:space="preserve">– setting </w:t>
      </w:r>
      <w:r w:rsidR="008820EC">
        <w:t xml:space="preserve">the floor </w:t>
      </w:r>
      <w:r w:rsidR="00C93E60">
        <w:t>a</w:t>
      </w:r>
      <w:r w:rsidR="008820EC">
        <w:t>t</w:t>
      </w:r>
      <w:r w:rsidR="00C93E60">
        <w:t xml:space="preserve"> $10 beginning July 1, 2012 and $14 beginning July 1, 2013 – in order </w:t>
      </w:r>
      <w:r w:rsidR="008820EC">
        <w:t>“</w:t>
      </w:r>
      <w:r w:rsidR="00C93E60">
        <w:rPr>
          <w:color w:val="000000"/>
        </w:rPr>
        <w:t>to avoid a flash cut that would dramatically affect either carriers or the consumers they serve.</w:t>
      </w:r>
      <w:r w:rsidR="008820EC">
        <w:rPr>
          <w:color w:val="000000"/>
        </w:rPr>
        <w:t>”</w:t>
      </w:r>
      <w:r w:rsidR="00C93E60">
        <w:rPr>
          <w:rStyle w:val="FootnoteReference"/>
        </w:rPr>
        <w:footnoteReference w:id="9"/>
      </w:r>
      <w:r w:rsidR="00C93E60">
        <w:rPr>
          <w:color w:val="000000"/>
        </w:rPr>
        <w:t xml:space="preserve">  </w:t>
      </w:r>
    </w:p>
    <w:p w:rsidR="005E6824" w:rsidRDefault="00001E40" w:rsidP="00950010">
      <w:pPr>
        <w:pStyle w:val="BodyTextIndent3"/>
        <w:suppressAutoHyphens/>
        <w:spacing w:line="480" w:lineRule="auto"/>
        <w:rPr>
          <w:szCs w:val="24"/>
        </w:rPr>
      </w:pPr>
      <w:r>
        <w:rPr>
          <w:szCs w:val="24"/>
        </w:rPr>
        <w:t xml:space="preserve">OCC </w:t>
      </w:r>
      <w:r w:rsidR="00C93E60">
        <w:rPr>
          <w:szCs w:val="24"/>
        </w:rPr>
        <w:t xml:space="preserve">also </w:t>
      </w:r>
      <w:r>
        <w:rPr>
          <w:szCs w:val="24"/>
        </w:rPr>
        <w:t xml:space="preserve">noted that </w:t>
      </w:r>
      <w:r w:rsidR="005E6824">
        <w:rPr>
          <w:szCs w:val="24"/>
        </w:rPr>
        <w:t>there is no statutory basis for the PUCO to grant Middle Point</w:t>
      </w:r>
      <w:r w:rsidR="008820EC">
        <w:rPr>
          <w:szCs w:val="24"/>
        </w:rPr>
        <w:t>’</w:t>
      </w:r>
      <w:r w:rsidR="005E6824">
        <w:rPr>
          <w:szCs w:val="24"/>
        </w:rPr>
        <w:t>s requested rate increase.</w:t>
      </w:r>
      <w:r w:rsidR="005E6824">
        <w:rPr>
          <w:rStyle w:val="FootnoteReference"/>
          <w:szCs w:val="24"/>
        </w:rPr>
        <w:footnoteReference w:id="10"/>
      </w:r>
      <w:r w:rsidR="005E6824">
        <w:rPr>
          <w:szCs w:val="24"/>
        </w:rPr>
        <w:t xml:space="preserve">  OCC pointed out that </w:t>
      </w:r>
      <w:r>
        <w:rPr>
          <w:szCs w:val="24"/>
        </w:rPr>
        <w:t xml:space="preserve">R.C. 4927.15(B) </w:t>
      </w:r>
      <w:r w:rsidR="00DD16AC">
        <w:rPr>
          <w:szCs w:val="24"/>
        </w:rPr>
        <w:t xml:space="preserve">is inapplicable for two reasons.  First, the statute </w:t>
      </w:r>
      <w:r>
        <w:rPr>
          <w:szCs w:val="24"/>
        </w:rPr>
        <w:t>allows the PUCO to address company-specific issues regarding carrier access charges</w:t>
      </w:r>
      <w:r w:rsidR="005E6824">
        <w:rPr>
          <w:szCs w:val="24"/>
        </w:rPr>
        <w:t>, but</w:t>
      </w:r>
      <w:r>
        <w:rPr>
          <w:szCs w:val="24"/>
        </w:rPr>
        <w:t xml:space="preserve"> not HCLS</w:t>
      </w:r>
      <w:r w:rsidR="005E6824">
        <w:rPr>
          <w:szCs w:val="24"/>
        </w:rPr>
        <w:t xml:space="preserve"> matters</w:t>
      </w:r>
      <w:r>
        <w:rPr>
          <w:szCs w:val="24"/>
        </w:rPr>
        <w:t>.</w:t>
      </w:r>
      <w:r>
        <w:rPr>
          <w:rStyle w:val="FootnoteReference"/>
          <w:szCs w:val="24"/>
        </w:rPr>
        <w:footnoteReference w:id="11"/>
      </w:r>
      <w:r>
        <w:rPr>
          <w:szCs w:val="24"/>
        </w:rPr>
        <w:t xml:space="preserve">  </w:t>
      </w:r>
      <w:r w:rsidR="00DD16AC">
        <w:rPr>
          <w:szCs w:val="24"/>
        </w:rPr>
        <w:t>This case involves a company-specific HCLS issue, which does not fall under R.C. 4927.15(B).  Second, the statute refers to reductions in access charges ordered by the PUCO.</w:t>
      </w:r>
      <w:r w:rsidR="005F1F84">
        <w:rPr>
          <w:rStyle w:val="FootnoteReference"/>
          <w:szCs w:val="24"/>
        </w:rPr>
        <w:footnoteReference w:id="12"/>
      </w:r>
      <w:r w:rsidR="00DD16AC">
        <w:rPr>
          <w:szCs w:val="24"/>
        </w:rPr>
        <w:t xml:space="preserve">  But</w:t>
      </w:r>
      <w:r>
        <w:rPr>
          <w:szCs w:val="24"/>
        </w:rPr>
        <w:t xml:space="preserve"> Middle Point</w:t>
      </w:r>
      <w:r w:rsidR="008820EC">
        <w:rPr>
          <w:szCs w:val="24"/>
        </w:rPr>
        <w:t>’</w:t>
      </w:r>
      <w:r>
        <w:rPr>
          <w:szCs w:val="24"/>
        </w:rPr>
        <w:t xml:space="preserve">s request </w:t>
      </w:r>
      <w:r>
        <w:rPr>
          <w:szCs w:val="24"/>
        </w:rPr>
        <w:lastRenderedPageBreak/>
        <w:t>was prompted by FCC action</w:t>
      </w:r>
      <w:r w:rsidR="00DD16AC">
        <w:rPr>
          <w:szCs w:val="24"/>
        </w:rPr>
        <w:t xml:space="preserve">, not PUCO action, </w:t>
      </w:r>
      <w:r>
        <w:rPr>
          <w:szCs w:val="24"/>
        </w:rPr>
        <w:t xml:space="preserve">concerning HCLS, </w:t>
      </w:r>
      <w:r w:rsidR="00DD16AC">
        <w:rPr>
          <w:szCs w:val="24"/>
        </w:rPr>
        <w:t xml:space="preserve">and thus </w:t>
      </w:r>
      <w:r w:rsidR="005E6824">
        <w:rPr>
          <w:szCs w:val="24"/>
        </w:rPr>
        <w:t xml:space="preserve">R.C. 4927.15(B) is inapplicable.  </w:t>
      </w:r>
      <w:r w:rsidR="00DD16AC">
        <w:rPr>
          <w:szCs w:val="24"/>
        </w:rPr>
        <w:t xml:space="preserve">OCC also observed that </w:t>
      </w:r>
      <w:r w:rsidR="005E6824">
        <w:rPr>
          <w:szCs w:val="24"/>
        </w:rPr>
        <w:t>although R.C. 4927.15(C) mentions HCLS, it is not a company-specific statute.</w:t>
      </w:r>
      <w:r w:rsidR="005E6824">
        <w:rPr>
          <w:rStyle w:val="FootnoteReference"/>
          <w:szCs w:val="24"/>
        </w:rPr>
        <w:footnoteReference w:id="13"/>
      </w:r>
      <w:r w:rsidR="005E6824">
        <w:rPr>
          <w:szCs w:val="24"/>
        </w:rPr>
        <w:t xml:space="preserve">  Thus, the PUCO may address HCLS only in a generic proceeding.</w:t>
      </w:r>
      <w:r w:rsidR="005E6824">
        <w:rPr>
          <w:rStyle w:val="FootnoteReference"/>
          <w:szCs w:val="24"/>
        </w:rPr>
        <w:footnoteReference w:id="14"/>
      </w:r>
      <w:r w:rsidR="005E6824">
        <w:rPr>
          <w:szCs w:val="24"/>
        </w:rPr>
        <w:t xml:space="preserve">  The PUCO may not address company-specific HCLS issues through R.C. 4927.15(C).</w:t>
      </w:r>
    </w:p>
    <w:p w:rsidR="00950010" w:rsidRDefault="005E6824" w:rsidP="00950010">
      <w:pPr>
        <w:pStyle w:val="BodyTextIndent3"/>
        <w:suppressAutoHyphens/>
        <w:spacing w:line="480" w:lineRule="auto"/>
        <w:rPr>
          <w:szCs w:val="24"/>
        </w:rPr>
      </w:pPr>
      <w:r>
        <w:rPr>
          <w:szCs w:val="24"/>
        </w:rPr>
        <w:t xml:space="preserve">Also on February 21, 2014, documents </w:t>
      </w:r>
      <w:r w:rsidR="00D136E2">
        <w:rPr>
          <w:szCs w:val="24"/>
        </w:rPr>
        <w:t>expressing support for</w:t>
      </w:r>
      <w:r>
        <w:rPr>
          <w:szCs w:val="24"/>
        </w:rPr>
        <w:t xml:space="preserve"> Middle Point</w:t>
      </w:r>
      <w:r w:rsidR="008820EC">
        <w:rPr>
          <w:szCs w:val="24"/>
        </w:rPr>
        <w:t>’</w:t>
      </w:r>
      <w:r w:rsidR="00D136E2">
        <w:rPr>
          <w:szCs w:val="24"/>
        </w:rPr>
        <w:t>s Application</w:t>
      </w:r>
      <w:r>
        <w:rPr>
          <w:szCs w:val="24"/>
        </w:rPr>
        <w:t xml:space="preserve"> were filed by the AT&amp;T Entities (</w:t>
      </w:r>
      <w:r w:rsidR="008820EC">
        <w:rPr>
          <w:szCs w:val="24"/>
        </w:rPr>
        <w:t>“</w:t>
      </w:r>
      <w:r>
        <w:rPr>
          <w:szCs w:val="24"/>
        </w:rPr>
        <w:t>AT&amp;T</w:t>
      </w:r>
      <w:r w:rsidR="008820EC">
        <w:rPr>
          <w:szCs w:val="24"/>
        </w:rPr>
        <w:t>”</w:t>
      </w:r>
      <w:r>
        <w:rPr>
          <w:szCs w:val="24"/>
        </w:rPr>
        <w:t>)</w:t>
      </w:r>
      <w:r w:rsidR="00B37A7E">
        <w:rPr>
          <w:rStyle w:val="FootnoteReference"/>
          <w:szCs w:val="24"/>
        </w:rPr>
        <w:footnoteReference w:id="15"/>
      </w:r>
      <w:r>
        <w:rPr>
          <w:szCs w:val="24"/>
        </w:rPr>
        <w:t xml:space="preserve"> and by the Ohio Telecom Association (</w:t>
      </w:r>
      <w:r w:rsidR="008820EC">
        <w:rPr>
          <w:szCs w:val="24"/>
        </w:rPr>
        <w:t>“</w:t>
      </w:r>
      <w:r>
        <w:rPr>
          <w:szCs w:val="24"/>
        </w:rPr>
        <w:t>OTA</w:t>
      </w:r>
      <w:r w:rsidR="008820EC">
        <w:rPr>
          <w:szCs w:val="24"/>
        </w:rPr>
        <w:t>”</w:t>
      </w:r>
      <w:r>
        <w:rPr>
          <w:szCs w:val="24"/>
        </w:rPr>
        <w:t>).  AT&amp;T filed a motion to intervene and comments</w:t>
      </w:r>
      <w:r w:rsidR="00E701FF">
        <w:rPr>
          <w:szCs w:val="24"/>
        </w:rPr>
        <w:t>.  OTA did not intervene in this proceeding, but filed a letter supporting Middle Point</w:t>
      </w:r>
      <w:r w:rsidR="008820EC">
        <w:rPr>
          <w:szCs w:val="24"/>
        </w:rPr>
        <w:t>’</w:t>
      </w:r>
      <w:r w:rsidR="00E701FF">
        <w:rPr>
          <w:szCs w:val="24"/>
        </w:rPr>
        <w:t>s Application.  Both AT&amp;T and OTA assert that Middle Point</w:t>
      </w:r>
      <w:r w:rsidR="008820EC">
        <w:rPr>
          <w:szCs w:val="24"/>
        </w:rPr>
        <w:t>’</w:t>
      </w:r>
      <w:r w:rsidR="00E701FF">
        <w:rPr>
          <w:szCs w:val="24"/>
        </w:rPr>
        <w:t>s requested rate increase is lawful.</w:t>
      </w:r>
      <w:r w:rsidR="00E701FF">
        <w:rPr>
          <w:rStyle w:val="FootnoteReference"/>
          <w:szCs w:val="24"/>
        </w:rPr>
        <w:footnoteReference w:id="16"/>
      </w:r>
      <w:r w:rsidR="00432E8C">
        <w:rPr>
          <w:szCs w:val="24"/>
        </w:rPr>
        <w:t xml:space="preserve">  The discussion of the statutes in OCC</w:t>
      </w:r>
      <w:r w:rsidR="008820EC">
        <w:rPr>
          <w:szCs w:val="24"/>
        </w:rPr>
        <w:t>’</w:t>
      </w:r>
      <w:r w:rsidR="00D136E2">
        <w:rPr>
          <w:szCs w:val="24"/>
        </w:rPr>
        <w:t>s</w:t>
      </w:r>
      <w:r w:rsidR="00432E8C">
        <w:rPr>
          <w:szCs w:val="24"/>
        </w:rPr>
        <w:t xml:space="preserve"> Comments shows that AT&amp;T and OTA are wrong.  OCC will not repeat the discussion in full here, but instead incorporates the discussion by reference.</w:t>
      </w:r>
    </w:p>
    <w:p w:rsidR="00AB6706" w:rsidRDefault="00D136E2" w:rsidP="00950010">
      <w:pPr>
        <w:pStyle w:val="BodyTextIndent3"/>
        <w:suppressAutoHyphens/>
        <w:spacing w:line="480" w:lineRule="auto"/>
        <w:rPr>
          <w:szCs w:val="24"/>
        </w:rPr>
      </w:pPr>
      <w:r>
        <w:rPr>
          <w:szCs w:val="24"/>
        </w:rPr>
        <w:t>OTA</w:t>
      </w:r>
      <w:r w:rsidR="008820EC">
        <w:rPr>
          <w:szCs w:val="24"/>
        </w:rPr>
        <w:t>’</w:t>
      </w:r>
      <w:r>
        <w:rPr>
          <w:szCs w:val="24"/>
        </w:rPr>
        <w:t xml:space="preserve">s letter contains </w:t>
      </w:r>
      <w:r w:rsidR="00B25C0E">
        <w:rPr>
          <w:szCs w:val="24"/>
        </w:rPr>
        <w:t xml:space="preserve">three statements </w:t>
      </w:r>
      <w:r>
        <w:rPr>
          <w:szCs w:val="24"/>
        </w:rPr>
        <w:t>that OCC will address</w:t>
      </w:r>
      <w:r w:rsidR="00B37A7E">
        <w:rPr>
          <w:szCs w:val="24"/>
        </w:rPr>
        <w:t xml:space="preserve"> in these Reply Comments</w:t>
      </w:r>
      <w:r w:rsidR="00B25C0E">
        <w:rPr>
          <w:szCs w:val="24"/>
        </w:rPr>
        <w:t xml:space="preserve">.  Two of the statements </w:t>
      </w:r>
      <w:r w:rsidR="001669C2">
        <w:rPr>
          <w:szCs w:val="24"/>
        </w:rPr>
        <w:t>allude</w:t>
      </w:r>
      <w:r w:rsidR="00B25C0E">
        <w:rPr>
          <w:szCs w:val="24"/>
        </w:rPr>
        <w:t xml:space="preserve"> to Middle Point</w:t>
      </w:r>
      <w:r w:rsidR="008820EC">
        <w:rPr>
          <w:szCs w:val="24"/>
        </w:rPr>
        <w:t>’</w:t>
      </w:r>
      <w:r w:rsidR="001669C2">
        <w:rPr>
          <w:szCs w:val="24"/>
        </w:rPr>
        <w:t>s investments</w:t>
      </w:r>
      <w:r w:rsidR="00B25C0E">
        <w:rPr>
          <w:szCs w:val="24"/>
        </w:rPr>
        <w:t xml:space="preserve"> in order to serve customers.  </w:t>
      </w:r>
      <w:r w:rsidR="00432E8C">
        <w:rPr>
          <w:szCs w:val="24"/>
        </w:rPr>
        <w:t xml:space="preserve">OTA </w:t>
      </w:r>
      <w:r w:rsidR="00B25C0E">
        <w:rPr>
          <w:szCs w:val="24"/>
        </w:rPr>
        <w:t>states:</w:t>
      </w:r>
      <w:r w:rsidR="00432E8C">
        <w:rPr>
          <w:szCs w:val="24"/>
        </w:rPr>
        <w:t xml:space="preserve"> </w:t>
      </w:r>
      <w:r w:rsidR="008820EC">
        <w:rPr>
          <w:szCs w:val="24"/>
        </w:rPr>
        <w:t>“</w:t>
      </w:r>
      <w:r w:rsidR="00432E8C" w:rsidRPr="008B36D0">
        <w:rPr>
          <w:szCs w:val="24"/>
        </w:rPr>
        <w:t>Middle Point</w:t>
      </w:r>
      <w:r w:rsidR="008820EC">
        <w:rPr>
          <w:szCs w:val="24"/>
        </w:rPr>
        <w:t>’</w:t>
      </w:r>
      <w:r w:rsidR="00432E8C" w:rsidRPr="008B36D0">
        <w:rPr>
          <w:szCs w:val="24"/>
        </w:rPr>
        <w:t>s application will allow Middle Point to invest federal dollars in Ohio through HCLS funding, ensuring that Middle Point will be able to continue its investment in facilities and services and provide reliable and affordable service to its customers in the State.</w:t>
      </w:r>
      <w:r w:rsidR="008820EC">
        <w:rPr>
          <w:szCs w:val="24"/>
        </w:rPr>
        <w:t>”</w:t>
      </w:r>
      <w:r w:rsidR="00B25C0E">
        <w:rPr>
          <w:rStyle w:val="FootnoteReference"/>
          <w:szCs w:val="24"/>
        </w:rPr>
        <w:footnoteReference w:id="17"/>
      </w:r>
      <w:r w:rsidR="00B25C0E">
        <w:rPr>
          <w:szCs w:val="24"/>
        </w:rPr>
        <w:t xml:space="preserve">  OTA also states: </w:t>
      </w:r>
      <w:r w:rsidR="008820EC">
        <w:rPr>
          <w:szCs w:val="24"/>
        </w:rPr>
        <w:t>“</w:t>
      </w:r>
      <w:r w:rsidR="00B25C0E" w:rsidRPr="008B36D0">
        <w:rPr>
          <w:szCs w:val="24"/>
        </w:rPr>
        <w:t>By granting Middle Point</w:t>
      </w:r>
      <w:r w:rsidR="008820EC">
        <w:rPr>
          <w:szCs w:val="24"/>
        </w:rPr>
        <w:t>’</w:t>
      </w:r>
      <w:r w:rsidR="00B25C0E" w:rsidRPr="008B36D0">
        <w:rPr>
          <w:szCs w:val="24"/>
        </w:rPr>
        <w:t xml:space="preserve">s </w:t>
      </w:r>
      <w:r w:rsidR="00B25C0E" w:rsidRPr="008B36D0">
        <w:rPr>
          <w:szCs w:val="24"/>
        </w:rPr>
        <w:lastRenderedPageBreak/>
        <w:t>application the Commission can ensure that Middle</w:t>
      </w:r>
      <w:r w:rsidR="00B25C0E">
        <w:rPr>
          <w:szCs w:val="24"/>
        </w:rPr>
        <w:t xml:space="preserve"> </w:t>
      </w:r>
      <w:r w:rsidR="00B25C0E" w:rsidRPr="008B36D0">
        <w:rPr>
          <w:szCs w:val="24"/>
        </w:rPr>
        <w:t>Point will be able to continue to make the necessary investments to provide reliable and</w:t>
      </w:r>
      <w:r w:rsidR="00B25C0E">
        <w:rPr>
          <w:szCs w:val="24"/>
        </w:rPr>
        <w:t xml:space="preserve"> </w:t>
      </w:r>
      <w:r w:rsidR="00B25C0E" w:rsidRPr="008B36D0">
        <w:rPr>
          <w:szCs w:val="24"/>
        </w:rPr>
        <w:t>affordable residential BLES</w:t>
      </w:r>
      <w:r w:rsidR="00B25C0E">
        <w:rPr>
          <w:szCs w:val="24"/>
        </w:rPr>
        <w:t>.</w:t>
      </w:r>
      <w:r w:rsidR="008820EC">
        <w:rPr>
          <w:szCs w:val="24"/>
        </w:rPr>
        <w:t>”</w:t>
      </w:r>
      <w:r w:rsidR="00B25C0E">
        <w:rPr>
          <w:rStyle w:val="FootnoteReference"/>
          <w:szCs w:val="24"/>
        </w:rPr>
        <w:footnoteReference w:id="18"/>
      </w:r>
      <w:r w:rsidR="001669C2">
        <w:rPr>
          <w:szCs w:val="24"/>
        </w:rPr>
        <w:t xml:space="preserve">  </w:t>
      </w:r>
      <w:r>
        <w:rPr>
          <w:szCs w:val="24"/>
        </w:rPr>
        <w:t>Although</w:t>
      </w:r>
      <w:r w:rsidR="001669C2">
        <w:rPr>
          <w:szCs w:val="24"/>
        </w:rPr>
        <w:t xml:space="preserve"> </w:t>
      </w:r>
      <w:r>
        <w:rPr>
          <w:szCs w:val="24"/>
        </w:rPr>
        <w:t xml:space="preserve">OTA </w:t>
      </w:r>
      <w:r w:rsidR="00B37A7E">
        <w:rPr>
          <w:szCs w:val="24"/>
        </w:rPr>
        <w:t>claims</w:t>
      </w:r>
      <w:r w:rsidR="001669C2">
        <w:rPr>
          <w:szCs w:val="24"/>
        </w:rPr>
        <w:t xml:space="preserve"> that </w:t>
      </w:r>
      <w:r>
        <w:rPr>
          <w:szCs w:val="24"/>
        </w:rPr>
        <w:t xml:space="preserve">the Application will allow </w:t>
      </w:r>
      <w:r w:rsidR="001669C2">
        <w:rPr>
          <w:szCs w:val="24"/>
        </w:rPr>
        <w:t xml:space="preserve">Middle Point </w:t>
      </w:r>
      <w:r>
        <w:rPr>
          <w:szCs w:val="24"/>
        </w:rPr>
        <w:t xml:space="preserve">to maintain its current level of investment in facilities and services, OTA does not </w:t>
      </w:r>
      <w:r w:rsidR="00B37A7E">
        <w:rPr>
          <w:szCs w:val="24"/>
        </w:rPr>
        <w:t>contend</w:t>
      </w:r>
      <w:r>
        <w:rPr>
          <w:szCs w:val="24"/>
        </w:rPr>
        <w:t xml:space="preserve"> that denying or modifying the Application will impede Middle Point from providing adequate service to customers</w:t>
      </w:r>
      <w:r w:rsidR="00507C41">
        <w:rPr>
          <w:szCs w:val="24"/>
        </w:rPr>
        <w:t xml:space="preserve"> (although that may be implicit in OTA</w:t>
      </w:r>
      <w:r w:rsidR="008820EC">
        <w:rPr>
          <w:szCs w:val="24"/>
        </w:rPr>
        <w:t>’</w:t>
      </w:r>
      <w:r w:rsidR="00507C41">
        <w:rPr>
          <w:szCs w:val="24"/>
        </w:rPr>
        <w:t>s statement)</w:t>
      </w:r>
      <w:r w:rsidR="00AB6706">
        <w:rPr>
          <w:szCs w:val="24"/>
        </w:rPr>
        <w:t xml:space="preserve">.  </w:t>
      </w:r>
    </w:p>
    <w:p w:rsidR="0080768E" w:rsidRDefault="00D136E2" w:rsidP="00E657B2">
      <w:pPr>
        <w:pStyle w:val="ParaNum"/>
        <w:widowControl/>
        <w:numPr>
          <w:ilvl w:val="0"/>
          <w:numId w:val="0"/>
        </w:numPr>
        <w:tabs>
          <w:tab w:val="num" w:pos="1482"/>
        </w:tabs>
        <w:spacing w:after="0" w:line="480" w:lineRule="auto"/>
        <w:ind w:firstLine="720"/>
        <w:rPr>
          <w:sz w:val="24"/>
          <w:szCs w:val="24"/>
        </w:rPr>
      </w:pPr>
      <w:r w:rsidRPr="00D35BF6">
        <w:rPr>
          <w:sz w:val="24"/>
          <w:szCs w:val="24"/>
        </w:rPr>
        <w:t>It should not be assumed that Middle Point</w:t>
      </w:r>
      <w:r w:rsidR="008820EC">
        <w:rPr>
          <w:sz w:val="24"/>
          <w:szCs w:val="24"/>
        </w:rPr>
        <w:t>’</w:t>
      </w:r>
      <w:r w:rsidRPr="00D35BF6">
        <w:rPr>
          <w:sz w:val="24"/>
          <w:szCs w:val="24"/>
        </w:rPr>
        <w:t xml:space="preserve">s basic service will suffer </w:t>
      </w:r>
      <w:r w:rsidR="00FB5EE0">
        <w:rPr>
          <w:sz w:val="24"/>
          <w:szCs w:val="24"/>
        </w:rPr>
        <w:t>if Middle Point</w:t>
      </w:r>
      <w:r w:rsidR="008820EC">
        <w:rPr>
          <w:sz w:val="24"/>
          <w:szCs w:val="24"/>
        </w:rPr>
        <w:t>’</w:t>
      </w:r>
      <w:r w:rsidR="00FB5EE0">
        <w:rPr>
          <w:sz w:val="24"/>
          <w:szCs w:val="24"/>
        </w:rPr>
        <w:t>s</w:t>
      </w:r>
      <w:r w:rsidR="00D35BF6">
        <w:rPr>
          <w:sz w:val="24"/>
          <w:szCs w:val="24"/>
        </w:rPr>
        <w:t xml:space="preserve"> </w:t>
      </w:r>
      <w:r w:rsidRPr="00D35BF6">
        <w:rPr>
          <w:sz w:val="24"/>
          <w:szCs w:val="24"/>
        </w:rPr>
        <w:t>HCLS</w:t>
      </w:r>
      <w:r w:rsidR="00FB5EE0">
        <w:rPr>
          <w:sz w:val="24"/>
          <w:szCs w:val="24"/>
        </w:rPr>
        <w:t xml:space="preserve"> is reduced</w:t>
      </w:r>
      <w:r w:rsidRPr="00D35BF6">
        <w:rPr>
          <w:sz w:val="24"/>
          <w:szCs w:val="24"/>
        </w:rPr>
        <w:t>.</w:t>
      </w:r>
      <w:r>
        <w:rPr>
          <w:szCs w:val="24"/>
        </w:rPr>
        <w:t xml:space="preserve">  </w:t>
      </w:r>
      <w:r w:rsidR="00A05823" w:rsidRPr="001A3BAA">
        <w:rPr>
          <w:sz w:val="24"/>
          <w:szCs w:val="24"/>
        </w:rPr>
        <w:t xml:space="preserve">Before the PUCO allows Middle Point – or any telephone company in Ohio – </w:t>
      </w:r>
      <w:r w:rsidR="00507C41">
        <w:rPr>
          <w:sz w:val="24"/>
          <w:szCs w:val="24"/>
        </w:rPr>
        <w:t xml:space="preserve">to </w:t>
      </w:r>
      <w:r w:rsidR="00A05823" w:rsidRPr="001A3BAA">
        <w:rPr>
          <w:sz w:val="24"/>
          <w:szCs w:val="24"/>
        </w:rPr>
        <w:t>substantial</w:t>
      </w:r>
      <w:r w:rsidR="008820EC">
        <w:rPr>
          <w:sz w:val="24"/>
          <w:szCs w:val="24"/>
        </w:rPr>
        <w:t>ly</w:t>
      </w:r>
      <w:r w:rsidR="00507C41">
        <w:rPr>
          <w:sz w:val="24"/>
          <w:szCs w:val="24"/>
        </w:rPr>
        <w:t xml:space="preserve"> increas</w:t>
      </w:r>
      <w:r w:rsidR="00FB5EE0">
        <w:rPr>
          <w:sz w:val="24"/>
          <w:szCs w:val="24"/>
        </w:rPr>
        <w:t>e</w:t>
      </w:r>
      <w:r w:rsidR="00A05823" w:rsidRPr="001A3BAA">
        <w:rPr>
          <w:sz w:val="24"/>
          <w:szCs w:val="24"/>
        </w:rPr>
        <w:t xml:space="preserve"> the rates it charges customers for basic service</w:t>
      </w:r>
      <w:r w:rsidR="00FB5EE0">
        <w:rPr>
          <w:sz w:val="24"/>
          <w:szCs w:val="24"/>
        </w:rPr>
        <w:t xml:space="preserve"> in order to avoid HCLS reductions</w:t>
      </w:r>
      <w:r w:rsidR="00A05823" w:rsidRPr="001A3BAA">
        <w:rPr>
          <w:sz w:val="24"/>
          <w:szCs w:val="24"/>
        </w:rPr>
        <w:t xml:space="preserve">, the PUCO should first examine whether the increase is really needed.  </w:t>
      </w:r>
    </w:p>
    <w:p w:rsidR="001A3BAA" w:rsidRPr="001A3BAA" w:rsidRDefault="00A05823" w:rsidP="00E657B2">
      <w:pPr>
        <w:pStyle w:val="ParaNum"/>
        <w:widowControl/>
        <w:numPr>
          <w:ilvl w:val="0"/>
          <w:numId w:val="0"/>
        </w:numPr>
        <w:tabs>
          <w:tab w:val="num" w:pos="1482"/>
        </w:tabs>
        <w:spacing w:after="0" w:line="480" w:lineRule="auto"/>
        <w:ind w:firstLine="720"/>
        <w:rPr>
          <w:color w:val="000000"/>
          <w:sz w:val="24"/>
          <w:szCs w:val="24"/>
        </w:rPr>
      </w:pPr>
      <w:r w:rsidRPr="001A3BAA">
        <w:rPr>
          <w:sz w:val="24"/>
          <w:szCs w:val="24"/>
        </w:rPr>
        <w:t xml:space="preserve">As OCC noted in its Comments, the FCC is skeptical about any claims of the harm that reduced HCLS will cause to telephone companies </w:t>
      </w:r>
      <w:r w:rsidR="008820EC">
        <w:rPr>
          <w:sz w:val="24"/>
          <w:szCs w:val="24"/>
        </w:rPr>
        <w:t>“</w:t>
      </w:r>
      <w:r w:rsidRPr="001A3BAA">
        <w:rPr>
          <w:color w:val="000000"/>
          <w:sz w:val="24"/>
          <w:szCs w:val="24"/>
        </w:rPr>
        <w:t>absent detailed information about individualized circumstances….</w:t>
      </w:r>
      <w:r w:rsidR="008820EC">
        <w:rPr>
          <w:color w:val="000000"/>
          <w:sz w:val="24"/>
          <w:szCs w:val="24"/>
        </w:rPr>
        <w:t>”</w:t>
      </w:r>
      <w:r w:rsidRPr="001A3BAA">
        <w:rPr>
          <w:rStyle w:val="FootnoteReference"/>
          <w:sz w:val="24"/>
          <w:szCs w:val="24"/>
        </w:rPr>
        <w:footnoteReference w:id="19"/>
      </w:r>
      <w:r w:rsidR="00E657B2" w:rsidRPr="001A3BAA">
        <w:rPr>
          <w:color w:val="000000"/>
          <w:sz w:val="24"/>
          <w:szCs w:val="24"/>
        </w:rPr>
        <w:t xml:space="preserve">  </w:t>
      </w:r>
      <w:r w:rsidR="001A3BAA" w:rsidRPr="001A3BAA">
        <w:rPr>
          <w:color w:val="000000"/>
          <w:sz w:val="24"/>
          <w:szCs w:val="24"/>
        </w:rPr>
        <w:t>And i</w:t>
      </w:r>
      <w:r w:rsidR="00E657B2" w:rsidRPr="001A3BAA">
        <w:rPr>
          <w:color w:val="000000"/>
          <w:sz w:val="24"/>
          <w:szCs w:val="24"/>
        </w:rPr>
        <w:t xml:space="preserve">n considering requests for waiver of its floor for HCLS, the FCC intends to </w:t>
      </w:r>
      <w:r w:rsidR="008820EC">
        <w:rPr>
          <w:color w:val="000000"/>
          <w:sz w:val="24"/>
          <w:szCs w:val="24"/>
        </w:rPr>
        <w:t>“</w:t>
      </w:r>
      <w:r w:rsidR="00E657B2" w:rsidRPr="001A3BAA">
        <w:rPr>
          <w:color w:val="000000"/>
          <w:sz w:val="24"/>
          <w:szCs w:val="24"/>
        </w:rPr>
        <w:t>subject such requests to a rigorous, thorough and searching review comparable to a total company earnings review.</w:t>
      </w:r>
      <w:r w:rsidR="008820EC">
        <w:rPr>
          <w:color w:val="000000"/>
          <w:sz w:val="24"/>
          <w:szCs w:val="24"/>
        </w:rPr>
        <w:t>”</w:t>
      </w:r>
      <w:r w:rsidR="00E657B2" w:rsidRPr="001A3BAA">
        <w:rPr>
          <w:rStyle w:val="FootnoteReference"/>
          <w:sz w:val="24"/>
          <w:szCs w:val="24"/>
        </w:rPr>
        <w:footnoteReference w:id="20"/>
      </w:r>
      <w:r w:rsidR="00E657B2" w:rsidRPr="001A3BAA">
        <w:rPr>
          <w:color w:val="000000"/>
          <w:sz w:val="24"/>
          <w:szCs w:val="24"/>
        </w:rPr>
        <w:t xml:space="preserve">  The FCC stated</w:t>
      </w:r>
      <w:r w:rsidR="001A3BAA" w:rsidRPr="001A3BAA">
        <w:rPr>
          <w:color w:val="000000"/>
          <w:sz w:val="24"/>
          <w:szCs w:val="24"/>
        </w:rPr>
        <w:t xml:space="preserve"> that it would </w:t>
      </w:r>
      <w:r w:rsidR="00E657B2" w:rsidRPr="001A3BAA">
        <w:rPr>
          <w:color w:val="000000"/>
          <w:sz w:val="24"/>
          <w:szCs w:val="24"/>
        </w:rPr>
        <w:t xml:space="preserve">take into account </w:t>
      </w:r>
      <w:r w:rsidR="001A3BAA" w:rsidRPr="001A3BAA">
        <w:rPr>
          <w:color w:val="000000"/>
          <w:sz w:val="24"/>
          <w:szCs w:val="24"/>
        </w:rPr>
        <w:t xml:space="preserve">revenues derived from unregulated and unsupported services, as well as </w:t>
      </w:r>
      <w:r w:rsidR="00E657B2" w:rsidRPr="001A3BAA">
        <w:rPr>
          <w:color w:val="000000"/>
          <w:sz w:val="24"/>
          <w:szCs w:val="24"/>
        </w:rPr>
        <w:t xml:space="preserve">revenues from facilities that are supported by </w:t>
      </w:r>
      <w:r w:rsidR="0080768E">
        <w:rPr>
          <w:color w:val="000000"/>
          <w:sz w:val="24"/>
          <w:szCs w:val="24"/>
        </w:rPr>
        <w:t>U</w:t>
      </w:r>
      <w:r w:rsidR="00E657B2" w:rsidRPr="001A3BAA">
        <w:rPr>
          <w:color w:val="000000"/>
          <w:sz w:val="24"/>
          <w:szCs w:val="24"/>
        </w:rPr>
        <w:t xml:space="preserve">niversal </w:t>
      </w:r>
      <w:r w:rsidR="0080768E">
        <w:rPr>
          <w:color w:val="000000"/>
          <w:sz w:val="24"/>
          <w:szCs w:val="24"/>
        </w:rPr>
        <w:t>S</w:t>
      </w:r>
      <w:r w:rsidR="00E657B2" w:rsidRPr="001A3BAA">
        <w:rPr>
          <w:color w:val="000000"/>
          <w:sz w:val="24"/>
          <w:szCs w:val="24"/>
        </w:rPr>
        <w:t>ervice.</w:t>
      </w:r>
      <w:r w:rsidR="00E657B2" w:rsidRPr="001A3BAA">
        <w:rPr>
          <w:rStyle w:val="FootnoteReference"/>
          <w:sz w:val="24"/>
          <w:szCs w:val="24"/>
        </w:rPr>
        <w:footnoteReference w:id="21"/>
      </w:r>
      <w:r w:rsidR="00E657B2" w:rsidRPr="001A3BAA">
        <w:rPr>
          <w:color w:val="000000"/>
          <w:sz w:val="24"/>
          <w:szCs w:val="24"/>
        </w:rPr>
        <w:t xml:space="preserve">  </w:t>
      </w:r>
    </w:p>
    <w:p w:rsidR="00E657B2" w:rsidRPr="001A3BAA" w:rsidRDefault="001A3BAA" w:rsidP="00E657B2">
      <w:pPr>
        <w:pStyle w:val="ParaNum"/>
        <w:widowControl/>
        <w:numPr>
          <w:ilvl w:val="0"/>
          <w:numId w:val="0"/>
        </w:numPr>
        <w:tabs>
          <w:tab w:val="num" w:pos="1482"/>
        </w:tabs>
        <w:spacing w:after="0" w:line="480" w:lineRule="auto"/>
        <w:ind w:firstLine="720"/>
        <w:rPr>
          <w:color w:val="000000"/>
          <w:sz w:val="24"/>
          <w:szCs w:val="24"/>
        </w:rPr>
      </w:pPr>
      <w:r w:rsidRPr="001A3BAA">
        <w:rPr>
          <w:color w:val="000000"/>
          <w:sz w:val="24"/>
          <w:szCs w:val="24"/>
        </w:rPr>
        <w:t xml:space="preserve">OCC </w:t>
      </w:r>
      <w:r w:rsidR="0080768E">
        <w:rPr>
          <w:color w:val="000000"/>
          <w:sz w:val="24"/>
          <w:szCs w:val="24"/>
        </w:rPr>
        <w:t xml:space="preserve">has </w:t>
      </w:r>
      <w:r w:rsidRPr="001A3BAA">
        <w:rPr>
          <w:color w:val="000000"/>
          <w:sz w:val="24"/>
          <w:szCs w:val="24"/>
        </w:rPr>
        <w:t>recommended that the PUCO undertake a</w:t>
      </w:r>
      <w:r w:rsidR="00E657B2" w:rsidRPr="001A3BAA">
        <w:rPr>
          <w:color w:val="000000"/>
          <w:sz w:val="24"/>
          <w:szCs w:val="24"/>
        </w:rPr>
        <w:t xml:space="preserve"> similar review when considering </w:t>
      </w:r>
      <w:r w:rsidR="00E657B2" w:rsidRPr="001A3BAA">
        <w:rPr>
          <w:spacing w:val="-2"/>
          <w:sz w:val="24"/>
          <w:szCs w:val="24"/>
        </w:rPr>
        <w:t>a telephone company</w:t>
      </w:r>
      <w:r w:rsidR="008820EC">
        <w:rPr>
          <w:spacing w:val="-2"/>
          <w:sz w:val="24"/>
          <w:szCs w:val="24"/>
        </w:rPr>
        <w:t>’</w:t>
      </w:r>
      <w:r w:rsidR="00E657B2" w:rsidRPr="001A3BAA">
        <w:rPr>
          <w:spacing w:val="-2"/>
          <w:sz w:val="24"/>
          <w:szCs w:val="24"/>
        </w:rPr>
        <w:t>s request to increase its basic service rates because of the FCC</w:t>
      </w:r>
      <w:r w:rsidR="008820EC">
        <w:rPr>
          <w:spacing w:val="-2"/>
          <w:sz w:val="24"/>
          <w:szCs w:val="24"/>
        </w:rPr>
        <w:t>’</w:t>
      </w:r>
      <w:r w:rsidR="00E657B2" w:rsidRPr="001A3BAA">
        <w:rPr>
          <w:spacing w:val="-2"/>
          <w:sz w:val="24"/>
          <w:szCs w:val="24"/>
        </w:rPr>
        <w:t>s HCLS decision.</w:t>
      </w:r>
      <w:r w:rsidRPr="001A3BAA">
        <w:rPr>
          <w:rStyle w:val="FootnoteReference"/>
          <w:spacing w:val="-2"/>
          <w:sz w:val="24"/>
          <w:szCs w:val="24"/>
        </w:rPr>
        <w:footnoteReference w:id="22"/>
      </w:r>
      <w:r w:rsidRPr="001A3BAA">
        <w:rPr>
          <w:spacing w:val="-2"/>
          <w:sz w:val="24"/>
          <w:szCs w:val="24"/>
        </w:rPr>
        <w:t xml:space="preserve">  The PUCO</w:t>
      </w:r>
      <w:r w:rsidR="008820EC">
        <w:rPr>
          <w:spacing w:val="-2"/>
          <w:sz w:val="24"/>
          <w:szCs w:val="24"/>
        </w:rPr>
        <w:t>’</w:t>
      </w:r>
      <w:r>
        <w:rPr>
          <w:spacing w:val="-2"/>
          <w:sz w:val="24"/>
          <w:szCs w:val="24"/>
        </w:rPr>
        <w:t>s review</w:t>
      </w:r>
      <w:r w:rsidRPr="001A3BAA">
        <w:rPr>
          <w:spacing w:val="-2"/>
          <w:sz w:val="24"/>
          <w:szCs w:val="24"/>
        </w:rPr>
        <w:t xml:space="preserve"> </w:t>
      </w:r>
      <w:r>
        <w:rPr>
          <w:spacing w:val="-2"/>
          <w:sz w:val="24"/>
          <w:szCs w:val="24"/>
        </w:rPr>
        <w:t>would</w:t>
      </w:r>
      <w:r w:rsidRPr="001A3BAA">
        <w:rPr>
          <w:spacing w:val="-2"/>
          <w:sz w:val="24"/>
          <w:szCs w:val="24"/>
        </w:rPr>
        <w:t xml:space="preserve"> not </w:t>
      </w:r>
      <w:r>
        <w:rPr>
          <w:spacing w:val="-2"/>
          <w:sz w:val="24"/>
          <w:szCs w:val="24"/>
        </w:rPr>
        <w:t xml:space="preserve">be to </w:t>
      </w:r>
      <w:r w:rsidRPr="001A3BAA">
        <w:rPr>
          <w:spacing w:val="-2"/>
          <w:sz w:val="24"/>
          <w:szCs w:val="24"/>
        </w:rPr>
        <w:t xml:space="preserve">establish rates for </w:t>
      </w:r>
      <w:r>
        <w:rPr>
          <w:spacing w:val="-2"/>
          <w:sz w:val="24"/>
          <w:szCs w:val="24"/>
        </w:rPr>
        <w:t>the</w:t>
      </w:r>
      <w:r w:rsidRPr="001A3BAA">
        <w:rPr>
          <w:spacing w:val="-2"/>
          <w:sz w:val="24"/>
          <w:szCs w:val="24"/>
        </w:rPr>
        <w:t xml:space="preserve"> telephone </w:t>
      </w:r>
      <w:r>
        <w:rPr>
          <w:spacing w:val="-2"/>
          <w:sz w:val="24"/>
          <w:szCs w:val="24"/>
        </w:rPr>
        <w:t>company</w:t>
      </w:r>
      <w:r w:rsidR="008820EC">
        <w:rPr>
          <w:spacing w:val="-2"/>
          <w:sz w:val="24"/>
          <w:szCs w:val="24"/>
        </w:rPr>
        <w:t>’</w:t>
      </w:r>
      <w:r>
        <w:rPr>
          <w:spacing w:val="-2"/>
          <w:sz w:val="24"/>
          <w:szCs w:val="24"/>
        </w:rPr>
        <w:t xml:space="preserve">s </w:t>
      </w:r>
      <w:r w:rsidRPr="001A3BAA">
        <w:rPr>
          <w:color w:val="000000"/>
          <w:sz w:val="24"/>
          <w:szCs w:val="24"/>
        </w:rPr>
        <w:t>unregulated and unsupported services</w:t>
      </w:r>
      <w:r>
        <w:rPr>
          <w:color w:val="000000"/>
          <w:sz w:val="24"/>
          <w:szCs w:val="24"/>
        </w:rPr>
        <w:t>.  The PUCO does not have jurisdiction over non-basic service rates.</w:t>
      </w:r>
      <w:r>
        <w:rPr>
          <w:rStyle w:val="FootnoteReference"/>
          <w:szCs w:val="24"/>
        </w:rPr>
        <w:footnoteReference w:id="23"/>
      </w:r>
      <w:r>
        <w:rPr>
          <w:color w:val="000000"/>
          <w:sz w:val="24"/>
          <w:szCs w:val="24"/>
        </w:rPr>
        <w:t xml:space="preserve">  </w:t>
      </w:r>
      <w:r w:rsidR="003F183E">
        <w:rPr>
          <w:color w:val="000000"/>
          <w:sz w:val="24"/>
          <w:szCs w:val="24"/>
        </w:rPr>
        <w:t>But t</w:t>
      </w:r>
      <w:r>
        <w:rPr>
          <w:color w:val="000000"/>
          <w:sz w:val="24"/>
          <w:szCs w:val="24"/>
        </w:rPr>
        <w:t xml:space="preserve">he PUCO can, and should, determine whether </w:t>
      </w:r>
      <w:r w:rsidR="00FB5EE0">
        <w:rPr>
          <w:color w:val="000000"/>
          <w:sz w:val="24"/>
          <w:szCs w:val="24"/>
        </w:rPr>
        <w:t>the telephone company can</w:t>
      </w:r>
      <w:r w:rsidR="00526D97">
        <w:rPr>
          <w:color w:val="000000"/>
          <w:sz w:val="24"/>
          <w:szCs w:val="24"/>
        </w:rPr>
        <w:t>,</w:t>
      </w:r>
      <w:r w:rsidR="00FB5EE0">
        <w:rPr>
          <w:color w:val="000000"/>
          <w:sz w:val="24"/>
          <w:szCs w:val="24"/>
        </w:rPr>
        <w:t xml:space="preserve"> despite reduced HCLS</w:t>
      </w:r>
      <w:r w:rsidR="00526D97">
        <w:rPr>
          <w:color w:val="000000"/>
          <w:sz w:val="24"/>
          <w:szCs w:val="24"/>
        </w:rPr>
        <w:t>,</w:t>
      </w:r>
      <w:r w:rsidR="00FB5EE0">
        <w:rPr>
          <w:color w:val="000000"/>
          <w:sz w:val="24"/>
          <w:szCs w:val="24"/>
        </w:rPr>
        <w:t xml:space="preserve"> provide adequate service to its customers without significantly increasing</w:t>
      </w:r>
      <w:r>
        <w:rPr>
          <w:color w:val="000000"/>
          <w:sz w:val="24"/>
          <w:szCs w:val="24"/>
        </w:rPr>
        <w:t xml:space="preserve"> </w:t>
      </w:r>
      <w:r w:rsidR="00FB5EE0">
        <w:rPr>
          <w:color w:val="000000"/>
          <w:sz w:val="24"/>
          <w:szCs w:val="24"/>
        </w:rPr>
        <w:t>the</w:t>
      </w:r>
      <w:r>
        <w:rPr>
          <w:color w:val="000000"/>
          <w:sz w:val="24"/>
          <w:szCs w:val="24"/>
        </w:rPr>
        <w:t xml:space="preserve"> basic service rates</w:t>
      </w:r>
      <w:r w:rsidR="00FB5EE0">
        <w:rPr>
          <w:color w:val="000000"/>
          <w:sz w:val="24"/>
          <w:szCs w:val="24"/>
        </w:rPr>
        <w:t xml:space="preserve"> its customers pay</w:t>
      </w:r>
      <w:r w:rsidR="00F4672F">
        <w:rPr>
          <w:color w:val="000000"/>
          <w:sz w:val="24"/>
          <w:szCs w:val="24"/>
        </w:rPr>
        <w:t>.</w:t>
      </w:r>
      <w:r w:rsidR="00C8633F">
        <w:rPr>
          <w:color w:val="000000"/>
          <w:sz w:val="24"/>
          <w:szCs w:val="24"/>
        </w:rPr>
        <w:t xml:space="preserve">  </w:t>
      </w:r>
      <w:r w:rsidR="0080768E">
        <w:rPr>
          <w:color w:val="000000"/>
          <w:sz w:val="24"/>
          <w:szCs w:val="24"/>
        </w:rPr>
        <w:t>T</w:t>
      </w:r>
      <w:r w:rsidR="00C8633F">
        <w:rPr>
          <w:color w:val="000000"/>
          <w:sz w:val="24"/>
          <w:szCs w:val="24"/>
        </w:rPr>
        <w:t>o make that determination, the PUCO should fully examine the company</w:t>
      </w:r>
      <w:r w:rsidR="008820EC">
        <w:rPr>
          <w:color w:val="000000"/>
          <w:sz w:val="24"/>
          <w:szCs w:val="24"/>
        </w:rPr>
        <w:t>’</w:t>
      </w:r>
      <w:r w:rsidR="00C8633F">
        <w:rPr>
          <w:color w:val="000000"/>
          <w:sz w:val="24"/>
          <w:szCs w:val="24"/>
        </w:rPr>
        <w:t xml:space="preserve">s </w:t>
      </w:r>
      <w:r w:rsidR="0018137F">
        <w:rPr>
          <w:color w:val="000000"/>
          <w:sz w:val="24"/>
          <w:szCs w:val="24"/>
        </w:rPr>
        <w:t xml:space="preserve">total revenues, including the ability of its parent company </w:t>
      </w:r>
      <w:r w:rsidR="0080768E">
        <w:rPr>
          <w:color w:val="000000"/>
          <w:sz w:val="24"/>
          <w:szCs w:val="24"/>
        </w:rPr>
        <w:t xml:space="preserve">(if there is one) </w:t>
      </w:r>
      <w:r w:rsidR="0018137F">
        <w:rPr>
          <w:color w:val="000000"/>
          <w:sz w:val="24"/>
          <w:szCs w:val="24"/>
        </w:rPr>
        <w:t>to make up for the reduced HCLS.</w:t>
      </w:r>
    </w:p>
    <w:p w:rsidR="00432E8C" w:rsidRDefault="00C8633F" w:rsidP="00950010">
      <w:pPr>
        <w:pStyle w:val="BodyTextIndent3"/>
        <w:suppressAutoHyphens/>
        <w:spacing w:line="480" w:lineRule="auto"/>
        <w:rPr>
          <w:szCs w:val="24"/>
        </w:rPr>
      </w:pPr>
      <w:r>
        <w:rPr>
          <w:szCs w:val="24"/>
        </w:rPr>
        <w:t>The third statement in OTA</w:t>
      </w:r>
      <w:r w:rsidR="008820EC">
        <w:rPr>
          <w:szCs w:val="24"/>
        </w:rPr>
        <w:t>’</w:t>
      </w:r>
      <w:r>
        <w:rPr>
          <w:szCs w:val="24"/>
        </w:rPr>
        <w:t xml:space="preserve">s letter that OCC responds to is: </w:t>
      </w:r>
      <w:r w:rsidR="008820EC">
        <w:rPr>
          <w:szCs w:val="24"/>
        </w:rPr>
        <w:t>“</w:t>
      </w:r>
      <w:r>
        <w:rPr>
          <w:szCs w:val="24"/>
        </w:rPr>
        <w:t>[I]</w:t>
      </w:r>
      <w:r w:rsidRPr="00280B8B">
        <w:rPr>
          <w:szCs w:val="24"/>
        </w:rPr>
        <w:t>f the Commission were to reject Middle Point</w:t>
      </w:r>
      <w:r w:rsidR="008820EC">
        <w:rPr>
          <w:szCs w:val="24"/>
        </w:rPr>
        <w:t>’</w:t>
      </w:r>
      <w:r w:rsidRPr="00280B8B">
        <w:rPr>
          <w:szCs w:val="24"/>
        </w:rPr>
        <w:t>s application, these federal funds would be lost and would not be available to any provider.</w:t>
      </w:r>
      <w:r w:rsidR="008820EC">
        <w:rPr>
          <w:szCs w:val="24"/>
        </w:rPr>
        <w:t>”</w:t>
      </w:r>
      <w:r>
        <w:rPr>
          <w:rStyle w:val="FootnoteReference"/>
          <w:szCs w:val="24"/>
        </w:rPr>
        <w:footnoteReference w:id="24"/>
      </w:r>
      <w:r>
        <w:rPr>
          <w:szCs w:val="24"/>
        </w:rPr>
        <w:t xml:space="preserve">  </w:t>
      </w:r>
      <w:r w:rsidR="008820EC">
        <w:rPr>
          <w:szCs w:val="24"/>
        </w:rPr>
        <w:t>OTA’s statement misdirects the PUCO’s attention from the real focus of this proceeding</w:t>
      </w:r>
      <w:r w:rsidR="002521E6">
        <w:rPr>
          <w:szCs w:val="24"/>
        </w:rPr>
        <w:t>.  Th</w:t>
      </w:r>
      <w:r w:rsidR="008820EC">
        <w:rPr>
          <w:szCs w:val="24"/>
        </w:rPr>
        <w:t>is case</w:t>
      </w:r>
      <w:r w:rsidR="002521E6">
        <w:rPr>
          <w:szCs w:val="24"/>
        </w:rPr>
        <w:t xml:space="preserve"> focus</w:t>
      </w:r>
      <w:r w:rsidR="008820EC">
        <w:rPr>
          <w:szCs w:val="24"/>
        </w:rPr>
        <w:t>es</w:t>
      </w:r>
      <w:r w:rsidR="002521E6">
        <w:rPr>
          <w:szCs w:val="24"/>
        </w:rPr>
        <w:t xml:space="preserve"> </w:t>
      </w:r>
      <w:r w:rsidR="008820EC">
        <w:rPr>
          <w:szCs w:val="24"/>
        </w:rPr>
        <w:t xml:space="preserve">on </w:t>
      </w:r>
      <w:r>
        <w:rPr>
          <w:szCs w:val="24"/>
        </w:rPr>
        <w:t>whether Middle Point can provide adequate service to its customers without a</w:t>
      </w:r>
      <w:r w:rsidR="003F183E">
        <w:rPr>
          <w:szCs w:val="24"/>
        </w:rPr>
        <w:t xml:space="preserve"> 122%</w:t>
      </w:r>
      <w:r>
        <w:rPr>
          <w:szCs w:val="24"/>
        </w:rPr>
        <w:t xml:space="preserve"> increase in the rate</w:t>
      </w:r>
      <w:r w:rsidR="00F73FC3">
        <w:rPr>
          <w:szCs w:val="24"/>
        </w:rPr>
        <w:t>s</w:t>
      </w:r>
      <w:r>
        <w:rPr>
          <w:szCs w:val="24"/>
        </w:rPr>
        <w:t xml:space="preserve"> its customers must pay for basic service.  The </w:t>
      </w:r>
      <w:r w:rsidR="00D92161">
        <w:rPr>
          <w:szCs w:val="24"/>
        </w:rPr>
        <w:t>industry</w:t>
      </w:r>
      <w:r w:rsidR="008820EC">
        <w:rPr>
          <w:szCs w:val="24"/>
        </w:rPr>
        <w:t>’</w:t>
      </w:r>
      <w:r w:rsidR="00D92161">
        <w:rPr>
          <w:szCs w:val="24"/>
        </w:rPr>
        <w:t xml:space="preserve">s desire to avoid </w:t>
      </w:r>
      <w:r w:rsidR="008820EC">
        <w:rPr>
          <w:szCs w:val="24"/>
        </w:rPr>
        <w:t>the loss of</w:t>
      </w:r>
      <w:r w:rsidR="00D92161">
        <w:rPr>
          <w:szCs w:val="24"/>
        </w:rPr>
        <w:t xml:space="preserve"> some federal funding </w:t>
      </w:r>
      <w:r w:rsidR="008820EC">
        <w:rPr>
          <w:szCs w:val="24"/>
        </w:rPr>
        <w:t xml:space="preserve">in Ohio </w:t>
      </w:r>
      <w:r w:rsidR="00D92161">
        <w:rPr>
          <w:szCs w:val="24"/>
        </w:rPr>
        <w:t xml:space="preserve">should not be paramount to the effect that a </w:t>
      </w:r>
      <w:r w:rsidR="003F183E">
        <w:rPr>
          <w:szCs w:val="24"/>
        </w:rPr>
        <w:t>significant</w:t>
      </w:r>
      <w:r w:rsidR="00D92161">
        <w:rPr>
          <w:szCs w:val="24"/>
        </w:rPr>
        <w:t xml:space="preserve"> rate increase would have on residential basic service customers. </w:t>
      </w:r>
    </w:p>
    <w:p w:rsidR="00192245" w:rsidRDefault="00341E69" w:rsidP="00950010">
      <w:pPr>
        <w:pStyle w:val="BodyTextIndent3"/>
        <w:suppressAutoHyphens/>
        <w:spacing w:line="480" w:lineRule="auto"/>
        <w:rPr>
          <w:szCs w:val="24"/>
        </w:rPr>
      </w:pPr>
      <w:r>
        <w:rPr>
          <w:szCs w:val="24"/>
        </w:rPr>
        <w:t>OCC also takes issue with AT&amp;T</w:t>
      </w:r>
      <w:r w:rsidR="008820EC">
        <w:rPr>
          <w:szCs w:val="24"/>
        </w:rPr>
        <w:t>’</w:t>
      </w:r>
      <w:r>
        <w:rPr>
          <w:szCs w:val="24"/>
        </w:rPr>
        <w:t>s characterization of the PUCO</w:t>
      </w:r>
      <w:r w:rsidR="008820EC">
        <w:rPr>
          <w:szCs w:val="24"/>
        </w:rPr>
        <w:t>’</w:t>
      </w:r>
      <w:r>
        <w:rPr>
          <w:szCs w:val="24"/>
        </w:rPr>
        <w:t>s February 2012 Entry in the Access Charge Case.</w:t>
      </w:r>
      <w:r>
        <w:rPr>
          <w:rStyle w:val="FootnoteReference"/>
          <w:szCs w:val="24"/>
        </w:rPr>
        <w:footnoteReference w:id="25"/>
      </w:r>
      <w:r>
        <w:rPr>
          <w:szCs w:val="24"/>
        </w:rPr>
        <w:t xml:space="preserve">  In discussing the FCC</w:t>
      </w:r>
      <w:r w:rsidR="008820EC">
        <w:rPr>
          <w:szCs w:val="24"/>
        </w:rPr>
        <w:t>’</w:t>
      </w:r>
      <w:r>
        <w:rPr>
          <w:szCs w:val="24"/>
        </w:rPr>
        <w:t xml:space="preserve">s order that reduced interstate access charges, AT&amp;T claims that the PUCO </w:t>
      </w:r>
      <w:r w:rsidR="008820EC">
        <w:rPr>
          <w:szCs w:val="24"/>
        </w:rPr>
        <w:t>“</w:t>
      </w:r>
      <w:r>
        <w:rPr>
          <w:szCs w:val="24"/>
        </w:rPr>
        <w:t>ordered a mirroring of those reductions on an intrastate basis.</w:t>
      </w:r>
      <w:r w:rsidR="008820EC">
        <w:rPr>
          <w:szCs w:val="24"/>
        </w:rPr>
        <w:t>”</w:t>
      </w:r>
      <w:r>
        <w:rPr>
          <w:rStyle w:val="FootnoteReference"/>
          <w:szCs w:val="24"/>
        </w:rPr>
        <w:footnoteReference w:id="26"/>
      </w:r>
      <w:r>
        <w:rPr>
          <w:szCs w:val="24"/>
        </w:rPr>
        <w:t xml:space="preserve">  That is not the case, however.  Instead, as the PUCO noted, </w:t>
      </w:r>
      <w:r w:rsidR="008820EC">
        <w:rPr>
          <w:szCs w:val="24"/>
        </w:rPr>
        <w:t>“</w:t>
      </w:r>
      <w:r w:rsidR="00087260">
        <w:rPr>
          <w:szCs w:val="24"/>
        </w:rPr>
        <w:t>[T]</w:t>
      </w:r>
      <w:r>
        <w:rPr>
          <w:szCs w:val="24"/>
        </w:rPr>
        <w:t xml:space="preserve">he </w:t>
      </w:r>
      <w:r w:rsidRPr="00526D97">
        <w:rPr>
          <w:i/>
          <w:szCs w:val="24"/>
        </w:rPr>
        <w:t>FCC</w:t>
      </w:r>
      <w:r>
        <w:rPr>
          <w:szCs w:val="24"/>
        </w:rPr>
        <w:t xml:space="preserve"> adopted a transitional intercarrier compensation restructuring framework </w:t>
      </w:r>
      <w:r w:rsidRPr="002A7AD5">
        <w:rPr>
          <w:i/>
          <w:szCs w:val="24"/>
        </w:rPr>
        <w:t>for both intrastate and interstate telecommunications traffic exchanged with a local exchange carrier</w:t>
      </w:r>
      <w:r w:rsidR="002A7AD5">
        <w:rPr>
          <w:szCs w:val="24"/>
        </w:rPr>
        <w:t>….</w:t>
      </w:r>
      <w:r w:rsidR="008820EC">
        <w:rPr>
          <w:szCs w:val="24"/>
        </w:rPr>
        <w:t>”</w:t>
      </w:r>
      <w:r w:rsidR="002A7AD5">
        <w:rPr>
          <w:rStyle w:val="FootnoteReference"/>
          <w:szCs w:val="24"/>
        </w:rPr>
        <w:footnoteReference w:id="27"/>
      </w:r>
      <w:r w:rsidR="002A7AD5">
        <w:rPr>
          <w:szCs w:val="24"/>
        </w:rPr>
        <w:t xml:space="preserve">  The PUCO also explained that</w:t>
      </w:r>
      <w:r w:rsidR="00087260">
        <w:rPr>
          <w:szCs w:val="24"/>
        </w:rPr>
        <w:t xml:space="preserve"> </w:t>
      </w:r>
      <w:r w:rsidR="00087260" w:rsidRPr="00192245">
        <w:rPr>
          <w:i/>
          <w:szCs w:val="24"/>
        </w:rPr>
        <w:t>the</w:t>
      </w:r>
      <w:r w:rsidR="002A7AD5">
        <w:rPr>
          <w:szCs w:val="24"/>
        </w:rPr>
        <w:t xml:space="preserve"> </w:t>
      </w:r>
      <w:r w:rsidR="002A7AD5" w:rsidRPr="002A7AD5">
        <w:rPr>
          <w:i/>
          <w:szCs w:val="24"/>
        </w:rPr>
        <w:t>FCC</w:t>
      </w:r>
      <w:r w:rsidR="002A7AD5">
        <w:rPr>
          <w:szCs w:val="24"/>
        </w:rPr>
        <w:t xml:space="preserve"> directed carriers whose intrastate access charges were higher than their interstate access charges to reduce their intrastate access charges </w:t>
      </w:r>
      <w:r w:rsidR="008820EC">
        <w:rPr>
          <w:szCs w:val="24"/>
        </w:rPr>
        <w:t>“</w:t>
      </w:r>
      <w:r w:rsidR="002A7AD5">
        <w:rPr>
          <w:szCs w:val="24"/>
        </w:rPr>
        <w:t>by 50 percent of the differential between the rate and carrier</w:t>
      </w:r>
      <w:r w:rsidR="008820EC">
        <w:rPr>
          <w:szCs w:val="24"/>
        </w:rPr>
        <w:t>’</w:t>
      </w:r>
      <w:r w:rsidR="002A7AD5">
        <w:rPr>
          <w:szCs w:val="24"/>
        </w:rPr>
        <w:t>s interstate access rates by July 1, 2012.</w:t>
      </w:r>
      <w:r w:rsidR="008820EC">
        <w:rPr>
          <w:szCs w:val="24"/>
        </w:rPr>
        <w:t>”</w:t>
      </w:r>
      <w:r w:rsidR="002A7AD5">
        <w:rPr>
          <w:rStyle w:val="FootnoteReference"/>
          <w:szCs w:val="24"/>
        </w:rPr>
        <w:footnoteReference w:id="28"/>
      </w:r>
      <w:r w:rsidR="002A7AD5">
        <w:rPr>
          <w:szCs w:val="24"/>
        </w:rPr>
        <w:t xml:space="preserve">  </w:t>
      </w:r>
    </w:p>
    <w:p w:rsidR="00C74B88" w:rsidRPr="002A7AD5" w:rsidRDefault="002A7AD5" w:rsidP="00950010">
      <w:pPr>
        <w:pStyle w:val="BodyTextIndent3"/>
        <w:suppressAutoHyphens/>
        <w:spacing w:line="480" w:lineRule="auto"/>
        <w:rPr>
          <w:szCs w:val="24"/>
        </w:rPr>
      </w:pPr>
      <w:r>
        <w:rPr>
          <w:szCs w:val="24"/>
        </w:rPr>
        <w:t>The PUCO did not order</w:t>
      </w:r>
      <w:r w:rsidR="00192245">
        <w:rPr>
          <w:szCs w:val="24"/>
        </w:rPr>
        <w:t xml:space="preserve"> telephone companies</w:t>
      </w:r>
      <w:r w:rsidR="008820EC">
        <w:rPr>
          <w:szCs w:val="24"/>
        </w:rPr>
        <w:t>’</w:t>
      </w:r>
      <w:r w:rsidR="00192245">
        <w:rPr>
          <w:szCs w:val="24"/>
        </w:rPr>
        <w:t xml:space="preserve"> intrastate access charges to mirror their interstate access charges.  Instead,</w:t>
      </w:r>
      <w:r>
        <w:rPr>
          <w:szCs w:val="24"/>
        </w:rPr>
        <w:t xml:space="preserve"> the PUCO ordered affected carriers to file applications </w:t>
      </w:r>
      <w:r w:rsidR="008820EC">
        <w:rPr>
          <w:szCs w:val="24"/>
        </w:rPr>
        <w:t>“</w:t>
      </w:r>
      <w:r w:rsidR="004C24C8">
        <w:rPr>
          <w:szCs w:val="24"/>
        </w:rPr>
        <w:t>to allow for the timely review and implementation of the requisite reductions</w:t>
      </w:r>
      <w:r w:rsidR="008820EC">
        <w:rPr>
          <w:szCs w:val="24"/>
        </w:rPr>
        <w:t>”</w:t>
      </w:r>
      <w:r w:rsidR="00087260">
        <w:rPr>
          <w:szCs w:val="24"/>
        </w:rPr>
        <w:t xml:space="preserve"> that the FCC had ordered.</w:t>
      </w:r>
      <w:r w:rsidR="004C24C8">
        <w:rPr>
          <w:rStyle w:val="FootnoteReference"/>
          <w:szCs w:val="24"/>
        </w:rPr>
        <w:footnoteReference w:id="29"/>
      </w:r>
      <w:r w:rsidR="005A07AB">
        <w:rPr>
          <w:szCs w:val="24"/>
        </w:rPr>
        <w:t xml:space="preserve">  AT&amp;T</w:t>
      </w:r>
      <w:r w:rsidR="008820EC">
        <w:rPr>
          <w:szCs w:val="24"/>
        </w:rPr>
        <w:t>’</w:t>
      </w:r>
      <w:r w:rsidR="005A07AB">
        <w:rPr>
          <w:szCs w:val="24"/>
        </w:rPr>
        <w:t>s characterization of the PUCO</w:t>
      </w:r>
      <w:r w:rsidR="008820EC">
        <w:rPr>
          <w:szCs w:val="24"/>
        </w:rPr>
        <w:t>’</w:t>
      </w:r>
      <w:r w:rsidR="005A07AB">
        <w:rPr>
          <w:szCs w:val="24"/>
        </w:rPr>
        <w:t>s action is wrong.</w:t>
      </w:r>
    </w:p>
    <w:p w:rsidR="0031461E" w:rsidRDefault="001D213F" w:rsidP="00950010">
      <w:pPr>
        <w:pStyle w:val="BodyTextIndent3"/>
        <w:suppressAutoHyphens/>
        <w:spacing w:line="480" w:lineRule="auto"/>
        <w:rPr>
          <w:szCs w:val="24"/>
        </w:rPr>
      </w:pPr>
      <w:r>
        <w:rPr>
          <w:szCs w:val="24"/>
        </w:rPr>
        <w:t>In the Access Charge Case, the PUCO implement</w:t>
      </w:r>
      <w:r w:rsidR="00F12023">
        <w:rPr>
          <w:szCs w:val="24"/>
        </w:rPr>
        <w:t>ed</w:t>
      </w:r>
      <w:r>
        <w:rPr>
          <w:szCs w:val="24"/>
        </w:rPr>
        <w:t xml:space="preserve"> federal policy.  Federal policy should also guide the PUCO</w:t>
      </w:r>
      <w:r w:rsidR="008820EC">
        <w:rPr>
          <w:szCs w:val="24"/>
        </w:rPr>
        <w:t>’</w:t>
      </w:r>
      <w:r>
        <w:rPr>
          <w:szCs w:val="24"/>
        </w:rPr>
        <w:t xml:space="preserve">s actions in this case.  </w:t>
      </w:r>
      <w:r w:rsidR="00772BAB">
        <w:rPr>
          <w:szCs w:val="24"/>
        </w:rPr>
        <w:t>One policy</w:t>
      </w:r>
      <w:r>
        <w:rPr>
          <w:szCs w:val="24"/>
        </w:rPr>
        <w:t xml:space="preserve"> the FCC has articulated through the </w:t>
      </w:r>
      <w:r>
        <w:rPr>
          <w:i/>
          <w:szCs w:val="24"/>
        </w:rPr>
        <w:t>Transformation Order</w:t>
      </w:r>
      <w:r>
        <w:rPr>
          <w:szCs w:val="24"/>
        </w:rPr>
        <w:t xml:space="preserve"> </w:t>
      </w:r>
      <w:r w:rsidR="00772BAB">
        <w:rPr>
          <w:szCs w:val="24"/>
        </w:rPr>
        <w:t>is</w:t>
      </w:r>
      <w:r>
        <w:rPr>
          <w:szCs w:val="24"/>
        </w:rPr>
        <w:t xml:space="preserve"> </w:t>
      </w:r>
      <w:r w:rsidR="008820EC">
        <w:t>“</w:t>
      </w:r>
      <w:r>
        <w:rPr>
          <w:color w:val="000000"/>
        </w:rPr>
        <w:t>to avoid a flash cut that would dramatically affect either carriers or the consumers they serve</w:t>
      </w:r>
      <w:r w:rsidR="00772BAB">
        <w:rPr>
          <w:color w:val="000000"/>
        </w:rPr>
        <w:t>.</w:t>
      </w:r>
      <w:r w:rsidR="008820EC">
        <w:rPr>
          <w:color w:val="000000"/>
        </w:rPr>
        <w:t>”</w:t>
      </w:r>
      <w:r>
        <w:rPr>
          <w:rStyle w:val="FootnoteReference"/>
        </w:rPr>
        <w:footnoteReference w:id="30"/>
      </w:r>
      <w:r>
        <w:rPr>
          <w:color w:val="000000"/>
        </w:rPr>
        <w:t xml:space="preserve"> </w:t>
      </w:r>
      <w:r w:rsidR="00772BAB">
        <w:rPr>
          <w:color w:val="000000"/>
        </w:rPr>
        <w:t xml:space="preserve"> Another </w:t>
      </w:r>
      <w:r w:rsidR="00087260">
        <w:rPr>
          <w:color w:val="000000"/>
        </w:rPr>
        <w:t xml:space="preserve">federal policy </w:t>
      </w:r>
      <w:r w:rsidR="00772BAB">
        <w:rPr>
          <w:color w:val="000000"/>
        </w:rPr>
        <w:t xml:space="preserve">is </w:t>
      </w:r>
      <w:r w:rsidR="00EA1C90">
        <w:rPr>
          <w:color w:val="000000"/>
        </w:rPr>
        <w:t xml:space="preserve">that </w:t>
      </w:r>
      <w:r>
        <w:rPr>
          <w:color w:val="000000"/>
        </w:rPr>
        <w:t>carriers</w:t>
      </w:r>
      <w:r w:rsidR="008820EC">
        <w:rPr>
          <w:color w:val="000000"/>
        </w:rPr>
        <w:t>’</w:t>
      </w:r>
      <w:r>
        <w:rPr>
          <w:color w:val="000000"/>
        </w:rPr>
        <w:t xml:space="preserve"> claims </w:t>
      </w:r>
      <w:r w:rsidR="00EA1C90">
        <w:rPr>
          <w:color w:val="000000"/>
          <w:szCs w:val="24"/>
        </w:rPr>
        <w:t>about</w:t>
      </w:r>
      <w:r w:rsidRPr="006A6407">
        <w:rPr>
          <w:color w:val="000000"/>
          <w:szCs w:val="24"/>
        </w:rPr>
        <w:t xml:space="preserve"> </w:t>
      </w:r>
      <w:r>
        <w:rPr>
          <w:color w:val="000000"/>
          <w:szCs w:val="24"/>
        </w:rPr>
        <w:t>HCLS</w:t>
      </w:r>
      <w:r w:rsidRPr="006A6407">
        <w:rPr>
          <w:color w:val="000000"/>
          <w:szCs w:val="24"/>
        </w:rPr>
        <w:t xml:space="preserve"> reductions threaten</w:t>
      </w:r>
      <w:r w:rsidR="00EA1C90">
        <w:rPr>
          <w:color w:val="000000"/>
          <w:szCs w:val="24"/>
        </w:rPr>
        <w:t>ing</w:t>
      </w:r>
      <w:r w:rsidRPr="006A6407">
        <w:rPr>
          <w:color w:val="000000"/>
          <w:szCs w:val="24"/>
        </w:rPr>
        <w:t xml:space="preserve"> their financial viability</w:t>
      </w:r>
      <w:r w:rsidR="00EA1C90">
        <w:rPr>
          <w:color w:val="000000"/>
          <w:szCs w:val="24"/>
        </w:rPr>
        <w:t xml:space="preserve"> and</w:t>
      </w:r>
      <w:r w:rsidRPr="006A6407">
        <w:rPr>
          <w:color w:val="000000"/>
          <w:szCs w:val="24"/>
        </w:rPr>
        <w:t xml:space="preserve"> imperiling service to </w:t>
      </w:r>
      <w:r w:rsidR="00EA1C90">
        <w:rPr>
          <w:color w:val="000000"/>
          <w:szCs w:val="24"/>
        </w:rPr>
        <w:t>their customers</w:t>
      </w:r>
      <w:r w:rsidR="00772BAB">
        <w:rPr>
          <w:color w:val="000000"/>
          <w:szCs w:val="24"/>
        </w:rPr>
        <w:t xml:space="preserve"> </w:t>
      </w:r>
      <w:r w:rsidRPr="006A6407">
        <w:rPr>
          <w:color w:val="000000"/>
          <w:szCs w:val="24"/>
        </w:rPr>
        <w:t>cannot</w:t>
      </w:r>
      <w:r w:rsidR="00772BAB">
        <w:rPr>
          <w:color w:val="000000"/>
          <w:szCs w:val="24"/>
        </w:rPr>
        <w:t xml:space="preserve"> be</w:t>
      </w:r>
      <w:r w:rsidRPr="006A6407">
        <w:rPr>
          <w:color w:val="000000"/>
          <w:szCs w:val="24"/>
        </w:rPr>
        <w:t xml:space="preserve"> evaluate</w:t>
      </w:r>
      <w:r w:rsidR="00772BAB">
        <w:rPr>
          <w:color w:val="000000"/>
          <w:szCs w:val="24"/>
        </w:rPr>
        <w:t>d</w:t>
      </w:r>
      <w:r w:rsidRPr="006A6407">
        <w:rPr>
          <w:color w:val="000000"/>
          <w:szCs w:val="24"/>
        </w:rPr>
        <w:t xml:space="preserve"> </w:t>
      </w:r>
      <w:r w:rsidR="00772BAB">
        <w:rPr>
          <w:color w:val="000000"/>
          <w:szCs w:val="24"/>
        </w:rPr>
        <w:t xml:space="preserve">without </w:t>
      </w:r>
      <w:r w:rsidR="00772BAB" w:rsidRPr="006A6407">
        <w:rPr>
          <w:color w:val="000000"/>
          <w:szCs w:val="24"/>
        </w:rPr>
        <w:t>detailed information about individualized circumstances</w:t>
      </w:r>
      <w:r w:rsidR="00772BAB">
        <w:rPr>
          <w:color w:val="000000"/>
          <w:szCs w:val="24"/>
        </w:rPr>
        <w:t>.</w:t>
      </w:r>
      <w:r w:rsidR="00772BAB">
        <w:rPr>
          <w:rStyle w:val="FootnoteReference"/>
          <w:szCs w:val="24"/>
        </w:rPr>
        <w:footnoteReference w:id="31"/>
      </w:r>
      <w:r w:rsidR="00772BAB">
        <w:rPr>
          <w:szCs w:val="24"/>
        </w:rPr>
        <w:t xml:space="preserve">  </w:t>
      </w:r>
    </w:p>
    <w:p w:rsidR="00A05823" w:rsidRPr="001D213F" w:rsidRDefault="0031461E" w:rsidP="00950010">
      <w:pPr>
        <w:pStyle w:val="BodyTextIndent3"/>
        <w:suppressAutoHyphens/>
        <w:spacing w:line="480" w:lineRule="auto"/>
        <w:rPr>
          <w:szCs w:val="24"/>
        </w:rPr>
      </w:pPr>
      <w:r>
        <w:rPr>
          <w:szCs w:val="24"/>
        </w:rPr>
        <w:t>T</w:t>
      </w:r>
      <w:r w:rsidR="00772BAB">
        <w:rPr>
          <w:szCs w:val="24"/>
        </w:rPr>
        <w:t xml:space="preserve">he PUCO should </w:t>
      </w:r>
      <w:r>
        <w:rPr>
          <w:szCs w:val="24"/>
        </w:rPr>
        <w:t>not grant</w:t>
      </w:r>
      <w:r w:rsidR="00526D97">
        <w:rPr>
          <w:szCs w:val="24"/>
        </w:rPr>
        <w:t xml:space="preserve"> </w:t>
      </w:r>
      <w:r w:rsidR="00772BAB">
        <w:rPr>
          <w:szCs w:val="24"/>
        </w:rPr>
        <w:t>Middle Point</w:t>
      </w:r>
      <w:r w:rsidR="008820EC">
        <w:rPr>
          <w:szCs w:val="24"/>
        </w:rPr>
        <w:t>’</w:t>
      </w:r>
      <w:r w:rsidR="00772BAB">
        <w:rPr>
          <w:szCs w:val="24"/>
        </w:rPr>
        <w:t xml:space="preserve">s request </w:t>
      </w:r>
      <w:r>
        <w:rPr>
          <w:szCs w:val="24"/>
        </w:rPr>
        <w:t xml:space="preserve">to </w:t>
      </w:r>
      <w:r w:rsidR="00772BAB">
        <w:rPr>
          <w:szCs w:val="24"/>
        </w:rPr>
        <w:t>increase the rate</w:t>
      </w:r>
      <w:r w:rsidR="00EA1C90">
        <w:rPr>
          <w:szCs w:val="24"/>
        </w:rPr>
        <w:t>s</w:t>
      </w:r>
      <w:r w:rsidR="00772BAB">
        <w:rPr>
          <w:szCs w:val="24"/>
        </w:rPr>
        <w:t xml:space="preserve"> its customers pay for basic service</w:t>
      </w:r>
      <w:r>
        <w:rPr>
          <w:szCs w:val="24"/>
        </w:rPr>
        <w:t xml:space="preserve"> by 122%, unless a thorough PUCO investigation of Middle Point</w:t>
      </w:r>
      <w:r w:rsidR="008820EC">
        <w:rPr>
          <w:szCs w:val="24"/>
        </w:rPr>
        <w:t>’</w:t>
      </w:r>
      <w:r>
        <w:rPr>
          <w:szCs w:val="24"/>
        </w:rPr>
        <w:t>s financial circumstances shows that Middle Point cannot provide adequate service to its customers without the increase</w:t>
      </w:r>
      <w:r w:rsidR="00772BAB">
        <w:rPr>
          <w:szCs w:val="24"/>
        </w:rPr>
        <w:t>.</w:t>
      </w:r>
      <w:r>
        <w:rPr>
          <w:szCs w:val="24"/>
        </w:rPr>
        <w:t xml:space="preserve">  </w:t>
      </w:r>
      <w:r w:rsidR="0092655B">
        <w:rPr>
          <w:szCs w:val="24"/>
        </w:rPr>
        <w:t>The PUCO should protect consumers from unnecessary rate increases for basic service.</w:t>
      </w:r>
    </w:p>
    <w:p w:rsidR="00F95FBB" w:rsidRDefault="00F95FBB">
      <w:pPr>
        <w:spacing w:after="200" w:line="276" w:lineRule="auto"/>
        <w:rPr>
          <w:szCs w:val="24"/>
        </w:rPr>
      </w:pPr>
    </w:p>
    <w:p w:rsidR="003056EC" w:rsidRDefault="003056EC">
      <w:pPr>
        <w:spacing w:after="200" w:line="276" w:lineRule="auto"/>
        <w:rPr>
          <w:rFonts w:eastAsia="Times New Roman" w:cs="Times New Roman"/>
          <w:szCs w:val="24"/>
        </w:rPr>
      </w:pPr>
    </w:p>
    <w:p w:rsidR="00950010" w:rsidRDefault="00950010" w:rsidP="00EC4993">
      <w:pPr>
        <w:pStyle w:val="BodyTextIndent3"/>
        <w:widowControl w:val="0"/>
        <w:spacing w:line="480" w:lineRule="auto"/>
        <w:ind w:left="4320" w:firstLine="0"/>
        <w:rPr>
          <w:szCs w:val="24"/>
        </w:rPr>
      </w:pPr>
      <w:r>
        <w:rPr>
          <w:szCs w:val="24"/>
        </w:rPr>
        <w:t>Respectfully submitted,</w:t>
      </w:r>
    </w:p>
    <w:p w:rsidR="00950010" w:rsidRDefault="00950010" w:rsidP="00EC4993">
      <w:pPr>
        <w:pStyle w:val="Footer"/>
        <w:tabs>
          <w:tab w:val="clear" w:pos="8640"/>
          <w:tab w:val="left" w:pos="4320"/>
        </w:tabs>
        <w:ind w:left="4320"/>
        <w:rPr>
          <w:sz w:val="24"/>
          <w:szCs w:val="24"/>
        </w:rPr>
      </w:pPr>
      <w:r>
        <w:rPr>
          <w:sz w:val="24"/>
          <w:szCs w:val="24"/>
        </w:rPr>
        <w:t>BRUCE J. WESTON</w:t>
      </w:r>
    </w:p>
    <w:p w:rsidR="00950010" w:rsidRDefault="00950010" w:rsidP="00EC4993">
      <w:pPr>
        <w:tabs>
          <w:tab w:val="left" w:pos="4320"/>
        </w:tabs>
        <w:ind w:left="4320"/>
        <w:rPr>
          <w:szCs w:val="24"/>
        </w:rPr>
      </w:pPr>
      <w:r>
        <w:rPr>
          <w:szCs w:val="24"/>
        </w:rPr>
        <w:t>OHIO CONSUMERS</w:t>
      </w:r>
      <w:r w:rsidR="008820EC">
        <w:rPr>
          <w:szCs w:val="24"/>
        </w:rPr>
        <w:t>’</w:t>
      </w:r>
      <w:r>
        <w:rPr>
          <w:szCs w:val="24"/>
        </w:rPr>
        <w:t xml:space="preserve"> COUNSEL</w:t>
      </w:r>
    </w:p>
    <w:p w:rsidR="00950010" w:rsidRDefault="00950010" w:rsidP="00950010">
      <w:pPr>
        <w:tabs>
          <w:tab w:val="left" w:pos="4320"/>
        </w:tabs>
        <w:rPr>
          <w:szCs w:val="24"/>
        </w:rPr>
      </w:pPr>
      <w:r>
        <w:rPr>
          <w:szCs w:val="24"/>
        </w:rPr>
        <w:tab/>
      </w:r>
    </w:p>
    <w:p w:rsidR="00950010" w:rsidRDefault="00EC4993" w:rsidP="00950010">
      <w:pPr>
        <w:autoSpaceDE w:val="0"/>
        <w:autoSpaceDN w:val="0"/>
        <w:adjustRightInd w:val="0"/>
        <w:ind w:left="4320"/>
        <w:rPr>
          <w:i/>
        </w:rPr>
      </w:pPr>
      <w:r>
        <w:rPr>
          <w:i/>
          <w:u w:val="single"/>
        </w:rPr>
        <w:t>/</w:t>
      </w:r>
      <w:r w:rsidR="00950010">
        <w:rPr>
          <w:i/>
          <w:u w:val="single"/>
        </w:rPr>
        <w:t>s/ Terry L. Etter                           </w:t>
      </w:r>
    </w:p>
    <w:p w:rsidR="00950010" w:rsidRDefault="00950010" w:rsidP="00EC4993">
      <w:pPr>
        <w:tabs>
          <w:tab w:val="left" w:pos="4320"/>
        </w:tabs>
        <w:ind w:left="4320"/>
        <w:rPr>
          <w:szCs w:val="24"/>
        </w:rPr>
      </w:pPr>
      <w:r>
        <w:rPr>
          <w:szCs w:val="24"/>
        </w:rPr>
        <w:t>Terry L. Etter, Counsel of Record</w:t>
      </w:r>
    </w:p>
    <w:p w:rsidR="00950010" w:rsidRDefault="00950010" w:rsidP="00EC4993">
      <w:pPr>
        <w:tabs>
          <w:tab w:val="left" w:pos="4320"/>
        </w:tabs>
        <w:ind w:left="4320"/>
        <w:rPr>
          <w:szCs w:val="24"/>
        </w:rPr>
      </w:pPr>
      <w:r>
        <w:rPr>
          <w:szCs w:val="24"/>
        </w:rPr>
        <w:t>Assistant Consumers</w:t>
      </w:r>
      <w:r w:rsidR="008820EC">
        <w:rPr>
          <w:szCs w:val="24"/>
        </w:rPr>
        <w:t>’</w:t>
      </w:r>
      <w:r>
        <w:rPr>
          <w:szCs w:val="24"/>
        </w:rPr>
        <w:t xml:space="preserve"> Counsel</w:t>
      </w:r>
    </w:p>
    <w:p w:rsidR="00950010" w:rsidRDefault="00950010" w:rsidP="00EC4993">
      <w:pPr>
        <w:pStyle w:val="Heading1"/>
        <w:spacing w:before="120"/>
        <w:ind w:left="4320"/>
        <w:rPr>
          <w:u w:val="none"/>
        </w:rPr>
      </w:pPr>
      <w:r>
        <w:rPr>
          <w:u w:val="none"/>
        </w:rPr>
        <w:t>Office of the Ohio Consumers</w:t>
      </w:r>
      <w:r w:rsidR="008820EC">
        <w:rPr>
          <w:u w:val="none"/>
        </w:rPr>
        <w:t>’</w:t>
      </w:r>
      <w:r>
        <w:rPr>
          <w:u w:val="none"/>
        </w:rPr>
        <w:t xml:space="preserve"> Counsel</w:t>
      </w:r>
    </w:p>
    <w:p w:rsidR="00950010" w:rsidRDefault="00950010" w:rsidP="00EC4993">
      <w:pPr>
        <w:pStyle w:val="Heading1"/>
        <w:ind w:left="4320"/>
        <w:rPr>
          <w:b w:val="0"/>
          <w:u w:val="none"/>
        </w:rPr>
      </w:pPr>
      <w:r>
        <w:rPr>
          <w:b w:val="0"/>
          <w:u w:val="none"/>
        </w:rPr>
        <w:t>10 West Broad Street, Suite 1800</w:t>
      </w:r>
    </w:p>
    <w:p w:rsidR="00950010" w:rsidRDefault="00950010" w:rsidP="00EC4993">
      <w:pPr>
        <w:pStyle w:val="Heading1"/>
        <w:ind w:left="4320"/>
        <w:rPr>
          <w:b w:val="0"/>
          <w:u w:val="none"/>
        </w:rPr>
      </w:pPr>
      <w:r>
        <w:rPr>
          <w:b w:val="0"/>
          <w:u w:val="none"/>
        </w:rPr>
        <w:t>Columbus, Ohio 43215-3485</w:t>
      </w:r>
    </w:p>
    <w:p w:rsidR="00950010" w:rsidRPr="009830AB" w:rsidRDefault="00950010" w:rsidP="00950010">
      <w:pPr>
        <w:ind w:left="4320"/>
      </w:pPr>
      <w:r>
        <w:t>(614) 466-7964 (Etter direct)</w:t>
      </w:r>
    </w:p>
    <w:p w:rsidR="00950010" w:rsidRDefault="00891F21" w:rsidP="00EC4993">
      <w:pPr>
        <w:autoSpaceDE w:val="0"/>
        <w:autoSpaceDN w:val="0"/>
        <w:adjustRightInd w:val="0"/>
        <w:ind w:left="4320"/>
        <w:rPr>
          <w:szCs w:val="24"/>
        </w:rPr>
      </w:pPr>
      <w:hyperlink r:id="rId8" w:history="1">
        <w:r w:rsidR="00950010" w:rsidRPr="004E09FD">
          <w:rPr>
            <w:rStyle w:val="Hyperlink"/>
            <w:szCs w:val="24"/>
          </w:rPr>
          <w:t>terry.etter@occ.ohio.gov</w:t>
        </w:r>
      </w:hyperlink>
    </w:p>
    <w:p w:rsidR="00950010" w:rsidRPr="004A2837" w:rsidRDefault="00950010" w:rsidP="00950010">
      <w:pPr>
        <w:autoSpaceDE w:val="0"/>
        <w:autoSpaceDN w:val="0"/>
        <w:adjustRightInd w:val="0"/>
        <w:jc w:val="center"/>
        <w:rPr>
          <w:szCs w:val="24"/>
        </w:rPr>
      </w:pPr>
      <w:r>
        <w:rPr>
          <w:szCs w:val="24"/>
        </w:rPr>
        <w:br w:type="page"/>
      </w:r>
      <w:r>
        <w:rPr>
          <w:b/>
          <w:bCs/>
          <w:u w:val="single"/>
        </w:rPr>
        <w:t>CERTIFICATE OF SERVICE</w:t>
      </w:r>
    </w:p>
    <w:p w:rsidR="00950010" w:rsidRDefault="00950010" w:rsidP="00950010">
      <w:pPr>
        <w:spacing w:line="480" w:lineRule="atLeast"/>
      </w:pPr>
      <w:r>
        <w:tab/>
        <w:t xml:space="preserve">I hereby certify that a copy of </w:t>
      </w:r>
      <w:r w:rsidR="00EC4993">
        <w:t>OCC</w:t>
      </w:r>
      <w:r w:rsidR="008820EC">
        <w:t>’</w:t>
      </w:r>
      <w:r w:rsidR="00EC4993">
        <w:t>s Reply</w:t>
      </w:r>
      <w:r>
        <w:t xml:space="preserve"> Comments was served on the persons stated below via electronic transmission this </w:t>
      </w:r>
      <w:r w:rsidR="0086732C">
        <w:t>3</w:t>
      </w:r>
      <w:r w:rsidR="0086732C" w:rsidRPr="0086732C">
        <w:rPr>
          <w:vertAlign w:val="superscript"/>
        </w:rPr>
        <w:t>rd</w:t>
      </w:r>
      <w:r w:rsidR="0086732C">
        <w:t xml:space="preserve"> </w:t>
      </w:r>
      <w:r>
        <w:t xml:space="preserve">day of </w:t>
      </w:r>
      <w:r w:rsidR="0086732C">
        <w:t xml:space="preserve">March </w:t>
      </w:r>
      <w:r w:rsidR="007E1C59">
        <w:t>2014</w:t>
      </w:r>
      <w:r>
        <w:t>.</w:t>
      </w:r>
    </w:p>
    <w:p w:rsidR="00950010" w:rsidRDefault="00950010" w:rsidP="00950010">
      <w:pPr>
        <w:spacing w:line="480" w:lineRule="atLeast"/>
      </w:pPr>
    </w:p>
    <w:p w:rsidR="00950010" w:rsidRDefault="00950010" w:rsidP="00950010">
      <w:pPr>
        <w:autoSpaceDE w:val="0"/>
        <w:autoSpaceDN w:val="0"/>
        <w:adjustRightInd w:val="0"/>
        <w:ind w:left="4320"/>
        <w:rPr>
          <w:i/>
        </w:rPr>
      </w:pPr>
      <w:r>
        <w:rPr>
          <w:i/>
          <w:u w:val="single"/>
        </w:rPr>
        <w:t>/s/ Terry L. Etter                           </w:t>
      </w:r>
    </w:p>
    <w:p w:rsidR="00950010" w:rsidRDefault="00950010" w:rsidP="00950010">
      <w:pPr>
        <w:tabs>
          <w:tab w:val="left" w:pos="4320"/>
        </w:tabs>
      </w:pPr>
      <w:r>
        <w:tab/>
        <w:t>Terry L. Etter</w:t>
      </w:r>
    </w:p>
    <w:p w:rsidR="00950010" w:rsidRDefault="00950010" w:rsidP="00950010">
      <w:pPr>
        <w:tabs>
          <w:tab w:val="left" w:pos="4320"/>
        </w:tabs>
      </w:pPr>
      <w:r>
        <w:tab/>
        <w:t>Assistant Consumers</w:t>
      </w:r>
      <w:r w:rsidR="008820EC">
        <w:t>’</w:t>
      </w:r>
      <w:r>
        <w:t xml:space="preserve"> Counsel</w:t>
      </w:r>
    </w:p>
    <w:p w:rsidR="00950010" w:rsidRDefault="00950010" w:rsidP="00950010">
      <w:pPr>
        <w:pStyle w:val="CommentSubject"/>
      </w:pPr>
    </w:p>
    <w:p w:rsidR="00950010" w:rsidRDefault="00950010" w:rsidP="00950010">
      <w:pPr>
        <w:pStyle w:val="CommentText"/>
      </w:pPr>
    </w:p>
    <w:p w:rsidR="00950010" w:rsidRDefault="00950010" w:rsidP="00950010">
      <w:pPr>
        <w:pStyle w:val="CommentText"/>
        <w:jc w:val="center"/>
        <w:rPr>
          <w:b/>
          <w:u w:val="single"/>
        </w:rPr>
      </w:pPr>
      <w:r>
        <w:rPr>
          <w:b/>
          <w:u w:val="single"/>
        </w:rPr>
        <w:t>SERVICE LIST</w:t>
      </w:r>
    </w:p>
    <w:p w:rsidR="00950010" w:rsidRDefault="00950010" w:rsidP="00950010">
      <w:pPr>
        <w:pStyle w:val="BodyText"/>
        <w:rPr>
          <w:b/>
          <w:bCs/>
        </w:rPr>
      </w:pPr>
    </w:p>
    <w:p w:rsidR="00950010" w:rsidRPr="00D33C51" w:rsidRDefault="00950010" w:rsidP="00950010">
      <w:pPr>
        <w:rPr>
          <w:vanish/>
        </w:rPr>
      </w:pPr>
    </w:p>
    <w:tbl>
      <w:tblPr>
        <w:tblW w:w="0" w:type="auto"/>
        <w:tblLook w:val="01E0" w:firstRow="1" w:lastRow="1" w:firstColumn="1" w:lastColumn="1" w:noHBand="0" w:noVBand="0"/>
      </w:tblPr>
      <w:tblGrid>
        <w:gridCol w:w="4428"/>
        <w:gridCol w:w="4428"/>
      </w:tblGrid>
      <w:tr w:rsidR="007E1C59" w:rsidRPr="00D33C51" w:rsidTr="006F0D16">
        <w:tc>
          <w:tcPr>
            <w:tcW w:w="4428" w:type="dxa"/>
            <w:shd w:val="clear" w:color="auto" w:fill="auto"/>
          </w:tcPr>
          <w:p w:rsidR="007E1C59" w:rsidRPr="00D33C51" w:rsidRDefault="007E1C59" w:rsidP="00FC34FA">
            <w:pPr>
              <w:pStyle w:val="BodyText"/>
              <w:spacing w:after="0"/>
              <w:rPr>
                <w:bCs/>
              </w:rPr>
            </w:pPr>
            <w:r w:rsidRPr="00D33C51">
              <w:rPr>
                <w:bCs/>
              </w:rPr>
              <w:t>William Wright</w:t>
            </w:r>
          </w:p>
          <w:p w:rsidR="007E1C59" w:rsidRPr="00D33C51" w:rsidRDefault="007E1C59" w:rsidP="00FC34FA">
            <w:pPr>
              <w:pStyle w:val="BodyText"/>
              <w:spacing w:after="0"/>
              <w:rPr>
                <w:bCs/>
              </w:rPr>
            </w:pPr>
            <w:r w:rsidRPr="00D33C51">
              <w:rPr>
                <w:bCs/>
              </w:rPr>
              <w:t>Chief, Public Utilities Section</w:t>
            </w:r>
          </w:p>
          <w:p w:rsidR="007E1C59" w:rsidRPr="00D33C51" w:rsidRDefault="007E1C59" w:rsidP="00FC34FA">
            <w:pPr>
              <w:pStyle w:val="BodyText"/>
              <w:spacing w:after="0"/>
              <w:rPr>
                <w:bCs/>
              </w:rPr>
            </w:pPr>
            <w:r w:rsidRPr="00D33C51">
              <w:rPr>
                <w:bCs/>
              </w:rPr>
              <w:t>Attorney General</w:t>
            </w:r>
            <w:r w:rsidR="008820EC">
              <w:rPr>
                <w:bCs/>
              </w:rPr>
              <w:t>’</w:t>
            </w:r>
            <w:r w:rsidRPr="00D33C51">
              <w:rPr>
                <w:bCs/>
              </w:rPr>
              <w:t xml:space="preserve">s Office  </w:t>
            </w:r>
          </w:p>
          <w:p w:rsidR="007E1C59" w:rsidRPr="00D33C51" w:rsidRDefault="007E1C59" w:rsidP="00FC34FA">
            <w:pPr>
              <w:pStyle w:val="BodyText"/>
              <w:spacing w:after="0"/>
              <w:rPr>
                <w:bCs/>
              </w:rPr>
            </w:pPr>
            <w:smartTag w:uri="urn:schemas-microsoft-com:office:smarttags" w:element="Street">
              <w:smartTag w:uri="urn:schemas-microsoft-com:office:smarttags" w:element="address">
                <w:r w:rsidRPr="00D33C51">
                  <w:rPr>
                    <w:bCs/>
                  </w:rPr>
                  <w:t>180 E. Broad St</w:t>
                </w:r>
              </w:smartTag>
            </w:smartTag>
            <w:r w:rsidRPr="00D33C51">
              <w:rPr>
                <w:bCs/>
              </w:rPr>
              <w:t>, 6</w:t>
            </w:r>
            <w:r w:rsidRPr="00D33C51">
              <w:rPr>
                <w:bCs/>
                <w:vertAlign w:val="superscript"/>
              </w:rPr>
              <w:t>th</w:t>
            </w:r>
            <w:r w:rsidRPr="00D33C51">
              <w:rPr>
                <w:bCs/>
              </w:rPr>
              <w:t xml:space="preserve"> Floor</w:t>
            </w:r>
          </w:p>
          <w:p w:rsidR="007E1C59" w:rsidRPr="00D33C51" w:rsidRDefault="007E1C59" w:rsidP="00FC34FA">
            <w:pPr>
              <w:autoSpaceDE w:val="0"/>
              <w:autoSpaceDN w:val="0"/>
              <w:adjustRightInd w:val="0"/>
              <w:rPr>
                <w:bCs/>
              </w:rPr>
            </w:pPr>
            <w:r w:rsidRPr="00D33C51">
              <w:rPr>
                <w:bCs/>
              </w:rPr>
              <w:t>Columbus, Ohio 43215</w:t>
            </w:r>
          </w:p>
          <w:p w:rsidR="007E1C59" w:rsidRDefault="00891F21" w:rsidP="00FC34FA">
            <w:pPr>
              <w:autoSpaceDE w:val="0"/>
              <w:autoSpaceDN w:val="0"/>
              <w:adjustRightInd w:val="0"/>
              <w:rPr>
                <w:bCs/>
              </w:rPr>
            </w:pPr>
            <w:hyperlink r:id="rId9" w:history="1">
              <w:r w:rsidR="003056EC" w:rsidRPr="008140A3">
                <w:rPr>
                  <w:rStyle w:val="Hyperlink"/>
                  <w:bCs/>
                </w:rPr>
                <w:t>william.wright@puc.state.oh.us</w:t>
              </w:r>
            </w:hyperlink>
          </w:p>
          <w:p w:rsidR="003056EC" w:rsidRPr="00D33C51" w:rsidRDefault="003056EC" w:rsidP="00FC34FA">
            <w:pPr>
              <w:autoSpaceDE w:val="0"/>
              <w:autoSpaceDN w:val="0"/>
              <w:adjustRightInd w:val="0"/>
              <w:rPr>
                <w:bCs/>
              </w:rPr>
            </w:pPr>
          </w:p>
        </w:tc>
        <w:tc>
          <w:tcPr>
            <w:tcW w:w="4428" w:type="dxa"/>
            <w:shd w:val="clear" w:color="auto" w:fill="auto"/>
          </w:tcPr>
          <w:p w:rsidR="007E1C59" w:rsidRDefault="007E1C59" w:rsidP="0022658F">
            <w:pPr>
              <w:rPr>
                <w:rFonts w:eastAsia="Times New Roman" w:cs="Times New Roman"/>
                <w:szCs w:val="24"/>
              </w:rPr>
            </w:pPr>
            <w:r w:rsidRPr="00EC6BC0">
              <w:rPr>
                <w:rFonts w:eastAsia="Times New Roman" w:cs="Times New Roman"/>
                <w:szCs w:val="24"/>
              </w:rPr>
              <w:t>Frank P</w:t>
            </w:r>
            <w:r>
              <w:rPr>
                <w:rFonts w:eastAsia="Times New Roman" w:cs="Times New Roman"/>
                <w:szCs w:val="24"/>
              </w:rPr>
              <w:t>.</w:t>
            </w:r>
            <w:r w:rsidRPr="00EC6BC0">
              <w:rPr>
                <w:rFonts w:eastAsia="Times New Roman" w:cs="Times New Roman"/>
                <w:szCs w:val="24"/>
              </w:rPr>
              <w:t xml:space="preserve"> </w:t>
            </w:r>
            <w:r>
              <w:rPr>
                <w:rFonts w:eastAsia="Times New Roman" w:cs="Times New Roman"/>
                <w:szCs w:val="24"/>
              </w:rPr>
              <w:t>Darr</w:t>
            </w:r>
          </w:p>
          <w:p w:rsidR="007E1C59" w:rsidRDefault="007E1C59" w:rsidP="0022658F">
            <w:pPr>
              <w:rPr>
                <w:rFonts w:eastAsia="Times New Roman" w:cs="Times New Roman"/>
                <w:szCs w:val="24"/>
              </w:rPr>
            </w:pPr>
            <w:r w:rsidRPr="00EC6BC0">
              <w:rPr>
                <w:rFonts w:eastAsia="Times New Roman" w:cs="Times New Roman"/>
                <w:szCs w:val="24"/>
              </w:rPr>
              <w:t xml:space="preserve">McNees, Wallace &amp; Nurick LLC </w:t>
            </w:r>
          </w:p>
          <w:p w:rsidR="007E1C59" w:rsidRDefault="007E1C59" w:rsidP="0022658F">
            <w:pPr>
              <w:rPr>
                <w:rFonts w:eastAsia="Times New Roman" w:cs="Times New Roman"/>
                <w:szCs w:val="24"/>
              </w:rPr>
            </w:pPr>
            <w:r w:rsidRPr="00EC6BC0">
              <w:rPr>
                <w:rFonts w:eastAsia="Times New Roman" w:cs="Times New Roman"/>
                <w:szCs w:val="24"/>
              </w:rPr>
              <w:t>21 E. State Street</w:t>
            </w:r>
            <w:r w:rsidR="00EA26E5">
              <w:rPr>
                <w:rFonts w:eastAsia="Times New Roman" w:cs="Times New Roman"/>
                <w:szCs w:val="24"/>
              </w:rPr>
              <w:t>,</w:t>
            </w:r>
            <w:r w:rsidRPr="00EC6BC0">
              <w:rPr>
                <w:rFonts w:eastAsia="Times New Roman" w:cs="Times New Roman"/>
                <w:szCs w:val="24"/>
              </w:rPr>
              <w:t> 17th Floor</w:t>
            </w:r>
          </w:p>
          <w:p w:rsidR="007E1C59" w:rsidRDefault="007E1C59" w:rsidP="0022658F">
            <w:pPr>
              <w:rPr>
                <w:rFonts w:eastAsia="Times New Roman" w:cs="Times New Roman"/>
                <w:szCs w:val="24"/>
              </w:rPr>
            </w:pPr>
            <w:r>
              <w:rPr>
                <w:rFonts w:eastAsia="Times New Roman" w:cs="Times New Roman"/>
                <w:szCs w:val="24"/>
              </w:rPr>
              <w:t xml:space="preserve">Columbus, Ohio </w:t>
            </w:r>
            <w:r w:rsidRPr="00EC6BC0">
              <w:rPr>
                <w:rFonts w:eastAsia="Times New Roman" w:cs="Times New Roman"/>
                <w:szCs w:val="24"/>
              </w:rPr>
              <w:t>43215</w:t>
            </w:r>
          </w:p>
          <w:p w:rsidR="00EA26E5" w:rsidRDefault="00891F21" w:rsidP="00EA26E5">
            <w:pPr>
              <w:rPr>
                <w:rFonts w:eastAsia="Times New Roman" w:cs="Times New Roman"/>
                <w:szCs w:val="24"/>
              </w:rPr>
            </w:pPr>
            <w:hyperlink r:id="rId10" w:history="1">
              <w:r w:rsidR="003056EC" w:rsidRPr="008140A3">
                <w:rPr>
                  <w:rStyle w:val="Hyperlink"/>
                  <w:rFonts w:eastAsia="Times New Roman" w:cs="Times New Roman"/>
                  <w:szCs w:val="24"/>
                </w:rPr>
                <w:t>fdarr@mwncmh.com</w:t>
              </w:r>
            </w:hyperlink>
          </w:p>
          <w:p w:rsidR="003056EC" w:rsidRPr="00EC6BC0" w:rsidRDefault="003056EC" w:rsidP="00EA26E5">
            <w:pPr>
              <w:rPr>
                <w:rFonts w:eastAsia="Times New Roman" w:cs="Times New Roman"/>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86732C" w:rsidRPr="00337A62" w:rsidTr="00132570">
        <w:tc>
          <w:tcPr>
            <w:tcW w:w="4428" w:type="dxa"/>
          </w:tcPr>
          <w:p w:rsidR="0086732C" w:rsidRPr="00337A62" w:rsidRDefault="0086732C" w:rsidP="00132570">
            <w:pPr>
              <w:autoSpaceDE w:val="0"/>
              <w:autoSpaceDN w:val="0"/>
              <w:adjustRightInd w:val="0"/>
              <w:rPr>
                <w:rFonts w:cs="Times New Roman"/>
                <w:szCs w:val="24"/>
              </w:rPr>
            </w:pPr>
            <w:r w:rsidRPr="00337A62">
              <w:rPr>
                <w:rFonts w:cs="Times New Roman"/>
                <w:szCs w:val="24"/>
              </w:rPr>
              <w:t>Jon F. Kelly</w:t>
            </w:r>
          </w:p>
          <w:p w:rsidR="0086732C" w:rsidRPr="00337A62" w:rsidRDefault="0086732C" w:rsidP="00132570">
            <w:pPr>
              <w:autoSpaceDE w:val="0"/>
              <w:autoSpaceDN w:val="0"/>
              <w:adjustRightInd w:val="0"/>
              <w:rPr>
                <w:rFonts w:cs="Times New Roman"/>
                <w:szCs w:val="24"/>
              </w:rPr>
            </w:pPr>
            <w:r w:rsidRPr="00337A62">
              <w:rPr>
                <w:rFonts w:cs="Times New Roman"/>
                <w:szCs w:val="24"/>
              </w:rPr>
              <w:t>AT&amp;T Services, Inc.</w:t>
            </w:r>
          </w:p>
          <w:p w:rsidR="0086732C" w:rsidRPr="00337A62" w:rsidRDefault="0086732C" w:rsidP="00132570">
            <w:pPr>
              <w:autoSpaceDE w:val="0"/>
              <w:autoSpaceDN w:val="0"/>
              <w:adjustRightInd w:val="0"/>
              <w:rPr>
                <w:rFonts w:cs="Times New Roman"/>
                <w:szCs w:val="24"/>
              </w:rPr>
            </w:pPr>
            <w:r w:rsidRPr="00337A62">
              <w:rPr>
                <w:rFonts w:cs="Times New Roman"/>
                <w:szCs w:val="24"/>
              </w:rPr>
              <w:t>150 E. Gay St., Rm. 4-A</w:t>
            </w:r>
          </w:p>
          <w:p w:rsidR="0086732C" w:rsidRPr="00337A62" w:rsidRDefault="0086732C" w:rsidP="00132570">
            <w:pPr>
              <w:autoSpaceDE w:val="0"/>
              <w:autoSpaceDN w:val="0"/>
              <w:adjustRightInd w:val="0"/>
              <w:rPr>
                <w:rFonts w:cs="Times New Roman"/>
                <w:szCs w:val="24"/>
              </w:rPr>
            </w:pPr>
            <w:r w:rsidRPr="00337A62">
              <w:rPr>
                <w:rFonts w:cs="Times New Roman"/>
                <w:szCs w:val="24"/>
              </w:rPr>
              <w:t>Columbus, Ohio 43215</w:t>
            </w:r>
          </w:p>
          <w:p w:rsidR="0086732C" w:rsidRPr="00337A62" w:rsidRDefault="00891F21" w:rsidP="00132570">
            <w:pPr>
              <w:rPr>
                <w:rFonts w:cs="Times New Roman"/>
                <w:szCs w:val="24"/>
              </w:rPr>
            </w:pPr>
            <w:hyperlink r:id="rId11" w:history="1">
              <w:r w:rsidR="0086732C" w:rsidRPr="00337A62">
                <w:rPr>
                  <w:rStyle w:val="Hyperlink"/>
                  <w:rFonts w:cs="Times New Roman"/>
                  <w:szCs w:val="24"/>
                </w:rPr>
                <w:t>jk2961@att.com</w:t>
              </w:r>
            </w:hyperlink>
          </w:p>
          <w:p w:rsidR="0086732C" w:rsidRPr="00337A62" w:rsidRDefault="0086732C" w:rsidP="00132570">
            <w:pPr>
              <w:rPr>
                <w:rFonts w:cs="Times New Roman"/>
                <w:szCs w:val="24"/>
              </w:rPr>
            </w:pPr>
          </w:p>
        </w:tc>
        <w:tc>
          <w:tcPr>
            <w:tcW w:w="4428" w:type="dxa"/>
          </w:tcPr>
          <w:p w:rsidR="0086732C" w:rsidRDefault="003056EC" w:rsidP="003056EC">
            <w:pPr>
              <w:rPr>
                <w:rFonts w:cs="Times New Roman"/>
                <w:szCs w:val="24"/>
              </w:rPr>
            </w:pPr>
            <w:r>
              <w:rPr>
                <w:rFonts w:cs="Times New Roman"/>
                <w:szCs w:val="24"/>
              </w:rPr>
              <w:t>Charles R. Moses</w:t>
            </w:r>
          </w:p>
          <w:p w:rsidR="003056EC" w:rsidRDefault="003056EC" w:rsidP="003056EC">
            <w:pPr>
              <w:rPr>
                <w:rFonts w:cs="Times New Roman"/>
                <w:szCs w:val="24"/>
              </w:rPr>
            </w:pPr>
            <w:r>
              <w:rPr>
                <w:rFonts w:cs="Times New Roman"/>
                <w:szCs w:val="24"/>
              </w:rPr>
              <w:t>Ohio Telecom Association</w:t>
            </w:r>
          </w:p>
          <w:p w:rsidR="003056EC" w:rsidRDefault="003056EC" w:rsidP="003056EC">
            <w:pPr>
              <w:rPr>
                <w:rFonts w:cs="Times New Roman"/>
                <w:szCs w:val="24"/>
              </w:rPr>
            </w:pPr>
            <w:r>
              <w:rPr>
                <w:rFonts w:cs="Times New Roman"/>
                <w:szCs w:val="24"/>
              </w:rPr>
              <w:t>17 South High Street, Suite 600</w:t>
            </w:r>
          </w:p>
          <w:p w:rsidR="003056EC" w:rsidRDefault="003056EC" w:rsidP="003056EC">
            <w:pPr>
              <w:rPr>
                <w:rFonts w:cs="Times New Roman"/>
                <w:szCs w:val="24"/>
              </w:rPr>
            </w:pPr>
            <w:r>
              <w:rPr>
                <w:rFonts w:cs="Times New Roman"/>
                <w:szCs w:val="24"/>
              </w:rPr>
              <w:t>Columbus, Ohio  43215</w:t>
            </w:r>
          </w:p>
          <w:p w:rsidR="003056EC" w:rsidRDefault="00891F21" w:rsidP="003056EC">
            <w:pPr>
              <w:rPr>
                <w:rFonts w:cs="Times New Roman"/>
                <w:szCs w:val="24"/>
              </w:rPr>
            </w:pPr>
            <w:hyperlink r:id="rId12" w:history="1">
              <w:r w:rsidR="003056EC" w:rsidRPr="008140A3">
                <w:rPr>
                  <w:rStyle w:val="Hyperlink"/>
                  <w:rFonts w:cs="Times New Roman"/>
                  <w:szCs w:val="24"/>
                </w:rPr>
                <w:t>moses@ohiotelecom.com</w:t>
              </w:r>
            </w:hyperlink>
          </w:p>
          <w:p w:rsidR="003056EC" w:rsidRPr="00337A62" w:rsidRDefault="003056EC" w:rsidP="003056EC">
            <w:pPr>
              <w:rPr>
                <w:rFonts w:cs="Times New Roman"/>
                <w:szCs w:val="24"/>
              </w:rPr>
            </w:pPr>
          </w:p>
        </w:tc>
      </w:tr>
      <w:tr w:rsidR="003056EC" w:rsidRPr="00337A62" w:rsidTr="00132570">
        <w:tc>
          <w:tcPr>
            <w:tcW w:w="4428" w:type="dxa"/>
          </w:tcPr>
          <w:p w:rsidR="003056EC" w:rsidRPr="00337A62" w:rsidRDefault="003056EC" w:rsidP="003056EC">
            <w:pPr>
              <w:rPr>
                <w:rFonts w:cs="Times New Roman"/>
                <w:szCs w:val="24"/>
              </w:rPr>
            </w:pPr>
            <w:r w:rsidRPr="00337A62">
              <w:rPr>
                <w:rFonts w:cs="Times New Roman"/>
                <w:szCs w:val="24"/>
              </w:rPr>
              <w:t>Attorney Examiner:</w:t>
            </w:r>
          </w:p>
          <w:p w:rsidR="003056EC" w:rsidRPr="00337A62" w:rsidRDefault="003056EC" w:rsidP="003056EC">
            <w:pPr>
              <w:rPr>
                <w:rFonts w:cs="Times New Roman"/>
                <w:szCs w:val="24"/>
              </w:rPr>
            </w:pPr>
          </w:p>
          <w:p w:rsidR="003056EC" w:rsidRPr="00337A62" w:rsidRDefault="00891F21" w:rsidP="003056EC">
            <w:pPr>
              <w:rPr>
                <w:rFonts w:cs="Times New Roman"/>
                <w:szCs w:val="24"/>
              </w:rPr>
            </w:pPr>
            <w:hyperlink r:id="rId13" w:history="1">
              <w:r w:rsidR="003056EC" w:rsidRPr="00337A62">
                <w:rPr>
                  <w:rStyle w:val="Hyperlink"/>
                  <w:rFonts w:cs="Times New Roman"/>
                  <w:szCs w:val="24"/>
                </w:rPr>
                <w:t>Jay.Agranoff@puc.state.oh.us</w:t>
              </w:r>
            </w:hyperlink>
          </w:p>
          <w:p w:rsidR="003056EC" w:rsidRPr="00337A62" w:rsidRDefault="003056EC" w:rsidP="00132570">
            <w:pPr>
              <w:autoSpaceDE w:val="0"/>
              <w:autoSpaceDN w:val="0"/>
              <w:adjustRightInd w:val="0"/>
              <w:rPr>
                <w:rFonts w:cs="Times New Roman"/>
                <w:szCs w:val="24"/>
              </w:rPr>
            </w:pPr>
          </w:p>
        </w:tc>
        <w:tc>
          <w:tcPr>
            <w:tcW w:w="4428" w:type="dxa"/>
          </w:tcPr>
          <w:p w:rsidR="003056EC" w:rsidRPr="00337A62" w:rsidRDefault="003056EC" w:rsidP="00132570">
            <w:pPr>
              <w:rPr>
                <w:rFonts w:cs="Times New Roman"/>
                <w:szCs w:val="24"/>
              </w:rPr>
            </w:pPr>
          </w:p>
        </w:tc>
      </w:tr>
    </w:tbl>
    <w:p w:rsidR="00CB315A" w:rsidRDefault="00CB315A" w:rsidP="00CB315A"/>
    <w:sectPr w:rsidR="00CB315A" w:rsidSect="00F95FBB">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7D" w:rsidRDefault="008B5B7D" w:rsidP="00AD0F5B">
      <w:r>
        <w:separator/>
      </w:r>
    </w:p>
  </w:endnote>
  <w:endnote w:type="continuationSeparator" w:id="0">
    <w:p w:rsidR="008B5B7D" w:rsidRDefault="008B5B7D" w:rsidP="00AD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10" w:rsidRDefault="009500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50010" w:rsidRDefault="00950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10" w:rsidRDefault="00950010">
    <w:pPr>
      <w:pStyle w:val="Footer"/>
      <w:jc w:val="center"/>
      <w:rPr>
        <w:sz w:val="24"/>
        <w:szCs w:val="24"/>
      </w:rPr>
    </w:pPr>
    <w:r>
      <w:rPr>
        <w:rStyle w:val="PageNumber"/>
        <w:szCs w:val="24"/>
      </w:rPr>
      <w:fldChar w:fldCharType="begin"/>
    </w:r>
    <w:r>
      <w:rPr>
        <w:rStyle w:val="PageNumber"/>
        <w:szCs w:val="24"/>
      </w:rPr>
      <w:instrText xml:space="preserve"> PAGE </w:instrText>
    </w:r>
    <w:r>
      <w:rPr>
        <w:rStyle w:val="PageNumber"/>
        <w:szCs w:val="24"/>
      </w:rPr>
      <w:fldChar w:fldCharType="separate"/>
    </w:r>
    <w:r w:rsidR="00891F21">
      <w:rPr>
        <w:rStyle w:val="PageNumber"/>
        <w:noProof/>
        <w:szCs w:val="24"/>
      </w:rPr>
      <w:t>2</w:t>
    </w:r>
    <w:r>
      <w:rPr>
        <w:rStyle w:val="PageNumbe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9C" w:rsidRDefault="009F1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7D" w:rsidRDefault="008B5B7D" w:rsidP="00AD0F5B">
      <w:r>
        <w:separator/>
      </w:r>
    </w:p>
  </w:footnote>
  <w:footnote w:type="continuationSeparator" w:id="0">
    <w:p w:rsidR="008B5B7D" w:rsidRDefault="008B5B7D" w:rsidP="00AD0F5B">
      <w:r>
        <w:continuationSeparator/>
      </w:r>
    </w:p>
  </w:footnote>
  <w:footnote w:id="1">
    <w:p w:rsidR="00D92A8C" w:rsidRDefault="00D92A8C" w:rsidP="00D92A8C">
      <w:pPr>
        <w:pStyle w:val="FootnoteText"/>
      </w:pPr>
      <w:r>
        <w:rPr>
          <w:rStyle w:val="FootnoteReference"/>
        </w:rPr>
        <w:footnoteRef/>
      </w:r>
      <w:r>
        <w:t xml:space="preserve"> </w:t>
      </w:r>
      <w:r w:rsidRPr="00A42FEF">
        <w:rPr>
          <w:i/>
        </w:rPr>
        <w:t>Connect America Fund</w:t>
      </w:r>
      <w:r>
        <w:t xml:space="preserve">, </w:t>
      </w:r>
      <w:r w:rsidRPr="00AD5F66">
        <w:t xml:space="preserve">FCC </w:t>
      </w:r>
      <w:r w:rsidRPr="00AD5F66">
        <w:rPr>
          <w:spacing w:val="-2"/>
        </w:rPr>
        <w:t>WC Docket No. 10-90,</w:t>
      </w:r>
      <w:r>
        <w:rPr>
          <w:spacing w:val="-2"/>
          <w:sz w:val="22"/>
          <w:szCs w:val="22"/>
        </w:rPr>
        <w:t xml:space="preserve"> </w:t>
      </w:r>
      <w:r w:rsidRPr="00A42FEF">
        <w:rPr>
          <w:spacing w:val="-2"/>
        </w:rPr>
        <w:t xml:space="preserve">Report </w:t>
      </w:r>
      <w:r>
        <w:rPr>
          <w:spacing w:val="-2"/>
        </w:rPr>
        <w:t>a</w:t>
      </w:r>
      <w:r w:rsidRPr="00A42FEF">
        <w:rPr>
          <w:spacing w:val="-2"/>
        </w:rPr>
        <w:t xml:space="preserve">nd Order </w:t>
      </w:r>
      <w:r>
        <w:rPr>
          <w:spacing w:val="-2"/>
        </w:rPr>
        <w:t>a</w:t>
      </w:r>
      <w:r w:rsidRPr="00A42FEF">
        <w:rPr>
          <w:spacing w:val="-2"/>
        </w:rPr>
        <w:t xml:space="preserve">nd Further Notice </w:t>
      </w:r>
      <w:r>
        <w:rPr>
          <w:spacing w:val="-2"/>
        </w:rPr>
        <w:t>o</w:t>
      </w:r>
      <w:r w:rsidRPr="00A42FEF">
        <w:rPr>
          <w:spacing w:val="-2"/>
        </w:rPr>
        <w:t>f Proposed Rulemaking</w:t>
      </w:r>
      <w:r>
        <w:rPr>
          <w:spacing w:val="-2"/>
        </w:rPr>
        <w:t>, FCC 11-161, released November 18, 2011</w:t>
      </w:r>
      <w:r w:rsidR="00C93E60">
        <w:rPr>
          <w:spacing w:val="-2"/>
        </w:rPr>
        <w:t xml:space="preserve"> (</w:t>
      </w:r>
      <w:r w:rsidR="008820EC">
        <w:rPr>
          <w:spacing w:val="-2"/>
        </w:rPr>
        <w:t>“</w:t>
      </w:r>
      <w:r w:rsidR="00C93E60">
        <w:rPr>
          <w:i/>
          <w:spacing w:val="-2"/>
        </w:rPr>
        <w:t>Transformation Order</w:t>
      </w:r>
      <w:r w:rsidR="008820EC">
        <w:rPr>
          <w:spacing w:val="-2"/>
        </w:rPr>
        <w:t>”</w:t>
      </w:r>
      <w:r w:rsidR="00C93E60">
        <w:rPr>
          <w:spacing w:val="-2"/>
        </w:rPr>
        <w:t>)</w:t>
      </w:r>
      <w:r>
        <w:rPr>
          <w:spacing w:val="-2"/>
        </w:rPr>
        <w:t xml:space="preserve">, </w:t>
      </w:r>
      <w:r>
        <w:t>¶ 239</w:t>
      </w:r>
      <w:r>
        <w:rPr>
          <w:spacing w:val="-2"/>
        </w:rPr>
        <w:t>.</w:t>
      </w:r>
    </w:p>
  </w:footnote>
  <w:footnote w:id="2">
    <w:p w:rsidR="00D92A8C" w:rsidRDefault="00D92A8C" w:rsidP="00D92A8C">
      <w:pPr>
        <w:pStyle w:val="FootnoteText"/>
      </w:pPr>
      <w:r>
        <w:rPr>
          <w:rStyle w:val="FootnoteReference"/>
        </w:rPr>
        <w:footnoteRef/>
      </w:r>
      <w:r>
        <w:t xml:space="preserve"> See Application (February 3, 2014), Exhibit C at 1, 2.</w:t>
      </w:r>
    </w:p>
  </w:footnote>
  <w:footnote w:id="3">
    <w:p w:rsidR="00171878" w:rsidRDefault="00171878">
      <w:pPr>
        <w:pStyle w:val="FootnoteText"/>
      </w:pPr>
      <w:r>
        <w:rPr>
          <w:rStyle w:val="FootnoteReference"/>
        </w:rPr>
        <w:footnoteRef/>
      </w:r>
      <w:r>
        <w:t xml:space="preserve"> Id. at 1-2.</w:t>
      </w:r>
    </w:p>
  </w:footnote>
  <w:footnote w:id="4">
    <w:p w:rsidR="008653BF" w:rsidRDefault="008653BF">
      <w:pPr>
        <w:pStyle w:val="FootnoteText"/>
      </w:pPr>
      <w:r>
        <w:rPr>
          <w:rStyle w:val="FootnoteReference"/>
        </w:rPr>
        <w:footnoteRef/>
      </w:r>
      <w:r>
        <w:t xml:space="preserve"> </w:t>
      </w:r>
      <w:r w:rsidRPr="008653BF">
        <w:rPr>
          <w:i/>
        </w:rPr>
        <w:t>In the Matter of Middle Point Home Telephone Company to Obtain BLES Pricing Flexibility</w:t>
      </w:r>
      <w:r>
        <w:t>, Case No. 13-1249-TP-BLS.</w:t>
      </w:r>
    </w:p>
  </w:footnote>
  <w:footnote w:id="5">
    <w:p w:rsidR="001B7817" w:rsidRDefault="001B7817">
      <w:pPr>
        <w:pStyle w:val="FootnoteText"/>
      </w:pPr>
      <w:r>
        <w:rPr>
          <w:rStyle w:val="FootnoteReference"/>
        </w:rPr>
        <w:footnoteRef/>
      </w:r>
      <w:r>
        <w:t xml:space="preserve"> </w:t>
      </w:r>
      <w:r w:rsidR="00A42FEF">
        <w:t xml:space="preserve">See </w:t>
      </w:r>
      <w:r>
        <w:t>R.C. 4927.12(C)</w:t>
      </w:r>
      <w:r w:rsidR="00A42FEF">
        <w:t>(1)(b)</w:t>
      </w:r>
      <w:r>
        <w:t>.</w:t>
      </w:r>
    </w:p>
  </w:footnote>
  <w:footnote w:id="6">
    <w:p w:rsidR="00D92A8C" w:rsidRDefault="00D92A8C" w:rsidP="00D92A8C">
      <w:pPr>
        <w:pStyle w:val="FootnoteText"/>
      </w:pPr>
      <w:r>
        <w:rPr>
          <w:rStyle w:val="FootnoteReference"/>
        </w:rPr>
        <w:footnoteRef/>
      </w:r>
      <w:r>
        <w:t xml:space="preserve"> Application, Exhibit C at 3.</w:t>
      </w:r>
    </w:p>
  </w:footnote>
  <w:footnote w:id="7">
    <w:p w:rsidR="00001E40" w:rsidRDefault="00001E40" w:rsidP="00001E40">
      <w:pPr>
        <w:pStyle w:val="FootnoteText"/>
      </w:pPr>
      <w:r>
        <w:rPr>
          <w:rStyle w:val="FootnoteReference"/>
        </w:rPr>
        <w:footnoteRef/>
      </w:r>
      <w:r>
        <w:t xml:space="preserve"> See Entry (February 7, 2014) at 2.</w:t>
      </w:r>
      <w:r w:rsidR="00EA4F2A">
        <w:t xml:space="preserve">  The Entry also set the February 28, 2014 as the deadline for reply comments in this proceeding.  Id.  But the PUCO</w:t>
      </w:r>
      <w:r w:rsidR="008820EC">
        <w:t>’</w:t>
      </w:r>
      <w:r w:rsidR="00EA4F2A">
        <w:t xml:space="preserve">s offices were closed on February 28, 2014 due to a power outage.  Per Ohio Adm. Code 4901-1-7(D), </w:t>
      </w:r>
      <w:r w:rsidR="008820EC">
        <w:t>“</w:t>
      </w:r>
      <w:r w:rsidR="00EA4F2A">
        <w:t>[i]f the commission office is closed to the public for the entire day that constitutes the last day for doing an act or closes before its usual closing time on that day, the act may be performed on the next succeeding day that is not a Saturday, Sunday, or legal holiday.</w:t>
      </w:r>
      <w:r w:rsidR="008820EC">
        <w:t>”</w:t>
      </w:r>
      <w:r w:rsidR="00EA4F2A">
        <w:t xml:space="preserve">  </w:t>
      </w:r>
      <w:r w:rsidR="00EA4F2A" w:rsidRPr="00F24555">
        <w:t xml:space="preserve">The PUCO extended the deadline for filings due on February 28, 2014 until March 3, 2014.  See </w:t>
      </w:r>
      <w:r w:rsidR="00EA4F2A" w:rsidRPr="00F24555">
        <w:rPr>
          <w:i/>
        </w:rPr>
        <w:t>In the Matter of the Extension of Filing Dates for Pleadings and Other Papers Due to a Building Emergency</w:t>
      </w:r>
      <w:r w:rsidR="00EA4F2A" w:rsidRPr="00F24555">
        <w:t>, Case No. 14-</w:t>
      </w:r>
      <w:r w:rsidR="00F24555">
        <w:t>38</w:t>
      </w:r>
      <w:r w:rsidR="00EA4F2A" w:rsidRPr="00F24555">
        <w:t>-AU-UNC, Entry (March 3, 2014).</w:t>
      </w:r>
    </w:p>
  </w:footnote>
  <w:footnote w:id="8">
    <w:p w:rsidR="00C93E60" w:rsidRPr="00C93E60" w:rsidRDefault="00C93E60">
      <w:pPr>
        <w:pStyle w:val="FootnoteText"/>
      </w:pPr>
      <w:r>
        <w:rPr>
          <w:rStyle w:val="FootnoteReference"/>
        </w:rPr>
        <w:footnoteRef/>
      </w:r>
      <w:r>
        <w:t xml:space="preserve"> OCC Comments at </w:t>
      </w:r>
      <w:r w:rsidR="005F1F84">
        <w:t>4</w:t>
      </w:r>
      <w:r>
        <w:t xml:space="preserve">, citing </w:t>
      </w:r>
      <w:r>
        <w:rPr>
          <w:i/>
        </w:rPr>
        <w:t>Transformation Order</w:t>
      </w:r>
      <w:r>
        <w:t>, ¶ 235.</w:t>
      </w:r>
    </w:p>
  </w:footnote>
  <w:footnote w:id="9">
    <w:p w:rsidR="00C93E60" w:rsidRDefault="00C93E60" w:rsidP="00C93E60">
      <w:pPr>
        <w:pStyle w:val="FootnoteText"/>
      </w:pPr>
      <w:r>
        <w:rPr>
          <w:rStyle w:val="FootnoteReference"/>
        </w:rPr>
        <w:footnoteRef/>
      </w:r>
      <w:r>
        <w:t xml:space="preserve"> Id.</w:t>
      </w:r>
      <w:r w:rsidR="00B97D3F">
        <w:t xml:space="preserve"> at </w:t>
      </w:r>
      <w:r w:rsidR="005F1F84">
        <w:t>5</w:t>
      </w:r>
      <w:r>
        <w:t>,</w:t>
      </w:r>
      <w:r w:rsidR="00B97D3F">
        <w:t xml:space="preserve"> citing </w:t>
      </w:r>
      <w:r w:rsidR="00B97D3F">
        <w:rPr>
          <w:i/>
        </w:rPr>
        <w:t>Transformation Order</w:t>
      </w:r>
      <w:r w:rsidR="00B97D3F">
        <w:t xml:space="preserve">, </w:t>
      </w:r>
      <w:r>
        <w:t>¶ 242.</w:t>
      </w:r>
    </w:p>
  </w:footnote>
  <w:footnote w:id="10">
    <w:p w:rsidR="005E6824" w:rsidRDefault="005E6824">
      <w:pPr>
        <w:pStyle w:val="FootnoteText"/>
      </w:pPr>
      <w:r>
        <w:rPr>
          <w:rStyle w:val="FootnoteReference"/>
        </w:rPr>
        <w:footnoteRef/>
      </w:r>
      <w:r>
        <w:t xml:space="preserve"> </w:t>
      </w:r>
      <w:r w:rsidR="005F1F84">
        <w:t>Id. at 8.</w:t>
      </w:r>
    </w:p>
  </w:footnote>
  <w:footnote w:id="11">
    <w:p w:rsidR="00001E40" w:rsidRDefault="00001E40">
      <w:pPr>
        <w:pStyle w:val="FootnoteText"/>
      </w:pPr>
      <w:r>
        <w:rPr>
          <w:rStyle w:val="FootnoteReference"/>
        </w:rPr>
        <w:footnoteRef/>
      </w:r>
      <w:r>
        <w:t xml:space="preserve"> </w:t>
      </w:r>
      <w:r w:rsidR="005F1F84">
        <w:t>Id.</w:t>
      </w:r>
    </w:p>
  </w:footnote>
  <w:footnote w:id="12">
    <w:p w:rsidR="005F1F84" w:rsidRDefault="005F1F84">
      <w:pPr>
        <w:pStyle w:val="FootnoteText"/>
      </w:pPr>
      <w:r>
        <w:rPr>
          <w:rStyle w:val="FootnoteReference"/>
        </w:rPr>
        <w:footnoteRef/>
      </w:r>
      <w:r>
        <w:t xml:space="preserve"> Id.</w:t>
      </w:r>
    </w:p>
  </w:footnote>
  <w:footnote w:id="13">
    <w:p w:rsidR="005E6824" w:rsidRDefault="005E6824">
      <w:pPr>
        <w:pStyle w:val="FootnoteText"/>
      </w:pPr>
      <w:r>
        <w:rPr>
          <w:rStyle w:val="FootnoteReference"/>
        </w:rPr>
        <w:footnoteRef/>
      </w:r>
      <w:r>
        <w:t xml:space="preserve"> </w:t>
      </w:r>
      <w:r w:rsidR="005F1F84">
        <w:t>Id. at 7.</w:t>
      </w:r>
    </w:p>
  </w:footnote>
  <w:footnote w:id="14">
    <w:p w:rsidR="005E6824" w:rsidRDefault="005E6824">
      <w:pPr>
        <w:pStyle w:val="FootnoteText"/>
      </w:pPr>
      <w:r>
        <w:rPr>
          <w:rStyle w:val="FootnoteReference"/>
        </w:rPr>
        <w:footnoteRef/>
      </w:r>
      <w:r>
        <w:t xml:space="preserve"> </w:t>
      </w:r>
      <w:r w:rsidR="005F1F84">
        <w:t>Id.</w:t>
      </w:r>
    </w:p>
  </w:footnote>
  <w:footnote w:id="15">
    <w:p w:rsidR="00B37A7E" w:rsidRDefault="00B37A7E">
      <w:pPr>
        <w:pStyle w:val="FootnoteText"/>
      </w:pPr>
      <w:r>
        <w:rPr>
          <w:rStyle w:val="FootnoteReference"/>
        </w:rPr>
        <w:footnoteRef/>
      </w:r>
      <w:r>
        <w:t xml:space="preserve"> The AT&amp;T Entities are The Ohio Bell Telephone Company, AT&amp;T Corp., Teleport Communications America LLC, and New Cingular Wireless PCS LLC.  See AT&amp;T Comments at 1, n. 1.</w:t>
      </w:r>
    </w:p>
  </w:footnote>
  <w:footnote w:id="16">
    <w:p w:rsidR="00E701FF" w:rsidRDefault="00E701FF">
      <w:pPr>
        <w:pStyle w:val="FootnoteText"/>
      </w:pPr>
      <w:r>
        <w:rPr>
          <w:rStyle w:val="FootnoteReference"/>
        </w:rPr>
        <w:footnoteRef/>
      </w:r>
      <w:r>
        <w:t xml:space="preserve"> </w:t>
      </w:r>
      <w:r w:rsidR="00B37A7E">
        <w:t>Id.</w:t>
      </w:r>
      <w:r>
        <w:t xml:space="preserve"> at 3; OTA letter at 2.</w:t>
      </w:r>
    </w:p>
  </w:footnote>
  <w:footnote w:id="17">
    <w:p w:rsidR="00B25C0E" w:rsidRDefault="00B25C0E">
      <w:pPr>
        <w:pStyle w:val="FootnoteText"/>
      </w:pPr>
      <w:r>
        <w:rPr>
          <w:rStyle w:val="FootnoteReference"/>
        </w:rPr>
        <w:footnoteRef/>
      </w:r>
      <w:r>
        <w:t xml:space="preserve"> OTA letter at 2.</w:t>
      </w:r>
    </w:p>
  </w:footnote>
  <w:footnote w:id="18">
    <w:p w:rsidR="00B25C0E" w:rsidRDefault="00B25C0E">
      <w:pPr>
        <w:pStyle w:val="FootnoteText"/>
      </w:pPr>
      <w:r>
        <w:rPr>
          <w:rStyle w:val="FootnoteReference"/>
        </w:rPr>
        <w:footnoteRef/>
      </w:r>
      <w:r>
        <w:t xml:space="preserve"> Id.</w:t>
      </w:r>
    </w:p>
  </w:footnote>
  <w:footnote w:id="19">
    <w:p w:rsidR="00A05823" w:rsidRDefault="00A05823" w:rsidP="00A05823">
      <w:pPr>
        <w:pStyle w:val="FootnoteText"/>
      </w:pPr>
      <w:r>
        <w:rPr>
          <w:rStyle w:val="FootnoteReference"/>
        </w:rPr>
        <w:footnoteRef/>
      </w:r>
      <w:r>
        <w:t xml:space="preserve"> OCC Comments at </w:t>
      </w:r>
      <w:r w:rsidR="00183256">
        <w:t>9</w:t>
      </w:r>
      <w:r>
        <w:t xml:space="preserve">, citing </w:t>
      </w:r>
      <w:r>
        <w:rPr>
          <w:i/>
        </w:rPr>
        <w:t>Transformation Order</w:t>
      </w:r>
      <w:r>
        <w:t>, ¶ 539.</w:t>
      </w:r>
    </w:p>
  </w:footnote>
  <w:footnote w:id="20">
    <w:p w:rsidR="00E657B2" w:rsidRDefault="00E657B2" w:rsidP="00E657B2">
      <w:pPr>
        <w:pStyle w:val="FootnoteText"/>
      </w:pPr>
      <w:r>
        <w:rPr>
          <w:rStyle w:val="FootnoteReference"/>
        </w:rPr>
        <w:footnoteRef/>
      </w:r>
      <w:r>
        <w:t xml:space="preserve"> Id., </w:t>
      </w:r>
      <w:r w:rsidR="001A3BAA">
        <w:t xml:space="preserve">citing </w:t>
      </w:r>
      <w:r w:rsidR="001A3BAA">
        <w:rPr>
          <w:i/>
        </w:rPr>
        <w:t>Transformation Order</w:t>
      </w:r>
      <w:r w:rsidR="001A3BAA">
        <w:t xml:space="preserve">, </w:t>
      </w:r>
      <w:r>
        <w:t>¶ 540.</w:t>
      </w:r>
    </w:p>
  </w:footnote>
  <w:footnote w:id="21">
    <w:p w:rsidR="00E657B2" w:rsidRDefault="00E657B2" w:rsidP="00E657B2">
      <w:pPr>
        <w:pStyle w:val="FootnoteText"/>
      </w:pPr>
      <w:r>
        <w:rPr>
          <w:rStyle w:val="FootnoteReference"/>
        </w:rPr>
        <w:footnoteRef/>
      </w:r>
      <w:r>
        <w:t xml:space="preserve"> Id.</w:t>
      </w:r>
    </w:p>
  </w:footnote>
  <w:footnote w:id="22">
    <w:p w:rsidR="001A3BAA" w:rsidRDefault="001A3BAA">
      <w:pPr>
        <w:pStyle w:val="FootnoteText"/>
      </w:pPr>
      <w:r>
        <w:rPr>
          <w:rStyle w:val="FootnoteReference"/>
        </w:rPr>
        <w:footnoteRef/>
      </w:r>
      <w:r>
        <w:t xml:space="preserve"> Id. </w:t>
      </w:r>
    </w:p>
  </w:footnote>
  <w:footnote w:id="23">
    <w:p w:rsidR="001A3BAA" w:rsidRDefault="001A3BAA">
      <w:pPr>
        <w:pStyle w:val="FootnoteText"/>
      </w:pPr>
      <w:r>
        <w:rPr>
          <w:rStyle w:val="FootnoteReference"/>
        </w:rPr>
        <w:footnoteRef/>
      </w:r>
      <w:r>
        <w:t xml:space="preserve"> See R.C. 4927.03(D).</w:t>
      </w:r>
    </w:p>
  </w:footnote>
  <w:footnote w:id="24">
    <w:p w:rsidR="00C8633F" w:rsidRDefault="00C8633F">
      <w:pPr>
        <w:pStyle w:val="FootnoteText"/>
      </w:pPr>
      <w:r>
        <w:rPr>
          <w:rStyle w:val="FootnoteReference"/>
        </w:rPr>
        <w:footnoteRef/>
      </w:r>
      <w:r>
        <w:t xml:space="preserve"> OTA Letter at 2.</w:t>
      </w:r>
    </w:p>
  </w:footnote>
  <w:footnote w:id="25">
    <w:p w:rsidR="00341E69" w:rsidRDefault="00341E69">
      <w:pPr>
        <w:pStyle w:val="FootnoteText"/>
      </w:pPr>
      <w:r>
        <w:rPr>
          <w:rStyle w:val="FootnoteReference"/>
        </w:rPr>
        <w:footnoteRef/>
      </w:r>
      <w:r>
        <w:t xml:space="preserve"> </w:t>
      </w:r>
      <w:r w:rsidRPr="002A7AD5">
        <w:rPr>
          <w:i/>
        </w:rPr>
        <w:t>In the Matter of Intrastate Carrier Access Reform Pursuant to S.B. 162</w:t>
      </w:r>
      <w:r>
        <w:t>, Case No. 10-2387-TP-COI, Entry (February 29, 2012)</w:t>
      </w:r>
      <w:r w:rsidR="002A7AD5">
        <w:t xml:space="preserve"> (</w:t>
      </w:r>
      <w:r w:rsidR="008820EC">
        <w:t>“</w:t>
      </w:r>
      <w:r w:rsidR="006448CF">
        <w:t>Access Charge</w:t>
      </w:r>
      <w:r w:rsidR="002A7AD5">
        <w:t xml:space="preserve"> Entry</w:t>
      </w:r>
      <w:r w:rsidR="008820EC">
        <w:t>”</w:t>
      </w:r>
      <w:r w:rsidR="002A7AD5">
        <w:t>)</w:t>
      </w:r>
      <w:r>
        <w:t>.</w:t>
      </w:r>
    </w:p>
  </w:footnote>
  <w:footnote w:id="26">
    <w:p w:rsidR="00341E69" w:rsidRDefault="00341E69">
      <w:pPr>
        <w:pStyle w:val="FootnoteText"/>
      </w:pPr>
      <w:r>
        <w:rPr>
          <w:rStyle w:val="FootnoteReference"/>
        </w:rPr>
        <w:footnoteRef/>
      </w:r>
      <w:r>
        <w:t xml:space="preserve"> AT&amp;T Comments at 2.</w:t>
      </w:r>
    </w:p>
  </w:footnote>
  <w:footnote w:id="27">
    <w:p w:rsidR="002A7AD5" w:rsidRDefault="002A7AD5">
      <w:pPr>
        <w:pStyle w:val="FootnoteText"/>
      </w:pPr>
      <w:r>
        <w:rPr>
          <w:rStyle w:val="FootnoteReference"/>
        </w:rPr>
        <w:footnoteRef/>
      </w:r>
      <w:r>
        <w:t xml:space="preserve"> </w:t>
      </w:r>
      <w:r w:rsidR="006448CF">
        <w:t xml:space="preserve">Access Charge </w:t>
      </w:r>
      <w:r>
        <w:t>Entry at 2 (emphasis added).</w:t>
      </w:r>
    </w:p>
  </w:footnote>
  <w:footnote w:id="28">
    <w:p w:rsidR="002A7AD5" w:rsidRDefault="002A7AD5">
      <w:pPr>
        <w:pStyle w:val="FootnoteText"/>
      </w:pPr>
      <w:r>
        <w:rPr>
          <w:rStyle w:val="FootnoteReference"/>
        </w:rPr>
        <w:footnoteRef/>
      </w:r>
      <w:r>
        <w:t xml:space="preserve"> Id.</w:t>
      </w:r>
    </w:p>
  </w:footnote>
  <w:footnote w:id="29">
    <w:p w:rsidR="004C24C8" w:rsidRDefault="004C24C8">
      <w:pPr>
        <w:pStyle w:val="FootnoteText"/>
      </w:pPr>
      <w:r>
        <w:rPr>
          <w:rStyle w:val="FootnoteReference"/>
        </w:rPr>
        <w:footnoteRef/>
      </w:r>
      <w:r>
        <w:t xml:space="preserve"> Id.</w:t>
      </w:r>
    </w:p>
  </w:footnote>
  <w:footnote w:id="30">
    <w:p w:rsidR="001D213F" w:rsidRDefault="001D213F" w:rsidP="001D213F">
      <w:pPr>
        <w:pStyle w:val="FootnoteText"/>
      </w:pPr>
      <w:r>
        <w:rPr>
          <w:rStyle w:val="FootnoteReference"/>
        </w:rPr>
        <w:footnoteRef/>
      </w:r>
      <w:r>
        <w:t xml:space="preserve"> </w:t>
      </w:r>
      <w:r>
        <w:rPr>
          <w:i/>
        </w:rPr>
        <w:t>Transformation Order</w:t>
      </w:r>
      <w:r>
        <w:t>, ¶ 242.</w:t>
      </w:r>
    </w:p>
  </w:footnote>
  <w:footnote w:id="31">
    <w:p w:rsidR="00772BAB" w:rsidRDefault="00772BAB" w:rsidP="00772BAB">
      <w:pPr>
        <w:pStyle w:val="FootnoteText"/>
      </w:pPr>
      <w:r>
        <w:rPr>
          <w:rStyle w:val="FootnoteReference"/>
        </w:rPr>
        <w:footnoteRef/>
      </w:r>
      <w:r>
        <w:t xml:space="preserve"> </w:t>
      </w:r>
      <w:r w:rsidR="00087260">
        <w:t>Id.</w:t>
      </w:r>
      <w:r>
        <w:t>, ¶ 539.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6" w:rsidRDefault="00891F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86268" o:spid="_x0000_s2050" type="#_x0000_t136" style="position:absolute;margin-left:0;margin-top:0;width:565.55pt;height:94.25pt;rotation:315;z-index:-251655168;mso-position-horizontal:center;mso-position-horizontal-relative:margin;mso-position-vertical:center;mso-position-vertical-relative:margin" o:allowincell="f" fillcolor="#ffc000" stroked="f">
          <v:fill opacity=".5"/>
          <v:textpath style="font-family:&quot;Times New Roman&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9C" w:rsidRDefault="009F15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E6" w:rsidRDefault="00891F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86267" o:spid="_x0000_s2049" type="#_x0000_t136" style="position:absolute;margin-left:0;margin-top:0;width:565.55pt;height:94.25pt;rotation:315;z-index:-251657216;mso-position-horizontal:center;mso-position-horizontal-relative:margin;mso-position-vertical:center;mso-position-vertical-relative:margin" o:allowincell="f" fillcolor="#ffc000" stroked="f">
          <v:fill opacity=".5"/>
          <v:textpath style="font-family:&quot;Times New Roman&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4B332188"/>
    <w:multiLevelType w:val="hybridMultilevel"/>
    <w:tmpl w:val="E24AE14E"/>
    <w:lvl w:ilvl="0" w:tplc="4D0E98CA">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
    <w:nsid w:val="64321642"/>
    <w:multiLevelType w:val="hybridMultilevel"/>
    <w:tmpl w:val="2724E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A0A60"/>
    <w:multiLevelType w:val="hybridMultilevel"/>
    <w:tmpl w:val="808E5A50"/>
    <w:lvl w:ilvl="0" w:tplc="4E56A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5B"/>
    <w:rsid w:val="00001E40"/>
    <w:rsid w:val="000061E6"/>
    <w:rsid w:val="000062EC"/>
    <w:rsid w:val="00033169"/>
    <w:rsid w:val="00064A8C"/>
    <w:rsid w:val="0008098C"/>
    <w:rsid w:val="00087260"/>
    <w:rsid w:val="000A4636"/>
    <w:rsid w:val="000E034A"/>
    <w:rsid w:val="00113BED"/>
    <w:rsid w:val="0013660D"/>
    <w:rsid w:val="0014088C"/>
    <w:rsid w:val="001669C2"/>
    <w:rsid w:val="00171154"/>
    <w:rsid w:val="00171878"/>
    <w:rsid w:val="0018137F"/>
    <w:rsid w:val="00183256"/>
    <w:rsid w:val="0018726C"/>
    <w:rsid w:val="00192245"/>
    <w:rsid w:val="001A1B87"/>
    <w:rsid w:val="001A3BAA"/>
    <w:rsid w:val="001B6527"/>
    <w:rsid w:val="001B7817"/>
    <w:rsid w:val="001C7470"/>
    <w:rsid w:val="001D213F"/>
    <w:rsid w:val="001D53C8"/>
    <w:rsid w:val="002459EF"/>
    <w:rsid w:val="002521E6"/>
    <w:rsid w:val="00257F9D"/>
    <w:rsid w:val="00263591"/>
    <w:rsid w:val="002A02FE"/>
    <w:rsid w:val="002A7AD5"/>
    <w:rsid w:val="002B25A4"/>
    <w:rsid w:val="002C118D"/>
    <w:rsid w:val="003056EC"/>
    <w:rsid w:val="0031461E"/>
    <w:rsid w:val="00341E69"/>
    <w:rsid w:val="0035323F"/>
    <w:rsid w:val="00396842"/>
    <w:rsid w:val="003B07B2"/>
    <w:rsid w:val="003F183E"/>
    <w:rsid w:val="0041729C"/>
    <w:rsid w:val="00432E8C"/>
    <w:rsid w:val="00450335"/>
    <w:rsid w:val="004678FF"/>
    <w:rsid w:val="004B0A26"/>
    <w:rsid w:val="004C095D"/>
    <w:rsid w:val="004C24C8"/>
    <w:rsid w:val="004F039B"/>
    <w:rsid w:val="00507C41"/>
    <w:rsid w:val="005227F1"/>
    <w:rsid w:val="00526D97"/>
    <w:rsid w:val="005543A9"/>
    <w:rsid w:val="00567DBB"/>
    <w:rsid w:val="005925C1"/>
    <w:rsid w:val="005A07AB"/>
    <w:rsid w:val="005E4830"/>
    <w:rsid w:val="005E4B9B"/>
    <w:rsid w:val="005E6824"/>
    <w:rsid w:val="005F1F84"/>
    <w:rsid w:val="006046FD"/>
    <w:rsid w:val="00615E24"/>
    <w:rsid w:val="006176D9"/>
    <w:rsid w:val="006215CC"/>
    <w:rsid w:val="006377D1"/>
    <w:rsid w:val="006448CF"/>
    <w:rsid w:val="006737B7"/>
    <w:rsid w:val="006969DE"/>
    <w:rsid w:val="006A6407"/>
    <w:rsid w:val="006C6F96"/>
    <w:rsid w:val="00737A3F"/>
    <w:rsid w:val="007514A1"/>
    <w:rsid w:val="00752B40"/>
    <w:rsid w:val="007544D7"/>
    <w:rsid w:val="00772BAB"/>
    <w:rsid w:val="007927CC"/>
    <w:rsid w:val="007B0A41"/>
    <w:rsid w:val="007C482B"/>
    <w:rsid w:val="007E1C59"/>
    <w:rsid w:val="007F4E16"/>
    <w:rsid w:val="0080768E"/>
    <w:rsid w:val="00817627"/>
    <w:rsid w:val="00854672"/>
    <w:rsid w:val="00857572"/>
    <w:rsid w:val="00857BE1"/>
    <w:rsid w:val="008653BF"/>
    <w:rsid w:val="0086732C"/>
    <w:rsid w:val="008820EC"/>
    <w:rsid w:val="008871C2"/>
    <w:rsid w:val="00891F21"/>
    <w:rsid w:val="008A139C"/>
    <w:rsid w:val="008B0CC5"/>
    <w:rsid w:val="008B3FD6"/>
    <w:rsid w:val="008B5B7D"/>
    <w:rsid w:val="008C27E5"/>
    <w:rsid w:val="008D6F88"/>
    <w:rsid w:val="008D7BCE"/>
    <w:rsid w:val="008E5EA7"/>
    <w:rsid w:val="00914050"/>
    <w:rsid w:val="00923803"/>
    <w:rsid w:val="0092655B"/>
    <w:rsid w:val="00946EC2"/>
    <w:rsid w:val="00950010"/>
    <w:rsid w:val="009943CD"/>
    <w:rsid w:val="009E169C"/>
    <w:rsid w:val="009E6F37"/>
    <w:rsid w:val="009F159C"/>
    <w:rsid w:val="00A00CB6"/>
    <w:rsid w:val="00A05823"/>
    <w:rsid w:val="00A16ADD"/>
    <w:rsid w:val="00A42FEF"/>
    <w:rsid w:val="00A540F7"/>
    <w:rsid w:val="00A62608"/>
    <w:rsid w:val="00A95176"/>
    <w:rsid w:val="00AA244B"/>
    <w:rsid w:val="00AA45DA"/>
    <w:rsid w:val="00AB4C7B"/>
    <w:rsid w:val="00AB56EE"/>
    <w:rsid w:val="00AB6706"/>
    <w:rsid w:val="00AC079B"/>
    <w:rsid w:val="00AD0F5B"/>
    <w:rsid w:val="00AD5F66"/>
    <w:rsid w:val="00AD6A2B"/>
    <w:rsid w:val="00AE00D6"/>
    <w:rsid w:val="00AE56DA"/>
    <w:rsid w:val="00B25C0E"/>
    <w:rsid w:val="00B35F7C"/>
    <w:rsid w:val="00B37A7E"/>
    <w:rsid w:val="00B53CC7"/>
    <w:rsid w:val="00B54DCE"/>
    <w:rsid w:val="00B6792A"/>
    <w:rsid w:val="00B76BA7"/>
    <w:rsid w:val="00B80D86"/>
    <w:rsid w:val="00B900E4"/>
    <w:rsid w:val="00B97D3F"/>
    <w:rsid w:val="00BB3B72"/>
    <w:rsid w:val="00C15F9D"/>
    <w:rsid w:val="00C32464"/>
    <w:rsid w:val="00C37C3F"/>
    <w:rsid w:val="00C533BF"/>
    <w:rsid w:val="00C678A7"/>
    <w:rsid w:val="00C74B88"/>
    <w:rsid w:val="00C822F4"/>
    <w:rsid w:val="00C85A91"/>
    <w:rsid w:val="00C8633F"/>
    <w:rsid w:val="00C93E60"/>
    <w:rsid w:val="00CA7F78"/>
    <w:rsid w:val="00CB315A"/>
    <w:rsid w:val="00CC74B7"/>
    <w:rsid w:val="00CF6322"/>
    <w:rsid w:val="00D06A44"/>
    <w:rsid w:val="00D136E2"/>
    <w:rsid w:val="00D173D6"/>
    <w:rsid w:val="00D35BF6"/>
    <w:rsid w:val="00D45177"/>
    <w:rsid w:val="00D52BFA"/>
    <w:rsid w:val="00D758A0"/>
    <w:rsid w:val="00D92161"/>
    <w:rsid w:val="00D92A8C"/>
    <w:rsid w:val="00DB3A61"/>
    <w:rsid w:val="00DC0CC0"/>
    <w:rsid w:val="00DD16AC"/>
    <w:rsid w:val="00DF7028"/>
    <w:rsid w:val="00E54BE1"/>
    <w:rsid w:val="00E65329"/>
    <w:rsid w:val="00E657B2"/>
    <w:rsid w:val="00E701FF"/>
    <w:rsid w:val="00E9062F"/>
    <w:rsid w:val="00EA1C90"/>
    <w:rsid w:val="00EA26E5"/>
    <w:rsid w:val="00EA4F2A"/>
    <w:rsid w:val="00EB0C4C"/>
    <w:rsid w:val="00EB1ABF"/>
    <w:rsid w:val="00EB1D5A"/>
    <w:rsid w:val="00EC4993"/>
    <w:rsid w:val="00ED5E15"/>
    <w:rsid w:val="00ED7FDE"/>
    <w:rsid w:val="00EF2AF3"/>
    <w:rsid w:val="00F12023"/>
    <w:rsid w:val="00F21222"/>
    <w:rsid w:val="00F24555"/>
    <w:rsid w:val="00F3407F"/>
    <w:rsid w:val="00F4672F"/>
    <w:rsid w:val="00F73FC3"/>
    <w:rsid w:val="00F95FBB"/>
    <w:rsid w:val="00FB5EE0"/>
    <w:rsid w:val="00FC34FA"/>
    <w:rsid w:val="00FC7110"/>
    <w:rsid w:val="00FF5A40"/>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D6"/>
    <w:pPr>
      <w:spacing w:after="0" w:line="240" w:lineRule="auto"/>
    </w:pPr>
    <w:rPr>
      <w:rFonts w:ascii="Times New Roman" w:hAnsi="Times New Roman"/>
      <w:sz w:val="24"/>
    </w:rPr>
  </w:style>
  <w:style w:type="paragraph" w:styleId="Heading1">
    <w:name w:val="heading 1"/>
    <w:basedOn w:val="Normal"/>
    <w:next w:val="Normal"/>
    <w:link w:val="Heading1Char"/>
    <w:qFormat/>
    <w:rsid w:val="00950010"/>
    <w:pPr>
      <w:keepNext/>
      <w:outlineLvl w:val="0"/>
    </w:pPr>
    <w:rPr>
      <w:rFonts w:eastAsia="Times New Roman" w:cs="Times New Roman"/>
      <w:b/>
      <w:szCs w:val="24"/>
      <w:u w:val="single"/>
    </w:rPr>
  </w:style>
  <w:style w:type="paragraph" w:styleId="Heading2">
    <w:name w:val="heading 2"/>
    <w:basedOn w:val="Normal"/>
    <w:next w:val="Normal"/>
    <w:link w:val="Heading2Char"/>
    <w:qFormat/>
    <w:rsid w:val="00950010"/>
    <w:pPr>
      <w:keepNext/>
      <w:tabs>
        <w:tab w:val="left" w:pos="4320"/>
      </w:tabs>
      <w:jc w:val="center"/>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1"/>
    <w:semiHidden/>
    <w:rsid w:val="00AD0F5B"/>
    <w:pPr>
      <w:spacing w:after="120"/>
    </w:pPr>
    <w:rPr>
      <w:rFonts w:eastAsia="MS Mincho" w:cs="Times New Roman"/>
      <w:sz w:val="20"/>
      <w:szCs w:val="20"/>
    </w:rPr>
  </w:style>
  <w:style w:type="character" w:customStyle="1" w:styleId="FootnoteTextChar">
    <w:name w:val="Footnote Text Char"/>
    <w:basedOn w:val="DefaultParagraphFont"/>
    <w:uiPriority w:val="99"/>
    <w:semiHidden/>
    <w:rsid w:val="00AD0F5B"/>
    <w:rPr>
      <w:rFonts w:ascii="Times New Roman" w:hAnsi="Times New Roman"/>
      <w:sz w:val="20"/>
      <w:szCs w:val="20"/>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f Char"/>
    <w:link w:val="FootnoteText"/>
    <w:semiHidden/>
    <w:locked/>
    <w:rsid w:val="00AD0F5B"/>
    <w:rPr>
      <w:rFonts w:ascii="Times New Roman" w:eastAsia="MS Mincho"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semiHidden/>
    <w:rsid w:val="00AD0F5B"/>
    <w:rPr>
      <w:rFonts w:ascii="Times New Roman" w:hAnsi="Times New Roman" w:cs="Times New Roman"/>
      <w:color w:val="auto"/>
      <w:sz w:val="22"/>
      <w:vertAlign w:val="superscript"/>
    </w:rPr>
  </w:style>
  <w:style w:type="paragraph" w:customStyle="1" w:styleId="ParaNum">
    <w:name w:val="ParaNum"/>
    <w:basedOn w:val="Normal"/>
    <w:link w:val="ParaNumCharChar1"/>
    <w:rsid w:val="00CB315A"/>
    <w:pPr>
      <w:widowControl w:val="0"/>
      <w:numPr>
        <w:numId w:val="2"/>
      </w:numPr>
      <w:spacing w:after="120"/>
    </w:pPr>
    <w:rPr>
      <w:rFonts w:eastAsia="MS Mincho" w:cs="Times New Roman"/>
      <w:kern w:val="28"/>
      <w:sz w:val="22"/>
      <w:szCs w:val="20"/>
    </w:rPr>
  </w:style>
  <w:style w:type="character" w:customStyle="1" w:styleId="ParaNumCharChar1">
    <w:name w:val="ParaNum Char Char1"/>
    <w:link w:val="ParaNum"/>
    <w:locked/>
    <w:rsid w:val="00CB315A"/>
    <w:rPr>
      <w:rFonts w:ascii="Times New Roman" w:eastAsia="MS Mincho" w:hAnsi="Times New Roman" w:cs="Times New Roman"/>
      <w:kern w:val="28"/>
      <w:szCs w:val="20"/>
    </w:rPr>
  </w:style>
  <w:style w:type="paragraph" w:styleId="ListParagraph">
    <w:name w:val="List Paragraph"/>
    <w:basedOn w:val="Normal"/>
    <w:uiPriority w:val="34"/>
    <w:qFormat/>
    <w:rsid w:val="00CB315A"/>
    <w:pPr>
      <w:ind w:left="720"/>
      <w:contextualSpacing/>
    </w:pPr>
  </w:style>
  <w:style w:type="character" w:customStyle="1" w:styleId="Heading1Char">
    <w:name w:val="Heading 1 Char"/>
    <w:basedOn w:val="DefaultParagraphFont"/>
    <w:link w:val="Heading1"/>
    <w:rsid w:val="00950010"/>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rsid w:val="00950010"/>
    <w:rPr>
      <w:rFonts w:ascii="Times New Roman" w:eastAsia="Times New Roman" w:hAnsi="Times New Roman" w:cs="Times New Roman"/>
      <w:b/>
      <w:sz w:val="24"/>
      <w:szCs w:val="20"/>
    </w:rPr>
  </w:style>
  <w:style w:type="paragraph" w:styleId="HTMLPreformatted">
    <w:name w:val="HTML Preformatted"/>
    <w:basedOn w:val="Normal"/>
    <w:link w:val="HTMLPreformattedChar"/>
    <w:rsid w:val="0095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50010"/>
    <w:rPr>
      <w:rFonts w:ascii="Courier New" w:eastAsia="Courier New" w:hAnsi="Courier New" w:cs="Courier New"/>
      <w:sz w:val="20"/>
      <w:szCs w:val="20"/>
    </w:rPr>
  </w:style>
  <w:style w:type="paragraph" w:styleId="Footer">
    <w:name w:val="footer"/>
    <w:basedOn w:val="Normal"/>
    <w:link w:val="FooterChar"/>
    <w:rsid w:val="00950010"/>
    <w:pPr>
      <w:tabs>
        <w:tab w:val="center" w:pos="4320"/>
        <w:tab w:val="right" w:pos="8640"/>
      </w:tabs>
    </w:pPr>
    <w:rPr>
      <w:rFonts w:eastAsia="Times New Roman" w:cs="Times New Roman"/>
      <w:sz w:val="20"/>
      <w:szCs w:val="20"/>
    </w:rPr>
  </w:style>
  <w:style w:type="character" w:customStyle="1" w:styleId="FooterChar">
    <w:name w:val="Footer Char"/>
    <w:basedOn w:val="DefaultParagraphFont"/>
    <w:link w:val="Footer"/>
    <w:rsid w:val="00950010"/>
    <w:rPr>
      <w:rFonts w:ascii="Times New Roman" w:eastAsia="Times New Roman" w:hAnsi="Times New Roman" w:cs="Times New Roman"/>
      <w:sz w:val="20"/>
      <w:szCs w:val="20"/>
    </w:rPr>
  </w:style>
  <w:style w:type="character" w:styleId="Hyperlink">
    <w:name w:val="Hyperlink"/>
    <w:uiPriority w:val="99"/>
    <w:rsid w:val="00950010"/>
    <w:rPr>
      <w:color w:val="0000FF"/>
      <w:u w:val="single"/>
    </w:rPr>
  </w:style>
  <w:style w:type="paragraph" w:styleId="BodyTextIndent">
    <w:name w:val="Body Text Indent"/>
    <w:basedOn w:val="Normal"/>
    <w:link w:val="BodyTextIndentChar"/>
    <w:rsid w:val="00950010"/>
    <w:pPr>
      <w:spacing w:line="480" w:lineRule="auto"/>
      <w:ind w:firstLine="720"/>
    </w:pPr>
    <w:rPr>
      <w:rFonts w:eastAsia="Times New Roman" w:cs="Times New Roman"/>
      <w:szCs w:val="20"/>
    </w:rPr>
  </w:style>
  <w:style w:type="character" w:customStyle="1" w:styleId="BodyTextIndentChar">
    <w:name w:val="Body Text Indent Char"/>
    <w:basedOn w:val="DefaultParagraphFont"/>
    <w:link w:val="BodyTextIndent"/>
    <w:rsid w:val="00950010"/>
    <w:rPr>
      <w:rFonts w:ascii="Times New Roman" w:eastAsia="Times New Roman" w:hAnsi="Times New Roman" w:cs="Times New Roman"/>
      <w:sz w:val="24"/>
      <w:szCs w:val="20"/>
    </w:rPr>
  </w:style>
  <w:style w:type="paragraph" w:styleId="BodyTextIndent3">
    <w:name w:val="Body Text Indent 3"/>
    <w:basedOn w:val="Normal"/>
    <w:link w:val="BodyTextIndent3Char"/>
    <w:rsid w:val="00950010"/>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950010"/>
    <w:rPr>
      <w:rFonts w:ascii="Times New Roman" w:eastAsia="Times New Roman" w:hAnsi="Times New Roman" w:cs="Times New Roman"/>
      <w:sz w:val="24"/>
      <w:szCs w:val="20"/>
    </w:rPr>
  </w:style>
  <w:style w:type="paragraph" w:styleId="BodyTextIndent2">
    <w:name w:val="Body Text Indent 2"/>
    <w:basedOn w:val="Normal"/>
    <w:link w:val="BodyTextIndent2Char"/>
    <w:rsid w:val="00950010"/>
    <w:pPr>
      <w:tabs>
        <w:tab w:val="left" w:pos="720"/>
      </w:tabs>
      <w:spacing w:before="240" w:after="240"/>
      <w:ind w:left="1464" w:hanging="744"/>
    </w:pPr>
    <w:rPr>
      <w:rFonts w:eastAsia="Times New Roman" w:cs="Times New Roman"/>
      <w:szCs w:val="20"/>
    </w:rPr>
  </w:style>
  <w:style w:type="character" w:customStyle="1" w:styleId="BodyTextIndent2Char">
    <w:name w:val="Body Text Indent 2 Char"/>
    <w:basedOn w:val="DefaultParagraphFont"/>
    <w:link w:val="BodyTextIndent2"/>
    <w:rsid w:val="00950010"/>
    <w:rPr>
      <w:rFonts w:ascii="Times New Roman" w:eastAsia="Times New Roman" w:hAnsi="Times New Roman" w:cs="Times New Roman"/>
      <w:sz w:val="24"/>
      <w:szCs w:val="20"/>
    </w:rPr>
  </w:style>
  <w:style w:type="character" w:styleId="PageNumber">
    <w:name w:val="page number"/>
    <w:basedOn w:val="DefaultParagraphFont"/>
    <w:rsid w:val="00950010"/>
  </w:style>
  <w:style w:type="paragraph" w:styleId="Header">
    <w:name w:val="header"/>
    <w:basedOn w:val="Normal"/>
    <w:link w:val="HeaderChar"/>
    <w:rsid w:val="00950010"/>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950010"/>
    <w:rPr>
      <w:rFonts w:ascii="Times New Roman" w:eastAsia="Times New Roman" w:hAnsi="Times New Roman" w:cs="Times New Roman"/>
      <w:sz w:val="24"/>
      <w:szCs w:val="20"/>
    </w:rPr>
  </w:style>
  <w:style w:type="paragraph" w:customStyle="1" w:styleId="WW-BodyTextIndent3">
    <w:name w:val="WW-Body Text Indent 3"/>
    <w:basedOn w:val="Normal"/>
    <w:rsid w:val="00950010"/>
    <w:pPr>
      <w:suppressAutoHyphens/>
      <w:spacing w:line="480" w:lineRule="atLeast"/>
      <w:ind w:firstLine="720"/>
    </w:pPr>
    <w:rPr>
      <w:rFonts w:eastAsia="Times New Roman" w:cs="Times New Roman"/>
      <w:szCs w:val="20"/>
      <w:lang w:eastAsia="ar-SA"/>
    </w:rPr>
  </w:style>
  <w:style w:type="paragraph" w:styleId="BodyText">
    <w:name w:val="Body Text"/>
    <w:basedOn w:val="Normal"/>
    <w:link w:val="BodyTextChar"/>
    <w:uiPriority w:val="99"/>
    <w:semiHidden/>
    <w:unhideWhenUsed/>
    <w:rsid w:val="00950010"/>
    <w:pPr>
      <w:spacing w:after="120"/>
    </w:pPr>
  </w:style>
  <w:style w:type="character" w:customStyle="1" w:styleId="BodyTextChar">
    <w:name w:val="Body Text Char"/>
    <w:basedOn w:val="DefaultParagraphFont"/>
    <w:link w:val="BodyText"/>
    <w:uiPriority w:val="99"/>
    <w:semiHidden/>
    <w:rsid w:val="00950010"/>
    <w:rPr>
      <w:rFonts w:ascii="Times New Roman" w:hAnsi="Times New Roman"/>
      <w:sz w:val="24"/>
    </w:rPr>
  </w:style>
  <w:style w:type="paragraph" w:styleId="CommentText">
    <w:name w:val="annotation text"/>
    <w:basedOn w:val="Normal"/>
    <w:link w:val="CommentTextChar"/>
    <w:semiHidden/>
    <w:rsid w:val="00950010"/>
    <w:rPr>
      <w:rFonts w:eastAsia="Times New Roman" w:cs="Times New Roman"/>
      <w:szCs w:val="24"/>
    </w:rPr>
  </w:style>
  <w:style w:type="character" w:customStyle="1" w:styleId="CommentTextChar">
    <w:name w:val="Comment Text Char"/>
    <w:basedOn w:val="DefaultParagraphFont"/>
    <w:link w:val="CommentText"/>
    <w:semiHidden/>
    <w:rsid w:val="0095001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950010"/>
    <w:rPr>
      <w:szCs w:val="20"/>
    </w:rPr>
  </w:style>
  <w:style w:type="character" w:customStyle="1" w:styleId="CommentSubjectChar">
    <w:name w:val="Comment Subject Char"/>
    <w:basedOn w:val="CommentTextChar"/>
    <w:link w:val="CommentSubject"/>
    <w:semiHidden/>
    <w:rsid w:val="00950010"/>
    <w:rPr>
      <w:rFonts w:ascii="Times New Roman" w:eastAsia="Times New Roman" w:hAnsi="Times New Roman" w:cs="Times New Roman"/>
      <w:sz w:val="24"/>
      <w:szCs w:val="20"/>
    </w:rPr>
  </w:style>
  <w:style w:type="paragraph" w:styleId="NormalWeb">
    <w:name w:val="Normal (Web)"/>
    <w:basedOn w:val="Normal"/>
    <w:uiPriority w:val="99"/>
    <w:unhideWhenUsed/>
    <w:rsid w:val="00E9062F"/>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0E034A"/>
    <w:rPr>
      <w:sz w:val="16"/>
      <w:szCs w:val="16"/>
    </w:rPr>
  </w:style>
  <w:style w:type="paragraph" w:styleId="BalloonText">
    <w:name w:val="Balloon Text"/>
    <w:basedOn w:val="Normal"/>
    <w:link w:val="BalloonTextChar"/>
    <w:uiPriority w:val="99"/>
    <w:semiHidden/>
    <w:unhideWhenUsed/>
    <w:rsid w:val="000E034A"/>
    <w:rPr>
      <w:rFonts w:ascii="Tahoma" w:hAnsi="Tahoma" w:cs="Tahoma"/>
      <w:sz w:val="16"/>
      <w:szCs w:val="16"/>
    </w:rPr>
  </w:style>
  <w:style w:type="character" w:customStyle="1" w:styleId="BalloonTextChar">
    <w:name w:val="Balloon Text Char"/>
    <w:basedOn w:val="DefaultParagraphFont"/>
    <w:link w:val="BalloonText"/>
    <w:uiPriority w:val="99"/>
    <w:semiHidden/>
    <w:rsid w:val="000E034A"/>
    <w:rPr>
      <w:rFonts w:ascii="Tahoma" w:hAnsi="Tahoma" w:cs="Tahoma"/>
      <w:sz w:val="16"/>
      <w:szCs w:val="16"/>
    </w:rPr>
  </w:style>
  <w:style w:type="table" w:styleId="TableGrid">
    <w:name w:val="Table Grid"/>
    <w:basedOn w:val="TableNormal"/>
    <w:uiPriority w:val="59"/>
    <w:rsid w:val="00867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D6"/>
    <w:pPr>
      <w:spacing w:after="0" w:line="240" w:lineRule="auto"/>
    </w:pPr>
    <w:rPr>
      <w:rFonts w:ascii="Times New Roman" w:hAnsi="Times New Roman"/>
      <w:sz w:val="24"/>
    </w:rPr>
  </w:style>
  <w:style w:type="paragraph" w:styleId="Heading1">
    <w:name w:val="heading 1"/>
    <w:basedOn w:val="Normal"/>
    <w:next w:val="Normal"/>
    <w:link w:val="Heading1Char"/>
    <w:qFormat/>
    <w:rsid w:val="00950010"/>
    <w:pPr>
      <w:keepNext/>
      <w:outlineLvl w:val="0"/>
    </w:pPr>
    <w:rPr>
      <w:rFonts w:eastAsia="Times New Roman" w:cs="Times New Roman"/>
      <w:b/>
      <w:szCs w:val="24"/>
      <w:u w:val="single"/>
    </w:rPr>
  </w:style>
  <w:style w:type="paragraph" w:styleId="Heading2">
    <w:name w:val="heading 2"/>
    <w:basedOn w:val="Normal"/>
    <w:next w:val="Normal"/>
    <w:link w:val="Heading2Char"/>
    <w:qFormat/>
    <w:rsid w:val="00950010"/>
    <w:pPr>
      <w:keepNext/>
      <w:tabs>
        <w:tab w:val="left" w:pos="4320"/>
      </w:tabs>
      <w:jc w:val="center"/>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1"/>
    <w:semiHidden/>
    <w:rsid w:val="00AD0F5B"/>
    <w:pPr>
      <w:spacing w:after="120"/>
    </w:pPr>
    <w:rPr>
      <w:rFonts w:eastAsia="MS Mincho" w:cs="Times New Roman"/>
      <w:sz w:val="20"/>
      <w:szCs w:val="20"/>
    </w:rPr>
  </w:style>
  <w:style w:type="character" w:customStyle="1" w:styleId="FootnoteTextChar">
    <w:name w:val="Footnote Text Char"/>
    <w:basedOn w:val="DefaultParagraphFont"/>
    <w:uiPriority w:val="99"/>
    <w:semiHidden/>
    <w:rsid w:val="00AD0F5B"/>
    <w:rPr>
      <w:rFonts w:ascii="Times New Roman" w:hAnsi="Times New Roman"/>
      <w:sz w:val="20"/>
      <w:szCs w:val="20"/>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f Char"/>
    <w:link w:val="FootnoteText"/>
    <w:semiHidden/>
    <w:locked/>
    <w:rsid w:val="00AD0F5B"/>
    <w:rPr>
      <w:rFonts w:ascii="Times New Roman" w:eastAsia="MS Mincho"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semiHidden/>
    <w:rsid w:val="00AD0F5B"/>
    <w:rPr>
      <w:rFonts w:ascii="Times New Roman" w:hAnsi="Times New Roman" w:cs="Times New Roman"/>
      <w:color w:val="auto"/>
      <w:sz w:val="22"/>
      <w:vertAlign w:val="superscript"/>
    </w:rPr>
  </w:style>
  <w:style w:type="paragraph" w:customStyle="1" w:styleId="ParaNum">
    <w:name w:val="ParaNum"/>
    <w:basedOn w:val="Normal"/>
    <w:link w:val="ParaNumCharChar1"/>
    <w:rsid w:val="00CB315A"/>
    <w:pPr>
      <w:widowControl w:val="0"/>
      <w:numPr>
        <w:numId w:val="2"/>
      </w:numPr>
      <w:spacing w:after="120"/>
    </w:pPr>
    <w:rPr>
      <w:rFonts w:eastAsia="MS Mincho" w:cs="Times New Roman"/>
      <w:kern w:val="28"/>
      <w:sz w:val="22"/>
      <w:szCs w:val="20"/>
    </w:rPr>
  </w:style>
  <w:style w:type="character" w:customStyle="1" w:styleId="ParaNumCharChar1">
    <w:name w:val="ParaNum Char Char1"/>
    <w:link w:val="ParaNum"/>
    <w:locked/>
    <w:rsid w:val="00CB315A"/>
    <w:rPr>
      <w:rFonts w:ascii="Times New Roman" w:eastAsia="MS Mincho" w:hAnsi="Times New Roman" w:cs="Times New Roman"/>
      <w:kern w:val="28"/>
      <w:szCs w:val="20"/>
    </w:rPr>
  </w:style>
  <w:style w:type="paragraph" w:styleId="ListParagraph">
    <w:name w:val="List Paragraph"/>
    <w:basedOn w:val="Normal"/>
    <w:uiPriority w:val="34"/>
    <w:qFormat/>
    <w:rsid w:val="00CB315A"/>
    <w:pPr>
      <w:ind w:left="720"/>
      <w:contextualSpacing/>
    </w:pPr>
  </w:style>
  <w:style w:type="character" w:customStyle="1" w:styleId="Heading1Char">
    <w:name w:val="Heading 1 Char"/>
    <w:basedOn w:val="DefaultParagraphFont"/>
    <w:link w:val="Heading1"/>
    <w:rsid w:val="00950010"/>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rsid w:val="00950010"/>
    <w:rPr>
      <w:rFonts w:ascii="Times New Roman" w:eastAsia="Times New Roman" w:hAnsi="Times New Roman" w:cs="Times New Roman"/>
      <w:b/>
      <w:sz w:val="24"/>
      <w:szCs w:val="20"/>
    </w:rPr>
  </w:style>
  <w:style w:type="paragraph" w:styleId="HTMLPreformatted">
    <w:name w:val="HTML Preformatted"/>
    <w:basedOn w:val="Normal"/>
    <w:link w:val="HTMLPreformattedChar"/>
    <w:rsid w:val="0095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50010"/>
    <w:rPr>
      <w:rFonts w:ascii="Courier New" w:eastAsia="Courier New" w:hAnsi="Courier New" w:cs="Courier New"/>
      <w:sz w:val="20"/>
      <w:szCs w:val="20"/>
    </w:rPr>
  </w:style>
  <w:style w:type="paragraph" w:styleId="Footer">
    <w:name w:val="footer"/>
    <w:basedOn w:val="Normal"/>
    <w:link w:val="FooterChar"/>
    <w:rsid w:val="00950010"/>
    <w:pPr>
      <w:tabs>
        <w:tab w:val="center" w:pos="4320"/>
        <w:tab w:val="right" w:pos="8640"/>
      </w:tabs>
    </w:pPr>
    <w:rPr>
      <w:rFonts w:eastAsia="Times New Roman" w:cs="Times New Roman"/>
      <w:sz w:val="20"/>
      <w:szCs w:val="20"/>
    </w:rPr>
  </w:style>
  <w:style w:type="character" w:customStyle="1" w:styleId="FooterChar">
    <w:name w:val="Footer Char"/>
    <w:basedOn w:val="DefaultParagraphFont"/>
    <w:link w:val="Footer"/>
    <w:rsid w:val="00950010"/>
    <w:rPr>
      <w:rFonts w:ascii="Times New Roman" w:eastAsia="Times New Roman" w:hAnsi="Times New Roman" w:cs="Times New Roman"/>
      <w:sz w:val="20"/>
      <w:szCs w:val="20"/>
    </w:rPr>
  </w:style>
  <w:style w:type="character" w:styleId="Hyperlink">
    <w:name w:val="Hyperlink"/>
    <w:uiPriority w:val="99"/>
    <w:rsid w:val="00950010"/>
    <w:rPr>
      <w:color w:val="0000FF"/>
      <w:u w:val="single"/>
    </w:rPr>
  </w:style>
  <w:style w:type="paragraph" w:styleId="BodyTextIndent">
    <w:name w:val="Body Text Indent"/>
    <w:basedOn w:val="Normal"/>
    <w:link w:val="BodyTextIndentChar"/>
    <w:rsid w:val="00950010"/>
    <w:pPr>
      <w:spacing w:line="480" w:lineRule="auto"/>
      <w:ind w:firstLine="720"/>
    </w:pPr>
    <w:rPr>
      <w:rFonts w:eastAsia="Times New Roman" w:cs="Times New Roman"/>
      <w:szCs w:val="20"/>
    </w:rPr>
  </w:style>
  <w:style w:type="character" w:customStyle="1" w:styleId="BodyTextIndentChar">
    <w:name w:val="Body Text Indent Char"/>
    <w:basedOn w:val="DefaultParagraphFont"/>
    <w:link w:val="BodyTextIndent"/>
    <w:rsid w:val="00950010"/>
    <w:rPr>
      <w:rFonts w:ascii="Times New Roman" w:eastAsia="Times New Roman" w:hAnsi="Times New Roman" w:cs="Times New Roman"/>
      <w:sz w:val="24"/>
      <w:szCs w:val="20"/>
    </w:rPr>
  </w:style>
  <w:style w:type="paragraph" w:styleId="BodyTextIndent3">
    <w:name w:val="Body Text Indent 3"/>
    <w:basedOn w:val="Normal"/>
    <w:link w:val="BodyTextIndent3Char"/>
    <w:rsid w:val="00950010"/>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950010"/>
    <w:rPr>
      <w:rFonts w:ascii="Times New Roman" w:eastAsia="Times New Roman" w:hAnsi="Times New Roman" w:cs="Times New Roman"/>
      <w:sz w:val="24"/>
      <w:szCs w:val="20"/>
    </w:rPr>
  </w:style>
  <w:style w:type="paragraph" w:styleId="BodyTextIndent2">
    <w:name w:val="Body Text Indent 2"/>
    <w:basedOn w:val="Normal"/>
    <w:link w:val="BodyTextIndent2Char"/>
    <w:rsid w:val="00950010"/>
    <w:pPr>
      <w:tabs>
        <w:tab w:val="left" w:pos="720"/>
      </w:tabs>
      <w:spacing w:before="240" w:after="240"/>
      <w:ind w:left="1464" w:hanging="744"/>
    </w:pPr>
    <w:rPr>
      <w:rFonts w:eastAsia="Times New Roman" w:cs="Times New Roman"/>
      <w:szCs w:val="20"/>
    </w:rPr>
  </w:style>
  <w:style w:type="character" w:customStyle="1" w:styleId="BodyTextIndent2Char">
    <w:name w:val="Body Text Indent 2 Char"/>
    <w:basedOn w:val="DefaultParagraphFont"/>
    <w:link w:val="BodyTextIndent2"/>
    <w:rsid w:val="00950010"/>
    <w:rPr>
      <w:rFonts w:ascii="Times New Roman" w:eastAsia="Times New Roman" w:hAnsi="Times New Roman" w:cs="Times New Roman"/>
      <w:sz w:val="24"/>
      <w:szCs w:val="20"/>
    </w:rPr>
  </w:style>
  <w:style w:type="character" w:styleId="PageNumber">
    <w:name w:val="page number"/>
    <w:basedOn w:val="DefaultParagraphFont"/>
    <w:rsid w:val="00950010"/>
  </w:style>
  <w:style w:type="paragraph" w:styleId="Header">
    <w:name w:val="header"/>
    <w:basedOn w:val="Normal"/>
    <w:link w:val="HeaderChar"/>
    <w:rsid w:val="00950010"/>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950010"/>
    <w:rPr>
      <w:rFonts w:ascii="Times New Roman" w:eastAsia="Times New Roman" w:hAnsi="Times New Roman" w:cs="Times New Roman"/>
      <w:sz w:val="24"/>
      <w:szCs w:val="20"/>
    </w:rPr>
  </w:style>
  <w:style w:type="paragraph" w:customStyle="1" w:styleId="WW-BodyTextIndent3">
    <w:name w:val="WW-Body Text Indent 3"/>
    <w:basedOn w:val="Normal"/>
    <w:rsid w:val="00950010"/>
    <w:pPr>
      <w:suppressAutoHyphens/>
      <w:spacing w:line="480" w:lineRule="atLeast"/>
      <w:ind w:firstLine="720"/>
    </w:pPr>
    <w:rPr>
      <w:rFonts w:eastAsia="Times New Roman" w:cs="Times New Roman"/>
      <w:szCs w:val="20"/>
      <w:lang w:eastAsia="ar-SA"/>
    </w:rPr>
  </w:style>
  <w:style w:type="paragraph" w:styleId="BodyText">
    <w:name w:val="Body Text"/>
    <w:basedOn w:val="Normal"/>
    <w:link w:val="BodyTextChar"/>
    <w:uiPriority w:val="99"/>
    <w:semiHidden/>
    <w:unhideWhenUsed/>
    <w:rsid w:val="00950010"/>
    <w:pPr>
      <w:spacing w:after="120"/>
    </w:pPr>
  </w:style>
  <w:style w:type="character" w:customStyle="1" w:styleId="BodyTextChar">
    <w:name w:val="Body Text Char"/>
    <w:basedOn w:val="DefaultParagraphFont"/>
    <w:link w:val="BodyText"/>
    <w:uiPriority w:val="99"/>
    <w:semiHidden/>
    <w:rsid w:val="00950010"/>
    <w:rPr>
      <w:rFonts w:ascii="Times New Roman" w:hAnsi="Times New Roman"/>
      <w:sz w:val="24"/>
    </w:rPr>
  </w:style>
  <w:style w:type="paragraph" w:styleId="CommentText">
    <w:name w:val="annotation text"/>
    <w:basedOn w:val="Normal"/>
    <w:link w:val="CommentTextChar"/>
    <w:semiHidden/>
    <w:rsid w:val="00950010"/>
    <w:rPr>
      <w:rFonts w:eastAsia="Times New Roman" w:cs="Times New Roman"/>
      <w:szCs w:val="24"/>
    </w:rPr>
  </w:style>
  <w:style w:type="character" w:customStyle="1" w:styleId="CommentTextChar">
    <w:name w:val="Comment Text Char"/>
    <w:basedOn w:val="DefaultParagraphFont"/>
    <w:link w:val="CommentText"/>
    <w:semiHidden/>
    <w:rsid w:val="0095001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950010"/>
    <w:rPr>
      <w:szCs w:val="20"/>
    </w:rPr>
  </w:style>
  <w:style w:type="character" w:customStyle="1" w:styleId="CommentSubjectChar">
    <w:name w:val="Comment Subject Char"/>
    <w:basedOn w:val="CommentTextChar"/>
    <w:link w:val="CommentSubject"/>
    <w:semiHidden/>
    <w:rsid w:val="00950010"/>
    <w:rPr>
      <w:rFonts w:ascii="Times New Roman" w:eastAsia="Times New Roman" w:hAnsi="Times New Roman" w:cs="Times New Roman"/>
      <w:sz w:val="24"/>
      <w:szCs w:val="20"/>
    </w:rPr>
  </w:style>
  <w:style w:type="paragraph" w:styleId="NormalWeb">
    <w:name w:val="Normal (Web)"/>
    <w:basedOn w:val="Normal"/>
    <w:uiPriority w:val="99"/>
    <w:unhideWhenUsed/>
    <w:rsid w:val="00E9062F"/>
    <w:pPr>
      <w:spacing w:before="100" w:beforeAutospacing="1" w:after="100" w:afterAutospacing="1"/>
    </w:pPr>
    <w:rPr>
      <w:rFonts w:eastAsia="Times New Roman" w:cs="Times New Roman"/>
      <w:szCs w:val="24"/>
    </w:rPr>
  </w:style>
  <w:style w:type="character" w:styleId="CommentReference">
    <w:name w:val="annotation reference"/>
    <w:basedOn w:val="DefaultParagraphFont"/>
    <w:uiPriority w:val="99"/>
    <w:semiHidden/>
    <w:unhideWhenUsed/>
    <w:rsid w:val="000E034A"/>
    <w:rPr>
      <w:sz w:val="16"/>
      <w:szCs w:val="16"/>
    </w:rPr>
  </w:style>
  <w:style w:type="paragraph" w:styleId="BalloonText">
    <w:name w:val="Balloon Text"/>
    <w:basedOn w:val="Normal"/>
    <w:link w:val="BalloonTextChar"/>
    <w:uiPriority w:val="99"/>
    <w:semiHidden/>
    <w:unhideWhenUsed/>
    <w:rsid w:val="000E034A"/>
    <w:rPr>
      <w:rFonts w:ascii="Tahoma" w:hAnsi="Tahoma" w:cs="Tahoma"/>
      <w:sz w:val="16"/>
      <w:szCs w:val="16"/>
    </w:rPr>
  </w:style>
  <w:style w:type="character" w:customStyle="1" w:styleId="BalloonTextChar">
    <w:name w:val="Balloon Text Char"/>
    <w:basedOn w:val="DefaultParagraphFont"/>
    <w:link w:val="BalloonText"/>
    <w:uiPriority w:val="99"/>
    <w:semiHidden/>
    <w:rsid w:val="000E034A"/>
    <w:rPr>
      <w:rFonts w:ascii="Tahoma" w:hAnsi="Tahoma" w:cs="Tahoma"/>
      <w:sz w:val="16"/>
      <w:szCs w:val="16"/>
    </w:rPr>
  </w:style>
  <w:style w:type="table" w:styleId="TableGrid">
    <w:name w:val="Table Grid"/>
    <w:basedOn w:val="TableNormal"/>
    <w:uiPriority w:val="59"/>
    <w:rsid w:val="00867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25491">
      <w:bodyDiv w:val="1"/>
      <w:marLeft w:val="0"/>
      <w:marRight w:val="0"/>
      <w:marTop w:val="0"/>
      <w:marBottom w:val="0"/>
      <w:divBdr>
        <w:top w:val="none" w:sz="0" w:space="0" w:color="auto"/>
        <w:left w:val="none" w:sz="0" w:space="0" w:color="auto"/>
        <w:bottom w:val="none" w:sz="0" w:space="0" w:color="auto"/>
        <w:right w:val="none" w:sz="0" w:space="0" w:color="auto"/>
      </w:divBdr>
    </w:div>
    <w:div w:id="19510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etter@occ.ohio.gov" TargetMode="External"/><Relationship Id="rId13" Type="http://schemas.openxmlformats.org/officeDocument/2006/relationships/hyperlink" Target="mailto:Jay.Agranoff@puc.state.oh.u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oses@ohiotelecom.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k2961@at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darr@mwncmh.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william.wright@puc.state.oh.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8273</Characters>
  <Application>Microsoft Office Word</Application>
  <DocSecurity>0</DocSecurity>
  <Lines>190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2014-03-03T20:59:00Z</dcterms:created>
  <dcterms:modified xsi:type="dcterms:W3CDTF">2014-03-03T20:59:00Z</dcterms:modified>
  <cp:category> </cp:category>
  <cp:contentStatus> </cp:contentStatus>
</cp:coreProperties>
</file>