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65" w:rsidRDefault="00716665" w:rsidP="00D95C88">
      <w:pPr>
        <w:jc w:val="right"/>
        <w:rPr>
          <w:b/>
          <w:bCs/>
          <w:i/>
          <w:iCs/>
        </w:rPr>
      </w:pPr>
      <w:bookmarkStart w:id="0" w:name="_GoBack"/>
      <w:bookmarkEnd w:id="0"/>
      <w:r>
        <w:rPr>
          <w:b/>
          <w:bCs/>
          <w:i/>
          <w:iCs/>
        </w:rPr>
        <w:t>OCC EXHIBIT_______</w:t>
      </w:r>
    </w:p>
    <w:p w:rsidR="00716665" w:rsidRDefault="00716665"/>
    <w:p w:rsidR="00716665" w:rsidRDefault="00716665" w:rsidP="00D95C88"/>
    <w:p w:rsidR="00716665" w:rsidRDefault="00716665">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rsidR="00716665" w:rsidRDefault="00716665">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p w:rsidR="00716665" w:rsidRDefault="00716665">
      <w:pPr>
        <w:pStyle w:val="HTMLPreformatted"/>
        <w:jc w:val="center"/>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804"/>
        <w:gridCol w:w="360"/>
        <w:gridCol w:w="3928"/>
      </w:tblGrid>
      <w:tr w:rsidR="00716665">
        <w:trPr>
          <w:trHeight w:val="807"/>
        </w:trPr>
        <w:tc>
          <w:tcPr>
            <w:tcW w:w="4804" w:type="dxa"/>
          </w:tcPr>
          <w:p w:rsidR="00716665" w:rsidRPr="00453A50" w:rsidRDefault="00716665" w:rsidP="00084318">
            <w:pPr>
              <w:autoSpaceDE w:val="0"/>
              <w:autoSpaceDN w:val="0"/>
              <w:adjustRightInd w:val="0"/>
            </w:pPr>
            <w:r w:rsidRPr="00453A50">
              <w:t>In the Matter of the Application of The</w:t>
            </w:r>
          </w:p>
          <w:p w:rsidR="00716665" w:rsidRPr="00453A50" w:rsidRDefault="00716665" w:rsidP="00084318">
            <w:pPr>
              <w:autoSpaceDE w:val="0"/>
              <w:autoSpaceDN w:val="0"/>
              <w:adjustRightInd w:val="0"/>
            </w:pPr>
            <w:r w:rsidRPr="00453A50">
              <w:t>Dayton Power and Light Company for</w:t>
            </w:r>
          </w:p>
          <w:p w:rsidR="00716665" w:rsidRDefault="00716665" w:rsidP="00084318">
            <w:pPr>
              <w:autoSpaceDE w:val="0"/>
              <w:autoSpaceDN w:val="0"/>
              <w:adjustRightInd w:val="0"/>
            </w:pPr>
            <w:r w:rsidRPr="00453A50">
              <w:t>Approval of its Market Rate Offer.</w:t>
            </w:r>
          </w:p>
          <w:p w:rsidR="00716665" w:rsidRDefault="00716665" w:rsidP="00084318">
            <w:pPr>
              <w:autoSpaceDE w:val="0"/>
              <w:autoSpaceDN w:val="0"/>
              <w:adjustRightInd w:val="0"/>
            </w:pPr>
          </w:p>
          <w:p w:rsidR="00716665" w:rsidRPr="00453A50" w:rsidRDefault="00716665" w:rsidP="00084318">
            <w:pPr>
              <w:autoSpaceDE w:val="0"/>
              <w:autoSpaceDN w:val="0"/>
              <w:adjustRightInd w:val="0"/>
            </w:pPr>
            <w:r w:rsidRPr="00453A50">
              <w:t>In the Matter of the Application of The</w:t>
            </w:r>
          </w:p>
          <w:p w:rsidR="00716665" w:rsidRPr="00453A50" w:rsidRDefault="00716665" w:rsidP="00084318">
            <w:pPr>
              <w:autoSpaceDE w:val="0"/>
              <w:autoSpaceDN w:val="0"/>
              <w:adjustRightInd w:val="0"/>
            </w:pPr>
            <w:r w:rsidRPr="00453A50">
              <w:t>Dayton Power and Light Company for</w:t>
            </w:r>
          </w:p>
          <w:p w:rsidR="00716665" w:rsidRPr="00453A50" w:rsidRDefault="00716665" w:rsidP="00084318">
            <w:pPr>
              <w:autoSpaceDE w:val="0"/>
              <w:autoSpaceDN w:val="0"/>
              <w:adjustRightInd w:val="0"/>
            </w:pPr>
            <w:r w:rsidRPr="00453A50">
              <w:t>Approval of Revised Tariffs.</w:t>
            </w:r>
          </w:p>
          <w:p w:rsidR="00716665" w:rsidRPr="00453A50" w:rsidRDefault="00716665" w:rsidP="00084318">
            <w:pPr>
              <w:autoSpaceDE w:val="0"/>
              <w:autoSpaceDN w:val="0"/>
              <w:adjustRightInd w:val="0"/>
            </w:pPr>
          </w:p>
          <w:p w:rsidR="00716665" w:rsidRPr="00453A50" w:rsidRDefault="00716665" w:rsidP="00084318">
            <w:pPr>
              <w:autoSpaceDE w:val="0"/>
              <w:autoSpaceDN w:val="0"/>
              <w:adjustRightInd w:val="0"/>
            </w:pPr>
            <w:r w:rsidRPr="00453A50">
              <w:t>In the Matter of the Application of The</w:t>
            </w:r>
          </w:p>
          <w:p w:rsidR="00716665" w:rsidRPr="00453A50" w:rsidRDefault="00716665" w:rsidP="00084318">
            <w:pPr>
              <w:autoSpaceDE w:val="0"/>
              <w:autoSpaceDN w:val="0"/>
              <w:adjustRightInd w:val="0"/>
            </w:pPr>
            <w:r w:rsidRPr="00453A50">
              <w:t>Dayton Power and Light Company for</w:t>
            </w:r>
          </w:p>
          <w:p w:rsidR="00716665" w:rsidRPr="00453A50" w:rsidRDefault="00716665" w:rsidP="00084318">
            <w:pPr>
              <w:autoSpaceDE w:val="0"/>
              <w:autoSpaceDN w:val="0"/>
              <w:adjustRightInd w:val="0"/>
            </w:pPr>
            <w:r w:rsidRPr="00453A50">
              <w:t>Approval of Certain Accounting</w:t>
            </w:r>
            <w:r w:rsidR="00291A7E">
              <w:t xml:space="preserve"> </w:t>
            </w:r>
            <w:r w:rsidRPr="00453A50">
              <w:t>Authority.</w:t>
            </w:r>
          </w:p>
          <w:p w:rsidR="00716665" w:rsidRPr="00453A50" w:rsidRDefault="00716665" w:rsidP="00084318">
            <w:pPr>
              <w:autoSpaceDE w:val="0"/>
              <w:autoSpaceDN w:val="0"/>
              <w:adjustRightInd w:val="0"/>
            </w:pPr>
          </w:p>
          <w:p w:rsidR="00716665" w:rsidRPr="00453A50" w:rsidRDefault="00716665" w:rsidP="00084318">
            <w:pPr>
              <w:autoSpaceDE w:val="0"/>
              <w:autoSpaceDN w:val="0"/>
              <w:adjustRightInd w:val="0"/>
            </w:pPr>
            <w:r w:rsidRPr="00453A50">
              <w:t>In the Matter of the Application of The</w:t>
            </w:r>
          </w:p>
          <w:p w:rsidR="00716665" w:rsidRPr="00453A50" w:rsidRDefault="00716665" w:rsidP="00084318">
            <w:pPr>
              <w:autoSpaceDE w:val="0"/>
              <w:autoSpaceDN w:val="0"/>
              <w:adjustRightInd w:val="0"/>
            </w:pPr>
            <w:r w:rsidRPr="00453A50">
              <w:t>Dayton Power and Light Company for</w:t>
            </w:r>
          </w:p>
          <w:p w:rsidR="00716665" w:rsidRPr="00453A50" w:rsidRDefault="00716665" w:rsidP="00084318">
            <w:pPr>
              <w:autoSpaceDE w:val="0"/>
              <w:autoSpaceDN w:val="0"/>
              <w:adjustRightInd w:val="0"/>
            </w:pPr>
            <w:r w:rsidRPr="00453A50">
              <w:t>Waiver of Certain Commission Rules.</w:t>
            </w:r>
          </w:p>
          <w:p w:rsidR="00716665" w:rsidRPr="00453A50" w:rsidRDefault="00716665" w:rsidP="00084318">
            <w:pPr>
              <w:autoSpaceDE w:val="0"/>
              <w:autoSpaceDN w:val="0"/>
              <w:adjustRightInd w:val="0"/>
            </w:pPr>
          </w:p>
          <w:p w:rsidR="00716665" w:rsidRPr="00453A50" w:rsidRDefault="00716665" w:rsidP="00084318">
            <w:pPr>
              <w:autoSpaceDE w:val="0"/>
              <w:autoSpaceDN w:val="0"/>
              <w:adjustRightInd w:val="0"/>
            </w:pPr>
            <w:r w:rsidRPr="00453A50">
              <w:t>In the Matter of the Application of The</w:t>
            </w:r>
          </w:p>
          <w:p w:rsidR="00716665" w:rsidRPr="00453A50" w:rsidRDefault="00716665" w:rsidP="00084318">
            <w:pPr>
              <w:autoSpaceDE w:val="0"/>
              <w:autoSpaceDN w:val="0"/>
              <w:adjustRightInd w:val="0"/>
            </w:pPr>
            <w:r w:rsidRPr="00453A50">
              <w:t>Dayton Power and Light Company to</w:t>
            </w:r>
          </w:p>
          <w:p w:rsidR="00716665" w:rsidRPr="00453A50" w:rsidRDefault="00716665" w:rsidP="00084318">
            <w:pPr>
              <w:autoSpaceDE w:val="0"/>
              <w:autoSpaceDN w:val="0"/>
              <w:adjustRightInd w:val="0"/>
            </w:pPr>
            <w:r w:rsidRPr="00453A50">
              <w:t>Establish Tariff Riders</w:t>
            </w:r>
            <w:r>
              <w:t>.</w:t>
            </w:r>
          </w:p>
          <w:p w:rsidR="00716665" w:rsidRPr="00256629" w:rsidRDefault="00716665">
            <w:pPr>
              <w:pStyle w:val="HTMLPreformatted"/>
              <w:rPr>
                <w:rFonts w:ascii="Times New Roman" w:hAnsi="Times New Roman" w:cs="Times New Roman"/>
                <w:sz w:val="24"/>
                <w:szCs w:val="24"/>
              </w:rPr>
            </w:pPr>
          </w:p>
        </w:tc>
        <w:tc>
          <w:tcPr>
            <w:tcW w:w="360" w:type="dxa"/>
          </w:tcPr>
          <w:p w:rsidR="00716665" w:rsidRPr="00256629" w:rsidRDefault="00716665">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pPr>
              <w:pStyle w:val="HTMLPreformatted"/>
              <w:jc w:val="center"/>
              <w:rPr>
                <w:rFonts w:ascii="Times New Roman" w:hAnsi="Times New Roman" w:cs="Times New Roman"/>
                <w:sz w:val="24"/>
                <w:szCs w:val="24"/>
              </w:rPr>
            </w:pPr>
          </w:p>
          <w:p w:rsidR="00716665" w:rsidRPr="00256629" w:rsidRDefault="00716665">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rsidP="00084318">
            <w:pPr>
              <w:pStyle w:val="HTMLPreformatted"/>
              <w:jc w:val="center"/>
              <w:rPr>
                <w:rFonts w:ascii="Times New Roman" w:hAnsi="Times New Roman" w:cs="Times New Roman"/>
                <w:sz w:val="24"/>
                <w:szCs w:val="24"/>
              </w:rPr>
            </w:pPr>
          </w:p>
          <w:p w:rsidR="00716665" w:rsidRPr="00256629" w:rsidRDefault="00716665" w:rsidP="00084318">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rsidP="00084318">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rsidP="00084318">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rsidP="00084318">
            <w:pPr>
              <w:pStyle w:val="HTMLPreformatted"/>
              <w:jc w:val="center"/>
              <w:rPr>
                <w:rFonts w:ascii="Times New Roman" w:hAnsi="Times New Roman" w:cs="Times New Roman"/>
                <w:sz w:val="24"/>
                <w:szCs w:val="24"/>
              </w:rPr>
            </w:pPr>
          </w:p>
          <w:p w:rsidR="00716665" w:rsidRPr="00256629" w:rsidRDefault="00716665" w:rsidP="00084318">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rsidP="00084318">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rsidP="00084318">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rsidP="00084318">
            <w:pPr>
              <w:pStyle w:val="HTMLPreformatted"/>
              <w:jc w:val="center"/>
              <w:rPr>
                <w:rFonts w:ascii="Times New Roman" w:hAnsi="Times New Roman" w:cs="Times New Roman"/>
                <w:sz w:val="24"/>
                <w:szCs w:val="24"/>
              </w:rPr>
            </w:pPr>
          </w:p>
          <w:p w:rsidR="00716665" w:rsidRPr="00256629" w:rsidRDefault="00716665" w:rsidP="00084318">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rsidP="00084318">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p w:rsidR="00716665" w:rsidRPr="00256629" w:rsidRDefault="00716665">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w:t>
            </w:r>
          </w:p>
        </w:tc>
        <w:tc>
          <w:tcPr>
            <w:tcW w:w="3928" w:type="dxa"/>
          </w:tcPr>
          <w:p w:rsidR="00716665" w:rsidRPr="00256629" w:rsidRDefault="00716665">
            <w:pPr>
              <w:pStyle w:val="HTMLPreformatted"/>
              <w:jc w:val="center"/>
              <w:rPr>
                <w:rFonts w:ascii="Times New Roman" w:hAnsi="Times New Roman" w:cs="Times New Roman"/>
              </w:rPr>
            </w:pPr>
          </w:p>
          <w:p w:rsidR="00716665" w:rsidRPr="00A42A9A" w:rsidRDefault="00716665" w:rsidP="00084318">
            <w:pPr>
              <w:autoSpaceDE w:val="0"/>
              <w:autoSpaceDN w:val="0"/>
              <w:adjustRightInd w:val="0"/>
              <w:jc w:val="center"/>
              <w:rPr>
                <w:lang w:val="es-ES"/>
              </w:rPr>
            </w:pPr>
            <w:r w:rsidRPr="00A42A9A">
              <w:rPr>
                <w:lang w:val="es-ES"/>
              </w:rPr>
              <w:t>Case No. 12-426-EL-SSO</w:t>
            </w:r>
          </w:p>
          <w:p w:rsidR="00716665" w:rsidRPr="00256629" w:rsidRDefault="00716665" w:rsidP="00084318">
            <w:pPr>
              <w:pStyle w:val="HTMLPreformatted"/>
              <w:jc w:val="center"/>
              <w:rPr>
                <w:rFonts w:ascii="Times New Roman" w:hAnsi="Times New Roman" w:cs="Times New Roman"/>
              </w:rPr>
            </w:pPr>
          </w:p>
          <w:p w:rsidR="00716665" w:rsidRPr="00256629" w:rsidRDefault="00716665" w:rsidP="00084318">
            <w:pPr>
              <w:pStyle w:val="HTMLPreformatted"/>
              <w:jc w:val="center"/>
              <w:rPr>
                <w:rFonts w:ascii="Times New Roman" w:hAnsi="Times New Roman" w:cs="Times New Roman"/>
              </w:rPr>
            </w:pPr>
          </w:p>
          <w:p w:rsidR="00716665" w:rsidRPr="00256629" w:rsidRDefault="00716665" w:rsidP="00084318">
            <w:pPr>
              <w:pStyle w:val="HTMLPreformatted"/>
              <w:jc w:val="center"/>
              <w:rPr>
                <w:rFonts w:ascii="Times New Roman" w:hAnsi="Times New Roman" w:cs="Times New Roman"/>
              </w:rPr>
            </w:pPr>
          </w:p>
          <w:p w:rsidR="00716665" w:rsidRPr="00256629" w:rsidRDefault="00716665" w:rsidP="00084318">
            <w:pPr>
              <w:pStyle w:val="HTMLPreformatted"/>
              <w:jc w:val="center"/>
              <w:rPr>
                <w:rFonts w:ascii="Times New Roman" w:hAnsi="Times New Roman" w:cs="Times New Roman"/>
              </w:rPr>
            </w:pPr>
          </w:p>
          <w:p w:rsidR="00716665" w:rsidRPr="00A42A9A" w:rsidRDefault="00716665" w:rsidP="00084318">
            <w:pPr>
              <w:autoSpaceDE w:val="0"/>
              <w:autoSpaceDN w:val="0"/>
              <w:adjustRightInd w:val="0"/>
              <w:jc w:val="center"/>
              <w:rPr>
                <w:lang w:val="es-ES"/>
              </w:rPr>
            </w:pPr>
            <w:r w:rsidRPr="00A42A9A">
              <w:rPr>
                <w:lang w:val="es-ES"/>
              </w:rPr>
              <w:t>Case No. 12-427-EL-ATA</w:t>
            </w:r>
          </w:p>
          <w:p w:rsidR="00716665" w:rsidRPr="00A42A9A" w:rsidRDefault="00716665" w:rsidP="00084318">
            <w:pPr>
              <w:pStyle w:val="HTMLPreformatted"/>
              <w:jc w:val="center"/>
              <w:rPr>
                <w:rFonts w:ascii="Times New Roman" w:hAnsi="Times New Roman" w:cs="Times New Roman"/>
                <w:sz w:val="24"/>
                <w:szCs w:val="24"/>
                <w:lang w:val="es-ES"/>
              </w:rPr>
            </w:pPr>
          </w:p>
          <w:p w:rsidR="00716665" w:rsidRPr="00A42A9A" w:rsidRDefault="00716665" w:rsidP="00084318">
            <w:pPr>
              <w:pStyle w:val="HTMLPreformatted"/>
              <w:jc w:val="center"/>
              <w:rPr>
                <w:rFonts w:ascii="Times New Roman" w:hAnsi="Times New Roman" w:cs="Times New Roman"/>
                <w:sz w:val="24"/>
                <w:szCs w:val="24"/>
                <w:lang w:val="es-ES"/>
              </w:rPr>
            </w:pPr>
          </w:p>
          <w:p w:rsidR="00716665" w:rsidRPr="00A42A9A" w:rsidRDefault="00716665" w:rsidP="00084318">
            <w:pPr>
              <w:pStyle w:val="HTMLPreformatted"/>
              <w:jc w:val="center"/>
              <w:rPr>
                <w:rFonts w:ascii="Times New Roman" w:hAnsi="Times New Roman" w:cs="Times New Roman"/>
                <w:sz w:val="24"/>
                <w:szCs w:val="24"/>
                <w:lang w:val="es-ES"/>
              </w:rPr>
            </w:pPr>
          </w:p>
          <w:p w:rsidR="00716665" w:rsidRPr="00A42A9A" w:rsidRDefault="00716665" w:rsidP="00084318">
            <w:pPr>
              <w:autoSpaceDE w:val="0"/>
              <w:autoSpaceDN w:val="0"/>
              <w:adjustRightInd w:val="0"/>
              <w:jc w:val="center"/>
              <w:rPr>
                <w:lang w:val="es-ES"/>
              </w:rPr>
            </w:pPr>
            <w:r w:rsidRPr="00A42A9A">
              <w:rPr>
                <w:lang w:val="es-ES"/>
              </w:rPr>
              <w:t>Case No. 12-428-EL-AAM</w:t>
            </w:r>
          </w:p>
          <w:p w:rsidR="00716665" w:rsidRPr="00A42A9A" w:rsidRDefault="00716665" w:rsidP="00084318">
            <w:pPr>
              <w:pStyle w:val="HTMLPreformatted"/>
              <w:jc w:val="center"/>
              <w:rPr>
                <w:rFonts w:ascii="Times New Roman" w:hAnsi="Times New Roman" w:cs="Times New Roman"/>
                <w:sz w:val="24"/>
                <w:szCs w:val="24"/>
                <w:lang w:val="es-ES"/>
              </w:rPr>
            </w:pPr>
          </w:p>
          <w:p w:rsidR="00716665" w:rsidRPr="00A42A9A" w:rsidRDefault="00716665" w:rsidP="00084318">
            <w:pPr>
              <w:pStyle w:val="HTMLPreformatted"/>
              <w:jc w:val="center"/>
              <w:rPr>
                <w:rFonts w:ascii="Times New Roman" w:hAnsi="Times New Roman" w:cs="Times New Roman"/>
                <w:sz w:val="24"/>
                <w:szCs w:val="24"/>
                <w:lang w:val="es-ES"/>
              </w:rPr>
            </w:pPr>
          </w:p>
          <w:p w:rsidR="00716665" w:rsidRPr="00A42A9A" w:rsidRDefault="00716665" w:rsidP="00084318">
            <w:pPr>
              <w:pStyle w:val="HTMLPreformatted"/>
              <w:jc w:val="center"/>
              <w:rPr>
                <w:rFonts w:ascii="Times New Roman" w:hAnsi="Times New Roman" w:cs="Times New Roman"/>
                <w:sz w:val="24"/>
                <w:szCs w:val="24"/>
                <w:lang w:val="es-ES"/>
              </w:rPr>
            </w:pPr>
          </w:p>
          <w:p w:rsidR="00716665" w:rsidRPr="00A42A9A" w:rsidRDefault="00716665" w:rsidP="00084318">
            <w:pPr>
              <w:autoSpaceDE w:val="0"/>
              <w:autoSpaceDN w:val="0"/>
              <w:adjustRightInd w:val="0"/>
              <w:jc w:val="center"/>
              <w:rPr>
                <w:lang w:val="es-ES"/>
              </w:rPr>
            </w:pPr>
            <w:r w:rsidRPr="00A42A9A">
              <w:rPr>
                <w:lang w:val="es-ES"/>
              </w:rPr>
              <w:t>Case No. 12-429-EL-WVR</w:t>
            </w:r>
          </w:p>
          <w:p w:rsidR="00716665" w:rsidRPr="00A42A9A" w:rsidRDefault="00716665" w:rsidP="00084318">
            <w:pPr>
              <w:pStyle w:val="HTMLPreformatted"/>
              <w:jc w:val="center"/>
              <w:rPr>
                <w:rFonts w:ascii="Times New Roman" w:hAnsi="Times New Roman" w:cs="Times New Roman"/>
                <w:sz w:val="24"/>
                <w:szCs w:val="24"/>
                <w:lang w:val="es-ES"/>
              </w:rPr>
            </w:pPr>
          </w:p>
          <w:p w:rsidR="00716665" w:rsidRPr="00A42A9A" w:rsidRDefault="00716665" w:rsidP="00084318">
            <w:pPr>
              <w:autoSpaceDE w:val="0"/>
              <w:autoSpaceDN w:val="0"/>
              <w:adjustRightInd w:val="0"/>
              <w:jc w:val="center"/>
              <w:rPr>
                <w:lang w:val="es-ES"/>
              </w:rPr>
            </w:pPr>
          </w:p>
          <w:p w:rsidR="00716665" w:rsidRPr="00A42A9A" w:rsidRDefault="00716665" w:rsidP="00084318">
            <w:pPr>
              <w:autoSpaceDE w:val="0"/>
              <w:autoSpaceDN w:val="0"/>
              <w:adjustRightInd w:val="0"/>
              <w:jc w:val="center"/>
              <w:rPr>
                <w:lang w:val="es-ES"/>
              </w:rPr>
            </w:pPr>
          </w:p>
          <w:p w:rsidR="00716665" w:rsidRPr="00256629" w:rsidRDefault="00716665" w:rsidP="00084318">
            <w:pPr>
              <w:pStyle w:val="HTMLPreformatted"/>
              <w:jc w:val="center"/>
              <w:rPr>
                <w:rFonts w:ascii="Times New Roman" w:hAnsi="Times New Roman" w:cs="Times New Roman"/>
                <w:sz w:val="24"/>
                <w:szCs w:val="24"/>
              </w:rPr>
            </w:pPr>
            <w:r w:rsidRPr="00256629">
              <w:rPr>
                <w:rFonts w:ascii="Times New Roman" w:hAnsi="Times New Roman" w:cs="Times New Roman"/>
                <w:sz w:val="24"/>
                <w:szCs w:val="24"/>
              </w:rPr>
              <w:t>Case No. 12-672-EL-RDR</w:t>
            </w:r>
          </w:p>
          <w:p w:rsidR="00716665" w:rsidRPr="00256629" w:rsidRDefault="00716665" w:rsidP="00084318">
            <w:pPr>
              <w:pStyle w:val="HTMLPreformatted"/>
              <w:jc w:val="center"/>
              <w:rPr>
                <w:rFonts w:ascii="Times New Roman" w:hAnsi="Times New Roman" w:cs="Times New Roman"/>
              </w:rPr>
            </w:pPr>
          </w:p>
        </w:tc>
      </w:tr>
    </w:tbl>
    <w:p w:rsidR="00716665" w:rsidRDefault="00716665">
      <w:pPr>
        <w:pStyle w:val="HTMLPreformatted"/>
        <w:jc w:val="center"/>
        <w:rPr>
          <w:rFonts w:ascii="Times New Roman" w:hAnsi="Times New Roman" w:cs="Times New Roman"/>
          <w:b/>
          <w:bCs/>
          <w:sz w:val="24"/>
          <w:szCs w:val="24"/>
        </w:rPr>
      </w:pPr>
    </w:p>
    <w:p w:rsidR="00716665" w:rsidRDefault="00716665">
      <w:pPr>
        <w:pStyle w:val="HTMLPreformatted"/>
        <w:jc w:val="center"/>
        <w:rPr>
          <w:rFonts w:ascii="Times New Roman" w:hAnsi="Times New Roman" w:cs="Times New Roman"/>
          <w:b/>
          <w:bCs/>
          <w:sz w:val="24"/>
          <w:szCs w:val="24"/>
        </w:rPr>
      </w:pPr>
    </w:p>
    <w:p w:rsidR="00716665" w:rsidRDefault="00716665">
      <w:pPr>
        <w:jc w:val="center"/>
        <w:rPr>
          <w:b/>
          <w:bCs/>
        </w:rPr>
      </w:pPr>
      <w:r>
        <w:rPr>
          <w:b/>
          <w:bCs/>
        </w:rPr>
        <w:t>DIRECT TESTIMONY</w:t>
      </w:r>
    </w:p>
    <w:p w:rsidR="00716665" w:rsidRDefault="00716665">
      <w:pPr>
        <w:jc w:val="center"/>
      </w:pPr>
      <w:r>
        <w:rPr>
          <w:b/>
          <w:bCs/>
        </w:rPr>
        <w:t>OF</w:t>
      </w:r>
    </w:p>
    <w:p w:rsidR="00716665" w:rsidRDefault="00716665">
      <w:pPr>
        <w:jc w:val="center"/>
        <w:rPr>
          <w:b/>
          <w:bCs/>
        </w:rPr>
      </w:pPr>
      <w:r>
        <w:rPr>
          <w:b/>
          <w:bCs/>
        </w:rPr>
        <w:t>JAMES D. WILLIAMS</w:t>
      </w:r>
    </w:p>
    <w:p w:rsidR="00716665" w:rsidRDefault="00716665">
      <w:pPr>
        <w:jc w:val="center"/>
        <w:rPr>
          <w:b/>
          <w:bCs/>
        </w:rPr>
      </w:pPr>
    </w:p>
    <w:p w:rsidR="00716665" w:rsidRDefault="00716665"/>
    <w:p w:rsidR="00716665" w:rsidRDefault="00716665">
      <w:pPr>
        <w:jc w:val="center"/>
        <w:rPr>
          <w:b/>
          <w:bCs/>
        </w:rPr>
      </w:pPr>
      <w:r>
        <w:rPr>
          <w:b/>
          <w:bCs/>
        </w:rPr>
        <w:t>On Behalf of</w:t>
      </w:r>
    </w:p>
    <w:p w:rsidR="00716665" w:rsidRDefault="00716665">
      <w:pPr>
        <w:jc w:val="center"/>
        <w:rPr>
          <w:b/>
          <w:bCs/>
          <w:caps/>
        </w:rPr>
      </w:pPr>
      <w:r>
        <w:rPr>
          <w:b/>
          <w:bCs/>
        </w:rPr>
        <w:t>The Office of the Ohio Consumers' Counsel</w:t>
      </w:r>
    </w:p>
    <w:p w:rsidR="00716665" w:rsidRDefault="00716665">
      <w:pPr>
        <w:jc w:val="center"/>
        <w:rPr>
          <w:i/>
          <w:iCs/>
        </w:rPr>
      </w:pPr>
      <w:r>
        <w:rPr>
          <w:i/>
          <w:iCs/>
        </w:rPr>
        <w:t>10 West Broad Street, Suite 1800</w:t>
      </w:r>
    </w:p>
    <w:p w:rsidR="00716665" w:rsidRDefault="00716665">
      <w:pPr>
        <w:jc w:val="center"/>
        <w:rPr>
          <w:i/>
          <w:iCs/>
        </w:rPr>
      </w:pPr>
      <w:r>
        <w:rPr>
          <w:i/>
          <w:iCs/>
        </w:rPr>
        <w:t>Columbus, Ohio 43215-3485</w:t>
      </w:r>
    </w:p>
    <w:p w:rsidR="00716665" w:rsidRDefault="00716665">
      <w:pPr>
        <w:jc w:val="center"/>
      </w:pPr>
      <w:r>
        <w:rPr>
          <w:i/>
          <w:iCs/>
        </w:rPr>
        <w:t>(614) 466-8574</w:t>
      </w:r>
    </w:p>
    <w:p w:rsidR="00716665" w:rsidRDefault="00716665">
      <w:pPr>
        <w:jc w:val="center"/>
      </w:pPr>
    </w:p>
    <w:p w:rsidR="00716665" w:rsidRDefault="00716665">
      <w:pPr>
        <w:jc w:val="center"/>
      </w:pPr>
    </w:p>
    <w:p w:rsidR="00716665" w:rsidRDefault="00716665">
      <w:pPr>
        <w:jc w:val="center"/>
      </w:pPr>
    </w:p>
    <w:p w:rsidR="00716665" w:rsidRDefault="00716665">
      <w:pPr>
        <w:jc w:val="center"/>
      </w:pPr>
    </w:p>
    <w:p w:rsidR="00716665" w:rsidRDefault="00716665">
      <w:pPr>
        <w:jc w:val="center"/>
        <w:rPr>
          <w:b/>
          <w:bCs/>
          <w:i/>
          <w:iCs/>
        </w:rPr>
        <w:sectPr w:rsidR="007166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b/>
          <w:bCs/>
          <w:i/>
          <w:iCs/>
        </w:rPr>
        <w:t>March 1, 2013</w:t>
      </w:r>
    </w:p>
    <w:p w:rsidR="00716665" w:rsidRDefault="00716665">
      <w:pPr>
        <w:jc w:val="center"/>
        <w:rPr>
          <w:b/>
          <w:bCs/>
          <w:u w:val="single"/>
        </w:rPr>
      </w:pPr>
      <w:r>
        <w:rPr>
          <w:b/>
          <w:bCs/>
          <w:u w:val="single"/>
        </w:rPr>
        <w:lastRenderedPageBreak/>
        <w:t>TABLE OF CONTENTS</w:t>
      </w:r>
    </w:p>
    <w:p w:rsidR="00716665" w:rsidRDefault="00716665"/>
    <w:p w:rsidR="00716665" w:rsidRPr="005934C5" w:rsidRDefault="00716665" w:rsidP="005934C5">
      <w:pPr>
        <w:tabs>
          <w:tab w:val="right" w:pos="9180"/>
        </w:tabs>
        <w:rPr>
          <w:b/>
          <w:bCs/>
        </w:rPr>
      </w:pPr>
      <w:r>
        <w:rPr>
          <w:b/>
          <w:bCs/>
        </w:rPr>
        <w:tab/>
      </w:r>
      <w:r w:rsidRPr="005934C5">
        <w:rPr>
          <w:b/>
          <w:bCs/>
        </w:rPr>
        <w:t>Page</w:t>
      </w:r>
    </w:p>
    <w:p w:rsidR="00716665" w:rsidRDefault="00716665">
      <w:pPr>
        <w:tabs>
          <w:tab w:val="left" w:pos="720"/>
          <w:tab w:val="left" w:pos="1440"/>
          <w:tab w:val="left" w:leader="dot" w:pos="8640"/>
        </w:tabs>
      </w:pPr>
    </w:p>
    <w:p w:rsidR="00716665" w:rsidRDefault="00716665">
      <w:pPr>
        <w:pStyle w:val="TOC1"/>
        <w:rPr>
          <w:rFonts w:ascii="Calibri" w:hAnsi="Calibri" w:cs="Calibri"/>
          <w:caps w:val="0"/>
          <w:sz w:val="22"/>
          <w:szCs w:val="22"/>
        </w:rPr>
      </w:pPr>
      <w:r>
        <w:fldChar w:fldCharType="begin"/>
      </w:r>
      <w:r>
        <w:instrText xml:space="preserve"> TOC \o "1-1" \h \z \u </w:instrText>
      </w:r>
      <w:r>
        <w:fldChar w:fldCharType="separate"/>
      </w:r>
      <w:hyperlink w:anchor="_Toc349057448" w:history="1">
        <w:r w:rsidRPr="00FA2D91">
          <w:rPr>
            <w:rStyle w:val="Hyperlink"/>
          </w:rPr>
          <w:t>I.</w:t>
        </w:r>
        <w:r>
          <w:rPr>
            <w:rFonts w:ascii="Calibri" w:hAnsi="Calibri" w:cs="Calibri"/>
            <w:caps w:val="0"/>
            <w:sz w:val="22"/>
            <w:szCs w:val="22"/>
          </w:rPr>
          <w:tab/>
        </w:r>
        <w:r w:rsidRPr="00FA2D91">
          <w:rPr>
            <w:rStyle w:val="Hyperlink"/>
          </w:rPr>
          <w:t>INTRODUCTION</w:t>
        </w:r>
        <w:r>
          <w:rPr>
            <w:webHidden/>
          </w:rPr>
          <w:tab/>
        </w:r>
        <w:r>
          <w:rPr>
            <w:webHidden/>
          </w:rPr>
          <w:fldChar w:fldCharType="begin"/>
        </w:r>
        <w:r>
          <w:rPr>
            <w:webHidden/>
          </w:rPr>
          <w:instrText xml:space="preserve"> PAGEREF _Toc349057448 \h </w:instrText>
        </w:r>
        <w:r>
          <w:rPr>
            <w:webHidden/>
          </w:rPr>
        </w:r>
        <w:r>
          <w:rPr>
            <w:webHidden/>
          </w:rPr>
          <w:fldChar w:fldCharType="separate"/>
        </w:r>
        <w:r w:rsidR="000840AE">
          <w:rPr>
            <w:webHidden/>
          </w:rPr>
          <w:t>1</w:t>
        </w:r>
        <w:r>
          <w:rPr>
            <w:webHidden/>
          </w:rPr>
          <w:fldChar w:fldCharType="end"/>
        </w:r>
      </w:hyperlink>
    </w:p>
    <w:p w:rsidR="00716665" w:rsidRDefault="00F47118">
      <w:pPr>
        <w:pStyle w:val="TOC1"/>
        <w:rPr>
          <w:rFonts w:ascii="Calibri" w:hAnsi="Calibri" w:cs="Calibri"/>
          <w:caps w:val="0"/>
          <w:sz w:val="22"/>
          <w:szCs w:val="22"/>
        </w:rPr>
      </w:pPr>
      <w:hyperlink w:anchor="_Toc349057449" w:history="1">
        <w:r w:rsidR="00716665" w:rsidRPr="00FA2D91">
          <w:rPr>
            <w:rStyle w:val="Hyperlink"/>
          </w:rPr>
          <w:t>II.</w:t>
        </w:r>
        <w:r w:rsidR="00716665">
          <w:rPr>
            <w:rFonts w:ascii="Calibri" w:hAnsi="Calibri" w:cs="Calibri"/>
            <w:caps w:val="0"/>
            <w:sz w:val="22"/>
            <w:szCs w:val="22"/>
          </w:rPr>
          <w:tab/>
        </w:r>
        <w:r w:rsidR="00716665" w:rsidRPr="00FA2D91">
          <w:rPr>
            <w:rStyle w:val="Hyperlink"/>
          </w:rPr>
          <w:t>PURPOSE OF MY TESTIMONY</w:t>
        </w:r>
        <w:r w:rsidR="00716665">
          <w:rPr>
            <w:webHidden/>
          </w:rPr>
          <w:tab/>
        </w:r>
        <w:r w:rsidR="00716665">
          <w:rPr>
            <w:webHidden/>
          </w:rPr>
          <w:fldChar w:fldCharType="begin"/>
        </w:r>
        <w:r w:rsidR="00716665">
          <w:rPr>
            <w:webHidden/>
          </w:rPr>
          <w:instrText xml:space="preserve"> PAGEREF _Toc349057449 \h </w:instrText>
        </w:r>
        <w:r w:rsidR="00716665">
          <w:rPr>
            <w:webHidden/>
          </w:rPr>
        </w:r>
        <w:r w:rsidR="00716665">
          <w:rPr>
            <w:webHidden/>
          </w:rPr>
          <w:fldChar w:fldCharType="separate"/>
        </w:r>
        <w:r w:rsidR="000840AE">
          <w:rPr>
            <w:webHidden/>
          </w:rPr>
          <w:t>3</w:t>
        </w:r>
        <w:r w:rsidR="00716665">
          <w:rPr>
            <w:webHidden/>
          </w:rPr>
          <w:fldChar w:fldCharType="end"/>
        </w:r>
      </w:hyperlink>
    </w:p>
    <w:p w:rsidR="00716665" w:rsidRDefault="00F47118">
      <w:pPr>
        <w:pStyle w:val="TOC1"/>
        <w:rPr>
          <w:rFonts w:ascii="Calibri" w:hAnsi="Calibri" w:cs="Calibri"/>
          <w:caps w:val="0"/>
          <w:sz w:val="22"/>
          <w:szCs w:val="22"/>
        </w:rPr>
      </w:pPr>
      <w:hyperlink w:anchor="_Toc349057450" w:history="1">
        <w:r w:rsidR="00716665" w:rsidRPr="00FA2D91">
          <w:rPr>
            <w:rStyle w:val="Hyperlink"/>
          </w:rPr>
          <w:t>iii.</w:t>
        </w:r>
        <w:r w:rsidR="00716665">
          <w:rPr>
            <w:rFonts w:ascii="Calibri" w:hAnsi="Calibri" w:cs="Calibri"/>
            <w:caps w:val="0"/>
            <w:sz w:val="22"/>
            <w:szCs w:val="22"/>
          </w:rPr>
          <w:tab/>
        </w:r>
        <w:r w:rsidR="00716665" w:rsidRPr="00FA2D91">
          <w:rPr>
            <w:rStyle w:val="Hyperlink"/>
          </w:rPr>
          <w:t>AFFORDABILITY OF RETAIL ELECTRIC SERVICE</w:t>
        </w:r>
        <w:r w:rsidR="00716665">
          <w:rPr>
            <w:webHidden/>
          </w:rPr>
          <w:tab/>
        </w:r>
        <w:r w:rsidR="00716665">
          <w:rPr>
            <w:webHidden/>
          </w:rPr>
          <w:fldChar w:fldCharType="begin"/>
        </w:r>
        <w:r w:rsidR="00716665">
          <w:rPr>
            <w:webHidden/>
          </w:rPr>
          <w:instrText xml:space="preserve"> PAGEREF _Toc349057450 \h </w:instrText>
        </w:r>
        <w:r w:rsidR="00716665">
          <w:rPr>
            <w:webHidden/>
          </w:rPr>
        </w:r>
        <w:r w:rsidR="00716665">
          <w:rPr>
            <w:webHidden/>
          </w:rPr>
          <w:fldChar w:fldCharType="separate"/>
        </w:r>
        <w:r w:rsidR="000840AE">
          <w:rPr>
            <w:webHidden/>
          </w:rPr>
          <w:t>4</w:t>
        </w:r>
        <w:r w:rsidR="00716665">
          <w:rPr>
            <w:webHidden/>
          </w:rPr>
          <w:fldChar w:fldCharType="end"/>
        </w:r>
      </w:hyperlink>
    </w:p>
    <w:p w:rsidR="00716665" w:rsidRDefault="00F47118">
      <w:pPr>
        <w:pStyle w:val="TOC1"/>
        <w:rPr>
          <w:rFonts w:ascii="Calibri" w:hAnsi="Calibri" w:cs="Calibri"/>
          <w:caps w:val="0"/>
          <w:sz w:val="22"/>
          <w:szCs w:val="22"/>
        </w:rPr>
      </w:pPr>
      <w:hyperlink w:anchor="_Toc349057451" w:history="1">
        <w:r w:rsidR="00716665" w:rsidRPr="00FA2D91">
          <w:rPr>
            <w:rStyle w:val="Hyperlink"/>
          </w:rPr>
          <w:t>IV.</w:t>
        </w:r>
        <w:r w:rsidR="00716665">
          <w:rPr>
            <w:rFonts w:ascii="Calibri" w:hAnsi="Calibri" w:cs="Calibri"/>
            <w:caps w:val="0"/>
            <w:sz w:val="22"/>
            <w:szCs w:val="22"/>
          </w:rPr>
          <w:tab/>
        </w:r>
        <w:r w:rsidR="00716665" w:rsidRPr="00FA2D91">
          <w:rPr>
            <w:rStyle w:val="Hyperlink"/>
          </w:rPr>
          <w:t>RECOMMENDATIONS</w:t>
        </w:r>
        <w:r w:rsidR="00716665">
          <w:rPr>
            <w:webHidden/>
          </w:rPr>
          <w:tab/>
        </w:r>
        <w:r w:rsidR="00716665">
          <w:rPr>
            <w:webHidden/>
          </w:rPr>
          <w:fldChar w:fldCharType="begin"/>
        </w:r>
        <w:r w:rsidR="00716665">
          <w:rPr>
            <w:webHidden/>
          </w:rPr>
          <w:instrText xml:space="preserve"> PAGEREF _Toc349057451 \h </w:instrText>
        </w:r>
        <w:r w:rsidR="00716665">
          <w:rPr>
            <w:webHidden/>
          </w:rPr>
        </w:r>
        <w:r w:rsidR="00716665">
          <w:rPr>
            <w:webHidden/>
          </w:rPr>
          <w:fldChar w:fldCharType="separate"/>
        </w:r>
        <w:r w:rsidR="000840AE">
          <w:rPr>
            <w:webHidden/>
          </w:rPr>
          <w:t>25</w:t>
        </w:r>
        <w:r w:rsidR="00716665">
          <w:rPr>
            <w:webHidden/>
          </w:rPr>
          <w:fldChar w:fldCharType="end"/>
        </w:r>
      </w:hyperlink>
    </w:p>
    <w:p w:rsidR="00716665" w:rsidRDefault="00F47118">
      <w:pPr>
        <w:pStyle w:val="TOC1"/>
        <w:rPr>
          <w:rFonts w:ascii="Calibri" w:hAnsi="Calibri" w:cs="Calibri"/>
          <w:caps w:val="0"/>
          <w:sz w:val="22"/>
          <w:szCs w:val="22"/>
        </w:rPr>
      </w:pPr>
      <w:hyperlink w:anchor="_Toc349057452" w:history="1">
        <w:r w:rsidR="00716665" w:rsidRPr="00FA2D91">
          <w:rPr>
            <w:rStyle w:val="Hyperlink"/>
          </w:rPr>
          <w:t>v.</w:t>
        </w:r>
        <w:r w:rsidR="00716665">
          <w:rPr>
            <w:rFonts w:ascii="Calibri" w:hAnsi="Calibri" w:cs="Calibri"/>
            <w:caps w:val="0"/>
            <w:sz w:val="22"/>
            <w:szCs w:val="22"/>
          </w:rPr>
          <w:tab/>
        </w:r>
        <w:r w:rsidR="00716665" w:rsidRPr="00FA2D91">
          <w:rPr>
            <w:rStyle w:val="Hyperlink"/>
          </w:rPr>
          <w:t>CONCLUSION</w:t>
        </w:r>
        <w:r w:rsidR="00716665">
          <w:rPr>
            <w:webHidden/>
          </w:rPr>
          <w:tab/>
        </w:r>
        <w:r w:rsidR="00716665">
          <w:rPr>
            <w:webHidden/>
          </w:rPr>
          <w:fldChar w:fldCharType="begin"/>
        </w:r>
        <w:r w:rsidR="00716665">
          <w:rPr>
            <w:webHidden/>
          </w:rPr>
          <w:instrText xml:space="preserve"> PAGEREF _Toc349057452 \h </w:instrText>
        </w:r>
        <w:r w:rsidR="00716665">
          <w:rPr>
            <w:webHidden/>
          </w:rPr>
        </w:r>
        <w:r w:rsidR="00716665">
          <w:rPr>
            <w:webHidden/>
          </w:rPr>
          <w:fldChar w:fldCharType="separate"/>
        </w:r>
        <w:r w:rsidR="000840AE">
          <w:rPr>
            <w:webHidden/>
          </w:rPr>
          <w:t>29</w:t>
        </w:r>
        <w:r w:rsidR="00716665">
          <w:rPr>
            <w:webHidden/>
          </w:rPr>
          <w:fldChar w:fldCharType="end"/>
        </w:r>
      </w:hyperlink>
    </w:p>
    <w:p w:rsidR="00716665" w:rsidRDefault="00716665">
      <w:pPr>
        <w:tabs>
          <w:tab w:val="left" w:pos="720"/>
          <w:tab w:val="left" w:pos="1440"/>
          <w:tab w:val="left" w:leader="dot" w:pos="8640"/>
        </w:tabs>
      </w:pPr>
      <w:r>
        <w:fldChar w:fldCharType="end"/>
      </w:r>
    </w:p>
    <w:p w:rsidR="00716665" w:rsidRDefault="00716665">
      <w:pPr>
        <w:tabs>
          <w:tab w:val="left" w:pos="720"/>
          <w:tab w:val="left" w:pos="1440"/>
          <w:tab w:val="left" w:leader="dot" w:pos="8640"/>
        </w:tabs>
        <w:jc w:val="center"/>
        <w:rPr>
          <w:b/>
          <w:bCs/>
          <w:u w:val="single"/>
        </w:rPr>
      </w:pPr>
      <w:r>
        <w:rPr>
          <w:b/>
          <w:bCs/>
          <w:u w:val="single"/>
        </w:rPr>
        <w:t>ATTACHMENTS</w:t>
      </w:r>
    </w:p>
    <w:p w:rsidR="00716665" w:rsidRDefault="00716665">
      <w:pPr>
        <w:tabs>
          <w:tab w:val="left" w:pos="720"/>
          <w:tab w:val="left" w:pos="1440"/>
          <w:tab w:val="left" w:leader="dot" w:pos="8640"/>
        </w:tabs>
      </w:pPr>
    </w:p>
    <w:p w:rsidR="00716665" w:rsidRDefault="00716665" w:rsidP="00D95C88">
      <w:pPr>
        <w:tabs>
          <w:tab w:val="left" w:pos="720"/>
          <w:tab w:val="left" w:pos="1440"/>
          <w:tab w:val="left" w:leader="dot" w:pos="8640"/>
        </w:tabs>
        <w:spacing w:line="276" w:lineRule="auto"/>
      </w:pPr>
      <w:r>
        <w:t>JDW-1</w:t>
      </w:r>
      <w:r>
        <w:tab/>
      </w:r>
      <w:r>
        <w:tab/>
        <w:t>List of Previous Testimony Filed at the PUCO by James Williams</w:t>
      </w:r>
    </w:p>
    <w:p w:rsidR="00716665" w:rsidRDefault="00716665" w:rsidP="00D95C88">
      <w:pPr>
        <w:tabs>
          <w:tab w:val="left" w:pos="720"/>
          <w:tab w:val="left" w:pos="1440"/>
          <w:tab w:val="left" w:leader="dot" w:pos="8640"/>
        </w:tabs>
        <w:spacing w:line="276" w:lineRule="auto"/>
        <w:ind w:left="1440" w:hanging="1440"/>
      </w:pPr>
      <w:r>
        <w:t>JDW-2</w:t>
      </w:r>
      <w:r>
        <w:tab/>
      </w:r>
      <w:r>
        <w:tab/>
        <w:t>DP&amp;L Response to OCC Interrogatory No. 75</w:t>
      </w:r>
    </w:p>
    <w:p w:rsidR="00716665" w:rsidRDefault="00716665" w:rsidP="00D95C88">
      <w:pPr>
        <w:tabs>
          <w:tab w:val="left" w:pos="720"/>
          <w:tab w:val="left" w:pos="1440"/>
          <w:tab w:val="left" w:leader="dot" w:pos="8640"/>
        </w:tabs>
        <w:spacing w:line="276" w:lineRule="auto"/>
        <w:ind w:left="1440" w:hanging="1440"/>
      </w:pPr>
      <w:r>
        <w:t>JDW-3</w:t>
      </w:r>
      <w:r>
        <w:tab/>
      </w:r>
      <w:r>
        <w:tab/>
        <w:t>DP&amp;L Response to OCC Interrogatory No. 86</w:t>
      </w:r>
    </w:p>
    <w:p w:rsidR="00291A7E" w:rsidRDefault="00291A7E" w:rsidP="00291A7E">
      <w:pPr>
        <w:tabs>
          <w:tab w:val="left" w:pos="720"/>
          <w:tab w:val="left" w:pos="1440"/>
          <w:tab w:val="left" w:leader="dot" w:pos="8640"/>
        </w:tabs>
        <w:spacing w:line="276" w:lineRule="auto"/>
        <w:ind w:left="1440" w:hanging="1440"/>
      </w:pPr>
      <w:r>
        <w:t>JDW-4</w:t>
      </w:r>
      <w:r>
        <w:tab/>
      </w:r>
      <w:r>
        <w:tab/>
        <w:t>DP&amp;L Response to OCC Interrogatory No. 77</w:t>
      </w:r>
    </w:p>
    <w:p w:rsidR="00716665" w:rsidRDefault="00291A7E" w:rsidP="00D95C88">
      <w:pPr>
        <w:tabs>
          <w:tab w:val="left" w:pos="720"/>
          <w:tab w:val="left" w:pos="1440"/>
          <w:tab w:val="left" w:leader="dot" w:pos="8640"/>
        </w:tabs>
        <w:spacing w:line="276" w:lineRule="auto"/>
        <w:ind w:left="1440" w:hanging="1440"/>
      </w:pPr>
      <w:r>
        <w:t>JDW-5</w:t>
      </w:r>
      <w:r w:rsidR="00716665">
        <w:tab/>
      </w:r>
      <w:r w:rsidR="00716665">
        <w:tab/>
        <w:t>DP&amp;L Response to OCC Interrogatory No. 89</w:t>
      </w:r>
    </w:p>
    <w:p w:rsidR="00716665" w:rsidRDefault="00291A7E" w:rsidP="00D95C88">
      <w:pPr>
        <w:tabs>
          <w:tab w:val="left" w:pos="720"/>
          <w:tab w:val="left" w:pos="1440"/>
          <w:tab w:val="left" w:leader="dot" w:pos="8640"/>
        </w:tabs>
        <w:spacing w:line="276" w:lineRule="auto"/>
        <w:ind w:left="1440" w:hanging="1440"/>
      </w:pPr>
      <w:r>
        <w:t>JDW-6</w:t>
      </w:r>
      <w:r w:rsidR="00716665">
        <w:tab/>
      </w:r>
      <w:r w:rsidR="00716665">
        <w:tab/>
        <w:t>DP&amp;L Response to OCC Interrogatory No. 90</w:t>
      </w:r>
    </w:p>
    <w:p w:rsidR="00716665" w:rsidRDefault="00716665" w:rsidP="00720D33">
      <w:pPr>
        <w:tabs>
          <w:tab w:val="left" w:pos="720"/>
          <w:tab w:val="left" w:pos="1440"/>
          <w:tab w:val="left" w:leader="dot" w:pos="8640"/>
        </w:tabs>
        <w:spacing w:line="276" w:lineRule="auto"/>
        <w:ind w:left="1440" w:hanging="1440"/>
      </w:pPr>
      <w:r>
        <w:t>JDW-7</w:t>
      </w:r>
      <w:r>
        <w:tab/>
      </w:r>
      <w:r>
        <w:tab/>
        <w:t>DP&amp;L Response to OCC Interrogatory No. 8</w:t>
      </w:r>
      <w:r w:rsidR="00720D33">
        <w:t>7</w:t>
      </w:r>
    </w:p>
    <w:p w:rsidR="00720D33" w:rsidRDefault="00720D33" w:rsidP="00720D33">
      <w:pPr>
        <w:tabs>
          <w:tab w:val="left" w:pos="720"/>
          <w:tab w:val="left" w:pos="1440"/>
          <w:tab w:val="left" w:leader="dot" w:pos="8640"/>
        </w:tabs>
        <w:spacing w:line="276" w:lineRule="auto"/>
        <w:ind w:left="1440" w:hanging="1440"/>
      </w:pPr>
      <w:r>
        <w:t>JDW-8</w:t>
      </w:r>
      <w:r>
        <w:tab/>
      </w:r>
      <w:r>
        <w:tab/>
        <w:t>DP&amp;L Response to OCC Interrogatory No. 81</w:t>
      </w:r>
    </w:p>
    <w:p w:rsidR="00716665" w:rsidRDefault="00720D33" w:rsidP="00D95C88">
      <w:pPr>
        <w:tabs>
          <w:tab w:val="left" w:pos="720"/>
          <w:tab w:val="left" w:pos="1440"/>
          <w:tab w:val="left" w:leader="dot" w:pos="8640"/>
        </w:tabs>
        <w:spacing w:line="276" w:lineRule="auto"/>
        <w:ind w:left="1440" w:hanging="1440"/>
      </w:pPr>
      <w:r>
        <w:t>JDW-9</w:t>
      </w:r>
      <w:r w:rsidR="00716665">
        <w:tab/>
      </w:r>
      <w:r w:rsidR="00716665">
        <w:tab/>
        <w:t>DP&amp;L Response to OCC Interrogatory No. 76</w:t>
      </w:r>
    </w:p>
    <w:p w:rsidR="00716665" w:rsidRDefault="00720D33" w:rsidP="00D95C88">
      <w:pPr>
        <w:tabs>
          <w:tab w:val="left" w:pos="720"/>
          <w:tab w:val="left" w:pos="1440"/>
          <w:tab w:val="left" w:leader="dot" w:pos="8640"/>
        </w:tabs>
        <w:spacing w:line="276" w:lineRule="auto"/>
        <w:ind w:left="1440" w:hanging="1440"/>
      </w:pPr>
      <w:r>
        <w:t>JDW-10</w:t>
      </w:r>
      <w:r w:rsidR="00716665">
        <w:tab/>
        <w:t>DP&amp;L Response to OCC Interrogatory No. 83</w:t>
      </w:r>
    </w:p>
    <w:p w:rsidR="00716665" w:rsidRDefault="00720D33" w:rsidP="00D95C88">
      <w:pPr>
        <w:tabs>
          <w:tab w:val="left" w:pos="720"/>
          <w:tab w:val="left" w:pos="1440"/>
          <w:tab w:val="left" w:leader="dot" w:pos="8640"/>
        </w:tabs>
        <w:spacing w:line="276" w:lineRule="auto"/>
        <w:ind w:left="1440" w:hanging="1440"/>
      </w:pPr>
      <w:r>
        <w:t>JDW-11</w:t>
      </w:r>
      <w:r w:rsidR="00716665">
        <w:tab/>
        <w:t>DP&amp;L Response to OCC Interrogatory No. 85</w:t>
      </w:r>
    </w:p>
    <w:p w:rsidR="00716665" w:rsidRDefault="00716665" w:rsidP="00D95C88">
      <w:pPr>
        <w:tabs>
          <w:tab w:val="left" w:pos="720"/>
          <w:tab w:val="left" w:pos="1440"/>
          <w:tab w:val="left" w:leader="dot" w:pos="8640"/>
        </w:tabs>
        <w:spacing w:line="276" w:lineRule="auto"/>
        <w:ind w:left="1440" w:hanging="1440"/>
      </w:pPr>
      <w:r>
        <w:t>JDW-12</w:t>
      </w:r>
      <w:r>
        <w:tab/>
        <w:t>DP&amp;L Response to OCC Interrogatory No. 95</w:t>
      </w:r>
    </w:p>
    <w:p w:rsidR="00716665" w:rsidRDefault="00716665" w:rsidP="00D95C88">
      <w:pPr>
        <w:tabs>
          <w:tab w:val="left" w:pos="720"/>
          <w:tab w:val="left" w:pos="1440"/>
          <w:tab w:val="left" w:leader="dot" w:pos="8640"/>
        </w:tabs>
        <w:spacing w:line="276" w:lineRule="auto"/>
        <w:ind w:left="1440" w:hanging="1440"/>
      </w:pPr>
      <w:r>
        <w:t>JDW-13</w:t>
      </w:r>
      <w:r>
        <w:tab/>
        <w:t>DP&amp;L Response to OCC Interrogatory No. 98</w:t>
      </w:r>
    </w:p>
    <w:p w:rsidR="00716665" w:rsidRDefault="00716665" w:rsidP="00D95C88">
      <w:pPr>
        <w:tabs>
          <w:tab w:val="left" w:pos="720"/>
          <w:tab w:val="left" w:pos="1440"/>
          <w:tab w:val="left" w:leader="dot" w:pos="8640"/>
        </w:tabs>
        <w:spacing w:line="276" w:lineRule="auto"/>
        <w:ind w:left="1440" w:hanging="1440"/>
      </w:pPr>
      <w:r>
        <w:t>JDW-14</w:t>
      </w:r>
      <w:r>
        <w:tab/>
        <w:t>DP&amp;L Response to OCC Interrogatory No. 97</w:t>
      </w:r>
    </w:p>
    <w:p w:rsidR="00716665" w:rsidRDefault="00716665" w:rsidP="00D95C88">
      <w:pPr>
        <w:tabs>
          <w:tab w:val="left" w:pos="720"/>
          <w:tab w:val="left" w:pos="1440"/>
          <w:tab w:val="left" w:leader="dot" w:pos="8640"/>
        </w:tabs>
        <w:spacing w:line="276" w:lineRule="auto"/>
        <w:ind w:left="1440" w:hanging="1440"/>
      </w:pPr>
      <w:r>
        <w:t>JDW-15</w:t>
      </w:r>
      <w:r>
        <w:tab/>
      </w:r>
      <w:r w:rsidRPr="00BD2367">
        <w:t xml:space="preserve">DP&amp;L Response to OCC Interrogatory No. </w:t>
      </w:r>
      <w:r>
        <w:t>92</w:t>
      </w:r>
    </w:p>
    <w:p w:rsidR="00716665" w:rsidRDefault="00716665" w:rsidP="00D95C88">
      <w:pPr>
        <w:tabs>
          <w:tab w:val="left" w:pos="720"/>
          <w:tab w:val="left" w:pos="1440"/>
          <w:tab w:val="left" w:leader="dot" w:pos="8640"/>
        </w:tabs>
        <w:spacing w:line="276" w:lineRule="auto"/>
        <w:ind w:left="1440" w:hanging="1440"/>
      </w:pPr>
      <w:r>
        <w:t>JDW-16</w:t>
      </w:r>
      <w:r>
        <w:tab/>
      </w:r>
      <w:r w:rsidRPr="00BD2367">
        <w:t xml:space="preserve">DP&amp;L Response to OCC Interrogatory No. </w:t>
      </w:r>
      <w:r>
        <w:t>102</w:t>
      </w:r>
    </w:p>
    <w:p w:rsidR="00716665" w:rsidRDefault="00716665" w:rsidP="00D95C88">
      <w:pPr>
        <w:tabs>
          <w:tab w:val="left" w:pos="720"/>
          <w:tab w:val="left" w:pos="1440"/>
          <w:tab w:val="left" w:leader="dot" w:pos="8640"/>
        </w:tabs>
        <w:spacing w:line="276" w:lineRule="auto"/>
        <w:ind w:left="1440" w:hanging="1440"/>
      </w:pPr>
      <w:r>
        <w:t>JDW-17</w:t>
      </w:r>
      <w:r>
        <w:tab/>
        <w:t>January 15, 2013 PUCO Ohio Utility Rate Survey</w:t>
      </w:r>
    </w:p>
    <w:p w:rsidR="00716665" w:rsidRDefault="00716665" w:rsidP="00D95C88">
      <w:pPr>
        <w:tabs>
          <w:tab w:val="left" w:pos="720"/>
          <w:tab w:val="left" w:pos="1440"/>
          <w:tab w:val="left" w:leader="dot" w:pos="8640"/>
        </w:tabs>
        <w:spacing w:line="276" w:lineRule="auto"/>
        <w:ind w:left="1440" w:hanging="1440"/>
      </w:pPr>
      <w:r>
        <w:t>JDW-18</w:t>
      </w:r>
      <w:r>
        <w:tab/>
        <w:t>January 15, 2008 PUCO Ohio Utility Rate Survey</w:t>
      </w:r>
    </w:p>
    <w:p w:rsidR="00716665" w:rsidRPr="00651E52" w:rsidRDefault="00716665" w:rsidP="00651E52">
      <w:pPr>
        <w:tabs>
          <w:tab w:val="left" w:pos="720"/>
          <w:tab w:val="left" w:pos="1440"/>
          <w:tab w:val="left" w:leader="dot" w:pos="8640"/>
        </w:tabs>
        <w:spacing w:line="276" w:lineRule="auto"/>
        <w:ind w:left="1440" w:hanging="1440"/>
      </w:pPr>
      <w:r w:rsidRPr="00651E52">
        <w:t>JDW-1</w:t>
      </w:r>
      <w:r>
        <w:t>9</w:t>
      </w:r>
      <w:r w:rsidRPr="00651E52">
        <w:tab/>
        <w:t>DP&amp;L Response to OCC Request for Production of Document No. 52</w:t>
      </w:r>
    </w:p>
    <w:p w:rsidR="00716665" w:rsidRDefault="00716665" w:rsidP="00D95C88">
      <w:pPr>
        <w:tabs>
          <w:tab w:val="left" w:pos="720"/>
          <w:tab w:val="left" w:pos="1440"/>
          <w:tab w:val="left" w:leader="dot" w:pos="8640"/>
        </w:tabs>
        <w:spacing w:line="276" w:lineRule="auto"/>
        <w:ind w:left="1440" w:hanging="1440"/>
      </w:pPr>
      <w:r>
        <w:t>JDW-20</w:t>
      </w:r>
      <w:r>
        <w:tab/>
        <w:t>Ohio Quick Facts from U.S. Census Bureau</w:t>
      </w:r>
    </w:p>
    <w:p w:rsidR="00716665" w:rsidRDefault="00716665" w:rsidP="00D95C88">
      <w:pPr>
        <w:tabs>
          <w:tab w:val="left" w:pos="720"/>
          <w:tab w:val="left" w:pos="1440"/>
          <w:tab w:val="left" w:leader="dot" w:pos="8640"/>
        </w:tabs>
        <w:spacing w:line="276" w:lineRule="auto"/>
        <w:ind w:left="1440" w:hanging="1440"/>
      </w:pPr>
      <w:r>
        <w:t>JDW-21</w:t>
      </w:r>
      <w:r>
        <w:tab/>
        <w:t>Montgomery County Quick Facts from U.S. Census Bureau</w:t>
      </w:r>
    </w:p>
    <w:p w:rsidR="00716665" w:rsidRDefault="00716665" w:rsidP="00D95C88">
      <w:pPr>
        <w:tabs>
          <w:tab w:val="left" w:pos="720"/>
          <w:tab w:val="left" w:pos="1440"/>
          <w:tab w:val="left" w:leader="dot" w:pos="8640"/>
        </w:tabs>
        <w:spacing w:line="276" w:lineRule="auto"/>
        <w:ind w:left="1440" w:hanging="1440"/>
      </w:pPr>
      <w:r>
        <w:t>JDW-22</w:t>
      </w:r>
      <w:r>
        <w:tab/>
        <w:t>Dayton Quick Facts from U.S. Census Bureau</w:t>
      </w:r>
    </w:p>
    <w:p w:rsidR="00716665" w:rsidRDefault="00716665" w:rsidP="00D95C88">
      <w:pPr>
        <w:tabs>
          <w:tab w:val="left" w:pos="720"/>
          <w:tab w:val="left" w:pos="1440"/>
          <w:tab w:val="left" w:leader="dot" w:pos="8640"/>
        </w:tabs>
        <w:spacing w:line="276" w:lineRule="auto"/>
        <w:ind w:left="1440" w:hanging="1440"/>
      </w:pPr>
      <w:r>
        <w:t>JDW-23</w:t>
      </w:r>
      <w:r>
        <w:tab/>
        <w:t>Fayette County Quick Facts from U.S. Census Bureau</w:t>
      </w:r>
    </w:p>
    <w:p w:rsidR="00716665" w:rsidRDefault="00716665" w:rsidP="00D95C88">
      <w:pPr>
        <w:tabs>
          <w:tab w:val="left" w:pos="720"/>
          <w:tab w:val="left" w:pos="1440"/>
          <w:tab w:val="left" w:leader="dot" w:pos="8640"/>
        </w:tabs>
        <w:spacing w:line="276" w:lineRule="auto"/>
        <w:ind w:left="1440" w:hanging="1440"/>
      </w:pPr>
      <w:r>
        <w:t>JDW-24</w:t>
      </w:r>
      <w:r>
        <w:tab/>
        <w:t>Clinton County Quick Facts from U.S. Census Bureau</w:t>
      </w:r>
    </w:p>
    <w:p w:rsidR="00716665" w:rsidRDefault="00716665" w:rsidP="00D95C88">
      <w:pPr>
        <w:tabs>
          <w:tab w:val="left" w:pos="720"/>
          <w:tab w:val="left" w:pos="1440"/>
          <w:tab w:val="left" w:leader="dot" w:pos="8640"/>
        </w:tabs>
        <w:spacing w:line="276" w:lineRule="auto"/>
        <w:ind w:left="1440" w:hanging="1440"/>
      </w:pPr>
      <w:r>
        <w:t>JDW-25</w:t>
      </w:r>
      <w:r>
        <w:tab/>
        <w:t>DP&amp;L Response to OCC Request for Production of Documents No. 17</w:t>
      </w:r>
    </w:p>
    <w:p w:rsidR="00716665" w:rsidRDefault="00716665" w:rsidP="00D95C88">
      <w:pPr>
        <w:tabs>
          <w:tab w:val="left" w:pos="720"/>
          <w:tab w:val="left" w:pos="1440"/>
          <w:tab w:val="left" w:leader="dot" w:pos="8640"/>
        </w:tabs>
        <w:spacing w:line="276" w:lineRule="auto"/>
        <w:ind w:left="1440" w:hanging="1440"/>
      </w:pPr>
      <w:r>
        <w:t>JDW-26</w:t>
      </w:r>
      <w:r>
        <w:tab/>
        <w:t>DP&amp;L Response to OCC Interrogatory No.103</w:t>
      </w:r>
    </w:p>
    <w:p w:rsidR="00716665" w:rsidRDefault="00716665" w:rsidP="00332461">
      <w:pPr>
        <w:tabs>
          <w:tab w:val="left" w:pos="720"/>
          <w:tab w:val="left" w:pos="1440"/>
          <w:tab w:val="left" w:leader="dot" w:pos="8640"/>
        </w:tabs>
        <w:ind w:left="1440" w:hanging="1440"/>
        <w:sectPr w:rsidR="00716665">
          <w:headerReference w:type="default" r:id="rId14"/>
          <w:footerReference w:type="default" r:id="rId15"/>
          <w:pgSz w:w="12240" w:h="15840" w:code="1"/>
          <w:pgMar w:top="1440" w:right="1440" w:bottom="1440" w:left="1440" w:header="720" w:footer="720" w:gutter="0"/>
          <w:pgNumType w:fmt="lowerRoman" w:start="1"/>
          <w:cols w:space="720"/>
          <w:docGrid w:linePitch="360"/>
        </w:sectPr>
      </w:pPr>
    </w:p>
    <w:p w:rsidR="00716665" w:rsidRDefault="00716665" w:rsidP="00B5273D">
      <w:pPr>
        <w:pStyle w:val="Heading1"/>
      </w:pPr>
      <w:bookmarkStart w:id="1" w:name="_Toc317859570"/>
      <w:bookmarkStart w:id="2" w:name="_Toc349057448"/>
      <w:r>
        <w:t>I.</w:t>
      </w:r>
      <w:r>
        <w:tab/>
        <w:t>INTRODUCTION</w:t>
      </w:r>
      <w:bookmarkEnd w:id="1"/>
      <w:bookmarkEnd w:id="2"/>
    </w:p>
    <w:p w:rsidR="00716665" w:rsidRDefault="00716665">
      <w:pPr>
        <w:spacing w:line="480" w:lineRule="auto"/>
      </w:pPr>
    </w:p>
    <w:p w:rsidR="00716665" w:rsidRDefault="00716665">
      <w:pPr>
        <w:tabs>
          <w:tab w:val="left" w:pos="720"/>
          <w:tab w:val="left" w:pos="1440"/>
          <w:tab w:val="left" w:leader="dot" w:pos="8640"/>
        </w:tabs>
        <w:spacing w:line="480" w:lineRule="auto"/>
        <w:rPr>
          <w:b/>
          <w:bCs/>
          <w:i/>
          <w:iCs/>
        </w:rPr>
      </w:pPr>
      <w:r>
        <w:rPr>
          <w:b/>
          <w:bCs/>
          <w:i/>
          <w:iCs/>
        </w:rPr>
        <w:t>Q1.</w:t>
      </w:r>
      <w:r>
        <w:rPr>
          <w:b/>
          <w:bCs/>
          <w:i/>
          <w:iCs/>
        </w:rPr>
        <w:tab/>
        <w:t>PLEASE STATE YOUR NAME, BUSINESS ADDRESS, AND POSITION.</w:t>
      </w:r>
    </w:p>
    <w:p w:rsidR="00716665" w:rsidRDefault="00716665">
      <w:pPr>
        <w:tabs>
          <w:tab w:val="left" w:pos="720"/>
          <w:tab w:val="left" w:pos="1440"/>
          <w:tab w:val="left" w:leader="dot" w:pos="8640"/>
        </w:tabs>
        <w:spacing w:line="480" w:lineRule="auto"/>
        <w:ind w:left="720" w:hanging="720"/>
      </w:pPr>
      <w:r>
        <w:rPr>
          <w:b/>
          <w:bCs/>
          <w:i/>
          <w:iCs/>
        </w:rPr>
        <w:t>A1.</w:t>
      </w:r>
      <w:r>
        <w:tab/>
        <w:t>My name is James D. Williams.  My business address is 10 West Broad Street, Suite 1800, Columbus, Ohio 43215-3485.  I am employed by the Office of the Ohio Consumers’ Counsel (“OCC”) as a Senior Consumer Protection Research Analyst.</w:t>
      </w:r>
    </w:p>
    <w:p w:rsidR="00716665" w:rsidRDefault="00716665">
      <w:pPr>
        <w:tabs>
          <w:tab w:val="left" w:pos="720"/>
          <w:tab w:val="left" w:pos="1440"/>
          <w:tab w:val="left" w:leader="dot" w:pos="8640"/>
        </w:tabs>
        <w:spacing w:line="480" w:lineRule="auto"/>
      </w:pPr>
    </w:p>
    <w:p w:rsidR="00716665" w:rsidRDefault="00716665">
      <w:pPr>
        <w:tabs>
          <w:tab w:val="left" w:pos="720"/>
          <w:tab w:val="left" w:pos="1440"/>
          <w:tab w:val="left" w:leader="dot" w:pos="8640"/>
        </w:tabs>
        <w:spacing w:line="480" w:lineRule="auto"/>
        <w:ind w:left="720" w:hanging="720"/>
        <w:rPr>
          <w:b/>
          <w:bCs/>
          <w:i/>
          <w:iCs/>
        </w:rPr>
      </w:pPr>
      <w:r>
        <w:rPr>
          <w:b/>
          <w:bCs/>
          <w:i/>
          <w:iCs/>
        </w:rPr>
        <w:t>Q2.</w:t>
      </w:r>
      <w:r>
        <w:rPr>
          <w:b/>
          <w:bCs/>
          <w:i/>
          <w:iCs/>
        </w:rPr>
        <w:tab/>
        <w:t>PLEASE BRIEFLY SUMMARIZE YOUR EDUCATION AND PROFESSIONAL EXPERIENCE.</w:t>
      </w:r>
    </w:p>
    <w:p w:rsidR="00716665" w:rsidRDefault="00716665">
      <w:pPr>
        <w:tabs>
          <w:tab w:val="left" w:pos="720"/>
          <w:tab w:val="left" w:pos="1440"/>
          <w:tab w:val="left" w:leader="dot" w:pos="8640"/>
        </w:tabs>
        <w:spacing w:line="480" w:lineRule="auto"/>
        <w:ind w:left="720" w:hanging="720"/>
      </w:pPr>
      <w:r>
        <w:rPr>
          <w:b/>
          <w:bCs/>
          <w:i/>
          <w:iCs/>
        </w:rPr>
        <w:t>A2.</w:t>
      </w:r>
      <w:r>
        <w:tab/>
        <w:t>I am a 1994 graduate of Webster University, in St. Louis, Missouri, with a Master’s in Business Administration, and a 1978 graduate of Franklin University, in Columbus, Ohio, with a Bachelor of Science, Engineering Technology.  My professional experience includes a career in the Air Force and over 17 years of utility regulatory experience with the OCC.</w:t>
      </w:r>
    </w:p>
    <w:p w:rsidR="00716665" w:rsidRDefault="00716665">
      <w:pPr>
        <w:tabs>
          <w:tab w:val="left" w:pos="720"/>
          <w:tab w:val="left" w:pos="1440"/>
          <w:tab w:val="left" w:leader="dot" w:pos="8640"/>
        </w:tabs>
        <w:spacing w:line="480" w:lineRule="auto"/>
        <w:ind w:left="720" w:hanging="720"/>
      </w:pPr>
    </w:p>
    <w:p w:rsidR="00716665" w:rsidRDefault="00716665" w:rsidP="004852A5">
      <w:pPr>
        <w:tabs>
          <w:tab w:val="left" w:pos="720"/>
          <w:tab w:val="left" w:pos="1440"/>
          <w:tab w:val="left" w:leader="dot" w:pos="8640"/>
        </w:tabs>
        <w:spacing w:line="480" w:lineRule="auto"/>
        <w:ind w:left="720"/>
      </w:pPr>
      <w:r>
        <w:t>Initially, I served as a compliance specialist with the OCC and my duties included the development of compliance programs for electric, natural gas and water industries.  Later, I was appointed to manage all of the agency compliance specialists who were developing compliance programs in each of the utility industries.  After six years, my role evolved into the management of the OCC consumer hotline, the direct service provided to consumers to resolve complaints and inquiries that involve Ohio utilities.</w:t>
      </w:r>
    </w:p>
    <w:p w:rsidR="00716665" w:rsidRDefault="00716665" w:rsidP="004852A5">
      <w:pPr>
        <w:tabs>
          <w:tab w:val="left" w:pos="720"/>
          <w:tab w:val="left" w:pos="1440"/>
          <w:tab w:val="left" w:leader="dot" w:pos="8640"/>
        </w:tabs>
        <w:spacing w:line="480" w:lineRule="auto"/>
        <w:ind w:left="720"/>
      </w:pPr>
      <w:r>
        <w:t>My position has since evolved into the Senior Consumer Protection Research Analyst.  In this capacity, I am responsible for researching and recommending positions on a host of policy issues that affect residential consumers.  I have been directly involved in the development of comments in various rulemaking proceedings at the Public Utilities Commission of Ohio (“PUCO” or “the Commission”) and the Ohio Development Services Agency (“ODSA”) advocating consumer protections, utility service affordability, and the provision of reasonable access to essential utility services for residential consumers.  I represent the OCC on the Consumer Protection Subcommittee of the National Association of State Utility Consumer Advocates (“NASUCA”) and have participated in the development of policy positions in that organization, including efforts to reduce disconnections, improve customer privacy, and reducing charges for paying utility bills.</w:t>
      </w:r>
    </w:p>
    <w:p w:rsidR="00716665" w:rsidRDefault="00716665">
      <w:pPr>
        <w:tabs>
          <w:tab w:val="left" w:pos="720"/>
          <w:tab w:val="left" w:pos="1440"/>
          <w:tab w:val="left" w:leader="dot" w:pos="8640"/>
        </w:tabs>
        <w:spacing w:line="480" w:lineRule="auto"/>
        <w:ind w:left="720" w:hanging="720"/>
      </w:pPr>
    </w:p>
    <w:p w:rsidR="00716665" w:rsidRDefault="00716665" w:rsidP="00872E50">
      <w:pPr>
        <w:tabs>
          <w:tab w:val="left" w:leader="dot" w:pos="8640"/>
        </w:tabs>
        <w:spacing w:line="480" w:lineRule="auto"/>
        <w:ind w:left="720"/>
        <w:rPr>
          <w:b/>
          <w:bCs/>
          <w:i/>
          <w:iCs/>
        </w:rPr>
      </w:pPr>
      <w:r>
        <w:t xml:space="preserve">Specifically related to this proceeding, my experience has involved helping formulate OCC positions in rulemakings on the subject of the Disconnection of Natural Gas, or Electric Service for Residential Customers, set forth in Ohio Admin. Code 4901:1-18 and the electric Percentage of Income Payment Plan Plus (“PIPP Plus”) rules set forth in Ohio Admin. Code 122:5-3.  I represent the OCC on the </w:t>
      </w:r>
      <w:r w:rsidRPr="00AA73DE">
        <w:t xml:space="preserve">Public Benefits Advisory Board (“PBAB”), a state mandated </w:t>
      </w:r>
      <w:r>
        <w:t xml:space="preserve">body that </w:t>
      </w:r>
      <w:r w:rsidRPr="00AA73DE">
        <w:t xml:space="preserve">advises policy makers on low-income </w:t>
      </w:r>
      <w:r>
        <w:t xml:space="preserve">assistance </w:t>
      </w:r>
      <w:r w:rsidRPr="00AA73DE">
        <w:t>matters</w:t>
      </w:r>
      <w:r>
        <w:t>.</w:t>
      </w:r>
    </w:p>
    <w:p w:rsidR="00716665" w:rsidRDefault="00716665" w:rsidP="00364337">
      <w:pPr>
        <w:tabs>
          <w:tab w:val="left" w:leader="dot" w:pos="8640"/>
        </w:tabs>
        <w:spacing w:line="480" w:lineRule="auto"/>
        <w:ind w:left="720" w:hanging="720"/>
        <w:rPr>
          <w:b/>
          <w:bCs/>
          <w:i/>
          <w:iCs/>
        </w:rPr>
      </w:pPr>
      <w:r>
        <w:rPr>
          <w:b/>
          <w:bCs/>
          <w:i/>
          <w:iCs/>
        </w:rPr>
        <w:br w:type="page"/>
      </w:r>
      <w:r w:rsidRPr="00364337">
        <w:rPr>
          <w:b/>
          <w:bCs/>
          <w:i/>
          <w:iCs/>
        </w:rPr>
        <w:t>Q3.</w:t>
      </w:r>
      <w:r>
        <w:rPr>
          <w:b/>
          <w:bCs/>
          <w:i/>
          <w:iCs/>
        </w:rPr>
        <w:tab/>
      </w:r>
      <w:r w:rsidRPr="00364337">
        <w:rPr>
          <w:b/>
          <w:bCs/>
          <w:i/>
          <w:iCs/>
        </w:rPr>
        <w:t>HAVE YOU PREVIOUSLY SUBMITTED TESTIMONY OR TESTIFIED BEFORE THIS COMMISSION?</w:t>
      </w:r>
    </w:p>
    <w:p w:rsidR="00716665" w:rsidRDefault="00716665" w:rsidP="004852A5">
      <w:pPr>
        <w:autoSpaceDE w:val="0"/>
        <w:autoSpaceDN w:val="0"/>
        <w:adjustRightInd w:val="0"/>
        <w:spacing w:line="480" w:lineRule="auto"/>
        <w:ind w:left="720" w:hanging="720"/>
      </w:pPr>
      <w:r>
        <w:rPr>
          <w:b/>
          <w:bCs/>
          <w:i/>
          <w:iCs/>
        </w:rPr>
        <w:t>A3.</w:t>
      </w:r>
      <w:r>
        <w:tab/>
        <w:t>Yes.  The cases in which I have submitted testimony and/or have testified before the Commission can be found in attachment JDW-1.</w:t>
      </w:r>
      <w:bookmarkStart w:id="3" w:name="_Toc317859571"/>
    </w:p>
    <w:p w:rsidR="00716665" w:rsidRDefault="00716665" w:rsidP="004852A5">
      <w:pPr>
        <w:autoSpaceDE w:val="0"/>
        <w:autoSpaceDN w:val="0"/>
        <w:adjustRightInd w:val="0"/>
        <w:spacing w:line="480" w:lineRule="auto"/>
        <w:ind w:left="720" w:hanging="720"/>
      </w:pPr>
    </w:p>
    <w:p w:rsidR="00716665" w:rsidRDefault="00716665" w:rsidP="00B5273D">
      <w:pPr>
        <w:pStyle w:val="Heading1"/>
      </w:pPr>
      <w:bookmarkStart w:id="4" w:name="_Toc349057449"/>
      <w:r>
        <w:t>II.</w:t>
      </w:r>
      <w:r>
        <w:tab/>
        <w:t>PURPOSE</w:t>
      </w:r>
      <w:bookmarkEnd w:id="3"/>
      <w:r>
        <w:t xml:space="preserve"> OF MY TESTIMONY</w:t>
      </w:r>
      <w:bookmarkEnd w:id="4"/>
    </w:p>
    <w:p w:rsidR="00716665" w:rsidRDefault="00716665">
      <w:pPr>
        <w:spacing w:line="480" w:lineRule="auto"/>
      </w:pPr>
    </w:p>
    <w:p w:rsidR="00716665" w:rsidRDefault="00716665">
      <w:pPr>
        <w:tabs>
          <w:tab w:val="left" w:pos="720"/>
          <w:tab w:val="left" w:pos="1440"/>
          <w:tab w:val="left" w:leader="dot" w:pos="8640"/>
        </w:tabs>
        <w:spacing w:line="480" w:lineRule="auto"/>
        <w:ind w:left="720" w:hanging="720"/>
        <w:rPr>
          <w:b/>
          <w:bCs/>
          <w:i/>
          <w:iCs/>
        </w:rPr>
      </w:pPr>
      <w:r>
        <w:rPr>
          <w:b/>
          <w:bCs/>
          <w:i/>
          <w:iCs/>
        </w:rPr>
        <w:t>Q4.</w:t>
      </w:r>
      <w:r>
        <w:rPr>
          <w:b/>
          <w:bCs/>
          <w:i/>
          <w:iCs/>
        </w:rPr>
        <w:tab/>
        <w:t>WHAT IS THE PURPOSE OF YOUR TESTIMONY IN THIS PROCEEDING?</w:t>
      </w:r>
    </w:p>
    <w:p w:rsidR="00716665" w:rsidRDefault="00716665">
      <w:pPr>
        <w:tabs>
          <w:tab w:val="left" w:pos="720"/>
        </w:tabs>
        <w:spacing w:line="480" w:lineRule="auto"/>
        <w:ind w:left="720" w:right="720" w:hanging="720"/>
        <w:rPr>
          <w:b/>
          <w:bCs/>
          <w:i/>
          <w:iCs/>
        </w:rPr>
      </w:pPr>
      <w:r>
        <w:rPr>
          <w:b/>
          <w:bCs/>
          <w:i/>
          <w:iCs/>
        </w:rPr>
        <w:t>A4</w:t>
      </w:r>
      <w:r>
        <w:rPr>
          <w:i/>
          <w:iCs/>
        </w:rPr>
        <w:t>.</w:t>
      </w:r>
      <w:r>
        <w:rPr>
          <w:i/>
          <w:iCs/>
        </w:rPr>
        <w:tab/>
      </w:r>
      <w:r>
        <w:t>I am providing testimony on behalf of OCC and recommending that the Commission consider customer bill affordability prior to approving any aspect of the proposed Standard Service Offer (“SSO”) that impacts the amount of the electric bills for residential customers of Dayton Power and Light (“DP&amp;L” or “the Utility”).</w:t>
      </w:r>
    </w:p>
    <w:p w:rsidR="00716665" w:rsidRDefault="00716665">
      <w:pPr>
        <w:tabs>
          <w:tab w:val="left" w:pos="720"/>
        </w:tabs>
        <w:spacing w:line="480" w:lineRule="auto"/>
        <w:ind w:left="720" w:right="720" w:hanging="720"/>
        <w:rPr>
          <w:b/>
          <w:bCs/>
          <w:i/>
          <w:iCs/>
        </w:rPr>
      </w:pPr>
    </w:p>
    <w:p w:rsidR="00716665" w:rsidRDefault="00716665" w:rsidP="00A03A53">
      <w:pPr>
        <w:tabs>
          <w:tab w:val="left" w:pos="720"/>
          <w:tab w:val="left" w:pos="1440"/>
          <w:tab w:val="left" w:leader="dot" w:pos="8640"/>
        </w:tabs>
        <w:spacing w:line="480" w:lineRule="auto"/>
        <w:ind w:left="720" w:hanging="720"/>
        <w:rPr>
          <w:b/>
          <w:bCs/>
          <w:i/>
          <w:iCs/>
        </w:rPr>
      </w:pPr>
      <w:r>
        <w:rPr>
          <w:b/>
          <w:bCs/>
          <w:i/>
          <w:iCs/>
        </w:rPr>
        <w:t>Q5.</w:t>
      </w:r>
      <w:r>
        <w:rPr>
          <w:b/>
          <w:bCs/>
          <w:i/>
          <w:iCs/>
        </w:rPr>
        <w:tab/>
        <w:t>WHAT ARE YOUR GENERAL RECOMMENDATIONS?</w:t>
      </w:r>
    </w:p>
    <w:p w:rsidR="00716665" w:rsidRDefault="00716665" w:rsidP="00E85283">
      <w:pPr>
        <w:tabs>
          <w:tab w:val="left" w:pos="720"/>
        </w:tabs>
        <w:spacing w:line="480" w:lineRule="auto"/>
        <w:ind w:left="720" w:right="720" w:hanging="720"/>
        <w:rPr>
          <w:b/>
          <w:bCs/>
          <w:i/>
          <w:iCs/>
        </w:rPr>
      </w:pPr>
      <w:r>
        <w:rPr>
          <w:b/>
          <w:bCs/>
          <w:i/>
          <w:iCs/>
        </w:rPr>
        <w:t>A5.</w:t>
      </w:r>
      <w:r>
        <w:rPr>
          <w:b/>
          <w:bCs/>
          <w:i/>
          <w:iCs/>
        </w:rPr>
        <w:tab/>
      </w:r>
      <w:r>
        <w:t>I recommend that the Commission initiate a review of credit and collection policies and practices to examine ways to reduce the high number of disconnections being experienced by DP&amp;L residential customers while keeping rates affordable.  I also recommend additional bill payment assistance funding for residential customers.</w:t>
      </w:r>
    </w:p>
    <w:p w:rsidR="00716665" w:rsidRDefault="00716665" w:rsidP="00D8485A">
      <w:pPr>
        <w:spacing w:line="480" w:lineRule="auto"/>
        <w:ind w:left="720" w:hanging="720"/>
        <w:rPr>
          <w:b/>
          <w:bCs/>
          <w:i/>
          <w:iCs/>
        </w:rPr>
      </w:pPr>
      <w:bookmarkStart w:id="5" w:name="_Toc317859572"/>
      <w:r>
        <w:rPr>
          <w:b/>
          <w:bCs/>
          <w:i/>
          <w:iCs/>
        </w:rPr>
        <w:br w:type="page"/>
      </w:r>
      <w:r w:rsidRPr="00D8485A">
        <w:rPr>
          <w:b/>
          <w:bCs/>
          <w:i/>
          <w:iCs/>
        </w:rPr>
        <w:t>Q</w:t>
      </w:r>
      <w:r>
        <w:rPr>
          <w:b/>
          <w:bCs/>
          <w:i/>
          <w:iCs/>
        </w:rPr>
        <w:t>6</w:t>
      </w:r>
      <w:r w:rsidRPr="00D8485A">
        <w:rPr>
          <w:b/>
          <w:bCs/>
          <w:i/>
          <w:iCs/>
        </w:rPr>
        <w:t>.</w:t>
      </w:r>
      <w:r>
        <w:tab/>
      </w:r>
      <w:r w:rsidRPr="00D8485A">
        <w:rPr>
          <w:b/>
          <w:bCs/>
          <w:i/>
          <w:iCs/>
        </w:rPr>
        <w:t xml:space="preserve">PLEASE </w:t>
      </w:r>
      <w:r>
        <w:rPr>
          <w:b/>
          <w:bCs/>
          <w:i/>
          <w:iCs/>
        </w:rPr>
        <w:t>SUMMARIZE</w:t>
      </w:r>
      <w:r w:rsidRPr="00D8485A">
        <w:rPr>
          <w:b/>
          <w:bCs/>
          <w:i/>
          <w:iCs/>
        </w:rPr>
        <w:t xml:space="preserve"> YOUR QUALIFICATIONS IN </w:t>
      </w:r>
      <w:r>
        <w:rPr>
          <w:b/>
          <w:bCs/>
          <w:i/>
          <w:iCs/>
        </w:rPr>
        <w:t xml:space="preserve">REGARD TO </w:t>
      </w:r>
      <w:r w:rsidRPr="00D8485A">
        <w:rPr>
          <w:b/>
          <w:bCs/>
          <w:i/>
          <w:iCs/>
        </w:rPr>
        <w:t xml:space="preserve">ADDRESSING UTILITY </w:t>
      </w:r>
      <w:r>
        <w:rPr>
          <w:b/>
          <w:bCs/>
          <w:i/>
          <w:iCs/>
        </w:rPr>
        <w:t xml:space="preserve">SERVICE </w:t>
      </w:r>
      <w:r w:rsidRPr="00D8485A">
        <w:rPr>
          <w:b/>
          <w:bCs/>
          <w:i/>
          <w:iCs/>
        </w:rPr>
        <w:t>AFFORDABILITY ISSUES</w:t>
      </w:r>
      <w:r>
        <w:rPr>
          <w:b/>
          <w:bCs/>
          <w:i/>
          <w:iCs/>
        </w:rPr>
        <w:t>.</w:t>
      </w:r>
    </w:p>
    <w:p w:rsidR="00716665" w:rsidRDefault="00716665" w:rsidP="003500C6">
      <w:pPr>
        <w:tabs>
          <w:tab w:val="left" w:pos="720"/>
          <w:tab w:val="left" w:pos="1440"/>
          <w:tab w:val="left" w:leader="dot" w:pos="8640"/>
        </w:tabs>
        <w:spacing w:line="480" w:lineRule="auto"/>
        <w:ind w:left="720" w:hanging="720"/>
      </w:pPr>
      <w:r>
        <w:rPr>
          <w:b/>
          <w:bCs/>
          <w:i/>
          <w:iCs/>
        </w:rPr>
        <w:t>A6.</w:t>
      </w:r>
      <w:r>
        <w:rPr>
          <w:b/>
          <w:bCs/>
          <w:i/>
          <w:iCs/>
        </w:rPr>
        <w:tab/>
      </w:r>
      <w:r w:rsidRPr="003500C6">
        <w:t>I routinely review and analyze pleadings filed by the utilities concerning various customer service matters including the impact that rate changes will have on residential consumers.  In addition</w:t>
      </w:r>
      <w:r>
        <w:rPr>
          <w:b/>
          <w:bCs/>
          <w:i/>
          <w:iCs/>
        </w:rPr>
        <w:t xml:space="preserve">, </w:t>
      </w:r>
      <w:r w:rsidRPr="003500C6">
        <w:t xml:space="preserve">I </w:t>
      </w:r>
      <w:r>
        <w:t>review reports such as the Ohio Poverty Report, U.S. Census Bureau reports, reports concerning the Low-Income Home Energy Assistance Program (“LIHEAP”), reports related to utility service affordability, and employment data from the Bureau of Labor Statistics (“BLS”) concerning the level of poverty and unemployment in the state.  I also review reports from organizations such as the National Consumer Law Center (“NCLC”) related to utility affordability for at-risk populations including, but not limited to low-income Ohioans, the elderly, and those with medical needs.</w:t>
      </w:r>
    </w:p>
    <w:p w:rsidR="00716665" w:rsidRPr="00D8485A" w:rsidRDefault="00716665" w:rsidP="00D8485A">
      <w:pPr>
        <w:spacing w:line="480" w:lineRule="auto"/>
        <w:ind w:left="720" w:hanging="720"/>
      </w:pPr>
    </w:p>
    <w:p w:rsidR="00716665" w:rsidRDefault="00716665" w:rsidP="00B5273D">
      <w:pPr>
        <w:pStyle w:val="Heading1"/>
      </w:pPr>
      <w:bookmarkStart w:id="6" w:name="_Toc349057450"/>
      <w:r>
        <w:t>iii.</w:t>
      </w:r>
      <w:r>
        <w:tab/>
        <w:t>AFFORDABILITY</w:t>
      </w:r>
      <w:bookmarkEnd w:id="5"/>
      <w:r>
        <w:t xml:space="preserve"> OF RETAIL ELECTRIC SERVICE</w:t>
      </w:r>
      <w:bookmarkEnd w:id="6"/>
    </w:p>
    <w:p w:rsidR="00716665" w:rsidRDefault="00716665" w:rsidP="00937CAE">
      <w:pPr>
        <w:spacing w:line="480" w:lineRule="auto"/>
      </w:pPr>
    </w:p>
    <w:p w:rsidR="00716665" w:rsidRDefault="00716665" w:rsidP="00D95C88">
      <w:pPr>
        <w:spacing w:line="480" w:lineRule="auto"/>
        <w:ind w:left="720" w:hanging="720"/>
        <w:rPr>
          <w:b/>
          <w:bCs/>
          <w:i/>
          <w:iCs/>
        </w:rPr>
      </w:pPr>
      <w:r>
        <w:rPr>
          <w:b/>
          <w:bCs/>
          <w:i/>
          <w:iCs/>
        </w:rPr>
        <w:t>Q7.</w:t>
      </w:r>
      <w:r>
        <w:rPr>
          <w:b/>
          <w:bCs/>
          <w:i/>
          <w:iCs/>
        </w:rPr>
        <w:tab/>
        <w:t>DOES OHIO POLICY ADDRESS AFFORDABILITY IN REGARDS TO THE PRICE OF ELECTRICITY?</w:t>
      </w:r>
    </w:p>
    <w:p w:rsidR="00716665" w:rsidRDefault="00716665" w:rsidP="00D95C88">
      <w:pPr>
        <w:spacing w:line="480" w:lineRule="auto"/>
        <w:ind w:left="720" w:hanging="720"/>
        <w:rPr>
          <w:b/>
          <w:bCs/>
          <w:i/>
          <w:iCs/>
        </w:rPr>
      </w:pPr>
      <w:r>
        <w:rPr>
          <w:b/>
          <w:bCs/>
          <w:i/>
          <w:iCs/>
        </w:rPr>
        <w:t>A7.</w:t>
      </w:r>
      <w:r>
        <w:rPr>
          <w:b/>
          <w:bCs/>
          <w:i/>
          <w:iCs/>
        </w:rPr>
        <w:tab/>
      </w:r>
      <w:r w:rsidRPr="002621D8">
        <w:t>Yes.</w:t>
      </w:r>
    </w:p>
    <w:p w:rsidR="00716665" w:rsidRDefault="00716665" w:rsidP="002618B7">
      <w:pPr>
        <w:spacing w:line="480" w:lineRule="auto"/>
        <w:ind w:left="720" w:hanging="720"/>
        <w:rPr>
          <w:b/>
          <w:bCs/>
          <w:i/>
          <w:iCs/>
        </w:rPr>
      </w:pPr>
      <w:r>
        <w:rPr>
          <w:b/>
          <w:bCs/>
          <w:i/>
          <w:iCs/>
        </w:rPr>
        <w:br w:type="page"/>
        <w:t>Q8.</w:t>
      </w:r>
      <w:r>
        <w:rPr>
          <w:b/>
          <w:bCs/>
          <w:i/>
          <w:iCs/>
        </w:rPr>
        <w:tab/>
        <w:t>WHAT IS OHIO POLICY REGARDING AFFORDABILITY OF ELECTRICITY?</w:t>
      </w:r>
    </w:p>
    <w:p w:rsidR="00716665" w:rsidRDefault="00716665" w:rsidP="00D95C88">
      <w:pPr>
        <w:spacing w:line="480" w:lineRule="auto"/>
        <w:ind w:left="720" w:hanging="720"/>
      </w:pPr>
      <w:r>
        <w:rPr>
          <w:b/>
          <w:bCs/>
          <w:i/>
          <w:iCs/>
        </w:rPr>
        <w:t>A8.</w:t>
      </w:r>
      <w:r>
        <w:rPr>
          <w:b/>
          <w:bCs/>
          <w:i/>
          <w:iCs/>
        </w:rPr>
        <w:tab/>
      </w:r>
      <w:r>
        <w:t xml:space="preserve">It is my understanding that </w:t>
      </w:r>
      <w:r w:rsidRPr="00821C56">
        <w:t>R.C.</w:t>
      </w:r>
      <w:r>
        <w:t>4928.02(A) and (L), set forth the State policy concerning reasonably priced retail electric service:</w:t>
      </w:r>
    </w:p>
    <w:p w:rsidR="00716665" w:rsidRDefault="00716665" w:rsidP="00364337">
      <w:pPr>
        <w:spacing w:line="480" w:lineRule="auto"/>
        <w:ind w:left="2160" w:right="720" w:hanging="720"/>
        <w:rPr>
          <w:i/>
          <w:iCs/>
        </w:rPr>
      </w:pPr>
      <w:r w:rsidRPr="002621D8">
        <w:t>(A)</w:t>
      </w:r>
      <w:r>
        <w:tab/>
      </w:r>
      <w:r>
        <w:rPr>
          <w:i/>
          <w:iCs/>
        </w:rPr>
        <w:t xml:space="preserve">Ensure the availability to consumers of adequate, reliable, safe, efficient, nondiscriminatory, and </w:t>
      </w:r>
      <w:r w:rsidRPr="00A67865">
        <w:rPr>
          <w:b/>
          <w:bCs/>
          <w:i/>
          <w:iCs/>
        </w:rPr>
        <w:t>reasonably priced</w:t>
      </w:r>
      <w:r>
        <w:rPr>
          <w:i/>
          <w:iCs/>
        </w:rPr>
        <w:t xml:space="preserve"> retail electric service; (Emphasis added.)</w:t>
      </w:r>
    </w:p>
    <w:p w:rsidR="00716665" w:rsidRDefault="00716665" w:rsidP="00364337">
      <w:pPr>
        <w:spacing w:line="480" w:lineRule="auto"/>
        <w:ind w:left="2160" w:right="720" w:hanging="720"/>
      </w:pPr>
      <w:r>
        <w:t>and</w:t>
      </w:r>
    </w:p>
    <w:p w:rsidR="00716665" w:rsidRDefault="00716665" w:rsidP="00364337">
      <w:pPr>
        <w:numPr>
          <w:ilvl w:val="0"/>
          <w:numId w:val="25"/>
        </w:numPr>
        <w:tabs>
          <w:tab w:val="clear" w:pos="1845"/>
        </w:tabs>
        <w:spacing w:line="480" w:lineRule="auto"/>
        <w:ind w:left="2160" w:right="720" w:hanging="720"/>
        <w:rPr>
          <w:i/>
          <w:iCs/>
        </w:rPr>
      </w:pPr>
      <w:r>
        <w:rPr>
          <w:b/>
          <w:bCs/>
          <w:i/>
          <w:iCs/>
        </w:rPr>
        <w:t>Protect[ing] at-risk populations</w:t>
      </w:r>
      <w:r>
        <w:rPr>
          <w:i/>
          <w:iCs/>
        </w:rPr>
        <w:t>, including, but not limited to, when considering implementation of any new advanced energy or renewable energy resources; (Emphasis added)</w:t>
      </w:r>
    </w:p>
    <w:p w:rsidR="00716665" w:rsidRDefault="00716665" w:rsidP="00364337">
      <w:pPr>
        <w:spacing w:line="480" w:lineRule="auto"/>
        <w:ind w:left="1440" w:right="720"/>
        <w:rPr>
          <w:i/>
          <w:iCs/>
        </w:rPr>
      </w:pPr>
    </w:p>
    <w:p w:rsidR="00716665" w:rsidRDefault="00716665">
      <w:pPr>
        <w:spacing w:line="480" w:lineRule="auto"/>
        <w:ind w:left="720"/>
      </w:pPr>
      <w:r>
        <w:t>Based on my understanding of this language, I recommend that the Commission advance the policy of the state (described above) by considering affordability of DP&amp;L’s current electric rates when rendering its decision on the Application to establish an Electric Security Plan (“ESP”) in this case.</w:t>
      </w:r>
    </w:p>
    <w:p w:rsidR="00716665" w:rsidRDefault="00716665">
      <w:pPr>
        <w:spacing w:line="480" w:lineRule="auto"/>
        <w:ind w:left="720" w:hanging="720"/>
        <w:rPr>
          <w:b/>
          <w:bCs/>
          <w:i/>
          <w:iCs/>
        </w:rPr>
      </w:pPr>
    </w:p>
    <w:p w:rsidR="00716665" w:rsidRPr="004034A2" w:rsidRDefault="00716665">
      <w:pPr>
        <w:spacing w:line="480" w:lineRule="auto"/>
        <w:ind w:left="720" w:hanging="720"/>
        <w:rPr>
          <w:b/>
          <w:bCs/>
          <w:i/>
          <w:iCs/>
        </w:rPr>
      </w:pPr>
      <w:r w:rsidRPr="004034A2">
        <w:rPr>
          <w:b/>
          <w:bCs/>
          <w:i/>
          <w:iCs/>
        </w:rPr>
        <w:t>Q</w:t>
      </w:r>
      <w:r>
        <w:rPr>
          <w:b/>
          <w:bCs/>
          <w:i/>
          <w:iCs/>
        </w:rPr>
        <w:t>9</w:t>
      </w:r>
      <w:r w:rsidRPr="004034A2">
        <w:rPr>
          <w:b/>
          <w:bCs/>
          <w:i/>
          <w:iCs/>
        </w:rPr>
        <w:t>.</w:t>
      </w:r>
      <w:r w:rsidRPr="004034A2">
        <w:rPr>
          <w:b/>
          <w:bCs/>
          <w:i/>
          <w:iCs/>
        </w:rPr>
        <w:tab/>
        <w:t xml:space="preserve">WHAT IMPACT </w:t>
      </w:r>
      <w:r>
        <w:rPr>
          <w:b/>
          <w:bCs/>
          <w:i/>
          <w:iCs/>
        </w:rPr>
        <w:t>WOULD</w:t>
      </w:r>
      <w:r w:rsidRPr="004034A2">
        <w:rPr>
          <w:b/>
          <w:bCs/>
          <w:i/>
          <w:iCs/>
        </w:rPr>
        <w:t xml:space="preserve"> THE ESTABLISHMENT OF A</w:t>
      </w:r>
      <w:r>
        <w:rPr>
          <w:b/>
          <w:bCs/>
          <w:i/>
          <w:iCs/>
        </w:rPr>
        <w:t xml:space="preserve"> NEW ELECTRIC SECURITY PLAN</w:t>
      </w:r>
      <w:r w:rsidRPr="004034A2">
        <w:rPr>
          <w:b/>
          <w:bCs/>
          <w:i/>
          <w:iCs/>
        </w:rPr>
        <w:t xml:space="preserve"> HAVE ON THE AFFORDABILITY OF RETAIL ELECTRIC SERVICE FOR RESIDENTIAL CUSTOMERS?</w:t>
      </w:r>
    </w:p>
    <w:p w:rsidR="00716665" w:rsidRDefault="00716665" w:rsidP="00527ED0">
      <w:pPr>
        <w:spacing w:line="480" w:lineRule="auto"/>
        <w:ind w:left="720" w:hanging="720"/>
        <w:rPr>
          <w:b/>
          <w:bCs/>
        </w:rPr>
      </w:pPr>
      <w:r w:rsidRPr="004034A2">
        <w:rPr>
          <w:b/>
          <w:bCs/>
          <w:i/>
          <w:iCs/>
        </w:rPr>
        <w:t>A</w:t>
      </w:r>
      <w:r>
        <w:rPr>
          <w:b/>
          <w:bCs/>
          <w:i/>
          <w:iCs/>
        </w:rPr>
        <w:t>9</w:t>
      </w:r>
      <w:r w:rsidRPr="004034A2">
        <w:rPr>
          <w:b/>
          <w:bCs/>
          <w:i/>
          <w:iCs/>
        </w:rPr>
        <w:t>.</w:t>
      </w:r>
      <w:r>
        <w:tab/>
        <w:t>As can be seen on Table 1 below, a significant number of DP&amp;L residential customers are currently struggling to afford electric service under the existing Electric Security Plan (“ESP”) rates.</w:t>
      </w:r>
      <w:r>
        <w:rPr>
          <w:rStyle w:val="FootnoteReference"/>
        </w:rPr>
        <w:footnoteReference w:id="1"/>
      </w:r>
      <w:r>
        <w:t xml:space="preserve">  Any proposed modification in the ensuing ESP rates that does not reduce the current rates or results in higher electric bills for DP&amp;L’s residential customers will have a negative financial impact on them.  Table 1 provides a summary based on PUCO and other 2011/ 2012 data of the number of residential customers who were disconnected for non-payment, customers on the low-income PIPP Plus, and the average number of customers on a monthly basis who were on a Commission-ordered payment plan.  I consider these customers to be part of the at-risk population that R.C. 4928.02(L) specifically mentions. </w:t>
      </w:r>
    </w:p>
    <w:p w:rsidR="00716665" w:rsidRDefault="00716665" w:rsidP="004852A5">
      <w:pPr>
        <w:spacing w:line="480" w:lineRule="auto"/>
        <w:ind w:left="720" w:hanging="720"/>
        <w:jc w:val="center"/>
        <w:rPr>
          <w:b/>
          <w:bCs/>
        </w:rPr>
      </w:pPr>
      <w:r>
        <w:rPr>
          <w:b/>
          <w:bCs/>
        </w:rPr>
        <w:t>Table 1: DP&amp;L Disconnections and Payment Plans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1170"/>
        <w:gridCol w:w="1350"/>
      </w:tblGrid>
      <w:tr w:rsidR="00716665">
        <w:trPr>
          <w:jc w:val="center"/>
        </w:trPr>
        <w:tc>
          <w:tcPr>
            <w:tcW w:w="2538" w:type="dxa"/>
            <w:vAlign w:val="bottom"/>
          </w:tcPr>
          <w:p w:rsidR="00716665" w:rsidRPr="00F56A38" w:rsidRDefault="00716665" w:rsidP="00527ED0">
            <w:pPr>
              <w:jc w:val="center"/>
              <w:rPr>
                <w:b/>
                <w:bCs/>
              </w:rPr>
            </w:pPr>
            <w:r w:rsidRPr="00F56A38">
              <w:rPr>
                <w:b/>
                <w:bCs/>
              </w:rPr>
              <w:t>Description</w:t>
            </w:r>
          </w:p>
        </w:tc>
        <w:tc>
          <w:tcPr>
            <w:tcW w:w="1170" w:type="dxa"/>
            <w:vAlign w:val="bottom"/>
          </w:tcPr>
          <w:p w:rsidR="00716665" w:rsidRPr="00F56A38" w:rsidRDefault="00716665" w:rsidP="00527ED0">
            <w:pPr>
              <w:jc w:val="center"/>
              <w:rPr>
                <w:b/>
                <w:bCs/>
              </w:rPr>
            </w:pPr>
            <w:r w:rsidRPr="00F56A38">
              <w:rPr>
                <w:b/>
                <w:bCs/>
              </w:rPr>
              <w:t>Total (2012)</w:t>
            </w:r>
          </w:p>
        </w:tc>
        <w:tc>
          <w:tcPr>
            <w:tcW w:w="1350" w:type="dxa"/>
            <w:vAlign w:val="bottom"/>
          </w:tcPr>
          <w:p w:rsidR="00716665" w:rsidRPr="00F56A38" w:rsidRDefault="00716665" w:rsidP="00527ED0">
            <w:pPr>
              <w:jc w:val="center"/>
              <w:rPr>
                <w:b/>
                <w:bCs/>
              </w:rPr>
            </w:pPr>
            <w:r w:rsidRPr="00F56A38">
              <w:rPr>
                <w:b/>
                <w:bCs/>
              </w:rPr>
              <w:t>Percentage</w:t>
            </w:r>
          </w:p>
        </w:tc>
      </w:tr>
      <w:tr w:rsidR="00716665">
        <w:trPr>
          <w:jc w:val="center"/>
        </w:trPr>
        <w:tc>
          <w:tcPr>
            <w:tcW w:w="2538" w:type="dxa"/>
            <w:vAlign w:val="center"/>
          </w:tcPr>
          <w:p w:rsidR="00716665" w:rsidRPr="00527ED0" w:rsidRDefault="00716665" w:rsidP="00527ED0">
            <w:r w:rsidRPr="00527ED0">
              <w:t>Disconnections for Non-payment</w:t>
            </w:r>
            <w:r w:rsidRPr="00527ED0">
              <w:rPr>
                <w:vertAlign w:val="superscript"/>
              </w:rPr>
              <w:footnoteReference w:id="2"/>
            </w:r>
          </w:p>
        </w:tc>
        <w:tc>
          <w:tcPr>
            <w:tcW w:w="1170" w:type="dxa"/>
            <w:vAlign w:val="center"/>
          </w:tcPr>
          <w:p w:rsidR="00716665" w:rsidRPr="00F56A38" w:rsidRDefault="00716665" w:rsidP="00527ED0">
            <w:pPr>
              <w:jc w:val="center"/>
            </w:pPr>
            <w:r w:rsidRPr="00F56A38">
              <w:t>34,389</w:t>
            </w:r>
          </w:p>
        </w:tc>
        <w:tc>
          <w:tcPr>
            <w:tcW w:w="1350" w:type="dxa"/>
            <w:vAlign w:val="center"/>
          </w:tcPr>
          <w:p w:rsidR="00716665" w:rsidRPr="00F56A38" w:rsidRDefault="00716665" w:rsidP="00527ED0">
            <w:pPr>
              <w:jc w:val="center"/>
            </w:pPr>
            <w:r w:rsidRPr="00F56A38">
              <w:t>7.5</w:t>
            </w:r>
          </w:p>
        </w:tc>
      </w:tr>
      <w:tr w:rsidR="00716665">
        <w:trPr>
          <w:jc w:val="center"/>
        </w:trPr>
        <w:tc>
          <w:tcPr>
            <w:tcW w:w="2538" w:type="dxa"/>
            <w:vAlign w:val="center"/>
          </w:tcPr>
          <w:p w:rsidR="00716665" w:rsidRPr="00527ED0" w:rsidRDefault="00716665" w:rsidP="00527ED0">
            <w:r w:rsidRPr="00527ED0">
              <w:t>Number of Customers on PIPP Plus</w:t>
            </w:r>
            <w:r w:rsidRPr="00527ED0">
              <w:rPr>
                <w:vertAlign w:val="superscript"/>
              </w:rPr>
              <w:footnoteReference w:id="3"/>
            </w:r>
          </w:p>
        </w:tc>
        <w:tc>
          <w:tcPr>
            <w:tcW w:w="1170" w:type="dxa"/>
            <w:vAlign w:val="center"/>
          </w:tcPr>
          <w:p w:rsidR="00716665" w:rsidRPr="00F56A38" w:rsidRDefault="00716665" w:rsidP="00527ED0">
            <w:pPr>
              <w:jc w:val="center"/>
            </w:pPr>
            <w:r w:rsidRPr="00F56A38">
              <w:t>35,715</w:t>
            </w:r>
          </w:p>
        </w:tc>
        <w:tc>
          <w:tcPr>
            <w:tcW w:w="1350" w:type="dxa"/>
            <w:vAlign w:val="center"/>
          </w:tcPr>
          <w:p w:rsidR="00716665" w:rsidRPr="00F56A38" w:rsidRDefault="00716665" w:rsidP="00527ED0">
            <w:pPr>
              <w:jc w:val="center"/>
            </w:pPr>
            <w:r w:rsidRPr="00F56A38">
              <w:t>7.8</w:t>
            </w:r>
          </w:p>
        </w:tc>
      </w:tr>
      <w:tr w:rsidR="00716665">
        <w:trPr>
          <w:jc w:val="center"/>
        </w:trPr>
        <w:tc>
          <w:tcPr>
            <w:tcW w:w="2538" w:type="dxa"/>
            <w:vAlign w:val="center"/>
          </w:tcPr>
          <w:p w:rsidR="00716665" w:rsidRPr="00527ED0" w:rsidRDefault="00716665" w:rsidP="00527ED0">
            <w:r w:rsidRPr="00527ED0">
              <w:t>Number of Customers on Payment Plans</w:t>
            </w:r>
            <w:r w:rsidRPr="00527ED0">
              <w:rPr>
                <w:vertAlign w:val="superscript"/>
              </w:rPr>
              <w:footnoteReference w:id="4"/>
            </w:r>
          </w:p>
        </w:tc>
        <w:tc>
          <w:tcPr>
            <w:tcW w:w="1170" w:type="dxa"/>
            <w:vAlign w:val="center"/>
          </w:tcPr>
          <w:p w:rsidR="00716665" w:rsidRPr="00F56A38" w:rsidRDefault="00716665" w:rsidP="00527ED0">
            <w:pPr>
              <w:jc w:val="center"/>
            </w:pPr>
            <w:r w:rsidRPr="00F56A38">
              <w:t>22,701/</w:t>
            </w:r>
          </w:p>
          <w:p w:rsidR="00716665" w:rsidRPr="00F56A38" w:rsidRDefault="00716665" w:rsidP="00527ED0">
            <w:pPr>
              <w:jc w:val="center"/>
            </w:pPr>
            <w:r w:rsidRPr="00F56A38">
              <w:t>78,502</w:t>
            </w:r>
            <w:r w:rsidRPr="00F56A38">
              <w:rPr>
                <w:rStyle w:val="FootnoteReference"/>
              </w:rPr>
              <w:footnoteReference w:id="5"/>
            </w:r>
          </w:p>
        </w:tc>
        <w:tc>
          <w:tcPr>
            <w:tcW w:w="1350" w:type="dxa"/>
            <w:vAlign w:val="center"/>
          </w:tcPr>
          <w:p w:rsidR="00716665" w:rsidRPr="00F56A38" w:rsidRDefault="00716665" w:rsidP="00527ED0">
            <w:pPr>
              <w:jc w:val="center"/>
            </w:pPr>
            <w:r w:rsidRPr="00F56A38">
              <w:t>17.3</w:t>
            </w:r>
          </w:p>
        </w:tc>
      </w:tr>
    </w:tbl>
    <w:p w:rsidR="00716665" w:rsidRDefault="00716665" w:rsidP="00C54150">
      <w:pPr>
        <w:spacing w:line="480" w:lineRule="auto"/>
        <w:ind w:left="720"/>
        <w:rPr>
          <w:b/>
          <w:bCs/>
          <w:i/>
          <w:iCs/>
        </w:rPr>
      </w:pPr>
      <w:r>
        <w:br w:type="page"/>
        <w:t>Table 1 indicates that 34,389 residential customers of DP&amp;L were disconnected for non-payment in 2012.  In addition to the disconnections, another 35,715 (7.8 percent) of DP&amp;L’s residential customers participated in the specialized PIPP Plus payment program in 2012.  This is an increase of 1,670 customers from 2011.  Finally, an additional 22,701 (5.0 percent) of DP&amp;L’s residential customers were on other Commission-ordered payment plans during an average month in 2012 in an effort to avoid disconnection of service.</w:t>
      </w:r>
      <w:r>
        <w:rPr>
          <w:rStyle w:val="FootnoteReference"/>
        </w:rPr>
        <w:footnoteReference w:id="6"/>
      </w:r>
      <w:r>
        <w:t xml:space="preserve">  </w:t>
      </w:r>
      <w:r w:rsidRPr="00C54150">
        <w:t>Customers who have household incomes that exceed the PIPP guidelines are eligible to apply for other payment plans such as the one-ninth, one-sixth, and one-third payment plans set forth in Ohio Admin. Code 4901:1-18-05(B).</w:t>
      </w:r>
    </w:p>
    <w:p w:rsidR="00716665" w:rsidRPr="00C54150" w:rsidRDefault="00716665" w:rsidP="00C54150">
      <w:pPr>
        <w:spacing w:line="480" w:lineRule="auto"/>
        <w:ind w:left="720"/>
        <w:rPr>
          <w:b/>
          <w:bCs/>
          <w:i/>
          <w:iCs/>
        </w:rPr>
      </w:pPr>
    </w:p>
    <w:p w:rsidR="00716665" w:rsidRDefault="00716665" w:rsidP="004034A2">
      <w:pPr>
        <w:spacing w:line="480" w:lineRule="auto"/>
        <w:ind w:left="720"/>
      </w:pPr>
      <w:r>
        <w:t>In order to qualify for these payment plans, customers must contact the utility and establish an inability to pay the bill and a desire to avoid further delinquency.</w:t>
      </w:r>
      <w:r>
        <w:rPr>
          <w:rStyle w:val="FootnoteReference"/>
        </w:rPr>
        <w:footnoteReference w:id="7"/>
      </w:r>
      <w:r>
        <w:t xml:space="preserve">  There were a total of 78,502 customers on Commission-ordered payment plans in 2012.</w:t>
      </w:r>
    </w:p>
    <w:p w:rsidR="00716665" w:rsidRDefault="00716665" w:rsidP="004034A2">
      <w:pPr>
        <w:spacing w:line="480" w:lineRule="auto"/>
        <w:ind w:left="720"/>
      </w:pPr>
    </w:p>
    <w:p w:rsidR="00716665" w:rsidRDefault="00716665">
      <w:pPr>
        <w:spacing w:line="480" w:lineRule="auto"/>
        <w:ind w:left="720"/>
      </w:pPr>
      <w:r>
        <w:t>Thus, approximately 32.6 p</w:t>
      </w:r>
      <w:r w:rsidRPr="007854E1">
        <w:t>ercent</w:t>
      </w:r>
      <w:r>
        <w:t xml:space="preserve"> of the total number of residential customers served by DP&amp;L (up to 148,606 of the approximate 456,000 residential customers) were struggling or were unable to pay their electric bills in 2012. While there might be several reasons, including the sluggish recovery of the local economy, that result in customers struggling to pay electric bills, the numbers show the magnitude of the problem that customers are having to afford</w:t>
      </w:r>
      <w:r w:rsidR="00D21482">
        <w:t xml:space="preserve"> </w:t>
      </w:r>
      <w:r>
        <w:t>their electric service.</w:t>
      </w:r>
      <w:r>
        <w:rPr>
          <w:rStyle w:val="FootnoteReference"/>
        </w:rPr>
        <w:footnoteReference w:id="8"/>
      </w:r>
      <w:r>
        <w:t xml:space="preserve">  The Commission approves the rates that DP&amp;L charges its customers. The large number of customers struggling to make payment demonstrates the importance of affordability as a factor that the Commission should consider in rendering its decision on the proposed SSO in this case.  To the extent that the proposed SSO does not result in major rate reductions for residential customers, then electric service is likely to continue to be unaffordable for many residential customers.  Such a result would not advance the policies of the state, as discussed above.</w:t>
      </w:r>
    </w:p>
    <w:p w:rsidR="00716665" w:rsidRDefault="00716665" w:rsidP="00CC255A">
      <w:pPr>
        <w:spacing w:line="480" w:lineRule="auto"/>
        <w:ind w:left="720" w:hanging="720"/>
        <w:rPr>
          <w:b/>
          <w:bCs/>
          <w:i/>
          <w:iCs/>
        </w:rPr>
      </w:pPr>
    </w:p>
    <w:p w:rsidR="00716665" w:rsidRDefault="00716665" w:rsidP="00CC255A">
      <w:pPr>
        <w:spacing w:line="480" w:lineRule="auto"/>
        <w:ind w:left="720" w:hanging="720"/>
        <w:rPr>
          <w:b/>
          <w:bCs/>
          <w:i/>
          <w:iCs/>
        </w:rPr>
      </w:pPr>
      <w:r>
        <w:rPr>
          <w:b/>
          <w:bCs/>
          <w:i/>
          <w:iCs/>
        </w:rPr>
        <w:t>Q10.</w:t>
      </w:r>
      <w:r>
        <w:rPr>
          <w:b/>
          <w:bCs/>
          <w:i/>
          <w:iCs/>
        </w:rPr>
        <w:tab/>
        <w:t xml:space="preserve">DOES ENROLLMENT ON </w:t>
      </w:r>
      <w:r w:rsidRPr="002A7D5B">
        <w:rPr>
          <w:rFonts w:ascii="Times New Roman Bold" w:hAnsi="Times New Roman Bold" w:cs="Times New Roman Bold"/>
          <w:b/>
          <w:bCs/>
          <w:i/>
          <w:iCs/>
          <w:caps/>
        </w:rPr>
        <w:t>Percentage of Income Payment Plan Plus</w:t>
      </w:r>
      <w:r>
        <w:rPr>
          <w:b/>
          <w:bCs/>
          <w:i/>
          <w:iCs/>
        </w:rPr>
        <w:t xml:space="preserve"> ELIMINATE THE AFFORDABILITY CONCERNS FOR LOW-INCOME CONSUMERS?</w:t>
      </w:r>
    </w:p>
    <w:p w:rsidR="00716665" w:rsidRDefault="00716665" w:rsidP="00CC255A">
      <w:pPr>
        <w:spacing w:line="480" w:lineRule="auto"/>
        <w:ind w:left="720" w:hanging="720"/>
      </w:pPr>
      <w:r>
        <w:rPr>
          <w:b/>
          <w:bCs/>
          <w:i/>
          <w:iCs/>
        </w:rPr>
        <w:t>A10.</w:t>
      </w:r>
      <w:r>
        <w:rPr>
          <w:b/>
          <w:bCs/>
          <w:i/>
          <w:iCs/>
        </w:rPr>
        <w:tab/>
      </w:r>
      <w:r>
        <w:t>No.</w:t>
      </w:r>
    </w:p>
    <w:p w:rsidR="00716665" w:rsidRDefault="00716665" w:rsidP="00CC255A">
      <w:pPr>
        <w:spacing w:line="480" w:lineRule="auto"/>
        <w:ind w:left="720" w:hanging="720"/>
      </w:pPr>
    </w:p>
    <w:p w:rsidR="00716665" w:rsidRDefault="00716665" w:rsidP="00372CEA">
      <w:pPr>
        <w:spacing w:line="480" w:lineRule="auto"/>
        <w:ind w:left="720" w:hanging="720"/>
        <w:rPr>
          <w:b/>
          <w:bCs/>
          <w:i/>
          <w:iCs/>
        </w:rPr>
      </w:pPr>
      <w:r>
        <w:rPr>
          <w:b/>
          <w:bCs/>
          <w:i/>
          <w:iCs/>
        </w:rPr>
        <w:t>Q11.</w:t>
      </w:r>
      <w:r>
        <w:rPr>
          <w:b/>
          <w:bCs/>
          <w:i/>
          <w:iCs/>
        </w:rPr>
        <w:tab/>
        <w:t xml:space="preserve">PLEASE EXPLAIN WHY THE AVAILABILITY OF THE </w:t>
      </w:r>
      <w:r w:rsidRPr="002A7D5B">
        <w:rPr>
          <w:rFonts w:ascii="Times New Roman Bold" w:hAnsi="Times New Roman Bold" w:cs="Times New Roman Bold"/>
          <w:b/>
          <w:bCs/>
          <w:i/>
          <w:iCs/>
          <w:caps/>
        </w:rPr>
        <w:t>Percentage of Income Payment Plan Plus Program</w:t>
      </w:r>
      <w:r>
        <w:rPr>
          <w:b/>
          <w:bCs/>
          <w:i/>
          <w:iCs/>
        </w:rPr>
        <w:t xml:space="preserve"> DOES NOT ELIMINATE THE AFFORDABILITY CONCERNS FOR LOW-INCOME CONSUMERS?</w:t>
      </w:r>
    </w:p>
    <w:p w:rsidR="00716665" w:rsidRDefault="00716665" w:rsidP="00A12248">
      <w:pPr>
        <w:spacing w:line="480" w:lineRule="auto"/>
        <w:ind w:left="720" w:hanging="720"/>
      </w:pPr>
      <w:r>
        <w:rPr>
          <w:b/>
          <w:bCs/>
          <w:i/>
          <w:iCs/>
        </w:rPr>
        <w:t>A11.</w:t>
      </w:r>
      <w:r>
        <w:rPr>
          <w:b/>
          <w:bCs/>
          <w:i/>
          <w:iCs/>
        </w:rPr>
        <w:tab/>
      </w:r>
      <w:r w:rsidRPr="00A12248">
        <w:t>To qualify for PIPP Plus, customers must have a household income not exceeding 150 percent of the Federal Poverty Guidelines.</w:t>
      </w:r>
      <w:r w:rsidRPr="00A12248">
        <w:rPr>
          <w:vertAlign w:val="superscript"/>
        </w:rPr>
        <w:footnoteReference w:id="9"/>
      </w:r>
      <w:r w:rsidRPr="00A12248">
        <w:t xml:space="preserve">  In the PIPP Plus program, rather than paying the entire actual bill, PIPP Plus customers pay 6 percent of their monthly household income (or ten percent if their home is an all-electric dwelling) as a payment for their electric service, and the difference from the actual bill accrues as an arrearage for the customers.</w:t>
      </w:r>
      <w:r w:rsidRPr="00A12248">
        <w:rPr>
          <w:vertAlign w:val="superscript"/>
        </w:rPr>
        <w:footnoteReference w:id="10"/>
      </w:r>
      <w:r w:rsidRPr="00A12248">
        <w:t xml:space="preserve">  Customers are financially responsible for these arrearages; however, there are provisions for credits towards the arrearages if payments are made in-full and on-time.</w:t>
      </w:r>
      <w:r w:rsidRPr="00A12248">
        <w:rPr>
          <w:vertAlign w:val="superscript"/>
        </w:rPr>
        <w:footnoteReference w:id="11"/>
      </w:r>
    </w:p>
    <w:p w:rsidR="00716665" w:rsidRPr="00A12248" w:rsidRDefault="00716665" w:rsidP="00A12248">
      <w:pPr>
        <w:spacing w:line="480" w:lineRule="auto"/>
        <w:ind w:left="720" w:hanging="720"/>
        <w:rPr>
          <w:b/>
          <w:bCs/>
          <w:i/>
          <w:iCs/>
        </w:rPr>
      </w:pPr>
    </w:p>
    <w:p w:rsidR="00716665" w:rsidRPr="00551AF6" w:rsidRDefault="00716665" w:rsidP="00527ED0">
      <w:pPr>
        <w:spacing w:line="480" w:lineRule="auto"/>
        <w:ind w:left="720"/>
      </w:pPr>
      <w:r>
        <w:t xml:space="preserve">Although PIPP </w:t>
      </w:r>
      <w:r w:rsidRPr="0007771A">
        <w:t xml:space="preserve">Plus customers </w:t>
      </w:r>
      <w:r>
        <w:t xml:space="preserve">pay a percentage of their household income for electric service, rather than the actual bill, they are still financially responsible for the entire </w:t>
      </w:r>
      <w:r w:rsidRPr="0007771A">
        <w:t>electric bill</w:t>
      </w:r>
      <w:r>
        <w:t xml:space="preserve">.  Therefore, PIPP Plus can be an effective payment plan for the lowest-income customers, but is not necessarily the most effective payment plan for all at-risk low-income consumers.  For example, a family of four with a household income at </w:t>
      </w:r>
      <w:r w:rsidRPr="007854E1">
        <w:t>150 percent</w:t>
      </w:r>
      <w:r>
        <w:t xml:space="preserve"> poverty qualifies for PIPP, but the installment payment amount of $167.63</w:t>
      </w:r>
      <w:r>
        <w:rPr>
          <w:rStyle w:val="FootnoteReference"/>
        </w:rPr>
        <w:footnoteReference w:id="12"/>
      </w:r>
      <w:r>
        <w:t xml:space="preserve"> per month would exceed the average DP&amp;L PIPP Plus electric bill of $132 in 2012.</w:t>
      </w:r>
      <w:r>
        <w:rPr>
          <w:rStyle w:val="FootnoteReference"/>
        </w:rPr>
        <w:footnoteReference w:id="13"/>
      </w:r>
    </w:p>
    <w:p w:rsidR="00716665" w:rsidRPr="00FA6053" w:rsidRDefault="00716665" w:rsidP="00CC255A">
      <w:pPr>
        <w:spacing w:line="480" w:lineRule="auto"/>
        <w:ind w:left="720" w:hanging="720"/>
        <w:rPr>
          <w:b/>
          <w:bCs/>
          <w:i/>
          <w:iCs/>
        </w:rPr>
      </w:pPr>
      <w:r>
        <w:rPr>
          <w:b/>
          <w:bCs/>
          <w:i/>
          <w:iCs/>
        </w:rPr>
        <w:br w:type="page"/>
        <w:t>Q12.</w:t>
      </w:r>
      <w:r>
        <w:rPr>
          <w:b/>
          <w:bCs/>
          <w:i/>
          <w:iCs/>
        </w:rPr>
        <w:tab/>
        <w:t>HOW HAS THE AFFORDABILITY OF DP&amp;L SERVICE CHANGED OVER THE LAST SIX YEARS?</w:t>
      </w:r>
    </w:p>
    <w:p w:rsidR="00716665" w:rsidRDefault="00716665" w:rsidP="0091281C">
      <w:pPr>
        <w:spacing w:line="480" w:lineRule="auto"/>
        <w:ind w:left="720" w:hanging="720"/>
        <w:rPr>
          <w:b/>
          <w:bCs/>
        </w:rPr>
      </w:pPr>
      <w:r w:rsidRPr="004034A2">
        <w:rPr>
          <w:b/>
          <w:bCs/>
          <w:i/>
          <w:iCs/>
        </w:rPr>
        <w:t>A1</w:t>
      </w:r>
      <w:r>
        <w:rPr>
          <w:b/>
          <w:bCs/>
          <w:i/>
          <w:iCs/>
        </w:rPr>
        <w:t>2</w:t>
      </w:r>
      <w:r w:rsidRPr="004034A2">
        <w:rPr>
          <w:b/>
          <w:bCs/>
          <w:i/>
          <w:iCs/>
        </w:rPr>
        <w:t>.</w:t>
      </w:r>
      <w:r>
        <w:tab/>
        <w:t>Table 2 below provides a comparison of the average residential bill amount, number of PIPP customers, number of PIPP disconnections, average disconnection amounts and arrearages, customers reconnected using the Commission winter reconnection procedures, and number of customers on extended payment plans from 2012 with comparable 2007 data.</w:t>
      </w:r>
    </w:p>
    <w:p w:rsidR="00716665" w:rsidRDefault="00716665" w:rsidP="00527ED0">
      <w:pPr>
        <w:spacing w:line="360" w:lineRule="auto"/>
        <w:ind w:left="720" w:hanging="720"/>
        <w:jc w:val="center"/>
        <w:rPr>
          <w:b/>
          <w:bCs/>
        </w:rPr>
      </w:pPr>
      <w:r>
        <w:rPr>
          <w:b/>
          <w:bCs/>
        </w:rPr>
        <w:t>Table 2: Comparison of Affordability Data (2007 – 2012)</w:t>
      </w:r>
    </w:p>
    <w:tbl>
      <w:tblPr>
        <w:tblW w:w="7560" w:type="dxa"/>
        <w:tblInd w:w="-106" w:type="dxa"/>
        <w:tblLook w:val="01E0" w:firstRow="1" w:lastRow="1" w:firstColumn="1" w:lastColumn="1" w:noHBand="0" w:noVBand="0"/>
      </w:tblPr>
      <w:tblGrid>
        <w:gridCol w:w="3060"/>
        <w:gridCol w:w="1440"/>
        <w:gridCol w:w="1440"/>
        <w:gridCol w:w="1620"/>
      </w:tblGrid>
      <w:tr w:rsidR="00716665" w:rsidRPr="000D78C3">
        <w:tc>
          <w:tcPr>
            <w:tcW w:w="3060" w:type="dxa"/>
            <w:tcBorders>
              <w:bottom w:val="single" w:sz="4" w:space="0" w:color="auto"/>
            </w:tcBorders>
            <w:vAlign w:val="bottom"/>
          </w:tcPr>
          <w:p w:rsidR="00716665" w:rsidRPr="0091281C" w:rsidRDefault="00716665" w:rsidP="0091281C">
            <w:pPr>
              <w:jc w:val="center"/>
              <w:rPr>
                <w:b/>
                <w:bCs/>
              </w:rPr>
            </w:pPr>
            <w:r w:rsidRPr="0091281C">
              <w:rPr>
                <w:b/>
                <w:bCs/>
              </w:rPr>
              <w:t>Description</w:t>
            </w:r>
          </w:p>
        </w:tc>
        <w:tc>
          <w:tcPr>
            <w:tcW w:w="1440" w:type="dxa"/>
            <w:tcBorders>
              <w:bottom w:val="single" w:sz="4" w:space="0" w:color="auto"/>
            </w:tcBorders>
            <w:vAlign w:val="bottom"/>
          </w:tcPr>
          <w:p w:rsidR="00716665" w:rsidRPr="0091281C" w:rsidRDefault="00716665" w:rsidP="0091281C">
            <w:pPr>
              <w:jc w:val="center"/>
              <w:rPr>
                <w:b/>
                <w:bCs/>
              </w:rPr>
            </w:pPr>
            <w:r w:rsidRPr="0091281C">
              <w:rPr>
                <w:b/>
                <w:bCs/>
              </w:rPr>
              <w:t>2007</w:t>
            </w:r>
          </w:p>
        </w:tc>
        <w:tc>
          <w:tcPr>
            <w:tcW w:w="1440" w:type="dxa"/>
            <w:tcBorders>
              <w:bottom w:val="single" w:sz="4" w:space="0" w:color="auto"/>
            </w:tcBorders>
            <w:vAlign w:val="bottom"/>
          </w:tcPr>
          <w:p w:rsidR="00716665" w:rsidRPr="0091281C" w:rsidRDefault="00716665" w:rsidP="0091281C">
            <w:pPr>
              <w:jc w:val="center"/>
              <w:rPr>
                <w:b/>
                <w:bCs/>
              </w:rPr>
            </w:pPr>
            <w:r w:rsidRPr="0091281C">
              <w:rPr>
                <w:b/>
                <w:bCs/>
              </w:rPr>
              <w:t>2012</w:t>
            </w:r>
          </w:p>
        </w:tc>
        <w:tc>
          <w:tcPr>
            <w:tcW w:w="1620" w:type="dxa"/>
            <w:tcBorders>
              <w:bottom w:val="single" w:sz="4" w:space="0" w:color="auto"/>
            </w:tcBorders>
            <w:vAlign w:val="bottom"/>
          </w:tcPr>
          <w:p w:rsidR="00716665" w:rsidRPr="0091281C" w:rsidRDefault="00716665" w:rsidP="0091281C">
            <w:pPr>
              <w:jc w:val="center"/>
              <w:rPr>
                <w:b/>
                <w:bCs/>
              </w:rPr>
            </w:pPr>
            <w:r w:rsidRPr="0091281C">
              <w:rPr>
                <w:b/>
                <w:bCs/>
              </w:rPr>
              <w:t>Percentage</w:t>
            </w:r>
          </w:p>
          <w:p w:rsidR="00716665" w:rsidRPr="0091281C" w:rsidRDefault="00716665" w:rsidP="0091281C">
            <w:pPr>
              <w:jc w:val="center"/>
              <w:rPr>
                <w:b/>
                <w:bCs/>
              </w:rPr>
            </w:pPr>
            <w:r w:rsidRPr="0091281C">
              <w:rPr>
                <w:b/>
                <w:bCs/>
              </w:rPr>
              <w:t>Increase</w:t>
            </w:r>
          </w:p>
        </w:tc>
      </w:tr>
      <w:tr w:rsidR="00716665" w:rsidRPr="00A40459">
        <w:trPr>
          <w:trHeight w:val="603"/>
        </w:trPr>
        <w:tc>
          <w:tcPr>
            <w:tcW w:w="3060" w:type="dxa"/>
            <w:tcBorders>
              <w:top w:val="single" w:sz="4" w:space="0" w:color="auto"/>
              <w:left w:val="single" w:sz="4" w:space="0" w:color="auto"/>
              <w:bottom w:val="single" w:sz="4" w:space="0" w:color="auto"/>
              <w:right w:val="single" w:sz="4" w:space="0" w:color="auto"/>
            </w:tcBorders>
            <w:vAlign w:val="center"/>
          </w:tcPr>
          <w:p w:rsidR="00716665" w:rsidRPr="003147BA" w:rsidRDefault="00716665" w:rsidP="0091281C">
            <w:r w:rsidRPr="003147BA">
              <w:t>Average Residential Customer Monthly Bill</w:t>
            </w:r>
            <w:r w:rsidRPr="003147BA">
              <w:rPr>
                <w:rStyle w:val="FootnoteReference"/>
              </w:rPr>
              <w:footnoteReference w:id="14"/>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16"/>
              </w:tabs>
            </w:pPr>
            <w:r>
              <w:tab/>
            </w:r>
            <w:r w:rsidRPr="0060553F">
              <w:t>$</w:t>
            </w:r>
            <w:r>
              <w:t>95</w:t>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06"/>
              </w:tabs>
            </w:pPr>
            <w:r>
              <w:tab/>
            </w:r>
            <w:r w:rsidRPr="0060553F">
              <w:t>$</w:t>
            </w:r>
            <w:r>
              <w:t>113</w:t>
            </w:r>
          </w:p>
        </w:tc>
        <w:tc>
          <w:tcPr>
            <w:tcW w:w="162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91281C">
            <w:pPr>
              <w:tabs>
                <w:tab w:val="decimal" w:pos="826"/>
              </w:tabs>
            </w:pPr>
            <w:r>
              <w:t>18.9</w:t>
            </w:r>
          </w:p>
        </w:tc>
      </w:tr>
      <w:tr w:rsidR="00716665" w:rsidRPr="00A40459">
        <w:tc>
          <w:tcPr>
            <w:tcW w:w="3060" w:type="dxa"/>
            <w:tcBorders>
              <w:top w:val="single" w:sz="4" w:space="0" w:color="auto"/>
              <w:left w:val="single" w:sz="4" w:space="0" w:color="auto"/>
              <w:bottom w:val="single" w:sz="4" w:space="0" w:color="auto"/>
              <w:right w:val="single" w:sz="4" w:space="0" w:color="auto"/>
            </w:tcBorders>
            <w:vAlign w:val="center"/>
          </w:tcPr>
          <w:p w:rsidR="00716665" w:rsidRPr="003147BA" w:rsidRDefault="00716665" w:rsidP="0091281C">
            <w:r w:rsidRPr="003147BA">
              <w:t xml:space="preserve">PIPP Customers Disconnected </w:t>
            </w:r>
            <w:r w:rsidRPr="003147BA">
              <w:rPr>
                <w:rStyle w:val="FootnoteReference"/>
              </w:rPr>
              <w:footnoteReference w:id="15"/>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16"/>
              </w:tabs>
            </w:pPr>
            <w:r>
              <w:tab/>
              <w:t>2,648</w:t>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06"/>
              </w:tabs>
            </w:pPr>
            <w:r>
              <w:tab/>
              <w:t>5,023</w:t>
            </w:r>
          </w:p>
        </w:tc>
        <w:tc>
          <w:tcPr>
            <w:tcW w:w="162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91281C">
            <w:pPr>
              <w:tabs>
                <w:tab w:val="decimal" w:pos="826"/>
              </w:tabs>
            </w:pPr>
            <w:r>
              <w:t>90.0</w:t>
            </w:r>
          </w:p>
        </w:tc>
      </w:tr>
      <w:tr w:rsidR="00716665" w:rsidRPr="00A40459">
        <w:tc>
          <w:tcPr>
            <w:tcW w:w="3060" w:type="dxa"/>
            <w:tcBorders>
              <w:top w:val="single" w:sz="4" w:space="0" w:color="auto"/>
              <w:left w:val="single" w:sz="4" w:space="0" w:color="auto"/>
              <w:bottom w:val="single" w:sz="4" w:space="0" w:color="auto"/>
              <w:right w:val="single" w:sz="4" w:space="0" w:color="auto"/>
            </w:tcBorders>
            <w:vAlign w:val="center"/>
          </w:tcPr>
          <w:p w:rsidR="00716665" w:rsidRPr="003147BA" w:rsidDel="000F3470" w:rsidRDefault="00716665" w:rsidP="0091281C">
            <w:r w:rsidRPr="003147BA">
              <w:t>Customers Reconnected using Special Winter Order</w:t>
            </w:r>
            <w:r w:rsidRPr="003147BA">
              <w:rPr>
                <w:rStyle w:val="FootnoteReference"/>
              </w:rPr>
              <w:footnoteReference w:id="16"/>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16"/>
              </w:tabs>
            </w:pPr>
            <w:r>
              <w:tab/>
              <w:t>1,785</w:t>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06"/>
              </w:tabs>
            </w:pPr>
            <w:r>
              <w:tab/>
              <w:t>4,286</w:t>
            </w:r>
          </w:p>
        </w:tc>
        <w:tc>
          <w:tcPr>
            <w:tcW w:w="1620" w:type="dxa"/>
            <w:tcBorders>
              <w:top w:val="single" w:sz="4" w:space="0" w:color="auto"/>
              <w:left w:val="single" w:sz="4" w:space="0" w:color="auto"/>
              <w:bottom w:val="single" w:sz="4" w:space="0" w:color="auto"/>
              <w:right w:val="single" w:sz="4" w:space="0" w:color="auto"/>
            </w:tcBorders>
            <w:vAlign w:val="center"/>
          </w:tcPr>
          <w:p w:rsidR="00716665" w:rsidRDefault="00716665" w:rsidP="0091281C">
            <w:pPr>
              <w:tabs>
                <w:tab w:val="decimal" w:pos="826"/>
              </w:tabs>
            </w:pPr>
            <w:r>
              <w:t>140.1</w:t>
            </w:r>
          </w:p>
        </w:tc>
      </w:tr>
      <w:tr w:rsidR="00716665" w:rsidRPr="00A40459">
        <w:tc>
          <w:tcPr>
            <w:tcW w:w="3060" w:type="dxa"/>
            <w:tcBorders>
              <w:top w:val="single" w:sz="4" w:space="0" w:color="auto"/>
              <w:left w:val="single" w:sz="4" w:space="0" w:color="auto"/>
              <w:bottom w:val="single" w:sz="4" w:space="0" w:color="auto"/>
              <w:right w:val="single" w:sz="4" w:space="0" w:color="auto"/>
            </w:tcBorders>
            <w:vAlign w:val="center"/>
          </w:tcPr>
          <w:p w:rsidR="00716665" w:rsidRPr="003147BA" w:rsidRDefault="00716665" w:rsidP="0091281C">
            <w:r w:rsidRPr="003147BA">
              <w:t>Average Disconnection Amount</w:t>
            </w:r>
            <w:r w:rsidRPr="003147BA">
              <w:rPr>
                <w:rStyle w:val="FootnoteReference"/>
              </w:rPr>
              <w:footnoteReference w:id="17"/>
            </w:r>
          </w:p>
        </w:tc>
        <w:tc>
          <w:tcPr>
            <w:tcW w:w="1440" w:type="dxa"/>
            <w:tcBorders>
              <w:top w:val="single" w:sz="4" w:space="0" w:color="auto"/>
              <w:left w:val="single" w:sz="4" w:space="0" w:color="auto"/>
              <w:bottom w:val="single" w:sz="4" w:space="0" w:color="auto"/>
              <w:right w:val="single" w:sz="4" w:space="0" w:color="auto"/>
            </w:tcBorders>
            <w:vAlign w:val="center"/>
          </w:tcPr>
          <w:p w:rsidR="00716665" w:rsidRDefault="00716665" w:rsidP="003147BA">
            <w:pPr>
              <w:tabs>
                <w:tab w:val="right" w:pos="916"/>
              </w:tabs>
            </w:pPr>
            <w:r>
              <w:tab/>
            </w:r>
            <w:r w:rsidRPr="0060553F">
              <w:t>$</w:t>
            </w:r>
            <w:r>
              <w:t>375</w:t>
            </w:r>
          </w:p>
        </w:tc>
        <w:tc>
          <w:tcPr>
            <w:tcW w:w="1440" w:type="dxa"/>
            <w:tcBorders>
              <w:top w:val="single" w:sz="4" w:space="0" w:color="auto"/>
              <w:left w:val="single" w:sz="4" w:space="0" w:color="auto"/>
              <w:bottom w:val="single" w:sz="4" w:space="0" w:color="auto"/>
              <w:right w:val="single" w:sz="4" w:space="0" w:color="auto"/>
            </w:tcBorders>
            <w:vAlign w:val="center"/>
          </w:tcPr>
          <w:p w:rsidR="00716665" w:rsidRDefault="00716665" w:rsidP="003147BA">
            <w:pPr>
              <w:tabs>
                <w:tab w:val="right" w:pos="906"/>
              </w:tabs>
            </w:pPr>
            <w:r>
              <w:tab/>
            </w:r>
            <w:r w:rsidRPr="0060553F">
              <w:t>$</w:t>
            </w:r>
            <w:r>
              <w:t>469</w:t>
            </w:r>
          </w:p>
        </w:tc>
        <w:tc>
          <w:tcPr>
            <w:tcW w:w="1620" w:type="dxa"/>
            <w:tcBorders>
              <w:top w:val="single" w:sz="4" w:space="0" w:color="auto"/>
              <w:left w:val="single" w:sz="4" w:space="0" w:color="auto"/>
              <w:bottom w:val="single" w:sz="4" w:space="0" w:color="auto"/>
              <w:right w:val="single" w:sz="4" w:space="0" w:color="auto"/>
            </w:tcBorders>
            <w:vAlign w:val="center"/>
          </w:tcPr>
          <w:p w:rsidR="00716665" w:rsidRDefault="00716665" w:rsidP="0091281C">
            <w:pPr>
              <w:tabs>
                <w:tab w:val="decimal" w:pos="826"/>
              </w:tabs>
            </w:pPr>
            <w:r>
              <w:t>25.0</w:t>
            </w:r>
          </w:p>
        </w:tc>
      </w:tr>
      <w:tr w:rsidR="00716665" w:rsidRPr="00A40459">
        <w:tc>
          <w:tcPr>
            <w:tcW w:w="3060" w:type="dxa"/>
            <w:tcBorders>
              <w:top w:val="single" w:sz="4" w:space="0" w:color="auto"/>
              <w:left w:val="single" w:sz="4" w:space="0" w:color="auto"/>
              <w:bottom w:val="single" w:sz="4" w:space="0" w:color="auto"/>
              <w:right w:val="single" w:sz="4" w:space="0" w:color="auto"/>
            </w:tcBorders>
            <w:vAlign w:val="center"/>
          </w:tcPr>
          <w:p w:rsidR="00716665" w:rsidRPr="003147BA" w:rsidDel="000F3470" w:rsidRDefault="00716665" w:rsidP="0091281C">
            <w:r w:rsidRPr="003147BA">
              <w:t>Average Amount Owed on Disconnection Notice</w:t>
            </w:r>
            <w:r w:rsidRPr="003147BA">
              <w:rPr>
                <w:rStyle w:val="FootnoteReference"/>
              </w:rPr>
              <w:footnoteReference w:id="18"/>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16"/>
              </w:tabs>
            </w:pPr>
            <w:r>
              <w:tab/>
            </w:r>
            <w:r w:rsidRPr="0060553F">
              <w:t>$</w:t>
            </w:r>
            <w:r>
              <w:t>192</w:t>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06"/>
              </w:tabs>
            </w:pPr>
            <w:r>
              <w:tab/>
            </w:r>
            <w:r w:rsidRPr="0060553F">
              <w:t>$</w:t>
            </w:r>
            <w:r>
              <w:t>272</w:t>
            </w:r>
          </w:p>
        </w:tc>
        <w:tc>
          <w:tcPr>
            <w:tcW w:w="162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91281C">
            <w:pPr>
              <w:tabs>
                <w:tab w:val="decimal" w:pos="826"/>
              </w:tabs>
            </w:pPr>
            <w:r>
              <w:t>41.7</w:t>
            </w:r>
          </w:p>
        </w:tc>
      </w:tr>
      <w:tr w:rsidR="00716665" w:rsidRPr="00A40459">
        <w:tc>
          <w:tcPr>
            <w:tcW w:w="3060" w:type="dxa"/>
            <w:tcBorders>
              <w:top w:val="single" w:sz="4" w:space="0" w:color="auto"/>
              <w:left w:val="single" w:sz="4" w:space="0" w:color="auto"/>
              <w:bottom w:val="single" w:sz="4" w:space="0" w:color="auto"/>
              <w:right w:val="single" w:sz="4" w:space="0" w:color="auto"/>
            </w:tcBorders>
            <w:vAlign w:val="center"/>
          </w:tcPr>
          <w:p w:rsidR="00716665" w:rsidRPr="003147BA" w:rsidDel="000F3470" w:rsidRDefault="00716665" w:rsidP="0091281C">
            <w:r w:rsidRPr="003147BA">
              <w:t>Average Arrearages Owed for more than 60 Days</w:t>
            </w:r>
            <w:r w:rsidRPr="003147BA">
              <w:rPr>
                <w:rStyle w:val="FootnoteReference"/>
              </w:rPr>
              <w:footnoteReference w:id="19"/>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16"/>
              </w:tabs>
            </w:pPr>
            <w:r>
              <w:tab/>
            </w:r>
            <w:r w:rsidRPr="0060553F">
              <w:t>$</w:t>
            </w:r>
            <w:r>
              <w:t>410</w:t>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06"/>
              </w:tabs>
            </w:pPr>
            <w:r>
              <w:tab/>
            </w:r>
            <w:r w:rsidRPr="0060553F">
              <w:t>$4</w:t>
            </w:r>
            <w:r>
              <w:t>47</w:t>
            </w:r>
          </w:p>
        </w:tc>
        <w:tc>
          <w:tcPr>
            <w:tcW w:w="162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91281C">
            <w:pPr>
              <w:tabs>
                <w:tab w:val="decimal" w:pos="826"/>
              </w:tabs>
            </w:pPr>
            <w:r>
              <w:t>9.0</w:t>
            </w:r>
          </w:p>
        </w:tc>
      </w:tr>
      <w:tr w:rsidR="00716665" w:rsidRPr="00A40459">
        <w:tc>
          <w:tcPr>
            <w:tcW w:w="3060" w:type="dxa"/>
            <w:tcBorders>
              <w:top w:val="single" w:sz="4" w:space="0" w:color="auto"/>
              <w:left w:val="single" w:sz="4" w:space="0" w:color="auto"/>
              <w:bottom w:val="single" w:sz="4" w:space="0" w:color="auto"/>
              <w:right w:val="single" w:sz="4" w:space="0" w:color="auto"/>
            </w:tcBorders>
            <w:vAlign w:val="center"/>
          </w:tcPr>
          <w:p w:rsidR="00716665" w:rsidRPr="003147BA" w:rsidRDefault="00716665" w:rsidP="0091281C">
            <w:r w:rsidRPr="003147BA">
              <w:t>Number of Customers on PIPP Plus</w:t>
            </w:r>
            <w:r w:rsidRPr="003147BA">
              <w:rPr>
                <w:rStyle w:val="FootnoteReference"/>
              </w:rPr>
              <w:footnoteReference w:id="20"/>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16"/>
              </w:tabs>
            </w:pPr>
            <w:r>
              <w:tab/>
              <w:t>21,242</w:t>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06"/>
              </w:tabs>
            </w:pPr>
            <w:r>
              <w:tab/>
              <w:t>35,715</w:t>
            </w:r>
          </w:p>
        </w:tc>
        <w:tc>
          <w:tcPr>
            <w:tcW w:w="162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91281C">
            <w:pPr>
              <w:tabs>
                <w:tab w:val="decimal" w:pos="826"/>
              </w:tabs>
            </w:pPr>
            <w:r>
              <w:t>68.1</w:t>
            </w:r>
          </w:p>
        </w:tc>
      </w:tr>
      <w:tr w:rsidR="00716665" w:rsidRPr="00A40459">
        <w:tc>
          <w:tcPr>
            <w:tcW w:w="3060" w:type="dxa"/>
            <w:tcBorders>
              <w:top w:val="single" w:sz="4" w:space="0" w:color="auto"/>
              <w:left w:val="single" w:sz="4" w:space="0" w:color="auto"/>
              <w:bottom w:val="single" w:sz="4" w:space="0" w:color="auto"/>
              <w:right w:val="single" w:sz="4" w:space="0" w:color="auto"/>
            </w:tcBorders>
            <w:vAlign w:val="center"/>
          </w:tcPr>
          <w:p w:rsidR="00716665" w:rsidRPr="003147BA" w:rsidRDefault="00716665" w:rsidP="0091281C">
            <w:r w:rsidRPr="003147BA">
              <w:t>Number of Customers on Payment Plan</w:t>
            </w:r>
            <w:r w:rsidRPr="003147BA">
              <w:rPr>
                <w:rStyle w:val="FootnoteReference"/>
              </w:rPr>
              <w:footnoteReference w:id="21"/>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16"/>
              </w:tabs>
            </w:pPr>
            <w:r>
              <w:tab/>
              <w:t>76,367</w:t>
            </w:r>
          </w:p>
        </w:tc>
        <w:tc>
          <w:tcPr>
            <w:tcW w:w="144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3147BA">
            <w:pPr>
              <w:tabs>
                <w:tab w:val="right" w:pos="906"/>
              </w:tabs>
            </w:pPr>
            <w:r>
              <w:tab/>
            </w:r>
            <w:r w:rsidRPr="0060553F">
              <w:t>7</w:t>
            </w:r>
            <w:r>
              <w:t>8,502</w:t>
            </w:r>
          </w:p>
        </w:tc>
        <w:tc>
          <w:tcPr>
            <w:tcW w:w="1620" w:type="dxa"/>
            <w:tcBorders>
              <w:top w:val="single" w:sz="4" w:space="0" w:color="auto"/>
              <w:left w:val="single" w:sz="4" w:space="0" w:color="auto"/>
              <w:bottom w:val="single" w:sz="4" w:space="0" w:color="auto"/>
              <w:right w:val="single" w:sz="4" w:space="0" w:color="auto"/>
            </w:tcBorders>
            <w:vAlign w:val="center"/>
          </w:tcPr>
          <w:p w:rsidR="00716665" w:rsidRPr="0060553F" w:rsidRDefault="00716665" w:rsidP="0091281C">
            <w:pPr>
              <w:tabs>
                <w:tab w:val="decimal" w:pos="826"/>
              </w:tabs>
            </w:pPr>
            <w:r>
              <w:t>2.8</w:t>
            </w:r>
          </w:p>
        </w:tc>
      </w:tr>
    </w:tbl>
    <w:p w:rsidR="00716665" w:rsidRDefault="00716665" w:rsidP="004852A5">
      <w:pPr>
        <w:spacing w:line="480" w:lineRule="auto"/>
        <w:ind w:left="720"/>
      </w:pPr>
      <w:r>
        <w:t xml:space="preserve">Table 2 above demonstrates that the average DP&amp;L residential bill has increased by approximately 19 </w:t>
      </w:r>
      <w:r w:rsidRPr="00701D5A">
        <w:t>percent</w:t>
      </w:r>
      <w:r>
        <w:t xml:space="preserve"> over the last six years.  As shown later in my testimony, DP&amp;L’s residential customers went from paying electric bills that were below the average Ohio electric bill in 2008 to paying one of the highest average electric bills in the state today.  Along with that increase there has been a 90 </w:t>
      </w:r>
      <w:r w:rsidRPr="00701D5A">
        <w:t>percent</w:t>
      </w:r>
      <w:r>
        <w:t xml:space="preserve"> increase in the number of PIPP customers being disconnected for non-payment – a strong indicator that at-risk residential customers are not being protected.  Furthermore, there has been a 140 percent increase in the number of customers who needed the special Commission winter reconnection procedures to have services reconnected during the winter months.  The amounts owed at the time of disconnection have also increased by 25 </w:t>
      </w:r>
      <w:r w:rsidRPr="00701D5A">
        <w:t>percent</w:t>
      </w:r>
      <w:r>
        <w:t xml:space="preserve"> on average and arrearage amounts have grown by 41 </w:t>
      </w:r>
      <w:r w:rsidRPr="00701D5A">
        <w:t>percent.</w:t>
      </w:r>
      <w:r>
        <w:t xml:space="preserve">  Enrollment on the PIPP Plus program has grown by 68.1 </w:t>
      </w:r>
      <w:r w:rsidRPr="00701D5A">
        <w:t>percent</w:t>
      </w:r>
      <w:r>
        <w:t>.  A 2.8 percent increase occurred in the number of customers who enrolled on Commission-ordered payment plans.</w:t>
      </w:r>
    </w:p>
    <w:p w:rsidR="00716665" w:rsidRDefault="00716665" w:rsidP="004852A5">
      <w:pPr>
        <w:spacing w:line="480" w:lineRule="auto"/>
        <w:ind w:left="720"/>
      </w:pPr>
    </w:p>
    <w:p w:rsidR="00716665" w:rsidRPr="004034A2" w:rsidRDefault="00716665" w:rsidP="00B5273D">
      <w:pPr>
        <w:spacing w:line="480" w:lineRule="auto"/>
        <w:ind w:left="720" w:hanging="720"/>
        <w:rPr>
          <w:b/>
          <w:bCs/>
          <w:i/>
          <w:iCs/>
        </w:rPr>
      </w:pPr>
      <w:r w:rsidRPr="004034A2">
        <w:rPr>
          <w:b/>
          <w:bCs/>
          <w:i/>
          <w:iCs/>
        </w:rPr>
        <w:t>Q1</w:t>
      </w:r>
      <w:r>
        <w:rPr>
          <w:b/>
          <w:bCs/>
          <w:i/>
          <w:iCs/>
        </w:rPr>
        <w:t>3</w:t>
      </w:r>
      <w:r w:rsidRPr="004034A2">
        <w:rPr>
          <w:b/>
          <w:bCs/>
          <w:i/>
          <w:iCs/>
        </w:rPr>
        <w:t>.</w:t>
      </w:r>
      <w:r w:rsidRPr="004034A2">
        <w:rPr>
          <w:b/>
          <w:bCs/>
          <w:i/>
          <w:iCs/>
        </w:rPr>
        <w:tab/>
      </w:r>
      <w:r>
        <w:rPr>
          <w:b/>
          <w:bCs/>
          <w:i/>
          <w:iCs/>
        </w:rPr>
        <w:t xml:space="preserve">DOES </w:t>
      </w:r>
      <w:r w:rsidRPr="004034A2">
        <w:rPr>
          <w:b/>
          <w:bCs/>
          <w:i/>
          <w:iCs/>
        </w:rPr>
        <w:t>THE UNAFFORDAB</w:t>
      </w:r>
      <w:r>
        <w:rPr>
          <w:b/>
          <w:bCs/>
          <w:i/>
          <w:iCs/>
        </w:rPr>
        <w:t>I</w:t>
      </w:r>
      <w:r w:rsidRPr="004034A2">
        <w:rPr>
          <w:b/>
          <w:bCs/>
          <w:i/>
          <w:iCs/>
        </w:rPr>
        <w:t>L</w:t>
      </w:r>
      <w:r>
        <w:rPr>
          <w:b/>
          <w:bCs/>
          <w:i/>
          <w:iCs/>
        </w:rPr>
        <w:t>ITY OF</w:t>
      </w:r>
      <w:r w:rsidRPr="004034A2">
        <w:rPr>
          <w:b/>
          <w:bCs/>
          <w:i/>
          <w:iCs/>
        </w:rPr>
        <w:t xml:space="preserve"> ELECTRIC SERVICE RATES NEGATIVELY IMPACT RESIDENTIAL CONSUMERS?</w:t>
      </w:r>
    </w:p>
    <w:p w:rsidR="00716665" w:rsidRDefault="00716665" w:rsidP="005B2CF8">
      <w:pPr>
        <w:spacing w:line="480" w:lineRule="auto"/>
        <w:ind w:left="720" w:hanging="720"/>
        <w:rPr>
          <w:b/>
          <w:bCs/>
          <w:i/>
          <w:iCs/>
        </w:rPr>
      </w:pPr>
      <w:r w:rsidRPr="004034A2">
        <w:rPr>
          <w:b/>
          <w:bCs/>
          <w:i/>
          <w:iCs/>
        </w:rPr>
        <w:t>A1</w:t>
      </w:r>
      <w:r>
        <w:rPr>
          <w:b/>
          <w:bCs/>
          <w:i/>
          <w:iCs/>
        </w:rPr>
        <w:t>3</w:t>
      </w:r>
      <w:r w:rsidRPr="004034A2">
        <w:rPr>
          <w:b/>
          <w:bCs/>
          <w:i/>
          <w:iCs/>
        </w:rPr>
        <w:t>.</w:t>
      </w:r>
      <w:r>
        <w:tab/>
        <w:t>Yes it does.</w:t>
      </w:r>
    </w:p>
    <w:p w:rsidR="00716665" w:rsidRPr="004034A2" w:rsidRDefault="00716665" w:rsidP="005B2CF8">
      <w:pPr>
        <w:spacing w:line="480" w:lineRule="auto"/>
        <w:ind w:left="720" w:hanging="720"/>
        <w:rPr>
          <w:b/>
          <w:bCs/>
          <w:i/>
          <w:iCs/>
        </w:rPr>
      </w:pPr>
      <w:r>
        <w:rPr>
          <w:b/>
          <w:bCs/>
          <w:i/>
          <w:iCs/>
        </w:rPr>
        <w:br w:type="page"/>
        <w:t>Q14</w:t>
      </w:r>
      <w:r w:rsidRPr="004034A2">
        <w:rPr>
          <w:b/>
          <w:bCs/>
          <w:i/>
          <w:iCs/>
        </w:rPr>
        <w:t>.</w:t>
      </w:r>
      <w:r w:rsidRPr="004034A2">
        <w:rPr>
          <w:b/>
          <w:bCs/>
          <w:i/>
          <w:iCs/>
        </w:rPr>
        <w:tab/>
      </w:r>
      <w:r>
        <w:rPr>
          <w:b/>
          <w:bCs/>
          <w:i/>
          <w:iCs/>
        </w:rPr>
        <w:t xml:space="preserve">PLEASE DESCRIBE HOW </w:t>
      </w:r>
      <w:r w:rsidRPr="004034A2">
        <w:rPr>
          <w:b/>
          <w:bCs/>
          <w:i/>
          <w:iCs/>
        </w:rPr>
        <w:t>THE UNAFFORDAB</w:t>
      </w:r>
      <w:r>
        <w:rPr>
          <w:b/>
          <w:bCs/>
          <w:i/>
          <w:iCs/>
        </w:rPr>
        <w:t>I</w:t>
      </w:r>
      <w:r w:rsidRPr="004034A2">
        <w:rPr>
          <w:b/>
          <w:bCs/>
          <w:i/>
          <w:iCs/>
        </w:rPr>
        <w:t>L</w:t>
      </w:r>
      <w:r>
        <w:rPr>
          <w:b/>
          <w:bCs/>
          <w:i/>
          <w:iCs/>
        </w:rPr>
        <w:t>ITY OF</w:t>
      </w:r>
      <w:r w:rsidRPr="004034A2">
        <w:rPr>
          <w:b/>
          <w:bCs/>
          <w:i/>
          <w:iCs/>
        </w:rPr>
        <w:t xml:space="preserve"> ELECTRIC SERVICE RATES </w:t>
      </w:r>
      <w:r>
        <w:rPr>
          <w:b/>
          <w:bCs/>
          <w:i/>
          <w:iCs/>
        </w:rPr>
        <w:t xml:space="preserve">CAN </w:t>
      </w:r>
      <w:r w:rsidRPr="004034A2">
        <w:rPr>
          <w:b/>
          <w:bCs/>
          <w:i/>
          <w:iCs/>
        </w:rPr>
        <w:t>NEGATIVELY IMPACT</w:t>
      </w:r>
      <w:r>
        <w:rPr>
          <w:b/>
          <w:bCs/>
          <w:i/>
          <w:iCs/>
        </w:rPr>
        <w:t xml:space="preserve"> </w:t>
      </w:r>
      <w:r w:rsidRPr="004034A2">
        <w:rPr>
          <w:b/>
          <w:bCs/>
          <w:i/>
          <w:iCs/>
        </w:rPr>
        <w:t>RESIDENTIAL CONSUMERS?</w:t>
      </w:r>
    </w:p>
    <w:p w:rsidR="00716665" w:rsidRDefault="00716665" w:rsidP="005B2CF8">
      <w:pPr>
        <w:spacing w:line="480" w:lineRule="auto"/>
        <w:ind w:left="720" w:hanging="720"/>
      </w:pPr>
      <w:r>
        <w:rPr>
          <w:b/>
          <w:bCs/>
          <w:i/>
          <w:iCs/>
        </w:rPr>
        <w:t>A14</w:t>
      </w:r>
      <w:r w:rsidRPr="004034A2">
        <w:rPr>
          <w:b/>
          <w:bCs/>
          <w:i/>
          <w:iCs/>
        </w:rPr>
        <w:t>.</w:t>
      </w:r>
      <w:r>
        <w:tab/>
        <w:t>Unaffordable electric rates can lead to a loss of service.  There can be serious health and safety concerns when residential customers lose access to electricity.</w:t>
      </w:r>
      <w:r>
        <w:rPr>
          <w:rStyle w:val="FootnoteReference"/>
        </w:rPr>
        <w:footnoteReference w:id="22"/>
      </w:r>
      <w:r>
        <w:t xml:space="preserve">  This is especially true for disconnected customers who have young children, disabled, ill, or elderly living in the home.</w:t>
      </w:r>
      <w:r>
        <w:rPr>
          <w:rStyle w:val="FootnoteReference"/>
        </w:rPr>
        <w:footnoteReference w:id="23"/>
      </w:r>
      <w:r>
        <w:t xml:space="preserve">  I am familiar with reports that conclude that </w:t>
      </w:r>
      <w:r w:rsidRPr="00957550">
        <w:rPr>
          <w:i/>
          <w:iCs/>
        </w:rPr>
        <w:t>exposure to heat and cold kills thousands of people prematurely in the United States each year</w:t>
      </w:r>
      <w:r>
        <w:t>.</w:t>
      </w:r>
      <w:r>
        <w:rPr>
          <w:rStyle w:val="FootnoteReference"/>
        </w:rPr>
        <w:footnoteReference w:id="24"/>
      </w:r>
      <w:r>
        <w:t xml:space="preserve">  Even though PUCO data shows that in 2012, medical professionals certified that it would be especially dangerous to the health of 6,316</w:t>
      </w:r>
      <w:r>
        <w:rPr>
          <w:rStyle w:val="FootnoteReference"/>
        </w:rPr>
        <w:footnoteReference w:id="25"/>
      </w:r>
      <w:r>
        <w:t xml:space="preserve"> DP&amp;L customers if electric services were disconnected, there may have been even more people with the need for this protection.  This is because there are limits on the number of medical certifications available per household and the duration of time in which medical certifications can be used.</w:t>
      </w:r>
      <w:r>
        <w:rPr>
          <w:rStyle w:val="FootnoteReference"/>
        </w:rPr>
        <w:footnoteReference w:id="26"/>
      </w:r>
    </w:p>
    <w:p w:rsidR="00716665" w:rsidRDefault="00716665" w:rsidP="005B2CF8">
      <w:pPr>
        <w:spacing w:line="480" w:lineRule="auto"/>
        <w:ind w:left="720" w:hanging="720"/>
      </w:pPr>
    </w:p>
    <w:p w:rsidR="00716665" w:rsidRDefault="00716665" w:rsidP="0034665C">
      <w:pPr>
        <w:spacing w:line="480" w:lineRule="auto"/>
        <w:ind w:left="720"/>
      </w:pPr>
      <w:r w:rsidRPr="0034665C">
        <w:t>Further demonstrating the health and safety concerns for the</w:t>
      </w:r>
      <w:r>
        <w:t xml:space="preserve"> </w:t>
      </w:r>
      <w:r w:rsidRPr="0034665C">
        <w:rPr>
          <w:b/>
          <w:bCs/>
          <w:i/>
          <w:iCs/>
        </w:rPr>
        <w:t>at-risk</w:t>
      </w:r>
      <w:r>
        <w:t xml:space="preserve"> residential customers, approximately 34.4 percent of the medical certifications that were used in 2012 involved low-income PIPP customers.  However, approximately 7.9 percent of DP&amp;L customers are on the PIPP program.  Therefore, a clear disparity exists in the need for medical certifications by the lowest income DP&amp;L customers to prevent service disconnection.  Affordable electric service promotes public health to the extent that customers are able to adequately heat their homes in the winter and cool homes in the summer.</w:t>
      </w:r>
      <w:r>
        <w:rPr>
          <w:rStyle w:val="FootnoteReference"/>
        </w:rPr>
        <w:footnoteReference w:id="27"/>
      </w:r>
    </w:p>
    <w:p w:rsidR="00716665" w:rsidRDefault="00716665" w:rsidP="00A467A7">
      <w:pPr>
        <w:spacing w:line="480" w:lineRule="auto"/>
        <w:ind w:left="720" w:hanging="720"/>
        <w:rPr>
          <w:b/>
          <w:bCs/>
          <w:i/>
          <w:iCs/>
        </w:rPr>
      </w:pPr>
    </w:p>
    <w:p w:rsidR="00716665" w:rsidRPr="004034A2" w:rsidRDefault="00716665" w:rsidP="00A467A7">
      <w:pPr>
        <w:spacing w:line="480" w:lineRule="auto"/>
        <w:ind w:left="720" w:hanging="720"/>
        <w:rPr>
          <w:b/>
          <w:bCs/>
          <w:i/>
          <w:iCs/>
        </w:rPr>
      </w:pPr>
      <w:r>
        <w:rPr>
          <w:b/>
          <w:bCs/>
          <w:i/>
          <w:iCs/>
        </w:rPr>
        <w:t>Q15</w:t>
      </w:r>
      <w:r w:rsidRPr="004034A2">
        <w:rPr>
          <w:b/>
          <w:bCs/>
          <w:i/>
          <w:iCs/>
        </w:rPr>
        <w:t>.</w:t>
      </w:r>
      <w:r w:rsidRPr="004034A2">
        <w:rPr>
          <w:b/>
          <w:bCs/>
          <w:i/>
          <w:iCs/>
        </w:rPr>
        <w:tab/>
      </w:r>
      <w:r>
        <w:rPr>
          <w:b/>
          <w:bCs/>
          <w:i/>
          <w:iCs/>
        </w:rPr>
        <w:t xml:space="preserve">PLEASE DESCRIBE OTHER WAYS THAT </w:t>
      </w:r>
      <w:r w:rsidRPr="004034A2">
        <w:rPr>
          <w:b/>
          <w:bCs/>
          <w:i/>
          <w:iCs/>
        </w:rPr>
        <w:t>UNAFFORDAB</w:t>
      </w:r>
      <w:r>
        <w:rPr>
          <w:b/>
          <w:bCs/>
          <w:i/>
          <w:iCs/>
        </w:rPr>
        <w:t>I</w:t>
      </w:r>
      <w:r w:rsidRPr="004034A2">
        <w:rPr>
          <w:b/>
          <w:bCs/>
          <w:i/>
          <w:iCs/>
        </w:rPr>
        <w:t>L</w:t>
      </w:r>
      <w:r>
        <w:rPr>
          <w:b/>
          <w:bCs/>
          <w:i/>
          <w:iCs/>
        </w:rPr>
        <w:t>ITY OF</w:t>
      </w:r>
      <w:r w:rsidRPr="004034A2">
        <w:rPr>
          <w:b/>
          <w:bCs/>
          <w:i/>
          <w:iCs/>
        </w:rPr>
        <w:t xml:space="preserve"> ELECTRIC SERVICE RATES </w:t>
      </w:r>
      <w:r>
        <w:rPr>
          <w:b/>
          <w:bCs/>
          <w:i/>
          <w:iCs/>
        </w:rPr>
        <w:t xml:space="preserve">CAN </w:t>
      </w:r>
      <w:r w:rsidRPr="004034A2">
        <w:rPr>
          <w:b/>
          <w:bCs/>
          <w:i/>
          <w:iCs/>
        </w:rPr>
        <w:t>NEGATIVELY IMPACT</w:t>
      </w:r>
      <w:r>
        <w:rPr>
          <w:b/>
          <w:bCs/>
          <w:i/>
          <w:iCs/>
        </w:rPr>
        <w:t xml:space="preserve"> </w:t>
      </w:r>
      <w:r w:rsidRPr="004034A2">
        <w:rPr>
          <w:b/>
          <w:bCs/>
          <w:i/>
          <w:iCs/>
        </w:rPr>
        <w:t>RESIDENTIAL CONSUMERS?</w:t>
      </w:r>
    </w:p>
    <w:p w:rsidR="00716665" w:rsidRDefault="00716665" w:rsidP="00A467A7">
      <w:pPr>
        <w:spacing w:line="480" w:lineRule="auto"/>
        <w:ind w:left="720" w:hanging="720"/>
      </w:pPr>
      <w:r w:rsidRPr="00E85283">
        <w:rPr>
          <w:b/>
          <w:bCs/>
          <w:i/>
          <w:iCs/>
        </w:rPr>
        <w:t>A15.</w:t>
      </w:r>
      <w:r>
        <w:tab/>
        <w:t>In addition to the health and safety issues discussed above, unaffordable electric service harms customers in financial ways that make maintaining utility service all the more difficult.  For example, residential customers in the DP&amp;L service territory are subject to a delayed payment charge</w:t>
      </w:r>
      <w:r>
        <w:rPr>
          <w:rStyle w:val="FootnoteReference"/>
        </w:rPr>
        <w:footnoteReference w:id="28"/>
      </w:r>
      <w:r>
        <w:t xml:space="preserve"> of 1.5 percent per month if the bill is not paid by the due date.  Between 2010 and 2012, residential customers </w:t>
      </w:r>
      <w:r w:rsidRPr="00D91C21">
        <w:t>paid $</w:t>
      </w:r>
      <w:r>
        <w:t>10,283,015 in delayed payment charges that could have been avoided if customers were able to pay their electric bill on time.</w:t>
      </w:r>
      <w:r>
        <w:rPr>
          <w:rStyle w:val="FootnoteReference"/>
        </w:rPr>
        <w:footnoteReference w:id="29"/>
      </w:r>
      <w:r>
        <w:t xml:space="preserve">  In addition, customers who are behind in payments or are disconnected for non-payment can be assessed an additional security deposit to reestablish creditworthiness.</w:t>
      </w:r>
      <w:r>
        <w:rPr>
          <w:rStyle w:val="FootnoteReference"/>
        </w:rPr>
        <w:footnoteReference w:id="30"/>
      </w:r>
      <w:r>
        <w:t xml:space="preserve">  These security deposits can be expensive (130 percent of the average annual monthly bill)</w:t>
      </w:r>
      <w:r>
        <w:rPr>
          <w:rStyle w:val="FootnoteReference"/>
        </w:rPr>
        <w:footnoteReference w:id="31"/>
      </w:r>
      <w:r>
        <w:t xml:space="preserve"> and average $148.00 for DP&amp;L residential consumers.</w:t>
      </w:r>
      <w:r>
        <w:rPr>
          <w:rStyle w:val="FootnoteReference"/>
        </w:rPr>
        <w:footnoteReference w:id="32"/>
      </w:r>
      <w:r>
        <w:t xml:space="preserve">  For customers whose service was disconnected for non-payment, this security deposit can be another impediment to re-establishing service or may extend the time of disconnection.  </w:t>
      </w:r>
    </w:p>
    <w:p w:rsidR="00716665" w:rsidRDefault="00716665" w:rsidP="009C0F18">
      <w:pPr>
        <w:spacing w:line="480" w:lineRule="auto"/>
        <w:ind w:left="720"/>
      </w:pPr>
      <w:r>
        <w:t xml:space="preserve">In fact, deposit amounts have increased by 37 </w:t>
      </w:r>
      <w:r w:rsidRPr="00CA4E36">
        <w:t>percent</w:t>
      </w:r>
      <w:r>
        <w:t xml:space="preserve"> in just the last six years.</w:t>
      </w:r>
      <w:r>
        <w:rPr>
          <w:rStyle w:val="FootnoteReference"/>
        </w:rPr>
        <w:footnoteReference w:id="33"/>
      </w:r>
      <w:r>
        <w:t xml:space="preserve">  In 2012, DP&amp;L customers paid approximately $5,000,000 dollars in deposits to establish or reestablish creditworthiness.</w:t>
      </w:r>
      <w:r>
        <w:rPr>
          <w:rStyle w:val="FootnoteReference"/>
        </w:rPr>
        <w:footnoteReference w:id="34"/>
      </w:r>
      <w:r>
        <w:t xml:space="preserve">  DP&amp;L does not separately track if deposits are being collected to initiate, maintain, or as a condition to reconnect service.</w:t>
      </w:r>
      <w:r>
        <w:rPr>
          <w:rStyle w:val="FootnoteReference"/>
        </w:rPr>
        <w:footnoteReference w:id="35"/>
      </w:r>
      <w:r>
        <w:t xml:space="preserve">  Furthermore, customers who are disconnected for non-payment are required to pay reconnection charges</w:t>
      </w:r>
      <w:r>
        <w:rPr>
          <w:rStyle w:val="FootnoteReference"/>
        </w:rPr>
        <w:footnoteReference w:id="36"/>
      </w:r>
      <w:r>
        <w:t xml:space="preserve"> before service is restored.  For the period 2010 through 2012, DP&amp;L’s residential customers who were disconnected for non-payment paid approximately $1,623,154 in reconnection charges to have services restored.</w:t>
      </w:r>
      <w:r>
        <w:rPr>
          <w:rStyle w:val="FootnoteReference"/>
        </w:rPr>
        <w:footnoteReference w:id="37"/>
      </w:r>
      <w:r>
        <w:t xml:space="preserve">  The bottom line is that the charges and fees associated with having services restored following a disconnection can be cost prohibitive for many consumers.</w:t>
      </w:r>
    </w:p>
    <w:p w:rsidR="00716665" w:rsidRDefault="00716665" w:rsidP="00D73E0A">
      <w:pPr>
        <w:spacing w:line="480" w:lineRule="auto"/>
        <w:ind w:left="720" w:hanging="720"/>
        <w:rPr>
          <w:b/>
          <w:bCs/>
          <w:i/>
          <w:iCs/>
        </w:rPr>
      </w:pPr>
    </w:p>
    <w:p w:rsidR="00716665" w:rsidRPr="004034A2" w:rsidRDefault="00716665" w:rsidP="00D73E0A">
      <w:pPr>
        <w:spacing w:line="480" w:lineRule="auto"/>
        <w:ind w:left="720" w:hanging="720"/>
        <w:rPr>
          <w:b/>
          <w:bCs/>
          <w:i/>
          <w:iCs/>
        </w:rPr>
      </w:pPr>
      <w:r>
        <w:rPr>
          <w:b/>
          <w:bCs/>
          <w:i/>
          <w:iCs/>
        </w:rPr>
        <w:t>Q16</w:t>
      </w:r>
      <w:r w:rsidRPr="004034A2">
        <w:rPr>
          <w:b/>
          <w:bCs/>
          <w:i/>
          <w:iCs/>
        </w:rPr>
        <w:t>.</w:t>
      </w:r>
      <w:r w:rsidRPr="004034A2">
        <w:rPr>
          <w:b/>
          <w:bCs/>
          <w:i/>
          <w:iCs/>
        </w:rPr>
        <w:tab/>
      </w:r>
      <w:r>
        <w:rPr>
          <w:b/>
          <w:bCs/>
          <w:i/>
          <w:iCs/>
        </w:rPr>
        <w:t>ARE EXTRA CHARGES COLLECTED FOR PAYING BILLS FOR RESIDENTIAL CUSTOMERS</w:t>
      </w:r>
      <w:r w:rsidRPr="004034A2">
        <w:rPr>
          <w:b/>
          <w:bCs/>
          <w:i/>
          <w:iCs/>
        </w:rPr>
        <w:t>?</w:t>
      </w:r>
    </w:p>
    <w:p w:rsidR="00716665" w:rsidRDefault="00716665" w:rsidP="00D73E0A">
      <w:pPr>
        <w:spacing w:line="480" w:lineRule="auto"/>
        <w:ind w:left="720" w:hanging="720"/>
      </w:pPr>
      <w:r w:rsidRPr="00E85283">
        <w:rPr>
          <w:b/>
          <w:bCs/>
          <w:i/>
          <w:iCs/>
        </w:rPr>
        <w:t>A16.</w:t>
      </w:r>
      <w:r>
        <w:tab/>
        <w:t>Yes.</w:t>
      </w:r>
    </w:p>
    <w:p w:rsidR="00716665" w:rsidRDefault="00716665" w:rsidP="00D73E0A">
      <w:pPr>
        <w:spacing w:line="480" w:lineRule="auto"/>
        <w:ind w:left="720" w:hanging="720"/>
        <w:rPr>
          <w:b/>
          <w:bCs/>
          <w:i/>
          <w:iCs/>
        </w:rPr>
      </w:pPr>
    </w:p>
    <w:p w:rsidR="00716665" w:rsidRDefault="00716665" w:rsidP="00D73E0A">
      <w:pPr>
        <w:spacing w:line="480" w:lineRule="auto"/>
        <w:ind w:left="720" w:hanging="720"/>
      </w:pPr>
      <w:r>
        <w:rPr>
          <w:b/>
          <w:bCs/>
          <w:i/>
          <w:iCs/>
        </w:rPr>
        <w:t>Q 17</w:t>
      </w:r>
      <w:r>
        <w:rPr>
          <w:b/>
          <w:bCs/>
          <w:i/>
          <w:iCs/>
        </w:rPr>
        <w:tab/>
        <w:t>WHAT ARE THE EXTRA CHARGES COLLECTED FOR PAYING BILLS FOR</w:t>
      </w:r>
      <w:r w:rsidRPr="004034A2">
        <w:rPr>
          <w:b/>
          <w:bCs/>
          <w:i/>
          <w:iCs/>
        </w:rPr>
        <w:t xml:space="preserve"> RESIDENTIAL CONSUMERS?</w:t>
      </w:r>
    </w:p>
    <w:p w:rsidR="00716665" w:rsidRDefault="00716665" w:rsidP="00D73E0A">
      <w:pPr>
        <w:spacing w:line="480" w:lineRule="auto"/>
        <w:ind w:left="720" w:hanging="720"/>
      </w:pPr>
      <w:r w:rsidRPr="00E85283">
        <w:rPr>
          <w:b/>
          <w:bCs/>
          <w:i/>
          <w:iCs/>
        </w:rPr>
        <w:t>A17.</w:t>
      </w:r>
      <w:r>
        <w:tab/>
        <w:t>Customers who pay the electric bill in person at an authorized agent are also subject to a $1.50 charge for making the payment.</w:t>
      </w:r>
      <w:r>
        <w:rPr>
          <w:rStyle w:val="FootnoteReference"/>
        </w:rPr>
        <w:footnoteReference w:id="38"/>
      </w:r>
      <w:r>
        <w:t xml:space="preserve">  In 2012 alone, 341,272 payments were made at authorized agents</w:t>
      </w:r>
      <w:r>
        <w:rPr>
          <w:rStyle w:val="FootnoteReference"/>
        </w:rPr>
        <w:footnoteReference w:id="39"/>
      </w:r>
      <w:r>
        <w:t xml:space="preserve"> at a total cost to residential consumers of approximately $511,908.  Bill payments that are made electronically via credit card or electronic checks are subject to charges of </w:t>
      </w:r>
      <w:r w:rsidRPr="000A70B8">
        <w:t xml:space="preserve">$2.95 </w:t>
      </w:r>
      <w:r>
        <w:t>per payment.</w:t>
      </w:r>
      <w:r>
        <w:rPr>
          <w:rStyle w:val="FootnoteReference"/>
        </w:rPr>
        <w:footnoteReference w:id="40"/>
      </w:r>
      <w:r>
        <w:t xml:space="preserve">  In 2012, 982,987 payments were made via credit card or electronic checks</w:t>
      </w:r>
      <w:r>
        <w:rPr>
          <w:rStyle w:val="FootnoteReference"/>
        </w:rPr>
        <w:footnoteReference w:id="41"/>
      </w:r>
      <w:r>
        <w:t xml:space="preserve"> at a cost to customers of $2,899,812.</w:t>
      </w:r>
      <w:r>
        <w:rPr>
          <w:rStyle w:val="FootnoteReference"/>
        </w:rPr>
        <w:footnoteReference w:id="42"/>
      </w:r>
      <w:r>
        <w:t xml:space="preserve">  These charges are often referred to as “convenience” fees and the Commission has not approved the level of the charge.</w:t>
      </w:r>
    </w:p>
    <w:p w:rsidR="00716665" w:rsidRDefault="00716665" w:rsidP="00D73E0A">
      <w:pPr>
        <w:spacing w:line="480" w:lineRule="auto"/>
        <w:ind w:left="720" w:hanging="720"/>
      </w:pPr>
    </w:p>
    <w:p w:rsidR="00716665" w:rsidRDefault="00716665" w:rsidP="00D73E0A">
      <w:pPr>
        <w:spacing w:line="480" w:lineRule="auto"/>
        <w:ind w:left="720" w:hanging="720"/>
      </w:pPr>
      <w:r w:rsidRPr="00364337">
        <w:rPr>
          <w:b/>
          <w:bCs/>
          <w:i/>
          <w:iCs/>
        </w:rPr>
        <w:t>Q18.</w:t>
      </w:r>
      <w:r w:rsidRPr="00364337">
        <w:rPr>
          <w:b/>
          <w:bCs/>
          <w:i/>
          <w:iCs/>
        </w:rPr>
        <w:tab/>
        <w:t>DO THESE</w:t>
      </w:r>
      <w:r>
        <w:rPr>
          <w:b/>
          <w:bCs/>
          <w:i/>
          <w:iCs/>
        </w:rPr>
        <w:t xml:space="preserve"> </w:t>
      </w:r>
      <w:r w:rsidRPr="00364337">
        <w:rPr>
          <w:b/>
          <w:bCs/>
          <w:i/>
          <w:iCs/>
        </w:rPr>
        <w:t>EXTRA</w:t>
      </w:r>
      <w:r>
        <w:rPr>
          <w:b/>
          <w:bCs/>
          <w:i/>
          <w:iCs/>
        </w:rPr>
        <w:t xml:space="preserve"> CHARGES COLLECTED FOR PAYING BILLS CONTRIBUTE TO THE U</w:t>
      </w:r>
      <w:r w:rsidRPr="004034A2">
        <w:rPr>
          <w:b/>
          <w:bCs/>
          <w:i/>
          <w:iCs/>
        </w:rPr>
        <w:t>NAFFORDAB</w:t>
      </w:r>
      <w:r>
        <w:rPr>
          <w:b/>
          <w:bCs/>
          <w:i/>
          <w:iCs/>
        </w:rPr>
        <w:t>I</w:t>
      </w:r>
      <w:r w:rsidRPr="004034A2">
        <w:rPr>
          <w:b/>
          <w:bCs/>
          <w:i/>
          <w:iCs/>
        </w:rPr>
        <w:t>L</w:t>
      </w:r>
      <w:r>
        <w:rPr>
          <w:b/>
          <w:bCs/>
          <w:i/>
          <w:iCs/>
        </w:rPr>
        <w:t>ITY OF</w:t>
      </w:r>
      <w:r w:rsidRPr="004034A2">
        <w:rPr>
          <w:b/>
          <w:bCs/>
          <w:i/>
          <w:iCs/>
        </w:rPr>
        <w:t xml:space="preserve"> ELECTRIC SERVICE RATES</w:t>
      </w:r>
      <w:r>
        <w:rPr>
          <w:b/>
          <w:bCs/>
          <w:i/>
          <w:iCs/>
        </w:rPr>
        <w:t xml:space="preserve"> FOR</w:t>
      </w:r>
      <w:r w:rsidRPr="004034A2">
        <w:rPr>
          <w:b/>
          <w:bCs/>
          <w:i/>
          <w:iCs/>
        </w:rPr>
        <w:t xml:space="preserve"> RESIDENTIAL CONSUMERS?</w:t>
      </w:r>
    </w:p>
    <w:p w:rsidR="00716665" w:rsidRDefault="00716665" w:rsidP="00D73E0A">
      <w:pPr>
        <w:spacing w:line="480" w:lineRule="auto"/>
        <w:ind w:left="720" w:hanging="720"/>
      </w:pPr>
      <w:r w:rsidRPr="00E85283">
        <w:rPr>
          <w:b/>
          <w:bCs/>
          <w:i/>
          <w:iCs/>
        </w:rPr>
        <w:t>A18.</w:t>
      </w:r>
      <w:r>
        <w:tab/>
        <w:t>Each of these costs, which are often incurred by at-risk customers, has a negative impact on the affordability of electric service for residential customers. Based on research of the impact that the charges have on low-income customers and customers struggling financially due to illness, layoffs, and other reasons, the NASUCA recently sponsored a resolution urging the elimination of convenience fees for paying utility bills with debit and credit cards.</w:t>
      </w:r>
      <w:r>
        <w:rPr>
          <w:rStyle w:val="FootnoteReference"/>
        </w:rPr>
        <w:footnoteReference w:id="43"/>
      </w:r>
    </w:p>
    <w:p w:rsidR="00716665" w:rsidRDefault="00716665">
      <w:pPr>
        <w:spacing w:line="480" w:lineRule="auto"/>
        <w:ind w:left="720" w:hanging="720"/>
        <w:rPr>
          <w:b/>
          <w:bCs/>
          <w:i/>
          <w:iCs/>
        </w:rPr>
      </w:pPr>
    </w:p>
    <w:p w:rsidR="00716665" w:rsidRDefault="00716665">
      <w:pPr>
        <w:spacing w:line="480" w:lineRule="auto"/>
        <w:ind w:left="720" w:hanging="720"/>
        <w:rPr>
          <w:b/>
          <w:bCs/>
          <w:i/>
          <w:iCs/>
        </w:rPr>
      </w:pPr>
      <w:r>
        <w:rPr>
          <w:b/>
          <w:bCs/>
          <w:i/>
          <w:iCs/>
        </w:rPr>
        <w:t>Q19.</w:t>
      </w:r>
      <w:r>
        <w:rPr>
          <w:b/>
          <w:bCs/>
          <w:i/>
          <w:iCs/>
        </w:rPr>
        <w:tab/>
        <w:t>HOW DOES THE DP&amp;L DISCONNECTION DATA COMPARE WITH THE DISCONNECTION DATA OF OTHER OHIO ELECTRIC UTILITIES FOR 2012?</w:t>
      </w:r>
    </w:p>
    <w:p w:rsidR="00716665" w:rsidRDefault="00716665" w:rsidP="009635CA">
      <w:pPr>
        <w:spacing w:line="480" w:lineRule="auto"/>
        <w:ind w:left="720" w:hanging="720"/>
      </w:pPr>
      <w:r>
        <w:rPr>
          <w:b/>
          <w:bCs/>
          <w:i/>
          <w:iCs/>
        </w:rPr>
        <w:t>A19.</w:t>
      </w:r>
      <w:r>
        <w:rPr>
          <w:b/>
          <w:bCs/>
          <w:i/>
          <w:iCs/>
        </w:rPr>
        <w:tab/>
      </w:r>
      <w:r>
        <w:t>Table 3 below provides a comparison of the DP&amp;L disconnection data that was presented earlier with similar disconnection data involving other large Ohio electric utilities.  Although DP&amp;L is one of the smallest of the EDU’s operating in Ohio, DP&amp;L has the largest percentage of customers being disconnected for non-payment, on payment plans, and defaulting on payment plans when compared to the data regarding residential customers of the other Ohio utilities.</w:t>
      </w:r>
    </w:p>
    <w:p w:rsidR="00716665" w:rsidRPr="009064A0" w:rsidRDefault="00716665" w:rsidP="00527ED0">
      <w:pPr>
        <w:ind w:left="720" w:hanging="720"/>
        <w:jc w:val="center"/>
        <w:rPr>
          <w:b/>
          <w:bCs/>
          <w:sz w:val="20"/>
          <w:szCs w:val="20"/>
        </w:rPr>
      </w:pPr>
      <w:r>
        <w:rPr>
          <w:b/>
          <w:bCs/>
          <w:sz w:val="20"/>
          <w:szCs w:val="20"/>
        </w:rPr>
        <w:br w:type="page"/>
      </w:r>
      <w:r w:rsidRPr="009064A0">
        <w:rPr>
          <w:b/>
          <w:bCs/>
          <w:sz w:val="20"/>
          <w:szCs w:val="20"/>
        </w:rPr>
        <w:t>Table 3: Comparison of Electric Utility Disconnection and Payment Plan Data</w:t>
      </w:r>
      <w:r w:rsidRPr="009064A0">
        <w:rPr>
          <w:rStyle w:val="FootnoteReference"/>
          <w:b/>
          <w:bCs/>
          <w:sz w:val="20"/>
          <w:szCs w:val="20"/>
        </w:rPr>
        <w:footnoteReference w:id="44"/>
      </w:r>
      <w:r w:rsidRPr="009064A0">
        <w:rPr>
          <w:b/>
          <w:bCs/>
          <w:sz w:val="20"/>
          <w:szCs w:val="20"/>
        </w:rPr>
        <w:t xml:space="preserve"> (2012)</w:t>
      </w:r>
    </w:p>
    <w:tbl>
      <w:tblPr>
        <w:tblpPr w:leftFromText="180" w:rightFromText="180" w:vertAnchor="text" w:horzAnchor="page" w:tblpX="2017" w:tblpY="465"/>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117"/>
        <w:gridCol w:w="1117"/>
        <w:gridCol w:w="1118"/>
        <w:gridCol w:w="1118"/>
        <w:gridCol w:w="1118"/>
        <w:gridCol w:w="1118"/>
        <w:gridCol w:w="1118"/>
      </w:tblGrid>
      <w:tr w:rsidR="00716665" w:rsidRPr="009064A0">
        <w:trPr>
          <w:cantSplit/>
          <w:trHeight w:val="1697"/>
        </w:trPr>
        <w:tc>
          <w:tcPr>
            <w:tcW w:w="756" w:type="dxa"/>
            <w:tcMar>
              <w:left w:w="0" w:type="dxa"/>
              <w:right w:w="0" w:type="dxa"/>
            </w:tcMar>
            <w:textDirection w:val="btLr"/>
            <w:vAlign w:val="center"/>
          </w:tcPr>
          <w:p w:rsidR="00716665" w:rsidRPr="00A84B2A" w:rsidRDefault="00716665" w:rsidP="00F9726A">
            <w:pPr>
              <w:ind w:left="113" w:right="113"/>
              <w:jc w:val="center"/>
              <w:rPr>
                <w:b/>
                <w:bCs/>
                <w:sz w:val="20"/>
                <w:szCs w:val="20"/>
              </w:rPr>
            </w:pPr>
            <w:r w:rsidRPr="00A84B2A">
              <w:rPr>
                <w:b/>
                <w:bCs/>
                <w:sz w:val="20"/>
                <w:szCs w:val="20"/>
              </w:rPr>
              <w:t>Utility</w:t>
            </w:r>
            <w:r w:rsidRPr="00A84B2A">
              <w:rPr>
                <w:rStyle w:val="FootnoteReference"/>
                <w:b/>
                <w:bCs/>
                <w:sz w:val="20"/>
                <w:szCs w:val="20"/>
              </w:rPr>
              <w:footnoteReference w:id="45"/>
            </w:r>
          </w:p>
        </w:tc>
        <w:tc>
          <w:tcPr>
            <w:tcW w:w="1080" w:type="dxa"/>
            <w:tcMar>
              <w:left w:w="0" w:type="dxa"/>
              <w:right w:w="0" w:type="dxa"/>
            </w:tcMar>
            <w:textDirection w:val="btLr"/>
            <w:vAlign w:val="center"/>
          </w:tcPr>
          <w:p w:rsidR="00716665" w:rsidRPr="00A84B2A" w:rsidRDefault="00716665" w:rsidP="00F9726A">
            <w:pPr>
              <w:ind w:left="113" w:right="113"/>
              <w:jc w:val="center"/>
              <w:rPr>
                <w:b/>
                <w:bCs/>
                <w:sz w:val="20"/>
                <w:szCs w:val="20"/>
              </w:rPr>
            </w:pPr>
            <w:r w:rsidRPr="00A84B2A">
              <w:rPr>
                <w:b/>
                <w:bCs/>
                <w:sz w:val="20"/>
                <w:szCs w:val="20"/>
              </w:rPr>
              <w:t>Number of Customers</w:t>
            </w:r>
          </w:p>
        </w:tc>
        <w:tc>
          <w:tcPr>
            <w:tcW w:w="1080" w:type="dxa"/>
            <w:tcMar>
              <w:left w:w="0" w:type="dxa"/>
              <w:right w:w="0" w:type="dxa"/>
            </w:tcMar>
            <w:textDirection w:val="btLr"/>
            <w:vAlign w:val="center"/>
          </w:tcPr>
          <w:p w:rsidR="00716665" w:rsidRPr="00A84B2A" w:rsidRDefault="00716665" w:rsidP="00F9726A">
            <w:pPr>
              <w:ind w:left="113" w:right="113"/>
              <w:jc w:val="center"/>
              <w:rPr>
                <w:b/>
                <w:bCs/>
                <w:sz w:val="20"/>
                <w:szCs w:val="20"/>
              </w:rPr>
            </w:pPr>
            <w:r w:rsidRPr="00A84B2A">
              <w:rPr>
                <w:b/>
                <w:bCs/>
                <w:sz w:val="20"/>
                <w:szCs w:val="20"/>
              </w:rPr>
              <w:t>Number of Disconnections</w:t>
            </w:r>
          </w:p>
        </w:tc>
        <w:tc>
          <w:tcPr>
            <w:tcW w:w="1080" w:type="dxa"/>
            <w:tcMar>
              <w:left w:w="0" w:type="dxa"/>
              <w:right w:w="0" w:type="dxa"/>
            </w:tcMar>
            <w:textDirection w:val="btLr"/>
            <w:vAlign w:val="center"/>
          </w:tcPr>
          <w:p w:rsidR="00716665" w:rsidRPr="00A84B2A" w:rsidRDefault="00716665" w:rsidP="00F9726A">
            <w:pPr>
              <w:ind w:left="113" w:right="113"/>
              <w:jc w:val="center"/>
              <w:rPr>
                <w:b/>
                <w:bCs/>
                <w:sz w:val="20"/>
                <w:szCs w:val="20"/>
              </w:rPr>
            </w:pPr>
            <w:r w:rsidRPr="00A84B2A">
              <w:rPr>
                <w:b/>
                <w:bCs/>
                <w:sz w:val="20"/>
                <w:szCs w:val="20"/>
              </w:rPr>
              <w:t>Percentage of Customers Disconnected</w:t>
            </w:r>
          </w:p>
        </w:tc>
        <w:tc>
          <w:tcPr>
            <w:tcW w:w="1080" w:type="dxa"/>
            <w:tcMar>
              <w:left w:w="0" w:type="dxa"/>
              <w:right w:w="0" w:type="dxa"/>
            </w:tcMar>
            <w:textDirection w:val="btLr"/>
            <w:vAlign w:val="center"/>
          </w:tcPr>
          <w:p w:rsidR="00716665" w:rsidRPr="00A84B2A" w:rsidRDefault="00716665" w:rsidP="00F9726A">
            <w:pPr>
              <w:ind w:left="113" w:right="113"/>
              <w:jc w:val="center"/>
              <w:rPr>
                <w:b/>
                <w:bCs/>
                <w:sz w:val="20"/>
                <w:szCs w:val="20"/>
              </w:rPr>
            </w:pPr>
            <w:r w:rsidRPr="00A84B2A">
              <w:rPr>
                <w:b/>
                <w:bCs/>
                <w:sz w:val="20"/>
                <w:szCs w:val="20"/>
              </w:rPr>
              <w:t>Customers on Extended Payment Plans</w:t>
            </w:r>
          </w:p>
        </w:tc>
        <w:tc>
          <w:tcPr>
            <w:tcW w:w="1080" w:type="dxa"/>
            <w:tcMar>
              <w:left w:w="0" w:type="dxa"/>
              <w:right w:w="0" w:type="dxa"/>
            </w:tcMar>
            <w:textDirection w:val="btLr"/>
            <w:vAlign w:val="center"/>
          </w:tcPr>
          <w:p w:rsidR="00716665" w:rsidRPr="00A84B2A" w:rsidRDefault="00716665" w:rsidP="00F9726A">
            <w:pPr>
              <w:ind w:left="113" w:right="113"/>
              <w:jc w:val="center"/>
              <w:rPr>
                <w:b/>
                <w:bCs/>
                <w:sz w:val="20"/>
                <w:szCs w:val="20"/>
              </w:rPr>
            </w:pPr>
            <w:r w:rsidRPr="00A84B2A">
              <w:rPr>
                <w:b/>
                <w:bCs/>
                <w:sz w:val="20"/>
                <w:szCs w:val="20"/>
              </w:rPr>
              <w:t>Percentage of Customers on Extended Payment Plans</w:t>
            </w:r>
          </w:p>
        </w:tc>
        <w:tc>
          <w:tcPr>
            <w:tcW w:w="1080" w:type="dxa"/>
            <w:tcMar>
              <w:left w:w="0" w:type="dxa"/>
              <w:right w:w="0" w:type="dxa"/>
            </w:tcMar>
            <w:textDirection w:val="btLr"/>
            <w:vAlign w:val="center"/>
          </w:tcPr>
          <w:p w:rsidR="00716665" w:rsidRPr="00A84B2A" w:rsidRDefault="00716665" w:rsidP="00F9726A">
            <w:pPr>
              <w:ind w:left="113" w:right="113"/>
              <w:jc w:val="center"/>
              <w:rPr>
                <w:b/>
                <w:bCs/>
                <w:sz w:val="20"/>
                <w:szCs w:val="20"/>
              </w:rPr>
            </w:pPr>
            <w:r w:rsidRPr="00A84B2A">
              <w:rPr>
                <w:b/>
                <w:bCs/>
                <w:sz w:val="20"/>
                <w:szCs w:val="20"/>
              </w:rPr>
              <w:t>Total Defaults on Payment Plans</w:t>
            </w:r>
          </w:p>
        </w:tc>
        <w:tc>
          <w:tcPr>
            <w:tcW w:w="1080" w:type="dxa"/>
            <w:tcMar>
              <w:left w:w="0" w:type="dxa"/>
              <w:right w:w="0" w:type="dxa"/>
            </w:tcMar>
            <w:textDirection w:val="btLr"/>
            <w:vAlign w:val="center"/>
          </w:tcPr>
          <w:p w:rsidR="00716665" w:rsidRPr="00A84B2A" w:rsidRDefault="00716665" w:rsidP="00A84B2A">
            <w:pPr>
              <w:ind w:left="113" w:right="113"/>
              <w:jc w:val="center"/>
              <w:rPr>
                <w:b/>
                <w:bCs/>
                <w:sz w:val="20"/>
                <w:szCs w:val="20"/>
              </w:rPr>
            </w:pPr>
            <w:r w:rsidRPr="00A84B2A">
              <w:rPr>
                <w:b/>
                <w:bCs/>
                <w:sz w:val="20"/>
                <w:szCs w:val="20"/>
              </w:rPr>
              <w:t>Percentage ofCustomer Defaults</w:t>
            </w:r>
          </w:p>
        </w:tc>
      </w:tr>
      <w:tr w:rsidR="00716665" w:rsidRPr="009064A0">
        <w:trPr>
          <w:trHeight w:val="504"/>
        </w:trPr>
        <w:tc>
          <w:tcPr>
            <w:tcW w:w="756" w:type="dxa"/>
            <w:vAlign w:val="center"/>
          </w:tcPr>
          <w:p w:rsidR="00716665" w:rsidRPr="00A84B2A" w:rsidRDefault="00716665" w:rsidP="00A84B2A">
            <w:pPr>
              <w:jc w:val="center"/>
              <w:rPr>
                <w:b/>
                <w:bCs/>
                <w:sz w:val="20"/>
                <w:szCs w:val="20"/>
              </w:rPr>
            </w:pPr>
            <w:r w:rsidRPr="00A84B2A">
              <w:rPr>
                <w:b/>
                <w:bCs/>
                <w:sz w:val="20"/>
                <w:szCs w:val="20"/>
              </w:rPr>
              <w:t>DP&amp;L</w:t>
            </w:r>
          </w:p>
        </w:tc>
        <w:tc>
          <w:tcPr>
            <w:tcW w:w="1080" w:type="dxa"/>
            <w:vAlign w:val="center"/>
          </w:tcPr>
          <w:p w:rsidR="00716665" w:rsidRPr="009064A0" w:rsidRDefault="00716665" w:rsidP="00A84B2A">
            <w:pPr>
              <w:jc w:val="center"/>
              <w:rPr>
                <w:sz w:val="20"/>
                <w:szCs w:val="20"/>
              </w:rPr>
            </w:pPr>
            <w:r w:rsidRPr="009064A0">
              <w:rPr>
                <w:sz w:val="20"/>
                <w:szCs w:val="20"/>
              </w:rPr>
              <w:t>455,890</w:t>
            </w:r>
          </w:p>
        </w:tc>
        <w:tc>
          <w:tcPr>
            <w:tcW w:w="1080" w:type="dxa"/>
            <w:vAlign w:val="center"/>
          </w:tcPr>
          <w:p w:rsidR="00716665" w:rsidRPr="009064A0" w:rsidRDefault="00716665" w:rsidP="00A84B2A">
            <w:pPr>
              <w:jc w:val="center"/>
              <w:rPr>
                <w:sz w:val="20"/>
                <w:szCs w:val="20"/>
              </w:rPr>
            </w:pPr>
            <w:r w:rsidRPr="009064A0">
              <w:rPr>
                <w:sz w:val="20"/>
                <w:szCs w:val="20"/>
              </w:rPr>
              <w:t>34,389</w:t>
            </w:r>
            <w:r w:rsidRPr="009064A0">
              <w:rPr>
                <w:rStyle w:val="FootnoteReference"/>
                <w:sz w:val="20"/>
                <w:szCs w:val="20"/>
              </w:rPr>
              <w:footnoteReference w:id="46"/>
            </w:r>
          </w:p>
        </w:tc>
        <w:tc>
          <w:tcPr>
            <w:tcW w:w="1080" w:type="dxa"/>
            <w:vAlign w:val="center"/>
          </w:tcPr>
          <w:p w:rsidR="00716665" w:rsidRPr="009064A0" w:rsidRDefault="00716665" w:rsidP="00A84B2A">
            <w:pPr>
              <w:jc w:val="center"/>
              <w:rPr>
                <w:sz w:val="20"/>
                <w:szCs w:val="20"/>
              </w:rPr>
            </w:pPr>
            <w:r w:rsidRPr="009064A0">
              <w:rPr>
                <w:sz w:val="20"/>
                <w:szCs w:val="20"/>
              </w:rPr>
              <w:t>7.5</w:t>
            </w:r>
          </w:p>
        </w:tc>
        <w:tc>
          <w:tcPr>
            <w:tcW w:w="1080" w:type="dxa"/>
            <w:vAlign w:val="center"/>
          </w:tcPr>
          <w:p w:rsidR="00716665" w:rsidRPr="009064A0" w:rsidRDefault="00716665" w:rsidP="00A84B2A">
            <w:pPr>
              <w:jc w:val="center"/>
              <w:rPr>
                <w:sz w:val="20"/>
                <w:szCs w:val="20"/>
              </w:rPr>
            </w:pPr>
            <w:r w:rsidRPr="009064A0">
              <w:rPr>
                <w:sz w:val="20"/>
                <w:szCs w:val="20"/>
              </w:rPr>
              <w:t>22,701</w:t>
            </w:r>
          </w:p>
        </w:tc>
        <w:tc>
          <w:tcPr>
            <w:tcW w:w="1080" w:type="dxa"/>
            <w:vAlign w:val="center"/>
          </w:tcPr>
          <w:p w:rsidR="00716665" w:rsidRPr="009064A0" w:rsidRDefault="00716665" w:rsidP="00A84B2A">
            <w:pPr>
              <w:jc w:val="center"/>
              <w:rPr>
                <w:sz w:val="20"/>
                <w:szCs w:val="20"/>
              </w:rPr>
            </w:pPr>
            <w:r w:rsidRPr="009064A0">
              <w:rPr>
                <w:sz w:val="20"/>
                <w:szCs w:val="20"/>
              </w:rPr>
              <w:t>5.0</w:t>
            </w:r>
          </w:p>
        </w:tc>
        <w:tc>
          <w:tcPr>
            <w:tcW w:w="1080" w:type="dxa"/>
            <w:vAlign w:val="center"/>
          </w:tcPr>
          <w:p w:rsidR="00716665" w:rsidRPr="009064A0" w:rsidRDefault="00716665" w:rsidP="00A84B2A">
            <w:pPr>
              <w:jc w:val="center"/>
              <w:rPr>
                <w:sz w:val="20"/>
                <w:szCs w:val="20"/>
              </w:rPr>
            </w:pPr>
            <w:r w:rsidRPr="009064A0">
              <w:rPr>
                <w:sz w:val="20"/>
                <w:szCs w:val="20"/>
              </w:rPr>
              <w:t>7,382</w:t>
            </w:r>
          </w:p>
        </w:tc>
        <w:tc>
          <w:tcPr>
            <w:tcW w:w="1080" w:type="dxa"/>
            <w:vAlign w:val="center"/>
          </w:tcPr>
          <w:p w:rsidR="00716665" w:rsidRPr="009064A0" w:rsidRDefault="00716665" w:rsidP="00A84B2A">
            <w:pPr>
              <w:jc w:val="center"/>
              <w:rPr>
                <w:sz w:val="20"/>
                <w:szCs w:val="20"/>
              </w:rPr>
            </w:pPr>
            <w:r w:rsidRPr="009064A0">
              <w:rPr>
                <w:sz w:val="20"/>
                <w:szCs w:val="20"/>
              </w:rPr>
              <w:t>32.5</w:t>
            </w:r>
          </w:p>
        </w:tc>
      </w:tr>
      <w:tr w:rsidR="00716665" w:rsidRPr="009064A0">
        <w:trPr>
          <w:trHeight w:val="504"/>
        </w:trPr>
        <w:tc>
          <w:tcPr>
            <w:tcW w:w="756" w:type="dxa"/>
            <w:vAlign w:val="center"/>
          </w:tcPr>
          <w:p w:rsidR="00716665" w:rsidRPr="00A84B2A" w:rsidRDefault="00716665" w:rsidP="00A84B2A">
            <w:pPr>
              <w:jc w:val="center"/>
              <w:rPr>
                <w:b/>
                <w:bCs/>
                <w:sz w:val="20"/>
                <w:szCs w:val="20"/>
              </w:rPr>
            </w:pPr>
            <w:r w:rsidRPr="00A84B2A">
              <w:rPr>
                <w:b/>
                <w:bCs/>
                <w:sz w:val="20"/>
                <w:szCs w:val="20"/>
              </w:rPr>
              <w:t>CSP</w:t>
            </w:r>
          </w:p>
        </w:tc>
        <w:tc>
          <w:tcPr>
            <w:tcW w:w="1080" w:type="dxa"/>
            <w:vAlign w:val="center"/>
          </w:tcPr>
          <w:p w:rsidR="00716665" w:rsidRPr="009064A0" w:rsidRDefault="00716665" w:rsidP="00A84B2A">
            <w:pPr>
              <w:jc w:val="center"/>
              <w:rPr>
                <w:sz w:val="20"/>
                <w:szCs w:val="20"/>
              </w:rPr>
            </w:pPr>
            <w:r w:rsidRPr="009064A0">
              <w:rPr>
                <w:sz w:val="20"/>
                <w:szCs w:val="20"/>
              </w:rPr>
              <w:t>674,006</w:t>
            </w:r>
          </w:p>
        </w:tc>
        <w:tc>
          <w:tcPr>
            <w:tcW w:w="1080" w:type="dxa"/>
            <w:vAlign w:val="center"/>
          </w:tcPr>
          <w:p w:rsidR="00716665" w:rsidRPr="009064A0" w:rsidRDefault="00716665" w:rsidP="00A84B2A">
            <w:pPr>
              <w:jc w:val="center"/>
              <w:rPr>
                <w:sz w:val="20"/>
                <w:szCs w:val="20"/>
              </w:rPr>
            </w:pPr>
            <w:r w:rsidRPr="009064A0">
              <w:rPr>
                <w:sz w:val="20"/>
                <w:szCs w:val="20"/>
              </w:rPr>
              <w:t>45,969</w:t>
            </w:r>
          </w:p>
        </w:tc>
        <w:tc>
          <w:tcPr>
            <w:tcW w:w="1080" w:type="dxa"/>
            <w:vAlign w:val="center"/>
          </w:tcPr>
          <w:p w:rsidR="00716665" w:rsidRPr="009064A0" w:rsidRDefault="00716665" w:rsidP="00A84B2A">
            <w:pPr>
              <w:jc w:val="center"/>
              <w:rPr>
                <w:sz w:val="20"/>
                <w:szCs w:val="20"/>
              </w:rPr>
            </w:pPr>
            <w:r w:rsidRPr="009064A0">
              <w:rPr>
                <w:sz w:val="20"/>
                <w:szCs w:val="20"/>
              </w:rPr>
              <w:t>6.8</w:t>
            </w:r>
          </w:p>
        </w:tc>
        <w:tc>
          <w:tcPr>
            <w:tcW w:w="1080" w:type="dxa"/>
            <w:vAlign w:val="center"/>
          </w:tcPr>
          <w:p w:rsidR="00716665" w:rsidRPr="009064A0" w:rsidRDefault="00716665" w:rsidP="00A84B2A">
            <w:pPr>
              <w:jc w:val="center"/>
              <w:rPr>
                <w:sz w:val="20"/>
                <w:szCs w:val="20"/>
              </w:rPr>
            </w:pPr>
            <w:r w:rsidRPr="009064A0">
              <w:rPr>
                <w:sz w:val="20"/>
                <w:szCs w:val="20"/>
              </w:rPr>
              <w:t>24,761</w:t>
            </w:r>
          </w:p>
        </w:tc>
        <w:tc>
          <w:tcPr>
            <w:tcW w:w="1080" w:type="dxa"/>
            <w:vAlign w:val="center"/>
          </w:tcPr>
          <w:p w:rsidR="00716665" w:rsidRPr="009064A0" w:rsidRDefault="00716665" w:rsidP="00A84B2A">
            <w:pPr>
              <w:jc w:val="center"/>
              <w:rPr>
                <w:sz w:val="20"/>
                <w:szCs w:val="20"/>
              </w:rPr>
            </w:pPr>
            <w:r w:rsidRPr="009064A0">
              <w:rPr>
                <w:sz w:val="20"/>
                <w:szCs w:val="20"/>
              </w:rPr>
              <w:t>3.7</w:t>
            </w:r>
          </w:p>
        </w:tc>
        <w:tc>
          <w:tcPr>
            <w:tcW w:w="1080" w:type="dxa"/>
            <w:vAlign w:val="center"/>
          </w:tcPr>
          <w:p w:rsidR="00716665" w:rsidRPr="009064A0" w:rsidRDefault="00716665" w:rsidP="00A84B2A">
            <w:pPr>
              <w:jc w:val="center"/>
              <w:rPr>
                <w:sz w:val="20"/>
                <w:szCs w:val="20"/>
              </w:rPr>
            </w:pPr>
            <w:r w:rsidRPr="009064A0">
              <w:rPr>
                <w:sz w:val="20"/>
                <w:szCs w:val="20"/>
              </w:rPr>
              <w:t>2,003</w:t>
            </w:r>
          </w:p>
        </w:tc>
        <w:tc>
          <w:tcPr>
            <w:tcW w:w="1080" w:type="dxa"/>
            <w:vAlign w:val="center"/>
          </w:tcPr>
          <w:p w:rsidR="00716665" w:rsidRPr="009064A0" w:rsidRDefault="00716665" w:rsidP="00A84B2A">
            <w:pPr>
              <w:jc w:val="center"/>
              <w:rPr>
                <w:sz w:val="20"/>
                <w:szCs w:val="20"/>
              </w:rPr>
            </w:pPr>
            <w:r w:rsidRPr="009064A0">
              <w:rPr>
                <w:sz w:val="20"/>
                <w:szCs w:val="20"/>
              </w:rPr>
              <w:t>8.1</w:t>
            </w:r>
          </w:p>
        </w:tc>
      </w:tr>
      <w:tr w:rsidR="00716665" w:rsidRPr="009064A0">
        <w:trPr>
          <w:trHeight w:val="504"/>
        </w:trPr>
        <w:tc>
          <w:tcPr>
            <w:tcW w:w="756" w:type="dxa"/>
            <w:vAlign w:val="center"/>
          </w:tcPr>
          <w:p w:rsidR="00716665" w:rsidRPr="00A84B2A" w:rsidRDefault="00716665" w:rsidP="00A84B2A">
            <w:pPr>
              <w:jc w:val="center"/>
              <w:rPr>
                <w:b/>
                <w:bCs/>
                <w:sz w:val="20"/>
                <w:szCs w:val="20"/>
              </w:rPr>
            </w:pPr>
            <w:r w:rsidRPr="00A84B2A">
              <w:rPr>
                <w:b/>
                <w:bCs/>
                <w:sz w:val="20"/>
                <w:szCs w:val="20"/>
              </w:rPr>
              <w:t>OPCo.</w:t>
            </w:r>
          </w:p>
        </w:tc>
        <w:tc>
          <w:tcPr>
            <w:tcW w:w="1080" w:type="dxa"/>
            <w:vAlign w:val="center"/>
          </w:tcPr>
          <w:p w:rsidR="00716665" w:rsidRPr="009064A0" w:rsidRDefault="00716665" w:rsidP="00A84B2A">
            <w:pPr>
              <w:jc w:val="center"/>
              <w:rPr>
                <w:sz w:val="20"/>
                <w:szCs w:val="20"/>
              </w:rPr>
            </w:pPr>
            <w:r>
              <w:rPr>
                <w:sz w:val="20"/>
                <w:szCs w:val="20"/>
              </w:rPr>
              <w:t>605,446</w:t>
            </w:r>
          </w:p>
        </w:tc>
        <w:tc>
          <w:tcPr>
            <w:tcW w:w="1080" w:type="dxa"/>
            <w:vAlign w:val="center"/>
          </w:tcPr>
          <w:p w:rsidR="00716665" w:rsidRPr="009064A0" w:rsidRDefault="00716665" w:rsidP="00A84B2A">
            <w:pPr>
              <w:jc w:val="center"/>
              <w:rPr>
                <w:sz w:val="20"/>
                <w:szCs w:val="20"/>
              </w:rPr>
            </w:pPr>
            <w:r>
              <w:rPr>
                <w:sz w:val="20"/>
                <w:szCs w:val="20"/>
              </w:rPr>
              <w:t>37,718</w:t>
            </w:r>
          </w:p>
        </w:tc>
        <w:tc>
          <w:tcPr>
            <w:tcW w:w="1080" w:type="dxa"/>
            <w:vAlign w:val="center"/>
          </w:tcPr>
          <w:p w:rsidR="00716665" w:rsidRPr="009064A0" w:rsidRDefault="00716665" w:rsidP="00A84B2A">
            <w:pPr>
              <w:jc w:val="center"/>
              <w:rPr>
                <w:sz w:val="20"/>
                <w:szCs w:val="20"/>
              </w:rPr>
            </w:pPr>
            <w:r>
              <w:rPr>
                <w:sz w:val="20"/>
                <w:szCs w:val="20"/>
              </w:rPr>
              <w:t>6.2</w:t>
            </w:r>
          </w:p>
        </w:tc>
        <w:tc>
          <w:tcPr>
            <w:tcW w:w="1080" w:type="dxa"/>
            <w:vAlign w:val="center"/>
          </w:tcPr>
          <w:p w:rsidR="00716665" w:rsidRPr="009064A0" w:rsidRDefault="00716665" w:rsidP="00A84B2A">
            <w:pPr>
              <w:jc w:val="center"/>
              <w:rPr>
                <w:sz w:val="20"/>
                <w:szCs w:val="20"/>
              </w:rPr>
            </w:pPr>
            <w:r>
              <w:rPr>
                <w:sz w:val="20"/>
                <w:szCs w:val="20"/>
              </w:rPr>
              <w:t>16,767</w:t>
            </w:r>
          </w:p>
        </w:tc>
        <w:tc>
          <w:tcPr>
            <w:tcW w:w="1080" w:type="dxa"/>
            <w:vAlign w:val="center"/>
          </w:tcPr>
          <w:p w:rsidR="00716665" w:rsidRPr="009064A0" w:rsidRDefault="00716665" w:rsidP="00A84B2A">
            <w:pPr>
              <w:jc w:val="center"/>
              <w:rPr>
                <w:sz w:val="20"/>
                <w:szCs w:val="20"/>
              </w:rPr>
            </w:pPr>
            <w:r>
              <w:rPr>
                <w:sz w:val="20"/>
                <w:szCs w:val="20"/>
              </w:rPr>
              <w:t>2.8</w:t>
            </w:r>
          </w:p>
        </w:tc>
        <w:tc>
          <w:tcPr>
            <w:tcW w:w="1080" w:type="dxa"/>
            <w:vAlign w:val="center"/>
          </w:tcPr>
          <w:p w:rsidR="00716665" w:rsidRPr="009064A0" w:rsidRDefault="00716665" w:rsidP="00A84B2A">
            <w:pPr>
              <w:jc w:val="center"/>
              <w:rPr>
                <w:sz w:val="20"/>
                <w:szCs w:val="20"/>
              </w:rPr>
            </w:pPr>
            <w:r>
              <w:rPr>
                <w:sz w:val="20"/>
                <w:szCs w:val="20"/>
              </w:rPr>
              <w:t>1,242</w:t>
            </w:r>
          </w:p>
        </w:tc>
        <w:tc>
          <w:tcPr>
            <w:tcW w:w="1080" w:type="dxa"/>
            <w:vAlign w:val="center"/>
          </w:tcPr>
          <w:p w:rsidR="00716665" w:rsidRPr="009064A0" w:rsidRDefault="00716665" w:rsidP="00A84B2A">
            <w:pPr>
              <w:jc w:val="center"/>
              <w:rPr>
                <w:sz w:val="20"/>
                <w:szCs w:val="20"/>
              </w:rPr>
            </w:pPr>
            <w:r>
              <w:rPr>
                <w:sz w:val="20"/>
                <w:szCs w:val="20"/>
              </w:rPr>
              <w:t>7.4</w:t>
            </w:r>
          </w:p>
        </w:tc>
      </w:tr>
      <w:tr w:rsidR="00716665" w:rsidRPr="009064A0">
        <w:trPr>
          <w:trHeight w:val="504"/>
        </w:trPr>
        <w:tc>
          <w:tcPr>
            <w:tcW w:w="756" w:type="dxa"/>
            <w:vAlign w:val="center"/>
          </w:tcPr>
          <w:p w:rsidR="00716665" w:rsidRPr="00A84B2A" w:rsidRDefault="00716665" w:rsidP="00A84B2A">
            <w:pPr>
              <w:jc w:val="center"/>
              <w:rPr>
                <w:b/>
                <w:bCs/>
                <w:sz w:val="20"/>
                <w:szCs w:val="20"/>
              </w:rPr>
            </w:pPr>
            <w:r w:rsidRPr="00A84B2A">
              <w:rPr>
                <w:b/>
                <w:bCs/>
                <w:sz w:val="20"/>
                <w:szCs w:val="20"/>
              </w:rPr>
              <w:t>OE</w:t>
            </w:r>
          </w:p>
        </w:tc>
        <w:tc>
          <w:tcPr>
            <w:tcW w:w="1080" w:type="dxa"/>
            <w:vAlign w:val="center"/>
          </w:tcPr>
          <w:p w:rsidR="00716665" w:rsidRPr="009064A0" w:rsidRDefault="00716665" w:rsidP="00A84B2A">
            <w:pPr>
              <w:jc w:val="center"/>
              <w:rPr>
                <w:sz w:val="20"/>
                <w:szCs w:val="20"/>
              </w:rPr>
            </w:pPr>
            <w:r w:rsidRPr="009064A0">
              <w:rPr>
                <w:sz w:val="20"/>
                <w:szCs w:val="20"/>
              </w:rPr>
              <w:t>918,372</w:t>
            </w:r>
          </w:p>
        </w:tc>
        <w:tc>
          <w:tcPr>
            <w:tcW w:w="1080" w:type="dxa"/>
            <w:vAlign w:val="center"/>
          </w:tcPr>
          <w:p w:rsidR="00716665" w:rsidRPr="009064A0" w:rsidRDefault="00716665" w:rsidP="00A84B2A">
            <w:pPr>
              <w:jc w:val="center"/>
              <w:rPr>
                <w:sz w:val="20"/>
                <w:szCs w:val="20"/>
              </w:rPr>
            </w:pPr>
            <w:r w:rsidRPr="009064A0">
              <w:rPr>
                <w:sz w:val="20"/>
                <w:szCs w:val="20"/>
              </w:rPr>
              <w:t>46,558</w:t>
            </w:r>
          </w:p>
        </w:tc>
        <w:tc>
          <w:tcPr>
            <w:tcW w:w="1080" w:type="dxa"/>
            <w:vAlign w:val="center"/>
          </w:tcPr>
          <w:p w:rsidR="00716665" w:rsidRPr="009064A0" w:rsidRDefault="00716665" w:rsidP="00A84B2A">
            <w:pPr>
              <w:jc w:val="center"/>
              <w:rPr>
                <w:sz w:val="20"/>
                <w:szCs w:val="20"/>
              </w:rPr>
            </w:pPr>
            <w:r w:rsidRPr="009064A0">
              <w:rPr>
                <w:sz w:val="20"/>
                <w:szCs w:val="20"/>
              </w:rPr>
              <w:t>5.1</w:t>
            </w:r>
          </w:p>
        </w:tc>
        <w:tc>
          <w:tcPr>
            <w:tcW w:w="1080" w:type="dxa"/>
            <w:vAlign w:val="center"/>
          </w:tcPr>
          <w:p w:rsidR="00716665" w:rsidRPr="009064A0" w:rsidRDefault="00716665" w:rsidP="00A84B2A">
            <w:pPr>
              <w:jc w:val="center"/>
              <w:rPr>
                <w:sz w:val="20"/>
                <w:szCs w:val="20"/>
              </w:rPr>
            </w:pPr>
            <w:r w:rsidRPr="009064A0">
              <w:rPr>
                <w:sz w:val="20"/>
                <w:szCs w:val="20"/>
              </w:rPr>
              <w:t>30,516</w:t>
            </w:r>
          </w:p>
        </w:tc>
        <w:tc>
          <w:tcPr>
            <w:tcW w:w="1080" w:type="dxa"/>
            <w:vAlign w:val="center"/>
          </w:tcPr>
          <w:p w:rsidR="00716665" w:rsidRPr="009064A0" w:rsidRDefault="00716665" w:rsidP="00A84B2A">
            <w:pPr>
              <w:jc w:val="center"/>
              <w:rPr>
                <w:sz w:val="20"/>
                <w:szCs w:val="20"/>
              </w:rPr>
            </w:pPr>
            <w:r w:rsidRPr="009064A0">
              <w:rPr>
                <w:sz w:val="20"/>
                <w:szCs w:val="20"/>
              </w:rPr>
              <w:t>3.3</w:t>
            </w:r>
          </w:p>
        </w:tc>
        <w:tc>
          <w:tcPr>
            <w:tcW w:w="1080" w:type="dxa"/>
            <w:vAlign w:val="center"/>
          </w:tcPr>
          <w:p w:rsidR="00716665" w:rsidRPr="009064A0" w:rsidRDefault="00716665" w:rsidP="00A84B2A">
            <w:pPr>
              <w:jc w:val="center"/>
              <w:rPr>
                <w:sz w:val="20"/>
                <w:szCs w:val="20"/>
              </w:rPr>
            </w:pPr>
            <w:r w:rsidRPr="009064A0">
              <w:rPr>
                <w:sz w:val="20"/>
                <w:szCs w:val="20"/>
              </w:rPr>
              <w:t>9,434</w:t>
            </w:r>
          </w:p>
        </w:tc>
        <w:tc>
          <w:tcPr>
            <w:tcW w:w="1080" w:type="dxa"/>
            <w:vAlign w:val="center"/>
          </w:tcPr>
          <w:p w:rsidR="00716665" w:rsidRPr="009064A0" w:rsidRDefault="00716665" w:rsidP="00A84B2A">
            <w:pPr>
              <w:jc w:val="center"/>
              <w:rPr>
                <w:sz w:val="20"/>
                <w:szCs w:val="20"/>
              </w:rPr>
            </w:pPr>
            <w:r w:rsidRPr="009064A0">
              <w:rPr>
                <w:sz w:val="20"/>
                <w:szCs w:val="20"/>
              </w:rPr>
              <w:t>30.9</w:t>
            </w:r>
          </w:p>
        </w:tc>
      </w:tr>
      <w:tr w:rsidR="00716665" w:rsidRPr="009064A0">
        <w:trPr>
          <w:trHeight w:val="504"/>
        </w:trPr>
        <w:tc>
          <w:tcPr>
            <w:tcW w:w="756" w:type="dxa"/>
            <w:vAlign w:val="center"/>
          </w:tcPr>
          <w:p w:rsidR="00716665" w:rsidRPr="00A84B2A" w:rsidRDefault="00716665" w:rsidP="00A84B2A">
            <w:pPr>
              <w:jc w:val="center"/>
              <w:rPr>
                <w:b/>
                <w:bCs/>
                <w:sz w:val="20"/>
                <w:szCs w:val="20"/>
              </w:rPr>
            </w:pPr>
            <w:r w:rsidRPr="00A84B2A">
              <w:rPr>
                <w:b/>
                <w:bCs/>
                <w:sz w:val="20"/>
                <w:szCs w:val="20"/>
              </w:rPr>
              <w:t>TE</w:t>
            </w:r>
          </w:p>
        </w:tc>
        <w:tc>
          <w:tcPr>
            <w:tcW w:w="1080" w:type="dxa"/>
            <w:vAlign w:val="center"/>
          </w:tcPr>
          <w:p w:rsidR="00716665" w:rsidRPr="009064A0" w:rsidRDefault="00716665" w:rsidP="00A84B2A">
            <w:pPr>
              <w:jc w:val="center"/>
              <w:rPr>
                <w:sz w:val="20"/>
                <w:szCs w:val="20"/>
              </w:rPr>
            </w:pPr>
            <w:r w:rsidRPr="009064A0">
              <w:rPr>
                <w:sz w:val="20"/>
                <w:szCs w:val="20"/>
              </w:rPr>
              <w:t>271,999</w:t>
            </w:r>
          </w:p>
        </w:tc>
        <w:tc>
          <w:tcPr>
            <w:tcW w:w="1080" w:type="dxa"/>
            <w:vAlign w:val="center"/>
          </w:tcPr>
          <w:p w:rsidR="00716665" w:rsidRPr="009064A0" w:rsidRDefault="00716665" w:rsidP="00A84B2A">
            <w:pPr>
              <w:jc w:val="center"/>
              <w:rPr>
                <w:sz w:val="20"/>
                <w:szCs w:val="20"/>
              </w:rPr>
            </w:pPr>
            <w:r w:rsidRPr="009064A0">
              <w:rPr>
                <w:sz w:val="20"/>
                <w:szCs w:val="20"/>
              </w:rPr>
              <w:t>9,508</w:t>
            </w:r>
          </w:p>
        </w:tc>
        <w:tc>
          <w:tcPr>
            <w:tcW w:w="1080" w:type="dxa"/>
            <w:vAlign w:val="center"/>
          </w:tcPr>
          <w:p w:rsidR="00716665" w:rsidRPr="009064A0" w:rsidRDefault="00716665" w:rsidP="00A84B2A">
            <w:pPr>
              <w:jc w:val="center"/>
              <w:rPr>
                <w:sz w:val="20"/>
                <w:szCs w:val="20"/>
              </w:rPr>
            </w:pPr>
            <w:r w:rsidRPr="009064A0">
              <w:rPr>
                <w:sz w:val="20"/>
                <w:szCs w:val="20"/>
              </w:rPr>
              <w:t>3.5</w:t>
            </w:r>
          </w:p>
        </w:tc>
        <w:tc>
          <w:tcPr>
            <w:tcW w:w="1080" w:type="dxa"/>
            <w:vAlign w:val="center"/>
          </w:tcPr>
          <w:p w:rsidR="00716665" w:rsidRPr="009064A0" w:rsidRDefault="00716665" w:rsidP="00A84B2A">
            <w:pPr>
              <w:jc w:val="center"/>
              <w:rPr>
                <w:sz w:val="20"/>
                <w:szCs w:val="20"/>
              </w:rPr>
            </w:pPr>
            <w:r w:rsidRPr="009064A0">
              <w:rPr>
                <w:sz w:val="20"/>
                <w:szCs w:val="20"/>
              </w:rPr>
              <w:t>10,930</w:t>
            </w:r>
          </w:p>
        </w:tc>
        <w:tc>
          <w:tcPr>
            <w:tcW w:w="1080" w:type="dxa"/>
            <w:vAlign w:val="center"/>
          </w:tcPr>
          <w:p w:rsidR="00716665" w:rsidRPr="009064A0" w:rsidRDefault="00716665" w:rsidP="00A84B2A">
            <w:pPr>
              <w:jc w:val="center"/>
              <w:rPr>
                <w:sz w:val="20"/>
                <w:szCs w:val="20"/>
              </w:rPr>
            </w:pPr>
            <w:r w:rsidRPr="009064A0">
              <w:rPr>
                <w:sz w:val="20"/>
                <w:szCs w:val="20"/>
              </w:rPr>
              <w:t>4.0</w:t>
            </w:r>
          </w:p>
        </w:tc>
        <w:tc>
          <w:tcPr>
            <w:tcW w:w="1080" w:type="dxa"/>
            <w:vAlign w:val="center"/>
          </w:tcPr>
          <w:p w:rsidR="00716665" w:rsidRPr="009064A0" w:rsidRDefault="00716665" w:rsidP="00A84B2A">
            <w:pPr>
              <w:jc w:val="center"/>
              <w:rPr>
                <w:sz w:val="20"/>
                <w:szCs w:val="20"/>
              </w:rPr>
            </w:pPr>
            <w:r w:rsidRPr="009064A0">
              <w:rPr>
                <w:sz w:val="20"/>
                <w:szCs w:val="20"/>
              </w:rPr>
              <w:t>2,002</w:t>
            </w:r>
          </w:p>
        </w:tc>
        <w:tc>
          <w:tcPr>
            <w:tcW w:w="1080" w:type="dxa"/>
            <w:vAlign w:val="center"/>
          </w:tcPr>
          <w:p w:rsidR="00716665" w:rsidRPr="009064A0" w:rsidRDefault="00716665" w:rsidP="00A84B2A">
            <w:pPr>
              <w:jc w:val="center"/>
              <w:rPr>
                <w:sz w:val="20"/>
                <w:szCs w:val="20"/>
              </w:rPr>
            </w:pPr>
            <w:r w:rsidRPr="009064A0">
              <w:rPr>
                <w:sz w:val="20"/>
                <w:szCs w:val="20"/>
              </w:rPr>
              <w:t>18.3</w:t>
            </w:r>
          </w:p>
        </w:tc>
      </w:tr>
      <w:tr w:rsidR="00716665" w:rsidRPr="009064A0">
        <w:trPr>
          <w:trHeight w:val="504"/>
        </w:trPr>
        <w:tc>
          <w:tcPr>
            <w:tcW w:w="756" w:type="dxa"/>
            <w:vAlign w:val="center"/>
          </w:tcPr>
          <w:p w:rsidR="00716665" w:rsidRPr="00A84B2A" w:rsidRDefault="00716665" w:rsidP="00A84B2A">
            <w:pPr>
              <w:jc w:val="center"/>
              <w:rPr>
                <w:b/>
                <w:bCs/>
                <w:sz w:val="20"/>
                <w:szCs w:val="20"/>
              </w:rPr>
            </w:pPr>
            <w:r w:rsidRPr="00A84B2A">
              <w:rPr>
                <w:b/>
                <w:bCs/>
                <w:sz w:val="20"/>
                <w:szCs w:val="20"/>
              </w:rPr>
              <w:t>CEI</w:t>
            </w:r>
          </w:p>
        </w:tc>
        <w:tc>
          <w:tcPr>
            <w:tcW w:w="1080" w:type="dxa"/>
            <w:vAlign w:val="center"/>
          </w:tcPr>
          <w:p w:rsidR="00716665" w:rsidRPr="009064A0" w:rsidRDefault="00716665" w:rsidP="00A84B2A">
            <w:pPr>
              <w:jc w:val="center"/>
              <w:rPr>
                <w:sz w:val="20"/>
                <w:szCs w:val="20"/>
              </w:rPr>
            </w:pPr>
            <w:r w:rsidRPr="009064A0">
              <w:rPr>
                <w:sz w:val="20"/>
                <w:szCs w:val="20"/>
              </w:rPr>
              <w:t>660,757</w:t>
            </w:r>
          </w:p>
        </w:tc>
        <w:tc>
          <w:tcPr>
            <w:tcW w:w="1080" w:type="dxa"/>
            <w:vAlign w:val="center"/>
          </w:tcPr>
          <w:p w:rsidR="00716665" w:rsidRPr="009064A0" w:rsidRDefault="00716665" w:rsidP="00A84B2A">
            <w:pPr>
              <w:jc w:val="center"/>
              <w:rPr>
                <w:sz w:val="20"/>
                <w:szCs w:val="20"/>
              </w:rPr>
            </w:pPr>
            <w:r w:rsidRPr="009064A0">
              <w:rPr>
                <w:sz w:val="20"/>
                <w:szCs w:val="20"/>
              </w:rPr>
              <w:t>17,169</w:t>
            </w:r>
          </w:p>
        </w:tc>
        <w:tc>
          <w:tcPr>
            <w:tcW w:w="1080" w:type="dxa"/>
            <w:vAlign w:val="center"/>
          </w:tcPr>
          <w:p w:rsidR="00716665" w:rsidRPr="009064A0" w:rsidRDefault="00716665" w:rsidP="00A84B2A">
            <w:pPr>
              <w:jc w:val="center"/>
              <w:rPr>
                <w:sz w:val="20"/>
                <w:szCs w:val="20"/>
              </w:rPr>
            </w:pPr>
            <w:r w:rsidRPr="009064A0">
              <w:rPr>
                <w:sz w:val="20"/>
                <w:szCs w:val="20"/>
              </w:rPr>
              <w:t>2.6</w:t>
            </w:r>
          </w:p>
        </w:tc>
        <w:tc>
          <w:tcPr>
            <w:tcW w:w="1080" w:type="dxa"/>
            <w:vAlign w:val="center"/>
          </w:tcPr>
          <w:p w:rsidR="00716665" w:rsidRPr="009064A0" w:rsidRDefault="00716665" w:rsidP="00A84B2A">
            <w:pPr>
              <w:jc w:val="center"/>
              <w:rPr>
                <w:sz w:val="20"/>
                <w:szCs w:val="20"/>
              </w:rPr>
            </w:pPr>
            <w:r w:rsidRPr="009064A0">
              <w:rPr>
                <w:sz w:val="20"/>
                <w:szCs w:val="20"/>
              </w:rPr>
              <w:t>20,720</w:t>
            </w:r>
          </w:p>
        </w:tc>
        <w:tc>
          <w:tcPr>
            <w:tcW w:w="1080" w:type="dxa"/>
            <w:vAlign w:val="center"/>
          </w:tcPr>
          <w:p w:rsidR="00716665" w:rsidRPr="009064A0" w:rsidRDefault="00716665" w:rsidP="00A84B2A">
            <w:pPr>
              <w:jc w:val="center"/>
              <w:rPr>
                <w:sz w:val="20"/>
                <w:szCs w:val="20"/>
              </w:rPr>
            </w:pPr>
            <w:r w:rsidRPr="009064A0">
              <w:rPr>
                <w:sz w:val="20"/>
                <w:szCs w:val="20"/>
              </w:rPr>
              <w:t>3.1</w:t>
            </w:r>
          </w:p>
        </w:tc>
        <w:tc>
          <w:tcPr>
            <w:tcW w:w="1080" w:type="dxa"/>
            <w:vAlign w:val="center"/>
          </w:tcPr>
          <w:p w:rsidR="00716665" w:rsidRPr="009064A0" w:rsidRDefault="00716665" w:rsidP="00A84B2A">
            <w:pPr>
              <w:jc w:val="center"/>
              <w:rPr>
                <w:sz w:val="20"/>
                <w:szCs w:val="20"/>
              </w:rPr>
            </w:pPr>
            <w:r w:rsidRPr="009064A0">
              <w:rPr>
                <w:sz w:val="20"/>
                <w:szCs w:val="20"/>
              </w:rPr>
              <w:t>4,142</w:t>
            </w:r>
          </w:p>
        </w:tc>
        <w:tc>
          <w:tcPr>
            <w:tcW w:w="1080" w:type="dxa"/>
            <w:vAlign w:val="center"/>
          </w:tcPr>
          <w:p w:rsidR="00716665" w:rsidRPr="009064A0" w:rsidRDefault="00716665" w:rsidP="00A84B2A">
            <w:pPr>
              <w:jc w:val="center"/>
              <w:rPr>
                <w:sz w:val="20"/>
                <w:szCs w:val="20"/>
              </w:rPr>
            </w:pPr>
            <w:r w:rsidRPr="009064A0">
              <w:rPr>
                <w:sz w:val="20"/>
                <w:szCs w:val="20"/>
              </w:rPr>
              <w:t>20.0</w:t>
            </w:r>
          </w:p>
        </w:tc>
      </w:tr>
    </w:tbl>
    <w:p w:rsidR="00716665" w:rsidRDefault="00716665" w:rsidP="00762319">
      <w:pPr>
        <w:spacing w:line="480" w:lineRule="auto"/>
        <w:ind w:left="720"/>
      </w:pPr>
    </w:p>
    <w:p w:rsidR="00716665" w:rsidRDefault="00716665" w:rsidP="00762319">
      <w:pPr>
        <w:spacing w:line="480" w:lineRule="auto"/>
        <w:ind w:left="720"/>
      </w:pPr>
      <w:r>
        <w:t xml:space="preserve">As shown in Table 3 above, the residential customers of DP&amp;L are far more likely to be disconnected for non-payment than customers of the other electric utilities.  Whereas approximately 7.5 percent of all DP&amp;L customers were disconnected in 2012, disconnections for other electric utilities averaged 4.8 </w:t>
      </w:r>
      <w:r w:rsidRPr="008C3009">
        <w:t>percent</w:t>
      </w:r>
      <w:r>
        <w:t xml:space="preserve">.  Even though DP&amp;L has approximately 205,000 fewer residential customers compared to CEI, DP&amp;L disconnected over twice the number of residential customers disconnected by CEI in 2012.  In addition, whereas 32.5 </w:t>
      </w:r>
      <w:r w:rsidRPr="008C3009">
        <w:t>percent</w:t>
      </w:r>
      <w:r>
        <w:t xml:space="preserve"> of DP&amp;L customers who were on extended payment plans defaulted on payments, the average default rate for the other Ohio electric utilities was only 16.94 </w:t>
      </w:r>
      <w:r w:rsidRPr="008C3009">
        <w:t>percent</w:t>
      </w:r>
      <w:r>
        <w:t>.  The high disconnection rates for residential customers of DP&amp;L -- when compared with disconnection rates for residential customers of the other electric utilities -- leaves little doubt about the unaffordable nature of DP&amp;L’s electric service.</w:t>
      </w:r>
    </w:p>
    <w:p w:rsidR="00716665" w:rsidRDefault="00716665" w:rsidP="00E53111">
      <w:pPr>
        <w:spacing w:line="480" w:lineRule="auto"/>
        <w:ind w:left="720" w:hanging="720"/>
        <w:rPr>
          <w:b/>
          <w:bCs/>
          <w:i/>
          <w:iCs/>
        </w:rPr>
      </w:pPr>
    </w:p>
    <w:p w:rsidR="00716665" w:rsidRDefault="00716665" w:rsidP="00211485">
      <w:pPr>
        <w:spacing w:line="480" w:lineRule="auto"/>
        <w:ind w:left="720" w:hanging="720"/>
        <w:rPr>
          <w:b/>
          <w:bCs/>
          <w:i/>
          <w:iCs/>
        </w:rPr>
      </w:pPr>
      <w:r w:rsidRPr="00211485">
        <w:rPr>
          <w:b/>
          <w:bCs/>
          <w:i/>
          <w:iCs/>
        </w:rPr>
        <w:t>Q</w:t>
      </w:r>
      <w:r>
        <w:rPr>
          <w:b/>
          <w:bCs/>
          <w:i/>
          <w:iCs/>
        </w:rPr>
        <w:t>20</w:t>
      </w:r>
      <w:r w:rsidRPr="00211485">
        <w:rPr>
          <w:b/>
          <w:bCs/>
          <w:i/>
          <w:iCs/>
        </w:rPr>
        <w:t>.</w:t>
      </w:r>
      <w:r w:rsidRPr="00211485">
        <w:rPr>
          <w:b/>
          <w:bCs/>
          <w:i/>
          <w:iCs/>
        </w:rPr>
        <w:tab/>
      </w:r>
      <w:r>
        <w:rPr>
          <w:b/>
          <w:bCs/>
          <w:i/>
          <w:iCs/>
        </w:rPr>
        <w:t>IS THE HIGH PERCENTAGE OF DP&amp;L CUSTOMERS THAT WERE DISCONNECTED IN 2012 ISOLATED TO JUST A SINGLE YEAR?</w:t>
      </w:r>
    </w:p>
    <w:p w:rsidR="00716665" w:rsidRDefault="00716665" w:rsidP="00E85283">
      <w:pPr>
        <w:spacing w:line="480" w:lineRule="auto"/>
        <w:ind w:left="720" w:hanging="720"/>
      </w:pPr>
      <w:r w:rsidRPr="00E85283">
        <w:rPr>
          <w:b/>
          <w:bCs/>
          <w:i/>
          <w:iCs/>
        </w:rPr>
        <w:t>A20.</w:t>
      </w:r>
      <w:r w:rsidRPr="00C65920">
        <w:tab/>
      </w:r>
      <w:r>
        <w:t>Unfortunately the high percentage of DP&amp;L customers that were disconnected in 2012 is not unique to that year.  Ohio Revised Code 4933.123 requires each energy company to file a written report with the PUCO and provide the OCC an annual report that includes among other requirements, reporting of the total number of disconnections for non-payment for the period June 1</w:t>
      </w:r>
      <w:r w:rsidRPr="00821823">
        <w:rPr>
          <w:vertAlign w:val="superscript"/>
        </w:rPr>
        <w:t>st</w:t>
      </w:r>
      <w:r>
        <w:t xml:space="preserve"> though May 31</w:t>
      </w:r>
      <w:r w:rsidRPr="00821823">
        <w:rPr>
          <w:vertAlign w:val="superscript"/>
        </w:rPr>
        <w:t>st</w:t>
      </w:r>
      <w:r>
        <w:t xml:space="preserve"> of the following year.</w:t>
      </w:r>
      <w:r>
        <w:rPr>
          <w:rStyle w:val="FootnoteReference"/>
        </w:rPr>
        <w:footnoteReference w:id="47"/>
      </w:r>
      <w:r>
        <w:t xml:space="preserve">  I have summarized the number of disconnections that were reported by the different electric utilities for the last three years as shown in Table 4.</w:t>
      </w:r>
    </w:p>
    <w:p w:rsidR="00716665" w:rsidRPr="00CD799C" w:rsidRDefault="00716665" w:rsidP="00CD799C">
      <w:pPr>
        <w:spacing w:line="480" w:lineRule="auto"/>
        <w:ind w:left="720" w:hanging="720"/>
        <w:jc w:val="center"/>
        <w:rPr>
          <w:b/>
          <w:bCs/>
        </w:rPr>
      </w:pPr>
      <w:r>
        <w:rPr>
          <w:b/>
          <w:bCs/>
        </w:rPr>
        <w:br w:type="page"/>
      </w:r>
      <w:r w:rsidRPr="00CD799C">
        <w:rPr>
          <w:b/>
          <w:bCs/>
        </w:rPr>
        <w:t>Table 4:  Comparison of State Disconnection Numbers (Electric Utilities</w:t>
      </w:r>
      <w:r w:rsidRPr="00CD799C">
        <w:rPr>
          <w:b/>
          <w:bCs/>
          <w:vertAlign w:val="superscript"/>
        </w:rPr>
        <w:footnoteReference w:id="48"/>
      </w:r>
      <w:r w:rsidRPr="00CD799C">
        <w:rPr>
          <w:b/>
          <w:bCs/>
        </w:rPr>
        <w:t>)</w:t>
      </w:r>
    </w:p>
    <w:tbl>
      <w:tblPr>
        <w:tblW w:w="78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78"/>
        <w:gridCol w:w="1078"/>
        <w:gridCol w:w="929"/>
        <w:gridCol w:w="929"/>
        <w:gridCol w:w="929"/>
        <w:gridCol w:w="1083"/>
      </w:tblGrid>
      <w:tr w:rsidR="00716665" w:rsidRPr="001B3083">
        <w:tc>
          <w:tcPr>
            <w:tcW w:w="1980" w:type="dxa"/>
            <w:vAlign w:val="bottom"/>
          </w:tcPr>
          <w:p w:rsidR="00716665" w:rsidRPr="001B3083" w:rsidRDefault="00716665" w:rsidP="001B3083">
            <w:pPr>
              <w:ind w:left="720" w:hanging="720"/>
              <w:jc w:val="center"/>
              <w:rPr>
                <w:b/>
                <w:bCs/>
                <w:sz w:val="20"/>
                <w:szCs w:val="20"/>
              </w:rPr>
            </w:pPr>
            <w:r w:rsidRPr="001B3083">
              <w:rPr>
                <w:b/>
                <w:bCs/>
                <w:sz w:val="20"/>
                <w:szCs w:val="20"/>
              </w:rPr>
              <w:t>Case No.</w:t>
            </w:r>
          </w:p>
        </w:tc>
        <w:tc>
          <w:tcPr>
            <w:tcW w:w="878" w:type="dxa"/>
            <w:vAlign w:val="bottom"/>
          </w:tcPr>
          <w:p w:rsidR="00716665" w:rsidRPr="001B3083" w:rsidRDefault="00716665" w:rsidP="001B3083">
            <w:pPr>
              <w:ind w:left="720" w:hanging="720"/>
              <w:jc w:val="center"/>
              <w:rPr>
                <w:b/>
                <w:bCs/>
                <w:sz w:val="20"/>
                <w:szCs w:val="20"/>
              </w:rPr>
            </w:pPr>
            <w:r w:rsidRPr="001B3083">
              <w:rPr>
                <w:b/>
                <w:bCs/>
                <w:sz w:val="20"/>
                <w:szCs w:val="20"/>
              </w:rPr>
              <w:t>DP&amp;L</w:t>
            </w:r>
          </w:p>
        </w:tc>
        <w:tc>
          <w:tcPr>
            <w:tcW w:w="1078" w:type="dxa"/>
            <w:vAlign w:val="bottom"/>
          </w:tcPr>
          <w:p w:rsidR="00716665" w:rsidRDefault="00716665" w:rsidP="001B3083">
            <w:pPr>
              <w:ind w:left="720" w:hanging="720"/>
              <w:jc w:val="center"/>
              <w:rPr>
                <w:b/>
                <w:bCs/>
                <w:sz w:val="20"/>
                <w:szCs w:val="20"/>
              </w:rPr>
            </w:pPr>
            <w:r w:rsidRPr="001B3083">
              <w:rPr>
                <w:b/>
                <w:bCs/>
                <w:sz w:val="20"/>
                <w:szCs w:val="20"/>
              </w:rPr>
              <w:t xml:space="preserve">AEP </w:t>
            </w:r>
          </w:p>
          <w:p w:rsidR="00716665" w:rsidRPr="001B3083" w:rsidRDefault="00716665" w:rsidP="001B3083">
            <w:pPr>
              <w:ind w:left="720" w:hanging="720"/>
              <w:jc w:val="center"/>
              <w:rPr>
                <w:b/>
                <w:bCs/>
                <w:sz w:val="20"/>
                <w:szCs w:val="20"/>
              </w:rPr>
            </w:pPr>
            <w:r>
              <w:rPr>
                <w:b/>
                <w:bCs/>
                <w:sz w:val="20"/>
                <w:szCs w:val="20"/>
              </w:rPr>
              <w:t>Ohio</w:t>
            </w:r>
          </w:p>
        </w:tc>
        <w:tc>
          <w:tcPr>
            <w:tcW w:w="929" w:type="dxa"/>
            <w:vAlign w:val="bottom"/>
          </w:tcPr>
          <w:p w:rsidR="00716665" w:rsidRPr="001B3083" w:rsidRDefault="00716665" w:rsidP="001B3083">
            <w:pPr>
              <w:ind w:left="720" w:hanging="720"/>
              <w:jc w:val="center"/>
              <w:rPr>
                <w:b/>
                <w:bCs/>
                <w:sz w:val="20"/>
                <w:szCs w:val="20"/>
              </w:rPr>
            </w:pPr>
            <w:r w:rsidRPr="001B3083">
              <w:rPr>
                <w:b/>
                <w:bCs/>
                <w:sz w:val="20"/>
                <w:szCs w:val="20"/>
              </w:rPr>
              <w:t>CEI</w:t>
            </w:r>
          </w:p>
        </w:tc>
        <w:tc>
          <w:tcPr>
            <w:tcW w:w="929" w:type="dxa"/>
            <w:vAlign w:val="bottom"/>
          </w:tcPr>
          <w:p w:rsidR="00716665" w:rsidRPr="001B3083" w:rsidRDefault="00716665" w:rsidP="001B3083">
            <w:pPr>
              <w:ind w:left="720" w:hanging="720"/>
              <w:jc w:val="center"/>
              <w:rPr>
                <w:b/>
                <w:bCs/>
                <w:sz w:val="20"/>
                <w:szCs w:val="20"/>
              </w:rPr>
            </w:pPr>
            <w:r w:rsidRPr="001B3083">
              <w:rPr>
                <w:b/>
                <w:bCs/>
                <w:sz w:val="20"/>
                <w:szCs w:val="20"/>
              </w:rPr>
              <w:t>OE</w:t>
            </w:r>
          </w:p>
        </w:tc>
        <w:tc>
          <w:tcPr>
            <w:tcW w:w="929" w:type="dxa"/>
            <w:vAlign w:val="bottom"/>
          </w:tcPr>
          <w:p w:rsidR="00716665" w:rsidRPr="001B3083" w:rsidRDefault="00716665" w:rsidP="001B3083">
            <w:pPr>
              <w:ind w:left="720" w:hanging="720"/>
              <w:jc w:val="center"/>
              <w:rPr>
                <w:b/>
                <w:bCs/>
                <w:sz w:val="20"/>
                <w:szCs w:val="20"/>
              </w:rPr>
            </w:pPr>
            <w:r w:rsidRPr="001B3083">
              <w:rPr>
                <w:b/>
                <w:bCs/>
                <w:sz w:val="20"/>
                <w:szCs w:val="20"/>
              </w:rPr>
              <w:t>TE</w:t>
            </w:r>
          </w:p>
        </w:tc>
        <w:tc>
          <w:tcPr>
            <w:tcW w:w="1083" w:type="dxa"/>
            <w:vAlign w:val="bottom"/>
          </w:tcPr>
          <w:p w:rsidR="00716665" w:rsidRPr="001B3083" w:rsidRDefault="00716665" w:rsidP="001B3083">
            <w:pPr>
              <w:ind w:left="720" w:hanging="720"/>
              <w:jc w:val="center"/>
              <w:rPr>
                <w:b/>
                <w:bCs/>
                <w:sz w:val="20"/>
                <w:szCs w:val="20"/>
              </w:rPr>
            </w:pPr>
            <w:r w:rsidRPr="001B3083">
              <w:rPr>
                <w:b/>
                <w:bCs/>
                <w:sz w:val="20"/>
                <w:szCs w:val="20"/>
              </w:rPr>
              <w:t>Total</w:t>
            </w:r>
          </w:p>
        </w:tc>
      </w:tr>
      <w:tr w:rsidR="00716665" w:rsidRPr="001B3083">
        <w:trPr>
          <w:trHeight w:val="648"/>
        </w:trPr>
        <w:tc>
          <w:tcPr>
            <w:tcW w:w="1980" w:type="dxa"/>
            <w:vAlign w:val="center"/>
          </w:tcPr>
          <w:p w:rsidR="00716665" w:rsidRPr="007E0FD3" w:rsidRDefault="00716665" w:rsidP="001B3083">
            <w:pPr>
              <w:ind w:left="720" w:hanging="720"/>
              <w:jc w:val="center"/>
              <w:rPr>
                <w:b/>
                <w:bCs/>
                <w:sz w:val="20"/>
                <w:szCs w:val="20"/>
              </w:rPr>
            </w:pPr>
            <w:r w:rsidRPr="007E0FD3">
              <w:rPr>
                <w:b/>
                <w:bCs/>
                <w:sz w:val="20"/>
                <w:szCs w:val="20"/>
              </w:rPr>
              <w:t>10-1222-GE-UNC</w:t>
            </w:r>
          </w:p>
          <w:p w:rsidR="00716665" w:rsidRPr="001B3083" w:rsidRDefault="00716665" w:rsidP="007E0FD3">
            <w:pPr>
              <w:jc w:val="center"/>
              <w:rPr>
                <w:sz w:val="20"/>
                <w:szCs w:val="20"/>
              </w:rPr>
            </w:pPr>
            <w:r w:rsidRPr="001B3083">
              <w:rPr>
                <w:sz w:val="20"/>
                <w:szCs w:val="20"/>
              </w:rPr>
              <w:t>6/1/2009 –5/31/2010</w:t>
            </w:r>
          </w:p>
        </w:tc>
        <w:tc>
          <w:tcPr>
            <w:tcW w:w="878" w:type="dxa"/>
            <w:vAlign w:val="center"/>
          </w:tcPr>
          <w:p w:rsidR="00716665" w:rsidRPr="001B3083" w:rsidRDefault="00716665" w:rsidP="001B3083">
            <w:pPr>
              <w:ind w:left="720" w:hanging="720"/>
              <w:jc w:val="center"/>
              <w:rPr>
                <w:sz w:val="20"/>
                <w:szCs w:val="20"/>
              </w:rPr>
            </w:pPr>
            <w:r w:rsidRPr="001B3083">
              <w:rPr>
                <w:sz w:val="20"/>
                <w:szCs w:val="20"/>
              </w:rPr>
              <w:t>40,640</w:t>
            </w:r>
          </w:p>
        </w:tc>
        <w:tc>
          <w:tcPr>
            <w:tcW w:w="1078" w:type="dxa"/>
            <w:vAlign w:val="center"/>
          </w:tcPr>
          <w:p w:rsidR="00716665" w:rsidRPr="001B3083" w:rsidRDefault="00716665" w:rsidP="001B3083">
            <w:pPr>
              <w:ind w:left="720" w:hanging="720"/>
              <w:jc w:val="center"/>
              <w:rPr>
                <w:sz w:val="20"/>
                <w:szCs w:val="20"/>
              </w:rPr>
            </w:pPr>
            <w:r w:rsidRPr="001B3083">
              <w:rPr>
                <w:sz w:val="20"/>
                <w:szCs w:val="20"/>
              </w:rPr>
              <w:t>87,162</w:t>
            </w:r>
            <w:r w:rsidRPr="001B3083">
              <w:rPr>
                <w:sz w:val="20"/>
                <w:szCs w:val="20"/>
                <w:vertAlign w:val="superscript"/>
              </w:rPr>
              <w:footnoteReference w:id="49"/>
            </w:r>
          </w:p>
        </w:tc>
        <w:tc>
          <w:tcPr>
            <w:tcW w:w="929" w:type="dxa"/>
            <w:vAlign w:val="center"/>
          </w:tcPr>
          <w:p w:rsidR="00716665" w:rsidRPr="001B3083" w:rsidRDefault="00716665" w:rsidP="001B3083">
            <w:pPr>
              <w:ind w:left="720" w:hanging="720"/>
              <w:jc w:val="center"/>
              <w:rPr>
                <w:sz w:val="20"/>
                <w:szCs w:val="20"/>
              </w:rPr>
            </w:pPr>
            <w:r w:rsidRPr="001B3083">
              <w:rPr>
                <w:sz w:val="20"/>
                <w:szCs w:val="20"/>
              </w:rPr>
              <w:t>22,310</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48,876</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10,446</w:t>
            </w:r>
          </w:p>
        </w:tc>
        <w:tc>
          <w:tcPr>
            <w:tcW w:w="1083" w:type="dxa"/>
            <w:vAlign w:val="center"/>
          </w:tcPr>
          <w:p w:rsidR="00716665" w:rsidRPr="001B3083" w:rsidRDefault="00716665" w:rsidP="001B3083">
            <w:pPr>
              <w:ind w:left="720" w:hanging="720"/>
              <w:jc w:val="center"/>
              <w:rPr>
                <w:sz w:val="20"/>
                <w:szCs w:val="20"/>
              </w:rPr>
            </w:pPr>
            <w:r w:rsidRPr="001B3083">
              <w:rPr>
                <w:sz w:val="20"/>
                <w:szCs w:val="20"/>
              </w:rPr>
              <w:t>209,434</w:t>
            </w:r>
          </w:p>
        </w:tc>
      </w:tr>
      <w:tr w:rsidR="00716665" w:rsidRPr="001B3083">
        <w:trPr>
          <w:trHeight w:val="648"/>
        </w:trPr>
        <w:tc>
          <w:tcPr>
            <w:tcW w:w="1980" w:type="dxa"/>
            <w:vAlign w:val="center"/>
          </w:tcPr>
          <w:p w:rsidR="00716665" w:rsidRPr="007E0FD3" w:rsidRDefault="00716665" w:rsidP="001B3083">
            <w:pPr>
              <w:ind w:left="720" w:hanging="720"/>
              <w:jc w:val="center"/>
              <w:rPr>
                <w:b/>
                <w:bCs/>
                <w:sz w:val="20"/>
                <w:szCs w:val="20"/>
              </w:rPr>
            </w:pPr>
            <w:r w:rsidRPr="007E0FD3">
              <w:rPr>
                <w:b/>
                <w:bCs/>
                <w:sz w:val="20"/>
                <w:szCs w:val="20"/>
              </w:rPr>
              <w:t>11-2682-GE-UNC</w:t>
            </w:r>
          </w:p>
          <w:p w:rsidR="00716665" w:rsidRPr="001B3083" w:rsidRDefault="00716665" w:rsidP="007E0FD3">
            <w:pPr>
              <w:jc w:val="center"/>
              <w:rPr>
                <w:sz w:val="20"/>
                <w:szCs w:val="20"/>
              </w:rPr>
            </w:pPr>
            <w:r w:rsidRPr="008018A0">
              <w:rPr>
                <w:sz w:val="20"/>
                <w:szCs w:val="20"/>
              </w:rPr>
              <w:t>6/1/2010 – 5/31/2011</w:t>
            </w:r>
          </w:p>
        </w:tc>
        <w:tc>
          <w:tcPr>
            <w:tcW w:w="878" w:type="dxa"/>
            <w:vAlign w:val="center"/>
          </w:tcPr>
          <w:p w:rsidR="00716665" w:rsidRPr="001B3083" w:rsidRDefault="00716665" w:rsidP="001B3083">
            <w:pPr>
              <w:ind w:left="720" w:hanging="720"/>
              <w:jc w:val="center"/>
              <w:rPr>
                <w:sz w:val="20"/>
                <w:szCs w:val="20"/>
              </w:rPr>
            </w:pPr>
            <w:r w:rsidRPr="001B3083">
              <w:rPr>
                <w:sz w:val="20"/>
                <w:szCs w:val="20"/>
              </w:rPr>
              <w:t>35,744</w:t>
            </w:r>
          </w:p>
        </w:tc>
        <w:tc>
          <w:tcPr>
            <w:tcW w:w="1078" w:type="dxa"/>
            <w:vAlign w:val="center"/>
          </w:tcPr>
          <w:p w:rsidR="00716665" w:rsidRPr="001B3083" w:rsidRDefault="00716665" w:rsidP="001B3083">
            <w:pPr>
              <w:ind w:left="720" w:hanging="720"/>
              <w:jc w:val="center"/>
              <w:rPr>
                <w:sz w:val="20"/>
                <w:szCs w:val="20"/>
              </w:rPr>
            </w:pPr>
            <w:r w:rsidRPr="001B3083">
              <w:rPr>
                <w:sz w:val="20"/>
                <w:szCs w:val="20"/>
              </w:rPr>
              <w:t>68,526</w:t>
            </w:r>
            <w:r w:rsidRPr="001B3083">
              <w:rPr>
                <w:sz w:val="20"/>
                <w:szCs w:val="20"/>
                <w:vertAlign w:val="superscript"/>
              </w:rPr>
              <w:footnoteReference w:id="50"/>
            </w:r>
          </w:p>
        </w:tc>
        <w:tc>
          <w:tcPr>
            <w:tcW w:w="929" w:type="dxa"/>
            <w:vAlign w:val="center"/>
          </w:tcPr>
          <w:p w:rsidR="00716665" w:rsidRPr="001B3083" w:rsidRDefault="00716665" w:rsidP="001B3083">
            <w:pPr>
              <w:ind w:left="720" w:hanging="720"/>
              <w:jc w:val="center"/>
              <w:rPr>
                <w:sz w:val="20"/>
                <w:szCs w:val="20"/>
              </w:rPr>
            </w:pPr>
            <w:r w:rsidRPr="001B3083">
              <w:rPr>
                <w:sz w:val="20"/>
                <w:szCs w:val="20"/>
              </w:rPr>
              <w:t>25,067</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48,069</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9,971</w:t>
            </w:r>
          </w:p>
        </w:tc>
        <w:tc>
          <w:tcPr>
            <w:tcW w:w="1083" w:type="dxa"/>
            <w:vAlign w:val="center"/>
          </w:tcPr>
          <w:p w:rsidR="00716665" w:rsidRPr="001B3083" w:rsidRDefault="00716665" w:rsidP="001B3083">
            <w:pPr>
              <w:ind w:left="720" w:hanging="720"/>
              <w:jc w:val="center"/>
              <w:rPr>
                <w:sz w:val="20"/>
                <w:szCs w:val="20"/>
              </w:rPr>
            </w:pPr>
            <w:r w:rsidRPr="001B3083">
              <w:rPr>
                <w:sz w:val="20"/>
                <w:szCs w:val="20"/>
              </w:rPr>
              <w:t>187,377</w:t>
            </w:r>
          </w:p>
        </w:tc>
      </w:tr>
      <w:tr w:rsidR="00716665" w:rsidRPr="001B3083">
        <w:trPr>
          <w:trHeight w:val="648"/>
        </w:trPr>
        <w:tc>
          <w:tcPr>
            <w:tcW w:w="1980" w:type="dxa"/>
            <w:vAlign w:val="center"/>
          </w:tcPr>
          <w:p w:rsidR="00716665" w:rsidRPr="007E0FD3" w:rsidRDefault="00716665" w:rsidP="001B3083">
            <w:pPr>
              <w:ind w:left="720" w:hanging="720"/>
              <w:jc w:val="center"/>
              <w:rPr>
                <w:b/>
                <w:bCs/>
                <w:sz w:val="20"/>
                <w:szCs w:val="20"/>
              </w:rPr>
            </w:pPr>
            <w:r w:rsidRPr="007E0FD3">
              <w:rPr>
                <w:b/>
                <w:bCs/>
                <w:sz w:val="20"/>
                <w:szCs w:val="20"/>
              </w:rPr>
              <w:t>12-1449-GE-UNC</w:t>
            </w:r>
          </w:p>
          <w:p w:rsidR="00716665" w:rsidRPr="001B3083" w:rsidRDefault="00716665" w:rsidP="007E0FD3">
            <w:pPr>
              <w:jc w:val="center"/>
              <w:rPr>
                <w:sz w:val="20"/>
                <w:szCs w:val="20"/>
              </w:rPr>
            </w:pPr>
            <w:r w:rsidRPr="008018A0">
              <w:rPr>
                <w:sz w:val="20"/>
                <w:szCs w:val="20"/>
              </w:rPr>
              <w:t>6/1/2011 – 5/31/2012</w:t>
            </w:r>
          </w:p>
        </w:tc>
        <w:tc>
          <w:tcPr>
            <w:tcW w:w="878" w:type="dxa"/>
            <w:vAlign w:val="center"/>
          </w:tcPr>
          <w:p w:rsidR="00716665" w:rsidRPr="001B3083" w:rsidRDefault="00716665" w:rsidP="001B3083">
            <w:pPr>
              <w:ind w:left="720" w:hanging="720"/>
              <w:jc w:val="center"/>
              <w:rPr>
                <w:sz w:val="20"/>
                <w:szCs w:val="20"/>
              </w:rPr>
            </w:pPr>
            <w:r w:rsidRPr="001B3083">
              <w:rPr>
                <w:sz w:val="20"/>
                <w:szCs w:val="20"/>
              </w:rPr>
              <w:t>36,996</w:t>
            </w:r>
          </w:p>
        </w:tc>
        <w:tc>
          <w:tcPr>
            <w:tcW w:w="1078" w:type="dxa"/>
            <w:vAlign w:val="center"/>
          </w:tcPr>
          <w:p w:rsidR="00716665" w:rsidRPr="001B3083" w:rsidRDefault="00716665" w:rsidP="001B3083">
            <w:pPr>
              <w:ind w:left="720" w:hanging="720"/>
              <w:jc w:val="center"/>
              <w:rPr>
                <w:sz w:val="20"/>
                <w:szCs w:val="20"/>
              </w:rPr>
            </w:pPr>
            <w:r w:rsidRPr="001B3083">
              <w:rPr>
                <w:sz w:val="20"/>
                <w:szCs w:val="20"/>
              </w:rPr>
              <w:t>110,224</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19,622</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47,559</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9,975</w:t>
            </w:r>
          </w:p>
        </w:tc>
        <w:tc>
          <w:tcPr>
            <w:tcW w:w="1083" w:type="dxa"/>
            <w:vAlign w:val="center"/>
          </w:tcPr>
          <w:p w:rsidR="00716665" w:rsidRPr="001B3083" w:rsidRDefault="00716665" w:rsidP="001B3083">
            <w:pPr>
              <w:ind w:left="720" w:hanging="720"/>
              <w:jc w:val="center"/>
              <w:rPr>
                <w:sz w:val="20"/>
                <w:szCs w:val="20"/>
              </w:rPr>
            </w:pPr>
            <w:r w:rsidRPr="001B3083">
              <w:rPr>
                <w:sz w:val="20"/>
                <w:szCs w:val="20"/>
              </w:rPr>
              <w:t>224,376</w:t>
            </w:r>
          </w:p>
        </w:tc>
      </w:tr>
      <w:tr w:rsidR="00716665" w:rsidRPr="001B3083">
        <w:tc>
          <w:tcPr>
            <w:tcW w:w="1980" w:type="dxa"/>
            <w:vAlign w:val="center"/>
          </w:tcPr>
          <w:p w:rsidR="00716665" w:rsidRPr="001B3083" w:rsidRDefault="00716665" w:rsidP="001B3083">
            <w:pPr>
              <w:ind w:left="15"/>
              <w:jc w:val="center"/>
              <w:rPr>
                <w:b/>
                <w:bCs/>
                <w:sz w:val="20"/>
                <w:szCs w:val="20"/>
              </w:rPr>
            </w:pPr>
          </w:p>
          <w:p w:rsidR="00716665" w:rsidRPr="001B3083" w:rsidRDefault="00716665" w:rsidP="001B3083">
            <w:pPr>
              <w:ind w:left="15"/>
              <w:jc w:val="center"/>
              <w:rPr>
                <w:b/>
                <w:bCs/>
                <w:sz w:val="20"/>
                <w:szCs w:val="20"/>
              </w:rPr>
            </w:pPr>
            <w:r w:rsidRPr="001B3083">
              <w:rPr>
                <w:b/>
                <w:bCs/>
                <w:sz w:val="20"/>
                <w:szCs w:val="20"/>
              </w:rPr>
              <w:t>Avg. # Customers</w:t>
            </w:r>
            <w:r w:rsidRPr="001B3083">
              <w:rPr>
                <w:rStyle w:val="FootnoteReference"/>
                <w:b/>
                <w:bCs/>
                <w:sz w:val="20"/>
                <w:szCs w:val="20"/>
              </w:rPr>
              <w:footnoteReference w:id="51"/>
            </w:r>
          </w:p>
          <w:p w:rsidR="00716665" w:rsidRPr="001B3083" w:rsidRDefault="00716665" w:rsidP="001B3083">
            <w:pPr>
              <w:ind w:left="720" w:hanging="720"/>
              <w:jc w:val="center"/>
              <w:rPr>
                <w:b/>
                <w:bCs/>
                <w:sz w:val="20"/>
                <w:szCs w:val="20"/>
              </w:rPr>
            </w:pPr>
          </w:p>
        </w:tc>
        <w:tc>
          <w:tcPr>
            <w:tcW w:w="878" w:type="dxa"/>
            <w:vAlign w:val="center"/>
          </w:tcPr>
          <w:p w:rsidR="00716665" w:rsidRPr="001B3083" w:rsidRDefault="00716665" w:rsidP="001B3083">
            <w:pPr>
              <w:ind w:left="720" w:hanging="720"/>
              <w:jc w:val="center"/>
              <w:rPr>
                <w:b/>
                <w:bCs/>
                <w:sz w:val="20"/>
                <w:szCs w:val="20"/>
              </w:rPr>
            </w:pPr>
            <w:r w:rsidRPr="001B3083">
              <w:rPr>
                <w:b/>
                <w:bCs/>
                <w:sz w:val="20"/>
                <w:szCs w:val="20"/>
              </w:rPr>
              <w:t>455,981</w:t>
            </w:r>
          </w:p>
        </w:tc>
        <w:tc>
          <w:tcPr>
            <w:tcW w:w="1078" w:type="dxa"/>
            <w:vAlign w:val="center"/>
          </w:tcPr>
          <w:p w:rsidR="00716665" w:rsidRPr="001B3083" w:rsidRDefault="00716665" w:rsidP="001B3083">
            <w:pPr>
              <w:ind w:left="720" w:hanging="720"/>
              <w:jc w:val="center"/>
              <w:rPr>
                <w:b/>
                <w:bCs/>
                <w:sz w:val="20"/>
                <w:szCs w:val="20"/>
              </w:rPr>
            </w:pPr>
            <w:r w:rsidRPr="001B3083">
              <w:rPr>
                <w:b/>
                <w:bCs/>
                <w:sz w:val="20"/>
                <w:szCs w:val="20"/>
              </w:rPr>
              <w:t>1,273,457</w:t>
            </w:r>
          </w:p>
        </w:tc>
        <w:tc>
          <w:tcPr>
            <w:tcW w:w="929" w:type="dxa"/>
            <w:vAlign w:val="center"/>
          </w:tcPr>
          <w:p w:rsidR="00716665" w:rsidRPr="001B3083" w:rsidRDefault="00716665" w:rsidP="001B3083">
            <w:pPr>
              <w:ind w:left="720" w:hanging="720"/>
              <w:jc w:val="center"/>
              <w:rPr>
                <w:b/>
                <w:bCs/>
                <w:sz w:val="20"/>
                <w:szCs w:val="20"/>
              </w:rPr>
            </w:pPr>
            <w:r w:rsidRPr="001B3083">
              <w:rPr>
                <w:b/>
                <w:bCs/>
                <w:sz w:val="20"/>
                <w:szCs w:val="20"/>
              </w:rPr>
              <w:t>662,430</w:t>
            </w:r>
          </w:p>
        </w:tc>
        <w:tc>
          <w:tcPr>
            <w:tcW w:w="929" w:type="dxa"/>
            <w:vAlign w:val="center"/>
          </w:tcPr>
          <w:p w:rsidR="00716665" w:rsidRPr="001B3083" w:rsidRDefault="00716665" w:rsidP="001B3083">
            <w:pPr>
              <w:ind w:left="720" w:hanging="720"/>
              <w:jc w:val="center"/>
              <w:rPr>
                <w:b/>
                <w:bCs/>
                <w:sz w:val="20"/>
                <w:szCs w:val="20"/>
              </w:rPr>
            </w:pPr>
            <w:r w:rsidRPr="001B3083">
              <w:rPr>
                <w:b/>
                <w:bCs/>
                <w:sz w:val="20"/>
                <w:szCs w:val="20"/>
              </w:rPr>
              <w:t>919,447</w:t>
            </w:r>
          </w:p>
        </w:tc>
        <w:tc>
          <w:tcPr>
            <w:tcW w:w="929" w:type="dxa"/>
            <w:vAlign w:val="center"/>
          </w:tcPr>
          <w:p w:rsidR="00716665" w:rsidRPr="001B3083" w:rsidRDefault="00716665" w:rsidP="001B3083">
            <w:pPr>
              <w:ind w:left="720" w:hanging="720"/>
              <w:jc w:val="center"/>
              <w:rPr>
                <w:b/>
                <w:bCs/>
                <w:sz w:val="20"/>
                <w:szCs w:val="20"/>
              </w:rPr>
            </w:pPr>
            <w:r w:rsidRPr="001B3083">
              <w:rPr>
                <w:b/>
                <w:bCs/>
                <w:sz w:val="20"/>
                <w:szCs w:val="20"/>
              </w:rPr>
              <w:t>272,339</w:t>
            </w:r>
          </w:p>
        </w:tc>
        <w:tc>
          <w:tcPr>
            <w:tcW w:w="1083" w:type="dxa"/>
            <w:vAlign w:val="center"/>
          </w:tcPr>
          <w:p w:rsidR="00716665" w:rsidRPr="001B3083" w:rsidRDefault="00716665" w:rsidP="001B3083">
            <w:pPr>
              <w:ind w:left="720" w:hanging="720"/>
              <w:jc w:val="center"/>
              <w:rPr>
                <w:b/>
                <w:bCs/>
                <w:sz w:val="20"/>
                <w:szCs w:val="20"/>
              </w:rPr>
            </w:pPr>
            <w:r w:rsidRPr="001B3083">
              <w:rPr>
                <w:b/>
                <w:bCs/>
                <w:sz w:val="20"/>
                <w:szCs w:val="20"/>
              </w:rPr>
              <w:t>3,583,654</w:t>
            </w:r>
          </w:p>
        </w:tc>
      </w:tr>
      <w:tr w:rsidR="00716665" w:rsidRPr="001B3083">
        <w:trPr>
          <w:trHeight w:val="648"/>
        </w:trPr>
        <w:tc>
          <w:tcPr>
            <w:tcW w:w="1980" w:type="dxa"/>
            <w:vAlign w:val="center"/>
          </w:tcPr>
          <w:p w:rsidR="00716665" w:rsidRPr="001B3083" w:rsidRDefault="00716665" w:rsidP="007E0FD3">
            <w:pPr>
              <w:jc w:val="center"/>
              <w:rPr>
                <w:sz w:val="20"/>
                <w:szCs w:val="20"/>
              </w:rPr>
            </w:pPr>
            <w:r w:rsidRPr="001B3083">
              <w:rPr>
                <w:sz w:val="20"/>
                <w:szCs w:val="20"/>
              </w:rPr>
              <w:t>Current Disconnection</w:t>
            </w:r>
            <w:r w:rsidR="00192690">
              <w:rPr>
                <w:sz w:val="20"/>
                <w:szCs w:val="20"/>
              </w:rPr>
              <w:t xml:space="preserve"> </w:t>
            </w:r>
            <w:r w:rsidRPr="001B3083">
              <w:rPr>
                <w:sz w:val="20"/>
                <w:szCs w:val="20"/>
              </w:rPr>
              <w:t>Rate</w:t>
            </w:r>
          </w:p>
        </w:tc>
        <w:tc>
          <w:tcPr>
            <w:tcW w:w="878" w:type="dxa"/>
            <w:vAlign w:val="center"/>
          </w:tcPr>
          <w:p w:rsidR="00716665" w:rsidRPr="001B3083" w:rsidRDefault="00716665" w:rsidP="001B3083">
            <w:pPr>
              <w:ind w:left="720" w:hanging="720"/>
              <w:jc w:val="center"/>
              <w:rPr>
                <w:sz w:val="20"/>
                <w:szCs w:val="20"/>
              </w:rPr>
            </w:pPr>
            <w:r w:rsidRPr="001B3083">
              <w:rPr>
                <w:sz w:val="20"/>
                <w:szCs w:val="20"/>
              </w:rPr>
              <w:t>8.1%</w:t>
            </w:r>
          </w:p>
        </w:tc>
        <w:tc>
          <w:tcPr>
            <w:tcW w:w="1078" w:type="dxa"/>
            <w:vAlign w:val="center"/>
          </w:tcPr>
          <w:p w:rsidR="00716665" w:rsidRPr="001B3083" w:rsidRDefault="00716665" w:rsidP="001B3083">
            <w:pPr>
              <w:ind w:left="720" w:hanging="720"/>
              <w:jc w:val="center"/>
              <w:rPr>
                <w:sz w:val="20"/>
                <w:szCs w:val="20"/>
              </w:rPr>
            </w:pPr>
            <w:r w:rsidRPr="001B3083">
              <w:rPr>
                <w:sz w:val="20"/>
                <w:szCs w:val="20"/>
              </w:rPr>
              <w:t>8.6%</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3.0%</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5.2%</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3.7%</w:t>
            </w:r>
          </w:p>
        </w:tc>
        <w:tc>
          <w:tcPr>
            <w:tcW w:w="1083" w:type="dxa"/>
            <w:vAlign w:val="center"/>
          </w:tcPr>
          <w:p w:rsidR="00716665" w:rsidRPr="001B3083" w:rsidRDefault="00716665" w:rsidP="001B3083">
            <w:pPr>
              <w:ind w:left="720" w:hanging="720"/>
              <w:jc w:val="center"/>
              <w:rPr>
                <w:sz w:val="20"/>
                <w:szCs w:val="20"/>
              </w:rPr>
            </w:pPr>
            <w:r w:rsidRPr="001B3083">
              <w:rPr>
                <w:sz w:val="20"/>
                <w:szCs w:val="20"/>
              </w:rPr>
              <w:t>6.3%</w:t>
            </w:r>
          </w:p>
        </w:tc>
      </w:tr>
      <w:tr w:rsidR="00716665" w:rsidRPr="001B3083">
        <w:trPr>
          <w:trHeight w:val="648"/>
        </w:trPr>
        <w:tc>
          <w:tcPr>
            <w:tcW w:w="1980" w:type="dxa"/>
            <w:vAlign w:val="center"/>
          </w:tcPr>
          <w:p w:rsidR="00716665" w:rsidRPr="001B3083" w:rsidRDefault="00716665" w:rsidP="007E0FD3">
            <w:pPr>
              <w:jc w:val="center"/>
              <w:rPr>
                <w:sz w:val="20"/>
                <w:szCs w:val="20"/>
              </w:rPr>
            </w:pPr>
            <w:r w:rsidRPr="001B3083">
              <w:rPr>
                <w:sz w:val="20"/>
                <w:szCs w:val="20"/>
              </w:rPr>
              <w:t>Disconnection Rate</w:t>
            </w:r>
            <w:r w:rsidR="00192690">
              <w:rPr>
                <w:sz w:val="20"/>
                <w:szCs w:val="20"/>
              </w:rPr>
              <w:t xml:space="preserve"> </w:t>
            </w:r>
            <w:r w:rsidRPr="001B3083">
              <w:rPr>
                <w:sz w:val="20"/>
                <w:szCs w:val="20"/>
              </w:rPr>
              <w:t>Change from 2011</w:t>
            </w:r>
          </w:p>
        </w:tc>
        <w:tc>
          <w:tcPr>
            <w:tcW w:w="878" w:type="dxa"/>
            <w:vAlign w:val="center"/>
          </w:tcPr>
          <w:p w:rsidR="00716665" w:rsidRPr="001B3083" w:rsidRDefault="00716665" w:rsidP="001B3083">
            <w:pPr>
              <w:ind w:left="720" w:hanging="720"/>
              <w:jc w:val="center"/>
              <w:rPr>
                <w:sz w:val="20"/>
                <w:szCs w:val="20"/>
              </w:rPr>
            </w:pPr>
            <w:r w:rsidRPr="001B3083">
              <w:rPr>
                <w:sz w:val="20"/>
                <w:szCs w:val="20"/>
              </w:rPr>
              <w:t>.3%</w:t>
            </w:r>
          </w:p>
        </w:tc>
        <w:tc>
          <w:tcPr>
            <w:tcW w:w="1078" w:type="dxa"/>
            <w:vAlign w:val="center"/>
          </w:tcPr>
          <w:p w:rsidR="00716665" w:rsidRPr="001B3083" w:rsidRDefault="00716665" w:rsidP="001B3083">
            <w:pPr>
              <w:ind w:left="720" w:hanging="720"/>
              <w:jc w:val="center"/>
              <w:rPr>
                <w:sz w:val="20"/>
                <w:szCs w:val="20"/>
              </w:rPr>
            </w:pPr>
            <w:r w:rsidRPr="001B3083">
              <w:rPr>
                <w:sz w:val="20"/>
                <w:szCs w:val="20"/>
              </w:rPr>
              <w:t>3.2%</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-.8%</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-.06%</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w:t>
            </w:r>
          </w:p>
        </w:tc>
        <w:tc>
          <w:tcPr>
            <w:tcW w:w="1083" w:type="dxa"/>
            <w:vAlign w:val="center"/>
          </w:tcPr>
          <w:p w:rsidR="00716665" w:rsidRPr="001B3083" w:rsidRDefault="00716665" w:rsidP="001B3083">
            <w:pPr>
              <w:ind w:left="720" w:hanging="720"/>
              <w:jc w:val="center"/>
              <w:rPr>
                <w:sz w:val="20"/>
                <w:szCs w:val="20"/>
              </w:rPr>
            </w:pPr>
            <w:r w:rsidRPr="001B3083">
              <w:rPr>
                <w:sz w:val="20"/>
                <w:szCs w:val="20"/>
              </w:rPr>
              <w:t>1.1%</w:t>
            </w:r>
          </w:p>
        </w:tc>
      </w:tr>
      <w:tr w:rsidR="00716665" w:rsidRPr="001B3083">
        <w:trPr>
          <w:trHeight w:val="648"/>
        </w:trPr>
        <w:tc>
          <w:tcPr>
            <w:tcW w:w="1980" w:type="dxa"/>
            <w:vAlign w:val="center"/>
          </w:tcPr>
          <w:p w:rsidR="00716665" w:rsidRPr="001B3083" w:rsidRDefault="00716665" w:rsidP="007E0FD3">
            <w:pPr>
              <w:jc w:val="center"/>
              <w:rPr>
                <w:sz w:val="20"/>
                <w:szCs w:val="20"/>
              </w:rPr>
            </w:pPr>
            <w:r w:rsidRPr="001B3083">
              <w:rPr>
                <w:sz w:val="20"/>
                <w:szCs w:val="20"/>
              </w:rPr>
              <w:t>3 Year Average</w:t>
            </w:r>
            <w:r w:rsidR="00192690">
              <w:rPr>
                <w:sz w:val="20"/>
                <w:szCs w:val="20"/>
              </w:rPr>
              <w:t xml:space="preserve"> </w:t>
            </w:r>
            <w:r w:rsidRPr="001B3083">
              <w:rPr>
                <w:sz w:val="20"/>
                <w:szCs w:val="20"/>
              </w:rPr>
              <w:t>Disconnection Rate</w:t>
            </w:r>
          </w:p>
        </w:tc>
        <w:tc>
          <w:tcPr>
            <w:tcW w:w="878" w:type="dxa"/>
            <w:vAlign w:val="center"/>
          </w:tcPr>
          <w:p w:rsidR="00716665" w:rsidRPr="001B3083" w:rsidRDefault="00716665" w:rsidP="001B3083">
            <w:pPr>
              <w:ind w:left="720" w:hanging="720"/>
              <w:jc w:val="center"/>
              <w:rPr>
                <w:sz w:val="20"/>
                <w:szCs w:val="20"/>
              </w:rPr>
            </w:pPr>
            <w:r w:rsidRPr="001B3083">
              <w:rPr>
                <w:sz w:val="20"/>
                <w:szCs w:val="20"/>
              </w:rPr>
              <w:t>8.3%</w:t>
            </w:r>
          </w:p>
        </w:tc>
        <w:tc>
          <w:tcPr>
            <w:tcW w:w="1078" w:type="dxa"/>
            <w:vAlign w:val="center"/>
          </w:tcPr>
          <w:p w:rsidR="00716665" w:rsidRPr="001B3083" w:rsidRDefault="00716665" w:rsidP="001B3083">
            <w:pPr>
              <w:ind w:left="720" w:hanging="720"/>
              <w:jc w:val="center"/>
              <w:rPr>
                <w:sz w:val="20"/>
                <w:szCs w:val="20"/>
              </w:rPr>
            </w:pPr>
            <w:r w:rsidRPr="001B3083">
              <w:rPr>
                <w:sz w:val="20"/>
                <w:szCs w:val="20"/>
              </w:rPr>
              <w:t>7.0%</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3.4%</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5.2%</w:t>
            </w:r>
          </w:p>
        </w:tc>
        <w:tc>
          <w:tcPr>
            <w:tcW w:w="929" w:type="dxa"/>
            <w:vAlign w:val="center"/>
          </w:tcPr>
          <w:p w:rsidR="00716665" w:rsidRPr="001B3083" w:rsidRDefault="00716665" w:rsidP="001B3083">
            <w:pPr>
              <w:ind w:left="720" w:hanging="720"/>
              <w:jc w:val="center"/>
              <w:rPr>
                <w:sz w:val="20"/>
                <w:szCs w:val="20"/>
              </w:rPr>
            </w:pPr>
            <w:r w:rsidRPr="001B3083">
              <w:rPr>
                <w:sz w:val="20"/>
                <w:szCs w:val="20"/>
              </w:rPr>
              <w:t>3.7%</w:t>
            </w:r>
          </w:p>
        </w:tc>
        <w:tc>
          <w:tcPr>
            <w:tcW w:w="1083" w:type="dxa"/>
            <w:vAlign w:val="center"/>
          </w:tcPr>
          <w:p w:rsidR="00716665" w:rsidRPr="001B3083" w:rsidRDefault="00716665" w:rsidP="001B3083">
            <w:pPr>
              <w:ind w:left="720" w:hanging="720"/>
              <w:jc w:val="center"/>
              <w:rPr>
                <w:sz w:val="20"/>
                <w:szCs w:val="20"/>
              </w:rPr>
            </w:pPr>
            <w:r w:rsidRPr="001B3083">
              <w:rPr>
                <w:sz w:val="20"/>
                <w:szCs w:val="20"/>
              </w:rPr>
              <w:t>5.8%</w:t>
            </w:r>
          </w:p>
        </w:tc>
      </w:tr>
    </w:tbl>
    <w:p w:rsidR="00716665" w:rsidRPr="00CD799C" w:rsidRDefault="00716665" w:rsidP="00CD799C">
      <w:pPr>
        <w:spacing w:line="480" w:lineRule="auto"/>
        <w:ind w:left="720" w:hanging="720"/>
        <w:rPr>
          <w:b/>
          <w:bCs/>
        </w:rPr>
      </w:pPr>
    </w:p>
    <w:p w:rsidR="00716665" w:rsidRDefault="00716665" w:rsidP="00C54F9E">
      <w:pPr>
        <w:spacing w:line="480" w:lineRule="auto"/>
        <w:ind w:left="720"/>
      </w:pPr>
      <w:r>
        <w:t>The number of DP&amp;L disconnections in the most recent reporting period (June 1, 2011 – May 31, 2012) was 36,996 representing a disconnection rate of 8.1 percent.  AEP Ohio had a slightly higher disconnection rate of 8.6% for the period.  The disconnection rate for the other electric utilities varied from 3 percent to 5.2 percent.  However, in reviewing the number of disconnections over a three-year period, I observed that the DP&amp;L disconnections are a much higher percentage of total customers than the other Ohio electric utilities.  I calculated a disconnection rate of 8.3 percent for DP&amp;L which was significantly higher than any of the other Ohio electric utilities which averaged together was approximately 4.8 percent.</w:t>
      </w:r>
    </w:p>
    <w:p w:rsidR="00716665" w:rsidRDefault="00716665" w:rsidP="00211485">
      <w:pPr>
        <w:spacing w:line="480" w:lineRule="auto"/>
        <w:ind w:left="720" w:hanging="720"/>
      </w:pPr>
    </w:p>
    <w:p w:rsidR="00716665" w:rsidRPr="00E53111" w:rsidRDefault="00716665" w:rsidP="00E53111">
      <w:pPr>
        <w:spacing w:line="480" w:lineRule="auto"/>
        <w:ind w:left="720" w:hanging="720"/>
      </w:pPr>
      <w:r>
        <w:rPr>
          <w:b/>
          <w:bCs/>
          <w:i/>
          <w:iCs/>
        </w:rPr>
        <w:t>Q21.</w:t>
      </w:r>
      <w:r>
        <w:rPr>
          <w:b/>
          <w:bCs/>
          <w:i/>
          <w:iCs/>
        </w:rPr>
        <w:tab/>
        <w:t>DOES THE HIGH POVERTY LEVEL IN DAYTON EXPLAIN WHY DP&amp;L HAS SUCH EXTRAORDINARILY HIGH DISCONNECTION RATES?</w:t>
      </w:r>
    </w:p>
    <w:p w:rsidR="00716665" w:rsidRDefault="00716665" w:rsidP="000007A7">
      <w:pPr>
        <w:spacing w:line="480" w:lineRule="auto"/>
        <w:ind w:left="720" w:hanging="720"/>
      </w:pPr>
      <w:r w:rsidRPr="00E85283">
        <w:rPr>
          <w:b/>
          <w:bCs/>
          <w:i/>
          <w:iCs/>
        </w:rPr>
        <w:t>A21.</w:t>
      </w:r>
      <w:r>
        <w:tab/>
        <w:t>While it may be true that Dayton has a poverty level of 32.5 percent, other Ohio electric utilities provide service in cities that have poverty levels that exceed Dayton; yet the disconnection numbers are not close to DP&amp;L.</w:t>
      </w:r>
      <w:r>
        <w:rPr>
          <w:rStyle w:val="FootnoteReference"/>
        </w:rPr>
        <w:footnoteReference w:id="52"/>
      </w:r>
      <w:r>
        <w:t xml:space="preserve">  For example, the poverty level in Cleveland</w:t>
      </w:r>
      <w:r>
        <w:rPr>
          <w:rStyle w:val="FootnoteReference"/>
        </w:rPr>
        <w:footnoteReference w:id="53"/>
      </w:r>
      <w:r>
        <w:t xml:space="preserve"> is 32.6 percent.  Even with a Cleveland population that is 177 percent greater</w:t>
      </w:r>
      <w:r>
        <w:rPr>
          <w:rStyle w:val="FootnoteReference"/>
        </w:rPr>
        <w:footnoteReference w:id="54"/>
      </w:r>
      <w:r>
        <w:t xml:space="preserve"> than Dayton, the CEI disconnection rate is 2.6 percent.  The poverty level in Youngstown</w:t>
      </w:r>
      <w:r>
        <w:rPr>
          <w:rStyle w:val="FootnoteReference"/>
        </w:rPr>
        <w:footnoteReference w:id="55"/>
      </w:r>
      <w:r>
        <w:t xml:space="preserve"> is 33.8 percent; yet the Ohio Edison disconnection rate is 5.1 percent.  The poverty level in Athens</w:t>
      </w:r>
      <w:r>
        <w:rPr>
          <w:rStyle w:val="FootnoteReference"/>
        </w:rPr>
        <w:footnoteReference w:id="56"/>
      </w:r>
      <w:r>
        <w:t xml:space="preserve"> is 53.3 percent; yet the Columbus Southern Power disconnection rate is 6.8 percent.  Additional economic information is provided later in this testimony.  My point is that other Ohio electric utilities operate in areas with high poverty rates and are able to maintain lower disconnection numbers.</w:t>
      </w:r>
    </w:p>
    <w:p w:rsidR="00716665" w:rsidRDefault="00716665" w:rsidP="000007A7">
      <w:pPr>
        <w:spacing w:line="480" w:lineRule="auto"/>
        <w:ind w:left="720" w:hanging="720"/>
        <w:rPr>
          <w:b/>
          <w:bCs/>
          <w:i/>
          <w:iCs/>
        </w:rPr>
      </w:pPr>
      <w:r>
        <w:rPr>
          <w:b/>
          <w:bCs/>
          <w:i/>
          <w:iCs/>
        </w:rPr>
        <w:br w:type="page"/>
        <w:t>Q22.</w:t>
      </w:r>
      <w:r>
        <w:rPr>
          <w:b/>
          <w:bCs/>
          <w:i/>
          <w:iCs/>
        </w:rPr>
        <w:tab/>
        <w:t>HOW DOES THE ELECTRIC BILL FOR DP&amp;L RESIDENTIAL CUSTOMERS COMPARE WITH THE ELECTRIC BILL OF CUSTOMERS IN OTHER PARTS OF OHIO (ASSUMING A USAGE OF 750 KWH PER MONTH)?</w:t>
      </w:r>
    </w:p>
    <w:p w:rsidR="00716665" w:rsidRDefault="00716665" w:rsidP="001C460F">
      <w:pPr>
        <w:spacing w:line="480" w:lineRule="auto"/>
        <w:ind w:left="720" w:hanging="720"/>
      </w:pPr>
      <w:r>
        <w:rPr>
          <w:b/>
          <w:bCs/>
          <w:i/>
          <w:iCs/>
        </w:rPr>
        <w:t>A22.</w:t>
      </w:r>
      <w:r>
        <w:rPr>
          <w:b/>
          <w:bCs/>
          <w:i/>
          <w:iCs/>
        </w:rPr>
        <w:tab/>
      </w:r>
      <w:r w:rsidRPr="00836608">
        <w:t xml:space="preserve">According to the PUCO </w:t>
      </w:r>
      <w:r>
        <w:t xml:space="preserve">Ohio Utility </w:t>
      </w:r>
      <w:r w:rsidRPr="00836608">
        <w:t xml:space="preserve">Rate Survey </w:t>
      </w:r>
      <w:r>
        <w:t xml:space="preserve">of January 15, 2013 </w:t>
      </w:r>
      <w:r w:rsidRPr="00836608">
        <w:t>(attached herein as JDW-</w:t>
      </w:r>
      <w:r>
        <w:t>17</w:t>
      </w:r>
      <w:r w:rsidRPr="00836608">
        <w:t>), DP&amp;L residential electric bill</w:t>
      </w:r>
      <w:r>
        <w:t xml:space="preserve">s are 10.9 </w:t>
      </w:r>
      <w:r w:rsidRPr="008C3009">
        <w:t>percent</w:t>
      </w:r>
      <w:r>
        <w:t xml:space="preserve"> </w:t>
      </w:r>
      <w:r w:rsidRPr="00836608">
        <w:t>highe</w:t>
      </w:r>
      <w:r>
        <w:t xml:space="preserve">r than the average electric bill in </w:t>
      </w:r>
      <w:r w:rsidRPr="00836608">
        <w:t xml:space="preserve">the state.  </w:t>
      </w:r>
      <w:r>
        <w:t>An average electric bill across eight Ohio cities was $96.87 assuming usage of 750 KWH.  However, DP&amp;L electric bills are $107.42 (the second highest in the state behind Columbus Southern Power) for the same usage.  However, DP&amp;L electric bills were 5.8 percent below the average electric bill in the state five years ago.  According to the PUCO Ohio Utility Rate Survey of January 15, 2008 (attached herein as JDW-18), a DP&amp;L electric bill with a usage of 750 KWH was $76.98 compared with a state average of $81.45.  Electric rates have increased from $0.10 per KWH in 2008 to $0.14 per KWH today in DP&amp;L service territory.  Table 5 provides an electric bill comparison from January 2008 with January 2013.</w:t>
      </w:r>
    </w:p>
    <w:p w:rsidR="00716665" w:rsidRDefault="00716665" w:rsidP="001C460F">
      <w:pPr>
        <w:spacing w:line="480" w:lineRule="auto"/>
        <w:ind w:left="720"/>
      </w:pPr>
    </w:p>
    <w:p w:rsidR="00716665" w:rsidRDefault="00716665" w:rsidP="001C460F">
      <w:pPr>
        <w:spacing w:line="480" w:lineRule="auto"/>
        <w:ind w:left="720"/>
      </w:pPr>
      <w:r>
        <w:t>The Ohio Utility Rate Survey reflects the bills based on the rates that have been approved by the PUCO.  If the Commission were to approve the DP&amp;L ESP as filed, the bill impact for a residential consumer using 750 KWH is $2.81 per month.</w:t>
      </w:r>
      <w:r>
        <w:rPr>
          <w:rStyle w:val="FootnoteReference"/>
        </w:rPr>
        <w:footnoteReference w:id="57"/>
      </w:r>
      <w:r>
        <w:t xml:space="preserve">  The residential bill would increase to $110.23 per month or 13.8 percent higher than the average residential bill in the eight cities included in the survey.  However, DP&amp;L has also filed an application to recover storm costs and the projected bill impact is $2.08 per month.</w:t>
      </w:r>
      <w:r>
        <w:rPr>
          <w:rStyle w:val="FootnoteReference"/>
        </w:rPr>
        <w:footnoteReference w:id="58"/>
      </w:r>
      <w:r>
        <w:t xml:space="preserve">  The impact of the ESP and the storm cost recovery case could result in a DP&amp;L customer using 750 KWH paying $112.31 per month – almost 16 percent higher than the state average bill.</w:t>
      </w:r>
    </w:p>
    <w:p w:rsidR="00716665" w:rsidRDefault="00716665" w:rsidP="00D04B46">
      <w:pPr>
        <w:ind w:left="720"/>
        <w:jc w:val="center"/>
        <w:rPr>
          <w:b/>
          <w:bCs/>
        </w:rPr>
      </w:pPr>
      <w:r w:rsidRPr="00740EC2">
        <w:rPr>
          <w:b/>
          <w:bCs/>
        </w:rPr>
        <w:t xml:space="preserve">Table </w:t>
      </w:r>
      <w:r>
        <w:rPr>
          <w:b/>
          <w:bCs/>
        </w:rPr>
        <w:t>5</w:t>
      </w:r>
      <w:r w:rsidRPr="00740EC2">
        <w:rPr>
          <w:b/>
          <w:bCs/>
        </w:rPr>
        <w:t>: Ohio Energy Bills – Residential Customers</w:t>
      </w:r>
    </w:p>
    <w:p w:rsidR="00716665" w:rsidRPr="00740EC2" w:rsidRDefault="00716665" w:rsidP="001C460F">
      <w:pPr>
        <w:spacing w:after="120"/>
        <w:ind w:left="720" w:hanging="720"/>
        <w:jc w:val="center"/>
        <w:rPr>
          <w:b/>
          <w:bCs/>
        </w:rPr>
      </w:pPr>
      <w:r w:rsidRPr="00740EC2">
        <w:rPr>
          <w:b/>
          <w:bCs/>
        </w:rPr>
        <w:t>Major Ohio Cities (</w:t>
      </w:r>
      <w:r>
        <w:rPr>
          <w:b/>
          <w:bCs/>
        </w:rPr>
        <w:t>January 2008 Compared with January 2013)</w:t>
      </w:r>
    </w:p>
    <w:tbl>
      <w:tblPr>
        <w:tblpPr w:leftFromText="180" w:rightFromText="180" w:vertAnchor="text" w:horzAnchor="margin" w:tblpXSpec="center" w:tblpY="150"/>
        <w:tblW w:w="0" w:type="auto"/>
        <w:tblLook w:val="01E0" w:firstRow="1" w:lastRow="1" w:firstColumn="1" w:lastColumn="1" w:noHBand="0" w:noVBand="0"/>
      </w:tblPr>
      <w:tblGrid>
        <w:gridCol w:w="1980"/>
        <w:gridCol w:w="1728"/>
        <w:gridCol w:w="1728"/>
        <w:gridCol w:w="1728"/>
        <w:gridCol w:w="1260"/>
      </w:tblGrid>
      <w:tr w:rsidR="00716665" w:rsidRPr="007E0FD3">
        <w:tc>
          <w:tcPr>
            <w:tcW w:w="1980" w:type="dxa"/>
            <w:tcBorders>
              <w:right w:val="single" w:sz="4" w:space="0" w:color="auto"/>
            </w:tcBorders>
          </w:tcPr>
          <w:p w:rsidR="00716665" w:rsidRPr="007E0FD3" w:rsidRDefault="00716665" w:rsidP="004150CF">
            <w:pPr>
              <w:jc w:val="center"/>
            </w:pPr>
          </w:p>
        </w:tc>
        <w:tc>
          <w:tcPr>
            <w:tcW w:w="1728" w:type="dxa"/>
            <w:tcBorders>
              <w:top w:val="single" w:sz="4" w:space="0" w:color="auto"/>
              <w:left w:val="single" w:sz="4" w:space="0" w:color="auto"/>
              <w:bottom w:val="single" w:sz="4" w:space="0" w:color="auto"/>
            </w:tcBorders>
          </w:tcPr>
          <w:p w:rsidR="00716665" w:rsidRPr="007E0FD3" w:rsidRDefault="00716665" w:rsidP="001368BA">
            <w:pPr>
              <w:jc w:val="right"/>
              <w:rPr>
                <w:b/>
                <w:bCs/>
              </w:rPr>
            </w:pPr>
            <w:r w:rsidRPr="007E0FD3">
              <w:rPr>
                <w:b/>
                <w:bCs/>
              </w:rPr>
              <w:t xml:space="preserve">January </w:t>
            </w:r>
          </w:p>
        </w:tc>
        <w:tc>
          <w:tcPr>
            <w:tcW w:w="1728" w:type="dxa"/>
            <w:tcBorders>
              <w:top w:val="single" w:sz="4" w:space="0" w:color="auto"/>
              <w:bottom w:val="single" w:sz="4" w:space="0" w:color="auto"/>
              <w:right w:val="single" w:sz="4" w:space="0" w:color="auto"/>
            </w:tcBorders>
          </w:tcPr>
          <w:p w:rsidR="00716665" w:rsidRPr="007E0FD3" w:rsidRDefault="00716665" w:rsidP="001368BA">
            <w:pPr>
              <w:rPr>
                <w:b/>
                <w:bCs/>
              </w:rPr>
            </w:pPr>
            <w:r w:rsidRPr="007E0FD3">
              <w:rPr>
                <w:b/>
                <w:bCs/>
              </w:rPr>
              <w:t>2008</w:t>
            </w:r>
          </w:p>
        </w:tc>
        <w:tc>
          <w:tcPr>
            <w:tcW w:w="1728" w:type="dxa"/>
            <w:tcBorders>
              <w:top w:val="single" w:sz="4" w:space="0" w:color="auto"/>
              <w:left w:val="single" w:sz="4" w:space="0" w:color="auto"/>
              <w:bottom w:val="single" w:sz="4" w:space="0" w:color="auto"/>
            </w:tcBorders>
          </w:tcPr>
          <w:p w:rsidR="00716665" w:rsidRPr="007E0FD3" w:rsidRDefault="00716665" w:rsidP="001368BA">
            <w:pPr>
              <w:jc w:val="right"/>
              <w:rPr>
                <w:b/>
                <w:bCs/>
              </w:rPr>
            </w:pPr>
            <w:r w:rsidRPr="007E0FD3">
              <w:rPr>
                <w:b/>
                <w:bCs/>
              </w:rPr>
              <w:t xml:space="preserve">January </w:t>
            </w:r>
          </w:p>
        </w:tc>
        <w:tc>
          <w:tcPr>
            <w:tcW w:w="1260" w:type="dxa"/>
            <w:tcBorders>
              <w:top w:val="single" w:sz="4" w:space="0" w:color="auto"/>
              <w:bottom w:val="single" w:sz="4" w:space="0" w:color="auto"/>
              <w:right w:val="single" w:sz="4" w:space="0" w:color="auto"/>
            </w:tcBorders>
          </w:tcPr>
          <w:p w:rsidR="00716665" w:rsidRPr="007E0FD3" w:rsidRDefault="00716665" w:rsidP="001368BA">
            <w:pPr>
              <w:rPr>
                <w:b/>
                <w:bCs/>
              </w:rPr>
            </w:pPr>
            <w:r w:rsidRPr="007E0FD3">
              <w:rPr>
                <w:b/>
                <w:bCs/>
              </w:rPr>
              <w:t>2013</w:t>
            </w:r>
          </w:p>
        </w:tc>
      </w:tr>
      <w:tr w:rsidR="00716665" w:rsidRPr="007E0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Pr>
          <w:p w:rsidR="00716665" w:rsidRPr="007E0FD3" w:rsidRDefault="00716665" w:rsidP="004150CF">
            <w:pPr>
              <w:jc w:val="center"/>
              <w:rPr>
                <w:b/>
                <w:bCs/>
              </w:rPr>
            </w:pPr>
            <w:r w:rsidRPr="007E0FD3">
              <w:rPr>
                <w:b/>
                <w:bCs/>
              </w:rPr>
              <w:t>City</w:t>
            </w:r>
          </w:p>
        </w:tc>
        <w:tc>
          <w:tcPr>
            <w:tcW w:w="1728" w:type="dxa"/>
          </w:tcPr>
          <w:p w:rsidR="00716665" w:rsidRPr="007E0FD3" w:rsidRDefault="00716665" w:rsidP="004150CF">
            <w:pPr>
              <w:jc w:val="center"/>
              <w:rPr>
                <w:b/>
                <w:bCs/>
              </w:rPr>
            </w:pPr>
            <w:r w:rsidRPr="007E0FD3">
              <w:rPr>
                <w:b/>
                <w:bCs/>
              </w:rPr>
              <w:t>Electric Bill*</w:t>
            </w:r>
          </w:p>
        </w:tc>
        <w:tc>
          <w:tcPr>
            <w:tcW w:w="1728" w:type="dxa"/>
          </w:tcPr>
          <w:p w:rsidR="00716665" w:rsidRPr="007E0FD3" w:rsidRDefault="00716665" w:rsidP="004150CF">
            <w:pPr>
              <w:jc w:val="center"/>
              <w:rPr>
                <w:b/>
                <w:bCs/>
              </w:rPr>
            </w:pPr>
            <w:r w:rsidRPr="007E0FD3">
              <w:rPr>
                <w:b/>
                <w:bCs/>
              </w:rPr>
              <w:t>Per KWH</w:t>
            </w:r>
          </w:p>
        </w:tc>
        <w:tc>
          <w:tcPr>
            <w:tcW w:w="1728" w:type="dxa"/>
          </w:tcPr>
          <w:p w:rsidR="00716665" w:rsidRPr="007E0FD3" w:rsidRDefault="00716665" w:rsidP="004150CF">
            <w:pPr>
              <w:jc w:val="center"/>
              <w:rPr>
                <w:b/>
                <w:bCs/>
              </w:rPr>
            </w:pPr>
            <w:r w:rsidRPr="007E0FD3">
              <w:rPr>
                <w:b/>
                <w:bCs/>
              </w:rPr>
              <w:t>Electric Bill*</w:t>
            </w:r>
          </w:p>
        </w:tc>
        <w:tc>
          <w:tcPr>
            <w:tcW w:w="1260" w:type="dxa"/>
          </w:tcPr>
          <w:p w:rsidR="00716665" w:rsidRPr="007E0FD3" w:rsidRDefault="00716665" w:rsidP="004150CF">
            <w:pPr>
              <w:jc w:val="center"/>
              <w:rPr>
                <w:b/>
                <w:bCs/>
              </w:rPr>
            </w:pPr>
            <w:r w:rsidRPr="007E0FD3">
              <w:rPr>
                <w:b/>
                <w:bCs/>
              </w:rPr>
              <w:t>Per KWH</w:t>
            </w:r>
          </w:p>
        </w:tc>
      </w:tr>
      <w:tr w:rsidR="00716665" w:rsidRPr="007E0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980" w:type="dxa"/>
            <w:vAlign w:val="center"/>
          </w:tcPr>
          <w:p w:rsidR="00716665" w:rsidRPr="007E0FD3" w:rsidRDefault="00716665" w:rsidP="00C54F9E">
            <w:pPr>
              <w:ind w:firstLine="360"/>
            </w:pPr>
            <w:r w:rsidRPr="007E0FD3">
              <w:t>Akron</w:t>
            </w:r>
          </w:p>
        </w:tc>
        <w:tc>
          <w:tcPr>
            <w:tcW w:w="1728" w:type="dxa"/>
            <w:vAlign w:val="center"/>
          </w:tcPr>
          <w:p w:rsidR="00716665" w:rsidRPr="007E0FD3" w:rsidRDefault="00716665" w:rsidP="00C54F9E">
            <w:pPr>
              <w:jc w:val="center"/>
            </w:pPr>
            <w:r w:rsidRPr="007E0FD3">
              <w:t>$89.43</w:t>
            </w:r>
          </w:p>
        </w:tc>
        <w:tc>
          <w:tcPr>
            <w:tcW w:w="1728" w:type="dxa"/>
            <w:vAlign w:val="center"/>
          </w:tcPr>
          <w:p w:rsidR="00716665" w:rsidRPr="007E0FD3" w:rsidRDefault="00716665" w:rsidP="00C54F9E">
            <w:pPr>
              <w:jc w:val="center"/>
            </w:pPr>
            <w:r w:rsidRPr="007E0FD3">
              <w:t>$0.12</w:t>
            </w:r>
          </w:p>
        </w:tc>
        <w:tc>
          <w:tcPr>
            <w:tcW w:w="1728" w:type="dxa"/>
            <w:vAlign w:val="center"/>
          </w:tcPr>
          <w:p w:rsidR="00716665" w:rsidRPr="007E0FD3" w:rsidRDefault="00716665" w:rsidP="00C54F9E">
            <w:pPr>
              <w:jc w:val="center"/>
            </w:pPr>
            <w:r w:rsidRPr="007E0FD3">
              <w:t>$93.53</w:t>
            </w:r>
          </w:p>
        </w:tc>
        <w:tc>
          <w:tcPr>
            <w:tcW w:w="1260" w:type="dxa"/>
            <w:vAlign w:val="center"/>
          </w:tcPr>
          <w:p w:rsidR="00716665" w:rsidRPr="007E0FD3" w:rsidRDefault="00716665" w:rsidP="00C54F9E">
            <w:pPr>
              <w:jc w:val="center"/>
            </w:pPr>
            <w:r w:rsidRPr="007E0FD3">
              <w:t>$0.12</w:t>
            </w:r>
          </w:p>
        </w:tc>
      </w:tr>
      <w:tr w:rsidR="00716665" w:rsidRPr="007E0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980" w:type="dxa"/>
            <w:vAlign w:val="center"/>
          </w:tcPr>
          <w:p w:rsidR="00716665" w:rsidRPr="007E0FD3" w:rsidRDefault="00716665" w:rsidP="00C54F9E">
            <w:pPr>
              <w:ind w:firstLine="360"/>
            </w:pPr>
            <w:r w:rsidRPr="007E0FD3">
              <w:t>Canton</w:t>
            </w:r>
          </w:p>
        </w:tc>
        <w:tc>
          <w:tcPr>
            <w:tcW w:w="1728" w:type="dxa"/>
            <w:vAlign w:val="center"/>
          </w:tcPr>
          <w:p w:rsidR="00716665" w:rsidRPr="007E0FD3" w:rsidRDefault="00716665" w:rsidP="00C54F9E">
            <w:pPr>
              <w:jc w:val="center"/>
            </w:pPr>
            <w:r w:rsidRPr="007E0FD3">
              <w:t>$62.97</w:t>
            </w:r>
          </w:p>
        </w:tc>
        <w:tc>
          <w:tcPr>
            <w:tcW w:w="1728" w:type="dxa"/>
            <w:vAlign w:val="center"/>
          </w:tcPr>
          <w:p w:rsidR="00716665" w:rsidRPr="007E0FD3" w:rsidRDefault="00716665" w:rsidP="00C54F9E">
            <w:pPr>
              <w:jc w:val="center"/>
            </w:pPr>
            <w:r w:rsidRPr="007E0FD3">
              <w:t>$0.08</w:t>
            </w:r>
          </w:p>
        </w:tc>
        <w:tc>
          <w:tcPr>
            <w:tcW w:w="1728" w:type="dxa"/>
            <w:vAlign w:val="center"/>
          </w:tcPr>
          <w:p w:rsidR="00716665" w:rsidRPr="007E0FD3" w:rsidRDefault="00716665" w:rsidP="00C54F9E">
            <w:pPr>
              <w:jc w:val="center"/>
            </w:pPr>
            <w:r w:rsidRPr="007E0FD3">
              <w:t>$100.33</w:t>
            </w:r>
          </w:p>
        </w:tc>
        <w:tc>
          <w:tcPr>
            <w:tcW w:w="1260" w:type="dxa"/>
            <w:vAlign w:val="center"/>
          </w:tcPr>
          <w:p w:rsidR="00716665" w:rsidRPr="007E0FD3" w:rsidRDefault="00716665" w:rsidP="00C54F9E">
            <w:pPr>
              <w:jc w:val="center"/>
            </w:pPr>
            <w:r w:rsidRPr="007E0FD3">
              <w:t>$0.13</w:t>
            </w:r>
          </w:p>
        </w:tc>
      </w:tr>
      <w:tr w:rsidR="00716665" w:rsidRPr="007E0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980" w:type="dxa"/>
            <w:vAlign w:val="center"/>
          </w:tcPr>
          <w:p w:rsidR="00716665" w:rsidRPr="007E0FD3" w:rsidRDefault="00716665" w:rsidP="00C54F9E">
            <w:pPr>
              <w:ind w:firstLine="360"/>
            </w:pPr>
            <w:r w:rsidRPr="007E0FD3">
              <w:t>Cincinnati</w:t>
            </w:r>
          </w:p>
        </w:tc>
        <w:tc>
          <w:tcPr>
            <w:tcW w:w="1728" w:type="dxa"/>
            <w:vAlign w:val="center"/>
          </w:tcPr>
          <w:p w:rsidR="00716665" w:rsidRPr="007E0FD3" w:rsidRDefault="00716665" w:rsidP="00C54F9E">
            <w:pPr>
              <w:jc w:val="center"/>
            </w:pPr>
            <w:r w:rsidRPr="007E0FD3">
              <w:t>$81.57</w:t>
            </w:r>
          </w:p>
        </w:tc>
        <w:tc>
          <w:tcPr>
            <w:tcW w:w="1728" w:type="dxa"/>
            <w:vAlign w:val="center"/>
          </w:tcPr>
          <w:p w:rsidR="00716665" w:rsidRPr="007E0FD3" w:rsidRDefault="00716665" w:rsidP="00C54F9E">
            <w:pPr>
              <w:jc w:val="center"/>
            </w:pPr>
            <w:r w:rsidRPr="007E0FD3">
              <w:t>$0.11</w:t>
            </w:r>
          </w:p>
        </w:tc>
        <w:tc>
          <w:tcPr>
            <w:tcW w:w="1728" w:type="dxa"/>
            <w:vAlign w:val="center"/>
          </w:tcPr>
          <w:p w:rsidR="00716665" w:rsidRPr="007E0FD3" w:rsidRDefault="00716665" w:rsidP="00C54F9E">
            <w:pPr>
              <w:jc w:val="center"/>
            </w:pPr>
            <w:r w:rsidRPr="007E0FD3">
              <w:t>$87.07</w:t>
            </w:r>
          </w:p>
        </w:tc>
        <w:tc>
          <w:tcPr>
            <w:tcW w:w="1260" w:type="dxa"/>
            <w:vAlign w:val="center"/>
          </w:tcPr>
          <w:p w:rsidR="00716665" w:rsidRPr="007E0FD3" w:rsidRDefault="00716665" w:rsidP="00C54F9E">
            <w:pPr>
              <w:jc w:val="center"/>
            </w:pPr>
            <w:r w:rsidRPr="007E0FD3">
              <w:t>$0.12</w:t>
            </w:r>
          </w:p>
        </w:tc>
      </w:tr>
      <w:tr w:rsidR="00716665" w:rsidRPr="007E0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980" w:type="dxa"/>
            <w:vAlign w:val="center"/>
          </w:tcPr>
          <w:p w:rsidR="00716665" w:rsidRPr="007E0FD3" w:rsidRDefault="00716665" w:rsidP="00C54F9E">
            <w:pPr>
              <w:ind w:firstLine="360"/>
            </w:pPr>
            <w:r w:rsidRPr="007E0FD3">
              <w:t>Cleveland</w:t>
            </w:r>
          </w:p>
        </w:tc>
        <w:tc>
          <w:tcPr>
            <w:tcW w:w="1728" w:type="dxa"/>
            <w:vAlign w:val="center"/>
          </w:tcPr>
          <w:p w:rsidR="00716665" w:rsidRPr="007E0FD3" w:rsidRDefault="00716665" w:rsidP="00C54F9E">
            <w:pPr>
              <w:jc w:val="center"/>
            </w:pPr>
            <w:r w:rsidRPr="007E0FD3">
              <w:t>$83.93</w:t>
            </w:r>
          </w:p>
        </w:tc>
        <w:tc>
          <w:tcPr>
            <w:tcW w:w="1728" w:type="dxa"/>
            <w:vAlign w:val="center"/>
          </w:tcPr>
          <w:p w:rsidR="00716665" w:rsidRPr="007E0FD3" w:rsidRDefault="00716665" w:rsidP="00C54F9E">
            <w:pPr>
              <w:jc w:val="center"/>
            </w:pPr>
            <w:r w:rsidRPr="007E0FD3">
              <w:t>$0.11</w:t>
            </w:r>
          </w:p>
        </w:tc>
        <w:tc>
          <w:tcPr>
            <w:tcW w:w="1728" w:type="dxa"/>
            <w:vAlign w:val="center"/>
          </w:tcPr>
          <w:p w:rsidR="00716665" w:rsidRPr="007E0FD3" w:rsidRDefault="00716665" w:rsidP="00C54F9E">
            <w:pPr>
              <w:jc w:val="center"/>
            </w:pPr>
            <w:r w:rsidRPr="007E0FD3">
              <w:t>$91.16</w:t>
            </w:r>
          </w:p>
        </w:tc>
        <w:tc>
          <w:tcPr>
            <w:tcW w:w="1260" w:type="dxa"/>
            <w:vAlign w:val="center"/>
          </w:tcPr>
          <w:p w:rsidR="00716665" w:rsidRPr="007E0FD3" w:rsidRDefault="00716665" w:rsidP="00C54F9E">
            <w:pPr>
              <w:jc w:val="center"/>
            </w:pPr>
            <w:r w:rsidRPr="007E0FD3">
              <w:t>$0.12</w:t>
            </w:r>
          </w:p>
        </w:tc>
      </w:tr>
      <w:tr w:rsidR="00716665" w:rsidRPr="007E0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980" w:type="dxa"/>
            <w:vAlign w:val="center"/>
          </w:tcPr>
          <w:p w:rsidR="00716665" w:rsidRPr="007E0FD3" w:rsidRDefault="00716665" w:rsidP="00C54F9E">
            <w:pPr>
              <w:ind w:firstLine="360"/>
            </w:pPr>
            <w:r w:rsidRPr="007E0FD3">
              <w:t>Columbus</w:t>
            </w:r>
          </w:p>
        </w:tc>
        <w:tc>
          <w:tcPr>
            <w:tcW w:w="1728" w:type="dxa"/>
            <w:vAlign w:val="center"/>
          </w:tcPr>
          <w:p w:rsidR="00716665" w:rsidRPr="007E0FD3" w:rsidRDefault="00716665" w:rsidP="00C54F9E">
            <w:pPr>
              <w:jc w:val="center"/>
            </w:pPr>
            <w:r w:rsidRPr="007E0FD3">
              <w:t>$78.56</w:t>
            </w:r>
          </w:p>
        </w:tc>
        <w:tc>
          <w:tcPr>
            <w:tcW w:w="1728" w:type="dxa"/>
            <w:vAlign w:val="center"/>
          </w:tcPr>
          <w:p w:rsidR="00716665" w:rsidRPr="007E0FD3" w:rsidRDefault="00716665" w:rsidP="00C54F9E">
            <w:pPr>
              <w:jc w:val="center"/>
            </w:pPr>
            <w:r w:rsidRPr="007E0FD3">
              <w:t>$0.10</w:t>
            </w:r>
          </w:p>
        </w:tc>
        <w:tc>
          <w:tcPr>
            <w:tcW w:w="1728" w:type="dxa"/>
            <w:vAlign w:val="center"/>
          </w:tcPr>
          <w:p w:rsidR="00716665" w:rsidRPr="007E0FD3" w:rsidRDefault="00716665" w:rsidP="00C54F9E">
            <w:pPr>
              <w:jc w:val="center"/>
            </w:pPr>
            <w:r w:rsidRPr="007E0FD3">
              <w:t>$110.33</w:t>
            </w:r>
          </w:p>
        </w:tc>
        <w:tc>
          <w:tcPr>
            <w:tcW w:w="1260" w:type="dxa"/>
            <w:vAlign w:val="center"/>
          </w:tcPr>
          <w:p w:rsidR="00716665" w:rsidRPr="007E0FD3" w:rsidRDefault="00716665" w:rsidP="00C54F9E">
            <w:pPr>
              <w:jc w:val="center"/>
            </w:pPr>
            <w:r w:rsidRPr="007E0FD3">
              <w:t>$0.15</w:t>
            </w:r>
          </w:p>
        </w:tc>
      </w:tr>
      <w:tr w:rsidR="00716665" w:rsidRPr="007E0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980" w:type="dxa"/>
            <w:vAlign w:val="center"/>
          </w:tcPr>
          <w:p w:rsidR="00716665" w:rsidRPr="007E0FD3" w:rsidRDefault="00716665" w:rsidP="00C54F9E">
            <w:pPr>
              <w:ind w:firstLine="360"/>
              <w:rPr>
                <w:b/>
                <w:bCs/>
              </w:rPr>
            </w:pPr>
            <w:r w:rsidRPr="007E0FD3">
              <w:rPr>
                <w:b/>
                <w:bCs/>
              </w:rPr>
              <w:t>Dayton**</w:t>
            </w:r>
          </w:p>
        </w:tc>
        <w:tc>
          <w:tcPr>
            <w:tcW w:w="1728" w:type="dxa"/>
            <w:vAlign w:val="center"/>
          </w:tcPr>
          <w:p w:rsidR="00716665" w:rsidRPr="007E0FD3" w:rsidRDefault="00716665" w:rsidP="00C54F9E">
            <w:pPr>
              <w:jc w:val="center"/>
              <w:rPr>
                <w:b/>
                <w:bCs/>
              </w:rPr>
            </w:pPr>
            <w:r w:rsidRPr="007E0FD3">
              <w:rPr>
                <w:b/>
                <w:bCs/>
              </w:rPr>
              <w:t>$76.98</w:t>
            </w:r>
          </w:p>
        </w:tc>
        <w:tc>
          <w:tcPr>
            <w:tcW w:w="1728" w:type="dxa"/>
            <w:vAlign w:val="center"/>
          </w:tcPr>
          <w:p w:rsidR="00716665" w:rsidRPr="007E0FD3" w:rsidRDefault="00716665" w:rsidP="00C54F9E">
            <w:pPr>
              <w:jc w:val="center"/>
              <w:rPr>
                <w:b/>
                <w:bCs/>
              </w:rPr>
            </w:pPr>
            <w:r w:rsidRPr="007E0FD3">
              <w:rPr>
                <w:b/>
                <w:bCs/>
              </w:rPr>
              <w:t>$0.10</w:t>
            </w:r>
          </w:p>
        </w:tc>
        <w:tc>
          <w:tcPr>
            <w:tcW w:w="1728" w:type="dxa"/>
            <w:vAlign w:val="center"/>
          </w:tcPr>
          <w:p w:rsidR="00716665" w:rsidRPr="007E0FD3" w:rsidRDefault="00716665" w:rsidP="00C54F9E">
            <w:pPr>
              <w:jc w:val="center"/>
              <w:rPr>
                <w:b/>
                <w:bCs/>
              </w:rPr>
            </w:pPr>
            <w:r w:rsidRPr="007E0FD3">
              <w:rPr>
                <w:b/>
                <w:bCs/>
              </w:rPr>
              <w:t>$107.42</w:t>
            </w:r>
          </w:p>
        </w:tc>
        <w:tc>
          <w:tcPr>
            <w:tcW w:w="1260" w:type="dxa"/>
            <w:vAlign w:val="center"/>
          </w:tcPr>
          <w:p w:rsidR="00716665" w:rsidRPr="007E0FD3" w:rsidRDefault="00716665" w:rsidP="00C54F9E">
            <w:pPr>
              <w:jc w:val="center"/>
              <w:rPr>
                <w:b/>
                <w:bCs/>
              </w:rPr>
            </w:pPr>
            <w:r w:rsidRPr="007E0FD3">
              <w:rPr>
                <w:b/>
                <w:bCs/>
              </w:rPr>
              <w:t>$0.14</w:t>
            </w:r>
          </w:p>
        </w:tc>
      </w:tr>
      <w:tr w:rsidR="00716665" w:rsidRPr="007E0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980" w:type="dxa"/>
            <w:vAlign w:val="center"/>
          </w:tcPr>
          <w:p w:rsidR="00716665" w:rsidRPr="007E0FD3" w:rsidRDefault="00716665" w:rsidP="00C54F9E">
            <w:pPr>
              <w:ind w:firstLine="360"/>
            </w:pPr>
            <w:r w:rsidRPr="007E0FD3">
              <w:t>Toledo</w:t>
            </w:r>
          </w:p>
        </w:tc>
        <w:tc>
          <w:tcPr>
            <w:tcW w:w="1728" w:type="dxa"/>
            <w:vAlign w:val="center"/>
          </w:tcPr>
          <w:p w:rsidR="00716665" w:rsidRPr="007E0FD3" w:rsidRDefault="00716665" w:rsidP="00C54F9E">
            <w:pPr>
              <w:jc w:val="center"/>
            </w:pPr>
            <w:r w:rsidRPr="007E0FD3">
              <w:t>$88.69</w:t>
            </w:r>
          </w:p>
        </w:tc>
        <w:tc>
          <w:tcPr>
            <w:tcW w:w="1728" w:type="dxa"/>
            <w:vAlign w:val="center"/>
          </w:tcPr>
          <w:p w:rsidR="00716665" w:rsidRPr="007E0FD3" w:rsidRDefault="00716665" w:rsidP="00C54F9E">
            <w:pPr>
              <w:jc w:val="center"/>
            </w:pPr>
            <w:r w:rsidRPr="007E0FD3">
              <w:t>$0.12</w:t>
            </w:r>
          </w:p>
        </w:tc>
        <w:tc>
          <w:tcPr>
            <w:tcW w:w="1728" w:type="dxa"/>
            <w:vAlign w:val="center"/>
          </w:tcPr>
          <w:p w:rsidR="00716665" w:rsidRPr="007E0FD3" w:rsidRDefault="00716665" w:rsidP="00C54F9E">
            <w:pPr>
              <w:jc w:val="center"/>
            </w:pPr>
            <w:r w:rsidRPr="007E0FD3">
              <w:t>$91.57</w:t>
            </w:r>
          </w:p>
        </w:tc>
        <w:tc>
          <w:tcPr>
            <w:tcW w:w="1260" w:type="dxa"/>
            <w:vAlign w:val="center"/>
          </w:tcPr>
          <w:p w:rsidR="00716665" w:rsidRPr="007E0FD3" w:rsidRDefault="00716665" w:rsidP="00C54F9E">
            <w:pPr>
              <w:jc w:val="center"/>
            </w:pPr>
            <w:r w:rsidRPr="007E0FD3">
              <w:t>$0.12</w:t>
            </w:r>
          </w:p>
        </w:tc>
      </w:tr>
      <w:tr w:rsidR="00716665" w:rsidRPr="007E0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980" w:type="dxa"/>
            <w:vAlign w:val="center"/>
          </w:tcPr>
          <w:p w:rsidR="00716665" w:rsidRPr="007E0FD3" w:rsidRDefault="00716665" w:rsidP="00C54F9E">
            <w:pPr>
              <w:ind w:firstLine="360"/>
            </w:pPr>
            <w:r w:rsidRPr="007E0FD3">
              <w:t>Youngstown</w:t>
            </w:r>
          </w:p>
        </w:tc>
        <w:tc>
          <w:tcPr>
            <w:tcW w:w="1728" w:type="dxa"/>
            <w:vAlign w:val="center"/>
          </w:tcPr>
          <w:p w:rsidR="00716665" w:rsidRPr="007E0FD3" w:rsidRDefault="00716665" w:rsidP="00C54F9E">
            <w:pPr>
              <w:jc w:val="center"/>
            </w:pPr>
            <w:r w:rsidRPr="007E0FD3">
              <w:t>$89.43</w:t>
            </w:r>
          </w:p>
        </w:tc>
        <w:tc>
          <w:tcPr>
            <w:tcW w:w="1728" w:type="dxa"/>
            <w:vAlign w:val="center"/>
          </w:tcPr>
          <w:p w:rsidR="00716665" w:rsidRPr="007E0FD3" w:rsidRDefault="00716665" w:rsidP="00C54F9E">
            <w:pPr>
              <w:jc w:val="center"/>
            </w:pPr>
            <w:r w:rsidRPr="007E0FD3">
              <w:t>$0.12</w:t>
            </w:r>
          </w:p>
        </w:tc>
        <w:tc>
          <w:tcPr>
            <w:tcW w:w="1728" w:type="dxa"/>
            <w:vAlign w:val="center"/>
          </w:tcPr>
          <w:p w:rsidR="00716665" w:rsidRPr="007E0FD3" w:rsidRDefault="00716665" w:rsidP="00C54F9E">
            <w:pPr>
              <w:jc w:val="center"/>
            </w:pPr>
            <w:r w:rsidRPr="007E0FD3">
              <w:t>$93.53</w:t>
            </w:r>
          </w:p>
        </w:tc>
        <w:tc>
          <w:tcPr>
            <w:tcW w:w="1260" w:type="dxa"/>
            <w:vAlign w:val="center"/>
          </w:tcPr>
          <w:p w:rsidR="00716665" w:rsidRPr="007E0FD3" w:rsidRDefault="00716665" w:rsidP="00C54F9E">
            <w:pPr>
              <w:jc w:val="center"/>
            </w:pPr>
            <w:r w:rsidRPr="007E0FD3">
              <w:t>$0.12</w:t>
            </w:r>
          </w:p>
        </w:tc>
      </w:tr>
      <w:tr w:rsidR="00716665" w:rsidRPr="007E0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980" w:type="dxa"/>
            <w:vAlign w:val="center"/>
          </w:tcPr>
          <w:p w:rsidR="00716665" w:rsidRPr="007E0FD3" w:rsidRDefault="00716665" w:rsidP="00C54F9E">
            <w:pPr>
              <w:ind w:firstLine="360"/>
            </w:pPr>
            <w:r w:rsidRPr="007E0FD3">
              <w:t>Average</w:t>
            </w:r>
          </w:p>
        </w:tc>
        <w:tc>
          <w:tcPr>
            <w:tcW w:w="1728" w:type="dxa"/>
            <w:vAlign w:val="center"/>
          </w:tcPr>
          <w:p w:rsidR="00716665" w:rsidRPr="007E0FD3" w:rsidRDefault="00716665" w:rsidP="00C54F9E">
            <w:pPr>
              <w:jc w:val="center"/>
            </w:pPr>
            <w:r w:rsidRPr="007E0FD3">
              <w:t>$81.45</w:t>
            </w:r>
          </w:p>
        </w:tc>
        <w:tc>
          <w:tcPr>
            <w:tcW w:w="1728" w:type="dxa"/>
            <w:vAlign w:val="center"/>
          </w:tcPr>
          <w:p w:rsidR="00716665" w:rsidRPr="007E0FD3" w:rsidRDefault="00716665" w:rsidP="00C54F9E">
            <w:pPr>
              <w:jc w:val="center"/>
            </w:pPr>
            <w:r w:rsidRPr="007E0FD3">
              <w:t>$0.11</w:t>
            </w:r>
          </w:p>
        </w:tc>
        <w:tc>
          <w:tcPr>
            <w:tcW w:w="1728" w:type="dxa"/>
            <w:vAlign w:val="center"/>
          </w:tcPr>
          <w:p w:rsidR="00716665" w:rsidRPr="007E0FD3" w:rsidRDefault="00716665" w:rsidP="00C54F9E">
            <w:pPr>
              <w:jc w:val="center"/>
            </w:pPr>
            <w:r w:rsidRPr="007E0FD3">
              <w:t>$96.87</w:t>
            </w:r>
          </w:p>
        </w:tc>
        <w:tc>
          <w:tcPr>
            <w:tcW w:w="1260" w:type="dxa"/>
            <w:vAlign w:val="center"/>
          </w:tcPr>
          <w:p w:rsidR="00716665" w:rsidRPr="007E0FD3" w:rsidRDefault="00716665" w:rsidP="00C54F9E">
            <w:pPr>
              <w:jc w:val="center"/>
            </w:pPr>
            <w:r w:rsidRPr="007E0FD3">
              <w:t>$0.13</w:t>
            </w:r>
          </w:p>
        </w:tc>
      </w:tr>
    </w:tbl>
    <w:p w:rsidR="00716665" w:rsidRDefault="00716665" w:rsidP="001C460F">
      <w:pPr>
        <w:ind w:left="720" w:hanging="720"/>
        <w:rPr>
          <w:sz w:val="20"/>
          <w:szCs w:val="20"/>
        </w:rPr>
      </w:pPr>
      <w:r w:rsidRPr="00A71168">
        <w:rPr>
          <w:sz w:val="20"/>
          <w:szCs w:val="20"/>
        </w:rPr>
        <w:t>* Assumed 750KWH</w:t>
      </w:r>
    </w:p>
    <w:p w:rsidR="00716665" w:rsidRDefault="00716665" w:rsidP="001C460F">
      <w:pPr>
        <w:ind w:left="720" w:hanging="720"/>
        <w:rPr>
          <w:sz w:val="20"/>
          <w:szCs w:val="20"/>
        </w:rPr>
      </w:pPr>
      <w:r>
        <w:rPr>
          <w:sz w:val="20"/>
          <w:szCs w:val="20"/>
        </w:rPr>
        <w:t>** Emphasis added.</w:t>
      </w:r>
    </w:p>
    <w:p w:rsidR="00716665" w:rsidRPr="00E301A6" w:rsidRDefault="00716665" w:rsidP="007E0FD3">
      <w:pPr>
        <w:spacing w:line="480" w:lineRule="auto"/>
        <w:ind w:left="720" w:hanging="720"/>
      </w:pPr>
    </w:p>
    <w:p w:rsidR="00716665" w:rsidRDefault="00716665" w:rsidP="004852A5">
      <w:pPr>
        <w:spacing w:line="480" w:lineRule="auto"/>
        <w:ind w:left="720" w:hanging="720"/>
        <w:rPr>
          <w:b/>
          <w:bCs/>
          <w:i/>
          <w:iCs/>
        </w:rPr>
      </w:pPr>
      <w:r w:rsidRPr="009259DF">
        <w:rPr>
          <w:b/>
          <w:bCs/>
          <w:i/>
          <w:iCs/>
        </w:rPr>
        <w:t>Q</w:t>
      </w:r>
      <w:r>
        <w:rPr>
          <w:b/>
          <w:bCs/>
          <w:i/>
          <w:iCs/>
        </w:rPr>
        <w:t>23</w:t>
      </w:r>
      <w:r w:rsidRPr="009259DF">
        <w:rPr>
          <w:b/>
          <w:bCs/>
          <w:i/>
          <w:iCs/>
        </w:rPr>
        <w:t>.</w:t>
      </w:r>
      <w:r w:rsidRPr="009259DF">
        <w:rPr>
          <w:b/>
          <w:bCs/>
          <w:i/>
          <w:iCs/>
        </w:rPr>
        <w:tab/>
      </w:r>
      <w:r>
        <w:rPr>
          <w:b/>
          <w:bCs/>
          <w:i/>
          <w:iCs/>
        </w:rPr>
        <w:t xml:space="preserve">DOES THE </w:t>
      </w:r>
      <w:r w:rsidRPr="009259DF">
        <w:rPr>
          <w:b/>
          <w:bCs/>
          <w:i/>
          <w:iCs/>
        </w:rPr>
        <w:t>ECONOMY IN THE DP&amp;L SERVICE TERRITORY CONTRIBUT</w:t>
      </w:r>
      <w:r>
        <w:rPr>
          <w:b/>
          <w:bCs/>
          <w:i/>
          <w:iCs/>
        </w:rPr>
        <w:t xml:space="preserve">E </w:t>
      </w:r>
      <w:r w:rsidRPr="009259DF">
        <w:rPr>
          <w:b/>
          <w:bCs/>
          <w:i/>
          <w:iCs/>
        </w:rPr>
        <w:t xml:space="preserve">TO CONCERNS ABOUT </w:t>
      </w:r>
      <w:r>
        <w:rPr>
          <w:b/>
          <w:bCs/>
          <w:i/>
          <w:iCs/>
        </w:rPr>
        <w:t xml:space="preserve">ELECTRIC </w:t>
      </w:r>
      <w:r w:rsidRPr="009259DF">
        <w:rPr>
          <w:b/>
          <w:bCs/>
          <w:i/>
          <w:iCs/>
        </w:rPr>
        <w:t>AFFORDABILITY?</w:t>
      </w:r>
    </w:p>
    <w:p w:rsidR="00716665" w:rsidRDefault="00716665" w:rsidP="003C5C2F">
      <w:pPr>
        <w:spacing w:line="480" w:lineRule="auto"/>
        <w:ind w:left="720" w:hanging="720"/>
      </w:pPr>
      <w:r>
        <w:rPr>
          <w:b/>
          <w:bCs/>
          <w:i/>
          <w:iCs/>
        </w:rPr>
        <w:t>A23.</w:t>
      </w:r>
      <w:r w:rsidRPr="009259DF">
        <w:tab/>
        <w:t>Yes.</w:t>
      </w:r>
    </w:p>
    <w:p w:rsidR="00716665" w:rsidRDefault="00716665" w:rsidP="00FD69EB">
      <w:pPr>
        <w:spacing w:line="480" w:lineRule="auto"/>
        <w:ind w:left="720" w:hanging="720"/>
        <w:rPr>
          <w:b/>
          <w:bCs/>
          <w:i/>
          <w:iCs/>
        </w:rPr>
      </w:pPr>
      <w:r>
        <w:rPr>
          <w:b/>
          <w:bCs/>
          <w:i/>
          <w:iCs/>
        </w:rPr>
        <w:br w:type="page"/>
      </w:r>
      <w:r w:rsidRPr="009259DF">
        <w:rPr>
          <w:b/>
          <w:bCs/>
          <w:i/>
          <w:iCs/>
        </w:rPr>
        <w:t>Q</w:t>
      </w:r>
      <w:r>
        <w:rPr>
          <w:b/>
          <w:bCs/>
          <w:i/>
          <w:iCs/>
        </w:rPr>
        <w:t>24</w:t>
      </w:r>
      <w:r w:rsidRPr="009259DF">
        <w:rPr>
          <w:b/>
          <w:bCs/>
          <w:i/>
          <w:iCs/>
        </w:rPr>
        <w:t>.</w:t>
      </w:r>
      <w:r w:rsidRPr="009259DF">
        <w:rPr>
          <w:b/>
          <w:bCs/>
          <w:i/>
          <w:iCs/>
        </w:rPr>
        <w:tab/>
      </w:r>
      <w:r>
        <w:rPr>
          <w:b/>
          <w:bCs/>
          <w:i/>
          <w:iCs/>
        </w:rPr>
        <w:t>HOW DO THE ECONOMIC CONDITIONS</w:t>
      </w:r>
      <w:r w:rsidRPr="009259DF">
        <w:rPr>
          <w:b/>
          <w:bCs/>
          <w:i/>
          <w:iCs/>
        </w:rPr>
        <w:t xml:space="preserve"> IN THE DP&amp;L SERVICE TERRITORY CONTRIBUT</w:t>
      </w:r>
      <w:r>
        <w:rPr>
          <w:b/>
          <w:bCs/>
          <w:i/>
          <w:iCs/>
        </w:rPr>
        <w:t xml:space="preserve">E </w:t>
      </w:r>
      <w:r w:rsidRPr="009259DF">
        <w:rPr>
          <w:b/>
          <w:bCs/>
          <w:i/>
          <w:iCs/>
        </w:rPr>
        <w:t xml:space="preserve">TO CONCERNS ABOUT </w:t>
      </w:r>
      <w:r>
        <w:rPr>
          <w:b/>
          <w:bCs/>
          <w:i/>
          <w:iCs/>
        </w:rPr>
        <w:t xml:space="preserve">ELECTRIC </w:t>
      </w:r>
      <w:r w:rsidRPr="009259DF">
        <w:rPr>
          <w:b/>
          <w:bCs/>
          <w:i/>
          <w:iCs/>
        </w:rPr>
        <w:t>AFFORDABILITY?</w:t>
      </w:r>
    </w:p>
    <w:p w:rsidR="00716665" w:rsidRDefault="00716665" w:rsidP="001C460F">
      <w:pPr>
        <w:spacing w:line="480" w:lineRule="auto"/>
        <w:ind w:left="720" w:hanging="720"/>
        <w:rPr>
          <w:b/>
          <w:bCs/>
        </w:rPr>
      </w:pPr>
      <w:r>
        <w:rPr>
          <w:b/>
          <w:bCs/>
          <w:i/>
          <w:iCs/>
        </w:rPr>
        <w:t>A24.</w:t>
      </w:r>
      <w:r w:rsidRPr="009259DF">
        <w:tab/>
      </w:r>
      <w:r>
        <w:t>The Ohio poverty level is 14.8 percent which is higher than the national average poverty level of 14.3 percent.</w:t>
      </w:r>
      <w:r>
        <w:rPr>
          <w:rStyle w:val="FootnoteReference"/>
        </w:rPr>
        <w:footnoteReference w:id="59"/>
      </w:r>
      <w:r>
        <w:t xml:space="preserve">  The poverty level in the DP&amp;L service territory is even higher than the Ohio average.  For example, the poverty level in Montgomery County is 16.0 percent.</w:t>
      </w:r>
      <w:r>
        <w:rPr>
          <w:rStyle w:val="FootnoteReference"/>
        </w:rPr>
        <w:footnoteReference w:id="60"/>
      </w:r>
      <w:r>
        <w:t xml:space="preserve">  The poverty level in the city of Dayton is 32.5 percent.</w:t>
      </w:r>
      <w:r>
        <w:rPr>
          <w:rStyle w:val="FootnoteReference"/>
        </w:rPr>
        <w:footnoteReference w:id="61"/>
      </w:r>
      <w:r>
        <w:t xml:space="preserve">  Making matters even worse, the unemployment levels in some parts of DP&amp;L’s service territory are above the state unemployment levels.  Table 6 provides comparative economic information for parts of the DP&amp;L service territory.</w:t>
      </w:r>
      <w:r>
        <w:rPr>
          <w:rStyle w:val="FootnoteReference"/>
        </w:rPr>
        <w:footnoteReference w:id="62"/>
      </w:r>
      <w:r>
        <w:t xml:space="preserve">  In addition, Table 6 provides information on the percentage of income that median income households in different locations across the DP&amp;L service territory spend on electric service.  A customer served by DP&amp;L with a median household income of $48,071 spends approximately 2.7 percent of their income on electric service.  However, a customer in the city of Dayton with a median household income of $28,843 spends approximately 4.4 percent of their annual income on electric costs.</w:t>
      </w:r>
    </w:p>
    <w:p w:rsidR="00716665" w:rsidRDefault="00716665" w:rsidP="001C460F">
      <w:pPr>
        <w:jc w:val="center"/>
        <w:rPr>
          <w:b/>
          <w:bCs/>
        </w:rPr>
      </w:pPr>
      <w:r>
        <w:rPr>
          <w:b/>
          <w:bCs/>
        </w:rPr>
        <w:br w:type="page"/>
      </w:r>
      <w:r w:rsidRPr="007D67C8">
        <w:rPr>
          <w:b/>
          <w:bCs/>
        </w:rPr>
        <w:t xml:space="preserve">Table </w:t>
      </w:r>
      <w:r>
        <w:rPr>
          <w:b/>
          <w:bCs/>
        </w:rPr>
        <w:t>6</w:t>
      </w:r>
      <w:r w:rsidRPr="007D67C8">
        <w:rPr>
          <w:b/>
          <w:bCs/>
        </w:rPr>
        <w:t>:  Comparison of Economic Information</w:t>
      </w:r>
    </w:p>
    <w:tbl>
      <w:tblPr>
        <w:tblpPr w:leftFromText="180" w:rightFromText="180" w:vertAnchor="text" w:horzAnchor="margin" w:tblpXSpec="center" w:tblpY="224"/>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1646"/>
        <w:gridCol w:w="1800"/>
        <w:gridCol w:w="1440"/>
        <w:gridCol w:w="1800"/>
      </w:tblGrid>
      <w:tr w:rsidR="00716665">
        <w:tc>
          <w:tcPr>
            <w:tcW w:w="1522" w:type="dxa"/>
            <w:vAlign w:val="bottom"/>
          </w:tcPr>
          <w:p w:rsidR="00716665" w:rsidRPr="00AE149F" w:rsidRDefault="00716665" w:rsidP="00AE149F">
            <w:pPr>
              <w:jc w:val="center"/>
              <w:rPr>
                <w:b/>
                <w:bCs/>
                <w:sz w:val="20"/>
                <w:szCs w:val="20"/>
              </w:rPr>
            </w:pPr>
            <w:r w:rsidRPr="00AE149F">
              <w:rPr>
                <w:b/>
                <w:bCs/>
                <w:sz w:val="20"/>
                <w:szCs w:val="20"/>
              </w:rPr>
              <w:t>Location</w:t>
            </w:r>
          </w:p>
        </w:tc>
        <w:tc>
          <w:tcPr>
            <w:tcW w:w="1646" w:type="dxa"/>
            <w:vAlign w:val="bottom"/>
          </w:tcPr>
          <w:p w:rsidR="00716665" w:rsidRPr="00AE149F" w:rsidRDefault="00716665" w:rsidP="00AE149F">
            <w:pPr>
              <w:jc w:val="center"/>
              <w:rPr>
                <w:b/>
                <w:bCs/>
                <w:sz w:val="20"/>
                <w:szCs w:val="20"/>
              </w:rPr>
            </w:pPr>
            <w:r w:rsidRPr="00AE149F">
              <w:rPr>
                <w:b/>
                <w:bCs/>
                <w:sz w:val="20"/>
                <w:szCs w:val="20"/>
              </w:rPr>
              <w:t>Persons Below Poverty (Percentage)</w:t>
            </w:r>
            <w:r w:rsidRPr="00AE149F">
              <w:rPr>
                <w:rStyle w:val="FootnoteReference"/>
                <w:b/>
                <w:bCs/>
                <w:sz w:val="20"/>
                <w:szCs w:val="20"/>
              </w:rPr>
              <w:footnoteReference w:id="63"/>
            </w:r>
          </w:p>
        </w:tc>
        <w:tc>
          <w:tcPr>
            <w:tcW w:w="1800" w:type="dxa"/>
            <w:vAlign w:val="bottom"/>
          </w:tcPr>
          <w:p w:rsidR="00716665" w:rsidRPr="00AE149F" w:rsidRDefault="00716665" w:rsidP="00AE149F">
            <w:pPr>
              <w:jc w:val="center"/>
              <w:rPr>
                <w:b/>
                <w:bCs/>
                <w:sz w:val="20"/>
                <w:szCs w:val="20"/>
              </w:rPr>
            </w:pPr>
            <w:r w:rsidRPr="00AE149F">
              <w:rPr>
                <w:b/>
                <w:bCs/>
                <w:sz w:val="20"/>
                <w:szCs w:val="20"/>
              </w:rPr>
              <w:t>Unemployment Level 2010  (Percentage)</w:t>
            </w:r>
            <w:r w:rsidRPr="00AE149F">
              <w:rPr>
                <w:rStyle w:val="FootnoteReference"/>
                <w:b/>
                <w:bCs/>
                <w:sz w:val="20"/>
                <w:szCs w:val="20"/>
              </w:rPr>
              <w:footnoteReference w:id="64"/>
            </w:r>
          </w:p>
        </w:tc>
        <w:tc>
          <w:tcPr>
            <w:tcW w:w="1440" w:type="dxa"/>
            <w:vAlign w:val="bottom"/>
          </w:tcPr>
          <w:p w:rsidR="00716665" w:rsidRPr="00AE149F" w:rsidRDefault="00716665" w:rsidP="00AE149F">
            <w:pPr>
              <w:jc w:val="center"/>
              <w:rPr>
                <w:b/>
                <w:bCs/>
                <w:sz w:val="20"/>
                <w:szCs w:val="20"/>
              </w:rPr>
            </w:pPr>
            <w:r w:rsidRPr="00AE149F">
              <w:rPr>
                <w:b/>
                <w:bCs/>
                <w:sz w:val="20"/>
                <w:szCs w:val="20"/>
              </w:rPr>
              <w:t>Median Household Income</w:t>
            </w:r>
            <w:r w:rsidRPr="00AE149F">
              <w:rPr>
                <w:rStyle w:val="FootnoteReference"/>
                <w:b/>
                <w:bCs/>
                <w:sz w:val="20"/>
                <w:szCs w:val="20"/>
              </w:rPr>
              <w:footnoteReference w:id="65"/>
            </w:r>
          </w:p>
        </w:tc>
        <w:tc>
          <w:tcPr>
            <w:tcW w:w="1800" w:type="dxa"/>
            <w:vAlign w:val="bottom"/>
          </w:tcPr>
          <w:p w:rsidR="00716665" w:rsidRPr="00AE149F" w:rsidRDefault="00716665" w:rsidP="00AE149F">
            <w:pPr>
              <w:jc w:val="center"/>
              <w:rPr>
                <w:b/>
                <w:bCs/>
                <w:sz w:val="20"/>
                <w:szCs w:val="20"/>
              </w:rPr>
            </w:pPr>
            <w:r w:rsidRPr="00AE149F">
              <w:rPr>
                <w:b/>
                <w:bCs/>
                <w:sz w:val="20"/>
                <w:szCs w:val="20"/>
              </w:rPr>
              <w:t>Electric Costs as a Percentage of Annual Income</w:t>
            </w:r>
            <w:r w:rsidRPr="00AE149F">
              <w:rPr>
                <w:rStyle w:val="FootnoteReference"/>
                <w:b/>
                <w:bCs/>
                <w:sz w:val="20"/>
                <w:szCs w:val="20"/>
              </w:rPr>
              <w:footnoteReference w:id="66"/>
            </w:r>
          </w:p>
        </w:tc>
      </w:tr>
      <w:tr w:rsidR="00716665">
        <w:trPr>
          <w:trHeight w:val="504"/>
        </w:trPr>
        <w:tc>
          <w:tcPr>
            <w:tcW w:w="1522" w:type="dxa"/>
            <w:vAlign w:val="center"/>
          </w:tcPr>
          <w:p w:rsidR="00716665" w:rsidRPr="007E0FD3" w:rsidRDefault="00716665" w:rsidP="00AE149F">
            <w:r w:rsidRPr="007E0FD3">
              <w:t>United States</w:t>
            </w:r>
          </w:p>
        </w:tc>
        <w:tc>
          <w:tcPr>
            <w:tcW w:w="1646" w:type="dxa"/>
            <w:vAlign w:val="center"/>
          </w:tcPr>
          <w:p w:rsidR="00716665" w:rsidRPr="007E0FD3" w:rsidRDefault="00716665" w:rsidP="00AE149F">
            <w:pPr>
              <w:jc w:val="center"/>
            </w:pPr>
            <w:r w:rsidRPr="007E0FD3">
              <w:t>14.3</w:t>
            </w:r>
          </w:p>
        </w:tc>
        <w:tc>
          <w:tcPr>
            <w:tcW w:w="1800" w:type="dxa"/>
            <w:vAlign w:val="center"/>
          </w:tcPr>
          <w:p w:rsidR="00716665" w:rsidRPr="007E0FD3" w:rsidRDefault="00716665" w:rsidP="00AE149F">
            <w:pPr>
              <w:jc w:val="center"/>
            </w:pPr>
            <w:r w:rsidRPr="007E0FD3">
              <w:t>8.9</w:t>
            </w:r>
          </w:p>
        </w:tc>
        <w:tc>
          <w:tcPr>
            <w:tcW w:w="1440" w:type="dxa"/>
            <w:vAlign w:val="center"/>
          </w:tcPr>
          <w:p w:rsidR="00716665" w:rsidRPr="007E0FD3" w:rsidRDefault="00716665" w:rsidP="00AE149F">
            <w:pPr>
              <w:jc w:val="center"/>
            </w:pPr>
            <w:r w:rsidRPr="007E0FD3">
              <w:t>$52,762</w:t>
            </w:r>
          </w:p>
        </w:tc>
        <w:tc>
          <w:tcPr>
            <w:tcW w:w="1800" w:type="dxa"/>
            <w:vAlign w:val="center"/>
          </w:tcPr>
          <w:p w:rsidR="00716665" w:rsidRPr="007E0FD3" w:rsidRDefault="00716665" w:rsidP="00AE149F">
            <w:pPr>
              <w:jc w:val="center"/>
            </w:pPr>
            <w:r w:rsidRPr="007E0FD3">
              <w:t>-</w:t>
            </w:r>
          </w:p>
        </w:tc>
      </w:tr>
      <w:tr w:rsidR="00716665">
        <w:trPr>
          <w:trHeight w:val="504"/>
        </w:trPr>
        <w:tc>
          <w:tcPr>
            <w:tcW w:w="1522" w:type="dxa"/>
            <w:vAlign w:val="center"/>
          </w:tcPr>
          <w:p w:rsidR="00716665" w:rsidRPr="007E0FD3" w:rsidRDefault="00716665" w:rsidP="00AE149F">
            <w:r w:rsidRPr="007E0FD3">
              <w:t>Ohio</w:t>
            </w:r>
          </w:p>
        </w:tc>
        <w:tc>
          <w:tcPr>
            <w:tcW w:w="1646" w:type="dxa"/>
            <w:vAlign w:val="center"/>
          </w:tcPr>
          <w:p w:rsidR="00716665" w:rsidRPr="007E0FD3" w:rsidRDefault="00716665" w:rsidP="00AE149F">
            <w:pPr>
              <w:jc w:val="center"/>
            </w:pPr>
            <w:r w:rsidRPr="007E0FD3">
              <w:t>14.8</w:t>
            </w:r>
          </w:p>
        </w:tc>
        <w:tc>
          <w:tcPr>
            <w:tcW w:w="1800" w:type="dxa"/>
            <w:vAlign w:val="center"/>
          </w:tcPr>
          <w:p w:rsidR="00716665" w:rsidRPr="007E0FD3" w:rsidRDefault="00716665" w:rsidP="00AE149F">
            <w:pPr>
              <w:jc w:val="center"/>
            </w:pPr>
            <w:r w:rsidRPr="007E0FD3">
              <w:t>10.1</w:t>
            </w:r>
          </w:p>
        </w:tc>
        <w:tc>
          <w:tcPr>
            <w:tcW w:w="1440" w:type="dxa"/>
            <w:vAlign w:val="center"/>
          </w:tcPr>
          <w:p w:rsidR="00716665" w:rsidRPr="007E0FD3" w:rsidRDefault="00716665" w:rsidP="00AE149F">
            <w:pPr>
              <w:jc w:val="center"/>
            </w:pPr>
            <w:r w:rsidRPr="007E0FD3">
              <w:t>$48,071</w:t>
            </w:r>
          </w:p>
        </w:tc>
        <w:tc>
          <w:tcPr>
            <w:tcW w:w="1800" w:type="dxa"/>
            <w:vAlign w:val="center"/>
          </w:tcPr>
          <w:p w:rsidR="00716665" w:rsidRPr="007E0FD3" w:rsidRDefault="00716665" w:rsidP="00AE149F">
            <w:pPr>
              <w:jc w:val="center"/>
            </w:pPr>
            <w:r w:rsidRPr="007E0FD3">
              <w:t>2.7</w:t>
            </w:r>
          </w:p>
        </w:tc>
      </w:tr>
      <w:tr w:rsidR="00716665">
        <w:trPr>
          <w:trHeight w:val="504"/>
        </w:trPr>
        <w:tc>
          <w:tcPr>
            <w:tcW w:w="1522" w:type="dxa"/>
            <w:vAlign w:val="center"/>
          </w:tcPr>
          <w:p w:rsidR="00716665" w:rsidRPr="007E0FD3" w:rsidRDefault="00716665" w:rsidP="00AE149F">
            <w:r w:rsidRPr="007E0FD3">
              <w:t>Dayton</w:t>
            </w:r>
          </w:p>
        </w:tc>
        <w:tc>
          <w:tcPr>
            <w:tcW w:w="1646" w:type="dxa"/>
            <w:vAlign w:val="center"/>
          </w:tcPr>
          <w:p w:rsidR="00716665" w:rsidRPr="007E0FD3" w:rsidRDefault="00716665" w:rsidP="00AE149F">
            <w:pPr>
              <w:jc w:val="center"/>
            </w:pPr>
            <w:r w:rsidRPr="007E0FD3">
              <w:t>32.5</w:t>
            </w:r>
          </w:p>
        </w:tc>
        <w:tc>
          <w:tcPr>
            <w:tcW w:w="1800" w:type="dxa"/>
            <w:vAlign w:val="center"/>
          </w:tcPr>
          <w:p w:rsidR="00716665" w:rsidRPr="007E0FD3" w:rsidRDefault="00716665" w:rsidP="00AE149F">
            <w:pPr>
              <w:jc w:val="center"/>
            </w:pPr>
            <w:r w:rsidRPr="007E0FD3">
              <w:t>10.7</w:t>
            </w:r>
            <w:r w:rsidRPr="007E0FD3">
              <w:rPr>
                <w:rStyle w:val="FootnoteReference"/>
              </w:rPr>
              <w:footnoteReference w:id="67"/>
            </w:r>
          </w:p>
        </w:tc>
        <w:tc>
          <w:tcPr>
            <w:tcW w:w="1440" w:type="dxa"/>
            <w:vAlign w:val="center"/>
          </w:tcPr>
          <w:p w:rsidR="00716665" w:rsidRPr="007E0FD3" w:rsidRDefault="00716665" w:rsidP="00AE149F">
            <w:pPr>
              <w:jc w:val="center"/>
            </w:pPr>
            <w:r w:rsidRPr="007E0FD3">
              <w:t>$28,843</w:t>
            </w:r>
          </w:p>
        </w:tc>
        <w:tc>
          <w:tcPr>
            <w:tcW w:w="1800" w:type="dxa"/>
            <w:vAlign w:val="center"/>
          </w:tcPr>
          <w:p w:rsidR="00716665" w:rsidRPr="007E0FD3" w:rsidRDefault="00716665" w:rsidP="00AE149F">
            <w:pPr>
              <w:jc w:val="center"/>
            </w:pPr>
            <w:r w:rsidRPr="007E0FD3">
              <w:t>4.5</w:t>
            </w:r>
          </w:p>
        </w:tc>
      </w:tr>
      <w:tr w:rsidR="00716665">
        <w:trPr>
          <w:trHeight w:val="504"/>
        </w:trPr>
        <w:tc>
          <w:tcPr>
            <w:tcW w:w="1522" w:type="dxa"/>
            <w:vAlign w:val="center"/>
          </w:tcPr>
          <w:p w:rsidR="00716665" w:rsidRPr="007E0FD3" w:rsidRDefault="00716665" w:rsidP="00AE149F">
            <w:r w:rsidRPr="007E0FD3">
              <w:t>Fayette County</w:t>
            </w:r>
            <w:r w:rsidRPr="007E0FD3">
              <w:rPr>
                <w:rStyle w:val="FootnoteReference"/>
              </w:rPr>
              <w:footnoteReference w:id="68"/>
            </w:r>
          </w:p>
        </w:tc>
        <w:tc>
          <w:tcPr>
            <w:tcW w:w="1646" w:type="dxa"/>
            <w:vAlign w:val="center"/>
          </w:tcPr>
          <w:p w:rsidR="00716665" w:rsidRPr="007E0FD3" w:rsidRDefault="00716665" w:rsidP="00AE149F">
            <w:pPr>
              <w:jc w:val="center"/>
            </w:pPr>
            <w:r w:rsidRPr="007E0FD3">
              <w:t>18.5</w:t>
            </w:r>
          </w:p>
        </w:tc>
        <w:tc>
          <w:tcPr>
            <w:tcW w:w="1800" w:type="dxa"/>
            <w:vAlign w:val="center"/>
          </w:tcPr>
          <w:p w:rsidR="00716665" w:rsidRPr="007E0FD3" w:rsidRDefault="00716665" w:rsidP="00AE149F">
            <w:pPr>
              <w:jc w:val="center"/>
            </w:pPr>
            <w:r w:rsidRPr="007E0FD3">
              <w:t>11.5</w:t>
            </w:r>
          </w:p>
        </w:tc>
        <w:tc>
          <w:tcPr>
            <w:tcW w:w="1440" w:type="dxa"/>
            <w:vAlign w:val="center"/>
          </w:tcPr>
          <w:p w:rsidR="00716665" w:rsidRPr="007E0FD3" w:rsidRDefault="00716665" w:rsidP="00AE149F">
            <w:pPr>
              <w:jc w:val="center"/>
            </w:pPr>
            <w:r w:rsidRPr="007E0FD3">
              <w:t>$39,263</w:t>
            </w:r>
          </w:p>
        </w:tc>
        <w:tc>
          <w:tcPr>
            <w:tcW w:w="1800" w:type="dxa"/>
            <w:vAlign w:val="center"/>
          </w:tcPr>
          <w:p w:rsidR="00716665" w:rsidRPr="007E0FD3" w:rsidRDefault="00716665" w:rsidP="00AE149F">
            <w:pPr>
              <w:jc w:val="center"/>
            </w:pPr>
            <w:r w:rsidRPr="007E0FD3">
              <w:t>3.3</w:t>
            </w:r>
          </w:p>
        </w:tc>
      </w:tr>
      <w:tr w:rsidR="00716665">
        <w:trPr>
          <w:trHeight w:val="504"/>
        </w:trPr>
        <w:tc>
          <w:tcPr>
            <w:tcW w:w="1522" w:type="dxa"/>
            <w:vAlign w:val="center"/>
          </w:tcPr>
          <w:p w:rsidR="00716665" w:rsidRPr="007E0FD3" w:rsidRDefault="00716665" w:rsidP="00AE149F">
            <w:r w:rsidRPr="007E0FD3">
              <w:t>Montgomery County</w:t>
            </w:r>
          </w:p>
        </w:tc>
        <w:tc>
          <w:tcPr>
            <w:tcW w:w="1646" w:type="dxa"/>
            <w:vAlign w:val="center"/>
          </w:tcPr>
          <w:p w:rsidR="00716665" w:rsidRPr="007E0FD3" w:rsidRDefault="00716665" w:rsidP="00AE149F">
            <w:pPr>
              <w:jc w:val="center"/>
            </w:pPr>
            <w:r w:rsidRPr="007E0FD3">
              <w:t>16.0</w:t>
            </w:r>
          </w:p>
        </w:tc>
        <w:tc>
          <w:tcPr>
            <w:tcW w:w="1800" w:type="dxa"/>
            <w:vAlign w:val="center"/>
          </w:tcPr>
          <w:p w:rsidR="00716665" w:rsidRPr="007E0FD3" w:rsidRDefault="00716665" w:rsidP="00AE149F">
            <w:pPr>
              <w:jc w:val="center"/>
            </w:pPr>
            <w:r w:rsidRPr="007E0FD3">
              <w:t>11.1</w:t>
            </w:r>
          </w:p>
        </w:tc>
        <w:tc>
          <w:tcPr>
            <w:tcW w:w="1440" w:type="dxa"/>
            <w:vAlign w:val="center"/>
          </w:tcPr>
          <w:p w:rsidR="00716665" w:rsidRPr="007E0FD3" w:rsidRDefault="00716665" w:rsidP="00AE149F">
            <w:pPr>
              <w:jc w:val="center"/>
            </w:pPr>
            <w:r w:rsidRPr="007E0FD3">
              <w:t>$44,585</w:t>
            </w:r>
          </w:p>
        </w:tc>
        <w:tc>
          <w:tcPr>
            <w:tcW w:w="1800" w:type="dxa"/>
            <w:vAlign w:val="center"/>
          </w:tcPr>
          <w:p w:rsidR="00716665" w:rsidRPr="007E0FD3" w:rsidRDefault="00716665" w:rsidP="00AE149F">
            <w:pPr>
              <w:jc w:val="center"/>
            </w:pPr>
            <w:r w:rsidRPr="007E0FD3">
              <w:t>2.9</w:t>
            </w:r>
          </w:p>
        </w:tc>
      </w:tr>
      <w:tr w:rsidR="00716665">
        <w:trPr>
          <w:trHeight w:val="504"/>
        </w:trPr>
        <w:tc>
          <w:tcPr>
            <w:tcW w:w="1522" w:type="dxa"/>
            <w:vAlign w:val="center"/>
          </w:tcPr>
          <w:p w:rsidR="00716665" w:rsidRPr="007E0FD3" w:rsidRDefault="00716665" w:rsidP="00AE149F">
            <w:r w:rsidRPr="007E0FD3">
              <w:t>Clinton County</w:t>
            </w:r>
            <w:r w:rsidRPr="007E0FD3">
              <w:rPr>
                <w:rStyle w:val="FootnoteReference"/>
              </w:rPr>
              <w:footnoteReference w:id="69"/>
            </w:r>
          </w:p>
        </w:tc>
        <w:tc>
          <w:tcPr>
            <w:tcW w:w="1646" w:type="dxa"/>
            <w:vAlign w:val="center"/>
          </w:tcPr>
          <w:p w:rsidR="00716665" w:rsidRPr="007E0FD3" w:rsidRDefault="00716665" w:rsidP="00AE149F">
            <w:pPr>
              <w:jc w:val="center"/>
            </w:pPr>
            <w:r w:rsidRPr="007E0FD3">
              <w:t>14.8</w:t>
            </w:r>
          </w:p>
        </w:tc>
        <w:tc>
          <w:tcPr>
            <w:tcW w:w="1800" w:type="dxa"/>
            <w:vAlign w:val="center"/>
          </w:tcPr>
          <w:p w:rsidR="00716665" w:rsidRPr="007E0FD3" w:rsidRDefault="00716665" w:rsidP="00AE149F">
            <w:pPr>
              <w:jc w:val="center"/>
            </w:pPr>
            <w:r w:rsidRPr="007E0FD3">
              <w:t>16.4</w:t>
            </w:r>
          </w:p>
        </w:tc>
        <w:tc>
          <w:tcPr>
            <w:tcW w:w="1440" w:type="dxa"/>
            <w:vAlign w:val="center"/>
          </w:tcPr>
          <w:p w:rsidR="00716665" w:rsidRPr="007E0FD3" w:rsidRDefault="00716665" w:rsidP="00AE149F">
            <w:pPr>
              <w:jc w:val="center"/>
            </w:pPr>
            <w:r w:rsidRPr="007E0FD3">
              <w:t>$47,264</w:t>
            </w:r>
          </w:p>
        </w:tc>
        <w:tc>
          <w:tcPr>
            <w:tcW w:w="1800" w:type="dxa"/>
            <w:vAlign w:val="center"/>
          </w:tcPr>
          <w:p w:rsidR="00716665" w:rsidRPr="007E0FD3" w:rsidRDefault="00716665" w:rsidP="00AE149F">
            <w:pPr>
              <w:jc w:val="center"/>
            </w:pPr>
            <w:r w:rsidRPr="007E0FD3">
              <w:t>2.7</w:t>
            </w:r>
          </w:p>
        </w:tc>
      </w:tr>
    </w:tbl>
    <w:p w:rsidR="00716665" w:rsidRDefault="00716665" w:rsidP="004852A5">
      <w:pPr>
        <w:spacing w:line="480" w:lineRule="auto"/>
        <w:ind w:left="720" w:hanging="720"/>
        <w:rPr>
          <w:b/>
          <w:bCs/>
          <w:i/>
          <w:iCs/>
        </w:rPr>
      </w:pPr>
    </w:p>
    <w:p w:rsidR="00716665" w:rsidRPr="00555069" w:rsidRDefault="00716665" w:rsidP="004852A5">
      <w:pPr>
        <w:spacing w:line="480" w:lineRule="auto"/>
        <w:ind w:left="720" w:hanging="720"/>
        <w:rPr>
          <w:b/>
          <w:bCs/>
          <w:i/>
          <w:iCs/>
        </w:rPr>
      </w:pPr>
      <w:r w:rsidRPr="00555069">
        <w:rPr>
          <w:b/>
          <w:bCs/>
          <w:i/>
          <w:iCs/>
        </w:rPr>
        <w:t>Q</w:t>
      </w:r>
      <w:r>
        <w:rPr>
          <w:b/>
          <w:bCs/>
          <w:i/>
          <w:iCs/>
        </w:rPr>
        <w:t>25</w:t>
      </w:r>
      <w:r w:rsidRPr="00555069">
        <w:rPr>
          <w:b/>
          <w:bCs/>
          <w:i/>
          <w:iCs/>
        </w:rPr>
        <w:t>.</w:t>
      </w:r>
      <w:r w:rsidRPr="00555069">
        <w:rPr>
          <w:b/>
          <w:bCs/>
          <w:i/>
          <w:iCs/>
        </w:rPr>
        <w:tab/>
        <w:t xml:space="preserve">SHOULD DP&amp;L’S FINANCIAL PERFORMANCE OVER THE LAST SEVERAL YEARS BE </w:t>
      </w:r>
      <w:r>
        <w:rPr>
          <w:b/>
          <w:bCs/>
          <w:i/>
          <w:iCs/>
        </w:rPr>
        <w:t xml:space="preserve">CONSIDERED IN REGARD TO THE </w:t>
      </w:r>
      <w:r w:rsidRPr="00555069">
        <w:rPr>
          <w:b/>
          <w:bCs/>
          <w:i/>
          <w:iCs/>
        </w:rPr>
        <w:t xml:space="preserve">AFFORDABILITY </w:t>
      </w:r>
      <w:r>
        <w:rPr>
          <w:b/>
          <w:bCs/>
          <w:i/>
          <w:iCs/>
        </w:rPr>
        <w:t>OF THE RATES IN DP&amp;L’S PROPOSED ELECTRIC SECURITY PLAN</w:t>
      </w:r>
      <w:r w:rsidRPr="00555069">
        <w:rPr>
          <w:b/>
          <w:bCs/>
          <w:i/>
          <w:iCs/>
        </w:rPr>
        <w:t>?</w:t>
      </w:r>
    </w:p>
    <w:p w:rsidR="00716665" w:rsidRDefault="00716665" w:rsidP="001C460F">
      <w:pPr>
        <w:spacing w:line="480" w:lineRule="auto"/>
      </w:pPr>
      <w:r w:rsidRPr="00826570">
        <w:rPr>
          <w:b/>
          <w:bCs/>
          <w:i/>
          <w:iCs/>
        </w:rPr>
        <w:t>A</w:t>
      </w:r>
      <w:r>
        <w:rPr>
          <w:b/>
          <w:bCs/>
          <w:i/>
          <w:iCs/>
        </w:rPr>
        <w:t>25</w:t>
      </w:r>
      <w:r w:rsidRPr="00826570">
        <w:rPr>
          <w:b/>
          <w:bCs/>
          <w:i/>
          <w:iCs/>
        </w:rPr>
        <w:t>.</w:t>
      </w:r>
      <w:r>
        <w:tab/>
        <w:t>This issue is addressed in the testimony of OCC Witness, Dr. Daniel J. Duann.</w:t>
      </w:r>
    </w:p>
    <w:p w:rsidR="00716665" w:rsidRDefault="00716665" w:rsidP="001C460F">
      <w:pPr>
        <w:pStyle w:val="Heading1"/>
      </w:pPr>
      <w:r>
        <w:br w:type="page"/>
      </w:r>
      <w:bookmarkStart w:id="7" w:name="_Toc349057451"/>
      <w:r w:rsidRPr="0012265A">
        <w:t>IV.</w:t>
      </w:r>
      <w:r w:rsidRPr="0012265A">
        <w:tab/>
      </w:r>
      <w:r>
        <w:t>RECOMMENDATIONS</w:t>
      </w:r>
      <w:bookmarkEnd w:id="7"/>
    </w:p>
    <w:p w:rsidR="00716665" w:rsidRDefault="00716665">
      <w:pPr>
        <w:spacing w:line="480" w:lineRule="auto"/>
        <w:ind w:left="720" w:hanging="720"/>
        <w:rPr>
          <w:b/>
          <w:bCs/>
        </w:rPr>
      </w:pPr>
    </w:p>
    <w:p w:rsidR="00716665" w:rsidRDefault="00716665">
      <w:pPr>
        <w:spacing w:line="480" w:lineRule="auto"/>
        <w:ind w:left="720" w:hanging="720"/>
        <w:rPr>
          <w:b/>
          <w:bCs/>
          <w:i/>
          <w:iCs/>
        </w:rPr>
      </w:pPr>
      <w:r w:rsidRPr="0012265A">
        <w:rPr>
          <w:b/>
          <w:bCs/>
          <w:i/>
          <w:iCs/>
        </w:rPr>
        <w:t>Q</w:t>
      </w:r>
      <w:r>
        <w:rPr>
          <w:b/>
          <w:bCs/>
          <w:i/>
          <w:iCs/>
        </w:rPr>
        <w:t>26</w:t>
      </w:r>
      <w:r w:rsidRPr="0012265A">
        <w:rPr>
          <w:b/>
          <w:bCs/>
          <w:i/>
          <w:iCs/>
        </w:rPr>
        <w:t>.</w:t>
      </w:r>
      <w:r w:rsidRPr="0012265A">
        <w:rPr>
          <w:b/>
          <w:bCs/>
          <w:i/>
          <w:iCs/>
        </w:rPr>
        <w:tab/>
        <w:t xml:space="preserve">DO YOU HAVE ANY RECOMMENDATIONS FOR HOW </w:t>
      </w:r>
      <w:r>
        <w:rPr>
          <w:b/>
          <w:bCs/>
          <w:i/>
          <w:iCs/>
        </w:rPr>
        <w:t>YOUR AFFORDABILITY CONCERNS CAN BE ADDRESSED BY THE COMMISSION</w:t>
      </w:r>
      <w:r w:rsidRPr="0012265A">
        <w:rPr>
          <w:b/>
          <w:bCs/>
          <w:i/>
          <w:iCs/>
        </w:rPr>
        <w:t>?</w:t>
      </w:r>
    </w:p>
    <w:p w:rsidR="00716665" w:rsidRDefault="00716665">
      <w:pPr>
        <w:spacing w:line="480" w:lineRule="auto"/>
        <w:ind w:left="720" w:hanging="720"/>
      </w:pPr>
      <w:r>
        <w:rPr>
          <w:b/>
          <w:bCs/>
          <w:i/>
          <w:iCs/>
        </w:rPr>
        <w:t>A26.</w:t>
      </w:r>
      <w:r>
        <w:rPr>
          <w:b/>
          <w:bCs/>
          <w:i/>
          <w:iCs/>
        </w:rPr>
        <w:tab/>
      </w:r>
      <w:r>
        <w:t>Yes.</w:t>
      </w:r>
    </w:p>
    <w:p w:rsidR="00716665" w:rsidRDefault="00716665" w:rsidP="00FD69EB">
      <w:pPr>
        <w:spacing w:line="480" w:lineRule="auto"/>
        <w:ind w:left="720" w:hanging="720"/>
        <w:rPr>
          <w:b/>
          <w:bCs/>
          <w:i/>
          <w:iCs/>
        </w:rPr>
      </w:pPr>
    </w:p>
    <w:p w:rsidR="00716665" w:rsidRDefault="00716665" w:rsidP="00FD69EB">
      <w:pPr>
        <w:spacing w:line="480" w:lineRule="auto"/>
        <w:ind w:left="720" w:hanging="720"/>
        <w:rPr>
          <w:b/>
          <w:bCs/>
          <w:i/>
          <w:iCs/>
        </w:rPr>
      </w:pPr>
      <w:r w:rsidRPr="0012265A">
        <w:rPr>
          <w:b/>
          <w:bCs/>
          <w:i/>
          <w:iCs/>
        </w:rPr>
        <w:t>Q</w:t>
      </w:r>
      <w:r>
        <w:rPr>
          <w:b/>
          <w:bCs/>
          <w:i/>
          <w:iCs/>
        </w:rPr>
        <w:t>27</w:t>
      </w:r>
      <w:r w:rsidRPr="0012265A">
        <w:rPr>
          <w:b/>
          <w:bCs/>
          <w:i/>
          <w:iCs/>
        </w:rPr>
        <w:t>.</w:t>
      </w:r>
      <w:r w:rsidRPr="0012265A">
        <w:rPr>
          <w:b/>
          <w:bCs/>
          <w:i/>
          <w:iCs/>
        </w:rPr>
        <w:tab/>
      </w:r>
      <w:r>
        <w:rPr>
          <w:b/>
          <w:bCs/>
          <w:i/>
          <w:iCs/>
        </w:rPr>
        <w:t>WHAT ARE YOUR</w:t>
      </w:r>
      <w:r w:rsidRPr="0012265A">
        <w:rPr>
          <w:b/>
          <w:bCs/>
          <w:i/>
          <w:iCs/>
        </w:rPr>
        <w:t xml:space="preserve"> RECOMMENDATIONS FOR HOW </w:t>
      </w:r>
      <w:r>
        <w:rPr>
          <w:b/>
          <w:bCs/>
          <w:i/>
          <w:iCs/>
        </w:rPr>
        <w:t>AFFORDABILITY CONCERNS CAN BE ADDRESSED BY THE COMMISSION</w:t>
      </w:r>
      <w:r w:rsidRPr="0012265A">
        <w:rPr>
          <w:b/>
          <w:bCs/>
          <w:i/>
          <w:iCs/>
        </w:rPr>
        <w:t>?</w:t>
      </w:r>
    </w:p>
    <w:p w:rsidR="00716665" w:rsidRDefault="00716665" w:rsidP="001C460F">
      <w:pPr>
        <w:spacing w:line="480" w:lineRule="auto"/>
        <w:ind w:left="720" w:hanging="720"/>
      </w:pPr>
      <w:r>
        <w:rPr>
          <w:b/>
          <w:bCs/>
          <w:i/>
          <w:iCs/>
        </w:rPr>
        <w:t>A27.</w:t>
      </w:r>
      <w:r>
        <w:rPr>
          <w:b/>
          <w:bCs/>
          <w:i/>
          <w:iCs/>
        </w:rPr>
        <w:tab/>
      </w:r>
      <w:r>
        <w:t xml:space="preserve">I recommend that the Commission consider affordability in rendering a decision in this case.  Consideration of affordability should include a review into the credit and collection policies and practices of DP&amp;L to seek ways to reduce the overall number of disconnections for non-payment.  While many of these policies are governed by the Ohio Admin Code 4901:1-18, these are minimum service standards.  The Company can adopt other policies that are more conducive in helping reduce the number of disconnections.  A review is necessary to ensure proper balance between the cost-effectiveness of different policies and practices, and the public interest in reducing the number of disconnections.  Affordability is not an issue that is confined to just low-income families in the DP&amp;L service territory.  In fact, families in Dayton with incomes at the median household income levels do not </w:t>
      </w:r>
      <w:r w:rsidRPr="006071A6">
        <w:t>even qualify for the low-income PIPP Plus program.</w:t>
      </w:r>
      <w:r w:rsidRPr="006071A6">
        <w:rPr>
          <w:rStyle w:val="FootnoteReference"/>
        </w:rPr>
        <w:footnoteReference w:id="70"/>
      </w:r>
      <w:r w:rsidRPr="006071A6">
        <w:t xml:space="preserve">  To the extent these families get behind in electric payments, the Company is only obligated to offer one of the extended payment plans described earlier.</w:t>
      </w:r>
    </w:p>
    <w:p w:rsidR="00716665" w:rsidRDefault="00716665" w:rsidP="00FD69EB">
      <w:pPr>
        <w:spacing w:line="480" w:lineRule="auto"/>
        <w:ind w:left="720" w:hanging="720"/>
      </w:pPr>
    </w:p>
    <w:p w:rsidR="00716665" w:rsidRDefault="00716665" w:rsidP="006725B6">
      <w:pPr>
        <w:spacing w:line="480" w:lineRule="auto"/>
        <w:ind w:left="720" w:hanging="720"/>
        <w:rPr>
          <w:b/>
          <w:bCs/>
          <w:i/>
          <w:iCs/>
        </w:rPr>
      </w:pPr>
      <w:r w:rsidRPr="0012265A">
        <w:rPr>
          <w:b/>
          <w:bCs/>
          <w:i/>
          <w:iCs/>
        </w:rPr>
        <w:t>Q</w:t>
      </w:r>
      <w:r>
        <w:rPr>
          <w:b/>
          <w:bCs/>
          <w:i/>
          <w:iCs/>
        </w:rPr>
        <w:t>28</w:t>
      </w:r>
      <w:r w:rsidRPr="0012265A">
        <w:rPr>
          <w:b/>
          <w:bCs/>
          <w:i/>
          <w:iCs/>
        </w:rPr>
        <w:t>.</w:t>
      </w:r>
      <w:r w:rsidRPr="0012265A">
        <w:rPr>
          <w:b/>
          <w:bCs/>
          <w:i/>
          <w:iCs/>
        </w:rPr>
        <w:tab/>
      </w:r>
      <w:r>
        <w:rPr>
          <w:b/>
          <w:bCs/>
          <w:i/>
          <w:iCs/>
        </w:rPr>
        <w:t>PLEASE ELABORATE ON THE SCOPE OF THE REVIEW YOU ARE RECOMMENDING TO REDUCE THE NUMBER OF DISCONNECTIONS?</w:t>
      </w:r>
    </w:p>
    <w:p w:rsidR="00716665" w:rsidRDefault="00716665" w:rsidP="001B0904">
      <w:pPr>
        <w:spacing w:line="480" w:lineRule="auto"/>
        <w:ind w:left="720" w:hanging="720"/>
      </w:pPr>
      <w:r w:rsidRPr="008A2E6F">
        <w:rPr>
          <w:b/>
          <w:bCs/>
          <w:i/>
          <w:iCs/>
        </w:rPr>
        <w:t>A</w:t>
      </w:r>
      <w:r>
        <w:rPr>
          <w:b/>
          <w:bCs/>
          <w:i/>
          <w:iCs/>
        </w:rPr>
        <w:t>28</w:t>
      </w:r>
      <w:r w:rsidRPr="008A2E6F">
        <w:rPr>
          <w:b/>
          <w:bCs/>
          <w:i/>
          <w:iCs/>
        </w:rPr>
        <w:t>.</w:t>
      </w:r>
      <w:r w:rsidRPr="004E768B">
        <w:tab/>
      </w:r>
      <w:r>
        <w:t>I am recommending a review by the PUCO Staff, DP&amp;L, OCC and other interested stakeholders to seek cost effective ways to enhance the current credit and collection policies and practices to reduce disconnections.  The review should be performed with full disclosure in an open and public environment.</w:t>
      </w:r>
      <w:r>
        <w:rPr>
          <w:rStyle w:val="FootnoteReference"/>
        </w:rPr>
        <w:footnoteReference w:id="71"/>
      </w:r>
      <w:r>
        <w:t xml:space="preserve">  DP&amp;L customers should not be held responsible for complying with classified credit and collection policies and practices in which they have no knowledge.</w:t>
      </w:r>
    </w:p>
    <w:p w:rsidR="00716665" w:rsidRDefault="00716665" w:rsidP="001B0904">
      <w:pPr>
        <w:spacing w:line="480" w:lineRule="auto"/>
        <w:ind w:left="720" w:hanging="720"/>
      </w:pPr>
    </w:p>
    <w:p w:rsidR="00716665" w:rsidRDefault="00716665" w:rsidP="00962E71">
      <w:pPr>
        <w:spacing w:line="480" w:lineRule="auto"/>
        <w:ind w:left="720"/>
      </w:pPr>
      <w:r>
        <w:t>The review should consider the possibility of suspending disconnections during inclement weather, adjusting due dates when possible, reducing payment plan costs, suspension of delayed payment charges, and reducing bill payment charges.  Suspension of disconnections during times of especially hot or cold weather is necessary given the health and safety concerns mentioned earlier.  The review should also consider suspending disconnections when temperatures are below 32 degrees or higher than 90 degrees Fahrenheit.</w:t>
      </w:r>
      <w:r>
        <w:rPr>
          <w:rStyle w:val="FootnoteReference"/>
        </w:rPr>
        <w:footnoteReference w:id="72"/>
      </w:r>
      <w:r>
        <w:t xml:space="preserve">  Furthermore, the review should include an examination of the effectiveness of medical certifications for customers who have chronic illnesses.</w:t>
      </w:r>
      <w:r>
        <w:rPr>
          <w:rStyle w:val="FootnoteReference"/>
        </w:rPr>
        <w:footnoteReference w:id="73"/>
      </w:r>
    </w:p>
    <w:p w:rsidR="00716665" w:rsidRDefault="00716665" w:rsidP="00962E71">
      <w:pPr>
        <w:spacing w:line="480" w:lineRule="auto"/>
        <w:ind w:left="720"/>
      </w:pPr>
    </w:p>
    <w:p w:rsidR="00716665" w:rsidRDefault="00716665" w:rsidP="00962E71">
      <w:pPr>
        <w:spacing w:line="480" w:lineRule="auto"/>
        <w:ind w:left="720"/>
      </w:pPr>
      <w:r>
        <w:t xml:space="preserve">The high number of customers who default on payment plans indicates that more customized payment plans may be needed to help reduce the number of defaults.  Customized payment plans might include lower out-of pocket upfront payments and/or the use of ceiling amounts so that customers who are not eligible for PIPP Plus are able to pay an amount not to exceed say 5 </w:t>
      </w:r>
      <w:r w:rsidRPr="000151DB">
        <w:t>percent</w:t>
      </w:r>
      <w:r>
        <w:t xml:space="preserve"> of their monthly income</w:t>
      </w:r>
      <w:r>
        <w:rPr>
          <w:rStyle w:val="FootnoteReference"/>
        </w:rPr>
        <w:footnoteReference w:id="74"/>
      </w:r>
      <w:r>
        <w:t xml:space="preserve"> to maintain service.  Adjusted due dates can help customers, who have fixed incomes, avoid late payment charges by coinciding the due date for electric bill payment with the time during the month that income is available.  Limiting additional bill payment charges can help make more resources available for actual payment of electric charges.</w:t>
      </w:r>
    </w:p>
    <w:p w:rsidR="00716665" w:rsidRDefault="00716665" w:rsidP="009142E6">
      <w:pPr>
        <w:spacing w:line="480" w:lineRule="auto"/>
        <w:ind w:left="720" w:hanging="720"/>
        <w:rPr>
          <w:b/>
          <w:bCs/>
          <w:i/>
          <w:iCs/>
        </w:rPr>
      </w:pPr>
    </w:p>
    <w:p w:rsidR="00716665" w:rsidRDefault="00716665" w:rsidP="009142E6">
      <w:pPr>
        <w:spacing w:line="480" w:lineRule="auto"/>
        <w:ind w:left="720" w:hanging="720"/>
        <w:rPr>
          <w:b/>
          <w:bCs/>
          <w:i/>
          <w:iCs/>
        </w:rPr>
      </w:pPr>
      <w:r w:rsidRPr="0012265A">
        <w:rPr>
          <w:b/>
          <w:bCs/>
          <w:i/>
          <w:iCs/>
        </w:rPr>
        <w:t>Q</w:t>
      </w:r>
      <w:r>
        <w:rPr>
          <w:b/>
          <w:bCs/>
          <w:i/>
          <w:iCs/>
        </w:rPr>
        <w:t>29</w:t>
      </w:r>
      <w:r w:rsidRPr="0012265A">
        <w:rPr>
          <w:b/>
          <w:bCs/>
          <w:i/>
          <w:iCs/>
        </w:rPr>
        <w:t>.</w:t>
      </w:r>
      <w:r w:rsidRPr="0012265A">
        <w:rPr>
          <w:b/>
          <w:bCs/>
          <w:i/>
          <w:iCs/>
        </w:rPr>
        <w:tab/>
      </w:r>
      <w:r>
        <w:rPr>
          <w:b/>
          <w:bCs/>
          <w:i/>
          <w:iCs/>
        </w:rPr>
        <w:t>DO YOU HAVE OTHER RECOMMENDATIONS THAT SHOULD BE CONSIDERED BY THE COMMISSION TO HELP REDUCE THE NUMBER OF RESIDENTIAL CONSUMERS WHO HAVE THEIR ELECTRIC SERVICE DISCONNECTED?</w:t>
      </w:r>
    </w:p>
    <w:p w:rsidR="00716665" w:rsidRDefault="00716665" w:rsidP="00F50807">
      <w:pPr>
        <w:spacing w:line="480" w:lineRule="auto"/>
        <w:ind w:left="720" w:hanging="720"/>
        <w:rPr>
          <w:b/>
          <w:bCs/>
          <w:i/>
          <w:iCs/>
        </w:rPr>
      </w:pPr>
      <w:r w:rsidRPr="00E55D96">
        <w:rPr>
          <w:b/>
          <w:bCs/>
          <w:i/>
          <w:iCs/>
        </w:rPr>
        <w:t>A</w:t>
      </w:r>
      <w:r>
        <w:rPr>
          <w:b/>
          <w:bCs/>
          <w:i/>
          <w:iCs/>
        </w:rPr>
        <w:t>29</w:t>
      </w:r>
      <w:r w:rsidRPr="00E55D96">
        <w:rPr>
          <w:b/>
          <w:bCs/>
          <w:i/>
          <w:iCs/>
        </w:rPr>
        <w:t>.</w:t>
      </w:r>
      <w:r>
        <w:tab/>
        <w:t>Yes.</w:t>
      </w:r>
    </w:p>
    <w:p w:rsidR="00716665" w:rsidRDefault="00716665" w:rsidP="00F50807">
      <w:pPr>
        <w:spacing w:line="480" w:lineRule="auto"/>
        <w:ind w:left="720" w:hanging="720"/>
        <w:rPr>
          <w:b/>
          <w:bCs/>
          <w:i/>
          <w:iCs/>
        </w:rPr>
      </w:pPr>
      <w:r w:rsidRPr="0012265A">
        <w:rPr>
          <w:b/>
          <w:bCs/>
          <w:i/>
          <w:iCs/>
        </w:rPr>
        <w:t>Q</w:t>
      </w:r>
      <w:r>
        <w:rPr>
          <w:b/>
          <w:bCs/>
          <w:i/>
          <w:iCs/>
        </w:rPr>
        <w:t>30</w:t>
      </w:r>
      <w:r w:rsidRPr="0012265A">
        <w:rPr>
          <w:b/>
          <w:bCs/>
          <w:i/>
          <w:iCs/>
        </w:rPr>
        <w:t>.</w:t>
      </w:r>
      <w:r w:rsidRPr="0012265A">
        <w:rPr>
          <w:b/>
          <w:bCs/>
          <w:i/>
          <w:iCs/>
        </w:rPr>
        <w:tab/>
      </w:r>
      <w:r>
        <w:rPr>
          <w:b/>
          <w:bCs/>
          <w:i/>
          <w:iCs/>
        </w:rPr>
        <w:t>WHAT OTHER MEASURES WOULD HELP REDUCE THE NUMBER OF DISCONNECTIONS?</w:t>
      </w:r>
    </w:p>
    <w:p w:rsidR="00716665" w:rsidRDefault="00716665" w:rsidP="0038138A">
      <w:pPr>
        <w:spacing w:line="480" w:lineRule="auto"/>
        <w:ind w:left="720" w:hanging="720"/>
      </w:pPr>
      <w:r w:rsidRPr="00E55D96">
        <w:rPr>
          <w:b/>
          <w:bCs/>
          <w:i/>
          <w:iCs/>
        </w:rPr>
        <w:t>A</w:t>
      </w:r>
      <w:r>
        <w:rPr>
          <w:b/>
          <w:bCs/>
          <w:i/>
          <w:iCs/>
        </w:rPr>
        <w:t>30</w:t>
      </w:r>
      <w:r w:rsidRPr="00E55D96">
        <w:rPr>
          <w:b/>
          <w:bCs/>
          <w:i/>
          <w:iCs/>
        </w:rPr>
        <w:t>.</w:t>
      </w:r>
      <w:r>
        <w:tab/>
        <w:t>The Company has funded a bill payment assistance program at a level of $400,000 per year from 2009 through 2012.</w:t>
      </w:r>
      <w:r>
        <w:rPr>
          <w:rStyle w:val="FootnoteReference"/>
        </w:rPr>
        <w:footnoteReference w:id="75"/>
      </w:r>
      <w:r>
        <w:t xml:space="preserve">  In addition, the Company has continued the $400,000 bill payment assistance through 2013.</w:t>
      </w:r>
      <w:r>
        <w:rPr>
          <w:rStyle w:val="FootnoteReference"/>
        </w:rPr>
        <w:footnoteReference w:id="76"/>
      </w:r>
      <w:r>
        <w:t xml:space="preserve">  However, as seen in Table 3 and 4, the disconnection rate in DP&amp;L’s service territory is the highest in the state despite the availability of bill payment assistance funds.  This is not surprising considering that DP&amp;L’s electric bills rival the highest in the state.  The Commission should encourage DP&amp;L to initiate a shareholder-funded bill payment assistance program to help residential customers avoid disconnection of service.</w:t>
      </w:r>
      <w:r>
        <w:rPr>
          <w:rStyle w:val="FootnoteReference"/>
        </w:rPr>
        <w:footnoteReference w:id="77"/>
      </w:r>
      <w:r>
        <w:t xml:space="preserve">  Bill payment assistance can help make bills more affordable, reduce disconnections, and provide an opportunity for DP&amp;L to enhance corporate citizenship.  The bill payment assistance program should be in addition to all other financial assistance programs currently available to DP&amp;L customers.</w:t>
      </w:r>
      <w:r>
        <w:rPr>
          <w:rStyle w:val="FootnoteReference"/>
        </w:rPr>
        <w:footnoteReference w:id="78"/>
      </w:r>
      <w:r>
        <w:t xml:space="preserve">  DP&amp;L should collaborate with the PUCO Staff and OCC concerning the qualifications, methods and agencies that are available to distribute the bill payment assistance throughout its service territory.</w:t>
      </w:r>
    </w:p>
    <w:p w:rsidR="00716665" w:rsidRDefault="00716665" w:rsidP="00E55D96">
      <w:pPr>
        <w:spacing w:line="480" w:lineRule="auto"/>
        <w:ind w:left="720"/>
      </w:pPr>
      <w:r>
        <w:t>If DP&amp;L would fund the bill payment program at a level of $1.5 million per year, benefit amounts of approximately $250.00 could help 6,000 or more low-income residential customers per year maintain electric service.</w:t>
      </w:r>
      <w:r>
        <w:rPr>
          <w:rStyle w:val="FootnoteReference"/>
        </w:rPr>
        <w:footnoteReference w:id="79"/>
      </w:r>
      <w:r>
        <w:t xml:space="preserve">  DP&amp;L should continue funding the bill payment assistance program at the $1.5 million per year level until such time as the trends in disconnection rates are more closely aligned with the disconnections of the other Ohio electric utilities.</w:t>
      </w:r>
    </w:p>
    <w:p w:rsidR="00716665" w:rsidRPr="00F206DE" w:rsidRDefault="00716665" w:rsidP="00E55D96">
      <w:pPr>
        <w:spacing w:line="480" w:lineRule="auto"/>
        <w:ind w:left="720"/>
      </w:pPr>
    </w:p>
    <w:p w:rsidR="00716665" w:rsidRDefault="00716665" w:rsidP="00B5273D">
      <w:pPr>
        <w:pStyle w:val="Heading1"/>
      </w:pPr>
      <w:bookmarkStart w:id="8" w:name="_Toc200862193"/>
      <w:bookmarkStart w:id="9" w:name="_Toc200862239"/>
      <w:bookmarkStart w:id="10" w:name="_Toc200862280"/>
      <w:bookmarkStart w:id="11" w:name="_Toc250355738"/>
      <w:bookmarkStart w:id="12" w:name="_Toc264032016"/>
      <w:bookmarkStart w:id="13" w:name="_Toc317859577"/>
      <w:bookmarkStart w:id="14" w:name="_Toc349057452"/>
      <w:r>
        <w:t>v.</w:t>
      </w:r>
      <w:r>
        <w:tab/>
        <w:t>CONCLUSION</w:t>
      </w:r>
      <w:bookmarkEnd w:id="8"/>
      <w:bookmarkEnd w:id="9"/>
      <w:bookmarkEnd w:id="10"/>
      <w:bookmarkEnd w:id="11"/>
      <w:bookmarkEnd w:id="12"/>
      <w:bookmarkEnd w:id="13"/>
      <w:bookmarkEnd w:id="14"/>
    </w:p>
    <w:p w:rsidR="00716665" w:rsidRDefault="00716665">
      <w:pPr>
        <w:spacing w:line="480" w:lineRule="auto"/>
      </w:pPr>
    </w:p>
    <w:p w:rsidR="00716665" w:rsidRDefault="00716665">
      <w:pPr>
        <w:pStyle w:val="ANSWER"/>
        <w:ind w:left="720"/>
        <w:rPr>
          <w:b/>
          <w:bCs/>
          <w:i/>
          <w:iCs/>
        </w:rPr>
      </w:pPr>
      <w:r>
        <w:rPr>
          <w:b/>
          <w:bCs/>
          <w:i/>
          <w:iCs/>
        </w:rPr>
        <w:t>Q31.</w:t>
      </w:r>
      <w:r>
        <w:rPr>
          <w:b/>
          <w:bCs/>
          <w:i/>
          <w:iCs/>
        </w:rPr>
        <w:tab/>
        <w:t>DOES THIS CONCLUDE YOUR TESTIMONY?</w:t>
      </w:r>
      <w:r>
        <w:rPr>
          <w:b/>
          <w:bCs/>
          <w:i/>
          <w:iCs/>
        </w:rPr>
        <w:tab/>
      </w:r>
    </w:p>
    <w:p w:rsidR="00716665" w:rsidRDefault="00716665">
      <w:pPr>
        <w:pStyle w:val="BodyTextIndent3"/>
        <w:ind w:left="720" w:hanging="720"/>
      </w:pPr>
      <w:r w:rsidRPr="008576D7">
        <w:rPr>
          <w:b/>
          <w:bCs/>
          <w:i/>
          <w:iCs/>
        </w:rPr>
        <w:t>A</w:t>
      </w:r>
      <w:r>
        <w:rPr>
          <w:b/>
          <w:bCs/>
          <w:i/>
          <w:iCs/>
        </w:rPr>
        <w:t>31</w:t>
      </w:r>
      <w:r w:rsidRPr="008576D7">
        <w:rPr>
          <w:b/>
          <w:bCs/>
          <w:i/>
          <w:iCs/>
        </w:rPr>
        <w:t>.</w:t>
      </w:r>
      <w:r w:rsidRPr="008576D7">
        <w:rPr>
          <w:b/>
          <w:bCs/>
          <w:i/>
          <w:iCs/>
        </w:rPr>
        <w:tab/>
      </w:r>
      <w:r w:rsidRPr="008576D7">
        <w:t>Yes.  However, I reserve the right to incorporate new information that may subsequently become available through outstanding discovery or otherwise.</w:t>
      </w:r>
    </w:p>
    <w:p w:rsidR="00716665" w:rsidRPr="008576D7" w:rsidRDefault="00716665">
      <w:pPr>
        <w:pStyle w:val="BodyTextIndent3"/>
        <w:ind w:left="720" w:hanging="720"/>
        <w:sectPr w:rsidR="00716665" w:rsidRPr="008576D7" w:rsidSect="00D95C88">
          <w:headerReference w:type="default" r:id="rId16"/>
          <w:footerReference w:type="default" r:id="rId17"/>
          <w:pgSz w:w="12240" w:h="15840" w:code="1"/>
          <w:pgMar w:top="1440" w:right="1800" w:bottom="1440" w:left="1800" w:header="720" w:footer="720" w:gutter="0"/>
          <w:lnNumType w:countBy="1"/>
          <w:pgNumType w:start="1"/>
          <w:cols w:space="720"/>
          <w:docGrid w:linePitch="326"/>
        </w:sectPr>
      </w:pPr>
    </w:p>
    <w:p w:rsidR="00716665" w:rsidRDefault="00716665">
      <w:pPr>
        <w:spacing w:line="480" w:lineRule="auto"/>
        <w:jc w:val="center"/>
      </w:pPr>
      <w:r>
        <w:rPr>
          <w:b/>
          <w:bCs/>
          <w:u w:val="single"/>
        </w:rPr>
        <w:t>CERTIFICATE OF SERVICE</w:t>
      </w:r>
    </w:p>
    <w:p w:rsidR="00716665" w:rsidRDefault="00716665">
      <w:pPr>
        <w:suppressAutoHyphens/>
        <w:spacing w:line="480" w:lineRule="auto"/>
        <w:ind w:firstLine="720"/>
        <w:rPr>
          <w:spacing w:val="-3"/>
        </w:rPr>
      </w:pPr>
      <w:r>
        <w:rPr>
          <w:spacing w:val="-3"/>
        </w:rPr>
        <w:t xml:space="preserve">It is hereby certified that a true copy of the foregoing </w:t>
      </w:r>
      <w:r>
        <w:rPr>
          <w:i/>
          <w:iCs/>
          <w:spacing w:val="-3"/>
        </w:rPr>
        <w:t xml:space="preserve">Testimony of James D. Williams </w:t>
      </w:r>
      <w:r>
        <w:rPr>
          <w:spacing w:val="-3"/>
        </w:rPr>
        <w:t>has been served via electronic transmission this 1</w:t>
      </w:r>
      <w:r w:rsidRPr="00001C6D">
        <w:rPr>
          <w:spacing w:val="-3"/>
          <w:vertAlign w:val="superscript"/>
        </w:rPr>
        <w:t>st</w:t>
      </w:r>
      <w:r>
        <w:rPr>
          <w:spacing w:val="-3"/>
        </w:rPr>
        <w:t>day of March 2013.</w:t>
      </w:r>
    </w:p>
    <w:p w:rsidR="00716665" w:rsidRDefault="00716665">
      <w:pPr>
        <w:pStyle w:val="EndnoteText"/>
        <w:widowControl/>
        <w:tabs>
          <w:tab w:val="left" w:pos="-720"/>
        </w:tabs>
        <w:suppressAutoHyphens/>
        <w:rPr>
          <w:spacing w:val="-3"/>
        </w:rPr>
      </w:pPr>
    </w:p>
    <w:p w:rsidR="00716665" w:rsidRPr="00E301A6" w:rsidRDefault="00716665">
      <w:pPr>
        <w:pStyle w:val="EndnoteText"/>
        <w:widowControl/>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iCs/>
          <w:sz w:val="24"/>
          <w:szCs w:val="24"/>
          <w:u w:val="single"/>
        </w:rPr>
        <w:t xml:space="preserve">/s/ </w:t>
      </w:r>
      <w:r w:rsidR="005E0FF4">
        <w:rPr>
          <w:i/>
          <w:iCs/>
          <w:sz w:val="24"/>
          <w:szCs w:val="24"/>
          <w:u w:val="single"/>
        </w:rPr>
        <w:t>Edmund (Tad) Berger</w:t>
      </w:r>
      <w:r>
        <w:rPr>
          <w:sz w:val="24"/>
          <w:szCs w:val="24"/>
        </w:rPr>
        <w:t>_________</w:t>
      </w:r>
    </w:p>
    <w:p w:rsidR="00716665" w:rsidRPr="00E301A6" w:rsidRDefault="00716665">
      <w:pPr>
        <w:pStyle w:val="EndnoteText"/>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E0FF4">
        <w:rPr>
          <w:sz w:val="24"/>
          <w:szCs w:val="24"/>
        </w:rPr>
        <w:t>Edmund (Tad) Berger</w:t>
      </w:r>
      <w:r>
        <w:rPr>
          <w:sz w:val="24"/>
          <w:szCs w:val="24"/>
        </w:rPr>
        <w:t xml:space="preserve"> </w:t>
      </w:r>
    </w:p>
    <w:p w:rsidR="00716665" w:rsidRPr="00E301A6" w:rsidRDefault="00716665">
      <w:pPr>
        <w:pStyle w:val="EndnoteText"/>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E0FF4">
        <w:rPr>
          <w:sz w:val="24"/>
          <w:szCs w:val="24"/>
        </w:rPr>
        <w:t>Assistant</w:t>
      </w:r>
      <w:r>
        <w:rPr>
          <w:sz w:val="24"/>
          <w:szCs w:val="24"/>
        </w:rPr>
        <w:t xml:space="preserve"> Consumers’ Counsel</w:t>
      </w:r>
    </w:p>
    <w:p w:rsidR="00716665" w:rsidRPr="00E301A6" w:rsidRDefault="00716665">
      <w:pPr>
        <w:pStyle w:val="EndnoteText"/>
        <w:widowControl/>
        <w:rPr>
          <w:sz w:val="24"/>
          <w:szCs w:val="24"/>
        </w:rPr>
      </w:pPr>
    </w:p>
    <w:p w:rsidR="00716665" w:rsidRPr="0038138A" w:rsidRDefault="00716665" w:rsidP="00260D21">
      <w:pPr>
        <w:pStyle w:val="CommentText"/>
        <w:jc w:val="center"/>
        <w:rPr>
          <w:b/>
          <w:bCs/>
          <w:sz w:val="24"/>
          <w:szCs w:val="24"/>
          <w:u w:val="single"/>
        </w:rPr>
      </w:pPr>
      <w:r w:rsidRPr="0038138A">
        <w:rPr>
          <w:b/>
          <w:bCs/>
          <w:sz w:val="24"/>
          <w:szCs w:val="24"/>
          <w:u w:val="single"/>
        </w:rPr>
        <w:t>SERVICE LIST</w:t>
      </w:r>
    </w:p>
    <w:p w:rsidR="00716665" w:rsidRDefault="00716665" w:rsidP="00260D21">
      <w:pPr>
        <w:pStyle w:val="CommentText"/>
        <w:jc w:val="center"/>
        <w:rPr>
          <w:b/>
          <w:bCs/>
          <w:u w:val="single"/>
        </w:rPr>
      </w:pPr>
    </w:p>
    <w:tbl>
      <w:tblPr>
        <w:tblW w:w="0" w:type="auto"/>
        <w:jc w:val="center"/>
        <w:tblLook w:val="01E0" w:firstRow="1" w:lastRow="1" w:firstColumn="1" w:lastColumn="1" w:noHBand="0" w:noVBand="0"/>
      </w:tblPr>
      <w:tblGrid>
        <w:gridCol w:w="4586"/>
        <w:gridCol w:w="4270"/>
      </w:tblGrid>
      <w:tr w:rsidR="00716665">
        <w:trPr>
          <w:jc w:val="center"/>
        </w:trPr>
        <w:tc>
          <w:tcPr>
            <w:tcW w:w="4822" w:type="dxa"/>
          </w:tcPr>
          <w:p w:rsidR="00716665" w:rsidRPr="00256629" w:rsidRDefault="00716665" w:rsidP="00B5273D">
            <w:pPr>
              <w:pStyle w:val="BodyText"/>
              <w:spacing w:after="0"/>
            </w:pPr>
            <w:r w:rsidRPr="000840AE">
              <w:t>Thomas.mcnamee@puc.state.oh.us</w:t>
            </w:r>
          </w:p>
          <w:p w:rsidR="00716665" w:rsidRPr="00256629" w:rsidRDefault="00716665" w:rsidP="00B5273D">
            <w:pPr>
              <w:pStyle w:val="BodyText"/>
              <w:spacing w:after="0"/>
            </w:pPr>
            <w:r w:rsidRPr="000840AE">
              <w:t>Devin.parram@puc.state.oh.us</w:t>
            </w:r>
          </w:p>
          <w:p w:rsidR="00716665" w:rsidRDefault="00716665" w:rsidP="00B5273D">
            <w:r w:rsidRPr="000840AE">
              <w:t>Judi.sobecki@dplinc.com</w:t>
            </w:r>
          </w:p>
          <w:p w:rsidR="00716665" w:rsidRDefault="00716665" w:rsidP="00B5273D">
            <w:r w:rsidRPr="000840AE">
              <w:t>sam@mwncmh.com</w:t>
            </w:r>
          </w:p>
          <w:p w:rsidR="00716665" w:rsidRDefault="00716665" w:rsidP="00B5273D">
            <w:r w:rsidRPr="000840AE">
              <w:t>fdarr@mwncmh.com</w:t>
            </w:r>
          </w:p>
          <w:p w:rsidR="00716665" w:rsidRDefault="00716665" w:rsidP="00B5273D">
            <w:r w:rsidRPr="000840AE">
              <w:t>mpritchard@mwncmh.com</w:t>
            </w:r>
          </w:p>
          <w:p w:rsidR="00716665" w:rsidRDefault="00716665" w:rsidP="00B5273D">
            <w:r w:rsidRPr="000840AE">
              <w:t>joliker@mwncmh.com</w:t>
            </w:r>
          </w:p>
          <w:p w:rsidR="00716665" w:rsidRDefault="00716665" w:rsidP="00B5273D">
            <w:r w:rsidRPr="000840AE">
              <w:t>Amy.spiller@duke-energy.com</w:t>
            </w:r>
          </w:p>
          <w:p w:rsidR="00716665" w:rsidRDefault="00716665" w:rsidP="00B5273D">
            <w:r w:rsidRPr="000840AE">
              <w:t>Jeanne.kingery@duke-energy.com</w:t>
            </w:r>
          </w:p>
          <w:p w:rsidR="00716665" w:rsidRDefault="00716665" w:rsidP="00B5273D">
            <w:r w:rsidRPr="000840AE">
              <w:t>BMcMahon@emh-law.com</w:t>
            </w:r>
          </w:p>
          <w:p w:rsidR="00716665" w:rsidRDefault="00716665" w:rsidP="00B5273D">
            <w:r w:rsidRPr="000840AE">
              <w:t>Elizabeth.watts@duke-energy.com</w:t>
            </w:r>
          </w:p>
          <w:p w:rsidR="00716665" w:rsidRDefault="00716665" w:rsidP="00B5273D">
            <w:r w:rsidRPr="000840AE">
              <w:t>Rocco.DAscenzo@duke-energy.com</w:t>
            </w:r>
          </w:p>
          <w:p w:rsidR="00716665" w:rsidRDefault="00716665" w:rsidP="00B5273D">
            <w:r w:rsidRPr="000840AE">
              <w:t>dboehm@BKLlawfirm.com</w:t>
            </w:r>
          </w:p>
          <w:p w:rsidR="00716665" w:rsidRDefault="00716665" w:rsidP="00B5273D">
            <w:r w:rsidRPr="000840AE">
              <w:t>mkurtz@BKLlawfirm.com</w:t>
            </w:r>
          </w:p>
          <w:p w:rsidR="00716665" w:rsidRDefault="00716665" w:rsidP="00B5273D">
            <w:r w:rsidRPr="000840AE">
              <w:t>myurick@taftlaw.com</w:t>
            </w:r>
          </w:p>
          <w:p w:rsidR="00716665" w:rsidRDefault="00716665" w:rsidP="00B5273D">
            <w:r w:rsidRPr="000840AE">
              <w:t>zkravitz@taftlaw.com</w:t>
            </w:r>
          </w:p>
          <w:p w:rsidR="00716665" w:rsidRDefault="00716665" w:rsidP="00B5273D">
            <w:r w:rsidRPr="000840AE">
              <w:t>whitt@whitt-sturtevant.com</w:t>
            </w:r>
          </w:p>
          <w:p w:rsidR="00716665" w:rsidRDefault="00716665" w:rsidP="00B5273D">
            <w:r w:rsidRPr="000840AE">
              <w:t>campbell@whitt-sturtevant.com</w:t>
            </w:r>
          </w:p>
          <w:p w:rsidR="00716665" w:rsidRDefault="00716665" w:rsidP="00B5273D">
            <w:r w:rsidRPr="000840AE">
              <w:t>thompson@whitt-sturtevant.com</w:t>
            </w:r>
          </w:p>
          <w:p w:rsidR="00716665" w:rsidRDefault="00716665" w:rsidP="00B5273D">
            <w:r w:rsidRPr="000840AE">
              <w:t>mhpetricoff@vorys.com</w:t>
            </w:r>
          </w:p>
          <w:p w:rsidR="00716665" w:rsidRDefault="00716665" w:rsidP="00B5273D">
            <w:r w:rsidRPr="000840AE">
              <w:t>smhoward@vorys.com</w:t>
            </w:r>
          </w:p>
          <w:p w:rsidR="00716665" w:rsidRDefault="00716665" w:rsidP="00B5273D">
            <w:r w:rsidRPr="000840AE">
              <w:t>ssherman@kdlegal.com</w:t>
            </w:r>
          </w:p>
          <w:p w:rsidR="00716665" w:rsidRDefault="00716665" w:rsidP="00B5273D">
            <w:r w:rsidRPr="000840AE">
              <w:t>jhague@kdlegal.com</w:t>
            </w:r>
          </w:p>
          <w:p w:rsidR="00716665" w:rsidRPr="00256629" w:rsidRDefault="00716665" w:rsidP="00B5273D">
            <w:pPr>
              <w:pStyle w:val="BodyText"/>
              <w:spacing w:after="0"/>
            </w:pPr>
            <w:r w:rsidRPr="000840AE">
              <w:t>gchapman@kdlegal.com</w:t>
            </w:r>
          </w:p>
          <w:p w:rsidR="00716665" w:rsidRPr="008918A2" w:rsidRDefault="00716665" w:rsidP="00B5273D">
            <w:pPr>
              <w:rPr>
                <w:color w:val="0000FF"/>
                <w:sz w:val="23"/>
                <w:szCs w:val="23"/>
              </w:rPr>
            </w:pPr>
            <w:r w:rsidRPr="000840AE">
              <w:rPr>
                <w:sz w:val="23"/>
                <w:szCs w:val="23"/>
              </w:rPr>
              <w:t>Carolyn.Flahive@ThompsonHine.com</w:t>
            </w:r>
          </w:p>
          <w:p w:rsidR="00716665" w:rsidRDefault="00716665" w:rsidP="00B5273D">
            <w:r w:rsidRPr="000840AE">
              <w:t>Stephanie.Chmiel@ThompsonHine.com</w:t>
            </w:r>
          </w:p>
          <w:p w:rsidR="00716665" w:rsidRDefault="00716665" w:rsidP="00B5273D">
            <w:pPr>
              <w:rPr>
                <w:color w:val="0000FF"/>
              </w:rPr>
            </w:pPr>
            <w:r w:rsidRPr="000840AE">
              <w:t>Philip.Sineneng@ThompsonHine.com</w:t>
            </w:r>
          </w:p>
          <w:p w:rsidR="00716665" w:rsidRDefault="00716665" w:rsidP="00B5273D">
            <w:pPr>
              <w:rPr>
                <w:sz w:val="23"/>
                <w:szCs w:val="23"/>
              </w:rPr>
            </w:pPr>
            <w:r w:rsidRPr="000840AE">
              <w:rPr>
                <w:sz w:val="23"/>
                <w:szCs w:val="23"/>
              </w:rPr>
              <w:t>Michael.Dillard@ThompsonHine.com</w:t>
            </w:r>
          </w:p>
          <w:p w:rsidR="00716665" w:rsidRPr="00256629" w:rsidRDefault="00716665" w:rsidP="00B5273D">
            <w:pPr>
              <w:pStyle w:val="BodyText"/>
              <w:spacing w:after="0"/>
            </w:pPr>
            <w:r w:rsidRPr="000840AE">
              <w:t>matt@matthewcoxlaw.com</w:t>
            </w:r>
          </w:p>
          <w:p w:rsidR="00716665" w:rsidRPr="00256629" w:rsidRDefault="00716665" w:rsidP="00B5273D">
            <w:pPr>
              <w:pStyle w:val="BodyText"/>
              <w:rPr>
                <w:b/>
                <w:bCs/>
              </w:rPr>
            </w:pPr>
          </w:p>
        </w:tc>
        <w:tc>
          <w:tcPr>
            <w:tcW w:w="4641" w:type="dxa"/>
          </w:tcPr>
          <w:p w:rsidR="00716665" w:rsidRDefault="00716665" w:rsidP="00B5273D">
            <w:r w:rsidRPr="000840AE">
              <w:t>cfaruki@ficlaw.com</w:t>
            </w:r>
          </w:p>
          <w:p w:rsidR="00716665" w:rsidRDefault="00716665" w:rsidP="00B5273D">
            <w:r w:rsidRPr="000840AE">
              <w:t>jsharkey@ficlaw.com</w:t>
            </w:r>
          </w:p>
          <w:p w:rsidR="00716665" w:rsidRDefault="00716665" w:rsidP="00B5273D">
            <w:r w:rsidRPr="000840AE">
              <w:t>lmcalister@bricker.com</w:t>
            </w:r>
          </w:p>
          <w:p w:rsidR="00716665" w:rsidRDefault="00716665" w:rsidP="00B5273D">
            <w:r w:rsidRPr="000840AE">
              <w:t>mwarnock@bricker.com</w:t>
            </w:r>
          </w:p>
          <w:p w:rsidR="00716665" w:rsidRDefault="00716665" w:rsidP="00B5273D">
            <w:r w:rsidRPr="000840AE">
              <w:t>tsiwo@bricker.com</w:t>
            </w:r>
          </w:p>
          <w:p w:rsidR="00716665" w:rsidRDefault="00716665" w:rsidP="00B5273D">
            <w:r w:rsidRPr="000840AE">
              <w:t>tony_long@ham.honda.com</w:t>
            </w:r>
          </w:p>
          <w:p w:rsidR="00716665" w:rsidRDefault="00716665" w:rsidP="00B5273D">
            <w:r w:rsidRPr="000840AE">
              <w:t>haydenm@firstenergycorp.com</w:t>
            </w:r>
          </w:p>
          <w:p w:rsidR="00716665" w:rsidRDefault="00716665" w:rsidP="00B5273D">
            <w:r w:rsidRPr="000840AE">
              <w:t>jlang@calfee.com</w:t>
            </w:r>
          </w:p>
          <w:p w:rsidR="00716665" w:rsidRDefault="00716665" w:rsidP="00B5273D">
            <w:r w:rsidRPr="000840AE">
              <w:t>lmcbride@calfee.com</w:t>
            </w:r>
          </w:p>
          <w:p w:rsidR="00716665" w:rsidRDefault="00716665" w:rsidP="00B5273D">
            <w:r w:rsidRPr="000840AE">
              <w:t>talexander@calfee.com</w:t>
            </w:r>
          </w:p>
          <w:p w:rsidR="00716665" w:rsidRDefault="00716665" w:rsidP="00B5273D">
            <w:r w:rsidRPr="000840AE">
              <w:t>jejadwin@aep.com</w:t>
            </w:r>
          </w:p>
          <w:p w:rsidR="00716665" w:rsidRDefault="00716665" w:rsidP="00B5273D">
            <w:r w:rsidRPr="000840AE">
              <w:t>gpoulos@enernoc.com</w:t>
            </w:r>
          </w:p>
          <w:p w:rsidR="00716665" w:rsidRDefault="00716665" w:rsidP="00B5273D">
            <w:r w:rsidRPr="000840AE">
              <w:t>ricks@ohanet.org</w:t>
            </w:r>
          </w:p>
          <w:p w:rsidR="00716665" w:rsidRDefault="00716665" w:rsidP="00B5273D">
            <w:r w:rsidRPr="000840AE">
              <w:t>cmooney2@columbus.rr.com</w:t>
            </w:r>
          </w:p>
          <w:p w:rsidR="00716665" w:rsidRDefault="00716665" w:rsidP="00B5273D">
            <w:r w:rsidRPr="000840AE">
              <w:t>tobrien@bricker.com</w:t>
            </w:r>
          </w:p>
          <w:p w:rsidR="00716665" w:rsidRDefault="00716665" w:rsidP="00B5273D">
            <w:r w:rsidRPr="000840AE">
              <w:t>vparisi@igsenergy.com</w:t>
            </w:r>
          </w:p>
          <w:p w:rsidR="00716665" w:rsidRDefault="00716665" w:rsidP="00B5273D">
            <w:r w:rsidRPr="000840AE">
              <w:t>mswhite@igsenergy.com</w:t>
            </w:r>
          </w:p>
          <w:p w:rsidR="00716665" w:rsidRDefault="00716665" w:rsidP="00B5273D">
            <w:r w:rsidRPr="000840AE">
              <w:t>Christopher.miller@icemiller.com</w:t>
            </w:r>
          </w:p>
          <w:p w:rsidR="00716665" w:rsidRDefault="00716665" w:rsidP="00B5273D">
            <w:r w:rsidRPr="000840AE">
              <w:t>Gregory.dunn@icemiller.com</w:t>
            </w:r>
          </w:p>
          <w:p w:rsidR="00716665" w:rsidRPr="00E8424D" w:rsidRDefault="00716665" w:rsidP="00B5273D">
            <w:r w:rsidRPr="000840AE">
              <w:t>Asim.haque@icemiller.com</w:t>
            </w:r>
          </w:p>
          <w:p w:rsidR="00716665" w:rsidRDefault="00716665" w:rsidP="00B5273D">
            <w:r w:rsidRPr="000840AE">
              <w:t>trent@theoec.org</w:t>
            </w:r>
          </w:p>
          <w:p w:rsidR="00716665" w:rsidRPr="00256629" w:rsidRDefault="00716665" w:rsidP="00B5273D">
            <w:pPr>
              <w:pStyle w:val="BodyText"/>
              <w:spacing w:after="0"/>
            </w:pPr>
            <w:r w:rsidRPr="000840AE">
              <w:t>cathy@theoec.org</w:t>
            </w:r>
          </w:p>
          <w:p w:rsidR="00716665" w:rsidRPr="00256629" w:rsidRDefault="00716665" w:rsidP="00B5273D">
            <w:pPr>
              <w:pStyle w:val="BodyText"/>
              <w:spacing w:after="0"/>
            </w:pPr>
            <w:r w:rsidRPr="000840AE">
              <w:t>jmclark@vectren.com</w:t>
            </w:r>
          </w:p>
          <w:p w:rsidR="00716665" w:rsidRDefault="00716665" w:rsidP="00B5273D">
            <w:r w:rsidRPr="000840AE">
              <w:t>dakutik@jonesday.com</w:t>
            </w:r>
          </w:p>
          <w:p w:rsidR="00716665" w:rsidRDefault="00716665" w:rsidP="00B5273D">
            <w:r w:rsidRPr="000840AE">
              <w:t>aehaedt@jonesday.com</w:t>
            </w:r>
          </w:p>
          <w:p w:rsidR="00716665" w:rsidRDefault="00716665" w:rsidP="00B5273D">
            <w:r w:rsidRPr="000840AE">
              <w:t>ejacobs@ablelaw.org</w:t>
            </w:r>
          </w:p>
          <w:p w:rsidR="00716665" w:rsidRDefault="00716665" w:rsidP="00B5273D">
            <w:r w:rsidRPr="000840AE">
              <w:t>kbojko@insight.rr.com</w:t>
            </w:r>
          </w:p>
          <w:p w:rsidR="00716665" w:rsidRPr="00256629" w:rsidRDefault="00716665" w:rsidP="00B5273D">
            <w:pPr>
              <w:pStyle w:val="BodyText"/>
              <w:spacing w:after="0"/>
            </w:pPr>
            <w:r w:rsidRPr="000840AE">
              <w:t>mjsatterwhite@aep.com</w:t>
            </w:r>
          </w:p>
          <w:p w:rsidR="00716665" w:rsidRPr="00256629" w:rsidRDefault="00716665" w:rsidP="00B5273D">
            <w:pPr>
              <w:pStyle w:val="BodyText"/>
              <w:spacing w:after="0"/>
            </w:pPr>
            <w:r w:rsidRPr="000840AE">
              <w:t>stnourse@aep.com</w:t>
            </w:r>
          </w:p>
        </w:tc>
      </w:tr>
    </w:tbl>
    <w:p w:rsidR="00716665" w:rsidRPr="00260D21" w:rsidRDefault="00716665" w:rsidP="00260D21">
      <w:pPr>
        <w:tabs>
          <w:tab w:val="left" w:pos="720"/>
        </w:tabs>
        <w:autoSpaceDE w:val="0"/>
        <w:autoSpaceDN w:val="0"/>
        <w:adjustRightInd w:val="0"/>
      </w:pPr>
      <w:r>
        <w:t>AEs:</w:t>
      </w:r>
      <w:r>
        <w:tab/>
      </w:r>
      <w:r w:rsidRPr="00260D21">
        <w:rPr>
          <w:color w:val="0000FF"/>
          <w:u w:val="single"/>
        </w:rPr>
        <w:t>mandy.willey@puc.state.oh.us</w:t>
      </w:r>
    </w:p>
    <w:p w:rsidR="00716665" w:rsidRPr="00A42A9A" w:rsidRDefault="00716665" w:rsidP="005E39E9">
      <w:pPr>
        <w:tabs>
          <w:tab w:val="left" w:pos="720"/>
          <w:tab w:val="left" w:pos="4320"/>
        </w:tabs>
        <w:rPr>
          <w:lang w:val="es-ES"/>
        </w:rPr>
      </w:pPr>
      <w:r w:rsidRPr="00260D21">
        <w:rPr>
          <w:color w:val="0000FF"/>
        </w:rPr>
        <w:tab/>
      </w:r>
      <w:r w:rsidRPr="00260D21">
        <w:rPr>
          <w:color w:val="0000FF"/>
          <w:u w:val="single"/>
        </w:rPr>
        <w:t>gregory.price@puc.state.oh.us</w:t>
      </w:r>
    </w:p>
    <w:sectPr w:rsidR="00716665" w:rsidRPr="00A42A9A" w:rsidSect="00D644F4">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65" w:rsidRDefault="00716665">
      <w:r>
        <w:separator/>
      </w:r>
    </w:p>
  </w:endnote>
  <w:endnote w:type="continuationSeparator" w:id="0">
    <w:p w:rsidR="00716665" w:rsidRDefault="0071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AE" w:rsidRDefault="00084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AE" w:rsidRDefault="00084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AE" w:rsidRDefault="000840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65" w:rsidRDefault="0071666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0AE">
      <w:rPr>
        <w:rStyle w:val="PageNumber"/>
        <w:noProof/>
      </w:rPr>
      <w:t>i</w:t>
    </w:r>
    <w:r>
      <w:rPr>
        <w:rStyle w:val="PageNumber"/>
      </w:rPr>
      <w:fldChar w:fldCharType="end"/>
    </w:r>
  </w:p>
  <w:p w:rsidR="00716665" w:rsidRDefault="007166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65" w:rsidRDefault="00716665" w:rsidP="0046062E">
    <w:pPr>
      <w:pStyle w:val="Footer"/>
      <w:framePr w:wrap="auto" w:vAnchor="text" w:hAnchor="page" w:x="6121" w:yAlign="center"/>
      <w:rPr>
        <w:rStyle w:val="PageNumber"/>
      </w:rPr>
    </w:pPr>
    <w:r>
      <w:rPr>
        <w:rStyle w:val="PageNumber"/>
      </w:rPr>
      <w:fldChar w:fldCharType="begin"/>
    </w:r>
    <w:r>
      <w:rPr>
        <w:rStyle w:val="PageNumber"/>
      </w:rPr>
      <w:instrText xml:space="preserve">PAGE  </w:instrText>
    </w:r>
    <w:r>
      <w:rPr>
        <w:rStyle w:val="PageNumber"/>
      </w:rPr>
      <w:fldChar w:fldCharType="separate"/>
    </w:r>
    <w:r w:rsidR="000840AE">
      <w:rPr>
        <w:rStyle w:val="PageNumber"/>
        <w:noProof/>
      </w:rPr>
      <w:t>29</w:t>
    </w:r>
    <w:r>
      <w:rPr>
        <w:rStyle w:val="PageNumber"/>
      </w:rPr>
      <w:fldChar w:fldCharType="end"/>
    </w:r>
  </w:p>
  <w:p w:rsidR="00716665" w:rsidRDefault="0071666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65" w:rsidRDefault="00716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65" w:rsidRDefault="00716665">
      <w:r>
        <w:separator/>
      </w:r>
    </w:p>
  </w:footnote>
  <w:footnote w:type="continuationSeparator" w:id="0">
    <w:p w:rsidR="00716665" w:rsidRDefault="00716665">
      <w:r>
        <w:continuationSeparator/>
      </w:r>
    </w:p>
  </w:footnote>
  <w:footnote w:id="1">
    <w:p w:rsidR="00716665" w:rsidRDefault="00716665" w:rsidP="002F3080">
      <w:pPr>
        <w:autoSpaceDE w:val="0"/>
        <w:autoSpaceDN w:val="0"/>
        <w:adjustRightInd w:val="0"/>
        <w:spacing w:after="120"/>
      </w:pPr>
      <w:r w:rsidRPr="002F3080">
        <w:rPr>
          <w:rStyle w:val="FootnoteReference"/>
          <w:sz w:val="20"/>
          <w:szCs w:val="20"/>
        </w:rPr>
        <w:footnoteRef/>
      </w:r>
      <w:r w:rsidRPr="002F3080">
        <w:rPr>
          <w:i/>
          <w:iCs/>
          <w:sz w:val="20"/>
          <w:szCs w:val="20"/>
        </w:rPr>
        <w:t>In the Matter of the Application of The Dayton Power and Light Company for Approval of Its Electric Security Plan</w:t>
      </w:r>
      <w:r w:rsidRPr="002F3080">
        <w:rPr>
          <w:sz w:val="20"/>
          <w:szCs w:val="20"/>
        </w:rPr>
        <w:t>, Case No. 08-1094-EL-SSO.</w:t>
      </w:r>
    </w:p>
  </w:footnote>
  <w:footnote w:id="2">
    <w:p w:rsidR="00716665" w:rsidRDefault="00716665" w:rsidP="002F3080">
      <w:pPr>
        <w:pStyle w:val="FootnoteText"/>
        <w:spacing w:after="120"/>
      </w:pPr>
      <w:r w:rsidRPr="002F3080">
        <w:rPr>
          <w:rStyle w:val="FootnoteReference"/>
        </w:rPr>
        <w:footnoteRef/>
      </w:r>
      <w:r w:rsidRPr="002F3080">
        <w:t xml:space="preserve"> DP&amp;L Response to OCC Interrogatory No. 75 (Attached herein as JDW-2).</w:t>
      </w:r>
    </w:p>
  </w:footnote>
  <w:footnote w:id="3">
    <w:p w:rsidR="00716665" w:rsidRDefault="00716665" w:rsidP="002F3080">
      <w:pPr>
        <w:pStyle w:val="FootnoteText"/>
        <w:spacing w:after="120"/>
      </w:pPr>
      <w:r w:rsidRPr="002F3080">
        <w:rPr>
          <w:rStyle w:val="FootnoteReference"/>
        </w:rPr>
        <w:footnoteRef/>
      </w:r>
      <w:r w:rsidRPr="002F3080">
        <w:t xml:space="preserve"> DP&amp;L Response to OCC Interrogatory No. 86 (Attached herein as JDW-3).</w:t>
      </w:r>
    </w:p>
  </w:footnote>
  <w:footnote w:id="4">
    <w:p w:rsidR="00716665" w:rsidRDefault="00716665" w:rsidP="002F3080">
      <w:pPr>
        <w:pStyle w:val="FootnoteText"/>
        <w:spacing w:after="120"/>
      </w:pPr>
      <w:r w:rsidRPr="002F3080">
        <w:rPr>
          <w:rStyle w:val="FootnoteReference"/>
        </w:rPr>
        <w:footnoteRef/>
      </w:r>
      <w:r w:rsidRPr="002F3080">
        <w:rPr>
          <w:i/>
          <w:iCs/>
        </w:rPr>
        <w:t>In the Matter of the Commission’s Review of Chapters 4901-1-17 and 4901:1-18, and Rules 4901:1-5-07, 4901:1-10-22, 4901:1-13-11, 4901:1-15-17, 4901:1-21-14, and 4901:1-29-12 of the Ohio Administrative Code</w:t>
      </w:r>
      <w:r w:rsidRPr="002F3080">
        <w:t>, Case No. 08-723-AU-ORD, PIPP Plus Metrics Data reported to the PUCO Staff and is provided to OCC upon request.  According to PIPP Plus Metrics Data, the average number of customers on Commission-ordered extended payment plans on a monthly basis.</w:t>
      </w:r>
    </w:p>
  </w:footnote>
  <w:footnote w:id="5">
    <w:p w:rsidR="00716665" w:rsidRDefault="00716665" w:rsidP="002F3080">
      <w:pPr>
        <w:pStyle w:val="FootnoteText"/>
        <w:spacing w:after="120"/>
      </w:pPr>
      <w:r w:rsidRPr="002F3080">
        <w:rPr>
          <w:rStyle w:val="FootnoteReference"/>
        </w:rPr>
        <w:footnoteRef/>
      </w:r>
      <w:r w:rsidRPr="002F3080">
        <w:t xml:space="preserve"> DP&amp;L Response to OCC Interrogatory No. 77 </w:t>
      </w:r>
      <w:r>
        <w:t>(attached herein as JDW-</w:t>
      </w:r>
      <w:r w:rsidR="00D21482">
        <w:t>4</w:t>
      </w:r>
      <w:r>
        <w:t xml:space="preserve">) </w:t>
      </w:r>
      <w:r w:rsidRPr="002F3080">
        <w:t>showed 78,502 customers on Commission-ordered payment plans in 2012.  The 22,701 is the average number of customers on a Commission-ordered payment plan per month.</w:t>
      </w:r>
    </w:p>
  </w:footnote>
  <w:footnote w:id="6">
    <w:p w:rsidR="00716665" w:rsidRDefault="00716665" w:rsidP="002F3080">
      <w:pPr>
        <w:pStyle w:val="FootnoteText"/>
        <w:spacing w:after="120"/>
      </w:pPr>
      <w:r w:rsidRPr="002F3080">
        <w:rPr>
          <w:rStyle w:val="FootnoteReference"/>
        </w:rPr>
        <w:footnoteRef/>
      </w:r>
      <w:r w:rsidRPr="002F3080">
        <w:t xml:space="preserve"> As shown in Table 3 later in this testimony, the 7.5 percent DP&amp;L disconnection rate is much higher than the other Ohio electric utilities.</w:t>
      </w:r>
    </w:p>
  </w:footnote>
  <w:footnote w:id="7">
    <w:p w:rsidR="00716665" w:rsidRPr="002F3080" w:rsidRDefault="00716665" w:rsidP="002F3080">
      <w:pPr>
        <w:pStyle w:val="FootnoteText"/>
        <w:spacing w:after="120"/>
      </w:pPr>
      <w:r w:rsidRPr="002F3080">
        <w:rPr>
          <w:rStyle w:val="FootnoteReference"/>
        </w:rPr>
        <w:footnoteRef/>
      </w:r>
      <w:r w:rsidRPr="002F3080">
        <w:t xml:space="preserve"> Ohio Admin. Code 4901:1-18-05(A).</w:t>
      </w:r>
    </w:p>
    <w:p w:rsidR="00716665" w:rsidRDefault="00716665" w:rsidP="002F3080">
      <w:pPr>
        <w:pStyle w:val="FootnoteText"/>
        <w:spacing w:after="120"/>
      </w:pPr>
    </w:p>
  </w:footnote>
  <w:footnote w:id="8">
    <w:p w:rsidR="00716665" w:rsidRDefault="00716665" w:rsidP="002F3080">
      <w:pPr>
        <w:pStyle w:val="FootnoteText"/>
        <w:spacing w:after="120"/>
      </w:pPr>
      <w:r w:rsidRPr="002F3080">
        <w:rPr>
          <w:rStyle w:val="FootnoteReference"/>
        </w:rPr>
        <w:footnoteRef/>
      </w:r>
      <w:r w:rsidRPr="002F3080">
        <w:t xml:space="preserve"> The Ohio Poverty Report, Ohio Development Services Agency, February 2013 at page 10.</w:t>
      </w:r>
    </w:p>
  </w:footnote>
  <w:footnote w:id="9">
    <w:p w:rsidR="00716665" w:rsidRDefault="00716665" w:rsidP="002F3080">
      <w:pPr>
        <w:pStyle w:val="FootnoteText"/>
        <w:spacing w:after="120"/>
      </w:pPr>
      <w:r w:rsidRPr="002F3080">
        <w:rPr>
          <w:rStyle w:val="FootnoteReference"/>
        </w:rPr>
        <w:footnoteRef/>
      </w:r>
      <w:r w:rsidRPr="002F3080">
        <w:t xml:space="preserve"> Ohio Admin. Code 122:5-3-02.</w:t>
      </w:r>
    </w:p>
  </w:footnote>
  <w:footnote w:id="10">
    <w:p w:rsidR="00716665" w:rsidRDefault="00716665" w:rsidP="002F3080">
      <w:pPr>
        <w:pStyle w:val="FootnoteText"/>
        <w:spacing w:after="120"/>
      </w:pPr>
      <w:r w:rsidRPr="002F3080">
        <w:rPr>
          <w:rStyle w:val="FootnoteReference"/>
        </w:rPr>
        <w:footnoteRef/>
      </w:r>
      <w:r w:rsidRPr="002F3080">
        <w:t xml:space="preserve"> Ohio Admin. Code 122:5-3-04.</w:t>
      </w:r>
    </w:p>
  </w:footnote>
  <w:footnote w:id="11">
    <w:p w:rsidR="00716665" w:rsidRDefault="00716665" w:rsidP="002F3080">
      <w:pPr>
        <w:pStyle w:val="FootnoteText"/>
        <w:spacing w:after="120"/>
      </w:pPr>
      <w:r w:rsidRPr="002F3080">
        <w:rPr>
          <w:rStyle w:val="FootnoteReference"/>
        </w:rPr>
        <w:footnoteRef/>
      </w:r>
      <w:r w:rsidRPr="002F3080">
        <w:t xml:space="preserve"> Id.</w:t>
      </w:r>
    </w:p>
  </w:footnote>
  <w:footnote w:id="12">
    <w:p w:rsidR="00716665" w:rsidRDefault="00716665" w:rsidP="002F3080">
      <w:pPr>
        <w:pStyle w:val="FootnoteText"/>
        <w:spacing w:after="120"/>
      </w:pPr>
      <w:r w:rsidRPr="002F3080">
        <w:rPr>
          <w:rStyle w:val="FootnoteReference"/>
        </w:rPr>
        <w:footnoteRef/>
      </w:r>
      <w:r w:rsidRPr="002F3080">
        <w:t xml:space="preserve"> Annual income for a family of four at 150 percent of the federal poverty guideline is $34,574.  With a 6 percent PIPP Plus payment level, the annual payment for electric is $2,011.50 or $167.63 monthly.</w:t>
      </w:r>
    </w:p>
  </w:footnote>
  <w:footnote w:id="13">
    <w:p w:rsidR="00716665" w:rsidRDefault="00716665" w:rsidP="002F3080">
      <w:pPr>
        <w:pStyle w:val="FootnoteText"/>
        <w:spacing w:after="120"/>
      </w:pPr>
      <w:r w:rsidRPr="002F3080">
        <w:rPr>
          <w:rStyle w:val="FootnoteReference"/>
        </w:rPr>
        <w:footnoteRef/>
      </w:r>
      <w:r w:rsidRPr="002F3080">
        <w:t xml:space="preserve"> DP&amp;L response to OCC Interrogatory No. 89 (Attached herein as JDW-</w:t>
      </w:r>
      <w:r w:rsidR="00D21482">
        <w:t>5</w:t>
      </w:r>
      <w:r w:rsidRPr="002F3080">
        <w:t>).</w:t>
      </w:r>
    </w:p>
  </w:footnote>
  <w:footnote w:id="14">
    <w:p w:rsidR="00716665" w:rsidRDefault="00716665" w:rsidP="002F3080">
      <w:pPr>
        <w:pStyle w:val="FootnoteText"/>
        <w:spacing w:after="120"/>
      </w:pPr>
      <w:r w:rsidRPr="002F3080">
        <w:rPr>
          <w:rStyle w:val="FootnoteReference"/>
        </w:rPr>
        <w:footnoteRef/>
      </w:r>
      <w:r w:rsidRPr="002F3080">
        <w:t xml:space="preserve"> DP&amp;L Response to OCC Interrogatory No. 90 (Attached herein as JDW-</w:t>
      </w:r>
      <w:r w:rsidR="00D21482">
        <w:t>6</w:t>
      </w:r>
      <w:r w:rsidRPr="002F3080">
        <w:t>).</w:t>
      </w:r>
    </w:p>
  </w:footnote>
  <w:footnote w:id="15">
    <w:p w:rsidR="00716665" w:rsidRDefault="00716665" w:rsidP="002F3080">
      <w:pPr>
        <w:pStyle w:val="FootnoteText"/>
        <w:spacing w:after="120"/>
      </w:pPr>
      <w:r w:rsidRPr="002F3080">
        <w:rPr>
          <w:rStyle w:val="FootnoteReference"/>
        </w:rPr>
        <w:footnoteRef/>
      </w:r>
      <w:r w:rsidRPr="002F3080">
        <w:t xml:space="preserve"> </w:t>
      </w:r>
      <w:r w:rsidR="002509D3" w:rsidRPr="002F3080">
        <w:t xml:space="preserve">DP&amp;L Response to OCC Interrogatory No. </w:t>
      </w:r>
      <w:r w:rsidR="002509D3">
        <w:t>87</w:t>
      </w:r>
      <w:r w:rsidR="002509D3" w:rsidRPr="002F3080">
        <w:t xml:space="preserve"> (Attached herein as JDW-</w:t>
      </w:r>
      <w:r w:rsidR="002509D3">
        <w:t>7</w:t>
      </w:r>
      <w:r w:rsidR="002509D3" w:rsidRPr="002F3080">
        <w:t>).</w:t>
      </w:r>
    </w:p>
  </w:footnote>
  <w:footnote w:id="16">
    <w:p w:rsidR="00716665" w:rsidRDefault="00716665" w:rsidP="002F3080">
      <w:pPr>
        <w:pStyle w:val="FootnoteText"/>
        <w:spacing w:after="120"/>
      </w:pPr>
      <w:r w:rsidRPr="002F3080">
        <w:rPr>
          <w:rStyle w:val="FootnoteReference"/>
        </w:rPr>
        <w:footnoteRef/>
      </w:r>
      <w:r w:rsidRPr="002F3080">
        <w:t xml:space="preserve"> DP&amp;L Response to OCC Interrogatory </w:t>
      </w:r>
      <w:r w:rsidR="002509D3">
        <w:t>No. 81 (Attached herein as JDW-8</w:t>
      </w:r>
      <w:r w:rsidRPr="002F3080">
        <w:t>)</w:t>
      </w:r>
    </w:p>
  </w:footnote>
  <w:footnote w:id="17">
    <w:p w:rsidR="00716665" w:rsidRDefault="00716665" w:rsidP="002F3080">
      <w:pPr>
        <w:pStyle w:val="FootnoteText"/>
        <w:spacing w:after="120"/>
      </w:pPr>
      <w:r w:rsidRPr="002F3080">
        <w:rPr>
          <w:rStyle w:val="FootnoteReference"/>
        </w:rPr>
        <w:footnoteRef/>
      </w:r>
      <w:r w:rsidRPr="002F3080">
        <w:t xml:space="preserve"> DP&amp;L Response to OCC Interrogatory </w:t>
      </w:r>
      <w:r w:rsidR="002509D3">
        <w:t>No. 76 (Attached herein as JDW-9</w:t>
      </w:r>
      <w:r w:rsidRPr="002F3080">
        <w:t>).</w:t>
      </w:r>
    </w:p>
  </w:footnote>
  <w:footnote w:id="18">
    <w:p w:rsidR="00716665" w:rsidRDefault="00716665" w:rsidP="002F3080">
      <w:pPr>
        <w:pStyle w:val="FootnoteText"/>
        <w:spacing w:after="120"/>
      </w:pPr>
      <w:r w:rsidRPr="002F3080">
        <w:rPr>
          <w:rStyle w:val="FootnoteReference"/>
        </w:rPr>
        <w:footnoteRef/>
      </w:r>
      <w:r w:rsidRPr="002F3080">
        <w:t xml:space="preserve"> DP&amp;L Response to OCC Interrogatory </w:t>
      </w:r>
      <w:r w:rsidR="002509D3">
        <w:t>No. 83 (Attached herein as JDW-10</w:t>
      </w:r>
      <w:r w:rsidRPr="002F3080">
        <w:t>).</w:t>
      </w:r>
    </w:p>
  </w:footnote>
  <w:footnote w:id="19">
    <w:p w:rsidR="00716665" w:rsidRDefault="00716665" w:rsidP="002F3080">
      <w:pPr>
        <w:pStyle w:val="FootnoteText"/>
        <w:spacing w:after="120"/>
      </w:pPr>
      <w:r w:rsidRPr="002F3080">
        <w:rPr>
          <w:rStyle w:val="FootnoteReference"/>
        </w:rPr>
        <w:footnoteRef/>
      </w:r>
      <w:r w:rsidRPr="002F3080">
        <w:t xml:space="preserve"> DP&amp;L Response to OCC Interrogatory No. 85 (Attached herei</w:t>
      </w:r>
      <w:r w:rsidR="002509D3">
        <w:t>n as JDW-11</w:t>
      </w:r>
      <w:r w:rsidRPr="002F3080">
        <w:t>).</w:t>
      </w:r>
    </w:p>
  </w:footnote>
  <w:footnote w:id="20">
    <w:p w:rsidR="00716665" w:rsidRDefault="00716665" w:rsidP="002F3080">
      <w:pPr>
        <w:pStyle w:val="FootnoteText"/>
        <w:spacing w:after="120"/>
      </w:pPr>
      <w:r w:rsidRPr="002F3080">
        <w:rPr>
          <w:rStyle w:val="FootnoteReference"/>
        </w:rPr>
        <w:footnoteRef/>
      </w:r>
      <w:r w:rsidRPr="002F3080">
        <w:t xml:space="preserve"> Refer to JDW-3.</w:t>
      </w:r>
    </w:p>
  </w:footnote>
  <w:footnote w:id="21">
    <w:p w:rsidR="00716665" w:rsidRDefault="00716665" w:rsidP="002F3080">
      <w:pPr>
        <w:pStyle w:val="FootnoteText"/>
        <w:spacing w:after="120"/>
      </w:pPr>
      <w:r w:rsidRPr="002F3080">
        <w:rPr>
          <w:rStyle w:val="FootnoteReference"/>
        </w:rPr>
        <w:footnoteRef/>
      </w:r>
      <w:r w:rsidRPr="002F3080">
        <w:t xml:space="preserve"> </w:t>
      </w:r>
      <w:r w:rsidR="002509D3">
        <w:t>Id.</w:t>
      </w:r>
    </w:p>
  </w:footnote>
  <w:footnote w:id="22">
    <w:p w:rsidR="00716665" w:rsidRDefault="00716665" w:rsidP="002F3080">
      <w:pPr>
        <w:pStyle w:val="FootnoteText"/>
        <w:spacing w:after="120"/>
      </w:pPr>
      <w:r w:rsidRPr="002F3080">
        <w:rPr>
          <w:rStyle w:val="FootnoteReference"/>
        </w:rPr>
        <w:footnoteRef/>
      </w:r>
      <w:r w:rsidRPr="002F3080">
        <w:t xml:space="preserve"> Access to Utility Service, National Consumer Law Center, Fourth Edition, at 325.</w:t>
      </w:r>
    </w:p>
  </w:footnote>
  <w:footnote w:id="23">
    <w:p w:rsidR="00716665" w:rsidRDefault="00716665" w:rsidP="002F3080">
      <w:pPr>
        <w:pStyle w:val="FootnoteText"/>
        <w:spacing w:after="120"/>
      </w:pPr>
      <w:r w:rsidRPr="002F3080">
        <w:rPr>
          <w:rStyle w:val="FootnoteReference"/>
        </w:rPr>
        <w:footnoteRef/>
      </w:r>
      <w:r w:rsidRPr="002F3080">
        <w:t xml:space="preserve"> Affordable Home Energy and Health: Making the Connections, AARP Public Policy Institute, June 2010, at 6.</w:t>
      </w:r>
    </w:p>
  </w:footnote>
  <w:footnote w:id="24">
    <w:p w:rsidR="00716665" w:rsidRDefault="00716665" w:rsidP="002F3080">
      <w:pPr>
        <w:pStyle w:val="FootnoteText"/>
        <w:spacing w:after="120"/>
      </w:pPr>
      <w:r w:rsidRPr="002F3080">
        <w:rPr>
          <w:rStyle w:val="FootnoteReference"/>
        </w:rPr>
        <w:footnoteRef/>
      </w:r>
      <w:r w:rsidRPr="002F3080">
        <w:t xml:space="preserve"> Id, at 7.</w:t>
      </w:r>
    </w:p>
  </w:footnote>
  <w:footnote w:id="25">
    <w:p w:rsidR="00716665" w:rsidRDefault="00716665" w:rsidP="002F3080">
      <w:pPr>
        <w:pStyle w:val="FootnoteText"/>
        <w:spacing w:after="120"/>
      </w:pPr>
      <w:r w:rsidRPr="002F3080">
        <w:rPr>
          <w:rStyle w:val="FootnoteReference"/>
        </w:rPr>
        <w:footnoteRef/>
      </w:r>
      <w:r w:rsidRPr="002F3080">
        <w:t xml:space="preserve"> According to the PIPP Plus Metrics Data provided by the PUCO Staff.</w:t>
      </w:r>
    </w:p>
  </w:footnote>
  <w:footnote w:id="26">
    <w:p w:rsidR="00716665" w:rsidRDefault="00716665" w:rsidP="002F3080">
      <w:pPr>
        <w:pStyle w:val="FootnoteText"/>
        <w:spacing w:after="120"/>
      </w:pPr>
      <w:r w:rsidRPr="002F3080">
        <w:rPr>
          <w:rStyle w:val="FootnoteReference"/>
        </w:rPr>
        <w:footnoteRef/>
      </w:r>
      <w:r w:rsidRPr="002F3080">
        <w:t xml:space="preserve"> Ohio Admin. Code 4901:1-18-06(C) limits the number of medical certifications to three per household in any twelve</w:t>
      </w:r>
      <w:r>
        <w:t>-</w:t>
      </w:r>
      <w:r w:rsidRPr="002F3080">
        <w:t>month period, each with a duration of up to 30 days.</w:t>
      </w:r>
    </w:p>
  </w:footnote>
  <w:footnote w:id="27">
    <w:p w:rsidR="00716665" w:rsidRDefault="00716665" w:rsidP="002F3080">
      <w:pPr>
        <w:pStyle w:val="FootnoteText"/>
        <w:spacing w:after="120"/>
      </w:pPr>
      <w:r w:rsidRPr="002F3080">
        <w:rPr>
          <w:rStyle w:val="FootnoteReference"/>
        </w:rPr>
        <w:footnoteRef/>
      </w:r>
      <w:r w:rsidRPr="002F3080">
        <w:t xml:space="preserve"> Id, at 10.</w:t>
      </w:r>
    </w:p>
  </w:footnote>
  <w:footnote w:id="28">
    <w:p w:rsidR="00716665" w:rsidRDefault="00716665" w:rsidP="002F3080">
      <w:pPr>
        <w:pStyle w:val="FootnoteText"/>
        <w:spacing w:after="120"/>
      </w:pPr>
      <w:r w:rsidRPr="002F3080">
        <w:rPr>
          <w:rStyle w:val="FootnoteReference"/>
        </w:rPr>
        <w:footnoteRef/>
      </w:r>
      <w:r w:rsidRPr="002F3080">
        <w:t xml:space="preserve"> Dayton Power and Light Tariff, Original Sheet No. D15, Page 1, (A)(1).</w:t>
      </w:r>
    </w:p>
  </w:footnote>
  <w:footnote w:id="29">
    <w:p w:rsidR="00716665" w:rsidRDefault="00716665" w:rsidP="002F3080">
      <w:pPr>
        <w:pStyle w:val="FootnoteText"/>
        <w:spacing w:after="120"/>
      </w:pPr>
      <w:r w:rsidRPr="002F3080">
        <w:rPr>
          <w:rStyle w:val="FootnoteReference"/>
        </w:rPr>
        <w:footnoteRef/>
      </w:r>
      <w:r w:rsidRPr="002F3080">
        <w:t xml:space="preserve"> DP&amp;L Response to OCC Interrogatory No. 95 (Attached herein as JDW-12).</w:t>
      </w:r>
    </w:p>
  </w:footnote>
  <w:footnote w:id="30">
    <w:p w:rsidR="00716665" w:rsidRDefault="00716665" w:rsidP="002F3080">
      <w:pPr>
        <w:pStyle w:val="FootnoteText"/>
        <w:spacing w:after="120"/>
      </w:pPr>
      <w:r w:rsidRPr="002F3080">
        <w:rPr>
          <w:rStyle w:val="FootnoteReference"/>
        </w:rPr>
        <w:footnoteRef/>
      </w:r>
      <w:r w:rsidRPr="002F3080">
        <w:t xml:space="preserve"> Ohio Admin. </w:t>
      </w:r>
      <w:r w:rsidRPr="002F3080">
        <w:rPr>
          <w:lang w:val="fr-FR"/>
        </w:rPr>
        <w:t>Code 4901:1-17-04(B).</w:t>
      </w:r>
    </w:p>
  </w:footnote>
  <w:footnote w:id="31">
    <w:p w:rsidR="00716665" w:rsidRDefault="00716665" w:rsidP="002F3080">
      <w:pPr>
        <w:pStyle w:val="FootnoteText"/>
        <w:spacing w:after="120"/>
      </w:pPr>
      <w:r w:rsidRPr="002F3080">
        <w:rPr>
          <w:rStyle w:val="FootnoteReference"/>
        </w:rPr>
        <w:footnoteRef/>
      </w:r>
      <w:r w:rsidRPr="002F3080">
        <w:rPr>
          <w:lang w:val="fr-FR"/>
        </w:rPr>
        <w:t xml:space="preserve"> Ohio Admin. Code 4901:1-17-05(A).</w:t>
      </w:r>
    </w:p>
  </w:footnote>
  <w:footnote w:id="32">
    <w:p w:rsidR="00716665" w:rsidRDefault="00716665" w:rsidP="002F3080">
      <w:pPr>
        <w:pStyle w:val="FootnoteText"/>
        <w:spacing w:after="120"/>
      </w:pPr>
      <w:r w:rsidRPr="002F3080">
        <w:rPr>
          <w:rStyle w:val="FootnoteReference"/>
        </w:rPr>
        <w:footnoteRef/>
      </w:r>
      <w:r w:rsidRPr="002F3080">
        <w:t xml:space="preserve"> DP&amp;L Response to OCC Interrogatory No.98 (Attached herein as JDW-13).</w:t>
      </w:r>
    </w:p>
  </w:footnote>
  <w:footnote w:id="33">
    <w:p w:rsidR="00716665" w:rsidRDefault="00716665" w:rsidP="002F3080">
      <w:pPr>
        <w:pStyle w:val="FootnoteText"/>
        <w:spacing w:after="120"/>
      </w:pPr>
      <w:r w:rsidRPr="002F3080">
        <w:rPr>
          <w:rStyle w:val="FootnoteReference"/>
        </w:rPr>
        <w:footnoteRef/>
      </w:r>
      <w:r w:rsidRPr="002F3080">
        <w:t xml:space="preserve"> According to JDW-11, average deposit amounts were $108 in 2007 and have increased 25 percent to $148 in 2012.</w:t>
      </w:r>
    </w:p>
  </w:footnote>
  <w:footnote w:id="34">
    <w:p w:rsidR="00716665" w:rsidRDefault="00716665" w:rsidP="002F3080">
      <w:pPr>
        <w:pStyle w:val="FootnoteText"/>
        <w:spacing w:after="120"/>
      </w:pPr>
      <w:r w:rsidRPr="002F3080">
        <w:rPr>
          <w:rStyle w:val="FootnoteReference"/>
        </w:rPr>
        <w:footnoteRef/>
      </w:r>
      <w:r w:rsidRPr="002F3080">
        <w:t xml:space="preserve"> DP&amp;L Response to OCC Interrogatory No. 97 (Attached herein as JDW-14).  34,389 x $148.00 = $5,089,572.</w:t>
      </w:r>
    </w:p>
  </w:footnote>
  <w:footnote w:id="35">
    <w:p w:rsidR="00716665" w:rsidRDefault="00716665" w:rsidP="002F3080">
      <w:pPr>
        <w:pStyle w:val="FootnoteText"/>
        <w:spacing w:after="120"/>
      </w:pPr>
      <w:r w:rsidRPr="002F3080">
        <w:rPr>
          <w:rStyle w:val="FootnoteReference"/>
        </w:rPr>
        <w:footnoteRef/>
      </w:r>
      <w:r w:rsidRPr="002F3080">
        <w:t xml:space="preserve"> Id.</w:t>
      </w:r>
    </w:p>
  </w:footnote>
  <w:footnote w:id="36">
    <w:p w:rsidR="00716665" w:rsidRDefault="00716665" w:rsidP="002F3080">
      <w:pPr>
        <w:pStyle w:val="FootnoteText"/>
        <w:spacing w:after="120"/>
      </w:pPr>
      <w:r w:rsidRPr="002F3080">
        <w:rPr>
          <w:rStyle w:val="FootnoteReference"/>
        </w:rPr>
        <w:footnoteRef/>
      </w:r>
      <w:r w:rsidRPr="002F3080">
        <w:t xml:space="preserve"> Dayton Power and Light Tariff, Second Revised Sheet No. D 26.</w:t>
      </w:r>
    </w:p>
  </w:footnote>
  <w:footnote w:id="37">
    <w:p w:rsidR="00716665" w:rsidRDefault="00716665" w:rsidP="002F3080">
      <w:pPr>
        <w:pStyle w:val="FootnoteText"/>
        <w:spacing w:after="120"/>
      </w:pPr>
      <w:r w:rsidRPr="002F3080">
        <w:rPr>
          <w:rStyle w:val="FootnoteReference"/>
        </w:rPr>
        <w:footnoteRef/>
      </w:r>
      <w:r w:rsidRPr="002F3080">
        <w:t xml:space="preserve"> DP&amp;L Response to OCC Interrogatory No. 92 (Attached herein as JDW-15).</w:t>
      </w:r>
    </w:p>
  </w:footnote>
  <w:footnote w:id="38">
    <w:p w:rsidR="00716665" w:rsidRDefault="00716665" w:rsidP="002F3080">
      <w:pPr>
        <w:pStyle w:val="FootnoteText"/>
        <w:spacing w:after="120"/>
      </w:pPr>
      <w:r w:rsidRPr="002F3080">
        <w:rPr>
          <w:rStyle w:val="FootnoteReference"/>
        </w:rPr>
        <w:footnoteRef/>
      </w:r>
      <w:r w:rsidRPr="000840AE">
        <w:t>http://www.dpandl.com/customer-service/account-center/payment-options/</w:t>
      </w:r>
    </w:p>
  </w:footnote>
  <w:footnote w:id="39">
    <w:p w:rsidR="00716665" w:rsidRDefault="00716665" w:rsidP="002F3080">
      <w:pPr>
        <w:pStyle w:val="FootnoteText"/>
        <w:spacing w:after="120"/>
      </w:pPr>
      <w:r w:rsidRPr="002F3080">
        <w:rPr>
          <w:rStyle w:val="FootnoteReference"/>
        </w:rPr>
        <w:footnoteRef/>
      </w:r>
      <w:r w:rsidRPr="002F3080">
        <w:t xml:space="preserve"> DP&amp;L Response to OCC Interrogatory No. 102 (Attached herein as JDW-16).</w:t>
      </w:r>
    </w:p>
  </w:footnote>
  <w:footnote w:id="40">
    <w:p w:rsidR="00716665" w:rsidRDefault="00716665" w:rsidP="002F3080">
      <w:pPr>
        <w:pStyle w:val="FootnoteText"/>
        <w:spacing w:after="120"/>
      </w:pPr>
      <w:r w:rsidRPr="002F3080">
        <w:rPr>
          <w:rStyle w:val="FootnoteReference"/>
        </w:rPr>
        <w:footnoteRef/>
      </w:r>
      <w:r w:rsidRPr="002F3080">
        <w:t xml:space="preserve"> Id.</w:t>
      </w:r>
    </w:p>
  </w:footnote>
  <w:footnote w:id="41">
    <w:p w:rsidR="00716665" w:rsidRDefault="00716665" w:rsidP="002F3080">
      <w:pPr>
        <w:pStyle w:val="FootnoteText"/>
        <w:spacing w:after="120"/>
      </w:pPr>
      <w:r w:rsidRPr="002F3080">
        <w:rPr>
          <w:rStyle w:val="FootnoteReference"/>
        </w:rPr>
        <w:footnoteRef/>
      </w:r>
      <w:r w:rsidRPr="002F3080">
        <w:t xml:space="preserve"> Id.</w:t>
      </w:r>
    </w:p>
  </w:footnote>
  <w:footnote w:id="42">
    <w:p w:rsidR="00716665" w:rsidRDefault="00716665" w:rsidP="002F3080">
      <w:pPr>
        <w:pStyle w:val="FootnoteText"/>
        <w:spacing w:after="120"/>
      </w:pPr>
      <w:r w:rsidRPr="002F3080">
        <w:rPr>
          <w:rStyle w:val="FootnoteReference"/>
        </w:rPr>
        <w:footnoteRef/>
      </w:r>
      <w:r w:rsidRPr="002F3080">
        <w:t xml:space="preserve"> Id.</w:t>
      </w:r>
    </w:p>
  </w:footnote>
  <w:footnote w:id="43">
    <w:p w:rsidR="00716665" w:rsidRDefault="00716665" w:rsidP="002F3080">
      <w:pPr>
        <w:suppressLineNumbers/>
        <w:spacing w:after="120"/>
      </w:pPr>
      <w:r w:rsidRPr="002F3080">
        <w:rPr>
          <w:rStyle w:val="FootnoteReference"/>
          <w:sz w:val="20"/>
          <w:szCs w:val="20"/>
        </w:rPr>
        <w:footnoteRef/>
      </w:r>
      <w:r w:rsidRPr="002F3080">
        <w:rPr>
          <w:sz w:val="20"/>
          <w:szCs w:val="20"/>
        </w:rPr>
        <w:t xml:space="preserve"> National Association of State Utility Consumer Advocates, Resolution 2012-07 Urging Utilities to  Eliminate “Convenience” Fees for Paying Utility Bills With Debit and Credit Cards and Urging Appropriate State Regulatory Oversight, November 13, 2012.</w:t>
      </w:r>
    </w:p>
  </w:footnote>
  <w:footnote w:id="44">
    <w:p w:rsidR="00716665" w:rsidRDefault="00716665" w:rsidP="002F3080">
      <w:pPr>
        <w:pStyle w:val="FootnoteText"/>
        <w:spacing w:after="120"/>
      </w:pPr>
      <w:r w:rsidRPr="002F3080">
        <w:rPr>
          <w:rStyle w:val="FootnoteReference"/>
        </w:rPr>
        <w:footnoteRef/>
      </w:r>
      <w:r w:rsidRPr="002F3080">
        <w:rPr>
          <w:i/>
          <w:iCs/>
        </w:rPr>
        <w:t>In the Matter of the Commission’s Review of Chapters 4901-1-17 and 4901:1-18, and Rules 4901:1-5-07, 4901:1-10-22, 4901:1-13-11, 4901:1-15-17, 4901:1-21-14, and 4901:1-29-12 of the Ohio Administrative Code</w:t>
      </w:r>
      <w:r w:rsidRPr="002F3080">
        <w:t>, Case No. 08-723-AU-ORD, PIPP Plus Metrics Data Reported to the PUCO Staff and provided to the OCC.</w:t>
      </w:r>
    </w:p>
  </w:footnote>
  <w:footnote w:id="45">
    <w:p w:rsidR="00716665" w:rsidRDefault="00716665" w:rsidP="002F3080">
      <w:pPr>
        <w:pStyle w:val="FootnoteText"/>
        <w:spacing w:after="120"/>
      </w:pPr>
      <w:r w:rsidRPr="002F3080">
        <w:rPr>
          <w:rStyle w:val="FootnoteReference"/>
        </w:rPr>
        <w:footnoteRef/>
      </w:r>
      <w:r w:rsidRPr="002F3080">
        <w:t xml:space="preserve"> This comparison involved data from electric utilities only.  Duke Energy Ohio data was not included in the calculations because the Company is a combination gas and electric utility.</w:t>
      </w:r>
    </w:p>
  </w:footnote>
  <w:footnote w:id="46">
    <w:p w:rsidR="00716665" w:rsidRDefault="00716665" w:rsidP="002F3080">
      <w:pPr>
        <w:pStyle w:val="FootnoteText"/>
        <w:spacing w:after="120"/>
      </w:pPr>
      <w:r w:rsidRPr="002F3080">
        <w:rPr>
          <w:rStyle w:val="FootnoteReference"/>
        </w:rPr>
        <w:footnoteRef/>
      </w:r>
      <w:r w:rsidRPr="002F3080">
        <w:t xml:space="preserve"> Refer to JDW-2.</w:t>
      </w:r>
    </w:p>
  </w:footnote>
  <w:footnote w:id="47">
    <w:p w:rsidR="00716665" w:rsidRDefault="00716665" w:rsidP="002F3080">
      <w:pPr>
        <w:pStyle w:val="FootnoteText"/>
        <w:spacing w:after="120"/>
      </w:pPr>
      <w:r w:rsidRPr="002F3080">
        <w:rPr>
          <w:rStyle w:val="FootnoteReference"/>
        </w:rPr>
        <w:footnoteRef/>
      </w:r>
      <w:r w:rsidRPr="002F3080">
        <w:t xml:space="preserve"> R.C. 4933.123(B)(1) – (B)(6)</w:t>
      </w:r>
      <w:r>
        <w:t>.</w:t>
      </w:r>
    </w:p>
  </w:footnote>
  <w:footnote w:id="48">
    <w:p w:rsidR="00716665" w:rsidRDefault="00716665" w:rsidP="002F3080">
      <w:pPr>
        <w:pStyle w:val="FootnoteText"/>
        <w:spacing w:after="120"/>
      </w:pPr>
      <w:r w:rsidRPr="002F3080">
        <w:rPr>
          <w:rStyle w:val="FootnoteReference"/>
        </w:rPr>
        <w:footnoteRef/>
      </w:r>
      <w:r w:rsidRPr="002F3080">
        <w:t xml:space="preserve"> Disconnection numbers for Duke Energy are not included because the reporting reflects natural gas and electric numbers.</w:t>
      </w:r>
    </w:p>
  </w:footnote>
  <w:footnote w:id="49">
    <w:p w:rsidR="00716665" w:rsidRDefault="00716665" w:rsidP="002F3080">
      <w:pPr>
        <w:pStyle w:val="FootnoteText"/>
        <w:spacing w:after="120"/>
      </w:pPr>
      <w:r w:rsidRPr="002F3080">
        <w:rPr>
          <w:rStyle w:val="FootnoteReference"/>
        </w:rPr>
        <w:footnoteRef/>
      </w:r>
      <w:r w:rsidRPr="002F3080">
        <w:t xml:space="preserve"> In the original filing, disconnection numbers for CSP and OPC were reported as 46,072 and 41,090 respecti</w:t>
      </w:r>
      <w:r>
        <w:t>vely for a total of 87,162.</w:t>
      </w:r>
    </w:p>
  </w:footnote>
  <w:footnote w:id="50">
    <w:p w:rsidR="00716665" w:rsidRDefault="00716665" w:rsidP="002F3080">
      <w:pPr>
        <w:pStyle w:val="FootnoteText"/>
        <w:spacing w:after="120"/>
      </w:pPr>
      <w:r w:rsidRPr="002F3080">
        <w:rPr>
          <w:rStyle w:val="FootnoteReference"/>
        </w:rPr>
        <w:footnoteRef/>
      </w:r>
      <w:r w:rsidRPr="002F3080">
        <w:t xml:space="preserve"> In the original filing, disconnection numbers for CSP and OPC were reported as 34,148 and 34,378 respectively for a total of 68,256.</w:t>
      </w:r>
    </w:p>
  </w:footnote>
  <w:footnote w:id="51">
    <w:p w:rsidR="00716665" w:rsidRDefault="00716665" w:rsidP="002F3080">
      <w:pPr>
        <w:pStyle w:val="FootnoteText"/>
        <w:spacing w:after="120"/>
      </w:pPr>
      <w:r w:rsidRPr="002F3080">
        <w:rPr>
          <w:rStyle w:val="FootnoteReference"/>
        </w:rPr>
        <w:footnoteRef/>
      </w:r>
      <w:r w:rsidRPr="002F3080">
        <w:t xml:space="preserve"> Average number of </w:t>
      </w:r>
      <w:r>
        <w:t xml:space="preserve">residential </w:t>
      </w:r>
      <w:r w:rsidRPr="002F3080">
        <w:t xml:space="preserve">customers </w:t>
      </w:r>
      <w:r>
        <w:t xml:space="preserve">over the </w:t>
      </w:r>
      <w:r w:rsidRPr="002F3080">
        <w:t>three years.</w:t>
      </w:r>
    </w:p>
  </w:footnote>
  <w:footnote w:id="52">
    <w:p w:rsidR="00716665" w:rsidRDefault="00716665" w:rsidP="002F3080">
      <w:pPr>
        <w:pStyle w:val="FootnoteText"/>
        <w:spacing w:after="120"/>
      </w:pPr>
      <w:r w:rsidRPr="002F3080">
        <w:rPr>
          <w:rStyle w:val="FootnoteReference"/>
        </w:rPr>
        <w:footnoteRef/>
      </w:r>
      <w:r w:rsidRPr="000840AE">
        <w:t>http://quickfacts.census.gov/qfd/states/39000.html</w:t>
      </w:r>
      <w:r>
        <w:t>.</w:t>
      </w:r>
    </w:p>
  </w:footnote>
  <w:footnote w:id="53">
    <w:p w:rsidR="00716665" w:rsidRDefault="00716665">
      <w:pPr>
        <w:pStyle w:val="FootnoteText"/>
      </w:pPr>
      <w:r>
        <w:rPr>
          <w:rStyle w:val="FootnoteReference"/>
        </w:rPr>
        <w:footnoteRef/>
      </w:r>
      <w:r>
        <w:t>Id.</w:t>
      </w:r>
    </w:p>
  </w:footnote>
  <w:footnote w:id="54">
    <w:p w:rsidR="00716665" w:rsidRDefault="00716665" w:rsidP="002F3080">
      <w:pPr>
        <w:pStyle w:val="FootnoteText"/>
        <w:spacing w:after="120"/>
      </w:pPr>
      <w:r w:rsidRPr="002F3080">
        <w:rPr>
          <w:rStyle w:val="FootnoteReference"/>
        </w:rPr>
        <w:footnoteRef/>
      </w:r>
      <w:r w:rsidRPr="002F3080">
        <w:t xml:space="preserve"> According to quickfacts.census.gov, the population in Cleveland is 393,806 compared with a Dayton population of 142,148.</w:t>
      </w:r>
    </w:p>
  </w:footnote>
  <w:footnote w:id="55">
    <w:p w:rsidR="00716665" w:rsidRDefault="00716665" w:rsidP="002F3080">
      <w:pPr>
        <w:pStyle w:val="FootnoteText"/>
        <w:spacing w:after="120"/>
      </w:pPr>
      <w:r w:rsidRPr="002F3080">
        <w:rPr>
          <w:rStyle w:val="FootnoteReference"/>
        </w:rPr>
        <w:footnoteRef/>
      </w:r>
      <w:r w:rsidRPr="002F3080">
        <w:t xml:space="preserve"> Id.</w:t>
      </w:r>
    </w:p>
  </w:footnote>
  <w:footnote w:id="56">
    <w:p w:rsidR="00716665" w:rsidRDefault="00716665" w:rsidP="002F3080">
      <w:pPr>
        <w:pStyle w:val="FootnoteText"/>
        <w:spacing w:after="120"/>
      </w:pPr>
      <w:r w:rsidRPr="002F3080">
        <w:rPr>
          <w:rStyle w:val="FootnoteReference"/>
        </w:rPr>
        <w:footnoteRef/>
      </w:r>
      <w:r w:rsidRPr="002F3080">
        <w:t xml:space="preserve"> Id.</w:t>
      </w:r>
    </w:p>
  </w:footnote>
  <w:footnote w:id="57">
    <w:p w:rsidR="00716665" w:rsidRDefault="00716665" w:rsidP="002F3080">
      <w:pPr>
        <w:pStyle w:val="FootnoteText"/>
        <w:spacing w:after="120"/>
      </w:pPr>
      <w:r w:rsidRPr="002F3080">
        <w:rPr>
          <w:rStyle w:val="FootnoteReference"/>
        </w:rPr>
        <w:footnoteRef/>
      </w:r>
      <w:r w:rsidRPr="002F3080">
        <w:t xml:space="preserve"> DP&amp;L Response to OCC Request for Production of Documents No. 52 (Attached herein as JDW-19).</w:t>
      </w:r>
    </w:p>
  </w:footnote>
  <w:footnote w:id="58">
    <w:p w:rsidR="00716665" w:rsidRDefault="00716665" w:rsidP="002F3080">
      <w:pPr>
        <w:pStyle w:val="FootnoteText"/>
        <w:spacing w:after="120"/>
      </w:pPr>
      <w:r w:rsidRPr="002F3080">
        <w:rPr>
          <w:rStyle w:val="FootnoteReference"/>
        </w:rPr>
        <w:footnoteRef/>
      </w:r>
      <w:r w:rsidRPr="002F3080">
        <w:t xml:space="preserve"> In the Matter of the Application of The Dayton Power and Light Company for Authority to Recover Certain Storm-Related Service Restoration Costs, Case No. 12-3062-EL-RDR, Application at 8 (December 21, 2012).</w:t>
      </w:r>
    </w:p>
  </w:footnote>
  <w:footnote w:id="59">
    <w:p w:rsidR="00716665" w:rsidRDefault="00716665" w:rsidP="002F3080">
      <w:pPr>
        <w:pStyle w:val="FootnoteText"/>
        <w:spacing w:after="120"/>
      </w:pPr>
      <w:r w:rsidRPr="002F3080">
        <w:rPr>
          <w:rStyle w:val="FootnoteReference"/>
        </w:rPr>
        <w:footnoteRef/>
      </w:r>
      <w:r w:rsidRPr="002F3080">
        <w:t xml:space="preserve"> Ohio Quick Facts from the U.S. Census Bureau (Attached herein as JDW-20).</w:t>
      </w:r>
    </w:p>
  </w:footnote>
  <w:footnote w:id="60">
    <w:p w:rsidR="00716665" w:rsidRDefault="00716665" w:rsidP="002F3080">
      <w:pPr>
        <w:pStyle w:val="FootnoteText"/>
        <w:spacing w:after="120"/>
      </w:pPr>
      <w:r w:rsidRPr="002F3080">
        <w:rPr>
          <w:rStyle w:val="FootnoteReference"/>
        </w:rPr>
        <w:footnoteRef/>
      </w:r>
      <w:r w:rsidRPr="002F3080">
        <w:t xml:space="preserve"> Montgomery County Quick Facts from the U.S. Census Bureau (Attached herein as JDW-21).  Montgomery County is by far the most populated county in the DP&amp;L service territory.</w:t>
      </w:r>
    </w:p>
  </w:footnote>
  <w:footnote w:id="61">
    <w:p w:rsidR="00716665" w:rsidRDefault="00716665" w:rsidP="002F3080">
      <w:pPr>
        <w:pStyle w:val="FootnoteText"/>
        <w:spacing w:after="120"/>
      </w:pPr>
      <w:r w:rsidRPr="002F3080">
        <w:rPr>
          <w:rStyle w:val="FootnoteReference"/>
        </w:rPr>
        <w:footnoteRef/>
      </w:r>
      <w:r w:rsidRPr="002F3080">
        <w:t xml:space="preserve"> Dayton Quick Facts from the U.S. Census Bureau (Attached herein as JDW-22).  Dayton is by far the most populated city in the DP&amp;L service territory.</w:t>
      </w:r>
    </w:p>
  </w:footnote>
  <w:footnote w:id="62">
    <w:p w:rsidR="00716665" w:rsidRDefault="00716665" w:rsidP="002F3080">
      <w:pPr>
        <w:pStyle w:val="FootnoteText"/>
        <w:spacing w:after="120"/>
      </w:pPr>
      <w:r w:rsidRPr="002F3080">
        <w:rPr>
          <w:rStyle w:val="FootnoteReference"/>
        </w:rPr>
        <w:footnoteRef/>
      </w:r>
      <w:r w:rsidRPr="002F3080">
        <w:t xml:space="preserve"> The comparison does not include data for every county in the DP&amp;L service territory.</w:t>
      </w:r>
    </w:p>
  </w:footnote>
  <w:footnote w:id="63">
    <w:p w:rsidR="00716665" w:rsidRDefault="00716665" w:rsidP="002F3080">
      <w:pPr>
        <w:pStyle w:val="FootnoteText"/>
        <w:spacing w:after="120"/>
      </w:pPr>
      <w:r w:rsidRPr="002F3080">
        <w:rPr>
          <w:rStyle w:val="FootnoteReference"/>
        </w:rPr>
        <w:footnoteRef/>
      </w:r>
      <w:r w:rsidRPr="000840AE">
        <w:t>http://quickfacts.census.gov</w:t>
      </w:r>
      <w:r>
        <w:rPr>
          <w:rStyle w:val="Hyperlink"/>
        </w:rPr>
        <w:t>.</w:t>
      </w:r>
    </w:p>
  </w:footnote>
  <w:footnote w:id="64">
    <w:p w:rsidR="00716665" w:rsidRDefault="00716665" w:rsidP="002F3080">
      <w:pPr>
        <w:pStyle w:val="FootnoteText"/>
        <w:spacing w:after="120"/>
      </w:pPr>
      <w:r w:rsidRPr="002F3080">
        <w:rPr>
          <w:rStyle w:val="FootnoteReference"/>
        </w:rPr>
        <w:footnoteRef/>
      </w:r>
      <w:r w:rsidRPr="002F3080">
        <w:t xml:space="preserve"> County profiles.  </w:t>
      </w:r>
      <w:r w:rsidRPr="000840AE">
        <w:t>www.odjfs.org</w:t>
      </w:r>
      <w:r>
        <w:rPr>
          <w:rStyle w:val="Hyperlink"/>
        </w:rPr>
        <w:t>.</w:t>
      </w:r>
    </w:p>
  </w:footnote>
  <w:footnote w:id="65">
    <w:p w:rsidR="00716665" w:rsidRDefault="00716665" w:rsidP="002F3080">
      <w:pPr>
        <w:pStyle w:val="FootnoteText"/>
        <w:spacing w:after="120"/>
      </w:pPr>
      <w:r w:rsidRPr="002F3080">
        <w:rPr>
          <w:rStyle w:val="FootnoteReference"/>
        </w:rPr>
        <w:footnoteRef/>
      </w:r>
      <w:r w:rsidRPr="002F3080">
        <w:t xml:space="preserve"> Id.</w:t>
      </w:r>
    </w:p>
  </w:footnote>
  <w:footnote w:id="66">
    <w:p w:rsidR="00716665" w:rsidRDefault="00716665" w:rsidP="002F3080">
      <w:pPr>
        <w:pStyle w:val="FootnoteText"/>
        <w:spacing w:after="120"/>
      </w:pPr>
      <w:r w:rsidRPr="002F3080">
        <w:rPr>
          <w:rStyle w:val="FootnoteReference"/>
        </w:rPr>
        <w:footnoteRef/>
      </w:r>
      <w:r w:rsidRPr="002F3080">
        <w:t xml:space="preserve"> Assuming constant usage of 750 KWH per month and the January 13, 2012 Ohio Utility Rate Survey cost for Dayton of $107.42 multiplied by 12 or $1,289 annually.</w:t>
      </w:r>
    </w:p>
  </w:footnote>
  <w:footnote w:id="67">
    <w:p w:rsidR="00716665" w:rsidRDefault="00716665" w:rsidP="002F3080">
      <w:pPr>
        <w:pStyle w:val="FootnoteText"/>
        <w:spacing w:after="120"/>
      </w:pPr>
      <w:r w:rsidRPr="002F3080">
        <w:rPr>
          <w:rStyle w:val="FootnoteReference"/>
        </w:rPr>
        <w:footnoteRef/>
      </w:r>
      <w:r w:rsidRPr="000840AE">
        <w:t>http://data.bls.gov/pdq/SurveyOutputServlet</w:t>
      </w:r>
      <w:r>
        <w:rPr>
          <w:rStyle w:val="Hyperlink"/>
        </w:rPr>
        <w:t>.</w:t>
      </w:r>
    </w:p>
  </w:footnote>
  <w:footnote w:id="68">
    <w:p w:rsidR="00716665" w:rsidRDefault="00716665" w:rsidP="002F3080">
      <w:pPr>
        <w:pStyle w:val="FootnoteText"/>
        <w:spacing w:after="120"/>
      </w:pPr>
      <w:r w:rsidRPr="002F3080">
        <w:rPr>
          <w:rStyle w:val="FootnoteReference"/>
        </w:rPr>
        <w:footnoteRef/>
      </w:r>
      <w:r w:rsidRPr="002F3080">
        <w:t xml:space="preserve"> Fayette County Quick Facts from the U.S. Census Bureau (Attached herein as JDW-23).</w:t>
      </w:r>
    </w:p>
  </w:footnote>
  <w:footnote w:id="69">
    <w:p w:rsidR="00716665" w:rsidRDefault="00716665" w:rsidP="002F3080">
      <w:pPr>
        <w:pStyle w:val="FootnoteText"/>
        <w:spacing w:after="120"/>
      </w:pPr>
      <w:r w:rsidRPr="002F3080">
        <w:rPr>
          <w:rStyle w:val="FootnoteReference"/>
        </w:rPr>
        <w:footnoteRef/>
      </w:r>
      <w:r w:rsidRPr="002F3080">
        <w:t>Clinton County Quick Facts from the U.S. Census Bureau (Attached herein as JDW-24).</w:t>
      </w:r>
    </w:p>
  </w:footnote>
  <w:footnote w:id="70">
    <w:p w:rsidR="00716665" w:rsidRDefault="00716665" w:rsidP="002F3080">
      <w:pPr>
        <w:pStyle w:val="FootnoteText"/>
        <w:spacing w:after="120"/>
      </w:pPr>
      <w:r w:rsidRPr="002F3080">
        <w:rPr>
          <w:rStyle w:val="FootnoteReference"/>
        </w:rPr>
        <w:footnoteRef/>
      </w:r>
      <w:r w:rsidRPr="002F3080">
        <w:t xml:space="preserve"> According to JDW-18, the average number of household members is 2.28 persons.  To qualify for PIPP Plus, a family of three must have income below $28,635 according to the HEAP Application on the Ohio Department of Development website.  </w:t>
      </w:r>
      <w:r w:rsidRPr="000840AE">
        <w:t>http://development.ohio.gov/Community/ocs/Documents/HEAPApp.pdf</w:t>
      </w:r>
    </w:p>
  </w:footnote>
  <w:footnote w:id="71">
    <w:p w:rsidR="00716665" w:rsidRDefault="00716665" w:rsidP="002F3080">
      <w:pPr>
        <w:pStyle w:val="FootnoteText"/>
        <w:spacing w:after="120"/>
      </w:pPr>
      <w:r w:rsidRPr="002F3080">
        <w:rPr>
          <w:rStyle w:val="FootnoteReference"/>
        </w:rPr>
        <w:footnoteRef/>
      </w:r>
      <w:r w:rsidRPr="002F3080">
        <w:t xml:space="preserve"> DP&amp;L Response to OCC Request for Production of Documents No. 17 (Attached herein as JDW-25) indicates that the Company </w:t>
      </w:r>
      <w:r>
        <w:t xml:space="preserve">has designated its </w:t>
      </w:r>
      <w:r w:rsidRPr="002F3080">
        <w:t>policies and practices as privileged and confidential</w:t>
      </w:r>
      <w:r>
        <w:t xml:space="preserve">.  </w:t>
      </w:r>
      <w:r w:rsidRPr="002F3080">
        <w:t xml:space="preserve"> The review by the PUCO should include an open and public review of </w:t>
      </w:r>
      <w:r w:rsidRPr="002F3080">
        <w:rPr>
          <w:b/>
          <w:bCs/>
          <w:u w:val="single"/>
        </w:rPr>
        <w:t>all</w:t>
      </w:r>
      <w:r w:rsidRPr="002F3080">
        <w:t xml:space="preserve"> credit and collection policies and practices.</w:t>
      </w:r>
    </w:p>
  </w:footnote>
  <w:footnote w:id="72">
    <w:p w:rsidR="00716665" w:rsidRDefault="00716665" w:rsidP="002F3080">
      <w:pPr>
        <w:pStyle w:val="FootnoteText"/>
        <w:spacing w:after="120"/>
      </w:pPr>
      <w:r w:rsidRPr="002F3080">
        <w:rPr>
          <w:rStyle w:val="FootnoteReference"/>
        </w:rPr>
        <w:footnoteRef/>
      </w:r>
      <w:r w:rsidRPr="002F3080">
        <w:rPr>
          <w:i/>
          <w:iCs/>
          <w:color w:val="000000"/>
        </w:rPr>
        <w:t xml:space="preserve">In the Matter of the Commission's Review of Chapters 4901:1-17 and 4901:1-18, and Rules 4901:1-5-07, 4901:1-10-22, 4901:1-13-11, 4901:1-15-17, 4901:1-21-14, and 4901:1-29-12 of the Ohio Administrative Code, </w:t>
      </w:r>
      <w:r w:rsidRPr="002F3080">
        <w:rPr>
          <w:color w:val="000000"/>
        </w:rPr>
        <w:t>Case 08-723-AU-ORD, Consumer Groups Initial Comments, (September 10, 2008), at 89.</w:t>
      </w:r>
    </w:p>
  </w:footnote>
  <w:footnote w:id="73">
    <w:p w:rsidR="00716665" w:rsidRDefault="00716665" w:rsidP="002F3080">
      <w:pPr>
        <w:pStyle w:val="FootnoteText"/>
        <w:spacing w:after="120"/>
      </w:pPr>
      <w:r w:rsidRPr="002F3080">
        <w:rPr>
          <w:rStyle w:val="FootnoteReference"/>
        </w:rPr>
        <w:footnoteRef/>
      </w:r>
      <w:r w:rsidRPr="002F3080">
        <w:t xml:space="preserve"> Id. at 94.</w:t>
      </w:r>
    </w:p>
  </w:footnote>
  <w:footnote w:id="74">
    <w:p w:rsidR="00716665" w:rsidRDefault="00716665" w:rsidP="002F3080">
      <w:pPr>
        <w:pStyle w:val="FootnoteText"/>
        <w:spacing w:after="120"/>
      </w:pPr>
      <w:r w:rsidRPr="002F3080">
        <w:rPr>
          <w:rStyle w:val="FootnoteReference"/>
        </w:rPr>
        <w:footnoteRef/>
      </w:r>
      <w:r w:rsidRPr="002F3080">
        <w:t xml:space="preserve"> Id. at 86.</w:t>
      </w:r>
    </w:p>
  </w:footnote>
  <w:footnote w:id="75">
    <w:p w:rsidR="00716665" w:rsidRDefault="00716665" w:rsidP="002F3080">
      <w:pPr>
        <w:autoSpaceDE w:val="0"/>
        <w:autoSpaceDN w:val="0"/>
        <w:adjustRightInd w:val="0"/>
        <w:spacing w:after="120"/>
      </w:pPr>
      <w:r w:rsidRPr="002F3080">
        <w:rPr>
          <w:rStyle w:val="FootnoteReference"/>
          <w:sz w:val="20"/>
          <w:szCs w:val="20"/>
        </w:rPr>
        <w:footnoteRef/>
      </w:r>
      <w:r w:rsidRPr="002F3080">
        <w:rPr>
          <w:i/>
          <w:iCs/>
          <w:sz w:val="20"/>
          <w:szCs w:val="20"/>
        </w:rPr>
        <w:t>In the Matter of the Application of The Dayton Power and Light Company for Approval of Its Electric Security Plan</w:t>
      </w:r>
      <w:r w:rsidRPr="002F3080">
        <w:rPr>
          <w:sz w:val="20"/>
          <w:szCs w:val="20"/>
        </w:rPr>
        <w:t>, Case No. 08-1094-EL-SSO, Stipulation and Recommendation, February 24, 2009, at 16.</w:t>
      </w:r>
    </w:p>
  </w:footnote>
  <w:footnote w:id="76">
    <w:p w:rsidR="00716665" w:rsidRDefault="00716665" w:rsidP="002F3080">
      <w:pPr>
        <w:autoSpaceDE w:val="0"/>
        <w:autoSpaceDN w:val="0"/>
        <w:adjustRightInd w:val="0"/>
        <w:spacing w:after="120"/>
      </w:pPr>
      <w:r w:rsidRPr="002F3080">
        <w:rPr>
          <w:rStyle w:val="FootnoteReference"/>
          <w:sz w:val="20"/>
          <w:szCs w:val="20"/>
        </w:rPr>
        <w:footnoteRef/>
      </w:r>
      <w:r w:rsidRPr="002F3080">
        <w:rPr>
          <w:i/>
          <w:iCs/>
          <w:sz w:val="20"/>
          <w:szCs w:val="20"/>
        </w:rPr>
        <w:t xml:space="preserve">In the Matter of the Application of The AES Corporation, Dolphin Sub, Inc., DPL Inc. and The Dayton Power and Light Company for Consent and Approval for a Change of Control of The Dayton Power and Light Company, </w:t>
      </w:r>
      <w:r w:rsidRPr="002F3080">
        <w:rPr>
          <w:sz w:val="20"/>
          <w:szCs w:val="20"/>
        </w:rPr>
        <w:t>Case No. 11-3002-EL-MER, Stipulation and Recommendation, September 19, 2011, at 6(b).</w:t>
      </w:r>
    </w:p>
  </w:footnote>
  <w:footnote w:id="77">
    <w:p w:rsidR="00716665" w:rsidRDefault="00716665" w:rsidP="002F3080">
      <w:pPr>
        <w:pStyle w:val="FootnoteText"/>
        <w:spacing w:after="120"/>
      </w:pPr>
      <w:r w:rsidRPr="002F3080">
        <w:rPr>
          <w:rStyle w:val="FootnoteReference"/>
        </w:rPr>
        <w:footnoteRef/>
      </w:r>
      <w:r w:rsidRPr="002F3080">
        <w:t xml:space="preserve"> Qualifications for assistance should include any DP&amp;L customer where the annual household income is at or below </w:t>
      </w:r>
      <w:r>
        <w:t>200 percent of the federal poverty guidelines.</w:t>
      </w:r>
    </w:p>
  </w:footnote>
  <w:footnote w:id="78">
    <w:p w:rsidR="00716665" w:rsidRDefault="00716665" w:rsidP="002F3080">
      <w:pPr>
        <w:pStyle w:val="FootnoteText"/>
        <w:spacing w:after="120"/>
      </w:pPr>
      <w:r w:rsidRPr="002F3080">
        <w:rPr>
          <w:rStyle w:val="FootnoteReference"/>
        </w:rPr>
        <w:footnoteRef/>
      </w:r>
      <w:r w:rsidRPr="002F3080">
        <w:t xml:space="preserve"> DP&amp;L Response to OCC Interrogatory No. 103 (Attached herein as JDW-26).</w:t>
      </w:r>
    </w:p>
  </w:footnote>
  <w:footnote w:id="79">
    <w:p w:rsidR="00716665" w:rsidRDefault="00716665" w:rsidP="002F3080">
      <w:pPr>
        <w:pStyle w:val="FootnoteText"/>
        <w:spacing w:after="120"/>
      </w:pPr>
      <w:r w:rsidRPr="002F3080">
        <w:rPr>
          <w:rStyle w:val="FootnoteReference"/>
        </w:rPr>
        <w:footnoteRef/>
      </w:r>
      <w:r w:rsidRPr="002F3080">
        <w:t xml:space="preserve"> According to JDW-3, the average disconnection notice amount was $272.00 in 2012.  Assuming average benefits in the amount of $250, a reduction of 6,000 disconnections would decrease the current 7.5 percent disconnection rate to approximately 6.2 percent.  While this number is still considerably higher than the three year average disconnection rate of any other electric utility in the state, changes in credit and collection policies and practices should also have an impact on reducing the overall number of disconnections to levels more commensurate with the other electric utilities.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AE" w:rsidRDefault="00084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AE" w:rsidRDefault="00084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AE" w:rsidRDefault="000840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65" w:rsidRDefault="007166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65" w:rsidRDefault="00716665">
    <w:pPr>
      <w:pStyle w:val="Header"/>
      <w:jc w:val="center"/>
      <w:rPr>
        <w:i/>
        <w:iCs/>
        <w:sz w:val="20"/>
        <w:szCs w:val="20"/>
      </w:rPr>
    </w:pPr>
    <w:r>
      <w:rPr>
        <w:i/>
        <w:iCs/>
        <w:sz w:val="20"/>
        <w:szCs w:val="20"/>
      </w:rPr>
      <w:t>Testimony of James D. Williams</w:t>
    </w:r>
  </w:p>
  <w:p w:rsidR="00716665" w:rsidRDefault="00716665">
    <w:pPr>
      <w:pStyle w:val="Header"/>
      <w:jc w:val="center"/>
      <w:rPr>
        <w:i/>
        <w:iCs/>
        <w:sz w:val="20"/>
        <w:szCs w:val="20"/>
      </w:rPr>
    </w:pPr>
    <w:r>
      <w:rPr>
        <w:i/>
        <w:iCs/>
        <w:sz w:val="20"/>
        <w:szCs w:val="20"/>
      </w:rPr>
      <w:t>On Behalf of the Office of the Ohio Consumers’ Counsel</w:t>
    </w:r>
  </w:p>
  <w:p w:rsidR="00716665" w:rsidRDefault="00716665" w:rsidP="00B5273D">
    <w:pPr>
      <w:pStyle w:val="Header"/>
      <w:jc w:val="center"/>
      <w:rPr>
        <w:i/>
        <w:iCs/>
        <w:sz w:val="20"/>
        <w:szCs w:val="20"/>
      </w:rPr>
    </w:pPr>
    <w:r>
      <w:rPr>
        <w:i/>
        <w:iCs/>
        <w:sz w:val="20"/>
        <w:szCs w:val="20"/>
      </w:rPr>
      <w:t>PUCO Case Nos. 12-426-EL-SSO, et al.</w:t>
    </w:r>
  </w:p>
  <w:p w:rsidR="00716665" w:rsidRDefault="00716665">
    <w:pPr>
      <w:pStyle w:val="Header"/>
      <w:jc w:val="center"/>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65" w:rsidRPr="005E39E9" w:rsidRDefault="00716665" w:rsidP="005E3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928670"/>
    <w:lvl w:ilvl="0">
      <w:start w:val="1"/>
      <w:numFmt w:val="decimal"/>
      <w:lvlText w:val="%1."/>
      <w:lvlJc w:val="left"/>
      <w:pPr>
        <w:tabs>
          <w:tab w:val="num" w:pos="1800"/>
        </w:tabs>
        <w:ind w:left="1800" w:hanging="360"/>
      </w:pPr>
    </w:lvl>
  </w:abstractNum>
  <w:abstractNum w:abstractNumId="1">
    <w:nsid w:val="FFFFFF7D"/>
    <w:multiLevelType w:val="singleLevel"/>
    <w:tmpl w:val="ECA629EC"/>
    <w:lvl w:ilvl="0">
      <w:start w:val="1"/>
      <w:numFmt w:val="decimal"/>
      <w:lvlText w:val="%1."/>
      <w:lvlJc w:val="left"/>
      <w:pPr>
        <w:tabs>
          <w:tab w:val="num" w:pos="1440"/>
        </w:tabs>
        <w:ind w:left="1440" w:hanging="360"/>
      </w:pPr>
    </w:lvl>
  </w:abstractNum>
  <w:abstractNum w:abstractNumId="2">
    <w:nsid w:val="FFFFFF7E"/>
    <w:multiLevelType w:val="singleLevel"/>
    <w:tmpl w:val="3D80A8D8"/>
    <w:lvl w:ilvl="0">
      <w:start w:val="1"/>
      <w:numFmt w:val="decimal"/>
      <w:lvlText w:val="%1."/>
      <w:lvlJc w:val="left"/>
      <w:pPr>
        <w:tabs>
          <w:tab w:val="num" w:pos="1080"/>
        </w:tabs>
        <w:ind w:left="1080" w:hanging="360"/>
      </w:pPr>
    </w:lvl>
  </w:abstractNum>
  <w:abstractNum w:abstractNumId="3">
    <w:nsid w:val="FFFFFF7F"/>
    <w:multiLevelType w:val="singleLevel"/>
    <w:tmpl w:val="BE6EF500"/>
    <w:lvl w:ilvl="0">
      <w:start w:val="1"/>
      <w:numFmt w:val="decimal"/>
      <w:lvlText w:val="%1."/>
      <w:lvlJc w:val="left"/>
      <w:pPr>
        <w:tabs>
          <w:tab w:val="num" w:pos="720"/>
        </w:tabs>
        <w:ind w:left="720" w:hanging="360"/>
      </w:pPr>
    </w:lvl>
  </w:abstractNum>
  <w:abstractNum w:abstractNumId="4">
    <w:nsid w:val="FFFFFF80"/>
    <w:multiLevelType w:val="singleLevel"/>
    <w:tmpl w:val="83C4691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BD6008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A42E0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F6058A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66470E6"/>
    <w:lvl w:ilvl="0">
      <w:start w:val="1"/>
      <w:numFmt w:val="decimal"/>
      <w:lvlText w:val="%1."/>
      <w:lvlJc w:val="left"/>
      <w:pPr>
        <w:tabs>
          <w:tab w:val="num" w:pos="360"/>
        </w:tabs>
        <w:ind w:left="360" w:hanging="360"/>
      </w:pPr>
    </w:lvl>
  </w:abstractNum>
  <w:abstractNum w:abstractNumId="9">
    <w:nsid w:val="FFFFFF89"/>
    <w:multiLevelType w:val="singleLevel"/>
    <w:tmpl w:val="B030BF4A"/>
    <w:lvl w:ilvl="0">
      <w:start w:val="1"/>
      <w:numFmt w:val="bullet"/>
      <w:lvlText w:val=""/>
      <w:lvlJc w:val="left"/>
      <w:pPr>
        <w:tabs>
          <w:tab w:val="num" w:pos="360"/>
        </w:tabs>
        <w:ind w:left="360" w:hanging="360"/>
      </w:pPr>
      <w:rPr>
        <w:rFonts w:ascii="Symbol" w:hAnsi="Symbol" w:cs="Symbol" w:hint="default"/>
      </w:rPr>
    </w:lvl>
  </w:abstractNum>
  <w:abstractNum w:abstractNumId="10">
    <w:nsid w:val="00F90398"/>
    <w:multiLevelType w:val="hybridMultilevel"/>
    <w:tmpl w:val="C1FEAD48"/>
    <w:lvl w:ilvl="0" w:tplc="2026C784">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6C0229E"/>
    <w:multiLevelType w:val="hybridMultilevel"/>
    <w:tmpl w:val="AB12678A"/>
    <w:lvl w:ilvl="0" w:tplc="B8CE44D0">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8AA0496"/>
    <w:multiLevelType w:val="hybridMultilevel"/>
    <w:tmpl w:val="396091A8"/>
    <w:lvl w:ilvl="0" w:tplc="4F246CB6">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02B71B1"/>
    <w:multiLevelType w:val="hybridMultilevel"/>
    <w:tmpl w:val="3364F58A"/>
    <w:lvl w:ilvl="0" w:tplc="7C5066D4">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45820A8"/>
    <w:multiLevelType w:val="hybridMultilevel"/>
    <w:tmpl w:val="45761A8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17B5324C"/>
    <w:multiLevelType w:val="hybridMultilevel"/>
    <w:tmpl w:val="3AF07226"/>
    <w:lvl w:ilvl="0" w:tplc="B3B8230E">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A6D7A32"/>
    <w:multiLevelType w:val="hybridMultilevel"/>
    <w:tmpl w:val="9A6EFEB6"/>
    <w:lvl w:ilvl="0" w:tplc="2772AF0E">
      <w:start w:val="12"/>
      <w:numFmt w:val="upperLetter"/>
      <w:lvlText w:val="(%1)"/>
      <w:lvlJc w:val="left"/>
      <w:pPr>
        <w:tabs>
          <w:tab w:val="num" w:pos="1845"/>
        </w:tabs>
        <w:ind w:left="1845" w:hanging="405"/>
      </w:pPr>
      <w:rPr>
        <w:rFonts w:hint="default"/>
        <w:i w:val="0"/>
        <w:iCs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nsid w:val="1C425748"/>
    <w:multiLevelType w:val="hybridMultilevel"/>
    <w:tmpl w:val="B3A8DB6C"/>
    <w:lvl w:ilvl="0" w:tplc="48F2FC42">
      <w:start w:val="5"/>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1DF90EA8"/>
    <w:multiLevelType w:val="hybridMultilevel"/>
    <w:tmpl w:val="0BDAEB14"/>
    <w:lvl w:ilvl="0" w:tplc="9CC22612">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00637B8"/>
    <w:multiLevelType w:val="hybridMultilevel"/>
    <w:tmpl w:val="D5641D2E"/>
    <w:lvl w:ilvl="0" w:tplc="46047382">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5DB7E0D"/>
    <w:multiLevelType w:val="hybridMultilevel"/>
    <w:tmpl w:val="F774CD22"/>
    <w:lvl w:ilvl="0" w:tplc="572A3BF0">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24D6462"/>
    <w:multiLevelType w:val="hybridMultilevel"/>
    <w:tmpl w:val="504624B8"/>
    <w:lvl w:ilvl="0" w:tplc="537E7E1A">
      <w:start w:val="4"/>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35BC3C18"/>
    <w:multiLevelType w:val="hybridMultilevel"/>
    <w:tmpl w:val="566CE64E"/>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nsid w:val="38610EA8"/>
    <w:multiLevelType w:val="multilevel"/>
    <w:tmpl w:val="DB96C7D4"/>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24">
    <w:nsid w:val="42126EDE"/>
    <w:multiLevelType w:val="hybridMultilevel"/>
    <w:tmpl w:val="8F5C4C28"/>
    <w:lvl w:ilvl="0" w:tplc="D4D81388">
      <w:start w:val="6"/>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0D670FE"/>
    <w:multiLevelType w:val="hybridMultilevel"/>
    <w:tmpl w:val="203E47E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77E55B6F"/>
    <w:multiLevelType w:val="hybridMultilevel"/>
    <w:tmpl w:val="79AC3D82"/>
    <w:lvl w:ilvl="0" w:tplc="09B83A0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4"/>
  </w:num>
  <w:num w:numId="14">
    <w:abstractNumId w:val="23"/>
  </w:num>
  <w:num w:numId="15">
    <w:abstractNumId w:val="21"/>
  </w:num>
  <w:num w:numId="16">
    <w:abstractNumId w:val="12"/>
  </w:num>
  <w:num w:numId="17">
    <w:abstractNumId w:val="25"/>
  </w:num>
  <w:num w:numId="18">
    <w:abstractNumId w:val="20"/>
  </w:num>
  <w:num w:numId="19">
    <w:abstractNumId w:val="19"/>
  </w:num>
  <w:num w:numId="20">
    <w:abstractNumId w:val="15"/>
  </w:num>
  <w:num w:numId="21">
    <w:abstractNumId w:val="17"/>
  </w:num>
  <w:num w:numId="22">
    <w:abstractNumId w:val="13"/>
  </w:num>
  <w:num w:numId="23">
    <w:abstractNumId w:val="24"/>
  </w:num>
  <w:num w:numId="24">
    <w:abstractNumId w:val="10"/>
  </w:num>
  <w:num w:numId="25">
    <w:abstractNumId w:val="1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54A"/>
    <w:rsid w:val="000007A7"/>
    <w:rsid w:val="00001C6D"/>
    <w:rsid w:val="00003E7A"/>
    <w:rsid w:val="000151DB"/>
    <w:rsid w:val="00066415"/>
    <w:rsid w:val="0007771A"/>
    <w:rsid w:val="00082F0D"/>
    <w:rsid w:val="000840AE"/>
    <w:rsid w:val="00084318"/>
    <w:rsid w:val="000A70B8"/>
    <w:rsid w:val="000D13AE"/>
    <w:rsid w:val="000D78C3"/>
    <w:rsid w:val="000F3470"/>
    <w:rsid w:val="001039C4"/>
    <w:rsid w:val="0012265A"/>
    <w:rsid w:val="001238F2"/>
    <w:rsid w:val="001368BA"/>
    <w:rsid w:val="001528FA"/>
    <w:rsid w:val="00166BC3"/>
    <w:rsid w:val="00175B29"/>
    <w:rsid w:val="00176027"/>
    <w:rsid w:val="001866D6"/>
    <w:rsid w:val="00192690"/>
    <w:rsid w:val="001B0904"/>
    <w:rsid w:val="001B3083"/>
    <w:rsid w:val="001C460F"/>
    <w:rsid w:val="001C47FE"/>
    <w:rsid w:val="001F03BB"/>
    <w:rsid w:val="001F5FFD"/>
    <w:rsid w:val="00204F35"/>
    <w:rsid w:val="00211485"/>
    <w:rsid w:val="0022748C"/>
    <w:rsid w:val="002509D3"/>
    <w:rsid w:val="00256629"/>
    <w:rsid w:val="00260D21"/>
    <w:rsid w:val="002618B7"/>
    <w:rsid w:val="002621D8"/>
    <w:rsid w:val="00285804"/>
    <w:rsid w:val="00291A7E"/>
    <w:rsid w:val="00297EA5"/>
    <w:rsid w:val="00297FC6"/>
    <w:rsid w:val="002A1113"/>
    <w:rsid w:val="002A7D5B"/>
    <w:rsid w:val="002D1F78"/>
    <w:rsid w:val="002D7680"/>
    <w:rsid w:val="002E4A2B"/>
    <w:rsid w:val="002F3080"/>
    <w:rsid w:val="003147BA"/>
    <w:rsid w:val="00332461"/>
    <w:rsid w:val="0034665C"/>
    <w:rsid w:val="003500C6"/>
    <w:rsid w:val="00364337"/>
    <w:rsid w:val="00372A30"/>
    <w:rsid w:val="00372CEA"/>
    <w:rsid w:val="0038138A"/>
    <w:rsid w:val="00384738"/>
    <w:rsid w:val="003865F5"/>
    <w:rsid w:val="00391A94"/>
    <w:rsid w:val="003B49F0"/>
    <w:rsid w:val="003C3E45"/>
    <w:rsid w:val="003C5C2F"/>
    <w:rsid w:val="003F3B0F"/>
    <w:rsid w:val="004034A2"/>
    <w:rsid w:val="004150CF"/>
    <w:rsid w:val="00422382"/>
    <w:rsid w:val="00452F72"/>
    <w:rsid w:val="00453A50"/>
    <w:rsid w:val="00455F9A"/>
    <w:rsid w:val="0046062E"/>
    <w:rsid w:val="00480481"/>
    <w:rsid w:val="004852A5"/>
    <w:rsid w:val="004B244C"/>
    <w:rsid w:val="004E768B"/>
    <w:rsid w:val="00527ED0"/>
    <w:rsid w:val="00543ACE"/>
    <w:rsid w:val="00551AF6"/>
    <w:rsid w:val="00555069"/>
    <w:rsid w:val="005673AF"/>
    <w:rsid w:val="0058634D"/>
    <w:rsid w:val="005934C5"/>
    <w:rsid w:val="005A42DA"/>
    <w:rsid w:val="005B2CF8"/>
    <w:rsid w:val="005E0FF4"/>
    <w:rsid w:val="005E39E9"/>
    <w:rsid w:val="005F16E1"/>
    <w:rsid w:val="005F71E2"/>
    <w:rsid w:val="0060553F"/>
    <w:rsid w:val="006071A6"/>
    <w:rsid w:val="00633901"/>
    <w:rsid w:val="0064335B"/>
    <w:rsid w:val="00651E52"/>
    <w:rsid w:val="00657BFD"/>
    <w:rsid w:val="006725B6"/>
    <w:rsid w:val="006A17E1"/>
    <w:rsid w:val="00701D5A"/>
    <w:rsid w:val="00716665"/>
    <w:rsid w:val="00720D33"/>
    <w:rsid w:val="00727D7A"/>
    <w:rsid w:val="00740EC2"/>
    <w:rsid w:val="00762319"/>
    <w:rsid w:val="00775630"/>
    <w:rsid w:val="0078430C"/>
    <w:rsid w:val="007854E1"/>
    <w:rsid w:val="0079017D"/>
    <w:rsid w:val="007D67C8"/>
    <w:rsid w:val="007E0FD3"/>
    <w:rsid w:val="007E6841"/>
    <w:rsid w:val="007E6E12"/>
    <w:rsid w:val="008018A0"/>
    <w:rsid w:val="00807C1E"/>
    <w:rsid w:val="00821823"/>
    <w:rsid w:val="00821C56"/>
    <w:rsid w:val="00826570"/>
    <w:rsid w:val="00836608"/>
    <w:rsid w:val="008576D7"/>
    <w:rsid w:val="008632B2"/>
    <w:rsid w:val="00872E50"/>
    <w:rsid w:val="008918A2"/>
    <w:rsid w:val="008A2E6F"/>
    <w:rsid w:val="008B4F7A"/>
    <w:rsid w:val="008C2074"/>
    <w:rsid w:val="008C3009"/>
    <w:rsid w:val="008D575E"/>
    <w:rsid w:val="008F4180"/>
    <w:rsid w:val="0090172D"/>
    <w:rsid w:val="009064A0"/>
    <w:rsid w:val="0091281C"/>
    <w:rsid w:val="009142E6"/>
    <w:rsid w:val="0092523F"/>
    <w:rsid w:val="009259DF"/>
    <w:rsid w:val="00937CAE"/>
    <w:rsid w:val="00957550"/>
    <w:rsid w:val="00962E71"/>
    <w:rsid w:val="009635CA"/>
    <w:rsid w:val="009C0F18"/>
    <w:rsid w:val="009E4A85"/>
    <w:rsid w:val="00A03A53"/>
    <w:rsid w:val="00A12248"/>
    <w:rsid w:val="00A27ACA"/>
    <w:rsid w:val="00A40459"/>
    <w:rsid w:val="00A42A9A"/>
    <w:rsid w:val="00A45554"/>
    <w:rsid w:val="00A467A7"/>
    <w:rsid w:val="00A47A90"/>
    <w:rsid w:val="00A67865"/>
    <w:rsid w:val="00A71168"/>
    <w:rsid w:val="00A815DD"/>
    <w:rsid w:val="00A84310"/>
    <w:rsid w:val="00A84B2A"/>
    <w:rsid w:val="00AA73DE"/>
    <w:rsid w:val="00AD1176"/>
    <w:rsid w:val="00AE149F"/>
    <w:rsid w:val="00B4797D"/>
    <w:rsid w:val="00B5273D"/>
    <w:rsid w:val="00B66B19"/>
    <w:rsid w:val="00B84A44"/>
    <w:rsid w:val="00B94692"/>
    <w:rsid w:val="00BA0B57"/>
    <w:rsid w:val="00BC3AFF"/>
    <w:rsid w:val="00BD2367"/>
    <w:rsid w:val="00C02D13"/>
    <w:rsid w:val="00C037DA"/>
    <w:rsid w:val="00C310B8"/>
    <w:rsid w:val="00C54150"/>
    <w:rsid w:val="00C54F9E"/>
    <w:rsid w:val="00C65920"/>
    <w:rsid w:val="00C9039F"/>
    <w:rsid w:val="00CA4E36"/>
    <w:rsid w:val="00CC255A"/>
    <w:rsid w:val="00CD799C"/>
    <w:rsid w:val="00CE6A7C"/>
    <w:rsid w:val="00CF1290"/>
    <w:rsid w:val="00D04B46"/>
    <w:rsid w:val="00D21482"/>
    <w:rsid w:val="00D3254A"/>
    <w:rsid w:val="00D37B23"/>
    <w:rsid w:val="00D511C4"/>
    <w:rsid w:val="00D644F4"/>
    <w:rsid w:val="00D73E0A"/>
    <w:rsid w:val="00D8485A"/>
    <w:rsid w:val="00D91C21"/>
    <w:rsid w:val="00D95C88"/>
    <w:rsid w:val="00DA3AD2"/>
    <w:rsid w:val="00DF6B7E"/>
    <w:rsid w:val="00E231A1"/>
    <w:rsid w:val="00E301A6"/>
    <w:rsid w:val="00E324F1"/>
    <w:rsid w:val="00E423C6"/>
    <w:rsid w:val="00E53111"/>
    <w:rsid w:val="00E55D96"/>
    <w:rsid w:val="00E8424D"/>
    <w:rsid w:val="00E85283"/>
    <w:rsid w:val="00EB07D8"/>
    <w:rsid w:val="00EE1CE4"/>
    <w:rsid w:val="00EF77F7"/>
    <w:rsid w:val="00F15635"/>
    <w:rsid w:val="00F206DE"/>
    <w:rsid w:val="00F321E5"/>
    <w:rsid w:val="00F47118"/>
    <w:rsid w:val="00F50807"/>
    <w:rsid w:val="00F5650D"/>
    <w:rsid w:val="00F56A38"/>
    <w:rsid w:val="00F87F51"/>
    <w:rsid w:val="00F93666"/>
    <w:rsid w:val="00F9726A"/>
    <w:rsid w:val="00FA2D91"/>
    <w:rsid w:val="00FA6053"/>
    <w:rsid w:val="00FD69EB"/>
    <w:rsid w:val="00FE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37"/>
    <w:rPr>
      <w:sz w:val="24"/>
      <w:szCs w:val="24"/>
    </w:rPr>
  </w:style>
  <w:style w:type="paragraph" w:styleId="Heading1">
    <w:name w:val="heading 1"/>
    <w:basedOn w:val="Normal"/>
    <w:next w:val="Normal"/>
    <w:link w:val="Heading1Char"/>
    <w:autoRedefine/>
    <w:uiPriority w:val="99"/>
    <w:qFormat/>
    <w:rsid w:val="00FE034F"/>
    <w:pPr>
      <w:keepNext/>
      <w:overflowPunct w:val="0"/>
      <w:autoSpaceDE w:val="0"/>
      <w:autoSpaceDN w:val="0"/>
      <w:adjustRightInd w:val="0"/>
      <w:spacing w:line="480" w:lineRule="auto"/>
      <w:ind w:left="720" w:hanging="720"/>
      <w:textAlignment w:val="baseline"/>
      <w:outlineLvl w:val="0"/>
    </w:pPr>
    <w:rPr>
      <w:rFonts w:ascii="Times New Roman Bold" w:hAnsi="Times New Roman Bold" w:cs="Times New Roman Bold"/>
      <w:b/>
      <w:bCs/>
      <w:caps/>
      <w:kern w:val="32"/>
    </w:rPr>
  </w:style>
  <w:style w:type="paragraph" w:styleId="Heading2">
    <w:name w:val="heading 2"/>
    <w:basedOn w:val="Normal"/>
    <w:next w:val="Normal"/>
    <w:link w:val="Heading2Char"/>
    <w:uiPriority w:val="99"/>
    <w:qFormat/>
    <w:rsid w:val="00FE034F"/>
    <w:pPr>
      <w:keepNext/>
      <w:overflowPunct w:val="0"/>
      <w:autoSpaceDE w:val="0"/>
      <w:autoSpaceDN w:val="0"/>
      <w:adjustRightInd w:val="0"/>
      <w:spacing w:after="240"/>
      <w:ind w:left="1440" w:hanging="720"/>
      <w:textAlignment w:val="baseline"/>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034F"/>
    <w:rPr>
      <w:rFonts w:ascii="Times New Roman Bold" w:hAnsi="Times New Roman Bold" w:cs="Times New Roman Bold"/>
      <w:b/>
      <w:bCs/>
      <w:caps/>
      <w:kern w:val="32"/>
      <w:sz w:val="24"/>
      <w:szCs w:val="24"/>
    </w:rPr>
  </w:style>
  <w:style w:type="character" w:customStyle="1" w:styleId="Heading2Char">
    <w:name w:val="Heading 2 Char"/>
    <w:basedOn w:val="DefaultParagraphFont"/>
    <w:link w:val="Heading2"/>
    <w:uiPriority w:val="99"/>
    <w:semiHidden/>
    <w:locked/>
    <w:rsid w:val="00FE034F"/>
    <w:rPr>
      <w:rFonts w:ascii="Cambria" w:hAnsi="Cambria" w:cs="Cambria"/>
      <w:b/>
      <w:bCs/>
      <w:i/>
      <w:iCs/>
      <w:sz w:val="28"/>
      <w:szCs w:val="28"/>
    </w:rPr>
  </w:style>
  <w:style w:type="paragraph" w:styleId="BalloonText">
    <w:name w:val="Balloon Text"/>
    <w:basedOn w:val="Normal"/>
    <w:link w:val="BalloonTextChar"/>
    <w:uiPriority w:val="99"/>
    <w:semiHidden/>
    <w:rsid w:val="00FE034F"/>
    <w:rPr>
      <w:sz w:val="2"/>
      <w:szCs w:val="2"/>
    </w:rPr>
  </w:style>
  <w:style w:type="character" w:customStyle="1" w:styleId="BalloonTextChar">
    <w:name w:val="Balloon Text Char"/>
    <w:basedOn w:val="DefaultParagraphFont"/>
    <w:link w:val="BalloonText"/>
    <w:uiPriority w:val="99"/>
    <w:semiHidden/>
    <w:locked/>
    <w:rsid w:val="00FE034F"/>
    <w:rPr>
      <w:sz w:val="2"/>
      <w:szCs w:val="2"/>
      <w:lang w:val="en-US" w:eastAsia="en-US"/>
    </w:rPr>
  </w:style>
  <w:style w:type="paragraph" w:styleId="HTMLPreformatted">
    <w:name w:val="HTML Preformatted"/>
    <w:basedOn w:val="Normal"/>
    <w:link w:val="HTMLPreformattedChar"/>
    <w:uiPriority w:val="99"/>
    <w:rsid w:val="00F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E034F"/>
    <w:rPr>
      <w:rFonts w:ascii="Courier New" w:hAnsi="Courier New" w:cs="Courier New"/>
      <w:sz w:val="20"/>
      <w:szCs w:val="20"/>
    </w:rPr>
  </w:style>
  <w:style w:type="table" w:styleId="TableGrid">
    <w:name w:val="Table Grid"/>
    <w:basedOn w:val="TableNormal"/>
    <w:uiPriority w:val="99"/>
    <w:rsid w:val="00FE0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FE034F"/>
  </w:style>
  <w:style w:type="paragraph" w:styleId="Header">
    <w:name w:val="header"/>
    <w:basedOn w:val="Normal"/>
    <w:link w:val="HeaderChar"/>
    <w:uiPriority w:val="99"/>
    <w:rsid w:val="00FE034F"/>
    <w:pPr>
      <w:tabs>
        <w:tab w:val="center" w:pos="4320"/>
        <w:tab w:val="right" w:pos="8640"/>
      </w:tabs>
    </w:pPr>
  </w:style>
  <w:style w:type="character" w:customStyle="1" w:styleId="HeaderChar">
    <w:name w:val="Header Char"/>
    <w:basedOn w:val="DefaultParagraphFont"/>
    <w:link w:val="Header"/>
    <w:uiPriority w:val="99"/>
    <w:semiHidden/>
    <w:locked/>
    <w:rsid w:val="00FE034F"/>
    <w:rPr>
      <w:sz w:val="24"/>
      <w:szCs w:val="24"/>
    </w:rPr>
  </w:style>
  <w:style w:type="paragraph" w:styleId="Footer">
    <w:name w:val="footer"/>
    <w:basedOn w:val="Normal"/>
    <w:link w:val="FooterChar"/>
    <w:uiPriority w:val="99"/>
    <w:rsid w:val="00FE034F"/>
    <w:pPr>
      <w:tabs>
        <w:tab w:val="center" w:pos="4320"/>
        <w:tab w:val="right" w:pos="8640"/>
      </w:tabs>
    </w:pPr>
  </w:style>
  <w:style w:type="character" w:customStyle="1" w:styleId="FooterChar">
    <w:name w:val="Footer Char"/>
    <w:basedOn w:val="DefaultParagraphFont"/>
    <w:link w:val="Footer"/>
    <w:uiPriority w:val="99"/>
    <w:semiHidden/>
    <w:locked/>
    <w:rsid w:val="00FE034F"/>
    <w:rPr>
      <w:sz w:val="24"/>
      <w:szCs w:val="24"/>
    </w:rPr>
  </w:style>
  <w:style w:type="paragraph" w:customStyle="1" w:styleId="ANSWER">
    <w:name w:val="ANSWER"/>
    <w:basedOn w:val="Normal"/>
    <w:uiPriority w:val="99"/>
    <w:rsid w:val="00FE034F"/>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rsid w:val="00FE034F"/>
  </w:style>
  <w:style w:type="paragraph" w:styleId="FootnoteText">
    <w:name w:val="footnote text"/>
    <w:basedOn w:val="Normal"/>
    <w:link w:val="FootnoteTextChar"/>
    <w:uiPriority w:val="99"/>
    <w:semiHidden/>
    <w:rsid w:val="00FE034F"/>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locked/>
    <w:rsid w:val="00FE034F"/>
    <w:rPr>
      <w:sz w:val="20"/>
      <w:szCs w:val="20"/>
    </w:rPr>
  </w:style>
  <w:style w:type="character" w:styleId="FootnoteReference">
    <w:name w:val="footnote reference"/>
    <w:basedOn w:val="DefaultParagraphFont"/>
    <w:uiPriority w:val="99"/>
    <w:semiHidden/>
    <w:rsid w:val="00FE034F"/>
    <w:rPr>
      <w:vertAlign w:val="superscript"/>
    </w:rPr>
  </w:style>
  <w:style w:type="paragraph" w:styleId="EndnoteText">
    <w:name w:val="endnote text"/>
    <w:basedOn w:val="Normal"/>
    <w:link w:val="EndnoteTextChar"/>
    <w:uiPriority w:val="99"/>
    <w:semiHidden/>
    <w:rsid w:val="00FE034F"/>
    <w:pPr>
      <w:widowControl w:val="0"/>
    </w:pPr>
    <w:rPr>
      <w:sz w:val="20"/>
      <w:szCs w:val="20"/>
    </w:rPr>
  </w:style>
  <w:style w:type="character" w:customStyle="1" w:styleId="EndnoteTextChar">
    <w:name w:val="Endnote Text Char"/>
    <w:basedOn w:val="DefaultParagraphFont"/>
    <w:link w:val="EndnoteText"/>
    <w:uiPriority w:val="99"/>
    <w:semiHidden/>
    <w:locked/>
    <w:rsid w:val="00FE034F"/>
    <w:rPr>
      <w:sz w:val="20"/>
      <w:szCs w:val="20"/>
    </w:rPr>
  </w:style>
  <w:style w:type="character" w:styleId="CommentReference">
    <w:name w:val="annotation reference"/>
    <w:basedOn w:val="DefaultParagraphFont"/>
    <w:uiPriority w:val="99"/>
    <w:semiHidden/>
    <w:rsid w:val="00FE034F"/>
    <w:rPr>
      <w:sz w:val="16"/>
      <w:szCs w:val="16"/>
    </w:rPr>
  </w:style>
  <w:style w:type="paragraph" w:styleId="CommentText">
    <w:name w:val="annotation text"/>
    <w:basedOn w:val="Normal"/>
    <w:link w:val="CommentTextChar"/>
    <w:uiPriority w:val="99"/>
    <w:semiHidden/>
    <w:rsid w:val="00FE034F"/>
    <w:rPr>
      <w:sz w:val="20"/>
      <w:szCs w:val="20"/>
    </w:rPr>
  </w:style>
  <w:style w:type="character" w:customStyle="1" w:styleId="CommentTextChar">
    <w:name w:val="Comment Text Char"/>
    <w:basedOn w:val="DefaultParagraphFont"/>
    <w:link w:val="CommentText"/>
    <w:uiPriority w:val="99"/>
    <w:semiHidden/>
    <w:locked/>
    <w:rsid w:val="00FE034F"/>
    <w:rPr>
      <w:sz w:val="20"/>
      <w:szCs w:val="20"/>
    </w:rPr>
  </w:style>
  <w:style w:type="paragraph" w:styleId="CommentSubject">
    <w:name w:val="annotation subject"/>
    <w:basedOn w:val="CommentText"/>
    <w:next w:val="CommentText"/>
    <w:link w:val="CommentSubjectChar"/>
    <w:uiPriority w:val="99"/>
    <w:semiHidden/>
    <w:rsid w:val="00FE034F"/>
    <w:rPr>
      <w:b/>
      <w:bCs/>
    </w:rPr>
  </w:style>
  <w:style w:type="character" w:customStyle="1" w:styleId="CommentSubjectChar">
    <w:name w:val="Comment Subject Char"/>
    <w:basedOn w:val="CommentTextChar"/>
    <w:link w:val="CommentSubject"/>
    <w:uiPriority w:val="99"/>
    <w:semiHidden/>
    <w:locked/>
    <w:rsid w:val="00FE034F"/>
    <w:rPr>
      <w:b/>
      <w:bCs/>
      <w:sz w:val="20"/>
      <w:szCs w:val="20"/>
    </w:rPr>
  </w:style>
  <w:style w:type="character" w:styleId="Hyperlink">
    <w:name w:val="Hyperlink"/>
    <w:basedOn w:val="DefaultParagraphFont"/>
    <w:uiPriority w:val="99"/>
    <w:rsid w:val="00FE034F"/>
    <w:rPr>
      <w:color w:val="0000FF"/>
      <w:u w:val="single"/>
    </w:rPr>
  </w:style>
  <w:style w:type="paragraph" w:styleId="TOC1">
    <w:name w:val="toc 1"/>
    <w:basedOn w:val="Normal"/>
    <w:next w:val="Normal"/>
    <w:autoRedefine/>
    <w:uiPriority w:val="99"/>
    <w:semiHidden/>
    <w:rsid w:val="00FE034F"/>
    <w:pPr>
      <w:tabs>
        <w:tab w:val="left" w:pos="720"/>
        <w:tab w:val="decimal" w:leader="dot" w:pos="9180"/>
      </w:tabs>
      <w:spacing w:after="240"/>
      <w:ind w:left="720" w:hanging="720"/>
    </w:pPr>
    <w:rPr>
      <w:caps/>
      <w:noProof/>
    </w:rPr>
  </w:style>
  <w:style w:type="paragraph" w:styleId="NormalWeb">
    <w:name w:val="Normal (Web)"/>
    <w:basedOn w:val="Normal"/>
    <w:uiPriority w:val="99"/>
    <w:rsid w:val="00FE034F"/>
    <w:pPr>
      <w:spacing w:before="100" w:beforeAutospacing="1" w:after="100" w:afterAutospacing="1"/>
    </w:pPr>
  </w:style>
  <w:style w:type="paragraph" w:styleId="BodyTextIndent3">
    <w:name w:val="Body Text Indent 3"/>
    <w:basedOn w:val="Normal"/>
    <w:link w:val="BodyTextIndent3Char1"/>
    <w:uiPriority w:val="99"/>
    <w:rsid w:val="00FE034F"/>
    <w:pPr>
      <w:spacing w:line="480" w:lineRule="auto"/>
      <w:ind w:left="360"/>
    </w:pPr>
  </w:style>
  <w:style w:type="character" w:customStyle="1" w:styleId="BodyTextIndent3Char">
    <w:name w:val="Body Text Indent 3 Char"/>
    <w:basedOn w:val="DefaultParagraphFont"/>
    <w:uiPriority w:val="99"/>
    <w:semiHidden/>
    <w:locked/>
    <w:rsid w:val="00FE034F"/>
    <w:rPr>
      <w:sz w:val="16"/>
      <w:szCs w:val="16"/>
    </w:rPr>
  </w:style>
  <w:style w:type="character" w:customStyle="1" w:styleId="BodyTextIndent3Char1">
    <w:name w:val="Body Text Indent 3 Char1"/>
    <w:link w:val="BodyTextIndent3"/>
    <w:uiPriority w:val="99"/>
    <w:semiHidden/>
    <w:locked/>
    <w:rsid w:val="00FE034F"/>
    <w:rPr>
      <w:sz w:val="24"/>
      <w:szCs w:val="24"/>
      <w:lang w:val="en-US" w:eastAsia="en-US"/>
    </w:rPr>
  </w:style>
  <w:style w:type="paragraph" w:styleId="BodyText">
    <w:name w:val="Body Text"/>
    <w:basedOn w:val="Normal"/>
    <w:link w:val="BodyTextChar"/>
    <w:uiPriority w:val="99"/>
    <w:rsid w:val="00FE034F"/>
    <w:pPr>
      <w:spacing w:after="120"/>
    </w:pPr>
  </w:style>
  <w:style w:type="character" w:customStyle="1" w:styleId="BodyTextChar">
    <w:name w:val="Body Text Char"/>
    <w:basedOn w:val="DefaultParagraphFont"/>
    <w:link w:val="BodyText"/>
    <w:uiPriority w:val="99"/>
    <w:semiHidden/>
    <w:locked/>
    <w:rsid w:val="00FE034F"/>
    <w:rPr>
      <w:sz w:val="24"/>
      <w:szCs w:val="24"/>
    </w:rPr>
  </w:style>
  <w:style w:type="paragraph" w:customStyle="1" w:styleId="ColorfulShading-Accent11">
    <w:name w:val="Colorful Shading - Accent 11"/>
    <w:hidden/>
    <w:uiPriority w:val="99"/>
    <w:semiHidden/>
    <w:rsid w:val="00FE034F"/>
    <w:rPr>
      <w:sz w:val="24"/>
      <w:szCs w:val="24"/>
    </w:rPr>
  </w:style>
  <w:style w:type="character" w:customStyle="1" w:styleId="CharChar7">
    <w:name w:val="Char Char7"/>
    <w:uiPriority w:val="99"/>
    <w:semiHidden/>
    <w:rsid w:val="00FE034F"/>
    <w:rPr>
      <w:rFonts w:ascii="Courier New" w:hAnsi="Courier New" w:cs="Courier New"/>
      <w:sz w:val="20"/>
      <w:szCs w:val="20"/>
    </w:rPr>
  </w:style>
  <w:style w:type="character" w:styleId="FollowedHyperlink">
    <w:name w:val="FollowedHyperlink"/>
    <w:basedOn w:val="DefaultParagraphFont"/>
    <w:uiPriority w:val="99"/>
    <w:semiHidden/>
    <w:rsid w:val="00455F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04804">
      <w:marLeft w:val="0"/>
      <w:marRight w:val="0"/>
      <w:marTop w:val="0"/>
      <w:marBottom w:val="0"/>
      <w:divBdr>
        <w:top w:val="none" w:sz="0" w:space="0" w:color="auto"/>
        <w:left w:val="none" w:sz="0" w:space="0" w:color="auto"/>
        <w:bottom w:val="none" w:sz="0" w:space="0" w:color="auto"/>
        <w:right w:val="none" w:sz="0" w:space="0" w:color="auto"/>
      </w:divBdr>
    </w:div>
    <w:div w:id="1829904805">
      <w:marLeft w:val="0"/>
      <w:marRight w:val="0"/>
      <w:marTop w:val="0"/>
      <w:marBottom w:val="0"/>
      <w:divBdr>
        <w:top w:val="none" w:sz="0" w:space="0" w:color="auto"/>
        <w:left w:val="none" w:sz="0" w:space="0" w:color="auto"/>
        <w:bottom w:val="none" w:sz="0" w:space="0" w:color="auto"/>
        <w:right w:val="none" w:sz="0" w:space="0" w:color="auto"/>
      </w:divBdr>
    </w:div>
    <w:div w:id="1829904806">
      <w:marLeft w:val="0"/>
      <w:marRight w:val="0"/>
      <w:marTop w:val="0"/>
      <w:marBottom w:val="0"/>
      <w:divBdr>
        <w:top w:val="none" w:sz="0" w:space="0" w:color="auto"/>
        <w:left w:val="none" w:sz="0" w:space="0" w:color="auto"/>
        <w:bottom w:val="none" w:sz="0" w:space="0" w:color="auto"/>
        <w:right w:val="none" w:sz="0" w:space="0" w:color="auto"/>
      </w:divBdr>
    </w:div>
    <w:div w:id="1829904807">
      <w:marLeft w:val="0"/>
      <w:marRight w:val="0"/>
      <w:marTop w:val="0"/>
      <w:marBottom w:val="0"/>
      <w:divBdr>
        <w:top w:val="none" w:sz="0" w:space="0" w:color="auto"/>
        <w:left w:val="none" w:sz="0" w:space="0" w:color="auto"/>
        <w:bottom w:val="none" w:sz="0" w:space="0" w:color="auto"/>
        <w:right w:val="none" w:sz="0" w:space="0" w:color="auto"/>
      </w:divBdr>
    </w:div>
    <w:div w:id="1829904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5430</Words>
  <Characters>30786</Characters>
  <Application>Microsoft Office Word</Application>
  <DocSecurity>0</DocSecurity>
  <Lines>985</Lines>
  <Paragraphs>498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2013-03-01T16:53:00Z</cp:lastPrinted>
  <dcterms:created xsi:type="dcterms:W3CDTF">2013-03-01T16:59:00Z</dcterms:created>
  <dcterms:modified xsi:type="dcterms:W3CDTF">2013-03-01T16:59:00Z</dcterms:modified>
  <cp:category> </cp:category>
  <cp:contentStatus> </cp:contentStatus>
</cp:coreProperties>
</file>