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8843A" w14:textId="77777777" w:rsidR="00FF07AA" w:rsidRDefault="00430D27">
      <w:pPr>
        <w:jc w:val="center"/>
        <w:rPr>
          <w:rFonts w:ascii="Arial" w:hAnsi="Arial" w:cs="Arial"/>
          <w:b/>
          <w:bCs/>
          <w:sz w:val="32"/>
          <w:szCs w:val="32"/>
        </w:rPr>
      </w:pPr>
      <w:r>
        <w:rPr>
          <w:rFonts w:ascii="Arial" w:hAnsi="Arial" w:cs="Arial"/>
          <w:b/>
          <w:bCs/>
          <w:sz w:val="32"/>
          <w:szCs w:val="32"/>
          <w:u w:val="thick"/>
        </w:rPr>
        <w:t>INFRASTRUCTURE DEVELOPMENT RIDER</w:t>
      </w:r>
    </w:p>
    <w:p w14:paraId="23857A0B" w14:textId="77777777" w:rsidR="00FF07AA" w:rsidRDefault="00FF07AA">
      <w:pPr>
        <w:rPr>
          <w:rFonts w:ascii="Arial" w:hAnsi="Arial" w:cs="Arial"/>
          <w:sz w:val="20"/>
          <w:szCs w:val="20"/>
        </w:rPr>
      </w:pPr>
    </w:p>
    <w:p w14:paraId="52A7AAB9" w14:textId="77777777" w:rsidR="00FF07AA" w:rsidRDefault="00430D27">
      <w:pPr>
        <w:rPr>
          <w:rFonts w:ascii="Arial" w:hAnsi="Arial" w:cs="Arial"/>
          <w:b/>
          <w:bCs/>
          <w:sz w:val="20"/>
          <w:szCs w:val="20"/>
        </w:rPr>
      </w:pPr>
      <w:r>
        <w:rPr>
          <w:rFonts w:ascii="Arial" w:hAnsi="Arial" w:cs="Arial"/>
          <w:b/>
          <w:bCs/>
          <w:sz w:val="20"/>
          <w:szCs w:val="20"/>
          <w:u w:val="thick"/>
        </w:rPr>
        <w:t>APPLICABILITY</w:t>
      </w:r>
    </w:p>
    <w:p w14:paraId="054D53ED" w14:textId="77777777" w:rsidR="00FF07AA" w:rsidRDefault="00430D27">
      <w:pPr>
        <w:ind w:left="720"/>
        <w:jc w:val="both"/>
        <w:rPr>
          <w:rFonts w:ascii="Arial" w:hAnsi="Arial" w:cs="Arial"/>
          <w:sz w:val="20"/>
          <w:szCs w:val="20"/>
        </w:rPr>
      </w:pPr>
      <w:r>
        <w:rPr>
          <w:rFonts w:ascii="Arial" w:hAnsi="Arial" w:cs="Arial"/>
          <w:sz w:val="20"/>
          <w:szCs w:val="20"/>
        </w:rPr>
        <w:t>The Infrastructure Development Rider (“IDR”) shall be applicable to all Customers served under the following Rate Schedules and to certain other Customers pursuant to contract:</w:t>
      </w:r>
    </w:p>
    <w:p w14:paraId="029960FA" w14:textId="77777777" w:rsidR="00FF07AA" w:rsidRDefault="00430D27">
      <w:pPr>
        <w:numPr>
          <w:ilvl w:val="3"/>
          <w:numId w:val="1"/>
        </w:numPr>
        <w:rPr>
          <w:rFonts w:ascii="Arial" w:hAnsi="Arial" w:cs="Arial"/>
          <w:sz w:val="20"/>
          <w:szCs w:val="20"/>
        </w:rPr>
      </w:pPr>
      <w:r>
        <w:rPr>
          <w:rFonts w:ascii="Arial" w:hAnsi="Arial" w:cs="Arial"/>
          <w:sz w:val="20"/>
          <w:szCs w:val="20"/>
        </w:rPr>
        <w:t>Rate 310 – Residential Default Sales Service</w:t>
      </w:r>
    </w:p>
    <w:p w14:paraId="5129FAEF" w14:textId="77777777" w:rsidR="00FF07AA" w:rsidRDefault="00430D27">
      <w:pPr>
        <w:numPr>
          <w:ilvl w:val="3"/>
          <w:numId w:val="1"/>
        </w:numPr>
        <w:rPr>
          <w:rFonts w:ascii="Arial" w:hAnsi="Arial" w:cs="Arial"/>
          <w:sz w:val="20"/>
          <w:szCs w:val="20"/>
        </w:rPr>
      </w:pPr>
      <w:r>
        <w:rPr>
          <w:rFonts w:ascii="Arial" w:hAnsi="Arial" w:cs="Arial"/>
          <w:sz w:val="20"/>
          <w:szCs w:val="20"/>
        </w:rPr>
        <w:t>Rate 311 – Residential Standard Choice Offer Service</w:t>
      </w:r>
    </w:p>
    <w:p w14:paraId="528C91CB" w14:textId="77777777" w:rsidR="00FF07AA" w:rsidRDefault="00430D27">
      <w:pPr>
        <w:numPr>
          <w:ilvl w:val="3"/>
          <w:numId w:val="1"/>
        </w:numPr>
        <w:rPr>
          <w:rFonts w:ascii="Arial" w:hAnsi="Arial" w:cs="Arial"/>
          <w:sz w:val="20"/>
          <w:szCs w:val="20"/>
        </w:rPr>
      </w:pPr>
      <w:r>
        <w:rPr>
          <w:rFonts w:ascii="Arial" w:hAnsi="Arial" w:cs="Arial"/>
          <w:sz w:val="20"/>
          <w:szCs w:val="20"/>
        </w:rPr>
        <w:t>Rate 315 – Residential Transportation Service</w:t>
      </w:r>
    </w:p>
    <w:p w14:paraId="75C209F6" w14:textId="77777777" w:rsidR="00FF07AA" w:rsidRDefault="00430D27">
      <w:pPr>
        <w:numPr>
          <w:ilvl w:val="3"/>
          <w:numId w:val="1"/>
        </w:numPr>
        <w:rPr>
          <w:rFonts w:ascii="Arial" w:hAnsi="Arial" w:cs="Arial"/>
          <w:sz w:val="20"/>
          <w:szCs w:val="20"/>
        </w:rPr>
      </w:pPr>
      <w:r>
        <w:rPr>
          <w:rFonts w:ascii="Arial" w:hAnsi="Arial" w:cs="Arial"/>
          <w:sz w:val="20"/>
          <w:szCs w:val="20"/>
        </w:rPr>
        <w:t>Rate 320 – General Default Sales Service</w:t>
      </w:r>
    </w:p>
    <w:p w14:paraId="30050DD1" w14:textId="77777777" w:rsidR="00FF07AA" w:rsidRDefault="00430D27">
      <w:pPr>
        <w:numPr>
          <w:ilvl w:val="3"/>
          <w:numId w:val="1"/>
        </w:numPr>
        <w:rPr>
          <w:rFonts w:ascii="Arial" w:hAnsi="Arial" w:cs="Arial"/>
          <w:sz w:val="20"/>
          <w:szCs w:val="20"/>
        </w:rPr>
      </w:pPr>
      <w:r>
        <w:rPr>
          <w:rFonts w:ascii="Arial" w:hAnsi="Arial" w:cs="Arial"/>
          <w:sz w:val="20"/>
          <w:szCs w:val="20"/>
        </w:rPr>
        <w:t>Rate 321 – General Standard Choice Offer Service</w:t>
      </w:r>
    </w:p>
    <w:p w14:paraId="4CEFD0AF" w14:textId="77777777" w:rsidR="00FF07AA" w:rsidRDefault="00430D27">
      <w:pPr>
        <w:numPr>
          <w:ilvl w:val="3"/>
          <w:numId w:val="1"/>
        </w:numPr>
        <w:rPr>
          <w:rFonts w:ascii="Arial" w:hAnsi="Arial" w:cs="Arial"/>
          <w:sz w:val="20"/>
          <w:szCs w:val="20"/>
        </w:rPr>
      </w:pPr>
      <w:r>
        <w:rPr>
          <w:rFonts w:ascii="Arial" w:hAnsi="Arial" w:cs="Arial"/>
          <w:sz w:val="20"/>
          <w:szCs w:val="20"/>
        </w:rPr>
        <w:t>Rate 325 – General Transportation Service</w:t>
      </w:r>
    </w:p>
    <w:p w14:paraId="2725A789" w14:textId="77777777" w:rsidR="00FF07AA" w:rsidRDefault="00430D27">
      <w:pPr>
        <w:numPr>
          <w:ilvl w:val="3"/>
          <w:numId w:val="1"/>
        </w:numPr>
        <w:rPr>
          <w:rFonts w:ascii="Arial" w:hAnsi="Arial" w:cs="Arial"/>
          <w:sz w:val="20"/>
          <w:szCs w:val="20"/>
        </w:rPr>
      </w:pPr>
      <w:r>
        <w:rPr>
          <w:rFonts w:ascii="Arial" w:hAnsi="Arial" w:cs="Arial"/>
          <w:sz w:val="20"/>
          <w:szCs w:val="20"/>
        </w:rPr>
        <w:t>Rate 345 – Large General Transportation Service</w:t>
      </w:r>
    </w:p>
    <w:p w14:paraId="6A990411" w14:textId="77777777" w:rsidR="00FF07AA" w:rsidRDefault="00430D27">
      <w:pPr>
        <w:numPr>
          <w:ilvl w:val="3"/>
          <w:numId w:val="1"/>
        </w:numPr>
        <w:rPr>
          <w:rFonts w:ascii="Arial" w:hAnsi="Arial" w:cs="Arial"/>
          <w:sz w:val="20"/>
          <w:szCs w:val="20"/>
        </w:rPr>
      </w:pPr>
      <w:r>
        <w:rPr>
          <w:rFonts w:ascii="Arial" w:hAnsi="Arial" w:cs="Arial"/>
          <w:sz w:val="20"/>
          <w:szCs w:val="20"/>
        </w:rPr>
        <w:t>Rate 360 – Large Volume Transportation Service</w:t>
      </w:r>
    </w:p>
    <w:p w14:paraId="0B3DDD17" w14:textId="77777777" w:rsidR="00FF07AA" w:rsidRDefault="00FF07AA">
      <w:pPr>
        <w:rPr>
          <w:rFonts w:ascii="Arial" w:hAnsi="Arial" w:cs="Arial"/>
          <w:sz w:val="20"/>
          <w:szCs w:val="20"/>
        </w:rPr>
      </w:pPr>
    </w:p>
    <w:p w14:paraId="5F5777D2" w14:textId="77777777" w:rsidR="00FF07AA" w:rsidRDefault="00430D27">
      <w:pPr>
        <w:rPr>
          <w:rFonts w:ascii="Arial" w:hAnsi="Arial" w:cs="Arial"/>
          <w:b/>
          <w:bCs/>
          <w:sz w:val="20"/>
          <w:szCs w:val="20"/>
        </w:rPr>
      </w:pPr>
      <w:r>
        <w:rPr>
          <w:rFonts w:ascii="Arial" w:hAnsi="Arial" w:cs="Arial"/>
          <w:b/>
          <w:bCs/>
          <w:sz w:val="20"/>
          <w:szCs w:val="20"/>
          <w:u w:val="thick"/>
        </w:rPr>
        <w:t>DESCRIPTION</w:t>
      </w:r>
    </w:p>
    <w:p w14:paraId="399CA388" w14:textId="77777777" w:rsidR="00FF07AA" w:rsidRDefault="00430D27">
      <w:pPr>
        <w:ind w:left="720"/>
        <w:jc w:val="both"/>
        <w:rPr>
          <w:rFonts w:ascii="Arial" w:hAnsi="Arial" w:cs="Arial"/>
          <w:sz w:val="20"/>
          <w:szCs w:val="20"/>
        </w:rPr>
      </w:pPr>
      <w:r>
        <w:rPr>
          <w:rFonts w:ascii="Arial" w:hAnsi="Arial" w:cs="Arial"/>
          <w:sz w:val="20"/>
          <w:szCs w:val="20"/>
        </w:rPr>
        <w:t>The IDR shall be applied to all Customers served under the applicable Rate Schedules.</w:t>
      </w:r>
    </w:p>
    <w:p w14:paraId="493A75FE" w14:textId="77777777" w:rsidR="00FF07AA" w:rsidRDefault="00FF07AA">
      <w:pPr>
        <w:jc w:val="both"/>
        <w:rPr>
          <w:rFonts w:ascii="Arial" w:hAnsi="Arial" w:cs="Arial"/>
          <w:sz w:val="20"/>
          <w:szCs w:val="20"/>
        </w:rPr>
      </w:pPr>
    </w:p>
    <w:p w14:paraId="62CD6617" w14:textId="77777777" w:rsidR="00FF07AA" w:rsidRDefault="00430D27">
      <w:pPr>
        <w:widowControl w:val="0"/>
        <w:ind w:left="720"/>
        <w:jc w:val="both"/>
        <w:rPr>
          <w:rFonts w:ascii="Arial" w:eastAsia="Arial" w:hAnsi="Arial" w:cs="Times New Roman"/>
          <w:spacing w:val="-2"/>
          <w:sz w:val="20"/>
          <w:szCs w:val="20"/>
        </w:rPr>
      </w:pPr>
      <w:r>
        <w:rPr>
          <w:rFonts w:ascii="Arial" w:eastAsia="Arial" w:hAnsi="Arial" w:cs="Times New Roman"/>
          <w:spacing w:val="-2"/>
          <w:sz w:val="20"/>
          <w:szCs w:val="20"/>
        </w:rPr>
        <w:t>An additional charge per meter, per month, regardless of gas consumed, to recover infrastructure development costs associated with Commission-approved economic development projects</w:t>
      </w:r>
    </w:p>
    <w:p w14:paraId="7CD271DE" w14:textId="77777777" w:rsidR="00FF07AA" w:rsidRDefault="00FF07AA">
      <w:pPr>
        <w:jc w:val="both"/>
        <w:rPr>
          <w:rFonts w:ascii="Arial" w:hAnsi="Arial" w:cs="Arial"/>
          <w:sz w:val="20"/>
          <w:szCs w:val="20"/>
        </w:rPr>
      </w:pPr>
    </w:p>
    <w:p w14:paraId="306758F8" w14:textId="269866D4" w:rsidR="00FF07AA" w:rsidRDefault="00430D27">
      <w:pPr>
        <w:ind w:left="720"/>
        <w:jc w:val="both"/>
        <w:rPr>
          <w:rFonts w:ascii="Arial" w:hAnsi="Arial" w:cs="Arial"/>
          <w:sz w:val="20"/>
          <w:szCs w:val="20"/>
        </w:rPr>
      </w:pPr>
      <w:r>
        <w:rPr>
          <w:rFonts w:ascii="Arial" w:hAnsi="Arial" w:cs="Arial"/>
          <w:sz w:val="20"/>
          <w:szCs w:val="20"/>
        </w:rPr>
        <w:t xml:space="preserve">The IDR shall be calculated annually pursuant to an Annual Report filed by Vectren Energy Delivery of Ohio, </w:t>
      </w:r>
      <w:r w:rsidR="007E1D68">
        <w:rPr>
          <w:rFonts w:ascii="Arial" w:hAnsi="Arial" w:cs="Arial"/>
          <w:sz w:val="20"/>
          <w:szCs w:val="20"/>
        </w:rPr>
        <w:t>LLC</w:t>
      </w:r>
      <w:r>
        <w:rPr>
          <w:rFonts w:ascii="Arial" w:hAnsi="Arial" w:cs="Arial"/>
          <w:sz w:val="20"/>
          <w:szCs w:val="20"/>
        </w:rPr>
        <w:t xml:space="preserve">.  Such annual adjustments to the IDR will become effective with bills rendered on or after the first billing unit following the expiration of the Commission Staff’s 75-day review period of the annual Report, unless the adjustment to the IDR proposed in the annual Report is suspended by the Commission for good </w:t>
      </w:r>
      <w:proofErr w:type="gramStart"/>
      <w:r>
        <w:rPr>
          <w:rFonts w:ascii="Arial" w:hAnsi="Arial" w:cs="Arial"/>
          <w:sz w:val="20"/>
          <w:szCs w:val="20"/>
        </w:rPr>
        <w:t>cause, and</w:t>
      </w:r>
      <w:proofErr w:type="gramEnd"/>
      <w:r>
        <w:rPr>
          <w:rFonts w:ascii="Arial" w:hAnsi="Arial" w:cs="Arial"/>
          <w:sz w:val="20"/>
          <w:szCs w:val="20"/>
        </w:rPr>
        <w:t xml:space="preserve"> shall be subject to reconciliation adjustments following any hearing, if necessary.</w:t>
      </w:r>
    </w:p>
    <w:p w14:paraId="07CCFDBC" w14:textId="77777777" w:rsidR="00FF07AA" w:rsidRDefault="00FF07AA">
      <w:pPr>
        <w:ind w:left="720"/>
        <w:jc w:val="both"/>
        <w:rPr>
          <w:rFonts w:ascii="Arial" w:hAnsi="Arial" w:cs="Arial"/>
          <w:sz w:val="20"/>
          <w:szCs w:val="20"/>
        </w:rPr>
      </w:pPr>
    </w:p>
    <w:p w14:paraId="5E2ECE64" w14:textId="77777777" w:rsidR="00FF07AA" w:rsidRDefault="00430D27">
      <w:pPr>
        <w:ind w:right="576"/>
        <w:jc w:val="both"/>
        <w:rPr>
          <w:rFonts w:ascii="Arial" w:eastAsia="Arial" w:hAnsi="Arial" w:cs="Arial"/>
          <w:b/>
          <w:bCs/>
          <w:sz w:val="20"/>
          <w:szCs w:val="20"/>
        </w:rPr>
      </w:pPr>
      <w:r>
        <w:rPr>
          <w:rFonts w:ascii="Arial" w:eastAsia="Arial" w:hAnsi="Arial" w:cs="Arial"/>
          <w:b/>
          <w:bCs/>
          <w:sz w:val="20"/>
          <w:szCs w:val="20"/>
          <w:u w:val="thick"/>
        </w:rPr>
        <w:t>RECONCILIATION</w:t>
      </w:r>
    </w:p>
    <w:p w14:paraId="44B0BBE7" w14:textId="77777777" w:rsidR="00FF07AA" w:rsidRDefault="00430D27">
      <w:pPr>
        <w:ind w:left="720"/>
        <w:jc w:val="both"/>
        <w:rPr>
          <w:rFonts w:ascii="Arial" w:hAnsi="Arial" w:cs="Arial"/>
          <w:sz w:val="20"/>
          <w:szCs w:val="20"/>
        </w:rPr>
      </w:pPr>
      <w:r>
        <w:rPr>
          <w:rFonts w:ascii="Arial" w:hAnsi="Arial" w:cs="Arial"/>
          <w:sz w:val="20"/>
          <w:szCs w:val="20"/>
        </w:rPr>
        <w:t>The IDR is subject to reconciliation or adjustment annually, including but not limited to, increases or refunds. Such reconciliation or adjustment shall be limited to: (1) the twelve-month period of expenditures upon which the rates were calculated, if determined to be unlawful, unreasonable, or imprudent by the Commission in the docket those rates were approved or the Supreme Court of Ohio; (2) the Commission’s orders in Case No. 18-47-AU-COI or any case ordered by the Commission to address tax reform changes.</w:t>
      </w:r>
    </w:p>
    <w:p w14:paraId="4B256422" w14:textId="77777777" w:rsidR="00FF07AA" w:rsidRDefault="00FF07AA">
      <w:pPr>
        <w:ind w:right="576"/>
        <w:jc w:val="both"/>
        <w:rPr>
          <w:rFonts w:ascii="Arial" w:hAnsi="Arial" w:cs="Arial"/>
          <w:sz w:val="20"/>
          <w:szCs w:val="20"/>
          <w:highlight w:val="yellow"/>
        </w:rPr>
      </w:pPr>
    </w:p>
    <w:p w14:paraId="747F56AC" w14:textId="77777777" w:rsidR="00FF07AA" w:rsidRDefault="00430D27">
      <w:pPr>
        <w:rPr>
          <w:rFonts w:ascii="Arial" w:hAnsi="Arial" w:cs="Arial"/>
          <w:b/>
          <w:bCs/>
          <w:sz w:val="20"/>
          <w:szCs w:val="20"/>
        </w:rPr>
      </w:pPr>
      <w:r>
        <w:rPr>
          <w:rFonts w:ascii="Arial" w:hAnsi="Arial" w:cs="Arial"/>
          <w:b/>
          <w:bCs/>
          <w:sz w:val="20"/>
          <w:szCs w:val="20"/>
          <w:u w:val="thick"/>
        </w:rPr>
        <w:t>INFRASTRUCTURE DEVELOPMENT RIDER RATE</w:t>
      </w:r>
    </w:p>
    <w:p w14:paraId="542CFB05" w14:textId="096207E4" w:rsidR="00FF07AA" w:rsidRDefault="00430D27">
      <w:pPr>
        <w:ind w:left="720"/>
        <w:rPr>
          <w:rFonts w:ascii="Arial" w:hAnsi="Arial" w:cs="Arial"/>
          <w:sz w:val="20"/>
          <w:szCs w:val="20"/>
        </w:rPr>
      </w:pPr>
      <w:r>
        <w:rPr>
          <w:rFonts w:ascii="Arial" w:hAnsi="Arial" w:cs="Arial"/>
          <w:spacing w:val="-2"/>
          <w:sz w:val="20"/>
          <w:szCs w:val="20"/>
        </w:rPr>
        <w:t>A monthly charge of $</w:t>
      </w:r>
      <w:r w:rsidR="00D96921">
        <w:rPr>
          <w:rFonts w:ascii="Arial" w:hAnsi="Arial" w:cs="Arial"/>
          <w:spacing w:val="-2"/>
          <w:sz w:val="20"/>
          <w:szCs w:val="20"/>
        </w:rPr>
        <w:t>0.03</w:t>
      </w:r>
      <w:r>
        <w:rPr>
          <w:rFonts w:ascii="Arial" w:hAnsi="Arial" w:cs="Arial"/>
          <w:spacing w:val="-2"/>
          <w:sz w:val="20"/>
          <w:szCs w:val="20"/>
        </w:rPr>
        <w:t xml:space="preserve"> per meter, per month shall be applied to all customers.</w:t>
      </w:r>
    </w:p>
    <w:sectPr w:rsidR="00FF07A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45126" w14:textId="77777777" w:rsidR="00AB01D1" w:rsidRDefault="00AB01D1">
      <w:r>
        <w:separator/>
      </w:r>
    </w:p>
  </w:endnote>
  <w:endnote w:type="continuationSeparator" w:id="0">
    <w:p w14:paraId="42515C2B" w14:textId="77777777" w:rsidR="00AB01D1" w:rsidRDefault="00AB0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08BC0" w14:textId="77777777" w:rsidR="00FF07AA" w:rsidRDefault="00FF07AA">
    <w:pPr>
      <w:pStyle w:val="Footer"/>
      <w:rPr>
        <w:sz w:val="20"/>
        <w:szCs w:val="20"/>
      </w:rPr>
    </w:pPr>
  </w:p>
  <w:p w14:paraId="354E12AD" w14:textId="77777777" w:rsidR="00FF07AA" w:rsidRDefault="00336D1E">
    <w:pPr>
      <w:pStyle w:val="Footer"/>
      <w:rPr>
        <w:sz w:val="20"/>
        <w:szCs w:val="20"/>
      </w:rPr>
    </w:pPr>
    <w:r>
      <w:rPr>
        <w:sz w:val="20"/>
        <w:szCs w:val="20"/>
      </w:rPr>
      <w:pict w14:anchorId="151ECB29">
        <v:rect id="_x0000_i1025" style="width:468pt;height:1.5pt" o:hralign="center" o:hrstd="t" o:hrnoshade="t" o:hr="t" fillcolor="black" stroked="f"/>
      </w:pict>
    </w:r>
  </w:p>
  <w:p w14:paraId="0F2F4D18" w14:textId="3D72D6F8" w:rsidR="00FF07AA" w:rsidRDefault="00430D27">
    <w:pPr>
      <w:widowControl w:val="0"/>
      <w:autoSpaceDE w:val="0"/>
      <w:autoSpaceDN w:val="0"/>
      <w:rPr>
        <w:rFonts w:ascii="Arial" w:eastAsia="Arial" w:hAnsi="Arial" w:cs="Arial"/>
        <w:sz w:val="20"/>
        <w:szCs w:val="20"/>
      </w:rPr>
    </w:pPr>
    <w:r>
      <w:rPr>
        <w:rFonts w:ascii="Arial" w:eastAsia="Arial" w:hAnsi="Arial" w:cs="Arial"/>
        <w:sz w:val="20"/>
        <w:szCs w:val="20"/>
      </w:rPr>
      <w:t xml:space="preserve">Filed pursuant to Case No. </w:t>
    </w:r>
    <w:r w:rsidR="00D96921">
      <w:rPr>
        <w:rFonts w:ascii="Arial" w:eastAsia="Arial" w:hAnsi="Arial" w:cs="Arial"/>
        <w:sz w:val="20"/>
        <w:szCs w:val="20"/>
      </w:rPr>
      <w:t>23</w:t>
    </w:r>
    <w:r>
      <w:rPr>
        <w:rFonts w:ascii="Arial" w:eastAsia="Arial" w:hAnsi="Arial" w:cs="Arial"/>
        <w:sz w:val="20"/>
        <w:szCs w:val="20"/>
      </w:rPr>
      <w:t xml:space="preserve">-0520-GA-IDR 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24AD47D2" w14:textId="77777777" w:rsidR="00FF07AA" w:rsidRDefault="00FF07AA">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FF07AA" w14:paraId="1FDE5C6F" w14:textId="77777777">
      <w:tc>
        <w:tcPr>
          <w:tcW w:w="2880" w:type="dxa"/>
        </w:tcPr>
        <w:p w14:paraId="26A8FC50" w14:textId="6B7B166D" w:rsidR="00FF07AA" w:rsidRDefault="00430D27">
          <w:pPr>
            <w:rPr>
              <w:rFonts w:ascii="Arial" w:eastAsia="Arial" w:hAnsi="Arial" w:cs="Arial"/>
              <w:sz w:val="19"/>
              <w:szCs w:val="19"/>
            </w:rPr>
          </w:pPr>
          <w:r>
            <w:rPr>
              <w:rFonts w:ascii="Arial" w:eastAsia="Arial" w:hAnsi="Arial" w:cs="Arial"/>
              <w:sz w:val="19"/>
              <w:szCs w:val="19"/>
            </w:rPr>
            <w:t xml:space="preserve">Issued </w:t>
          </w:r>
          <w:r w:rsidR="00336D1E">
            <w:rPr>
              <w:rFonts w:ascii="Arial" w:eastAsia="Arial" w:hAnsi="Arial" w:cs="Arial"/>
              <w:sz w:val="19"/>
              <w:szCs w:val="19"/>
            </w:rPr>
            <w:t>June 28</w:t>
          </w:r>
          <w:r w:rsidR="00545944">
            <w:rPr>
              <w:rFonts w:ascii="Arial" w:eastAsia="Arial" w:hAnsi="Arial" w:cs="Arial"/>
              <w:sz w:val="19"/>
              <w:szCs w:val="19"/>
            </w:rPr>
            <w:t>, 2023</w:t>
          </w:r>
        </w:p>
      </w:tc>
      <w:tc>
        <w:tcPr>
          <w:tcW w:w="4032" w:type="dxa"/>
        </w:tcPr>
        <w:p w14:paraId="3BE4454E" w14:textId="14B5CFCB" w:rsidR="00FF07AA" w:rsidRDefault="00430D27">
          <w:pPr>
            <w:rPr>
              <w:rFonts w:ascii="Arial" w:eastAsia="Arial" w:hAnsi="Arial" w:cs="Arial"/>
              <w:sz w:val="19"/>
              <w:szCs w:val="19"/>
            </w:rPr>
          </w:pPr>
          <w:r>
            <w:rPr>
              <w:rFonts w:ascii="Arial" w:eastAsia="Arial" w:hAnsi="Arial" w:cs="Arial"/>
              <w:sz w:val="19"/>
              <w:szCs w:val="19"/>
            </w:rPr>
            <w:t xml:space="preserve">Issued by </w:t>
          </w:r>
          <w:r w:rsidR="009679A8">
            <w:rPr>
              <w:rFonts w:ascii="Arial" w:eastAsia="Arial" w:hAnsi="Arial" w:cs="Arial"/>
              <w:sz w:val="19"/>
              <w:szCs w:val="19"/>
            </w:rPr>
            <w:t>Katie J. Tieken</w:t>
          </w:r>
          <w:r>
            <w:rPr>
              <w:rFonts w:ascii="Arial" w:eastAsia="Arial" w:hAnsi="Arial" w:cs="Arial"/>
              <w:sz w:val="19"/>
              <w:szCs w:val="19"/>
            </w:rPr>
            <w:t>, Director</w:t>
          </w:r>
        </w:p>
      </w:tc>
      <w:tc>
        <w:tcPr>
          <w:tcW w:w="2448" w:type="dxa"/>
        </w:tcPr>
        <w:p w14:paraId="3F439CAD" w14:textId="4413BBB2" w:rsidR="00FF07AA" w:rsidRDefault="00430D27">
          <w:pPr>
            <w:rPr>
              <w:rFonts w:ascii="Arial" w:eastAsia="Arial" w:hAnsi="Arial" w:cs="Arial"/>
              <w:sz w:val="19"/>
              <w:szCs w:val="19"/>
            </w:rPr>
          </w:pPr>
          <w:r>
            <w:rPr>
              <w:rFonts w:ascii="Arial" w:eastAsia="Arial" w:hAnsi="Arial" w:cs="Arial"/>
              <w:spacing w:val="-3"/>
              <w:sz w:val="19"/>
              <w:szCs w:val="19"/>
            </w:rPr>
            <w:t xml:space="preserve">Effective </w:t>
          </w:r>
          <w:r w:rsidR="00545944">
            <w:rPr>
              <w:rFonts w:ascii="Arial" w:eastAsia="Arial" w:hAnsi="Arial" w:cs="Arial"/>
              <w:sz w:val="19"/>
              <w:szCs w:val="19"/>
            </w:rPr>
            <w:t>July 5, 2023</w:t>
          </w:r>
        </w:p>
      </w:tc>
    </w:tr>
  </w:tbl>
  <w:p w14:paraId="308CE205" w14:textId="77777777" w:rsidR="00FF07AA" w:rsidRDefault="00FF07AA">
    <w:pPr>
      <w:widowControl w:val="0"/>
      <w:autoSpaceDE w:val="0"/>
      <w:autoSpaceDN w:val="0"/>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C1920" w14:textId="77777777" w:rsidR="00AB01D1" w:rsidRDefault="00AB01D1">
      <w:r>
        <w:separator/>
      </w:r>
    </w:p>
  </w:footnote>
  <w:footnote w:type="continuationSeparator" w:id="0">
    <w:p w14:paraId="59B27D8A" w14:textId="77777777" w:rsidR="00AB01D1" w:rsidRDefault="00AB0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850"/>
      <w:gridCol w:w="3510"/>
    </w:tblGrid>
    <w:tr w:rsidR="00FF07AA" w14:paraId="4FE9D7E9" w14:textId="77777777">
      <w:trPr>
        <w:trHeight w:val="90"/>
      </w:trPr>
      <w:tc>
        <w:tcPr>
          <w:tcW w:w="5850" w:type="dxa"/>
        </w:tcPr>
        <w:p w14:paraId="162B08E0" w14:textId="17649E17" w:rsidR="00FF07AA" w:rsidRDefault="00430D27">
          <w:pPr>
            <w:tabs>
              <w:tab w:val="left" w:pos="6480"/>
            </w:tabs>
            <w:rPr>
              <w:rFonts w:ascii="Arial" w:eastAsia="Arial" w:hAnsi="Arial" w:cs="Arial"/>
              <w:spacing w:val="-3"/>
              <w:sz w:val="20"/>
              <w:szCs w:val="20"/>
            </w:rPr>
          </w:pPr>
          <w:r>
            <w:rPr>
              <w:rFonts w:ascii="Arial" w:eastAsia="Arial" w:hAnsi="Arial" w:cs="Arial"/>
              <w:spacing w:val="-3"/>
              <w:sz w:val="20"/>
              <w:szCs w:val="20"/>
            </w:rPr>
            <w:t xml:space="preserve">VECTREN ENERGY DELIVERY OF OHIO, </w:t>
          </w:r>
          <w:r w:rsidR="00336D1E">
            <w:rPr>
              <w:rFonts w:ascii="Arial" w:eastAsia="Arial" w:hAnsi="Arial" w:cs="Arial"/>
              <w:spacing w:val="-3"/>
              <w:sz w:val="20"/>
              <w:szCs w:val="20"/>
            </w:rPr>
            <w:t>LLC</w:t>
          </w:r>
        </w:p>
        <w:p w14:paraId="0C003E03" w14:textId="77777777" w:rsidR="00FF07AA" w:rsidRDefault="00430D27">
          <w:pPr>
            <w:tabs>
              <w:tab w:val="left" w:pos="6480"/>
            </w:tabs>
            <w:rPr>
              <w:rFonts w:ascii="Arial" w:eastAsia="Arial" w:hAnsi="Arial" w:cs="Arial"/>
              <w:spacing w:val="-3"/>
              <w:sz w:val="20"/>
              <w:szCs w:val="20"/>
            </w:rPr>
          </w:pPr>
          <w:r>
            <w:rPr>
              <w:rFonts w:ascii="Arial" w:eastAsia="Arial" w:hAnsi="Arial" w:cs="Arial"/>
              <w:spacing w:val="-3"/>
              <w:sz w:val="20"/>
              <w:szCs w:val="20"/>
            </w:rPr>
            <w:t>Tariff for Gas Service</w:t>
          </w:r>
        </w:p>
        <w:p w14:paraId="0057BB41" w14:textId="77777777" w:rsidR="00FF07AA" w:rsidRDefault="00430D27">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510" w:type="dxa"/>
        </w:tcPr>
        <w:p w14:paraId="40B76F00" w14:textId="77777777" w:rsidR="00FF07AA" w:rsidRDefault="00430D27">
          <w:pPr>
            <w:tabs>
              <w:tab w:val="left" w:pos="6480"/>
            </w:tabs>
            <w:rPr>
              <w:rFonts w:ascii="Arial" w:eastAsia="Arial" w:hAnsi="Arial" w:cs="Arial"/>
              <w:spacing w:val="-3"/>
              <w:sz w:val="20"/>
              <w:szCs w:val="20"/>
            </w:rPr>
          </w:pPr>
          <w:r>
            <w:rPr>
              <w:rFonts w:ascii="Arial" w:eastAsia="Arial" w:hAnsi="Arial" w:cs="Arial"/>
              <w:spacing w:val="-3"/>
              <w:sz w:val="20"/>
              <w:szCs w:val="20"/>
            </w:rPr>
            <w:t>Sheet No. 48</w:t>
          </w:r>
        </w:p>
        <w:p w14:paraId="582A2A4B" w14:textId="10D55E71" w:rsidR="00FF07AA" w:rsidRDefault="00403936">
          <w:pPr>
            <w:tabs>
              <w:tab w:val="left" w:pos="6480"/>
            </w:tabs>
            <w:rPr>
              <w:rFonts w:ascii="Arial" w:eastAsia="Arial" w:hAnsi="Arial" w:cs="Arial"/>
              <w:spacing w:val="-3"/>
              <w:sz w:val="20"/>
              <w:szCs w:val="20"/>
            </w:rPr>
          </w:pPr>
          <w:r>
            <w:rPr>
              <w:rFonts w:ascii="Arial" w:eastAsia="Arial" w:hAnsi="Arial" w:cs="Arial"/>
              <w:spacing w:val="-3"/>
              <w:sz w:val="20"/>
              <w:szCs w:val="20"/>
            </w:rPr>
            <w:t>Fifth</w:t>
          </w:r>
          <w:r w:rsidR="00247898">
            <w:rPr>
              <w:rFonts w:ascii="Arial" w:eastAsia="Arial" w:hAnsi="Arial" w:cs="Arial"/>
              <w:spacing w:val="-3"/>
              <w:sz w:val="20"/>
              <w:szCs w:val="20"/>
            </w:rPr>
            <w:t xml:space="preserve"> </w:t>
          </w:r>
          <w:r w:rsidR="00430D27">
            <w:rPr>
              <w:rFonts w:ascii="Arial" w:eastAsia="Arial" w:hAnsi="Arial" w:cs="Arial"/>
              <w:spacing w:val="-3"/>
              <w:sz w:val="20"/>
              <w:szCs w:val="20"/>
            </w:rPr>
            <w:t>Revised Page 1 of 1</w:t>
          </w:r>
        </w:p>
        <w:p w14:paraId="64A5588F" w14:textId="6494D9C2" w:rsidR="00FF07AA" w:rsidRDefault="00430D27">
          <w:pPr>
            <w:tabs>
              <w:tab w:val="left" w:pos="6480"/>
            </w:tabs>
            <w:rPr>
              <w:rFonts w:ascii="Arial" w:eastAsia="Arial" w:hAnsi="Arial" w:cs="Arial"/>
              <w:spacing w:val="-3"/>
              <w:sz w:val="20"/>
              <w:szCs w:val="20"/>
            </w:rPr>
          </w:pPr>
          <w:r>
            <w:rPr>
              <w:rFonts w:ascii="Arial" w:eastAsia="Arial" w:hAnsi="Arial" w:cs="Arial"/>
              <w:spacing w:val="-3"/>
              <w:sz w:val="20"/>
              <w:szCs w:val="20"/>
            </w:rPr>
            <w:t xml:space="preserve">Cancels </w:t>
          </w:r>
          <w:r w:rsidR="00403936">
            <w:rPr>
              <w:rFonts w:ascii="Arial" w:eastAsia="Arial" w:hAnsi="Arial" w:cs="Arial"/>
              <w:spacing w:val="-3"/>
              <w:sz w:val="20"/>
              <w:szCs w:val="20"/>
            </w:rPr>
            <w:t>Fourth</w:t>
          </w:r>
          <w:r w:rsidR="00247898">
            <w:rPr>
              <w:rFonts w:ascii="Arial" w:eastAsia="Arial" w:hAnsi="Arial" w:cs="Arial"/>
              <w:spacing w:val="-3"/>
              <w:sz w:val="20"/>
              <w:szCs w:val="20"/>
            </w:rPr>
            <w:t xml:space="preserve"> </w:t>
          </w:r>
          <w:r w:rsidR="009679A8">
            <w:rPr>
              <w:rFonts w:ascii="Arial" w:eastAsia="Arial" w:hAnsi="Arial" w:cs="Arial"/>
              <w:spacing w:val="-3"/>
              <w:sz w:val="20"/>
              <w:szCs w:val="20"/>
            </w:rPr>
            <w:t>Revised</w:t>
          </w:r>
          <w:r>
            <w:rPr>
              <w:rFonts w:ascii="Arial" w:eastAsia="Arial" w:hAnsi="Arial" w:cs="Arial"/>
              <w:spacing w:val="-3"/>
              <w:sz w:val="20"/>
              <w:szCs w:val="20"/>
            </w:rPr>
            <w:t xml:space="preserve"> Page 1 of 1</w:t>
          </w:r>
        </w:p>
        <w:p w14:paraId="36435392" w14:textId="77777777" w:rsidR="00FF07AA" w:rsidRDefault="00FF07AA">
          <w:pPr>
            <w:tabs>
              <w:tab w:val="left" w:pos="6480"/>
            </w:tabs>
            <w:rPr>
              <w:rFonts w:ascii="Arial" w:eastAsia="Arial" w:hAnsi="Arial" w:cs="Arial"/>
              <w:spacing w:val="-3"/>
              <w:sz w:val="20"/>
              <w:szCs w:val="20"/>
            </w:rPr>
          </w:pPr>
        </w:p>
      </w:tc>
    </w:tr>
  </w:tbl>
  <w:p w14:paraId="590CF79C" w14:textId="77777777" w:rsidR="00FF07AA" w:rsidRDefault="00FF07AA">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81131"/>
    <w:multiLevelType w:val="multilevel"/>
    <w:tmpl w:val="1306323A"/>
    <w:lvl w:ilvl="0">
      <w:start w:val="19"/>
      <w:numFmt w:val="upperLetter"/>
      <w:lvlText w:val="%1"/>
      <w:lvlJc w:val="left"/>
      <w:pPr>
        <w:ind w:left="1026" w:hanging="763"/>
      </w:pPr>
      <w:rPr>
        <w:rFonts w:hint="default"/>
      </w:rPr>
    </w:lvl>
    <w:lvl w:ilvl="1">
      <w:start w:val="2"/>
      <w:numFmt w:val="upperLetter"/>
      <w:lvlText w:val="%1.%2"/>
      <w:lvlJc w:val="left"/>
      <w:pPr>
        <w:ind w:left="1026" w:hanging="763"/>
      </w:pPr>
      <w:rPr>
        <w:rFonts w:hint="default"/>
      </w:rPr>
    </w:lvl>
    <w:lvl w:ilvl="2">
      <w:start w:val="287"/>
      <w:numFmt w:val="decimal"/>
      <w:lvlText w:val="%1.%2.%3"/>
      <w:lvlJc w:val="left"/>
      <w:pPr>
        <w:ind w:left="1026" w:hanging="763"/>
      </w:pPr>
      <w:rPr>
        <w:rFonts w:hint="default"/>
        <w:spacing w:val="-3"/>
        <w:w w:val="100"/>
        <w:u w:val="thick" w:color="000000"/>
      </w:rPr>
    </w:lvl>
    <w:lvl w:ilvl="3">
      <w:numFmt w:val="bullet"/>
      <w:lvlText w:val=""/>
      <w:lvlJc w:val="left"/>
      <w:pPr>
        <w:ind w:left="1344" w:hanging="361"/>
      </w:pPr>
      <w:rPr>
        <w:rFonts w:ascii="Symbol" w:eastAsia="Symbol" w:hAnsi="Symbol" w:cs="Symbol" w:hint="default"/>
        <w:w w:val="100"/>
        <w:sz w:val="20"/>
        <w:szCs w:val="20"/>
      </w:rPr>
    </w:lvl>
    <w:lvl w:ilvl="4">
      <w:numFmt w:val="bullet"/>
      <w:lvlText w:val="•"/>
      <w:lvlJc w:val="left"/>
      <w:pPr>
        <w:ind w:left="4273" w:hanging="361"/>
      </w:pPr>
      <w:rPr>
        <w:rFonts w:hint="default"/>
      </w:rPr>
    </w:lvl>
    <w:lvl w:ilvl="5">
      <w:numFmt w:val="bullet"/>
      <w:lvlText w:val="•"/>
      <w:lvlJc w:val="left"/>
      <w:pPr>
        <w:ind w:left="5251" w:hanging="361"/>
      </w:pPr>
      <w:rPr>
        <w:rFonts w:hint="default"/>
      </w:rPr>
    </w:lvl>
    <w:lvl w:ilvl="6">
      <w:numFmt w:val="bullet"/>
      <w:lvlText w:val="•"/>
      <w:lvlJc w:val="left"/>
      <w:pPr>
        <w:ind w:left="6228" w:hanging="361"/>
      </w:pPr>
      <w:rPr>
        <w:rFonts w:hint="default"/>
      </w:rPr>
    </w:lvl>
    <w:lvl w:ilvl="7">
      <w:numFmt w:val="bullet"/>
      <w:lvlText w:val="•"/>
      <w:lvlJc w:val="left"/>
      <w:pPr>
        <w:ind w:left="7206" w:hanging="361"/>
      </w:pPr>
      <w:rPr>
        <w:rFonts w:hint="default"/>
      </w:rPr>
    </w:lvl>
    <w:lvl w:ilvl="8">
      <w:numFmt w:val="bullet"/>
      <w:lvlText w:val="•"/>
      <w:lvlJc w:val="left"/>
      <w:pPr>
        <w:ind w:left="8184" w:hanging="361"/>
      </w:pPr>
      <w:rPr>
        <w:rFonts w:hint="default"/>
      </w:rPr>
    </w:lvl>
  </w:abstractNum>
  <w:num w:numId="1" w16cid:durableId="566645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7AA"/>
    <w:rsid w:val="00247898"/>
    <w:rsid w:val="00285299"/>
    <w:rsid w:val="002B75FE"/>
    <w:rsid w:val="00336D1E"/>
    <w:rsid w:val="003F2335"/>
    <w:rsid w:val="00403936"/>
    <w:rsid w:val="00430D27"/>
    <w:rsid w:val="004802D5"/>
    <w:rsid w:val="00545944"/>
    <w:rsid w:val="0056368C"/>
    <w:rsid w:val="006010C0"/>
    <w:rsid w:val="007904C2"/>
    <w:rsid w:val="007A7BAA"/>
    <w:rsid w:val="007E1D68"/>
    <w:rsid w:val="00805207"/>
    <w:rsid w:val="009328F4"/>
    <w:rsid w:val="00962529"/>
    <w:rsid w:val="009679A8"/>
    <w:rsid w:val="009862E1"/>
    <w:rsid w:val="009B2B27"/>
    <w:rsid w:val="00A118BE"/>
    <w:rsid w:val="00AB01D1"/>
    <w:rsid w:val="00B42944"/>
    <w:rsid w:val="00D96921"/>
    <w:rsid w:val="00F23321"/>
    <w:rsid w:val="00FF0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B22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table" w:styleId="TableGrid">
    <w:name w:val="Table Grid"/>
    <w:basedOn w:val="TableNormal"/>
    <w:uiPriority w:val="39"/>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rsid w:val="004039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5C3C31248DE846B481D28DB54517E9" ma:contentTypeVersion="4" ma:contentTypeDescription="Create a new document." ma:contentTypeScope="" ma:versionID="9d04c17c3422783fc57c7419d3ea427f">
  <xsd:schema xmlns:xsd="http://www.w3.org/2001/XMLSchema" xmlns:xs="http://www.w3.org/2001/XMLSchema" xmlns:p="http://schemas.microsoft.com/office/2006/metadata/properties" xmlns:ns2="87cec594-e71c-40da-b185-188078aada8b" targetNamespace="http://schemas.microsoft.com/office/2006/metadata/properties" ma:root="true" ma:fieldsID="47039636685e3c4645c1ea7b3ce79b50" ns2:_="">
    <xsd:import namespace="87cec594-e71c-40da-b185-188078aada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ec594-e71c-40da-b185-188078aada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8545D2-7F92-40BD-859A-DA8949C92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ec594-e71c-40da-b185-188078aad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E26D70-7B04-4B98-A7CC-126335F1DD5A}">
  <ds:schemaRefs>
    <ds:schemaRef ds:uri="http://schemas.microsoft.com/sharepoint/v3/contenttype/forms"/>
  </ds:schemaRefs>
</ds:datastoreItem>
</file>

<file path=customXml/itemProps3.xml><?xml version="1.0" encoding="utf-8"?>
<ds:datastoreItem xmlns:ds="http://schemas.openxmlformats.org/officeDocument/2006/customXml" ds:itemID="{1B061BDF-28F8-4AFE-85F4-389D752AB200}">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87cec594-e71c-40da-b185-188078aada8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1745</Characters>
  <Application>Microsoft Office Word</Application>
  <DocSecurity>0</DocSecurity>
  <Lines>14</Lines>
  <Paragraphs>4</Paragraphs>
  <ScaleCrop>false</ScaleCrop>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2022-10-18T19:20:00Z</dcterms:created>
  <dcterms:modified xsi:type="dcterms:W3CDTF">2023-06-27T18:53:00Z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0x010100A55C3C31248DE846B481D28DB54517E9</vt:lpwstr>
  </property>
  <property fmtid="{D5CDD505-2E9C-101B-9397-08002B2CF9AE}" pid="3" name="Order">
    <vt:r8>42100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