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C7" w:rsidRPr="006F297B" w:rsidRDefault="004C64C7" w:rsidP="006F297B">
      <w:pPr>
        <w:jc w:val="center"/>
        <w:rPr>
          <w:rFonts w:eastAsia="SimSun"/>
          <w:b/>
          <w:szCs w:val="20"/>
          <w:lang w:eastAsia="zh-CN"/>
        </w:rPr>
      </w:pPr>
      <w:r w:rsidRPr="006F297B">
        <w:rPr>
          <w:rFonts w:eastAsia="SimSun"/>
          <w:b/>
          <w:szCs w:val="20"/>
          <w:lang w:eastAsia="zh-CN"/>
        </w:rPr>
        <w:t>BEFORE</w:t>
      </w:r>
    </w:p>
    <w:p w:rsidR="004C64C7" w:rsidRDefault="004C64C7" w:rsidP="006F297B">
      <w:pPr>
        <w:jc w:val="center"/>
        <w:rPr>
          <w:rFonts w:eastAsia="SimSun"/>
          <w:b/>
          <w:szCs w:val="20"/>
          <w:lang w:eastAsia="zh-CN"/>
        </w:rPr>
      </w:pPr>
      <w:r w:rsidRPr="006F297B">
        <w:rPr>
          <w:rFonts w:eastAsia="SimSun"/>
          <w:b/>
          <w:szCs w:val="20"/>
          <w:lang w:eastAsia="zh-CN"/>
        </w:rPr>
        <w:t>THE PUBLIC UTILITIES COMMISSION OF OHIO</w:t>
      </w:r>
    </w:p>
    <w:p w:rsidR="004C64C7" w:rsidRDefault="004C64C7" w:rsidP="00DA7024">
      <w:pPr>
        <w:rPr>
          <w:rFonts w:eastAsia="SimSun"/>
          <w:b/>
          <w:szCs w:val="20"/>
          <w:lang w:eastAsia="zh-CN"/>
        </w:rPr>
      </w:pPr>
    </w:p>
    <w:tbl>
      <w:tblPr>
        <w:tblW w:w="9468" w:type="dxa"/>
        <w:tblLook w:val="00A0" w:firstRow="1" w:lastRow="0" w:firstColumn="1" w:lastColumn="0" w:noHBand="0" w:noVBand="0"/>
      </w:tblPr>
      <w:tblGrid>
        <w:gridCol w:w="4338"/>
        <w:gridCol w:w="450"/>
        <w:gridCol w:w="4680"/>
      </w:tblGrid>
      <w:tr w:rsidR="004C64C7" w:rsidRPr="004D574D" w:rsidTr="00E16D55">
        <w:tc>
          <w:tcPr>
            <w:tcW w:w="4338" w:type="dxa"/>
          </w:tcPr>
          <w:p w:rsidR="004C64C7" w:rsidRDefault="004C64C7" w:rsidP="00E16D55">
            <w:pPr>
              <w:pStyle w:val="CaptionText"/>
              <w:rPr>
                <w:b w:val="0"/>
              </w:rPr>
            </w:pPr>
            <w:r w:rsidRPr="00E64138">
              <w:rPr>
                <w:b w:val="0"/>
              </w:rPr>
              <w:t xml:space="preserve">In the Matter of the </w:t>
            </w:r>
            <w:r>
              <w:rPr>
                <w:b w:val="0"/>
              </w:rPr>
              <w:t>Complaint of Material Sciences Corporation,</w:t>
            </w:r>
          </w:p>
          <w:p w:rsidR="004C64C7" w:rsidRDefault="004C64C7" w:rsidP="00E16D55">
            <w:pPr>
              <w:pStyle w:val="CaptionText"/>
              <w:rPr>
                <w:b w:val="0"/>
              </w:rPr>
            </w:pPr>
          </w:p>
          <w:p w:rsidR="004C64C7" w:rsidRDefault="004C64C7" w:rsidP="00E16D55">
            <w:pPr>
              <w:pStyle w:val="CaptionText"/>
              <w:rPr>
                <w:b w:val="0"/>
              </w:rPr>
            </w:pPr>
            <w:r>
              <w:rPr>
                <w:b w:val="0"/>
              </w:rPr>
              <w:t xml:space="preserve">              Complainant,</w:t>
            </w:r>
          </w:p>
          <w:p w:rsidR="004C64C7" w:rsidRDefault="004C64C7" w:rsidP="00E16D55">
            <w:pPr>
              <w:pStyle w:val="CaptionText"/>
              <w:rPr>
                <w:b w:val="0"/>
              </w:rPr>
            </w:pPr>
          </w:p>
          <w:p w:rsidR="004C64C7" w:rsidRDefault="004C64C7" w:rsidP="00E16D55">
            <w:pPr>
              <w:pStyle w:val="CaptionText"/>
              <w:rPr>
                <w:b w:val="0"/>
              </w:rPr>
            </w:pPr>
            <w:proofErr w:type="gramStart"/>
            <w:r>
              <w:rPr>
                <w:b w:val="0"/>
              </w:rPr>
              <w:t>v</w:t>
            </w:r>
            <w:proofErr w:type="gramEnd"/>
            <w:r>
              <w:rPr>
                <w:b w:val="0"/>
              </w:rPr>
              <w:t>.</w:t>
            </w:r>
          </w:p>
          <w:p w:rsidR="004C64C7" w:rsidRDefault="004C64C7" w:rsidP="00E16D55">
            <w:pPr>
              <w:pStyle w:val="CaptionText"/>
              <w:rPr>
                <w:b w:val="0"/>
              </w:rPr>
            </w:pPr>
          </w:p>
          <w:p w:rsidR="004C64C7" w:rsidRDefault="004C64C7" w:rsidP="00E16D55">
            <w:pPr>
              <w:pStyle w:val="CaptionText"/>
              <w:rPr>
                <w:b w:val="0"/>
              </w:rPr>
            </w:pPr>
            <w:r>
              <w:rPr>
                <w:b w:val="0"/>
              </w:rPr>
              <w:t>The Toledo Edison Company,</w:t>
            </w:r>
          </w:p>
          <w:p w:rsidR="004C64C7" w:rsidRDefault="004C64C7" w:rsidP="00E16D55">
            <w:pPr>
              <w:pStyle w:val="CaptionText"/>
              <w:rPr>
                <w:b w:val="0"/>
              </w:rPr>
            </w:pPr>
          </w:p>
          <w:p w:rsidR="004C64C7" w:rsidRDefault="004C64C7" w:rsidP="00E16D55">
            <w:pPr>
              <w:pStyle w:val="CaptionText"/>
              <w:rPr>
                <w:b w:val="0"/>
              </w:rPr>
            </w:pPr>
            <w:r>
              <w:rPr>
                <w:b w:val="0"/>
              </w:rPr>
              <w:t xml:space="preserve">             Respondent.</w:t>
            </w:r>
          </w:p>
          <w:p w:rsidR="004C64C7" w:rsidRPr="00E64138" w:rsidRDefault="004C64C7" w:rsidP="00E16D55">
            <w:pPr>
              <w:pStyle w:val="CaptionText"/>
              <w:rPr>
                <w:b w:val="0"/>
              </w:rPr>
            </w:pPr>
          </w:p>
        </w:tc>
        <w:tc>
          <w:tcPr>
            <w:tcW w:w="450" w:type="dxa"/>
          </w:tcPr>
          <w:p w:rsidR="004C64C7" w:rsidRPr="00E64138" w:rsidRDefault="004C64C7" w:rsidP="00E16D55">
            <w:pPr>
              <w:pStyle w:val="CaptionText"/>
              <w:rPr>
                <w:b w:val="0"/>
              </w:rPr>
            </w:pPr>
            <w:r w:rsidRPr="00E64138">
              <w:rPr>
                <w:b w:val="0"/>
              </w:rPr>
              <w:t>)</w:t>
            </w:r>
          </w:p>
          <w:p w:rsidR="004C64C7" w:rsidRPr="00E64138" w:rsidRDefault="004C64C7" w:rsidP="00E16D55">
            <w:pPr>
              <w:pStyle w:val="CaptionText"/>
              <w:rPr>
                <w:b w:val="0"/>
              </w:rPr>
            </w:pPr>
            <w:r w:rsidRPr="00E64138">
              <w:rPr>
                <w:b w:val="0"/>
              </w:rPr>
              <w:t>)</w:t>
            </w:r>
          </w:p>
          <w:p w:rsidR="004C64C7" w:rsidRDefault="004C64C7" w:rsidP="00E16D55">
            <w:pPr>
              <w:pStyle w:val="CaptionText"/>
              <w:rPr>
                <w:b w:val="0"/>
              </w:rPr>
            </w:pPr>
            <w:r w:rsidRPr="00E64138">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Pr="00E64138" w:rsidRDefault="004C64C7" w:rsidP="00E16D55">
            <w:pPr>
              <w:pStyle w:val="CaptionText"/>
              <w:rPr>
                <w:b w:val="0"/>
              </w:rPr>
            </w:pPr>
          </w:p>
        </w:tc>
        <w:tc>
          <w:tcPr>
            <w:tcW w:w="4680" w:type="dxa"/>
          </w:tcPr>
          <w:p w:rsidR="004C64C7" w:rsidRPr="00E64138" w:rsidRDefault="004C64C7" w:rsidP="00E16D55">
            <w:pPr>
              <w:pStyle w:val="CaptionText"/>
              <w:rPr>
                <w:b w:val="0"/>
              </w:rPr>
            </w:pPr>
          </w:p>
          <w:p w:rsidR="004C64C7" w:rsidRDefault="004C64C7" w:rsidP="00E16D55">
            <w:pPr>
              <w:pStyle w:val="CaptionText"/>
              <w:rPr>
                <w:b w:val="0"/>
              </w:rPr>
            </w:pPr>
            <w:r w:rsidRPr="00E64138">
              <w:rPr>
                <w:b w:val="0"/>
              </w:rPr>
              <w:t xml:space="preserve">Case No. </w:t>
            </w:r>
            <w:r>
              <w:rPr>
                <w:b w:val="0"/>
              </w:rPr>
              <w:t>13-2145-EL-CSS</w:t>
            </w:r>
          </w:p>
          <w:p w:rsidR="004C64C7" w:rsidRDefault="004C64C7" w:rsidP="00E16D55">
            <w:pPr>
              <w:pStyle w:val="CaptionText"/>
              <w:rPr>
                <w:b w:val="0"/>
              </w:rPr>
            </w:pPr>
          </w:p>
          <w:p w:rsidR="004C64C7" w:rsidRPr="00E64138" w:rsidRDefault="004C64C7" w:rsidP="00E16D55">
            <w:pPr>
              <w:pStyle w:val="CaptionText"/>
              <w:rPr>
                <w:b w:val="0"/>
              </w:rPr>
            </w:pPr>
            <w:r>
              <w:rPr>
                <w:b w:val="0"/>
              </w:rPr>
              <w:t xml:space="preserve">                 </w:t>
            </w:r>
          </w:p>
        </w:tc>
      </w:tr>
    </w:tbl>
    <w:p w:rsidR="004C64C7" w:rsidRPr="00DA7024" w:rsidRDefault="004C64C7" w:rsidP="00DA7024">
      <w:pPr>
        <w:rPr>
          <w:rFonts w:eastAsia="SimSun"/>
          <w:szCs w:val="20"/>
          <w:lang w:eastAsia="zh-CN"/>
        </w:rPr>
      </w:pPr>
    </w:p>
    <w:p w:rsidR="004C64C7" w:rsidRPr="006F297B" w:rsidRDefault="004C64C7" w:rsidP="006F297B">
      <w:pPr>
        <w:jc w:val="center"/>
        <w:rPr>
          <w:rFonts w:eastAsia="SimSun"/>
          <w:szCs w:val="20"/>
          <w:lang w:eastAsia="zh-CN"/>
        </w:rPr>
      </w:pPr>
    </w:p>
    <w:p w:rsidR="004C64C7" w:rsidRPr="006F297B" w:rsidRDefault="004C64C7" w:rsidP="006F297B">
      <w:pPr>
        <w:spacing w:line="480" w:lineRule="auto"/>
        <w:jc w:val="center"/>
        <w:rPr>
          <w:rFonts w:eastAsia="SimSun"/>
          <w:szCs w:val="20"/>
        </w:rPr>
      </w:pPr>
      <w:r w:rsidRPr="006F297B">
        <w:rPr>
          <w:rFonts w:eastAsia="SimSun"/>
          <w:b/>
          <w:szCs w:val="20"/>
          <w:u w:val="single"/>
        </w:rPr>
        <w:t>THE TOLEDO EDISON COMPANY</w:t>
      </w:r>
      <w:r>
        <w:rPr>
          <w:rFonts w:eastAsia="SimSun"/>
          <w:b/>
          <w:szCs w:val="20"/>
          <w:u w:val="single"/>
        </w:rPr>
        <w:t>’S MOTION TO DISMISS</w:t>
      </w:r>
    </w:p>
    <w:p w:rsidR="004C64C7" w:rsidRDefault="004C64C7" w:rsidP="00884F8A">
      <w:pPr>
        <w:spacing w:line="480" w:lineRule="auto"/>
        <w:ind w:firstLine="720"/>
        <w:jc w:val="both"/>
        <w:rPr>
          <w:rFonts w:eastAsia="SimSun"/>
          <w:szCs w:val="20"/>
        </w:rPr>
      </w:pPr>
      <w:r w:rsidRPr="006F297B">
        <w:rPr>
          <w:rFonts w:eastAsia="SimSun"/>
          <w:szCs w:val="20"/>
        </w:rPr>
        <w:t>Pursuant to Rule</w:t>
      </w:r>
      <w:r>
        <w:rPr>
          <w:rFonts w:eastAsia="SimSun"/>
          <w:szCs w:val="20"/>
        </w:rPr>
        <w:t>s</w:t>
      </w:r>
      <w:r w:rsidRPr="006F297B">
        <w:rPr>
          <w:rFonts w:eastAsia="SimSun"/>
          <w:szCs w:val="20"/>
        </w:rPr>
        <w:t xml:space="preserve"> </w:t>
      </w:r>
      <w:r>
        <w:rPr>
          <w:rFonts w:eastAsia="SimSun"/>
          <w:szCs w:val="20"/>
        </w:rPr>
        <w:t xml:space="preserve">4901-1-12 and </w:t>
      </w:r>
      <w:r w:rsidRPr="006F297B">
        <w:rPr>
          <w:rFonts w:eastAsia="SimSun"/>
          <w:szCs w:val="20"/>
        </w:rPr>
        <w:t>4901-</w:t>
      </w:r>
      <w:r>
        <w:rPr>
          <w:rFonts w:eastAsia="SimSun"/>
          <w:szCs w:val="20"/>
        </w:rPr>
        <w:t>9-01(C)</w:t>
      </w:r>
      <w:r w:rsidRPr="006F297B">
        <w:rPr>
          <w:rFonts w:eastAsia="SimSun"/>
          <w:szCs w:val="20"/>
        </w:rPr>
        <w:t xml:space="preserve">, Ohio Administrative Code, The Toledo Edison Company (“Toledo Edison” or “Company”) hereby moves to dismiss Complainant Material Sciences Corporation’s (“Complainant”) Complaint.  </w:t>
      </w:r>
      <w:r>
        <w:rPr>
          <w:rFonts w:eastAsia="SimSun"/>
          <w:szCs w:val="20"/>
        </w:rPr>
        <w:t xml:space="preserve">The Complaint should be dismissed for two independent reasons.  First, Complainant was a signatory party to Commission-approved Stipulations that supported the tariffs about which it now complains.  As a signatory party, Complainant agreed to support the reasonableness of the riders, terms and </w:t>
      </w:r>
      <w:proofErr w:type="gramStart"/>
      <w:r>
        <w:rPr>
          <w:rFonts w:eastAsia="SimSun"/>
          <w:szCs w:val="20"/>
        </w:rPr>
        <w:t>conditions</w:t>
      </w:r>
      <w:proofErr w:type="gramEnd"/>
      <w:r>
        <w:rPr>
          <w:rFonts w:eastAsia="SimSun"/>
          <w:szCs w:val="20"/>
        </w:rPr>
        <w:t xml:space="preserve"> contained in the Stipulations in any enforcement proceeding.  It cannot renege on that agreement and is estopped from doing so.  Second, even if the claims were not barred, Complainant provides no reasonable grounds for its claims, as required by R.C. § 4905.26.  The Complaint includes three claims that do not reflect any violation of a statute, regulation, or tariff.  Rather, the Complaint expresses only dissatisfaction with the Company’s application of its tariffs to the Complainant’s facility in the Company’s service territory.  The Company properly applied the mandatory forfeiture and penalty provisions contained in the Commission-approved interruptible tariff when the facility failed to comply with its obligations to curtail load.  And the </w:t>
      </w:r>
      <w:r>
        <w:rPr>
          <w:rFonts w:eastAsia="SimSun"/>
          <w:szCs w:val="20"/>
        </w:rPr>
        <w:lastRenderedPageBreak/>
        <w:t>Company properly billed the facility in accordance with the Company’s other Commission-approved generation and transmission riders.  Complainant’s dissatisfaction with the results of properly applying the Company’s tariffs does not constitute reasonable grounds for its clai</w:t>
      </w:r>
      <w:r w:rsidRPr="00884F8A">
        <w:rPr>
          <w:rFonts w:eastAsia="SimSun"/>
          <w:szCs w:val="20"/>
        </w:rPr>
        <w:t>ms.</w:t>
      </w:r>
      <w:r>
        <w:rPr>
          <w:rFonts w:eastAsia="SimSun"/>
          <w:szCs w:val="20"/>
        </w:rPr>
        <w:t xml:space="preserve">  </w:t>
      </w:r>
      <w:proofErr w:type="gramStart"/>
      <w:r>
        <w:rPr>
          <w:rFonts w:eastAsia="SimSun"/>
          <w:szCs w:val="20"/>
        </w:rPr>
        <w:t>Accordingly,</w:t>
      </w:r>
      <w:proofErr w:type="gramEnd"/>
      <w:r>
        <w:rPr>
          <w:rFonts w:eastAsia="SimSun"/>
          <w:szCs w:val="20"/>
        </w:rPr>
        <w:t xml:space="preserve"> and as further described </w:t>
      </w:r>
      <w:r w:rsidRPr="00884F8A">
        <w:rPr>
          <w:rFonts w:eastAsia="SimSun"/>
          <w:szCs w:val="20"/>
        </w:rPr>
        <w:t>in the attached Memorandum in Support, which is incorporated herein, the Commission should dismiss th</w:t>
      </w:r>
      <w:r>
        <w:rPr>
          <w:rFonts w:eastAsia="SimSun"/>
          <w:szCs w:val="20"/>
        </w:rPr>
        <w:t>e</w:t>
      </w:r>
      <w:r w:rsidRPr="00884F8A">
        <w:rPr>
          <w:rFonts w:eastAsia="SimSun"/>
          <w:szCs w:val="20"/>
        </w:rPr>
        <w:t xml:space="preserve"> Complaint </w:t>
      </w:r>
      <w:r>
        <w:rPr>
          <w:rFonts w:eastAsia="SimSun"/>
          <w:szCs w:val="20"/>
        </w:rPr>
        <w:t xml:space="preserve">in its entirety </w:t>
      </w:r>
      <w:r w:rsidRPr="00884F8A">
        <w:rPr>
          <w:rFonts w:eastAsia="SimSun"/>
          <w:szCs w:val="20"/>
        </w:rPr>
        <w:t>with prejudice.</w:t>
      </w:r>
    </w:p>
    <w:p w:rsidR="004C64C7" w:rsidRDefault="004C64C7" w:rsidP="00884F8A">
      <w:pPr>
        <w:spacing w:line="480" w:lineRule="auto"/>
        <w:ind w:firstLine="720"/>
        <w:jc w:val="both"/>
        <w:rPr>
          <w:rFonts w:eastAsia="SimSun"/>
          <w:szCs w:val="20"/>
        </w:rPr>
      </w:pPr>
    </w:p>
    <w:p w:rsidR="004C64C7" w:rsidRPr="006F297B" w:rsidRDefault="004C64C7" w:rsidP="00E55DBE">
      <w:pPr>
        <w:ind w:left="3600" w:firstLine="720"/>
        <w:rPr>
          <w:rFonts w:eastAsia="SimSun"/>
          <w:szCs w:val="20"/>
          <w:lang w:eastAsia="zh-CN"/>
        </w:rPr>
      </w:pPr>
      <w:r w:rsidRPr="006F297B">
        <w:rPr>
          <w:rFonts w:eastAsia="SimSun"/>
          <w:szCs w:val="20"/>
          <w:lang w:eastAsia="zh-CN"/>
        </w:rPr>
        <w:t>Respectfully submitted,</w:t>
      </w:r>
    </w:p>
    <w:p w:rsidR="004C64C7" w:rsidRPr="006F297B" w:rsidRDefault="004C64C7" w:rsidP="00E55DBE">
      <w:pPr>
        <w:rPr>
          <w:rFonts w:eastAsia="SimSun"/>
          <w:szCs w:val="20"/>
          <w:lang w:eastAsia="zh-CN"/>
        </w:rPr>
      </w:pPr>
    </w:p>
    <w:p w:rsidR="004C64C7" w:rsidRPr="006F297B" w:rsidRDefault="004C64C7" w:rsidP="00E55DBE">
      <w:pPr>
        <w:autoSpaceDE w:val="0"/>
        <w:autoSpaceDN w:val="0"/>
        <w:adjustRightInd w:val="0"/>
        <w:ind w:left="4320"/>
        <w:rPr>
          <w:color w:val="000000"/>
          <w:u w:val="single"/>
          <w:lang w:val="de-DE"/>
        </w:rPr>
      </w:pPr>
      <w:r w:rsidRPr="006F297B">
        <w:rPr>
          <w:color w:val="000000"/>
          <w:u w:val="single"/>
        </w:rPr>
        <w:tab/>
        <w:t xml:space="preserve">/s/ </w:t>
      </w:r>
      <w:r w:rsidRPr="006F297B">
        <w:rPr>
          <w:i/>
          <w:color w:val="000000"/>
          <w:u w:val="single"/>
        </w:rPr>
        <w:t>Laura C. McBride</w:t>
      </w:r>
      <w:r w:rsidRPr="006F297B">
        <w:rPr>
          <w:color w:val="000000"/>
          <w:u w:val="single"/>
          <w:lang w:val="de-DE"/>
        </w:rPr>
        <w:tab/>
      </w:r>
      <w:r w:rsidRPr="006F297B">
        <w:rPr>
          <w:i/>
          <w:iCs/>
          <w:color w:val="000000"/>
          <w:u w:val="single"/>
          <w:lang w:val="de-DE"/>
        </w:rPr>
        <w:tab/>
      </w:r>
      <w:r w:rsidRPr="006F297B">
        <w:rPr>
          <w:i/>
          <w:iCs/>
          <w:color w:val="000000"/>
          <w:u w:val="single"/>
          <w:lang w:val="de-DE"/>
        </w:rPr>
        <w:tab/>
      </w:r>
    </w:p>
    <w:p w:rsidR="004C64C7" w:rsidRPr="006F297B" w:rsidRDefault="004C64C7" w:rsidP="00B464E7">
      <w:pPr>
        <w:ind w:firstLine="4320"/>
        <w:jc w:val="both"/>
        <w:rPr>
          <w:rFonts w:eastAsia="MS ??"/>
        </w:rPr>
      </w:pPr>
      <w:r w:rsidRPr="006F297B">
        <w:rPr>
          <w:rFonts w:eastAsia="MS ??"/>
        </w:rPr>
        <w:t>Carrie M. Dunn</w:t>
      </w:r>
    </w:p>
    <w:p w:rsidR="004C64C7" w:rsidRPr="006F297B" w:rsidRDefault="004C64C7" w:rsidP="00E55DBE">
      <w:pPr>
        <w:ind w:firstLine="4320"/>
        <w:jc w:val="both"/>
        <w:rPr>
          <w:rFonts w:eastAsia="MS ??"/>
        </w:rPr>
      </w:pPr>
      <w:r w:rsidRPr="006F297B">
        <w:rPr>
          <w:rFonts w:eastAsia="MS ??"/>
        </w:rPr>
        <w:t xml:space="preserve">    Counsel of Record </w:t>
      </w:r>
    </w:p>
    <w:p w:rsidR="004C64C7" w:rsidRPr="006F297B" w:rsidRDefault="004C64C7" w:rsidP="00E55DBE">
      <w:pPr>
        <w:ind w:firstLine="4320"/>
        <w:jc w:val="both"/>
        <w:rPr>
          <w:rFonts w:eastAsia="MS ??"/>
        </w:rPr>
      </w:pPr>
      <w:r w:rsidRPr="006F297B">
        <w:rPr>
          <w:rFonts w:eastAsia="MS ??"/>
        </w:rPr>
        <w:t>FirstEnergy Service Company</w:t>
      </w:r>
    </w:p>
    <w:p w:rsidR="004C64C7" w:rsidRPr="006F297B" w:rsidRDefault="004C64C7" w:rsidP="00E55DBE">
      <w:pPr>
        <w:ind w:firstLine="4320"/>
        <w:jc w:val="both"/>
        <w:rPr>
          <w:rFonts w:eastAsia="MS ??"/>
        </w:rPr>
      </w:pPr>
      <w:r w:rsidRPr="006F297B">
        <w:rPr>
          <w:rFonts w:eastAsia="MS ??"/>
        </w:rPr>
        <w:t>76 South Main Street</w:t>
      </w:r>
    </w:p>
    <w:p w:rsidR="004C64C7" w:rsidRPr="006F297B" w:rsidRDefault="004C64C7" w:rsidP="00E55DBE">
      <w:pPr>
        <w:ind w:firstLine="4320"/>
        <w:jc w:val="both"/>
        <w:rPr>
          <w:rFonts w:eastAsia="MS ??"/>
        </w:rPr>
      </w:pPr>
      <w:r w:rsidRPr="006F297B">
        <w:rPr>
          <w:rFonts w:eastAsia="MS ??"/>
        </w:rPr>
        <w:t>Akron, Ohio  44308</w:t>
      </w:r>
    </w:p>
    <w:p w:rsidR="004C64C7" w:rsidRPr="006F297B" w:rsidRDefault="004C64C7" w:rsidP="00E55DBE">
      <w:pPr>
        <w:ind w:firstLine="4320"/>
        <w:jc w:val="both"/>
        <w:rPr>
          <w:rFonts w:eastAsia="MS ??"/>
        </w:rPr>
      </w:pPr>
      <w:r w:rsidRPr="006F297B">
        <w:rPr>
          <w:rFonts w:eastAsia="MS ??"/>
        </w:rPr>
        <w:t>(330) 761-2352</w:t>
      </w:r>
    </w:p>
    <w:p w:rsidR="004C64C7" w:rsidRPr="006F297B" w:rsidRDefault="004C64C7" w:rsidP="00E55DBE">
      <w:pPr>
        <w:ind w:firstLine="4320"/>
        <w:jc w:val="both"/>
        <w:rPr>
          <w:rFonts w:eastAsia="MS ??"/>
        </w:rPr>
      </w:pPr>
      <w:r w:rsidRPr="006F297B">
        <w:rPr>
          <w:rFonts w:eastAsia="MS ??"/>
        </w:rPr>
        <w:t>Fax:  (330) 384-3875</w:t>
      </w:r>
    </w:p>
    <w:p w:rsidR="004C64C7" w:rsidRPr="006F297B" w:rsidRDefault="004C64C7" w:rsidP="00E55DBE">
      <w:pPr>
        <w:ind w:firstLine="4320"/>
        <w:jc w:val="both"/>
        <w:rPr>
          <w:rFonts w:eastAsia="MS ??"/>
        </w:rPr>
      </w:pPr>
      <w:r w:rsidRPr="006F297B">
        <w:rPr>
          <w:rFonts w:eastAsia="MS ??"/>
        </w:rPr>
        <w:t>cdunn@firstenergycorp.com</w:t>
      </w:r>
    </w:p>
    <w:p w:rsidR="004C64C7" w:rsidRPr="006F297B" w:rsidRDefault="004C64C7" w:rsidP="00E55DBE">
      <w:pPr>
        <w:rPr>
          <w:rFonts w:eastAsia="MS ??"/>
        </w:rPr>
      </w:pPr>
    </w:p>
    <w:p w:rsidR="004C64C7" w:rsidRPr="006F297B" w:rsidRDefault="004C64C7" w:rsidP="00E55DBE">
      <w:pPr>
        <w:ind w:left="4320"/>
        <w:contextualSpacing/>
        <w:rPr>
          <w:rFonts w:eastAsia="MS ??"/>
        </w:rPr>
      </w:pPr>
      <w:r w:rsidRPr="006F297B">
        <w:rPr>
          <w:rFonts w:eastAsia="MS ??"/>
        </w:rPr>
        <w:t>Laura C. McBride (0080059)</w:t>
      </w:r>
    </w:p>
    <w:p w:rsidR="004C64C7" w:rsidRPr="006F297B" w:rsidRDefault="004C64C7" w:rsidP="00E55DBE">
      <w:pPr>
        <w:ind w:left="4320"/>
        <w:contextualSpacing/>
        <w:rPr>
          <w:rFonts w:eastAsia="MS ??"/>
        </w:rPr>
      </w:pPr>
      <w:r w:rsidRPr="006F297B">
        <w:rPr>
          <w:rFonts w:eastAsia="MS ??"/>
        </w:rPr>
        <w:t>Christine E. Watchorn (0075919)</w:t>
      </w:r>
    </w:p>
    <w:p w:rsidR="004C64C7" w:rsidRPr="006F297B" w:rsidRDefault="004C64C7" w:rsidP="00E55DBE">
      <w:pPr>
        <w:ind w:left="4320"/>
        <w:contextualSpacing/>
        <w:rPr>
          <w:rFonts w:eastAsia="MS ??"/>
        </w:rPr>
      </w:pPr>
      <w:r w:rsidRPr="006F297B">
        <w:rPr>
          <w:rFonts w:eastAsia="MS ??"/>
        </w:rPr>
        <w:t>Ulmer &amp; Berne LLP</w:t>
      </w:r>
    </w:p>
    <w:p w:rsidR="004C64C7" w:rsidRPr="006F297B" w:rsidRDefault="004C64C7" w:rsidP="00E55DBE">
      <w:pPr>
        <w:ind w:left="4320"/>
        <w:contextualSpacing/>
        <w:rPr>
          <w:rFonts w:eastAsia="MS ??"/>
        </w:rPr>
      </w:pPr>
      <w:r w:rsidRPr="006F297B">
        <w:rPr>
          <w:rFonts w:eastAsia="MS ??"/>
        </w:rPr>
        <w:t>88 East Broad Street, Suite 1600</w:t>
      </w:r>
    </w:p>
    <w:p w:rsidR="004C64C7" w:rsidRPr="006F297B" w:rsidRDefault="004C64C7" w:rsidP="00E55DBE">
      <w:pPr>
        <w:ind w:left="4320"/>
        <w:contextualSpacing/>
        <w:rPr>
          <w:rFonts w:eastAsia="MS ??"/>
        </w:rPr>
      </w:pPr>
      <w:r w:rsidRPr="006F297B">
        <w:rPr>
          <w:rFonts w:eastAsia="MS ??"/>
        </w:rPr>
        <w:t>Columbus, Ohio  43215</w:t>
      </w:r>
    </w:p>
    <w:p w:rsidR="004C64C7" w:rsidRPr="006F297B" w:rsidRDefault="004C64C7" w:rsidP="00E55DBE">
      <w:pPr>
        <w:ind w:left="4320"/>
        <w:contextualSpacing/>
        <w:rPr>
          <w:rFonts w:eastAsia="MS ??"/>
        </w:rPr>
      </w:pPr>
      <w:r w:rsidRPr="006F297B">
        <w:rPr>
          <w:rFonts w:eastAsia="MS ??"/>
        </w:rPr>
        <w:t>(614) 229-0034</w:t>
      </w:r>
    </w:p>
    <w:p w:rsidR="004C64C7" w:rsidRPr="006F297B" w:rsidRDefault="004C64C7" w:rsidP="00E55DBE">
      <w:pPr>
        <w:ind w:left="4320"/>
        <w:contextualSpacing/>
        <w:rPr>
          <w:rFonts w:eastAsia="MS ??"/>
        </w:rPr>
      </w:pPr>
      <w:r w:rsidRPr="006F297B">
        <w:rPr>
          <w:rFonts w:eastAsia="MS ??"/>
        </w:rPr>
        <w:t>Fax:  (614) 229-0035</w:t>
      </w:r>
    </w:p>
    <w:p w:rsidR="004C64C7" w:rsidRPr="006F297B" w:rsidRDefault="004C64C7" w:rsidP="00E55DBE">
      <w:pPr>
        <w:ind w:left="4320"/>
        <w:contextualSpacing/>
        <w:rPr>
          <w:rFonts w:eastAsia="MS ??"/>
        </w:rPr>
      </w:pPr>
      <w:r w:rsidRPr="006F297B">
        <w:rPr>
          <w:rFonts w:eastAsia="MS ??"/>
        </w:rPr>
        <w:t xml:space="preserve">lmcbride@ulmer.com </w:t>
      </w:r>
    </w:p>
    <w:p w:rsidR="004C64C7" w:rsidRPr="006F297B" w:rsidRDefault="004C64C7" w:rsidP="00E55DBE">
      <w:pPr>
        <w:ind w:left="3600" w:firstLine="720"/>
        <w:rPr>
          <w:rFonts w:eastAsia="MS ??"/>
        </w:rPr>
      </w:pPr>
      <w:r w:rsidRPr="006F297B">
        <w:rPr>
          <w:rFonts w:eastAsia="MS ??"/>
        </w:rPr>
        <w:t>cwatchorn@ulmer.com</w:t>
      </w:r>
    </w:p>
    <w:p w:rsidR="004C64C7" w:rsidRPr="006F297B" w:rsidRDefault="004C64C7" w:rsidP="00E55DBE">
      <w:pPr>
        <w:ind w:firstLine="5040"/>
        <w:jc w:val="both"/>
        <w:rPr>
          <w:rFonts w:eastAsia="MS ??"/>
        </w:rPr>
      </w:pPr>
    </w:p>
    <w:p w:rsidR="004C64C7" w:rsidRPr="006F297B" w:rsidRDefault="004C64C7" w:rsidP="00E55DBE">
      <w:pPr>
        <w:ind w:left="4320"/>
        <w:contextualSpacing/>
        <w:rPr>
          <w:rFonts w:eastAsia="SimSun"/>
          <w:i/>
          <w:szCs w:val="20"/>
          <w:lang w:eastAsia="zh-CN"/>
        </w:rPr>
      </w:pPr>
      <w:r w:rsidRPr="006F297B">
        <w:rPr>
          <w:rFonts w:eastAsia="MS ??"/>
          <w:i/>
        </w:rPr>
        <w:t>On behalf of The Toledo Edison Company</w:t>
      </w:r>
    </w:p>
    <w:p w:rsidR="004C64C7" w:rsidRPr="006F297B" w:rsidRDefault="004C64C7" w:rsidP="00E55DBE">
      <w:pPr>
        <w:contextualSpacing/>
        <w:jc w:val="center"/>
        <w:rPr>
          <w:rFonts w:eastAsia="MS ??"/>
        </w:rPr>
      </w:pPr>
    </w:p>
    <w:p w:rsidR="004C64C7" w:rsidRPr="006F297B" w:rsidRDefault="004C64C7" w:rsidP="00F969E7">
      <w:pPr>
        <w:spacing w:line="480" w:lineRule="auto"/>
        <w:ind w:firstLine="1440"/>
        <w:jc w:val="both"/>
        <w:rPr>
          <w:rFonts w:eastAsia="SimSun"/>
          <w:szCs w:val="20"/>
        </w:rPr>
      </w:pPr>
    </w:p>
    <w:p w:rsidR="004C64C7" w:rsidRDefault="004C64C7" w:rsidP="00E55DBE">
      <w:pPr>
        <w:jc w:val="center"/>
        <w:rPr>
          <w:rFonts w:eastAsia="SimSun"/>
          <w:b/>
          <w:szCs w:val="20"/>
          <w:lang w:eastAsia="zh-CN"/>
        </w:rPr>
        <w:sectPr w:rsidR="004C64C7" w:rsidSect="00E16D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4C64C7" w:rsidRPr="006F297B" w:rsidRDefault="004C64C7" w:rsidP="00E55DBE">
      <w:pPr>
        <w:jc w:val="center"/>
        <w:rPr>
          <w:rFonts w:eastAsia="SimSun"/>
          <w:b/>
          <w:szCs w:val="20"/>
          <w:lang w:eastAsia="zh-CN"/>
        </w:rPr>
      </w:pPr>
      <w:r w:rsidRPr="006F297B">
        <w:rPr>
          <w:rFonts w:eastAsia="SimSun"/>
          <w:b/>
          <w:szCs w:val="20"/>
          <w:lang w:eastAsia="zh-CN"/>
        </w:rPr>
        <w:lastRenderedPageBreak/>
        <w:t>BEFORE</w:t>
      </w:r>
    </w:p>
    <w:p w:rsidR="004C64C7" w:rsidRDefault="004C64C7" w:rsidP="00E55DBE">
      <w:pPr>
        <w:jc w:val="center"/>
        <w:rPr>
          <w:rFonts w:eastAsia="SimSun"/>
          <w:b/>
          <w:szCs w:val="20"/>
          <w:lang w:eastAsia="zh-CN"/>
        </w:rPr>
      </w:pPr>
      <w:r w:rsidRPr="006F297B">
        <w:rPr>
          <w:rFonts w:eastAsia="SimSun"/>
          <w:b/>
          <w:szCs w:val="20"/>
          <w:lang w:eastAsia="zh-CN"/>
        </w:rPr>
        <w:t>THE PUBLIC UTILITIES COMMISSION OF OHIO</w:t>
      </w:r>
    </w:p>
    <w:p w:rsidR="004C64C7" w:rsidRDefault="004C64C7" w:rsidP="00E55DBE">
      <w:pPr>
        <w:rPr>
          <w:rFonts w:eastAsia="SimSun"/>
          <w:b/>
          <w:szCs w:val="20"/>
          <w:lang w:eastAsia="zh-CN"/>
        </w:rPr>
      </w:pPr>
    </w:p>
    <w:tbl>
      <w:tblPr>
        <w:tblW w:w="9468" w:type="dxa"/>
        <w:tblLook w:val="00A0" w:firstRow="1" w:lastRow="0" w:firstColumn="1" w:lastColumn="0" w:noHBand="0" w:noVBand="0"/>
      </w:tblPr>
      <w:tblGrid>
        <w:gridCol w:w="4338"/>
        <w:gridCol w:w="450"/>
        <w:gridCol w:w="4680"/>
      </w:tblGrid>
      <w:tr w:rsidR="004C64C7" w:rsidRPr="004D574D" w:rsidTr="00E16D55">
        <w:tc>
          <w:tcPr>
            <w:tcW w:w="4338" w:type="dxa"/>
          </w:tcPr>
          <w:p w:rsidR="004C64C7" w:rsidRDefault="004C64C7" w:rsidP="00E16D55">
            <w:pPr>
              <w:pStyle w:val="CaptionText"/>
              <w:rPr>
                <w:b w:val="0"/>
              </w:rPr>
            </w:pPr>
            <w:r w:rsidRPr="00E64138">
              <w:rPr>
                <w:b w:val="0"/>
              </w:rPr>
              <w:t xml:space="preserve">In the Matter of the </w:t>
            </w:r>
            <w:r>
              <w:rPr>
                <w:b w:val="0"/>
              </w:rPr>
              <w:t>Complaint of Material Sciences Corporation,</w:t>
            </w:r>
          </w:p>
          <w:p w:rsidR="004C64C7" w:rsidRDefault="004C64C7" w:rsidP="00E16D55">
            <w:pPr>
              <w:pStyle w:val="CaptionText"/>
              <w:rPr>
                <w:b w:val="0"/>
              </w:rPr>
            </w:pPr>
          </w:p>
          <w:p w:rsidR="004C64C7" w:rsidRDefault="004C64C7" w:rsidP="00E16D55">
            <w:pPr>
              <w:pStyle w:val="CaptionText"/>
              <w:rPr>
                <w:b w:val="0"/>
              </w:rPr>
            </w:pPr>
            <w:r>
              <w:rPr>
                <w:b w:val="0"/>
              </w:rPr>
              <w:t xml:space="preserve">              Complainant,</w:t>
            </w:r>
          </w:p>
          <w:p w:rsidR="004C64C7" w:rsidRDefault="004C64C7" w:rsidP="00E16D55">
            <w:pPr>
              <w:pStyle w:val="CaptionText"/>
              <w:rPr>
                <w:b w:val="0"/>
              </w:rPr>
            </w:pPr>
          </w:p>
          <w:p w:rsidR="004C64C7" w:rsidRDefault="004C64C7" w:rsidP="00E16D55">
            <w:pPr>
              <w:pStyle w:val="CaptionText"/>
              <w:rPr>
                <w:b w:val="0"/>
              </w:rPr>
            </w:pPr>
            <w:proofErr w:type="gramStart"/>
            <w:r>
              <w:rPr>
                <w:b w:val="0"/>
              </w:rPr>
              <w:t>v</w:t>
            </w:r>
            <w:proofErr w:type="gramEnd"/>
            <w:r>
              <w:rPr>
                <w:b w:val="0"/>
              </w:rPr>
              <w:t>.</w:t>
            </w:r>
          </w:p>
          <w:p w:rsidR="004C64C7" w:rsidRDefault="004C64C7" w:rsidP="00E16D55">
            <w:pPr>
              <w:pStyle w:val="CaptionText"/>
              <w:rPr>
                <w:b w:val="0"/>
              </w:rPr>
            </w:pPr>
          </w:p>
          <w:p w:rsidR="004C64C7" w:rsidRDefault="004C64C7" w:rsidP="00E16D55">
            <w:pPr>
              <w:pStyle w:val="CaptionText"/>
              <w:rPr>
                <w:b w:val="0"/>
              </w:rPr>
            </w:pPr>
            <w:r>
              <w:rPr>
                <w:b w:val="0"/>
              </w:rPr>
              <w:t>The Toledo Edison Company,</w:t>
            </w:r>
          </w:p>
          <w:p w:rsidR="004C64C7" w:rsidRDefault="004C64C7" w:rsidP="00E16D55">
            <w:pPr>
              <w:pStyle w:val="CaptionText"/>
              <w:rPr>
                <w:b w:val="0"/>
              </w:rPr>
            </w:pPr>
          </w:p>
          <w:p w:rsidR="004C64C7" w:rsidRDefault="004C64C7" w:rsidP="00E16D55">
            <w:pPr>
              <w:pStyle w:val="CaptionText"/>
              <w:rPr>
                <w:b w:val="0"/>
              </w:rPr>
            </w:pPr>
            <w:r>
              <w:rPr>
                <w:b w:val="0"/>
              </w:rPr>
              <w:t xml:space="preserve">             Respondent.</w:t>
            </w:r>
          </w:p>
          <w:p w:rsidR="004C64C7" w:rsidRPr="00E64138" w:rsidRDefault="004C64C7" w:rsidP="00E16D55">
            <w:pPr>
              <w:pStyle w:val="CaptionText"/>
              <w:rPr>
                <w:b w:val="0"/>
              </w:rPr>
            </w:pPr>
          </w:p>
        </w:tc>
        <w:tc>
          <w:tcPr>
            <w:tcW w:w="450" w:type="dxa"/>
          </w:tcPr>
          <w:p w:rsidR="004C64C7" w:rsidRPr="00E64138" w:rsidRDefault="004C64C7" w:rsidP="00E16D55">
            <w:pPr>
              <w:pStyle w:val="CaptionText"/>
              <w:rPr>
                <w:b w:val="0"/>
              </w:rPr>
            </w:pPr>
            <w:r w:rsidRPr="00E64138">
              <w:rPr>
                <w:b w:val="0"/>
              </w:rPr>
              <w:t>)</w:t>
            </w:r>
          </w:p>
          <w:p w:rsidR="004C64C7" w:rsidRPr="00E64138" w:rsidRDefault="004C64C7" w:rsidP="00E16D55">
            <w:pPr>
              <w:pStyle w:val="CaptionText"/>
              <w:rPr>
                <w:b w:val="0"/>
              </w:rPr>
            </w:pPr>
            <w:r w:rsidRPr="00E64138">
              <w:rPr>
                <w:b w:val="0"/>
              </w:rPr>
              <w:t>)</w:t>
            </w:r>
          </w:p>
          <w:p w:rsidR="004C64C7" w:rsidRDefault="004C64C7" w:rsidP="00E16D55">
            <w:pPr>
              <w:pStyle w:val="CaptionText"/>
              <w:rPr>
                <w:b w:val="0"/>
              </w:rPr>
            </w:pPr>
            <w:r w:rsidRPr="00E64138">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Default="004C64C7" w:rsidP="00E16D55">
            <w:pPr>
              <w:pStyle w:val="CaptionText"/>
              <w:rPr>
                <w:b w:val="0"/>
              </w:rPr>
            </w:pPr>
            <w:r>
              <w:rPr>
                <w:b w:val="0"/>
              </w:rPr>
              <w:t>)</w:t>
            </w:r>
          </w:p>
          <w:p w:rsidR="004C64C7" w:rsidRPr="00E64138" w:rsidRDefault="004C64C7" w:rsidP="00E16D55">
            <w:pPr>
              <w:pStyle w:val="CaptionText"/>
              <w:rPr>
                <w:b w:val="0"/>
              </w:rPr>
            </w:pPr>
          </w:p>
        </w:tc>
        <w:tc>
          <w:tcPr>
            <w:tcW w:w="4680" w:type="dxa"/>
          </w:tcPr>
          <w:p w:rsidR="004C64C7" w:rsidRPr="00E64138" w:rsidRDefault="004C64C7" w:rsidP="00E16D55">
            <w:pPr>
              <w:pStyle w:val="CaptionText"/>
              <w:rPr>
                <w:b w:val="0"/>
              </w:rPr>
            </w:pPr>
          </w:p>
          <w:p w:rsidR="004C64C7" w:rsidRDefault="004C64C7" w:rsidP="00E16D55">
            <w:pPr>
              <w:pStyle w:val="CaptionText"/>
              <w:rPr>
                <w:b w:val="0"/>
              </w:rPr>
            </w:pPr>
            <w:r w:rsidRPr="00E64138">
              <w:rPr>
                <w:b w:val="0"/>
              </w:rPr>
              <w:t xml:space="preserve">Case No. </w:t>
            </w:r>
            <w:r>
              <w:rPr>
                <w:b w:val="0"/>
              </w:rPr>
              <w:t>13-2145-EL-CSS</w:t>
            </w:r>
          </w:p>
          <w:p w:rsidR="004C64C7" w:rsidRDefault="004C64C7" w:rsidP="00E16D55">
            <w:pPr>
              <w:pStyle w:val="CaptionText"/>
              <w:rPr>
                <w:b w:val="0"/>
              </w:rPr>
            </w:pPr>
          </w:p>
          <w:p w:rsidR="004C64C7" w:rsidRPr="00E64138" w:rsidRDefault="004C64C7" w:rsidP="00E16D55">
            <w:pPr>
              <w:pStyle w:val="CaptionText"/>
              <w:rPr>
                <w:b w:val="0"/>
              </w:rPr>
            </w:pPr>
            <w:r>
              <w:rPr>
                <w:b w:val="0"/>
              </w:rPr>
              <w:t xml:space="preserve">                 </w:t>
            </w:r>
          </w:p>
        </w:tc>
      </w:tr>
    </w:tbl>
    <w:p w:rsidR="004C64C7" w:rsidRPr="00DA7024" w:rsidRDefault="004C64C7" w:rsidP="00E55DBE">
      <w:pPr>
        <w:rPr>
          <w:rFonts w:eastAsia="SimSun"/>
          <w:szCs w:val="20"/>
          <w:lang w:eastAsia="zh-CN"/>
        </w:rPr>
      </w:pPr>
    </w:p>
    <w:p w:rsidR="004C64C7" w:rsidRDefault="004C64C7" w:rsidP="00E55DBE">
      <w:pPr>
        <w:jc w:val="center"/>
        <w:rPr>
          <w:rFonts w:eastAsia="SimSun"/>
          <w:b/>
          <w:szCs w:val="20"/>
          <w:u w:val="single"/>
        </w:rPr>
      </w:pPr>
      <w:r>
        <w:rPr>
          <w:rFonts w:eastAsia="SimSun"/>
          <w:b/>
          <w:szCs w:val="20"/>
          <w:u w:val="single"/>
        </w:rPr>
        <w:t xml:space="preserve">MEMORANDUM IN SUPPORT OF </w:t>
      </w:r>
    </w:p>
    <w:p w:rsidR="004C64C7" w:rsidRPr="006F297B" w:rsidRDefault="004C64C7" w:rsidP="00675CE0">
      <w:pPr>
        <w:spacing w:after="240" w:line="480" w:lineRule="auto"/>
        <w:jc w:val="center"/>
        <w:rPr>
          <w:rFonts w:eastAsia="SimSun"/>
          <w:szCs w:val="20"/>
        </w:rPr>
      </w:pPr>
      <w:r>
        <w:rPr>
          <w:rFonts w:eastAsia="SimSun"/>
          <w:b/>
          <w:szCs w:val="20"/>
          <w:u w:val="single"/>
        </w:rPr>
        <w:t>THE TOLEDO EDISON COMPANY’S MOTION TO DISMISS</w:t>
      </w:r>
    </w:p>
    <w:p w:rsidR="004C64C7" w:rsidRDefault="004C64C7" w:rsidP="005B637F">
      <w:pPr>
        <w:jc w:val="center"/>
        <w:rPr>
          <w:rFonts w:eastAsia="SimSun"/>
          <w:b/>
          <w:szCs w:val="20"/>
        </w:rPr>
      </w:pPr>
      <w:r>
        <w:rPr>
          <w:rFonts w:eastAsia="SimSun"/>
          <w:b/>
          <w:szCs w:val="20"/>
        </w:rPr>
        <w:t>TABLE OF CONTENTS</w:t>
      </w:r>
    </w:p>
    <w:p w:rsidR="004C64C7" w:rsidRDefault="004C64C7" w:rsidP="005B637F">
      <w:pPr>
        <w:jc w:val="center"/>
        <w:rPr>
          <w:rFonts w:eastAsia="SimSun"/>
          <w:b/>
          <w:szCs w:val="20"/>
        </w:rPr>
      </w:pPr>
    </w:p>
    <w:p w:rsidR="006662D8" w:rsidRPr="002604A4" w:rsidRDefault="002D15A3">
      <w:pPr>
        <w:pStyle w:val="TOC1"/>
        <w:rPr>
          <w:rFonts w:ascii="Calibri" w:hAnsi="Calibri"/>
          <w:noProof/>
          <w:sz w:val="22"/>
          <w:szCs w:val="22"/>
        </w:rPr>
      </w:pPr>
      <w:r w:rsidRPr="002D15A3">
        <w:rPr>
          <w:rFonts w:eastAsia="SimSun"/>
        </w:rPr>
        <w:fldChar w:fldCharType="begin"/>
      </w:r>
      <w:r w:rsidRPr="002D15A3">
        <w:rPr>
          <w:rFonts w:eastAsia="SimSun"/>
        </w:rPr>
        <w:instrText xml:space="preserve"> TOC \x \h \z \t "Heading 1,1,Heading 2,2,Heading 3,3,Heading 4,4" </w:instrText>
      </w:r>
      <w:r w:rsidRPr="002D15A3">
        <w:rPr>
          <w:rFonts w:eastAsia="SimSun"/>
        </w:rPr>
        <w:fldChar w:fldCharType="separate"/>
      </w:r>
      <w:hyperlink w:anchor="_Toc379801508" w:history="1">
        <w:r w:rsidR="006662D8" w:rsidRPr="001D04B7">
          <w:rPr>
            <w:rStyle w:val="Hyperlink"/>
            <w:noProof/>
          </w:rPr>
          <w:t>I.</w:t>
        </w:r>
        <w:r w:rsidR="006662D8" w:rsidRPr="002604A4">
          <w:rPr>
            <w:rFonts w:ascii="Calibri" w:hAnsi="Calibri"/>
            <w:noProof/>
            <w:sz w:val="22"/>
            <w:szCs w:val="22"/>
          </w:rPr>
          <w:tab/>
        </w:r>
        <w:r w:rsidR="006662D8" w:rsidRPr="001D04B7">
          <w:rPr>
            <w:rStyle w:val="Hyperlink"/>
            <w:noProof/>
          </w:rPr>
          <w:t>FACTUAL BACKGROUND</w:t>
        </w:r>
        <w:r w:rsidR="006662D8">
          <w:rPr>
            <w:noProof/>
            <w:webHidden/>
          </w:rPr>
          <w:tab/>
        </w:r>
        <w:r w:rsidR="006662D8">
          <w:rPr>
            <w:noProof/>
            <w:webHidden/>
          </w:rPr>
          <w:fldChar w:fldCharType="begin"/>
        </w:r>
        <w:r w:rsidR="006662D8">
          <w:rPr>
            <w:noProof/>
            <w:webHidden/>
          </w:rPr>
          <w:instrText xml:space="preserve"> PAGEREF _Toc379801508 \h </w:instrText>
        </w:r>
        <w:r w:rsidR="006662D8">
          <w:rPr>
            <w:noProof/>
            <w:webHidden/>
          </w:rPr>
        </w:r>
        <w:r w:rsidR="006662D8">
          <w:rPr>
            <w:noProof/>
            <w:webHidden/>
          </w:rPr>
          <w:fldChar w:fldCharType="separate"/>
        </w:r>
        <w:r w:rsidR="00E67DAB">
          <w:rPr>
            <w:noProof/>
            <w:webHidden/>
          </w:rPr>
          <w:t>2</w:t>
        </w:r>
        <w:r w:rsidR="006662D8">
          <w:rPr>
            <w:noProof/>
            <w:webHidden/>
          </w:rPr>
          <w:fldChar w:fldCharType="end"/>
        </w:r>
      </w:hyperlink>
    </w:p>
    <w:p w:rsidR="006662D8" w:rsidRPr="002604A4" w:rsidRDefault="006D5267" w:rsidP="00A45F3C">
      <w:pPr>
        <w:pStyle w:val="TOC2"/>
        <w:rPr>
          <w:rFonts w:ascii="Calibri" w:hAnsi="Calibri"/>
          <w:noProof/>
          <w:sz w:val="22"/>
          <w:szCs w:val="22"/>
        </w:rPr>
      </w:pPr>
      <w:hyperlink w:anchor="_Toc379801509" w:history="1">
        <w:r w:rsidR="006662D8" w:rsidRPr="001D04B7">
          <w:rPr>
            <w:rStyle w:val="Hyperlink"/>
            <w:noProof/>
          </w:rPr>
          <w:t>A.</w:t>
        </w:r>
        <w:r w:rsidR="006662D8" w:rsidRPr="002604A4">
          <w:rPr>
            <w:rFonts w:ascii="Calibri" w:hAnsi="Calibri"/>
            <w:noProof/>
            <w:sz w:val="22"/>
            <w:szCs w:val="22"/>
          </w:rPr>
          <w:tab/>
        </w:r>
        <w:r w:rsidR="006662D8" w:rsidRPr="001D04B7">
          <w:rPr>
            <w:rStyle w:val="Hyperlink"/>
            <w:noProof/>
          </w:rPr>
          <w:t>The Terms And Conditions Of The Company’s Service Are Set Forth In Its Commission-Approved Tariffs, Including The Option For Interruptible Service.</w:t>
        </w:r>
        <w:r w:rsidR="006662D8">
          <w:rPr>
            <w:noProof/>
            <w:webHidden/>
          </w:rPr>
          <w:tab/>
        </w:r>
        <w:r w:rsidR="006662D8">
          <w:rPr>
            <w:noProof/>
            <w:webHidden/>
          </w:rPr>
          <w:fldChar w:fldCharType="begin"/>
        </w:r>
        <w:r w:rsidR="006662D8">
          <w:rPr>
            <w:noProof/>
            <w:webHidden/>
          </w:rPr>
          <w:instrText xml:space="preserve"> PAGEREF _Toc379801509 \h </w:instrText>
        </w:r>
        <w:r w:rsidR="006662D8">
          <w:rPr>
            <w:noProof/>
            <w:webHidden/>
          </w:rPr>
        </w:r>
        <w:r w:rsidR="006662D8">
          <w:rPr>
            <w:noProof/>
            <w:webHidden/>
          </w:rPr>
          <w:fldChar w:fldCharType="separate"/>
        </w:r>
        <w:r w:rsidR="00E67DAB">
          <w:rPr>
            <w:noProof/>
            <w:webHidden/>
          </w:rPr>
          <w:t>2</w:t>
        </w:r>
        <w:r w:rsidR="006662D8">
          <w:rPr>
            <w:noProof/>
            <w:webHidden/>
          </w:rPr>
          <w:fldChar w:fldCharType="end"/>
        </w:r>
      </w:hyperlink>
    </w:p>
    <w:p w:rsidR="006662D8" w:rsidRPr="002604A4" w:rsidRDefault="006D5267" w:rsidP="00A45F3C">
      <w:pPr>
        <w:pStyle w:val="TOC2"/>
        <w:rPr>
          <w:rFonts w:ascii="Calibri" w:hAnsi="Calibri"/>
          <w:noProof/>
          <w:sz w:val="22"/>
          <w:szCs w:val="22"/>
        </w:rPr>
      </w:pPr>
      <w:hyperlink w:anchor="_Toc379801510" w:history="1">
        <w:r w:rsidR="006662D8" w:rsidRPr="001D04B7">
          <w:rPr>
            <w:rStyle w:val="Hyperlink"/>
            <w:noProof/>
          </w:rPr>
          <w:t>B.</w:t>
        </w:r>
        <w:r w:rsidR="006662D8" w:rsidRPr="002604A4">
          <w:rPr>
            <w:rFonts w:ascii="Calibri" w:hAnsi="Calibri"/>
            <w:noProof/>
            <w:sz w:val="22"/>
            <w:szCs w:val="22"/>
          </w:rPr>
          <w:tab/>
        </w:r>
        <w:r w:rsidR="006662D8" w:rsidRPr="001D04B7">
          <w:rPr>
            <w:rStyle w:val="Hyperlink"/>
            <w:noProof/>
          </w:rPr>
          <w:t>Complainant Failed To Adhere To The Requirements Of Rider ELR On September 11, 2013 And, Therefore, Is Subject To The Rider’s Forfeiture and Penalty Provisions.</w:t>
        </w:r>
        <w:r w:rsidR="006662D8">
          <w:rPr>
            <w:noProof/>
            <w:webHidden/>
          </w:rPr>
          <w:tab/>
        </w:r>
        <w:r w:rsidR="006662D8">
          <w:rPr>
            <w:noProof/>
            <w:webHidden/>
          </w:rPr>
          <w:fldChar w:fldCharType="begin"/>
        </w:r>
        <w:r w:rsidR="006662D8">
          <w:rPr>
            <w:noProof/>
            <w:webHidden/>
          </w:rPr>
          <w:instrText xml:space="preserve"> PAGEREF _Toc379801510 \h </w:instrText>
        </w:r>
        <w:r w:rsidR="006662D8">
          <w:rPr>
            <w:noProof/>
            <w:webHidden/>
          </w:rPr>
        </w:r>
        <w:r w:rsidR="006662D8">
          <w:rPr>
            <w:noProof/>
            <w:webHidden/>
          </w:rPr>
          <w:fldChar w:fldCharType="separate"/>
        </w:r>
        <w:r w:rsidR="00E67DAB">
          <w:rPr>
            <w:noProof/>
            <w:webHidden/>
          </w:rPr>
          <w:t>5</w:t>
        </w:r>
        <w:r w:rsidR="006662D8">
          <w:rPr>
            <w:noProof/>
            <w:webHidden/>
          </w:rPr>
          <w:fldChar w:fldCharType="end"/>
        </w:r>
      </w:hyperlink>
    </w:p>
    <w:p w:rsidR="006662D8" w:rsidRPr="002604A4" w:rsidRDefault="006D5267">
      <w:pPr>
        <w:pStyle w:val="TOC1"/>
        <w:rPr>
          <w:rFonts w:ascii="Calibri" w:hAnsi="Calibri"/>
          <w:noProof/>
          <w:sz w:val="22"/>
          <w:szCs w:val="22"/>
        </w:rPr>
      </w:pPr>
      <w:hyperlink w:anchor="_Toc379801511" w:history="1">
        <w:r w:rsidR="006662D8" w:rsidRPr="001D04B7">
          <w:rPr>
            <w:rStyle w:val="Hyperlink"/>
            <w:noProof/>
          </w:rPr>
          <w:t>II.</w:t>
        </w:r>
        <w:r w:rsidR="006662D8" w:rsidRPr="002604A4">
          <w:rPr>
            <w:rFonts w:ascii="Calibri" w:hAnsi="Calibri"/>
            <w:noProof/>
            <w:sz w:val="22"/>
            <w:szCs w:val="22"/>
          </w:rPr>
          <w:tab/>
        </w:r>
        <w:r w:rsidR="006662D8" w:rsidRPr="001D04B7">
          <w:rPr>
            <w:rStyle w:val="Hyperlink"/>
            <w:noProof/>
          </w:rPr>
          <w:t>LAW &amp; ARGUMENT</w:t>
        </w:r>
        <w:r w:rsidR="006662D8">
          <w:rPr>
            <w:noProof/>
            <w:webHidden/>
          </w:rPr>
          <w:tab/>
        </w:r>
        <w:r w:rsidR="006662D8">
          <w:rPr>
            <w:noProof/>
            <w:webHidden/>
          </w:rPr>
          <w:fldChar w:fldCharType="begin"/>
        </w:r>
        <w:r w:rsidR="006662D8">
          <w:rPr>
            <w:noProof/>
            <w:webHidden/>
          </w:rPr>
          <w:instrText xml:space="preserve"> PAGEREF _Toc379801511 \h </w:instrText>
        </w:r>
        <w:r w:rsidR="006662D8">
          <w:rPr>
            <w:noProof/>
            <w:webHidden/>
          </w:rPr>
        </w:r>
        <w:r w:rsidR="006662D8">
          <w:rPr>
            <w:noProof/>
            <w:webHidden/>
          </w:rPr>
          <w:fldChar w:fldCharType="separate"/>
        </w:r>
        <w:r w:rsidR="00E67DAB">
          <w:rPr>
            <w:noProof/>
            <w:webHidden/>
          </w:rPr>
          <w:t>7</w:t>
        </w:r>
        <w:r w:rsidR="006662D8">
          <w:rPr>
            <w:noProof/>
            <w:webHidden/>
          </w:rPr>
          <w:fldChar w:fldCharType="end"/>
        </w:r>
      </w:hyperlink>
    </w:p>
    <w:p w:rsidR="006662D8" w:rsidRPr="002604A4" w:rsidRDefault="006D5267" w:rsidP="00A45F3C">
      <w:pPr>
        <w:pStyle w:val="TOC2"/>
        <w:rPr>
          <w:rFonts w:ascii="Calibri" w:hAnsi="Calibri"/>
          <w:noProof/>
          <w:sz w:val="22"/>
          <w:szCs w:val="22"/>
        </w:rPr>
      </w:pPr>
      <w:hyperlink w:anchor="_Toc379801512" w:history="1">
        <w:r w:rsidR="006662D8" w:rsidRPr="001D04B7">
          <w:rPr>
            <w:rStyle w:val="Hyperlink"/>
            <w:noProof/>
          </w:rPr>
          <w:t>A.</w:t>
        </w:r>
        <w:r w:rsidR="006662D8" w:rsidRPr="002604A4">
          <w:rPr>
            <w:rFonts w:ascii="Calibri" w:hAnsi="Calibri"/>
            <w:noProof/>
            <w:sz w:val="22"/>
            <w:szCs w:val="22"/>
          </w:rPr>
          <w:tab/>
        </w:r>
        <w:r w:rsidR="006662D8" w:rsidRPr="001D04B7">
          <w:rPr>
            <w:rStyle w:val="Hyperlink"/>
            <w:noProof/>
          </w:rPr>
          <w:t>Complainant’s Claims Are Barred As A Matter Of Law Because Complainant Agreed To The Relevant Tariffs In The Company’s ESP II Proceeding.</w:t>
        </w:r>
        <w:r w:rsidR="006662D8">
          <w:rPr>
            <w:noProof/>
            <w:webHidden/>
          </w:rPr>
          <w:tab/>
        </w:r>
        <w:r w:rsidR="006662D8">
          <w:rPr>
            <w:noProof/>
            <w:webHidden/>
          </w:rPr>
          <w:fldChar w:fldCharType="begin"/>
        </w:r>
        <w:r w:rsidR="006662D8">
          <w:rPr>
            <w:noProof/>
            <w:webHidden/>
          </w:rPr>
          <w:instrText xml:space="preserve"> PAGEREF _Toc379801512 \h </w:instrText>
        </w:r>
        <w:r w:rsidR="006662D8">
          <w:rPr>
            <w:noProof/>
            <w:webHidden/>
          </w:rPr>
        </w:r>
        <w:r w:rsidR="006662D8">
          <w:rPr>
            <w:noProof/>
            <w:webHidden/>
          </w:rPr>
          <w:fldChar w:fldCharType="separate"/>
        </w:r>
        <w:r w:rsidR="00E67DAB">
          <w:rPr>
            <w:noProof/>
            <w:webHidden/>
          </w:rPr>
          <w:t>7</w:t>
        </w:r>
        <w:r w:rsidR="006662D8">
          <w:rPr>
            <w:noProof/>
            <w:webHidden/>
          </w:rPr>
          <w:fldChar w:fldCharType="end"/>
        </w:r>
      </w:hyperlink>
    </w:p>
    <w:p w:rsidR="006662D8" w:rsidRPr="002604A4" w:rsidRDefault="006D5267" w:rsidP="00A45F3C">
      <w:pPr>
        <w:pStyle w:val="TOC2"/>
        <w:rPr>
          <w:rFonts w:ascii="Calibri" w:hAnsi="Calibri"/>
          <w:noProof/>
          <w:sz w:val="22"/>
          <w:szCs w:val="22"/>
        </w:rPr>
      </w:pPr>
      <w:hyperlink w:anchor="_Toc379801513" w:history="1">
        <w:r w:rsidR="006662D8" w:rsidRPr="001D04B7">
          <w:rPr>
            <w:rStyle w:val="Hyperlink"/>
            <w:noProof/>
          </w:rPr>
          <w:t>B.</w:t>
        </w:r>
        <w:r w:rsidR="006662D8" w:rsidRPr="002604A4">
          <w:rPr>
            <w:rFonts w:ascii="Calibri" w:hAnsi="Calibri"/>
            <w:noProof/>
            <w:sz w:val="22"/>
            <w:szCs w:val="22"/>
          </w:rPr>
          <w:tab/>
        </w:r>
        <w:r w:rsidR="006662D8" w:rsidRPr="001D04B7">
          <w:rPr>
            <w:rStyle w:val="Hyperlink"/>
            <w:noProof/>
          </w:rPr>
          <w:t>The Complaint Also Should Be Dismissed Because It Fails To State Reasonable Grounds, As Required By R.C. § 4905.26.</w:t>
        </w:r>
        <w:r w:rsidR="006662D8">
          <w:rPr>
            <w:noProof/>
            <w:webHidden/>
          </w:rPr>
          <w:tab/>
        </w:r>
        <w:r w:rsidR="006662D8">
          <w:rPr>
            <w:noProof/>
            <w:webHidden/>
          </w:rPr>
          <w:fldChar w:fldCharType="begin"/>
        </w:r>
        <w:r w:rsidR="006662D8">
          <w:rPr>
            <w:noProof/>
            <w:webHidden/>
          </w:rPr>
          <w:instrText xml:space="preserve"> PAGEREF _Toc379801513 \h </w:instrText>
        </w:r>
        <w:r w:rsidR="006662D8">
          <w:rPr>
            <w:noProof/>
            <w:webHidden/>
          </w:rPr>
        </w:r>
        <w:r w:rsidR="006662D8">
          <w:rPr>
            <w:noProof/>
            <w:webHidden/>
          </w:rPr>
          <w:fldChar w:fldCharType="separate"/>
        </w:r>
        <w:r w:rsidR="00E67DAB">
          <w:rPr>
            <w:noProof/>
            <w:webHidden/>
          </w:rPr>
          <w:t>9</w:t>
        </w:r>
        <w:r w:rsidR="006662D8">
          <w:rPr>
            <w:noProof/>
            <w:webHidden/>
          </w:rPr>
          <w:fldChar w:fldCharType="end"/>
        </w:r>
      </w:hyperlink>
    </w:p>
    <w:p w:rsidR="006662D8" w:rsidRPr="002604A4" w:rsidRDefault="006D5267">
      <w:pPr>
        <w:pStyle w:val="TOC3"/>
        <w:tabs>
          <w:tab w:val="left" w:pos="2160"/>
        </w:tabs>
        <w:rPr>
          <w:rFonts w:ascii="Calibri" w:hAnsi="Calibri"/>
          <w:noProof/>
          <w:sz w:val="22"/>
          <w:szCs w:val="22"/>
        </w:rPr>
      </w:pPr>
      <w:hyperlink w:anchor="_Toc379801514" w:history="1">
        <w:r w:rsidR="006662D8" w:rsidRPr="001D04B7">
          <w:rPr>
            <w:rStyle w:val="Hyperlink"/>
            <w:noProof/>
          </w:rPr>
          <w:t>1.</w:t>
        </w:r>
        <w:r w:rsidR="006662D8" w:rsidRPr="002604A4">
          <w:rPr>
            <w:rFonts w:ascii="Calibri" w:hAnsi="Calibri"/>
            <w:noProof/>
            <w:sz w:val="22"/>
            <w:szCs w:val="22"/>
          </w:rPr>
          <w:tab/>
        </w:r>
        <w:r w:rsidR="006662D8" w:rsidRPr="001D04B7">
          <w:rPr>
            <w:rStyle w:val="Hyperlink"/>
            <w:noProof/>
          </w:rPr>
          <w:t>Counts One And Two Should Be Dismissed Because The Company Simply Applied The Terms Of Rider ELR To The Facility.</w:t>
        </w:r>
        <w:r w:rsidR="006662D8">
          <w:rPr>
            <w:noProof/>
            <w:webHidden/>
          </w:rPr>
          <w:tab/>
        </w:r>
        <w:r w:rsidR="006662D8">
          <w:rPr>
            <w:noProof/>
            <w:webHidden/>
          </w:rPr>
          <w:fldChar w:fldCharType="begin"/>
        </w:r>
        <w:r w:rsidR="006662D8">
          <w:rPr>
            <w:noProof/>
            <w:webHidden/>
          </w:rPr>
          <w:instrText xml:space="preserve"> PAGEREF _Toc379801514 \h </w:instrText>
        </w:r>
        <w:r w:rsidR="006662D8">
          <w:rPr>
            <w:noProof/>
            <w:webHidden/>
          </w:rPr>
        </w:r>
        <w:r w:rsidR="006662D8">
          <w:rPr>
            <w:noProof/>
            <w:webHidden/>
          </w:rPr>
          <w:fldChar w:fldCharType="separate"/>
        </w:r>
        <w:r w:rsidR="00E67DAB">
          <w:rPr>
            <w:noProof/>
            <w:webHidden/>
          </w:rPr>
          <w:t>10</w:t>
        </w:r>
        <w:r w:rsidR="006662D8">
          <w:rPr>
            <w:noProof/>
            <w:webHidden/>
          </w:rPr>
          <w:fldChar w:fldCharType="end"/>
        </w:r>
      </w:hyperlink>
    </w:p>
    <w:p w:rsidR="006662D8" w:rsidRPr="002604A4" w:rsidRDefault="006D5267">
      <w:pPr>
        <w:pStyle w:val="TOC4"/>
        <w:tabs>
          <w:tab w:val="left" w:pos="2880"/>
        </w:tabs>
        <w:rPr>
          <w:rFonts w:ascii="Calibri" w:hAnsi="Calibri"/>
          <w:noProof/>
          <w:sz w:val="22"/>
          <w:szCs w:val="22"/>
        </w:rPr>
      </w:pPr>
      <w:hyperlink w:anchor="_Toc379801515" w:history="1">
        <w:r w:rsidR="006662D8" w:rsidRPr="001D04B7">
          <w:rPr>
            <w:rStyle w:val="Hyperlink"/>
            <w:noProof/>
          </w:rPr>
          <w:t>a.</w:t>
        </w:r>
        <w:r w:rsidR="006662D8" w:rsidRPr="002604A4">
          <w:rPr>
            <w:rFonts w:ascii="Calibri" w:hAnsi="Calibri"/>
            <w:noProof/>
            <w:sz w:val="22"/>
            <w:szCs w:val="22"/>
          </w:rPr>
          <w:tab/>
        </w:r>
        <w:r w:rsidR="006662D8" w:rsidRPr="001D04B7">
          <w:rPr>
            <w:rStyle w:val="Hyperlink"/>
            <w:noProof/>
          </w:rPr>
          <w:t>Pursuant to Rider ELR, the Facility was required to curtail its load two hours after the Company’s notification of the ECE.</w:t>
        </w:r>
        <w:r w:rsidR="006662D8">
          <w:rPr>
            <w:noProof/>
            <w:webHidden/>
          </w:rPr>
          <w:tab/>
        </w:r>
        <w:r w:rsidR="006662D8">
          <w:rPr>
            <w:noProof/>
            <w:webHidden/>
          </w:rPr>
          <w:fldChar w:fldCharType="begin"/>
        </w:r>
        <w:r w:rsidR="006662D8">
          <w:rPr>
            <w:noProof/>
            <w:webHidden/>
          </w:rPr>
          <w:instrText xml:space="preserve"> PAGEREF _Toc379801515 \h </w:instrText>
        </w:r>
        <w:r w:rsidR="006662D8">
          <w:rPr>
            <w:noProof/>
            <w:webHidden/>
          </w:rPr>
        </w:r>
        <w:r w:rsidR="006662D8">
          <w:rPr>
            <w:noProof/>
            <w:webHidden/>
          </w:rPr>
          <w:fldChar w:fldCharType="separate"/>
        </w:r>
        <w:r w:rsidR="00E67DAB">
          <w:rPr>
            <w:noProof/>
            <w:webHidden/>
          </w:rPr>
          <w:t>11</w:t>
        </w:r>
        <w:r w:rsidR="006662D8">
          <w:rPr>
            <w:noProof/>
            <w:webHidden/>
          </w:rPr>
          <w:fldChar w:fldCharType="end"/>
        </w:r>
      </w:hyperlink>
    </w:p>
    <w:p w:rsidR="006662D8" w:rsidRPr="002604A4" w:rsidRDefault="006D5267">
      <w:pPr>
        <w:pStyle w:val="TOC4"/>
        <w:tabs>
          <w:tab w:val="left" w:pos="2880"/>
        </w:tabs>
        <w:rPr>
          <w:rFonts w:ascii="Calibri" w:hAnsi="Calibri"/>
          <w:noProof/>
          <w:sz w:val="22"/>
          <w:szCs w:val="22"/>
        </w:rPr>
      </w:pPr>
      <w:hyperlink w:anchor="_Toc379801516" w:history="1">
        <w:r w:rsidR="006662D8" w:rsidRPr="001D04B7">
          <w:rPr>
            <w:rStyle w:val="Hyperlink"/>
            <w:noProof/>
          </w:rPr>
          <w:t>b.</w:t>
        </w:r>
        <w:r w:rsidR="006662D8" w:rsidRPr="002604A4">
          <w:rPr>
            <w:rFonts w:ascii="Calibri" w:hAnsi="Calibri"/>
            <w:noProof/>
            <w:sz w:val="22"/>
            <w:szCs w:val="22"/>
          </w:rPr>
          <w:tab/>
        </w:r>
        <w:r w:rsidR="006662D8" w:rsidRPr="001D04B7">
          <w:rPr>
            <w:rStyle w:val="Hyperlink"/>
            <w:noProof/>
          </w:rPr>
          <w:t>Rider ELR provides a significant source of demand reduction that promotes system reliability and warrants the Commission-approved forfeiture and penalties.</w:t>
        </w:r>
        <w:r w:rsidR="006662D8">
          <w:rPr>
            <w:noProof/>
            <w:webHidden/>
          </w:rPr>
          <w:tab/>
        </w:r>
        <w:r w:rsidR="006662D8">
          <w:rPr>
            <w:noProof/>
            <w:webHidden/>
          </w:rPr>
          <w:fldChar w:fldCharType="begin"/>
        </w:r>
        <w:r w:rsidR="006662D8">
          <w:rPr>
            <w:noProof/>
            <w:webHidden/>
          </w:rPr>
          <w:instrText xml:space="preserve"> PAGEREF _Toc379801516 \h </w:instrText>
        </w:r>
        <w:r w:rsidR="006662D8">
          <w:rPr>
            <w:noProof/>
            <w:webHidden/>
          </w:rPr>
        </w:r>
        <w:r w:rsidR="006662D8">
          <w:rPr>
            <w:noProof/>
            <w:webHidden/>
          </w:rPr>
          <w:fldChar w:fldCharType="separate"/>
        </w:r>
        <w:r w:rsidR="00E67DAB">
          <w:rPr>
            <w:noProof/>
            <w:webHidden/>
          </w:rPr>
          <w:t>12</w:t>
        </w:r>
        <w:r w:rsidR="006662D8">
          <w:rPr>
            <w:noProof/>
            <w:webHidden/>
          </w:rPr>
          <w:fldChar w:fldCharType="end"/>
        </w:r>
      </w:hyperlink>
    </w:p>
    <w:p w:rsidR="006662D8" w:rsidRPr="002604A4" w:rsidRDefault="006D5267">
      <w:pPr>
        <w:pStyle w:val="TOC4"/>
        <w:tabs>
          <w:tab w:val="left" w:pos="2880"/>
        </w:tabs>
        <w:rPr>
          <w:rFonts w:ascii="Calibri" w:hAnsi="Calibri"/>
          <w:noProof/>
          <w:sz w:val="22"/>
          <w:szCs w:val="22"/>
        </w:rPr>
      </w:pPr>
      <w:hyperlink w:anchor="_Toc379801517" w:history="1">
        <w:r w:rsidR="006662D8" w:rsidRPr="001D04B7">
          <w:rPr>
            <w:rStyle w:val="Hyperlink"/>
            <w:noProof/>
          </w:rPr>
          <w:t>c.</w:t>
        </w:r>
        <w:r w:rsidR="006662D8" w:rsidRPr="002604A4">
          <w:rPr>
            <w:rFonts w:ascii="Calibri" w:hAnsi="Calibri"/>
            <w:noProof/>
            <w:sz w:val="22"/>
            <w:szCs w:val="22"/>
          </w:rPr>
          <w:tab/>
        </w:r>
        <w:r w:rsidR="006662D8" w:rsidRPr="001D04B7">
          <w:rPr>
            <w:rStyle w:val="Hyperlink"/>
            <w:noProof/>
          </w:rPr>
          <w:t>Rider ELR’s forfeiture and penalties for noncompliance are not discretionary or subject to other “mitigation.”</w:t>
        </w:r>
        <w:r w:rsidR="006662D8">
          <w:rPr>
            <w:noProof/>
            <w:webHidden/>
          </w:rPr>
          <w:tab/>
        </w:r>
        <w:r w:rsidR="006662D8">
          <w:rPr>
            <w:noProof/>
            <w:webHidden/>
          </w:rPr>
          <w:fldChar w:fldCharType="begin"/>
        </w:r>
        <w:r w:rsidR="006662D8">
          <w:rPr>
            <w:noProof/>
            <w:webHidden/>
          </w:rPr>
          <w:instrText xml:space="preserve"> PAGEREF _Toc379801517 \h </w:instrText>
        </w:r>
        <w:r w:rsidR="006662D8">
          <w:rPr>
            <w:noProof/>
            <w:webHidden/>
          </w:rPr>
        </w:r>
        <w:r w:rsidR="006662D8">
          <w:rPr>
            <w:noProof/>
            <w:webHidden/>
          </w:rPr>
          <w:fldChar w:fldCharType="separate"/>
        </w:r>
        <w:r w:rsidR="00E67DAB">
          <w:rPr>
            <w:noProof/>
            <w:webHidden/>
          </w:rPr>
          <w:t>1</w:t>
        </w:r>
        <w:r w:rsidR="00E67DAB">
          <w:rPr>
            <w:noProof/>
            <w:webHidden/>
          </w:rPr>
          <w:t>4</w:t>
        </w:r>
        <w:r w:rsidR="006662D8">
          <w:rPr>
            <w:noProof/>
            <w:webHidden/>
          </w:rPr>
          <w:fldChar w:fldCharType="end"/>
        </w:r>
      </w:hyperlink>
    </w:p>
    <w:p w:rsidR="006662D8" w:rsidRPr="002604A4" w:rsidRDefault="006D5267">
      <w:pPr>
        <w:pStyle w:val="TOC3"/>
        <w:tabs>
          <w:tab w:val="left" w:pos="2160"/>
        </w:tabs>
        <w:rPr>
          <w:rFonts w:ascii="Calibri" w:hAnsi="Calibri"/>
          <w:noProof/>
          <w:sz w:val="22"/>
          <w:szCs w:val="22"/>
        </w:rPr>
      </w:pPr>
      <w:hyperlink w:anchor="_Toc379801518" w:history="1">
        <w:r w:rsidR="006662D8" w:rsidRPr="001D04B7">
          <w:rPr>
            <w:rStyle w:val="Hyperlink"/>
            <w:noProof/>
            <w:lang w:eastAsia="zh-CN"/>
          </w:rPr>
          <w:t>2.</w:t>
        </w:r>
        <w:r w:rsidR="006662D8" w:rsidRPr="002604A4">
          <w:rPr>
            <w:rFonts w:ascii="Calibri" w:hAnsi="Calibri"/>
            <w:noProof/>
            <w:sz w:val="22"/>
            <w:szCs w:val="22"/>
          </w:rPr>
          <w:tab/>
        </w:r>
        <w:r w:rsidR="006662D8" w:rsidRPr="001D04B7">
          <w:rPr>
            <w:rStyle w:val="Hyperlink"/>
            <w:noProof/>
          </w:rPr>
          <w:t>C</w:t>
        </w:r>
        <w:r w:rsidR="006662D8" w:rsidRPr="001D04B7">
          <w:rPr>
            <w:rStyle w:val="Hyperlink"/>
            <w:noProof/>
            <w:lang w:eastAsia="zh-CN"/>
          </w:rPr>
          <w:t>ount Three Should Be Dismissed Because Complainant Fails To Allege That The Company Charged The Facility Anything Other Than Commission-Approved Rates.</w:t>
        </w:r>
        <w:r w:rsidR="006662D8">
          <w:rPr>
            <w:noProof/>
            <w:webHidden/>
          </w:rPr>
          <w:tab/>
        </w:r>
        <w:r w:rsidR="006662D8">
          <w:rPr>
            <w:noProof/>
            <w:webHidden/>
          </w:rPr>
          <w:fldChar w:fldCharType="begin"/>
        </w:r>
        <w:r w:rsidR="006662D8">
          <w:rPr>
            <w:noProof/>
            <w:webHidden/>
          </w:rPr>
          <w:instrText xml:space="preserve"> PAGEREF _Toc379801518 \h </w:instrText>
        </w:r>
        <w:r w:rsidR="006662D8">
          <w:rPr>
            <w:noProof/>
            <w:webHidden/>
          </w:rPr>
        </w:r>
        <w:r w:rsidR="006662D8">
          <w:rPr>
            <w:noProof/>
            <w:webHidden/>
          </w:rPr>
          <w:fldChar w:fldCharType="separate"/>
        </w:r>
        <w:r w:rsidR="00E67DAB">
          <w:rPr>
            <w:noProof/>
            <w:webHidden/>
          </w:rPr>
          <w:t>15</w:t>
        </w:r>
        <w:r w:rsidR="006662D8">
          <w:rPr>
            <w:noProof/>
            <w:webHidden/>
          </w:rPr>
          <w:fldChar w:fldCharType="end"/>
        </w:r>
      </w:hyperlink>
    </w:p>
    <w:p w:rsidR="006662D8" w:rsidRPr="002604A4" w:rsidRDefault="006D5267">
      <w:pPr>
        <w:pStyle w:val="TOC1"/>
        <w:rPr>
          <w:rFonts w:ascii="Calibri" w:hAnsi="Calibri"/>
          <w:noProof/>
          <w:sz w:val="22"/>
          <w:szCs w:val="22"/>
        </w:rPr>
      </w:pPr>
      <w:hyperlink w:anchor="_Toc379801519" w:history="1">
        <w:r w:rsidR="006662D8" w:rsidRPr="001D04B7">
          <w:rPr>
            <w:rStyle w:val="Hyperlink"/>
            <w:noProof/>
          </w:rPr>
          <w:t>III.</w:t>
        </w:r>
        <w:r w:rsidR="006662D8" w:rsidRPr="002604A4">
          <w:rPr>
            <w:rFonts w:ascii="Calibri" w:hAnsi="Calibri"/>
            <w:noProof/>
            <w:sz w:val="22"/>
            <w:szCs w:val="22"/>
          </w:rPr>
          <w:tab/>
        </w:r>
        <w:r w:rsidR="006662D8" w:rsidRPr="001D04B7">
          <w:rPr>
            <w:rStyle w:val="Hyperlink"/>
            <w:noProof/>
          </w:rPr>
          <w:t>CONCLUSION</w:t>
        </w:r>
        <w:r w:rsidR="006662D8">
          <w:rPr>
            <w:noProof/>
            <w:webHidden/>
          </w:rPr>
          <w:tab/>
        </w:r>
        <w:r w:rsidR="006662D8">
          <w:rPr>
            <w:noProof/>
            <w:webHidden/>
          </w:rPr>
          <w:fldChar w:fldCharType="begin"/>
        </w:r>
        <w:r w:rsidR="006662D8">
          <w:rPr>
            <w:noProof/>
            <w:webHidden/>
          </w:rPr>
          <w:instrText xml:space="preserve"> PAGEREF _Toc379801519 \h </w:instrText>
        </w:r>
        <w:r w:rsidR="006662D8">
          <w:rPr>
            <w:noProof/>
            <w:webHidden/>
          </w:rPr>
        </w:r>
        <w:r w:rsidR="006662D8">
          <w:rPr>
            <w:noProof/>
            <w:webHidden/>
          </w:rPr>
          <w:fldChar w:fldCharType="separate"/>
        </w:r>
        <w:r w:rsidR="00E67DAB">
          <w:rPr>
            <w:noProof/>
            <w:webHidden/>
          </w:rPr>
          <w:t>16</w:t>
        </w:r>
        <w:r w:rsidR="006662D8">
          <w:rPr>
            <w:noProof/>
            <w:webHidden/>
          </w:rPr>
          <w:fldChar w:fldCharType="end"/>
        </w:r>
      </w:hyperlink>
    </w:p>
    <w:p w:rsidR="002D15A3" w:rsidRPr="005B637F" w:rsidRDefault="002D15A3" w:rsidP="002D15A3">
      <w:pPr>
        <w:rPr>
          <w:rFonts w:eastAsia="SimSun"/>
          <w:b/>
          <w:szCs w:val="20"/>
        </w:rPr>
      </w:pPr>
      <w:r w:rsidRPr="002D15A3">
        <w:rPr>
          <w:rFonts w:eastAsia="SimSun"/>
        </w:rPr>
        <w:fldChar w:fldCharType="end"/>
      </w:r>
    </w:p>
    <w:p w:rsidR="004C64C7" w:rsidRDefault="004C64C7">
      <w:pPr>
        <w:rPr>
          <w:rFonts w:eastAsia="SimSun"/>
          <w:szCs w:val="20"/>
        </w:rPr>
      </w:pPr>
    </w:p>
    <w:p w:rsidR="002D15A3" w:rsidRDefault="002D15A3">
      <w:pPr>
        <w:rPr>
          <w:rFonts w:eastAsia="SimSun"/>
          <w:szCs w:val="20"/>
        </w:rPr>
        <w:sectPr w:rsidR="002D15A3" w:rsidSect="002604A4">
          <w:footerReference w:type="default" r:id="rId15"/>
          <w:footerReference w:type="first" r:id="rId16"/>
          <w:pgSz w:w="12240" w:h="15840"/>
          <w:pgMar w:top="1440" w:right="1440" w:bottom="1440" w:left="1440" w:header="720" w:footer="720" w:gutter="0"/>
          <w:pgNumType w:fmt="lowerRoman" w:start="1"/>
          <w:cols w:space="720"/>
          <w:titlePg/>
          <w:docGrid w:linePitch="360"/>
        </w:sectPr>
      </w:pPr>
    </w:p>
    <w:p w:rsidR="004C64C7" w:rsidRDefault="004C64C7" w:rsidP="00A15BFE">
      <w:pPr>
        <w:spacing w:line="480" w:lineRule="auto"/>
        <w:ind w:firstLine="720"/>
        <w:jc w:val="both"/>
        <w:rPr>
          <w:rFonts w:eastAsia="SimSun"/>
          <w:szCs w:val="20"/>
        </w:rPr>
      </w:pPr>
      <w:r w:rsidRPr="006F297B">
        <w:rPr>
          <w:rFonts w:eastAsia="SimSun"/>
          <w:szCs w:val="20"/>
        </w:rPr>
        <w:lastRenderedPageBreak/>
        <w:t>Pursuant to Rule</w:t>
      </w:r>
      <w:r>
        <w:rPr>
          <w:rFonts w:eastAsia="SimSun"/>
          <w:szCs w:val="20"/>
        </w:rPr>
        <w:t>s 4901-1-12 and 4901-9</w:t>
      </w:r>
      <w:r w:rsidRPr="006F297B">
        <w:rPr>
          <w:rFonts w:eastAsia="SimSun"/>
          <w:szCs w:val="20"/>
        </w:rPr>
        <w:t>-0</w:t>
      </w:r>
      <w:r>
        <w:rPr>
          <w:rFonts w:eastAsia="SimSun"/>
          <w:szCs w:val="20"/>
        </w:rPr>
        <w:t>1(C)</w:t>
      </w:r>
      <w:r w:rsidRPr="006F297B">
        <w:rPr>
          <w:rFonts w:eastAsia="SimSun"/>
          <w:szCs w:val="20"/>
        </w:rPr>
        <w:t xml:space="preserve">, Ohio Administrative Code, The Toledo Edison Company (“Toledo Edison” or “Company”) hereby moves to dismiss Complainant Material Sciences Corporation’s (“Complainant”) Complaint. </w:t>
      </w:r>
      <w:r>
        <w:rPr>
          <w:rFonts w:eastAsia="SimSun"/>
          <w:szCs w:val="20"/>
        </w:rPr>
        <w:t xml:space="preserve"> The Complaint should be dismissed for two separate reasons.  First, Complainant’s claims are barred because Complainant was a signatory to the Stipulation that sought, and later received, Commission approval of certain riders, terms, and conditions contained in the Company’s tariffs.  As a result, based on its Stipulation and the doctrines of res judicata and collateral estoppel, Complainant is barred from complaining that those same riders, terms and conditions are unreasonable.  </w:t>
      </w:r>
    </w:p>
    <w:p w:rsidR="004C64C7" w:rsidRDefault="004C64C7" w:rsidP="005D26A7">
      <w:pPr>
        <w:spacing w:after="240" w:line="480" w:lineRule="auto"/>
        <w:ind w:firstLine="720"/>
        <w:jc w:val="both"/>
        <w:rPr>
          <w:rFonts w:eastAsia="SimSun"/>
          <w:szCs w:val="20"/>
        </w:rPr>
      </w:pPr>
      <w:r>
        <w:rPr>
          <w:rFonts w:eastAsia="SimSun"/>
          <w:szCs w:val="20"/>
        </w:rPr>
        <w:t xml:space="preserve">Second, the Complaint should be dismissed because the tariff requirements of which Complainant now complains were approved by the Commission.  The Commission approved the Economic Load Response Rider (“Rider ELR”), including the forfeiture and penalties that must be applied if a subject customer fails to comply with the requirements of Rider ELR.  Complainant voluntarily chose to participate in and take service pursuant to the provisions of Rider ELR.  It is those same Commission-approved provisions that were applied by the Company here and about which the Complainant now complains.  The Commission also approved the Company’s generation and transmission service riders, including Rider GEN and Rider NMB and the formula for allocating costs through those riders.  Indeed, the Complaint does not allege that the Company misapplied the tariffs or that the Company miscalculated the facility’s penalties or rates.  The Complaint contains only </w:t>
      </w:r>
      <w:proofErr w:type="spellStart"/>
      <w:r>
        <w:rPr>
          <w:rFonts w:eastAsia="SimSun"/>
          <w:szCs w:val="20"/>
        </w:rPr>
        <w:t>conclusory</w:t>
      </w:r>
      <w:proofErr w:type="spellEnd"/>
      <w:r>
        <w:rPr>
          <w:rFonts w:eastAsia="SimSun"/>
          <w:szCs w:val="20"/>
        </w:rPr>
        <w:t xml:space="preserve"> allegations that the results of the tariffs are “unjust, unreasonable, and unlawful.”  Such conclusions are insufficient.  </w:t>
      </w:r>
      <w:r w:rsidRPr="00C7380E">
        <w:rPr>
          <w:rFonts w:eastAsia="SimSun"/>
          <w:szCs w:val="20"/>
        </w:rPr>
        <w:t>Pursuant to well-settled Commission authority, dissatisfaction with Commission-approved rates</w:t>
      </w:r>
      <w:r>
        <w:rPr>
          <w:rFonts w:eastAsia="SimSun"/>
          <w:szCs w:val="20"/>
        </w:rPr>
        <w:t xml:space="preserve">, </w:t>
      </w:r>
      <w:r>
        <w:rPr>
          <w:rFonts w:eastAsia="SimSun"/>
          <w:szCs w:val="20"/>
        </w:rPr>
        <w:lastRenderedPageBreak/>
        <w:t>terms, and conditions</w:t>
      </w:r>
      <w:r w:rsidRPr="00C7380E">
        <w:rPr>
          <w:rFonts w:eastAsia="SimSun"/>
          <w:szCs w:val="20"/>
        </w:rPr>
        <w:t xml:space="preserve"> cannot constitute reasonable grounds for a complaint.</w:t>
      </w:r>
      <w:r>
        <w:rPr>
          <w:rStyle w:val="FootnoteReference"/>
          <w:rFonts w:eastAsia="SimSun"/>
          <w:szCs w:val="20"/>
        </w:rPr>
        <w:footnoteReference w:id="1"/>
      </w:r>
      <w:r w:rsidRPr="00C7380E">
        <w:rPr>
          <w:rFonts w:eastAsia="SimSun"/>
          <w:szCs w:val="20"/>
        </w:rPr>
        <w:t xml:space="preserve">  Thus, for all of these reasons, t</w:t>
      </w:r>
      <w:r>
        <w:rPr>
          <w:rFonts w:eastAsia="SimSun"/>
          <w:szCs w:val="20"/>
        </w:rPr>
        <w:t>he Commission should dismiss the</w:t>
      </w:r>
      <w:r w:rsidRPr="00C7380E">
        <w:rPr>
          <w:rFonts w:eastAsia="SimSun"/>
          <w:szCs w:val="20"/>
        </w:rPr>
        <w:t xml:space="preserve"> Complaint with prejudice.</w:t>
      </w:r>
    </w:p>
    <w:p w:rsidR="004C64C7" w:rsidRPr="00CC4900" w:rsidRDefault="004C64C7" w:rsidP="00CC4900">
      <w:pPr>
        <w:pStyle w:val="Heading1"/>
      </w:pPr>
      <w:bookmarkStart w:id="0" w:name="_Toc379801508"/>
      <w:r w:rsidRPr="001D317C">
        <w:t>FACTUAL BACKGROUND</w:t>
      </w:r>
      <w:bookmarkEnd w:id="0"/>
    </w:p>
    <w:p w:rsidR="004C64C7" w:rsidRPr="008C2A5C" w:rsidRDefault="004C64C7" w:rsidP="008C2A5C">
      <w:pPr>
        <w:pStyle w:val="Heading2"/>
      </w:pPr>
      <w:bookmarkStart w:id="1" w:name="_Toc379801509"/>
      <w:r w:rsidRPr="008C2A5C">
        <w:t xml:space="preserve">The Terms </w:t>
      </w:r>
      <w:proofErr w:type="gramStart"/>
      <w:r w:rsidRPr="008C2A5C">
        <w:t>And Conditions Of The</w:t>
      </w:r>
      <w:proofErr w:type="gramEnd"/>
      <w:r w:rsidRPr="008C2A5C">
        <w:t xml:space="preserve"> Company’s Service Are Set Forth In Its Commission-Approved Tariffs, Including The Option For Interruptible Service.</w:t>
      </w:r>
      <w:bookmarkEnd w:id="1"/>
    </w:p>
    <w:p w:rsidR="004C64C7" w:rsidRDefault="004C64C7" w:rsidP="00675CE0">
      <w:pPr>
        <w:keepNext/>
        <w:spacing w:line="480" w:lineRule="auto"/>
        <w:ind w:firstLine="720"/>
        <w:jc w:val="both"/>
        <w:outlineLvl w:val="0"/>
        <w:rPr>
          <w:rFonts w:eastAsia="SimSun"/>
          <w:szCs w:val="20"/>
        </w:rPr>
      </w:pPr>
      <w:r>
        <w:rPr>
          <w:rFonts w:eastAsia="SimSun"/>
          <w:szCs w:val="20"/>
        </w:rPr>
        <w:t>The Company provides electric service to customers in its service territory pursuant to its Schedule of Rates and Services (the “Schedule”), as approved by the Commission.</w:t>
      </w:r>
      <w:r>
        <w:rPr>
          <w:rStyle w:val="FootnoteReference"/>
          <w:rFonts w:eastAsia="SimSun"/>
          <w:szCs w:val="20"/>
        </w:rPr>
        <w:footnoteReference w:id="2"/>
      </w:r>
      <w:r>
        <w:rPr>
          <w:rFonts w:eastAsia="SimSun"/>
          <w:szCs w:val="20"/>
        </w:rPr>
        <w:t xml:space="preserve">  The Company’s current Schedule includes rates, terms, and conditions that were approved as a part of the Company’s application for an electric security plan filed in Case No. </w:t>
      </w:r>
      <w:r w:rsidRPr="00E471E1">
        <w:t>10-388-EL-SSO (“ESP II”)</w:t>
      </w:r>
      <w:r>
        <w:t xml:space="preserve">.  The foundation for the Company’s ESP II was a Stipulation, including supplements thereto, signed by numerous interested parties, </w:t>
      </w:r>
      <w:r w:rsidRPr="003762B3">
        <w:rPr>
          <w:u w:val="single"/>
        </w:rPr>
        <w:t>including Complainant</w:t>
      </w:r>
      <w:r>
        <w:t>.</w:t>
      </w:r>
      <w:r>
        <w:rPr>
          <w:rStyle w:val="FootnoteReference"/>
        </w:rPr>
        <w:footnoteReference w:id="3"/>
      </w:r>
      <w:r>
        <w:t xml:space="preserve">  The ESP II Stipulation was approved by the Commission on August 25, 2010, and</w:t>
      </w:r>
      <w:r w:rsidRPr="00E471E1">
        <w:t xml:space="preserve"> covers the period</w:t>
      </w:r>
      <w:r>
        <w:t xml:space="preserve"> June 1, 2011 through May 31, 2014.</w:t>
      </w:r>
      <w:r>
        <w:rPr>
          <w:rStyle w:val="FootnoteReference"/>
        </w:rPr>
        <w:footnoteReference w:id="4"/>
      </w:r>
      <w:r>
        <w:t xml:space="preserve">  </w:t>
      </w:r>
      <w:r w:rsidRPr="00D465C7">
        <w:rPr>
          <w:rFonts w:eastAsia="SimSun"/>
          <w:szCs w:val="20"/>
        </w:rPr>
        <w:t>In connection with the Stipulation, Complainant “agree[d] to and will support the reasonableness of the ESP and this Stipulation before the Commission . . . and in any . . . enforcement of the ESP and this Stipulation.”</w:t>
      </w:r>
      <w:r>
        <w:rPr>
          <w:rStyle w:val="FootnoteReference"/>
          <w:rFonts w:eastAsia="SimSun"/>
          <w:szCs w:val="20"/>
        </w:rPr>
        <w:footnoteReference w:id="5"/>
      </w:r>
      <w:r w:rsidRPr="00D465C7">
        <w:rPr>
          <w:rFonts w:eastAsia="SimSun"/>
          <w:szCs w:val="20"/>
        </w:rPr>
        <w:t xml:space="preserve">  </w:t>
      </w:r>
    </w:p>
    <w:p w:rsidR="004C64C7" w:rsidRPr="006F297B" w:rsidRDefault="004C64C7" w:rsidP="00675CE0">
      <w:pPr>
        <w:keepNext/>
        <w:spacing w:line="480" w:lineRule="auto"/>
        <w:ind w:firstLine="720"/>
        <w:jc w:val="both"/>
        <w:outlineLvl w:val="0"/>
        <w:rPr>
          <w:rFonts w:eastAsia="SimSun"/>
          <w:szCs w:val="20"/>
        </w:rPr>
      </w:pPr>
      <w:r>
        <w:rPr>
          <w:rFonts w:eastAsia="SimSun"/>
          <w:szCs w:val="20"/>
        </w:rPr>
        <w:t xml:space="preserve">The ESP II Stipulation, as subsequently approved by the Commission, included a number of riders, terms and conditions for electric service provided by the Company.  For example, Complainant agreed to, and the Commission approved, as part of the ESP II Stipulation certain </w:t>
      </w:r>
      <w:r>
        <w:rPr>
          <w:rFonts w:eastAsia="SimSun"/>
          <w:szCs w:val="20"/>
        </w:rPr>
        <w:lastRenderedPageBreak/>
        <w:t>generation and transmission service riders, including Rider GEN and Rider NMB.</w:t>
      </w:r>
      <w:r>
        <w:rPr>
          <w:rStyle w:val="FootnoteReference"/>
          <w:rFonts w:eastAsia="SimSun"/>
          <w:szCs w:val="20"/>
        </w:rPr>
        <w:footnoteReference w:id="6"/>
      </w:r>
      <w:r>
        <w:rPr>
          <w:rFonts w:eastAsia="SimSun"/>
          <w:szCs w:val="20"/>
        </w:rPr>
        <w:t xml:space="preserve">  Further, among the terms and conditions of the Company’s Schedule – and among the terms and conditions stipulated to by Complainant in connection with ESP I</w:t>
      </w:r>
      <w:r>
        <w:rPr>
          <w:rStyle w:val="FootnoteReference"/>
          <w:rFonts w:eastAsia="SimSun"/>
          <w:szCs w:val="20"/>
        </w:rPr>
        <w:footnoteReference w:id="7"/>
      </w:r>
      <w:r>
        <w:rPr>
          <w:rFonts w:eastAsia="SimSun"/>
          <w:szCs w:val="20"/>
        </w:rPr>
        <w:t xml:space="preserve"> and ESP II – is the option for interruptible service under Rider ELR.</w:t>
      </w:r>
      <w:r>
        <w:rPr>
          <w:rStyle w:val="FootnoteReference"/>
          <w:rFonts w:eastAsia="SimSun"/>
          <w:szCs w:val="20"/>
        </w:rPr>
        <w:footnoteReference w:id="8"/>
      </w:r>
      <w:r>
        <w:rPr>
          <w:rFonts w:eastAsia="SimSun"/>
          <w:szCs w:val="20"/>
        </w:rPr>
        <w:t xml:space="preserve">  Pursuant to </w:t>
      </w:r>
      <w:r w:rsidRPr="006F297B">
        <w:rPr>
          <w:rFonts w:eastAsia="SimSun"/>
          <w:szCs w:val="20"/>
        </w:rPr>
        <w:t>Rider ELR</w:t>
      </w:r>
      <w:r>
        <w:rPr>
          <w:rFonts w:eastAsia="SimSun"/>
          <w:szCs w:val="20"/>
        </w:rPr>
        <w:t xml:space="preserve">, and in conjunction with Rider EDR, certain eligible customers may receive </w:t>
      </w:r>
      <w:r w:rsidRPr="006F297B">
        <w:rPr>
          <w:rFonts w:eastAsia="SimSun"/>
          <w:szCs w:val="20"/>
        </w:rPr>
        <w:t xml:space="preserve">credit amounts for </w:t>
      </w:r>
      <w:r>
        <w:rPr>
          <w:rFonts w:eastAsia="SimSun"/>
          <w:szCs w:val="20"/>
        </w:rPr>
        <w:t xml:space="preserve">agreeing to curtail their load </w:t>
      </w:r>
      <w:r w:rsidRPr="006F297B">
        <w:rPr>
          <w:rFonts w:eastAsia="SimSun"/>
          <w:szCs w:val="20"/>
        </w:rPr>
        <w:t>during an Emer</w:t>
      </w:r>
      <w:r>
        <w:rPr>
          <w:rFonts w:eastAsia="SimSun"/>
          <w:szCs w:val="20"/>
        </w:rPr>
        <w:t>gency Curtailment Event (“ECE”) and agreeing to comply with the other requirements.</w:t>
      </w:r>
      <w:r>
        <w:rPr>
          <w:rStyle w:val="FootnoteReference"/>
          <w:rFonts w:eastAsia="SimSun"/>
          <w:szCs w:val="20"/>
        </w:rPr>
        <w:footnoteReference w:id="9"/>
      </w:r>
      <w:r>
        <w:rPr>
          <w:rFonts w:eastAsia="SimSun"/>
          <w:szCs w:val="20"/>
        </w:rPr>
        <w:t xml:space="preserve">  The </w:t>
      </w:r>
      <w:r w:rsidR="004767E7">
        <w:rPr>
          <w:rFonts w:eastAsia="SimSun"/>
          <w:szCs w:val="20"/>
        </w:rPr>
        <w:t xml:space="preserve">Facility </w:t>
      </w:r>
      <w:r>
        <w:rPr>
          <w:rFonts w:eastAsia="SimSun"/>
          <w:szCs w:val="20"/>
        </w:rPr>
        <w:t xml:space="preserve">is such an eligible customer and did in fact agree to comply with the requirements of Rider ELR in exchange for receiving the aforementioned credit amounts.  </w:t>
      </w:r>
      <w:r w:rsidRPr="006F297B">
        <w:rPr>
          <w:rFonts w:eastAsia="SimSun"/>
          <w:szCs w:val="20"/>
        </w:rPr>
        <w:t>The focus of Rider ELR is to provide an important demand-response function to support system reliability</w:t>
      </w:r>
      <w:r>
        <w:rPr>
          <w:rFonts w:eastAsia="SimSun"/>
          <w:szCs w:val="20"/>
        </w:rPr>
        <w:t xml:space="preserve"> and the demand reduction pledged by Rider ELR customers assists the Company in meeting its statutory requirements to reduce peak demand on the system</w:t>
      </w:r>
      <w:r w:rsidRPr="006F297B">
        <w:rPr>
          <w:rFonts w:eastAsia="SimSun"/>
          <w:szCs w:val="20"/>
        </w:rPr>
        <w:t>.</w:t>
      </w:r>
      <w:r>
        <w:rPr>
          <w:rStyle w:val="FootnoteReference"/>
          <w:rFonts w:eastAsia="SimSun"/>
          <w:szCs w:val="20"/>
        </w:rPr>
        <w:footnoteReference w:id="10"/>
      </w:r>
      <w:r>
        <w:rPr>
          <w:rFonts w:eastAsia="SimSun"/>
          <w:szCs w:val="20"/>
        </w:rPr>
        <w:t xml:space="preserve">  </w:t>
      </w:r>
    </w:p>
    <w:p w:rsidR="004C64C7" w:rsidRPr="006F297B" w:rsidRDefault="004C64C7" w:rsidP="003502FB">
      <w:pPr>
        <w:spacing w:line="480" w:lineRule="auto"/>
        <w:ind w:firstLine="720"/>
        <w:rPr>
          <w:rFonts w:eastAsia="SimSun"/>
          <w:szCs w:val="20"/>
        </w:rPr>
      </w:pPr>
      <w:r>
        <w:rPr>
          <w:rFonts w:eastAsia="SimSun"/>
          <w:szCs w:val="20"/>
        </w:rPr>
        <w:t xml:space="preserve">Rider ELR </w:t>
      </w:r>
      <w:r w:rsidRPr="006F297B">
        <w:rPr>
          <w:rFonts w:eastAsia="SimSun"/>
          <w:szCs w:val="20"/>
        </w:rPr>
        <w:t>provides, in pertinent part, that:</w:t>
      </w:r>
    </w:p>
    <w:p w:rsidR="004C64C7" w:rsidRPr="006F297B" w:rsidRDefault="004C64C7" w:rsidP="00DA7024">
      <w:pPr>
        <w:spacing w:after="240"/>
        <w:ind w:left="1440" w:right="1440"/>
        <w:jc w:val="both"/>
        <w:rPr>
          <w:rFonts w:eastAsia="SimSun"/>
          <w:szCs w:val="20"/>
        </w:rPr>
      </w:pPr>
      <w:r w:rsidRPr="004767E7">
        <w:rPr>
          <w:rFonts w:eastAsia="SimSun"/>
          <w:szCs w:val="20"/>
        </w:rPr>
        <w:t>Upon no less than two hours advance notification provided by the Company</w:t>
      </w:r>
      <w:r w:rsidRPr="003502FB">
        <w:rPr>
          <w:rFonts w:eastAsia="SimSun"/>
          <w:b/>
          <w:szCs w:val="20"/>
        </w:rPr>
        <w:t>,</w:t>
      </w:r>
      <w:r w:rsidRPr="006F297B">
        <w:rPr>
          <w:rFonts w:eastAsia="SimSun"/>
          <w:szCs w:val="20"/>
        </w:rPr>
        <w:t xml:space="preserve"> </w:t>
      </w:r>
      <w:r w:rsidRPr="006F297B">
        <w:rPr>
          <w:rFonts w:eastAsia="SimSun"/>
          <w:b/>
          <w:szCs w:val="20"/>
        </w:rPr>
        <w:t xml:space="preserve">a customer taking service under this rider must curtail all </w:t>
      </w:r>
      <w:proofErr w:type="gramStart"/>
      <w:r w:rsidRPr="006F297B">
        <w:rPr>
          <w:rFonts w:eastAsia="SimSun"/>
          <w:b/>
          <w:szCs w:val="20"/>
        </w:rPr>
        <w:t>load</w:t>
      </w:r>
      <w:proofErr w:type="gramEnd"/>
      <w:r w:rsidRPr="006F297B">
        <w:rPr>
          <w:rFonts w:eastAsia="SimSun"/>
          <w:b/>
          <w:szCs w:val="20"/>
        </w:rPr>
        <w:t xml:space="preserve"> above its Firm Load during an Emergency Curtailment Event</w:t>
      </w:r>
      <w:r w:rsidRPr="006F297B">
        <w:rPr>
          <w:rFonts w:eastAsia="SimSun"/>
          <w:szCs w:val="20"/>
        </w:rPr>
        <w:t xml:space="preserve"> consistent with the Company’s instructions.  For purposes of this rider, an Emergency Curtailment Event shall be one in which the Company, a regional transmission organization and/or a transmission operator determines, in its respective sole discretion, that an emergency situation exists that may jeopardize the integrity of either the distribution or transmission system in the area. . . .  </w:t>
      </w:r>
    </w:p>
    <w:p w:rsidR="004C64C7" w:rsidRPr="006F297B" w:rsidRDefault="004C64C7" w:rsidP="00DA7024">
      <w:pPr>
        <w:spacing w:after="240"/>
        <w:ind w:left="1440" w:right="1440"/>
        <w:jc w:val="both"/>
        <w:rPr>
          <w:rFonts w:eastAsia="SimSun"/>
          <w:szCs w:val="20"/>
        </w:rPr>
      </w:pPr>
      <w:r w:rsidRPr="006F297B">
        <w:rPr>
          <w:rFonts w:eastAsia="SimSun"/>
          <w:b/>
          <w:szCs w:val="20"/>
        </w:rPr>
        <w:t xml:space="preserve">During the entire period of an Emergency Curtailment Event, the customer’s actual measured load must remain at or below </w:t>
      </w:r>
      <w:r w:rsidRPr="006F297B">
        <w:rPr>
          <w:rFonts w:eastAsia="SimSun"/>
          <w:b/>
          <w:szCs w:val="20"/>
        </w:rPr>
        <w:lastRenderedPageBreak/>
        <w:t>its Firm Load with such load being measured every clock half hour</w:t>
      </w:r>
      <w:r w:rsidRPr="006F297B">
        <w:rPr>
          <w:rFonts w:eastAsia="SimSun"/>
          <w:szCs w:val="20"/>
        </w:rPr>
        <w:t>.  A customer’s actual measured load shall be determined using the greater of the customer’s highest lagging kVA or highest kW during the Emergency Curtailment Event.</w:t>
      </w:r>
    </w:p>
    <w:p w:rsidR="004C64C7" w:rsidRPr="006F297B" w:rsidRDefault="004C64C7" w:rsidP="00DA7024">
      <w:pPr>
        <w:spacing w:after="240"/>
        <w:ind w:left="1440" w:right="1440"/>
        <w:jc w:val="both"/>
        <w:rPr>
          <w:rFonts w:eastAsia="SimSun"/>
          <w:szCs w:val="20"/>
        </w:rPr>
      </w:pPr>
      <w:r w:rsidRPr="006F297B">
        <w:rPr>
          <w:rFonts w:eastAsia="SimSun"/>
          <w:szCs w:val="20"/>
        </w:rPr>
        <w:t xml:space="preserve">If at any time </w:t>
      </w:r>
      <w:r w:rsidRPr="006A77A4">
        <w:rPr>
          <w:rFonts w:eastAsia="SimSun"/>
          <w:b/>
          <w:szCs w:val="20"/>
          <w:u w:val="single"/>
        </w:rPr>
        <w:t>during</w:t>
      </w:r>
      <w:r w:rsidRPr="006A77A4">
        <w:rPr>
          <w:rFonts w:eastAsia="SimSun"/>
          <w:b/>
          <w:szCs w:val="20"/>
        </w:rPr>
        <w:t xml:space="preserve"> the Emergency Curtailment Event</w:t>
      </w:r>
      <w:r w:rsidRPr="006F297B">
        <w:rPr>
          <w:rFonts w:eastAsia="SimSun"/>
          <w:szCs w:val="20"/>
        </w:rPr>
        <w:t xml:space="preserve"> a customer’s actual measured load exceeds its contract Firm Load, </w:t>
      </w:r>
      <w:r w:rsidRPr="006F297B">
        <w:rPr>
          <w:rFonts w:eastAsia="SimSun"/>
          <w:b/>
          <w:szCs w:val="20"/>
        </w:rPr>
        <w:t xml:space="preserve">the Company </w:t>
      </w:r>
      <w:r w:rsidRPr="006F297B">
        <w:rPr>
          <w:rFonts w:eastAsia="SimSun"/>
          <w:b/>
          <w:szCs w:val="20"/>
          <w:u w:val="single"/>
        </w:rPr>
        <w:t>may</w:t>
      </w:r>
      <w:r w:rsidRPr="006F297B">
        <w:rPr>
          <w:rFonts w:eastAsia="SimSun"/>
          <w:b/>
          <w:szCs w:val="20"/>
        </w:rPr>
        <w:t xml:space="preserve"> disconnect the customer</w:t>
      </w:r>
      <w:r w:rsidRPr="006F297B">
        <w:rPr>
          <w:rFonts w:eastAsia="SimSun"/>
          <w:szCs w:val="20"/>
        </w:rPr>
        <w:t xml:space="preserve"> from the transmission system for the duration of the Emergency Curtailment Event, at the customer’s expense.  The Company shall not be liable for any direct or indirect costs, losses, expenses, or other damages, special or otherwise, including, without limitation, lost profits that arise from such disconnection.</w:t>
      </w:r>
    </w:p>
    <w:p w:rsidR="004C64C7" w:rsidRPr="006F297B" w:rsidRDefault="004C64C7" w:rsidP="00DA7024">
      <w:pPr>
        <w:spacing w:after="240"/>
        <w:ind w:left="1440" w:right="1440"/>
        <w:jc w:val="both"/>
        <w:rPr>
          <w:rFonts w:eastAsia="SimSun"/>
          <w:szCs w:val="20"/>
        </w:rPr>
      </w:pPr>
      <w:r w:rsidRPr="006F297B">
        <w:rPr>
          <w:rFonts w:eastAsia="SimSun"/>
          <w:b/>
          <w:szCs w:val="20"/>
        </w:rPr>
        <w:t xml:space="preserve">If at </w:t>
      </w:r>
      <w:r w:rsidRPr="006F297B">
        <w:rPr>
          <w:rFonts w:eastAsia="SimSun"/>
          <w:b/>
          <w:szCs w:val="20"/>
          <w:u w:val="single"/>
        </w:rPr>
        <w:t>any time</w:t>
      </w:r>
      <w:r w:rsidRPr="006F297B">
        <w:rPr>
          <w:rFonts w:eastAsia="SimSun"/>
          <w:b/>
          <w:szCs w:val="20"/>
        </w:rPr>
        <w:t xml:space="preserve"> during the Emergency Curtailment Event a customer’s actual measured load exceeds 110% of its Firm Load, the customer </w:t>
      </w:r>
      <w:r w:rsidRPr="006F297B">
        <w:rPr>
          <w:rFonts w:eastAsia="SimSun"/>
          <w:b/>
          <w:szCs w:val="20"/>
          <w:u w:val="single"/>
        </w:rPr>
        <w:t>shall</w:t>
      </w:r>
      <w:r w:rsidRPr="006F297B">
        <w:rPr>
          <w:rFonts w:eastAsia="SimSun"/>
          <w:b/>
          <w:szCs w:val="20"/>
        </w:rPr>
        <w:t xml:space="preserve"> be subject to all four (4) of the following</w:t>
      </w:r>
      <w:r w:rsidRPr="006F297B">
        <w:rPr>
          <w:rFonts w:eastAsia="SimSun"/>
          <w:szCs w:val="20"/>
        </w:rPr>
        <w:t>: (</w:t>
      </w:r>
      <w:proofErr w:type="spellStart"/>
      <w:r w:rsidRPr="006F297B">
        <w:rPr>
          <w:rFonts w:eastAsia="SimSun"/>
          <w:szCs w:val="20"/>
        </w:rPr>
        <w:t>i</w:t>
      </w:r>
      <w:proofErr w:type="spellEnd"/>
      <w:r w:rsidRPr="006F297B">
        <w:rPr>
          <w:rFonts w:eastAsia="SimSun"/>
          <w:szCs w:val="20"/>
        </w:rPr>
        <w:t>) forfeit its Program Credit for the month in which the Emergency Curtailment Event occurred; (ii) pay the ECE Charge set forth in the Rates section of this Rider; (iii) pay the sum of all Program Credits received by the customer under the Program during the immediately preceding twelve billing months which shall include credits from this Rider and the Economic Development Rider; and (iv) the Company’s right, at its sole discretion, to remove the customer from the Program for a minimum of 12 months.</w:t>
      </w:r>
      <w:r>
        <w:rPr>
          <w:rStyle w:val="FootnoteReference"/>
          <w:rFonts w:eastAsia="SimSun"/>
          <w:szCs w:val="20"/>
        </w:rPr>
        <w:footnoteReference w:id="11"/>
      </w:r>
    </w:p>
    <w:p w:rsidR="004C64C7" w:rsidRDefault="004C64C7" w:rsidP="00675CE0">
      <w:pPr>
        <w:spacing w:line="480" w:lineRule="auto"/>
        <w:jc w:val="both"/>
        <w:rPr>
          <w:rFonts w:eastAsia="SimSun"/>
          <w:szCs w:val="20"/>
        </w:rPr>
      </w:pPr>
      <w:r w:rsidRPr="006F297B">
        <w:rPr>
          <w:rFonts w:eastAsia="SimSun"/>
          <w:szCs w:val="20"/>
        </w:rPr>
        <w:t xml:space="preserve">Thus, </w:t>
      </w:r>
      <w:r>
        <w:rPr>
          <w:rFonts w:eastAsia="SimSun"/>
          <w:szCs w:val="20"/>
        </w:rPr>
        <w:t>in order to ensure that the required load reduction occurs consistent with the requirements and obligations of Rider ELR, Rider ELR imposes mandatory penalties.  W</w:t>
      </w:r>
      <w:r w:rsidRPr="006F297B">
        <w:rPr>
          <w:rFonts w:eastAsia="SimSun"/>
          <w:szCs w:val="20"/>
        </w:rPr>
        <w:t>here a cu</w:t>
      </w:r>
      <w:r>
        <w:rPr>
          <w:rFonts w:eastAsia="SimSun"/>
          <w:szCs w:val="20"/>
        </w:rPr>
        <w:t xml:space="preserve">stomer fails to comply with Rider ELR’s </w:t>
      </w:r>
      <w:r w:rsidRPr="006F297B">
        <w:rPr>
          <w:rFonts w:eastAsia="SimSun"/>
          <w:szCs w:val="20"/>
        </w:rPr>
        <w:t xml:space="preserve">requirements at any time during an ECE, the imposition of the forfeiture and penalties is mandatory (“the customer </w:t>
      </w:r>
      <w:r w:rsidRPr="006F297B">
        <w:rPr>
          <w:rFonts w:eastAsia="SimSun"/>
          <w:szCs w:val="20"/>
          <w:u w:val="single"/>
        </w:rPr>
        <w:t>shall</w:t>
      </w:r>
      <w:r>
        <w:rPr>
          <w:rFonts w:eastAsia="SimSun"/>
          <w:szCs w:val="20"/>
        </w:rPr>
        <w:t xml:space="preserve"> be subject to. . . .</w:t>
      </w:r>
      <w:r w:rsidRPr="006F297B">
        <w:rPr>
          <w:rFonts w:eastAsia="SimSun"/>
          <w:szCs w:val="20"/>
        </w:rPr>
        <w:t>”).</w:t>
      </w:r>
      <w:r>
        <w:rPr>
          <w:rStyle w:val="FootnoteReference"/>
          <w:rFonts w:eastAsia="SimSun"/>
          <w:szCs w:val="20"/>
        </w:rPr>
        <w:footnoteReference w:id="12"/>
      </w:r>
      <w:r>
        <w:rPr>
          <w:rFonts w:eastAsia="SimSun"/>
          <w:szCs w:val="20"/>
        </w:rPr>
        <w:t xml:space="preserve">  While Rider ELR provides the Company </w:t>
      </w:r>
      <w:r w:rsidR="004767E7">
        <w:rPr>
          <w:rFonts w:eastAsia="SimSun"/>
          <w:szCs w:val="20"/>
        </w:rPr>
        <w:t xml:space="preserve">with </w:t>
      </w:r>
      <w:r>
        <w:rPr>
          <w:rFonts w:eastAsia="SimSun"/>
          <w:szCs w:val="20"/>
        </w:rPr>
        <w:t xml:space="preserve">discretion to also </w:t>
      </w:r>
      <w:r w:rsidRPr="006F297B">
        <w:rPr>
          <w:rFonts w:eastAsia="SimSun"/>
          <w:szCs w:val="20"/>
        </w:rPr>
        <w:t>disconnect</w:t>
      </w:r>
      <w:r>
        <w:rPr>
          <w:rFonts w:eastAsia="SimSun"/>
          <w:szCs w:val="20"/>
        </w:rPr>
        <w:t xml:space="preserve"> the customer’s service after the commencement of an ECE</w:t>
      </w:r>
      <w:r w:rsidRPr="006F297B">
        <w:rPr>
          <w:rFonts w:eastAsia="SimSun"/>
          <w:szCs w:val="20"/>
        </w:rPr>
        <w:t xml:space="preserve"> </w:t>
      </w:r>
      <w:r>
        <w:rPr>
          <w:rFonts w:eastAsia="SimSun"/>
          <w:szCs w:val="20"/>
        </w:rPr>
        <w:t>if the customer fails to comply</w:t>
      </w:r>
      <w:r w:rsidRPr="006F297B">
        <w:rPr>
          <w:rFonts w:eastAsia="SimSun"/>
          <w:szCs w:val="20"/>
        </w:rPr>
        <w:t xml:space="preserve"> (“the Company </w:t>
      </w:r>
      <w:r w:rsidRPr="006F297B">
        <w:rPr>
          <w:rFonts w:eastAsia="SimSun"/>
          <w:szCs w:val="20"/>
          <w:u w:val="single"/>
        </w:rPr>
        <w:t>may</w:t>
      </w:r>
      <w:r w:rsidRPr="006F297B">
        <w:rPr>
          <w:rFonts w:eastAsia="SimSun"/>
          <w:szCs w:val="20"/>
        </w:rPr>
        <w:t xml:space="preserve"> disconnect the customer…”</w:t>
      </w:r>
      <w:r>
        <w:rPr>
          <w:rStyle w:val="FootnoteReference"/>
          <w:rFonts w:eastAsia="SimSun"/>
          <w:szCs w:val="20"/>
        </w:rPr>
        <w:footnoteReference w:id="13"/>
      </w:r>
      <w:r w:rsidRPr="006F297B">
        <w:rPr>
          <w:rFonts w:eastAsia="SimSun"/>
          <w:szCs w:val="20"/>
        </w:rPr>
        <w:t xml:space="preserve">), </w:t>
      </w:r>
      <w:r>
        <w:rPr>
          <w:rFonts w:eastAsia="SimSun"/>
          <w:szCs w:val="20"/>
        </w:rPr>
        <w:t xml:space="preserve">the forfeiture and penalties remain </w:t>
      </w:r>
      <w:r w:rsidR="004767E7">
        <w:rPr>
          <w:rFonts w:eastAsia="SimSun"/>
          <w:szCs w:val="20"/>
        </w:rPr>
        <w:t>mandatory</w:t>
      </w:r>
      <w:r>
        <w:rPr>
          <w:rFonts w:eastAsia="SimSun"/>
          <w:szCs w:val="20"/>
        </w:rPr>
        <w:t>.</w:t>
      </w:r>
    </w:p>
    <w:p w:rsidR="004C64C7" w:rsidRPr="00403C66" w:rsidRDefault="004C64C7" w:rsidP="008C2A5C">
      <w:pPr>
        <w:pStyle w:val="Heading2"/>
      </w:pPr>
      <w:r>
        <w:br w:type="page"/>
      </w:r>
      <w:bookmarkStart w:id="2" w:name="_Toc379801510"/>
      <w:r>
        <w:lastRenderedPageBreak/>
        <w:t xml:space="preserve">Complainant Failed </w:t>
      </w:r>
      <w:proofErr w:type="gramStart"/>
      <w:r>
        <w:t>To</w:t>
      </w:r>
      <w:proofErr w:type="gramEnd"/>
      <w:r>
        <w:t xml:space="preserve"> Adhere To The Requirements Of Rider ELR On September 11, 2013 And, Therefore, Is </w:t>
      </w:r>
      <w:r w:rsidRPr="006F297B">
        <w:t xml:space="preserve">Subject </w:t>
      </w:r>
      <w:r>
        <w:t>T</w:t>
      </w:r>
      <w:r w:rsidRPr="006F297B">
        <w:t xml:space="preserve">o </w:t>
      </w:r>
      <w:r>
        <w:t xml:space="preserve">The Rider’s Forfeiture and </w:t>
      </w:r>
      <w:r w:rsidRPr="006F297B">
        <w:t>Penalty Provisions.</w:t>
      </w:r>
      <w:bookmarkEnd w:id="2"/>
    </w:p>
    <w:p w:rsidR="004C64C7" w:rsidRDefault="004C64C7" w:rsidP="008C2A5C">
      <w:pPr>
        <w:spacing w:line="480" w:lineRule="auto"/>
        <w:ind w:firstLine="720"/>
        <w:jc w:val="both"/>
        <w:outlineLvl w:val="0"/>
        <w:rPr>
          <w:rFonts w:eastAsia="SimSun"/>
          <w:szCs w:val="20"/>
        </w:rPr>
      </w:pPr>
      <w:r w:rsidRPr="006F297B">
        <w:rPr>
          <w:rFonts w:eastAsia="SimSun"/>
          <w:szCs w:val="20"/>
        </w:rPr>
        <w:t>Complainant operates a galvanizing, plating and coating plant known as the MSC Walbridge Coatings Facility at 30610 E. Broadway Street, Walbridge, Ohio (“Facility”).</w:t>
      </w:r>
      <w:r>
        <w:rPr>
          <w:rStyle w:val="FootnoteReference"/>
          <w:rFonts w:eastAsia="SimSun"/>
          <w:szCs w:val="20"/>
        </w:rPr>
        <w:footnoteReference w:id="14"/>
      </w:r>
      <w:r w:rsidRPr="006F297B">
        <w:rPr>
          <w:rFonts w:eastAsia="SimSun"/>
          <w:szCs w:val="20"/>
        </w:rPr>
        <w:t xml:space="preserve">  </w:t>
      </w:r>
      <w:r>
        <w:rPr>
          <w:rFonts w:eastAsia="SimSun"/>
          <w:szCs w:val="20"/>
        </w:rPr>
        <w:t>The Company</w:t>
      </w:r>
      <w:r w:rsidRPr="006F297B">
        <w:rPr>
          <w:rFonts w:eastAsia="SimSun"/>
          <w:szCs w:val="20"/>
        </w:rPr>
        <w:t xml:space="preserve"> provides the Faci</w:t>
      </w:r>
      <w:r>
        <w:rPr>
          <w:rFonts w:eastAsia="SimSun"/>
          <w:szCs w:val="20"/>
        </w:rPr>
        <w:t>lity with service in accordance with the Schedule</w:t>
      </w:r>
      <w:r w:rsidRPr="006F297B">
        <w:rPr>
          <w:rFonts w:eastAsia="SimSun"/>
          <w:szCs w:val="20"/>
        </w:rPr>
        <w:t>.</w:t>
      </w:r>
      <w:r>
        <w:rPr>
          <w:rStyle w:val="FootnoteReference"/>
          <w:rFonts w:eastAsia="SimSun"/>
          <w:szCs w:val="20"/>
        </w:rPr>
        <w:footnoteReference w:id="15"/>
      </w:r>
      <w:r w:rsidRPr="006F297B">
        <w:rPr>
          <w:rFonts w:eastAsia="SimSun"/>
          <w:szCs w:val="20"/>
        </w:rPr>
        <w:t xml:space="preserve">  </w:t>
      </w:r>
      <w:r>
        <w:rPr>
          <w:rFonts w:eastAsia="SimSun"/>
          <w:szCs w:val="20"/>
        </w:rPr>
        <w:t xml:space="preserve">The Facility </w:t>
      </w:r>
      <w:r w:rsidRPr="006F297B">
        <w:rPr>
          <w:rFonts w:eastAsia="SimSun"/>
          <w:szCs w:val="20"/>
        </w:rPr>
        <w:t xml:space="preserve">voluntarily elected, via execution of a contract addendum, </w:t>
      </w:r>
      <w:r>
        <w:rPr>
          <w:rFonts w:eastAsia="SimSun"/>
          <w:szCs w:val="20"/>
        </w:rPr>
        <w:t>to receive service under Rider ELR for the period in question.</w:t>
      </w:r>
      <w:r>
        <w:rPr>
          <w:rStyle w:val="FootnoteReference"/>
          <w:rFonts w:eastAsia="SimSun"/>
          <w:szCs w:val="20"/>
        </w:rPr>
        <w:footnoteReference w:id="16"/>
      </w:r>
      <w:r>
        <w:rPr>
          <w:rFonts w:eastAsia="SimSun"/>
          <w:szCs w:val="20"/>
        </w:rPr>
        <w:t xml:space="preserve">  </w:t>
      </w:r>
    </w:p>
    <w:p w:rsidR="004C64C7" w:rsidRDefault="004C64C7" w:rsidP="008C2A5C">
      <w:pPr>
        <w:spacing w:line="480" w:lineRule="auto"/>
        <w:ind w:firstLine="720"/>
        <w:jc w:val="both"/>
        <w:outlineLvl w:val="0"/>
        <w:rPr>
          <w:rFonts w:eastAsia="SimSun"/>
          <w:b/>
          <w:szCs w:val="20"/>
        </w:rPr>
      </w:pPr>
      <w:r>
        <w:rPr>
          <w:rFonts w:eastAsia="SimSun"/>
          <w:szCs w:val="20"/>
        </w:rPr>
        <w:t>PJM Interconnection, LLC (“PJM”), the Company’s regional transmission organization, called for five ECEs in 2013, as provided for under Rider ELR:  July 15, July 16, July 18, September 10, and September 11.</w:t>
      </w:r>
      <w:r>
        <w:rPr>
          <w:rStyle w:val="FootnoteReference"/>
          <w:rFonts w:eastAsia="SimSun"/>
          <w:szCs w:val="20"/>
        </w:rPr>
        <w:footnoteReference w:id="17"/>
      </w:r>
      <w:r>
        <w:rPr>
          <w:rFonts w:eastAsia="SimSun"/>
          <w:szCs w:val="20"/>
        </w:rPr>
        <w:t xml:space="preserve">  The Facility complied with its obligations under Rider ELR and reduced its load as required by the Rider in connection with the ECEs called on July 15, July 16, July 18, and September 10.</w:t>
      </w:r>
      <w:r>
        <w:rPr>
          <w:rStyle w:val="FootnoteReference"/>
          <w:rFonts w:eastAsia="SimSun"/>
          <w:szCs w:val="20"/>
        </w:rPr>
        <w:footnoteReference w:id="18"/>
      </w:r>
      <w:r>
        <w:rPr>
          <w:rFonts w:eastAsia="SimSun"/>
          <w:szCs w:val="20"/>
        </w:rPr>
        <w:t xml:space="preserve">  However, the Facility failed to comply with the ECE called on September 11, 2013. </w:t>
      </w:r>
    </w:p>
    <w:p w:rsidR="004C64C7" w:rsidRDefault="004C64C7" w:rsidP="005802D3">
      <w:pPr>
        <w:spacing w:line="480" w:lineRule="auto"/>
        <w:ind w:firstLine="720"/>
        <w:contextualSpacing/>
        <w:jc w:val="both"/>
        <w:rPr>
          <w:rFonts w:eastAsia="MS ??"/>
        </w:rPr>
      </w:pPr>
      <w:r>
        <w:rPr>
          <w:rFonts w:eastAsia="MS ??"/>
        </w:rPr>
        <w:t xml:space="preserve">On September 11, 2013, </w:t>
      </w:r>
      <w:r w:rsidRPr="006F297B">
        <w:rPr>
          <w:rFonts w:eastAsia="MS ??"/>
        </w:rPr>
        <w:t>PJM called a mandatory, six-hour ECE beginning at 2:00 PM EDT.</w:t>
      </w:r>
      <w:r>
        <w:rPr>
          <w:rStyle w:val="FootnoteReference"/>
          <w:rFonts w:eastAsia="MS ??"/>
        </w:rPr>
        <w:footnoteReference w:id="19"/>
      </w:r>
      <w:r w:rsidRPr="006F297B">
        <w:rPr>
          <w:rFonts w:eastAsia="MS ??"/>
        </w:rPr>
        <w:t xml:space="preserve">  </w:t>
      </w:r>
      <w:r>
        <w:rPr>
          <w:rFonts w:eastAsia="MS ??"/>
        </w:rPr>
        <w:t>The Company</w:t>
      </w:r>
      <w:r w:rsidRPr="006F297B">
        <w:rPr>
          <w:rFonts w:eastAsia="MS ??"/>
        </w:rPr>
        <w:t xml:space="preserve"> notified </w:t>
      </w:r>
      <w:r>
        <w:rPr>
          <w:rFonts w:eastAsia="MS ??"/>
        </w:rPr>
        <w:t>the Facility</w:t>
      </w:r>
      <w:r w:rsidRPr="006F297B">
        <w:rPr>
          <w:rFonts w:eastAsia="MS ??"/>
        </w:rPr>
        <w:t xml:space="preserve"> of the ECE by email sent on September 11, 2013</w:t>
      </w:r>
      <w:r>
        <w:rPr>
          <w:rFonts w:eastAsia="MS ??"/>
        </w:rPr>
        <w:t>,</w:t>
      </w:r>
      <w:r w:rsidRPr="006F297B">
        <w:rPr>
          <w:rFonts w:eastAsia="MS ??"/>
        </w:rPr>
        <w:t xml:space="preserve"> at 12:05 PM EDT.</w:t>
      </w:r>
      <w:r>
        <w:rPr>
          <w:rStyle w:val="FootnoteReference"/>
          <w:rFonts w:eastAsia="MS ??"/>
        </w:rPr>
        <w:footnoteReference w:id="20"/>
      </w:r>
      <w:r w:rsidRPr="006F297B">
        <w:rPr>
          <w:rFonts w:eastAsia="MS ??"/>
        </w:rPr>
        <w:t xml:space="preserve">  </w:t>
      </w:r>
      <w:r>
        <w:rPr>
          <w:rFonts w:eastAsia="MS ??"/>
        </w:rPr>
        <w:t>Consistent with Rider ELR, the Company</w:t>
      </w:r>
      <w:r w:rsidRPr="006F297B">
        <w:rPr>
          <w:rFonts w:eastAsia="MS ??"/>
        </w:rPr>
        <w:t xml:space="preserve"> </w:t>
      </w:r>
      <w:r>
        <w:rPr>
          <w:rFonts w:eastAsia="MS ??"/>
        </w:rPr>
        <w:t xml:space="preserve">started </w:t>
      </w:r>
      <w:r w:rsidRPr="006F297B">
        <w:rPr>
          <w:rFonts w:eastAsia="MS ??"/>
        </w:rPr>
        <w:t>measur</w:t>
      </w:r>
      <w:r>
        <w:rPr>
          <w:rFonts w:eastAsia="MS ??"/>
        </w:rPr>
        <w:t>ing</w:t>
      </w:r>
      <w:r w:rsidRPr="006F297B">
        <w:rPr>
          <w:rFonts w:eastAsia="MS ??"/>
        </w:rPr>
        <w:t xml:space="preserve"> the</w:t>
      </w:r>
      <w:r>
        <w:rPr>
          <w:rFonts w:eastAsia="MS ??"/>
        </w:rPr>
        <w:t xml:space="preserve"> Facility’s compliance with Rider ELR commencing with</w:t>
      </w:r>
      <w:r w:rsidRPr="006F297B">
        <w:rPr>
          <w:rFonts w:eastAsia="MS ??"/>
        </w:rPr>
        <w:t xml:space="preserve"> the first full half-hour of service </w:t>
      </w:r>
      <w:r>
        <w:rPr>
          <w:rFonts w:eastAsia="MS ??"/>
        </w:rPr>
        <w:t>that began two hours after the Company’s notice, 2:05 PM EDT</w:t>
      </w:r>
      <w:r w:rsidRPr="006F297B">
        <w:rPr>
          <w:rFonts w:eastAsia="MS ??"/>
        </w:rPr>
        <w:t xml:space="preserve"> (</w:t>
      </w:r>
      <w:r w:rsidRPr="006F297B">
        <w:rPr>
          <w:rFonts w:eastAsia="MS ??"/>
          <w:i/>
        </w:rPr>
        <w:t>i.e</w:t>
      </w:r>
      <w:r w:rsidRPr="006F297B">
        <w:rPr>
          <w:rFonts w:eastAsia="MS ??"/>
        </w:rPr>
        <w:t>., th</w:t>
      </w:r>
      <w:r>
        <w:rPr>
          <w:rFonts w:eastAsia="MS ??"/>
        </w:rPr>
        <w:t>e half-hour ending 3:00 PM EDT)</w:t>
      </w:r>
      <w:r w:rsidRPr="006F297B">
        <w:rPr>
          <w:rFonts w:eastAsia="MS ??"/>
        </w:rPr>
        <w:t xml:space="preserve">.  </w:t>
      </w:r>
      <w:r w:rsidR="001C05B9">
        <w:rPr>
          <w:rFonts w:eastAsia="MS ??"/>
        </w:rPr>
        <w:t>D</w:t>
      </w:r>
      <w:r>
        <w:rPr>
          <w:rFonts w:eastAsia="MS ??"/>
        </w:rPr>
        <w:t>uring the half hours ending</w:t>
      </w:r>
      <w:r w:rsidRPr="006F297B">
        <w:rPr>
          <w:rFonts w:eastAsia="MS ??"/>
        </w:rPr>
        <w:t xml:space="preserve"> 3:00 PM EDT and 3:30 PM EDT, the Facility’s </w:t>
      </w:r>
      <w:r>
        <w:rPr>
          <w:rFonts w:eastAsia="MS ??"/>
        </w:rPr>
        <w:t>m</w:t>
      </w:r>
      <w:r w:rsidRPr="006F297B">
        <w:rPr>
          <w:rFonts w:eastAsia="MS ??"/>
        </w:rPr>
        <w:t xml:space="preserve">easured </w:t>
      </w:r>
      <w:r>
        <w:rPr>
          <w:rFonts w:eastAsia="MS ??"/>
        </w:rPr>
        <w:t>l</w:t>
      </w:r>
      <w:r w:rsidRPr="006F297B">
        <w:rPr>
          <w:rFonts w:eastAsia="MS ??"/>
        </w:rPr>
        <w:t xml:space="preserve">oad </w:t>
      </w:r>
      <w:r w:rsidRPr="006F297B">
        <w:rPr>
          <w:rFonts w:eastAsia="MS ??"/>
        </w:rPr>
        <w:lastRenderedPageBreak/>
        <w:t xml:space="preserve">exceeded its Firm Load, in contravention of </w:t>
      </w:r>
      <w:r>
        <w:rPr>
          <w:rFonts w:eastAsia="MS ??"/>
        </w:rPr>
        <w:t xml:space="preserve">Rider ELR’s </w:t>
      </w:r>
      <w:r w:rsidRPr="006F297B">
        <w:rPr>
          <w:rFonts w:eastAsia="MS ??"/>
        </w:rPr>
        <w:t>requirements.</w:t>
      </w:r>
      <w:r>
        <w:rPr>
          <w:rStyle w:val="FootnoteReference"/>
          <w:rFonts w:eastAsia="MS ??"/>
        </w:rPr>
        <w:footnoteReference w:id="21"/>
      </w:r>
      <w:r>
        <w:rPr>
          <w:rFonts w:eastAsia="MS ??"/>
        </w:rPr>
        <w:t xml:space="preserve">  </w:t>
      </w:r>
      <w:r w:rsidRPr="006F297B">
        <w:rPr>
          <w:rFonts w:eastAsia="MS ??"/>
        </w:rPr>
        <w:t xml:space="preserve">Complainant admits that </w:t>
      </w:r>
      <w:r>
        <w:rPr>
          <w:rFonts w:eastAsia="MS ??"/>
        </w:rPr>
        <w:t xml:space="preserve">the Facility </w:t>
      </w:r>
      <w:r w:rsidRPr="006F297B">
        <w:rPr>
          <w:rFonts w:eastAsia="MS ??"/>
        </w:rPr>
        <w:t>failed to</w:t>
      </w:r>
      <w:r>
        <w:rPr>
          <w:rFonts w:eastAsia="MS ??"/>
        </w:rPr>
        <w:t xml:space="preserve"> reduce its load as required under Rider ELR </w:t>
      </w:r>
      <w:r w:rsidRPr="006F297B">
        <w:rPr>
          <w:rFonts w:eastAsia="MS ??"/>
        </w:rPr>
        <w:t>during the September 11, 2013 ECE.</w:t>
      </w:r>
      <w:r>
        <w:rPr>
          <w:rStyle w:val="FootnoteReference"/>
          <w:rFonts w:eastAsia="MS ??"/>
        </w:rPr>
        <w:footnoteReference w:id="22"/>
      </w:r>
      <w:r w:rsidRPr="006F297B">
        <w:rPr>
          <w:rFonts w:eastAsia="MS ??"/>
        </w:rPr>
        <w:t xml:space="preserve">   </w:t>
      </w:r>
      <w:r>
        <w:rPr>
          <w:rFonts w:eastAsia="MS ??"/>
        </w:rPr>
        <w:t xml:space="preserve"> </w:t>
      </w:r>
      <w:r w:rsidRPr="006F297B">
        <w:rPr>
          <w:rFonts w:eastAsia="MS ??"/>
        </w:rPr>
        <w:t xml:space="preserve">   </w:t>
      </w:r>
    </w:p>
    <w:p w:rsidR="004C64C7" w:rsidRDefault="004C64C7" w:rsidP="005802D3">
      <w:pPr>
        <w:spacing w:line="480" w:lineRule="auto"/>
        <w:ind w:firstLine="720"/>
        <w:jc w:val="both"/>
        <w:rPr>
          <w:rFonts w:eastAsia="SimSun"/>
          <w:szCs w:val="20"/>
          <w:lang w:eastAsia="zh-CN"/>
        </w:rPr>
      </w:pPr>
      <w:r w:rsidRPr="006F297B">
        <w:rPr>
          <w:rFonts w:eastAsia="SimSun"/>
          <w:szCs w:val="20"/>
        </w:rPr>
        <w:t xml:space="preserve">On October 4, 2013, </w:t>
      </w:r>
      <w:r>
        <w:rPr>
          <w:rFonts w:eastAsia="SimSun"/>
          <w:szCs w:val="20"/>
        </w:rPr>
        <w:t>the Company</w:t>
      </w:r>
      <w:r w:rsidRPr="006F297B">
        <w:rPr>
          <w:rFonts w:eastAsia="SimSun"/>
          <w:szCs w:val="20"/>
        </w:rPr>
        <w:t xml:space="preserve"> sent </w:t>
      </w:r>
      <w:r>
        <w:rPr>
          <w:rFonts w:eastAsia="SimSun"/>
          <w:szCs w:val="20"/>
        </w:rPr>
        <w:t>the Facility</w:t>
      </w:r>
      <w:r w:rsidRPr="006F297B">
        <w:rPr>
          <w:rFonts w:eastAsia="SimSun"/>
          <w:szCs w:val="20"/>
        </w:rPr>
        <w:t xml:space="preserve"> a </w:t>
      </w:r>
      <w:r>
        <w:rPr>
          <w:rFonts w:eastAsia="SimSun"/>
          <w:szCs w:val="20"/>
        </w:rPr>
        <w:t>p</w:t>
      </w:r>
      <w:r w:rsidRPr="006F297B">
        <w:rPr>
          <w:rFonts w:eastAsia="SimSun"/>
          <w:szCs w:val="20"/>
        </w:rPr>
        <w:t xml:space="preserve">enalty </w:t>
      </w:r>
      <w:r>
        <w:rPr>
          <w:rFonts w:eastAsia="SimSun"/>
          <w:szCs w:val="20"/>
        </w:rPr>
        <w:t>l</w:t>
      </w:r>
      <w:r w:rsidRPr="006F297B">
        <w:rPr>
          <w:rFonts w:eastAsia="SimSun"/>
          <w:szCs w:val="20"/>
        </w:rPr>
        <w:t xml:space="preserve">etter advising that, because </w:t>
      </w:r>
      <w:r>
        <w:rPr>
          <w:rFonts w:eastAsia="SimSun"/>
          <w:szCs w:val="20"/>
        </w:rPr>
        <w:t>the Facility’s measured load e</w:t>
      </w:r>
      <w:r w:rsidRPr="006F297B">
        <w:rPr>
          <w:rFonts w:eastAsia="SimSun"/>
          <w:szCs w:val="20"/>
        </w:rPr>
        <w:t xml:space="preserve">xceeded its contract Firm Load by more than 110% during the September 11, 2013 ECE, the penalties required under Rider ELR would be applied to </w:t>
      </w:r>
      <w:r>
        <w:rPr>
          <w:rFonts w:eastAsia="SimSun"/>
          <w:szCs w:val="20"/>
        </w:rPr>
        <w:t>the Facility’s</w:t>
      </w:r>
      <w:r w:rsidRPr="006F297B">
        <w:rPr>
          <w:rFonts w:eastAsia="SimSun"/>
          <w:szCs w:val="20"/>
        </w:rPr>
        <w:t xml:space="preserve"> bill.</w:t>
      </w:r>
      <w:r>
        <w:rPr>
          <w:rStyle w:val="FootnoteReference"/>
          <w:rFonts w:eastAsia="SimSun"/>
          <w:szCs w:val="20"/>
        </w:rPr>
        <w:footnoteReference w:id="23"/>
      </w:r>
      <w:r w:rsidRPr="006F297B">
        <w:rPr>
          <w:rFonts w:eastAsia="SimSun"/>
          <w:szCs w:val="20"/>
        </w:rPr>
        <w:t xml:space="preserve">  </w:t>
      </w:r>
      <w:r>
        <w:rPr>
          <w:rFonts w:eastAsia="SimSun"/>
          <w:szCs w:val="20"/>
        </w:rPr>
        <w:t xml:space="preserve">The total forfeiture and penalties required by Rider ELR </w:t>
      </w:r>
      <w:r w:rsidRPr="006F297B">
        <w:rPr>
          <w:rFonts w:eastAsia="SimSun"/>
          <w:szCs w:val="20"/>
        </w:rPr>
        <w:t xml:space="preserve">are $2,445,543.15 </w:t>
      </w:r>
      <w:r>
        <w:rPr>
          <w:rFonts w:eastAsia="SimSun"/>
          <w:szCs w:val="20"/>
        </w:rPr>
        <w:t>– which includes $99,760 in</w:t>
      </w:r>
      <w:r w:rsidRPr="006F297B">
        <w:rPr>
          <w:rFonts w:eastAsia="SimSun"/>
          <w:szCs w:val="20"/>
        </w:rPr>
        <w:t xml:space="preserve"> forfeiture of </w:t>
      </w:r>
      <w:r w:rsidR="001C05B9">
        <w:rPr>
          <w:rFonts w:eastAsia="SimSun"/>
          <w:szCs w:val="20"/>
        </w:rPr>
        <w:t xml:space="preserve">the </w:t>
      </w:r>
      <w:r w:rsidRPr="006F297B">
        <w:rPr>
          <w:rFonts w:eastAsia="SimSun"/>
          <w:szCs w:val="20"/>
        </w:rPr>
        <w:t xml:space="preserve">current month’s Rider ELR program credit; $162.15 </w:t>
      </w:r>
      <w:r>
        <w:rPr>
          <w:rFonts w:eastAsia="SimSun"/>
          <w:szCs w:val="20"/>
        </w:rPr>
        <w:t xml:space="preserve">for the </w:t>
      </w:r>
      <w:r w:rsidRPr="006F297B">
        <w:rPr>
          <w:rFonts w:eastAsia="SimSun"/>
          <w:szCs w:val="20"/>
        </w:rPr>
        <w:t xml:space="preserve">Rider ELR Emergency Curtailment Event Charge; and $2,345,621.00 </w:t>
      </w:r>
      <w:r>
        <w:rPr>
          <w:rFonts w:eastAsia="SimSun"/>
          <w:szCs w:val="20"/>
        </w:rPr>
        <w:t>in forfeiture of Rider</w:t>
      </w:r>
      <w:r w:rsidRPr="006F297B">
        <w:rPr>
          <w:rFonts w:eastAsia="SimSun"/>
          <w:szCs w:val="20"/>
        </w:rPr>
        <w:t xml:space="preserve"> ELR and EDR-b credits</w:t>
      </w:r>
      <w:r>
        <w:rPr>
          <w:rFonts w:eastAsia="SimSun"/>
          <w:szCs w:val="20"/>
        </w:rPr>
        <w:t xml:space="preserve"> received by the Facility</w:t>
      </w:r>
      <w:r w:rsidRPr="006F297B">
        <w:rPr>
          <w:rFonts w:eastAsia="SimSun"/>
          <w:szCs w:val="20"/>
        </w:rPr>
        <w:t xml:space="preserve"> for </w:t>
      </w:r>
      <w:r>
        <w:rPr>
          <w:rFonts w:eastAsia="SimSun"/>
          <w:szCs w:val="20"/>
        </w:rPr>
        <w:t xml:space="preserve">the </w:t>
      </w:r>
      <w:r w:rsidRPr="006F297B">
        <w:rPr>
          <w:rFonts w:eastAsia="SimSun"/>
          <w:szCs w:val="20"/>
        </w:rPr>
        <w:t>preceding 12 months.</w:t>
      </w:r>
      <w:r>
        <w:rPr>
          <w:rStyle w:val="FootnoteReference"/>
          <w:rFonts w:eastAsia="SimSun"/>
          <w:szCs w:val="20"/>
        </w:rPr>
        <w:footnoteReference w:id="24"/>
      </w:r>
      <w:r w:rsidRPr="006F297B">
        <w:rPr>
          <w:rFonts w:eastAsia="SimSun"/>
          <w:szCs w:val="20"/>
        </w:rPr>
        <w:t xml:space="preserve">  </w:t>
      </w:r>
      <w:r w:rsidRPr="006F297B">
        <w:rPr>
          <w:rFonts w:eastAsia="SimSun"/>
          <w:szCs w:val="20"/>
          <w:lang w:eastAsia="zh-CN"/>
        </w:rPr>
        <w:t>Though not required to do so</w:t>
      </w:r>
      <w:r>
        <w:rPr>
          <w:rFonts w:eastAsia="SimSun"/>
          <w:szCs w:val="20"/>
          <w:lang w:eastAsia="zh-CN"/>
        </w:rPr>
        <w:t xml:space="preserve"> and as </w:t>
      </w:r>
      <w:proofErr w:type="gramStart"/>
      <w:r>
        <w:rPr>
          <w:rFonts w:eastAsia="SimSun"/>
          <w:szCs w:val="20"/>
          <w:lang w:eastAsia="zh-CN"/>
        </w:rPr>
        <w:t>an</w:t>
      </w:r>
      <w:proofErr w:type="gramEnd"/>
      <w:r>
        <w:rPr>
          <w:rFonts w:eastAsia="SimSun"/>
          <w:szCs w:val="20"/>
          <w:lang w:eastAsia="zh-CN"/>
        </w:rPr>
        <w:t xml:space="preserve"> accommodation to Complainant</w:t>
      </w:r>
      <w:r w:rsidRPr="006F297B">
        <w:rPr>
          <w:rFonts w:eastAsia="SimSun"/>
          <w:szCs w:val="20"/>
          <w:lang w:eastAsia="zh-CN"/>
        </w:rPr>
        <w:t xml:space="preserve">, </w:t>
      </w:r>
      <w:r>
        <w:rPr>
          <w:rFonts w:eastAsia="SimSun"/>
          <w:szCs w:val="20"/>
          <w:lang w:eastAsia="zh-CN"/>
        </w:rPr>
        <w:t>the Company</w:t>
      </w:r>
      <w:r w:rsidRPr="006F297B">
        <w:rPr>
          <w:rFonts w:eastAsia="SimSun"/>
          <w:szCs w:val="20"/>
          <w:lang w:eastAsia="zh-CN"/>
        </w:rPr>
        <w:t xml:space="preserve"> </w:t>
      </w:r>
      <w:r>
        <w:rPr>
          <w:rFonts w:eastAsia="SimSun"/>
          <w:szCs w:val="20"/>
          <w:lang w:eastAsia="zh-CN"/>
        </w:rPr>
        <w:t>offered</w:t>
      </w:r>
      <w:r w:rsidRPr="006F297B">
        <w:rPr>
          <w:rFonts w:eastAsia="SimSun"/>
          <w:szCs w:val="20"/>
          <w:lang w:eastAsia="zh-CN"/>
        </w:rPr>
        <w:t xml:space="preserve"> to recover those amounts </w:t>
      </w:r>
      <w:r>
        <w:rPr>
          <w:rFonts w:eastAsia="SimSun"/>
          <w:szCs w:val="20"/>
          <w:lang w:eastAsia="zh-CN"/>
        </w:rPr>
        <w:t xml:space="preserve">from the Facility </w:t>
      </w:r>
      <w:r w:rsidRPr="006F297B">
        <w:rPr>
          <w:rFonts w:eastAsia="SimSun"/>
          <w:szCs w:val="20"/>
          <w:lang w:eastAsia="zh-CN"/>
        </w:rPr>
        <w:t>over the next twelve billing months without a carrying charge</w:t>
      </w:r>
      <w:r>
        <w:rPr>
          <w:rFonts w:eastAsia="SimSun"/>
          <w:szCs w:val="20"/>
          <w:lang w:eastAsia="zh-CN"/>
        </w:rPr>
        <w:t>, rather than immediate payment of the full amount owed</w:t>
      </w:r>
      <w:r w:rsidRPr="006F297B">
        <w:rPr>
          <w:rFonts w:eastAsia="SimSun"/>
          <w:szCs w:val="20"/>
          <w:lang w:eastAsia="zh-CN"/>
        </w:rPr>
        <w:t>.</w:t>
      </w:r>
      <w:r>
        <w:rPr>
          <w:rStyle w:val="FootnoteReference"/>
          <w:rFonts w:eastAsia="SimSun"/>
          <w:szCs w:val="20"/>
          <w:lang w:eastAsia="zh-CN"/>
        </w:rPr>
        <w:footnoteReference w:id="25"/>
      </w:r>
      <w:r w:rsidRPr="006F297B">
        <w:rPr>
          <w:rFonts w:eastAsia="SimSun"/>
          <w:szCs w:val="20"/>
          <w:lang w:eastAsia="zh-CN"/>
        </w:rPr>
        <w:t xml:space="preserve">  </w:t>
      </w:r>
      <w:r>
        <w:rPr>
          <w:rFonts w:eastAsia="SimSun"/>
          <w:szCs w:val="20"/>
          <w:lang w:eastAsia="zh-CN"/>
        </w:rPr>
        <w:t>The Company did not disconnect the Facility’s service during the ECE and did not seek to remove the Facility from the Program.</w:t>
      </w:r>
    </w:p>
    <w:p w:rsidR="004C64C7" w:rsidRPr="006F297B" w:rsidRDefault="004C64C7" w:rsidP="00675CE0">
      <w:pPr>
        <w:tabs>
          <w:tab w:val="left" w:pos="720"/>
          <w:tab w:val="left" w:pos="9360"/>
        </w:tabs>
        <w:spacing w:after="240" w:line="480" w:lineRule="auto"/>
        <w:jc w:val="both"/>
        <w:rPr>
          <w:rFonts w:eastAsia="SimSun"/>
          <w:szCs w:val="20"/>
          <w:lang w:eastAsia="zh-CN"/>
        </w:rPr>
      </w:pPr>
      <w:r>
        <w:rPr>
          <w:rFonts w:eastAsia="SimSun"/>
          <w:szCs w:val="20"/>
          <w:lang w:eastAsia="zh-CN"/>
        </w:rPr>
        <w:tab/>
        <w:t>Complainant subsequently filed this Complaint asserting three causes of action.  In Count One, Complainant alleges that the Company’s application of the forfeiture and penalties required by Rider ELR were unjust and unreasonable because the Company provided insufficient notice of the ECE.</w:t>
      </w:r>
      <w:r>
        <w:rPr>
          <w:rStyle w:val="FootnoteReference"/>
          <w:rFonts w:eastAsia="SimSun"/>
          <w:szCs w:val="20"/>
          <w:lang w:eastAsia="zh-CN"/>
        </w:rPr>
        <w:footnoteReference w:id="26"/>
      </w:r>
      <w:r>
        <w:rPr>
          <w:rFonts w:eastAsia="SimSun"/>
          <w:szCs w:val="20"/>
          <w:lang w:eastAsia="zh-CN"/>
        </w:rPr>
        <w:t xml:space="preserve">  In Count Two, Complainant alleges that “circumstances” warrant mitigation of </w:t>
      </w:r>
      <w:r>
        <w:rPr>
          <w:rFonts w:eastAsia="SimSun"/>
          <w:szCs w:val="20"/>
          <w:lang w:eastAsia="zh-CN"/>
        </w:rPr>
        <w:lastRenderedPageBreak/>
        <w:t>Rider ELR’s forfeiture and penalties.</w:t>
      </w:r>
      <w:r>
        <w:rPr>
          <w:rStyle w:val="FootnoteReference"/>
          <w:rFonts w:eastAsia="SimSun"/>
          <w:szCs w:val="20"/>
          <w:lang w:eastAsia="zh-CN"/>
        </w:rPr>
        <w:footnoteReference w:id="27"/>
      </w:r>
      <w:r>
        <w:rPr>
          <w:rFonts w:eastAsia="SimSun"/>
          <w:szCs w:val="20"/>
          <w:lang w:eastAsia="zh-CN"/>
        </w:rPr>
        <w:t xml:space="preserve">  In Count Three, Complainant vaguely alleges that the rates charged by the Company to the Facility under Rider GEN and Rider NMB have resulted in unjust and unreasonable increases.</w:t>
      </w:r>
      <w:r>
        <w:rPr>
          <w:rStyle w:val="FootnoteReference"/>
          <w:rFonts w:eastAsia="SimSun"/>
          <w:szCs w:val="20"/>
          <w:lang w:eastAsia="zh-CN"/>
        </w:rPr>
        <w:footnoteReference w:id="28"/>
      </w:r>
      <w:r>
        <w:rPr>
          <w:rFonts w:eastAsia="SimSun"/>
          <w:szCs w:val="20"/>
          <w:lang w:eastAsia="zh-CN"/>
        </w:rPr>
        <w:t xml:space="preserve">  As set forth herein, these claims are insufficient and should be dismissed.</w:t>
      </w:r>
    </w:p>
    <w:p w:rsidR="004C64C7" w:rsidRPr="001D317C" w:rsidRDefault="004C64C7" w:rsidP="001D317C">
      <w:pPr>
        <w:pStyle w:val="Heading1"/>
        <w:rPr>
          <w:b w:val="0"/>
          <w:szCs w:val="20"/>
        </w:rPr>
      </w:pPr>
      <w:bookmarkStart w:id="3" w:name="_Toc379801511"/>
      <w:r w:rsidRPr="001D317C">
        <w:rPr>
          <w:rStyle w:val="Heading1Char"/>
          <w:b/>
        </w:rPr>
        <w:t>LAW &amp; ARGUMENT</w:t>
      </w:r>
      <w:bookmarkEnd w:id="3"/>
      <w:r w:rsidRPr="001D317C">
        <w:rPr>
          <w:b w:val="0"/>
          <w:szCs w:val="20"/>
        </w:rPr>
        <w:t xml:space="preserve"> </w:t>
      </w:r>
    </w:p>
    <w:p w:rsidR="004C64C7" w:rsidRDefault="004C64C7" w:rsidP="00230DC8">
      <w:pPr>
        <w:pStyle w:val="Heading2"/>
        <w:numPr>
          <w:ilvl w:val="1"/>
          <w:numId w:val="11"/>
        </w:numPr>
        <w:ind w:hanging="720"/>
      </w:pPr>
      <w:bookmarkStart w:id="4" w:name="_Toc379801512"/>
      <w:r>
        <w:t xml:space="preserve">Complainant’s Claims Are Barred </w:t>
      </w:r>
      <w:proofErr w:type="gramStart"/>
      <w:r>
        <w:t>As A Matter Of Law Because Complainant Agreed To The Relevant Tariffs In The</w:t>
      </w:r>
      <w:proofErr w:type="gramEnd"/>
      <w:r>
        <w:t xml:space="preserve"> Company’s ESP II Proceeding.</w:t>
      </w:r>
      <w:bookmarkEnd w:id="4"/>
    </w:p>
    <w:p w:rsidR="004C64C7" w:rsidRDefault="004C64C7" w:rsidP="00490144">
      <w:pPr>
        <w:spacing w:line="480" w:lineRule="auto"/>
        <w:jc w:val="both"/>
      </w:pPr>
      <w:r>
        <w:tab/>
        <w:t>Complainant was a signatory party to the Company’s ESP II, which was litigated before the Commission and eventually approved by the Commission.</w:t>
      </w:r>
      <w:r>
        <w:rPr>
          <w:rStyle w:val="FootnoteReference"/>
        </w:rPr>
        <w:footnoteReference w:id="29"/>
      </w:r>
      <w:r>
        <w:t xml:space="preserve">  Nevertheless, Complainant’s claims here that the tariffs that </w:t>
      </w:r>
      <w:r w:rsidRPr="00A4785D">
        <w:rPr>
          <w:u w:val="single"/>
        </w:rPr>
        <w:t xml:space="preserve">it supported </w:t>
      </w:r>
      <w:r>
        <w:t xml:space="preserve">as part of the ESP II Stipulation, and that the Commission approved, are now unreasonable or unlawful.  Those claims are barred as a matter of law.  Indeed, the Commission has previously precluded parties from taking positions inconsistent with those they agreed to in a stipulation.  For example:  </w:t>
      </w:r>
    </w:p>
    <w:p w:rsidR="004C64C7" w:rsidRDefault="004C64C7" w:rsidP="00490144">
      <w:pPr>
        <w:ind w:left="1440" w:right="1440"/>
        <w:jc w:val="both"/>
      </w:pPr>
      <w:r w:rsidRPr="00490144">
        <w:rPr>
          <w:u w:val="single"/>
        </w:rPr>
        <w:t>The OCC was a signatory party to both the ETP Stipulation and the RSP Stipulation</w:t>
      </w:r>
      <w:r w:rsidRPr="00490144">
        <w:t xml:space="preserve">. We approved the Stipulations . . . .  With respect to the RSP Stipulation, which specified that adjustments to the distribution rate freeze should be made through the filing of an “ATA” application, OCC claimed that the RSP Stipulation, as a package, benefited ratepayers and the public interest.  Moreover, OCC represented to the Commission that the RSP Stipulation did not violate any important regulatory principle.  If OCC believed that the adjustments to the distribution rate freeze for recovery of storm damage expenses could be made only by an application for an increase in rates rather than through an application for tariff approval, </w:t>
      </w:r>
      <w:r w:rsidRPr="00490144">
        <w:rPr>
          <w:u w:val="single"/>
        </w:rPr>
        <w:t xml:space="preserve">OCC could have and should have raised that issue with </w:t>
      </w:r>
      <w:r w:rsidRPr="00490144">
        <w:rPr>
          <w:u w:val="single"/>
        </w:rPr>
        <w:lastRenderedPageBreak/>
        <w:t>the Commission at the time the RSP Stipulation was submitted to the Commission for approval</w:t>
      </w:r>
      <w:r w:rsidRPr="00490144">
        <w:t>.</w:t>
      </w:r>
      <w:r>
        <w:rPr>
          <w:rStyle w:val="FootnoteReference"/>
        </w:rPr>
        <w:footnoteReference w:id="30"/>
      </w:r>
    </w:p>
    <w:p w:rsidR="004C64C7" w:rsidRPr="00490144" w:rsidRDefault="004C64C7" w:rsidP="00490144">
      <w:pPr>
        <w:ind w:left="1440" w:right="1440"/>
        <w:jc w:val="both"/>
      </w:pPr>
    </w:p>
    <w:p w:rsidR="004C64C7" w:rsidRDefault="004C64C7" w:rsidP="00A34849">
      <w:pPr>
        <w:spacing w:line="480" w:lineRule="auto"/>
        <w:jc w:val="both"/>
        <w:rPr>
          <w:i/>
        </w:rPr>
      </w:pPr>
      <w:r w:rsidRPr="00490144">
        <w:t>Complainant should be similarly barred here.</w:t>
      </w:r>
    </w:p>
    <w:p w:rsidR="004C64C7" w:rsidRPr="00490144" w:rsidRDefault="004C64C7" w:rsidP="00A34849">
      <w:pPr>
        <w:spacing w:line="480" w:lineRule="auto"/>
        <w:jc w:val="both"/>
        <w:rPr>
          <w:i/>
        </w:rPr>
      </w:pPr>
      <w:r>
        <w:tab/>
      </w:r>
      <w:r w:rsidRPr="00490144">
        <w:t>In connection with the ESP II Stipulation, Complainant agreed that the Company’s ESP II, containing the terms and conditions for Rider ELR, Rider GEN, and Rider NMB, were beneficial for customers, supported state policy, and were reasonable.  Specifically, Complainant agreed that:</w:t>
      </w:r>
    </w:p>
    <w:p w:rsidR="004C64C7" w:rsidRPr="00490144" w:rsidRDefault="004C64C7" w:rsidP="00A34849">
      <w:pPr>
        <w:pStyle w:val="Bullet"/>
        <w:rPr>
          <w:i/>
        </w:rPr>
      </w:pPr>
      <w:r w:rsidRPr="00490144">
        <w:t>“This Stipulation is supported by adequate data and information; represents a just and reasonable resolution of issues in this proceeding; violates no regulatory principle or precedent; and is the product of lengthy, serious bargaining among knowledgeable and capable Signatory Parties in a cooperative process and undertaken by the Signatory Parties representing a wide range of interests to resolve the aforementioned issues.”</w:t>
      </w:r>
      <w:r>
        <w:rPr>
          <w:rStyle w:val="FootnoteReference"/>
        </w:rPr>
        <w:footnoteReference w:id="31"/>
      </w:r>
      <w:r w:rsidRPr="00490144">
        <w:t xml:space="preserve">  </w:t>
      </w:r>
    </w:p>
    <w:p w:rsidR="004C64C7" w:rsidRPr="00490144" w:rsidRDefault="004C64C7" w:rsidP="00A34849">
      <w:pPr>
        <w:pStyle w:val="Bullet"/>
        <w:rPr>
          <w:i/>
        </w:rPr>
      </w:pPr>
      <w:r w:rsidRPr="00490144">
        <w:t>“The rates, together with other terms and conditions provided in the ESP, better assure customers of stabilized prices through the periods covered by the different aspects of the ESP and promote energy efficiency, economic development and provide support for low income customers.”</w:t>
      </w:r>
      <w:r>
        <w:rPr>
          <w:rStyle w:val="FootnoteReference"/>
        </w:rPr>
        <w:footnoteReference w:id="32"/>
      </w:r>
      <w:r w:rsidRPr="00490144">
        <w:t xml:space="preserve">  </w:t>
      </w:r>
    </w:p>
    <w:p w:rsidR="004C64C7" w:rsidRPr="00490144" w:rsidRDefault="004C64C7" w:rsidP="00A34849">
      <w:pPr>
        <w:pStyle w:val="Bullet"/>
        <w:rPr>
          <w:i/>
        </w:rPr>
      </w:pPr>
      <w:r w:rsidRPr="00490144">
        <w:t>“This ESP is more favorable in the aggregate to customers as compared to the expected results that would otherwise occur under an MRO alternative and represents a serious compromise of complex issues and involves substantial customer benefits that would not otherwise have been achievable.”</w:t>
      </w:r>
      <w:r>
        <w:rPr>
          <w:rStyle w:val="FootnoteReference"/>
        </w:rPr>
        <w:footnoteReference w:id="33"/>
      </w:r>
      <w:r w:rsidRPr="00490144">
        <w:t xml:space="preserve">  </w:t>
      </w:r>
    </w:p>
    <w:p w:rsidR="004C64C7" w:rsidRPr="00490144" w:rsidRDefault="004C64C7" w:rsidP="00A34849">
      <w:pPr>
        <w:pStyle w:val="Bullet"/>
        <w:rPr>
          <w:i/>
        </w:rPr>
      </w:pPr>
      <w:r w:rsidRPr="00490144">
        <w:t>“[E]ach Signatory Party agrees to and will support the reasonableness of the ESP and this Stipulation before the Commission, and to cause its counsel to do the same, and in any appeal from the Commission's adoption and/or enforcement of the ESP and this Stipulation.”</w:t>
      </w:r>
      <w:r>
        <w:rPr>
          <w:rStyle w:val="FootnoteReference"/>
        </w:rPr>
        <w:footnoteReference w:id="34"/>
      </w:r>
      <w:r w:rsidRPr="00490144">
        <w:t xml:space="preserve"> </w:t>
      </w:r>
      <w:r>
        <w:t xml:space="preserve"> </w:t>
      </w:r>
    </w:p>
    <w:p w:rsidR="004C64C7" w:rsidRPr="00490144" w:rsidRDefault="004C64C7" w:rsidP="00490144">
      <w:pPr>
        <w:spacing w:line="480" w:lineRule="auto"/>
        <w:jc w:val="both"/>
      </w:pPr>
      <w:r w:rsidRPr="00490144">
        <w:lastRenderedPageBreak/>
        <w:t>Thus, Complainant cannot come back now and raise complaints with the Commission regarding the riders, terms and conditions approved in ESP II when it failed to do so at the time the ESP II Stipulation was submitted to the Commission for approval.</w:t>
      </w:r>
    </w:p>
    <w:p w:rsidR="004C64C7" w:rsidRPr="00490144" w:rsidRDefault="004C64C7" w:rsidP="00490144">
      <w:pPr>
        <w:spacing w:line="480" w:lineRule="auto"/>
        <w:jc w:val="both"/>
      </w:pPr>
      <w:r w:rsidRPr="00490144">
        <w:tab/>
        <w:t>The doctrines of res judicata and collateral estoppel also are applicable and bar Complainant’s claims.  The Ohio Supreme Court has held that the doctrines apply in administrative proceedings before the Commission and bar a party from attempting to reopen an issue that was “previously determined to be proper.”</w:t>
      </w:r>
      <w:r>
        <w:rPr>
          <w:rStyle w:val="FootnoteReference"/>
        </w:rPr>
        <w:footnoteReference w:id="35"/>
      </w:r>
      <w:r w:rsidRPr="00490144">
        <w:t xml:space="preserve">  The reasonableness of the Company’s interruptible, generation, and transmission riders was at issue and litigated in the Company’s ESP II proceeding.  Complainant and the Company were parties to that proceeding.  In fact, in the course of that proceeding, Complainant explicitly agreed that Rider ELR, Rider GEN, and Rider NMB were reasonable.</w:t>
      </w:r>
      <w:r>
        <w:rPr>
          <w:rStyle w:val="FootnoteReference"/>
        </w:rPr>
        <w:footnoteReference w:id="36"/>
      </w:r>
      <w:r w:rsidRPr="00490144">
        <w:t xml:space="preserve">  </w:t>
      </w:r>
      <w:r>
        <w:t>A</w:t>
      </w:r>
      <w:r w:rsidRPr="00490144">
        <w:t xml:space="preserve">s a result, Complainant cannot come back now and claim that the riders are anything but reasonable.  </w:t>
      </w:r>
    </w:p>
    <w:p w:rsidR="004C64C7" w:rsidRPr="00230DC8" w:rsidRDefault="004C64C7" w:rsidP="00490144">
      <w:pPr>
        <w:spacing w:line="480" w:lineRule="auto"/>
        <w:jc w:val="both"/>
      </w:pPr>
      <w:r w:rsidRPr="00490144">
        <w:tab/>
        <w:t>Complainant’s</w:t>
      </w:r>
      <w:r>
        <w:t xml:space="preserve"> claims regarding the propriety of the Company’s interruptible Tariff and generation/transmission riders are barred as a matter of law and should be dismissed.</w:t>
      </w:r>
    </w:p>
    <w:p w:rsidR="004C64C7" w:rsidRPr="00B40EFA" w:rsidRDefault="004C64C7" w:rsidP="00CC4900">
      <w:pPr>
        <w:pStyle w:val="Heading2"/>
        <w:keepNext/>
        <w:numPr>
          <w:ilvl w:val="1"/>
          <w:numId w:val="11"/>
        </w:numPr>
        <w:ind w:hanging="720"/>
      </w:pPr>
      <w:bookmarkStart w:id="5" w:name="_Toc379801513"/>
      <w:r w:rsidRPr="00B40EFA">
        <w:rPr>
          <w:szCs w:val="20"/>
        </w:rPr>
        <w:t xml:space="preserve">The Complaint </w:t>
      </w:r>
      <w:r>
        <w:rPr>
          <w:szCs w:val="20"/>
        </w:rPr>
        <w:t>Also S</w:t>
      </w:r>
      <w:r w:rsidRPr="00B40EFA">
        <w:rPr>
          <w:szCs w:val="20"/>
        </w:rPr>
        <w:t xml:space="preserve">hould </w:t>
      </w:r>
      <w:r>
        <w:rPr>
          <w:szCs w:val="20"/>
        </w:rPr>
        <w:t>B</w:t>
      </w:r>
      <w:r w:rsidRPr="00B40EFA">
        <w:rPr>
          <w:szCs w:val="20"/>
        </w:rPr>
        <w:t xml:space="preserve">e </w:t>
      </w:r>
      <w:r>
        <w:rPr>
          <w:szCs w:val="20"/>
        </w:rPr>
        <w:t>D</w:t>
      </w:r>
      <w:r w:rsidRPr="00B40EFA">
        <w:rPr>
          <w:szCs w:val="20"/>
        </w:rPr>
        <w:t xml:space="preserve">ismissed </w:t>
      </w:r>
      <w:r>
        <w:rPr>
          <w:szCs w:val="20"/>
        </w:rPr>
        <w:t>B</w:t>
      </w:r>
      <w:r w:rsidRPr="00B40EFA">
        <w:rPr>
          <w:szCs w:val="20"/>
        </w:rPr>
        <w:t xml:space="preserve">ecause </w:t>
      </w:r>
      <w:r>
        <w:rPr>
          <w:szCs w:val="20"/>
        </w:rPr>
        <w:t>I</w:t>
      </w:r>
      <w:r w:rsidRPr="00B40EFA">
        <w:rPr>
          <w:szCs w:val="20"/>
        </w:rPr>
        <w:t xml:space="preserve">t </w:t>
      </w:r>
      <w:r>
        <w:rPr>
          <w:szCs w:val="20"/>
        </w:rPr>
        <w:t>F</w:t>
      </w:r>
      <w:r w:rsidRPr="00B40EFA">
        <w:rPr>
          <w:szCs w:val="20"/>
        </w:rPr>
        <w:t xml:space="preserve">ails </w:t>
      </w:r>
      <w:r>
        <w:rPr>
          <w:szCs w:val="20"/>
        </w:rPr>
        <w:t>To S</w:t>
      </w:r>
      <w:r w:rsidRPr="00B40EFA">
        <w:rPr>
          <w:szCs w:val="20"/>
        </w:rPr>
        <w:t xml:space="preserve">tate </w:t>
      </w:r>
      <w:r>
        <w:rPr>
          <w:szCs w:val="20"/>
        </w:rPr>
        <w:t>R</w:t>
      </w:r>
      <w:r w:rsidRPr="00B40EFA">
        <w:rPr>
          <w:szCs w:val="20"/>
        </w:rPr>
        <w:t xml:space="preserve">easonable </w:t>
      </w:r>
      <w:r>
        <w:rPr>
          <w:szCs w:val="20"/>
        </w:rPr>
        <w:t>G</w:t>
      </w:r>
      <w:r w:rsidRPr="00B40EFA">
        <w:rPr>
          <w:szCs w:val="20"/>
        </w:rPr>
        <w:t xml:space="preserve">rounds, </w:t>
      </w:r>
      <w:r>
        <w:rPr>
          <w:szCs w:val="20"/>
        </w:rPr>
        <w:t>A</w:t>
      </w:r>
      <w:r w:rsidRPr="00B40EFA">
        <w:rPr>
          <w:szCs w:val="20"/>
        </w:rPr>
        <w:t xml:space="preserve">s </w:t>
      </w:r>
      <w:r>
        <w:rPr>
          <w:szCs w:val="20"/>
        </w:rPr>
        <w:t>R</w:t>
      </w:r>
      <w:r w:rsidRPr="00B40EFA">
        <w:rPr>
          <w:szCs w:val="20"/>
        </w:rPr>
        <w:t xml:space="preserve">equired </w:t>
      </w:r>
      <w:r>
        <w:rPr>
          <w:szCs w:val="20"/>
        </w:rPr>
        <w:t>B</w:t>
      </w:r>
      <w:r w:rsidRPr="00B40EFA">
        <w:rPr>
          <w:szCs w:val="20"/>
        </w:rPr>
        <w:t>y R.C. § 4905.26.</w:t>
      </w:r>
      <w:bookmarkEnd w:id="5"/>
      <w:r w:rsidRPr="00B40EFA">
        <w:rPr>
          <w:szCs w:val="20"/>
        </w:rPr>
        <w:t xml:space="preserve">  </w:t>
      </w:r>
    </w:p>
    <w:p w:rsidR="004C64C7" w:rsidRDefault="004C64C7" w:rsidP="00CC4900">
      <w:pPr>
        <w:keepNext/>
        <w:spacing w:line="480" w:lineRule="auto"/>
        <w:ind w:firstLine="720"/>
        <w:jc w:val="both"/>
        <w:rPr>
          <w:rFonts w:eastAsia="SimSun"/>
          <w:szCs w:val="20"/>
        </w:rPr>
      </w:pPr>
      <w:r w:rsidRPr="006F297B">
        <w:rPr>
          <w:rFonts w:eastAsia="SimSun"/>
          <w:szCs w:val="20"/>
        </w:rPr>
        <w:t>The mere act of filing a complaint does not automatically trigger a</w:t>
      </w:r>
      <w:r>
        <w:rPr>
          <w:rFonts w:eastAsia="SimSun"/>
          <w:szCs w:val="20"/>
        </w:rPr>
        <w:t xml:space="preserve"> party’s right to a</w:t>
      </w:r>
      <w:r w:rsidRPr="006F297B">
        <w:rPr>
          <w:rFonts w:eastAsia="SimSun"/>
          <w:szCs w:val="20"/>
        </w:rPr>
        <w:t xml:space="preserve"> hearing before the Commission.  Rather, “[r]</w:t>
      </w:r>
      <w:proofErr w:type="spellStart"/>
      <w:r w:rsidRPr="006F297B">
        <w:rPr>
          <w:rFonts w:eastAsia="SimSun"/>
          <w:szCs w:val="20"/>
        </w:rPr>
        <w:t>easonable</w:t>
      </w:r>
      <w:proofErr w:type="spellEnd"/>
      <w:r w:rsidRPr="006F297B">
        <w:rPr>
          <w:rFonts w:eastAsia="SimSun"/>
          <w:szCs w:val="20"/>
        </w:rPr>
        <w:t xml:space="preserve"> grounds for the complaint must exist before the Public Utilities Commission, either upon its own initiative or upon the complaint of another party, can order a hearing, pursuant to R.C. 4905.26 . . .”</w:t>
      </w:r>
      <w:r>
        <w:rPr>
          <w:rStyle w:val="FootnoteReference"/>
          <w:rFonts w:eastAsia="SimSun"/>
          <w:szCs w:val="20"/>
        </w:rPr>
        <w:footnoteReference w:id="37"/>
      </w:r>
      <w:r w:rsidRPr="006F297B">
        <w:rPr>
          <w:rFonts w:eastAsia="SimSun"/>
          <w:szCs w:val="20"/>
        </w:rPr>
        <w:t xml:space="preserve">  </w:t>
      </w:r>
      <w:r>
        <w:rPr>
          <w:rFonts w:eastAsia="SimSun"/>
          <w:szCs w:val="20"/>
        </w:rPr>
        <w:t>Where</w:t>
      </w:r>
      <w:r w:rsidRPr="006F297B">
        <w:rPr>
          <w:rFonts w:eastAsia="SimSun"/>
          <w:szCs w:val="20"/>
        </w:rPr>
        <w:t xml:space="preserve"> the allegations, even </w:t>
      </w:r>
      <w:r w:rsidRPr="006F297B">
        <w:rPr>
          <w:rFonts w:eastAsia="SimSun"/>
          <w:szCs w:val="20"/>
        </w:rPr>
        <w:lastRenderedPageBreak/>
        <w:t>if true, do not provide reasonable grounds for a cognizable claim, the complaint must be dismissed.</w:t>
      </w:r>
      <w:r>
        <w:rPr>
          <w:rStyle w:val="FootnoteReference"/>
          <w:rFonts w:eastAsia="SimSun"/>
          <w:szCs w:val="20"/>
        </w:rPr>
        <w:footnoteReference w:id="38"/>
      </w:r>
      <w:r w:rsidRPr="006F297B">
        <w:rPr>
          <w:rFonts w:eastAsia="SimSun"/>
          <w:szCs w:val="20"/>
        </w:rPr>
        <w:t xml:space="preserve">    </w:t>
      </w:r>
    </w:p>
    <w:p w:rsidR="004C64C7" w:rsidRDefault="004C64C7" w:rsidP="00B40EFA">
      <w:pPr>
        <w:spacing w:line="480" w:lineRule="auto"/>
        <w:ind w:firstLine="720"/>
        <w:jc w:val="both"/>
        <w:rPr>
          <w:rFonts w:eastAsia="SimSun"/>
          <w:szCs w:val="20"/>
        </w:rPr>
      </w:pPr>
      <w:r>
        <w:rPr>
          <w:rFonts w:eastAsia="SimSun"/>
          <w:szCs w:val="20"/>
          <w:lang w:eastAsia="zh-CN"/>
        </w:rPr>
        <w:t xml:space="preserve">The </w:t>
      </w:r>
      <w:r w:rsidRPr="006F297B">
        <w:rPr>
          <w:rFonts w:eastAsia="SimSun"/>
          <w:szCs w:val="20"/>
          <w:lang w:eastAsia="zh-CN"/>
        </w:rPr>
        <w:t>“</w:t>
      </w:r>
      <w:r>
        <w:rPr>
          <w:rFonts w:eastAsia="SimSun"/>
          <w:szCs w:val="20"/>
          <w:lang w:eastAsia="zh-CN"/>
        </w:rPr>
        <w:t>r</w:t>
      </w:r>
      <w:r w:rsidRPr="006F297B">
        <w:rPr>
          <w:rFonts w:eastAsia="SimSun"/>
          <w:szCs w:val="20"/>
          <w:lang w:eastAsia="zh-CN"/>
        </w:rPr>
        <w:t xml:space="preserve">easonable grounds” </w:t>
      </w:r>
      <w:r>
        <w:rPr>
          <w:rFonts w:eastAsia="SimSun"/>
          <w:szCs w:val="20"/>
          <w:lang w:eastAsia="zh-CN"/>
        </w:rPr>
        <w:t xml:space="preserve">prerequisite </w:t>
      </w:r>
      <w:r w:rsidRPr="006F297B">
        <w:rPr>
          <w:rFonts w:eastAsia="SimSun"/>
          <w:szCs w:val="20"/>
          <w:lang w:eastAsia="zh-CN"/>
        </w:rPr>
        <w:t xml:space="preserve">necessarily requires that the complaint contain sufficient allegations of facts </w:t>
      </w:r>
      <w:r>
        <w:rPr>
          <w:rFonts w:eastAsia="SimSun"/>
          <w:szCs w:val="20"/>
          <w:lang w:eastAsia="zh-CN"/>
        </w:rPr>
        <w:t>that</w:t>
      </w:r>
      <w:r w:rsidRPr="006F297B">
        <w:rPr>
          <w:rFonts w:eastAsia="SimSun"/>
          <w:szCs w:val="20"/>
          <w:lang w:eastAsia="zh-CN"/>
        </w:rPr>
        <w:t xml:space="preserve"> could support a finding of </w:t>
      </w:r>
      <w:r>
        <w:rPr>
          <w:rFonts w:eastAsia="SimSun"/>
          <w:szCs w:val="20"/>
          <w:lang w:eastAsia="zh-CN"/>
        </w:rPr>
        <w:t>unjust, unreasonable, or unlawful charges</w:t>
      </w:r>
      <w:r w:rsidRPr="006F297B">
        <w:rPr>
          <w:rFonts w:eastAsia="SimSun"/>
          <w:szCs w:val="20"/>
          <w:lang w:eastAsia="zh-CN"/>
        </w:rPr>
        <w:t xml:space="preserve">.  A complaint that does not allege specific incidents of </w:t>
      </w:r>
      <w:proofErr w:type="spellStart"/>
      <w:r>
        <w:rPr>
          <w:rFonts w:eastAsia="SimSun"/>
          <w:szCs w:val="20"/>
          <w:lang w:eastAsia="zh-CN"/>
        </w:rPr>
        <w:t>violative</w:t>
      </w:r>
      <w:proofErr w:type="spellEnd"/>
      <w:r>
        <w:rPr>
          <w:rFonts w:eastAsia="SimSun"/>
          <w:szCs w:val="20"/>
          <w:lang w:eastAsia="zh-CN"/>
        </w:rPr>
        <w:t xml:space="preserve"> conduct</w:t>
      </w:r>
      <w:r w:rsidRPr="006F297B">
        <w:rPr>
          <w:rFonts w:eastAsia="SimSun"/>
          <w:szCs w:val="20"/>
          <w:lang w:eastAsia="zh-CN"/>
        </w:rPr>
        <w:t xml:space="preserve"> must be dismissed.</w:t>
      </w:r>
      <w:r>
        <w:rPr>
          <w:rStyle w:val="FootnoteReference"/>
          <w:rFonts w:eastAsia="SimSun"/>
          <w:szCs w:val="20"/>
          <w:lang w:eastAsia="zh-CN"/>
        </w:rPr>
        <w:footnoteReference w:id="39"/>
      </w:r>
      <w:r>
        <w:rPr>
          <w:rFonts w:eastAsia="SimSun"/>
          <w:szCs w:val="20"/>
          <w:lang w:eastAsia="zh-CN"/>
        </w:rPr>
        <w:t xml:space="preserve">  </w:t>
      </w:r>
      <w:r w:rsidRPr="00230DC8">
        <w:rPr>
          <w:rFonts w:eastAsia="SimSun"/>
          <w:szCs w:val="20"/>
          <w:u w:val="single"/>
          <w:lang w:eastAsia="zh-CN"/>
        </w:rPr>
        <w:t>Additionally, a complaint that fails to allege a violation of any statute, Commission rule, or order fails to state reasonable grounds and should be dismissed</w:t>
      </w:r>
      <w:r w:rsidRPr="006F297B">
        <w:rPr>
          <w:rFonts w:eastAsia="SimSun"/>
          <w:szCs w:val="20"/>
          <w:lang w:eastAsia="zh-CN"/>
        </w:rPr>
        <w:t>.</w:t>
      </w:r>
      <w:r>
        <w:rPr>
          <w:rStyle w:val="FootnoteReference"/>
          <w:rFonts w:eastAsia="SimSun"/>
          <w:szCs w:val="20"/>
          <w:lang w:eastAsia="zh-CN"/>
        </w:rPr>
        <w:footnoteReference w:id="40"/>
      </w:r>
      <w:r w:rsidRPr="006F297B">
        <w:rPr>
          <w:rFonts w:eastAsia="SimSun"/>
          <w:szCs w:val="20"/>
          <w:lang w:eastAsia="zh-CN"/>
        </w:rPr>
        <w:t xml:space="preserve">  </w:t>
      </w:r>
      <w:r w:rsidRPr="006F297B">
        <w:rPr>
          <w:rFonts w:eastAsia="SimSun"/>
          <w:szCs w:val="20"/>
        </w:rPr>
        <w:t>The Commission routinely dismisses such cases.</w:t>
      </w:r>
      <w:r>
        <w:rPr>
          <w:rStyle w:val="FootnoteReference"/>
          <w:rFonts w:eastAsia="SimSun"/>
          <w:szCs w:val="20"/>
        </w:rPr>
        <w:footnoteReference w:id="41"/>
      </w:r>
      <w:r w:rsidRPr="006F297B">
        <w:rPr>
          <w:rFonts w:eastAsia="SimSun"/>
          <w:szCs w:val="20"/>
        </w:rPr>
        <w:t xml:space="preserve">  </w:t>
      </w:r>
    </w:p>
    <w:p w:rsidR="004C64C7" w:rsidRPr="00B40EFA" w:rsidRDefault="004C64C7" w:rsidP="00B40EFA">
      <w:pPr>
        <w:spacing w:line="480" w:lineRule="auto"/>
        <w:ind w:firstLine="720"/>
        <w:jc w:val="both"/>
        <w:rPr>
          <w:rFonts w:eastAsia="SimSun"/>
          <w:szCs w:val="20"/>
          <w:lang w:eastAsia="zh-CN"/>
        </w:rPr>
      </w:pPr>
      <w:r>
        <w:rPr>
          <w:rFonts w:eastAsia="SimSun"/>
          <w:szCs w:val="20"/>
          <w:lang w:eastAsia="zh-CN"/>
        </w:rPr>
        <w:t xml:space="preserve">Here, Complainant claims that the Company’s application of the Rider ELR forfeiture and penalty provisions and other of the Company’s charges for electric service are unjust, unreasonable, and unlawful.  </w:t>
      </w:r>
      <w:r w:rsidRPr="006F297B">
        <w:rPr>
          <w:rFonts w:eastAsia="SimSun"/>
          <w:szCs w:val="20"/>
          <w:lang w:eastAsia="zh-CN"/>
        </w:rPr>
        <w:t>Complainant</w:t>
      </w:r>
      <w:r>
        <w:rPr>
          <w:rFonts w:eastAsia="SimSun"/>
          <w:szCs w:val="20"/>
          <w:lang w:eastAsia="zh-CN"/>
        </w:rPr>
        <w:t xml:space="preserve"> does not, however,</w:t>
      </w:r>
      <w:r w:rsidRPr="006F297B">
        <w:rPr>
          <w:rFonts w:eastAsia="SimSun"/>
          <w:szCs w:val="20"/>
          <w:lang w:eastAsia="zh-CN"/>
        </w:rPr>
        <w:t xml:space="preserve"> allege that </w:t>
      </w:r>
      <w:r>
        <w:rPr>
          <w:rFonts w:eastAsia="SimSun"/>
          <w:szCs w:val="20"/>
          <w:lang w:eastAsia="zh-CN"/>
        </w:rPr>
        <w:t>the Company</w:t>
      </w:r>
      <w:r w:rsidRPr="006F297B">
        <w:rPr>
          <w:rFonts w:eastAsia="SimSun"/>
          <w:szCs w:val="20"/>
          <w:lang w:eastAsia="zh-CN"/>
        </w:rPr>
        <w:t xml:space="preserve"> has violated any statute, tariff provision, or any rule, regulation, or order of the Commission</w:t>
      </w:r>
      <w:r>
        <w:rPr>
          <w:rFonts w:eastAsia="SimSun"/>
          <w:szCs w:val="20"/>
          <w:lang w:eastAsia="zh-CN"/>
        </w:rPr>
        <w:t>.  Instead, the Complaint reflects Complainant’s unhappiness with the Company’s otherwise proper application of its Schedule.  Accordingly, the Complaint lacks reasonable grounds and should be dismissed in its entirety</w:t>
      </w:r>
      <w:r w:rsidRPr="006F297B">
        <w:rPr>
          <w:rFonts w:eastAsia="SimSun"/>
          <w:szCs w:val="20"/>
          <w:lang w:eastAsia="zh-CN"/>
        </w:rPr>
        <w:t xml:space="preserve">.  </w:t>
      </w:r>
    </w:p>
    <w:p w:rsidR="004C64C7" w:rsidRPr="0042686B" w:rsidRDefault="004C64C7" w:rsidP="00B40EFA">
      <w:pPr>
        <w:pStyle w:val="Heading3"/>
        <w:keepNext/>
      </w:pPr>
      <w:bookmarkStart w:id="6" w:name="_Toc379801514"/>
      <w:r>
        <w:t xml:space="preserve">Counts One </w:t>
      </w:r>
      <w:proofErr w:type="gramStart"/>
      <w:r>
        <w:t>And</w:t>
      </w:r>
      <w:proofErr w:type="gramEnd"/>
      <w:r>
        <w:t xml:space="preserve"> Two Should Be Dismissed Because The Company Simply Applied The Terms Of Rider ELR To The Facility.</w:t>
      </w:r>
      <w:bookmarkEnd w:id="6"/>
      <w:r>
        <w:t xml:space="preserve">  </w:t>
      </w:r>
    </w:p>
    <w:p w:rsidR="004C64C7" w:rsidRDefault="004C64C7" w:rsidP="00B40EFA">
      <w:pPr>
        <w:keepNext/>
        <w:spacing w:line="480" w:lineRule="auto"/>
        <w:ind w:firstLine="720"/>
        <w:jc w:val="both"/>
        <w:outlineLvl w:val="0"/>
        <w:rPr>
          <w:rFonts w:eastAsia="SimSun"/>
          <w:szCs w:val="20"/>
        </w:rPr>
      </w:pPr>
      <w:r>
        <w:rPr>
          <w:rFonts w:eastAsia="SimSun"/>
          <w:szCs w:val="20"/>
        </w:rPr>
        <w:t xml:space="preserve">In Counts One and Two, Complainant alleges two nearly identical claims that the Facility should not be subject to the forfeiture and penalties called for in Rider ELR for non-compliance because the Company’s notice of the ECE was insufficient and/or because the penalties “require </w:t>
      </w:r>
      <w:r>
        <w:rPr>
          <w:rFonts w:eastAsia="SimSun"/>
          <w:szCs w:val="20"/>
        </w:rPr>
        <w:lastRenderedPageBreak/>
        <w:t>full mitigation” due to MSC’s purported (and unsuccessful) efforts to comply.</w:t>
      </w:r>
      <w:r>
        <w:rPr>
          <w:rStyle w:val="FootnoteReference"/>
          <w:rFonts w:eastAsia="SimSun"/>
          <w:szCs w:val="20"/>
        </w:rPr>
        <w:footnoteReference w:id="42"/>
      </w:r>
      <w:r>
        <w:rPr>
          <w:rFonts w:eastAsia="SimSun"/>
          <w:szCs w:val="20"/>
        </w:rPr>
        <w:t xml:space="preserve">  However, the terms of Rider ELR are clear and unambiguous and the Company properly followed them – as the Complaint essentially acknowledges.  </w:t>
      </w:r>
    </w:p>
    <w:p w:rsidR="004C64C7" w:rsidRPr="00B40EFA" w:rsidRDefault="004C64C7" w:rsidP="00B40EFA">
      <w:pPr>
        <w:pStyle w:val="Heading4"/>
      </w:pPr>
      <w:bookmarkStart w:id="7" w:name="_Toc379801515"/>
      <w:r w:rsidRPr="00B40EFA">
        <w:t xml:space="preserve">Pursuant to </w:t>
      </w:r>
      <w:r>
        <w:t>Rider ELR</w:t>
      </w:r>
      <w:r w:rsidRPr="00B40EFA">
        <w:t>, the Facility was required to curtail its load two hours after the Company’s notification of the ECE.</w:t>
      </w:r>
      <w:bookmarkEnd w:id="7"/>
    </w:p>
    <w:p w:rsidR="004C64C7" w:rsidRPr="006F297B" w:rsidRDefault="004C64C7" w:rsidP="00E16D55">
      <w:pPr>
        <w:spacing w:line="480" w:lineRule="auto"/>
        <w:ind w:firstLine="720"/>
        <w:jc w:val="both"/>
        <w:rPr>
          <w:rFonts w:eastAsia="SimSun"/>
          <w:szCs w:val="20"/>
        </w:rPr>
      </w:pPr>
      <w:r>
        <w:rPr>
          <w:rFonts w:eastAsia="SimSun"/>
          <w:szCs w:val="20"/>
        </w:rPr>
        <w:t>As set forth above, Rider ELR provides, in pertinent part, that: “[u]</w:t>
      </w:r>
      <w:proofErr w:type="spellStart"/>
      <w:r w:rsidRPr="006F297B">
        <w:rPr>
          <w:rFonts w:eastAsia="SimSun"/>
          <w:szCs w:val="20"/>
        </w:rPr>
        <w:t>pon</w:t>
      </w:r>
      <w:proofErr w:type="spellEnd"/>
      <w:r w:rsidRPr="006F297B">
        <w:rPr>
          <w:rFonts w:eastAsia="SimSun"/>
          <w:szCs w:val="20"/>
        </w:rPr>
        <w:t xml:space="preserve"> no less than two hours advance notification provided by the Company, a customer taking service under this rider must curtail all load above its Firm Load during an Emergency Curtailment Event consistent with the Company’s instructions.</w:t>
      </w:r>
      <w:r>
        <w:rPr>
          <w:rFonts w:eastAsia="SimSun"/>
          <w:szCs w:val="20"/>
        </w:rPr>
        <w:t>”</w:t>
      </w:r>
      <w:r>
        <w:rPr>
          <w:rStyle w:val="FootnoteReference"/>
          <w:rFonts w:eastAsia="SimSun"/>
          <w:szCs w:val="20"/>
        </w:rPr>
        <w:footnoteReference w:id="43"/>
      </w:r>
      <w:r>
        <w:rPr>
          <w:rFonts w:eastAsia="SimSun"/>
          <w:szCs w:val="20"/>
        </w:rPr>
        <w:t xml:space="preserve">  It is undisputed that the Company provided notice of the ECE to Complainant at 12:05 PM EDT on September 11, 2013.</w:t>
      </w:r>
      <w:r>
        <w:rPr>
          <w:rStyle w:val="FootnoteReference"/>
          <w:rFonts w:eastAsia="SimSun"/>
          <w:szCs w:val="20"/>
        </w:rPr>
        <w:footnoteReference w:id="44"/>
      </w:r>
      <w:r>
        <w:rPr>
          <w:rFonts w:eastAsia="SimSun"/>
          <w:szCs w:val="20"/>
        </w:rPr>
        <w:t xml:space="preserve">  Therefore, in accordance with Rider ELR, the Facility was not required to curtail its load until two hours after the Company’s notification – or by 2:05 PM EDT.  </w:t>
      </w:r>
      <w:r>
        <w:rPr>
          <w:rFonts w:eastAsia="SimSun"/>
          <w:szCs w:val="20"/>
          <w:lang w:eastAsia="zh-CN"/>
        </w:rPr>
        <w:t>Rider ELR does not require the Company to provide two hours advance notice of PJM’s ECE start time, as the Complaint suggests.  Instead, Rider ELR requires Complainant to have curtailed its load to its “Firm Load” two hours after receiving the ECE notice from the Company.  There is no dispute that Complainant failed to do so.</w:t>
      </w:r>
    </w:p>
    <w:p w:rsidR="004C64C7" w:rsidRDefault="004C64C7" w:rsidP="005D26A7">
      <w:pPr>
        <w:spacing w:line="480" w:lineRule="auto"/>
        <w:ind w:firstLine="720"/>
        <w:jc w:val="both"/>
        <w:outlineLvl w:val="0"/>
        <w:rPr>
          <w:rFonts w:eastAsia="SimSun"/>
          <w:szCs w:val="20"/>
          <w:lang w:eastAsia="zh-CN"/>
        </w:rPr>
      </w:pPr>
      <w:r>
        <w:rPr>
          <w:rFonts w:eastAsia="SimSun"/>
          <w:szCs w:val="20"/>
        </w:rPr>
        <w:t>Because Rider ELR calls for measured load to be calculated in half-hour increments, the Company</w:t>
      </w:r>
      <w:r w:rsidRPr="0056034B">
        <w:rPr>
          <w:rFonts w:eastAsia="SimSun"/>
          <w:szCs w:val="20"/>
        </w:rPr>
        <w:t xml:space="preserve"> </w:t>
      </w:r>
      <w:r>
        <w:rPr>
          <w:rFonts w:eastAsia="SimSun"/>
          <w:szCs w:val="20"/>
        </w:rPr>
        <w:t xml:space="preserve">only began to </w:t>
      </w:r>
      <w:r w:rsidRPr="0056034B">
        <w:rPr>
          <w:rFonts w:eastAsia="SimSun"/>
          <w:szCs w:val="20"/>
        </w:rPr>
        <w:t xml:space="preserve">measure the Facility’s compliance with </w:t>
      </w:r>
      <w:r>
        <w:rPr>
          <w:rFonts w:eastAsia="SimSun"/>
          <w:szCs w:val="20"/>
        </w:rPr>
        <w:t>Rider ELR</w:t>
      </w:r>
      <w:r w:rsidRPr="0056034B">
        <w:rPr>
          <w:rFonts w:eastAsia="SimSun"/>
          <w:szCs w:val="20"/>
        </w:rPr>
        <w:t xml:space="preserve"> </w:t>
      </w:r>
      <w:r>
        <w:rPr>
          <w:rFonts w:eastAsia="SimSun"/>
          <w:szCs w:val="20"/>
        </w:rPr>
        <w:t>as of</w:t>
      </w:r>
      <w:r w:rsidRPr="0056034B">
        <w:rPr>
          <w:rFonts w:eastAsia="SimSun"/>
          <w:szCs w:val="20"/>
        </w:rPr>
        <w:t xml:space="preserve"> the first full half-hour of service </w:t>
      </w:r>
      <w:r>
        <w:rPr>
          <w:rFonts w:eastAsia="SimSun"/>
          <w:szCs w:val="20"/>
        </w:rPr>
        <w:t>following</w:t>
      </w:r>
      <w:r w:rsidRPr="0056034B">
        <w:rPr>
          <w:rFonts w:eastAsia="SimSun"/>
          <w:szCs w:val="20"/>
        </w:rPr>
        <w:t xml:space="preserve"> the two-hour notification period ending at 2:05 PM EDT (</w:t>
      </w:r>
      <w:r w:rsidRPr="0056034B">
        <w:rPr>
          <w:rFonts w:eastAsia="SimSun"/>
          <w:i/>
          <w:szCs w:val="20"/>
        </w:rPr>
        <w:t>i.e</w:t>
      </w:r>
      <w:r w:rsidRPr="0056034B">
        <w:rPr>
          <w:rFonts w:eastAsia="SimSun"/>
          <w:szCs w:val="20"/>
        </w:rPr>
        <w:t xml:space="preserve">., the half-hour </w:t>
      </w:r>
      <w:r>
        <w:rPr>
          <w:rFonts w:eastAsia="SimSun"/>
          <w:szCs w:val="20"/>
        </w:rPr>
        <w:t xml:space="preserve">starting at 2:30 PM EDT and </w:t>
      </w:r>
      <w:r w:rsidRPr="0056034B">
        <w:rPr>
          <w:rFonts w:eastAsia="SimSun"/>
          <w:szCs w:val="20"/>
        </w:rPr>
        <w:t xml:space="preserve">ending 3:00 PM EDT), which was more than two hours after the Facility was notified of the ECE.  </w:t>
      </w:r>
      <w:r>
        <w:rPr>
          <w:rFonts w:eastAsia="SimSun"/>
          <w:szCs w:val="20"/>
        </w:rPr>
        <w:t xml:space="preserve">This means that </w:t>
      </w:r>
      <w:r w:rsidR="004767E7">
        <w:rPr>
          <w:rFonts w:eastAsia="SimSun"/>
          <w:szCs w:val="20"/>
        </w:rPr>
        <w:t xml:space="preserve">the Facility </w:t>
      </w:r>
      <w:r>
        <w:rPr>
          <w:rFonts w:eastAsia="SimSun"/>
          <w:szCs w:val="20"/>
        </w:rPr>
        <w:t>was under no obligation to curtail during the half-hour period from 2:00 PM EDT to 2:30 PM EDT</w:t>
      </w:r>
      <w:r w:rsidR="004767E7">
        <w:rPr>
          <w:rFonts w:eastAsia="SimSun"/>
          <w:szCs w:val="20"/>
        </w:rPr>
        <w:t xml:space="preserve"> – and that </w:t>
      </w:r>
      <w:r w:rsidR="00ED1182">
        <w:rPr>
          <w:rFonts w:eastAsia="SimSun"/>
          <w:szCs w:val="20"/>
        </w:rPr>
        <w:t>no</w:t>
      </w:r>
      <w:r w:rsidR="004767E7">
        <w:rPr>
          <w:rFonts w:eastAsia="SimSun"/>
          <w:szCs w:val="20"/>
        </w:rPr>
        <w:t xml:space="preserve"> penalties </w:t>
      </w:r>
      <w:r w:rsidR="00F172D0">
        <w:rPr>
          <w:rFonts w:eastAsia="SimSun"/>
          <w:szCs w:val="20"/>
        </w:rPr>
        <w:t>were applied to the Facility for not reducing to its Firm Load during that time period.</w:t>
      </w:r>
      <w:r>
        <w:rPr>
          <w:rFonts w:eastAsia="SimSun"/>
          <w:szCs w:val="20"/>
        </w:rPr>
        <w:t xml:space="preserve">  </w:t>
      </w:r>
      <w:r w:rsidR="004767E7">
        <w:rPr>
          <w:rFonts w:eastAsia="SimSun"/>
          <w:szCs w:val="20"/>
        </w:rPr>
        <w:t xml:space="preserve">The </w:t>
      </w:r>
      <w:r w:rsidR="004767E7">
        <w:rPr>
          <w:rFonts w:eastAsia="SimSun"/>
          <w:szCs w:val="20"/>
        </w:rPr>
        <w:lastRenderedPageBreak/>
        <w:t xml:space="preserve">Facility’s </w:t>
      </w:r>
      <w:r>
        <w:rPr>
          <w:rFonts w:eastAsia="SimSun"/>
          <w:szCs w:val="20"/>
        </w:rPr>
        <w:t xml:space="preserve">curtailment obligation period began at 2:30 PM EDT.  Thus, the Facility was provided with “no less than two hours advance notification” of its obligation to curtail all </w:t>
      </w:r>
      <w:proofErr w:type="gramStart"/>
      <w:r>
        <w:rPr>
          <w:rFonts w:eastAsia="SimSun"/>
          <w:szCs w:val="20"/>
        </w:rPr>
        <w:t>load</w:t>
      </w:r>
      <w:proofErr w:type="gramEnd"/>
      <w:r>
        <w:rPr>
          <w:rFonts w:eastAsia="SimSun"/>
          <w:szCs w:val="20"/>
        </w:rPr>
        <w:t xml:space="preserve"> above its Firm Load.  Nevertheless, the Facility failed to comply.  More than two hours after receiving notification of the ECE – in the half ho</w:t>
      </w:r>
      <w:r w:rsidRPr="0056034B">
        <w:rPr>
          <w:rFonts w:eastAsia="SimSun"/>
          <w:szCs w:val="20"/>
        </w:rPr>
        <w:t>urs ended 3:00 PM EDT and 3:30 PM EDT</w:t>
      </w:r>
      <w:r>
        <w:rPr>
          <w:rFonts w:eastAsia="SimSun"/>
          <w:szCs w:val="20"/>
        </w:rPr>
        <w:t xml:space="preserve"> – the Facility’s m</w:t>
      </w:r>
      <w:r w:rsidRPr="0056034B">
        <w:rPr>
          <w:rFonts w:eastAsia="SimSun"/>
          <w:szCs w:val="20"/>
        </w:rPr>
        <w:t xml:space="preserve">easured </w:t>
      </w:r>
      <w:r>
        <w:rPr>
          <w:rFonts w:eastAsia="SimSun"/>
          <w:szCs w:val="20"/>
        </w:rPr>
        <w:t>l</w:t>
      </w:r>
      <w:r w:rsidRPr="0056034B">
        <w:rPr>
          <w:rFonts w:eastAsia="SimSun"/>
          <w:szCs w:val="20"/>
        </w:rPr>
        <w:t>oad exceeded its Firm Load</w:t>
      </w:r>
      <w:r>
        <w:rPr>
          <w:rFonts w:eastAsia="SimSun"/>
          <w:szCs w:val="20"/>
        </w:rPr>
        <w:t xml:space="preserve"> by more than 110%.  (</w:t>
      </w:r>
      <w:r>
        <w:rPr>
          <w:rFonts w:eastAsia="SimSun"/>
          <w:szCs w:val="20"/>
          <w:lang w:eastAsia="zh-CN"/>
        </w:rPr>
        <w:t xml:space="preserve">It also bears noting that, even if the Company had provided notice of the ECE to Complainant five minutes earlier, at 12:00 PM EDT, </w:t>
      </w:r>
      <w:r w:rsidR="004767E7">
        <w:rPr>
          <w:rFonts w:eastAsia="SimSun"/>
          <w:szCs w:val="20"/>
          <w:lang w:eastAsia="zh-CN"/>
        </w:rPr>
        <w:t xml:space="preserve">the Facility </w:t>
      </w:r>
      <w:r>
        <w:rPr>
          <w:rFonts w:eastAsia="SimSun"/>
          <w:szCs w:val="20"/>
          <w:lang w:eastAsia="zh-CN"/>
        </w:rPr>
        <w:t xml:space="preserve">would still have failed to comply with Rider ELR because </w:t>
      </w:r>
      <w:r w:rsidR="004767E7">
        <w:rPr>
          <w:rFonts w:eastAsia="SimSun"/>
          <w:szCs w:val="20"/>
          <w:lang w:eastAsia="zh-CN"/>
        </w:rPr>
        <w:t xml:space="preserve">the Facility’s </w:t>
      </w:r>
      <w:r>
        <w:rPr>
          <w:rFonts w:eastAsia="SimSun"/>
          <w:szCs w:val="20"/>
          <w:lang w:eastAsia="zh-CN"/>
        </w:rPr>
        <w:t xml:space="preserve">measured load was in excess of 110% of its Firm Load as of both 3:00 PM EDT and 3:30 PM EDT, i.e. the penalty and forfeiture amounts </w:t>
      </w:r>
      <w:r w:rsidR="00F172D0">
        <w:rPr>
          <w:rFonts w:eastAsia="SimSun"/>
          <w:szCs w:val="20"/>
          <w:lang w:eastAsia="zh-CN"/>
        </w:rPr>
        <w:t xml:space="preserve">required under Rider ELR </w:t>
      </w:r>
      <w:r>
        <w:rPr>
          <w:rFonts w:eastAsia="SimSun"/>
          <w:szCs w:val="20"/>
          <w:lang w:eastAsia="zh-CN"/>
        </w:rPr>
        <w:t xml:space="preserve">would be the same.)  </w:t>
      </w:r>
    </w:p>
    <w:p w:rsidR="004C64C7" w:rsidRDefault="004C64C7" w:rsidP="0002354A">
      <w:pPr>
        <w:keepNext/>
        <w:spacing w:line="480" w:lineRule="auto"/>
        <w:ind w:firstLine="720"/>
        <w:jc w:val="both"/>
        <w:outlineLvl w:val="0"/>
        <w:rPr>
          <w:rFonts w:eastAsia="SimSun"/>
          <w:szCs w:val="20"/>
          <w:lang w:eastAsia="zh-CN"/>
        </w:rPr>
      </w:pPr>
      <w:r>
        <w:rPr>
          <w:rFonts w:eastAsia="SimSun"/>
          <w:szCs w:val="20"/>
          <w:lang w:eastAsia="zh-CN"/>
        </w:rPr>
        <w:t>Pursuant to Rider ELR, the Facility was obligated to curtail its load to its Firm Load within two hours of the Company’s notice and the Facility admittedly failed to do so.  The fact that the notice was provided at 12:05 PM EDT when PJM planned the ECE to begin at 2:00 PM EDT does not alleviate the Facility’s obligation to comply in the half hours ending at 3:00 PM EDT and 3:30 PM EDT, which i</w:t>
      </w:r>
      <w:r w:rsidR="004767E7">
        <w:rPr>
          <w:rFonts w:eastAsia="SimSun"/>
          <w:szCs w:val="20"/>
          <w:lang w:eastAsia="zh-CN"/>
        </w:rPr>
        <w:t>t</w:t>
      </w:r>
      <w:r>
        <w:rPr>
          <w:rFonts w:eastAsia="SimSun"/>
          <w:szCs w:val="20"/>
          <w:lang w:eastAsia="zh-CN"/>
        </w:rPr>
        <w:t xml:space="preserve"> failed to do.</w:t>
      </w:r>
    </w:p>
    <w:p w:rsidR="004C64C7" w:rsidRDefault="004C64C7" w:rsidP="00B40EFA">
      <w:pPr>
        <w:pStyle w:val="Heading4"/>
      </w:pPr>
      <w:bookmarkStart w:id="8" w:name="_Toc379801516"/>
      <w:r>
        <w:t>Rider ELR provides a significant source of demand reduction that promotes system reliability and warrants the Commission-approved forfeiture and penalties.</w:t>
      </w:r>
      <w:bookmarkEnd w:id="8"/>
    </w:p>
    <w:p w:rsidR="004C64C7" w:rsidRDefault="004C64C7" w:rsidP="00E82EC2">
      <w:pPr>
        <w:spacing w:line="480" w:lineRule="auto"/>
        <w:ind w:firstLine="720"/>
        <w:jc w:val="both"/>
        <w:rPr>
          <w:rFonts w:eastAsia="SimSun"/>
          <w:szCs w:val="20"/>
          <w:lang w:eastAsia="zh-CN"/>
        </w:rPr>
      </w:pPr>
      <w:r>
        <w:rPr>
          <w:rFonts w:eastAsia="SimSun"/>
          <w:szCs w:val="20"/>
          <w:lang w:eastAsia="zh-CN"/>
        </w:rPr>
        <w:t>It is clear that Complainant’s arguments must fail because, taken to their logical end, Complainant’s position would lead to an irrational result.  PJM’s September 11, 2013 ECE began at 2:00 PM EDT; the Company sent notice of the ECE at 12:05 PM EDT; and the Facility did not sufficiently curtail its load until the half-hour ending 4:00 PM EDT.  Based on the five minute difference between PJM’s noticed start time of 2:00 PM EDT and two hours after the Company’s notice, 2:05 PM EDT, Complainant takes the untenable position that it should be relieved of its obligation to curtail its load altogether.  S</w:t>
      </w:r>
      <w:r w:rsidRPr="006F297B">
        <w:rPr>
          <w:rFonts w:eastAsia="SimSun"/>
          <w:szCs w:val="20"/>
          <w:lang w:eastAsia="zh-CN"/>
        </w:rPr>
        <w:t xml:space="preserve">uch </w:t>
      </w:r>
      <w:r>
        <w:rPr>
          <w:rFonts w:eastAsia="SimSun"/>
          <w:szCs w:val="20"/>
          <w:lang w:eastAsia="zh-CN"/>
        </w:rPr>
        <w:t xml:space="preserve">an illogical interpretation of Rider ELR’s </w:t>
      </w:r>
      <w:r>
        <w:rPr>
          <w:rFonts w:eastAsia="SimSun"/>
          <w:szCs w:val="20"/>
          <w:lang w:eastAsia="zh-CN"/>
        </w:rPr>
        <w:lastRenderedPageBreak/>
        <w:t xml:space="preserve">provisions is not only inaccurate, but </w:t>
      </w:r>
      <w:r w:rsidR="001C05B9">
        <w:rPr>
          <w:rFonts w:eastAsia="SimSun"/>
          <w:szCs w:val="20"/>
          <w:lang w:eastAsia="zh-CN"/>
        </w:rPr>
        <w:t xml:space="preserve">is </w:t>
      </w:r>
      <w:r>
        <w:rPr>
          <w:rFonts w:eastAsia="SimSun"/>
          <w:szCs w:val="20"/>
          <w:lang w:eastAsia="zh-CN"/>
        </w:rPr>
        <w:t>also anti</w:t>
      </w:r>
      <w:r w:rsidRPr="006F297B">
        <w:rPr>
          <w:rFonts w:eastAsia="SimSun"/>
          <w:szCs w:val="20"/>
          <w:lang w:eastAsia="zh-CN"/>
        </w:rPr>
        <w:t xml:space="preserve">thetical to the purpose of Rider ELR, which </w:t>
      </w:r>
      <w:r>
        <w:rPr>
          <w:rFonts w:eastAsia="SimSun"/>
          <w:szCs w:val="20"/>
          <w:lang w:eastAsia="zh-CN"/>
        </w:rPr>
        <w:t>is to help ensure system reliability – particularly when an “emergency situation exists that may jeopardize the integrity of either the distribution or transmission system in the area.”</w:t>
      </w:r>
      <w:r>
        <w:rPr>
          <w:rStyle w:val="FootnoteReference"/>
          <w:rFonts w:eastAsia="SimSun"/>
          <w:szCs w:val="20"/>
          <w:lang w:eastAsia="zh-CN"/>
        </w:rPr>
        <w:footnoteReference w:id="45"/>
      </w:r>
      <w:r>
        <w:rPr>
          <w:rFonts w:eastAsia="SimSun"/>
          <w:szCs w:val="20"/>
          <w:lang w:eastAsia="zh-CN"/>
        </w:rPr>
        <w:t xml:space="preserve">    </w:t>
      </w:r>
    </w:p>
    <w:p w:rsidR="004C64C7" w:rsidRDefault="004C64C7" w:rsidP="00E82EC2">
      <w:pPr>
        <w:spacing w:line="480" w:lineRule="auto"/>
        <w:ind w:firstLine="720"/>
        <w:jc w:val="both"/>
        <w:rPr>
          <w:rFonts w:eastAsia="SimSun"/>
          <w:szCs w:val="20"/>
          <w:lang w:eastAsia="zh-CN"/>
        </w:rPr>
      </w:pPr>
      <w:r>
        <w:rPr>
          <w:rFonts w:eastAsia="SimSun"/>
          <w:szCs w:val="20"/>
          <w:lang w:eastAsia="zh-CN"/>
        </w:rPr>
        <w:t>Indeed, Rider ELR’s significant penalties for noncompliance are supported by the important benefits provided to the system and to Rider ELR customers.  As noted above, Rider ELR serves as an important peak demand reduction program that promotes system reliability</w:t>
      </w:r>
      <w:r w:rsidR="001C05B9">
        <w:rPr>
          <w:rFonts w:eastAsia="SimSun"/>
          <w:szCs w:val="20"/>
          <w:lang w:eastAsia="zh-CN"/>
        </w:rPr>
        <w:t>.</w:t>
      </w:r>
      <w:r>
        <w:rPr>
          <w:rFonts w:eastAsia="SimSun"/>
          <w:szCs w:val="20"/>
          <w:lang w:eastAsia="zh-CN"/>
        </w:rPr>
        <w:t xml:space="preserve">  If </w:t>
      </w:r>
      <w:r w:rsidR="001C05B9">
        <w:rPr>
          <w:rFonts w:eastAsia="SimSun"/>
          <w:szCs w:val="20"/>
          <w:lang w:eastAsia="zh-CN"/>
        </w:rPr>
        <w:t xml:space="preserve">interruptible </w:t>
      </w:r>
      <w:r>
        <w:rPr>
          <w:rFonts w:eastAsia="SimSun"/>
          <w:szCs w:val="20"/>
          <w:lang w:eastAsia="zh-CN"/>
        </w:rPr>
        <w:t>load is not reduced during ECEs, the entire system may be more vulnerable</w:t>
      </w:r>
      <w:r w:rsidR="001C05B9">
        <w:rPr>
          <w:rFonts w:eastAsia="SimSun"/>
          <w:szCs w:val="20"/>
          <w:lang w:eastAsia="zh-CN"/>
        </w:rPr>
        <w:t xml:space="preserve"> and firm service customers may be forced to curtail in order to maintain system reliability</w:t>
      </w:r>
      <w:r>
        <w:rPr>
          <w:rFonts w:eastAsia="SimSun"/>
          <w:szCs w:val="20"/>
          <w:lang w:eastAsia="zh-CN"/>
        </w:rPr>
        <w:t xml:space="preserve">.  Therefore, it is critical that Rider ELR customers curtail their load in connection with an ECE, as they agreed and committed to do.  The penalties serve as an important incentive for this compliance.  </w:t>
      </w:r>
    </w:p>
    <w:p w:rsidR="004C64C7" w:rsidRPr="00E82EC2" w:rsidRDefault="004C64C7" w:rsidP="00E82EC2">
      <w:pPr>
        <w:spacing w:line="480" w:lineRule="auto"/>
        <w:ind w:firstLine="720"/>
        <w:jc w:val="both"/>
        <w:rPr>
          <w:rFonts w:eastAsia="SimSun"/>
          <w:szCs w:val="20"/>
          <w:lang w:eastAsia="zh-CN"/>
        </w:rPr>
      </w:pPr>
      <w:r>
        <w:rPr>
          <w:rFonts w:eastAsia="SimSun"/>
          <w:szCs w:val="20"/>
          <w:lang w:eastAsia="zh-CN"/>
        </w:rPr>
        <w:t>Moreover, Rider ELR customers enjoy significant credits (paid for by other customers) under Rider ELR in conjunction with Rider EDR.</w:t>
      </w:r>
      <w:r>
        <w:rPr>
          <w:rStyle w:val="FootnoteReference"/>
          <w:rFonts w:eastAsia="SimSun"/>
          <w:szCs w:val="20"/>
          <w:lang w:eastAsia="zh-CN"/>
        </w:rPr>
        <w:footnoteReference w:id="46"/>
      </w:r>
      <w:r>
        <w:rPr>
          <w:rFonts w:eastAsia="SimSun"/>
          <w:szCs w:val="20"/>
          <w:lang w:eastAsia="zh-CN"/>
        </w:rPr>
        <w:t xml:space="preserve">  If Rider ELR customers were allowed to receive these credits, but then could fail to comply with Rider ELR and still retain their credits, there would be no incentive to comply</w:t>
      </w:r>
      <w:r w:rsidR="004767E7">
        <w:rPr>
          <w:rFonts w:eastAsia="SimSun"/>
          <w:szCs w:val="20"/>
          <w:lang w:eastAsia="zh-CN"/>
        </w:rPr>
        <w:t xml:space="preserve"> – and all other customers would be paying for an empty benefit</w:t>
      </w:r>
      <w:r>
        <w:rPr>
          <w:rFonts w:eastAsia="SimSun"/>
          <w:szCs w:val="20"/>
          <w:lang w:eastAsia="zh-CN"/>
        </w:rPr>
        <w:t xml:space="preserve">.  The forfeiture and penalties provided for by Rider ELR are an important mechanism to support the interruptible, peak demand reduction program and system integrity.  Complainant’s interpretation of Rider ELR is nonsensical and inappropriate.  </w:t>
      </w:r>
    </w:p>
    <w:p w:rsidR="004C64C7" w:rsidRDefault="004C64C7" w:rsidP="00F25B95">
      <w:pPr>
        <w:pStyle w:val="Heading4"/>
        <w:keepNext/>
      </w:pPr>
      <w:bookmarkStart w:id="9" w:name="_Toc379801517"/>
      <w:bookmarkStart w:id="10" w:name="_GoBack"/>
      <w:bookmarkEnd w:id="10"/>
      <w:r>
        <w:lastRenderedPageBreak/>
        <w:t>Rider ELR’s forfeiture and penalties for noncompliance are not discretionary or subject to other “mitigation.”</w:t>
      </w:r>
      <w:bookmarkEnd w:id="9"/>
    </w:p>
    <w:p w:rsidR="004C64C7" w:rsidRDefault="004C64C7" w:rsidP="00F25B95">
      <w:pPr>
        <w:keepNext/>
        <w:tabs>
          <w:tab w:val="left" w:pos="720"/>
          <w:tab w:val="left" w:pos="9360"/>
        </w:tabs>
        <w:spacing w:line="480" w:lineRule="auto"/>
        <w:jc w:val="both"/>
        <w:rPr>
          <w:rFonts w:eastAsia="SimSun"/>
          <w:szCs w:val="20"/>
          <w:lang w:eastAsia="zh-CN"/>
        </w:rPr>
      </w:pPr>
      <w:r>
        <w:rPr>
          <w:rFonts w:eastAsia="SimSun"/>
          <w:szCs w:val="20"/>
        </w:rPr>
        <w:tab/>
        <w:t>In the Complaint, Complainant also alleges that a variety of “circumstances” “require full mitigation of the penalties” triggered by its noncompliance during the September 11, 2013 ECE.</w:t>
      </w:r>
      <w:r>
        <w:rPr>
          <w:rStyle w:val="FootnoteReference"/>
          <w:rFonts w:eastAsia="SimSun"/>
          <w:szCs w:val="20"/>
        </w:rPr>
        <w:footnoteReference w:id="47"/>
      </w:r>
      <w:r>
        <w:rPr>
          <w:rFonts w:eastAsia="SimSun"/>
          <w:szCs w:val="20"/>
        </w:rPr>
        <w:t xml:space="preserve">  However, such a position is wholly inconsistent with the plain language of Rider ELR.  Rider ELR</w:t>
      </w:r>
      <w:r w:rsidRPr="006F297B">
        <w:rPr>
          <w:rFonts w:eastAsia="SimSun"/>
          <w:szCs w:val="20"/>
        </w:rPr>
        <w:t xml:space="preserve"> </w:t>
      </w:r>
      <w:r w:rsidRPr="006F297B">
        <w:rPr>
          <w:rFonts w:eastAsia="SimSun"/>
          <w:szCs w:val="20"/>
          <w:lang w:eastAsia="zh-CN"/>
        </w:rPr>
        <w:t xml:space="preserve">does not </w:t>
      </w:r>
      <w:r>
        <w:rPr>
          <w:rFonts w:eastAsia="SimSun"/>
          <w:szCs w:val="20"/>
          <w:lang w:eastAsia="zh-CN"/>
        </w:rPr>
        <w:t>include</w:t>
      </w:r>
      <w:r w:rsidRPr="006F297B">
        <w:rPr>
          <w:rFonts w:eastAsia="SimSun"/>
          <w:szCs w:val="20"/>
          <w:lang w:eastAsia="zh-CN"/>
        </w:rPr>
        <w:t xml:space="preserve"> any </w:t>
      </w:r>
      <w:r>
        <w:rPr>
          <w:rFonts w:eastAsia="SimSun"/>
          <w:szCs w:val="20"/>
          <w:lang w:eastAsia="zh-CN"/>
        </w:rPr>
        <w:t xml:space="preserve">basis </w:t>
      </w:r>
      <w:r w:rsidRPr="006F297B">
        <w:rPr>
          <w:rFonts w:eastAsia="SimSun"/>
          <w:szCs w:val="20"/>
          <w:lang w:eastAsia="zh-CN"/>
        </w:rPr>
        <w:t xml:space="preserve">upon which to excuse or mitigate a customer’s noncompliance with </w:t>
      </w:r>
      <w:r>
        <w:rPr>
          <w:rFonts w:eastAsia="SimSun"/>
          <w:szCs w:val="20"/>
          <w:lang w:eastAsia="zh-CN"/>
        </w:rPr>
        <w:t>Rider ELR, other than the mitigation already included in the Rider itself.</w:t>
      </w:r>
      <w:r>
        <w:rPr>
          <w:rStyle w:val="FootnoteReference"/>
          <w:rFonts w:eastAsia="SimSun"/>
          <w:szCs w:val="20"/>
          <w:lang w:eastAsia="zh-CN"/>
        </w:rPr>
        <w:footnoteReference w:id="48"/>
      </w:r>
      <w:r>
        <w:rPr>
          <w:rFonts w:eastAsia="SimSun"/>
          <w:szCs w:val="20"/>
          <w:lang w:eastAsia="zh-CN"/>
        </w:rPr>
        <w:t xml:space="preserve">  It is of no moment under Rider ELR, for example, that the Facility’s </w:t>
      </w:r>
      <w:r w:rsidRPr="006F297B">
        <w:rPr>
          <w:rFonts w:eastAsia="SimSun"/>
          <w:szCs w:val="20"/>
          <w:lang w:eastAsia="zh-CN"/>
        </w:rPr>
        <w:t>management “used tested shutdown procedures” and “believed in good faith the Measured Load would remai</w:t>
      </w:r>
      <w:r>
        <w:rPr>
          <w:rFonts w:eastAsia="SimSun"/>
          <w:szCs w:val="20"/>
          <w:lang w:eastAsia="zh-CN"/>
        </w:rPr>
        <w:t>n below contract Firm Load,</w:t>
      </w:r>
      <w:r w:rsidRPr="006F297B">
        <w:rPr>
          <w:rFonts w:eastAsia="SimSun"/>
          <w:szCs w:val="20"/>
          <w:lang w:eastAsia="zh-CN"/>
        </w:rPr>
        <w:t>”</w:t>
      </w:r>
      <w:r>
        <w:rPr>
          <w:rFonts w:eastAsia="SimSun"/>
          <w:szCs w:val="20"/>
          <w:lang w:eastAsia="zh-CN"/>
        </w:rPr>
        <w:t xml:space="preserve"> as Complainant alleges.</w:t>
      </w:r>
      <w:r>
        <w:rPr>
          <w:rStyle w:val="FootnoteReference"/>
          <w:rFonts w:eastAsia="SimSun"/>
          <w:szCs w:val="20"/>
          <w:lang w:eastAsia="zh-CN"/>
        </w:rPr>
        <w:footnoteReference w:id="49"/>
      </w:r>
      <w:r>
        <w:rPr>
          <w:rFonts w:eastAsia="SimSun"/>
          <w:szCs w:val="20"/>
          <w:lang w:eastAsia="zh-CN"/>
        </w:rPr>
        <w:t xml:space="preserve">  Rider ELR</w:t>
      </w:r>
      <w:r w:rsidRPr="006F297B">
        <w:rPr>
          <w:rFonts w:eastAsia="SimSun"/>
          <w:szCs w:val="20"/>
          <w:lang w:eastAsia="zh-CN"/>
        </w:rPr>
        <w:t xml:space="preserve"> does not provide exceptions or allowances for customers who follow their typical shutdown procedures or who </w:t>
      </w:r>
      <w:r>
        <w:rPr>
          <w:rFonts w:eastAsia="SimSun"/>
          <w:szCs w:val="20"/>
          <w:lang w:eastAsia="zh-CN"/>
        </w:rPr>
        <w:t>maintain (subjective)</w:t>
      </w:r>
      <w:r w:rsidRPr="006F297B">
        <w:rPr>
          <w:rFonts w:eastAsia="SimSun"/>
          <w:szCs w:val="20"/>
          <w:lang w:eastAsia="zh-CN"/>
        </w:rPr>
        <w:t xml:space="preserve"> good faith beliefs about their load reduction.  </w:t>
      </w:r>
      <w:r w:rsidRPr="00236A5E">
        <w:rPr>
          <w:rFonts w:eastAsia="SimSun"/>
          <w:szCs w:val="20"/>
          <w:u w:val="single"/>
          <w:lang w:eastAsia="zh-CN"/>
        </w:rPr>
        <w:t>The only measure of compliance is purely objective</w:t>
      </w:r>
      <w:r>
        <w:rPr>
          <w:rFonts w:eastAsia="SimSun"/>
          <w:szCs w:val="20"/>
          <w:lang w:eastAsia="zh-CN"/>
        </w:rPr>
        <w:t xml:space="preserve">:  whether </w:t>
      </w:r>
      <w:r w:rsidRPr="006F297B">
        <w:rPr>
          <w:rFonts w:eastAsia="SimSun"/>
          <w:szCs w:val="20"/>
          <w:lang w:eastAsia="zh-CN"/>
        </w:rPr>
        <w:t xml:space="preserve">the customer’s </w:t>
      </w:r>
      <w:r>
        <w:rPr>
          <w:rFonts w:eastAsia="SimSun"/>
          <w:szCs w:val="20"/>
          <w:lang w:eastAsia="zh-CN"/>
        </w:rPr>
        <w:t>m</w:t>
      </w:r>
      <w:r w:rsidRPr="006F297B">
        <w:rPr>
          <w:rFonts w:eastAsia="SimSun"/>
          <w:szCs w:val="20"/>
          <w:lang w:eastAsia="zh-CN"/>
        </w:rPr>
        <w:t xml:space="preserve">easured </w:t>
      </w:r>
      <w:r>
        <w:rPr>
          <w:rFonts w:eastAsia="SimSun"/>
          <w:szCs w:val="20"/>
          <w:lang w:eastAsia="zh-CN"/>
        </w:rPr>
        <w:t>l</w:t>
      </w:r>
      <w:r w:rsidRPr="006F297B">
        <w:rPr>
          <w:rFonts w:eastAsia="SimSun"/>
          <w:szCs w:val="20"/>
          <w:lang w:eastAsia="zh-CN"/>
        </w:rPr>
        <w:t>oad exceeded its contract Firm Load during the ECE,</w:t>
      </w:r>
      <w:r w:rsidRPr="006F297B">
        <w:rPr>
          <w:rFonts w:eastAsia="SimSun"/>
          <w:b/>
          <w:szCs w:val="20"/>
        </w:rPr>
        <w:t xml:space="preserve"> </w:t>
      </w:r>
      <w:r w:rsidRPr="006F297B">
        <w:rPr>
          <w:rFonts w:eastAsia="SimSun"/>
          <w:szCs w:val="20"/>
          <w:lang w:eastAsia="zh-CN"/>
        </w:rPr>
        <w:t>with such load being me</w:t>
      </w:r>
      <w:r>
        <w:rPr>
          <w:rFonts w:eastAsia="SimSun"/>
          <w:szCs w:val="20"/>
          <w:lang w:eastAsia="zh-CN"/>
        </w:rPr>
        <w:t>asured every clock half hour.</w:t>
      </w:r>
      <w:r>
        <w:rPr>
          <w:rStyle w:val="FootnoteReference"/>
          <w:rFonts w:eastAsia="SimSun"/>
          <w:szCs w:val="20"/>
          <w:lang w:eastAsia="zh-CN"/>
        </w:rPr>
        <w:footnoteReference w:id="50"/>
      </w:r>
      <w:r>
        <w:rPr>
          <w:rFonts w:eastAsia="SimSun"/>
          <w:szCs w:val="20"/>
          <w:lang w:eastAsia="zh-CN"/>
        </w:rPr>
        <w:t xml:space="preserve">  Here, the relevant facts are straightforward and uncontested.  The Facility failed to comply with its requirement to curtail load and its actual measured load exceeded 110% of its Firm Load during the ECE.</w:t>
      </w:r>
      <w:r>
        <w:rPr>
          <w:rStyle w:val="FootnoteReference"/>
          <w:rFonts w:eastAsia="SimSun"/>
          <w:szCs w:val="20"/>
          <w:lang w:eastAsia="zh-CN"/>
        </w:rPr>
        <w:footnoteReference w:id="51"/>
      </w:r>
      <w:r>
        <w:rPr>
          <w:rFonts w:eastAsia="SimSun"/>
          <w:szCs w:val="20"/>
          <w:lang w:eastAsia="zh-CN"/>
        </w:rPr>
        <w:t xml:space="preserve">  Thus, the Facility </w:t>
      </w:r>
      <w:r w:rsidRPr="00E73448">
        <w:rPr>
          <w:rFonts w:eastAsia="SimSun"/>
          <w:szCs w:val="20"/>
          <w:lang w:eastAsia="zh-CN"/>
        </w:rPr>
        <w:t>“</w:t>
      </w:r>
      <w:r w:rsidRPr="007A0FEA">
        <w:rPr>
          <w:rFonts w:eastAsia="SimSun"/>
          <w:szCs w:val="20"/>
          <w:u w:val="single"/>
          <w:lang w:eastAsia="zh-CN"/>
        </w:rPr>
        <w:t>shall be subject to all four (4)</w:t>
      </w:r>
      <w:r>
        <w:rPr>
          <w:rFonts w:eastAsia="SimSun"/>
          <w:szCs w:val="20"/>
          <w:lang w:eastAsia="zh-CN"/>
        </w:rPr>
        <w:t>” of Rider ELR’s penalties.</w:t>
      </w:r>
      <w:r>
        <w:rPr>
          <w:rStyle w:val="FootnoteReference"/>
          <w:rFonts w:eastAsia="SimSun"/>
          <w:szCs w:val="20"/>
          <w:lang w:eastAsia="zh-CN"/>
        </w:rPr>
        <w:footnoteReference w:id="52"/>
      </w:r>
      <w:r>
        <w:rPr>
          <w:rFonts w:eastAsia="SimSun"/>
          <w:szCs w:val="20"/>
          <w:lang w:eastAsia="zh-CN"/>
        </w:rPr>
        <w:t xml:space="preserve">    </w:t>
      </w:r>
    </w:p>
    <w:p w:rsidR="004C64C7" w:rsidRDefault="004C64C7" w:rsidP="00CB68C0">
      <w:pPr>
        <w:spacing w:line="480" w:lineRule="auto"/>
        <w:ind w:firstLine="720"/>
        <w:jc w:val="both"/>
        <w:rPr>
          <w:rFonts w:eastAsia="SimSun"/>
          <w:szCs w:val="20"/>
          <w:lang w:eastAsia="zh-CN"/>
        </w:rPr>
      </w:pPr>
      <w:r>
        <w:rPr>
          <w:rFonts w:eastAsia="SimSun"/>
          <w:szCs w:val="20"/>
          <w:lang w:eastAsia="zh-CN"/>
        </w:rPr>
        <w:lastRenderedPageBreak/>
        <w:t>Complainant does not allege that the Company miscalculated the Rider ELR forfeiture and penalties.  Rather, Complainant is unhappy with the Company’s proper and required application of Rider ELR to its unfortunate circumstances and seeks to have the Company apply discretion not provided for by Rider ELR.  For the for</w:t>
      </w:r>
      <w:r w:rsidR="009F5C15">
        <w:rPr>
          <w:rFonts w:eastAsia="SimSun"/>
          <w:szCs w:val="20"/>
          <w:lang w:eastAsia="zh-CN"/>
        </w:rPr>
        <w:t>e</w:t>
      </w:r>
      <w:r>
        <w:rPr>
          <w:rFonts w:eastAsia="SimSun"/>
          <w:szCs w:val="20"/>
          <w:lang w:eastAsia="zh-CN"/>
        </w:rPr>
        <w:t xml:space="preserve">going reasons, </w:t>
      </w:r>
      <w:r w:rsidRPr="00D25A3D">
        <w:rPr>
          <w:rFonts w:eastAsia="SimSun"/>
          <w:szCs w:val="20"/>
          <w:lang w:eastAsia="zh-CN"/>
        </w:rPr>
        <w:t xml:space="preserve">the imposition of the </w:t>
      </w:r>
      <w:r>
        <w:rPr>
          <w:rFonts w:eastAsia="SimSun"/>
          <w:szCs w:val="20"/>
          <w:lang w:eastAsia="zh-CN"/>
        </w:rPr>
        <w:t xml:space="preserve">Rider ELR </w:t>
      </w:r>
      <w:r w:rsidRPr="00D25A3D">
        <w:rPr>
          <w:rFonts w:eastAsia="SimSun"/>
          <w:szCs w:val="20"/>
          <w:lang w:eastAsia="zh-CN"/>
        </w:rPr>
        <w:t xml:space="preserve">forfeiture and penalties against </w:t>
      </w:r>
      <w:r>
        <w:rPr>
          <w:rFonts w:eastAsia="SimSun"/>
          <w:szCs w:val="20"/>
          <w:lang w:eastAsia="zh-CN"/>
        </w:rPr>
        <w:t>the Facility for its noncompliance in connection with the September 11, 2013 ECE</w:t>
      </w:r>
      <w:r w:rsidRPr="00D25A3D">
        <w:rPr>
          <w:rFonts w:eastAsia="SimSun"/>
          <w:szCs w:val="20"/>
          <w:lang w:eastAsia="zh-CN"/>
        </w:rPr>
        <w:t xml:space="preserve"> is reas</w:t>
      </w:r>
      <w:r>
        <w:rPr>
          <w:rFonts w:eastAsia="SimSun"/>
          <w:szCs w:val="20"/>
          <w:lang w:eastAsia="zh-CN"/>
        </w:rPr>
        <w:t>onable, proper, and mandatory.  There</w:t>
      </w:r>
      <w:r w:rsidRPr="00D25A3D">
        <w:rPr>
          <w:rFonts w:eastAsia="SimSun"/>
          <w:szCs w:val="20"/>
          <w:lang w:eastAsia="zh-CN"/>
        </w:rPr>
        <w:t xml:space="preserve"> are no reasonable grounds for </w:t>
      </w:r>
      <w:r>
        <w:rPr>
          <w:rFonts w:eastAsia="SimSun"/>
          <w:szCs w:val="20"/>
          <w:lang w:eastAsia="zh-CN"/>
        </w:rPr>
        <w:t xml:space="preserve">Counts One and Two of </w:t>
      </w:r>
      <w:r w:rsidRPr="00D25A3D">
        <w:rPr>
          <w:rFonts w:eastAsia="SimSun"/>
          <w:szCs w:val="20"/>
          <w:lang w:eastAsia="zh-CN"/>
        </w:rPr>
        <w:t>Complainant’s Complaint</w:t>
      </w:r>
      <w:r>
        <w:rPr>
          <w:rFonts w:eastAsia="SimSun"/>
          <w:szCs w:val="20"/>
          <w:lang w:eastAsia="zh-CN"/>
        </w:rPr>
        <w:t xml:space="preserve"> and they </w:t>
      </w:r>
      <w:r w:rsidRPr="00D25A3D">
        <w:rPr>
          <w:rFonts w:eastAsia="SimSun"/>
          <w:szCs w:val="20"/>
          <w:lang w:eastAsia="zh-CN"/>
        </w:rPr>
        <w:t>should be dismissed.</w:t>
      </w:r>
    </w:p>
    <w:p w:rsidR="004C64C7" w:rsidRPr="006F297B" w:rsidRDefault="004C64C7" w:rsidP="002277CA">
      <w:pPr>
        <w:pStyle w:val="Heading3"/>
        <w:keepNext/>
        <w:rPr>
          <w:lang w:eastAsia="zh-CN"/>
        </w:rPr>
      </w:pPr>
      <w:bookmarkStart w:id="11" w:name="_Toc379801518"/>
      <w:r w:rsidRPr="0003730C">
        <w:rPr>
          <w:rStyle w:val="Heading2Char"/>
          <w:b w:val="0"/>
          <w:snapToGrid/>
        </w:rPr>
        <w:t>C</w:t>
      </w:r>
      <w:r>
        <w:rPr>
          <w:lang w:eastAsia="zh-CN"/>
        </w:rPr>
        <w:t>ount Three Should Be Dismissed Because Complainant Fails To Allege That The Company Charged The Facility Anything Other Than Commission-Approved Rates</w:t>
      </w:r>
      <w:r w:rsidRPr="00F21994">
        <w:rPr>
          <w:lang w:eastAsia="zh-CN"/>
        </w:rPr>
        <w:t>.</w:t>
      </w:r>
      <w:bookmarkEnd w:id="11"/>
    </w:p>
    <w:p w:rsidR="004C64C7" w:rsidRDefault="004C64C7" w:rsidP="002277CA">
      <w:pPr>
        <w:keepNext/>
        <w:spacing w:line="480" w:lineRule="auto"/>
        <w:ind w:firstLine="720"/>
        <w:jc w:val="both"/>
        <w:rPr>
          <w:rFonts w:eastAsia="SimSun"/>
          <w:szCs w:val="20"/>
          <w:lang w:eastAsia="zh-CN"/>
        </w:rPr>
      </w:pPr>
      <w:r w:rsidRPr="006F297B">
        <w:rPr>
          <w:rFonts w:eastAsia="SimSun"/>
          <w:szCs w:val="20"/>
          <w:lang w:eastAsia="zh-CN"/>
        </w:rPr>
        <w:t>It is well-settled that a complaint that asserts that a utility should not charge Commission-approved rates fails to set forth reasonable grounds as required by R.C. § 4905.26.</w:t>
      </w:r>
      <w:r>
        <w:rPr>
          <w:rStyle w:val="FootnoteReference"/>
          <w:rFonts w:eastAsia="SimSun"/>
          <w:szCs w:val="20"/>
          <w:lang w:eastAsia="zh-CN"/>
        </w:rPr>
        <w:footnoteReference w:id="53"/>
      </w:r>
      <w:r>
        <w:rPr>
          <w:rFonts w:eastAsia="SimSun"/>
          <w:szCs w:val="20"/>
          <w:lang w:eastAsia="zh-CN"/>
        </w:rPr>
        <w:t xml:space="preserve">  In </w:t>
      </w:r>
      <w:proofErr w:type="spellStart"/>
      <w:r w:rsidRPr="00902F62">
        <w:rPr>
          <w:rFonts w:eastAsia="SimSun"/>
          <w:i/>
          <w:szCs w:val="20"/>
          <w:lang w:eastAsia="zh-CN"/>
        </w:rPr>
        <w:t>Sekata</w:t>
      </w:r>
      <w:proofErr w:type="spellEnd"/>
      <w:r>
        <w:rPr>
          <w:rFonts w:eastAsia="SimSun"/>
          <w:szCs w:val="20"/>
          <w:lang w:eastAsia="zh-CN"/>
        </w:rPr>
        <w:t xml:space="preserve">, the Commission observed that: </w:t>
      </w:r>
    </w:p>
    <w:p w:rsidR="004C64C7" w:rsidRDefault="004C64C7" w:rsidP="00175EE3">
      <w:pPr>
        <w:spacing w:after="240"/>
        <w:ind w:left="1440" w:right="1440"/>
        <w:jc w:val="both"/>
        <w:rPr>
          <w:rFonts w:eastAsia="SimSun"/>
          <w:szCs w:val="20"/>
          <w:lang w:eastAsia="zh-CN"/>
        </w:rPr>
      </w:pPr>
      <w:r>
        <w:rPr>
          <w:rFonts w:eastAsia="SimSun"/>
          <w:szCs w:val="20"/>
          <w:lang w:eastAsia="zh-CN"/>
        </w:rPr>
        <w:t>[T]he complaint should be dismissed with prejudice.  From the pleadings, it appears that [complainant] has been billed the tariff rates for the service he receives from [the utility].  In fact, [complainant] does not allege that [the utility] charged him the wrong rate; rather he argues that he should not be charged one of the components (the PIPP rider).  As a result, [complainant] argues that the tariff rates are excessive, unjust and unreasonable.</w:t>
      </w:r>
    </w:p>
    <w:p w:rsidR="004C64C7" w:rsidRDefault="004C64C7" w:rsidP="00C36D1C">
      <w:pPr>
        <w:spacing w:after="240"/>
        <w:ind w:left="1440" w:right="1440"/>
        <w:jc w:val="center"/>
        <w:rPr>
          <w:rFonts w:eastAsia="SimSun"/>
          <w:szCs w:val="20"/>
          <w:lang w:eastAsia="zh-CN"/>
        </w:rPr>
      </w:pPr>
      <w:r>
        <w:rPr>
          <w:rFonts w:eastAsia="SimSun"/>
          <w:szCs w:val="20"/>
          <w:lang w:eastAsia="zh-CN"/>
        </w:rPr>
        <w:t>*   *   *</w:t>
      </w:r>
    </w:p>
    <w:p w:rsidR="004C64C7" w:rsidRDefault="004C64C7" w:rsidP="00665B06">
      <w:pPr>
        <w:spacing w:after="240"/>
        <w:ind w:left="1440" w:right="1440"/>
        <w:jc w:val="both"/>
        <w:rPr>
          <w:rFonts w:eastAsia="SimSun"/>
          <w:szCs w:val="20"/>
          <w:lang w:eastAsia="zh-CN"/>
        </w:rPr>
      </w:pPr>
      <w:r>
        <w:rPr>
          <w:rFonts w:eastAsia="SimSun"/>
          <w:szCs w:val="20"/>
          <w:lang w:eastAsia="zh-CN"/>
        </w:rPr>
        <w:t>There is no allegation that [the utility] charged [complainant] something other than the approved rate. . . .  The Commission does not believe that the complaint sets forth reasonable grounds.  We have similarly dismissed other complaints that allege that approved rates should not be charged. . . .</w:t>
      </w:r>
      <w:r>
        <w:rPr>
          <w:rStyle w:val="FootnoteReference"/>
          <w:rFonts w:eastAsia="SimSun"/>
          <w:szCs w:val="20"/>
          <w:lang w:eastAsia="zh-CN"/>
        </w:rPr>
        <w:footnoteReference w:id="54"/>
      </w:r>
    </w:p>
    <w:p w:rsidR="004C64C7" w:rsidRPr="006F297B" w:rsidRDefault="004C64C7" w:rsidP="00675CE0">
      <w:pPr>
        <w:spacing w:after="240" w:line="480" w:lineRule="auto"/>
        <w:ind w:firstLine="720"/>
        <w:jc w:val="both"/>
        <w:rPr>
          <w:rFonts w:eastAsia="SimSun"/>
          <w:szCs w:val="20"/>
          <w:lang w:eastAsia="zh-CN"/>
        </w:rPr>
      </w:pPr>
      <w:r>
        <w:rPr>
          <w:rFonts w:eastAsia="SimSun"/>
          <w:noProof/>
          <w:szCs w:val="20"/>
        </w:rPr>
        <w:lastRenderedPageBreak/>
        <w:t xml:space="preserve">Here, as in </w:t>
      </w:r>
      <w:r w:rsidRPr="007527CC">
        <w:rPr>
          <w:rFonts w:eastAsia="SimSun"/>
          <w:i/>
          <w:noProof/>
          <w:szCs w:val="20"/>
        </w:rPr>
        <w:t>Seketa</w:t>
      </w:r>
      <w:r>
        <w:rPr>
          <w:rFonts w:eastAsia="SimSun"/>
          <w:noProof/>
          <w:szCs w:val="20"/>
        </w:rPr>
        <w:t>, the Complaint fails to allege that the Company charged the Facility the wrong rate.  Instead, Complainant claims that the ESP II rate increases – which resulted from the rates, rate design and auction process stipulated to by Complainant and approved by the Commission – are “unjust, unreasonable, and unlawful.”</w:t>
      </w:r>
      <w:r>
        <w:rPr>
          <w:rStyle w:val="FootnoteReference"/>
          <w:rFonts w:eastAsia="SimSun"/>
          <w:noProof/>
          <w:szCs w:val="20"/>
        </w:rPr>
        <w:footnoteReference w:id="55"/>
      </w:r>
      <w:r>
        <w:rPr>
          <w:rFonts w:eastAsia="SimSun"/>
          <w:noProof/>
          <w:szCs w:val="20"/>
        </w:rPr>
        <w:t xml:space="preserve">  These allegations are simply conclusory.  The Complaint includes several paragraphs of allegations regarding the Facility’s historical bills, the size of the increases experienced by the Facility under Rider GEN, Rider NMB, and others, and a purported comparison of the increases to those of other FirstEnergy Ohio utility customers.</w:t>
      </w:r>
      <w:r>
        <w:rPr>
          <w:rStyle w:val="FootnoteReference"/>
          <w:rFonts w:eastAsia="SimSun"/>
          <w:noProof/>
          <w:szCs w:val="20"/>
        </w:rPr>
        <w:footnoteReference w:id="56"/>
      </w:r>
      <w:r>
        <w:rPr>
          <w:rFonts w:eastAsia="SimSun"/>
          <w:noProof/>
          <w:szCs w:val="20"/>
        </w:rPr>
        <w:t xml:space="preserve">  But Complainant does not allege, and it cannot allege, that the Company miscalculated the Facility’s rates or somehow misapplied the Commission-authorized formulae under the various riders.  Complainant has alleged no more than dissatisfaction with the Company’s Commission-approved rates.  Therefore, Complainant has failed to state reasonable grounds and Count Three should be dismissed.</w:t>
      </w:r>
    </w:p>
    <w:p w:rsidR="004C64C7" w:rsidRPr="006F297B" w:rsidRDefault="004C64C7" w:rsidP="001D317C">
      <w:pPr>
        <w:pStyle w:val="Heading1"/>
      </w:pPr>
      <w:bookmarkStart w:id="12" w:name="_Toc379801519"/>
      <w:r w:rsidRPr="006F297B">
        <w:t>CONCLUSION</w:t>
      </w:r>
      <w:bookmarkEnd w:id="12"/>
    </w:p>
    <w:p w:rsidR="004C64C7" w:rsidRPr="006F297B" w:rsidRDefault="004C64C7" w:rsidP="00675CE0">
      <w:pPr>
        <w:spacing w:line="480" w:lineRule="auto"/>
        <w:ind w:firstLine="720"/>
        <w:contextualSpacing/>
        <w:jc w:val="both"/>
        <w:rPr>
          <w:rFonts w:eastAsia="MS ??"/>
        </w:rPr>
      </w:pPr>
      <w:r w:rsidRPr="006F297B">
        <w:rPr>
          <w:rFonts w:eastAsia="MS ??"/>
        </w:rPr>
        <w:t>For all of the foregoin</w:t>
      </w:r>
      <w:r>
        <w:rPr>
          <w:rFonts w:eastAsia="MS ??"/>
        </w:rPr>
        <w:t>g reasons, the</w:t>
      </w:r>
      <w:r w:rsidRPr="006F297B">
        <w:rPr>
          <w:rFonts w:eastAsia="MS ??"/>
        </w:rPr>
        <w:t xml:space="preserve"> Complaint should be dismissed with prejudice</w:t>
      </w:r>
      <w:r>
        <w:rPr>
          <w:rFonts w:eastAsia="MS ??"/>
        </w:rPr>
        <w:t xml:space="preserve"> in its entirety</w:t>
      </w:r>
      <w:r w:rsidRPr="006F297B">
        <w:rPr>
          <w:rFonts w:eastAsia="MS ??"/>
        </w:rPr>
        <w:t>.</w:t>
      </w:r>
    </w:p>
    <w:p w:rsidR="004C64C7" w:rsidRPr="006F297B" w:rsidRDefault="004C64C7" w:rsidP="006A77A4">
      <w:pPr>
        <w:ind w:left="3600" w:firstLine="720"/>
        <w:rPr>
          <w:rFonts w:eastAsia="SimSun"/>
          <w:szCs w:val="20"/>
          <w:lang w:eastAsia="zh-CN"/>
        </w:rPr>
      </w:pPr>
      <w:r w:rsidRPr="006F297B">
        <w:rPr>
          <w:rFonts w:eastAsia="SimSun"/>
          <w:szCs w:val="20"/>
          <w:lang w:eastAsia="zh-CN"/>
        </w:rPr>
        <w:t>Respectfully submitted,</w:t>
      </w:r>
    </w:p>
    <w:p w:rsidR="004C64C7" w:rsidRPr="006F297B" w:rsidRDefault="004C64C7" w:rsidP="006F297B">
      <w:pPr>
        <w:rPr>
          <w:rFonts w:eastAsia="SimSun"/>
          <w:szCs w:val="20"/>
          <w:lang w:eastAsia="zh-CN"/>
        </w:rPr>
      </w:pPr>
    </w:p>
    <w:p w:rsidR="004C64C7" w:rsidRPr="006F297B" w:rsidRDefault="004C64C7" w:rsidP="006F297B">
      <w:pPr>
        <w:autoSpaceDE w:val="0"/>
        <w:autoSpaceDN w:val="0"/>
        <w:adjustRightInd w:val="0"/>
        <w:ind w:left="4320"/>
        <w:rPr>
          <w:color w:val="000000"/>
          <w:u w:val="single"/>
          <w:lang w:val="de-DE"/>
        </w:rPr>
      </w:pPr>
      <w:r w:rsidRPr="006F297B">
        <w:rPr>
          <w:color w:val="000000"/>
          <w:u w:val="single"/>
        </w:rPr>
        <w:tab/>
        <w:t xml:space="preserve">/s/ </w:t>
      </w:r>
      <w:r w:rsidRPr="006F297B">
        <w:rPr>
          <w:i/>
          <w:color w:val="000000"/>
          <w:u w:val="single"/>
        </w:rPr>
        <w:t>Laura C. McBride</w:t>
      </w:r>
      <w:r w:rsidRPr="006F297B">
        <w:rPr>
          <w:color w:val="000000"/>
          <w:u w:val="single"/>
          <w:lang w:val="de-DE"/>
        </w:rPr>
        <w:tab/>
      </w:r>
      <w:r w:rsidRPr="006F297B">
        <w:rPr>
          <w:i/>
          <w:iCs/>
          <w:color w:val="000000"/>
          <w:u w:val="single"/>
          <w:lang w:val="de-DE"/>
        </w:rPr>
        <w:tab/>
      </w:r>
      <w:r w:rsidRPr="006F297B">
        <w:rPr>
          <w:i/>
          <w:iCs/>
          <w:color w:val="000000"/>
          <w:u w:val="single"/>
          <w:lang w:val="de-DE"/>
        </w:rPr>
        <w:tab/>
      </w:r>
    </w:p>
    <w:p w:rsidR="004C64C7" w:rsidRPr="006F297B" w:rsidRDefault="004C64C7" w:rsidP="00306CB3">
      <w:pPr>
        <w:ind w:firstLine="4320"/>
        <w:jc w:val="both"/>
        <w:rPr>
          <w:rFonts w:eastAsia="MS ??"/>
        </w:rPr>
      </w:pPr>
      <w:r w:rsidRPr="006F297B">
        <w:rPr>
          <w:rFonts w:eastAsia="MS ??"/>
        </w:rPr>
        <w:t>Carrie M. Dunn</w:t>
      </w:r>
    </w:p>
    <w:p w:rsidR="004C64C7" w:rsidRPr="006F297B" w:rsidRDefault="004C64C7" w:rsidP="006F297B">
      <w:pPr>
        <w:ind w:firstLine="4320"/>
        <w:jc w:val="both"/>
        <w:rPr>
          <w:rFonts w:eastAsia="MS ??"/>
        </w:rPr>
      </w:pPr>
      <w:r w:rsidRPr="006F297B">
        <w:rPr>
          <w:rFonts w:eastAsia="MS ??"/>
        </w:rPr>
        <w:t xml:space="preserve">    Counsel of Record </w:t>
      </w:r>
    </w:p>
    <w:p w:rsidR="004C64C7" w:rsidRPr="006F297B" w:rsidRDefault="004C64C7" w:rsidP="006F297B">
      <w:pPr>
        <w:ind w:firstLine="4320"/>
        <w:jc w:val="both"/>
        <w:rPr>
          <w:rFonts w:eastAsia="MS ??"/>
        </w:rPr>
      </w:pPr>
      <w:r w:rsidRPr="006F297B">
        <w:rPr>
          <w:rFonts w:eastAsia="MS ??"/>
        </w:rPr>
        <w:t>FirstEnergy Service Company</w:t>
      </w:r>
    </w:p>
    <w:p w:rsidR="004C64C7" w:rsidRPr="006F297B" w:rsidRDefault="004C64C7" w:rsidP="006F297B">
      <w:pPr>
        <w:ind w:firstLine="4320"/>
        <w:jc w:val="both"/>
        <w:rPr>
          <w:rFonts w:eastAsia="MS ??"/>
        </w:rPr>
      </w:pPr>
      <w:r w:rsidRPr="006F297B">
        <w:rPr>
          <w:rFonts w:eastAsia="MS ??"/>
        </w:rPr>
        <w:t>76 South Main Street</w:t>
      </w:r>
    </w:p>
    <w:p w:rsidR="004C64C7" w:rsidRPr="006F297B" w:rsidRDefault="004C64C7" w:rsidP="006F297B">
      <w:pPr>
        <w:ind w:firstLine="4320"/>
        <w:jc w:val="both"/>
        <w:rPr>
          <w:rFonts w:eastAsia="MS ??"/>
        </w:rPr>
      </w:pPr>
      <w:r w:rsidRPr="006F297B">
        <w:rPr>
          <w:rFonts w:eastAsia="MS ??"/>
        </w:rPr>
        <w:t>Akron, Ohio  44308</w:t>
      </w:r>
    </w:p>
    <w:p w:rsidR="004C64C7" w:rsidRPr="006F297B" w:rsidRDefault="004C64C7" w:rsidP="006F297B">
      <w:pPr>
        <w:ind w:firstLine="4320"/>
        <w:jc w:val="both"/>
        <w:rPr>
          <w:rFonts w:eastAsia="MS ??"/>
        </w:rPr>
      </w:pPr>
      <w:r w:rsidRPr="006F297B">
        <w:rPr>
          <w:rFonts w:eastAsia="MS ??"/>
        </w:rPr>
        <w:t>(330) 761-2352</w:t>
      </w:r>
    </w:p>
    <w:p w:rsidR="004C64C7" w:rsidRPr="006F297B" w:rsidRDefault="004C64C7" w:rsidP="006F297B">
      <w:pPr>
        <w:ind w:firstLine="4320"/>
        <w:jc w:val="both"/>
        <w:rPr>
          <w:rFonts w:eastAsia="MS ??"/>
        </w:rPr>
      </w:pPr>
      <w:r w:rsidRPr="006F297B">
        <w:rPr>
          <w:rFonts w:eastAsia="MS ??"/>
        </w:rPr>
        <w:t>Fax:  (330) 384-3875</w:t>
      </w:r>
    </w:p>
    <w:p w:rsidR="004C64C7" w:rsidRPr="006F297B" w:rsidRDefault="004C64C7" w:rsidP="006F297B">
      <w:pPr>
        <w:ind w:firstLine="4320"/>
        <w:jc w:val="both"/>
        <w:rPr>
          <w:rFonts w:eastAsia="MS ??"/>
        </w:rPr>
      </w:pPr>
      <w:r w:rsidRPr="006F297B">
        <w:rPr>
          <w:rFonts w:eastAsia="MS ??"/>
        </w:rPr>
        <w:t>cdunn@firstenergycorp.com</w:t>
      </w:r>
    </w:p>
    <w:p w:rsidR="004C64C7" w:rsidRPr="006F297B" w:rsidRDefault="004C64C7" w:rsidP="006F297B">
      <w:pPr>
        <w:rPr>
          <w:rFonts w:eastAsia="MS ??"/>
        </w:rPr>
      </w:pPr>
    </w:p>
    <w:p w:rsidR="004C64C7" w:rsidRPr="006F297B" w:rsidRDefault="004C64C7" w:rsidP="006F297B">
      <w:pPr>
        <w:ind w:left="4320"/>
        <w:contextualSpacing/>
        <w:rPr>
          <w:rFonts w:eastAsia="MS ??"/>
        </w:rPr>
      </w:pPr>
      <w:r w:rsidRPr="006F297B">
        <w:rPr>
          <w:rFonts w:eastAsia="MS ??"/>
        </w:rPr>
        <w:lastRenderedPageBreak/>
        <w:t>Laura C. McBride (0080059)</w:t>
      </w:r>
    </w:p>
    <w:p w:rsidR="004C64C7" w:rsidRPr="006F297B" w:rsidRDefault="004C64C7" w:rsidP="006F297B">
      <w:pPr>
        <w:ind w:left="4320"/>
        <w:contextualSpacing/>
        <w:rPr>
          <w:rFonts w:eastAsia="MS ??"/>
        </w:rPr>
      </w:pPr>
      <w:r w:rsidRPr="006F297B">
        <w:rPr>
          <w:rFonts w:eastAsia="MS ??"/>
        </w:rPr>
        <w:t>Christine E. Watchorn (0075919)</w:t>
      </w:r>
    </w:p>
    <w:p w:rsidR="004C64C7" w:rsidRPr="006F297B" w:rsidRDefault="004C64C7" w:rsidP="006F297B">
      <w:pPr>
        <w:ind w:left="4320"/>
        <w:contextualSpacing/>
        <w:rPr>
          <w:rFonts w:eastAsia="MS ??"/>
        </w:rPr>
      </w:pPr>
      <w:r w:rsidRPr="006F297B">
        <w:rPr>
          <w:rFonts w:eastAsia="MS ??"/>
        </w:rPr>
        <w:t>Ulmer &amp; Berne LLP</w:t>
      </w:r>
    </w:p>
    <w:p w:rsidR="004C64C7" w:rsidRPr="006F297B" w:rsidRDefault="004C64C7" w:rsidP="006F297B">
      <w:pPr>
        <w:ind w:left="4320"/>
        <w:contextualSpacing/>
        <w:rPr>
          <w:rFonts w:eastAsia="MS ??"/>
        </w:rPr>
      </w:pPr>
      <w:r w:rsidRPr="006F297B">
        <w:rPr>
          <w:rFonts w:eastAsia="MS ??"/>
        </w:rPr>
        <w:t>88 East Broad Street, Suite 1600</w:t>
      </w:r>
    </w:p>
    <w:p w:rsidR="004C64C7" w:rsidRPr="006F297B" w:rsidRDefault="004C64C7" w:rsidP="006F297B">
      <w:pPr>
        <w:ind w:left="4320"/>
        <w:contextualSpacing/>
        <w:rPr>
          <w:rFonts w:eastAsia="MS ??"/>
        </w:rPr>
      </w:pPr>
      <w:r w:rsidRPr="006F297B">
        <w:rPr>
          <w:rFonts w:eastAsia="MS ??"/>
        </w:rPr>
        <w:t>Columbus, Ohio  43215</w:t>
      </w:r>
    </w:p>
    <w:p w:rsidR="004C64C7" w:rsidRPr="006F297B" w:rsidRDefault="004C64C7" w:rsidP="006F297B">
      <w:pPr>
        <w:ind w:left="4320"/>
        <w:contextualSpacing/>
        <w:rPr>
          <w:rFonts w:eastAsia="MS ??"/>
        </w:rPr>
      </w:pPr>
      <w:r w:rsidRPr="006F297B">
        <w:rPr>
          <w:rFonts w:eastAsia="MS ??"/>
        </w:rPr>
        <w:t>(614) 229-0034</w:t>
      </w:r>
    </w:p>
    <w:p w:rsidR="004C64C7" w:rsidRPr="006F297B" w:rsidRDefault="004C64C7" w:rsidP="006F297B">
      <w:pPr>
        <w:ind w:left="4320"/>
        <w:contextualSpacing/>
        <w:rPr>
          <w:rFonts w:eastAsia="MS ??"/>
        </w:rPr>
      </w:pPr>
      <w:r w:rsidRPr="006F297B">
        <w:rPr>
          <w:rFonts w:eastAsia="MS ??"/>
        </w:rPr>
        <w:t>Fax:  (614) 229-0035</w:t>
      </w:r>
    </w:p>
    <w:p w:rsidR="004C64C7" w:rsidRPr="006F297B" w:rsidRDefault="004C64C7" w:rsidP="006F297B">
      <w:pPr>
        <w:ind w:left="4320"/>
        <w:contextualSpacing/>
        <w:rPr>
          <w:rFonts w:eastAsia="MS ??"/>
        </w:rPr>
      </w:pPr>
      <w:r w:rsidRPr="006F297B">
        <w:rPr>
          <w:rFonts w:eastAsia="MS ??"/>
        </w:rPr>
        <w:t xml:space="preserve">lmcbride@ulmer.com </w:t>
      </w:r>
    </w:p>
    <w:p w:rsidR="004C64C7" w:rsidRPr="006F297B" w:rsidRDefault="004C64C7" w:rsidP="006F297B">
      <w:pPr>
        <w:ind w:left="3600" w:firstLine="720"/>
        <w:rPr>
          <w:rFonts w:eastAsia="MS ??"/>
        </w:rPr>
      </w:pPr>
      <w:r w:rsidRPr="006F297B">
        <w:rPr>
          <w:rFonts w:eastAsia="MS ??"/>
        </w:rPr>
        <w:t>cwatchorn@ulmer.com</w:t>
      </w:r>
    </w:p>
    <w:p w:rsidR="004C64C7" w:rsidRPr="006F297B" w:rsidRDefault="004C64C7" w:rsidP="006F297B">
      <w:pPr>
        <w:ind w:firstLine="5040"/>
        <w:jc w:val="both"/>
        <w:rPr>
          <w:rFonts w:eastAsia="MS ??"/>
        </w:rPr>
      </w:pPr>
    </w:p>
    <w:p w:rsidR="004C64C7" w:rsidRPr="006F297B" w:rsidRDefault="004C64C7" w:rsidP="006F297B">
      <w:pPr>
        <w:ind w:left="4320"/>
        <w:contextualSpacing/>
        <w:rPr>
          <w:rFonts w:eastAsia="SimSun"/>
          <w:i/>
          <w:szCs w:val="20"/>
          <w:lang w:eastAsia="zh-CN"/>
        </w:rPr>
      </w:pPr>
      <w:r w:rsidRPr="006F297B">
        <w:rPr>
          <w:rFonts w:eastAsia="MS ??"/>
          <w:i/>
        </w:rPr>
        <w:t>On behalf of The Toledo Edison Company</w:t>
      </w:r>
    </w:p>
    <w:p w:rsidR="004C64C7" w:rsidRPr="006F297B" w:rsidRDefault="004C64C7" w:rsidP="006A77A4">
      <w:pPr>
        <w:jc w:val="center"/>
        <w:rPr>
          <w:rFonts w:eastAsia="MS ??"/>
          <w:b/>
          <w:u w:val="single"/>
        </w:rPr>
      </w:pPr>
      <w:r>
        <w:rPr>
          <w:rFonts w:eastAsia="MS ??"/>
          <w:b/>
          <w:u w:val="single"/>
        </w:rPr>
        <w:br w:type="page"/>
      </w:r>
      <w:r w:rsidRPr="006F297B">
        <w:rPr>
          <w:rFonts w:eastAsia="MS ??"/>
          <w:b/>
          <w:u w:val="single"/>
        </w:rPr>
        <w:lastRenderedPageBreak/>
        <w:t>CERTIFICATE OF SERVICE</w:t>
      </w:r>
    </w:p>
    <w:p w:rsidR="004C64C7" w:rsidRPr="006F297B" w:rsidRDefault="004C64C7" w:rsidP="006F297B">
      <w:pPr>
        <w:jc w:val="center"/>
        <w:rPr>
          <w:rFonts w:eastAsia="MS ??"/>
          <w:b/>
        </w:rPr>
      </w:pPr>
    </w:p>
    <w:p w:rsidR="004C64C7" w:rsidRPr="006F297B" w:rsidRDefault="004C64C7" w:rsidP="006F297B">
      <w:pPr>
        <w:autoSpaceDE w:val="0"/>
        <w:autoSpaceDN w:val="0"/>
        <w:adjustRightInd w:val="0"/>
        <w:spacing w:line="480" w:lineRule="auto"/>
        <w:ind w:firstLine="1440"/>
        <w:jc w:val="both"/>
        <w:rPr>
          <w:color w:val="000000"/>
        </w:rPr>
      </w:pPr>
      <w:r w:rsidRPr="006F297B">
        <w:rPr>
          <w:color w:val="000000"/>
        </w:rPr>
        <w:t xml:space="preserve">I hereby certify that a copy of the foregoing </w:t>
      </w:r>
      <w:r>
        <w:rPr>
          <w:i/>
          <w:color w:val="000000"/>
        </w:rPr>
        <w:t xml:space="preserve">The Toledo Edison Company’s </w:t>
      </w:r>
      <w:r w:rsidRPr="00E55DBE">
        <w:rPr>
          <w:i/>
          <w:color w:val="000000"/>
        </w:rPr>
        <w:t xml:space="preserve">Motion to Dismiss </w:t>
      </w:r>
      <w:r>
        <w:rPr>
          <w:iCs/>
          <w:color w:val="000000"/>
        </w:rPr>
        <w:t xml:space="preserve">and the </w:t>
      </w:r>
      <w:r>
        <w:rPr>
          <w:i/>
          <w:iCs/>
          <w:color w:val="000000"/>
        </w:rPr>
        <w:t xml:space="preserve">Memorandum in Support </w:t>
      </w:r>
      <w:r>
        <w:rPr>
          <w:iCs/>
          <w:color w:val="000000"/>
        </w:rPr>
        <w:t xml:space="preserve">thereof were </w:t>
      </w:r>
      <w:r w:rsidRPr="006F297B">
        <w:rPr>
          <w:color w:val="000000"/>
        </w:rPr>
        <w:t xml:space="preserve">served this </w:t>
      </w:r>
      <w:r w:rsidR="00C93D60">
        <w:rPr>
          <w:color w:val="000000"/>
        </w:rPr>
        <w:t>13</w:t>
      </w:r>
      <w:r w:rsidR="00F25B95">
        <w:rPr>
          <w:color w:val="000000"/>
        </w:rPr>
        <w:t>th</w:t>
      </w:r>
      <w:r w:rsidRPr="006F297B">
        <w:rPr>
          <w:color w:val="000000"/>
        </w:rPr>
        <w:t xml:space="preserve"> day of </w:t>
      </w:r>
      <w:r>
        <w:rPr>
          <w:color w:val="000000"/>
        </w:rPr>
        <w:t>February</w:t>
      </w:r>
      <w:r w:rsidRPr="006F297B">
        <w:rPr>
          <w:color w:val="000000"/>
        </w:rPr>
        <w:t>, 201</w:t>
      </w:r>
      <w:r>
        <w:rPr>
          <w:color w:val="000000"/>
        </w:rPr>
        <w:t>4</w:t>
      </w:r>
      <w:r w:rsidRPr="006F297B">
        <w:rPr>
          <w:color w:val="000000"/>
        </w:rPr>
        <w:t>, via electronic mail on:</w:t>
      </w:r>
    </w:p>
    <w:p w:rsidR="004C64C7" w:rsidRPr="006F297B" w:rsidRDefault="004C64C7" w:rsidP="006F297B">
      <w:pPr>
        <w:autoSpaceDE w:val="0"/>
        <w:autoSpaceDN w:val="0"/>
        <w:adjustRightInd w:val="0"/>
        <w:jc w:val="center"/>
        <w:rPr>
          <w:color w:val="000000"/>
        </w:rPr>
      </w:pPr>
      <w:r w:rsidRPr="006F297B">
        <w:rPr>
          <w:color w:val="000000"/>
        </w:rPr>
        <w:t>Craig I. Smith</w:t>
      </w:r>
    </w:p>
    <w:p w:rsidR="004C64C7" w:rsidRPr="006F297B" w:rsidRDefault="004C64C7" w:rsidP="006F297B">
      <w:pPr>
        <w:autoSpaceDE w:val="0"/>
        <w:autoSpaceDN w:val="0"/>
        <w:adjustRightInd w:val="0"/>
        <w:jc w:val="center"/>
        <w:rPr>
          <w:color w:val="000000"/>
        </w:rPr>
      </w:pPr>
      <w:r w:rsidRPr="006F297B">
        <w:rPr>
          <w:color w:val="000000"/>
        </w:rPr>
        <w:t xml:space="preserve">15700 Van </w:t>
      </w:r>
      <w:proofErr w:type="spellStart"/>
      <w:r w:rsidRPr="006F297B">
        <w:rPr>
          <w:color w:val="000000"/>
        </w:rPr>
        <w:t>Aken</w:t>
      </w:r>
      <w:proofErr w:type="spellEnd"/>
      <w:r w:rsidRPr="006F297B">
        <w:rPr>
          <w:color w:val="000000"/>
        </w:rPr>
        <w:t xml:space="preserve"> Blvd.</w:t>
      </w:r>
      <w:proofErr w:type="gramStart"/>
      <w:r w:rsidRPr="006F297B">
        <w:rPr>
          <w:color w:val="000000"/>
        </w:rPr>
        <w:t>,  #</w:t>
      </w:r>
      <w:proofErr w:type="gramEnd"/>
      <w:r w:rsidRPr="006F297B">
        <w:rPr>
          <w:color w:val="000000"/>
        </w:rPr>
        <w:t>26</w:t>
      </w:r>
    </w:p>
    <w:p w:rsidR="004C64C7" w:rsidRPr="006F297B" w:rsidRDefault="004C64C7" w:rsidP="006F297B">
      <w:pPr>
        <w:autoSpaceDE w:val="0"/>
        <w:autoSpaceDN w:val="0"/>
        <w:adjustRightInd w:val="0"/>
        <w:jc w:val="center"/>
        <w:rPr>
          <w:color w:val="000000"/>
        </w:rPr>
      </w:pPr>
      <w:r w:rsidRPr="006F297B">
        <w:rPr>
          <w:color w:val="000000"/>
        </w:rPr>
        <w:t>Shaker Heights, OH 44120</w:t>
      </w:r>
    </w:p>
    <w:p w:rsidR="004C64C7" w:rsidRPr="006F297B" w:rsidRDefault="004C64C7" w:rsidP="006F297B">
      <w:pPr>
        <w:autoSpaceDE w:val="0"/>
        <w:autoSpaceDN w:val="0"/>
        <w:adjustRightInd w:val="0"/>
        <w:jc w:val="center"/>
        <w:rPr>
          <w:color w:val="000000"/>
        </w:rPr>
      </w:pPr>
      <w:r w:rsidRPr="006F297B">
        <w:rPr>
          <w:color w:val="000000"/>
        </w:rPr>
        <w:t>wttpmlc@aol.com</w:t>
      </w:r>
    </w:p>
    <w:p w:rsidR="004C64C7" w:rsidRPr="006F297B" w:rsidRDefault="004C64C7" w:rsidP="006F297B">
      <w:pPr>
        <w:autoSpaceDE w:val="0"/>
        <w:autoSpaceDN w:val="0"/>
        <w:adjustRightInd w:val="0"/>
        <w:spacing w:line="480" w:lineRule="auto"/>
        <w:jc w:val="both"/>
        <w:rPr>
          <w:color w:val="000000"/>
        </w:rPr>
      </w:pPr>
    </w:p>
    <w:p w:rsidR="004C64C7" w:rsidRPr="006F297B" w:rsidRDefault="004C64C7" w:rsidP="006F297B">
      <w:pPr>
        <w:autoSpaceDE w:val="0"/>
        <w:autoSpaceDN w:val="0"/>
        <w:adjustRightInd w:val="0"/>
        <w:ind w:left="4320"/>
        <w:rPr>
          <w:color w:val="000000"/>
        </w:rPr>
      </w:pPr>
      <w:r w:rsidRPr="006F297B">
        <w:rPr>
          <w:color w:val="000000"/>
          <w:u w:val="single"/>
        </w:rPr>
        <w:tab/>
        <w:t xml:space="preserve">/s/ </w:t>
      </w:r>
      <w:r w:rsidRPr="006F297B">
        <w:rPr>
          <w:i/>
          <w:color w:val="000000"/>
          <w:u w:val="single"/>
        </w:rPr>
        <w:t>Laura C. McBride</w:t>
      </w:r>
      <w:r w:rsidRPr="006F297B">
        <w:rPr>
          <w:i/>
          <w:color w:val="000000"/>
          <w:u w:val="single"/>
        </w:rPr>
        <w:tab/>
      </w:r>
      <w:r w:rsidRPr="006F297B">
        <w:rPr>
          <w:i/>
          <w:iCs/>
          <w:color w:val="000000"/>
          <w:u w:val="single"/>
        </w:rPr>
        <w:tab/>
      </w:r>
      <w:r w:rsidRPr="006F297B">
        <w:rPr>
          <w:i/>
          <w:iCs/>
          <w:color w:val="000000"/>
          <w:u w:val="single"/>
        </w:rPr>
        <w:tab/>
      </w:r>
    </w:p>
    <w:p w:rsidR="004C64C7" w:rsidRPr="006F297B" w:rsidRDefault="004C64C7" w:rsidP="006F297B">
      <w:pPr>
        <w:ind w:left="3600" w:right="12"/>
        <w:rPr>
          <w:rFonts w:eastAsia="MS ??"/>
        </w:rPr>
      </w:pPr>
      <w:r w:rsidRPr="006F297B">
        <w:rPr>
          <w:rFonts w:eastAsia="MS ??"/>
        </w:rPr>
        <w:t xml:space="preserve">            On behalf of The Toledo Edison Company</w:t>
      </w:r>
    </w:p>
    <w:p w:rsidR="004C64C7" w:rsidRPr="006F297B" w:rsidRDefault="004C64C7" w:rsidP="006F297B">
      <w:pPr>
        <w:rPr>
          <w:rFonts w:eastAsia="SimSun"/>
          <w:szCs w:val="20"/>
          <w:lang w:eastAsia="zh-CN"/>
        </w:rPr>
      </w:pPr>
    </w:p>
    <w:p w:rsidR="004C64C7" w:rsidRPr="006F297B" w:rsidRDefault="004C64C7" w:rsidP="006F297B">
      <w:pPr>
        <w:rPr>
          <w:rFonts w:eastAsia="SimSun"/>
          <w:szCs w:val="20"/>
          <w:lang w:eastAsia="zh-CN"/>
        </w:rPr>
      </w:pPr>
    </w:p>
    <w:p w:rsidR="004C64C7" w:rsidRDefault="004C64C7" w:rsidP="006F297B">
      <w:pPr>
        <w:rPr>
          <w:rFonts w:eastAsia="SimSun"/>
          <w:szCs w:val="20"/>
          <w:lang w:eastAsia="zh-CN"/>
        </w:rPr>
      </w:pPr>
    </w:p>
    <w:p w:rsidR="00FC797C" w:rsidRDefault="00FC797C" w:rsidP="006F297B">
      <w:pPr>
        <w:rPr>
          <w:rFonts w:eastAsia="SimSun"/>
          <w:szCs w:val="20"/>
          <w:lang w:eastAsia="zh-CN"/>
        </w:rPr>
      </w:pPr>
    </w:p>
    <w:p w:rsidR="00FC797C" w:rsidRDefault="00FC797C" w:rsidP="006F297B">
      <w:pPr>
        <w:rPr>
          <w:rFonts w:eastAsia="SimSun"/>
          <w:szCs w:val="20"/>
          <w:lang w:eastAsia="zh-CN"/>
        </w:rPr>
      </w:pPr>
    </w:p>
    <w:p w:rsidR="00FC797C" w:rsidRDefault="00FC797C" w:rsidP="006F297B">
      <w:pPr>
        <w:rPr>
          <w:rFonts w:eastAsia="SimSun"/>
          <w:szCs w:val="20"/>
          <w:lang w:eastAsia="zh-CN"/>
        </w:rPr>
      </w:pPr>
    </w:p>
    <w:p w:rsidR="00FC797C" w:rsidRDefault="00FC797C" w:rsidP="00FC797C">
      <w:pPr>
        <w:pStyle w:val="LBFileStampAtEnd"/>
        <w:rPr>
          <w:rFonts w:eastAsia="SimSun"/>
          <w:lang w:eastAsia="zh-CN"/>
        </w:rPr>
      </w:pPr>
      <w:r>
        <w:rPr>
          <w:rFonts w:eastAsia="SimSun"/>
          <w:lang w:eastAsia="zh-CN"/>
        </w:rPr>
        <w:fldChar w:fldCharType="begin"/>
      </w:r>
      <w:r>
        <w:rPr>
          <w:rFonts w:eastAsia="SimSun"/>
          <w:lang w:eastAsia="zh-CN"/>
        </w:rPr>
        <w:instrText xml:space="preserve"> DOCPROPERTY DocNumberPrefix  </w:instrText>
      </w:r>
      <w:r>
        <w:rPr>
          <w:rFonts w:eastAsia="SimSun"/>
          <w:lang w:eastAsia="zh-CN"/>
        </w:rPr>
        <w:fldChar w:fldCharType="separate"/>
      </w:r>
      <w:r w:rsidR="006D5267">
        <w:rPr>
          <w:rFonts w:eastAsia="SimSun"/>
          <w:lang w:eastAsia="zh-CN"/>
        </w:rPr>
        <w:t xml:space="preserve">CLEV1997 </w:t>
      </w:r>
      <w:r>
        <w:rPr>
          <w:rFonts w:eastAsia="SimSun"/>
          <w:lang w:eastAsia="zh-CN"/>
        </w:rPr>
        <w:fldChar w:fldCharType="end"/>
      </w:r>
      <w:r>
        <w:rPr>
          <w:rFonts w:eastAsia="SimSun"/>
          <w:lang w:eastAsia="zh-CN"/>
        </w:rPr>
        <w:fldChar w:fldCharType="begin"/>
      </w:r>
      <w:r>
        <w:rPr>
          <w:rFonts w:eastAsia="SimSun"/>
          <w:lang w:eastAsia="zh-CN"/>
        </w:rPr>
        <w:instrText xml:space="preserve"> DOCPROPERTY DMNumber  </w:instrText>
      </w:r>
      <w:r>
        <w:rPr>
          <w:rFonts w:eastAsia="SimSun"/>
          <w:lang w:eastAsia="zh-CN"/>
        </w:rPr>
        <w:fldChar w:fldCharType="separate"/>
      </w:r>
      <w:r w:rsidR="006D5267">
        <w:rPr>
          <w:rFonts w:eastAsia="SimSun"/>
          <w:lang w:eastAsia="zh-CN"/>
        </w:rPr>
        <w:t>2075789</w:t>
      </w:r>
      <w:r>
        <w:rPr>
          <w:rFonts w:eastAsia="SimSun"/>
          <w:lang w:eastAsia="zh-CN"/>
        </w:rPr>
        <w:fldChar w:fldCharType="end"/>
      </w:r>
      <w:r>
        <w:rPr>
          <w:rFonts w:eastAsia="SimSun"/>
          <w:lang w:eastAsia="zh-CN"/>
        </w:rPr>
        <w:fldChar w:fldCharType="begin"/>
      </w:r>
      <w:r>
        <w:rPr>
          <w:rFonts w:eastAsia="SimSun"/>
          <w:lang w:eastAsia="zh-CN"/>
        </w:rPr>
        <w:instrText xml:space="preserve"> DOCPROPERTY DMVersionNumber  </w:instrText>
      </w:r>
      <w:r>
        <w:rPr>
          <w:rFonts w:eastAsia="SimSun"/>
          <w:lang w:eastAsia="zh-CN"/>
        </w:rPr>
        <w:fldChar w:fldCharType="separate"/>
      </w:r>
      <w:r w:rsidR="006D5267">
        <w:rPr>
          <w:rFonts w:eastAsia="SimSun"/>
          <w:lang w:eastAsia="zh-CN"/>
        </w:rPr>
        <w:t>v1</w:t>
      </w:r>
      <w:r>
        <w:rPr>
          <w:rFonts w:eastAsia="SimSun"/>
          <w:lang w:eastAsia="zh-CN"/>
        </w:rPr>
        <w:fldChar w:fldCharType="end"/>
      </w:r>
      <w:r>
        <w:rPr>
          <w:rFonts w:eastAsia="SimSun"/>
          <w:lang w:eastAsia="zh-CN"/>
        </w:rPr>
        <w:fldChar w:fldCharType="begin"/>
      </w:r>
      <w:r>
        <w:rPr>
          <w:rFonts w:eastAsia="SimSun"/>
          <w:lang w:eastAsia="zh-CN"/>
        </w:rPr>
        <w:instrText xml:space="preserve"> DOCPROPERTY DocNumberSuffix  </w:instrText>
      </w:r>
      <w:r>
        <w:rPr>
          <w:rFonts w:eastAsia="SimSun"/>
          <w:lang w:eastAsia="zh-CN"/>
        </w:rPr>
        <w:fldChar w:fldCharType="separate"/>
      </w:r>
      <w:r w:rsidR="006D5267">
        <w:rPr>
          <w:rFonts w:eastAsia="SimSun"/>
          <w:lang w:eastAsia="zh-CN"/>
        </w:rPr>
        <w:br/>
        <w:t>29414.00049</w:t>
      </w:r>
      <w:r>
        <w:rPr>
          <w:rFonts w:eastAsia="SimSun"/>
          <w:lang w:eastAsia="zh-CN"/>
        </w:rPr>
        <w:fldChar w:fldCharType="end"/>
      </w:r>
    </w:p>
    <w:sectPr w:rsidR="00FC797C" w:rsidSect="00FD3D09">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C7" w:rsidRDefault="004C64C7">
      <w:r>
        <w:separator/>
      </w:r>
    </w:p>
  </w:endnote>
  <w:endnote w:type="continuationSeparator" w:id="0">
    <w:p w:rsidR="004C64C7" w:rsidRDefault="004C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C7" w:rsidRDefault="004C64C7" w:rsidP="00E16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64C7" w:rsidRDefault="004C6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C7" w:rsidRDefault="004C64C7" w:rsidP="00E16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267">
      <w:rPr>
        <w:rStyle w:val="PageNumber"/>
        <w:noProof/>
      </w:rPr>
      <w:t>2</w:t>
    </w:r>
    <w:r>
      <w:rPr>
        <w:rStyle w:val="PageNumber"/>
      </w:rPr>
      <w:fldChar w:fldCharType="end"/>
    </w:r>
  </w:p>
  <w:p w:rsidR="004C64C7" w:rsidRDefault="004C6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95" w:rsidRDefault="00F25B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C7" w:rsidRDefault="004C64C7" w:rsidP="00E16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267">
      <w:rPr>
        <w:rStyle w:val="PageNumber"/>
        <w:noProof/>
      </w:rPr>
      <w:t>18</w:t>
    </w:r>
    <w:r>
      <w:rPr>
        <w:rStyle w:val="PageNumber"/>
      </w:rPr>
      <w:fldChar w:fldCharType="end"/>
    </w:r>
  </w:p>
  <w:p w:rsidR="004C64C7" w:rsidRDefault="004C64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A4" w:rsidRDefault="002604A4">
    <w:pPr>
      <w:pStyle w:val="Footer"/>
      <w:jc w:val="center"/>
    </w:pPr>
    <w:r>
      <w:fldChar w:fldCharType="begin"/>
    </w:r>
    <w:r>
      <w:instrText xml:space="preserve"> PAGE   \* MERGEFORMAT </w:instrText>
    </w:r>
    <w:r>
      <w:fldChar w:fldCharType="separate"/>
    </w:r>
    <w:r w:rsidR="006D5267">
      <w:rPr>
        <w:noProof/>
      </w:rPr>
      <w:t>i</w:t>
    </w:r>
    <w:r>
      <w:rPr>
        <w:noProof/>
      </w:rPr>
      <w:fldChar w:fldCharType="end"/>
    </w:r>
  </w:p>
  <w:p w:rsidR="002604A4" w:rsidRDefault="002604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A4" w:rsidRDefault="002604A4">
    <w:pPr>
      <w:pStyle w:val="Footer"/>
      <w:jc w:val="center"/>
    </w:pPr>
  </w:p>
  <w:p w:rsidR="002604A4" w:rsidRDefault="00260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C7" w:rsidRDefault="004C64C7">
      <w:r>
        <w:separator/>
      </w:r>
    </w:p>
  </w:footnote>
  <w:footnote w:type="continuationSeparator" w:id="0">
    <w:p w:rsidR="004C64C7" w:rsidRDefault="004C64C7">
      <w:r>
        <w:continuationSeparator/>
      </w:r>
    </w:p>
  </w:footnote>
  <w:footnote w:id="1">
    <w:p w:rsidR="004C64C7" w:rsidRDefault="004C64C7" w:rsidP="004767E7">
      <w:pPr>
        <w:pStyle w:val="FootnoteText"/>
        <w:spacing w:after="120"/>
      </w:pPr>
      <w:r>
        <w:rPr>
          <w:rStyle w:val="FootnoteReference"/>
        </w:rPr>
        <w:footnoteRef/>
      </w:r>
      <w:r>
        <w:t xml:space="preserve"> </w:t>
      </w:r>
      <w:proofErr w:type="spellStart"/>
      <w:proofErr w:type="gramStart"/>
      <w:r w:rsidRPr="00563DA7">
        <w:rPr>
          <w:rFonts w:eastAsia="SimSun"/>
          <w:i/>
          <w:lang w:eastAsia="zh-CN"/>
        </w:rPr>
        <w:t>Seketa</w:t>
      </w:r>
      <w:proofErr w:type="spellEnd"/>
      <w:r w:rsidRPr="00563DA7">
        <w:rPr>
          <w:rFonts w:eastAsia="SimSun"/>
          <w:i/>
          <w:lang w:eastAsia="zh-CN"/>
        </w:rPr>
        <w:t xml:space="preserve"> v.</w:t>
      </w:r>
      <w:proofErr w:type="gramEnd"/>
      <w:r w:rsidRPr="00563DA7">
        <w:rPr>
          <w:rFonts w:eastAsia="SimSun"/>
          <w:i/>
          <w:lang w:eastAsia="zh-CN"/>
        </w:rPr>
        <w:t xml:space="preserve"> </w:t>
      </w:r>
      <w:proofErr w:type="gramStart"/>
      <w:r w:rsidRPr="00563DA7">
        <w:rPr>
          <w:rFonts w:eastAsia="SimSun"/>
          <w:i/>
          <w:lang w:eastAsia="zh-CN"/>
        </w:rPr>
        <w:t>The East Ohio Gas Co.</w:t>
      </w:r>
      <w:r>
        <w:rPr>
          <w:rFonts w:eastAsia="SimSun"/>
          <w:lang w:eastAsia="zh-CN"/>
        </w:rPr>
        <w:t xml:space="preserve">, Case No. 06-549-GA-CSS, Entry (Aug. 9, 2006), ¶ 4; </w:t>
      </w:r>
      <w:r w:rsidRPr="005226DA">
        <w:rPr>
          <w:rFonts w:eastAsia="SimSun"/>
          <w:i/>
          <w:lang w:eastAsia="zh-CN"/>
        </w:rPr>
        <w:t>In the Matter of the Complaints of Young, et al. v.</w:t>
      </w:r>
      <w:proofErr w:type="gramEnd"/>
      <w:r w:rsidRPr="005226DA">
        <w:rPr>
          <w:rFonts w:eastAsia="SimSun"/>
          <w:i/>
          <w:lang w:eastAsia="zh-CN"/>
        </w:rPr>
        <w:t xml:space="preserve"> </w:t>
      </w:r>
      <w:proofErr w:type="gramStart"/>
      <w:r w:rsidRPr="005226DA">
        <w:rPr>
          <w:rFonts w:eastAsia="SimSun"/>
          <w:i/>
          <w:lang w:eastAsia="zh-CN"/>
        </w:rPr>
        <w:t>The Ohio American Water Co.</w:t>
      </w:r>
      <w:r>
        <w:rPr>
          <w:rFonts w:eastAsia="SimSun"/>
          <w:lang w:eastAsia="zh-CN"/>
        </w:rPr>
        <w:t xml:space="preserve">, Case Nos. 05-1170-WW-CSS </w:t>
      </w:r>
      <w:r>
        <w:rPr>
          <w:rFonts w:eastAsia="SimSun"/>
          <w:i/>
          <w:lang w:eastAsia="zh-CN"/>
        </w:rPr>
        <w:t>et al.</w:t>
      </w:r>
      <w:r>
        <w:rPr>
          <w:rFonts w:eastAsia="SimSun"/>
          <w:lang w:eastAsia="zh-CN"/>
        </w:rPr>
        <w:t xml:space="preserve"> Entry (Nov. 1, 2006), ¶ 1.</w:t>
      </w:r>
      <w:proofErr w:type="gramEnd"/>
      <w:r>
        <w:rPr>
          <w:rFonts w:eastAsia="SimSun"/>
          <w:lang w:eastAsia="zh-CN"/>
        </w:rPr>
        <w:t xml:space="preserve">  </w:t>
      </w:r>
    </w:p>
  </w:footnote>
  <w:footnote w:id="2">
    <w:p w:rsidR="004C64C7" w:rsidRDefault="004C64C7" w:rsidP="006A77A4">
      <w:pPr>
        <w:pStyle w:val="FootnoteText"/>
        <w:spacing w:after="120"/>
      </w:pPr>
      <w:r>
        <w:rPr>
          <w:rStyle w:val="FootnoteReference"/>
        </w:rPr>
        <w:footnoteRef/>
      </w:r>
      <w:r>
        <w:t xml:space="preserve"> </w:t>
      </w:r>
      <w:r>
        <w:rPr>
          <w:rFonts w:eastAsia="SimSun"/>
          <w:i/>
        </w:rPr>
        <w:t xml:space="preserve">See </w:t>
      </w:r>
      <w:r>
        <w:rPr>
          <w:rFonts w:eastAsia="SimSun"/>
        </w:rPr>
        <w:t xml:space="preserve">R.C. §§ 4905.04, 4909.03, 4933.82; Schedule of Rates for Electric Service, PUCO No. 8.  </w:t>
      </w:r>
    </w:p>
  </w:footnote>
  <w:footnote w:id="3">
    <w:p w:rsidR="004C64C7" w:rsidRDefault="004C64C7" w:rsidP="006A77A4">
      <w:pPr>
        <w:pStyle w:val="FootnoteText"/>
        <w:spacing w:after="120"/>
      </w:pPr>
      <w:r>
        <w:rPr>
          <w:rStyle w:val="FootnoteReference"/>
        </w:rPr>
        <w:footnoteRef/>
      </w:r>
      <w:r>
        <w:t xml:space="preserve"> </w:t>
      </w:r>
      <w:r>
        <w:rPr>
          <w:i/>
        </w:rPr>
        <w:t xml:space="preserve">See </w:t>
      </w:r>
      <w:r>
        <w:t xml:space="preserve">ESP II, Stipulation, filed Mar. 23, 2010; Supplemental Stipulation, filed May 13, 2010; Second Supplemental Stipulation, filed July 22, 2010.  </w:t>
      </w:r>
    </w:p>
  </w:footnote>
  <w:footnote w:id="4">
    <w:p w:rsidR="004C64C7" w:rsidRDefault="004C64C7" w:rsidP="006A77A4">
      <w:pPr>
        <w:pStyle w:val="FootnoteText"/>
        <w:spacing w:after="120"/>
      </w:pPr>
      <w:r>
        <w:rPr>
          <w:rStyle w:val="FootnoteReference"/>
        </w:rPr>
        <w:footnoteRef/>
      </w:r>
      <w:r>
        <w:t xml:space="preserve"> </w:t>
      </w:r>
      <w:r>
        <w:rPr>
          <w:rFonts w:eastAsia="SimSun"/>
          <w:i/>
        </w:rPr>
        <w:t xml:space="preserve">See </w:t>
      </w:r>
      <w:proofErr w:type="spellStart"/>
      <w:r>
        <w:rPr>
          <w:rFonts w:eastAsia="SimSun"/>
        </w:rPr>
        <w:t>Compl</w:t>
      </w:r>
      <w:proofErr w:type="spellEnd"/>
      <w:r>
        <w:rPr>
          <w:rFonts w:eastAsia="SimSun"/>
        </w:rPr>
        <w:t xml:space="preserve">. </w:t>
      </w:r>
      <w:proofErr w:type="gramStart"/>
      <w:r>
        <w:rPr>
          <w:rFonts w:eastAsia="SimSun"/>
        </w:rPr>
        <w:t>¶ 6; ESP II, Opinion and Order, filed Aug. 25, 2010.</w:t>
      </w:r>
      <w:proofErr w:type="gramEnd"/>
      <w:r>
        <w:rPr>
          <w:rFonts w:eastAsia="SimSun"/>
        </w:rPr>
        <w:t xml:space="preserve">  </w:t>
      </w:r>
    </w:p>
  </w:footnote>
  <w:footnote w:id="5">
    <w:p w:rsidR="004C64C7" w:rsidRDefault="004C64C7" w:rsidP="006A77A4">
      <w:pPr>
        <w:pStyle w:val="FootnoteText"/>
        <w:spacing w:after="120"/>
      </w:pPr>
      <w:r>
        <w:rPr>
          <w:rStyle w:val="FootnoteReference"/>
        </w:rPr>
        <w:footnoteRef/>
      </w:r>
      <w:r>
        <w:t xml:space="preserve"> </w:t>
      </w:r>
      <w:r w:rsidRPr="00D465C7">
        <w:rPr>
          <w:rFonts w:eastAsia="SimSun"/>
        </w:rPr>
        <w:t>ESP II Stipulation, p. 35.</w:t>
      </w:r>
    </w:p>
  </w:footnote>
  <w:footnote w:id="6">
    <w:p w:rsidR="004C64C7" w:rsidRDefault="004C64C7" w:rsidP="006A77A4">
      <w:pPr>
        <w:pStyle w:val="FootnoteText"/>
        <w:spacing w:after="120"/>
      </w:pPr>
      <w:r>
        <w:rPr>
          <w:rStyle w:val="FootnoteReference"/>
        </w:rPr>
        <w:footnoteRef/>
      </w:r>
      <w:r>
        <w:t xml:space="preserve"> </w:t>
      </w:r>
      <w:r>
        <w:rPr>
          <w:rFonts w:eastAsia="SimSun"/>
        </w:rPr>
        <w:t xml:space="preserve">ESP II Stipulation, filed Mar. 23, 2010, at §§ C.1, D.2, D.3, and Att. B.  </w:t>
      </w:r>
    </w:p>
  </w:footnote>
  <w:footnote w:id="7">
    <w:p w:rsidR="004C64C7" w:rsidRDefault="004C64C7" w:rsidP="001F0D35">
      <w:pPr>
        <w:pStyle w:val="FootnoteText"/>
        <w:spacing w:after="120"/>
      </w:pPr>
      <w:r>
        <w:rPr>
          <w:rStyle w:val="FootnoteReference"/>
        </w:rPr>
        <w:footnoteRef/>
      </w:r>
      <w:r>
        <w:t xml:space="preserve"> Rider ELR was previously approved in connection with the Company’s first electric security plan in Case No. 08-935-EL-SSO </w:t>
      </w:r>
      <w:r>
        <w:rPr>
          <w:i/>
        </w:rPr>
        <w:t>et al.</w:t>
      </w:r>
      <w:r>
        <w:t xml:space="preserve"> (“ESP I”) in March 2009.  </w:t>
      </w:r>
      <w:proofErr w:type="spellStart"/>
      <w:proofErr w:type="gramStart"/>
      <w:r>
        <w:t>Compl</w:t>
      </w:r>
      <w:proofErr w:type="spellEnd"/>
      <w:r>
        <w:t>.</w:t>
      </w:r>
      <w:proofErr w:type="gramEnd"/>
      <w:r>
        <w:t xml:space="preserve"> </w:t>
      </w:r>
      <w:proofErr w:type="gramStart"/>
      <w:r>
        <w:t>¶ 7.</w:t>
      </w:r>
      <w:proofErr w:type="gramEnd"/>
      <w:r>
        <w:t xml:space="preserve">  The foundation for ESP I also was a Stipulation supported by numerous interested parties, including Complainant.  </w:t>
      </w:r>
      <w:r>
        <w:rPr>
          <w:i/>
        </w:rPr>
        <w:t xml:space="preserve">See </w:t>
      </w:r>
      <w:proofErr w:type="spellStart"/>
      <w:r>
        <w:t>Compl</w:t>
      </w:r>
      <w:proofErr w:type="spellEnd"/>
      <w:r>
        <w:t xml:space="preserve">. ¶ 7; ESP I Stipulation, filed Feb. 19, 2009, at § </w:t>
      </w:r>
      <w:proofErr w:type="gramStart"/>
      <w:r>
        <w:t>A.11(</w:t>
      </w:r>
      <w:proofErr w:type="gramEnd"/>
      <w:r>
        <w:t>ii) and Att. B; Supplemental Stipulation, filed Feb. 26, 2009.</w:t>
      </w:r>
    </w:p>
  </w:footnote>
  <w:footnote w:id="8">
    <w:p w:rsidR="004C64C7" w:rsidRDefault="004C64C7" w:rsidP="006A77A4">
      <w:pPr>
        <w:pStyle w:val="FootnoteText"/>
        <w:spacing w:after="120"/>
      </w:pPr>
      <w:r>
        <w:rPr>
          <w:rStyle w:val="FootnoteReference"/>
        </w:rPr>
        <w:footnoteRef/>
      </w:r>
      <w:r>
        <w:t xml:space="preserve"> </w:t>
      </w:r>
      <w:r>
        <w:rPr>
          <w:rFonts w:eastAsia="SimSun"/>
        </w:rPr>
        <w:t xml:space="preserve">Schedule, Sheet 101; ESP II Stipulation, filed Mar. 23, 2010, at § D.2 and Att. B.  </w:t>
      </w:r>
    </w:p>
  </w:footnote>
  <w:footnote w:id="9">
    <w:p w:rsidR="004C64C7" w:rsidRDefault="004C64C7" w:rsidP="006A77A4">
      <w:pPr>
        <w:pStyle w:val="FootnoteText"/>
        <w:spacing w:after="120"/>
      </w:pPr>
      <w:r>
        <w:rPr>
          <w:rStyle w:val="FootnoteReference"/>
        </w:rPr>
        <w:footnoteRef/>
      </w:r>
      <w:r>
        <w:t xml:space="preserve"> </w:t>
      </w:r>
      <w:r>
        <w:rPr>
          <w:rFonts w:eastAsia="SimSun"/>
          <w:i/>
        </w:rPr>
        <w:t>Id.</w:t>
      </w:r>
      <w:r w:rsidRPr="006F297B">
        <w:rPr>
          <w:rFonts w:eastAsia="SimSun"/>
        </w:rPr>
        <w:t xml:space="preserve"> </w:t>
      </w:r>
      <w:r>
        <w:rPr>
          <w:rFonts w:eastAsia="SimSun"/>
        </w:rPr>
        <w:t xml:space="preserve"> </w:t>
      </w:r>
    </w:p>
  </w:footnote>
  <w:footnote w:id="10">
    <w:p w:rsidR="004C64C7" w:rsidRDefault="004C64C7" w:rsidP="006A77A4">
      <w:pPr>
        <w:pStyle w:val="FootnoteText"/>
        <w:spacing w:after="120"/>
      </w:pPr>
      <w:r>
        <w:rPr>
          <w:rStyle w:val="FootnoteReference"/>
        </w:rPr>
        <w:footnoteRef/>
      </w:r>
      <w:r>
        <w:t xml:space="preserve"> </w:t>
      </w:r>
      <w:r>
        <w:rPr>
          <w:rFonts w:eastAsia="SimSun"/>
          <w:i/>
        </w:rPr>
        <w:t xml:space="preserve">See </w:t>
      </w:r>
      <w:r>
        <w:rPr>
          <w:rFonts w:eastAsia="SimSun"/>
        </w:rPr>
        <w:t>ESP II Stipulation, § D.2; R.C. § 4928.66(A</w:t>
      </w:r>
      <w:proofErr w:type="gramStart"/>
      <w:r>
        <w:rPr>
          <w:rFonts w:eastAsia="SimSun"/>
        </w:rPr>
        <w:t>)(</w:t>
      </w:r>
      <w:proofErr w:type="gramEnd"/>
      <w:r>
        <w:rPr>
          <w:rFonts w:eastAsia="SimSun"/>
        </w:rPr>
        <w:t xml:space="preserve">1)(b).  </w:t>
      </w:r>
      <w:r w:rsidRPr="006F297B">
        <w:rPr>
          <w:rFonts w:eastAsia="SimSun"/>
        </w:rPr>
        <w:t xml:space="preserve">  </w:t>
      </w:r>
    </w:p>
  </w:footnote>
  <w:footnote w:id="11">
    <w:p w:rsidR="004C64C7" w:rsidRDefault="004C64C7" w:rsidP="006A77A4">
      <w:pPr>
        <w:pStyle w:val="FootnoteText"/>
        <w:spacing w:after="120"/>
      </w:pPr>
      <w:r>
        <w:rPr>
          <w:rStyle w:val="FootnoteReference"/>
        </w:rPr>
        <w:footnoteRef/>
      </w:r>
      <w:r>
        <w:t xml:space="preserve"> </w:t>
      </w:r>
      <w:r>
        <w:rPr>
          <w:rFonts w:eastAsia="SimSun"/>
        </w:rPr>
        <w:t xml:space="preserve">Rider ELR (emphasis added).  </w:t>
      </w:r>
    </w:p>
  </w:footnote>
  <w:footnote w:id="12">
    <w:p w:rsidR="004C64C7" w:rsidRDefault="004C64C7" w:rsidP="006A77A4">
      <w:pPr>
        <w:pStyle w:val="FootnoteText"/>
        <w:spacing w:after="120"/>
      </w:pPr>
      <w:r>
        <w:rPr>
          <w:rStyle w:val="FootnoteReference"/>
        </w:rPr>
        <w:footnoteRef/>
      </w:r>
      <w:r>
        <w:t xml:space="preserve"> </w:t>
      </w:r>
      <w:r>
        <w:rPr>
          <w:rFonts w:eastAsia="SimSun"/>
          <w:i/>
        </w:rPr>
        <w:t>Id.</w:t>
      </w:r>
      <w:r w:rsidRPr="006F297B">
        <w:rPr>
          <w:rFonts w:eastAsia="SimSun"/>
        </w:rPr>
        <w:t xml:space="preserve">  </w:t>
      </w:r>
    </w:p>
  </w:footnote>
  <w:footnote w:id="13">
    <w:p w:rsidR="004C64C7" w:rsidRDefault="004C64C7" w:rsidP="006A77A4">
      <w:pPr>
        <w:pStyle w:val="FootnoteText"/>
        <w:spacing w:after="120"/>
      </w:pPr>
      <w:r>
        <w:rPr>
          <w:rStyle w:val="FootnoteReference"/>
        </w:rPr>
        <w:footnoteRef/>
      </w:r>
      <w:r>
        <w:t xml:space="preserve"> </w:t>
      </w:r>
      <w:r>
        <w:rPr>
          <w:rFonts w:eastAsia="SimSun"/>
          <w:i/>
        </w:rPr>
        <w:t>Id.</w:t>
      </w:r>
      <w:r w:rsidRPr="006F297B">
        <w:rPr>
          <w:rFonts w:eastAsia="SimSun"/>
        </w:rPr>
        <w:t xml:space="preserve">  </w:t>
      </w:r>
    </w:p>
  </w:footnote>
  <w:footnote w:id="14">
    <w:p w:rsidR="004C64C7" w:rsidRDefault="004C64C7" w:rsidP="006A77A4">
      <w:pPr>
        <w:pStyle w:val="FootnoteText"/>
        <w:spacing w:after="120"/>
      </w:pPr>
      <w:r>
        <w:rPr>
          <w:rStyle w:val="FootnoteReference"/>
        </w:rPr>
        <w:footnoteRef/>
      </w:r>
      <w:r>
        <w:t xml:space="preserve"> </w:t>
      </w:r>
      <w:proofErr w:type="spellStart"/>
      <w:proofErr w:type="gramStart"/>
      <w:r w:rsidRPr="006F297B">
        <w:rPr>
          <w:rFonts w:eastAsia="SimSun"/>
        </w:rPr>
        <w:t>Compl</w:t>
      </w:r>
      <w:proofErr w:type="spellEnd"/>
      <w:r w:rsidRPr="006F297B">
        <w:rPr>
          <w:rFonts w:eastAsia="SimSun"/>
        </w:rPr>
        <w:t>.</w:t>
      </w:r>
      <w:proofErr w:type="gramEnd"/>
      <w:r w:rsidRPr="006F297B">
        <w:rPr>
          <w:rFonts w:eastAsia="SimSun"/>
        </w:rPr>
        <w:t xml:space="preserve"> ¶¶</w:t>
      </w:r>
      <w:r>
        <w:rPr>
          <w:rFonts w:eastAsia="SimSun"/>
        </w:rPr>
        <w:t xml:space="preserve"> </w:t>
      </w:r>
      <w:r w:rsidRPr="006F297B">
        <w:rPr>
          <w:rFonts w:eastAsia="SimSun"/>
        </w:rPr>
        <w:t xml:space="preserve">1-2.  </w:t>
      </w:r>
    </w:p>
  </w:footnote>
  <w:footnote w:id="15">
    <w:p w:rsidR="004C64C7" w:rsidRDefault="004C64C7" w:rsidP="006A77A4">
      <w:pPr>
        <w:pStyle w:val="FootnoteText"/>
        <w:spacing w:after="120"/>
      </w:pPr>
      <w:r>
        <w:rPr>
          <w:rStyle w:val="FootnoteReference"/>
        </w:rPr>
        <w:footnoteRef/>
      </w:r>
      <w:r>
        <w:t xml:space="preserve"> </w:t>
      </w:r>
      <w:r>
        <w:rPr>
          <w:rFonts w:eastAsia="SimSun"/>
          <w:i/>
        </w:rPr>
        <w:t xml:space="preserve">See </w:t>
      </w:r>
      <w:proofErr w:type="spellStart"/>
      <w:r w:rsidRPr="006F297B">
        <w:rPr>
          <w:rFonts w:eastAsia="SimSun"/>
        </w:rPr>
        <w:t>Compl</w:t>
      </w:r>
      <w:proofErr w:type="spellEnd"/>
      <w:r w:rsidRPr="006F297B">
        <w:rPr>
          <w:rFonts w:eastAsia="SimSun"/>
        </w:rPr>
        <w:t xml:space="preserve">. </w:t>
      </w:r>
      <w:proofErr w:type="gramStart"/>
      <w:r w:rsidRPr="006F297B">
        <w:rPr>
          <w:rFonts w:eastAsia="SimSun"/>
        </w:rPr>
        <w:t>¶</w:t>
      </w:r>
      <w:r>
        <w:rPr>
          <w:rFonts w:eastAsia="SimSun"/>
        </w:rPr>
        <w:t xml:space="preserve"> </w:t>
      </w:r>
      <w:r w:rsidRPr="006F297B">
        <w:rPr>
          <w:rFonts w:eastAsia="SimSun"/>
        </w:rPr>
        <w:t>4.</w:t>
      </w:r>
      <w:proofErr w:type="gramEnd"/>
      <w:r>
        <w:rPr>
          <w:rFonts w:eastAsia="SimSun"/>
        </w:rPr>
        <w:t xml:space="preserve">  </w:t>
      </w:r>
    </w:p>
  </w:footnote>
  <w:footnote w:id="16">
    <w:p w:rsidR="004C64C7" w:rsidRDefault="004C64C7" w:rsidP="006A77A4">
      <w:pPr>
        <w:pStyle w:val="FootnoteText"/>
        <w:spacing w:after="120"/>
      </w:pPr>
      <w:r>
        <w:rPr>
          <w:rStyle w:val="FootnoteReference"/>
        </w:rPr>
        <w:footnoteRef/>
      </w:r>
      <w:r>
        <w:t xml:space="preserve"> </w:t>
      </w:r>
      <w:r w:rsidRPr="006F297B">
        <w:rPr>
          <w:rFonts w:eastAsia="SimSun"/>
          <w:i/>
        </w:rPr>
        <w:t>See</w:t>
      </w:r>
      <w:r w:rsidRPr="006F297B">
        <w:rPr>
          <w:rFonts w:eastAsia="SimSun"/>
        </w:rPr>
        <w:t xml:space="preserve"> </w:t>
      </w:r>
      <w:proofErr w:type="spellStart"/>
      <w:r w:rsidRPr="006F297B">
        <w:rPr>
          <w:rFonts w:eastAsia="SimSun"/>
        </w:rPr>
        <w:t>Compl</w:t>
      </w:r>
      <w:proofErr w:type="spellEnd"/>
      <w:r w:rsidRPr="006F297B">
        <w:rPr>
          <w:rFonts w:eastAsia="SimSun"/>
        </w:rPr>
        <w:t xml:space="preserve">. </w:t>
      </w:r>
      <w:proofErr w:type="gramStart"/>
      <w:r w:rsidRPr="006F297B">
        <w:rPr>
          <w:rFonts w:eastAsia="SimSun"/>
        </w:rPr>
        <w:t>¶11; Answer ¶11</w:t>
      </w:r>
      <w:r>
        <w:rPr>
          <w:rFonts w:eastAsia="SimSun"/>
        </w:rPr>
        <w:t>.</w:t>
      </w:r>
      <w:proofErr w:type="gramEnd"/>
    </w:p>
  </w:footnote>
  <w:footnote w:id="17">
    <w:p w:rsidR="004C64C7" w:rsidRDefault="004C64C7" w:rsidP="006A77A4">
      <w:pPr>
        <w:pStyle w:val="FootnoteText"/>
        <w:spacing w:after="120"/>
      </w:pPr>
      <w:r>
        <w:rPr>
          <w:rStyle w:val="FootnoteReference"/>
        </w:rPr>
        <w:footnoteRef/>
      </w:r>
      <w:r>
        <w:t xml:space="preserve"> </w:t>
      </w:r>
      <w:proofErr w:type="spellStart"/>
      <w:proofErr w:type="gramStart"/>
      <w:r>
        <w:rPr>
          <w:rFonts w:eastAsia="SimSun"/>
        </w:rPr>
        <w:t>Compl</w:t>
      </w:r>
      <w:proofErr w:type="spellEnd"/>
      <w:r>
        <w:rPr>
          <w:rFonts w:eastAsia="SimSun"/>
        </w:rPr>
        <w:t>.</w:t>
      </w:r>
      <w:proofErr w:type="gramEnd"/>
      <w:r>
        <w:rPr>
          <w:rFonts w:eastAsia="SimSun"/>
        </w:rPr>
        <w:t xml:space="preserve"> </w:t>
      </w:r>
      <w:proofErr w:type="gramStart"/>
      <w:r>
        <w:rPr>
          <w:rFonts w:eastAsia="SimSun"/>
        </w:rPr>
        <w:t>¶ 16.</w:t>
      </w:r>
      <w:proofErr w:type="gramEnd"/>
      <w:r>
        <w:rPr>
          <w:rFonts w:eastAsia="SimSun"/>
        </w:rPr>
        <w:t xml:space="preserve">  </w:t>
      </w:r>
    </w:p>
  </w:footnote>
  <w:footnote w:id="18">
    <w:p w:rsidR="004C64C7" w:rsidRDefault="004C64C7" w:rsidP="00A4785D">
      <w:pPr>
        <w:pStyle w:val="FootnoteText"/>
        <w:spacing w:after="120"/>
      </w:pPr>
      <w:r>
        <w:rPr>
          <w:rStyle w:val="FootnoteReference"/>
        </w:rPr>
        <w:footnoteRef/>
      </w:r>
      <w:r>
        <w:t xml:space="preserve"> </w:t>
      </w:r>
      <w:proofErr w:type="spellStart"/>
      <w:proofErr w:type="gramStart"/>
      <w:r>
        <w:rPr>
          <w:rFonts w:eastAsia="SimSun"/>
        </w:rPr>
        <w:t>Compl</w:t>
      </w:r>
      <w:proofErr w:type="spellEnd"/>
      <w:r>
        <w:rPr>
          <w:rFonts w:eastAsia="SimSun"/>
        </w:rPr>
        <w:t>.</w:t>
      </w:r>
      <w:proofErr w:type="gramEnd"/>
      <w:r>
        <w:rPr>
          <w:rFonts w:eastAsia="SimSun"/>
        </w:rPr>
        <w:t xml:space="preserve"> </w:t>
      </w:r>
      <w:proofErr w:type="gramStart"/>
      <w:r>
        <w:rPr>
          <w:rFonts w:eastAsia="SimSun"/>
        </w:rPr>
        <w:t>¶ 16.</w:t>
      </w:r>
      <w:proofErr w:type="gramEnd"/>
      <w:r>
        <w:rPr>
          <w:rFonts w:eastAsia="SimSun"/>
        </w:rPr>
        <w:t xml:space="preserve">  </w:t>
      </w:r>
    </w:p>
  </w:footnote>
  <w:footnote w:id="19">
    <w:p w:rsidR="004C64C7" w:rsidRDefault="004C64C7" w:rsidP="00A4785D">
      <w:pPr>
        <w:pStyle w:val="FootnoteText"/>
        <w:spacing w:after="120"/>
      </w:pPr>
      <w:r>
        <w:rPr>
          <w:rStyle w:val="FootnoteReference"/>
        </w:rPr>
        <w:footnoteRef/>
      </w:r>
      <w:r>
        <w:t xml:space="preserve"> </w:t>
      </w:r>
      <w:proofErr w:type="spellStart"/>
      <w:proofErr w:type="gramStart"/>
      <w:r w:rsidRPr="006F297B">
        <w:rPr>
          <w:rFonts w:eastAsia="MS ??"/>
        </w:rPr>
        <w:t>Compl</w:t>
      </w:r>
      <w:proofErr w:type="spellEnd"/>
      <w:r w:rsidRPr="006F297B">
        <w:rPr>
          <w:rFonts w:eastAsia="MS ??"/>
        </w:rPr>
        <w:t>.</w:t>
      </w:r>
      <w:proofErr w:type="gramEnd"/>
      <w:r w:rsidRPr="006F297B">
        <w:rPr>
          <w:rFonts w:eastAsia="MS ??"/>
        </w:rPr>
        <w:t xml:space="preserve"> </w:t>
      </w:r>
      <w:proofErr w:type="gramStart"/>
      <w:r w:rsidRPr="006F297B">
        <w:rPr>
          <w:rFonts w:eastAsia="MS ??"/>
        </w:rPr>
        <w:t>¶¶16-17.</w:t>
      </w:r>
      <w:proofErr w:type="gramEnd"/>
      <w:r w:rsidRPr="006F297B">
        <w:rPr>
          <w:rFonts w:eastAsia="MS ??"/>
        </w:rPr>
        <w:t xml:space="preserve">  </w:t>
      </w:r>
    </w:p>
  </w:footnote>
  <w:footnote w:id="20">
    <w:p w:rsidR="004C64C7" w:rsidRDefault="004C64C7" w:rsidP="00A4785D">
      <w:pPr>
        <w:pStyle w:val="FootnoteText"/>
        <w:spacing w:after="120"/>
      </w:pPr>
      <w:r>
        <w:rPr>
          <w:rStyle w:val="FootnoteReference"/>
        </w:rPr>
        <w:footnoteRef/>
      </w:r>
      <w:r>
        <w:t xml:space="preserve"> </w:t>
      </w:r>
      <w:r w:rsidRPr="006F297B">
        <w:rPr>
          <w:rFonts w:eastAsia="MS ??"/>
          <w:i/>
        </w:rPr>
        <w:t>See</w:t>
      </w:r>
      <w:r w:rsidRPr="006F297B">
        <w:rPr>
          <w:rFonts w:eastAsia="MS ??"/>
        </w:rPr>
        <w:t xml:space="preserve"> </w:t>
      </w:r>
      <w:proofErr w:type="spellStart"/>
      <w:r>
        <w:rPr>
          <w:rFonts w:eastAsia="MS ??"/>
        </w:rPr>
        <w:t>Compl</w:t>
      </w:r>
      <w:proofErr w:type="spellEnd"/>
      <w:r>
        <w:rPr>
          <w:rFonts w:eastAsia="MS ??"/>
        </w:rPr>
        <w:t xml:space="preserve">. </w:t>
      </w:r>
      <w:proofErr w:type="gramStart"/>
      <w:r w:rsidRPr="006F297B">
        <w:rPr>
          <w:rFonts w:eastAsia="MS ??"/>
        </w:rPr>
        <w:t>Ex. 4.</w:t>
      </w:r>
      <w:proofErr w:type="gramEnd"/>
      <w:r w:rsidRPr="006F297B">
        <w:rPr>
          <w:rFonts w:eastAsia="MS ??"/>
        </w:rPr>
        <w:t xml:space="preserve">  </w:t>
      </w:r>
    </w:p>
  </w:footnote>
  <w:footnote w:id="21">
    <w:p w:rsidR="004C64C7" w:rsidRDefault="004C64C7" w:rsidP="00A4785D">
      <w:pPr>
        <w:pStyle w:val="FootnoteText"/>
        <w:spacing w:after="120"/>
      </w:pPr>
      <w:r>
        <w:rPr>
          <w:rStyle w:val="FootnoteReference"/>
        </w:rPr>
        <w:footnoteRef/>
      </w:r>
      <w:r>
        <w:t xml:space="preserve"> </w:t>
      </w:r>
      <w:proofErr w:type="spellStart"/>
      <w:proofErr w:type="gramStart"/>
      <w:r>
        <w:rPr>
          <w:rFonts w:eastAsia="MS ??"/>
        </w:rPr>
        <w:t>Compl</w:t>
      </w:r>
      <w:proofErr w:type="spellEnd"/>
      <w:r>
        <w:rPr>
          <w:rFonts w:eastAsia="MS ??"/>
        </w:rPr>
        <w:t>.</w:t>
      </w:r>
      <w:proofErr w:type="gramEnd"/>
      <w:r>
        <w:rPr>
          <w:rFonts w:eastAsia="MS ??"/>
        </w:rPr>
        <w:t xml:space="preserve"> </w:t>
      </w:r>
      <w:proofErr w:type="gramStart"/>
      <w:r>
        <w:rPr>
          <w:rFonts w:eastAsia="MS ??"/>
        </w:rPr>
        <w:t>¶ 22.</w:t>
      </w:r>
      <w:proofErr w:type="gramEnd"/>
      <w:r w:rsidRPr="006F297B">
        <w:rPr>
          <w:rFonts w:eastAsia="MS ??"/>
        </w:rPr>
        <w:t xml:space="preserve">  </w:t>
      </w:r>
    </w:p>
  </w:footnote>
  <w:footnote w:id="22">
    <w:p w:rsidR="004C64C7" w:rsidRDefault="004C64C7" w:rsidP="00A4785D">
      <w:pPr>
        <w:pStyle w:val="FootnoteText"/>
        <w:spacing w:after="120"/>
      </w:pPr>
      <w:r>
        <w:rPr>
          <w:rStyle w:val="FootnoteReference"/>
        </w:rPr>
        <w:footnoteRef/>
      </w:r>
      <w:r>
        <w:t xml:space="preserve"> </w:t>
      </w:r>
      <w:proofErr w:type="spellStart"/>
      <w:proofErr w:type="gramStart"/>
      <w:r w:rsidRPr="006F297B">
        <w:rPr>
          <w:rFonts w:eastAsia="MS ??"/>
        </w:rPr>
        <w:t>Compl</w:t>
      </w:r>
      <w:proofErr w:type="spellEnd"/>
      <w:r w:rsidRPr="006F297B">
        <w:rPr>
          <w:rFonts w:eastAsia="MS ??"/>
        </w:rPr>
        <w:t>.</w:t>
      </w:r>
      <w:proofErr w:type="gramEnd"/>
      <w:r w:rsidRPr="006F297B">
        <w:rPr>
          <w:rFonts w:eastAsia="MS ??"/>
        </w:rPr>
        <w:t xml:space="preserve"> </w:t>
      </w:r>
      <w:proofErr w:type="gramStart"/>
      <w:r w:rsidRPr="006F297B">
        <w:rPr>
          <w:rFonts w:eastAsia="MS ??"/>
        </w:rPr>
        <w:t>¶¶ 16, 22.</w:t>
      </w:r>
      <w:proofErr w:type="gramEnd"/>
    </w:p>
  </w:footnote>
  <w:footnote w:id="23">
    <w:p w:rsidR="004C64C7" w:rsidRDefault="004C64C7" w:rsidP="00A4785D">
      <w:pPr>
        <w:pStyle w:val="FootnoteText"/>
        <w:spacing w:after="120"/>
      </w:pPr>
      <w:r>
        <w:rPr>
          <w:rStyle w:val="FootnoteReference"/>
        </w:rPr>
        <w:footnoteRef/>
      </w:r>
      <w:r>
        <w:t xml:space="preserve"> </w:t>
      </w:r>
      <w:r w:rsidRPr="006F297B">
        <w:rPr>
          <w:rFonts w:eastAsia="SimSun"/>
          <w:i/>
        </w:rPr>
        <w:t>See</w:t>
      </w:r>
      <w:r w:rsidRPr="006F297B">
        <w:rPr>
          <w:rFonts w:eastAsia="SimSun"/>
        </w:rPr>
        <w:t xml:space="preserve"> Ex. 3 to </w:t>
      </w:r>
      <w:proofErr w:type="spellStart"/>
      <w:r w:rsidRPr="006F297B">
        <w:rPr>
          <w:rFonts w:eastAsia="SimSun"/>
        </w:rPr>
        <w:t>Compl</w:t>
      </w:r>
      <w:proofErr w:type="spellEnd"/>
      <w:r w:rsidRPr="006F297B">
        <w:rPr>
          <w:rFonts w:eastAsia="SimSun"/>
        </w:rPr>
        <w:t>.</w:t>
      </w:r>
    </w:p>
  </w:footnote>
  <w:footnote w:id="24">
    <w:p w:rsidR="004C64C7" w:rsidRDefault="004C64C7" w:rsidP="00A4785D">
      <w:pPr>
        <w:pStyle w:val="FootnoteText"/>
        <w:spacing w:after="120"/>
      </w:pPr>
      <w:r>
        <w:rPr>
          <w:rStyle w:val="FootnoteReference"/>
        </w:rPr>
        <w:footnoteRef/>
      </w:r>
      <w:r>
        <w:t xml:space="preserve"> </w:t>
      </w:r>
      <w:r w:rsidRPr="006F297B">
        <w:rPr>
          <w:rFonts w:eastAsia="SimSun"/>
          <w:i/>
        </w:rPr>
        <w:t>Id</w:t>
      </w:r>
      <w:r w:rsidRPr="006F297B">
        <w:rPr>
          <w:rFonts w:eastAsia="SimSun"/>
        </w:rPr>
        <w:t xml:space="preserve">.  </w:t>
      </w:r>
      <w:r>
        <w:rPr>
          <w:rFonts w:eastAsia="SimSun"/>
        </w:rPr>
        <w:t xml:space="preserve"> </w:t>
      </w:r>
    </w:p>
  </w:footnote>
  <w:footnote w:id="25">
    <w:p w:rsidR="004C64C7" w:rsidRDefault="004C64C7" w:rsidP="00A4785D">
      <w:pPr>
        <w:pStyle w:val="FootnoteText"/>
        <w:spacing w:after="120"/>
      </w:pPr>
      <w:r>
        <w:rPr>
          <w:rStyle w:val="FootnoteReference"/>
        </w:rPr>
        <w:footnoteRef/>
      </w:r>
      <w:r>
        <w:t xml:space="preserve"> </w:t>
      </w:r>
      <w:r w:rsidRPr="006F297B">
        <w:rPr>
          <w:rFonts w:eastAsia="SimSun"/>
          <w:i/>
          <w:lang w:eastAsia="zh-CN"/>
        </w:rPr>
        <w:t>See</w:t>
      </w:r>
      <w:r>
        <w:rPr>
          <w:rFonts w:eastAsia="SimSun"/>
          <w:i/>
          <w:lang w:eastAsia="zh-CN"/>
        </w:rPr>
        <w:t xml:space="preserve"> id.</w:t>
      </w:r>
    </w:p>
  </w:footnote>
  <w:footnote w:id="26">
    <w:p w:rsidR="004C64C7" w:rsidRDefault="004C64C7" w:rsidP="00A4785D">
      <w:pPr>
        <w:pStyle w:val="FootnoteText"/>
        <w:spacing w:after="120"/>
      </w:pPr>
      <w:r>
        <w:rPr>
          <w:rStyle w:val="FootnoteReference"/>
        </w:rPr>
        <w:footnoteRef/>
      </w:r>
      <w:r>
        <w:t xml:space="preserve"> </w:t>
      </w:r>
      <w:proofErr w:type="spellStart"/>
      <w:proofErr w:type="gramStart"/>
      <w:r>
        <w:rPr>
          <w:rFonts w:eastAsia="SimSun"/>
          <w:lang w:eastAsia="zh-CN"/>
        </w:rPr>
        <w:t>Compl</w:t>
      </w:r>
      <w:proofErr w:type="spellEnd"/>
      <w:r>
        <w:rPr>
          <w:rFonts w:eastAsia="SimSun"/>
          <w:lang w:eastAsia="zh-CN"/>
        </w:rPr>
        <w:t>.</w:t>
      </w:r>
      <w:proofErr w:type="gramEnd"/>
      <w:r>
        <w:rPr>
          <w:rFonts w:eastAsia="SimSun"/>
          <w:lang w:eastAsia="zh-CN"/>
        </w:rPr>
        <w:t xml:space="preserve"> ¶¶ 25-33.  </w:t>
      </w:r>
    </w:p>
  </w:footnote>
  <w:footnote w:id="27">
    <w:p w:rsidR="004C64C7" w:rsidRDefault="004C64C7" w:rsidP="00A4785D">
      <w:pPr>
        <w:pStyle w:val="FootnoteText"/>
        <w:spacing w:after="120"/>
      </w:pPr>
      <w:r>
        <w:rPr>
          <w:rStyle w:val="FootnoteReference"/>
        </w:rPr>
        <w:footnoteRef/>
      </w:r>
      <w:r>
        <w:t xml:space="preserve"> </w:t>
      </w:r>
      <w:proofErr w:type="spellStart"/>
      <w:proofErr w:type="gramStart"/>
      <w:r>
        <w:rPr>
          <w:rFonts w:eastAsia="SimSun"/>
          <w:lang w:eastAsia="zh-CN"/>
        </w:rPr>
        <w:t>Compl</w:t>
      </w:r>
      <w:proofErr w:type="spellEnd"/>
      <w:r>
        <w:rPr>
          <w:rFonts w:eastAsia="SimSun"/>
          <w:lang w:eastAsia="zh-CN"/>
        </w:rPr>
        <w:t>.</w:t>
      </w:r>
      <w:proofErr w:type="gramEnd"/>
      <w:r>
        <w:rPr>
          <w:rFonts w:eastAsia="SimSun"/>
          <w:lang w:eastAsia="zh-CN"/>
        </w:rPr>
        <w:t xml:space="preserve"> ¶¶ 34-39.  </w:t>
      </w:r>
    </w:p>
  </w:footnote>
  <w:footnote w:id="28">
    <w:p w:rsidR="004C64C7" w:rsidRDefault="004C64C7" w:rsidP="00A4785D">
      <w:pPr>
        <w:pStyle w:val="FootnoteText"/>
        <w:spacing w:after="120"/>
      </w:pPr>
      <w:r>
        <w:rPr>
          <w:rStyle w:val="FootnoteReference"/>
        </w:rPr>
        <w:footnoteRef/>
      </w:r>
      <w:r>
        <w:t xml:space="preserve"> </w:t>
      </w:r>
      <w:proofErr w:type="spellStart"/>
      <w:proofErr w:type="gramStart"/>
      <w:r>
        <w:rPr>
          <w:rFonts w:eastAsia="SimSun"/>
          <w:lang w:eastAsia="zh-CN"/>
        </w:rPr>
        <w:t>Compl</w:t>
      </w:r>
      <w:proofErr w:type="spellEnd"/>
      <w:r>
        <w:rPr>
          <w:rFonts w:eastAsia="SimSun"/>
          <w:lang w:eastAsia="zh-CN"/>
        </w:rPr>
        <w:t>.</w:t>
      </w:r>
      <w:proofErr w:type="gramEnd"/>
      <w:r>
        <w:rPr>
          <w:rFonts w:eastAsia="SimSun"/>
          <w:lang w:eastAsia="zh-CN"/>
        </w:rPr>
        <w:t xml:space="preserve"> ¶¶ 40-50.  </w:t>
      </w:r>
    </w:p>
  </w:footnote>
  <w:footnote w:id="29">
    <w:p w:rsidR="004C64C7" w:rsidRDefault="004C64C7" w:rsidP="00A4785D">
      <w:pPr>
        <w:pStyle w:val="FootnoteText"/>
        <w:spacing w:after="120"/>
      </w:pPr>
      <w:r>
        <w:rPr>
          <w:rStyle w:val="FootnoteReference"/>
        </w:rPr>
        <w:footnoteRef/>
      </w:r>
      <w:r>
        <w:t xml:space="preserve"> </w:t>
      </w:r>
      <w:r>
        <w:rPr>
          <w:i/>
        </w:rPr>
        <w:t xml:space="preserve">See </w:t>
      </w:r>
      <w:r>
        <w:t>ESP II Stipulation.</w:t>
      </w:r>
    </w:p>
  </w:footnote>
  <w:footnote w:id="30">
    <w:p w:rsidR="004C64C7" w:rsidRDefault="004C64C7" w:rsidP="0077011F">
      <w:pPr>
        <w:pStyle w:val="FootnoteText"/>
        <w:spacing w:after="120"/>
      </w:pPr>
      <w:r>
        <w:rPr>
          <w:rStyle w:val="FootnoteReference"/>
        </w:rPr>
        <w:footnoteRef/>
      </w:r>
      <w:r>
        <w:t xml:space="preserve"> </w:t>
      </w:r>
      <w:r w:rsidRPr="001F0D35">
        <w:rPr>
          <w:i/>
        </w:rPr>
        <w:t>In the Matter of the Application of Dayton Power and Light Company for Approval of Tariff Changes Associated With a Request to Implement a Storm Cost Recovery Rider</w:t>
      </w:r>
      <w:r>
        <w:t xml:space="preserve">, </w:t>
      </w:r>
      <w:r w:rsidRPr="00490144">
        <w:t xml:space="preserve">Case No. 05-1090-EL-ATA, Entry on Rehearing (Aug. 30, 2006), ¶ 7 (emphasis added).  </w:t>
      </w:r>
    </w:p>
  </w:footnote>
  <w:footnote w:id="31">
    <w:p w:rsidR="004C64C7" w:rsidRDefault="004C64C7" w:rsidP="0077011F">
      <w:pPr>
        <w:pStyle w:val="FootnoteText"/>
        <w:spacing w:after="120"/>
      </w:pPr>
      <w:r>
        <w:rPr>
          <w:rStyle w:val="FootnoteReference"/>
        </w:rPr>
        <w:footnoteRef/>
      </w:r>
      <w:r>
        <w:t xml:space="preserve"> </w:t>
      </w:r>
      <w:r w:rsidRPr="00490144">
        <w:t>ESP II Stipulation, p. 1.</w:t>
      </w:r>
    </w:p>
  </w:footnote>
  <w:footnote w:id="32">
    <w:p w:rsidR="004C64C7" w:rsidRDefault="004C64C7" w:rsidP="0077011F">
      <w:pPr>
        <w:pStyle w:val="FootnoteText"/>
        <w:spacing w:after="120"/>
      </w:pPr>
      <w:r>
        <w:rPr>
          <w:rStyle w:val="FootnoteReference"/>
        </w:rPr>
        <w:footnoteRef/>
      </w:r>
      <w:r>
        <w:t xml:space="preserve"> </w:t>
      </w:r>
      <w:r w:rsidRPr="00490144">
        <w:t>ESP II Stipulation, p. 5.</w:t>
      </w:r>
    </w:p>
  </w:footnote>
  <w:footnote w:id="33">
    <w:p w:rsidR="004C64C7" w:rsidRDefault="004C64C7" w:rsidP="0077011F">
      <w:pPr>
        <w:pStyle w:val="FootnoteText"/>
        <w:spacing w:after="120"/>
      </w:pPr>
      <w:r>
        <w:rPr>
          <w:rStyle w:val="FootnoteReference"/>
        </w:rPr>
        <w:footnoteRef/>
      </w:r>
      <w:r>
        <w:t xml:space="preserve"> </w:t>
      </w:r>
      <w:r w:rsidRPr="00490144">
        <w:t>ESP II Stipulation, pp. 31-32.</w:t>
      </w:r>
    </w:p>
  </w:footnote>
  <w:footnote w:id="34">
    <w:p w:rsidR="004C64C7" w:rsidRDefault="004C64C7" w:rsidP="0077011F">
      <w:pPr>
        <w:pStyle w:val="FootnoteText"/>
        <w:spacing w:after="120"/>
      </w:pPr>
      <w:r>
        <w:rPr>
          <w:rStyle w:val="FootnoteReference"/>
        </w:rPr>
        <w:footnoteRef/>
      </w:r>
      <w:r>
        <w:t xml:space="preserve"> </w:t>
      </w:r>
      <w:r w:rsidRPr="00490144">
        <w:t>ESP II Stipulation, p. 35.</w:t>
      </w:r>
    </w:p>
  </w:footnote>
  <w:footnote w:id="35">
    <w:p w:rsidR="004C64C7" w:rsidRDefault="004C64C7" w:rsidP="0077011F">
      <w:pPr>
        <w:pStyle w:val="FootnoteText"/>
        <w:spacing w:after="120"/>
      </w:pPr>
      <w:r>
        <w:rPr>
          <w:rStyle w:val="FootnoteReference"/>
        </w:rPr>
        <w:footnoteRef/>
      </w:r>
      <w:r>
        <w:t xml:space="preserve"> </w:t>
      </w:r>
      <w:proofErr w:type="gramStart"/>
      <w:r w:rsidRPr="00490144">
        <w:rPr>
          <w:i/>
        </w:rPr>
        <w:t>Office of Consumers’ Counsel v. Pub.</w:t>
      </w:r>
      <w:proofErr w:type="gramEnd"/>
      <w:r w:rsidRPr="00490144">
        <w:rPr>
          <w:i/>
        </w:rPr>
        <w:t xml:space="preserve"> Util. Comm.</w:t>
      </w:r>
      <w:r w:rsidRPr="00490144">
        <w:t xml:space="preserve">, 16 Ohio St. 3d 9, 10, 475 N.E.2d 782, 783-84 (1985) (“OCC is barred by the doctrines of res judicata and collateral estoppel from attempting to </w:t>
      </w:r>
      <w:proofErr w:type="spellStart"/>
      <w:r w:rsidRPr="00490144">
        <w:t>relitigate</w:t>
      </w:r>
      <w:proofErr w:type="spellEnd"/>
      <w:r w:rsidRPr="00490144">
        <w:t xml:space="preserve"> the issue of the EFC rate which was previously determined to be proper” in a previous action between the same parties).</w:t>
      </w:r>
    </w:p>
  </w:footnote>
  <w:footnote w:id="36">
    <w:p w:rsidR="004C64C7" w:rsidRDefault="004C64C7" w:rsidP="0077011F">
      <w:pPr>
        <w:pStyle w:val="FootnoteText"/>
        <w:spacing w:after="120"/>
      </w:pPr>
      <w:r>
        <w:rPr>
          <w:rStyle w:val="FootnoteReference"/>
        </w:rPr>
        <w:footnoteRef/>
      </w:r>
      <w:r>
        <w:t xml:space="preserve"> </w:t>
      </w:r>
      <w:r w:rsidRPr="00490144">
        <w:t xml:space="preserve">ESP II Stipulation, p. 35.  </w:t>
      </w:r>
    </w:p>
  </w:footnote>
  <w:footnote w:id="37">
    <w:p w:rsidR="004C64C7" w:rsidRDefault="004C64C7" w:rsidP="00175386">
      <w:pPr>
        <w:pStyle w:val="FootnoteText"/>
        <w:spacing w:after="120"/>
      </w:pPr>
      <w:r>
        <w:rPr>
          <w:rStyle w:val="FootnoteReference"/>
        </w:rPr>
        <w:footnoteRef/>
      </w:r>
      <w:r>
        <w:t xml:space="preserve"> </w:t>
      </w:r>
      <w:proofErr w:type="gramStart"/>
      <w:r w:rsidRPr="006F297B">
        <w:rPr>
          <w:rFonts w:eastAsia="SimSun"/>
          <w:i/>
        </w:rPr>
        <w:t>Ohio Util. v. Pub.</w:t>
      </w:r>
      <w:proofErr w:type="gramEnd"/>
      <w:r w:rsidRPr="006F297B">
        <w:rPr>
          <w:rFonts w:eastAsia="SimSun"/>
          <w:i/>
        </w:rPr>
        <w:t xml:space="preserve"> </w:t>
      </w:r>
      <w:proofErr w:type="gramStart"/>
      <w:r w:rsidRPr="006F297B">
        <w:rPr>
          <w:rFonts w:eastAsia="SimSun"/>
          <w:i/>
        </w:rPr>
        <w:t>Util. Com</w:t>
      </w:r>
      <w:r>
        <w:rPr>
          <w:rFonts w:eastAsia="SimSun"/>
          <w:i/>
        </w:rPr>
        <w:t>m.</w:t>
      </w:r>
      <w:r>
        <w:rPr>
          <w:rFonts w:eastAsia="SimSun"/>
        </w:rPr>
        <w:t>, 58 Ohio St.2d</w:t>
      </w:r>
      <w:r w:rsidRPr="006F297B">
        <w:rPr>
          <w:rFonts w:eastAsia="SimSun"/>
        </w:rPr>
        <w:t xml:space="preserve"> 153</w:t>
      </w:r>
      <w:r>
        <w:rPr>
          <w:rFonts w:eastAsia="SimSun"/>
        </w:rPr>
        <w:t>, syl. 2</w:t>
      </w:r>
      <w:r w:rsidRPr="006F297B">
        <w:rPr>
          <w:rFonts w:eastAsia="SimSun"/>
        </w:rPr>
        <w:t xml:space="preserve"> (1979).</w:t>
      </w:r>
      <w:proofErr w:type="gramEnd"/>
      <w:r w:rsidRPr="006F297B">
        <w:rPr>
          <w:rFonts w:eastAsia="SimSun"/>
        </w:rPr>
        <w:t xml:space="preserve">  </w:t>
      </w:r>
    </w:p>
  </w:footnote>
  <w:footnote w:id="38">
    <w:p w:rsidR="004C64C7" w:rsidRDefault="004C64C7" w:rsidP="00175386">
      <w:pPr>
        <w:pStyle w:val="FootnoteText"/>
        <w:spacing w:after="120"/>
      </w:pPr>
      <w:r>
        <w:rPr>
          <w:rStyle w:val="FootnoteReference"/>
        </w:rPr>
        <w:footnoteRef/>
      </w:r>
      <w:r>
        <w:t xml:space="preserve"> </w:t>
      </w:r>
      <w:proofErr w:type="gramStart"/>
      <w:r w:rsidRPr="006F297B">
        <w:rPr>
          <w:rFonts w:eastAsia="SimSun"/>
          <w:i/>
        </w:rPr>
        <w:t xml:space="preserve">Lucas County </w:t>
      </w:r>
      <w:proofErr w:type="spellStart"/>
      <w:r w:rsidRPr="006F297B">
        <w:rPr>
          <w:rFonts w:eastAsia="SimSun"/>
          <w:i/>
        </w:rPr>
        <w:t>Com</w:t>
      </w:r>
      <w:r>
        <w:rPr>
          <w:rFonts w:eastAsia="SimSun"/>
          <w:i/>
        </w:rPr>
        <w:t>m</w:t>
      </w:r>
      <w:r w:rsidRPr="006F297B">
        <w:rPr>
          <w:rFonts w:eastAsia="SimSun"/>
          <w:i/>
        </w:rPr>
        <w:t>’rs</w:t>
      </w:r>
      <w:proofErr w:type="spellEnd"/>
      <w:r w:rsidRPr="006F297B">
        <w:rPr>
          <w:rFonts w:eastAsia="SimSun"/>
          <w:i/>
        </w:rPr>
        <w:t>.</w:t>
      </w:r>
      <w:proofErr w:type="gramEnd"/>
      <w:r w:rsidRPr="006F297B">
        <w:rPr>
          <w:rFonts w:eastAsia="SimSun"/>
          <w:i/>
        </w:rPr>
        <w:t xml:space="preserve"> </w:t>
      </w:r>
      <w:proofErr w:type="gramStart"/>
      <w:r w:rsidRPr="006F297B">
        <w:rPr>
          <w:rFonts w:eastAsia="SimSun"/>
          <w:i/>
        </w:rPr>
        <w:t>v</w:t>
      </w:r>
      <w:proofErr w:type="gramEnd"/>
      <w:r w:rsidRPr="006F297B">
        <w:rPr>
          <w:rFonts w:eastAsia="SimSun"/>
          <w:i/>
        </w:rPr>
        <w:t xml:space="preserve">. Pub. </w:t>
      </w:r>
      <w:proofErr w:type="gramStart"/>
      <w:r w:rsidRPr="006F297B">
        <w:rPr>
          <w:rFonts w:eastAsia="SimSun"/>
          <w:i/>
        </w:rPr>
        <w:t>Util. Com</w:t>
      </w:r>
      <w:r>
        <w:rPr>
          <w:rFonts w:eastAsia="SimSun"/>
          <w:i/>
        </w:rPr>
        <w:t>m.</w:t>
      </w:r>
      <w:r w:rsidRPr="006F297B">
        <w:rPr>
          <w:rFonts w:eastAsia="SimSun"/>
        </w:rPr>
        <w:t>, 80 Ohio St.3d 344, 347 (1997).</w:t>
      </w:r>
      <w:proofErr w:type="gramEnd"/>
    </w:p>
  </w:footnote>
  <w:footnote w:id="39">
    <w:p w:rsidR="004C64C7" w:rsidRDefault="004C64C7" w:rsidP="00175386">
      <w:pPr>
        <w:pStyle w:val="FootnoteText"/>
        <w:spacing w:after="120"/>
      </w:pPr>
      <w:r>
        <w:rPr>
          <w:rStyle w:val="FootnoteReference"/>
        </w:rPr>
        <w:footnoteRef/>
      </w:r>
      <w:r>
        <w:t xml:space="preserve"> </w:t>
      </w:r>
      <w:r w:rsidRPr="00230DC8">
        <w:rPr>
          <w:rFonts w:eastAsia="SimSun"/>
          <w:i/>
          <w:lang w:eastAsia="zh-CN"/>
        </w:rPr>
        <w:t>See, e.g.</w:t>
      </w:r>
      <w:r w:rsidRPr="00230DC8">
        <w:rPr>
          <w:rFonts w:eastAsia="SimSun"/>
          <w:lang w:eastAsia="zh-CN"/>
        </w:rPr>
        <w:t xml:space="preserve">, </w:t>
      </w:r>
      <w:r w:rsidRPr="00230DC8">
        <w:rPr>
          <w:rFonts w:eastAsia="SimSun"/>
          <w:i/>
          <w:lang w:eastAsia="zh-CN"/>
        </w:rPr>
        <w:t xml:space="preserve">In the Matter of Complaint of </w:t>
      </w:r>
      <w:r>
        <w:rPr>
          <w:rFonts w:eastAsia="SimSun"/>
          <w:i/>
          <w:lang w:eastAsia="zh-CN"/>
        </w:rPr>
        <w:t>Ohio CARES v. FirstEnergy Corp.</w:t>
      </w:r>
      <w:r>
        <w:rPr>
          <w:rFonts w:eastAsia="SimSun"/>
          <w:lang w:eastAsia="zh-CN"/>
        </w:rPr>
        <w:t xml:space="preserve">, </w:t>
      </w:r>
      <w:r w:rsidRPr="00230DC8">
        <w:rPr>
          <w:rFonts w:eastAsia="SimSun"/>
          <w:lang w:eastAsia="zh-CN"/>
        </w:rPr>
        <w:t>Case No. 98-1616-EL-CSS</w:t>
      </w:r>
      <w:r>
        <w:rPr>
          <w:rFonts w:eastAsia="SimSun"/>
          <w:lang w:eastAsia="zh-CN"/>
        </w:rPr>
        <w:t>, Entry</w:t>
      </w:r>
      <w:r w:rsidRPr="00230DC8">
        <w:rPr>
          <w:rFonts w:eastAsia="SimSun"/>
          <w:lang w:eastAsia="zh-CN"/>
        </w:rPr>
        <w:t xml:space="preserve"> (May 19, 1999),</w:t>
      </w:r>
      <w:r>
        <w:rPr>
          <w:rFonts w:eastAsia="SimSun"/>
          <w:lang w:eastAsia="zh-CN"/>
        </w:rPr>
        <w:t xml:space="preserve"> </w:t>
      </w:r>
      <w:r w:rsidRPr="00230DC8">
        <w:rPr>
          <w:rFonts w:eastAsia="SimSun"/>
          <w:lang w:eastAsia="zh-CN"/>
        </w:rPr>
        <w:t xml:space="preserve">¶7; </w:t>
      </w:r>
      <w:r w:rsidRPr="00230DC8">
        <w:rPr>
          <w:rFonts w:eastAsia="SimSun"/>
          <w:i/>
          <w:lang w:eastAsia="zh-CN"/>
        </w:rPr>
        <w:t>In the Matter of Petition of J. Earl McCormick, et al. v. The Ohio Bell Tel. Co</w:t>
      </w:r>
      <w:r>
        <w:rPr>
          <w:rFonts w:eastAsia="SimSun"/>
          <w:i/>
          <w:lang w:eastAsia="zh-CN"/>
        </w:rPr>
        <w:t>., et al</w:t>
      </w:r>
      <w:r>
        <w:rPr>
          <w:rFonts w:eastAsia="SimSun"/>
          <w:lang w:eastAsia="zh-CN"/>
        </w:rPr>
        <w:t>.,</w:t>
      </w:r>
      <w:r w:rsidRPr="00230DC8">
        <w:rPr>
          <w:rFonts w:eastAsia="SimSun"/>
          <w:lang w:eastAsia="zh-CN"/>
        </w:rPr>
        <w:t xml:space="preserve"> Cas</w:t>
      </w:r>
      <w:r>
        <w:rPr>
          <w:rFonts w:eastAsia="SimSun"/>
          <w:lang w:eastAsia="zh-CN"/>
        </w:rPr>
        <w:t>e No. 90-1256-TP-PEX, Entry</w:t>
      </w:r>
      <w:r w:rsidRPr="00230DC8">
        <w:rPr>
          <w:rFonts w:eastAsia="SimSun"/>
          <w:i/>
          <w:lang w:eastAsia="zh-CN"/>
        </w:rPr>
        <w:t xml:space="preserve"> </w:t>
      </w:r>
      <w:r>
        <w:rPr>
          <w:rFonts w:eastAsia="SimSun"/>
          <w:lang w:eastAsia="zh-CN"/>
        </w:rPr>
        <w:t>(Sept. 27, 1990), ¶3.</w:t>
      </w:r>
    </w:p>
  </w:footnote>
  <w:footnote w:id="40">
    <w:p w:rsidR="004C64C7" w:rsidRDefault="004C64C7" w:rsidP="00175386">
      <w:pPr>
        <w:pStyle w:val="FootnoteText"/>
        <w:spacing w:after="120"/>
      </w:pPr>
      <w:r>
        <w:rPr>
          <w:rStyle w:val="FootnoteReference"/>
        </w:rPr>
        <w:footnoteRef/>
      </w:r>
      <w:r>
        <w:t xml:space="preserve"> </w:t>
      </w:r>
      <w:r w:rsidRPr="006F297B">
        <w:rPr>
          <w:rFonts w:eastAsia="SimSun"/>
          <w:i/>
          <w:lang w:eastAsia="zh-CN"/>
        </w:rPr>
        <w:t>In the Matter of Complaint of Ohio CARES v. FirstEnergy Corp.</w:t>
      </w:r>
      <w:r>
        <w:rPr>
          <w:rFonts w:eastAsia="SimSun"/>
          <w:lang w:eastAsia="zh-CN"/>
        </w:rPr>
        <w:t xml:space="preserve">, </w:t>
      </w:r>
      <w:r w:rsidRPr="006F297B">
        <w:rPr>
          <w:rFonts w:eastAsia="SimSun"/>
          <w:lang w:eastAsia="zh-CN"/>
        </w:rPr>
        <w:t>Case No. 98-1616-EL-CSS</w:t>
      </w:r>
      <w:r>
        <w:rPr>
          <w:rFonts w:eastAsia="SimSun"/>
          <w:lang w:eastAsia="zh-CN"/>
        </w:rPr>
        <w:t>, Entry</w:t>
      </w:r>
      <w:r w:rsidRPr="006F297B">
        <w:rPr>
          <w:rFonts w:eastAsia="SimSun"/>
          <w:i/>
          <w:lang w:eastAsia="zh-CN"/>
        </w:rPr>
        <w:t xml:space="preserve"> </w:t>
      </w:r>
      <w:r w:rsidRPr="006F297B">
        <w:rPr>
          <w:rFonts w:eastAsia="SimSun"/>
          <w:lang w:eastAsia="zh-CN"/>
        </w:rPr>
        <w:t>(May 19, 1999), ¶¶6-7</w:t>
      </w:r>
      <w:r w:rsidRPr="005D26A7">
        <w:rPr>
          <w:rFonts w:eastAsia="SimSun"/>
          <w:lang w:eastAsia="zh-CN"/>
        </w:rPr>
        <w:t xml:space="preserve">.  </w:t>
      </w:r>
    </w:p>
  </w:footnote>
  <w:footnote w:id="41">
    <w:p w:rsidR="004C64C7" w:rsidRDefault="004C64C7" w:rsidP="00175386">
      <w:pPr>
        <w:spacing w:after="120"/>
        <w:jc w:val="both"/>
      </w:pPr>
      <w:r w:rsidRPr="005D26A7">
        <w:rPr>
          <w:rStyle w:val="FootnoteReference"/>
          <w:sz w:val="20"/>
          <w:szCs w:val="20"/>
        </w:rPr>
        <w:footnoteRef/>
      </w:r>
      <w:r w:rsidRPr="005D26A7">
        <w:rPr>
          <w:sz w:val="20"/>
          <w:szCs w:val="20"/>
        </w:rPr>
        <w:t xml:space="preserve"> </w:t>
      </w:r>
      <w:r w:rsidRPr="005D26A7">
        <w:rPr>
          <w:rFonts w:eastAsia="SimSun"/>
          <w:i/>
          <w:iCs/>
          <w:sz w:val="20"/>
          <w:szCs w:val="20"/>
        </w:rPr>
        <w:t>Id.</w:t>
      </w:r>
      <w:r w:rsidRPr="005D26A7">
        <w:rPr>
          <w:rFonts w:eastAsia="SimSun"/>
          <w:sz w:val="20"/>
          <w:szCs w:val="20"/>
        </w:rPr>
        <w:t xml:space="preserve">  </w:t>
      </w:r>
      <w:r w:rsidRPr="005D26A7">
        <w:rPr>
          <w:rFonts w:eastAsia="SimSun"/>
          <w:i/>
          <w:sz w:val="20"/>
          <w:szCs w:val="20"/>
        </w:rPr>
        <w:t>See also</w:t>
      </w:r>
      <w:r w:rsidRPr="005D26A7">
        <w:rPr>
          <w:rFonts w:eastAsia="SimSun"/>
          <w:sz w:val="20"/>
          <w:szCs w:val="20"/>
        </w:rPr>
        <w:t xml:space="preserve"> </w:t>
      </w:r>
      <w:r w:rsidRPr="005D26A7">
        <w:rPr>
          <w:rFonts w:eastAsia="SimSun"/>
          <w:i/>
          <w:iCs/>
          <w:sz w:val="20"/>
          <w:szCs w:val="20"/>
        </w:rPr>
        <w:t>Lentz v. The East Ohio Gas Co.</w:t>
      </w:r>
      <w:r w:rsidRPr="005D26A7">
        <w:rPr>
          <w:rFonts w:eastAsia="SimSun"/>
          <w:iCs/>
          <w:sz w:val="20"/>
          <w:szCs w:val="20"/>
        </w:rPr>
        <w:t xml:space="preserve">, </w:t>
      </w:r>
      <w:r w:rsidRPr="005D26A7">
        <w:rPr>
          <w:rFonts w:eastAsia="SimSun"/>
          <w:sz w:val="20"/>
          <w:szCs w:val="20"/>
        </w:rPr>
        <w:t>Case No. 96-25-GA-CSS, Entry (Apr. 18, 1996), ¶ 7</w:t>
      </w:r>
      <w:r>
        <w:rPr>
          <w:rFonts w:eastAsia="SimSun"/>
          <w:sz w:val="20"/>
          <w:szCs w:val="20"/>
        </w:rPr>
        <w:t>.</w:t>
      </w:r>
    </w:p>
  </w:footnote>
  <w:footnote w:id="42">
    <w:p w:rsidR="004C64C7" w:rsidRDefault="004C64C7" w:rsidP="00B32F9F">
      <w:pPr>
        <w:pStyle w:val="FootnoteText"/>
        <w:spacing w:after="120"/>
      </w:pPr>
      <w:r>
        <w:rPr>
          <w:rStyle w:val="FootnoteReference"/>
        </w:rPr>
        <w:footnoteRef/>
      </w:r>
      <w:r>
        <w:t xml:space="preserve"> </w:t>
      </w:r>
      <w:proofErr w:type="spellStart"/>
      <w:proofErr w:type="gramStart"/>
      <w:r>
        <w:rPr>
          <w:rFonts w:eastAsia="SimSun"/>
        </w:rPr>
        <w:t>Compl</w:t>
      </w:r>
      <w:proofErr w:type="spellEnd"/>
      <w:r>
        <w:rPr>
          <w:rFonts w:eastAsia="SimSun"/>
        </w:rPr>
        <w:t>.</w:t>
      </w:r>
      <w:proofErr w:type="gramEnd"/>
      <w:r>
        <w:rPr>
          <w:rFonts w:eastAsia="SimSun"/>
        </w:rPr>
        <w:t xml:space="preserve"> ¶¶ 25-34 (Count One), 34-39 (Count Two).  </w:t>
      </w:r>
    </w:p>
  </w:footnote>
  <w:footnote w:id="43">
    <w:p w:rsidR="004C64C7" w:rsidRDefault="004C64C7" w:rsidP="00A1414B">
      <w:pPr>
        <w:pStyle w:val="FootnoteText"/>
        <w:spacing w:after="120"/>
      </w:pPr>
      <w:r>
        <w:rPr>
          <w:rStyle w:val="FootnoteReference"/>
        </w:rPr>
        <w:footnoteRef/>
      </w:r>
      <w:r>
        <w:t xml:space="preserve"> </w:t>
      </w:r>
      <w:r>
        <w:rPr>
          <w:rFonts w:eastAsia="SimSun"/>
        </w:rPr>
        <w:t xml:space="preserve">Rider ELR, p. 3.  </w:t>
      </w:r>
    </w:p>
  </w:footnote>
  <w:footnote w:id="44">
    <w:p w:rsidR="004C64C7" w:rsidRDefault="004C64C7" w:rsidP="00A1414B">
      <w:pPr>
        <w:pStyle w:val="FootnoteText"/>
        <w:spacing w:after="120"/>
      </w:pPr>
      <w:r>
        <w:rPr>
          <w:rStyle w:val="FootnoteReference"/>
        </w:rPr>
        <w:footnoteRef/>
      </w:r>
      <w:r>
        <w:t xml:space="preserve"> </w:t>
      </w:r>
      <w:proofErr w:type="spellStart"/>
      <w:proofErr w:type="gramStart"/>
      <w:r>
        <w:rPr>
          <w:rFonts w:eastAsia="SimSun"/>
        </w:rPr>
        <w:t>Compl</w:t>
      </w:r>
      <w:proofErr w:type="spellEnd"/>
      <w:r>
        <w:rPr>
          <w:rFonts w:eastAsia="SimSun"/>
        </w:rPr>
        <w:t>.</w:t>
      </w:r>
      <w:proofErr w:type="gramEnd"/>
      <w:r>
        <w:rPr>
          <w:rFonts w:eastAsia="SimSun"/>
        </w:rPr>
        <w:t xml:space="preserve"> </w:t>
      </w:r>
      <w:proofErr w:type="gramStart"/>
      <w:r>
        <w:rPr>
          <w:rFonts w:eastAsia="SimSun"/>
        </w:rPr>
        <w:t>Ex. 4.</w:t>
      </w:r>
      <w:proofErr w:type="gramEnd"/>
      <w:r>
        <w:rPr>
          <w:rFonts w:eastAsia="SimSun"/>
        </w:rPr>
        <w:t xml:space="preserve">  </w:t>
      </w:r>
    </w:p>
  </w:footnote>
  <w:footnote w:id="45">
    <w:p w:rsidR="004C64C7" w:rsidRDefault="004C64C7" w:rsidP="00A1414B">
      <w:pPr>
        <w:pStyle w:val="FootnoteText"/>
        <w:spacing w:after="120"/>
      </w:pPr>
      <w:r>
        <w:rPr>
          <w:rStyle w:val="FootnoteReference"/>
        </w:rPr>
        <w:footnoteRef/>
      </w:r>
      <w:r>
        <w:t xml:space="preserve"> </w:t>
      </w:r>
      <w:r w:rsidRPr="00E05440">
        <w:rPr>
          <w:rFonts w:eastAsia="SimSun"/>
          <w:i/>
          <w:lang w:eastAsia="zh-CN"/>
        </w:rPr>
        <w:t>See</w:t>
      </w:r>
      <w:r>
        <w:rPr>
          <w:rFonts w:eastAsia="SimSun"/>
          <w:lang w:eastAsia="zh-CN"/>
        </w:rPr>
        <w:t xml:space="preserve"> Rider ELR.  </w:t>
      </w:r>
    </w:p>
  </w:footnote>
  <w:footnote w:id="46">
    <w:p w:rsidR="004C64C7" w:rsidRDefault="004C64C7" w:rsidP="004767E7">
      <w:pPr>
        <w:pStyle w:val="FootnoteText"/>
        <w:spacing w:after="120"/>
      </w:pPr>
      <w:r>
        <w:rPr>
          <w:rStyle w:val="FootnoteReference"/>
        </w:rPr>
        <w:footnoteRef/>
      </w:r>
      <w:r>
        <w:t xml:space="preserve">  Any amounts received by the Company from the Complainant in payment of the Rider ELR penalties and forfeitures </w:t>
      </w:r>
      <w:r w:rsidR="00183CD3">
        <w:t>are returned</w:t>
      </w:r>
      <w:r>
        <w:t xml:space="preserve"> in full to the benefit of the same group of customers that pay for the credits to ELR customers.  The Company</w:t>
      </w:r>
      <w:r w:rsidR="004767E7">
        <w:t xml:space="preserve"> does not</w:t>
      </w:r>
      <w:r>
        <w:t xml:space="preserve"> retain </w:t>
      </w:r>
      <w:r w:rsidR="004767E7">
        <w:t>any</w:t>
      </w:r>
      <w:r>
        <w:t xml:space="preserve"> of </w:t>
      </w:r>
      <w:r w:rsidR="00183CD3">
        <w:t xml:space="preserve">the </w:t>
      </w:r>
      <w:r>
        <w:t>penalty or forfeiture amounts.</w:t>
      </w:r>
    </w:p>
  </w:footnote>
  <w:footnote w:id="47">
    <w:p w:rsidR="004C64C7" w:rsidRDefault="004C64C7" w:rsidP="00A1414B">
      <w:pPr>
        <w:pStyle w:val="FootnoteText"/>
        <w:spacing w:after="120"/>
      </w:pPr>
      <w:r>
        <w:rPr>
          <w:rStyle w:val="FootnoteReference"/>
        </w:rPr>
        <w:footnoteRef/>
      </w:r>
      <w:r>
        <w:t xml:space="preserve"> </w:t>
      </w:r>
      <w:proofErr w:type="spellStart"/>
      <w:proofErr w:type="gramStart"/>
      <w:r>
        <w:rPr>
          <w:rFonts w:eastAsia="SimSun"/>
        </w:rPr>
        <w:t>Compl</w:t>
      </w:r>
      <w:proofErr w:type="spellEnd"/>
      <w:r>
        <w:rPr>
          <w:rFonts w:eastAsia="SimSun"/>
        </w:rPr>
        <w:t>.</w:t>
      </w:r>
      <w:proofErr w:type="gramEnd"/>
      <w:r>
        <w:rPr>
          <w:rFonts w:eastAsia="SimSun"/>
        </w:rPr>
        <w:t xml:space="preserve"> </w:t>
      </w:r>
      <w:proofErr w:type="gramStart"/>
      <w:r>
        <w:rPr>
          <w:rFonts w:eastAsia="SimSun"/>
        </w:rPr>
        <w:t>¶ 36.</w:t>
      </w:r>
      <w:proofErr w:type="gramEnd"/>
    </w:p>
  </w:footnote>
  <w:footnote w:id="48">
    <w:p w:rsidR="004C64C7" w:rsidRDefault="004C64C7" w:rsidP="00A1414B">
      <w:pPr>
        <w:pStyle w:val="FootnoteText"/>
        <w:spacing w:after="120"/>
      </w:pPr>
      <w:r>
        <w:rPr>
          <w:rStyle w:val="FootnoteReference"/>
        </w:rPr>
        <w:footnoteRef/>
      </w:r>
      <w:r>
        <w:t xml:space="preserve"> Rider ELR establishes a two-tier penalty structure.  If a customer’s actual measured load is greater than 100% of its Firm Load, but less than or equal to 110% of its Firm Load, at any point during the ECE, then the penalties are more limited: (1) forfeiture of Program Credits for the current month; and (2) payment of the ECE Charge.  Rider ELR, p. 4.  If, however, a customer’s actual measured load is greater than 110% of its Firm Load – as MSC’s actual measured load was during the September 11, 2013 ECE – then additional penalties are imposed:  (1) forfeiture of Program Credits for the current month; (2) payment of the ECE Charge; plus (3) a penalty in the amount of the sum of all Program Credits received by the customer during the immediately preceding twelve billing months; and (4) the Company’s right, at its sole discretion, to remove the customer from the Program for a minimum of 12 months.  </w:t>
      </w:r>
      <w:r>
        <w:rPr>
          <w:i/>
        </w:rPr>
        <w:t>Id.</w:t>
      </w:r>
    </w:p>
  </w:footnote>
  <w:footnote w:id="49">
    <w:p w:rsidR="004C64C7" w:rsidRDefault="004C64C7" w:rsidP="00A1414B">
      <w:pPr>
        <w:pStyle w:val="FootnoteText"/>
        <w:spacing w:after="120"/>
      </w:pPr>
      <w:r>
        <w:rPr>
          <w:rStyle w:val="FootnoteReference"/>
        </w:rPr>
        <w:footnoteRef/>
      </w:r>
      <w:r>
        <w:t xml:space="preserve"> </w:t>
      </w:r>
      <w:r>
        <w:rPr>
          <w:rFonts w:eastAsia="SimSun"/>
          <w:i/>
          <w:lang w:eastAsia="zh-CN"/>
        </w:rPr>
        <w:t>Id</w:t>
      </w:r>
      <w:r w:rsidRPr="006F297B">
        <w:rPr>
          <w:rFonts w:eastAsia="SimSun"/>
          <w:lang w:eastAsia="zh-CN"/>
        </w:rPr>
        <w:t xml:space="preserve">.  </w:t>
      </w:r>
    </w:p>
  </w:footnote>
  <w:footnote w:id="50">
    <w:p w:rsidR="004C64C7" w:rsidRDefault="004C64C7" w:rsidP="00CD186D">
      <w:pPr>
        <w:pStyle w:val="FootnoteText"/>
        <w:spacing w:after="120"/>
      </w:pPr>
      <w:r>
        <w:rPr>
          <w:rStyle w:val="FootnoteReference"/>
        </w:rPr>
        <w:footnoteRef/>
      </w:r>
      <w:r>
        <w:t xml:space="preserve"> </w:t>
      </w:r>
      <w:r w:rsidRPr="006F297B">
        <w:rPr>
          <w:rFonts w:eastAsia="SimSun"/>
          <w:i/>
          <w:lang w:eastAsia="zh-CN"/>
        </w:rPr>
        <w:t>See</w:t>
      </w:r>
      <w:r>
        <w:rPr>
          <w:rFonts w:eastAsia="SimSun"/>
          <w:lang w:eastAsia="zh-CN"/>
        </w:rPr>
        <w:t xml:space="preserve"> Rider ELR.  </w:t>
      </w:r>
    </w:p>
  </w:footnote>
  <w:footnote w:id="51">
    <w:p w:rsidR="004C64C7" w:rsidRDefault="004C64C7" w:rsidP="00CD186D">
      <w:pPr>
        <w:pStyle w:val="FootnoteText"/>
        <w:spacing w:after="120"/>
      </w:pPr>
      <w:r>
        <w:rPr>
          <w:rStyle w:val="FootnoteReference"/>
        </w:rPr>
        <w:footnoteRef/>
      </w:r>
      <w:r>
        <w:t xml:space="preserve"> </w:t>
      </w:r>
      <w:r>
        <w:rPr>
          <w:rFonts w:eastAsia="SimSun"/>
          <w:i/>
          <w:lang w:eastAsia="zh-CN"/>
        </w:rPr>
        <w:t xml:space="preserve">See </w:t>
      </w:r>
      <w:proofErr w:type="spellStart"/>
      <w:r>
        <w:rPr>
          <w:rFonts w:eastAsia="SimSun"/>
          <w:lang w:eastAsia="zh-CN"/>
        </w:rPr>
        <w:t>Compl</w:t>
      </w:r>
      <w:proofErr w:type="spellEnd"/>
      <w:r>
        <w:rPr>
          <w:rFonts w:eastAsia="SimSun"/>
          <w:lang w:eastAsia="zh-CN"/>
        </w:rPr>
        <w:t xml:space="preserve">. </w:t>
      </w:r>
      <w:proofErr w:type="gramStart"/>
      <w:r>
        <w:rPr>
          <w:rFonts w:eastAsia="SimSun"/>
          <w:lang w:eastAsia="zh-CN"/>
        </w:rPr>
        <w:t>¶ 22.</w:t>
      </w:r>
      <w:proofErr w:type="gramEnd"/>
      <w:r>
        <w:rPr>
          <w:rFonts w:eastAsia="SimSun"/>
          <w:lang w:eastAsia="zh-CN"/>
        </w:rPr>
        <w:t xml:space="preserve">  </w:t>
      </w:r>
    </w:p>
  </w:footnote>
  <w:footnote w:id="52">
    <w:p w:rsidR="004C64C7" w:rsidRDefault="004C64C7" w:rsidP="00CD186D">
      <w:pPr>
        <w:pStyle w:val="FootnoteText"/>
        <w:spacing w:after="120"/>
      </w:pPr>
      <w:r>
        <w:rPr>
          <w:rStyle w:val="FootnoteReference"/>
        </w:rPr>
        <w:footnoteRef/>
      </w:r>
      <w:r>
        <w:t xml:space="preserve"> </w:t>
      </w:r>
      <w:r>
        <w:rPr>
          <w:rFonts w:eastAsia="SimSun"/>
          <w:lang w:eastAsia="zh-CN"/>
        </w:rPr>
        <w:t>Rider ELR, p. 4 (emphasis added).</w:t>
      </w:r>
    </w:p>
  </w:footnote>
  <w:footnote w:id="53">
    <w:p w:rsidR="004C64C7" w:rsidRDefault="004C64C7" w:rsidP="00CD186D">
      <w:pPr>
        <w:pStyle w:val="FootnoteText"/>
        <w:spacing w:after="120"/>
      </w:pPr>
      <w:r>
        <w:rPr>
          <w:rStyle w:val="FootnoteReference"/>
        </w:rPr>
        <w:footnoteRef/>
      </w:r>
      <w:r>
        <w:t xml:space="preserve"> </w:t>
      </w:r>
      <w:proofErr w:type="spellStart"/>
      <w:proofErr w:type="gramStart"/>
      <w:r w:rsidRPr="00563DA7">
        <w:rPr>
          <w:rFonts w:eastAsia="SimSun"/>
          <w:i/>
          <w:lang w:eastAsia="zh-CN"/>
        </w:rPr>
        <w:t>Seketa</w:t>
      </w:r>
      <w:proofErr w:type="spellEnd"/>
      <w:r w:rsidRPr="00563DA7">
        <w:rPr>
          <w:rFonts w:eastAsia="SimSun"/>
          <w:i/>
          <w:lang w:eastAsia="zh-CN"/>
        </w:rPr>
        <w:t xml:space="preserve"> v.</w:t>
      </w:r>
      <w:proofErr w:type="gramEnd"/>
      <w:r w:rsidRPr="00563DA7">
        <w:rPr>
          <w:rFonts w:eastAsia="SimSun"/>
          <w:i/>
          <w:lang w:eastAsia="zh-CN"/>
        </w:rPr>
        <w:t xml:space="preserve"> </w:t>
      </w:r>
      <w:proofErr w:type="gramStart"/>
      <w:r w:rsidRPr="00563DA7">
        <w:rPr>
          <w:rFonts w:eastAsia="SimSun"/>
          <w:i/>
          <w:lang w:eastAsia="zh-CN"/>
        </w:rPr>
        <w:t>The East Ohio Gas Co.</w:t>
      </w:r>
      <w:r>
        <w:rPr>
          <w:rFonts w:eastAsia="SimSun"/>
          <w:lang w:eastAsia="zh-CN"/>
        </w:rPr>
        <w:t xml:space="preserve">, Case No. 06-549-GA-CSS, Entry (Aug. 9, 2006), ¶ 4; </w:t>
      </w:r>
      <w:r w:rsidRPr="005226DA">
        <w:rPr>
          <w:rFonts w:eastAsia="SimSun"/>
          <w:i/>
          <w:lang w:eastAsia="zh-CN"/>
        </w:rPr>
        <w:t>In the Matter of the Complaints of Young, et al. v.</w:t>
      </w:r>
      <w:proofErr w:type="gramEnd"/>
      <w:r w:rsidRPr="005226DA">
        <w:rPr>
          <w:rFonts w:eastAsia="SimSun"/>
          <w:i/>
          <w:lang w:eastAsia="zh-CN"/>
        </w:rPr>
        <w:t xml:space="preserve"> </w:t>
      </w:r>
      <w:proofErr w:type="gramStart"/>
      <w:r w:rsidRPr="005226DA">
        <w:rPr>
          <w:rFonts w:eastAsia="SimSun"/>
          <w:i/>
          <w:lang w:eastAsia="zh-CN"/>
        </w:rPr>
        <w:t>The Ohio American Water Co.</w:t>
      </w:r>
      <w:r>
        <w:rPr>
          <w:rFonts w:eastAsia="SimSun"/>
          <w:lang w:eastAsia="zh-CN"/>
        </w:rPr>
        <w:t xml:space="preserve">, Case Nos. 05-1170-WW-CSS </w:t>
      </w:r>
      <w:r>
        <w:rPr>
          <w:rFonts w:eastAsia="SimSun"/>
          <w:i/>
          <w:lang w:eastAsia="zh-CN"/>
        </w:rPr>
        <w:t>et al.</w:t>
      </w:r>
      <w:r>
        <w:rPr>
          <w:rFonts w:eastAsia="SimSun"/>
          <w:lang w:eastAsia="zh-CN"/>
        </w:rPr>
        <w:t xml:space="preserve"> Entry (Nov. 1, 2006), ¶ 1.</w:t>
      </w:r>
      <w:proofErr w:type="gramEnd"/>
      <w:r>
        <w:rPr>
          <w:rFonts w:eastAsia="SimSun"/>
          <w:lang w:eastAsia="zh-CN"/>
        </w:rPr>
        <w:t xml:space="preserve">  </w:t>
      </w:r>
    </w:p>
  </w:footnote>
  <w:footnote w:id="54">
    <w:p w:rsidR="004C64C7" w:rsidRDefault="004C64C7" w:rsidP="00CD186D">
      <w:pPr>
        <w:pStyle w:val="FootnoteText"/>
        <w:spacing w:after="120"/>
      </w:pPr>
      <w:r>
        <w:rPr>
          <w:rStyle w:val="FootnoteReference"/>
        </w:rPr>
        <w:footnoteRef/>
      </w:r>
      <w:r>
        <w:t xml:space="preserve"> </w:t>
      </w:r>
      <w:proofErr w:type="spellStart"/>
      <w:proofErr w:type="gramStart"/>
      <w:r w:rsidRPr="00751B29">
        <w:rPr>
          <w:rFonts w:eastAsia="SimSun"/>
          <w:i/>
          <w:lang w:eastAsia="zh-CN"/>
        </w:rPr>
        <w:t>Seketa</w:t>
      </w:r>
      <w:proofErr w:type="spellEnd"/>
      <w:r>
        <w:rPr>
          <w:rFonts w:eastAsia="SimSun"/>
          <w:lang w:eastAsia="zh-CN"/>
        </w:rPr>
        <w:t xml:space="preserve">, Entry (Aug. 9, 2006), ¶ 4 citing </w:t>
      </w:r>
      <w:proofErr w:type="spellStart"/>
      <w:r w:rsidRPr="00BF4745">
        <w:rPr>
          <w:rFonts w:eastAsia="SimSun"/>
          <w:i/>
          <w:lang w:eastAsia="zh-CN"/>
        </w:rPr>
        <w:t>Gannis</w:t>
      </w:r>
      <w:proofErr w:type="spellEnd"/>
      <w:r w:rsidRPr="00BF4745">
        <w:rPr>
          <w:rFonts w:eastAsia="SimSun"/>
          <w:i/>
          <w:lang w:eastAsia="zh-CN"/>
        </w:rPr>
        <w:t xml:space="preserve"> v.</w:t>
      </w:r>
      <w:proofErr w:type="gramEnd"/>
      <w:r w:rsidRPr="00BF4745">
        <w:rPr>
          <w:rFonts w:eastAsia="SimSun"/>
          <w:i/>
          <w:lang w:eastAsia="zh-CN"/>
        </w:rPr>
        <w:t xml:space="preserve"> The Cleveland Electric Illuminating Co.</w:t>
      </w:r>
      <w:r w:rsidRPr="00BF4745">
        <w:rPr>
          <w:rFonts w:eastAsia="SimSun"/>
          <w:lang w:eastAsia="zh-CN"/>
        </w:rPr>
        <w:t>, Case No. 94-1</w:t>
      </w:r>
      <w:r>
        <w:rPr>
          <w:rFonts w:eastAsia="SimSun"/>
          <w:lang w:eastAsia="zh-CN"/>
        </w:rPr>
        <w:t>54-EL-CSS, Entry (May 11, 1994) and</w:t>
      </w:r>
      <w:r w:rsidRPr="00BF4745">
        <w:rPr>
          <w:rFonts w:eastAsia="SimSun"/>
          <w:lang w:eastAsia="zh-CN"/>
        </w:rPr>
        <w:t xml:space="preserve"> </w:t>
      </w:r>
      <w:r w:rsidRPr="00BF4745">
        <w:rPr>
          <w:rFonts w:eastAsia="SimSun"/>
          <w:i/>
          <w:lang w:eastAsia="zh-CN"/>
        </w:rPr>
        <w:t xml:space="preserve">Hughes v. </w:t>
      </w:r>
      <w:proofErr w:type="gramStart"/>
      <w:r w:rsidRPr="00BF4745">
        <w:rPr>
          <w:rFonts w:eastAsia="SimSun"/>
          <w:i/>
          <w:lang w:eastAsia="zh-CN"/>
        </w:rPr>
        <w:t>The Cleveland Electric Illuminating Co.</w:t>
      </w:r>
      <w:r w:rsidRPr="00BF4745">
        <w:rPr>
          <w:rFonts w:eastAsia="SimSun"/>
          <w:lang w:eastAsia="zh-CN"/>
        </w:rPr>
        <w:t xml:space="preserve">, </w:t>
      </w:r>
      <w:r>
        <w:rPr>
          <w:rFonts w:eastAsia="SimSun"/>
          <w:lang w:eastAsia="zh-CN"/>
        </w:rPr>
        <w:t>C</w:t>
      </w:r>
      <w:r w:rsidRPr="00BF4745">
        <w:rPr>
          <w:rFonts w:eastAsia="SimSun"/>
          <w:lang w:eastAsia="zh-CN"/>
        </w:rPr>
        <w:t>ase No. 94-969-EL-CSS, Entry (Sept. 1, 1994)</w:t>
      </w:r>
      <w:r>
        <w:rPr>
          <w:rFonts w:eastAsia="SimSun"/>
          <w:lang w:eastAsia="zh-CN"/>
        </w:rPr>
        <w:t>.</w:t>
      </w:r>
      <w:proofErr w:type="gramEnd"/>
    </w:p>
  </w:footnote>
  <w:footnote w:id="55">
    <w:p w:rsidR="004C64C7" w:rsidRDefault="004C64C7" w:rsidP="00CD186D">
      <w:pPr>
        <w:pStyle w:val="FootnoteText"/>
        <w:spacing w:after="120"/>
      </w:pPr>
      <w:r>
        <w:rPr>
          <w:rStyle w:val="FootnoteReference"/>
        </w:rPr>
        <w:footnoteRef/>
      </w:r>
      <w:r>
        <w:t xml:space="preserve"> </w:t>
      </w:r>
      <w:r>
        <w:rPr>
          <w:rFonts w:eastAsia="SimSun"/>
          <w:i/>
          <w:noProof/>
        </w:rPr>
        <w:t xml:space="preserve">See </w:t>
      </w:r>
      <w:r>
        <w:rPr>
          <w:rFonts w:eastAsia="SimSun"/>
          <w:noProof/>
        </w:rPr>
        <w:t xml:space="preserve">Compl. ¶ 50.  </w:t>
      </w:r>
    </w:p>
  </w:footnote>
  <w:footnote w:id="56">
    <w:p w:rsidR="004C64C7" w:rsidRDefault="004C64C7" w:rsidP="00CD186D">
      <w:pPr>
        <w:pStyle w:val="FootnoteText"/>
        <w:spacing w:after="120"/>
      </w:pPr>
      <w:r>
        <w:rPr>
          <w:rStyle w:val="FootnoteReference"/>
        </w:rPr>
        <w:footnoteRef/>
      </w:r>
      <w:r>
        <w:t xml:space="preserve"> </w:t>
      </w:r>
      <w:r>
        <w:rPr>
          <w:rFonts w:eastAsia="SimSun"/>
          <w:i/>
          <w:noProof/>
        </w:rPr>
        <w:t xml:space="preserve">See </w:t>
      </w:r>
      <w:r>
        <w:rPr>
          <w:rFonts w:eastAsia="SimSun"/>
          <w:noProof/>
        </w:rPr>
        <w:t xml:space="preserve">Compl. ¶¶ 40-50.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95" w:rsidRDefault="00F25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95" w:rsidRDefault="00F25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95" w:rsidRDefault="00F25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C80FF2"/>
    <w:lvl w:ilvl="0">
      <w:start w:val="1"/>
      <w:numFmt w:val="decimal"/>
      <w:lvlText w:val="%1."/>
      <w:lvlJc w:val="left"/>
      <w:pPr>
        <w:tabs>
          <w:tab w:val="num" w:pos="1800"/>
        </w:tabs>
        <w:ind w:left="1800" w:hanging="360"/>
      </w:pPr>
    </w:lvl>
  </w:abstractNum>
  <w:abstractNum w:abstractNumId="1">
    <w:nsid w:val="FFFFFF7D"/>
    <w:multiLevelType w:val="singleLevel"/>
    <w:tmpl w:val="02DE4A5E"/>
    <w:lvl w:ilvl="0">
      <w:start w:val="1"/>
      <w:numFmt w:val="decimal"/>
      <w:lvlText w:val="%1."/>
      <w:lvlJc w:val="left"/>
      <w:pPr>
        <w:tabs>
          <w:tab w:val="num" w:pos="1440"/>
        </w:tabs>
        <w:ind w:left="1440" w:hanging="360"/>
      </w:pPr>
    </w:lvl>
  </w:abstractNum>
  <w:abstractNum w:abstractNumId="2">
    <w:nsid w:val="FFFFFF7E"/>
    <w:multiLevelType w:val="singleLevel"/>
    <w:tmpl w:val="DB886DAC"/>
    <w:lvl w:ilvl="0">
      <w:start w:val="1"/>
      <w:numFmt w:val="decimal"/>
      <w:lvlText w:val="%1."/>
      <w:lvlJc w:val="left"/>
      <w:pPr>
        <w:tabs>
          <w:tab w:val="num" w:pos="1080"/>
        </w:tabs>
        <w:ind w:left="1080" w:hanging="360"/>
      </w:pPr>
    </w:lvl>
  </w:abstractNum>
  <w:abstractNum w:abstractNumId="3">
    <w:nsid w:val="FFFFFF7F"/>
    <w:multiLevelType w:val="singleLevel"/>
    <w:tmpl w:val="104A3050"/>
    <w:lvl w:ilvl="0">
      <w:start w:val="1"/>
      <w:numFmt w:val="decimal"/>
      <w:lvlText w:val="%1."/>
      <w:lvlJc w:val="left"/>
      <w:pPr>
        <w:tabs>
          <w:tab w:val="num" w:pos="720"/>
        </w:tabs>
        <w:ind w:left="720" w:hanging="360"/>
      </w:pPr>
    </w:lvl>
  </w:abstractNum>
  <w:abstractNum w:abstractNumId="4">
    <w:nsid w:val="FFFFFF80"/>
    <w:multiLevelType w:val="singleLevel"/>
    <w:tmpl w:val="786E8C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EAD9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3E19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74DE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620862"/>
    <w:lvl w:ilvl="0">
      <w:start w:val="1"/>
      <w:numFmt w:val="decimal"/>
      <w:lvlText w:val="%1."/>
      <w:lvlJc w:val="left"/>
      <w:pPr>
        <w:tabs>
          <w:tab w:val="num" w:pos="360"/>
        </w:tabs>
        <w:ind w:left="360" w:hanging="360"/>
      </w:pPr>
    </w:lvl>
  </w:abstractNum>
  <w:abstractNum w:abstractNumId="9">
    <w:nsid w:val="FFFFFF89"/>
    <w:multiLevelType w:val="singleLevel"/>
    <w:tmpl w:val="48BEEF7E"/>
    <w:lvl w:ilvl="0">
      <w:start w:val="1"/>
      <w:numFmt w:val="bullet"/>
      <w:lvlText w:val=""/>
      <w:lvlJc w:val="left"/>
      <w:pPr>
        <w:tabs>
          <w:tab w:val="num" w:pos="360"/>
        </w:tabs>
        <w:ind w:left="360" w:hanging="360"/>
      </w:pPr>
      <w:rPr>
        <w:rFonts w:ascii="Symbol" w:hAnsi="Symbol" w:hint="default"/>
      </w:rPr>
    </w:lvl>
  </w:abstractNum>
  <w:abstractNum w:abstractNumId="10">
    <w:nsid w:val="18FE6E3A"/>
    <w:multiLevelType w:val="hybridMultilevel"/>
    <w:tmpl w:val="B70A838E"/>
    <w:lvl w:ilvl="0" w:tplc="ECC6FDD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1B12AF6"/>
    <w:multiLevelType w:val="multilevel"/>
    <w:tmpl w:val="4016170C"/>
    <w:lvl w:ilvl="0">
      <w:start w:val="1"/>
      <w:numFmt w:val="upperRoman"/>
      <w:lvlRestart w:val="0"/>
      <w:pStyle w:val="Heading1"/>
      <w:lvlText w:val="%1."/>
      <w:lvlJc w:val="left"/>
      <w:pPr>
        <w:tabs>
          <w:tab w:val="num" w:pos="720"/>
        </w:tabs>
      </w:pPr>
      <w:rPr>
        <w:rFonts w:cs="Times New Roman"/>
        <w:b/>
      </w:rPr>
    </w:lvl>
    <w:lvl w:ilvl="1">
      <w:start w:val="1"/>
      <w:numFmt w:val="upperLetter"/>
      <w:pStyle w:val="Heading2"/>
      <w:lvlText w:val="%2."/>
      <w:lvlJc w:val="left"/>
      <w:pPr>
        <w:tabs>
          <w:tab w:val="num" w:pos="1440"/>
        </w:tabs>
        <w:ind w:firstLine="720"/>
      </w:pPr>
      <w:rPr>
        <w:rFonts w:cs="Times New Roman"/>
      </w:rPr>
    </w:lvl>
    <w:lvl w:ilvl="2">
      <w:start w:val="1"/>
      <w:numFmt w:val="decimal"/>
      <w:pStyle w:val="Heading3"/>
      <w:lvlText w:val="%3."/>
      <w:lvlJc w:val="left"/>
      <w:pPr>
        <w:tabs>
          <w:tab w:val="num" w:pos="2160"/>
        </w:tabs>
        <w:ind w:firstLine="1440"/>
      </w:pPr>
      <w:rPr>
        <w:rFonts w:cs="Times New Roman"/>
      </w:rPr>
    </w:lvl>
    <w:lvl w:ilvl="3">
      <w:start w:val="1"/>
      <w:numFmt w:val="lowerLetter"/>
      <w:pStyle w:val="Heading4"/>
      <w:lvlText w:val="%4."/>
      <w:lvlJc w:val="left"/>
      <w:pPr>
        <w:tabs>
          <w:tab w:val="num" w:pos="2880"/>
        </w:tabs>
        <w:ind w:firstLine="2160"/>
      </w:pPr>
      <w:rPr>
        <w:rFonts w:cs="Times New Roman"/>
        <w:i w:val="0"/>
      </w:rPr>
    </w:lvl>
    <w:lvl w:ilvl="4">
      <w:start w:val="1"/>
      <w:numFmt w:val="lowerRoman"/>
      <w:pStyle w:val="Heading5"/>
      <w:lvlText w:val="%5."/>
      <w:lvlJc w:val="left"/>
      <w:pPr>
        <w:tabs>
          <w:tab w:val="num" w:pos="3600"/>
        </w:tabs>
        <w:ind w:firstLine="2880"/>
      </w:pPr>
      <w:rPr>
        <w:rFonts w:cs="Times New Roman"/>
      </w:rPr>
    </w:lvl>
    <w:lvl w:ilvl="5">
      <w:start w:val="1"/>
      <w:numFmt w:val="lowerLetter"/>
      <w:pStyle w:val="Heading6"/>
      <w:lvlText w:val="(%6)"/>
      <w:lvlJc w:val="left"/>
      <w:pPr>
        <w:tabs>
          <w:tab w:val="num" w:pos="4320"/>
        </w:tabs>
        <w:ind w:firstLine="3600"/>
      </w:pPr>
      <w:rPr>
        <w:rFonts w:cs="Times New Roman"/>
      </w:rPr>
    </w:lvl>
    <w:lvl w:ilvl="6">
      <w:start w:val="1"/>
      <w:numFmt w:val="decimal"/>
      <w:pStyle w:val="Heading7"/>
      <w:lvlText w:val="%7)"/>
      <w:lvlJc w:val="left"/>
      <w:pPr>
        <w:tabs>
          <w:tab w:val="num" w:pos="5040"/>
        </w:tabs>
        <w:ind w:firstLine="4320"/>
      </w:pPr>
      <w:rPr>
        <w:rFonts w:cs="Times New Roman"/>
      </w:rPr>
    </w:lvl>
    <w:lvl w:ilvl="7">
      <w:start w:val="1"/>
      <w:numFmt w:val="lowerLetter"/>
      <w:pStyle w:val="Heading8"/>
      <w:lvlText w:val="(%7)"/>
      <w:lvlJc w:val="left"/>
      <w:pPr>
        <w:tabs>
          <w:tab w:val="num" w:pos="5760"/>
        </w:tabs>
        <w:ind w:firstLine="5040"/>
      </w:pPr>
      <w:rPr>
        <w:rFonts w:cs="Times New Roman"/>
      </w:rPr>
    </w:lvl>
    <w:lvl w:ilvl="8">
      <w:start w:val="1"/>
      <w:numFmt w:val="lowerRoman"/>
      <w:pStyle w:val="Heading9"/>
      <w:lvlText w:val="(%7)"/>
      <w:lvlJc w:val="left"/>
      <w:pPr>
        <w:tabs>
          <w:tab w:val="num" w:pos="6480"/>
        </w:tabs>
        <w:ind w:firstLine="5760"/>
      </w:pPr>
      <w:rPr>
        <w:rFonts w:cs="Times New Roman"/>
      </w:rPr>
    </w:lvl>
  </w:abstractNum>
  <w:abstractNum w:abstractNumId="12">
    <w:nsid w:val="739B622E"/>
    <w:multiLevelType w:val="hybridMultilevel"/>
    <w:tmpl w:val="76BECD12"/>
    <w:name w:val="Bullet"/>
    <w:lvl w:ilvl="0" w:tplc="ABDA33D4">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7B"/>
    <w:rsid w:val="000034A5"/>
    <w:rsid w:val="00004038"/>
    <w:rsid w:val="00004167"/>
    <w:rsid w:val="000057B5"/>
    <w:rsid w:val="0002354A"/>
    <w:rsid w:val="00031EC5"/>
    <w:rsid w:val="0003730C"/>
    <w:rsid w:val="000470FD"/>
    <w:rsid w:val="00050E54"/>
    <w:rsid w:val="00057C27"/>
    <w:rsid w:val="0006001A"/>
    <w:rsid w:val="00063C30"/>
    <w:rsid w:val="00065383"/>
    <w:rsid w:val="00066624"/>
    <w:rsid w:val="00067C8D"/>
    <w:rsid w:val="000737EF"/>
    <w:rsid w:val="00081629"/>
    <w:rsid w:val="00084CB6"/>
    <w:rsid w:val="000926B7"/>
    <w:rsid w:val="00095ECF"/>
    <w:rsid w:val="000A28EF"/>
    <w:rsid w:val="000B2D48"/>
    <w:rsid w:val="000B6EBC"/>
    <w:rsid w:val="000D17CB"/>
    <w:rsid w:val="000D3F12"/>
    <w:rsid w:val="000E1E30"/>
    <w:rsid w:val="000E4BFB"/>
    <w:rsid w:val="000E6753"/>
    <w:rsid w:val="000E7B36"/>
    <w:rsid w:val="000F0739"/>
    <w:rsid w:val="000F55BD"/>
    <w:rsid w:val="0010218E"/>
    <w:rsid w:val="001141C6"/>
    <w:rsid w:val="00135E4E"/>
    <w:rsid w:val="00142A32"/>
    <w:rsid w:val="00143390"/>
    <w:rsid w:val="0015295A"/>
    <w:rsid w:val="00160E32"/>
    <w:rsid w:val="00162A7B"/>
    <w:rsid w:val="00164430"/>
    <w:rsid w:val="00175386"/>
    <w:rsid w:val="00175A2B"/>
    <w:rsid w:val="00175EE3"/>
    <w:rsid w:val="00181F89"/>
    <w:rsid w:val="00183223"/>
    <w:rsid w:val="00183CD3"/>
    <w:rsid w:val="00186165"/>
    <w:rsid w:val="001A33AE"/>
    <w:rsid w:val="001B0BBC"/>
    <w:rsid w:val="001B1A39"/>
    <w:rsid w:val="001B3E54"/>
    <w:rsid w:val="001C05B9"/>
    <w:rsid w:val="001C2D04"/>
    <w:rsid w:val="001C57C3"/>
    <w:rsid w:val="001C58E6"/>
    <w:rsid w:val="001D317C"/>
    <w:rsid w:val="001E2E7D"/>
    <w:rsid w:val="001E51EF"/>
    <w:rsid w:val="001E5FDF"/>
    <w:rsid w:val="001F0D35"/>
    <w:rsid w:val="001F3FD3"/>
    <w:rsid w:val="001F48E9"/>
    <w:rsid w:val="001F62C6"/>
    <w:rsid w:val="00200D6A"/>
    <w:rsid w:val="002112FF"/>
    <w:rsid w:val="0022129C"/>
    <w:rsid w:val="00222256"/>
    <w:rsid w:val="002277CA"/>
    <w:rsid w:val="0023073D"/>
    <w:rsid w:val="00230DC8"/>
    <w:rsid w:val="00236A5E"/>
    <w:rsid w:val="00244F28"/>
    <w:rsid w:val="002604A4"/>
    <w:rsid w:val="00270A0F"/>
    <w:rsid w:val="00270AF7"/>
    <w:rsid w:val="00272541"/>
    <w:rsid w:val="0027689C"/>
    <w:rsid w:val="002773C9"/>
    <w:rsid w:val="00284373"/>
    <w:rsid w:val="00294012"/>
    <w:rsid w:val="0029660A"/>
    <w:rsid w:val="002A54EB"/>
    <w:rsid w:val="002A77C6"/>
    <w:rsid w:val="002B3285"/>
    <w:rsid w:val="002B3C56"/>
    <w:rsid w:val="002B3D4D"/>
    <w:rsid w:val="002B43F5"/>
    <w:rsid w:val="002B55D9"/>
    <w:rsid w:val="002C343A"/>
    <w:rsid w:val="002C61A6"/>
    <w:rsid w:val="002D15A3"/>
    <w:rsid w:val="002D5EDC"/>
    <w:rsid w:val="002D7EF4"/>
    <w:rsid w:val="002E4BCE"/>
    <w:rsid w:val="002E6A68"/>
    <w:rsid w:val="00306CB3"/>
    <w:rsid w:val="00306E54"/>
    <w:rsid w:val="00323D82"/>
    <w:rsid w:val="003306A3"/>
    <w:rsid w:val="0033618E"/>
    <w:rsid w:val="00340DD6"/>
    <w:rsid w:val="00342230"/>
    <w:rsid w:val="003502FB"/>
    <w:rsid w:val="003762B3"/>
    <w:rsid w:val="00390738"/>
    <w:rsid w:val="00396763"/>
    <w:rsid w:val="003A2578"/>
    <w:rsid w:val="003A6160"/>
    <w:rsid w:val="003A7E97"/>
    <w:rsid w:val="003B4B4A"/>
    <w:rsid w:val="003B61F8"/>
    <w:rsid w:val="003C0183"/>
    <w:rsid w:val="003C14DC"/>
    <w:rsid w:val="003D3285"/>
    <w:rsid w:val="003D5423"/>
    <w:rsid w:val="003E0447"/>
    <w:rsid w:val="003E2BB3"/>
    <w:rsid w:val="003F27F5"/>
    <w:rsid w:val="003F28F4"/>
    <w:rsid w:val="00400FCF"/>
    <w:rsid w:val="00403C66"/>
    <w:rsid w:val="004137F7"/>
    <w:rsid w:val="0041391D"/>
    <w:rsid w:val="004178B9"/>
    <w:rsid w:val="00425FC4"/>
    <w:rsid w:val="0042686B"/>
    <w:rsid w:val="00432C9E"/>
    <w:rsid w:val="0043658D"/>
    <w:rsid w:val="00437943"/>
    <w:rsid w:val="0044202A"/>
    <w:rsid w:val="00444817"/>
    <w:rsid w:val="00457351"/>
    <w:rsid w:val="004603AA"/>
    <w:rsid w:val="00460442"/>
    <w:rsid w:val="00461CD4"/>
    <w:rsid w:val="00465A60"/>
    <w:rsid w:val="004767E7"/>
    <w:rsid w:val="00484F2E"/>
    <w:rsid w:val="00490144"/>
    <w:rsid w:val="004906FC"/>
    <w:rsid w:val="004A01B8"/>
    <w:rsid w:val="004A36F3"/>
    <w:rsid w:val="004A421C"/>
    <w:rsid w:val="004A79C9"/>
    <w:rsid w:val="004A7EF7"/>
    <w:rsid w:val="004B6971"/>
    <w:rsid w:val="004C64C7"/>
    <w:rsid w:val="004D3533"/>
    <w:rsid w:val="004D574D"/>
    <w:rsid w:val="004D6932"/>
    <w:rsid w:val="004E6268"/>
    <w:rsid w:val="004F0270"/>
    <w:rsid w:val="00503460"/>
    <w:rsid w:val="005226DA"/>
    <w:rsid w:val="00531523"/>
    <w:rsid w:val="00532125"/>
    <w:rsid w:val="00545798"/>
    <w:rsid w:val="00551051"/>
    <w:rsid w:val="00554F2B"/>
    <w:rsid w:val="0055519F"/>
    <w:rsid w:val="0056034B"/>
    <w:rsid w:val="00561C9D"/>
    <w:rsid w:val="00563A64"/>
    <w:rsid w:val="00563DA7"/>
    <w:rsid w:val="00573A43"/>
    <w:rsid w:val="005802D3"/>
    <w:rsid w:val="005840F7"/>
    <w:rsid w:val="005A3A0D"/>
    <w:rsid w:val="005B02C8"/>
    <w:rsid w:val="005B04A6"/>
    <w:rsid w:val="005B637F"/>
    <w:rsid w:val="005D26A7"/>
    <w:rsid w:val="005D34F5"/>
    <w:rsid w:val="005E031B"/>
    <w:rsid w:val="005E722D"/>
    <w:rsid w:val="00607AEB"/>
    <w:rsid w:val="006165DB"/>
    <w:rsid w:val="00617064"/>
    <w:rsid w:val="00620816"/>
    <w:rsid w:val="006222EA"/>
    <w:rsid w:val="00634D05"/>
    <w:rsid w:val="006362E5"/>
    <w:rsid w:val="00642A63"/>
    <w:rsid w:val="0066191C"/>
    <w:rsid w:val="006630A6"/>
    <w:rsid w:val="006644A6"/>
    <w:rsid w:val="00665B06"/>
    <w:rsid w:val="006662D8"/>
    <w:rsid w:val="00674C77"/>
    <w:rsid w:val="00675CE0"/>
    <w:rsid w:val="006825CC"/>
    <w:rsid w:val="00685E35"/>
    <w:rsid w:val="00686D8B"/>
    <w:rsid w:val="00694378"/>
    <w:rsid w:val="006A3D87"/>
    <w:rsid w:val="006A48FC"/>
    <w:rsid w:val="006A6A52"/>
    <w:rsid w:val="006A77A4"/>
    <w:rsid w:val="006A7BB3"/>
    <w:rsid w:val="006B10DC"/>
    <w:rsid w:val="006B1518"/>
    <w:rsid w:val="006C011D"/>
    <w:rsid w:val="006C2F68"/>
    <w:rsid w:val="006D5267"/>
    <w:rsid w:val="006E5F7C"/>
    <w:rsid w:val="006F297B"/>
    <w:rsid w:val="00714331"/>
    <w:rsid w:val="00715BF2"/>
    <w:rsid w:val="00741BB2"/>
    <w:rsid w:val="00751B29"/>
    <w:rsid w:val="007527CC"/>
    <w:rsid w:val="0077011F"/>
    <w:rsid w:val="00776FE3"/>
    <w:rsid w:val="007808F0"/>
    <w:rsid w:val="007A0FEA"/>
    <w:rsid w:val="007A28FE"/>
    <w:rsid w:val="007A4875"/>
    <w:rsid w:val="007A566E"/>
    <w:rsid w:val="007A6AFF"/>
    <w:rsid w:val="007B257D"/>
    <w:rsid w:val="007C1F42"/>
    <w:rsid w:val="007C422D"/>
    <w:rsid w:val="007C6323"/>
    <w:rsid w:val="007C761A"/>
    <w:rsid w:val="007E4EEB"/>
    <w:rsid w:val="007E518E"/>
    <w:rsid w:val="008016EE"/>
    <w:rsid w:val="00815C63"/>
    <w:rsid w:val="00827206"/>
    <w:rsid w:val="00843FA5"/>
    <w:rsid w:val="0085394F"/>
    <w:rsid w:val="00854A8A"/>
    <w:rsid w:val="008610F1"/>
    <w:rsid w:val="0087050A"/>
    <w:rsid w:val="00874DA8"/>
    <w:rsid w:val="00882B11"/>
    <w:rsid w:val="00884438"/>
    <w:rsid w:val="00884847"/>
    <w:rsid w:val="00884F8A"/>
    <w:rsid w:val="00890B41"/>
    <w:rsid w:val="00895489"/>
    <w:rsid w:val="008A03CF"/>
    <w:rsid w:val="008B256D"/>
    <w:rsid w:val="008B5B9F"/>
    <w:rsid w:val="008B5DCE"/>
    <w:rsid w:val="008B65C2"/>
    <w:rsid w:val="008B6C2A"/>
    <w:rsid w:val="008C2A5C"/>
    <w:rsid w:val="008C366B"/>
    <w:rsid w:val="008C7A94"/>
    <w:rsid w:val="008D4FCC"/>
    <w:rsid w:val="008E0FAF"/>
    <w:rsid w:val="008E78EC"/>
    <w:rsid w:val="008F1F03"/>
    <w:rsid w:val="00901738"/>
    <w:rsid w:val="00902F62"/>
    <w:rsid w:val="00907B1D"/>
    <w:rsid w:val="00916C8A"/>
    <w:rsid w:val="009176ED"/>
    <w:rsid w:val="0092132F"/>
    <w:rsid w:val="00925CBC"/>
    <w:rsid w:val="00926F47"/>
    <w:rsid w:val="009304E7"/>
    <w:rsid w:val="0093105F"/>
    <w:rsid w:val="0093185D"/>
    <w:rsid w:val="009428A1"/>
    <w:rsid w:val="0094520F"/>
    <w:rsid w:val="009469D7"/>
    <w:rsid w:val="009564A7"/>
    <w:rsid w:val="00960822"/>
    <w:rsid w:val="009612D8"/>
    <w:rsid w:val="009815BE"/>
    <w:rsid w:val="00990C61"/>
    <w:rsid w:val="0099167D"/>
    <w:rsid w:val="00993F5D"/>
    <w:rsid w:val="009B7074"/>
    <w:rsid w:val="009C7564"/>
    <w:rsid w:val="009E2A19"/>
    <w:rsid w:val="009F087A"/>
    <w:rsid w:val="009F5C15"/>
    <w:rsid w:val="009F6068"/>
    <w:rsid w:val="00A05A44"/>
    <w:rsid w:val="00A05F16"/>
    <w:rsid w:val="00A127DD"/>
    <w:rsid w:val="00A12815"/>
    <w:rsid w:val="00A1395F"/>
    <w:rsid w:val="00A1414B"/>
    <w:rsid w:val="00A15BFE"/>
    <w:rsid w:val="00A335E0"/>
    <w:rsid w:val="00A34849"/>
    <w:rsid w:val="00A364C6"/>
    <w:rsid w:val="00A45F3C"/>
    <w:rsid w:val="00A467EC"/>
    <w:rsid w:val="00A4785D"/>
    <w:rsid w:val="00A56E48"/>
    <w:rsid w:val="00A711BB"/>
    <w:rsid w:val="00A7243E"/>
    <w:rsid w:val="00A726FC"/>
    <w:rsid w:val="00A90911"/>
    <w:rsid w:val="00A9245F"/>
    <w:rsid w:val="00A96A9E"/>
    <w:rsid w:val="00AD5ECE"/>
    <w:rsid w:val="00AD71E9"/>
    <w:rsid w:val="00AE7A41"/>
    <w:rsid w:val="00AF0F57"/>
    <w:rsid w:val="00B034E2"/>
    <w:rsid w:val="00B11FB4"/>
    <w:rsid w:val="00B13475"/>
    <w:rsid w:val="00B17819"/>
    <w:rsid w:val="00B32F9F"/>
    <w:rsid w:val="00B40EFA"/>
    <w:rsid w:val="00B464E7"/>
    <w:rsid w:val="00B54573"/>
    <w:rsid w:val="00B64E3E"/>
    <w:rsid w:val="00B71C51"/>
    <w:rsid w:val="00B73284"/>
    <w:rsid w:val="00BA09FA"/>
    <w:rsid w:val="00BA3F32"/>
    <w:rsid w:val="00BB0869"/>
    <w:rsid w:val="00BB61DC"/>
    <w:rsid w:val="00BC06A6"/>
    <w:rsid w:val="00BD1BF2"/>
    <w:rsid w:val="00BD2392"/>
    <w:rsid w:val="00BD728F"/>
    <w:rsid w:val="00BE2375"/>
    <w:rsid w:val="00BF4745"/>
    <w:rsid w:val="00BF4860"/>
    <w:rsid w:val="00C03AEC"/>
    <w:rsid w:val="00C13E93"/>
    <w:rsid w:val="00C21FF6"/>
    <w:rsid w:val="00C2264F"/>
    <w:rsid w:val="00C233A7"/>
    <w:rsid w:val="00C348F8"/>
    <w:rsid w:val="00C36D1C"/>
    <w:rsid w:val="00C425A8"/>
    <w:rsid w:val="00C53EE8"/>
    <w:rsid w:val="00C53FEF"/>
    <w:rsid w:val="00C651DF"/>
    <w:rsid w:val="00C6725D"/>
    <w:rsid w:val="00C7380E"/>
    <w:rsid w:val="00C756F0"/>
    <w:rsid w:val="00C82623"/>
    <w:rsid w:val="00C93122"/>
    <w:rsid w:val="00C93D60"/>
    <w:rsid w:val="00C963A1"/>
    <w:rsid w:val="00CB594A"/>
    <w:rsid w:val="00CB68C0"/>
    <w:rsid w:val="00CB7A53"/>
    <w:rsid w:val="00CC3B51"/>
    <w:rsid w:val="00CC4900"/>
    <w:rsid w:val="00CC78A7"/>
    <w:rsid w:val="00CD186D"/>
    <w:rsid w:val="00CE1309"/>
    <w:rsid w:val="00CE3947"/>
    <w:rsid w:val="00CF0E43"/>
    <w:rsid w:val="00CF45CB"/>
    <w:rsid w:val="00CF7378"/>
    <w:rsid w:val="00D00763"/>
    <w:rsid w:val="00D02CFE"/>
    <w:rsid w:val="00D04423"/>
    <w:rsid w:val="00D16FDE"/>
    <w:rsid w:val="00D2130E"/>
    <w:rsid w:val="00D25A3D"/>
    <w:rsid w:val="00D332A4"/>
    <w:rsid w:val="00D465C7"/>
    <w:rsid w:val="00D52130"/>
    <w:rsid w:val="00D62A8B"/>
    <w:rsid w:val="00D77DFD"/>
    <w:rsid w:val="00D8355F"/>
    <w:rsid w:val="00D8562B"/>
    <w:rsid w:val="00DA35FF"/>
    <w:rsid w:val="00DA54D7"/>
    <w:rsid w:val="00DA6A5E"/>
    <w:rsid w:val="00DA7024"/>
    <w:rsid w:val="00DC0074"/>
    <w:rsid w:val="00DD012B"/>
    <w:rsid w:val="00DE1080"/>
    <w:rsid w:val="00DF4C7B"/>
    <w:rsid w:val="00E05440"/>
    <w:rsid w:val="00E0685A"/>
    <w:rsid w:val="00E16D55"/>
    <w:rsid w:val="00E17AE8"/>
    <w:rsid w:val="00E21892"/>
    <w:rsid w:val="00E308B9"/>
    <w:rsid w:val="00E457D6"/>
    <w:rsid w:val="00E471E1"/>
    <w:rsid w:val="00E513F0"/>
    <w:rsid w:val="00E55DBE"/>
    <w:rsid w:val="00E56F50"/>
    <w:rsid w:val="00E64138"/>
    <w:rsid w:val="00E662DA"/>
    <w:rsid w:val="00E67DAB"/>
    <w:rsid w:val="00E720B6"/>
    <w:rsid w:val="00E73448"/>
    <w:rsid w:val="00E735A2"/>
    <w:rsid w:val="00E80092"/>
    <w:rsid w:val="00E822BA"/>
    <w:rsid w:val="00E82A2B"/>
    <w:rsid w:val="00E82EC2"/>
    <w:rsid w:val="00E846DF"/>
    <w:rsid w:val="00E86242"/>
    <w:rsid w:val="00E90060"/>
    <w:rsid w:val="00EA7B29"/>
    <w:rsid w:val="00EB1F6A"/>
    <w:rsid w:val="00EC1C63"/>
    <w:rsid w:val="00ED1182"/>
    <w:rsid w:val="00ED1416"/>
    <w:rsid w:val="00EE235F"/>
    <w:rsid w:val="00EF61CD"/>
    <w:rsid w:val="00EF7008"/>
    <w:rsid w:val="00F05967"/>
    <w:rsid w:val="00F172D0"/>
    <w:rsid w:val="00F21994"/>
    <w:rsid w:val="00F228AD"/>
    <w:rsid w:val="00F25B95"/>
    <w:rsid w:val="00F30770"/>
    <w:rsid w:val="00F406E9"/>
    <w:rsid w:val="00F473E5"/>
    <w:rsid w:val="00F51957"/>
    <w:rsid w:val="00F652AB"/>
    <w:rsid w:val="00F7292D"/>
    <w:rsid w:val="00F7467E"/>
    <w:rsid w:val="00F960B5"/>
    <w:rsid w:val="00F96156"/>
    <w:rsid w:val="00F969E7"/>
    <w:rsid w:val="00FA1B61"/>
    <w:rsid w:val="00FA1BF3"/>
    <w:rsid w:val="00FA36FF"/>
    <w:rsid w:val="00FA5F5D"/>
    <w:rsid w:val="00FC797C"/>
    <w:rsid w:val="00FD3D09"/>
    <w:rsid w:val="00FE5204"/>
    <w:rsid w:val="00FF1596"/>
    <w:rsid w:val="00FF216B"/>
    <w:rsid w:val="00FF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562B"/>
    <w:rPr>
      <w:sz w:val="24"/>
      <w:szCs w:val="24"/>
    </w:rPr>
  </w:style>
  <w:style w:type="paragraph" w:styleId="Heading1">
    <w:name w:val="heading 1"/>
    <w:basedOn w:val="Normal"/>
    <w:link w:val="Heading1Char"/>
    <w:uiPriority w:val="99"/>
    <w:qFormat/>
    <w:rsid w:val="001D317C"/>
    <w:pPr>
      <w:numPr>
        <w:numId w:val="9"/>
      </w:numPr>
      <w:spacing w:line="480" w:lineRule="auto"/>
      <w:jc w:val="both"/>
      <w:outlineLvl w:val="0"/>
    </w:pPr>
    <w:rPr>
      <w:rFonts w:eastAsia="SimSun"/>
      <w:b/>
    </w:rPr>
  </w:style>
  <w:style w:type="paragraph" w:styleId="Heading2">
    <w:name w:val="heading 2"/>
    <w:basedOn w:val="Normal"/>
    <w:link w:val="Heading2Char"/>
    <w:uiPriority w:val="99"/>
    <w:qFormat/>
    <w:rsid w:val="008C2A5C"/>
    <w:pPr>
      <w:numPr>
        <w:ilvl w:val="1"/>
        <w:numId w:val="9"/>
      </w:numPr>
      <w:suppressAutoHyphens/>
      <w:spacing w:after="240"/>
      <w:ind w:left="1440" w:hanging="720"/>
      <w:jc w:val="both"/>
      <w:outlineLvl w:val="1"/>
    </w:pPr>
    <w:rPr>
      <w:rFonts w:eastAsia="SimSun"/>
      <w:b/>
      <w:bCs/>
    </w:rPr>
  </w:style>
  <w:style w:type="paragraph" w:styleId="Heading3">
    <w:name w:val="heading 3"/>
    <w:basedOn w:val="Normal"/>
    <w:link w:val="Heading3Char"/>
    <w:uiPriority w:val="99"/>
    <w:qFormat/>
    <w:rsid w:val="0002354A"/>
    <w:pPr>
      <w:numPr>
        <w:ilvl w:val="2"/>
        <w:numId w:val="9"/>
      </w:numPr>
      <w:suppressAutoHyphens/>
      <w:spacing w:after="240"/>
      <w:ind w:left="2160" w:hanging="720"/>
      <w:jc w:val="both"/>
      <w:outlineLvl w:val="2"/>
    </w:pPr>
    <w:rPr>
      <w:rFonts w:eastAsia="SimSun"/>
      <w:bCs/>
      <w:u w:val="single"/>
    </w:rPr>
  </w:style>
  <w:style w:type="paragraph" w:styleId="Heading4">
    <w:name w:val="heading 4"/>
    <w:basedOn w:val="Normal"/>
    <w:link w:val="Heading4Char"/>
    <w:uiPriority w:val="99"/>
    <w:qFormat/>
    <w:rsid w:val="00B40EFA"/>
    <w:pPr>
      <w:numPr>
        <w:ilvl w:val="3"/>
        <w:numId w:val="9"/>
      </w:numPr>
      <w:tabs>
        <w:tab w:val="left" w:pos="1440"/>
      </w:tabs>
      <w:suppressAutoHyphens/>
      <w:spacing w:after="240"/>
      <w:ind w:left="2880" w:hanging="720"/>
      <w:jc w:val="both"/>
      <w:outlineLvl w:val="3"/>
    </w:pPr>
    <w:rPr>
      <w:bCs/>
      <w:i/>
    </w:rPr>
  </w:style>
  <w:style w:type="paragraph" w:styleId="Heading5">
    <w:name w:val="heading 5"/>
    <w:basedOn w:val="Normal"/>
    <w:link w:val="Heading5Char"/>
    <w:uiPriority w:val="99"/>
    <w:qFormat/>
    <w:rsid w:val="008C2A5C"/>
    <w:pPr>
      <w:numPr>
        <w:ilvl w:val="4"/>
        <w:numId w:val="9"/>
      </w:numPr>
      <w:suppressAutoHyphens/>
      <w:spacing w:after="240"/>
      <w:jc w:val="both"/>
      <w:outlineLvl w:val="4"/>
    </w:pPr>
    <w:rPr>
      <w:bCs/>
    </w:rPr>
  </w:style>
  <w:style w:type="paragraph" w:styleId="Heading6">
    <w:name w:val="heading 6"/>
    <w:basedOn w:val="Normal"/>
    <w:link w:val="Heading6Char"/>
    <w:uiPriority w:val="99"/>
    <w:qFormat/>
    <w:rsid w:val="008C2A5C"/>
    <w:pPr>
      <w:numPr>
        <w:ilvl w:val="5"/>
        <w:numId w:val="9"/>
      </w:numPr>
      <w:suppressAutoHyphens/>
      <w:spacing w:after="240"/>
      <w:jc w:val="both"/>
      <w:outlineLvl w:val="5"/>
    </w:pPr>
    <w:rPr>
      <w:bCs/>
    </w:rPr>
  </w:style>
  <w:style w:type="paragraph" w:styleId="Heading7">
    <w:name w:val="heading 7"/>
    <w:basedOn w:val="Normal"/>
    <w:link w:val="Heading7Char"/>
    <w:uiPriority w:val="99"/>
    <w:qFormat/>
    <w:rsid w:val="008C2A5C"/>
    <w:pPr>
      <w:numPr>
        <w:ilvl w:val="6"/>
        <w:numId w:val="9"/>
      </w:numPr>
      <w:suppressAutoHyphens/>
      <w:spacing w:after="240"/>
      <w:jc w:val="both"/>
      <w:outlineLvl w:val="6"/>
    </w:pPr>
    <w:rPr>
      <w:bCs/>
    </w:rPr>
  </w:style>
  <w:style w:type="paragraph" w:styleId="Heading8">
    <w:name w:val="heading 8"/>
    <w:basedOn w:val="Normal"/>
    <w:link w:val="Heading8Char"/>
    <w:uiPriority w:val="99"/>
    <w:qFormat/>
    <w:rsid w:val="008C2A5C"/>
    <w:pPr>
      <w:numPr>
        <w:ilvl w:val="7"/>
        <w:numId w:val="9"/>
      </w:numPr>
      <w:suppressAutoHyphens/>
      <w:spacing w:after="240"/>
      <w:jc w:val="both"/>
      <w:outlineLvl w:val="7"/>
    </w:pPr>
    <w:rPr>
      <w:bCs/>
    </w:rPr>
  </w:style>
  <w:style w:type="paragraph" w:styleId="Heading9">
    <w:name w:val="heading 9"/>
    <w:basedOn w:val="Normal"/>
    <w:link w:val="Heading9Char"/>
    <w:uiPriority w:val="99"/>
    <w:qFormat/>
    <w:rsid w:val="008C2A5C"/>
    <w:pPr>
      <w:numPr>
        <w:ilvl w:val="8"/>
        <w:numId w:val="11"/>
      </w:numPr>
      <w:suppressAutoHyphens/>
      <w:spacing w:after="240"/>
      <w:jc w:val="both"/>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317C"/>
    <w:rPr>
      <w:rFonts w:eastAsia="SimSun" w:cs="Times New Roman"/>
      <w:b/>
    </w:rPr>
  </w:style>
  <w:style w:type="character" w:customStyle="1" w:styleId="Heading2Char">
    <w:name w:val="Heading 2 Char"/>
    <w:link w:val="Heading2"/>
    <w:uiPriority w:val="99"/>
    <w:locked/>
    <w:rsid w:val="008C2A5C"/>
    <w:rPr>
      <w:rFonts w:ascii="Times New Roman" w:eastAsia="SimSun" w:hAnsi="Times New Roman" w:cs="Times New Roman"/>
      <w:b/>
      <w:bCs/>
      <w:snapToGrid w:val="0"/>
    </w:rPr>
  </w:style>
  <w:style w:type="character" w:customStyle="1" w:styleId="Heading3Char">
    <w:name w:val="Heading 3 Char"/>
    <w:link w:val="Heading3"/>
    <w:uiPriority w:val="99"/>
    <w:locked/>
    <w:rsid w:val="0002354A"/>
    <w:rPr>
      <w:rFonts w:ascii="Times New Roman" w:eastAsia="SimSun" w:hAnsi="Times New Roman" w:cs="Times New Roman"/>
      <w:bCs/>
      <w:snapToGrid w:val="0"/>
      <w:u w:val="single"/>
    </w:rPr>
  </w:style>
  <w:style w:type="character" w:customStyle="1" w:styleId="Heading4Char">
    <w:name w:val="Heading 4 Char"/>
    <w:link w:val="Heading4"/>
    <w:uiPriority w:val="99"/>
    <w:locked/>
    <w:rsid w:val="00B40EFA"/>
    <w:rPr>
      <w:rFonts w:ascii="Times New Roman" w:hAnsi="Times New Roman" w:cs="Times New Roman"/>
      <w:bCs/>
      <w:i/>
      <w:snapToGrid w:val="0"/>
    </w:rPr>
  </w:style>
  <w:style w:type="character" w:customStyle="1" w:styleId="Heading5Char">
    <w:name w:val="Heading 5 Char"/>
    <w:link w:val="Heading5"/>
    <w:uiPriority w:val="99"/>
    <w:semiHidden/>
    <w:locked/>
    <w:rsid w:val="008C2A5C"/>
    <w:rPr>
      <w:rFonts w:ascii="Times New Roman" w:hAnsi="Times New Roman" w:cs="Times New Roman"/>
      <w:bCs/>
      <w:snapToGrid w:val="0"/>
    </w:rPr>
  </w:style>
  <w:style w:type="character" w:customStyle="1" w:styleId="Heading6Char">
    <w:name w:val="Heading 6 Char"/>
    <w:link w:val="Heading6"/>
    <w:uiPriority w:val="99"/>
    <w:semiHidden/>
    <w:locked/>
    <w:rsid w:val="008C2A5C"/>
    <w:rPr>
      <w:rFonts w:ascii="Times New Roman" w:hAnsi="Times New Roman" w:cs="Times New Roman"/>
      <w:bCs/>
      <w:snapToGrid w:val="0"/>
    </w:rPr>
  </w:style>
  <w:style w:type="character" w:customStyle="1" w:styleId="Heading7Char">
    <w:name w:val="Heading 7 Char"/>
    <w:link w:val="Heading7"/>
    <w:uiPriority w:val="99"/>
    <w:semiHidden/>
    <w:locked/>
    <w:rsid w:val="008C2A5C"/>
    <w:rPr>
      <w:rFonts w:ascii="Times New Roman" w:hAnsi="Times New Roman" w:cs="Times New Roman"/>
      <w:bCs/>
      <w:snapToGrid w:val="0"/>
    </w:rPr>
  </w:style>
  <w:style w:type="character" w:customStyle="1" w:styleId="Heading8Char">
    <w:name w:val="Heading 8 Char"/>
    <w:link w:val="Heading8"/>
    <w:uiPriority w:val="99"/>
    <w:semiHidden/>
    <w:locked/>
    <w:rsid w:val="008C2A5C"/>
    <w:rPr>
      <w:rFonts w:ascii="Times New Roman" w:hAnsi="Times New Roman" w:cs="Times New Roman"/>
      <w:bCs/>
      <w:snapToGrid w:val="0"/>
    </w:rPr>
  </w:style>
  <w:style w:type="character" w:customStyle="1" w:styleId="Heading9Char">
    <w:name w:val="Heading 9 Char"/>
    <w:link w:val="Heading9"/>
    <w:uiPriority w:val="99"/>
    <w:semiHidden/>
    <w:locked/>
    <w:rsid w:val="008C2A5C"/>
    <w:rPr>
      <w:rFonts w:ascii="Times New Roman" w:hAnsi="Times New Roman" w:cs="Times New Roman"/>
      <w:bCs/>
      <w:snapToGrid w:val="0"/>
    </w:rPr>
  </w:style>
  <w:style w:type="paragraph" w:styleId="BalloonText">
    <w:name w:val="Balloon Text"/>
    <w:basedOn w:val="Normal"/>
    <w:link w:val="BalloonTextChar"/>
    <w:uiPriority w:val="99"/>
    <w:semiHidden/>
    <w:rsid w:val="003A2578"/>
    <w:rPr>
      <w:rFonts w:ascii="Tahoma" w:hAnsi="Tahoma" w:cs="Tahoma"/>
      <w:sz w:val="16"/>
      <w:szCs w:val="16"/>
    </w:rPr>
  </w:style>
  <w:style w:type="character" w:customStyle="1" w:styleId="BalloonTextChar">
    <w:name w:val="Balloon Text Char"/>
    <w:link w:val="BalloonText"/>
    <w:uiPriority w:val="99"/>
    <w:semiHidden/>
    <w:locked/>
    <w:rsid w:val="003A2578"/>
    <w:rPr>
      <w:rFonts w:ascii="Tahoma" w:hAnsi="Tahoma" w:cs="Tahoma"/>
      <w:sz w:val="16"/>
      <w:szCs w:val="16"/>
    </w:rPr>
  </w:style>
  <w:style w:type="paragraph" w:styleId="Footer">
    <w:name w:val="footer"/>
    <w:basedOn w:val="Normal"/>
    <w:link w:val="FooterChar"/>
    <w:uiPriority w:val="99"/>
    <w:rsid w:val="006F297B"/>
    <w:pPr>
      <w:tabs>
        <w:tab w:val="center" w:pos="4680"/>
        <w:tab w:val="right" w:pos="9360"/>
      </w:tabs>
    </w:pPr>
  </w:style>
  <w:style w:type="character" w:customStyle="1" w:styleId="FooterChar">
    <w:name w:val="Footer Char"/>
    <w:link w:val="Footer"/>
    <w:uiPriority w:val="99"/>
    <w:locked/>
    <w:rsid w:val="006F297B"/>
    <w:rPr>
      <w:rFonts w:cs="Times New Roman"/>
    </w:rPr>
  </w:style>
  <w:style w:type="character" w:styleId="PageNumber">
    <w:name w:val="page number"/>
    <w:uiPriority w:val="99"/>
    <w:rsid w:val="006F297B"/>
    <w:rPr>
      <w:rFonts w:cs="Times New Roman"/>
    </w:rPr>
  </w:style>
  <w:style w:type="character" w:styleId="CommentReference">
    <w:name w:val="annotation reference"/>
    <w:uiPriority w:val="99"/>
    <w:semiHidden/>
    <w:rsid w:val="006A48FC"/>
    <w:rPr>
      <w:rFonts w:cs="Times New Roman"/>
      <w:sz w:val="16"/>
      <w:szCs w:val="16"/>
    </w:rPr>
  </w:style>
  <w:style w:type="paragraph" w:styleId="CommentText">
    <w:name w:val="annotation text"/>
    <w:basedOn w:val="Normal"/>
    <w:link w:val="CommentTextChar"/>
    <w:uiPriority w:val="99"/>
    <w:semiHidden/>
    <w:rsid w:val="006A48FC"/>
    <w:rPr>
      <w:sz w:val="20"/>
      <w:szCs w:val="20"/>
    </w:rPr>
  </w:style>
  <w:style w:type="character" w:customStyle="1" w:styleId="CommentTextChar">
    <w:name w:val="Comment Text Char"/>
    <w:link w:val="CommentText"/>
    <w:uiPriority w:val="99"/>
    <w:semiHidden/>
    <w:locked/>
    <w:rsid w:val="006A48FC"/>
    <w:rPr>
      <w:rFonts w:cs="Times New Roman"/>
      <w:sz w:val="20"/>
      <w:szCs w:val="20"/>
    </w:rPr>
  </w:style>
  <w:style w:type="paragraph" w:styleId="CommentSubject">
    <w:name w:val="annotation subject"/>
    <w:basedOn w:val="CommentText"/>
    <w:next w:val="CommentText"/>
    <w:link w:val="CommentSubjectChar"/>
    <w:uiPriority w:val="99"/>
    <w:semiHidden/>
    <w:rsid w:val="006A48FC"/>
    <w:rPr>
      <w:b/>
      <w:bCs/>
    </w:rPr>
  </w:style>
  <w:style w:type="character" w:customStyle="1" w:styleId="CommentSubjectChar">
    <w:name w:val="Comment Subject Char"/>
    <w:link w:val="CommentSubject"/>
    <w:uiPriority w:val="99"/>
    <w:semiHidden/>
    <w:locked/>
    <w:rsid w:val="006A48FC"/>
    <w:rPr>
      <w:rFonts w:cs="Times New Roman"/>
      <w:b/>
      <w:bCs/>
      <w:sz w:val="20"/>
      <w:szCs w:val="20"/>
    </w:rPr>
  </w:style>
  <w:style w:type="paragraph" w:customStyle="1" w:styleId="CaptionText">
    <w:name w:val="CaptionText"/>
    <w:basedOn w:val="Normal"/>
    <w:uiPriority w:val="99"/>
    <w:rsid w:val="00DA7024"/>
    <w:pPr>
      <w:suppressLineNumbers/>
    </w:pPr>
    <w:rPr>
      <w:b/>
    </w:rPr>
  </w:style>
  <w:style w:type="paragraph" w:styleId="FootnoteText">
    <w:name w:val="footnote text"/>
    <w:basedOn w:val="Normal"/>
    <w:link w:val="FootnoteTextChar"/>
    <w:uiPriority w:val="99"/>
    <w:semiHidden/>
    <w:rsid w:val="003A7E97"/>
    <w:rPr>
      <w:sz w:val="20"/>
      <w:szCs w:val="20"/>
    </w:rPr>
  </w:style>
  <w:style w:type="character" w:customStyle="1" w:styleId="FootnoteTextChar">
    <w:name w:val="Footnote Text Char"/>
    <w:link w:val="FootnoteText"/>
    <w:uiPriority w:val="99"/>
    <w:semiHidden/>
    <w:locked/>
    <w:rsid w:val="003A7E97"/>
    <w:rPr>
      <w:rFonts w:cs="Times New Roman"/>
      <w:sz w:val="20"/>
      <w:szCs w:val="20"/>
    </w:rPr>
  </w:style>
  <w:style w:type="character" w:styleId="FootnoteReference">
    <w:name w:val="footnote reference"/>
    <w:uiPriority w:val="99"/>
    <w:semiHidden/>
    <w:rsid w:val="003A7E97"/>
    <w:rPr>
      <w:rFonts w:cs="Times New Roman"/>
      <w:vertAlign w:val="superscript"/>
    </w:rPr>
  </w:style>
  <w:style w:type="paragraph" w:customStyle="1" w:styleId="TitleBUAC">
    <w:name w:val="*Title BUAC"/>
    <w:aliases w:val="TBUAC"/>
    <w:basedOn w:val="Normal"/>
    <w:next w:val="Normal"/>
    <w:link w:val="TitleBUACChar"/>
    <w:uiPriority w:val="99"/>
    <w:rsid w:val="008C2A5C"/>
    <w:pPr>
      <w:keepNext/>
      <w:spacing w:after="240"/>
      <w:jc w:val="center"/>
    </w:pPr>
    <w:rPr>
      <w:b/>
      <w:caps/>
      <w:u w:val="single"/>
    </w:rPr>
  </w:style>
  <w:style w:type="character" w:customStyle="1" w:styleId="TitleBUACChar">
    <w:name w:val="*Title BUAC Char"/>
    <w:aliases w:val="TBUAC Char"/>
    <w:link w:val="TitleBUAC"/>
    <w:uiPriority w:val="99"/>
    <w:locked/>
    <w:rsid w:val="008C2A5C"/>
    <w:rPr>
      <w:rFonts w:eastAsia="Times New Roman" w:cs="Times New Roman"/>
      <w:b/>
      <w:caps/>
      <w:u w:val="single"/>
    </w:rPr>
  </w:style>
  <w:style w:type="paragraph" w:styleId="ListParagraph">
    <w:name w:val="List Paragraph"/>
    <w:basedOn w:val="Normal"/>
    <w:uiPriority w:val="99"/>
    <w:qFormat/>
    <w:rsid w:val="00230DC8"/>
    <w:pPr>
      <w:ind w:left="720"/>
      <w:contextualSpacing/>
    </w:pPr>
  </w:style>
  <w:style w:type="paragraph" w:styleId="Header">
    <w:name w:val="header"/>
    <w:basedOn w:val="Normal"/>
    <w:link w:val="HeaderChar"/>
    <w:uiPriority w:val="99"/>
    <w:rsid w:val="00FD3D09"/>
    <w:pPr>
      <w:tabs>
        <w:tab w:val="center" w:pos="4680"/>
        <w:tab w:val="right" w:pos="9360"/>
      </w:tabs>
    </w:pPr>
  </w:style>
  <w:style w:type="character" w:customStyle="1" w:styleId="HeaderChar">
    <w:name w:val="Header Char"/>
    <w:link w:val="Header"/>
    <w:uiPriority w:val="99"/>
    <w:locked/>
    <w:rsid w:val="00FD3D09"/>
    <w:rPr>
      <w:rFonts w:cs="Times New Roman"/>
    </w:rPr>
  </w:style>
  <w:style w:type="paragraph" w:customStyle="1" w:styleId="LBFileStampAtCursor">
    <w:name w:val="*LBFileStampAtCursor"/>
    <w:aliases w:val="FSC"/>
    <w:basedOn w:val="Normal"/>
    <w:rsid w:val="00FC797C"/>
    <w:rPr>
      <w:sz w:val="18"/>
    </w:rPr>
  </w:style>
  <w:style w:type="paragraph" w:customStyle="1" w:styleId="LBFileStampAtEnd">
    <w:name w:val="*LBFileStampAtEnd"/>
    <w:aliases w:val="FSE"/>
    <w:basedOn w:val="Normal"/>
    <w:rsid w:val="00FC797C"/>
    <w:rPr>
      <w:sz w:val="18"/>
    </w:rPr>
  </w:style>
  <w:style w:type="paragraph" w:customStyle="1" w:styleId="Bullet">
    <w:name w:val="Bullet"/>
    <w:basedOn w:val="Heading4"/>
    <w:rsid w:val="00A34849"/>
    <w:pPr>
      <w:numPr>
        <w:ilvl w:val="0"/>
        <w:numId w:val="13"/>
      </w:numPr>
    </w:pPr>
    <w:rPr>
      <w:i w:val="0"/>
    </w:rPr>
  </w:style>
  <w:style w:type="character" w:customStyle="1" w:styleId="LeadInHeading1">
    <w:name w:val="LeadInHeading 1"/>
    <w:rsid w:val="002D15A3"/>
    <w:rPr>
      <w:rFonts w:eastAsia="SimSun"/>
      <w:b w:val="0"/>
      <w:szCs w:val="20"/>
      <w:u w:val="none"/>
    </w:rPr>
  </w:style>
  <w:style w:type="character" w:customStyle="1" w:styleId="LeadInHeading2">
    <w:name w:val="LeadInHeading 2"/>
    <w:rsid w:val="002D15A3"/>
    <w:rPr>
      <w:rFonts w:eastAsia="SimSun"/>
      <w:b w:val="0"/>
      <w:szCs w:val="20"/>
      <w:u w:val="none"/>
    </w:rPr>
  </w:style>
  <w:style w:type="character" w:customStyle="1" w:styleId="LeadInHeading3">
    <w:name w:val="LeadInHeading 3"/>
    <w:rsid w:val="002D15A3"/>
    <w:rPr>
      <w:rFonts w:eastAsia="SimSun"/>
      <w:b w:val="0"/>
      <w:szCs w:val="20"/>
      <w:u w:val="none"/>
    </w:rPr>
  </w:style>
  <w:style w:type="character" w:customStyle="1" w:styleId="LeadInHeading4">
    <w:name w:val="LeadInHeading 4"/>
    <w:rsid w:val="002D15A3"/>
    <w:rPr>
      <w:rFonts w:eastAsia="SimSun"/>
      <w:b w:val="0"/>
      <w:szCs w:val="20"/>
      <w:u w:val="none"/>
    </w:rPr>
  </w:style>
  <w:style w:type="paragraph" w:styleId="TOC1">
    <w:name w:val="toc 1"/>
    <w:basedOn w:val="Normal"/>
    <w:next w:val="Normal"/>
    <w:autoRedefine/>
    <w:uiPriority w:val="39"/>
    <w:unhideWhenUsed/>
    <w:locked/>
    <w:rsid w:val="002D15A3"/>
    <w:pPr>
      <w:tabs>
        <w:tab w:val="right" w:leader="dot" w:pos="9350"/>
      </w:tabs>
      <w:spacing w:after="240"/>
      <w:ind w:left="720" w:hanging="720"/>
    </w:pPr>
  </w:style>
  <w:style w:type="paragraph" w:styleId="TOC2">
    <w:name w:val="toc 2"/>
    <w:basedOn w:val="Normal"/>
    <w:next w:val="Normal"/>
    <w:autoRedefine/>
    <w:uiPriority w:val="39"/>
    <w:unhideWhenUsed/>
    <w:locked/>
    <w:rsid w:val="00A45F3C"/>
    <w:pPr>
      <w:tabs>
        <w:tab w:val="right" w:leader="dot" w:pos="9360"/>
      </w:tabs>
      <w:spacing w:after="240"/>
      <w:ind w:left="1440" w:right="720" w:hanging="720"/>
    </w:pPr>
  </w:style>
  <w:style w:type="paragraph" w:styleId="TOC4">
    <w:name w:val="toc 4"/>
    <w:basedOn w:val="Normal"/>
    <w:next w:val="Normal"/>
    <w:autoRedefine/>
    <w:uiPriority w:val="39"/>
    <w:unhideWhenUsed/>
    <w:locked/>
    <w:rsid w:val="002D15A3"/>
    <w:pPr>
      <w:tabs>
        <w:tab w:val="right" w:leader="dot" w:pos="9360"/>
      </w:tabs>
      <w:spacing w:after="240"/>
      <w:ind w:left="2880" w:right="900" w:hanging="720"/>
    </w:pPr>
  </w:style>
  <w:style w:type="paragraph" w:styleId="TOC3">
    <w:name w:val="toc 3"/>
    <w:basedOn w:val="Normal"/>
    <w:next w:val="Normal"/>
    <w:autoRedefine/>
    <w:uiPriority w:val="39"/>
    <w:unhideWhenUsed/>
    <w:locked/>
    <w:rsid w:val="002D15A3"/>
    <w:pPr>
      <w:tabs>
        <w:tab w:val="right" w:leader="dot" w:pos="9360"/>
      </w:tabs>
      <w:spacing w:after="240"/>
      <w:ind w:left="2160" w:right="540" w:hanging="720"/>
    </w:pPr>
  </w:style>
  <w:style w:type="character" w:styleId="Hyperlink">
    <w:name w:val="Hyperlink"/>
    <w:uiPriority w:val="99"/>
    <w:unhideWhenUsed/>
    <w:locked/>
    <w:rsid w:val="002D15A3"/>
    <w:rPr>
      <w:color w:val="0000FF"/>
      <w:u w:val="single"/>
    </w:rPr>
  </w:style>
  <w:style w:type="paragraph" w:styleId="TOC5">
    <w:name w:val="toc 5"/>
    <w:basedOn w:val="Normal"/>
    <w:next w:val="Normal"/>
    <w:autoRedefine/>
    <w:uiPriority w:val="39"/>
    <w:semiHidden/>
    <w:unhideWhenUsed/>
    <w:locked/>
    <w:rsid w:val="002D15A3"/>
    <w:pPr>
      <w:ind w:left="960"/>
    </w:pPr>
  </w:style>
  <w:style w:type="paragraph" w:styleId="TOC6">
    <w:name w:val="toc 6"/>
    <w:basedOn w:val="Normal"/>
    <w:next w:val="Normal"/>
    <w:autoRedefine/>
    <w:uiPriority w:val="39"/>
    <w:semiHidden/>
    <w:unhideWhenUsed/>
    <w:locked/>
    <w:rsid w:val="002D15A3"/>
    <w:pPr>
      <w:ind w:left="1200"/>
    </w:pPr>
  </w:style>
  <w:style w:type="paragraph" w:styleId="TOC7">
    <w:name w:val="toc 7"/>
    <w:basedOn w:val="Normal"/>
    <w:next w:val="Normal"/>
    <w:autoRedefine/>
    <w:uiPriority w:val="39"/>
    <w:semiHidden/>
    <w:unhideWhenUsed/>
    <w:locked/>
    <w:rsid w:val="002D15A3"/>
    <w:pPr>
      <w:ind w:left="1440"/>
    </w:pPr>
  </w:style>
  <w:style w:type="paragraph" w:styleId="TOC8">
    <w:name w:val="toc 8"/>
    <w:basedOn w:val="Normal"/>
    <w:next w:val="Normal"/>
    <w:autoRedefine/>
    <w:uiPriority w:val="39"/>
    <w:semiHidden/>
    <w:unhideWhenUsed/>
    <w:locked/>
    <w:rsid w:val="002D15A3"/>
    <w:pPr>
      <w:ind w:left="1680"/>
    </w:pPr>
  </w:style>
  <w:style w:type="paragraph" w:styleId="TOC9">
    <w:name w:val="toc 9"/>
    <w:basedOn w:val="Normal"/>
    <w:next w:val="Normal"/>
    <w:autoRedefine/>
    <w:uiPriority w:val="39"/>
    <w:semiHidden/>
    <w:unhideWhenUsed/>
    <w:locked/>
    <w:rsid w:val="002D15A3"/>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562B"/>
    <w:rPr>
      <w:sz w:val="24"/>
      <w:szCs w:val="24"/>
    </w:rPr>
  </w:style>
  <w:style w:type="paragraph" w:styleId="Heading1">
    <w:name w:val="heading 1"/>
    <w:basedOn w:val="Normal"/>
    <w:link w:val="Heading1Char"/>
    <w:uiPriority w:val="99"/>
    <w:qFormat/>
    <w:rsid w:val="001D317C"/>
    <w:pPr>
      <w:numPr>
        <w:numId w:val="9"/>
      </w:numPr>
      <w:spacing w:line="480" w:lineRule="auto"/>
      <w:jc w:val="both"/>
      <w:outlineLvl w:val="0"/>
    </w:pPr>
    <w:rPr>
      <w:rFonts w:eastAsia="SimSun"/>
      <w:b/>
    </w:rPr>
  </w:style>
  <w:style w:type="paragraph" w:styleId="Heading2">
    <w:name w:val="heading 2"/>
    <w:basedOn w:val="Normal"/>
    <w:link w:val="Heading2Char"/>
    <w:uiPriority w:val="99"/>
    <w:qFormat/>
    <w:rsid w:val="008C2A5C"/>
    <w:pPr>
      <w:numPr>
        <w:ilvl w:val="1"/>
        <w:numId w:val="9"/>
      </w:numPr>
      <w:suppressAutoHyphens/>
      <w:spacing w:after="240"/>
      <w:ind w:left="1440" w:hanging="720"/>
      <w:jc w:val="both"/>
      <w:outlineLvl w:val="1"/>
    </w:pPr>
    <w:rPr>
      <w:rFonts w:eastAsia="SimSun"/>
      <w:b/>
      <w:bCs/>
    </w:rPr>
  </w:style>
  <w:style w:type="paragraph" w:styleId="Heading3">
    <w:name w:val="heading 3"/>
    <w:basedOn w:val="Normal"/>
    <w:link w:val="Heading3Char"/>
    <w:uiPriority w:val="99"/>
    <w:qFormat/>
    <w:rsid w:val="0002354A"/>
    <w:pPr>
      <w:numPr>
        <w:ilvl w:val="2"/>
        <w:numId w:val="9"/>
      </w:numPr>
      <w:suppressAutoHyphens/>
      <w:spacing w:after="240"/>
      <w:ind w:left="2160" w:hanging="720"/>
      <w:jc w:val="both"/>
      <w:outlineLvl w:val="2"/>
    </w:pPr>
    <w:rPr>
      <w:rFonts w:eastAsia="SimSun"/>
      <w:bCs/>
      <w:u w:val="single"/>
    </w:rPr>
  </w:style>
  <w:style w:type="paragraph" w:styleId="Heading4">
    <w:name w:val="heading 4"/>
    <w:basedOn w:val="Normal"/>
    <w:link w:val="Heading4Char"/>
    <w:uiPriority w:val="99"/>
    <w:qFormat/>
    <w:rsid w:val="00B40EFA"/>
    <w:pPr>
      <w:numPr>
        <w:ilvl w:val="3"/>
        <w:numId w:val="9"/>
      </w:numPr>
      <w:tabs>
        <w:tab w:val="left" w:pos="1440"/>
      </w:tabs>
      <w:suppressAutoHyphens/>
      <w:spacing w:after="240"/>
      <w:ind w:left="2880" w:hanging="720"/>
      <w:jc w:val="both"/>
      <w:outlineLvl w:val="3"/>
    </w:pPr>
    <w:rPr>
      <w:bCs/>
      <w:i/>
    </w:rPr>
  </w:style>
  <w:style w:type="paragraph" w:styleId="Heading5">
    <w:name w:val="heading 5"/>
    <w:basedOn w:val="Normal"/>
    <w:link w:val="Heading5Char"/>
    <w:uiPriority w:val="99"/>
    <w:qFormat/>
    <w:rsid w:val="008C2A5C"/>
    <w:pPr>
      <w:numPr>
        <w:ilvl w:val="4"/>
        <w:numId w:val="9"/>
      </w:numPr>
      <w:suppressAutoHyphens/>
      <w:spacing w:after="240"/>
      <w:jc w:val="both"/>
      <w:outlineLvl w:val="4"/>
    </w:pPr>
    <w:rPr>
      <w:bCs/>
    </w:rPr>
  </w:style>
  <w:style w:type="paragraph" w:styleId="Heading6">
    <w:name w:val="heading 6"/>
    <w:basedOn w:val="Normal"/>
    <w:link w:val="Heading6Char"/>
    <w:uiPriority w:val="99"/>
    <w:qFormat/>
    <w:rsid w:val="008C2A5C"/>
    <w:pPr>
      <w:numPr>
        <w:ilvl w:val="5"/>
        <w:numId w:val="9"/>
      </w:numPr>
      <w:suppressAutoHyphens/>
      <w:spacing w:after="240"/>
      <w:jc w:val="both"/>
      <w:outlineLvl w:val="5"/>
    </w:pPr>
    <w:rPr>
      <w:bCs/>
    </w:rPr>
  </w:style>
  <w:style w:type="paragraph" w:styleId="Heading7">
    <w:name w:val="heading 7"/>
    <w:basedOn w:val="Normal"/>
    <w:link w:val="Heading7Char"/>
    <w:uiPriority w:val="99"/>
    <w:qFormat/>
    <w:rsid w:val="008C2A5C"/>
    <w:pPr>
      <w:numPr>
        <w:ilvl w:val="6"/>
        <w:numId w:val="9"/>
      </w:numPr>
      <w:suppressAutoHyphens/>
      <w:spacing w:after="240"/>
      <w:jc w:val="both"/>
      <w:outlineLvl w:val="6"/>
    </w:pPr>
    <w:rPr>
      <w:bCs/>
    </w:rPr>
  </w:style>
  <w:style w:type="paragraph" w:styleId="Heading8">
    <w:name w:val="heading 8"/>
    <w:basedOn w:val="Normal"/>
    <w:link w:val="Heading8Char"/>
    <w:uiPriority w:val="99"/>
    <w:qFormat/>
    <w:rsid w:val="008C2A5C"/>
    <w:pPr>
      <w:numPr>
        <w:ilvl w:val="7"/>
        <w:numId w:val="9"/>
      </w:numPr>
      <w:suppressAutoHyphens/>
      <w:spacing w:after="240"/>
      <w:jc w:val="both"/>
      <w:outlineLvl w:val="7"/>
    </w:pPr>
    <w:rPr>
      <w:bCs/>
    </w:rPr>
  </w:style>
  <w:style w:type="paragraph" w:styleId="Heading9">
    <w:name w:val="heading 9"/>
    <w:basedOn w:val="Normal"/>
    <w:link w:val="Heading9Char"/>
    <w:uiPriority w:val="99"/>
    <w:qFormat/>
    <w:rsid w:val="008C2A5C"/>
    <w:pPr>
      <w:numPr>
        <w:ilvl w:val="8"/>
        <w:numId w:val="11"/>
      </w:numPr>
      <w:suppressAutoHyphens/>
      <w:spacing w:after="240"/>
      <w:jc w:val="both"/>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317C"/>
    <w:rPr>
      <w:rFonts w:eastAsia="SimSun" w:cs="Times New Roman"/>
      <w:b/>
    </w:rPr>
  </w:style>
  <w:style w:type="character" w:customStyle="1" w:styleId="Heading2Char">
    <w:name w:val="Heading 2 Char"/>
    <w:link w:val="Heading2"/>
    <w:uiPriority w:val="99"/>
    <w:locked/>
    <w:rsid w:val="008C2A5C"/>
    <w:rPr>
      <w:rFonts w:ascii="Times New Roman" w:eastAsia="SimSun" w:hAnsi="Times New Roman" w:cs="Times New Roman"/>
      <w:b/>
      <w:bCs/>
      <w:snapToGrid w:val="0"/>
    </w:rPr>
  </w:style>
  <w:style w:type="character" w:customStyle="1" w:styleId="Heading3Char">
    <w:name w:val="Heading 3 Char"/>
    <w:link w:val="Heading3"/>
    <w:uiPriority w:val="99"/>
    <w:locked/>
    <w:rsid w:val="0002354A"/>
    <w:rPr>
      <w:rFonts w:ascii="Times New Roman" w:eastAsia="SimSun" w:hAnsi="Times New Roman" w:cs="Times New Roman"/>
      <w:bCs/>
      <w:snapToGrid w:val="0"/>
      <w:u w:val="single"/>
    </w:rPr>
  </w:style>
  <w:style w:type="character" w:customStyle="1" w:styleId="Heading4Char">
    <w:name w:val="Heading 4 Char"/>
    <w:link w:val="Heading4"/>
    <w:uiPriority w:val="99"/>
    <w:locked/>
    <w:rsid w:val="00B40EFA"/>
    <w:rPr>
      <w:rFonts w:ascii="Times New Roman" w:hAnsi="Times New Roman" w:cs="Times New Roman"/>
      <w:bCs/>
      <w:i/>
      <w:snapToGrid w:val="0"/>
    </w:rPr>
  </w:style>
  <w:style w:type="character" w:customStyle="1" w:styleId="Heading5Char">
    <w:name w:val="Heading 5 Char"/>
    <w:link w:val="Heading5"/>
    <w:uiPriority w:val="99"/>
    <w:semiHidden/>
    <w:locked/>
    <w:rsid w:val="008C2A5C"/>
    <w:rPr>
      <w:rFonts w:ascii="Times New Roman" w:hAnsi="Times New Roman" w:cs="Times New Roman"/>
      <w:bCs/>
      <w:snapToGrid w:val="0"/>
    </w:rPr>
  </w:style>
  <w:style w:type="character" w:customStyle="1" w:styleId="Heading6Char">
    <w:name w:val="Heading 6 Char"/>
    <w:link w:val="Heading6"/>
    <w:uiPriority w:val="99"/>
    <w:semiHidden/>
    <w:locked/>
    <w:rsid w:val="008C2A5C"/>
    <w:rPr>
      <w:rFonts w:ascii="Times New Roman" w:hAnsi="Times New Roman" w:cs="Times New Roman"/>
      <w:bCs/>
      <w:snapToGrid w:val="0"/>
    </w:rPr>
  </w:style>
  <w:style w:type="character" w:customStyle="1" w:styleId="Heading7Char">
    <w:name w:val="Heading 7 Char"/>
    <w:link w:val="Heading7"/>
    <w:uiPriority w:val="99"/>
    <w:semiHidden/>
    <w:locked/>
    <w:rsid w:val="008C2A5C"/>
    <w:rPr>
      <w:rFonts w:ascii="Times New Roman" w:hAnsi="Times New Roman" w:cs="Times New Roman"/>
      <w:bCs/>
      <w:snapToGrid w:val="0"/>
    </w:rPr>
  </w:style>
  <w:style w:type="character" w:customStyle="1" w:styleId="Heading8Char">
    <w:name w:val="Heading 8 Char"/>
    <w:link w:val="Heading8"/>
    <w:uiPriority w:val="99"/>
    <w:semiHidden/>
    <w:locked/>
    <w:rsid w:val="008C2A5C"/>
    <w:rPr>
      <w:rFonts w:ascii="Times New Roman" w:hAnsi="Times New Roman" w:cs="Times New Roman"/>
      <w:bCs/>
      <w:snapToGrid w:val="0"/>
    </w:rPr>
  </w:style>
  <w:style w:type="character" w:customStyle="1" w:styleId="Heading9Char">
    <w:name w:val="Heading 9 Char"/>
    <w:link w:val="Heading9"/>
    <w:uiPriority w:val="99"/>
    <w:semiHidden/>
    <w:locked/>
    <w:rsid w:val="008C2A5C"/>
    <w:rPr>
      <w:rFonts w:ascii="Times New Roman" w:hAnsi="Times New Roman" w:cs="Times New Roman"/>
      <w:bCs/>
      <w:snapToGrid w:val="0"/>
    </w:rPr>
  </w:style>
  <w:style w:type="paragraph" w:styleId="BalloonText">
    <w:name w:val="Balloon Text"/>
    <w:basedOn w:val="Normal"/>
    <w:link w:val="BalloonTextChar"/>
    <w:uiPriority w:val="99"/>
    <w:semiHidden/>
    <w:rsid w:val="003A2578"/>
    <w:rPr>
      <w:rFonts w:ascii="Tahoma" w:hAnsi="Tahoma" w:cs="Tahoma"/>
      <w:sz w:val="16"/>
      <w:szCs w:val="16"/>
    </w:rPr>
  </w:style>
  <w:style w:type="character" w:customStyle="1" w:styleId="BalloonTextChar">
    <w:name w:val="Balloon Text Char"/>
    <w:link w:val="BalloonText"/>
    <w:uiPriority w:val="99"/>
    <w:semiHidden/>
    <w:locked/>
    <w:rsid w:val="003A2578"/>
    <w:rPr>
      <w:rFonts w:ascii="Tahoma" w:hAnsi="Tahoma" w:cs="Tahoma"/>
      <w:sz w:val="16"/>
      <w:szCs w:val="16"/>
    </w:rPr>
  </w:style>
  <w:style w:type="paragraph" w:styleId="Footer">
    <w:name w:val="footer"/>
    <w:basedOn w:val="Normal"/>
    <w:link w:val="FooterChar"/>
    <w:uiPriority w:val="99"/>
    <w:rsid w:val="006F297B"/>
    <w:pPr>
      <w:tabs>
        <w:tab w:val="center" w:pos="4680"/>
        <w:tab w:val="right" w:pos="9360"/>
      </w:tabs>
    </w:pPr>
  </w:style>
  <w:style w:type="character" w:customStyle="1" w:styleId="FooterChar">
    <w:name w:val="Footer Char"/>
    <w:link w:val="Footer"/>
    <w:uiPriority w:val="99"/>
    <w:locked/>
    <w:rsid w:val="006F297B"/>
    <w:rPr>
      <w:rFonts w:cs="Times New Roman"/>
    </w:rPr>
  </w:style>
  <w:style w:type="character" w:styleId="PageNumber">
    <w:name w:val="page number"/>
    <w:uiPriority w:val="99"/>
    <w:rsid w:val="006F297B"/>
    <w:rPr>
      <w:rFonts w:cs="Times New Roman"/>
    </w:rPr>
  </w:style>
  <w:style w:type="character" w:styleId="CommentReference">
    <w:name w:val="annotation reference"/>
    <w:uiPriority w:val="99"/>
    <w:semiHidden/>
    <w:rsid w:val="006A48FC"/>
    <w:rPr>
      <w:rFonts w:cs="Times New Roman"/>
      <w:sz w:val="16"/>
      <w:szCs w:val="16"/>
    </w:rPr>
  </w:style>
  <w:style w:type="paragraph" w:styleId="CommentText">
    <w:name w:val="annotation text"/>
    <w:basedOn w:val="Normal"/>
    <w:link w:val="CommentTextChar"/>
    <w:uiPriority w:val="99"/>
    <w:semiHidden/>
    <w:rsid w:val="006A48FC"/>
    <w:rPr>
      <w:sz w:val="20"/>
      <w:szCs w:val="20"/>
    </w:rPr>
  </w:style>
  <w:style w:type="character" w:customStyle="1" w:styleId="CommentTextChar">
    <w:name w:val="Comment Text Char"/>
    <w:link w:val="CommentText"/>
    <w:uiPriority w:val="99"/>
    <w:semiHidden/>
    <w:locked/>
    <w:rsid w:val="006A48FC"/>
    <w:rPr>
      <w:rFonts w:cs="Times New Roman"/>
      <w:sz w:val="20"/>
      <w:szCs w:val="20"/>
    </w:rPr>
  </w:style>
  <w:style w:type="paragraph" w:styleId="CommentSubject">
    <w:name w:val="annotation subject"/>
    <w:basedOn w:val="CommentText"/>
    <w:next w:val="CommentText"/>
    <w:link w:val="CommentSubjectChar"/>
    <w:uiPriority w:val="99"/>
    <w:semiHidden/>
    <w:rsid w:val="006A48FC"/>
    <w:rPr>
      <w:b/>
      <w:bCs/>
    </w:rPr>
  </w:style>
  <w:style w:type="character" w:customStyle="1" w:styleId="CommentSubjectChar">
    <w:name w:val="Comment Subject Char"/>
    <w:link w:val="CommentSubject"/>
    <w:uiPriority w:val="99"/>
    <w:semiHidden/>
    <w:locked/>
    <w:rsid w:val="006A48FC"/>
    <w:rPr>
      <w:rFonts w:cs="Times New Roman"/>
      <w:b/>
      <w:bCs/>
      <w:sz w:val="20"/>
      <w:szCs w:val="20"/>
    </w:rPr>
  </w:style>
  <w:style w:type="paragraph" w:customStyle="1" w:styleId="CaptionText">
    <w:name w:val="CaptionText"/>
    <w:basedOn w:val="Normal"/>
    <w:uiPriority w:val="99"/>
    <w:rsid w:val="00DA7024"/>
    <w:pPr>
      <w:suppressLineNumbers/>
    </w:pPr>
    <w:rPr>
      <w:b/>
    </w:rPr>
  </w:style>
  <w:style w:type="paragraph" w:styleId="FootnoteText">
    <w:name w:val="footnote text"/>
    <w:basedOn w:val="Normal"/>
    <w:link w:val="FootnoteTextChar"/>
    <w:uiPriority w:val="99"/>
    <w:semiHidden/>
    <w:rsid w:val="003A7E97"/>
    <w:rPr>
      <w:sz w:val="20"/>
      <w:szCs w:val="20"/>
    </w:rPr>
  </w:style>
  <w:style w:type="character" w:customStyle="1" w:styleId="FootnoteTextChar">
    <w:name w:val="Footnote Text Char"/>
    <w:link w:val="FootnoteText"/>
    <w:uiPriority w:val="99"/>
    <w:semiHidden/>
    <w:locked/>
    <w:rsid w:val="003A7E97"/>
    <w:rPr>
      <w:rFonts w:cs="Times New Roman"/>
      <w:sz w:val="20"/>
      <w:szCs w:val="20"/>
    </w:rPr>
  </w:style>
  <w:style w:type="character" w:styleId="FootnoteReference">
    <w:name w:val="footnote reference"/>
    <w:uiPriority w:val="99"/>
    <w:semiHidden/>
    <w:rsid w:val="003A7E97"/>
    <w:rPr>
      <w:rFonts w:cs="Times New Roman"/>
      <w:vertAlign w:val="superscript"/>
    </w:rPr>
  </w:style>
  <w:style w:type="paragraph" w:customStyle="1" w:styleId="TitleBUAC">
    <w:name w:val="*Title BUAC"/>
    <w:aliases w:val="TBUAC"/>
    <w:basedOn w:val="Normal"/>
    <w:next w:val="Normal"/>
    <w:link w:val="TitleBUACChar"/>
    <w:uiPriority w:val="99"/>
    <w:rsid w:val="008C2A5C"/>
    <w:pPr>
      <w:keepNext/>
      <w:spacing w:after="240"/>
      <w:jc w:val="center"/>
    </w:pPr>
    <w:rPr>
      <w:b/>
      <w:caps/>
      <w:u w:val="single"/>
    </w:rPr>
  </w:style>
  <w:style w:type="character" w:customStyle="1" w:styleId="TitleBUACChar">
    <w:name w:val="*Title BUAC Char"/>
    <w:aliases w:val="TBUAC Char"/>
    <w:link w:val="TitleBUAC"/>
    <w:uiPriority w:val="99"/>
    <w:locked/>
    <w:rsid w:val="008C2A5C"/>
    <w:rPr>
      <w:rFonts w:eastAsia="Times New Roman" w:cs="Times New Roman"/>
      <w:b/>
      <w:caps/>
      <w:u w:val="single"/>
    </w:rPr>
  </w:style>
  <w:style w:type="paragraph" w:styleId="ListParagraph">
    <w:name w:val="List Paragraph"/>
    <w:basedOn w:val="Normal"/>
    <w:uiPriority w:val="99"/>
    <w:qFormat/>
    <w:rsid w:val="00230DC8"/>
    <w:pPr>
      <w:ind w:left="720"/>
      <w:contextualSpacing/>
    </w:pPr>
  </w:style>
  <w:style w:type="paragraph" w:styleId="Header">
    <w:name w:val="header"/>
    <w:basedOn w:val="Normal"/>
    <w:link w:val="HeaderChar"/>
    <w:uiPriority w:val="99"/>
    <w:rsid w:val="00FD3D09"/>
    <w:pPr>
      <w:tabs>
        <w:tab w:val="center" w:pos="4680"/>
        <w:tab w:val="right" w:pos="9360"/>
      </w:tabs>
    </w:pPr>
  </w:style>
  <w:style w:type="character" w:customStyle="1" w:styleId="HeaderChar">
    <w:name w:val="Header Char"/>
    <w:link w:val="Header"/>
    <w:uiPriority w:val="99"/>
    <w:locked/>
    <w:rsid w:val="00FD3D09"/>
    <w:rPr>
      <w:rFonts w:cs="Times New Roman"/>
    </w:rPr>
  </w:style>
  <w:style w:type="paragraph" w:customStyle="1" w:styleId="LBFileStampAtCursor">
    <w:name w:val="*LBFileStampAtCursor"/>
    <w:aliases w:val="FSC"/>
    <w:basedOn w:val="Normal"/>
    <w:rsid w:val="00FC797C"/>
    <w:rPr>
      <w:sz w:val="18"/>
    </w:rPr>
  </w:style>
  <w:style w:type="paragraph" w:customStyle="1" w:styleId="LBFileStampAtEnd">
    <w:name w:val="*LBFileStampAtEnd"/>
    <w:aliases w:val="FSE"/>
    <w:basedOn w:val="Normal"/>
    <w:rsid w:val="00FC797C"/>
    <w:rPr>
      <w:sz w:val="18"/>
    </w:rPr>
  </w:style>
  <w:style w:type="paragraph" w:customStyle="1" w:styleId="Bullet">
    <w:name w:val="Bullet"/>
    <w:basedOn w:val="Heading4"/>
    <w:rsid w:val="00A34849"/>
    <w:pPr>
      <w:numPr>
        <w:ilvl w:val="0"/>
        <w:numId w:val="13"/>
      </w:numPr>
    </w:pPr>
    <w:rPr>
      <w:i w:val="0"/>
    </w:rPr>
  </w:style>
  <w:style w:type="character" w:customStyle="1" w:styleId="LeadInHeading1">
    <w:name w:val="LeadInHeading 1"/>
    <w:rsid w:val="002D15A3"/>
    <w:rPr>
      <w:rFonts w:eastAsia="SimSun"/>
      <w:b w:val="0"/>
      <w:szCs w:val="20"/>
      <w:u w:val="none"/>
    </w:rPr>
  </w:style>
  <w:style w:type="character" w:customStyle="1" w:styleId="LeadInHeading2">
    <w:name w:val="LeadInHeading 2"/>
    <w:rsid w:val="002D15A3"/>
    <w:rPr>
      <w:rFonts w:eastAsia="SimSun"/>
      <w:b w:val="0"/>
      <w:szCs w:val="20"/>
      <w:u w:val="none"/>
    </w:rPr>
  </w:style>
  <w:style w:type="character" w:customStyle="1" w:styleId="LeadInHeading3">
    <w:name w:val="LeadInHeading 3"/>
    <w:rsid w:val="002D15A3"/>
    <w:rPr>
      <w:rFonts w:eastAsia="SimSun"/>
      <w:b w:val="0"/>
      <w:szCs w:val="20"/>
      <w:u w:val="none"/>
    </w:rPr>
  </w:style>
  <w:style w:type="character" w:customStyle="1" w:styleId="LeadInHeading4">
    <w:name w:val="LeadInHeading 4"/>
    <w:rsid w:val="002D15A3"/>
    <w:rPr>
      <w:rFonts w:eastAsia="SimSun"/>
      <w:b w:val="0"/>
      <w:szCs w:val="20"/>
      <w:u w:val="none"/>
    </w:rPr>
  </w:style>
  <w:style w:type="paragraph" w:styleId="TOC1">
    <w:name w:val="toc 1"/>
    <w:basedOn w:val="Normal"/>
    <w:next w:val="Normal"/>
    <w:autoRedefine/>
    <w:uiPriority w:val="39"/>
    <w:unhideWhenUsed/>
    <w:locked/>
    <w:rsid w:val="002D15A3"/>
    <w:pPr>
      <w:tabs>
        <w:tab w:val="right" w:leader="dot" w:pos="9350"/>
      </w:tabs>
      <w:spacing w:after="240"/>
      <w:ind w:left="720" w:hanging="720"/>
    </w:pPr>
  </w:style>
  <w:style w:type="paragraph" w:styleId="TOC2">
    <w:name w:val="toc 2"/>
    <w:basedOn w:val="Normal"/>
    <w:next w:val="Normal"/>
    <w:autoRedefine/>
    <w:uiPriority w:val="39"/>
    <w:unhideWhenUsed/>
    <w:locked/>
    <w:rsid w:val="00A45F3C"/>
    <w:pPr>
      <w:tabs>
        <w:tab w:val="right" w:leader="dot" w:pos="9360"/>
      </w:tabs>
      <w:spacing w:after="240"/>
      <w:ind w:left="1440" w:right="720" w:hanging="720"/>
    </w:pPr>
  </w:style>
  <w:style w:type="paragraph" w:styleId="TOC4">
    <w:name w:val="toc 4"/>
    <w:basedOn w:val="Normal"/>
    <w:next w:val="Normal"/>
    <w:autoRedefine/>
    <w:uiPriority w:val="39"/>
    <w:unhideWhenUsed/>
    <w:locked/>
    <w:rsid w:val="002D15A3"/>
    <w:pPr>
      <w:tabs>
        <w:tab w:val="right" w:leader="dot" w:pos="9360"/>
      </w:tabs>
      <w:spacing w:after="240"/>
      <w:ind w:left="2880" w:right="900" w:hanging="720"/>
    </w:pPr>
  </w:style>
  <w:style w:type="paragraph" w:styleId="TOC3">
    <w:name w:val="toc 3"/>
    <w:basedOn w:val="Normal"/>
    <w:next w:val="Normal"/>
    <w:autoRedefine/>
    <w:uiPriority w:val="39"/>
    <w:unhideWhenUsed/>
    <w:locked/>
    <w:rsid w:val="002D15A3"/>
    <w:pPr>
      <w:tabs>
        <w:tab w:val="right" w:leader="dot" w:pos="9360"/>
      </w:tabs>
      <w:spacing w:after="240"/>
      <w:ind w:left="2160" w:right="540" w:hanging="720"/>
    </w:pPr>
  </w:style>
  <w:style w:type="character" w:styleId="Hyperlink">
    <w:name w:val="Hyperlink"/>
    <w:uiPriority w:val="99"/>
    <w:unhideWhenUsed/>
    <w:locked/>
    <w:rsid w:val="002D15A3"/>
    <w:rPr>
      <w:color w:val="0000FF"/>
      <w:u w:val="single"/>
    </w:rPr>
  </w:style>
  <w:style w:type="paragraph" w:styleId="TOC5">
    <w:name w:val="toc 5"/>
    <w:basedOn w:val="Normal"/>
    <w:next w:val="Normal"/>
    <w:autoRedefine/>
    <w:uiPriority w:val="39"/>
    <w:semiHidden/>
    <w:unhideWhenUsed/>
    <w:locked/>
    <w:rsid w:val="002D15A3"/>
    <w:pPr>
      <w:ind w:left="960"/>
    </w:pPr>
  </w:style>
  <w:style w:type="paragraph" w:styleId="TOC6">
    <w:name w:val="toc 6"/>
    <w:basedOn w:val="Normal"/>
    <w:next w:val="Normal"/>
    <w:autoRedefine/>
    <w:uiPriority w:val="39"/>
    <w:semiHidden/>
    <w:unhideWhenUsed/>
    <w:locked/>
    <w:rsid w:val="002D15A3"/>
    <w:pPr>
      <w:ind w:left="1200"/>
    </w:pPr>
  </w:style>
  <w:style w:type="paragraph" w:styleId="TOC7">
    <w:name w:val="toc 7"/>
    <w:basedOn w:val="Normal"/>
    <w:next w:val="Normal"/>
    <w:autoRedefine/>
    <w:uiPriority w:val="39"/>
    <w:semiHidden/>
    <w:unhideWhenUsed/>
    <w:locked/>
    <w:rsid w:val="002D15A3"/>
    <w:pPr>
      <w:ind w:left="1440"/>
    </w:pPr>
  </w:style>
  <w:style w:type="paragraph" w:styleId="TOC8">
    <w:name w:val="toc 8"/>
    <w:basedOn w:val="Normal"/>
    <w:next w:val="Normal"/>
    <w:autoRedefine/>
    <w:uiPriority w:val="39"/>
    <w:semiHidden/>
    <w:unhideWhenUsed/>
    <w:locked/>
    <w:rsid w:val="002D15A3"/>
    <w:pPr>
      <w:ind w:left="1680"/>
    </w:pPr>
  </w:style>
  <w:style w:type="paragraph" w:styleId="TOC9">
    <w:name w:val="toc 9"/>
    <w:basedOn w:val="Normal"/>
    <w:next w:val="Normal"/>
    <w:autoRedefine/>
    <w:uiPriority w:val="39"/>
    <w:semiHidden/>
    <w:unhideWhenUsed/>
    <w:locked/>
    <w:rsid w:val="002D15A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9CCE-31CA-4663-8A40-97DF8C5A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5135</Words>
  <Characters>27886</Characters>
  <Application>Microsoft Office Word</Application>
  <DocSecurity>0</DocSecurity>
  <Lines>557</Lines>
  <Paragraphs>194</Paragraphs>
  <ScaleCrop>false</ScaleCrop>
  <HeadingPairs>
    <vt:vector size="2" baseType="variant">
      <vt:variant>
        <vt:lpstr>Title</vt:lpstr>
      </vt:variant>
      <vt:variant>
        <vt:i4>1</vt:i4>
      </vt:variant>
    </vt:vector>
  </HeadingPairs>
  <TitlesOfParts>
    <vt:vector size="1" baseType="lpstr">
      <vt:lpstr/>
    </vt:vector>
  </TitlesOfParts>
  <Company>Ulmer &amp; Berne LLP</Company>
  <LinksUpToDate>false</LinksUpToDate>
  <CharactersWithSpaces>32827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Laura</dc:creator>
  <cp:lastModifiedBy>LCM</cp:lastModifiedBy>
  <cp:revision>2</cp:revision>
  <cp:lastPrinted>2014-02-12T23:25:00Z</cp:lastPrinted>
  <dcterms:created xsi:type="dcterms:W3CDTF">2014-02-13T13:24:00Z</dcterms:created>
  <dcterms:modified xsi:type="dcterms:W3CDTF">2014-02-13T13:24:00Z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2075789</vt:lpwstr>
  </property>
  <property fmtid="{D5CDD505-2E9C-101B-9397-08002B2CF9AE}" pid="3" name="DMVersionNumber">
    <vt:lpwstr>v1</vt:lpwstr>
  </property>
  <property fmtid="{D5CDD505-2E9C-101B-9397-08002B2CF9AE}" pid="4" name="DocNumberPrefix">
    <vt:lpwstr>CLEV1997 </vt:lpwstr>
  </property>
  <property fmtid="{D5CDD505-2E9C-101B-9397-08002B2CF9AE}" pid="5" name="DocNumberSuffix">
    <vt:lpwstr>_x000b_29414.00049</vt:lpwstr>
  </property>
  <property fmtid="{D5CDD505-2E9C-101B-9397-08002B2CF9AE}" pid="6" name="DocNumberDate">
    <vt:lpwstr>2/13/2014 8:23 am</vt:lpwstr>
  </property>
</Properties>
</file>