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BD7" w:rsidRDefault="00FF7BD7" w:rsidP="003B303D">
      <w:pPr>
        <w:spacing w:after="0" w:line="240" w:lineRule="auto"/>
        <w:jc w:val="center"/>
        <w:rPr>
          <w:rFonts w:ascii="Times New Roman" w:hAnsi="Times New Roman"/>
          <w:sz w:val="24"/>
          <w:szCs w:val="24"/>
        </w:rPr>
      </w:pPr>
      <w:r>
        <w:rPr>
          <w:rFonts w:ascii="Times New Roman" w:hAnsi="Times New Roman"/>
          <w:sz w:val="24"/>
          <w:szCs w:val="24"/>
        </w:rPr>
        <w:t>BEFORE</w:t>
      </w:r>
    </w:p>
    <w:p w:rsidR="00FF7BD7" w:rsidRDefault="00FF7BD7">
      <w:pPr>
        <w:spacing w:after="0" w:line="240" w:lineRule="auto"/>
        <w:jc w:val="center"/>
        <w:rPr>
          <w:rFonts w:ascii="Times New Roman" w:hAnsi="Times New Roman"/>
          <w:sz w:val="24"/>
          <w:szCs w:val="24"/>
        </w:rPr>
      </w:pPr>
    </w:p>
    <w:p w:rsidR="00FF7BD7" w:rsidRDefault="00FF7BD7">
      <w:pPr>
        <w:spacing w:after="0" w:line="240" w:lineRule="auto"/>
        <w:jc w:val="center"/>
        <w:rPr>
          <w:rFonts w:ascii="Times New Roman" w:hAnsi="Times New Roman"/>
          <w:sz w:val="24"/>
          <w:szCs w:val="24"/>
        </w:rPr>
      </w:pPr>
      <w:r>
        <w:rPr>
          <w:rFonts w:ascii="Times New Roman" w:hAnsi="Times New Roman"/>
          <w:sz w:val="24"/>
          <w:szCs w:val="24"/>
        </w:rPr>
        <w:t>THE PUBLIC UTILITIES COMMISSION OF OHIO</w:t>
      </w:r>
    </w:p>
    <w:p w:rsidR="00FF7BD7" w:rsidRDefault="00FF7BD7">
      <w:pPr>
        <w:spacing w:after="0" w:line="240" w:lineRule="auto"/>
        <w:rPr>
          <w:rFonts w:ascii="Times New Roman" w:hAnsi="Times New Roman"/>
          <w:sz w:val="24"/>
          <w:szCs w:val="24"/>
        </w:rPr>
      </w:pPr>
    </w:p>
    <w:p w:rsidR="00FF7BD7" w:rsidRDefault="00FF7BD7">
      <w:pPr>
        <w:spacing w:after="0" w:line="240" w:lineRule="auto"/>
        <w:rPr>
          <w:rFonts w:ascii="Times New Roman" w:hAnsi="Times New Roman"/>
          <w:sz w:val="24"/>
          <w:szCs w:val="24"/>
        </w:rPr>
      </w:pPr>
      <w:r>
        <w:rPr>
          <w:rFonts w:ascii="Times New Roman" w:hAnsi="Times New Roman"/>
          <w:sz w:val="24"/>
          <w:szCs w:val="24"/>
        </w:rPr>
        <w:t>In the Matter of the Adoption of Rules</w:t>
      </w:r>
      <w:r>
        <w:rPr>
          <w:rFonts w:ascii="Times New Roman" w:hAnsi="Times New Roman"/>
          <w:sz w:val="24"/>
          <w:szCs w:val="24"/>
        </w:rPr>
        <w:tab/>
        <w:t>)</w:t>
      </w:r>
    </w:p>
    <w:p w:rsidR="00FF7BD7" w:rsidRDefault="00FF7BD7">
      <w:pPr>
        <w:spacing w:after="0" w:line="240" w:lineRule="auto"/>
        <w:rPr>
          <w:rFonts w:ascii="Times New Roman" w:hAnsi="Times New Roman"/>
          <w:sz w:val="24"/>
          <w:szCs w:val="24"/>
        </w:rPr>
      </w:pPr>
      <w:r>
        <w:rPr>
          <w:rFonts w:ascii="Times New Roman" w:hAnsi="Times New Roman"/>
          <w:sz w:val="24"/>
          <w:szCs w:val="24"/>
        </w:rPr>
        <w:t>to Implement Substitute Senate Bill 162.</w:t>
      </w:r>
      <w:r>
        <w:rPr>
          <w:rFonts w:ascii="Times New Roman" w:hAnsi="Times New Roman"/>
          <w:sz w:val="24"/>
          <w:szCs w:val="24"/>
        </w:rPr>
        <w:tab/>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Case No. 10-1010-TP-ORD</w:t>
      </w:r>
    </w:p>
    <w:p w:rsidR="00FF7BD7" w:rsidRDefault="00FF7BD7">
      <w:pPr>
        <w:spacing w:after="0" w:line="240" w:lineRule="auto"/>
        <w:rPr>
          <w:rFonts w:ascii="Times New Roman" w:hAnsi="Times New Roman"/>
          <w:sz w:val="24"/>
          <w:szCs w:val="24"/>
        </w:rPr>
      </w:pPr>
    </w:p>
    <w:p w:rsidR="00270D50" w:rsidRDefault="00270D50" w:rsidP="00270D5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70D50" w:rsidRDefault="00270D50" w:rsidP="00270D50">
      <w:pPr>
        <w:spacing w:after="0" w:line="240" w:lineRule="auto"/>
        <w:rPr>
          <w:rFonts w:ascii="Times New Roman" w:hAnsi="Times New Roman"/>
          <w:sz w:val="24"/>
          <w:szCs w:val="24"/>
        </w:rPr>
      </w:pPr>
    </w:p>
    <w:p w:rsidR="00270D50" w:rsidRDefault="00270D50" w:rsidP="00270D50">
      <w:pPr>
        <w:spacing w:after="0" w:line="240" w:lineRule="auto"/>
        <w:jc w:val="center"/>
        <w:rPr>
          <w:rFonts w:ascii="Times New Roman" w:hAnsi="Times New Roman"/>
          <w:sz w:val="24"/>
          <w:szCs w:val="24"/>
        </w:rPr>
      </w:pPr>
      <w:r>
        <w:rPr>
          <w:rFonts w:ascii="Times New Roman" w:hAnsi="Times New Roman"/>
          <w:sz w:val="24"/>
          <w:szCs w:val="24"/>
        </w:rPr>
        <w:t>THE AT&amp;T ENTITIES</w:t>
      </w:r>
      <w:r w:rsidR="003064DF">
        <w:rPr>
          <w:rFonts w:ascii="Times New Roman" w:hAnsi="Times New Roman"/>
          <w:sz w:val="24"/>
          <w:szCs w:val="24"/>
        </w:rPr>
        <w:t>'</w:t>
      </w:r>
      <w:r>
        <w:rPr>
          <w:rFonts w:ascii="Times New Roman" w:hAnsi="Times New Roman"/>
          <w:sz w:val="24"/>
          <w:szCs w:val="24"/>
        </w:rPr>
        <w:t xml:space="preserve"> MEMORANDUM CONTRA THE</w:t>
      </w:r>
    </w:p>
    <w:p w:rsidR="00270D50" w:rsidRDefault="006A20BF" w:rsidP="00270D50">
      <w:pPr>
        <w:spacing w:after="0" w:line="240" w:lineRule="auto"/>
        <w:jc w:val="center"/>
        <w:rPr>
          <w:rFonts w:ascii="Times New Roman" w:hAnsi="Times New Roman"/>
          <w:sz w:val="24"/>
          <w:szCs w:val="24"/>
        </w:rPr>
      </w:pPr>
      <w:r>
        <w:rPr>
          <w:rFonts w:ascii="Times New Roman" w:hAnsi="Times New Roman"/>
          <w:sz w:val="24"/>
          <w:szCs w:val="24"/>
        </w:rPr>
        <w:t>OPTC</w:t>
      </w:r>
      <w:r w:rsidR="003064DF">
        <w:rPr>
          <w:rFonts w:ascii="Times New Roman" w:hAnsi="Times New Roman"/>
          <w:sz w:val="24"/>
          <w:szCs w:val="24"/>
        </w:rPr>
        <w:t>'</w:t>
      </w:r>
      <w:r>
        <w:rPr>
          <w:rFonts w:ascii="Times New Roman" w:hAnsi="Times New Roman"/>
          <w:sz w:val="24"/>
          <w:szCs w:val="24"/>
        </w:rPr>
        <w:t xml:space="preserve">S </w:t>
      </w:r>
      <w:r w:rsidR="00270D50">
        <w:rPr>
          <w:rFonts w:ascii="Times New Roman" w:hAnsi="Times New Roman"/>
          <w:sz w:val="24"/>
          <w:szCs w:val="24"/>
        </w:rPr>
        <w:t>APPLICATION FOR REHEARING</w:t>
      </w:r>
    </w:p>
    <w:p w:rsidR="00270D50" w:rsidRDefault="00270D50" w:rsidP="00270D50">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270D50" w:rsidRDefault="00270D50">
      <w:pPr>
        <w:spacing w:after="0" w:line="240" w:lineRule="auto"/>
        <w:rPr>
          <w:rFonts w:ascii="Times New Roman" w:hAnsi="Times New Roman"/>
          <w:sz w:val="24"/>
          <w:szCs w:val="24"/>
        </w:rPr>
      </w:pPr>
    </w:p>
    <w:p w:rsidR="00270D50" w:rsidRDefault="00270D50" w:rsidP="00270D50">
      <w:pPr>
        <w:spacing w:after="0" w:line="240" w:lineRule="auto"/>
        <w:jc w:val="center"/>
        <w:rPr>
          <w:rFonts w:ascii="Times New Roman" w:hAnsi="Times New Roman"/>
          <w:sz w:val="24"/>
          <w:szCs w:val="24"/>
        </w:rPr>
      </w:pPr>
      <w:r>
        <w:rPr>
          <w:rFonts w:ascii="Times New Roman" w:hAnsi="Times New Roman"/>
          <w:sz w:val="24"/>
          <w:szCs w:val="24"/>
        </w:rPr>
        <w:t>Table of Contents</w:t>
      </w:r>
    </w:p>
    <w:p w:rsidR="00270D50" w:rsidRDefault="00270D50" w:rsidP="00270D50">
      <w:pPr>
        <w:spacing w:after="0" w:line="240" w:lineRule="auto"/>
        <w:rPr>
          <w:rFonts w:ascii="Times New Roman" w:hAnsi="Times New Roman"/>
          <w:sz w:val="24"/>
          <w:szCs w:val="24"/>
        </w:rPr>
      </w:pPr>
    </w:p>
    <w:p w:rsidR="00775173" w:rsidRPr="00775173" w:rsidRDefault="00B0049F">
      <w:pPr>
        <w:pStyle w:val="TOC1"/>
        <w:tabs>
          <w:tab w:val="right" w:leader="dot" w:pos="9350"/>
        </w:tabs>
        <w:rPr>
          <w:rFonts w:ascii="Times New Roman" w:eastAsiaTheme="minorEastAsia" w:hAnsi="Times New Roman"/>
          <w:noProof/>
          <w:sz w:val="24"/>
          <w:szCs w:val="24"/>
        </w:rPr>
      </w:pPr>
      <w:r w:rsidRPr="00775173">
        <w:rPr>
          <w:rFonts w:ascii="Times New Roman" w:hAnsi="Times New Roman"/>
          <w:sz w:val="24"/>
          <w:szCs w:val="24"/>
        </w:rPr>
        <w:fldChar w:fldCharType="begin"/>
      </w:r>
      <w:r w:rsidR="00775173" w:rsidRPr="00775173">
        <w:rPr>
          <w:rFonts w:ascii="Times New Roman" w:hAnsi="Times New Roman"/>
          <w:sz w:val="24"/>
          <w:szCs w:val="24"/>
        </w:rPr>
        <w:instrText xml:space="preserve"> TOC \o "1-1" \u </w:instrText>
      </w:r>
      <w:r w:rsidRPr="00775173">
        <w:rPr>
          <w:rFonts w:ascii="Times New Roman" w:hAnsi="Times New Roman"/>
          <w:sz w:val="24"/>
          <w:szCs w:val="24"/>
        </w:rPr>
        <w:fldChar w:fldCharType="separate"/>
      </w:r>
      <w:r w:rsidR="00775173" w:rsidRPr="00775173">
        <w:rPr>
          <w:rFonts w:ascii="Times New Roman" w:hAnsi="Times New Roman"/>
          <w:noProof/>
          <w:color w:val="000000" w:themeColor="text1"/>
          <w:sz w:val="24"/>
          <w:szCs w:val="24"/>
        </w:rPr>
        <w:t>Introduction</w:t>
      </w:r>
      <w:r w:rsidR="00775173" w:rsidRPr="00775173">
        <w:rPr>
          <w:rFonts w:ascii="Times New Roman" w:hAnsi="Times New Roman"/>
          <w:noProof/>
          <w:sz w:val="24"/>
          <w:szCs w:val="24"/>
        </w:rPr>
        <w:tab/>
      </w:r>
      <w:r w:rsidRPr="00775173">
        <w:rPr>
          <w:rFonts w:ascii="Times New Roman" w:hAnsi="Times New Roman"/>
          <w:noProof/>
          <w:sz w:val="24"/>
          <w:szCs w:val="24"/>
        </w:rPr>
        <w:fldChar w:fldCharType="begin"/>
      </w:r>
      <w:r w:rsidR="00775173" w:rsidRPr="00775173">
        <w:rPr>
          <w:rFonts w:ascii="Times New Roman" w:hAnsi="Times New Roman"/>
          <w:noProof/>
          <w:sz w:val="24"/>
          <w:szCs w:val="24"/>
        </w:rPr>
        <w:instrText xml:space="preserve"> PAGEREF _Toc286154356 \h </w:instrText>
      </w:r>
      <w:r w:rsidRPr="00775173">
        <w:rPr>
          <w:rFonts w:ascii="Times New Roman" w:hAnsi="Times New Roman"/>
          <w:noProof/>
          <w:sz w:val="24"/>
          <w:szCs w:val="24"/>
        </w:rPr>
      </w:r>
      <w:r w:rsidRPr="00775173">
        <w:rPr>
          <w:rFonts w:ascii="Times New Roman" w:hAnsi="Times New Roman"/>
          <w:noProof/>
          <w:sz w:val="24"/>
          <w:szCs w:val="24"/>
        </w:rPr>
        <w:fldChar w:fldCharType="separate"/>
      </w:r>
      <w:r w:rsidR="00BB41E8">
        <w:rPr>
          <w:rFonts w:ascii="Times New Roman" w:hAnsi="Times New Roman"/>
          <w:noProof/>
          <w:sz w:val="24"/>
          <w:szCs w:val="24"/>
        </w:rPr>
        <w:t>2</w:t>
      </w:r>
      <w:r w:rsidRPr="00775173">
        <w:rPr>
          <w:rFonts w:ascii="Times New Roman" w:hAnsi="Times New Roman"/>
          <w:noProof/>
          <w:sz w:val="24"/>
          <w:szCs w:val="24"/>
        </w:rPr>
        <w:fldChar w:fldCharType="end"/>
      </w:r>
    </w:p>
    <w:p w:rsidR="00775173" w:rsidRPr="00775173" w:rsidRDefault="00775173">
      <w:pPr>
        <w:pStyle w:val="TOC1"/>
        <w:tabs>
          <w:tab w:val="right" w:leader="dot" w:pos="9350"/>
        </w:tabs>
        <w:rPr>
          <w:rFonts w:ascii="Times New Roman" w:eastAsiaTheme="minorEastAsia" w:hAnsi="Times New Roman"/>
          <w:noProof/>
          <w:sz w:val="24"/>
          <w:szCs w:val="24"/>
        </w:rPr>
      </w:pPr>
      <w:r w:rsidRPr="00775173">
        <w:rPr>
          <w:rFonts w:ascii="Times New Roman" w:hAnsi="Times New Roman"/>
          <w:noProof/>
          <w:color w:val="000000" w:themeColor="text1"/>
          <w:sz w:val="24"/>
          <w:szCs w:val="24"/>
        </w:rPr>
        <w:t>The Commission-Prescribed Customer Notice Is Not Inadequate</w:t>
      </w:r>
      <w:r w:rsidRPr="00775173">
        <w:rPr>
          <w:rFonts w:ascii="Times New Roman" w:hAnsi="Times New Roman"/>
          <w:noProof/>
          <w:sz w:val="24"/>
          <w:szCs w:val="24"/>
        </w:rPr>
        <w:tab/>
      </w:r>
      <w:r w:rsidR="00B0049F" w:rsidRPr="00775173">
        <w:rPr>
          <w:rFonts w:ascii="Times New Roman" w:hAnsi="Times New Roman"/>
          <w:noProof/>
          <w:sz w:val="24"/>
          <w:szCs w:val="24"/>
        </w:rPr>
        <w:fldChar w:fldCharType="begin"/>
      </w:r>
      <w:r w:rsidRPr="00775173">
        <w:rPr>
          <w:rFonts w:ascii="Times New Roman" w:hAnsi="Times New Roman"/>
          <w:noProof/>
          <w:sz w:val="24"/>
          <w:szCs w:val="24"/>
        </w:rPr>
        <w:instrText xml:space="preserve"> PAGEREF _Toc286154357 \h </w:instrText>
      </w:r>
      <w:r w:rsidR="00B0049F" w:rsidRPr="00775173">
        <w:rPr>
          <w:rFonts w:ascii="Times New Roman" w:hAnsi="Times New Roman"/>
          <w:noProof/>
          <w:sz w:val="24"/>
          <w:szCs w:val="24"/>
        </w:rPr>
      </w:r>
      <w:r w:rsidR="00B0049F" w:rsidRPr="00775173">
        <w:rPr>
          <w:rFonts w:ascii="Times New Roman" w:hAnsi="Times New Roman"/>
          <w:noProof/>
          <w:sz w:val="24"/>
          <w:szCs w:val="24"/>
        </w:rPr>
        <w:fldChar w:fldCharType="separate"/>
      </w:r>
      <w:r w:rsidR="00BB41E8">
        <w:rPr>
          <w:rFonts w:ascii="Times New Roman" w:hAnsi="Times New Roman"/>
          <w:noProof/>
          <w:sz w:val="24"/>
          <w:szCs w:val="24"/>
        </w:rPr>
        <w:t>4</w:t>
      </w:r>
      <w:r w:rsidR="00B0049F" w:rsidRPr="00775173">
        <w:rPr>
          <w:rFonts w:ascii="Times New Roman" w:hAnsi="Times New Roman"/>
          <w:noProof/>
          <w:sz w:val="24"/>
          <w:szCs w:val="24"/>
        </w:rPr>
        <w:fldChar w:fldCharType="end"/>
      </w:r>
    </w:p>
    <w:p w:rsidR="00775173" w:rsidRPr="00775173" w:rsidRDefault="00775173">
      <w:pPr>
        <w:pStyle w:val="TOC1"/>
        <w:tabs>
          <w:tab w:val="right" w:leader="dot" w:pos="9350"/>
        </w:tabs>
        <w:rPr>
          <w:rFonts w:ascii="Times New Roman" w:eastAsiaTheme="minorEastAsia" w:hAnsi="Times New Roman"/>
          <w:noProof/>
          <w:sz w:val="24"/>
          <w:szCs w:val="24"/>
        </w:rPr>
      </w:pPr>
      <w:r w:rsidRPr="00775173">
        <w:rPr>
          <w:rFonts w:ascii="Times New Roman" w:hAnsi="Times New Roman"/>
          <w:noProof/>
          <w:color w:val="000000" w:themeColor="text1"/>
          <w:sz w:val="24"/>
          <w:szCs w:val="24"/>
        </w:rPr>
        <w:t>The Process For Detariffing Is Reasonable And Lawful</w:t>
      </w:r>
      <w:r w:rsidRPr="00775173">
        <w:rPr>
          <w:rFonts w:ascii="Times New Roman" w:hAnsi="Times New Roman"/>
          <w:noProof/>
          <w:sz w:val="24"/>
          <w:szCs w:val="24"/>
        </w:rPr>
        <w:tab/>
      </w:r>
      <w:r w:rsidR="00B0049F" w:rsidRPr="00775173">
        <w:rPr>
          <w:rFonts w:ascii="Times New Roman" w:hAnsi="Times New Roman"/>
          <w:noProof/>
          <w:sz w:val="24"/>
          <w:szCs w:val="24"/>
        </w:rPr>
        <w:fldChar w:fldCharType="begin"/>
      </w:r>
      <w:r w:rsidRPr="00775173">
        <w:rPr>
          <w:rFonts w:ascii="Times New Roman" w:hAnsi="Times New Roman"/>
          <w:noProof/>
          <w:sz w:val="24"/>
          <w:szCs w:val="24"/>
        </w:rPr>
        <w:instrText xml:space="preserve"> PAGEREF _Toc286154358 \h </w:instrText>
      </w:r>
      <w:r w:rsidR="00B0049F" w:rsidRPr="00775173">
        <w:rPr>
          <w:rFonts w:ascii="Times New Roman" w:hAnsi="Times New Roman"/>
          <w:noProof/>
          <w:sz w:val="24"/>
          <w:szCs w:val="24"/>
        </w:rPr>
      </w:r>
      <w:r w:rsidR="00B0049F" w:rsidRPr="00775173">
        <w:rPr>
          <w:rFonts w:ascii="Times New Roman" w:hAnsi="Times New Roman"/>
          <w:noProof/>
          <w:sz w:val="24"/>
          <w:szCs w:val="24"/>
        </w:rPr>
        <w:fldChar w:fldCharType="separate"/>
      </w:r>
      <w:r w:rsidR="00BB41E8">
        <w:rPr>
          <w:rFonts w:ascii="Times New Roman" w:hAnsi="Times New Roman"/>
          <w:noProof/>
          <w:sz w:val="24"/>
          <w:szCs w:val="24"/>
        </w:rPr>
        <w:t>5</w:t>
      </w:r>
      <w:r w:rsidR="00B0049F" w:rsidRPr="00775173">
        <w:rPr>
          <w:rFonts w:ascii="Times New Roman" w:hAnsi="Times New Roman"/>
          <w:noProof/>
          <w:sz w:val="24"/>
          <w:szCs w:val="24"/>
        </w:rPr>
        <w:fldChar w:fldCharType="end"/>
      </w:r>
    </w:p>
    <w:p w:rsidR="00775173" w:rsidRPr="00775173" w:rsidRDefault="00775173">
      <w:pPr>
        <w:pStyle w:val="TOC1"/>
        <w:tabs>
          <w:tab w:val="right" w:leader="dot" w:pos="9350"/>
        </w:tabs>
        <w:rPr>
          <w:rFonts w:ascii="Times New Roman" w:eastAsiaTheme="minorEastAsia" w:hAnsi="Times New Roman"/>
          <w:noProof/>
          <w:sz w:val="24"/>
          <w:szCs w:val="24"/>
        </w:rPr>
      </w:pPr>
      <w:r w:rsidRPr="00775173">
        <w:rPr>
          <w:rFonts w:ascii="Times New Roman" w:hAnsi="Times New Roman"/>
          <w:noProof/>
          <w:color w:val="000000" w:themeColor="text1"/>
          <w:sz w:val="24"/>
          <w:szCs w:val="24"/>
        </w:rPr>
        <w:t>A Further Rulemaking Was Not Necessary And Would Have Been Counterproductive</w:t>
      </w:r>
      <w:r w:rsidRPr="00775173">
        <w:rPr>
          <w:rFonts w:ascii="Times New Roman" w:hAnsi="Times New Roman"/>
          <w:noProof/>
          <w:sz w:val="24"/>
          <w:szCs w:val="24"/>
        </w:rPr>
        <w:tab/>
      </w:r>
      <w:r w:rsidR="00B0049F" w:rsidRPr="00775173">
        <w:rPr>
          <w:rFonts w:ascii="Times New Roman" w:hAnsi="Times New Roman"/>
          <w:noProof/>
          <w:sz w:val="24"/>
          <w:szCs w:val="24"/>
        </w:rPr>
        <w:fldChar w:fldCharType="begin"/>
      </w:r>
      <w:r w:rsidRPr="00775173">
        <w:rPr>
          <w:rFonts w:ascii="Times New Roman" w:hAnsi="Times New Roman"/>
          <w:noProof/>
          <w:sz w:val="24"/>
          <w:szCs w:val="24"/>
        </w:rPr>
        <w:instrText xml:space="preserve"> PAGEREF _Toc286154359 \h </w:instrText>
      </w:r>
      <w:r w:rsidR="00B0049F" w:rsidRPr="00775173">
        <w:rPr>
          <w:rFonts w:ascii="Times New Roman" w:hAnsi="Times New Roman"/>
          <w:noProof/>
          <w:sz w:val="24"/>
          <w:szCs w:val="24"/>
        </w:rPr>
      </w:r>
      <w:r w:rsidR="00B0049F" w:rsidRPr="00775173">
        <w:rPr>
          <w:rFonts w:ascii="Times New Roman" w:hAnsi="Times New Roman"/>
          <w:noProof/>
          <w:sz w:val="24"/>
          <w:szCs w:val="24"/>
        </w:rPr>
        <w:fldChar w:fldCharType="separate"/>
      </w:r>
      <w:r w:rsidR="00BB41E8">
        <w:rPr>
          <w:rFonts w:ascii="Times New Roman" w:hAnsi="Times New Roman"/>
          <w:noProof/>
          <w:sz w:val="24"/>
          <w:szCs w:val="24"/>
        </w:rPr>
        <w:t>7</w:t>
      </w:r>
      <w:r w:rsidR="00B0049F" w:rsidRPr="00775173">
        <w:rPr>
          <w:rFonts w:ascii="Times New Roman" w:hAnsi="Times New Roman"/>
          <w:noProof/>
          <w:sz w:val="24"/>
          <w:szCs w:val="24"/>
        </w:rPr>
        <w:fldChar w:fldCharType="end"/>
      </w:r>
    </w:p>
    <w:p w:rsidR="00775173" w:rsidRPr="00775173" w:rsidRDefault="00775173">
      <w:pPr>
        <w:pStyle w:val="TOC1"/>
        <w:tabs>
          <w:tab w:val="right" w:leader="dot" w:pos="9350"/>
        </w:tabs>
        <w:rPr>
          <w:rFonts w:ascii="Times New Roman" w:eastAsiaTheme="minorEastAsia" w:hAnsi="Times New Roman"/>
          <w:noProof/>
          <w:sz w:val="24"/>
          <w:szCs w:val="24"/>
        </w:rPr>
      </w:pPr>
      <w:r w:rsidRPr="00775173">
        <w:rPr>
          <w:rFonts w:ascii="Times New Roman" w:hAnsi="Times New Roman"/>
          <w:noProof/>
          <w:color w:val="000000" w:themeColor="text1"/>
          <w:sz w:val="24"/>
          <w:szCs w:val="24"/>
        </w:rPr>
        <w:t>The Commission</w:t>
      </w:r>
      <w:r w:rsidR="003064DF">
        <w:rPr>
          <w:rFonts w:ascii="Times New Roman" w:hAnsi="Times New Roman"/>
          <w:noProof/>
          <w:color w:val="000000" w:themeColor="text1"/>
          <w:sz w:val="24"/>
          <w:szCs w:val="24"/>
        </w:rPr>
        <w:t>'</w:t>
      </w:r>
      <w:r w:rsidRPr="00775173">
        <w:rPr>
          <w:rFonts w:ascii="Times New Roman" w:hAnsi="Times New Roman"/>
          <w:noProof/>
          <w:color w:val="000000" w:themeColor="text1"/>
          <w:sz w:val="24"/>
          <w:szCs w:val="24"/>
        </w:rPr>
        <w:t xml:space="preserve">s Approach To Certification Applications Was Reasonable </w:t>
      </w:r>
      <w:r w:rsidR="0040101B">
        <w:rPr>
          <w:rFonts w:ascii="Times New Roman" w:hAnsi="Times New Roman"/>
          <w:noProof/>
          <w:color w:val="000000" w:themeColor="text1"/>
          <w:sz w:val="24"/>
          <w:szCs w:val="24"/>
        </w:rPr>
        <w:t>A</w:t>
      </w:r>
      <w:r w:rsidRPr="00775173">
        <w:rPr>
          <w:rFonts w:ascii="Times New Roman" w:hAnsi="Times New Roman"/>
          <w:noProof/>
          <w:color w:val="000000" w:themeColor="text1"/>
          <w:sz w:val="24"/>
          <w:szCs w:val="24"/>
        </w:rPr>
        <w:t>nd Lawful</w:t>
      </w:r>
      <w:r w:rsidRPr="00775173">
        <w:rPr>
          <w:rFonts w:ascii="Times New Roman" w:hAnsi="Times New Roman"/>
          <w:noProof/>
          <w:sz w:val="24"/>
          <w:szCs w:val="24"/>
        </w:rPr>
        <w:tab/>
      </w:r>
      <w:r w:rsidR="00B0049F" w:rsidRPr="00775173">
        <w:rPr>
          <w:rFonts w:ascii="Times New Roman" w:hAnsi="Times New Roman"/>
          <w:noProof/>
          <w:sz w:val="24"/>
          <w:szCs w:val="24"/>
        </w:rPr>
        <w:fldChar w:fldCharType="begin"/>
      </w:r>
      <w:r w:rsidRPr="00775173">
        <w:rPr>
          <w:rFonts w:ascii="Times New Roman" w:hAnsi="Times New Roman"/>
          <w:noProof/>
          <w:sz w:val="24"/>
          <w:szCs w:val="24"/>
        </w:rPr>
        <w:instrText xml:space="preserve"> PAGEREF _Toc286154360 \h </w:instrText>
      </w:r>
      <w:r w:rsidR="00B0049F" w:rsidRPr="00775173">
        <w:rPr>
          <w:rFonts w:ascii="Times New Roman" w:hAnsi="Times New Roman"/>
          <w:noProof/>
          <w:sz w:val="24"/>
          <w:szCs w:val="24"/>
        </w:rPr>
      </w:r>
      <w:r w:rsidR="00B0049F" w:rsidRPr="00775173">
        <w:rPr>
          <w:rFonts w:ascii="Times New Roman" w:hAnsi="Times New Roman"/>
          <w:noProof/>
          <w:sz w:val="24"/>
          <w:szCs w:val="24"/>
        </w:rPr>
        <w:fldChar w:fldCharType="separate"/>
      </w:r>
      <w:r w:rsidR="00BB41E8">
        <w:rPr>
          <w:rFonts w:ascii="Times New Roman" w:hAnsi="Times New Roman"/>
          <w:noProof/>
          <w:sz w:val="24"/>
          <w:szCs w:val="24"/>
        </w:rPr>
        <w:t>7</w:t>
      </w:r>
      <w:r w:rsidR="00B0049F" w:rsidRPr="00775173">
        <w:rPr>
          <w:rFonts w:ascii="Times New Roman" w:hAnsi="Times New Roman"/>
          <w:noProof/>
          <w:sz w:val="24"/>
          <w:szCs w:val="24"/>
        </w:rPr>
        <w:fldChar w:fldCharType="end"/>
      </w:r>
    </w:p>
    <w:p w:rsidR="00775173" w:rsidRPr="00775173" w:rsidRDefault="00775173">
      <w:pPr>
        <w:pStyle w:val="TOC1"/>
        <w:tabs>
          <w:tab w:val="right" w:leader="dot" w:pos="9350"/>
        </w:tabs>
        <w:rPr>
          <w:rFonts w:ascii="Times New Roman" w:eastAsiaTheme="minorEastAsia" w:hAnsi="Times New Roman"/>
          <w:noProof/>
          <w:sz w:val="24"/>
          <w:szCs w:val="24"/>
        </w:rPr>
      </w:pPr>
      <w:r w:rsidRPr="00775173">
        <w:rPr>
          <w:rFonts w:ascii="Times New Roman" w:hAnsi="Times New Roman"/>
          <w:noProof/>
          <w:color w:val="000000" w:themeColor="text1"/>
          <w:sz w:val="24"/>
          <w:szCs w:val="24"/>
        </w:rPr>
        <w:t>Conclusion</w:t>
      </w:r>
      <w:r w:rsidRPr="00775173">
        <w:rPr>
          <w:rFonts w:ascii="Times New Roman" w:hAnsi="Times New Roman"/>
          <w:noProof/>
          <w:sz w:val="24"/>
          <w:szCs w:val="24"/>
        </w:rPr>
        <w:tab/>
      </w:r>
      <w:r w:rsidR="00B0049F" w:rsidRPr="00775173">
        <w:rPr>
          <w:rFonts w:ascii="Times New Roman" w:hAnsi="Times New Roman"/>
          <w:noProof/>
          <w:sz w:val="24"/>
          <w:szCs w:val="24"/>
        </w:rPr>
        <w:fldChar w:fldCharType="begin"/>
      </w:r>
      <w:r w:rsidRPr="00775173">
        <w:rPr>
          <w:rFonts w:ascii="Times New Roman" w:hAnsi="Times New Roman"/>
          <w:noProof/>
          <w:sz w:val="24"/>
          <w:szCs w:val="24"/>
        </w:rPr>
        <w:instrText xml:space="preserve"> PAGEREF _Toc286154361 \h </w:instrText>
      </w:r>
      <w:r w:rsidR="00B0049F" w:rsidRPr="00775173">
        <w:rPr>
          <w:rFonts w:ascii="Times New Roman" w:hAnsi="Times New Roman"/>
          <w:noProof/>
          <w:sz w:val="24"/>
          <w:szCs w:val="24"/>
        </w:rPr>
      </w:r>
      <w:r w:rsidR="00B0049F" w:rsidRPr="00775173">
        <w:rPr>
          <w:rFonts w:ascii="Times New Roman" w:hAnsi="Times New Roman"/>
          <w:noProof/>
          <w:sz w:val="24"/>
          <w:szCs w:val="24"/>
        </w:rPr>
        <w:fldChar w:fldCharType="separate"/>
      </w:r>
      <w:r w:rsidR="00BB41E8">
        <w:rPr>
          <w:rFonts w:ascii="Times New Roman" w:hAnsi="Times New Roman"/>
          <w:noProof/>
          <w:sz w:val="24"/>
          <w:szCs w:val="24"/>
        </w:rPr>
        <w:t>8</w:t>
      </w:r>
      <w:r w:rsidR="00B0049F" w:rsidRPr="00775173">
        <w:rPr>
          <w:rFonts w:ascii="Times New Roman" w:hAnsi="Times New Roman"/>
          <w:noProof/>
          <w:sz w:val="24"/>
          <w:szCs w:val="24"/>
        </w:rPr>
        <w:fldChar w:fldCharType="end"/>
      </w:r>
    </w:p>
    <w:p w:rsidR="00270D50" w:rsidRPr="00270D50" w:rsidRDefault="00B0049F" w:rsidP="00270D50">
      <w:pPr>
        <w:spacing w:after="0" w:line="240" w:lineRule="auto"/>
        <w:rPr>
          <w:rFonts w:ascii="Times New Roman" w:hAnsi="Times New Roman"/>
          <w:sz w:val="24"/>
          <w:szCs w:val="24"/>
        </w:rPr>
      </w:pPr>
      <w:r w:rsidRPr="00775173">
        <w:rPr>
          <w:rFonts w:ascii="Times New Roman" w:hAnsi="Times New Roman"/>
          <w:sz w:val="24"/>
          <w:szCs w:val="24"/>
        </w:rPr>
        <w:fldChar w:fldCharType="end"/>
      </w:r>
      <w:r w:rsidR="00270D50" w:rsidRPr="00270D50">
        <w:rPr>
          <w:rFonts w:ascii="Times New Roman" w:hAnsi="Times New Roman"/>
          <w:sz w:val="24"/>
          <w:szCs w:val="24"/>
        </w:rPr>
        <w:t>Certificate of Service</w:t>
      </w:r>
    </w:p>
    <w:p w:rsidR="00270D50" w:rsidRDefault="00270D50" w:rsidP="00270D50">
      <w:pPr>
        <w:spacing w:after="0" w:line="240" w:lineRule="auto"/>
        <w:rPr>
          <w:rFonts w:ascii="Times New Roman" w:hAnsi="Times New Roman"/>
          <w:sz w:val="24"/>
          <w:szCs w:val="24"/>
        </w:rPr>
      </w:pPr>
    </w:p>
    <w:p w:rsidR="00270D50" w:rsidRDefault="00270D50">
      <w:pPr>
        <w:spacing w:after="0" w:line="240" w:lineRule="auto"/>
        <w:rPr>
          <w:rFonts w:ascii="Times New Roman" w:hAnsi="Times New Roman"/>
          <w:sz w:val="24"/>
          <w:szCs w:val="24"/>
        </w:rPr>
      </w:pPr>
      <w:r>
        <w:rPr>
          <w:rFonts w:ascii="Times New Roman" w:hAnsi="Times New Roman"/>
          <w:sz w:val="24"/>
          <w:szCs w:val="24"/>
        </w:rPr>
        <w:br w:type="page"/>
      </w:r>
    </w:p>
    <w:p w:rsidR="00FF7BD7" w:rsidRDefault="00FF7BD7">
      <w:pPr>
        <w:spacing w:after="0" w:line="240" w:lineRule="auto"/>
        <w:rPr>
          <w:rFonts w:ascii="Times New Roman" w:hAnsi="Times New Roman"/>
          <w:sz w:val="24"/>
          <w:szCs w:val="24"/>
        </w:rPr>
      </w:pPr>
      <w:r>
        <w:rPr>
          <w:rFonts w:ascii="Times New Roman" w:hAnsi="Times New Roman"/>
          <w:sz w:val="24"/>
          <w:szCs w:val="24"/>
        </w:rPr>
        <w:lastRenderedPageBreak/>
        <w:t>_____________________________________________________________________________</w:t>
      </w:r>
    </w:p>
    <w:p w:rsidR="00FF7BD7" w:rsidRDefault="00FF7BD7">
      <w:pPr>
        <w:spacing w:after="0" w:line="240" w:lineRule="auto"/>
        <w:rPr>
          <w:rFonts w:ascii="Times New Roman" w:hAnsi="Times New Roman"/>
          <w:sz w:val="24"/>
          <w:szCs w:val="24"/>
        </w:rPr>
      </w:pPr>
    </w:p>
    <w:p w:rsidR="00BA3937" w:rsidRDefault="00FF7BD7" w:rsidP="0021781B">
      <w:pPr>
        <w:spacing w:after="0" w:line="240" w:lineRule="auto"/>
        <w:jc w:val="center"/>
        <w:rPr>
          <w:rFonts w:ascii="Times New Roman" w:hAnsi="Times New Roman"/>
          <w:sz w:val="24"/>
          <w:szCs w:val="24"/>
        </w:rPr>
      </w:pPr>
      <w:r>
        <w:rPr>
          <w:rFonts w:ascii="Times New Roman" w:hAnsi="Times New Roman"/>
          <w:sz w:val="24"/>
          <w:szCs w:val="24"/>
        </w:rPr>
        <w:t>THE AT&amp;T ENTITIES</w:t>
      </w:r>
      <w:r w:rsidR="003064DF">
        <w:rPr>
          <w:rFonts w:ascii="Times New Roman" w:hAnsi="Times New Roman"/>
          <w:sz w:val="24"/>
          <w:szCs w:val="24"/>
        </w:rPr>
        <w:t>'</w:t>
      </w:r>
      <w:r w:rsidR="00B06094">
        <w:rPr>
          <w:rFonts w:ascii="Times New Roman" w:hAnsi="Times New Roman"/>
          <w:sz w:val="24"/>
          <w:szCs w:val="24"/>
        </w:rPr>
        <w:t xml:space="preserve"> </w:t>
      </w:r>
      <w:r w:rsidR="00BA3937">
        <w:rPr>
          <w:rFonts w:ascii="Times New Roman" w:hAnsi="Times New Roman"/>
          <w:sz w:val="24"/>
          <w:szCs w:val="24"/>
        </w:rPr>
        <w:t>MEMORANDUM CONTRA THE</w:t>
      </w:r>
    </w:p>
    <w:p w:rsidR="00B06094" w:rsidRDefault="003040B8" w:rsidP="0021781B">
      <w:pPr>
        <w:spacing w:after="0" w:line="240" w:lineRule="auto"/>
        <w:jc w:val="center"/>
        <w:rPr>
          <w:rFonts w:ascii="Times New Roman" w:hAnsi="Times New Roman"/>
          <w:sz w:val="24"/>
          <w:szCs w:val="24"/>
        </w:rPr>
      </w:pPr>
      <w:r>
        <w:rPr>
          <w:rFonts w:ascii="Times New Roman" w:hAnsi="Times New Roman"/>
          <w:sz w:val="24"/>
          <w:szCs w:val="24"/>
        </w:rPr>
        <w:t>OPTC</w:t>
      </w:r>
      <w:r w:rsidR="003064DF">
        <w:rPr>
          <w:rFonts w:ascii="Times New Roman" w:hAnsi="Times New Roman"/>
          <w:sz w:val="24"/>
          <w:szCs w:val="24"/>
        </w:rPr>
        <w:t>'</w:t>
      </w:r>
      <w:r>
        <w:rPr>
          <w:rFonts w:ascii="Times New Roman" w:hAnsi="Times New Roman"/>
          <w:sz w:val="24"/>
          <w:szCs w:val="24"/>
        </w:rPr>
        <w:t xml:space="preserve">S </w:t>
      </w:r>
      <w:r w:rsidR="00B06094">
        <w:rPr>
          <w:rFonts w:ascii="Times New Roman" w:hAnsi="Times New Roman"/>
          <w:sz w:val="24"/>
          <w:szCs w:val="24"/>
        </w:rPr>
        <w:t>APPLICATION FOR REHEARING</w:t>
      </w:r>
    </w:p>
    <w:p w:rsidR="00FF7BD7" w:rsidRDefault="00FF7BD7">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BA3937" w:rsidRDefault="00BA3937" w:rsidP="00BA3937">
      <w:pPr>
        <w:pStyle w:val="Heading1"/>
        <w:rPr>
          <w:rFonts w:ascii="Times New Roman Bold" w:hAnsi="Times New Roman Bold"/>
          <w:color w:val="000000" w:themeColor="text1"/>
          <w:sz w:val="24"/>
          <w:szCs w:val="24"/>
        </w:rPr>
      </w:pPr>
      <w:bookmarkStart w:id="0" w:name="_Toc278741457"/>
      <w:bookmarkStart w:id="1" w:name="_Toc286154356"/>
      <w:r w:rsidRPr="00BA3937">
        <w:rPr>
          <w:rFonts w:ascii="Times New Roman Bold" w:hAnsi="Times New Roman Bold"/>
          <w:color w:val="000000" w:themeColor="text1"/>
          <w:sz w:val="24"/>
          <w:szCs w:val="24"/>
        </w:rPr>
        <w:t>Introduction</w:t>
      </w:r>
      <w:bookmarkEnd w:id="0"/>
      <w:bookmarkEnd w:id="1"/>
    </w:p>
    <w:p w:rsidR="00BA3937" w:rsidRPr="00BA3937" w:rsidRDefault="00BA3937" w:rsidP="00BA3937">
      <w:pPr>
        <w:rPr>
          <w:rFonts w:ascii="Times New Roman" w:hAnsi="Times New Roman"/>
          <w:sz w:val="24"/>
          <w:szCs w:val="24"/>
        </w:rPr>
      </w:pPr>
    </w:p>
    <w:p w:rsidR="0021781B" w:rsidRDefault="00B06094" w:rsidP="00BA3937">
      <w:pPr>
        <w:spacing w:after="0" w:line="480" w:lineRule="auto"/>
        <w:rPr>
          <w:rFonts w:ascii="Times New Roman" w:hAnsi="Times New Roman"/>
          <w:sz w:val="24"/>
          <w:szCs w:val="24"/>
        </w:rPr>
      </w:pPr>
      <w:r w:rsidRPr="00B06094">
        <w:rPr>
          <w:rFonts w:ascii="Times New Roman" w:hAnsi="Times New Roman"/>
          <w:sz w:val="24"/>
          <w:szCs w:val="24"/>
        </w:rPr>
        <w:tab/>
      </w:r>
      <w:r>
        <w:rPr>
          <w:rFonts w:ascii="Times New Roman" w:hAnsi="Times New Roman"/>
          <w:sz w:val="24"/>
          <w:szCs w:val="24"/>
        </w:rPr>
        <w:tab/>
        <w:t xml:space="preserve">The </w:t>
      </w:r>
      <w:r w:rsidRPr="00B06094">
        <w:rPr>
          <w:rFonts w:ascii="Times New Roman" w:hAnsi="Times New Roman"/>
          <w:sz w:val="24"/>
          <w:szCs w:val="24"/>
        </w:rPr>
        <w:t xml:space="preserve">AT&amp;T </w:t>
      </w:r>
      <w:r>
        <w:rPr>
          <w:rFonts w:ascii="Times New Roman" w:hAnsi="Times New Roman"/>
          <w:sz w:val="24"/>
          <w:szCs w:val="24"/>
        </w:rPr>
        <w:t>Entities</w:t>
      </w:r>
      <w:r w:rsidR="00FF2887">
        <w:rPr>
          <w:rStyle w:val="FootnoteReference"/>
          <w:rFonts w:ascii="Times New Roman" w:hAnsi="Times New Roman"/>
          <w:sz w:val="24"/>
          <w:szCs w:val="24"/>
        </w:rPr>
        <w:footnoteReference w:id="1"/>
      </w:r>
      <w:r w:rsidR="00F630EB">
        <w:rPr>
          <w:rFonts w:ascii="Times New Roman" w:hAnsi="Times New Roman"/>
          <w:sz w:val="24"/>
          <w:szCs w:val="24"/>
        </w:rPr>
        <w:t xml:space="preserve"> (</w:t>
      </w:r>
      <w:r w:rsidR="003064DF">
        <w:rPr>
          <w:rFonts w:ascii="Times New Roman" w:hAnsi="Times New Roman"/>
          <w:sz w:val="24"/>
          <w:szCs w:val="24"/>
        </w:rPr>
        <w:t>"</w:t>
      </w:r>
      <w:r w:rsidR="00F630EB">
        <w:rPr>
          <w:rFonts w:ascii="Times New Roman" w:hAnsi="Times New Roman"/>
          <w:sz w:val="24"/>
          <w:szCs w:val="24"/>
        </w:rPr>
        <w:t>AT&amp;T</w:t>
      </w:r>
      <w:r w:rsidR="003064DF">
        <w:rPr>
          <w:rFonts w:ascii="Times New Roman" w:hAnsi="Times New Roman"/>
          <w:sz w:val="24"/>
          <w:szCs w:val="24"/>
        </w:rPr>
        <w:t>"</w:t>
      </w:r>
      <w:r w:rsidR="00F630EB">
        <w:rPr>
          <w:rFonts w:ascii="Times New Roman" w:hAnsi="Times New Roman"/>
          <w:sz w:val="24"/>
          <w:szCs w:val="24"/>
        </w:rPr>
        <w:t>)</w:t>
      </w:r>
      <w:r w:rsidRPr="00B06094">
        <w:rPr>
          <w:rFonts w:ascii="Times New Roman" w:hAnsi="Times New Roman"/>
          <w:sz w:val="24"/>
          <w:szCs w:val="24"/>
        </w:rPr>
        <w:t xml:space="preserve">, by </w:t>
      </w:r>
      <w:r>
        <w:rPr>
          <w:rFonts w:ascii="Times New Roman" w:hAnsi="Times New Roman"/>
          <w:sz w:val="24"/>
          <w:szCs w:val="24"/>
        </w:rPr>
        <w:t>their</w:t>
      </w:r>
      <w:r w:rsidRPr="00B06094">
        <w:rPr>
          <w:rFonts w:ascii="Times New Roman" w:hAnsi="Times New Roman"/>
          <w:sz w:val="24"/>
          <w:szCs w:val="24"/>
        </w:rPr>
        <w:t xml:space="preserve"> undersigned counsel, and pursuant to Ohio Admin. Code § 4901-1-35</w:t>
      </w:r>
      <w:r w:rsidR="00BA3937">
        <w:rPr>
          <w:rFonts w:ascii="Times New Roman" w:hAnsi="Times New Roman"/>
          <w:sz w:val="24"/>
          <w:szCs w:val="24"/>
        </w:rPr>
        <w:t xml:space="preserve">(B), submit this memorandum contra the application for rehearing filed on </w:t>
      </w:r>
      <w:r w:rsidR="00081A8F">
        <w:rPr>
          <w:rFonts w:ascii="Times New Roman" w:hAnsi="Times New Roman"/>
          <w:sz w:val="24"/>
          <w:szCs w:val="24"/>
        </w:rPr>
        <w:t>February 18</w:t>
      </w:r>
      <w:r w:rsidR="006A20BF">
        <w:rPr>
          <w:rFonts w:ascii="Times New Roman" w:hAnsi="Times New Roman"/>
          <w:sz w:val="24"/>
          <w:szCs w:val="24"/>
        </w:rPr>
        <w:t>, 201</w:t>
      </w:r>
      <w:r w:rsidR="00081A8F">
        <w:rPr>
          <w:rFonts w:ascii="Times New Roman" w:hAnsi="Times New Roman"/>
          <w:sz w:val="24"/>
          <w:szCs w:val="24"/>
        </w:rPr>
        <w:t>1</w:t>
      </w:r>
      <w:r w:rsidR="006A20BF">
        <w:rPr>
          <w:rFonts w:ascii="Times New Roman" w:hAnsi="Times New Roman"/>
          <w:sz w:val="24"/>
          <w:szCs w:val="24"/>
        </w:rPr>
        <w:t xml:space="preserve"> by the Ohioans Protecting</w:t>
      </w:r>
      <w:r w:rsidR="00BE6520">
        <w:rPr>
          <w:rFonts w:ascii="Times New Roman" w:hAnsi="Times New Roman"/>
          <w:sz w:val="24"/>
          <w:szCs w:val="24"/>
        </w:rPr>
        <w:t xml:space="preserve"> Telephone Consumers (</w:t>
      </w:r>
      <w:r w:rsidR="003064DF">
        <w:rPr>
          <w:rFonts w:ascii="Times New Roman" w:hAnsi="Times New Roman"/>
          <w:sz w:val="24"/>
          <w:szCs w:val="24"/>
        </w:rPr>
        <w:t>"</w:t>
      </w:r>
      <w:r w:rsidR="00BE6520">
        <w:rPr>
          <w:rFonts w:ascii="Times New Roman" w:hAnsi="Times New Roman"/>
          <w:sz w:val="24"/>
          <w:szCs w:val="24"/>
        </w:rPr>
        <w:t>OPTC</w:t>
      </w:r>
      <w:r w:rsidR="003064DF">
        <w:rPr>
          <w:rFonts w:ascii="Times New Roman" w:hAnsi="Times New Roman"/>
          <w:sz w:val="24"/>
          <w:szCs w:val="24"/>
        </w:rPr>
        <w:t>"</w:t>
      </w:r>
      <w:r w:rsidR="00BE6520">
        <w:rPr>
          <w:rFonts w:ascii="Times New Roman" w:hAnsi="Times New Roman"/>
          <w:sz w:val="24"/>
          <w:szCs w:val="24"/>
        </w:rPr>
        <w:t>).</w:t>
      </w:r>
      <w:r w:rsidR="00BE6520">
        <w:rPr>
          <w:rStyle w:val="FootnoteReference"/>
          <w:rFonts w:ascii="Times New Roman" w:hAnsi="Times New Roman"/>
          <w:sz w:val="24"/>
          <w:szCs w:val="24"/>
        </w:rPr>
        <w:footnoteReference w:id="2"/>
      </w:r>
    </w:p>
    <w:p w:rsidR="006A20BF" w:rsidRDefault="006A20BF" w:rsidP="00BA3937">
      <w:pPr>
        <w:spacing w:after="0" w:line="480" w:lineRule="auto"/>
        <w:rPr>
          <w:rFonts w:ascii="Times New Roman" w:hAnsi="Times New Roman"/>
          <w:sz w:val="24"/>
          <w:szCs w:val="24"/>
        </w:rPr>
      </w:pPr>
    </w:p>
    <w:p w:rsidR="00081A8F" w:rsidRDefault="006A20BF" w:rsidP="00081A8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081A8F">
        <w:rPr>
          <w:rFonts w:ascii="Times New Roman" w:hAnsi="Times New Roman"/>
          <w:sz w:val="24"/>
          <w:szCs w:val="24"/>
        </w:rPr>
        <w:t>This is the third application for rehearing filed in this case by either the Office of the Ohio Consumers</w:t>
      </w:r>
      <w:r w:rsidR="003064DF">
        <w:rPr>
          <w:rFonts w:ascii="Times New Roman" w:hAnsi="Times New Roman"/>
          <w:sz w:val="24"/>
          <w:szCs w:val="24"/>
        </w:rPr>
        <w:t>'</w:t>
      </w:r>
      <w:r w:rsidR="00081A8F">
        <w:rPr>
          <w:rFonts w:ascii="Times New Roman" w:hAnsi="Times New Roman"/>
          <w:sz w:val="24"/>
          <w:szCs w:val="24"/>
        </w:rPr>
        <w:t xml:space="preserve"> Counsel (</w:t>
      </w:r>
      <w:r w:rsidR="003064DF">
        <w:rPr>
          <w:rFonts w:ascii="Times New Roman" w:hAnsi="Times New Roman"/>
          <w:sz w:val="24"/>
          <w:szCs w:val="24"/>
        </w:rPr>
        <w:t>"</w:t>
      </w:r>
      <w:r w:rsidR="00081A8F">
        <w:rPr>
          <w:rFonts w:ascii="Times New Roman" w:hAnsi="Times New Roman"/>
          <w:sz w:val="24"/>
          <w:szCs w:val="24"/>
        </w:rPr>
        <w:t>OCC</w:t>
      </w:r>
      <w:r w:rsidR="003064DF">
        <w:rPr>
          <w:rFonts w:ascii="Times New Roman" w:hAnsi="Times New Roman"/>
          <w:sz w:val="24"/>
          <w:szCs w:val="24"/>
        </w:rPr>
        <w:t>"</w:t>
      </w:r>
      <w:r w:rsidR="00081A8F">
        <w:rPr>
          <w:rFonts w:ascii="Times New Roman" w:hAnsi="Times New Roman"/>
          <w:sz w:val="24"/>
          <w:szCs w:val="24"/>
        </w:rPr>
        <w:t xml:space="preserve">) or the OPTC.  In this application for rehearing, </w:t>
      </w:r>
      <w:r>
        <w:rPr>
          <w:rFonts w:ascii="Times New Roman" w:hAnsi="Times New Roman"/>
          <w:sz w:val="24"/>
          <w:szCs w:val="24"/>
        </w:rPr>
        <w:t xml:space="preserve">OPTC claims that its </w:t>
      </w:r>
      <w:r w:rsidR="00BE6520">
        <w:rPr>
          <w:rFonts w:ascii="Times New Roman" w:hAnsi="Times New Roman"/>
          <w:sz w:val="24"/>
          <w:szCs w:val="24"/>
        </w:rPr>
        <w:t>four grounds for rehearing</w:t>
      </w:r>
      <w:r>
        <w:rPr>
          <w:rFonts w:ascii="Times New Roman" w:hAnsi="Times New Roman"/>
          <w:sz w:val="24"/>
          <w:szCs w:val="24"/>
        </w:rPr>
        <w:t xml:space="preserve"> are geared toward ensuring that </w:t>
      </w:r>
      <w:r w:rsidR="003064DF">
        <w:rPr>
          <w:rFonts w:ascii="Times New Roman" w:hAnsi="Times New Roman"/>
          <w:sz w:val="24"/>
          <w:szCs w:val="24"/>
        </w:rPr>
        <w:t>"</w:t>
      </w:r>
      <w:r>
        <w:rPr>
          <w:rFonts w:ascii="Times New Roman" w:hAnsi="Times New Roman"/>
          <w:sz w:val="24"/>
          <w:szCs w:val="24"/>
        </w:rPr>
        <w:t>residential consumer</w:t>
      </w:r>
      <w:r w:rsidR="001D7863">
        <w:rPr>
          <w:rFonts w:ascii="Times New Roman" w:hAnsi="Times New Roman"/>
          <w:sz w:val="24"/>
          <w:szCs w:val="24"/>
        </w:rPr>
        <w:t>s</w:t>
      </w:r>
      <w:r>
        <w:rPr>
          <w:rFonts w:ascii="Times New Roman" w:hAnsi="Times New Roman"/>
          <w:sz w:val="24"/>
          <w:szCs w:val="24"/>
        </w:rPr>
        <w:t xml:space="preserve"> receive adequate service at reasonable rates.</w:t>
      </w:r>
      <w:r w:rsidR="003064DF">
        <w:rPr>
          <w:rFonts w:ascii="Times New Roman" w:hAnsi="Times New Roman"/>
          <w:sz w:val="24"/>
          <w:szCs w:val="24"/>
        </w:rPr>
        <w:t>"</w:t>
      </w:r>
      <w:r>
        <w:rPr>
          <w:rFonts w:ascii="Times New Roman" w:hAnsi="Times New Roman"/>
          <w:sz w:val="24"/>
          <w:szCs w:val="24"/>
        </w:rPr>
        <w:t xml:space="preserve"> </w:t>
      </w:r>
      <w:r w:rsidR="009A081E">
        <w:rPr>
          <w:rFonts w:ascii="Times New Roman" w:hAnsi="Times New Roman"/>
          <w:sz w:val="24"/>
          <w:szCs w:val="24"/>
        </w:rPr>
        <w:t xml:space="preserve"> </w:t>
      </w:r>
      <w:r>
        <w:rPr>
          <w:rFonts w:ascii="Times New Roman" w:hAnsi="Times New Roman"/>
          <w:sz w:val="24"/>
          <w:szCs w:val="24"/>
        </w:rPr>
        <w:t xml:space="preserve">OPTC </w:t>
      </w:r>
      <w:r w:rsidR="00153AFB">
        <w:rPr>
          <w:rFonts w:ascii="Times New Roman" w:hAnsi="Times New Roman"/>
          <w:sz w:val="24"/>
          <w:szCs w:val="24"/>
        </w:rPr>
        <w:t>Application</w:t>
      </w:r>
      <w:r>
        <w:rPr>
          <w:rFonts w:ascii="Times New Roman" w:hAnsi="Times New Roman"/>
          <w:sz w:val="24"/>
          <w:szCs w:val="24"/>
        </w:rPr>
        <w:t>, p. 1.  But its suggestions cannot be judged by some ethereal test; they must be judged according to what the Commission</w:t>
      </w:r>
      <w:r w:rsidR="003064DF">
        <w:rPr>
          <w:rFonts w:ascii="Times New Roman" w:hAnsi="Times New Roman"/>
          <w:sz w:val="24"/>
          <w:szCs w:val="24"/>
        </w:rPr>
        <w:t>'</w:t>
      </w:r>
      <w:r>
        <w:rPr>
          <w:rFonts w:ascii="Times New Roman" w:hAnsi="Times New Roman"/>
          <w:sz w:val="24"/>
          <w:szCs w:val="24"/>
        </w:rPr>
        <w:t>s limited authority under Sub. S. B. 162 directs or allows</w:t>
      </w:r>
      <w:r w:rsidR="00081A8F">
        <w:rPr>
          <w:rFonts w:ascii="Times New Roman" w:hAnsi="Times New Roman"/>
          <w:sz w:val="24"/>
          <w:szCs w:val="24"/>
        </w:rPr>
        <w:t xml:space="preserve"> and what common sense and reasonable deference to the management prerogatives of the Commission and its Staff dictate</w:t>
      </w:r>
      <w:r>
        <w:rPr>
          <w:rFonts w:ascii="Times New Roman" w:hAnsi="Times New Roman"/>
          <w:sz w:val="24"/>
          <w:szCs w:val="24"/>
        </w:rPr>
        <w:t>.  Measured by the proper test, each of the OPTC</w:t>
      </w:r>
      <w:r w:rsidR="003064DF">
        <w:rPr>
          <w:rFonts w:ascii="Times New Roman" w:hAnsi="Times New Roman"/>
          <w:sz w:val="24"/>
          <w:szCs w:val="24"/>
        </w:rPr>
        <w:t>'</w:t>
      </w:r>
      <w:r w:rsidR="00BE6520">
        <w:rPr>
          <w:rFonts w:ascii="Times New Roman" w:hAnsi="Times New Roman"/>
          <w:sz w:val="24"/>
          <w:szCs w:val="24"/>
        </w:rPr>
        <w:t>s</w:t>
      </w:r>
      <w:r>
        <w:rPr>
          <w:rFonts w:ascii="Times New Roman" w:hAnsi="Times New Roman"/>
          <w:sz w:val="24"/>
          <w:szCs w:val="24"/>
        </w:rPr>
        <w:t xml:space="preserve"> </w:t>
      </w:r>
      <w:r w:rsidR="00BE6520">
        <w:rPr>
          <w:rFonts w:ascii="Times New Roman" w:hAnsi="Times New Roman"/>
          <w:sz w:val="24"/>
          <w:szCs w:val="24"/>
        </w:rPr>
        <w:t xml:space="preserve">four grounds for rehearing </w:t>
      </w:r>
      <w:r>
        <w:rPr>
          <w:rFonts w:ascii="Times New Roman" w:hAnsi="Times New Roman"/>
          <w:sz w:val="24"/>
          <w:szCs w:val="24"/>
        </w:rPr>
        <w:t>fails and its suggestions cannot and should not be adopted by the Commission on rehearing.</w:t>
      </w:r>
      <w:r w:rsidR="00081A8F">
        <w:rPr>
          <w:rFonts w:ascii="Times New Roman" w:hAnsi="Times New Roman"/>
          <w:sz w:val="24"/>
          <w:szCs w:val="24"/>
        </w:rPr>
        <w:t xml:space="preserve">  In many respects, OPTC rehashes its previously </w:t>
      </w:r>
      <w:r w:rsidR="00153AFB">
        <w:rPr>
          <w:rFonts w:ascii="Times New Roman" w:hAnsi="Times New Roman"/>
          <w:sz w:val="24"/>
          <w:szCs w:val="24"/>
        </w:rPr>
        <w:t>articulated positions, which find no support in the law or in good public policy.</w:t>
      </w:r>
    </w:p>
    <w:p w:rsidR="00081A8F" w:rsidRDefault="00081A8F" w:rsidP="00081A8F">
      <w:pPr>
        <w:spacing w:after="0" w:line="480" w:lineRule="auto"/>
        <w:rPr>
          <w:rFonts w:ascii="Times New Roman" w:hAnsi="Times New Roman"/>
          <w:sz w:val="24"/>
          <w:szCs w:val="24"/>
        </w:rPr>
      </w:pPr>
    </w:p>
    <w:p w:rsidR="00081A8F" w:rsidRDefault="00081A8F" w:rsidP="00081A8F">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8A7967">
        <w:rPr>
          <w:rFonts w:ascii="Times New Roman" w:hAnsi="Times New Roman"/>
          <w:sz w:val="24"/>
          <w:szCs w:val="24"/>
        </w:rPr>
        <w:t>The OPTC is intent on over-regulating the process of regulatory reform</w:t>
      </w:r>
      <w:r w:rsidR="003040B8">
        <w:rPr>
          <w:rFonts w:ascii="Times New Roman" w:hAnsi="Times New Roman"/>
          <w:sz w:val="24"/>
          <w:szCs w:val="24"/>
        </w:rPr>
        <w:t xml:space="preserve"> that was</w:t>
      </w:r>
      <w:r w:rsidR="008A7967">
        <w:rPr>
          <w:rFonts w:ascii="Times New Roman" w:hAnsi="Times New Roman"/>
          <w:sz w:val="24"/>
          <w:szCs w:val="24"/>
        </w:rPr>
        <w:t xml:space="preserve"> mandated by Sub. S. B. 162.</w:t>
      </w:r>
      <w:r w:rsidR="00726577">
        <w:rPr>
          <w:rFonts w:ascii="Times New Roman" w:hAnsi="Times New Roman"/>
          <w:sz w:val="24"/>
          <w:szCs w:val="24"/>
        </w:rPr>
        <w:t xml:space="preserve">  OPTC would probably like to rewrite some provisions of the new law to its liking, but it is too late for that.  </w:t>
      </w:r>
      <w:r w:rsidR="00AC3737">
        <w:rPr>
          <w:rFonts w:ascii="Times New Roman" w:hAnsi="Times New Roman"/>
          <w:sz w:val="24"/>
          <w:szCs w:val="24"/>
        </w:rPr>
        <w:t>Because of this,</w:t>
      </w:r>
      <w:r w:rsidR="00726577">
        <w:rPr>
          <w:rFonts w:ascii="Times New Roman" w:hAnsi="Times New Roman"/>
          <w:sz w:val="24"/>
          <w:szCs w:val="24"/>
        </w:rPr>
        <w:t xml:space="preserve"> i</w:t>
      </w:r>
      <w:r w:rsidR="00AC3737">
        <w:rPr>
          <w:rFonts w:ascii="Times New Roman" w:hAnsi="Times New Roman"/>
          <w:sz w:val="24"/>
          <w:szCs w:val="24"/>
        </w:rPr>
        <w:t>t</w:t>
      </w:r>
      <w:r w:rsidR="00726577">
        <w:rPr>
          <w:rFonts w:ascii="Times New Roman" w:hAnsi="Times New Roman"/>
          <w:sz w:val="24"/>
          <w:szCs w:val="24"/>
        </w:rPr>
        <w:t xml:space="preserve"> seizes on several minor issues, making mountains out of molehills, and advocates complicating - - and necessarily delaying - - the needed regulatory reforms.</w:t>
      </w:r>
      <w:r w:rsidR="00AC3737">
        <w:rPr>
          <w:rFonts w:ascii="Times New Roman" w:hAnsi="Times New Roman"/>
          <w:sz w:val="24"/>
          <w:szCs w:val="24"/>
        </w:rPr>
        <w:t xml:space="preserve">  It speaks volumes that OPTC</w:t>
      </w:r>
      <w:r w:rsidR="003064DF">
        <w:rPr>
          <w:rFonts w:ascii="Times New Roman" w:hAnsi="Times New Roman"/>
          <w:sz w:val="24"/>
          <w:szCs w:val="24"/>
        </w:rPr>
        <w:t>'</w:t>
      </w:r>
      <w:r w:rsidR="00AC3737">
        <w:rPr>
          <w:rFonts w:ascii="Times New Roman" w:hAnsi="Times New Roman"/>
          <w:sz w:val="24"/>
          <w:szCs w:val="24"/>
        </w:rPr>
        <w:t>s 18-page application for rehearing is directed at an Entry that was only five pages long, with several attachments.</w:t>
      </w:r>
      <w:r w:rsidR="0040758B">
        <w:rPr>
          <w:rFonts w:ascii="Times New Roman" w:hAnsi="Times New Roman"/>
          <w:sz w:val="24"/>
          <w:szCs w:val="24"/>
        </w:rPr>
        <w:t xml:space="preserve">  Instructively, OPTC itself acknowledges the </w:t>
      </w:r>
      <w:r w:rsidR="003064DF">
        <w:rPr>
          <w:rFonts w:ascii="Times New Roman" w:hAnsi="Times New Roman"/>
          <w:sz w:val="24"/>
          <w:szCs w:val="24"/>
        </w:rPr>
        <w:t>"</w:t>
      </w:r>
      <w:r w:rsidR="0040758B">
        <w:rPr>
          <w:rFonts w:ascii="Times New Roman" w:hAnsi="Times New Roman"/>
          <w:sz w:val="24"/>
          <w:szCs w:val="24"/>
        </w:rPr>
        <w:t>hypertechnical</w:t>
      </w:r>
      <w:r w:rsidR="003064DF">
        <w:rPr>
          <w:rFonts w:ascii="Times New Roman" w:hAnsi="Times New Roman"/>
          <w:sz w:val="24"/>
          <w:szCs w:val="24"/>
        </w:rPr>
        <w:t>"</w:t>
      </w:r>
      <w:r w:rsidR="0040758B">
        <w:rPr>
          <w:rFonts w:ascii="Times New Roman" w:hAnsi="Times New Roman"/>
          <w:sz w:val="24"/>
          <w:szCs w:val="24"/>
        </w:rPr>
        <w:t xml:space="preserve"> nature of some of its criticisms.  OPTC Memo, p. 8, note 18.</w:t>
      </w:r>
    </w:p>
    <w:p w:rsidR="00726577" w:rsidRDefault="00726577" w:rsidP="00081A8F">
      <w:pPr>
        <w:spacing w:after="0" w:line="480" w:lineRule="auto"/>
        <w:rPr>
          <w:rFonts w:ascii="Times New Roman" w:hAnsi="Times New Roman"/>
          <w:sz w:val="24"/>
          <w:szCs w:val="24"/>
        </w:rPr>
      </w:pPr>
    </w:p>
    <w:p w:rsidR="00726577" w:rsidRPr="00726577" w:rsidRDefault="00726577" w:rsidP="00726577">
      <w:pPr>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As part of its nostalgic look at the past, OPTC </w:t>
      </w:r>
      <w:r w:rsidRPr="00726577">
        <w:rPr>
          <w:rFonts w:ascii="Times New Roman" w:hAnsi="Times New Roman"/>
          <w:sz w:val="24"/>
          <w:szCs w:val="24"/>
        </w:rPr>
        <w:t xml:space="preserve">asks the Commission to </w:t>
      </w:r>
      <w:r w:rsidR="003064DF">
        <w:rPr>
          <w:rFonts w:ascii="Times New Roman" w:hAnsi="Times New Roman"/>
          <w:sz w:val="24"/>
          <w:szCs w:val="24"/>
        </w:rPr>
        <w:t>"</w:t>
      </w:r>
      <w:r w:rsidRPr="00726577">
        <w:rPr>
          <w:rFonts w:ascii="Times New Roman" w:hAnsi="Times New Roman"/>
          <w:sz w:val="24"/>
          <w:szCs w:val="24"/>
        </w:rPr>
        <w:t>abrogate</w:t>
      </w:r>
      <w:r w:rsidR="003064DF">
        <w:rPr>
          <w:rFonts w:ascii="Times New Roman" w:hAnsi="Times New Roman"/>
          <w:sz w:val="24"/>
          <w:szCs w:val="24"/>
        </w:rPr>
        <w:t>"</w:t>
      </w:r>
      <w:r w:rsidRPr="00726577">
        <w:rPr>
          <w:rFonts w:ascii="Times New Roman" w:hAnsi="Times New Roman"/>
          <w:sz w:val="24"/>
          <w:szCs w:val="24"/>
        </w:rPr>
        <w:t xml:space="preserve"> </w:t>
      </w:r>
      <w:r>
        <w:rPr>
          <w:rFonts w:ascii="Times New Roman" w:hAnsi="Times New Roman"/>
          <w:sz w:val="24"/>
          <w:szCs w:val="24"/>
        </w:rPr>
        <w:t>its January 19, 2011 Entry.</w:t>
      </w:r>
      <w:r w:rsidRPr="00726577">
        <w:rPr>
          <w:rFonts w:ascii="Times New Roman" w:hAnsi="Times New Roman"/>
          <w:sz w:val="24"/>
          <w:szCs w:val="24"/>
        </w:rPr>
        <w:t xml:space="preserve">  O</w:t>
      </w:r>
      <w:r>
        <w:rPr>
          <w:rFonts w:ascii="Times New Roman" w:hAnsi="Times New Roman"/>
          <w:sz w:val="24"/>
          <w:szCs w:val="24"/>
        </w:rPr>
        <w:t>PTC</w:t>
      </w:r>
      <w:r w:rsidRPr="00726577">
        <w:rPr>
          <w:rFonts w:ascii="Times New Roman" w:hAnsi="Times New Roman"/>
          <w:sz w:val="24"/>
          <w:szCs w:val="24"/>
        </w:rPr>
        <w:t xml:space="preserve"> App., p. </w:t>
      </w:r>
      <w:r>
        <w:rPr>
          <w:rFonts w:ascii="Times New Roman" w:hAnsi="Times New Roman"/>
          <w:sz w:val="24"/>
          <w:szCs w:val="24"/>
        </w:rPr>
        <w:t>4</w:t>
      </w:r>
      <w:r w:rsidRPr="00726577">
        <w:rPr>
          <w:rFonts w:ascii="Times New Roman" w:hAnsi="Times New Roman"/>
          <w:sz w:val="24"/>
          <w:szCs w:val="24"/>
        </w:rPr>
        <w:t>; Memo, p</w:t>
      </w:r>
      <w:r>
        <w:rPr>
          <w:rFonts w:ascii="Times New Roman" w:hAnsi="Times New Roman"/>
          <w:sz w:val="24"/>
          <w:szCs w:val="24"/>
        </w:rPr>
        <w:t>p</w:t>
      </w:r>
      <w:r w:rsidRPr="00726577">
        <w:rPr>
          <w:rFonts w:ascii="Times New Roman" w:hAnsi="Times New Roman"/>
          <w:sz w:val="24"/>
          <w:szCs w:val="24"/>
        </w:rPr>
        <w:t xml:space="preserve">. </w:t>
      </w:r>
      <w:r>
        <w:rPr>
          <w:rFonts w:ascii="Times New Roman" w:hAnsi="Times New Roman"/>
          <w:sz w:val="24"/>
          <w:szCs w:val="24"/>
        </w:rPr>
        <w:t>3, 16</w:t>
      </w:r>
      <w:r w:rsidRPr="00726577">
        <w:rPr>
          <w:rFonts w:ascii="Times New Roman" w:hAnsi="Times New Roman"/>
          <w:sz w:val="24"/>
          <w:szCs w:val="24"/>
        </w:rPr>
        <w:t xml:space="preserve">.  </w:t>
      </w:r>
      <w:r>
        <w:rPr>
          <w:rFonts w:ascii="Times New Roman" w:hAnsi="Times New Roman"/>
          <w:sz w:val="24"/>
          <w:szCs w:val="24"/>
        </w:rPr>
        <w:t>I</w:t>
      </w:r>
      <w:r w:rsidRPr="00726577">
        <w:rPr>
          <w:rFonts w:ascii="Times New Roman" w:hAnsi="Times New Roman"/>
          <w:sz w:val="24"/>
          <w:szCs w:val="24"/>
        </w:rPr>
        <w:t>t is curious that O</w:t>
      </w:r>
      <w:r>
        <w:rPr>
          <w:rFonts w:ascii="Times New Roman" w:hAnsi="Times New Roman"/>
          <w:sz w:val="24"/>
          <w:szCs w:val="24"/>
        </w:rPr>
        <w:t xml:space="preserve">PTC </w:t>
      </w:r>
      <w:r w:rsidRPr="00726577">
        <w:rPr>
          <w:rFonts w:ascii="Times New Roman" w:hAnsi="Times New Roman"/>
          <w:sz w:val="24"/>
          <w:szCs w:val="24"/>
        </w:rPr>
        <w:t xml:space="preserve">would use the term </w:t>
      </w:r>
      <w:r w:rsidR="003064DF">
        <w:rPr>
          <w:rFonts w:ascii="Times New Roman" w:hAnsi="Times New Roman"/>
          <w:sz w:val="24"/>
          <w:szCs w:val="24"/>
        </w:rPr>
        <w:t>"</w:t>
      </w:r>
      <w:r w:rsidRPr="00726577">
        <w:rPr>
          <w:rFonts w:ascii="Times New Roman" w:hAnsi="Times New Roman"/>
          <w:sz w:val="24"/>
          <w:szCs w:val="24"/>
        </w:rPr>
        <w:t>abrogate</w:t>
      </w:r>
      <w:r w:rsidR="003064DF">
        <w:rPr>
          <w:rFonts w:ascii="Times New Roman" w:hAnsi="Times New Roman"/>
          <w:sz w:val="24"/>
          <w:szCs w:val="24"/>
        </w:rPr>
        <w:t>"</w:t>
      </w:r>
      <w:r w:rsidRPr="00726577">
        <w:rPr>
          <w:rFonts w:ascii="Times New Roman" w:hAnsi="Times New Roman"/>
          <w:sz w:val="24"/>
          <w:szCs w:val="24"/>
        </w:rPr>
        <w:t xml:space="preserve"> in this regard.  Former R. C. § 4927.03 gave the Commission the power to </w:t>
      </w:r>
      <w:r w:rsidR="003064DF">
        <w:rPr>
          <w:rFonts w:ascii="Times New Roman" w:hAnsi="Times New Roman"/>
          <w:sz w:val="24"/>
          <w:szCs w:val="24"/>
        </w:rPr>
        <w:t>"</w:t>
      </w:r>
      <w:r w:rsidRPr="00726577">
        <w:rPr>
          <w:rFonts w:ascii="Times New Roman" w:hAnsi="Times New Roman"/>
          <w:sz w:val="24"/>
          <w:szCs w:val="24"/>
        </w:rPr>
        <w:t>abrogate</w:t>
      </w:r>
      <w:r w:rsidR="003064DF">
        <w:rPr>
          <w:rFonts w:ascii="Times New Roman" w:hAnsi="Times New Roman"/>
          <w:sz w:val="24"/>
          <w:szCs w:val="24"/>
        </w:rPr>
        <w:t>"</w:t>
      </w:r>
      <w:r w:rsidRPr="00726577">
        <w:rPr>
          <w:rFonts w:ascii="Times New Roman" w:hAnsi="Times New Roman"/>
          <w:sz w:val="24"/>
          <w:szCs w:val="24"/>
        </w:rPr>
        <w:t xml:space="preserve"> certain of its prior alternative regulation orders.</w:t>
      </w:r>
      <w:r w:rsidRPr="00726577">
        <w:rPr>
          <w:rStyle w:val="FootnoteReference"/>
          <w:rFonts w:ascii="Times New Roman" w:hAnsi="Times New Roman"/>
          <w:sz w:val="24"/>
          <w:szCs w:val="24"/>
        </w:rPr>
        <w:footnoteReference w:id="3"/>
      </w:r>
      <w:r w:rsidRPr="00726577">
        <w:rPr>
          <w:rFonts w:ascii="Times New Roman" w:hAnsi="Times New Roman"/>
          <w:sz w:val="24"/>
          <w:szCs w:val="24"/>
        </w:rPr>
        <w:t xml:space="preserve">  </w:t>
      </w:r>
      <w:r>
        <w:rPr>
          <w:rFonts w:ascii="Times New Roman" w:hAnsi="Times New Roman"/>
          <w:sz w:val="24"/>
          <w:szCs w:val="24"/>
        </w:rPr>
        <w:t xml:space="preserve">While the rehearing process has not changed, this specific power of </w:t>
      </w:r>
      <w:r w:rsidR="003064DF">
        <w:rPr>
          <w:rFonts w:ascii="Times New Roman" w:hAnsi="Times New Roman"/>
          <w:sz w:val="24"/>
          <w:szCs w:val="24"/>
        </w:rPr>
        <w:t>"</w:t>
      </w:r>
      <w:r>
        <w:rPr>
          <w:rFonts w:ascii="Times New Roman" w:hAnsi="Times New Roman"/>
          <w:sz w:val="24"/>
          <w:szCs w:val="24"/>
        </w:rPr>
        <w:t>abrogation</w:t>
      </w:r>
      <w:r w:rsidR="003064DF">
        <w:rPr>
          <w:rFonts w:ascii="Times New Roman" w:hAnsi="Times New Roman"/>
          <w:sz w:val="24"/>
          <w:szCs w:val="24"/>
        </w:rPr>
        <w:t>"</w:t>
      </w:r>
      <w:r>
        <w:rPr>
          <w:rFonts w:ascii="Times New Roman" w:hAnsi="Times New Roman"/>
          <w:sz w:val="24"/>
          <w:szCs w:val="24"/>
        </w:rPr>
        <w:t xml:space="preserve"> was repealed.  </w:t>
      </w:r>
      <w:r w:rsidR="00AE4F98">
        <w:rPr>
          <w:rFonts w:ascii="Times New Roman" w:hAnsi="Times New Roman"/>
          <w:sz w:val="24"/>
          <w:szCs w:val="24"/>
        </w:rPr>
        <w:t>The Commission can certainly change its mind on rehearing, if it properly justifies such a change.  But nothing that OPTC offers here would form a proper basis for the Commission to change its mind.</w:t>
      </w:r>
    </w:p>
    <w:p w:rsidR="00726577" w:rsidRDefault="00726577" w:rsidP="00081A8F">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OPTC correctly cites R. C. § 4905.30, as amended by Sub. S. B. 162, effective September 13, 2010, </w:t>
      </w:r>
      <w:r w:rsidR="00AE4F98">
        <w:rPr>
          <w:rFonts w:ascii="Times New Roman" w:hAnsi="Times New Roman"/>
          <w:sz w:val="24"/>
          <w:szCs w:val="24"/>
        </w:rPr>
        <w:t>which in conju</w:t>
      </w:r>
      <w:r w:rsidR="00DE29E0">
        <w:rPr>
          <w:rFonts w:ascii="Times New Roman" w:hAnsi="Times New Roman"/>
          <w:sz w:val="24"/>
          <w:szCs w:val="24"/>
        </w:rPr>
        <w:t>n</w:t>
      </w:r>
      <w:r w:rsidR="00AE4F98">
        <w:rPr>
          <w:rFonts w:ascii="Times New Roman" w:hAnsi="Times New Roman"/>
          <w:sz w:val="24"/>
          <w:szCs w:val="24"/>
        </w:rPr>
        <w:t>ction with R. C. § 4927.03(E), forms</w:t>
      </w:r>
      <w:r>
        <w:rPr>
          <w:rFonts w:ascii="Times New Roman" w:hAnsi="Times New Roman"/>
          <w:sz w:val="24"/>
          <w:szCs w:val="24"/>
        </w:rPr>
        <w:t xml:space="preserve"> the basis for the detariffing ordered by the Commission.  OPTC Memo, p. 2.  But despite this clear statutory authority, OPTC quibbles with the means the Commission chose to accomplish detariffing.  Such quibbling does not rise to the level of </w:t>
      </w:r>
      <w:r w:rsidR="003064DF">
        <w:rPr>
          <w:rFonts w:ascii="Times New Roman" w:hAnsi="Times New Roman"/>
          <w:sz w:val="24"/>
          <w:szCs w:val="24"/>
        </w:rPr>
        <w:t>"</w:t>
      </w:r>
      <w:r>
        <w:rPr>
          <w:rFonts w:ascii="Times New Roman" w:hAnsi="Times New Roman"/>
          <w:sz w:val="24"/>
          <w:szCs w:val="24"/>
        </w:rPr>
        <w:t>unreasonable or unlawful</w:t>
      </w:r>
      <w:r w:rsidR="003064DF">
        <w:rPr>
          <w:rFonts w:ascii="Times New Roman" w:hAnsi="Times New Roman"/>
          <w:sz w:val="24"/>
          <w:szCs w:val="24"/>
        </w:rPr>
        <w:t>"</w:t>
      </w:r>
      <w:r>
        <w:rPr>
          <w:rFonts w:ascii="Times New Roman" w:hAnsi="Times New Roman"/>
          <w:sz w:val="24"/>
          <w:szCs w:val="24"/>
        </w:rPr>
        <w:t xml:space="preserve"> necessary to support an application for rehearing under the statute.</w:t>
      </w:r>
    </w:p>
    <w:p w:rsidR="00726577" w:rsidRDefault="00726577" w:rsidP="00081A8F">
      <w:pPr>
        <w:spacing w:after="0" w:line="480" w:lineRule="auto"/>
        <w:rPr>
          <w:rFonts w:ascii="Times New Roman" w:hAnsi="Times New Roman"/>
          <w:sz w:val="24"/>
          <w:szCs w:val="24"/>
        </w:rPr>
      </w:pPr>
    </w:p>
    <w:p w:rsidR="005C42B2" w:rsidRDefault="005C42B2" w:rsidP="00081A8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 asks why the Commission has not </w:t>
      </w:r>
      <w:r w:rsidR="003064DF">
        <w:rPr>
          <w:rFonts w:ascii="Times New Roman" w:hAnsi="Times New Roman"/>
          <w:sz w:val="24"/>
          <w:szCs w:val="24"/>
        </w:rPr>
        <w:t>"</w:t>
      </w:r>
      <w:r>
        <w:rPr>
          <w:rFonts w:ascii="Times New Roman" w:hAnsi="Times New Roman"/>
          <w:sz w:val="24"/>
          <w:szCs w:val="24"/>
        </w:rPr>
        <w:t>explore[d] the implications of the change</w:t>
      </w:r>
      <w:r w:rsidR="003064DF">
        <w:rPr>
          <w:rFonts w:ascii="Times New Roman" w:hAnsi="Times New Roman"/>
          <w:sz w:val="24"/>
          <w:szCs w:val="24"/>
        </w:rPr>
        <w:t>"</w:t>
      </w:r>
      <w:r>
        <w:rPr>
          <w:rFonts w:ascii="Times New Roman" w:hAnsi="Times New Roman"/>
          <w:sz w:val="24"/>
          <w:szCs w:val="24"/>
        </w:rPr>
        <w:t xml:space="preserve"> in the customer/utility relationship.  </w:t>
      </w:r>
      <w:r w:rsidR="00D503E6">
        <w:rPr>
          <w:rFonts w:ascii="Times New Roman" w:hAnsi="Times New Roman"/>
          <w:sz w:val="24"/>
          <w:szCs w:val="24"/>
        </w:rPr>
        <w:t xml:space="preserve">OPTC Memo, p. 3.  </w:t>
      </w:r>
      <w:r>
        <w:rPr>
          <w:rFonts w:ascii="Times New Roman" w:hAnsi="Times New Roman"/>
          <w:sz w:val="24"/>
          <w:szCs w:val="24"/>
        </w:rPr>
        <w:t xml:space="preserve">To respond with a question, </w:t>
      </w:r>
      <w:r w:rsidR="003064DF">
        <w:rPr>
          <w:rFonts w:ascii="Times New Roman" w:hAnsi="Times New Roman"/>
          <w:sz w:val="24"/>
          <w:szCs w:val="24"/>
        </w:rPr>
        <w:t>"</w:t>
      </w:r>
      <w:r>
        <w:rPr>
          <w:rFonts w:ascii="Times New Roman" w:hAnsi="Times New Roman"/>
          <w:sz w:val="24"/>
          <w:szCs w:val="24"/>
        </w:rPr>
        <w:t>Why should the Commission do this when it has been given clear direction by the Ohio General Assembly?</w:t>
      </w:r>
      <w:r w:rsidR="003064DF">
        <w:rPr>
          <w:rFonts w:ascii="Times New Roman" w:hAnsi="Times New Roman"/>
          <w:sz w:val="24"/>
          <w:szCs w:val="24"/>
        </w:rPr>
        <w:t>"</w:t>
      </w:r>
    </w:p>
    <w:p w:rsidR="005C42B2" w:rsidRDefault="005C42B2" w:rsidP="00081A8F">
      <w:pPr>
        <w:spacing w:after="0" w:line="480" w:lineRule="auto"/>
        <w:rPr>
          <w:rFonts w:ascii="Times New Roman" w:hAnsi="Times New Roman"/>
          <w:sz w:val="24"/>
          <w:szCs w:val="24"/>
        </w:rPr>
      </w:pPr>
    </w:p>
    <w:p w:rsidR="00B76C26" w:rsidRDefault="00081A8F" w:rsidP="00081A8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For the reasons set forth herein, OPTC</w:t>
      </w:r>
      <w:r w:rsidR="003064DF">
        <w:rPr>
          <w:rFonts w:ascii="Times New Roman" w:hAnsi="Times New Roman"/>
          <w:sz w:val="24"/>
          <w:szCs w:val="24"/>
        </w:rPr>
        <w:t>'</w:t>
      </w:r>
      <w:r>
        <w:rPr>
          <w:rFonts w:ascii="Times New Roman" w:hAnsi="Times New Roman"/>
          <w:sz w:val="24"/>
          <w:szCs w:val="24"/>
        </w:rPr>
        <w:t>s latest application for rehearing should be denied.</w:t>
      </w:r>
    </w:p>
    <w:p w:rsidR="00270D50" w:rsidRPr="00752067" w:rsidRDefault="00081A8F" w:rsidP="00752067">
      <w:pPr>
        <w:pStyle w:val="Heading1"/>
        <w:rPr>
          <w:rFonts w:ascii="Times New Roman Bold" w:hAnsi="Times New Roman Bold"/>
          <w:color w:val="000000" w:themeColor="text1"/>
          <w:sz w:val="24"/>
          <w:szCs w:val="24"/>
        </w:rPr>
      </w:pPr>
      <w:bookmarkStart w:id="2" w:name="_Toc278741458"/>
      <w:bookmarkStart w:id="3" w:name="_Toc286154357"/>
      <w:r>
        <w:rPr>
          <w:rFonts w:ascii="Times New Roman Bold" w:hAnsi="Times New Roman Bold"/>
          <w:color w:val="000000" w:themeColor="text1"/>
          <w:sz w:val="24"/>
          <w:szCs w:val="24"/>
        </w:rPr>
        <w:t>The Commission-Prescribed Customer Notice Is Not Inadequate</w:t>
      </w:r>
      <w:bookmarkEnd w:id="2"/>
      <w:bookmarkEnd w:id="3"/>
    </w:p>
    <w:p w:rsidR="00270D50" w:rsidRPr="00270D50" w:rsidRDefault="00270D50" w:rsidP="00270D50">
      <w:pPr>
        <w:rPr>
          <w:rFonts w:ascii="Times New Roman" w:hAnsi="Times New Roman"/>
          <w:sz w:val="24"/>
          <w:szCs w:val="24"/>
        </w:rPr>
      </w:pPr>
    </w:p>
    <w:p w:rsidR="005C42B2" w:rsidRDefault="005916ED"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C42B2">
        <w:rPr>
          <w:rFonts w:ascii="Times New Roman" w:hAnsi="Times New Roman"/>
          <w:sz w:val="24"/>
          <w:szCs w:val="24"/>
        </w:rPr>
        <w:t xml:space="preserve">It sets the tone for </w:t>
      </w:r>
      <w:r>
        <w:rPr>
          <w:rFonts w:ascii="Times New Roman" w:hAnsi="Times New Roman"/>
          <w:sz w:val="24"/>
          <w:szCs w:val="24"/>
        </w:rPr>
        <w:t>OPTC</w:t>
      </w:r>
      <w:r w:rsidR="003064DF">
        <w:rPr>
          <w:rFonts w:ascii="Times New Roman" w:hAnsi="Times New Roman"/>
          <w:sz w:val="24"/>
          <w:szCs w:val="24"/>
        </w:rPr>
        <w:t>'</w:t>
      </w:r>
      <w:r>
        <w:rPr>
          <w:rFonts w:ascii="Times New Roman" w:hAnsi="Times New Roman"/>
          <w:sz w:val="24"/>
          <w:szCs w:val="24"/>
        </w:rPr>
        <w:t xml:space="preserve">s </w:t>
      </w:r>
      <w:r w:rsidR="005C42B2">
        <w:rPr>
          <w:rFonts w:ascii="Times New Roman" w:hAnsi="Times New Roman"/>
          <w:sz w:val="24"/>
          <w:szCs w:val="24"/>
        </w:rPr>
        <w:t xml:space="preserve">initial argument that it suggests that a Commission-prescribed customer notice is somehow converted into a </w:t>
      </w:r>
      <w:r w:rsidR="003064DF">
        <w:rPr>
          <w:rFonts w:ascii="Times New Roman" w:hAnsi="Times New Roman"/>
          <w:sz w:val="24"/>
          <w:szCs w:val="24"/>
        </w:rPr>
        <w:t>"</w:t>
      </w:r>
      <w:r w:rsidR="005C42B2">
        <w:rPr>
          <w:rFonts w:ascii="Times New Roman" w:hAnsi="Times New Roman"/>
          <w:sz w:val="24"/>
          <w:szCs w:val="24"/>
        </w:rPr>
        <w:t>communication by the company</w:t>
      </w:r>
      <w:r w:rsidR="003064DF">
        <w:rPr>
          <w:rFonts w:ascii="Times New Roman" w:hAnsi="Times New Roman"/>
          <w:sz w:val="24"/>
          <w:szCs w:val="24"/>
        </w:rPr>
        <w:t>"</w:t>
      </w:r>
      <w:r w:rsidR="005C42B2">
        <w:rPr>
          <w:rFonts w:ascii="Times New Roman" w:hAnsi="Times New Roman"/>
          <w:sz w:val="24"/>
          <w:szCs w:val="24"/>
        </w:rPr>
        <w:t xml:space="preserve"> that is subject to the requirements of R. C. § 4927.06(A)(1).  </w:t>
      </w:r>
      <w:r w:rsidR="00D503E6">
        <w:rPr>
          <w:rFonts w:ascii="Times New Roman" w:hAnsi="Times New Roman"/>
          <w:sz w:val="24"/>
          <w:szCs w:val="24"/>
        </w:rPr>
        <w:t xml:space="preserve">OPTC Memo, p. 4, note 9.  </w:t>
      </w:r>
      <w:r w:rsidR="005C42B2">
        <w:rPr>
          <w:rFonts w:ascii="Times New Roman" w:hAnsi="Times New Roman"/>
          <w:sz w:val="24"/>
          <w:szCs w:val="24"/>
        </w:rPr>
        <w:t>This is an absurd position.  There is simply no basis for the suggestion that the requirements of that law apply to actions taken by the Commission.</w:t>
      </w:r>
    </w:p>
    <w:p w:rsidR="005C42B2" w:rsidRDefault="005C42B2" w:rsidP="005916ED">
      <w:pPr>
        <w:spacing w:after="0" w:line="480" w:lineRule="auto"/>
        <w:rPr>
          <w:rFonts w:ascii="Times New Roman" w:hAnsi="Times New Roman"/>
          <w:sz w:val="24"/>
          <w:szCs w:val="24"/>
        </w:rPr>
      </w:pPr>
    </w:p>
    <w:p w:rsidR="005C42B2" w:rsidRDefault="005C42B2" w:rsidP="005A1EE3">
      <w:pPr>
        <w:spacing w:after="0" w:line="48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OPTC highlights, and then roundly criticizes, the residential customer notice prescribed in the January 19, 2011 Entry.  OPTC Memo, pp. 7-8.  </w:t>
      </w:r>
      <w:r w:rsidR="0040758B">
        <w:rPr>
          <w:rFonts w:ascii="Times New Roman" w:hAnsi="Times New Roman"/>
          <w:sz w:val="24"/>
          <w:szCs w:val="24"/>
        </w:rPr>
        <w:t xml:space="preserve">OPTC </w:t>
      </w:r>
      <w:r w:rsidR="008B2A52">
        <w:rPr>
          <w:rFonts w:ascii="Times New Roman" w:hAnsi="Times New Roman"/>
          <w:sz w:val="24"/>
          <w:szCs w:val="24"/>
        </w:rPr>
        <w:t xml:space="preserve">focuses its criticism of the prescribed customer notice </w:t>
      </w:r>
      <w:r w:rsidR="0040758B">
        <w:rPr>
          <w:rFonts w:ascii="Times New Roman" w:hAnsi="Times New Roman"/>
          <w:sz w:val="24"/>
          <w:szCs w:val="24"/>
        </w:rPr>
        <w:t>on the</w:t>
      </w:r>
      <w:r w:rsidR="008B2A52">
        <w:rPr>
          <w:rFonts w:ascii="Times New Roman" w:hAnsi="Times New Roman"/>
          <w:sz w:val="24"/>
          <w:szCs w:val="24"/>
        </w:rPr>
        <w:t xml:space="preserve"> singular</w:t>
      </w:r>
      <w:r w:rsidR="0040758B">
        <w:rPr>
          <w:rFonts w:ascii="Times New Roman" w:hAnsi="Times New Roman"/>
          <w:sz w:val="24"/>
          <w:szCs w:val="24"/>
        </w:rPr>
        <w:t xml:space="preserve"> portion</w:t>
      </w:r>
      <w:r w:rsidR="008B2A52">
        <w:rPr>
          <w:rFonts w:ascii="Times New Roman" w:hAnsi="Times New Roman"/>
          <w:sz w:val="24"/>
          <w:szCs w:val="24"/>
        </w:rPr>
        <w:t xml:space="preserve"> of the notice</w:t>
      </w:r>
      <w:r w:rsidR="0040758B">
        <w:rPr>
          <w:rFonts w:ascii="Times New Roman" w:hAnsi="Times New Roman"/>
          <w:sz w:val="24"/>
          <w:szCs w:val="24"/>
        </w:rPr>
        <w:t xml:space="preserve"> that it has emphasized</w:t>
      </w:r>
      <w:r w:rsidR="008B2A52">
        <w:rPr>
          <w:rFonts w:ascii="Times New Roman" w:hAnsi="Times New Roman"/>
          <w:sz w:val="24"/>
          <w:szCs w:val="24"/>
        </w:rPr>
        <w:t xml:space="preserve"> rather than considering the overall message being communicated.  OPTC Memo, p.</w:t>
      </w:r>
      <w:r w:rsidR="00CA6B83">
        <w:rPr>
          <w:rFonts w:ascii="Times New Roman" w:hAnsi="Times New Roman"/>
          <w:sz w:val="24"/>
          <w:szCs w:val="24"/>
        </w:rPr>
        <w:t xml:space="preserve"> </w:t>
      </w:r>
      <w:r w:rsidR="008B2A52">
        <w:rPr>
          <w:rFonts w:ascii="Times New Roman" w:hAnsi="Times New Roman"/>
          <w:sz w:val="24"/>
          <w:szCs w:val="24"/>
        </w:rPr>
        <w:t xml:space="preserve">7.  In so doing, OPTC ignores the clear and direct information being imparted in the </w:t>
      </w:r>
      <w:r w:rsidR="005A1EE3">
        <w:rPr>
          <w:rFonts w:ascii="Times New Roman" w:hAnsi="Times New Roman"/>
          <w:sz w:val="24"/>
          <w:szCs w:val="24"/>
        </w:rPr>
        <w:t xml:space="preserve">very </w:t>
      </w:r>
      <w:r w:rsidR="008B2A52">
        <w:rPr>
          <w:rFonts w:ascii="Times New Roman" w:hAnsi="Times New Roman"/>
          <w:sz w:val="24"/>
          <w:szCs w:val="24"/>
        </w:rPr>
        <w:t>opening paragraphs of the notice</w:t>
      </w:r>
      <w:r w:rsidR="005A1EE3">
        <w:rPr>
          <w:rFonts w:ascii="Times New Roman" w:hAnsi="Times New Roman"/>
          <w:sz w:val="24"/>
          <w:szCs w:val="24"/>
        </w:rPr>
        <w:t xml:space="preserve">: 1) </w:t>
      </w:r>
      <w:r w:rsidR="008B2A52">
        <w:rPr>
          <w:rFonts w:ascii="Times New Roman" w:hAnsi="Times New Roman"/>
          <w:sz w:val="24"/>
          <w:szCs w:val="24"/>
        </w:rPr>
        <w:t xml:space="preserve">that telecommunication services are being </w:t>
      </w:r>
      <w:r w:rsidR="003064DF">
        <w:rPr>
          <w:rFonts w:ascii="Times New Roman" w:hAnsi="Times New Roman"/>
          <w:sz w:val="24"/>
          <w:szCs w:val="24"/>
        </w:rPr>
        <w:t>"</w:t>
      </w:r>
      <w:r w:rsidR="008B2A52">
        <w:rPr>
          <w:rFonts w:ascii="Times New Roman" w:hAnsi="Times New Roman"/>
          <w:sz w:val="24"/>
          <w:szCs w:val="24"/>
        </w:rPr>
        <w:t>detariffed,</w:t>
      </w:r>
      <w:r w:rsidR="003064DF">
        <w:rPr>
          <w:rFonts w:ascii="Times New Roman" w:hAnsi="Times New Roman"/>
          <w:sz w:val="24"/>
          <w:szCs w:val="24"/>
        </w:rPr>
        <w:t>"</w:t>
      </w:r>
      <w:r w:rsidR="005A1EE3">
        <w:rPr>
          <w:rFonts w:ascii="Times New Roman" w:hAnsi="Times New Roman"/>
          <w:sz w:val="24"/>
          <w:szCs w:val="24"/>
        </w:rPr>
        <w:t xml:space="preserve"> </w:t>
      </w:r>
      <w:r w:rsidR="008B2A52">
        <w:rPr>
          <w:rFonts w:ascii="Times New Roman" w:hAnsi="Times New Roman"/>
          <w:sz w:val="24"/>
          <w:szCs w:val="24"/>
        </w:rPr>
        <w:t xml:space="preserve">that is, they </w:t>
      </w:r>
      <w:r w:rsidR="003064DF">
        <w:rPr>
          <w:rFonts w:ascii="Times New Roman" w:hAnsi="Times New Roman"/>
          <w:sz w:val="24"/>
          <w:szCs w:val="24"/>
        </w:rPr>
        <w:t>"</w:t>
      </w:r>
      <w:r w:rsidR="008B2A52">
        <w:rPr>
          <w:rFonts w:ascii="Times New Roman" w:hAnsi="Times New Roman"/>
          <w:sz w:val="24"/>
          <w:szCs w:val="24"/>
        </w:rPr>
        <w:t>will no longer be on file at the Public Utilities Commission of Ohio (PUCO)</w:t>
      </w:r>
      <w:r w:rsidR="005A1EE3">
        <w:rPr>
          <w:rFonts w:ascii="Times New Roman" w:hAnsi="Times New Roman"/>
          <w:sz w:val="24"/>
          <w:szCs w:val="24"/>
        </w:rPr>
        <w:t>,</w:t>
      </w:r>
      <w:r w:rsidR="003064DF">
        <w:rPr>
          <w:rFonts w:ascii="Times New Roman" w:hAnsi="Times New Roman"/>
          <w:sz w:val="24"/>
          <w:szCs w:val="24"/>
        </w:rPr>
        <w:t>"</w:t>
      </w:r>
      <w:r w:rsidR="005A1EE3">
        <w:rPr>
          <w:rFonts w:ascii="Times New Roman" w:hAnsi="Times New Roman"/>
          <w:sz w:val="24"/>
          <w:szCs w:val="24"/>
        </w:rPr>
        <w:t xml:space="preserve"> and 2) that </w:t>
      </w:r>
      <w:r w:rsidR="003064DF">
        <w:rPr>
          <w:rFonts w:ascii="Times New Roman" w:hAnsi="Times New Roman"/>
          <w:sz w:val="24"/>
          <w:szCs w:val="24"/>
        </w:rPr>
        <w:t>"</w:t>
      </w:r>
      <w:r w:rsidR="0040758B" w:rsidRPr="0040758B">
        <w:rPr>
          <w:rFonts w:ascii="Times New Roman" w:hAnsi="Times New Roman"/>
          <w:b/>
          <w:sz w:val="24"/>
          <w:szCs w:val="24"/>
        </w:rPr>
        <w:t>This modification does not automatically result in a change in the prices, terms, or conditions of those services to which you currently subscribe</w:t>
      </w:r>
      <w:r w:rsidR="0040758B">
        <w:rPr>
          <w:rFonts w:ascii="Times New Roman" w:hAnsi="Times New Roman"/>
          <w:sz w:val="24"/>
          <w:szCs w:val="24"/>
        </w:rPr>
        <w:t>.</w:t>
      </w:r>
      <w:r w:rsidR="003064DF">
        <w:rPr>
          <w:rFonts w:ascii="Times New Roman" w:hAnsi="Times New Roman"/>
          <w:sz w:val="24"/>
          <w:szCs w:val="24"/>
        </w:rPr>
        <w:t>"</w:t>
      </w:r>
      <w:r w:rsidR="0040758B">
        <w:rPr>
          <w:rFonts w:ascii="Times New Roman" w:hAnsi="Times New Roman"/>
          <w:sz w:val="24"/>
          <w:szCs w:val="24"/>
        </w:rPr>
        <w:t xml:space="preserve">  OPTC Memo, p. 7 (emphasis added).  OPTC quibbles with a direct, succinct approach to the customer notice</w:t>
      </w:r>
      <w:r w:rsidR="005A1EE3">
        <w:rPr>
          <w:rFonts w:ascii="Times New Roman" w:hAnsi="Times New Roman"/>
          <w:sz w:val="24"/>
          <w:szCs w:val="24"/>
        </w:rPr>
        <w:t xml:space="preserve"> – an approach which, in fact, successfully ushered in the initial detariffing actions back in 200</w:t>
      </w:r>
      <w:r w:rsidR="00082541">
        <w:rPr>
          <w:rFonts w:ascii="Times New Roman" w:hAnsi="Times New Roman"/>
          <w:sz w:val="24"/>
          <w:szCs w:val="24"/>
        </w:rPr>
        <w:t xml:space="preserve">7 and was prescribed in the Entry </w:t>
      </w:r>
      <w:r w:rsidR="00CA6B83">
        <w:rPr>
          <w:rFonts w:ascii="Times New Roman" w:hAnsi="Times New Roman"/>
          <w:sz w:val="24"/>
          <w:szCs w:val="24"/>
        </w:rPr>
        <w:t>adopted</w:t>
      </w:r>
      <w:r w:rsidR="00082541">
        <w:rPr>
          <w:rFonts w:ascii="Times New Roman" w:hAnsi="Times New Roman"/>
          <w:sz w:val="24"/>
          <w:szCs w:val="24"/>
        </w:rPr>
        <w:t xml:space="preserve"> September 19, 2007 in Case No. 06-1345-TP-ORD</w:t>
      </w:r>
      <w:r w:rsidR="0040758B">
        <w:rPr>
          <w:rFonts w:ascii="Times New Roman" w:hAnsi="Times New Roman"/>
          <w:sz w:val="24"/>
          <w:szCs w:val="24"/>
        </w:rPr>
        <w:t xml:space="preserve">.  </w:t>
      </w:r>
    </w:p>
    <w:p w:rsidR="0040758B" w:rsidRDefault="0040758B" w:rsidP="005916ED">
      <w:pPr>
        <w:spacing w:after="0" w:line="480" w:lineRule="auto"/>
        <w:rPr>
          <w:rFonts w:ascii="Times New Roman" w:hAnsi="Times New Roman"/>
          <w:sz w:val="24"/>
          <w:szCs w:val="24"/>
        </w:rPr>
      </w:pPr>
    </w:p>
    <w:p w:rsidR="0040758B" w:rsidRDefault="0040758B"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OPTC would like nothing more than a further delay in the reforms wrought by Sub. S. B. 162 and the Commission</w:t>
      </w:r>
      <w:r w:rsidR="003064DF">
        <w:rPr>
          <w:rFonts w:ascii="Times New Roman" w:hAnsi="Times New Roman"/>
          <w:sz w:val="24"/>
          <w:szCs w:val="24"/>
        </w:rPr>
        <w:t>'</w:t>
      </w:r>
      <w:r>
        <w:rPr>
          <w:rFonts w:ascii="Times New Roman" w:hAnsi="Times New Roman"/>
          <w:sz w:val="24"/>
          <w:szCs w:val="24"/>
        </w:rPr>
        <w:t>s implementing rules.  Viewed with that goal in mind, the OPTC</w:t>
      </w:r>
      <w:r w:rsidR="003064DF">
        <w:rPr>
          <w:rFonts w:ascii="Times New Roman" w:hAnsi="Times New Roman"/>
          <w:sz w:val="24"/>
          <w:szCs w:val="24"/>
        </w:rPr>
        <w:t>'</w:t>
      </w:r>
      <w:r>
        <w:rPr>
          <w:rFonts w:ascii="Times New Roman" w:hAnsi="Times New Roman"/>
          <w:sz w:val="24"/>
          <w:szCs w:val="24"/>
        </w:rPr>
        <w:t>s claims amount to less than molehills.</w:t>
      </w:r>
    </w:p>
    <w:p w:rsidR="005C42B2" w:rsidRDefault="005C42B2" w:rsidP="005916ED">
      <w:pPr>
        <w:spacing w:after="0" w:line="480" w:lineRule="auto"/>
        <w:rPr>
          <w:rFonts w:ascii="Times New Roman" w:hAnsi="Times New Roman"/>
          <w:sz w:val="24"/>
          <w:szCs w:val="24"/>
        </w:rPr>
      </w:pPr>
    </w:p>
    <w:p w:rsidR="0040758B" w:rsidRPr="00752067" w:rsidRDefault="0040758B" w:rsidP="0040758B">
      <w:pPr>
        <w:pStyle w:val="Heading1"/>
        <w:rPr>
          <w:rFonts w:ascii="Times New Roman Bold" w:hAnsi="Times New Roman Bold"/>
          <w:color w:val="000000" w:themeColor="text1"/>
          <w:sz w:val="24"/>
          <w:szCs w:val="24"/>
        </w:rPr>
      </w:pPr>
      <w:bookmarkStart w:id="4" w:name="_Toc286154358"/>
      <w:r>
        <w:rPr>
          <w:rFonts w:ascii="Times New Roman Bold" w:hAnsi="Times New Roman Bold"/>
          <w:color w:val="000000" w:themeColor="text1"/>
          <w:sz w:val="24"/>
          <w:szCs w:val="24"/>
        </w:rPr>
        <w:t>The Process For Detariffing Is Reasonable And Lawful</w:t>
      </w:r>
      <w:bookmarkEnd w:id="4"/>
    </w:p>
    <w:p w:rsidR="0040758B" w:rsidRDefault="0040758B" w:rsidP="005916ED">
      <w:pPr>
        <w:spacing w:after="0" w:line="480" w:lineRule="auto"/>
        <w:rPr>
          <w:rFonts w:ascii="Times New Roman" w:hAnsi="Times New Roman"/>
          <w:sz w:val="24"/>
          <w:szCs w:val="24"/>
        </w:rPr>
      </w:pPr>
    </w:p>
    <w:p w:rsidR="00B1524A" w:rsidRDefault="0040758B"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Beyond its criticism of the Commission-prescribed customer notice, OPTC also argues that the underlying </w:t>
      </w:r>
      <w:r w:rsidR="003064DF">
        <w:rPr>
          <w:rFonts w:ascii="Times New Roman" w:hAnsi="Times New Roman"/>
          <w:sz w:val="24"/>
          <w:szCs w:val="24"/>
        </w:rPr>
        <w:t>"</w:t>
      </w:r>
      <w:r>
        <w:rPr>
          <w:rFonts w:ascii="Times New Roman" w:hAnsi="Times New Roman"/>
          <w:sz w:val="24"/>
          <w:szCs w:val="24"/>
        </w:rPr>
        <w:t>process</w:t>
      </w:r>
      <w:r w:rsidR="003064DF">
        <w:rPr>
          <w:rFonts w:ascii="Times New Roman" w:hAnsi="Times New Roman"/>
          <w:sz w:val="24"/>
          <w:szCs w:val="24"/>
        </w:rPr>
        <w:t>"</w:t>
      </w:r>
      <w:r>
        <w:rPr>
          <w:rFonts w:ascii="Times New Roman" w:hAnsi="Times New Roman"/>
          <w:sz w:val="24"/>
          <w:szCs w:val="24"/>
        </w:rPr>
        <w:t xml:space="preserve"> for the detariffing of various services is likewise flawed.  </w:t>
      </w:r>
      <w:r w:rsidR="00B1524A">
        <w:rPr>
          <w:rFonts w:ascii="Times New Roman" w:hAnsi="Times New Roman"/>
          <w:sz w:val="24"/>
          <w:szCs w:val="24"/>
        </w:rPr>
        <w:t xml:space="preserve">OPTC Memo, p. 9.  It suggests that the Commission - - at the very least - - should have put the contents of the customer notices, as well as other related issues, out for public comment.  </w:t>
      </w:r>
      <w:r w:rsidR="00B1524A" w:rsidRPr="00B1524A">
        <w:rPr>
          <w:rFonts w:ascii="Times New Roman" w:hAnsi="Times New Roman"/>
          <w:sz w:val="24"/>
          <w:szCs w:val="24"/>
          <w:u w:val="single"/>
        </w:rPr>
        <w:t>Id</w:t>
      </w:r>
      <w:r w:rsidR="00B1524A">
        <w:rPr>
          <w:rFonts w:ascii="Times New Roman" w:hAnsi="Times New Roman"/>
          <w:sz w:val="24"/>
          <w:szCs w:val="24"/>
        </w:rPr>
        <w:t xml:space="preserve">.  </w:t>
      </w:r>
      <w:r w:rsidR="00B1524A">
        <w:rPr>
          <w:rFonts w:ascii="Times New Roman" w:hAnsi="Times New Roman"/>
          <w:sz w:val="24"/>
          <w:szCs w:val="24"/>
        </w:rPr>
        <w:lastRenderedPageBreak/>
        <w:t xml:space="preserve">Here, OPTC goes well beyond advocacy on behalf of its constituents and into the management prerogatives of the Commission and its Staff.  OPTC thinks the Commission should have done more to </w:t>
      </w:r>
      <w:r w:rsidR="003064DF">
        <w:rPr>
          <w:rFonts w:ascii="Times New Roman" w:hAnsi="Times New Roman"/>
          <w:sz w:val="24"/>
          <w:szCs w:val="24"/>
        </w:rPr>
        <w:t>"</w:t>
      </w:r>
      <w:r w:rsidR="00B1524A">
        <w:rPr>
          <w:rFonts w:ascii="Times New Roman" w:hAnsi="Times New Roman"/>
          <w:sz w:val="24"/>
          <w:szCs w:val="24"/>
        </w:rPr>
        <w:t>recognize and implement the fundamental change</w:t>
      </w:r>
      <w:r w:rsidR="003064DF">
        <w:rPr>
          <w:rFonts w:ascii="Times New Roman" w:hAnsi="Times New Roman"/>
          <w:sz w:val="24"/>
          <w:szCs w:val="24"/>
        </w:rPr>
        <w:t>"</w:t>
      </w:r>
      <w:r w:rsidR="00B1524A">
        <w:rPr>
          <w:rFonts w:ascii="Times New Roman" w:hAnsi="Times New Roman"/>
          <w:sz w:val="24"/>
          <w:szCs w:val="24"/>
        </w:rPr>
        <w:t xml:space="preserve"> in the company/customer relationship brought about by the amendment to R. C. § 4905.30.  </w:t>
      </w:r>
      <w:r w:rsidR="00B1524A" w:rsidRPr="00B1524A">
        <w:rPr>
          <w:rFonts w:ascii="Times New Roman" w:hAnsi="Times New Roman"/>
          <w:sz w:val="24"/>
          <w:szCs w:val="24"/>
          <w:u w:val="single"/>
        </w:rPr>
        <w:t>Id</w:t>
      </w:r>
      <w:r w:rsidR="00B1524A">
        <w:rPr>
          <w:rFonts w:ascii="Times New Roman" w:hAnsi="Times New Roman"/>
          <w:sz w:val="24"/>
          <w:szCs w:val="24"/>
        </w:rPr>
        <w:t xml:space="preserve">., p. 10.  That OPTC would have done things differently does not amount to unreasonable or unlawful conclusions by the Commission.  </w:t>
      </w:r>
      <w:r w:rsidR="00CE6C28">
        <w:rPr>
          <w:rFonts w:ascii="Times New Roman" w:hAnsi="Times New Roman"/>
          <w:sz w:val="24"/>
          <w:szCs w:val="24"/>
        </w:rPr>
        <w:t>Moreover, the very same process and a very similar notice were utilized very successfully during the initial detariffing process in 200</w:t>
      </w:r>
      <w:r w:rsidR="00082541">
        <w:rPr>
          <w:rFonts w:ascii="Times New Roman" w:hAnsi="Times New Roman"/>
          <w:sz w:val="24"/>
          <w:szCs w:val="24"/>
        </w:rPr>
        <w:t>7</w:t>
      </w:r>
      <w:r w:rsidR="00CE6C28">
        <w:rPr>
          <w:rFonts w:ascii="Times New Roman" w:hAnsi="Times New Roman"/>
          <w:sz w:val="24"/>
          <w:szCs w:val="24"/>
        </w:rPr>
        <w:t>.  At that time, all business services other than the primary, second</w:t>
      </w:r>
      <w:r w:rsidR="00AE4F98">
        <w:rPr>
          <w:rFonts w:ascii="Times New Roman" w:hAnsi="Times New Roman"/>
          <w:sz w:val="24"/>
          <w:szCs w:val="24"/>
        </w:rPr>
        <w:t>,</w:t>
      </w:r>
      <w:r w:rsidR="00CE6C28">
        <w:rPr>
          <w:rFonts w:ascii="Times New Roman" w:hAnsi="Times New Roman"/>
          <w:sz w:val="24"/>
          <w:szCs w:val="24"/>
        </w:rPr>
        <w:t xml:space="preserve"> and third business access lines and all toll, residential and business, were detariffed.   The process was smoothly implemented and few, if any,</w:t>
      </w:r>
      <w:r w:rsidR="00754EBE">
        <w:rPr>
          <w:rFonts w:ascii="Times New Roman" w:hAnsi="Times New Roman"/>
          <w:sz w:val="24"/>
          <w:szCs w:val="24"/>
        </w:rPr>
        <w:t xml:space="preserve"> </w:t>
      </w:r>
      <w:r w:rsidR="00CE6C28">
        <w:rPr>
          <w:rFonts w:ascii="Times New Roman" w:hAnsi="Times New Roman"/>
          <w:sz w:val="24"/>
          <w:szCs w:val="24"/>
        </w:rPr>
        <w:t xml:space="preserve">customer issues arose from the transition.  </w:t>
      </w:r>
      <w:r w:rsidR="00B1524A">
        <w:rPr>
          <w:rFonts w:ascii="Times New Roman" w:hAnsi="Times New Roman"/>
          <w:sz w:val="24"/>
          <w:szCs w:val="24"/>
        </w:rPr>
        <w:t>The Commission has implemented the statutory changes in a reasonable and lawful manner, albeit displeasing to OPTC.</w:t>
      </w:r>
    </w:p>
    <w:p w:rsidR="00AE4F98" w:rsidRDefault="00AE4F98" w:rsidP="005916ED">
      <w:pPr>
        <w:spacing w:after="0" w:line="480" w:lineRule="auto"/>
        <w:rPr>
          <w:rFonts w:ascii="Times New Roman" w:hAnsi="Times New Roman"/>
          <w:sz w:val="24"/>
          <w:szCs w:val="24"/>
        </w:rPr>
      </w:pPr>
    </w:p>
    <w:p w:rsidR="00B1524A" w:rsidRDefault="00B1524A"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OPTC</w:t>
      </w:r>
      <w:r w:rsidR="003064DF">
        <w:rPr>
          <w:rFonts w:ascii="Times New Roman" w:hAnsi="Times New Roman"/>
          <w:sz w:val="24"/>
          <w:szCs w:val="24"/>
        </w:rPr>
        <w:t>'</w:t>
      </w:r>
      <w:r>
        <w:rPr>
          <w:rFonts w:ascii="Times New Roman" w:hAnsi="Times New Roman"/>
          <w:sz w:val="24"/>
          <w:szCs w:val="24"/>
        </w:rPr>
        <w:t xml:space="preserve">s </w:t>
      </w:r>
      <w:r w:rsidR="00942ED3">
        <w:rPr>
          <w:rFonts w:ascii="Times New Roman" w:hAnsi="Times New Roman"/>
          <w:sz w:val="24"/>
          <w:szCs w:val="24"/>
        </w:rPr>
        <w:t>penchant</w:t>
      </w:r>
      <w:r>
        <w:rPr>
          <w:rFonts w:ascii="Times New Roman" w:hAnsi="Times New Roman"/>
          <w:sz w:val="24"/>
          <w:szCs w:val="24"/>
        </w:rPr>
        <w:t xml:space="preserve"> for disruption and delay emerges clearly in its commentary on pp. 10-13 of its application for rehearing.  Here, it tees up what it says is a </w:t>
      </w:r>
      <w:r w:rsidR="003064DF">
        <w:rPr>
          <w:rFonts w:ascii="Times New Roman" w:hAnsi="Times New Roman"/>
          <w:sz w:val="24"/>
          <w:szCs w:val="24"/>
        </w:rPr>
        <w:t>"</w:t>
      </w:r>
      <w:r>
        <w:rPr>
          <w:rFonts w:ascii="Times New Roman" w:hAnsi="Times New Roman"/>
          <w:sz w:val="24"/>
          <w:szCs w:val="24"/>
        </w:rPr>
        <w:t>small sampling of other key issues</w:t>
      </w:r>
      <w:r w:rsidR="003064DF">
        <w:rPr>
          <w:rFonts w:ascii="Times New Roman" w:hAnsi="Times New Roman"/>
          <w:sz w:val="24"/>
          <w:szCs w:val="24"/>
        </w:rPr>
        <w:t>"</w:t>
      </w:r>
      <w:r w:rsidR="00942ED3">
        <w:rPr>
          <w:rFonts w:ascii="Times New Roman" w:hAnsi="Times New Roman"/>
          <w:sz w:val="24"/>
          <w:szCs w:val="24"/>
        </w:rPr>
        <w:t xml:space="preserve"> that it believes should have been addressed as part of this proceeding.</w:t>
      </w:r>
      <w:r>
        <w:rPr>
          <w:rFonts w:ascii="Times New Roman" w:hAnsi="Times New Roman"/>
          <w:sz w:val="24"/>
          <w:szCs w:val="24"/>
        </w:rPr>
        <w:t xml:space="preserve">  OPTC Memo, p. 10.  </w:t>
      </w:r>
      <w:r w:rsidR="00942ED3">
        <w:rPr>
          <w:rFonts w:ascii="Times New Roman" w:hAnsi="Times New Roman"/>
          <w:sz w:val="24"/>
          <w:szCs w:val="24"/>
        </w:rPr>
        <w:t xml:space="preserve">These include early termination fees, arbitration clauses, and customer complaints.  </w:t>
      </w:r>
      <w:r w:rsidR="000428C7">
        <w:rPr>
          <w:rFonts w:ascii="Times New Roman" w:hAnsi="Times New Roman"/>
          <w:sz w:val="24"/>
          <w:szCs w:val="24"/>
          <w:u w:val="single"/>
        </w:rPr>
        <w:t>Id</w:t>
      </w:r>
      <w:r w:rsidR="000428C7">
        <w:rPr>
          <w:rFonts w:ascii="Times New Roman" w:hAnsi="Times New Roman"/>
          <w:sz w:val="24"/>
          <w:szCs w:val="24"/>
        </w:rPr>
        <w:t xml:space="preserve">., pp. 10-11.  OPTC would clearly have preferred that these issues, and doubtless many others, be addressed for a long, long time before any of the changes envisioned by Sub. S. B. 162 could be implemented.  OPTC even suggests that the Commission should have consulted with the FCC on its experience with the detariffing process.  </w:t>
      </w:r>
      <w:r w:rsidR="000428C7">
        <w:rPr>
          <w:rFonts w:ascii="Times New Roman" w:hAnsi="Times New Roman"/>
          <w:sz w:val="24"/>
          <w:szCs w:val="24"/>
          <w:u w:val="single"/>
        </w:rPr>
        <w:t>Id</w:t>
      </w:r>
      <w:r w:rsidR="000428C7">
        <w:rPr>
          <w:rFonts w:ascii="Times New Roman" w:hAnsi="Times New Roman"/>
          <w:sz w:val="24"/>
          <w:szCs w:val="24"/>
        </w:rPr>
        <w:t xml:space="preserve">., p. 13. </w:t>
      </w:r>
      <w:r w:rsidR="00F23321">
        <w:rPr>
          <w:rFonts w:ascii="Times New Roman" w:hAnsi="Times New Roman"/>
          <w:sz w:val="24"/>
          <w:szCs w:val="24"/>
        </w:rPr>
        <w:t xml:space="preserve"> None of these arguments rise to the level necessary to support an application for rehearing.</w:t>
      </w:r>
      <w:r w:rsidR="00CA6B83">
        <w:rPr>
          <w:rFonts w:ascii="Times New Roman" w:hAnsi="Times New Roman"/>
          <w:sz w:val="24"/>
          <w:szCs w:val="24"/>
        </w:rPr>
        <w:t xml:space="preserve">  The Commission</w:t>
      </w:r>
      <w:r w:rsidR="003064DF">
        <w:rPr>
          <w:rFonts w:ascii="Times New Roman" w:hAnsi="Times New Roman"/>
          <w:sz w:val="24"/>
          <w:szCs w:val="24"/>
        </w:rPr>
        <w:t>'</w:t>
      </w:r>
      <w:r w:rsidR="00CA6B83">
        <w:rPr>
          <w:rFonts w:ascii="Times New Roman" w:hAnsi="Times New Roman"/>
          <w:sz w:val="24"/>
          <w:szCs w:val="24"/>
        </w:rPr>
        <w:t>s decision not to address these issues was neither unreasonable nor unlawful.</w:t>
      </w:r>
    </w:p>
    <w:p w:rsidR="007F51BF" w:rsidRDefault="007F51BF">
      <w:pPr>
        <w:spacing w:after="0" w:line="240" w:lineRule="auto"/>
        <w:rPr>
          <w:rFonts w:ascii="Times New Roman" w:hAnsi="Times New Roman"/>
          <w:sz w:val="24"/>
          <w:szCs w:val="24"/>
        </w:rPr>
      </w:pPr>
      <w:r>
        <w:rPr>
          <w:rFonts w:ascii="Times New Roman" w:hAnsi="Times New Roman"/>
          <w:sz w:val="24"/>
          <w:szCs w:val="24"/>
        </w:rPr>
        <w:br w:type="page"/>
      </w:r>
    </w:p>
    <w:p w:rsidR="000428C7" w:rsidRPr="00752067" w:rsidRDefault="000428C7" w:rsidP="000428C7">
      <w:pPr>
        <w:pStyle w:val="Heading1"/>
        <w:rPr>
          <w:rFonts w:ascii="Times New Roman Bold" w:hAnsi="Times New Roman Bold"/>
          <w:color w:val="000000" w:themeColor="text1"/>
          <w:sz w:val="24"/>
          <w:szCs w:val="24"/>
        </w:rPr>
      </w:pPr>
      <w:bookmarkStart w:id="5" w:name="_Toc286154359"/>
      <w:r>
        <w:rPr>
          <w:rFonts w:ascii="Times New Roman Bold" w:hAnsi="Times New Roman Bold"/>
          <w:color w:val="000000" w:themeColor="text1"/>
          <w:sz w:val="24"/>
          <w:szCs w:val="24"/>
        </w:rPr>
        <w:lastRenderedPageBreak/>
        <w:t>A Further Rulemaking Was Not Necessary And Would Have Been Counterproductive</w:t>
      </w:r>
      <w:bookmarkEnd w:id="5"/>
    </w:p>
    <w:p w:rsidR="000428C7" w:rsidRDefault="000428C7" w:rsidP="005916ED">
      <w:pPr>
        <w:spacing w:after="0" w:line="480" w:lineRule="auto"/>
        <w:rPr>
          <w:rFonts w:ascii="Times New Roman" w:hAnsi="Times New Roman"/>
          <w:sz w:val="24"/>
          <w:szCs w:val="24"/>
        </w:rPr>
      </w:pPr>
    </w:p>
    <w:p w:rsidR="000428C7" w:rsidRDefault="000428C7"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Ultimately, OPTC argues that what the Commission has accomplished with a five-page entry and several clear and concise attachments should have been accomplished via a further rulemaking with comments, reply comments, and opportunities for rehearing, and perhaps even industry workshops and local public hearings around the state.  These features would likely </w:t>
      </w:r>
      <w:r w:rsidR="00085623">
        <w:rPr>
          <w:rFonts w:ascii="Times New Roman" w:hAnsi="Times New Roman"/>
          <w:sz w:val="24"/>
          <w:szCs w:val="24"/>
        </w:rPr>
        <w:t xml:space="preserve">not </w:t>
      </w:r>
      <w:r>
        <w:rPr>
          <w:rFonts w:ascii="Times New Roman" w:hAnsi="Times New Roman"/>
          <w:sz w:val="24"/>
          <w:szCs w:val="24"/>
        </w:rPr>
        <w:t>have improved the Commission</w:t>
      </w:r>
      <w:r w:rsidR="003064DF">
        <w:rPr>
          <w:rFonts w:ascii="Times New Roman" w:hAnsi="Times New Roman"/>
          <w:sz w:val="24"/>
          <w:szCs w:val="24"/>
        </w:rPr>
        <w:t>'</w:t>
      </w:r>
      <w:r>
        <w:rPr>
          <w:rFonts w:ascii="Times New Roman" w:hAnsi="Times New Roman"/>
          <w:sz w:val="24"/>
          <w:szCs w:val="24"/>
        </w:rPr>
        <w:t>s work product</w:t>
      </w:r>
      <w:r w:rsidR="00085623">
        <w:rPr>
          <w:rFonts w:ascii="Times New Roman" w:hAnsi="Times New Roman"/>
          <w:sz w:val="24"/>
          <w:szCs w:val="24"/>
        </w:rPr>
        <w:t>,</w:t>
      </w:r>
      <w:r>
        <w:rPr>
          <w:rFonts w:ascii="Times New Roman" w:hAnsi="Times New Roman"/>
          <w:sz w:val="24"/>
          <w:szCs w:val="24"/>
        </w:rPr>
        <w:t xml:space="preserve"> but they would surely have played into OPTC</w:t>
      </w:r>
      <w:r w:rsidR="003064DF">
        <w:rPr>
          <w:rFonts w:ascii="Times New Roman" w:hAnsi="Times New Roman"/>
          <w:sz w:val="24"/>
          <w:szCs w:val="24"/>
        </w:rPr>
        <w:t>'</w:t>
      </w:r>
      <w:r>
        <w:rPr>
          <w:rFonts w:ascii="Times New Roman" w:hAnsi="Times New Roman"/>
          <w:sz w:val="24"/>
          <w:szCs w:val="24"/>
        </w:rPr>
        <w:t xml:space="preserve">s game of delay.  </w:t>
      </w:r>
      <w:r w:rsidR="00DC2FE7">
        <w:rPr>
          <w:rFonts w:ascii="Times New Roman" w:hAnsi="Times New Roman"/>
          <w:sz w:val="24"/>
          <w:szCs w:val="24"/>
        </w:rPr>
        <w:t>Moreover, given the successful implementation of the initial phase of detariffing conducted in 200</w:t>
      </w:r>
      <w:r w:rsidR="00082541">
        <w:rPr>
          <w:rFonts w:ascii="Times New Roman" w:hAnsi="Times New Roman"/>
          <w:sz w:val="24"/>
          <w:szCs w:val="24"/>
        </w:rPr>
        <w:t>7</w:t>
      </w:r>
      <w:r w:rsidR="00DC2FE7">
        <w:rPr>
          <w:rFonts w:ascii="Times New Roman" w:hAnsi="Times New Roman"/>
          <w:sz w:val="24"/>
          <w:szCs w:val="24"/>
        </w:rPr>
        <w:t xml:space="preserve"> using a similar approach as the approach prescribed by the Commission in this Entry</w:t>
      </w:r>
      <w:r>
        <w:rPr>
          <w:rFonts w:ascii="Times New Roman" w:hAnsi="Times New Roman"/>
          <w:sz w:val="24"/>
          <w:szCs w:val="24"/>
        </w:rPr>
        <w:t>, a further rulemaking would have clearly been counterproductive.</w:t>
      </w:r>
    </w:p>
    <w:p w:rsidR="000428C7" w:rsidRDefault="000428C7" w:rsidP="005916ED">
      <w:pPr>
        <w:spacing w:after="0" w:line="480" w:lineRule="auto"/>
        <w:rPr>
          <w:rFonts w:ascii="Times New Roman" w:hAnsi="Times New Roman"/>
          <w:sz w:val="24"/>
          <w:szCs w:val="24"/>
        </w:rPr>
      </w:pPr>
    </w:p>
    <w:p w:rsidR="000428C7" w:rsidRDefault="000428C7"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OPTC errs when it suggests that the Commission has not implemented detariffing in its rules.  </w:t>
      </w:r>
      <w:r w:rsidR="00243339">
        <w:rPr>
          <w:rFonts w:ascii="Times New Roman" w:hAnsi="Times New Roman"/>
          <w:sz w:val="24"/>
          <w:szCs w:val="24"/>
        </w:rPr>
        <w:t xml:space="preserve">OPTC Memo, p. 14.  </w:t>
      </w:r>
      <w:r>
        <w:rPr>
          <w:rFonts w:ascii="Times New Roman" w:hAnsi="Times New Roman"/>
          <w:sz w:val="24"/>
          <w:szCs w:val="24"/>
        </w:rPr>
        <w:t xml:space="preserve">O. A. C. § 4901:1-6-11, adopted as part of the rules that took effect on January 20, 2011, specifies the services required to be tariffed and directs that all other telecommunications services </w:t>
      </w:r>
      <w:r w:rsidR="003064DF">
        <w:rPr>
          <w:rFonts w:ascii="Times New Roman" w:hAnsi="Times New Roman"/>
          <w:sz w:val="24"/>
          <w:szCs w:val="24"/>
        </w:rPr>
        <w:t>"</w:t>
      </w:r>
      <w:r>
        <w:rPr>
          <w:rFonts w:ascii="Times New Roman" w:hAnsi="Times New Roman"/>
          <w:sz w:val="24"/>
          <w:szCs w:val="24"/>
        </w:rPr>
        <w:t>shall not be included in tariffs</w:t>
      </w:r>
      <w:r w:rsidR="00243339">
        <w:rPr>
          <w:rFonts w:ascii="Times New Roman" w:hAnsi="Times New Roman"/>
          <w:sz w:val="24"/>
          <w:szCs w:val="24"/>
        </w:rPr>
        <w:t xml:space="preserve"> </w:t>
      </w:r>
      <w:r>
        <w:rPr>
          <w:rFonts w:ascii="Times New Roman" w:hAnsi="Times New Roman"/>
          <w:sz w:val="24"/>
          <w:szCs w:val="24"/>
        </w:rPr>
        <w:t>.</w:t>
      </w:r>
      <w:r w:rsidR="00243339">
        <w:rPr>
          <w:rFonts w:ascii="Times New Roman" w:hAnsi="Times New Roman"/>
          <w:sz w:val="24"/>
          <w:szCs w:val="24"/>
        </w:rPr>
        <w:t xml:space="preserve"> . . .</w:t>
      </w:r>
      <w:r w:rsidR="003064DF">
        <w:rPr>
          <w:rFonts w:ascii="Times New Roman" w:hAnsi="Times New Roman"/>
          <w:sz w:val="24"/>
          <w:szCs w:val="24"/>
        </w:rPr>
        <w:t>"</w:t>
      </w:r>
      <w:r>
        <w:rPr>
          <w:rFonts w:ascii="Times New Roman" w:hAnsi="Times New Roman"/>
          <w:sz w:val="24"/>
          <w:szCs w:val="24"/>
        </w:rPr>
        <w:t xml:space="preserve">  O. A. C. § 4901:1-6-11(A)(2).</w:t>
      </w:r>
      <w:r w:rsidR="00243339">
        <w:rPr>
          <w:rFonts w:ascii="Times New Roman" w:hAnsi="Times New Roman"/>
          <w:sz w:val="24"/>
          <w:szCs w:val="24"/>
        </w:rPr>
        <w:t xml:space="preserve">  Thus, contrary to OPTC</w:t>
      </w:r>
      <w:r w:rsidR="003064DF">
        <w:rPr>
          <w:rFonts w:ascii="Times New Roman" w:hAnsi="Times New Roman"/>
          <w:sz w:val="24"/>
          <w:szCs w:val="24"/>
        </w:rPr>
        <w:t>'</w:t>
      </w:r>
      <w:r w:rsidR="00243339">
        <w:rPr>
          <w:rFonts w:ascii="Times New Roman" w:hAnsi="Times New Roman"/>
          <w:sz w:val="24"/>
          <w:szCs w:val="24"/>
        </w:rPr>
        <w:t xml:space="preserve">s argument, these issues </w:t>
      </w:r>
      <w:r w:rsidR="00243339" w:rsidRPr="00243339">
        <w:rPr>
          <w:rFonts w:ascii="Times New Roman" w:hAnsi="Times New Roman"/>
          <w:i/>
          <w:sz w:val="24"/>
          <w:szCs w:val="24"/>
        </w:rPr>
        <w:t>were</w:t>
      </w:r>
      <w:r w:rsidR="00243339">
        <w:rPr>
          <w:rFonts w:ascii="Times New Roman" w:hAnsi="Times New Roman"/>
          <w:sz w:val="24"/>
          <w:szCs w:val="24"/>
        </w:rPr>
        <w:t xml:space="preserve"> considered in a rulemaking.  OPTC Memo, p. 14.  As a reminder, it was the rulemaking just concluded, in which OPTC was an active and vocal participant.</w:t>
      </w:r>
    </w:p>
    <w:p w:rsidR="00B1524A" w:rsidRDefault="00B1524A" w:rsidP="005916ED">
      <w:pPr>
        <w:spacing w:after="0" w:line="480" w:lineRule="auto"/>
        <w:rPr>
          <w:rFonts w:ascii="Times New Roman" w:hAnsi="Times New Roman"/>
          <w:sz w:val="24"/>
          <w:szCs w:val="24"/>
        </w:rPr>
      </w:pPr>
    </w:p>
    <w:p w:rsidR="00243339" w:rsidRPr="00752067" w:rsidRDefault="00243339" w:rsidP="00243339">
      <w:pPr>
        <w:pStyle w:val="Heading1"/>
        <w:rPr>
          <w:rFonts w:ascii="Times New Roman Bold" w:hAnsi="Times New Roman Bold"/>
          <w:color w:val="000000" w:themeColor="text1"/>
          <w:sz w:val="24"/>
          <w:szCs w:val="24"/>
        </w:rPr>
      </w:pPr>
      <w:bookmarkStart w:id="6" w:name="_Toc286154360"/>
      <w:r>
        <w:rPr>
          <w:rFonts w:ascii="Times New Roman Bold" w:hAnsi="Times New Roman Bold"/>
          <w:color w:val="000000" w:themeColor="text1"/>
          <w:sz w:val="24"/>
          <w:szCs w:val="24"/>
        </w:rPr>
        <w:t>The Commission</w:t>
      </w:r>
      <w:r w:rsidR="003064DF">
        <w:rPr>
          <w:rFonts w:ascii="Times New Roman Bold" w:hAnsi="Times New Roman Bold"/>
          <w:color w:val="000000" w:themeColor="text1"/>
          <w:sz w:val="24"/>
          <w:szCs w:val="24"/>
        </w:rPr>
        <w:t>'</w:t>
      </w:r>
      <w:r>
        <w:rPr>
          <w:rFonts w:ascii="Times New Roman Bold" w:hAnsi="Times New Roman Bold"/>
          <w:color w:val="000000" w:themeColor="text1"/>
          <w:sz w:val="24"/>
          <w:szCs w:val="24"/>
        </w:rPr>
        <w:t xml:space="preserve">s Approach To Certification Applications Was Reasonable </w:t>
      </w:r>
      <w:r w:rsidR="0040101B">
        <w:rPr>
          <w:rFonts w:ascii="Times New Roman Bold" w:hAnsi="Times New Roman Bold"/>
          <w:color w:val="000000" w:themeColor="text1"/>
          <w:sz w:val="24"/>
          <w:szCs w:val="24"/>
        </w:rPr>
        <w:t>A</w:t>
      </w:r>
      <w:r>
        <w:rPr>
          <w:rFonts w:ascii="Times New Roman Bold" w:hAnsi="Times New Roman Bold"/>
          <w:color w:val="000000" w:themeColor="text1"/>
          <w:sz w:val="24"/>
          <w:szCs w:val="24"/>
        </w:rPr>
        <w:t>nd Lawful</w:t>
      </w:r>
      <w:bookmarkEnd w:id="6"/>
    </w:p>
    <w:p w:rsidR="00243339" w:rsidRDefault="00243339" w:rsidP="005916ED">
      <w:pPr>
        <w:spacing w:after="0" w:line="480" w:lineRule="auto"/>
        <w:rPr>
          <w:rFonts w:ascii="Times New Roman" w:hAnsi="Times New Roman"/>
          <w:sz w:val="24"/>
          <w:szCs w:val="24"/>
        </w:rPr>
      </w:pPr>
    </w:p>
    <w:p w:rsidR="00B1524A" w:rsidRDefault="003D1DD1" w:rsidP="005916ED">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Lastly, OPTC criticizes the Commission for reneging on what OPTC views as a promise made in the rulemaking phase of this case.  As OPTC notes, several matters that it raised </w:t>
      </w:r>
      <w:r>
        <w:rPr>
          <w:rFonts w:ascii="Times New Roman" w:hAnsi="Times New Roman"/>
          <w:sz w:val="24"/>
          <w:szCs w:val="24"/>
        </w:rPr>
        <w:lastRenderedPageBreak/>
        <w:t xml:space="preserve">were deferred to this implementation phase of the case.  </w:t>
      </w:r>
      <w:r w:rsidR="00EC035A">
        <w:rPr>
          <w:rFonts w:ascii="Times New Roman" w:hAnsi="Times New Roman"/>
          <w:sz w:val="24"/>
          <w:szCs w:val="24"/>
        </w:rPr>
        <w:t xml:space="preserve">OPTC Memo, pp. 15-16.  OPTC ignores that the Commission deferred these matters to the consideration of the </w:t>
      </w:r>
      <w:r w:rsidR="003064DF">
        <w:rPr>
          <w:rFonts w:ascii="Times New Roman" w:hAnsi="Times New Roman"/>
          <w:sz w:val="24"/>
          <w:szCs w:val="24"/>
        </w:rPr>
        <w:t>"</w:t>
      </w:r>
      <w:r w:rsidR="00EC035A">
        <w:rPr>
          <w:rFonts w:ascii="Times New Roman" w:hAnsi="Times New Roman"/>
          <w:sz w:val="24"/>
          <w:szCs w:val="24"/>
        </w:rPr>
        <w:t xml:space="preserve">telecommunications filing form </w:t>
      </w:r>
      <w:r w:rsidR="00EC035A" w:rsidRPr="00EC035A">
        <w:rPr>
          <w:rFonts w:ascii="Times New Roman" w:hAnsi="Times New Roman"/>
          <w:i/>
          <w:sz w:val="24"/>
          <w:szCs w:val="24"/>
        </w:rPr>
        <w:t>and to future Commission procedural entries</w:t>
      </w:r>
      <w:r w:rsidR="00EC035A">
        <w:rPr>
          <w:rFonts w:ascii="Times New Roman" w:hAnsi="Times New Roman"/>
          <w:sz w:val="24"/>
          <w:szCs w:val="24"/>
        </w:rPr>
        <w:t>.</w:t>
      </w:r>
      <w:r w:rsidR="003064DF">
        <w:rPr>
          <w:rFonts w:ascii="Times New Roman" w:hAnsi="Times New Roman"/>
          <w:sz w:val="24"/>
          <w:szCs w:val="24"/>
        </w:rPr>
        <w:t>"</w:t>
      </w:r>
      <w:r w:rsidR="00EC035A">
        <w:rPr>
          <w:rFonts w:ascii="Times New Roman" w:hAnsi="Times New Roman"/>
          <w:sz w:val="24"/>
          <w:szCs w:val="24"/>
        </w:rPr>
        <w:t xml:space="preserve">  The matters of applicants</w:t>
      </w:r>
      <w:r w:rsidR="003064DF">
        <w:rPr>
          <w:rFonts w:ascii="Times New Roman" w:hAnsi="Times New Roman"/>
          <w:sz w:val="24"/>
          <w:szCs w:val="24"/>
        </w:rPr>
        <w:t>'</w:t>
      </w:r>
      <w:r w:rsidR="00EC035A">
        <w:rPr>
          <w:rFonts w:ascii="Times New Roman" w:hAnsi="Times New Roman"/>
          <w:sz w:val="24"/>
          <w:szCs w:val="24"/>
        </w:rPr>
        <w:t xml:space="preserve"> operations in other states and complaints against them in other states, to the extent not addressed in the responses to the forms, can certainly be pursued in Staff Data Requests or </w:t>
      </w:r>
      <w:r w:rsidR="00EC035A" w:rsidRPr="00EC035A">
        <w:rPr>
          <w:rFonts w:ascii="Times New Roman" w:hAnsi="Times New Roman"/>
          <w:i/>
          <w:sz w:val="24"/>
          <w:szCs w:val="24"/>
        </w:rPr>
        <w:t>future Commission procedural entries</w:t>
      </w:r>
      <w:r w:rsidR="00EC035A">
        <w:rPr>
          <w:rFonts w:ascii="Times New Roman" w:hAnsi="Times New Roman"/>
          <w:sz w:val="24"/>
          <w:szCs w:val="24"/>
        </w:rPr>
        <w:t xml:space="preserve"> seeking data from the applicants in those cases.  </w:t>
      </w:r>
      <w:r w:rsidR="00775173">
        <w:rPr>
          <w:rFonts w:ascii="Times New Roman" w:hAnsi="Times New Roman"/>
          <w:sz w:val="24"/>
          <w:szCs w:val="24"/>
        </w:rPr>
        <w:t>Once again, OPTC has attempted to make a mountain out of a molehill.</w:t>
      </w:r>
    </w:p>
    <w:p w:rsidR="00F23321" w:rsidRDefault="00F23321" w:rsidP="005916ED">
      <w:pPr>
        <w:spacing w:after="0" w:line="480" w:lineRule="auto"/>
        <w:rPr>
          <w:rFonts w:ascii="Times New Roman" w:hAnsi="Times New Roman"/>
          <w:sz w:val="24"/>
          <w:szCs w:val="24"/>
        </w:rPr>
      </w:pPr>
    </w:p>
    <w:p w:rsidR="00FF2887" w:rsidRDefault="00FF2887" w:rsidP="00FF2887">
      <w:pPr>
        <w:pStyle w:val="Heading1"/>
        <w:rPr>
          <w:rFonts w:ascii="Times New Roman Bold" w:hAnsi="Times New Roman Bold"/>
          <w:color w:val="000000" w:themeColor="text1"/>
          <w:sz w:val="24"/>
          <w:szCs w:val="24"/>
        </w:rPr>
      </w:pPr>
      <w:bookmarkStart w:id="7" w:name="_Toc276476805"/>
      <w:bookmarkStart w:id="8" w:name="_Toc278741469"/>
      <w:bookmarkStart w:id="9" w:name="_Toc286154361"/>
      <w:r>
        <w:rPr>
          <w:rFonts w:ascii="Times New Roman Bold" w:hAnsi="Times New Roman Bold"/>
          <w:color w:val="000000" w:themeColor="text1"/>
          <w:sz w:val="24"/>
          <w:szCs w:val="24"/>
        </w:rPr>
        <w:t>Conclusion</w:t>
      </w:r>
      <w:bookmarkEnd w:id="7"/>
      <w:bookmarkEnd w:id="8"/>
      <w:bookmarkEnd w:id="9"/>
    </w:p>
    <w:p w:rsidR="00F630EB" w:rsidRDefault="00F630EB" w:rsidP="00B06094">
      <w:pPr>
        <w:spacing w:after="0" w:line="480" w:lineRule="auto"/>
        <w:rPr>
          <w:rFonts w:ascii="Times New Roman" w:hAnsi="Times New Roman"/>
          <w:sz w:val="24"/>
          <w:szCs w:val="24"/>
        </w:rPr>
      </w:pPr>
    </w:p>
    <w:p w:rsidR="00F630EB" w:rsidRDefault="00FF2887" w:rsidP="00B06094">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1781B">
        <w:rPr>
          <w:rFonts w:ascii="Times New Roman" w:hAnsi="Times New Roman"/>
          <w:sz w:val="24"/>
          <w:szCs w:val="24"/>
        </w:rPr>
        <w:t xml:space="preserve">For all of the foregoing reasons, the Commission should </w:t>
      </w:r>
      <w:r w:rsidR="00B76C26">
        <w:rPr>
          <w:rFonts w:ascii="Times New Roman" w:hAnsi="Times New Roman"/>
          <w:sz w:val="24"/>
          <w:szCs w:val="24"/>
        </w:rPr>
        <w:t>deny the OPTC</w:t>
      </w:r>
      <w:r w:rsidR="003064DF">
        <w:rPr>
          <w:rFonts w:ascii="Times New Roman" w:hAnsi="Times New Roman"/>
          <w:sz w:val="24"/>
          <w:szCs w:val="24"/>
        </w:rPr>
        <w:t>'</w:t>
      </w:r>
      <w:r w:rsidR="00B76C26">
        <w:rPr>
          <w:rFonts w:ascii="Times New Roman" w:hAnsi="Times New Roman"/>
          <w:sz w:val="24"/>
          <w:szCs w:val="24"/>
        </w:rPr>
        <w:t>s application for rehearing in its entirety.</w:t>
      </w:r>
    </w:p>
    <w:p w:rsidR="00775173" w:rsidRDefault="00775173">
      <w:pPr>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0" w:name="_Toc276476806"/>
      <w:bookmarkStart w:id="11" w:name="_Toc276638587"/>
      <w:bookmarkStart w:id="12" w:name="_Toc278741470"/>
      <w:bookmarkStart w:id="13" w:name="_Toc286154362"/>
      <w:r>
        <w:rPr>
          <w:rFonts w:ascii="Times New Roman" w:hAnsi="Times New Roman"/>
          <w:sz w:val="24"/>
          <w:szCs w:val="24"/>
        </w:rPr>
        <w:t>Respectfully submitted,</w:t>
      </w:r>
      <w:bookmarkEnd w:id="10"/>
      <w:bookmarkEnd w:id="11"/>
      <w:bookmarkEnd w:id="12"/>
      <w:bookmarkEnd w:id="13"/>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4" w:name="_Toc276476807"/>
      <w:bookmarkStart w:id="15" w:name="_Toc276638588"/>
      <w:bookmarkStart w:id="16" w:name="_Toc278741471"/>
      <w:bookmarkStart w:id="17" w:name="_Toc286154363"/>
      <w:r>
        <w:rPr>
          <w:rFonts w:ascii="Times New Roman" w:hAnsi="Times New Roman"/>
          <w:sz w:val="24"/>
          <w:szCs w:val="24"/>
        </w:rPr>
        <w:t>THE AT&amp;T ENTITIES</w:t>
      </w:r>
      <w:bookmarkEnd w:id="14"/>
      <w:bookmarkEnd w:id="15"/>
      <w:bookmarkEnd w:id="16"/>
      <w:bookmarkEnd w:id="17"/>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18" w:name="_Toc276476808"/>
      <w:bookmarkStart w:id="19" w:name="_Toc276638589"/>
      <w:bookmarkStart w:id="20" w:name="_Toc278741472"/>
      <w:bookmarkStart w:id="21" w:name="_Toc286154364"/>
      <w:r>
        <w:rPr>
          <w:rFonts w:ascii="Times New Roman" w:hAnsi="Times New Roman"/>
          <w:sz w:val="24"/>
          <w:szCs w:val="24"/>
        </w:rPr>
        <w:t>By:</w:t>
      </w:r>
      <w:r>
        <w:rPr>
          <w:rFonts w:ascii="Times New Roman" w:hAnsi="Times New Roman"/>
          <w:sz w:val="24"/>
          <w:szCs w:val="24"/>
        </w:rPr>
        <w:tab/>
        <w:t>_________</w:t>
      </w:r>
      <w:r w:rsidR="00775173">
        <w:rPr>
          <w:rFonts w:ascii="Times New Roman" w:hAnsi="Times New Roman"/>
          <w:sz w:val="24"/>
          <w:szCs w:val="24"/>
        </w:rPr>
        <w:t>__</w:t>
      </w:r>
      <w:r w:rsidR="00085623">
        <w:rPr>
          <w:rFonts w:ascii="Times New Roman" w:hAnsi="Times New Roman"/>
          <w:sz w:val="24"/>
          <w:szCs w:val="24"/>
          <w:u w:val="single"/>
        </w:rPr>
        <w:t>/s/ Jon F. Kelly</w:t>
      </w:r>
      <w:r w:rsidR="00775173">
        <w:rPr>
          <w:rFonts w:ascii="Times New Roman" w:hAnsi="Times New Roman"/>
          <w:sz w:val="24"/>
          <w:szCs w:val="24"/>
        </w:rPr>
        <w:t>___</w:t>
      </w:r>
      <w:r w:rsidRPr="00E738C2">
        <w:rPr>
          <w:rFonts w:ascii="Times New Roman" w:hAnsi="Times New Roman"/>
          <w:sz w:val="24"/>
          <w:szCs w:val="24"/>
          <w:u w:val="single"/>
        </w:rPr>
        <w:t>_</w:t>
      </w:r>
      <w:r>
        <w:rPr>
          <w:rFonts w:ascii="Times New Roman" w:hAnsi="Times New Roman"/>
          <w:sz w:val="24"/>
          <w:szCs w:val="24"/>
        </w:rPr>
        <w:t>________</w:t>
      </w:r>
      <w:bookmarkEnd w:id="18"/>
      <w:bookmarkEnd w:id="19"/>
      <w:bookmarkEnd w:id="20"/>
      <w:bookmarkEnd w:id="21"/>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Jon F. Kelly (Counsel of Record)</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Mary Ryan Fenlon</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AT&amp;T Services, Inc.</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150 E. Gay St., Rm. 4-A</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Columbus, Ohio 43215</w:t>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(614) 223-7928</w:t>
      </w:r>
    </w:p>
    <w:p w:rsidR="00F630EB" w:rsidRDefault="00F630EB" w:rsidP="00F630EB">
      <w:pPr>
        <w:tabs>
          <w:tab w:val="left" w:pos="-720"/>
        </w:tabs>
        <w:suppressAutoHyphens/>
        <w:spacing w:after="0" w:line="240" w:lineRule="auto"/>
        <w:rPr>
          <w:rFonts w:ascii="Times New Roman" w:hAnsi="Times New Roman"/>
          <w:sz w:val="24"/>
          <w:szCs w:val="24"/>
        </w:rPr>
      </w:pPr>
    </w:p>
    <w:p w:rsidR="00F630EB" w:rsidRDefault="00F630EB" w:rsidP="00F630EB">
      <w:pPr>
        <w:tabs>
          <w:tab w:val="left" w:pos="-720"/>
        </w:tabs>
        <w:suppressAutoHyphen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Its Attorneys</w:t>
      </w:r>
    </w:p>
    <w:p w:rsidR="00F630EB" w:rsidRDefault="00F630EB" w:rsidP="00B06094">
      <w:pPr>
        <w:spacing w:after="0" w:line="480" w:lineRule="auto"/>
        <w:rPr>
          <w:rFonts w:ascii="Times New Roman" w:hAnsi="Times New Roman"/>
          <w:sz w:val="24"/>
          <w:szCs w:val="24"/>
        </w:rPr>
      </w:pPr>
    </w:p>
    <w:p w:rsidR="00FF7BD7" w:rsidRDefault="00FF7BD7">
      <w:pPr>
        <w:spacing w:after="0" w:line="240" w:lineRule="auto"/>
        <w:rPr>
          <w:rFonts w:ascii="Times New Roman" w:hAnsi="Times New Roman"/>
          <w:sz w:val="16"/>
          <w:szCs w:val="16"/>
        </w:rPr>
      </w:pPr>
      <w:r>
        <w:rPr>
          <w:rFonts w:ascii="Times New Roman" w:hAnsi="Times New Roman"/>
          <w:sz w:val="16"/>
          <w:szCs w:val="16"/>
        </w:rPr>
        <w:t>10-1010.</w:t>
      </w:r>
      <w:r w:rsidR="00B06094">
        <w:rPr>
          <w:rFonts w:ascii="Times New Roman" w:hAnsi="Times New Roman"/>
          <w:sz w:val="16"/>
          <w:szCs w:val="16"/>
        </w:rPr>
        <w:t>ar.</w:t>
      </w:r>
      <w:r w:rsidR="00BA3937">
        <w:rPr>
          <w:rFonts w:ascii="Times New Roman" w:hAnsi="Times New Roman"/>
          <w:sz w:val="16"/>
          <w:szCs w:val="16"/>
        </w:rPr>
        <w:t>memo contra</w:t>
      </w:r>
      <w:r w:rsidR="00E738C2">
        <w:rPr>
          <w:rFonts w:ascii="Times New Roman" w:hAnsi="Times New Roman"/>
          <w:sz w:val="16"/>
          <w:szCs w:val="16"/>
        </w:rPr>
        <w:t xml:space="preserve"> optc</w:t>
      </w:r>
      <w:r w:rsidR="00480375">
        <w:rPr>
          <w:rFonts w:ascii="Times New Roman" w:hAnsi="Times New Roman"/>
          <w:sz w:val="16"/>
          <w:szCs w:val="16"/>
        </w:rPr>
        <w:t>.</w:t>
      </w:r>
      <w:r w:rsidR="00775173">
        <w:rPr>
          <w:rFonts w:ascii="Times New Roman" w:hAnsi="Times New Roman"/>
          <w:sz w:val="16"/>
          <w:szCs w:val="16"/>
        </w:rPr>
        <w:t>2-2</w:t>
      </w:r>
      <w:r w:rsidR="00085623">
        <w:rPr>
          <w:rFonts w:ascii="Times New Roman" w:hAnsi="Times New Roman"/>
          <w:sz w:val="16"/>
          <w:szCs w:val="16"/>
        </w:rPr>
        <w:t>8</w:t>
      </w:r>
      <w:r w:rsidR="00775173">
        <w:rPr>
          <w:rFonts w:ascii="Times New Roman" w:hAnsi="Times New Roman"/>
          <w:sz w:val="16"/>
          <w:szCs w:val="16"/>
        </w:rPr>
        <w:t>-11</w:t>
      </w:r>
      <w:r>
        <w:rPr>
          <w:rFonts w:ascii="Times New Roman" w:hAnsi="Times New Roman"/>
          <w:sz w:val="16"/>
          <w:szCs w:val="16"/>
        </w:rPr>
        <w:t>.docx</w:t>
      </w:r>
    </w:p>
    <w:sectPr w:rsidR="00FF7BD7" w:rsidSect="0067256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757" w:rsidRDefault="00814757">
      <w:pPr>
        <w:spacing w:after="0" w:line="240" w:lineRule="auto"/>
      </w:pPr>
      <w:r>
        <w:separator/>
      </w:r>
    </w:p>
  </w:endnote>
  <w:endnote w:type="continuationSeparator" w:id="0">
    <w:p w:rsidR="00814757" w:rsidRDefault="00814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BD7" w:rsidRDefault="00B0049F">
    <w:pPr>
      <w:pStyle w:val="Footer"/>
      <w:jc w:val="center"/>
      <w:rPr>
        <w:rFonts w:ascii="Times New Roman" w:hAnsi="Times New Roman"/>
        <w:sz w:val="24"/>
        <w:szCs w:val="24"/>
      </w:rPr>
    </w:pPr>
    <w:r>
      <w:rPr>
        <w:rFonts w:ascii="Times New Roman" w:hAnsi="Times New Roman"/>
        <w:sz w:val="24"/>
        <w:szCs w:val="24"/>
      </w:rPr>
      <w:fldChar w:fldCharType="begin"/>
    </w:r>
    <w:r w:rsidR="00FF7BD7">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BB41E8">
      <w:rPr>
        <w:rFonts w:ascii="Times New Roman" w:hAnsi="Times New Roman"/>
        <w:noProof/>
        <w:sz w:val="24"/>
        <w:szCs w:val="24"/>
      </w:rPr>
      <w:t>1</w:t>
    </w:r>
    <w:r>
      <w:rPr>
        <w:rFonts w:ascii="Times New Roman" w:hAnsi="Times New Roman"/>
        <w:sz w:val="24"/>
        <w:szCs w:val="24"/>
      </w:rPr>
      <w:fldChar w:fldCharType="end"/>
    </w:r>
  </w:p>
  <w:p w:rsidR="00FF7BD7" w:rsidRDefault="00FF7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757" w:rsidRDefault="00814757">
      <w:pPr>
        <w:spacing w:after="0" w:line="240" w:lineRule="auto"/>
      </w:pPr>
      <w:r>
        <w:separator/>
      </w:r>
    </w:p>
  </w:footnote>
  <w:footnote w:type="continuationSeparator" w:id="0">
    <w:p w:rsidR="00814757" w:rsidRDefault="00814757">
      <w:pPr>
        <w:spacing w:after="0" w:line="240" w:lineRule="auto"/>
      </w:pPr>
      <w:r>
        <w:continuationSeparator/>
      </w:r>
    </w:p>
  </w:footnote>
  <w:footnote w:id="1">
    <w:p w:rsidR="00FF2887" w:rsidRDefault="00FF2887">
      <w:pPr>
        <w:pStyle w:val="FootnoteText"/>
      </w:pPr>
      <w:r>
        <w:rPr>
          <w:rStyle w:val="FootnoteReference"/>
        </w:rPr>
        <w:footnoteRef/>
      </w:r>
      <w:r>
        <w:t xml:space="preserve"> </w:t>
      </w:r>
      <w:r>
        <w:rPr>
          <w:rFonts w:ascii="Times New Roman" w:hAnsi="Times New Roman"/>
          <w:sz w:val="18"/>
          <w:szCs w:val="18"/>
        </w:rPr>
        <w:t xml:space="preserve">The AT&amp;T Entities are The Ohio Bell Telephone Company d/b/a AT&amp;T Ohio, AT&amp;T Communications of Ohio, Inc., TCG Ohio, SBC Long Distance d/b/a AT&amp;T Long Distance, SNET America, Inc. d/b/a AT&amp;T Long Distance East, AT&amp;T Corp. d/b/a AT&amp;T Advanced Solutions, </w:t>
      </w:r>
      <w:r w:rsidR="00CA6B83" w:rsidRPr="00CA6B83">
        <w:rPr>
          <w:rFonts w:ascii="Times New Roman" w:hAnsi="Times New Roman"/>
          <w:sz w:val="18"/>
          <w:szCs w:val="18"/>
        </w:rPr>
        <w:t>BellSouth Long Distance, Inc. d/b/a AT&amp;T Long Distance Service</w:t>
      </w:r>
      <w:r w:rsidR="00CA6B83">
        <w:rPr>
          <w:rFonts w:ascii="Times New Roman" w:hAnsi="Times New Roman"/>
          <w:sz w:val="18"/>
          <w:szCs w:val="18"/>
        </w:rPr>
        <w:t xml:space="preserve">, </w:t>
      </w:r>
      <w:r>
        <w:rPr>
          <w:rFonts w:ascii="Times New Roman" w:hAnsi="Times New Roman"/>
          <w:sz w:val="18"/>
          <w:szCs w:val="18"/>
        </w:rPr>
        <w:t>Cincinnati SMSA, L.P., and New Cingular Wireless PCS, LLC d/b/a AT&amp;T Mobility.</w:t>
      </w:r>
    </w:p>
  </w:footnote>
  <w:footnote w:id="2">
    <w:p w:rsidR="00BE6520" w:rsidRPr="00BE6520" w:rsidRDefault="00BE6520">
      <w:pPr>
        <w:pStyle w:val="FootnoteText"/>
        <w:rPr>
          <w:rFonts w:ascii="Times New Roman" w:hAnsi="Times New Roman"/>
          <w:sz w:val="18"/>
          <w:szCs w:val="18"/>
        </w:rPr>
      </w:pPr>
      <w:r>
        <w:rPr>
          <w:rStyle w:val="FootnoteReference"/>
        </w:rPr>
        <w:footnoteRef/>
      </w:r>
      <w:r>
        <w:t xml:space="preserve"> </w:t>
      </w:r>
      <w:r w:rsidRPr="00BE6520">
        <w:rPr>
          <w:rFonts w:ascii="Times New Roman" w:hAnsi="Times New Roman"/>
          <w:sz w:val="18"/>
          <w:szCs w:val="18"/>
        </w:rPr>
        <w:t xml:space="preserve">Inexplicably, the OPTC has apparently lost AARP Ohio as </w:t>
      </w:r>
      <w:r w:rsidR="00081A8F">
        <w:rPr>
          <w:rFonts w:ascii="Times New Roman" w:hAnsi="Times New Roman"/>
          <w:sz w:val="18"/>
          <w:szCs w:val="18"/>
        </w:rPr>
        <w:t xml:space="preserve">a </w:t>
      </w:r>
      <w:r w:rsidRPr="00BE6520">
        <w:rPr>
          <w:rFonts w:ascii="Times New Roman" w:hAnsi="Times New Roman"/>
          <w:sz w:val="18"/>
          <w:szCs w:val="18"/>
        </w:rPr>
        <w:t>member; th</w:t>
      </w:r>
      <w:r w:rsidR="00081A8F">
        <w:rPr>
          <w:rFonts w:ascii="Times New Roman" w:hAnsi="Times New Roman"/>
          <w:sz w:val="18"/>
          <w:szCs w:val="18"/>
        </w:rPr>
        <w:t>at</w:t>
      </w:r>
      <w:r w:rsidRPr="00BE6520">
        <w:rPr>
          <w:rFonts w:ascii="Times New Roman" w:hAnsi="Times New Roman"/>
          <w:sz w:val="18"/>
          <w:szCs w:val="18"/>
        </w:rPr>
        <w:t xml:space="preserve"> entit</w:t>
      </w:r>
      <w:r w:rsidR="00081A8F">
        <w:rPr>
          <w:rFonts w:ascii="Times New Roman" w:hAnsi="Times New Roman"/>
          <w:sz w:val="18"/>
          <w:szCs w:val="18"/>
        </w:rPr>
        <w:t>y</w:t>
      </w:r>
      <w:r w:rsidRPr="00BE6520">
        <w:rPr>
          <w:rFonts w:ascii="Times New Roman" w:hAnsi="Times New Roman"/>
          <w:sz w:val="18"/>
          <w:szCs w:val="18"/>
        </w:rPr>
        <w:t xml:space="preserve"> participated in the comments and reply comments filed by OPTC.</w:t>
      </w:r>
    </w:p>
  </w:footnote>
  <w:footnote w:id="3">
    <w:p w:rsidR="00726577" w:rsidRPr="00CA6B83" w:rsidRDefault="00726577" w:rsidP="00726577">
      <w:pPr>
        <w:rPr>
          <w:rFonts w:ascii="Times New Roman" w:hAnsi="Times New Roman"/>
          <w:sz w:val="18"/>
          <w:szCs w:val="18"/>
        </w:rPr>
      </w:pPr>
      <w:r>
        <w:rPr>
          <w:rStyle w:val="FootnoteReference"/>
        </w:rPr>
        <w:footnoteRef/>
      </w:r>
      <w:r>
        <w:t xml:space="preserve"> </w:t>
      </w:r>
      <w:r w:rsidR="002858F9" w:rsidRPr="002858F9">
        <w:rPr>
          <w:rFonts w:ascii="Times New Roman" w:hAnsi="Times New Roman"/>
          <w:sz w:val="18"/>
          <w:szCs w:val="18"/>
        </w:rPr>
        <w:t>Former R. C. § 4927.03(C) provided as follows:</w:t>
      </w:r>
    </w:p>
    <w:p w:rsidR="00726577" w:rsidRPr="00CA6B83" w:rsidRDefault="002858F9" w:rsidP="00726577">
      <w:pPr>
        <w:ind w:left="720"/>
        <w:rPr>
          <w:rFonts w:ascii="Times New Roman" w:hAnsi="Times New Roman"/>
          <w:sz w:val="18"/>
          <w:szCs w:val="18"/>
        </w:rPr>
      </w:pPr>
      <w:r w:rsidRPr="002858F9">
        <w:rPr>
          <w:rFonts w:ascii="Times New Roman" w:hAnsi="Times New Roman"/>
          <w:sz w:val="18"/>
          <w:szCs w:val="18"/>
        </w:rPr>
        <w:t xml:space="preserve">The public utilities commission has jurisdiction over every telephone company providing a public telecommunications service that has received an exemption or for which alternative regulatory requirements have been established pursuant to this section. As to any such company, the commission, after notice and hearing, may </w:t>
      </w:r>
      <w:r w:rsidRPr="002858F9">
        <w:rPr>
          <w:rFonts w:ascii="Times New Roman" w:hAnsi="Times New Roman"/>
          <w:i/>
          <w:sz w:val="18"/>
          <w:szCs w:val="18"/>
        </w:rPr>
        <w:t xml:space="preserve">abrogate </w:t>
      </w:r>
      <w:r w:rsidRPr="002858F9">
        <w:rPr>
          <w:rFonts w:ascii="Times New Roman" w:hAnsi="Times New Roman"/>
          <w:sz w:val="18"/>
          <w:szCs w:val="18"/>
        </w:rPr>
        <w:t xml:space="preserve">or modify any order so granting an exemption or establishing alternative requirements if it determines that the findings upon which the order was based are no longer valid and that the </w:t>
      </w:r>
      <w:r w:rsidRPr="002858F9">
        <w:rPr>
          <w:rFonts w:ascii="Times New Roman" w:hAnsi="Times New Roman"/>
          <w:i/>
          <w:sz w:val="18"/>
          <w:szCs w:val="18"/>
        </w:rPr>
        <w:t xml:space="preserve">abrogation </w:t>
      </w:r>
      <w:r w:rsidRPr="002858F9">
        <w:rPr>
          <w:rFonts w:ascii="Times New Roman" w:hAnsi="Times New Roman"/>
          <w:sz w:val="18"/>
          <w:szCs w:val="18"/>
        </w:rPr>
        <w:t xml:space="preserve">or modification is in the public interest. No such </w:t>
      </w:r>
      <w:r w:rsidRPr="002858F9">
        <w:rPr>
          <w:rFonts w:ascii="Times New Roman" w:hAnsi="Times New Roman"/>
          <w:i/>
          <w:sz w:val="18"/>
          <w:szCs w:val="18"/>
        </w:rPr>
        <w:t>abrogation</w:t>
      </w:r>
      <w:r w:rsidRPr="002858F9">
        <w:rPr>
          <w:rFonts w:ascii="Times New Roman" w:hAnsi="Times New Roman"/>
          <w:sz w:val="18"/>
          <w:szCs w:val="18"/>
        </w:rPr>
        <w:t xml:space="preserve"> or modification shall be made more than five years after the date an order granting an exemption or establishing alternative requirements under this section was entered upon the commission</w:t>
      </w:r>
      <w:r w:rsidR="003064DF">
        <w:rPr>
          <w:rFonts w:ascii="Times New Roman" w:hAnsi="Times New Roman"/>
          <w:sz w:val="18"/>
          <w:szCs w:val="18"/>
        </w:rPr>
        <w:t>'</w:t>
      </w:r>
      <w:r w:rsidRPr="002858F9">
        <w:rPr>
          <w:rFonts w:ascii="Times New Roman" w:hAnsi="Times New Roman"/>
          <w:sz w:val="18"/>
          <w:szCs w:val="18"/>
        </w:rPr>
        <w:t>s journal, unless the affected telephone company or companies consent.</w:t>
      </w:r>
    </w:p>
    <w:p w:rsidR="00726577" w:rsidRPr="00CA6B83" w:rsidRDefault="002858F9" w:rsidP="00726577">
      <w:pPr>
        <w:rPr>
          <w:rFonts w:ascii="Times New Roman" w:hAnsi="Times New Roman"/>
          <w:sz w:val="18"/>
          <w:szCs w:val="18"/>
        </w:rPr>
      </w:pPr>
      <w:r w:rsidRPr="002858F9">
        <w:rPr>
          <w:rFonts w:ascii="Times New Roman" w:hAnsi="Times New Roman"/>
          <w:sz w:val="18"/>
          <w:szCs w:val="18"/>
        </w:rPr>
        <w:t>(Emphasis added.)  That section was repealed effective September 13, 2010.</w:t>
      </w:r>
    </w:p>
    <w:p w:rsidR="00726577" w:rsidRDefault="00726577" w:rsidP="007265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7375E"/>
    <w:multiLevelType w:val="hybridMultilevel"/>
    <w:tmpl w:val="A1EA0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F7BD7"/>
    <w:rsid w:val="000108D9"/>
    <w:rsid w:val="00022462"/>
    <w:rsid w:val="00027DCD"/>
    <w:rsid w:val="000374FC"/>
    <w:rsid w:val="000428C7"/>
    <w:rsid w:val="00081A8F"/>
    <w:rsid w:val="00082541"/>
    <w:rsid w:val="00085623"/>
    <w:rsid w:val="000A57A9"/>
    <w:rsid w:val="000F1AAC"/>
    <w:rsid w:val="0012701B"/>
    <w:rsid w:val="00127DF5"/>
    <w:rsid w:val="00132CAA"/>
    <w:rsid w:val="00153AFB"/>
    <w:rsid w:val="0017277E"/>
    <w:rsid w:val="00191AE2"/>
    <w:rsid w:val="001925B4"/>
    <w:rsid w:val="001A763F"/>
    <w:rsid w:val="001B524C"/>
    <w:rsid w:val="001B6E60"/>
    <w:rsid w:val="001C6D7E"/>
    <w:rsid w:val="001D50F1"/>
    <w:rsid w:val="001D7863"/>
    <w:rsid w:val="001F53D9"/>
    <w:rsid w:val="00200E24"/>
    <w:rsid w:val="0020454D"/>
    <w:rsid w:val="00204FCC"/>
    <w:rsid w:val="002122A0"/>
    <w:rsid w:val="0021781B"/>
    <w:rsid w:val="0022131B"/>
    <w:rsid w:val="00225C57"/>
    <w:rsid w:val="00243339"/>
    <w:rsid w:val="00245FA1"/>
    <w:rsid w:val="00270D50"/>
    <w:rsid w:val="002858F9"/>
    <w:rsid w:val="002936BB"/>
    <w:rsid w:val="002B28C4"/>
    <w:rsid w:val="002C0119"/>
    <w:rsid w:val="002E2DDC"/>
    <w:rsid w:val="002E6D6E"/>
    <w:rsid w:val="002F7EE7"/>
    <w:rsid w:val="003040B8"/>
    <w:rsid w:val="003064DF"/>
    <w:rsid w:val="0030714A"/>
    <w:rsid w:val="0031679B"/>
    <w:rsid w:val="00330B94"/>
    <w:rsid w:val="00355A51"/>
    <w:rsid w:val="00391A2A"/>
    <w:rsid w:val="003A396B"/>
    <w:rsid w:val="003B303D"/>
    <w:rsid w:val="003B4B79"/>
    <w:rsid w:val="003C673B"/>
    <w:rsid w:val="003D1DD1"/>
    <w:rsid w:val="003E4493"/>
    <w:rsid w:val="003E54FF"/>
    <w:rsid w:val="003F3A2E"/>
    <w:rsid w:val="0040101B"/>
    <w:rsid w:val="0040758B"/>
    <w:rsid w:val="00417233"/>
    <w:rsid w:val="00457D62"/>
    <w:rsid w:val="004722BA"/>
    <w:rsid w:val="00480375"/>
    <w:rsid w:val="004813A3"/>
    <w:rsid w:val="00485EF2"/>
    <w:rsid w:val="00492036"/>
    <w:rsid w:val="00494AC7"/>
    <w:rsid w:val="004B0A35"/>
    <w:rsid w:val="004B206B"/>
    <w:rsid w:val="004B7C14"/>
    <w:rsid w:val="004C2AC1"/>
    <w:rsid w:val="004F25AE"/>
    <w:rsid w:val="00531E4E"/>
    <w:rsid w:val="00547A24"/>
    <w:rsid w:val="00575C66"/>
    <w:rsid w:val="00584D5F"/>
    <w:rsid w:val="005916ED"/>
    <w:rsid w:val="005937E8"/>
    <w:rsid w:val="005A11BD"/>
    <w:rsid w:val="005A1EE3"/>
    <w:rsid w:val="005A2A70"/>
    <w:rsid w:val="005A7C32"/>
    <w:rsid w:val="005B31DA"/>
    <w:rsid w:val="005C42B2"/>
    <w:rsid w:val="005C467B"/>
    <w:rsid w:val="005C75AD"/>
    <w:rsid w:val="005E3E90"/>
    <w:rsid w:val="005F444C"/>
    <w:rsid w:val="00606B49"/>
    <w:rsid w:val="00645F9A"/>
    <w:rsid w:val="0065153C"/>
    <w:rsid w:val="0067256B"/>
    <w:rsid w:val="006A20BF"/>
    <w:rsid w:val="006B0CC2"/>
    <w:rsid w:val="006B5467"/>
    <w:rsid w:val="006D5FCC"/>
    <w:rsid w:val="00703F43"/>
    <w:rsid w:val="0072415F"/>
    <w:rsid w:val="00726577"/>
    <w:rsid w:val="0072720F"/>
    <w:rsid w:val="0072798E"/>
    <w:rsid w:val="0073745C"/>
    <w:rsid w:val="00751C18"/>
    <w:rsid w:val="00752067"/>
    <w:rsid w:val="00754EBE"/>
    <w:rsid w:val="00775173"/>
    <w:rsid w:val="00781BAA"/>
    <w:rsid w:val="007A2679"/>
    <w:rsid w:val="007A3A9C"/>
    <w:rsid w:val="007F51BF"/>
    <w:rsid w:val="00804253"/>
    <w:rsid w:val="00814757"/>
    <w:rsid w:val="008166D1"/>
    <w:rsid w:val="00866C6E"/>
    <w:rsid w:val="0086773E"/>
    <w:rsid w:val="00881D3F"/>
    <w:rsid w:val="00885514"/>
    <w:rsid w:val="00886432"/>
    <w:rsid w:val="0089263E"/>
    <w:rsid w:val="008A7967"/>
    <w:rsid w:val="008B2A52"/>
    <w:rsid w:val="008B6F84"/>
    <w:rsid w:val="008C0B5F"/>
    <w:rsid w:val="008C5158"/>
    <w:rsid w:val="008D07F6"/>
    <w:rsid w:val="008D17F4"/>
    <w:rsid w:val="008D2302"/>
    <w:rsid w:val="008D4BAD"/>
    <w:rsid w:val="008E551E"/>
    <w:rsid w:val="008F1324"/>
    <w:rsid w:val="008F7DA3"/>
    <w:rsid w:val="00920885"/>
    <w:rsid w:val="00942ED3"/>
    <w:rsid w:val="00962847"/>
    <w:rsid w:val="009738E1"/>
    <w:rsid w:val="0098207C"/>
    <w:rsid w:val="00983BB0"/>
    <w:rsid w:val="009907CF"/>
    <w:rsid w:val="009933B6"/>
    <w:rsid w:val="009A081E"/>
    <w:rsid w:val="009B0AC3"/>
    <w:rsid w:val="009C7C87"/>
    <w:rsid w:val="009E6C3A"/>
    <w:rsid w:val="009F2246"/>
    <w:rsid w:val="00A10D25"/>
    <w:rsid w:val="00A2633E"/>
    <w:rsid w:val="00A26FEA"/>
    <w:rsid w:val="00A3342C"/>
    <w:rsid w:val="00A474D0"/>
    <w:rsid w:val="00A5086A"/>
    <w:rsid w:val="00A52A2C"/>
    <w:rsid w:val="00A71399"/>
    <w:rsid w:val="00A805CA"/>
    <w:rsid w:val="00A8239B"/>
    <w:rsid w:val="00A97072"/>
    <w:rsid w:val="00AA1555"/>
    <w:rsid w:val="00AB3AC2"/>
    <w:rsid w:val="00AB6A11"/>
    <w:rsid w:val="00AC3737"/>
    <w:rsid w:val="00AD36CC"/>
    <w:rsid w:val="00AE3CD1"/>
    <w:rsid w:val="00AE4F98"/>
    <w:rsid w:val="00AE73EE"/>
    <w:rsid w:val="00B0049F"/>
    <w:rsid w:val="00B06094"/>
    <w:rsid w:val="00B06EBB"/>
    <w:rsid w:val="00B129E6"/>
    <w:rsid w:val="00B1524A"/>
    <w:rsid w:val="00B2127E"/>
    <w:rsid w:val="00B214FD"/>
    <w:rsid w:val="00B25184"/>
    <w:rsid w:val="00B56660"/>
    <w:rsid w:val="00B63174"/>
    <w:rsid w:val="00B65770"/>
    <w:rsid w:val="00B76C26"/>
    <w:rsid w:val="00BA1396"/>
    <w:rsid w:val="00BA3606"/>
    <w:rsid w:val="00BA3937"/>
    <w:rsid w:val="00BB41E8"/>
    <w:rsid w:val="00BE17D8"/>
    <w:rsid w:val="00BE6520"/>
    <w:rsid w:val="00C018BF"/>
    <w:rsid w:val="00C02BEF"/>
    <w:rsid w:val="00C208B9"/>
    <w:rsid w:val="00C42DD0"/>
    <w:rsid w:val="00C57F55"/>
    <w:rsid w:val="00C64DA6"/>
    <w:rsid w:val="00C717EB"/>
    <w:rsid w:val="00C75DDF"/>
    <w:rsid w:val="00C822C8"/>
    <w:rsid w:val="00CA6B83"/>
    <w:rsid w:val="00CC368D"/>
    <w:rsid w:val="00CD0E70"/>
    <w:rsid w:val="00CE6C28"/>
    <w:rsid w:val="00D12F73"/>
    <w:rsid w:val="00D163F3"/>
    <w:rsid w:val="00D221AD"/>
    <w:rsid w:val="00D42F6A"/>
    <w:rsid w:val="00D503E6"/>
    <w:rsid w:val="00D65337"/>
    <w:rsid w:val="00D82469"/>
    <w:rsid w:val="00DB621E"/>
    <w:rsid w:val="00DC2FE7"/>
    <w:rsid w:val="00DD3A2A"/>
    <w:rsid w:val="00DD6AFA"/>
    <w:rsid w:val="00DE29E0"/>
    <w:rsid w:val="00E05641"/>
    <w:rsid w:val="00E05C1B"/>
    <w:rsid w:val="00E50591"/>
    <w:rsid w:val="00E576C7"/>
    <w:rsid w:val="00E738C2"/>
    <w:rsid w:val="00E91129"/>
    <w:rsid w:val="00E91423"/>
    <w:rsid w:val="00EA512A"/>
    <w:rsid w:val="00EC035A"/>
    <w:rsid w:val="00EC1FE6"/>
    <w:rsid w:val="00EC25E2"/>
    <w:rsid w:val="00EC30BC"/>
    <w:rsid w:val="00EC6ABB"/>
    <w:rsid w:val="00ED31F0"/>
    <w:rsid w:val="00EF0283"/>
    <w:rsid w:val="00F0346C"/>
    <w:rsid w:val="00F03985"/>
    <w:rsid w:val="00F22CA3"/>
    <w:rsid w:val="00F23321"/>
    <w:rsid w:val="00F36B0F"/>
    <w:rsid w:val="00F37771"/>
    <w:rsid w:val="00F41BFB"/>
    <w:rsid w:val="00F52228"/>
    <w:rsid w:val="00F630EB"/>
    <w:rsid w:val="00F6653E"/>
    <w:rsid w:val="00FB7E2A"/>
    <w:rsid w:val="00FD18C2"/>
    <w:rsid w:val="00FE4BF7"/>
    <w:rsid w:val="00FF2887"/>
    <w:rsid w:val="00FF2E91"/>
    <w:rsid w:val="00FF7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E6"/>
    <w:pPr>
      <w:spacing w:after="200" w:line="276" w:lineRule="auto"/>
    </w:pPr>
  </w:style>
  <w:style w:type="paragraph" w:styleId="Heading1">
    <w:name w:val="heading 1"/>
    <w:basedOn w:val="Normal"/>
    <w:next w:val="Normal"/>
    <w:link w:val="Heading1Char"/>
    <w:uiPriority w:val="99"/>
    <w:qFormat/>
    <w:rsid w:val="00B129E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129E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29E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129E6"/>
    <w:rPr>
      <w:rFonts w:ascii="Cambria" w:hAnsi="Cambria" w:cs="Times New Roman"/>
      <w:b/>
      <w:bCs/>
      <w:color w:val="4F81BD"/>
      <w:sz w:val="26"/>
      <w:szCs w:val="26"/>
    </w:rPr>
  </w:style>
  <w:style w:type="paragraph" w:styleId="Header">
    <w:name w:val="header"/>
    <w:basedOn w:val="Normal"/>
    <w:link w:val="HeaderChar"/>
    <w:uiPriority w:val="99"/>
    <w:semiHidden/>
    <w:rsid w:val="00B129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129E6"/>
    <w:rPr>
      <w:rFonts w:cs="Times New Roman"/>
    </w:rPr>
  </w:style>
  <w:style w:type="paragraph" w:styleId="Footer">
    <w:name w:val="footer"/>
    <w:basedOn w:val="Normal"/>
    <w:link w:val="FooterChar"/>
    <w:uiPriority w:val="99"/>
    <w:rsid w:val="00B129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129E6"/>
    <w:rPr>
      <w:rFonts w:cs="Times New Roman"/>
    </w:rPr>
  </w:style>
  <w:style w:type="paragraph" w:styleId="FootnoteText">
    <w:name w:val="footnote text"/>
    <w:basedOn w:val="Normal"/>
    <w:link w:val="FootnoteTextChar"/>
    <w:uiPriority w:val="99"/>
    <w:semiHidden/>
    <w:rsid w:val="00B129E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129E6"/>
    <w:rPr>
      <w:rFonts w:cs="Times New Roman"/>
      <w:sz w:val="20"/>
      <w:szCs w:val="20"/>
    </w:rPr>
  </w:style>
  <w:style w:type="character" w:styleId="FootnoteReference">
    <w:name w:val="footnote reference"/>
    <w:basedOn w:val="DefaultParagraphFont"/>
    <w:uiPriority w:val="99"/>
    <w:semiHidden/>
    <w:rsid w:val="00B129E6"/>
    <w:rPr>
      <w:rFonts w:cs="Times New Roman"/>
      <w:vertAlign w:val="superscript"/>
    </w:rPr>
  </w:style>
  <w:style w:type="paragraph" w:styleId="TOC1">
    <w:name w:val="toc 1"/>
    <w:basedOn w:val="Normal"/>
    <w:next w:val="Normal"/>
    <w:autoRedefine/>
    <w:uiPriority w:val="39"/>
    <w:rsid w:val="00B129E6"/>
    <w:pPr>
      <w:spacing w:after="100"/>
    </w:pPr>
  </w:style>
  <w:style w:type="paragraph" w:styleId="TOC2">
    <w:name w:val="toc 2"/>
    <w:basedOn w:val="Normal"/>
    <w:next w:val="Normal"/>
    <w:autoRedefine/>
    <w:uiPriority w:val="99"/>
    <w:rsid w:val="00B129E6"/>
    <w:pPr>
      <w:spacing w:after="100"/>
      <w:ind w:left="220"/>
    </w:pPr>
  </w:style>
  <w:style w:type="character" w:styleId="Hyperlink">
    <w:name w:val="Hyperlink"/>
    <w:basedOn w:val="DefaultParagraphFont"/>
    <w:uiPriority w:val="99"/>
    <w:rsid w:val="00B129E6"/>
    <w:rPr>
      <w:rFonts w:cs="Times New Roman"/>
      <w:color w:val="0000FF"/>
      <w:u w:val="single"/>
    </w:rPr>
  </w:style>
  <w:style w:type="paragraph" w:styleId="BalloonText">
    <w:name w:val="Balloon Text"/>
    <w:basedOn w:val="Normal"/>
    <w:link w:val="BalloonTextChar"/>
    <w:uiPriority w:val="99"/>
    <w:semiHidden/>
    <w:rsid w:val="00B12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29E6"/>
    <w:rPr>
      <w:rFonts w:ascii="Tahoma" w:hAnsi="Tahoma" w:cs="Tahoma"/>
      <w:sz w:val="16"/>
      <w:szCs w:val="16"/>
    </w:rPr>
  </w:style>
  <w:style w:type="character" w:styleId="CommentReference">
    <w:name w:val="annotation reference"/>
    <w:basedOn w:val="DefaultParagraphFont"/>
    <w:uiPriority w:val="99"/>
    <w:semiHidden/>
    <w:rsid w:val="00B129E6"/>
    <w:rPr>
      <w:rFonts w:cs="Times New Roman"/>
      <w:sz w:val="16"/>
      <w:szCs w:val="16"/>
    </w:rPr>
  </w:style>
  <w:style w:type="paragraph" w:styleId="CommentText">
    <w:name w:val="annotation text"/>
    <w:basedOn w:val="Normal"/>
    <w:link w:val="CommentTextChar"/>
    <w:uiPriority w:val="99"/>
    <w:semiHidden/>
    <w:rsid w:val="00B129E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29E6"/>
    <w:rPr>
      <w:rFonts w:cs="Times New Roman"/>
      <w:sz w:val="20"/>
      <w:szCs w:val="20"/>
    </w:rPr>
  </w:style>
  <w:style w:type="paragraph" w:styleId="CommentSubject">
    <w:name w:val="annotation subject"/>
    <w:basedOn w:val="CommentText"/>
    <w:next w:val="CommentText"/>
    <w:link w:val="CommentSubjectChar"/>
    <w:uiPriority w:val="99"/>
    <w:semiHidden/>
    <w:rsid w:val="00B129E6"/>
    <w:rPr>
      <w:b/>
      <w:bCs/>
    </w:rPr>
  </w:style>
  <w:style w:type="character" w:customStyle="1" w:styleId="CommentSubjectChar">
    <w:name w:val="Comment Subject Char"/>
    <w:basedOn w:val="CommentTextChar"/>
    <w:link w:val="CommentSubject"/>
    <w:uiPriority w:val="99"/>
    <w:semiHidden/>
    <w:locked/>
    <w:rsid w:val="00B129E6"/>
    <w:rPr>
      <w:b/>
      <w:bCs/>
    </w:rPr>
  </w:style>
  <w:style w:type="paragraph" w:styleId="ListParagraph">
    <w:name w:val="List Paragraph"/>
    <w:basedOn w:val="Normal"/>
    <w:uiPriority w:val="34"/>
    <w:qFormat/>
    <w:rsid w:val="002B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47963-FBCA-4DC0-BCBD-DA0266AA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jk2961</dc:creator>
  <cp:lastModifiedBy>jk2961</cp:lastModifiedBy>
  <cp:revision>2</cp:revision>
  <cp:lastPrinted>2011-02-25T22:15:00Z</cp:lastPrinted>
  <dcterms:created xsi:type="dcterms:W3CDTF">2011-02-28T14:38:00Z</dcterms:created>
  <dcterms:modified xsi:type="dcterms:W3CDTF">2011-02-28T14:38:00Z</dcterms:modified>
</cp:coreProperties>
</file>