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microsoft.com/office/2011/relationships/webextensiontaskpanes" Target="word/webextensions/taskpanes.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600A2D" w:rsidRPr="00B81AEF" w:rsidP="00600A2D">
      <w:pPr>
        <w:pStyle w:val="HTMLPreformatted"/>
        <w:jc w:val="center"/>
        <w:rPr>
          <w:rFonts w:ascii="Times New Roman" w:hAnsi="Times New Roman" w:cs="Times New Roman"/>
          <w:b/>
          <w:bCs/>
          <w:sz w:val="24"/>
          <w:szCs w:val="24"/>
        </w:rPr>
      </w:pPr>
      <w:bookmarkStart w:id="0" w:name="_GoBack"/>
      <w:bookmarkEnd w:id="0"/>
      <w:r w:rsidRPr="00B81AEF">
        <w:rPr>
          <w:rFonts w:ascii="Times New Roman" w:hAnsi="Times New Roman" w:cs="Times New Roman"/>
          <w:b/>
          <w:bCs/>
          <w:sz w:val="24"/>
          <w:szCs w:val="24"/>
        </w:rPr>
        <w:t xml:space="preserve"> BEFORE</w:t>
      </w:r>
    </w:p>
    <w:p w:rsidR="00600A2D" w:rsidRPr="00B81AEF" w:rsidP="00600A2D">
      <w:pPr>
        <w:pStyle w:val="HTMLPreformatted"/>
        <w:jc w:val="center"/>
        <w:rPr>
          <w:rFonts w:ascii="Times New Roman" w:hAnsi="Times New Roman" w:cs="Times New Roman"/>
          <w:b/>
          <w:bCs/>
          <w:sz w:val="24"/>
          <w:szCs w:val="24"/>
        </w:rPr>
      </w:pPr>
      <w:r w:rsidRPr="00B81AEF">
        <w:rPr>
          <w:rFonts w:ascii="Times New Roman" w:hAnsi="Times New Roman" w:cs="Times New Roman"/>
          <w:b/>
          <w:bCs/>
          <w:sz w:val="24"/>
          <w:szCs w:val="24"/>
        </w:rPr>
        <w:t>THE PUBLIC UTILITIES COMMISSION OF OHIO</w:t>
      </w:r>
    </w:p>
    <w:p w:rsidR="00600A2D" w:rsidRPr="00B81AEF" w:rsidP="00600A2D">
      <w:pPr>
        <w:pStyle w:val="HTMLPreformatted"/>
        <w:jc w:val="center"/>
        <w:rPr>
          <w:rFonts w:ascii="Times New Roman" w:hAnsi="Times New Roman" w:cs="Times New Roman"/>
          <w:b/>
          <w:bCs/>
          <w:sz w:val="24"/>
          <w:szCs w:val="24"/>
        </w:rPr>
      </w:pPr>
    </w:p>
    <w:tbl>
      <w:tblPr>
        <w:tblW w:w="9998" w:type="dxa"/>
        <w:tblLook w:val="01E0"/>
      </w:tblPr>
      <w:tblGrid>
        <w:gridCol w:w="5238"/>
        <w:gridCol w:w="360"/>
        <w:gridCol w:w="4400"/>
      </w:tblGrid>
      <w:tr w:rsidTr="00600A2D">
        <w:tblPrEx>
          <w:tblW w:w="9998" w:type="dxa"/>
          <w:tblLook w:val="01E0"/>
        </w:tblPrEx>
        <w:trPr>
          <w:trHeight w:val="807"/>
        </w:trPr>
        <w:tc>
          <w:tcPr>
            <w:tcW w:w="5238" w:type="dxa"/>
            <w:shd w:val="clear" w:color="auto" w:fill="auto"/>
          </w:tcPr>
          <w:p w:rsidR="00600A2D" w:rsidRPr="00B81AEF" w:rsidP="00600A2D">
            <w:pPr>
              <w:pStyle w:val="HTMLPreformatted"/>
              <w:rPr>
                <w:rFonts w:ascii="Times New Roman" w:hAnsi="Times New Roman" w:cs="Times New Roman"/>
                <w:sz w:val="24"/>
                <w:szCs w:val="24"/>
              </w:rPr>
            </w:pPr>
            <w:r w:rsidRPr="00B81AEF">
              <w:rPr>
                <w:rFonts w:ascii="Times New Roman" w:hAnsi="Times New Roman" w:cs="Times New Roman"/>
                <w:sz w:val="24"/>
                <w:szCs w:val="24"/>
              </w:rPr>
              <w:t xml:space="preserve">In the Matter of the </w:t>
            </w:r>
            <w:r w:rsidRPr="00B81AEF" w:rsidR="00480BA8">
              <w:rPr>
                <w:rFonts w:ascii="Times New Roman" w:hAnsi="Times New Roman" w:cs="Times New Roman"/>
                <w:sz w:val="24"/>
                <w:szCs w:val="24"/>
              </w:rPr>
              <w:t>Application of Columbia Gas of Ohio, Inc. for Approval of an Alternative Form of Regulation to Establish a Capital Expenditure Program Rider Mechanism</w:t>
            </w:r>
            <w:r w:rsidRPr="00B81AEF">
              <w:rPr>
                <w:rFonts w:ascii="Times New Roman" w:hAnsi="Times New Roman" w:cs="Times New Roman"/>
                <w:sz w:val="24"/>
                <w:szCs w:val="24"/>
              </w:rPr>
              <w:t>.</w:t>
            </w:r>
          </w:p>
        </w:tc>
        <w:tc>
          <w:tcPr>
            <w:tcW w:w="360" w:type="dxa"/>
            <w:shd w:val="clear" w:color="auto" w:fill="auto"/>
          </w:tcPr>
          <w:p w:rsidR="00600A2D" w:rsidRPr="00B81AEF" w:rsidP="00600A2D">
            <w:pPr>
              <w:pStyle w:val="HTMLPreformatted"/>
              <w:rPr>
                <w:rFonts w:ascii="Times New Roman" w:hAnsi="Times New Roman" w:cs="Times New Roman"/>
                <w:sz w:val="24"/>
              </w:rPr>
            </w:pPr>
            <w:r w:rsidRPr="00B81AEF">
              <w:rPr>
                <w:rFonts w:ascii="Times New Roman" w:hAnsi="Times New Roman" w:cs="Times New Roman"/>
                <w:sz w:val="24"/>
              </w:rPr>
              <w:t>)</w:t>
            </w:r>
          </w:p>
          <w:p w:rsidR="00600A2D" w:rsidRPr="00B81AEF" w:rsidP="00600A2D">
            <w:pPr>
              <w:pStyle w:val="HTMLPreformatted"/>
              <w:rPr>
                <w:rFonts w:ascii="Times New Roman" w:hAnsi="Times New Roman" w:cs="Times New Roman"/>
                <w:sz w:val="24"/>
              </w:rPr>
            </w:pPr>
            <w:r w:rsidRPr="00B81AEF">
              <w:rPr>
                <w:rFonts w:ascii="Times New Roman" w:hAnsi="Times New Roman" w:cs="Times New Roman"/>
                <w:sz w:val="24"/>
              </w:rPr>
              <w:t>)</w:t>
            </w:r>
          </w:p>
          <w:p w:rsidR="00600A2D" w:rsidRPr="00B81AEF" w:rsidP="00600A2D">
            <w:pPr>
              <w:pStyle w:val="HTMLPreformatted"/>
              <w:rPr>
                <w:rFonts w:ascii="Times New Roman" w:hAnsi="Times New Roman" w:cs="Times New Roman"/>
                <w:sz w:val="24"/>
              </w:rPr>
            </w:pPr>
            <w:r w:rsidRPr="00B81AEF">
              <w:rPr>
                <w:rFonts w:ascii="Times New Roman" w:hAnsi="Times New Roman" w:cs="Times New Roman"/>
                <w:sz w:val="24"/>
              </w:rPr>
              <w:t>)</w:t>
            </w:r>
          </w:p>
          <w:p w:rsidR="00600A2D" w:rsidRPr="00B81AEF" w:rsidP="00600A2D">
            <w:pPr>
              <w:pStyle w:val="HTMLPreformatted"/>
              <w:rPr>
                <w:rFonts w:ascii="Times New Roman" w:hAnsi="Times New Roman" w:cs="Times New Roman"/>
                <w:sz w:val="24"/>
              </w:rPr>
            </w:pPr>
            <w:r w:rsidRPr="00B81AEF">
              <w:rPr>
                <w:rFonts w:ascii="Times New Roman" w:hAnsi="Times New Roman" w:cs="Times New Roman"/>
                <w:sz w:val="24"/>
              </w:rPr>
              <w:t>)</w:t>
            </w:r>
          </w:p>
        </w:tc>
        <w:tc>
          <w:tcPr>
            <w:tcW w:w="4400" w:type="dxa"/>
            <w:shd w:val="clear" w:color="auto" w:fill="auto"/>
          </w:tcPr>
          <w:p w:rsidR="00600A2D" w:rsidRPr="00B81AEF" w:rsidP="00600A2D">
            <w:pPr>
              <w:pStyle w:val="HTMLPreformatted"/>
              <w:rPr>
                <w:rFonts w:ascii="Times New Roman" w:hAnsi="Times New Roman" w:cs="Times New Roman"/>
                <w:sz w:val="24"/>
              </w:rPr>
            </w:pPr>
          </w:p>
          <w:p w:rsidR="00600A2D" w:rsidRPr="00B81AEF" w:rsidP="00600A2D">
            <w:pPr>
              <w:pStyle w:val="HTMLPreformatted"/>
              <w:rPr>
                <w:rFonts w:ascii="Times New Roman" w:hAnsi="Times New Roman" w:cs="Times New Roman"/>
                <w:sz w:val="24"/>
              </w:rPr>
            </w:pPr>
            <w:r w:rsidRPr="00B81AEF">
              <w:rPr>
                <w:rFonts w:ascii="Times New Roman" w:hAnsi="Times New Roman" w:cs="Times New Roman"/>
                <w:sz w:val="24"/>
              </w:rPr>
              <w:t>Case No. 17-</w:t>
            </w:r>
            <w:r w:rsidRPr="00B81AEF" w:rsidR="00480BA8">
              <w:rPr>
                <w:rFonts w:ascii="Times New Roman" w:hAnsi="Times New Roman" w:cs="Times New Roman"/>
                <w:sz w:val="24"/>
              </w:rPr>
              <w:t>22</w:t>
            </w:r>
            <w:r w:rsidR="00502587">
              <w:rPr>
                <w:rFonts w:ascii="Times New Roman" w:hAnsi="Times New Roman" w:cs="Times New Roman"/>
                <w:sz w:val="24"/>
              </w:rPr>
              <w:t>0</w:t>
            </w:r>
            <w:r w:rsidRPr="00B81AEF" w:rsidR="00480BA8">
              <w:rPr>
                <w:rFonts w:ascii="Times New Roman" w:hAnsi="Times New Roman" w:cs="Times New Roman"/>
                <w:sz w:val="24"/>
              </w:rPr>
              <w:t>2</w:t>
            </w:r>
            <w:r w:rsidRPr="00B81AEF">
              <w:rPr>
                <w:rFonts w:ascii="Times New Roman" w:hAnsi="Times New Roman" w:cs="Times New Roman"/>
                <w:sz w:val="24"/>
              </w:rPr>
              <w:t>-</w:t>
            </w:r>
            <w:r w:rsidRPr="00B81AEF" w:rsidR="00480BA8">
              <w:rPr>
                <w:rFonts w:ascii="Times New Roman" w:hAnsi="Times New Roman" w:cs="Times New Roman"/>
                <w:sz w:val="24"/>
              </w:rPr>
              <w:t>GA</w:t>
            </w:r>
            <w:r w:rsidRPr="00B81AEF">
              <w:rPr>
                <w:rFonts w:ascii="Times New Roman" w:hAnsi="Times New Roman" w:cs="Times New Roman"/>
                <w:sz w:val="24"/>
              </w:rPr>
              <w:t>-</w:t>
            </w:r>
            <w:r w:rsidRPr="00B81AEF" w:rsidR="00480BA8">
              <w:rPr>
                <w:rFonts w:ascii="Times New Roman" w:hAnsi="Times New Roman" w:cs="Times New Roman"/>
                <w:sz w:val="24"/>
              </w:rPr>
              <w:t>ALT</w:t>
            </w:r>
          </w:p>
          <w:p w:rsidR="00600A2D" w:rsidRPr="00B81AEF" w:rsidP="00600A2D">
            <w:pPr>
              <w:pStyle w:val="HTMLPreformatted"/>
              <w:rPr>
                <w:rFonts w:ascii="Times New Roman" w:hAnsi="Times New Roman" w:cs="Times New Roman"/>
                <w:sz w:val="24"/>
              </w:rPr>
            </w:pPr>
          </w:p>
          <w:p w:rsidR="00600A2D" w:rsidRPr="00B81AEF" w:rsidP="00600A2D">
            <w:pPr>
              <w:pStyle w:val="HTMLPreformatted"/>
              <w:rPr>
                <w:rFonts w:ascii="Times New Roman" w:hAnsi="Times New Roman" w:cs="Times New Roman"/>
                <w:sz w:val="24"/>
              </w:rPr>
            </w:pPr>
          </w:p>
        </w:tc>
      </w:tr>
    </w:tbl>
    <w:p w:rsidR="00600A2D" w:rsidRPr="00B81AEF" w:rsidP="00600A2D">
      <w:pPr>
        <w:pStyle w:val="HTMLPreformatted"/>
        <w:pBdr>
          <w:bottom w:val="single" w:sz="12" w:space="1" w:color="auto"/>
        </w:pBdr>
        <w:rPr>
          <w:rFonts w:ascii="Times New Roman" w:hAnsi="Times New Roman" w:cs="Times New Roman"/>
          <w:b/>
          <w:bCs/>
          <w:sz w:val="24"/>
          <w:szCs w:val="24"/>
        </w:rPr>
      </w:pPr>
    </w:p>
    <w:p w:rsidR="00600A2D" w:rsidRPr="00B81AEF" w:rsidP="00600A2D">
      <w:pPr>
        <w:pStyle w:val="HTMLPreformatted"/>
        <w:rPr>
          <w:rFonts w:ascii="Times New Roman" w:hAnsi="Times New Roman" w:cs="Times New Roman"/>
          <w:b/>
          <w:bCs/>
          <w:i/>
          <w:sz w:val="24"/>
          <w:szCs w:val="24"/>
        </w:rPr>
      </w:pPr>
    </w:p>
    <w:p w:rsidR="00480BA8" w:rsidRPr="00B81AEF" w:rsidP="00480BA8">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 xml:space="preserve">CONSUMER PROTECTION </w:t>
      </w:r>
      <w:r w:rsidRPr="00B81AEF">
        <w:rPr>
          <w:rFonts w:ascii="Times New Roman" w:hAnsi="Times New Roman" w:cs="Times New Roman"/>
          <w:b/>
          <w:bCs/>
          <w:sz w:val="24"/>
          <w:szCs w:val="24"/>
        </w:rPr>
        <w:t xml:space="preserve">OBJECTIONS TO THE PUCO STAFF </w:t>
      </w:r>
      <w:r>
        <w:rPr>
          <w:rFonts w:ascii="Times New Roman" w:hAnsi="Times New Roman" w:cs="Times New Roman"/>
          <w:b/>
          <w:bCs/>
          <w:sz w:val="24"/>
          <w:szCs w:val="24"/>
        </w:rPr>
        <w:t>REPORT</w:t>
      </w:r>
    </w:p>
    <w:p w:rsidR="00600A2D" w:rsidRPr="00B81AEF" w:rsidP="00600A2D">
      <w:pPr>
        <w:pStyle w:val="HTMLPreformatted"/>
        <w:pBdr>
          <w:bottom w:val="single" w:sz="12" w:space="1" w:color="auto"/>
        </w:pBdr>
        <w:jc w:val="center"/>
        <w:rPr>
          <w:rFonts w:ascii="Times New Roman" w:hAnsi="Times New Roman" w:cs="Times New Roman"/>
          <w:b/>
          <w:bCs/>
          <w:sz w:val="24"/>
          <w:szCs w:val="24"/>
        </w:rPr>
      </w:pPr>
      <w:r w:rsidRPr="00B81AEF">
        <w:rPr>
          <w:rFonts w:ascii="Times New Roman" w:hAnsi="Times New Roman" w:cs="Times New Roman"/>
          <w:b/>
          <w:bCs/>
          <w:sz w:val="24"/>
          <w:szCs w:val="24"/>
        </w:rPr>
        <w:t xml:space="preserve">BY </w:t>
      </w:r>
    </w:p>
    <w:p w:rsidR="00600A2D" w:rsidRPr="00B81AEF" w:rsidP="00600A2D">
      <w:pPr>
        <w:pStyle w:val="HTMLPreformatted"/>
        <w:pBdr>
          <w:bottom w:val="single" w:sz="12" w:space="1" w:color="auto"/>
        </w:pBdr>
        <w:jc w:val="center"/>
        <w:rPr>
          <w:rFonts w:ascii="Times New Roman" w:hAnsi="Times New Roman" w:cs="Times New Roman"/>
          <w:b/>
          <w:bCs/>
          <w:sz w:val="24"/>
          <w:szCs w:val="24"/>
        </w:rPr>
      </w:pPr>
      <w:r w:rsidRPr="00B81AEF">
        <w:rPr>
          <w:rFonts w:ascii="Times New Roman" w:hAnsi="Times New Roman" w:cs="Times New Roman"/>
          <w:b/>
          <w:bCs/>
          <w:sz w:val="24"/>
          <w:szCs w:val="24"/>
        </w:rPr>
        <w:t>THE OFFICE OF THE OHIO CONSUMERS' COUNSEL</w:t>
      </w:r>
    </w:p>
    <w:p w:rsidR="00600A2D" w:rsidRPr="00B81AEF" w:rsidP="00600A2D">
      <w:pPr>
        <w:pStyle w:val="HTMLPreformatted"/>
        <w:pBdr>
          <w:bottom w:val="single" w:sz="12" w:space="1" w:color="auto"/>
        </w:pBdr>
        <w:jc w:val="center"/>
        <w:rPr>
          <w:rFonts w:ascii="Times New Roman" w:hAnsi="Times New Roman" w:cs="Times New Roman"/>
          <w:b/>
          <w:bCs/>
          <w:sz w:val="24"/>
          <w:szCs w:val="24"/>
        </w:rPr>
      </w:pPr>
    </w:p>
    <w:p w:rsidR="00600A2D" w:rsidRPr="00B81AEF">
      <w:pPr>
        <w:rPr>
          <w:rFonts w:eastAsia="Courier New" w:cs="Times New Roman"/>
          <w:b/>
          <w:bCs/>
          <w:szCs w:val="24"/>
        </w:rPr>
      </w:pPr>
    </w:p>
    <w:p w:rsidR="00600A2D" w:rsidRPr="00B81AEF" w:rsidP="00600A2D">
      <w:pPr>
        <w:pStyle w:val="HTMLPreformatted"/>
        <w:jc w:val="center"/>
        <w:rPr>
          <w:rFonts w:ascii="Times New Roman" w:hAnsi="Times New Roman" w:cs="Times New Roman"/>
          <w:b/>
          <w:bCs/>
          <w:sz w:val="24"/>
          <w:szCs w:val="24"/>
        </w:rPr>
      </w:pPr>
    </w:p>
    <w:p w:rsidR="00600A2D" w:rsidRPr="00B81AEF" w:rsidP="00600A2D">
      <w:pPr>
        <w:pStyle w:val="HTMLPreformatted"/>
        <w:jc w:val="center"/>
        <w:rPr>
          <w:rFonts w:ascii="Times New Roman" w:hAnsi="Times New Roman" w:cs="Times New Roman"/>
          <w:b/>
          <w:bCs/>
          <w:sz w:val="24"/>
          <w:szCs w:val="24"/>
        </w:rPr>
      </w:pPr>
    </w:p>
    <w:p w:rsidR="00600A2D" w:rsidRPr="00B81AEF" w:rsidP="00600A2D">
      <w:pPr>
        <w:pStyle w:val="HTMLPreformatted"/>
        <w:jc w:val="center"/>
        <w:rPr>
          <w:rFonts w:ascii="Times New Roman" w:hAnsi="Times New Roman" w:cs="Times New Roman"/>
          <w:b/>
          <w:bCs/>
          <w:sz w:val="24"/>
          <w:szCs w:val="24"/>
        </w:rPr>
      </w:pPr>
    </w:p>
    <w:p w:rsidR="00600A2D" w:rsidRPr="00B81AEF" w:rsidP="00600A2D">
      <w:pPr>
        <w:spacing w:after="0" w:line="240" w:lineRule="auto"/>
        <w:ind w:left="3600" w:firstLine="720"/>
        <w:rPr>
          <w:rFonts w:eastAsiaTheme="minorEastAsia" w:cs="Times New Roman"/>
          <w:szCs w:val="24"/>
        </w:rPr>
      </w:pPr>
    </w:p>
    <w:p w:rsidR="00600A2D" w:rsidRPr="00B81AEF" w:rsidP="00600A2D">
      <w:pPr>
        <w:spacing w:after="0" w:line="240" w:lineRule="auto"/>
        <w:ind w:left="3600" w:firstLine="720"/>
        <w:rPr>
          <w:rFonts w:eastAsiaTheme="minorEastAsia" w:cs="Times New Roman"/>
          <w:szCs w:val="24"/>
        </w:rPr>
      </w:pPr>
    </w:p>
    <w:p w:rsidR="00600A2D" w:rsidRPr="00B81AEF" w:rsidP="00600A2D">
      <w:pPr>
        <w:spacing w:after="0" w:line="240" w:lineRule="auto"/>
        <w:ind w:left="3600" w:firstLine="720"/>
        <w:rPr>
          <w:rFonts w:eastAsiaTheme="minorEastAsia" w:cs="Times New Roman"/>
          <w:szCs w:val="24"/>
        </w:rPr>
      </w:pPr>
    </w:p>
    <w:p w:rsidR="00600A2D" w:rsidRPr="00B81AEF" w:rsidP="00600A2D">
      <w:pPr>
        <w:spacing w:after="0" w:line="240" w:lineRule="auto"/>
        <w:ind w:left="3600" w:firstLine="720"/>
        <w:rPr>
          <w:rFonts w:eastAsiaTheme="minorEastAsia" w:cs="Times New Roman"/>
          <w:szCs w:val="24"/>
        </w:rPr>
      </w:pPr>
    </w:p>
    <w:p w:rsidR="00600A2D" w:rsidRPr="00B81AEF" w:rsidP="00600A2D">
      <w:pPr>
        <w:spacing w:after="0" w:line="240" w:lineRule="auto"/>
        <w:ind w:left="3600" w:firstLine="720"/>
        <w:rPr>
          <w:rFonts w:eastAsiaTheme="minorEastAsia" w:cs="Times New Roman"/>
          <w:szCs w:val="24"/>
        </w:rPr>
      </w:pPr>
    </w:p>
    <w:p w:rsidR="00600A2D" w:rsidRPr="00B81AEF" w:rsidP="00600A2D">
      <w:pPr>
        <w:spacing w:after="0" w:line="240" w:lineRule="auto"/>
        <w:ind w:left="3600" w:firstLine="720"/>
        <w:rPr>
          <w:rFonts w:cs="Times New Roman"/>
          <w:szCs w:val="24"/>
        </w:rPr>
      </w:pPr>
    </w:p>
    <w:p w:rsidR="00600A2D" w:rsidRPr="00B81AEF" w:rsidP="00600A2D">
      <w:pPr>
        <w:spacing w:after="0" w:line="240" w:lineRule="auto"/>
        <w:ind w:left="3600" w:firstLine="720"/>
        <w:rPr>
          <w:rFonts w:cs="Times New Roman"/>
          <w:szCs w:val="24"/>
        </w:rPr>
      </w:pPr>
    </w:p>
    <w:p w:rsidR="00872816" w:rsidP="00447CFD">
      <w:pPr>
        <w:spacing w:after="0" w:line="240" w:lineRule="auto"/>
        <w:ind w:left="3600"/>
        <w:rPr>
          <w:rFonts w:cs="Times New Roman"/>
          <w:szCs w:val="24"/>
        </w:rPr>
      </w:pPr>
    </w:p>
    <w:p w:rsidR="00872816" w:rsidP="00447CFD">
      <w:pPr>
        <w:spacing w:after="0" w:line="240" w:lineRule="auto"/>
        <w:ind w:left="3600"/>
        <w:rPr>
          <w:rFonts w:cs="Times New Roman"/>
          <w:szCs w:val="24"/>
        </w:rPr>
      </w:pPr>
    </w:p>
    <w:p w:rsidR="00872816" w:rsidP="00447CFD">
      <w:pPr>
        <w:spacing w:after="0" w:line="240" w:lineRule="auto"/>
        <w:ind w:left="3600"/>
        <w:rPr>
          <w:rFonts w:cs="Times New Roman"/>
          <w:szCs w:val="24"/>
        </w:rPr>
      </w:pPr>
    </w:p>
    <w:p w:rsidR="00872816" w:rsidP="00447CFD">
      <w:pPr>
        <w:spacing w:after="0" w:line="240" w:lineRule="auto"/>
        <w:ind w:left="3600"/>
        <w:rPr>
          <w:rFonts w:cs="Times New Roman"/>
          <w:szCs w:val="24"/>
        </w:rPr>
      </w:pPr>
    </w:p>
    <w:p w:rsidR="00872816" w:rsidP="00447CFD">
      <w:pPr>
        <w:spacing w:after="0" w:line="240" w:lineRule="auto"/>
        <w:ind w:left="3600"/>
        <w:rPr>
          <w:rFonts w:cs="Times New Roman"/>
          <w:szCs w:val="24"/>
        </w:rPr>
      </w:pPr>
    </w:p>
    <w:p w:rsidR="00600A2D" w:rsidRPr="00B81AEF" w:rsidP="00447CFD">
      <w:pPr>
        <w:spacing w:after="0" w:line="240" w:lineRule="auto"/>
        <w:ind w:left="3600"/>
        <w:rPr>
          <w:rFonts w:cs="Times New Roman"/>
          <w:szCs w:val="24"/>
        </w:rPr>
      </w:pPr>
      <w:r w:rsidRPr="00B81AEF">
        <w:rPr>
          <w:rFonts w:cs="Times New Roman"/>
          <w:szCs w:val="24"/>
        </w:rPr>
        <w:t>B</w:t>
      </w:r>
      <w:r w:rsidRPr="00B81AEF" w:rsidR="00D654E2">
        <w:rPr>
          <w:rFonts w:cs="Times New Roman"/>
          <w:szCs w:val="24"/>
        </w:rPr>
        <w:t>ruce Weston (0</w:t>
      </w:r>
      <w:r w:rsidRPr="00B81AEF">
        <w:rPr>
          <w:rFonts w:cs="Times New Roman"/>
          <w:szCs w:val="24"/>
        </w:rPr>
        <w:t>016973)</w:t>
      </w:r>
    </w:p>
    <w:p w:rsidR="00600A2D" w:rsidRPr="00B81AEF" w:rsidP="00447CFD">
      <w:pPr>
        <w:spacing w:after="0" w:line="240" w:lineRule="auto"/>
        <w:ind w:left="2880" w:firstLine="720"/>
        <w:rPr>
          <w:rFonts w:cs="Times New Roman"/>
          <w:szCs w:val="24"/>
        </w:rPr>
      </w:pPr>
      <w:r w:rsidRPr="00B81AEF">
        <w:rPr>
          <w:rFonts w:cs="Times New Roman"/>
          <w:szCs w:val="24"/>
        </w:rPr>
        <w:t>Ohio Consumers’ Counsel</w:t>
      </w:r>
    </w:p>
    <w:p w:rsidR="00600A2D" w:rsidRPr="00B81AEF" w:rsidP="00480BA8">
      <w:pPr>
        <w:spacing w:after="0" w:line="240" w:lineRule="auto"/>
        <w:rPr>
          <w:rFonts w:cs="Times New Roman"/>
          <w:szCs w:val="24"/>
        </w:rPr>
      </w:pPr>
    </w:p>
    <w:p w:rsidR="00C1688D" w:rsidRPr="00B81AEF" w:rsidP="00447CFD">
      <w:pPr>
        <w:spacing w:after="0" w:line="240" w:lineRule="auto"/>
        <w:ind w:firstLine="3600"/>
        <w:rPr>
          <w:rFonts w:cs="Times New Roman"/>
          <w:szCs w:val="24"/>
        </w:rPr>
      </w:pPr>
      <w:r w:rsidRPr="00B81AEF">
        <w:rPr>
          <w:rFonts w:cs="Times New Roman"/>
          <w:szCs w:val="24"/>
        </w:rPr>
        <w:t>Bryce A. McKenney (0088203)</w:t>
      </w:r>
    </w:p>
    <w:p w:rsidR="00C1688D" w:rsidRPr="00B81AEF" w:rsidP="00447CFD">
      <w:pPr>
        <w:spacing w:after="0" w:line="240" w:lineRule="auto"/>
        <w:ind w:firstLine="3600"/>
        <w:rPr>
          <w:rFonts w:cs="Times New Roman"/>
          <w:szCs w:val="24"/>
        </w:rPr>
      </w:pPr>
      <w:r w:rsidRPr="00B81AEF">
        <w:rPr>
          <w:rFonts w:cs="Times New Roman"/>
          <w:szCs w:val="24"/>
        </w:rPr>
        <w:t>Assistant Consumers’ Counsel</w:t>
      </w:r>
    </w:p>
    <w:p w:rsidR="00600A2D" w:rsidRPr="00B81AEF" w:rsidP="00447CFD">
      <w:pPr>
        <w:spacing w:after="0" w:line="240" w:lineRule="auto"/>
        <w:ind w:firstLine="3600"/>
        <w:rPr>
          <w:rFonts w:cs="Times New Roman"/>
          <w:szCs w:val="24"/>
        </w:rPr>
      </w:pPr>
    </w:p>
    <w:p w:rsidR="00600A2D" w:rsidRPr="00B81AEF" w:rsidP="00447CFD">
      <w:pPr>
        <w:spacing w:after="0" w:line="240" w:lineRule="auto"/>
        <w:ind w:firstLine="3600"/>
        <w:rPr>
          <w:rFonts w:cs="Times New Roman"/>
          <w:b/>
          <w:szCs w:val="24"/>
        </w:rPr>
      </w:pPr>
      <w:r w:rsidRPr="00B81AEF">
        <w:rPr>
          <w:rFonts w:cs="Times New Roman"/>
          <w:b/>
          <w:szCs w:val="24"/>
        </w:rPr>
        <w:t>Office of the Ohio Consumers’ Counsel</w:t>
      </w:r>
    </w:p>
    <w:p w:rsidR="00600A2D" w:rsidRPr="00B81AEF" w:rsidP="00447CFD">
      <w:pPr>
        <w:spacing w:after="0" w:line="240" w:lineRule="auto"/>
        <w:ind w:firstLine="3600"/>
        <w:rPr>
          <w:rFonts w:cs="Times New Roman"/>
          <w:szCs w:val="24"/>
        </w:rPr>
      </w:pPr>
      <w:r w:rsidRPr="00B81AEF">
        <w:rPr>
          <w:rFonts w:cs="Times New Roman"/>
          <w:szCs w:val="24"/>
        </w:rPr>
        <w:t>65 East State Street, 7</w:t>
      </w:r>
      <w:r w:rsidRPr="00B81AEF">
        <w:rPr>
          <w:rFonts w:cs="Times New Roman"/>
          <w:szCs w:val="24"/>
          <w:vertAlign w:val="superscript"/>
        </w:rPr>
        <w:t>th</w:t>
      </w:r>
      <w:r w:rsidRPr="00B81AEF">
        <w:rPr>
          <w:rFonts w:cs="Times New Roman"/>
          <w:szCs w:val="24"/>
        </w:rPr>
        <w:t xml:space="preserve"> Floor</w:t>
      </w:r>
    </w:p>
    <w:p w:rsidR="00600A2D" w:rsidRPr="00B81AEF" w:rsidP="00447CFD">
      <w:pPr>
        <w:spacing w:after="0" w:line="240" w:lineRule="auto"/>
        <w:ind w:firstLine="3600"/>
        <w:rPr>
          <w:rFonts w:cs="Times New Roman"/>
          <w:szCs w:val="24"/>
        </w:rPr>
      </w:pPr>
      <w:r w:rsidRPr="00B81AEF">
        <w:rPr>
          <w:rFonts w:cs="Times New Roman"/>
          <w:szCs w:val="24"/>
        </w:rPr>
        <w:t>Columbus, Ohio 43215-4213</w:t>
      </w:r>
    </w:p>
    <w:p w:rsidR="00447CFD" w:rsidRPr="00B81AEF" w:rsidP="00447CFD">
      <w:pPr>
        <w:spacing w:after="0" w:line="240" w:lineRule="auto"/>
        <w:ind w:firstLine="3600"/>
        <w:rPr>
          <w:rFonts w:cs="Times New Roman"/>
          <w:szCs w:val="24"/>
        </w:rPr>
      </w:pPr>
      <w:r w:rsidRPr="00B81AEF">
        <w:rPr>
          <w:rFonts w:cs="Times New Roman"/>
          <w:szCs w:val="24"/>
        </w:rPr>
        <w:t>Telephone:  McKenney Direct – 614-9585</w:t>
      </w:r>
    </w:p>
    <w:p w:rsidR="00447CFD" w:rsidRPr="00B81AEF" w:rsidP="00447CFD">
      <w:pPr>
        <w:spacing w:after="0" w:line="240" w:lineRule="auto"/>
        <w:ind w:firstLine="3600"/>
        <w:rPr>
          <w:rFonts w:cs="Times New Roman"/>
          <w:szCs w:val="24"/>
        </w:rPr>
      </w:pPr>
      <w:r w:rsidRPr="00B81AEF">
        <w:rPr>
          <w:rStyle w:val="DefaultParagraphFont"/>
          <w:rFonts w:cs="Times New Roman"/>
          <w:color w:val="auto"/>
          <w:szCs w:val="24"/>
          <w:u w:val="none"/>
        </w:rPr>
        <w:t>Bryce.mckenney@occ.ohio.gov</w:t>
      </w:r>
      <w:r w:rsidRPr="00B81AEF">
        <w:rPr>
          <w:rFonts w:cs="Times New Roman"/>
          <w:szCs w:val="24"/>
        </w:rPr>
        <w:t xml:space="preserve"> </w:t>
      </w:r>
    </w:p>
    <w:p w:rsidR="009D391C" w:rsidRPr="00B81AEF" w:rsidP="009D391C">
      <w:pPr>
        <w:spacing w:after="0"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B81AEF">
        <w:rPr>
          <w:rFonts w:cs="Times New Roman"/>
          <w:szCs w:val="24"/>
        </w:rPr>
        <w:t>(Will accept service via email)</w:t>
      </w:r>
    </w:p>
    <w:p w:rsidR="009D391C" w:rsidP="00872816">
      <w:pPr>
        <w:spacing w:after="0" w:line="240" w:lineRule="auto"/>
        <w:rPr>
          <w:rFonts w:cs="Times New Roman"/>
          <w:szCs w:val="24"/>
        </w:rPr>
      </w:pPr>
    </w:p>
    <w:p w:rsidR="009D391C" w:rsidP="00872816">
      <w:pPr>
        <w:spacing w:after="0" w:line="240" w:lineRule="auto"/>
        <w:rPr>
          <w:rFonts w:cs="Times New Roman"/>
          <w:szCs w:val="24"/>
        </w:rPr>
      </w:pPr>
    </w:p>
    <w:p w:rsidR="009D391C" w:rsidP="00872816">
      <w:pPr>
        <w:spacing w:after="0" w:line="240" w:lineRule="auto"/>
        <w:rPr>
          <w:rFonts w:cs="Times New Roman"/>
          <w:szCs w:val="24"/>
        </w:rPr>
      </w:pPr>
    </w:p>
    <w:p w:rsidR="00600A2D" w:rsidRPr="00B81AEF" w:rsidP="009D391C">
      <w:pPr>
        <w:spacing w:after="0" w:line="240" w:lineRule="auto"/>
        <w:rPr>
          <w:rFonts w:cs="Times New Roman"/>
          <w:szCs w:val="24"/>
        </w:rPr>
      </w:pPr>
      <w:r>
        <w:rPr>
          <w:rFonts w:cs="Times New Roman"/>
          <w:szCs w:val="24"/>
        </w:rPr>
        <w:t>October 15, 2018</w:t>
      </w:r>
      <w:r>
        <w:rPr>
          <w:rFonts w:cs="Times New Roman"/>
          <w:szCs w:val="24"/>
        </w:rPr>
        <w:tab/>
      </w:r>
    </w:p>
    <w:p w:rsidR="00E57090" w:rsidP="00447CFD">
      <w:pPr>
        <w:pStyle w:val="HTMLPreformatted"/>
        <w:ind w:firstLine="3600"/>
        <w:jc w:val="center"/>
        <w:rPr>
          <w:rFonts w:ascii="Times New Roman" w:hAnsi="Times New Roman" w:cs="Times New Roman"/>
          <w:b/>
          <w:bCs/>
          <w:sz w:val="24"/>
          <w:szCs w:val="24"/>
        </w:rPr>
        <w:sectPr w:rsidSect="00600A2D">
          <w:footerReference w:type="default" r:id="rId5"/>
          <w:pgSz w:w="12240" w:h="15840"/>
          <w:pgMar w:top="1440" w:right="1800" w:bottom="1440" w:left="1800" w:header="720" w:footer="720" w:gutter="0"/>
          <w:pgNumType w:start="2"/>
          <w:cols w:space="720"/>
          <w:docGrid w:linePitch="360"/>
        </w:sectPr>
      </w:pPr>
    </w:p>
    <w:p w:rsidR="00600A2D" w:rsidP="00E570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Pr>
          <w:rFonts w:ascii="Times New Roman" w:hAnsi="Times New Roman" w:cs="Times New Roman"/>
          <w:b/>
          <w:bCs/>
          <w:sz w:val="24"/>
          <w:szCs w:val="24"/>
        </w:rPr>
        <w:t>TABLE OF CONTENTS</w:t>
      </w:r>
    </w:p>
    <w:p w:rsidR="00E57090" w:rsidP="00E570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E57090" w:rsidRPr="00B81AEF" w:rsidP="00E570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PAGE</w:t>
      </w:r>
    </w:p>
    <w:p w:rsidR="00E57090" w:rsidP="00E57090">
      <w:pPr>
        <w:pStyle w:val="HTMLPreformatted"/>
        <w:jc w:val="both"/>
        <w:rPr>
          <w:rFonts w:ascii="Times New Roman" w:hAnsi="Times New Roman" w:cs="Times New Roman"/>
          <w:b/>
          <w:bCs/>
          <w:sz w:val="24"/>
          <w:szCs w:val="24"/>
        </w:rPr>
      </w:pPr>
    </w:p>
    <w:p w:rsidR="00740E29">
      <w:pPr>
        <w:pStyle w:val="TOC1"/>
        <w:rPr>
          <w:rFonts w:asciiTheme="minorHAnsi" w:eastAsiaTheme="minorEastAsia" w:hAnsiTheme="minorHAnsi"/>
          <w:noProof/>
          <w:sz w:val="22"/>
          <w:lang w:bidi="he-IL"/>
        </w:rPr>
      </w:pPr>
      <w:r>
        <w:rPr>
          <w:rFonts w:cs="Times New Roman"/>
          <w:b/>
          <w:bCs/>
          <w:szCs w:val="24"/>
        </w:rPr>
        <w:fldChar w:fldCharType="begin"/>
      </w:r>
      <w:r>
        <w:rPr>
          <w:rFonts w:cs="Times New Roman"/>
          <w:b/>
          <w:bCs/>
          <w:szCs w:val="24"/>
        </w:rPr>
        <w:instrText xml:space="preserve"> TOC \o "1-2" \h \z \u </w:instrText>
      </w:r>
      <w:r>
        <w:rPr>
          <w:rFonts w:cs="Times New Roman"/>
          <w:b/>
          <w:bCs/>
          <w:szCs w:val="24"/>
        </w:rPr>
        <w:fldChar w:fldCharType="separate"/>
      </w:r>
      <w:r>
        <w:fldChar w:fldCharType="begin"/>
      </w:r>
      <w:r>
        <w:instrText xml:space="preserve"> HYPERLINK \l "_Toc527386727" </w:instrText>
      </w:r>
      <w:r>
        <w:fldChar w:fldCharType="separate"/>
      </w:r>
      <w:r w:rsidRPr="006F652E">
        <w:rPr>
          <w:rStyle w:val="Hyperlink"/>
          <w:noProof/>
        </w:rPr>
        <w:t>I.</w:t>
      </w:r>
      <w:r>
        <w:rPr>
          <w:rFonts w:asciiTheme="minorHAnsi" w:eastAsiaTheme="minorEastAsia" w:hAnsiTheme="minorHAnsi"/>
          <w:noProof/>
          <w:sz w:val="22"/>
          <w:lang w:bidi="he-IL"/>
        </w:rPr>
        <w:tab/>
      </w:r>
      <w:r w:rsidRPr="006F652E">
        <w:rPr>
          <w:rStyle w:val="Hyperlink"/>
          <w:noProof/>
        </w:rPr>
        <w:t>INTRODUCTION</w:t>
      </w:r>
      <w:r>
        <w:rPr>
          <w:noProof/>
          <w:webHidden/>
        </w:rPr>
        <w:tab/>
      </w:r>
      <w:r>
        <w:rPr>
          <w:noProof/>
          <w:webHidden/>
        </w:rPr>
        <w:fldChar w:fldCharType="begin"/>
      </w:r>
      <w:r>
        <w:rPr>
          <w:noProof/>
          <w:webHidden/>
        </w:rPr>
        <w:instrText xml:space="preserve"> PAGEREF _Toc527386727 \h </w:instrText>
      </w:r>
      <w:r>
        <w:rPr>
          <w:noProof/>
          <w:webHidden/>
        </w:rPr>
        <w:fldChar w:fldCharType="separate"/>
      </w:r>
      <w:r>
        <w:rPr>
          <w:noProof/>
          <w:webHidden/>
        </w:rPr>
        <w:t>1</w:t>
      </w:r>
      <w:r>
        <w:rPr>
          <w:noProof/>
          <w:webHidden/>
        </w:rPr>
        <w:fldChar w:fldCharType="end"/>
      </w:r>
      <w:r>
        <w:fldChar w:fldCharType="end"/>
      </w:r>
    </w:p>
    <w:p w:rsidR="00740E29">
      <w:pPr>
        <w:pStyle w:val="TOC1"/>
        <w:rPr>
          <w:rFonts w:asciiTheme="minorHAnsi" w:eastAsiaTheme="minorEastAsia" w:hAnsiTheme="minorHAnsi"/>
          <w:noProof/>
          <w:sz w:val="22"/>
          <w:lang w:bidi="he-IL"/>
        </w:rPr>
      </w:pPr>
      <w:r>
        <w:fldChar w:fldCharType="begin"/>
      </w:r>
      <w:r>
        <w:instrText xml:space="preserve"> HYPERLINK \l "_Toc527386728" </w:instrText>
      </w:r>
      <w:r>
        <w:fldChar w:fldCharType="separate"/>
      </w:r>
      <w:r w:rsidRPr="006F652E">
        <w:rPr>
          <w:rStyle w:val="Hyperlink"/>
          <w:noProof/>
        </w:rPr>
        <w:t>II.</w:t>
      </w:r>
      <w:r>
        <w:rPr>
          <w:rFonts w:asciiTheme="minorHAnsi" w:eastAsiaTheme="minorEastAsia" w:hAnsiTheme="minorHAnsi"/>
          <w:noProof/>
          <w:sz w:val="22"/>
          <w:lang w:bidi="he-IL"/>
        </w:rPr>
        <w:tab/>
      </w:r>
      <w:r w:rsidRPr="006F652E">
        <w:rPr>
          <w:rStyle w:val="Hyperlink"/>
          <w:noProof/>
        </w:rPr>
        <w:t>OBJECTIONS TO THE PUCO STAFF REPORT</w:t>
      </w:r>
      <w:r>
        <w:rPr>
          <w:noProof/>
          <w:webHidden/>
        </w:rPr>
        <w:tab/>
      </w:r>
      <w:r>
        <w:rPr>
          <w:noProof/>
          <w:webHidden/>
        </w:rPr>
        <w:fldChar w:fldCharType="begin"/>
      </w:r>
      <w:r>
        <w:rPr>
          <w:noProof/>
          <w:webHidden/>
        </w:rPr>
        <w:instrText xml:space="preserve"> PAGEREF _Toc527386728 \h </w:instrText>
      </w:r>
      <w:r>
        <w:rPr>
          <w:noProof/>
          <w:webHidden/>
        </w:rPr>
        <w:fldChar w:fldCharType="separate"/>
      </w:r>
      <w:r>
        <w:rPr>
          <w:noProof/>
          <w:webHidden/>
        </w:rPr>
        <w:t>4</w:t>
      </w:r>
      <w:r>
        <w:rPr>
          <w:noProof/>
          <w:webHidden/>
        </w:rPr>
        <w:fldChar w:fldCharType="end"/>
      </w:r>
      <w:r>
        <w:fldChar w:fldCharType="end"/>
      </w:r>
    </w:p>
    <w:p w:rsidR="00740E29">
      <w:pPr>
        <w:pStyle w:val="TOC2"/>
        <w:rPr>
          <w:rFonts w:asciiTheme="minorHAnsi" w:eastAsiaTheme="minorEastAsia" w:hAnsiTheme="minorHAnsi"/>
          <w:noProof/>
          <w:sz w:val="22"/>
          <w:lang w:bidi="he-IL"/>
        </w:rPr>
      </w:pPr>
      <w:r>
        <w:fldChar w:fldCharType="begin"/>
      </w:r>
      <w:r>
        <w:instrText xml:space="preserve"> HYPERLINK \l "_Toc527386729" </w:instrText>
      </w:r>
      <w:r>
        <w:fldChar w:fldCharType="separate"/>
      </w:r>
      <w:r w:rsidRPr="006F652E">
        <w:rPr>
          <w:rStyle w:val="Hyperlink"/>
          <w:noProof/>
        </w:rPr>
        <w:t>Objection 1 – The PUCO Staff Report failed to examine (but should have examined) a sufficient number of CEP projects (workorders) to verify that there was not additional unnecessary or imprudent spending that should not be passed on to consumers.</w:t>
      </w:r>
      <w:r>
        <w:rPr>
          <w:noProof/>
          <w:webHidden/>
        </w:rPr>
        <w:tab/>
      </w:r>
      <w:r>
        <w:rPr>
          <w:noProof/>
          <w:webHidden/>
        </w:rPr>
        <w:fldChar w:fldCharType="begin"/>
      </w:r>
      <w:r>
        <w:rPr>
          <w:noProof/>
          <w:webHidden/>
        </w:rPr>
        <w:instrText xml:space="preserve"> PAGEREF _Toc527386729 \h </w:instrText>
      </w:r>
      <w:r>
        <w:rPr>
          <w:noProof/>
          <w:webHidden/>
        </w:rPr>
        <w:fldChar w:fldCharType="separate"/>
      </w:r>
      <w:r>
        <w:rPr>
          <w:noProof/>
          <w:webHidden/>
        </w:rPr>
        <w:t>4</w:t>
      </w:r>
      <w:r>
        <w:rPr>
          <w:noProof/>
          <w:webHidden/>
        </w:rPr>
        <w:fldChar w:fldCharType="end"/>
      </w:r>
      <w:r>
        <w:fldChar w:fldCharType="end"/>
      </w:r>
    </w:p>
    <w:p w:rsidR="00740E29">
      <w:pPr>
        <w:pStyle w:val="TOC2"/>
        <w:rPr>
          <w:rFonts w:asciiTheme="minorHAnsi" w:eastAsiaTheme="minorEastAsia" w:hAnsiTheme="minorHAnsi"/>
          <w:noProof/>
          <w:sz w:val="22"/>
          <w:lang w:bidi="he-IL"/>
        </w:rPr>
      </w:pPr>
      <w:r>
        <w:fldChar w:fldCharType="begin"/>
      </w:r>
      <w:r>
        <w:instrText xml:space="preserve"> HYPERLINK \l "_Toc527386730" </w:instrText>
      </w:r>
      <w:r>
        <w:fldChar w:fldCharType="separate"/>
      </w:r>
      <w:r w:rsidRPr="006F652E">
        <w:rPr>
          <w:rStyle w:val="Hyperlink"/>
          <w:noProof/>
        </w:rPr>
        <w:t>Objection 2 – The PUCO Staff Report failed to properly examine (but should have examined) whether the capital expenditures under Columbia’s CEP were necessary for service to consumers.</w:t>
      </w:r>
      <w:r>
        <w:rPr>
          <w:noProof/>
          <w:webHidden/>
        </w:rPr>
        <w:tab/>
      </w:r>
      <w:r>
        <w:rPr>
          <w:noProof/>
          <w:webHidden/>
        </w:rPr>
        <w:fldChar w:fldCharType="begin"/>
      </w:r>
      <w:r>
        <w:rPr>
          <w:noProof/>
          <w:webHidden/>
        </w:rPr>
        <w:instrText xml:space="preserve"> PAGEREF _Toc527386730 \h </w:instrText>
      </w:r>
      <w:r>
        <w:rPr>
          <w:noProof/>
          <w:webHidden/>
        </w:rPr>
        <w:fldChar w:fldCharType="separate"/>
      </w:r>
      <w:r>
        <w:rPr>
          <w:noProof/>
          <w:webHidden/>
        </w:rPr>
        <w:t>6</w:t>
      </w:r>
      <w:r>
        <w:rPr>
          <w:noProof/>
          <w:webHidden/>
        </w:rPr>
        <w:fldChar w:fldCharType="end"/>
      </w:r>
      <w:r>
        <w:fldChar w:fldCharType="end"/>
      </w:r>
    </w:p>
    <w:p w:rsidR="00740E29">
      <w:pPr>
        <w:pStyle w:val="TOC2"/>
        <w:rPr>
          <w:rFonts w:asciiTheme="minorHAnsi" w:eastAsiaTheme="minorEastAsia" w:hAnsiTheme="minorHAnsi"/>
          <w:noProof/>
          <w:sz w:val="22"/>
          <w:lang w:bidi="he-IL"/>
        </w:rPr>
      </w:pPr>
      <w:r>
        <w:fldChar w:fldCharType="begin"/>
      </w:r>
      <w:r>
        <w:instrText xml:space="preserve"> HYPERLINK \l "_Toc527386731" </w:instrText>
      </w:r>
      <w:r>
        <w:fldChar w:fldCharType="separate"/>
      </w:r>
      <w:r w:rsidRPr="006F652E">
        <w:rPr>
          <w:rStyle w:val="Hyperlink"/>
          <w:noProof/>
        </w:rPr>
        <w:t>Objection 3 - The PUCO Staff Report failed to require (but should have required) Columbia to identify any meter relocation costs that should not have been included for ultimate collection from customers in the CEP.</w:t>
      </w:r>
      <w:r>
        <w:rPr>
          <w:noProof/>
          <w:webHidden/>
        </w:rPr>
        <w:tab/>
      </w:r>
      <w:r>
        <w:rPr>
          <w:noProof/>
          <w:webHidden/>
        </w:rPr>
        <w:fldChar w:fldCharType="begin"/>
      </w:r>
      <w:r>
        <w:rPr>
          <w:noProof/>
          <w:webHidden/>
        </w:rPr>
        <w:instrText xml:space="preserve"> PAGEREF _Toc527386731 \h </w:instrText>
      </w:r>
      <w:r>
        <w:rPr>
          <w:noProof/>
          <w:webHidden/>
        </w:rPr>
        <w:fldChar w:fldCharType="separate"/>
      </w:r>
      <w:r>
        <w:rPr>
          <w:noProof/>
          <w:webHidden/>
        </w:rPr>
        <w:t>8</w:t>
      </w:r>
      <w:r>
        <w:rPr>
          <w:noProof/>
          <w:webHidden/>
        </w:rPr>
        <w:fldChar w:fldCharType="end"/>
      </w:r>
      <w:r>
        <w:fldChar w:fldCharType="end"/>
      </w:r>
    </w:p>
    <w:p w:rsidR="00740E29">
      <w:pPr>
        <w:pStyle w:val="TOC2"/>
        <w:rPr>
          <w:rFonts w:asciiTheme="minorHAnsi" w:eastAsiaTheme="minorEastAsia" w:hAnsiTheme="minorHAnsi"/>
          <w:noProof/>
          <w:sz w:val="22"/>
          <w:lang w:bidi="he-IL"/>
        </w:rPr>
      </w:pPr>
      <w:r>
        <w:fldChar w:fldCharType="begin"/>
      </w:r>
      <w:r>
        <w:instrText xml:space="preserve"> HYPERLINK \l "_Toc527386732" </w:instrText>
      </w:r>
      <w:r>
        <w:fldChar w:fldCharType="separate"/>
      </w:r>
      <w:r w:rsidRPr="006F652E">
        <w:rPr>
          <w:rStyle w:val="Hyperlink"/>
          <w:noProof/>
        </w:rPr>
        <w:t>Objection 4 –The PUCO Staff Report failed recommend (but should have recommended) revenue offsets for each year since Columbia initiated the CEP to help reduce the impact of the spending on consumers.</w:t>
      </w:r>
      <w:r>
        <w:rPr>
          <w:noProof/>
          <w:webHidden/>
        </w:rPr>
        <w:tab/>
      </w:r>
      <w:r>
        <w:rPr>
          <w:noProof/>
          <w:webHidden/>
        </w:rPr>
        <w:fldChar w:fldCharType="begin"/>
      </w:r>
      <w:r>
        <w:rPr>
          <w:noProof/>
          <w:webHidden/>
        </w:rPr>
        <w:instrText xml:space="preserve"> PAGEREF _Toc527386732 \h </w:instrText>
      </w:r>
      <w:r>
        <w:rPr>
          <w:noProof/>
          <w:webHidden/>
        </w:rPr>
        <w:fldChar w:fldCharType="separate"/>
      </w:r>
      <w:r>
        <w:rPr>
          <w:noProof/>
          <w:webHidden/>
        </w:rPr>
        <w:t>9</w:t>
      </w:r>
      <w:r>
        <w:rPr>
          <w:noProof/>
          <w:webHidden/>
        </w:rPr>
        <w:fldChar w:fldCharType="end"/>
      </w:r>
      <w:r>
        <w:fldChar w:fldCharType="end"/>
      </w:r>
    </w:p>
    <w:p w:rsidR="00740E29">
      <w:pPr>
        <w:pStyle w:val="TOC2"/>
        <w:rPr>
          <w:rFonts w:asciiTheme="minorHAnsi" w:eastAsiaTheme="minorEastAsia" w:hAnsiTheme="minorHAnsi"/>
          <w:noProof/>
          <w:sz w:val="22"/>
          <w:lang w:bidi="he-IL"/>
        </w:rPr>
      </w:pPr>
      <w:r>
        <w:fldChar w:fldCharType="begin"/>
      </w:r>
      <w:r>
        <w:instrText xml:space="preserve"> HYPERLINK \l "_Toc527386733" </w:instrText>
      </w:r>
      <w:r>
        <w:fldChar w:fldCharType="separate"/>
      </w:r>
      <w:r w:rsidRPr="006F652E">
        <w:rPr>
          <w:rStyle w:val="Hyperlink"/>
          <w:noProof/>
        </w:rPr>
        <w:t>Objection 5 – The PUCO Staff Report failed to recommend (but should have recommended) operational savings credits be used to help offset the cost of the CEP to consumers.</w:t>
      </w:r>
      <w:r>
        <w:rPr>
          <w:noProof/>
          <w:webHidden/>
        </w:rPr>
        <w:tab/>
      </w:r>
      <w:r>
        <w:rPr>
          <w:noProof/>
          <w:webHidden/>
        </w:rPr>
        <w:fldChar w:fldCharType="begin"/>
      </w:r>
      <w:r>
        <w:rPr>
          <w:noProof/>
          <w:webHidden/>
        </w:rPr>
        <w:instrText xml:space="preserve"> PAGEREF _Toc527386733 \h </w:instrText>
      </w:r>
      <w:r>
        <w:rPr>
          <w:noProof/>
          <w:webHidden/>
        </w:rPr>
        <w:fldChar w:fldCharType="separate"/>
      </w:r>
      <w:r>
        <w:rPr>
          <w:noProof/>
          <w:webHidden/>
        </w:rPr>
        <w:t>11</w:t>
      </w:r>
      <w:r>
        <w:rPr>
          <w:noProof/>
          <w:webHidden/>
        </w:rPr>
        <w:fldChar w:fldCharType="end"/>
      </w:r>
      <w:r>
        <w:fldChar w:fldCharType="end"/>
      </w:r>
    </w:p>
    <w:p w:rsidR="00740E29">
      <w:pPr>
        <w:pStyle w:val="TOC2"/>
        <w:rPr>
          <w:rFonts w:asciiTheme="minorHAnsi" w:eastAsiaTheme="minorEastAsia" w:hAnsiTheme="minorHAnsi"/>
          <w:noProof/>
          <w:sz w:val="22"/>
          <w:lang w:bidi="he-IL"/>
        </w:rPr>
      </w:pPr>
      <w:r>
        <w:fldChar w:fldCharType="begin"/>
      </w:r>
      <w:r>
        <w:instrText xml:space="preserve"> HYPERLINK \l "_Toc527386734" </w:instrText>
      </w:r>
      <w:r>
        <w:fldChar w:fldCharType="separate"/>
      </w:r>
      <w:r w:rsidRPr="006F652E">
        <w:rPr>
          <w:rStyle w:val="Hyperlink"/>
          <w:noProof/>
        </w:rPr>
        <w:t>Objection 6 – The PUCO Staff Report failed to recognize (but should have recognized) that the pre-tax rate of return that was requested and recommended by Blue Ridge should be based on current market conditions.</w:t>
      </w:r>
      <w:r>
        <w:rPr>
          <w:noProof/>
          <w:webHidden/>
        </w:rPr>
        <w:tab/>
      </w:r>
      <w:r>
        <w:rPr>
          <w:noProof/>
          <w:webHidden/>
        </w:rPr>
        <w:fldChar w:fldCharType="begin"/>
      </w:r>
      <w:r>
        <w:rPr>
          <w:noProof/>
          <w:webHidden/>
        </w:rPr>
        <w:instrText xml:space="preserve"> PAGEREF _Toc527386734 \h </w:instrText>
      </w:r>
      <w:r>
        <w:rPr>
          <w:noProof/>
          <w:webHidden/>
        </w:rPr>
        <w:fldChar w:fldCharType="separate"/>
      </w:r>
      <w:r>
        <w:rPr>
          <w:noProof/>
          <w:webHidden/>
        </w:rPr>
        <w:t>11</w:t>
      </w:r>
      <w:r>
        <w:rPr>
          <w:noProof/>
          <w:webHidden/>
        </w:rPr>
        <w:fldChar w:fldCharType="end"/>
      </w:r>
      <w:r>
        <w:fldChar w:fldCharType="end"/>
      </w:r>
    </w:p>
    <w:p w:rsidR="00740E29">
      <w:pPr>
        <w:pStyle w:val="TOC2"/>
        <w:rPr>
          <w:rFonts w:asciiTheme="minorHAnsi" w:eastAsiaTheme="minorEastAsia" w:hAnsiTheme="minorHAnsi"/>
          <w:noProof/>
          <w:sz w:val="22"/>
          <w:lang w:bidi="he-IL"/>
        </w:rPr>
      </w:pPr>
      <w:r>
        <w:fldChar w:fldCharType="begin"/>
      </w:r>
      <w:r>
        <w:instrText xml:space="preserve"> HYPERLINK \l "_Toc527386735" </w:instrText>
      </w:r>
      <w:r>
        <w:fldChar w:fldCharType="separate"/>
      </w:r>
      <w:r w:rsidRPr="006F652E">
        <w:rPr>
          <w:rStyle w:val="Hyperlink"/>
          <w:noProof/>
        </w:rPr>
        <w:t>Objection 7 – The PUCO Staff Report failed to recommend (but should have recommended) that Columbia file its next base rate case as soon as possible to, among other things, reduce Columbia’s return on equity (profit) that was set years ago and is now too high to charge to consumers.</w:t>
      </w:r>
      <w:r>
        <w:rPr>
          <w:noProof/>
          <w:webHidden/>
        </w:rPr>
        <w:tab/>
      </w:r>
      <w:r>
        <w:rPr>
          <w:noProof/>
          <w:webHidden/>
        </w:rPr>
        <w:fldChar w:fldCharType="begin"/>
      </w:r>
      <w:r>
        <w:rPr>
          <w:noProof/>
          <w:webHidden/>
        </w:rPr>
        <w:instrText xml:space="preserve"> PAGEREF _Toc527386735 \h </w:instrText>
      </w:r>
      <w:r>
        <w:rPr>
          <w:noProof/>
          <w:webHidden/>
        </w:rPr>
        <w:fldChar w:fldCharType="separate"/>
      </w:r>
      <w:r>
        <w:rPr>
          <w:noProof/>
          <w:webHidden/>
        </w:rPr>
        <w:t>12</w:t>
      </w:r>
      <w:r>
        <w:rPr>
          <w:noProof/>
          <w:webHidden/>
        </w:rPr>
        <w:fldChar w:fldCharType="end"/>
      </w:r>
      <w:r>
        <w:fldChar w:fldCharType="end"/>
      </w:r>
    </w:p>
    <w:p w:rsidR="00740E29">
      <w:pPr>
        <w:pStyle w:val="TOC2"/>
        <w:rPr>
          <w:rFonts w:asciiTheme="minorHAnsi" w:eastAsiaTheme="minorEastAsia" w:hAnsiTheme="minorHAnsi"/>
          <w:noProof/>
          <w:sz w:val="22"/>
          <w:lang w:bidi="he-IL"/>
        </w:rPr>
      </w:pPr>
      <w:r>
        <w:fldChar w:fldCharType="begin"/>
      </w:r>
      <w:r>
        <w:instrText xml:space="preserve"> HYPERLINK \l "_Toc527386736" </w:instrText>
      </w:r>
      <w:r>
        <w:fldChar w:fldCharType="separate"/>
      </w:r>
      <w:r w:rsidRPr="006F652E">
        <w:rPr>
          <w:rStyle w:val="Hyperlink"/>
          <w:noProof/>
        </w:rPr>
        <w:t>Objection 8 – The PUCO Staff Report failed to recommend (but should have recommended) that Columbia lower its charges to consumers to account for Columbia’s tax savings from the federal tax cuts under the Tax Cuts and Jobs Act of 2017.</w:t>
      </w:r>
      <w:r>
        <w:rPr>
          <w:noProof/>
          <w:webHidden/>
        </w:rPr>
        <w:tab/>
      </w:r>
      <w:r>
        <w:rPr>
          <w:noProof/>
          <w:webHidden/>
        </w:rPr>
        <w:fldChar w:fldCharType="begin"/>
      </w:r>
      <w:r>
        <w:rPr>
          <w:noProof/>
          <w:webHidden/>
        </w:rPr>
        <w:instrText xml:space="preserve"> PAGEREF _Toc527386736 \h </w:instrText>
      </w:r>
      <w:r>
        <w:rPr>
          <w:noProof/>
          <w:webHidden/>
        </w:rPr>
        <w:fldChar w:fldCharType="separate"/>
      </w:r>
      <w:r>
        <w:rPr>
          <w:noProof/>
          <w:webHidden/>
        </w:rPr>
        <w:t>13</w:t>
      </w:r>
      <w:r>
        <w:rPr>
          <w:noProof/>
          <w:webHidden/>
        </w:rPr>
        <w:fldChar w:fldCharType="end"/>
      </w:r>
      <w:r>
        <w:fldChar w:fldCharType="end"/>
      </w:r>
    </w:p>
    <w:p w:rsidR="00740E29">
      <w:pPr>
        <w:pStyle w:val="TOC1"/>
        <w:rPr>
          <w:rFonts w:asciiTheme="minorHAnsi" w:eastAsiaTheme="minorEastAsia" w:hAnsiTheme="minorHAnsi"/>
          <w:noProof/>
          <w:sz w:val="22"/>
          <w:lang w:bidi="he-IL"/>
        </w:rPr>
      </w:pPr>
      <w:r>
        <w:fldChar w:fldCharType="begin"/>
      </w:r>
      <w:r>
        <w:instrText xml:space="preserve"> HYPERLINK \l "_Toc527386737" </w:instrText>
      </w:r>
      <w:r>
        <w:fldChar w:fldCharType="separate"/>
      </w:r>
      <w:r w:rsidRPr="006F652E">
        <w:rPr>
          <w:rStyle w:val="Hyperlink"/>
          <w:noProof/>
        </w:rPr>
        <w:t>III.</w:t>
      </w:r>
      <w:r>
        <w:rPr>
          <w:rFonts w:asciiTheme="minorHAnsi" w:eastAsiaTheme="minorEastAsia" w:hAnsiTheme="minorHAnsi"/>
          <w:noProof/>
          <w:sz w:val="22"/>
          <w:lang w:bidi="he-IL"/>
        </w:rPr>
        <w:tab/>
      </w:r>
      <w:r w:rsidRPr="006F652E">
        <w:rPr>
          <w:rStyle w:val="Hyperlink"/>
          <w:noProof/>
        </w:rPr>
        <w:t>CONCLUSION</w:t>
      </w:r>
      <w:r>
        <w:rPr>
          <w:noProof/>
          <w:webHidden/>
        </w:rPr>
        <w:tab/>
      </w:r>
      <w:r>
        <w:rPr>
          <w:noProof/>
          <w:webHidden/>
        </w:rPr>
        <w:fldChar w:fldCharType="begin"/>
      </w:r>
      <w:r>
        <w:rPr>
          <w:noProof/>
          <w:webHidden/>
        </w:rPr>
        <w:instrText xml:space="preserve"> PAGEREF _Toc527386737 \h </w:instrText>
      </w:r>
      <w:r>
        <w:rPr>
          <w:noProof/>
          <w:webHidden/>
        </w:rPr>
        <w:fldChar w:fldCharType="separate"/>
      </w:r>
      <w:r>
        <w:rPr>
          <w:noProof/>
          <w:webHidden/>
        </w:rPr>
        <w:t>13</w:t>
      </w:r>
      <w:r>
        <w:rPr>
          <w:noProof/>
          <w:webHidden/>
        </w:rPr>
        <w:fldChar w:fldCharType="end"/>
      </w:r>
      <w:r>
        <w:fldChar w:fldCharType="end"/>
      </w:r>
    </w:p>
    <w:p w:rsidR="00E57090" w:rsidRPr="00B81AEF" w:rsidP="00E57090">
      <w:pPr>
        <w:pStyle w:val="HTMLPreformatted"/>
        <w:jc w:val="both"/>
        <w:rPr>
          <w:rFonts w:ascii="Times New Roman" w:hAnsi="Times New Roman" w:cs="Times New Roman"/>
          <w:b/>
          <w:bCs/>
          <w:sz w:val="24"/>
          <w:szCs w:val="24"/>
        </w:rPr>
        <w:sectPr w:rsidSect="004D3750">
          <w:footerReference w:type="default" r:id="rId6"/>
          <w:pgSz w:w="12240" w:h="15840"/>
          <w:pgMar w:top="1440" w:right="1800" w:bottom="1440" w:left="1800" w:header="720" w:footer="720" w:gutter="0"/>
          <w:pgNumType w:fmt="lowerRoman" w:start="1"/>
          <w:cols w:space="720"/>
          <w:docGrid w:linePitch="360"/>
        </w:sectPr>
      </w:pPr>
      <w:r>
        <w:rPr>
          <w:rFonts w:ascii="Times New Roman" w:hAnsi="Times New Roman" w:cs="Times New Roman"/>
          <w:b/>
          <w:bCs/>
          <w:sz w:val="24"/>
          <w:szCs w:val="24"/>
        </w:rPr>
        <w:fldChar w:fldCharType="end"/>
      </w:r>
    </w:p>
    <w:p w:rsidR="00600A2D" w:rsidRPr="00B81AEF" w:rsidP="00600A2D">
      <w:pPr>
        <w:pStyle w:val="HTMLPreformatted"/>
        <w:jc w:val="center"/>
        <w:rPr>
          <w:rFonts w:ascii="Times New Roman" w:hAnsi="Times New Roman" w:cs="Times New Roman"/>
          <w:b/>
          <w:bCs/>
          <w:sz w:val="24"/>
          <w:szCs w:val="24"/>
        </w:rPr>
      </w:pPr>
      <w:r w:rsidRPr="00B81AEF">
        <w:rPr>
          <w:rFonts w:ascii="Times New Roman" w:hAnsi="Times New Roman" w:cs="Times New Roman"/>
          <w:b/>
          <w:bCs/>
          <w:sz w:val="24"/>
          <w:szCs w:val="24"/>
        </w:rPr>
        <w:t>BEFORE</w:t>
      </w:r>
    </w:p>
    <w:p w:rsidR="00600A2D" w:rsidRPr="00B81AEF" w:rsidP="00600A2D">
      <w:pPr>
        <w:pStyle w:val="HTMLPreformatted"/>
        <w:jc w:val="center"/>
        <w:rPr>
          <w:rFonts w:ascii="Times New Roman" w:hAnsi="Times New Roman" w:cs="Times New Roman"/>
          <w:b/>
          <w:bCs/>
          <w:sz w:val="24"/>
          <w:szCs w:val="24"/>
        </w:rPr>
      </w:pPr>
      <w:r w:rsidRPr="00B81AEF">
        <w:rPr>
          <w:rFonts w:ascii="Times New Roman" w:hAnsi="Times New Roman" w:cs="Times New Roman"/>
          <w:b/>
          <w:bCs/>
          <w:sz w:val="24"/>
          <w:szCs w:val="24"/>
        </w:rPr>
        <w:t>THE PUBLIC UTILITIES COMMISSION OF OHIO</w:t>
      </w:r>
    </w:p>
    <w:p w:rsidR="00600A2D" w:rsidRPr="00B81AEF" w:rsidP="00600A2D">
      <w:pPr>
        <w:pStyle w:val="HTMLPreformatted"/>
        <w:jc w:val="center"/>
        <w:rPr>
          <w:rFonts w:ascii="Times New Roman" w:hAnsi="Times New Roman" w:cs="Times New Roman"/>
          <w:b/>
          <w:bCs/>
          <w:sz w:val="24"/>
          <w:szCs w:val="24"/>
        </w:rPr>
      </w:pPr>
    </w:p>
    <w:tbl>
      <w:tblPr>
        <w:tblW w:w="9998" w:type="dxa"/>
        <w:tblLook w:val="01E0"/>
      </w:tblPr>
      <w:tblGrid>
        <w:gridCol w:w="5238"/>
        <w:gridCol w:w="360"/>
        <w:gridCol w:w="4400"/>
      </w:tblGrid>
      <w:tr w:rsidTr="00600A2D">
        <w:tblPrEx>
          <w:tblW w:w="9998" w:type="dxa"/>
          <w:tblLook w:val="01E0"/>
        </w:tblPrEx>
        <w:trPr>
          <w:trHeight w:val="807"/>
        </w:trPr>
        <w:tc>
          <w:tcPr>
            <w:tcW w:w="5238" w:type="dxa"/>
            <w:shd w:val="clear" w:color="auto" w:fill="auto"/>
          </w:tcPr>
          <w:p w:rsidR="00600A2D" w:rsidRPr="00B81AEF" w:rsidP="00600A2D">
            <w:pPr>
              <w:pStyle w:val="HTMLPreformatted"/>
              <w:rPr>
                <w:rFonts w:ascii="Times New Roman" w:hAnsi="Times New Roman" w:cs="Times New Roman"/>
                <w:sz w:val="24"/>
                <w:szCs w:val="24"/>
              </w:rPr>
            </w:pPr>
            <w:r w:rsidRPr="00B81AEF">
              <w:rPr>
                <w:rFonts w:ascii="Times New Roman" w:hAnsi="Times New Roman" w:cs="Times New Roman"/>
                <w:sz w:val="24"/>
                <w:szCs w:val="24"/>
              </w:rPr>
              <w:t xml:space="preserve">In the Matter of the </w:t>
            </w:r>
            <w:r w:rsidRPr="00B81AEF" w:rsidR="00480BA8">
              <w:rPr>
                <w:rFonts w:ascii="Times New Roman" w:hAnsi="Times New Roman" w:cs="Times New Roman"/>
                <w:sz w:val="24"/>
                <w:szCs w:val="24"/>
              </w:rPr>
              <w:t>Application of Columbia Gas of Ohio, Inc. for Approval of an Alternative Form of Regulation to Establish a Capital Expenditure Program Rider Mechanism</w:t>
            </w:r>
            <w:r w:rsidRPr="00B81AEF">
              <w:rPr>
                <w:rFonts w:ascii="Times New Roman" w:hAnsi="Times New Roman" w:cs="Times New Roman"/>
                <w:sz w:val="24"/>
                <w:szCs w:val="24"/>
              </w:rPr>
              <w:t>.</w:t>
            </w:r>
          </w:p>
        </w:tc>
        <w:tc>
          <w:tcPr>
            <w:tcW w:w="360" w:type="dxa"/>
            <w:shd w:val="clear" w:color="auto" w:fill="auto"/>
          </w:tcPr>
          <w:p w:rsidR="00600A2D" w:rsidRPr="00B81AEF" w:rsidP="00600A2D">
            <w:pPr>
              <w:pStyle w:val="HTMLPreformatted"/>
              <w:rPr>
                <w:rFonts w:ascii="Times New Roman" w:hAnsi="Times New Roman" w:cs="Times New Roman"/>
                <w:sz w:val="24"/>
              </w:rPr>
            </w:pPr>
            <w:r w:rsidRPr="00B81AEF">
              <w:rPr>
                <w:rFonts w:ascii="Times New Roman" w:hAnsi="Times New Roman" w:cs="Times New Roman"/>
                <w:sz w:val="24"/>
              </w:rPr>
              <w:t>)</w:t>
            </w:r>
          </w:p>
          <w:p w:rsidR="00600A2D" w:rsidRPr="00B81AEF" w:rsidP="00600A2D">
            <w:pPr>
              <w:pStyle w:val="HTMLPreformatted"/>
              <w:rPr>
                <w:rFonts w:ascii="Times New Roman" w:hAnsi="Times New Roman" w:cs="Times New Roman"/>
                <w:sz w:val="24"/>
              </w:rPr>
            </w:pPr>
            <w:r w:rsidRPr="00B81AEF">
              <w:rPr>
                <w:rFonts w:ascii="Times New Roman" w:hAnsi="Times New Roman" w:cs="Times New Roman"/>
                <w:sz w:val="24"/>
              </w:rPr>
              <w:t>)</w:t>
            </w:r>
          </w:p>
          <w:p w:rsidR="00600A2D" w:rsidRPr="00B81AEF" w:rsidP="00600A2D">
            <w:pPr>
              <w:pStyle w:val="HTMLPreformatted"/>
              <w:rPr>
                <w:rFonts w:ascii="Times New Roman" w:hAnsi="Times New Roman" w:cs="Times New Roman"/>
                <w:sz w:val="24"/>
              </w:rPr>
            </w:pPr>
            <w:r w:rsidRPr="00B81AEF">
              <w:rPr>
                <w:rFonts w:ascii="Times New Roman" w:hAnsi="Times New Roman" w:cs="Times New Roman"/>
                <w:sz w:val="24"/>
              </w:rPr>
              <w:t>)</w:t>
            </w:r>
          </w:p>
          <w:p w:rsidR="00600A2D" w:rsidRPr="00B81AEF" w:rsidP="00600A2D">
            <w:pPr>
              <w:pStyle w:val="HTMLPreformatted"/>
              <w:rPr>
                <w:rFonts w:ascii="Times New Roman" w:hAnsi="Times New Roman" w:cs="Times New Roman"/>
                <w:sz w:val="24"/>
              </w:rPr>
            </w:pPr>
            <w:r w:rsidRPr="00B81AEF">
              <w:rPr>
                <w:rFonts w:ascii="Times New Roman" w:hAnsi="Times New Roman" w:cs="Times New Roman"/>
                <w:sz w:val="24"/>
              </w:rPr>
              <w:t>)</w:t>
            </w:r>
          </w:p>
        </w:tc>
        <w:tc>
          <w:tcPr>
            <w:tcW w:w="4400" w:type="dxa"/>
            <w:shd w:val="clear" w:color="auto" w:fill="auto"/>
          </w:tcPr>
          <w:p w:rsidR="00600A2D" w:rsidRPr="00B81AEF" w:rsidP="00600A2D">
            <w:pPr>
              <w:pStyle w:val="HTMLPreformatted"/>
              <w:rPr>
                <w:rFonts w:ascii="Times New Roman" w:hAnsi="Times New Roman" w:cs="Times New Roman"/>
                <w:sz w:val="24"/>
              </w:rPr>
            </w:pPr>
          </w:p>
          <w:p w:rsidR="00600A2D" w:rsidRPr="00B81AEF" w:rsidP="00600A2D">
            <w:pPr>
              <w:pStyle w:val="HTMLPreformatted"/>
              <w:rPr>
                <w:rFonts w:ascii="Times New Roman" w:hAnsi="Times New Roman" w:cs="Times New Roman"/>
                <w:sz w:val="24"/>
              </w:rPr>
            </w:pPr>
            <w:r w:rsidRPr="00B81AEF">
              <w:rPr>
                <w:rFonts w:ascii="Times New Roman" w:hAnsi="Times New Roman" w:cs="Times New Roman"/>
                <w:sz w:val="24"/>
              </w:rPr>
              <w:t>Case No. 17-</w:t>
            </w:r>
            <w:r w:rsidRPr="00B81AEF" w:rsidR="00480BA8">
              <w:rPr>
                <w:rFonts w:ascii="Times New Roman" w:hAnsi="Times New Roman" w:cs="Times New Roman"/>
                <w:sz w:val="24"/>
              </w:rPr>
              <w:t>2202</w:t>
            </w:r>
            <w:r w:rsidRPr="00B81AEF">
              <w:rPr>
                <w:rFonts w:ascii="Times New Roman" w:hAnsi="Times New Roman" w:cs="Times New Roman"/>
                <w:sz w:val="24"/>
              </w:rPr>
              <w:t>-</w:t>
            </w:r>
            <w:r w:rsidRPr="00B81AEF" w:rsidR="00480BA8">
              <w:rPr>
                <w:rFonts w:ascii="Times New Roman" w:hAnsi="Times New Roman" w:cs="Times New Roman"/>
                <w:sz w:val="24"/>
              </w:rPr>
              <w:t>GA</w:t>
            </w:r>
            <w:r w:rsidRPr="00B81AEF">
              <w:rPr>
                <w:rFonts w:ascii="Times New Roman" w:hAnsi="Times New Roman" w:cs="Times New Roman"/>
                <w:sz w:val="24"/>
              </w:rPr>
              <w:t>-</w:t>
            </w:r>
            <w:r w:rsidRPr="00B81AEF" w:rsidR="00480BA8">
              <w:rPr>
                <w:rFonts w:ascii="Times New Roman" w:hAnsi="Times New Roman" w:cs="Times New Roman"/>
                <w:sz w:val="24"/>
              </w:rPr>
              <w:t>ALT</w:t>
            </w:r>
          </w:p>
          <w:p w:rsidR="00600A2D" w:rsidRPr="00B81AEF" w:rsidP="00600A2D">
            <w:pPr>
              <w:pStyle w:val="HTMLPreformatted"/>
              <w:rPr>
                <w:rFonts w:ascii="Times New Roman" w:hAnsi="Times New Roman" w:cs="Times New Roman"/>
                <w:sz w:val="24"/>
              </w:rPr>
            </w:pPr>
          </w:p>
          <w:p w:rsidR="00600A2D" w:rsidRPr="00B81AEF" w:rsidP="00600A2D">
            <w:pPr>
              <w:pStyle w:val="HTMLPreformatted"/>
              <w:rPr>
                <w:rFonts w:ascii="Times New Roman" w:hAnsi="Times New Roman" w:cs="Times New Roman"/>
                <w:sz w:val="24"/>
              </w:rPr>
            </w:pPr>
          </w:p>
        </w:tc>
      </w:tr>
    </w:tbl>
    <w:p w:rsidR="00600A2D" w:rsidRPr="00B81AEF" w:rsidP="00600A2D">
      <w:pPr>
        <w:pStyle w:val="HTMLPreformatted"/>
        <w:pBdr>
          <w:bottom w:val="single" w:sz="12" w:space="1" w:color="auto"/>
        </w:pBdr>
        <w:rPr>
          <w:rFonts w:ascii="Times New Roman" w:hAnsi="Times New Roman" w:cs="Times New Roman"/>
          <w:b/>
          <w:bCs/>
          <w:sz w:val="24"/>
          <w:szCs w:val="24"/>
        </w:rPr>
      </w:pPr>
    </w:p>
    <w:p w:rsidR="00600A2D" w:rsidRPr="00B81AEF" w:rsidP="00600A2D">
      <w:pPr>
        <w:pStyle w:val="HTMLPreformatted"/>
        <w:rPr>
          <w:rFonts w:ascii="Times New Roman" w:hAnsi="Times New Roman" w:cs="Times New Roman"/>
          <w:b/>
          <w:bCs/>
          <w:i/>
          <w:sz w:val="24"/>
          <w:szCs w:val="24"/>
        </w:rPr>
      </w:pPr>
    </w:p>
    <w:p w:rsidR="00600A2D" w:rsidRPr="00B81AEF" w:rsidP="00600A2D">
      <w:pPr>
        <w:pStyle w:val="HTMLPreformatted"/>
        <w:pBdr>
          <w:bottom w:val="single" w:sz="12" w:space="1" w:color="auto"/>
        </w:pBdr>
        <w:jc w:val="center"/>
        <w:rPr>
          <w:rFonts w:ascii="Times New Roman" w:hAnsi="Times New Roman" w:cs="Times New Roman"/>
          <w:b/>
          <w:bCs/>
          <w:sz w:val="24"/>
          <w:szCs w:val="24"/>
        </w:rPr>
      </w:pPr>
      <w:bookmarkStart w:id="1" w:name="_Hlk526941395"/>
      <w:r>
        <w:rPr>
          <w:rFonts w:ascii="Times New Roman" w:hAnsi="Times New Roman" w:cs="Times New Roman"/>
          <w:b/>
          <w:bCs/>
          <w:sz w:val="24"/>
          <w:szCs w:val="24"/>
        </w:rPr>
        <w:t xml:space="preserve">CONSUMER PROTECTION </w:t>
      </w:r>
      <w:r w:rsidRPr="00B81AEF" w:rsidR="00480BA8">
        <w:rPr>
          <w:rFonts w:ascii="Times New Roman" w:hAnsi="Times New Roman" w:cs="Times New Roman"/>
          <w:b/>
          <w:bCs/>
          <w:sz w:val="24"/>
          <w:szCs w:val="24"/>
        </w:rPr>
        <w:t xml:space="preserve">OBJECTIONS TO THE PUCO STAFF REPORT </w:t>
      </w:r>
    </w:p>
    <w:p w:rsidR="00600A2D" w:rsidRPr="00B81AEF" w:rsidP="00600A2D">
      <w:pPr>
        <w:pStyle w:val="HTMLPreformatted"/>
        <w:pBdr>
          <w:bottom w:val="single" w:sz="12" w:space="1" w:color="auto"/>
        </w:pBdr>
        <w:jc w:val="center"/>
        <w:rPr>
          <w:rFonts w:ascii="Times New Roman" w:hAnsi="Times New Roman" w:cs="Times New Roman"/>
          <w:b/>
          <w:bCs/>
          <w:sz w:val="24"/>
          <w:szCs w:val="24"/>
        </w:rPr>
      </w:pPr>
      <w:bookmarkEnd w:id="1"/>
      <w:r w:rsidRPr="00B81AEF">
        <w:rPr>
          <w:rFonts w:ascii="Times New Roman" w:hAnsi="Times New Roman" w:cs="Times New Roman"/>
          <w:b/>
          <w:bCs/>
          <w:sz w:val="24"/>
          <w:szCs w:val="24"/>
        </w:rPr>
        <w:t xml:space="preserve">BY </w:t>
      </w:r>
    </w:p>
    <w:p w:rsidR="00600A2D" w:rsidRPr="00B81AEF" w:rsidP="00600A2D">
      <w:pPr>
        <w:pStyle w:val="HTMLPreformatted"/>
        <w:pBdr>
          <w:bottom w:val="single" w:sz="12" w:space="1" w:color="auto"/>
        </w:pBdr>
        <w:jc w:val="center"/>
        <w:rPr>
          <w:rFonts w:ascii="Times New Roman" w:hAnsi="Times New Roman" w:cs="Times New Roman"/>
          <w:b/>
          <w:bCs/>
          <w:sz w:val="24"/>
          <w:szCs w:val="24"/>
        </w:rPr>
      </w:pPr>
      <w:r w:rsidRPr="00B81AEF">
        <w:rPr>
          <w:rFonts w:ascii="Times New Roman" w:hAnsi="Times New Roman" w:cs="Times New Roman"/>
          <w:b/>
          <w:bCs/>
          <w:sz w:val="24"/>
          <w:szCs w:val="24"/>
        </w:rPr>
        <w:t>THE OFFICE OF THE OHIO CONSUMERS' COUNSEL</w:t>
      </w:r>
    </w:p>
    <w:p w:rsidR="00600A2D" w:rsidRPr="00B81AEF" w:rsidP="00600A2D">
      <w:pPr>
        <w:pStyle w:val="HTMLPreformatted"/>
        <w:pBdr>
          <w:bottom w:val="single" w:sz="12" w:space="1" w:color="auto"/>
        </w:pBdr>
        <w:jc w:val="center"/>
        <w:rPr>
          <w:rFonts w:ascii="Times New Roman" w:hAnsi="Times New Roman" w:cs="Times New Roman"/>
          <w:b/>
          <w:bCs/>
          <w:sz w:val="24"/>
          <w:szCs w:val="24"/>
        </w:rPr>
      </w:pPr>
    </w:p>
    <w:p w:rsidR="00600A2D" w:rsidRPr="00B81AEF" w:rsidP="00600A2D">
      <w:pPr>
        <w:spacing w:after="0" w:line="240" w:lineRule="auto"/>
        <w:ind w:firstLine="720"/>
        <w:rPr>
          <w:rFonts w:eastAsia="Times New Roman" w:cs="Times New Roman"/>
          <w:szCs w:val="24"/>
        </w:rPr>
      </w:pPr>
    </w:p>
    <w:p w:rsidR="000277E8" w:rsidRPr="00B81AEF" w:rsidP="00E57090">
      <w:pPr>
        <w:pStyle w:val="Heading1"/>
      </w:pPr>
      <w:bookmarkStart w:id="2" w:name="_Toc527386727"/>
      <w:r>
        <w:t>I.</w:t>
      </w:r>
      <w:r>
        <w:tab/>
      </w:r>
      <w:r w:rsidRPr="00B81AEF">
        <w:t>INTRODUCTION</w:t>
      </w:r>
      <w:bookmarkEnd w:id="2"/>
    </w:p>
    <w:p w:rsidR="001D1EB7" w:rsidP="001D1EB7">
      <w:pPr>
        <w:spacing w:after="0" w:line="480" w:lineRule="auto"/>
        <w:ind w:firstLine="720"/>
        <w:rPr>
          <w:rFonts w:eastAsia="Times New Roman" w:cs="Times New Roman"/>
          <w:szCs w:val="24"/>
        </w:rPr>
      </w:pPr>
      <w:r w:rsidRPr="00B81AEF">
        <w:rPr>
          <w:rFonts w:eastAsia="Times New Roman" w:cs="Times New Roman"/>
          <w:szCs w:val="24"/>
        </w:rPr>
        <w:t xml:space="preserve">In this </w:t>
      </w:r>
      <w:r>
        <w:rPr>
          <w:rFonts w:eastAsia="Times New Roman" w:cs="Times New Roman"/>
          <w:szCs w:val="24"/>
        </w:rPr>
        <w:t>case</w:t>
      </w:r>
      <w:r w:rsidRPr="00B81AEF">
        <w:rPr>
          <w:rFonts w:eastAsia="Times New Roman" w:cs="Times New Roman"/>
          <w:szCs w:val="24"/>
        </w:rPr>
        <w:t xml:space="preserve">, Columbia Gas of Ohio, Inc. (“Columbia”) </w:t>
      </w:r>
      <w:r>
        <w:rPr>
          <w:rFonts w:eastAsia="Times New Roman" w:cs="Times New Roman"/>
          <w:szCs w:val="24"/>
        </w:rPr>
        <w:t>filed an application to</w:t>
      </w:r>
      <w:r w:rsidRPr="00B81AEF">
        <w:rPr>
          <w:rFonts w:eastAsia="Times New Roman" w:cs="Times New Roman"/>
          <w:szCs w:val="24"/>
        </w:rPr>
        <w:t xml:space="preserve"> charge </w:t>
      </w:r>
      <w:r w:rsidR="005B6416">
        <w:rPr>
          <w:rFonts w:eastAsia="Times New Roman" w:cs="Times New Roman"/>
          <w:szCs w:val="24"/>
        </w:rPr>
        <w:t xml:space="preserve">its 1.3 million </w:t>
      </w:r>
      <w:r w:rsidRPr="00B81AEF">
        <w:rPr>
          <w:rFonts w:eastAsia="Times New Roman" w:cs="Times New Roman"/>
          <w:szCs w:val="24"/>
        </w:rPr>
        <w:t xml:space="preserve">customers </w:t>
      </w:r>
      <w:r w:rsidR="005B6416">
        <w:rPr>
          <w:rFonts w:eastAsia="Times New Roman" w:cs="Times New Roman"/>
          <w:szCs w:val="24"/>
        </w:rPr>
        <w:t xml:space="preserve">for certain </w:t>
      </w:r>
      <w:r>
        <w:rPr>
          <w:rFonts w:eastAsia="Times New Roman" w:cs="Times New Roman"/>
          <w:szCs w:val="24"/>
        </w:rPr>
        <w:t>capital expenditure</w:t>
      </w:r>
      <w:r w:rsidR="005B6416">
        <w:rPr>
          <w:rFonts w:eastAsia="Times New Roman" w:cs="Times New Roman"/>
          <w:szCs w:val="24"/>
        </w:rPr>
        <w:t xml:space="preserve">s related to natural gas service. </w:t>
      </w:r>
      <w:r>
        <w:rPr>
          <w:rFonts w:eastAsia="Times New Roman" w:cs="Times New Roman"/>
          <w:szCs w:val="24"/>
        </w:rPr>
        <w:t>Columbia proposed to</w:t>
      </w:r>
      <w:r w:rsidR="005B6416">
        <w:rPr>
          <w:rFonts w:eastAsia="Times New Roman" w:cs="Times New Roman"/>
          <w:szCs w:val="24"/>
        </w:rPr>
        <w:t xml:space="preserve"> add significant monthly</w:t>
      </w:r>
      <w:r>
        <w:rPr>
          <w:rFonts w:eastAsia="Times New Roman" w:cs="Times New Roman"/>
          <w:szCs w:val="24"/>
        </w:rPr>
        <w:t xml:space="preserve"> charge</w:t>
      </w:r>
      <w:r w:rsidR="005B6416">
        <w:rPr>
          <w:rFonts w:eastAsia="Times New Roman" w:cs="Times New Roman"/>
          <w:szCs w:val="24"/>
        </w:rPr>
        <w:t>s to customers’ natural gas bills in the amounts of</w:t>
      </w:r>
      <w:r>
        <w:rPr>
          <w:rFonts w:eastAsia="Times New Roman" w:cs="Times New Roman"/>
          <w:szCs w:val="24"/>
        </w:rPr>
        <w:t xml:space="preserve"> $3.28 in 2018 and 2019, $4.17 in 2020 and 2021, and then $4.92 </w:t>
      </w:r>
      <w:r w:rsidR="005B6416">
        <w:rPr>
          <w:rFonts w:eastAsia="Times New Roman" w:cs="Times New Roman"/>
          <w:szCs w:val="24"/>
        </w:rPr>
        <w:t xml:space="preserve">monthly </w:t>
      </w:r>
      <w:r>
        <w:rPr>
          <w:rFonts w:eastAsia="Times New Roman" w:cs="Times New Roman"/>
          <w:szCs w:val="24"/>
        </w:rPr>
        <w:t>in 2022</w:t>
      </w:r>
      <w:r w:rsidR="005B6416">
        <w:rPr>
          <w:rFonts w:eastAsia="Times New Roman" w:cs="Times New Roman"/>
          <w:szCs w:val="24"/>
        </w:rPr>
        <w:t>. Presently, Columbia has more than $600 million in capital expenditures (i.e., so-called deferrals) in its accounting records that it proposed to charge customers.</w:t>
      </w:r>
      <w:r>
        <w:rPr>
          <w:rFonts w:eastAsia="Times New Roman" w:cs="Times New Roman"/>
          <w:szCs w:val="24"/>
        </w:rPr>
        <w:t xml:space="preserve"> </w:t>
      </w:r>
      <w:r w:rsidR="00D83853">
        <w:rPr>
          <w:rFonts w:eastAsia="Times New Roman" w:cs="Times New Roman"/>
          <w:szCs w:val="24"/>
        </w:rPr>
        <w:t>As proposed by Columbia, th</w:t>
      </w:r>
      <w:r w:rsidR="005B6416">
        <w:rPr>
          <w:rFonts w:eastAsia="Times New Roman" w:cs="Times New Roman"/>
          <w:szCs w:val="24"/>
        </w:rPr>
        <w:t>e</w:t>
      </w:r>
      <w:r w:rsidR="00D83853">
        <w:rPr>
          <w:rFonts w:eastAsia="Times New Roman" w:cs="Times New Roman"/>
          <w:szCs w:val="24"/>
        </w:rPr>
        <w:t xml:space="preserve"> charge</w:t>
      </w:r>
      <w:r w:rsidR="005B6416">
        <w:rPr>
          <w:rFonts w:eastAsia="Times New Roman" w:cs="Times New Roman"/>
          <w:szCs w:val="24"/>
        </w:rPr>
        <w:t>s</w:t>
      </w:r>
      <w:r w:rsidR="00D83853">
        <w:rPr>
          <w:rFonts w:eastAsia="Times New Roman" w:cs="Times New Roman"/>
          <w:szCs w:val="24"/>
        </w:rPr>
        <w:t xml:space="preserve"> </w:t>
      </w:r>
      <w:r w:rsidR="005B6416">
        <w:rPr>
          <w:rFonts w:eastAsia="Times New Roman" w:cs="Times New Roman"/>
          <w:szCs w:val="24"/>
        </w:rPr>
        <w:t xml:space="preserve">for this Capital Expenditure Program (“CEP”) </w:t>
      </w:r>
      <w:r w:rsidR="00D83853">
        <w:rPr>
          <w:rFonts w:eastAsia="Times New Roman" w:cs="Times New Roman"/>
          <w:szCs w:val="24"/>
        </w:rPr>
        <w:t>would be for post-in-service carrying costs, incremental depreciation expense, and property tax expense currently deferred by Columbia under its CEP program for the years 2011 through 2017.</w:t>
      </w:r>
      <w:r w:rsidR="00690C76">
        <w:rPr>
          <w:rFonts w:eastAsia="Times New Roman" w:cs="Times New Roman"/>
          <w:szCs w:val="24"/>
        </w:rPr>
        <w:t xml:space="preserve"> </w:t>
      </w:r>
      <w:r w:rsidR="00D83853">
        <w:rPr>
          <w:rFonts w:eastAsia="Times New Roman" w:cs="Times New Roman"/>
          <w:szCs w:val="24"/>
        </w:rPr>
        <w:t>However, th</w:t>
      </w:r>
      <w:r w:rsidR="005B6416">
        <w:rPr>
          <w:rFonts w:eastAsia="Times New Roman" w:cs="Times New Roman"/>
          <w:szCs w:val="24"/>
        </w:rPr>
        <w:t>ese</w:t>
      </w:r>
      <w:r w:rsidR="00D83853">
        <w:rPr>
          <w:rFonts w:eastAsia="Times New Roman" w:cs="Times New Roman"/>
          <w:szCs w:val="24"/>
        </w:rPr>
        <w:t xml:space="preserve"> charge</w:t>
      </w:r>
      <w:r w:rsidR="005B6416">
        <w:rPr>
          <w:rFonts w:eastAsia="Times New Roman" w:cs="Times New Roman"/>
          <w:szCs w:val="24"/>
        </w:rPr>
        <w:t>s</w:t>
      </w:r>
      <w:r w:rsidR="00D83853">
        <w:rPr>
          <w:rFonts w:eastAsia="Times New Roman" w:cs="Times New Roman"/>
          <w:szCs w:val="24"/>
        </w:rPr>
        <w:t xml:space="preserve"> would not cover Columbia’s ongoing CEP capital spending (after 2017). Columbia’s CEP capital spending for years after 2017 would be deferred </w:t>
      </w:r>
      <w:r w:rsidR="005B6416">
        <w:rPr>
          <w:rFonts w:eastAsia="Times New Roman" w:cs="Times New Roman"/>
          <w:szCs w:val="24"/>
        </w:rPr>
        <w:t xml:space="preserve">on Columbia’s accounting books, for later collection from customers plus </w:t>
      </w:r>
      <w:r w:rsidR="00D83853">
        <w:rPr>
          <w:rFonts w:eastAsia="Times New Roman" w:cs="Times New Roman"/>
          <w:szCs w:val="24"/>
        </w:rPr>
        <w:t xml:space="preserve">carrying costs </w:t>
      </w:r>
      <w:r w:rsidR="005B6416">
        <w:rPr>
          <w:rFonts w:eastAsia="Times New Roman" w:cs="Times New Roman"/>
          <w:szCs w:val="24"/>
        </w:rPr>
        <w:t xml:space="preserve">(interest) to be </w:t>
      </w:r>
      <w:r w:rsidR="00D83853">
        <w:rPr>
          <w:rFonts w:eastAsia="Times New Roman" w:cs="Times New Roman"/>
          <w:szCs w:val="24"/>
        </w:rPr>
        <w:t xml:space="preserve">charged to customers. </w:t>
      </w:r>
    </w:p>
    <w:p w:rsidR="00480BA8" w:rsidRPr="00B81AEF" w:rsidP="003F611D">
      <w:pPr>
        <w:spacing w:after="0" w:line="480" w:lineRule="auto"/>
        <w:ind w:firstLine="720"/>
        <w:rPr>
          <w:rFonts w:eastAsia="Times New Roman" w:cs="Times New Roman"/>
          <w:szCs w:val="24"/>
        </w:rPr>
      </w:pPr>
      <w:r>
        <w:rPr>
          <w:rFonts w:eastAsia="Times New Roman" w:cs="Times New Roman"/>
          <w:szCs w:val="24"/>
        </w:rPr>
        <w:t xml:space="preserve">The </w:t>
      </w:r>
      <w:r w:rsidRPr="00B81AEF">
        <w:rPr>
          <w:rFonts w:eastAsia="Times New Roman" w:cs="Times New Roman"/>
          <w:szCs w:val="24"/>
        </w:rPr>
        <w:t>Staff of the Public Utilities Commission of Ohio (“PUCO Staff”)</w:t>
      </w:r>
      <w:r>
        <w:rPr>
          <w:rFonts w:eastAsia="Times New Roman" w:cs="Times New Roman"/>
          <w:szCs w:val="24"/>
        </w:rPr>
        <w:t xml:space="preserve"> conducted an investigation of Columbia’s application to determine if Columbia should be </w:t>
      </w:r>
      <w:r w:rsidR="00D83853">
        <w:rPr>
          <w:rFonts w:eastAsia="Times New Roman" w:cs="Times New Roman"/>
          <w:szCs w:val="24"/>
        </w:rPr>
        <w:t xml:space="preserve">permitted </w:t>
      </w:r>
      <w:r>
        <w:rPr>
          <w:rFonts w:eastAsia="Times New Roman" w:cs="Times New Roman"/>
          <w:szCs w:val="24"/>
        </w:rPr>
        <w:t xml:space="preserve">to </w:t>
      </w:r>
      <w:r w:rsidR="00A129CA">
        <w:rPr>
          <w:rFonts w:eastAsia="Times New Roman" w:cs="Times New Roman"/>
          <w:szCs w:val="24"/>
        </w:rPr>
        <w:t>implement</w:t>
      </w:r>
      <w:r w:rsidR="00C70E84">
        <w:rPr>
          <w:rFonts w:eastAsia="Times New Roman" w:cs="Times New Roman"/>
          <w:szCs w:val="24"/>
        </w:rPr>
        <w:t xml:space="preserve"> </w:t>
      </w:r>
      <w:r>
        <w:rPr>
          <w:rFonts w:eastAsia="Times New Roman" w:cs="Times New Roman"/>
          <w:szCs w:val="24"/>
        </w:rPr>
        <w:t xml:space="preserve">a </w:t>
      </w:r>
      <w:r w:rsidR="00A129CA">
        <w:rPr>
          <w:rFonts w:eastAsia="Times New Roman" w:cs="Times New Roman"/>
          <w:szCs w:val="24"/>
        </w:rPr>
        <w:t>r</w:t>
      </w:r>
      <w:r>
        <w:rPr>
          <w:rFonts w:eastAsia="Times New Roman" w:cs="Times New Roman"/>
          <w:szCs w:val="24"/>
        </w:rPr>
        <w:t xml:space="preserve">ider to </w:t>
      </w:r>
      <w:r w:rsidR="00D83853">
        <w:rPr>
          <w:rFonts w:eastAsia="Times New Roman" w:cs="Times New Roman"/>
          <w:szCs w:val="24"/>
        </w:rPr>
        <w:t xml:space="preserve">charge customers for </w:t>
      </w:r>
      <w:r w:rsidR="00A129CA">
        <w:rPr>
          <w:rFonts w:eastAsia="Times New Roman" w:cs="Times New Roman"/>
          <w:szCs w:val="24"/>
        </w:rPr>
        <w:t>Columbia’s</w:t>
      </w:r>
      <w:r>
        <w:rPr>
          <w:rFonts w:eastAsia="Times New Roman" w:cs="Times New Roman"/>
          <w:szCs w:val="24"/>
        </w:rPr>
        <w:t xml:space="preserve"> CEP Deferrals a</w:t>
      </w:r>
      <w:r w:rsidR="00D83853">
        <w:rPr>
          <w:rFonts w:eastAsia="Times New Roman" w:cs="Times New Roman"/>
          <w:szCs w:val="24"/>
        </w:rPr>
        <w:t>nd</w:t>
      </w:r>
      <w:r>
        <w:rPr>
          <w:rFonts w:eastAsia="Times New Roman" w:cs="Times New Roman"/>
          <w:szCs w:val="24"/>
        </w:rPr>
        <w:t xml:space="preserve"> the corresponding assets. The PUCO Staff hired an auditor (Blue Ridge) to assist with a prudence </w:t>
      </w:r>
      <w:r w:rsidR="00C70E84">
        <w:rPr>
          <w:rFonts w:eastAsia="Times New Roman" w:cs="Times New Roman"/>
          <w:szCs w:val="24"/>
        </w:rPr>
        <w:t xml:space="preserve">and financial </w:t>
      </w:r>
      <w:r>
        <w:rPr>
          <w:rFonts w:eastAsia="Times New Roman" w:cs="Times New Roman"/>
          <w:szCs w:val="24"/>
        </w:rPr>
        <w:t xml:space="preserve">audit of Columbia’s plant in service and CEP spending. </w:t>
      </w:r>
      <w:r w:rsidR="00BF790F">
        <w:rPr>
          <w:rFonts w:eastAsia="Times New Roman" w:cs="Times New Roman"/>
          <w:szCs w:val="24"/>
        </w:rPr>
        <w:t>The auditor filed its report on September 4, 2018 and the</w:t>
      </w:r>
      <w:r>
        <w:rPr>
          <w:rFonts w:eastAsia="Times New Roman" w:cs="Times New Roman"/>
          <w:szCs w:val="24"/>
        </w:rPr>
        <w:t xml:space="preserve"> PUCO Staff</w:t>
      </w:r>
      <w:r w:rsidR="00BF790F">
        <w:rPr>
          <w:rFonts w:eastAsia="Times New Roman" w:cs="Times New Roman"/>
          <w:szCs w:val="24"/>
        </w:rPr>
        <w:t xml:space="preserve"> </w:t>
      </w:r>
      <w:r w:rsidRPr="00B81AEF">
        <w:rPr>
          <w:rFonts w:eastAsia="Times New Roman" w:cs="Times New Roman"/>
          <w:szCs w:val="24"/>
        </w:rPr>
        <w:t xml:space="preserve">issued its </w:t>
      </w:r>
      <w:r>
        <w:rPr>
          <w:rFonts w:eastAsia="Times New Roman" w:cs="Times New Roman"/>
          <w:szCs w:val="24"/>
        </w:rPr>
        <w:t>Staff R</w:t>
      </w:r>
      <w:r w:rsidRPr="00B81AEF">
        <w:rPr>
          <w:rFonts w:eastAsia="Times New Roman" w:cs="Times New Roman"/>
          <w:szCs w:val="24"/>
        </w:rPr>
        <w:t xml:space="preserve">eport </w:t>
      </w:r>
      <w:r w:rsidR="00BE4826">
        <w:rPr>
          <w:rFonts w:eastAsia="Times New Roman" w:cs="Times New Roman"/>
          <w:szCs w:val="24"/>
        </w:rPr>
        <w:t>on September 14, 2018</w:t>
      </w:r>
      <w:r w:rsidRPr="00B81AEF">
        <w:rPr>
          <w:rFonts w:eastAsia="Times New Roman" w:cs="Times New Roman"/>
          <w:szCs w:val="24"/>
        </w:rPr>
        <w:t>.</w:t>
      </w:r>
      <w:r w:rsidR="003F611D">
        <w:rPr>
          <w:rFonts w:eastAsia="Times New Roman" w:cs="Times New Roman"/>
          <w:szCs w:val="24"/>
        </w:rPr>
        <w:t xml:space="preserve"> </w:t>
      </w:r>
      <w:r w:rsidRPr="00B81AEF">
        <w:rPr>
          <w:rFonts w:eastAsia="Times New Roman" w:cs="Times New Roman"/>
          <w:szCs w:val="24"/>
        </w:rPr>
        <w:t xml:space="preserve">The Office of the </w:t>
      </w:r>
      <w:r w:rsidRPr="00B81AEF" w:rsidR="00EC5340">
        <w:rPr>
          <w:rFonts w:eastAsia="Times New Roman" w:cs="Times New Roman"/>
          <w:szCs w:val="24"/>
        </w:rPr>
        <w:t>Ohio Consumers’ Counsel (“OCC”)</w:t>
      </w:r>
      <w:r w:rsidRPr="00B81AEF">
        <w:rPr>
          <w:rFonts w:eastAsia="Times New Roman" w:cs="Times New Roman"/>
          <w:szCs w:val="24"/>
        </w:rPr>
        <w:t xml:space="preserve"> </w:t>
      </w:r>
      <w:r w:rsidR="005B6416">
        <w:rPr>
          <w:rFonts w:eastAsia="Times New Roman" w:cs="Times New Roman"/>
          <w:szCs w:val="24"/>
        </w:rPr>
        <w:t xml:space="preserve">appreciates the PUCO Staff’s investigation and </w:t>
      </w:r>
      <w:r w:rsidRPr="00B81AEF">
        <w:rPr>
          <w:rFonts w:eastAsia="Times New Roman" w:cs="Times New Roman"/>
          <w:szCs w:val="24"/>
        </w:rPr>
        <w:t xml:space="preserve">files these objections to the PUCO Staff </w:t>
      </w:r>
      <w:r>
        <w:rPr>
          <w:rFonts w:eastAsia="Times New Roman" w:cs="Times New Roman"/>
          <w:szCs w:val="24"/>
        </w:rPr>
        <w:t>R</w:t>
      </w:r>
      <w:r w:rsidRPr="00B81AEF">
        <w:rPr>
          <w:rFonts w:eastAsia="Times New Roman" w:cs="Times New Roman"/>
          <w:szCs w:val="24"/>
        </w:rPr>
        <w:t>eport on behalf of Columbia’s</w:t>
      </w:r>
      <w:r w:rsidR="00BE4826">
        <w:rPr>
          <w:rFonts w:eastAsia="Times New Roman" w:cs="Times New Roman"/>
          <w:szCs w:val="24"/>
        </w:rPr>
        <w:t xml:space="preserve"> 1.3</w:t>
      </w:r>
      <w:r w:rsidRPr="00B81AEF">
        <w:rPr>
          <w:rFonts w:eastAsia="Times New Roman" w:cs="Times New Roman"/>
          <w:szCs w:val="24"/>
        </w:rPr>
        <w:t xml:space="preserve"> million residential consumers.</w:t>
      </w:r>
    </w:p>
    <w:p w:rsidR="00480BA8" w:rsidRPr="00B81AEF" w:rsidP="00480BA8">
      <w:pPr>
        <w:spacing w:after="0" w:line="480" w:lineRule="auto"/>
        <w:ind w:firstLine="720"/>
        <w:rPr>
          <w:rFonts w:eastAsia="Times New Roman" w:cs="Times New Roman"/>
          <w:szCs w:val="24"/>
        </w:rPr>
      </w:pPr>
      <w:r w:rsidRPr="00B81AEF">
        <w:rPr>
          <w:rFonts w:eastAsia="Times New Roman" w:cs="Times New Roman"/>
          <w:szCs w:val="24"/>
        </w:rPr>
        <w:t xml:space="preserve">OCC supports the following recommendations in the PUCO Staff </w:t>
      </w:r>
      <w:r w:rsidR="00AD2C77">
        <w:rPr>
          <w:rFonts w:eastAsia="Times New Roman" w:cs="Times New Roman"/>
          <w:szCs w:val="24"/>
        </w:rPr>
        <w:t>R</w:t>
      </w:r>
      <w:r w:rsidRPr="00B81AEF">
        <w:rPr>
          <w:rFonts w:eastAsia="Times New Roman" w:cs="Times New Roman"/>
          <w:szCs w:val="24"/>
        </w:rPr>
        <w:t>eport:</w:t>
      </w:r>
    </w:p>
    <w:p w:rsidR="00480BA8" w:rsidP="0087281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sidRPr="00B81AEF">
        <w:rPr>
          <w:rFonts w:ascii="Times New Roman" w:eastAsia="Times New Roman" w:hAnsi="Times New Roman" w:cs="Times New Roman"/>
          <w:sz w:val="24"/>
          <w:szCs w:val="24"/>
        </w:rPr>
        <w:t>The PUCO Staff properly</w:t>
      </w:r>
      <w:r w:rsidR="00AD2C77">
        <w:rPr>
          <w:rFonts w:ascii="Times New Roman" w:eastAsia="Times New Roman" w:hAnsi="Times New Roman" w:cs="Times New Roman"/>
          <w:sz w:val="24"/>
          <w:szCs w:val="24"/>
        </w:rPr>
        <w:t xml:space="preserve"> recommended that Columbia improve its identification of expenses versus capitalized costs as it relates to meter relocations</w:t>
      </w:r>
      <w:r w:rsidR="00A4665E">
        <w:rPr>
          <w:rFonts w:ascii="Times New Roman" w:eastAsia="Times New Roman" w:hAnsi="Times New Roman" w:cs="Times New Roman"/>
          <w:sz w:val="24"/>
          <w:szCs w:val="24"/>
        </w:rPr>
        <w:t xml:space="preserve"> (Staff Report at 7)</w:t>
      </w:r>
      <w:r w:rsidRPr="00B81AEF">
        <w:rPr>
          <w:rFonts w:ascii="Times New Roman" w:eastAsia="Times New Roman" w:hAnsi="Times New Roman" w:cs="Times New Roman"/>
          <w:sz w:val="24"/>
          <w:szCs w:val="24"/>
        </w:rPr>
        <w:t xml:space="preserve">. </w:t>
      </w:r>
    </w:p>
    <w:p w:rsidR="00AD2C77" w:rsidRPr="00B81AEF" w:rsidP="00872816">
      <w:pPr>
        <w:pStyle w:val="ListParagraph"/>
        <w:spacing w:after="0" w:line="240" w:lineRule="auto"/>
        <w:ind w:left="2160" w:right="720" w:hanging="720"/>
        <w:rPr>
          <w:rFonts w:ascii="Times New Roman" w:eastAsia="Times New Roman" w:hAnsi="Times New Roman" w:cs="Times New Roman"/>
          <w:sz w:val="24"/>
          <w:szCs w:val="24"/>
        </w:rPr>
      </w:pPr>
    </w:p>
    <w:p w:rsidR="00480BA8" w:rsidP="0087281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sidRPr="00B81AEF">
        <w:rPr>
          <w:rFonts w:ascii="Times New Roman" w:eastAsia="Times New Roman" w:hAnsi="Times New Roman" w:cs="Times New Roman"/>
          <w:sz w:val="24"/>
          <w:szCs w:val="24"/>
        </w:rPr>
        <w:t xml:space="preserve">The PUCO Staff properly </w:t>
      </w:r>
      <w:r w:rsidR="00AD2C77">
        <w:rPr>
          <w:rFonts w:ascii="Times New Roman" w:eastAsia="Times New Roman" w:hAnsi="Times New Roman" w:cs="Times New Roman"/>
          <w:sz w:val="24"/>
          <w:szCs w:val="24"/>
        </w:rPr>
        <w:t>recommends that Columbia perform a new depreciation study prior to its next base rate case</w:t>
      </w:r>
      <w:r w:rsidR="00A4665E">
        <w:rPr>
          <w:rFonts w:ascii="Times New Roman" w:eastAsia="Times New Roman" w:hAnsi="Times New Roman" w:cs="Times New Roman"/>
          <w:sz w:val="24"/>
          <w:szCs w:val="24"/>
        </w:rPr>
        <w:t xml:space="preserve"> (Staff Report at 7)</w:t>
      </w:r>
      <w:r w:rsidRPr="00B81AEF">
        <w:rPr>
          <w:rFonts w:ascii="Times New Roman" w:eastAsia="Times New Roman" w:hAnsi="Times New Roman" w:cs="Times New Roman"/>
          <w:sz w:val="24"/>
          <w:szCs w:val="24"/>
        </w:rPr>
        <w:t xml:space="preserve">. </w:t>
      </w:r>
    </w:p>
    <w:p w:rsidR="00AD2C77" w:rsidRPr="00AD2C77" w:rsidP="00872816">
      <w:pPr>
        <w:pStyle w:val="ListParagraph"/>
        <w:ind w:left="2160" w:right="720" w:hanging="720"/>
        <w:rPr>
          <w:rFonts w:ascii="Times New Roman" w:eastAsia="Times New Roman" w:hAnsi="Times New Roman" w:cs="Times New Roman"/>
          <w:sz w:val="24"/>
          <w:szCs w:val="24"/>
        </w:rPr>
      </w:pPr>
    </w:p>
    <w:p w:rsidR="00AD2C77" w:rsidP="0087281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PUCO Staff properly recommended that Columbia provide non-IRP gross plant and reserve depreciation balances by FERC account</w:t>
      </w:r>
      <w:r w:rsidR="00A4665E">
        <w:rPr>
          <w:rFonts w:ascii="Times New Roman" w:eastAsia="Times New Roman" w:hAnsi="Times New Roman" w:cs="Times New Roman"/>
          <w:sz w:val="24"/>
          <w:szCs w:val="24"/>
        </w:rPr>
        <w:t xml:space="preserve"> (Staff Report at 7)</w:t>
      </w:r>
      <w:r>
        <w:rPr>
          <w:rFonts w:ascii="Times New Roman" w:eastAsia="Times New Roman" w:hAnsi="Times New Roman" w:cs="Times New Roman"/>
          <w:sz w:val="24"/>
          <w:szCs w:val="24"/>
        </w:rPr>
        <w:t>.</w:t>
      </w:r>
    </w:p>
    <w:p w:rsidR="00AD2C77" w:rsidRPr="00AD2C77" w:rsidP="00872816">
      <w:pPr>
        <w:spacing w:after="0" w:line="240" w:lineRule="auto"/>
        <w:ind w:left="2160" w:right="720" w:hanging="720"/>
        <w:rPr>
          <w:rFonts w:eastAsia="Times New Roman" w:cs="Times New Roman"/>
          <w:szCs w:val="24"/>
        </w:rPr>
      </w:pPr>
    </w:p>
    <w:p w:rsidR="00AD2C77" w:rsidRPr="00AD2C77" w:rsidP="0087281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sidRPr="00B81AEF">
        <w:rPr>
          <w:rFonts w:ascii="Times New Roman" w:eastAsia="Times New Roman" w:hAnsi="Times New Roman" w:cs="Times New Roman"/>
          <w:sz w:val="24"/>
          <w:szCs w:val="24"/>
        </w:rPr>
        <w:t xml:space="preserve">The PUCO Staff properly </w:t>
      </w:r>
      <w:r>
        <w:rPr>
          <w:rFonts w:ascii="Times New Roman" w:eastAsia="Times New Roman" w:hAnsi="Times New Roman" w:cs="Times New Roman"/>
          <w:sz w:val="24"/>
          <w:szCs w:val="24"/>
        </w:rPr>
        <w:t>recommended that Columbia adjust its plant balances to remove the cost overruns identified by Blue Ridge in its audit</w:t>
      </w:r>
      <w:r w:rsidR="00A4665E">
        <w:rPr>
          <w:rFonts w:ascii="Times New Roman" w:eastAsia="Times New Roman" w:hAnsi="Times New Roman" w:cs="Times New Roman"/>
          <w:sz w:val="24"/>
          <w:szCs w:val="24"/>
        </w:rPr>
        <w:t xml:space="preserve"> (Staff Report at 7)</w:t>
      </w:r>
      <w:r w:rsidRPr="00B81AEF">
        <w:rPr>
          <w:rFonts w:ascii="Times New Roman" w:eastAsia="Times New Roman" w:hAnsi="Times New Roman" w:cs="Times New Roman"/>
          <w:sz w:val="24"/>
          <w:szCs w:val="24"/>
        </w:rPr>
        <w:t>.</w:t>
      </w:r>
    </w:p>
    <w:p w:rsidR="00AD2C77" w:rsidRPr="00B81AEF" w:rsidP="00872816">
      <w:pPr>
        <w:pStyle w:val="ListParagraph"/>
        <w:spacing w:after="0" w:line="240" w:lineRule="auto"/>
        <w:ind w:left="2160" w:right="720" w:hanging="720"/>
        <w:rPr>
          <w:rFonts w:ascii="Times New Roman" w:eastAsia="Times New Roman" w:hAnsi="Times New Roman" w:cs="Times New Roman"/>
          <w:sz w:val="24"/>
          <w:szCs w:val="24"/>
        </w:rPr>
      </w:pPr>
    </w:p>
    <w:p w:rsidR="00631884" w:rsidP="0087281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sidRPr="00B81AEF">
        <w:rPr>
          <w:rFonts w:ascii="Times New Roman" w:eastAsia="Times New Roman" w:hAnsi="Times New Roman" w:cs="Times New Roman"/>
          <w:sz w:val="24"/>
          <w:szCs w:val="24"/>
        </w:rPr>
        <w:t xml:space="preserve">The PUCO Staff properly </w:t>
      </w:r>
      <w:r w:rsidR="00CA0DCD">
        <w:rPr>
          <w:rFonts w:ascii="Times New Roman" w:eastAsia="Times New Roman" w:hAnsi="Times New Roman" w:cs="Times New Roman"/>
          <w:sz w:val="24"/>
          <w:szCs w:val="24"/>
        </w:rPr>
        <w:t xml:space="preserve">recommended that Columbia </w:t>
      </w:r>
      <w:r w:rsidR="00C7751F">
        <w:rPr>
          <w:rFonts w:ascii="Times New Roman" w:eastAsia="Times New Roman" w:hAnsi="Times New Roman" w:cs="Times New Roman"/>
          <w:sz w:val="24"/>
          <w:szCs w:val="24"/>
        </w:rPr>
        <w:t>work with Staff (and hopefully the parties) to identify reasonable and meaningful annual caps (spending, revenue requirement, rate, etc.) to protect consumers</w:t>
      </w:r>
      <w:r w:rsidR="00A4665E">
        <w:rPr>
          <w:rFonts w:ascii="Times New Roman" w:eastAsia="Times New Roman" w:hAnsi="Times New Roman" w:cs="Times New Roman"/>
          <w:sz w:val="24"/>
          <w:szCs w:val="24"/>
        </w:rPr>
        <w:t xml:space="preserve"> (Staff Report at 7)</w:t>
      </w:r>
      <w:r w:rsidRPr="00B81AEF">
        <w:rPr>
          <w:rFonts w:ascii="Times New Roman" w:eastAsia="Times New Roman" w:hAnsi="Times New Roman" w:cs="Times New Roman"/>
          <w:sz w:val="24"/>
          <w:szCs w:val="24"/>
        </w:rPr>
        <w:t>.</w:t>
      </w:r>
    </w:p>
    <w:p w:rsidR="00AD2C77" w:rsidRPr="00AD2C77" w:rsidP="00872816">
      <w:pPr>
        <w:pStyle w:val="ListParagraph"/>
        <w:ind w:left="2160" w:right="720" w:hanging="720"/>
        <w:rPr>
          <w:rFonts w:ascii="Times New Roman" w:eastAsia="Times New Roman" w:hAnsi="Times New Roman" w:cs="Times New Roman"/>
          <w:sz w:val="24"/>
          <w:szCs w:val="24"/>
        </w:rPr>
      </w:pPr>
    </w:p>
    <w:p w:rsidR="00AD2C77" w:rsidP="0087281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PUCO Staff properly recommended that Columbia calculate its annualized depreciation using net plant instead of just plant additions</w:t>
      </w:r>
      <w:r w:rsidR="00A4665E">
        <w:rPr>
          <w:rFonts w:ascii="Times New Roman" w:eastAsia="Times New Roman" w:hAnsi="Times New Roman" w:cs="Times New Roman"/>
          <w:sz w:val="24"/>
          <w:szCs w:val="24"/>
        </w:rPr>
        <w:t xml:space="preserve"> (Staff Report at 8)</w:t>
      </w:r>
      <w:r>
        <w:rPr>
          <w:rFonts w:ascii="Times New Roman" w:eastAsia="Times New Roman" w:hAnsi="Times New Roman" w:cs="Times New Roman"/>
          <w:sz w:val="24"/>
          <w:szCs w:val="24"/>
        </w:rPr>
        <w:t>.</w:t>
      </w:r>
    </w:p>
    <w:p w:rsidR="00C7751F" w:rsidRPr="00C7751F" w:rsidP="00872816">
      <w:pPr>
        <w:pStyle w:val="ListParagraph"/>
        <w:ind w:left="2160" w:right="720" w:hanging="720"/>
        <w:rPr>
          <w:rFonts w:ascii="Times New Roman" w:eastAsia="Times New Roman" w:hAnsi="Times New Roman" w:cs="Times New Roman"/>
          <w:sz w:val="24"/>
          <w:szCs w:val="24"/>
        </w:rPr>
      </w:pPr>
    </w:p>
    <w:p w:rsidR="00C7751F" w:rsidP="0087281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PUCO Staff properly recommended a depreciation offset of $289.9 million to protect consumers from paying an amount of depreciation expense that no longer reflects the rate base upon which that depreciation expense was established</w:t>
      </w:r>
      <w:r w:rsidR="00A4665E">
        <w:rPr>
          <w:rFonts w:ascii="Times New Roman" w:eastAsia="Times New Roman" w:hAnsi="Times New Roman" w:cs="Times New Roman"/>
          <w:sz w:val="24"/>
          <w:szCs w:val="24"/>
        </w:rPr>
        <w:t xml:space="preserve"> (Staff Report at 8)</w:t>
      </w:r>
      <w:r>
        <w:rPr>
          <w:rFonts w:ascii="Times New Roman" w:eastAsia="Times New Roman" w:hAnsi="Times New Roman" w:cs="Times New Roman"/>
          <w:sz w:val="24"/>
          <w:szCs w:val="24"/>
        </w:rPr>
        <w:t>.</w:t>
      </w:r>
    </w:p>
    <w:p w:rsidR="00C7751F" w:rsidRPr="00C7751F" w:rsidP="00872816">
      <w:pPr>
        <w:pStyle w:val="ListParagraph"/>
        <w:ind w:left="2160" w:right="720" w:hanging="720"/>
        <w:rPr>
          <w:rFonts w:ascii="Times New Roman" w:eastAsia="Times New Roman" w:hAnsi="Times New Roman" w:cs="Times New Roman"/>
          <w:sz w:val="24"/>
          <w:szCs w:val="24"/>
        </w:rPr>
      </w:pPr>
    </w:p>
    <w:p w:rsidR="00C7751F" w:rsidP="0087281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PUCO Staff properly </w:t>
      </w:r>
      <w:r w:rsidR="005B542C">
        <w:rPr>
          <w:rFonts w:ascii="Times New Roman" w:eastAsia="Times New Roman" w:hAnsi="Times New Roman" w:cs="Times New Roman"/>
          <w:sz w:val="24"/>
          <w:szCs w:val="24"/>
        </w:rPr>
        <w:t>revised the</w:t>
      </w:r>
      <w:r>
        <w:rPr>
          <w:rFonts w:ascii="Times New Roman" w:eastAsia="Times New Roman" w:hAnsi="Times New Roman" w:cs="Times New Roman"/>
          <w:sz w:val="24"/>
          <w:szCs w:val="24"/>
        </w:rPr>
        <w:t xml:space="preserve"> rate of return to account for the effects of the federal tax cuts</w:t>
      </w:r>
      <w:r w:rsidR="005B542C">
        <w:rPr>
          <w:rFonts w:ascii="Times New Roman" w:eastAsia="Times New Roman" w:hAnsi="Times New Roman" w:cs="Times New Roman"/>
          <w:sz w:val="24"/>
          <w:szCs w:val="24"/>
        </w:rPr>
        <w:t xml:space="preserve"> (though such rate of return could have been lowered further to be more reflective of current market conditions, as noted below)</w:t>
      </w:r>
      <w:r w:rsidR="00A4665E">
        <w:rPr>
          <w:rFonts w:ascii="Times New Roman" w:eastAsia="Times New Roman" w:hAnsi="Times New Roman" w:cs="Times New Roman"/>
          <w:sz w:val="24"/>
          <w:szCs w:val="24"/>
        </w:rPr>
        <w:t xml:space="preserve"> (Staff Report at 8)</w:t>
      </w:r>
      <w:r>
        <w:rPr>
          <w:rFonts w:ascii="Times New Roman" w:eastAsia="Times New Roman" w:hAnsi="Times New Roman" w:cs="Times New Roman"/>
          <w:sz w:val="24"/>
          <w:szCs w:val="24"/>
        </w:rPr>
        <w:t>.</w:t>
      </w:r>
    </w:p>
    <w:p w:rsidR="00C7751F" w:rsidRPr="00C7751F" w:rsidP="00872816">
      <w:pPr>
        <w:pStyle w:val="ListParagraph"/>
        <w:ind w:left="2160" w:right="720" w:hanging="720"/>
        <w:rPr>
          <w:rFonts w:ascii="Times New Roman" w:eastAsia="Times New Roman" w:hAnsi="Times New Roman" w:cs="Times New Roman"/>
          <w:sz w:val="24"/>
          <w:szCs w:val="24"/>
        </w:rPr>
      </w:pPr>
    </w:p>
    <w:p w:rsidR="00C7751F" w:rsidP="0087281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PUCO Staff properly recommended that Columbia make an annual filing to account for over/under charges and modifications in the amortization of deferrals</w:t>
      </w:r>
      <w:r w:rsidR="00A4665E">
        <w:rPr>
          <w:rFonts w:ascii="Times New Roman" w:eastAsia="Times New Roman" w:hAnsi="Times New Roman" w:cs="Times New Roman"/>
          <w:sz w:val="24"/>
          <w:szCs w:val="24"/>
        </w:rPr>
        <w:t xml:space="preserve"> (Staff Report at 9)</w:t>
      </w:r>
      <w:r>
        <w:rPr>
          <w:rFonts w:ascii="Times New Roman" w:eastAsia="Times New Roman" w:hAnsi="Times New Roman" w:cs="Times New Roman"/>
          <w:sz w:val="24"/>
          <w:szCs w:val="24"/>
        </w:rPr>
        <w:t>.</w:t>
      </w:r>
    </w:p>
    <w:p w:rsidR="00C7751F" w:rsidRPr="00C7751F" w:rsidP="00872816">
      <w:pPr>
        <w:pStyle w:val="ListParagraph"/>
        <w:ind w:left="2160" w:right="720" w:hanging="720"/>
        <w:rPr>
          <w:rFonts w:ascii="Times New Roman" w:eastAsia="Times New Roman" w:hAnsi="Times New Roman" w:cs="Times New Roman"/>
          <w:sz w:val="24"/>
          <w:szCs w:val="24"/>
        </w:rPr>
      </w:pPr>
    </w:p>
    <w:p w:rsidR="00C7751F" w:rsidP="00872816">
      <w:pPr>
        <w:pStyle w:val="ListParagraph"/>
        <w:numPr>
          <w:ilvl w:val="0"/>
          <w:numId w:val="7"/>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PUCO Staff properly recommended that Columbia work with the PUCO Staff (and hopefully the parties) to determine a filing date for its next base rate case</w:t>
      </w:r>
      <w:r w:rsidR="00A4665E">
        <w:rPr>
          <w:rFonts w:ascii="Times New Roman" w:eastAsia="Times New Roman" w:hAnsi="Times New Roman" w:cs="Times New Roman"/>
          <w:sz w:val="24"/>
          <w:szCs w:val="24"/>
        </w:rPr>
        <w:t xml:space="preserve"> (Staff Report at 9)</w:t>
      </w:r>
      <w:r>
        <w:rPr>
          <w:rFonts w:ascii="Times New Roman" w:eastAsia="Times New Roman" w:hAnsi="Times New Roman" w:cs="Times New Roman"/>
          <w:sz w:val="24"/>
          <w:szCs w:val="24"/>
        </w:rPr>
        <w:t>.</w:t>
      </w:r>
    </w:p>
    <w:p w:rsidR="00AD2C77" w:rsidRPr="00AD2C77" w:rsidP="00AD2C77">
      <w:pPr>
        <w:spacing w:after="0" w:line="240" w:lineRule="auto"/>
        <w:rPr>
          <w:rFonts w:eastAsia="Times New Roman" w:cs="Times New Roman"/>
          <w:szCs w:val="24"/>
        </w:rPr>
      </w:pPr>
    </w:p>
    <w:p w:rsidR="00631884" w:rsidRPr="00B81AEF" w:rsidP="00631884">
      <w:pPr>
        <w:spacing w:after="0" w:line="480" w:lineRule="auto"/>
        <w:ind w:firstLine="720"/>
        <w:rPr>
          <w:rFonts w:eastAsia="Times New Roman" w:cs="Times New Roman"/>
          <w:szCs w:val="24"/>
        </w:rPr>
      </w:pPr>
      <w:r w:rsidRPr="00B81AEF">
        <w:rPr>
          <w:rFonts w:eastAsia="Times New Roman" w:cs="Times New Roman"/>
          <w:szCs w:val="24"/>
        </w:rPr>
        <w:t xml:space="preserve">At the same time, the PUCO Staff </w:t>
      </w:r>
      <w:r w:rsidR="00BF790F">
        <w:rPr>
          <w:rFonts w:eastAsia="Times New Roman" w:cs="Times New Roman"/>
          <w:szCs w:val="24"/>
        </w:rPr>
        <w:t>R</w:t>
      </w:r>
      <w:r w:rsidRPr="00B81AEF">
        <w:rPr>
          <w:rFonts w:eastAsia="Times New Roman" w:cs="Times New Roman"/>
          <w:szCs w:val="24"/>
        </w:rPr>
        <w:t xml:space="preserve">eport should have recommended additional changes </w:t>
      </w:r>
      <w:r w:rsidR="00C70E84">
        <w:rPr>
          <w:rFonts w:eastAsia="Times New Roman" w:cs="Times New Roman"/>
          <w:szCs w:val="24"/>
        </w:rPr>
        <w:t xml:space="preserve">to Columbia’s CEP Rider Application </w:t>
      </w:r>
      <w:r w:rsidRPr="00B81AEF">
        <w:rPr>
          <w:rFonts w:eastAsia="Times New Roman" w:cs="Times New Roman"/>
          <w:szCs w:val="24"/>
        </w:rPr>
        <w:t>for the benefit of consumers:</w:t>
      </w:r>
    </w:p>
    <w:p w:rsidR="00631884" w:rsidP="00872816">
      <w:pPr>
        <w:pStyle w:val="ListParagraph"/>
        <w:numPr>
          <w:ilvl w:val="0"/>
          <w:numId w:val="8"/>
        </w:numPr>
        <w:spacing w:after="0" w:line="240" w:lineRule="auto"/>
        <w:ind w:left="2160" w:right="720" w:hanging="720"/>
        <w:rPr>
          <w:rFonts w:ascii="Times New Roman" w:eastAsia="Times New Roman" w:hAnsi="Times New Roman" w:cs="Times New Roman"/>
          <w:sz w:val="24"/>
          <w:szCs w:val="24"/>
        </w:rPr>
      </w:pPr>
      <w:r w:rsidRPr="00B81AEF">
        <w:rPr>
          <w:rFonts w:ascii="Times New Roman" w:eastAsia="Times New Roman" w:hAnsi="Times New Roman" w:cs="Times New Roman"/>
          <w:sz w:val="24"/>
          <w:szCs w:val="24"/>
        </w:rPr>
        <w:t xml:space="preserve">The PUCO Staff Report </w:t>
      </w:r>
      <w:r w:rsidRPr="00CE1491" w:rsidR="00CE1491">
        <w:rPr>
          <w:rFonts w:ascii="Times New Roman" w:eastAsia="Times New Roman" w:hAnsi="Times New Roman" w:cs="Times New Roman"/>
          <w:sz w:val="24"/>
          <w:szCs w:val="24"/>
        </w:rPr>
        <w:t xml:space="preserve">failed to examine </w:t>
      </w:r>
      <w:r w:rsidR="005B6416">
        <w:rPr>
          <w:rFonts w:ascii="Times New Roman" w:eastAsia="Times New Roman" w:hAnsi="Times New Roman" w:cs="Times New Roman"/>
          <w:sz w:val="24"/>
          <w:szCs w:val="24"/>
        </w:rPr>
        <w:t xml:space="preserve">(but should have examined) </w:t>
      </w:r>
      <w:r w:rsidRPr="00CE1491" w:rsidR="00CE1491">
        <w:rPr>
          <w:rFonts w:ascii="Times New Roman" w:eastAsia="Times New Roman" w:hAnsi="Times New Roman" w:cs="Times New Roman"/>
          <w:sz w:val="24"/>
          <w:szCs w:val="24"/>
        </w:rPr>
        <w:t>a sufficient number of CEP projects (workorders) to verify that there was not additional unnecessary or imprudent spending that should not be passed on to consumers</w:t>
      </w:r>
      <w:r w:rsidRPr="00B81AEF">
        <w:rPr>
          <w:rFonts w:ascii="Times New Roman" w:eastAsia="Times New Roman" w:hAnsi="Times New Roman" w:cs="Times New Roman"/>
          <w:sz w:val="24"/>
          <w:szCs w:val="24"/>
        </w:rPr>
        <w:t xml:space="preserve">. </w:t>
      </w:r>
    </w:p>
    <w:p w:rsidR="00BF790F" w:rsidP="00872816">
      <w:pPr>
        <w:pStyle w:val="ListParagraph"/>
        <w:spacing w:after="0" w:line="240" w:lineRule="auto"/>
        <w:ind w:left="2160" w:right="720" w:hanging="720"/>
        <w:rPr>
          <w:rFonts w:ascii="Times New Roman" w:eastAsia="Times New Roman" w:hAnsi="Times New Roman" w:cs="Times New Roman"/>
          <w:sz w:val="24"/>
          <w:szCs w:val="24"/>
        </w:rPr>
      </w:pPr>
    </w:p>
    <w:p w:rsidR="00BF790F" w:rsidP="00872816">
      <w:pPr>
        <w:pStyle w:val="ListParagraph"/>
        <w:numPr>
          <w:ilvl w:val="0"/>
          <w:numId w:val="8"/>
        </w:numPr>
        <w:spacing w:after="0" w:line="240" w:lineRule="auto"/>
        <w:ind w:left="2160"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PUCO Staff Report failed to properly examine </w:t>
      </w:r>
      <w:r w:rsidR="005B6416">
        <w:rPr>
          <w:rFonts w:ascii="Times New Roman" w:eastAsia="Times New Roman" w:hAnsi="Times New Roman" w:cs="Times New Roman"/>
          <w:sz w:val="24"/>
          <w:szCs w:val="24"/>
        </w:rPr>
        <w:t xml:space="preserve">(but should have examined) </w:t>
      </w:r>
      <w:r>
        <w:rPr>
          <w:rFonts w:ascii="Times New Roman" w:eastAsia="Times New Roman" w:hAnsi="Times New Roman" w:cs="Times New Roman"/>
          <w:sz w:val="24"/>
          <w:szCs w:val="24"/>
        </w:rPr>
        <w:t>whether the capital expenditures under Columbia’s CEP were necessary</w:t>
      </w:r>
      <w:r w:rsidR="005B6416">
        <w:rPr>
          <w:rFonts w:ascii="Times New Roman" w:eastAsia="Times New Roman" w:hAnsi="Times New Roman" w:cs="Times New Roman"/>
          <w:sz w:val="24"/>
          <w:szCs w:val="24"/>
        </w:rPr>
        <w:t xml:space="preserve"> for service to consumers</w:t>
      </w:r>
      <w:r>
        <w:rPr>
          <w:rFonts w:ascii="Times New Roman" w:eastAsia="Times New Roman" w:hAnsi="Times New Roman" w:cs="Times New Roman"/>
          <w:sz w:val="24"/>
          <w:szCs w:val="24"/>
        </w:rPr>
        <w:t>.</w:t>
      </w:r>
    </w:p>
    <w:p w:rsidR="00CE1491" w:rsidRPr="00B81AEF" w:rsidP="00872816">
      <w:pPr>
        <w:pStyle w:val="ListParagraph"/>
        <w:spacing w:after="0" w:line="240" w:lineRule="auto"/>
        <w:ind w:left="2160" w:right="720" w:hanging="720"/>
        <w:rPr>
          <w:rFonts w:ascii="Times New Roman" w:eastAsia="Times New Roman" w:hAnsi="Times New Roman" w:cs="Times New Roman"/>
          <w:sz w:val="24"/>
          <w:szCs w:val="24"/>
        </w:rPr>
      </w:pPr>
    </w:p>
    <w:p w:rsidR="00631884" w:rsidP="00872816">
      <w:pPr>
        <w:pStyle w:val="ListParagraph"/>
        <w:numPr>
          <w:ilvl w:val="0"/>
          <w:numId w:val="8"/>
        </w:numPr>
        <w:spacing w:after="0" w:line="240" w:lineRule="auto"/>
        <w:ind w:left="2160" w:right="720" w:hanging="720"/>
        <w:rPr>
          <w:rFonts w:ascii="Times New Roman" w:eastAsia="Times New Roman" w:hAnsi="Times New Roman" w:cs="Times New Roman"/>
          <w:sz w:val="24"/>
          <w:szCs w:val="24"/>
        </w:rPr>
      </w:pPr>
      <w:r w:rsidRPr="00B81AEF">
        <w:rPr>
          <w:rFonts w:ascii="Times New Roman" w:eastAsia="Times New Roman" w:hAnsi="Times New Roman" w:cs="Times New Roman"/>
          <w:sz w:val="24"/>
          <w:szCs w:val="24"/>
        </w:rPr>
        <w:t>The PUCO Staff Report</w:t>
      </w:r>
      <w:r w:rsidRPr="005C6107" w:rsidR="005C6107">
        <w:t xml:space="preserve"> </w:t>
      </w:r>
      <w:r w:rsidRPr="005C6107" w:rsidR="005C6107">
        <w:rPr>
          <w:rFonts w:ascii="Times New Roman" w:eastAsia="Times New Roman" w:hAnsi="Times New Roman" w:cs="Times New Roman"/>
          <w:sz w:val="24"/>
          <w:szCs w:val="24"/>
        </w:rPr>
        <w:t xml:space="preserve">failed to require </w:t>
      </w:r>
      <w:r w:rsidR="005B6416">
        <w:rPr>
          <w:rFonts w:ascii="Times New Roman" w:eastAsia="Times New Roman" w:hAnsi="Times New Roman" w:cs="Times New Roman"/>
          <w:sz w:val="24"/>
          <w:szCs w:val="24"/>
        </w:rPr>
        <w:t xml:space="preserve">(but should have required) </w:t>
      </w:r>
      <w:r w:rsidRPr="005C6107" w:rsidR="005C6107">
        <w:rPr>
          <w:rFonts w:ascii="Times New Roman" w:eastAsia="Times New Roman" w:hAnsi="Times New Roman" w:cs="Times New Roman"/>
          <w:sz w:val="24"/>
          <w:szCs w:val="24"/>
        </w:rPr>
        <w:t>Columbia to identify any meter relocation costs that should not have been included for ultimate collection from customers in the CEP</w:t>
      </w:r>
      <w:r w:rsidRPr="00B81AEF">
        <w:rPr>
          <w:rFonts w:ascii="Times New Roman" w:eastAsia="Times New Roman" w:hAnsi="Times New Roman" w:cs="Times New Roman"/>
          <w:sz w:val="24"/>
          <w:szCs w:val="24"/>
        </w:rPr>
        <w:t>.</w:t>
      </w:r>
    </w:p>
    <w:p w:rsidR="005C6107" w:rsidRPr="005C6107" w:rsidP="00872816">
      <w:pPr>
        <w:spacing w:after="0" w:line="240" w:lineRule="auto"/>
        <w:ind w:left="2160" w:right="720" w:hanging="720"/>
        <w:rPr>
          <w:rFonts w:eastAsia="Times New Roman" w:cs="Times New Roman"/>
          <w:szCs w:val="24"/>
        </w:rPr>
      </w:pPr>
    </w:p>
    <w:p w:rsidR="005C6107" w:rsidP="00872816">
      <w:pPr>
        <w:pStyle w:val="ListParagraph"/>
        <w:numPr>
          <w:ilvl w:val="0"/>
          <w:numId w:val="8"/>
        </w:numPr>
        <w:spacing w:after="0" w:line="240" w:lineRule="auto"/>
        <w:ind w:left="2160" w:right="720" w:hanging="720"/>
        <w:rPr>
          <w:rFonts w:ascii="Times New Roman" w:eastAsia="Times New Roman" w:hAnsi="Times New Roman" w:cs="Times New Roman"/>
          <w:sz w:val="24"/>
          <w:szCs w:val="24"/>
        </w:rPr>
      </w:pPr>
      <w:r w:rsidRPr="00B81AEF">
        <w:rPr>
          <w:rFonts w:ascii="Times New Roman" w:eastAsia="Times New Roman" w:hAnsi="Times New Roman" w:cs="Times New Roman"/>
          <w:sz w:val="24"/>
          <w:szCs w:val="24"/>
        </w:rPr>
        <w:t xml:space="preserve">The PUCO Staff Report </w:t>
      </w:r>
      <w:r>
        <w:rPr>
          <w:rFonts w:ascii="Times New Roman" w:eastAsia="Times New Roman" w:hAnsi="Times New Roman" w:cs="Times New Roman"/>
          <w:sz w:val="24"/>
          <w:szCs w:val="24"/>
        </w:rPr>
        <w:t>failed</w:t>
      </w:r>
      <w:r w:rsidRPr="005C6107">
        <w:rPr>
          <w:rFonts w:ascii="Times New Roman" w:eastAsia="Times New Roman" w:hAnsi="Times New Roman" w:cs="Times New Roman"/>
          <w:sz w:val="24"/>
          <w:szCs w:val="24"/>
        </w:rPr>
        <w:t xml:space="preserve"> to recommend </w:t>
      </w:r>
      <w:r w:rsidR="005B6416">
        <w:rPr>
          <w:rFonts w:ascii="Times New Roman" w:eastAsia="Times New Roman" w:hAnsi="Times New Roman" w:cs="Times New Roman"/>
          <w:sz w:val="24"/>
          <w:szCs w:val="24"/>
        </w:rPr>
        <w:t xml:space="preserve">(but should have recommended) </w:t>
      </w:r>
      <w:r w:rsidRPr="005C6107">
        <w:rPr>
          <w:rFonts w:ascii="Times New Roman" w:eastAsia="Times New Roman" w:hAnsi="Times New Roman" w:cs="Times New Roman"/>
          <w:sz w:val="24"/>
          <w:szCs w:val="24"/>
        </w:rPr>
        <w:t>revenue offsets for each year since Columbia initiated the CEP to help reduce the impact of the spending on consumers</w:t>
      </w:r>
      <w:r w:rsidRPr="00B81AEF">
        <w:rPr>
          <w:rFonts w:ascii="Times New Roman" w:eastAsia="Times New Roman" w:hAnsi="Times New Roman" w:cs="Times New Roman"/>
          <w:sz w:val="24"/>
          <w:szCs w:val="24"/>
        </w:rPr>
        <w:t>.</w:t>
      </w:r>
    </w:p>
    <w:p w:rsidR="005C6107" w:rsidRPr="005C6107" w:rsidP="00872816">
      <w:pPr>
        <w:pStyle w:val="ListParagraph"/>
        <w:ind w:left="2160" w:right="720" w:hanging="720"/>
        <w:rPr>
          <w:rFonts w:ascii="Times New Roman" w:eastAsia="Times New Roman" w:hAnsi="Times New Roman" w:cs="Times New Roman"/>
          <w:sz w:val="24"/>
          <w:szCs w:val="24"/>
        </w:rPr>
      </w:pPr>
    </w:p>
    <w:p w:rsidR="005C6107" w:rsidRPr="005C6107" w:rsidP="00872816">
      <w:pPr>
        <w:pStyle w:val="ListParagraph"/>
        <w:numPr>
          <w:ilvl w:val="0"/>
          <w:numId w:val="8"/>
        </w:numPr>
        <w:spacing w:after="0" w:line="240" w:lineRule="auto"/>
        <w:ind w:left="2160" w:right="720" w:hanging="720"/>
        <w:rPr>
          <w:rFonts w:ascii="Times New Roman" w:eastAsia="Times New Roman" w:hAnsi="Times New Roman" w:cs="Times New Roman"/>
          <w:sz w:val="24"/>
          <w:szCs w:val="24"/>
        </w:rPr>
      </w:pPr>
      <w:r w:rsidRPr="005C6107">
        <w:rPr>
          <w:rFonts w:ascii="Times New Roman" w:hAnsi="Times New Roman" w:cs="Times New Roman"/>
          <w:sz w:val="24"/>
          <w:szCs w:val="24"/>
        </w:rPr>
        <w:t xml:space="preserve">The </w:t>
      </w:r>
      <w:r>
        <w:rPr>
          <w:rFonts w:ascii="Times New Roman" w:hAnsi="Times New Roman" w:cs="Times New Roman"/>
          <w:sz w:val="24"/>
          <w:szCs w:val="24"/>
        </w:rPr>
        <w:t xml:space="preserve">PUCO </w:t>
      </w:r>
      <w:r w:rsidRPr="005C6107">
        <w:rPr>
          <w:rFonts w:ascii="Times New Roman" w:hAnsi="Times New Roman" w:cs="Times New Roman"/>
          <w:sz w:val="24"/>
          <w:szCs w:val="24"/>
        </w:rPr>
        <w:t xml:space="preserve">Staff Report failed to recommend </w:t>
      </w:r>
      <w:r w:rsidR="005B6416">
        <w:rPr>
          <w:rFonts w:ascii="Times New Roman" w:hAnsi="Times New Roman" w:cs="Times New Roman"/>
          <w:sz w:val="24"/>
          <w:szCs w:val="24"/>
        </w:rPr>
        <w:t xml:space="preserve">(but should have recommended) </w:t>
      </w:r>
      <w:r w:rsidRPr="005C6107">
        <w:rPr>
          <w:rFonts w:ascii="Times New Roman" w:hAnsi="Times New Roman" w:cs="Times New Roman"/>
          <w:sz w:val="24"/>
          <w:szCs w:val="24"/>
        </w:rPr>
        <w:t>operational savings credit</w:t>
      </w:r>
      <w:r w:rsidR="003A7C4C">
        <w:rPr>
          <w:rFonts w:ascii="Times New Roman" w:hAnsi="Times New Roman" w:cs="Times New Roman"/>
          <w:sz w:val="24"/>
          <w:szCs w:val="24"/>
        </w:rPr>
        <w:t>s</w:t>
      </w:r>
      <w:r w:rsidRPr="005C6107">
        <w:rPr>
          <w:rFonts w:ascii="Times New Roman" w:hAnsi="Times New Roman" w:cs="Times New Roman"/>
          <w:sz w:val="24"/>
          <w:szCs w:val="24"/>
        </w:rPr>
        <w:t xml:space="preserve"> be used to help offset the cost of the CEP</w:t>
      </w:r>
      <w:r w:rsidR="005B6416">
        <w:rPr>
          <w:rFonts w:ascii="Times New Roman" w:hAnsi="Times New Roman" w:cs="Times New Roman"/>
          <w:sz w:val="24"/>
          <w:szCs w:val="24"/>
        </w:rPr>
        <w:t xml:space="preserve"> to consumers.</w:t>
      </w:r>
    </w:p>
    <w:p w:rsidR="005C6107" w:rsidRPr="005C6107" w:rsidP="00872816">
      <w:pPr>
        <w:pStyle w:val="ListParagraph"/>
        <w:ind w:left="2160" w:right="720" w:hanging="720"/>
        <w:rPr>
          <w:rFonts w:ascii="Times New Roman" w:eastAsia="Times New Roman" w:hAnsi="Times New Roman" w:cs="Times New Roman"/>
          <w:sz w:val="24"/>
          <w:szCs w:val="24"/>
        </w:rPr>
      </w:pPr>
    </w:p>
    <w:p w:rsidR="005C6107" w:rsidP="00872816">
      <w:pPr>
        <w:pStyle w:val="ListParagraph"/>
        <w:numPr>
          <w:ilvl w:val="0"/>
          <w:numId w:val="8"/>
        </w:numPr>
        <w:spacing w:after="0" w:line="240" w:lineRule="auto"/>
        <w:ind w:left="2160" w:right="720" w:hanging="720"/>
        <w:rPr>
          <w:rFonts w:ascii="Times New Roman" w:eastAsia="Times New Roman" w:hAnsi="Times New Roman" w:cs="Times New Roman"/>
          <w:sz w:val="24"/>
          <w:szCs w:val="24"/>
        </w:rPr>
      </w:pPr>
      <w:r w:rsidRPr="005C6107">
        <w:rPr>
          <w:rFonts w:ascii="Times New Roman" w:eastAsia="Times New Roman" w:hAnsi="Times New Roman" w:cs="Times New Roman"/>
          <w:sz w:val="24"/>
          <w:szCs w:val="24"/>
        </w:rPr>
        <w:t xml:space="preserve">The PUCO Staff Report failed </w:t>
      </w:r>
      <w:bookmarkStart w:id="3" w:name="_Hlk527385773"/>
      <w:r w:rsidRPr="005C6107">
        <w:rPr>
          <w:rFonts w:ascii="Times New Roman" w:eastAsia="Times New Roman" w:hAnsi="Times New Roman" w:cs="Times New Roman"/>
          <w:sz w:val="24"/>
          <w:szCs w:val="24"/>
        </w:rPr>
        <w:t xml:space="preserve">to recognize </w:t>
      </w:r>
      <w:r w:rsidR="005B6416">
        <w:rPr>
          <w:rFonts w:ascii="Times New Roman" w:eastAsia="Times New Roman" w:hAnsi="Times New Roman" w:cs="Times New Roman"/>
          <w:sz w:val="24"/>
          <w:szCs w:val="24"/>
        </w:rPr>
        <w:t xml:space="preserve">(but should have recognized) </w:t>
      </w:r>
      <w:r w:rsidRPr="005C6107">
        <w:rPr>
          <w:rFonts w:ascii="Times New Roman" w:eastAsia="Times New Roman" w:hAnsi="Times New Roman" w:cs="Times New Roman"/>
          <w:sz w:val="24"/>
          <w:szCs w:val="24"/>
        </w:rPr>
        <w:t>that the pre-tax rate of return that was requested and recommended by Blue Ridge should be based on current market conditions</w:t>
      </w:r>
      <w:bookmarkEnd w:id="3"/>
      <w:r w:rsidRPr="005C6107">
        <w:rPr>
          <w:rFonts w:ascii="Times New Roman" w:eastAsia="Times New Roman" w:hAnsi="Times New Roman" w:cs="Times New Roman"/>
          <w:sz w:val="24"/>
          <w:szCs w:val="24"/>
        </w:rPr>
        <w:t>.</w:t>
      </w:r>
    </w:p>
    <w:p w:rsidR="001F2910" w:rsidRPr="001F2910" w:rsidP="001F2910">
      <w:pPr>
        <w:pStyle w:val="ListParagraph"/>
        <w:rPr>
          <w:rFonts w:ascii="Times New Roman" w:eastAsia="Times New Roman" w:hAnsi="Times New Roman" w:cs="Times New Roman"/>
          <w:sz w:val="24"/>
          <w:szCs w:val="24"/>
        </w:rPr>
      </w:pPr>
    </w:p>
    <w:p w:rsidR="009D391C" w:rsidRPr="005B6416" w:rsidP="009D391C">
      <w:pPr>
        <w:pStyle w:val="ListParagraph"/>
        <w:numPr>
          <w:ilvl w:val="0"/>
          <w:numId w:val="8"/>
        </w:numPr>
        <w:spacing w:after="0" w:line="240" w:lineRule="auto"/>
        <w:ind w:left="2160" w:right="720" w:hanging="720"/>
        <w:rPr>
          <w:rFonts w:eastAsia="Times New Roman" w:cs="Times New Roman"/>
          <w:szCs w:val="24"/>
        </w:rPr>
      </w:pPr>
      <w:r w:rsidRPr="005B6416">
        <w:rPr>
          <w:rFonts w:ascii="Times New Roman" w:eastAsia="Times New Roman" w:hAnsi="Times New Roman" w:cs="Times New Roman"/>
          <w:sz w:val="24"/>
          <w:szCs w:val="24"/>
        </w:rPr>
        <w:t xml:space="preserve">The PUCO Staff Report failed to recommend </w:t>
      </w:r>
      <w:r w:rsidRPr="005B6416" w:rsidR="005B6416">
        <w:rPr>
          <w:rFonts w:ascii="Times New Roman" w:eastAsia="Times New Roman" w:hAnsi="Times New Roman" w:cs="Times New Roman"/>
          <w:sz w:val="24"/>
          <w:szCs w:val="24"/>
        </w:rPr>
        <w:t xml:space="preserve">(but should have recommended) </w:t>
      </w:r>
      <w:r w:rsidRPr="005B6416">
        <w:rPr>
          <w:rFonts w:ascii="Times New Roman" w:eastAsia="Times New Roman" w:hAnsi="Times New Roman" w:cs="Times New Roman"/>
          <w:sz w:val="24"/>
          <w:szCs w:val="24"/>
        </w:rPr>
        <w:t>that Columbia file its next base rate case</w:t>
      </w:r>
      <w:r w:rsidRPr="005B6416" w:rsidR="00A05AA1">
        <w:rPr>
          <w:rFonts w:ascii="Times New Roman" w:eastAsia="Times New Roman" w:hAnsi="Times New Roman" w:cs="Times New Roman"/>
          <w:sz w:val="24"/>
          <w:szCs w:val="24"/>
        </w:rPr>
        <w:t xml:space="preserve"> as soon as possible</w:t>
      </w:r>
      <w:r w:rsidRPr="005B6416" w:rsidR="005B6416">
        <w:rPr>
          <w:rFonts w:ascii="Times New Roman" w:eastAsia="Times New Roman" w:hAnsi="Times New Roman" w:cs="Times New Roman"/>
          <w:sz w:val="24"/>
          <w:szCs w:val="24"/>
        </w:rPr>
        <w:t xml:space="preserve"> to, among other things, reduce Columbia’s return on equity (profit) that was set years ago and is now too high to charge to consumers</w:t>
      </w:r>
      <w:r w:rsidRPr="005B6416">
        <w:rPr>
          <w:rFonts w:ascii="Times New Roman" w:eastAsia="Times New Roman" w:hAnsi="Times New Roman" w:cs="Times New Roman"/>
          <w:sz w:val="24"/>
          <w:szCs w:val="24"/>
        </w:rPr>
        <w:t>.</w:t>
      </w:r>
    </w:p>
    <w:p w:rsidR="00106E51" w:rsidRPr="00983C06" w:rsidP="00983C06">
      <w:pPr>
        <w:pStyle w:val="ListParagraph"/>
        <w:rPr>
          <w:rFonts w:ascii="Times New Roman" w:eastAsia="Times New Roman" w:hAnsi="Times New Roman" w:cs="Times New Roman"/>
          <w:sz w:val="24"/>
          <w:szCs w:val="24"/>
        </w:rPr>
      </w:pPr>
    </w:p>
    <w:p w:rsidR="00106E51" w:rsidRPr="005C6107" w:rsidP="00872816">
      <w:pPr>
        <w:pStyle w:val="ListParagraph"/>
        <w:numPr>
          <w:ilvl w:val="0"/>
          <w:numId w:val="8"/>
        </w:numPr>
        <w:spacing w:after="0" w:line="240" w:lineRule="auto"/>
        <w:ind w:left="2160" w:right="720" w:hanging="720"/>
        <w:rPr>
          <w:rFonts w:ascii="Times New Roman" w:eastAsia="Times New Roman" w:hAnsi="Times New Roman" w:cs="Times New Roman"/>
          <w:sz w:val="24"/>
          <w:szCs w:val="24"/>
        </w:rPr>
      </w:pPr>
      <w:bookmarkStart w:id="4" w:name="_Hlk527366751"/>
      <w:r>
        <w:rPr>
          <w:rFonts w:ascii="Times New Roman" w:eastAsia="Times New Roman" w:hAnsi="Times New Roman" w:cs="Times New Roman"/>
          <w:sz w:val="24"/>
          <w:szCs w:val="24"/>
        </w:rPr>
        <w:t xml:space="preserve">The PUCO Staff Report failed to recommend </w:t>
      </w:r>
      <w:r w:rsidR="005B6416">
        <w:rPr>
          <w:rFonts w:ascii="Times New Roman" w:eastAsia="Times New Roman" w:hAnsi="Times New Roman" w:cs="Times New Roman"/>
          <w:sz w:val="24"/>
          <w:szCs w:val="24"/>
        </w:rPr>
        <w:t xml:space="preserve">(but should have recommended) </w:t>
      </w:r>
      <w:r>
        <w:rPr>
          <w:rFonts w:ascii="Times New Roman" w:eastAsia="Times New Roman" w:hAnsi="Times New Roman" w:cs="Times New Roman"/>
          <w:sz w:val="24"/>
          <w:szCs w:val="24"/>
        </w:rPr>
        <w:t>that Columbia lower its charges to consumers to account for</w:t>
      </w:r>
      <w:r w:rsidR="00A07BFA">
        <w:rPr>
          <w:rFonts w:ascii="Times New Roman" w:eastAsia="Times New Roman" w:hAnsi="Times New Roman" w:cs="Times New Roman"/>
          <w:sz w:val="24"/>
          <w:szCs w:val="24"/>
        </w:rPr>
        <w:t xml:space="preserve"> Columbia’s tax savings from </w:t>
      </w:r>
      <w:r>
        <w:rPr>
          <w:rFonts w:ascii="Times New Roman" w:eastAsia="Times New Roman" w:hAnsi="Times New Roman" w:cs="Times New Roman"/>
          <w:sz w:val="24"/>
          <w:szCs w:val="24"/>
        </w:rPr>
        <w:t xml:space="preserve">the federal tax cuts </w:t>
      </w:r>
      <w:r w:rsidR="00A07BFA">
        <w:rPr>
          <w:rFonts w:ascii="Times New Roman" w:eastAsia="Times New Roman" w:hAnsi="Times New Roman" w:cs="Times New Roman"/>
          <w:sz w:val="24"/>
          <w:szCs w:val="24"/>
        </w:rPr>
        <w:t>under</w:t>
      </w:r>
      <w:r>
        <w:rPr>
          <w:rFonts w:ascii="Times New Roman" w:eastAsia="Times New Roman" w:hAnsi="Times New Roman" w:cs="Times New Roman"/>
          <w:sz w:val="24"/>
          <w:szCs w:val="24"/>
        </w:rPr>
        <w:t xml:space="preserve"> the Tax Cuts and Jobs Act of 2017</w:t>
      </w:r>
      <w:bookmarkEnd w:id="4"/>
      <w:r>
        <w:rPr>
          <w:rFonts w:ascii="Times New Roman" w:eastAsia="Times New Roman" w:hAnsi="Times New Roman" w:cs="Times New Roman"/>
          <w:sz w:val="24"/>
          <w:szCs w:val="24"/>
        </w:rPr>
        <w:t>.</w:t>
      </w:r>
    </w:p>
    <w:p w:rsidR="005C6107" w:rsidRPr="005C6107" w:rsidP="005C6107">
      <w:pPr>
        <w:spacing w:after="0" w:line="240" w:lineRule="auto"/>
        <w:rPr>
          <w:rFonts w:eastAsia="Times New Roman" w:cs="Times New Roman"/>
          <w:szCs w:val="24"/>
        </w:rPr>
      </w:pPr>
    </w:p>
    <w:p w:rsidR="009D391C" w:rsidRPr="00B81AEF" w:rsidP="00A07BFA">
      <w:pPr>
        <w:spacing w:after="0" w:line="480" w:lineRule="auto"/>
        <w:ind w:firstLine="720"/>
        <w:rPr>
          <w:rFonts w:eastAsia="Times New Roman" w:cs="Times New Roman"/>
          <w:szCs w:val="24"/>
        </w:rPr>
      </w:pPr>
      <w:r w:rsidRPr="00B81AEF">
        <w:rPr>
          <w:rFonts w:eastAsia="Times New Roman" w:cs="Times New Roman"/>
          <w:szCs w:val="24"/>
        </w:rPr>
        <w:t>These objections</w:t>
      </w:r>
      <w:r w:rsidR="001F2910">
        <w:rPr>
          <w:rFonts w:eastAsia="Times New Roman" w:cs="Times New Roman"/>
          <w:szCs w:val="24"/>
        </w:rPr>
        <w:t xml:space="preserve"> </w:t>
      </w:r>
      <w:r w:rsidRPr="00B81AEF">
        <w:rPr>
          <w:rFonts w:eastAsia="Times New Roman" w:cs="Times New Roman"/>
          <w:szCs w:val="24"/>
        </w:rPr>
        <w:t xml:space="preserve">are discussed in more detail below. OCC’s recommendations, if adopted, would </w:t>
      </w:r>
      <w:r w:rsidRPr="00B81AEF" w:rsidR="000277E8">
        <w:rPr>
          <w:rFonts w:eastAsia="Times New Roman" w:cs="Times New Roman"/>
          <w:szCs w:val="24"/>
        </w:rPr>
        <w:t xml:space="preserve">protect consumers from </w:t>
      </w:r>
      <w:r w:rsidR="00A07BFA">
        <w:rPr>
          <w:rFonts w:eastAsia="Times New Roman" w:cs="Times New Roman"/>
          <w:szCs w:val="24"/>
        </w:rPr>
        <w:t>significant escalations in</w:t>
      </w:r>
      <w:r w:rsidRPr="00B81AEF" w:rsidR="000277E8">
        <w:rPr>
          <w:rFonts w:eastAsia="Times New Roman" w:cs="Times New Roman"/>
          <w:szCs w:val="24"/>
        </w:rPr>
        <w:t xml:space="preserve"> capital expenditure costs</w:t>
      </w:r>
      <w:r w:rsidRPr="00B81AEF">
        <w:rPr>
          <w:rFonts w:eastAsia="Times New Roman" w:cs="Times New Roman"/>
          <w:szCs w:val="24"/>
        </w:rPr>
        <w:t>.</w:t>
      </w:r>
    </w:p>
    <w:p w:rsidR="000277E8" w:rsidRPr="00B81AEF" w:rsidP="00E57090">
      <w:pPr>
        <w:pStyle w:val="Heading1"/>
      </w:pPr>
      <w:bookmarkStart w:id="5" w:name="_Toc527386728"/>
      <w:r>
        <w:t>II.</w:t>
      </w:r>
      <w:r>
        <w:tab/>
      </w:r>
      <w:r w:rsidRPr="00B81AEF">
        <w:t>OBJECTIONS TO THE PUCO STAFF REPORT</w:t>
      </w:r>
      <w:bookmarkEnd w:id="5"/>
      <w:r w:rsidRPr="00B81AEF">
        <w:t xml:space="preserve"> </w:t>
      </w:r>
    </w:p>
    <w:p w:rsidR="00B81AEF" w:rsidP="009D391C">
      <w:pPr>
        <w:pStyle w:val="Heading2"/>
      </w:pPr>
      <w:bookmarkStart w:id="6" w:name="_Toc527386729"/>
      <w:r w:rsidRPr="00B81AEF">
        <w:t xml:space="preserve">Objection 1 – </w:t>
      </w:r>
      <w:r w:rsidRPr="00B81AEF" w:rsidR="007953C0">
        <w:t xml:space="preserve">The PUCO Staff Report </w:t>
      </w:r>
      <w:r w:rsidRPr="00CE1491" w:rsidR="003A7C4C">
        <w:t xml:space="preserve">failed to examine </w:t>
      </w:r>
      <w:r w:rsidR="003A7C4C">
        <w:t xml:space="preserve">(but should have examined) </w:t>
      </w:r>
      <w:r w:rsidRPr="00CE1491" w:rsidR="003A7C4C">
        <w:t>a sufficient number of CEP projects (workorders) to verify that there was not additional unnecessary or imprudent spending that should not be passed on to consumers</w:t>
      </w:r>
      <w:r>
        <w:t>.</w:t>
      </w:r>
      <w:bookmarkEnd w:id="6"/>
    </w:p>
    <w:p w:rsidR="007953C0" w:rsidRPr="007953C0" w:rsidP="007953C0">
      <w:pPr>
        <w:spacing w:after="0" w:line="480" w:lineRule="auto"/>
        <w:ind w:firstLine="720"/>
        <w:rPr>
          <w:rFonts w:cs="Times New Roman"/>
          <w:szCs w:val="24"/>
        </w:rPr>
      </w:pPr>
      <w:r w:rsidRPr="007953C0">
        <w:rPr>
          <w:rFonts w:cs="Times New Roman"/>
          <w:szCs w:val="24"/>
        </w:rPr>
        <w:t xml:space="preserve">The </w:t>
      </w:r>
      <w:r w:rsidRPr="00B81AEF">
        <w:rPr>
          <w:rFonts w:cs="Times New Roman"/>
          <w:szCs w:val="24"/>
        </w:rPr>
        <w:t xml:space="preserve">PUCO </w:t>
      </w:r>
      <w:r w:rsidRPr="007953C0">
        <w:rPr>
          <w:rFonts w:cs="Times New Roman"/>
          <w:szCs w:val="24"/>
        </w:rPr>
        <w:t>Staff adopted a Blue Ridge recommendation that $205,710 in project cost overruns be disallowed for three CEP work orders where the final project costs</w:t>
      </w:r>
      <w:r w:rsidR="005B7CB7">
        <w:rPr>
          <w:rFonts w:cs="Times New Roman"/>
          <w:szCs w:val="24"/>
        </w:rPr>
        <w:t xml:space="preserve"> </w:t>
      </w:r>
      <w:r w:rsidRPr="007953C0">
        <w:rPr>
          <w:rFonts w:cs="Times New Roman"/>
          <w:szCs w:val="24"/>
        </w:rPr>
        <w:t>exceeded the original budget by more than twenty percent.</w:t>
      </w:r>
      <w:r>
        <w:rPr>
          <w:rFonts w:cs="Times New Roman"/>
          <w:szCs w:val="24"/>
          <w:vertAlign w:val="superscript"/>
        </w:rPr>
        <w:footnoteReference w:id="2"/>
      </w:r>
      <w:r w:rsidRPr="007953C0">
        <w:rPr>
          <w:rFonts w:cs="Times New Roman"/>
          <w:szCs w:val="24"/>
        </w:rPr>
        <w:t xml:space="preserve"> The Blue Ridge disallowance(s) were based on findings of lack of necessity, unreasonableness, or imprudence</w:t>
      </w:r>
      <w:r w:rsidR="00C70E84">
        <w:rPr>
          <w:rFonts w:cs="Times New Roman"/>
          <w:szCs w:val="24"/>
        </w:rPr>
        <w:t xml:space="preserve"> of these three CEP work orders</w:t>
      </w:r>
      <w:r w:rsidRPr="007953C0">
        <w:rPr>
          <w:rFonts w:cs="Times New Roman"/>
          <w:szCs w:val="24"/>
        </w:rPr>
        <w:t>.</w:t>
      </w:r>
      <w:r>
        <w:rPr>
          <w:rFonts w:cs="Times New Roman"/>
          <w:szCs w:val="24"/>
          <w:vertAlign w:val="superscript"/>
        </w:rPr>
        <w:footnoteReference w:id="3"/>
      </w:r>
      <w:r w:rsidRPr="007953C0">
        <w:rPr>
          <w:rFonts w:cs="Times New Roman"/>
          <w:szCs w:val="24"/>
        </w:rPr>
        <w:t xml:space="preserve">  </w:t>
      </w:r>
      <w:r w:rsidR="00D83853">
        <w:rPr>
          <w:rFonts w:cs="Times New Roman"/>
          <w:szCs w:val="24"/>
        </w:rPr>
        <w:t>Either the PUCO Staff or the auditor (</w:t>
      </w:r>
      <w:r w:rsidRPr="00B81AEF" w:rsidR="00D83853">
        <w:rPr>
          <w:rFonts w:cs="Times New Roman"/>
          <w:szCs w:val="24"/>
        </w:rPr>
        <w:t>Blue Ridge</w:t>
      </w:r>
      <w:r w:rsidR="00D83853">
        <w:rPr>
          <w:rFonts w:cs="Times New Roman"/>
          <w:szCs w:val="24"/>
        </w:rPr>
        <w:t>)</w:t>
      </w:r>
      <w:r w:rsidRPr="00B81AEF" w:rsidR="00D83853">
        <w:rPr>
          <w:rFonts w:cs="Times New Roman"/>
          <w:szCs w:val="24"/>
        </w:rPr>
        <w:t xml:space="preserve"> should have examined additional CEP projects (workorders) through </w:t>
      </w:r>
      <w:r w:rsidR="00D83853">
        <w:rPr>
          <w:rFonts w:cs="Times New Roman"/>
          <w:szCs w:val="24"/>
        </w:rPr>
        <w:t>the</w:t>
      </w:r>
      <w:r w:rsidRPr="00B81AEF" w:rsidR="00D83853">
        <w:rPr>
          <w:rFonts w:cs="Times New Roman"/>
          <w:szCs w:val="24"/>
        </w:rPr>
        <w:t xml:space="preserve"> audit to verify that there w</w:t>
      </w:r>
      <w:r w:rsidR="00D83853">
        <w:rPr>
          <w:rFonts w:cs="Times New Roman"/>
          <w:szCs w:val="24"/>
        </w:rPr>
        <w:t>as</w:t>
      </w:r>
      <w:r w:rsidRPr="00B81AEF" w:rsidR="00D83853">
        <w:rPr>
          <w:rFonts w:cs="Times New Roman"/>
          <w:szCs w:val="24"/>
        </w:rPr>
        <w:t xml:space="preserve"> not additional unnecessary or imprudent spending that should not be passed on to customers.</w:t>
      </w:r>
      <w:r w:rsidR="00D83853">
        <w:rPr>
          <w:rFonts w:cs="Times New Roman"/>
          <w:szCs w:val="24"/>
        </w:rPr>
        <w:t xml:space="preserve">  </w:t>
      </w:r>
      <w:r w:rsidRPr="007953C0">
        <w:rPr>
          <w:rFonts w:cs="Times New Roman"/>
          <w:szCs w:val="24"/>
        </w:rPr>
        <w:t>Blue Ridge concluded that Columbia was unable to explain the causes for the overruns or to locate the underlying policies and approvals that are required to support the additional spending.</w:t>
      </w:r>
      <w:r>
        <w:rPr>
          <w:rFonts w:cs="Times New Roman"/>
          <w:szCs w:val="24"/>
          <w:vertAlign w:val="superscript"/>
        </w:rPr>
        <w:footnoteReference w:id="4"/>
      </w:r>
      <w:r w:rsidRPr="007953C0">
        <w:rPr>
          <w:rFonts w:cs="Times New Roman"/>
          <w:szCs w:val="24"/>
        </w:rPr>
        <w:t xml:space="preserve">  But the sample of CEP work orders that were examined should have been increased due to the relatively high number of work orders that exceeded the original budget by more than 20 percent where Columbia was unable to support the cause for the additional spending.       </w:t>
      </w:r>
    </w:p>
    <w:p w:rsidR="007953C0" w:rsidRPr="007953C0" w:rsidP="007953C0">
      <w:pPr>
        <w:spacing w:after="0" w:line="480" w:lineRule="auto"/>
        <w:ind w:firstLine="720"/>
        <w:rPr>
          <w:rFonts w:cs="Times New Roman"/>
          <w:szCs w:val="24"/>
        </w:rPr>
      </w:pPr>
      <w:r w:rsidRPr="007953C0">
        <w:rPr>
          <w:rFonts w:cs="Times New Roman"/>
          <w:szCs w:val="24"/>
        </w:rPr>
        <w:t>Columbia provided Blue Ridge with a list of 15,494 work orders/projects for plant additions between January 1, 2008 and December 31, 2017.</w:t>
      </w:r>
      <w:r>
        <w:rPr>
          <w:rFonts w:cs="Times New Roman"/>
          <w:szCs w:val="24"/>
          <w:vertAlign w:val="superscript"/>
        </w:rPr>
        <w:footnoteReference w:id="5"/>
      </w:r>
      <w:r w:rsidRPr="007953C0">
        <w:rPr>
          <w:rFonts w:cs="Times New Roman"/>
          <w:szCs w:val="24"/>
        </w:rPr>
        <w:t xml:space="preserve">  The list included 7,884 CEP-related work orders (representing over $257 million of the total CEP spending)</w:t>
      </w:r>
      <w:r>
        <w:rPr>
          <w:rFonts w:cs="Times New Roman"/>
          <w:szCs w:val="24"/>
          <w:vertAlign w:val="superscript"/>
        </w:rPr>
        <w:footnoteReference w:id="6"/>
      </w:r>
      <w:r w:rsidRPr="007953C0">
        <w:rPr>
          <w:rFonts w:cs="Times New Roman"/>
          <w:szCs w:val="24"/>
        </w:rPr>
        <w:t xml:space="preserve"> and 8,767 non-CEP-related work orders (representing over $701 million of the total non-CEP spend).</w:t>
      </w:r>
      <w:r>
        <w:rPr>
          <w:rFonts w:cs="Times New Roman"/>
          <w:szCs w:val="24"/>
          <w:vertAlign w:val="superscript"/>
        </w:rPr>
        <w:footnoteReference w:id="7"/>
      </w:r>
      <w:r w:rsidRPr="007953C0">
        <w:rPr>
          <w:rFonts w:cs="Times New Roman"/>
          <w:szCs w:val="24"/>
        </w:rPr>
        <w:t xml:space="preserve">  </w:t>
      </w:r>
      <w:r w:rsidR="00432B07">
        <w:rPr>
          <w:rFonts w:cs="Times New Roman"/>
          <w:szCs w:val="24"/>
        </w:rPr>
        <w:t>Columbia’s non-CEP-related spending</w:t>
      </w:r>
      <w:r w:rsidR="00983C06">
        <w:rPr>
          <w:rFonts w:cs="Times New Roman"/>
          <w:szCs w:val="24"/>
        </w:rPr>
        <w:t xml:space="preserve"> and work orders </w:t>
      </w:r>
      <w:r w:rsidR="000055ED">
        <w:rPr>
          <w:rFonts w:cs="Times New Roman"/>
          <w:szCs w:val="24"/>
        </w:rPr>
        <w:t>includes</w:t>
      </w:r>
      <w:r w:rsidR="00432B07">
        <w:rPr>
          <w:rFonts w:cs="Times New Roman"/>
          <w:szCs w:val="24"/>
        </w:rPr>
        <w:t xml:space="preserve"> Columbia’s </w:t>
      </w:r>
      <w:r w:rsidR="00983C06">
        <w:rPr>
          <w:rFonts w:cs="Times New Roman"/>
          <w:szCs w:val="24"/>
        </w:rPr>
        <w:t>spending under its Infrastructure Replacement Plan</w:t>
      </w:r>
      <w:r w:rsidR="00432B07">
        <w:rPr>
          <w:rFonts w:cs="Times New Roman"/>
          <w:szCs w:val="24"/>
        </w:rPr>
        <w:t xml:space="preserve"> (“IRP”). </w:t>
      </w:r>
      <w:r w:rsidRPr="007953C0">
        <w:rPr>
          <w:rFonts w:cs="Times New Roman"/>
          <w:szCs w:val="24"/>
        </w:rPr>
        <w:t>From the 15,494 work orders, Blue Ridge selected a sample of 90 CEP work orders and 99 non-CEP work orders for additional analysis and review.</w:t>
      </w:r>
      <w:r>
        <w:rPr>
          <w:rFonts w:cs="Times New Roman"/>
          <w:szCs w:val="24"/>
          <w:vertAlign w:val="superscript"/>
        </w:rPr>
        <w:footnoteReference w:id="8"/>
      </w:r>
      <w:r w:rsidRPr="007953C0">
        <w:rPr>
          <w:rFonts w:cs="Times New Roman"/>
          <w:szCs w:val="24"/>
        </w:rPr>
        <w:t xml:space="preserve">  The additional analysis included a review of the project budget and actual costs.</w:t>
      </w:r>
      <w:r>
        <w:rPr>
          <w:rFonts w:cs="Times New Roman"/>
          <w:szCs w:val="24"/>
          <w:vertAlign w:val="superscript"/>
        </w:rPr>
        <w:footnoteReference w:id="9"/>
      </w:r>
      <w:r w:rsidRPr="007953C0">
        <w:rPr>
          <w:rFonts w:cs="Times New Roman"/>
          <w:szCs w:val="24"/>
        </w:rPr>
        <w:t xml:space="preserve">  In addition, the analysis included a review of explanations and approvals that were provided for cost overruns that exceeded 20 percent.</w:t>
      </w:r>
      <w:r>
        <w:rPr>
          <w:rFonts w:cs="Times New Roman"/>
          <w:szCs w:val="24"/>
          <w:vertAlign w:val="superscript"/>
        </w:rPr>
        <w:footnoteReference w:id="10"/>
      </w:r>
      <w:r w:rsidRPr="007953C0">
        <w:rPr>
          <w:rFonts w:cs="Times New Roman"/>
          <w:szCs w:val="24"/>
        </w:rPr>
        <w:t xml:space="preserve">   </w:t>
      </w:r>
    </w:p>
    <w:p w:rsidR="007953C0" w:rsidRPr="007953C0" w:rsidP="007953C0">
      <w:pPr>
        <w:spacing w:after="0" w:line="480" w:lineRule="auto"/>
        <w:ind w:firstLine="720"/>
        <w:rPr>
          <w:rFonts w:cs="Times New Roman"/>
          <w:szCs w:val="24"/>
        </w:rPr>
      </w:pPr>
      <w:r w:rsidRPr="007953C0">
        <w:rPr>
          <w:rFonts w:cs="Times New Roman"/>
          <w:szCs w:val="24"/>
        </w:rPr>
        <w:t xml:space="preserve">For the 99 non-CEP </w:t>
      </w:r>
      <w:r w:rsidR="00D83853">
        <w:rPr>
          <w:rFonts w:cs="Times New Roman"/>
          <w:szCs w:val="24"/>
        </w:rPr>
        <w:t xml:space="preserve">(including IRP) </w:t>
      </w:r>
      <w:r w:rsidRPr="007953C0">
        <w:rPr>
          <w:rFonts w:cs="Times New Roman"/>
          <w:szCs w:val="24"/>
        </w:rPr>
        <w:t>work orders that were examined, seventeen were over-budget by more than 20 percent.</w:t>
      </w:r>
      <w:r>
        <w:rPr>
          <w:rFonts w:cs="Times New Roman"/>
          <w:szCs w:val="24"/>
          <w:vertAlign w:val="superscript"/>
        </w:rPr>
        <w:footnoteReference w:id="11"/>
      </w:r>
      <w:r w:rsidRPr="007953C0">
        <w:rPr>
          <w:rFonts w:cs="Times New Roman"/>
          <w:szCs w:val="24"/>
        </w:rPr>
        <w:t xml:space="preserve">  However, Blue Ridge found that the explanations provided by Columbia for each of the seventeen overrun work orders were not unreasonable.</w:t>
      </w:r>
      <w:r>
        <w:rPr>
          <w:rFonts w:cs="Times New Roman"/>
          <w:szCs w:val="24"/>
          <w:vertAlign w:val="superscript"/>
        </w:rPr>
        <w:footnoteReference w:id="12"/>
      </w:r>
      <w:r w:rsidRPr="007953C0">
        <w:rPr>
          <w:rFonts w:cs="Times New Roman"/>
          <w:szCs w:val="24"/>
        </w:rPr>
        <w:t xml:space="preserve">  For the 90 CEP work orders that were examined, Blue Ridge found that thirteen were over budget by more than 20 percent.</w:t>
      </w:r>
      <w:r>
        <w:rPr>
          <w:rFonts w:cs="Times New Roman"/>
          <w:szCs w:val="24"/>
          <w:vertAlign w:val="superscript"/>
        </w:rPr>
        <w:footnoteReference w:id="13"/>
      </w:r>
      <w:r w:rsidRPr="007953C0">
        <w:rPr>
          <w:rFonts w:cs="Times New Roman"/>
          <w:szCs w:val="24"/>
        </w:rPr>
        <w:t xml:space="preserve"> Of the thirteen work orders, Blue Ridge found that the cost overrun for three</w:t>
      </w:r>
      <w:r>
        <w:rPr>
          <w:rFonts w:cs="Times New Roman"/>
          <w:szCs w:val="24"/>
          <w:vertAlign w:val="superscript"/>
        </w:rPr>
        <w:footnoteReference w:id="14"/>
      </w:r>
      <w:r w:rsidRPr="007953C0">
        <w:rPr>
          <w:rFonts w:cs="Times New Roman"/>
          <w:szCs w:val="24"/>
        </w:rPr>
        <w:t xml:space="preserve"> should not be passed on to customers because Columbia was either unable to explain the cause for the overrun or provide support for the additional spending.</w:t>
      </w:r>
    </w:p>
    <w:p w:rsidR="007953C0" w:rsidRPr="00B81AEF" w:rsidP="007953C0">
      <w:pPr>
        <w:spacing w:after="0" w:line="480" w:lineRule="auto"/>
        <w:ind w:firstLine="720"/>
        <w:rPr>
          <w:rFonts w:eastAsia="Times New Roman" w:cs="Times New Roman"/>
          <w:szCs w:val="24"/>
        </w:rPr>
      </w:pPr>
      <w:r w:rsidRPr="00B81AEF">
        <w:rPr>
          <w:rFonts w:cs="Times New Roman"/>
          <w:szCs w:val="24"/>
        </w:rPr>
        <w:t xml:space="preserve">Given that Columbia was unable to explain the cause for the overrun for 23 percent of the sampled CEP-related work orders that exceeded budget by more than 20 percent, Blue Ridge or the </w:t>
      </w:r>
      <w:r w:rsidR="005B542C">
        <w:rPr>
          <w:rFonts w:cs="Times New Roman"/>
          <w:szCs w:val="24"/>
        </w:rPr>
        <w:t xml:space="preserve">PUCO </w:t>
      </w:r>
      <w:r w:rsidRPr="00B81AEF">
        <w:rPr>
          <w:rFonts w:cs="Times New Roman"/>
          <w:szCs w:val="24"/>
        </w:rPr>
        <w:t xml:space="preserve">Staff should have performed prudence analysis on additional CEP work orders. This is especially important considering that for non-CEP-related work orders, Columbia was able to provide reasonable explanations for each of the overrun work orders. The </w:t>
      </w:r>
      <w:r w:rsidR="005B542C">
        <w:rPr>
          <w:rFonts w:cs="Times New Roman"/>
          <w:szCs w:val="24"/>
        </w:rPr>
        <w:t>PUCO</w:t>
      </w:r>
      <w:r w:rsidRPr="00B81AEF">
        <w:rPr>
          <w:rFonts w:cs="Times New Roman"/>
          <w:szCs w:val="24"/>
        </w:rPr>
        <w:t xml:space="preserve"> should not approve the CEP until Blue Ridge or </w:t>
      </w:r>
      <w:r w:rsidR="00104321">
        <w:rPr>
          <w:rFonts w:cs="Times New Roman"/>
          <w:szCs w:val="24"/>
        </w:rPr>
        <w:t xml:space="preserve">the PUCO </w:t>
      </w:r>
      <w:r w:rsidRPr="00B81AEF">
        <w:rPr>
          <w:rFonts w:cs="Times New Roman"/>
          <w:szCs w:val="24"/>
        </w:rPr>
        <w:t>Staff review all CEP work orders that are overrun by more than 20 percent and have concluded that no unnecessary, unreasonable, or imprudent spending are being passed on to customers.</w:t>
      </w:r>
    </w:p>
    <w:p w:rsidR="005B542C" w:rsidP="009D391C">
      <w:pPr>
        <w:pStyle w:val="Heading2"/>
      </w:pPr>
      <w:bookmarkStart w:id="7" w:name="_Toc527386730"/>
      <w:r w:rsidRPr="00B81AEF">
        <w:t xml:space="preserve">Objection 2 – </w:t>
      </w:r>
      <w:r>
        <w:t xml:space="preserve">The </w:t>
      </w:r>
      <w:r w:rsidR="00BF790F">
        <w:t xml:space="preserve">PUCO </w:t>
      </w:r>
      <w:r>
        <w:t xml:space="preserve">Staff Report failed </w:t>
      </w:r>
      <w:r w:rsidR="003A7C4C">
        <w:t>to properly examine (but should have examined) whether the capital expenditures under Columbia’s CEP were necessary for service to consumers</w:t>
      </w:r>
      <w:r>
        <w:t>.</w:t>
      </w:r>
      <w:bookmarkEnd w:id="7"/>
    </w:p>
    <w:p w:rsidR="0029455C" w:rsidP="0029455C">
      <w:pPr>
        <w:spacing w:after="0" w:line="480" w:lineRule="auto"/>
        <w:rPr>
          <w:rFonts w:eastAsia="Times New Roman" w:cs="Times New Roman"/>
          <w:szCs w:val="24"/>
        </w:rPr>
      </w:pPr>
      <w:r>
        <w:rPr>
          <w:rFonts w:eastAsia="Times New Roman" w:cs="Times New Roman"/>
          <w:b/>
          <w:szCs w:val="24"/>
        </w:rPr>
        <w:tab/>
      </w:r>
      <w:r>
        <w:rPr>
          <w:rFonts w:eastAsia="Times New Roman" w:cs="Times New Roman"/>
          <w:szCs w:val="24"/>
        </w:rPr>
        <w:t>When t</w:t>
      </w:r>
      <w:r>
        <w:rPr>
          <w:rFonts w:eastAsia="Times New Roman" w:cs="Times New Roman"/>
          <w:szCs w:val="24"/>
        </w:rPr>
        <w:t xml:space="preserve">he PUCO </w:t>
      </w:r>
      <w:r>
        <w:rPr>
          <w:rFonts w:eastAsia="Times New Roman" w:cs="Times New Roman"/>
          <w:szCs w:val="24"/>
        </w:rPr>
        <w:t>authorized the establishment of the CEP in Case No. 12-3221-GA-UNC, it approved four categories of capital investment upon which the CEP deferrals would be based: (1) replacement/betterment, (2) growth, (3) support services, and (4) information technology.</w:t>
      </w:r>
      <w:r>
        <w:rPr>
          <w:rStyle w:val="FootnoteReference"/>
          <w:rFonts w:eastAsia="Times New Roman" w:cs="Times New Roman"/>
          <w:szCs w:val="24"/>
        </w:rPr>
        <w:footnoteReference w:id="15"/>
      </w:r>
      <w:r>
        <w:rPr>
          <w:rFonts w:eastAsia="Times New Roman" w:cs="Times New Roman"/>
          <w:szCs w:val="24"/>
        </w:rPr>
        <w:t xml:space="preserve"> The PUCO Staff Report and the audit report failed to properly analyze and determine whether the investments were needed for the purposes of which the CEP deferral was authorized by the PUCO.  </w:t>
      </w:r>
    </w:p>
    <w:p w:rsidR="0029455C" w:rsidP="0029455C">
      <w:pPr>
        <w:spacing w:after="0" w:line="480" w:lineRule="auto"/>
        <w:ind w:firstLine="720"/>
        <w:rPr>
          <w:rFonts w:cs="Times New Roman"/>
          <w:b/>
          <w:szCs w:val="24"/>
        </w:rPr>
      </w:pPr>
      <w:r>
        <w:rPr>
          <w:rFonts w:eastAsia="Times New Roman" w:cs="Times New Roman"/>
          <w:szCs w:val="24"/>
        </w:rPr>
        <w:t xml:space="preserve">For example, the PUCO Staff and the auditor did not determine whether Columbia had sufficient growth to justify the CEP spending on growth-related projects. Growth is defined as “facilities required </w:t>
      </w:r>
      <w:r w:rsidRPr="0029455C">
        <w:rPr>
          <w:rFonts w:eastAsia="Times New Roman" w:cs="Times New Roman"/>
          <w:szCs w:val="24"/>
        </w:rPr>
        <w:t>to provide service to new customers or to provide increased load capacity to existing customers. This category may include, but is not limited to, costs associated with the installation of and/or improvement to mains and services (including service line installations to</w:t>
      </w:r>
      <w:r>
        <w:rPr>
          <w:rFonts w:eastAsia="Times New Roman" w:cs="Times New Roman"/>
          <w:szCs w:val="24"/>
        </w:rPr>
        <w:t xml:space="preserve"> </w:t>
      </w:r>
      <w:r w:rsidRPr="0029455C">
        <w:rPr>
          <w:rFonts w:eastAsia="Times New Roman" w:cs="Times New Roman"/>
          <w:szCs w:val="24"/>
        </w:rPr>
        <w:t>new customers served by existing mains), district regulator stations, excess</w:t>
      </w:r>
      <w:r>
        <w:rPr>
          <w:rFonts w:eastAsia="Times New Roman" w:cs="Times New Roman"/>
          <w:szCs w:val="24"/>
        </w:rPr>
        <w:t xml:space="preserve"> </w:t>
      </w:r>
      <w:r w:rsidRPr="0029455C">
        <w:rPr>
          <w:rFonts w:eastAsia="Times New Roman" w:cs="Times New Roman"/>
          <w:szCs w:val="24"/>
        </w:rPr>
        <w:t>pressure measuring stations, meters, meter sets, AMR devices, house regulators,</w:t>
      </w:r>
      <w:r>
        <w:rPr>
          <w:rFonts w:eastAsia="Times New Roman" w:cs="Times New Roman"/>
          <w:szCs w:val="24"/>
        </w:rPr>
        <w:t xml:space="preserve"> </w:t>
      </w:r>
      <w:r w:rsidRPr="0029455C">
        <w:rPr>
          <w:rFonts w:eastAsia="Times New Roman" w:cs="Times New Roman"/>
          <w:szCs w:val="24"/>
        </w:rPr>
        <w:t xml:space="preserve">and any associated land or land rights.” </w:t>
      </w:r>
      <w:r>
        <w:rPr>
          <w:rFonts w:eastAsia="Times New Roman" w:cs="Times New Roman"/>
          <w:szCs w:val="24"/>
        </w:rPr>
        <w:t>But</w:t>
      </w:r>
      <w:r w:rsidRPr="0029455C">
        <w:rPr>
          <w:rFonts w:eastAsia="Times New Roman" w:cs="Times New Roman"/>
          <w:szCs w:val="24"/>
        </w:rPr>
        <w:t xml:space="preserve"> the investments made to meet growth </w:t>
      </w:r>
      <w:r>
        <w:rPr>
          <w:rFonts w:eastAsia="Times New Roman" w:cs="Times New Roman"/>
          <w:szCs w:val="24"/>
        </w:rPr>
        <w:t>(</w:t>
      </w:r>
      <w:r w:rsidRPr="0029455C">
        <w:rPr>
          <w:rFonts w:eastAsia="Times New Roman" w:cs="Times New Roman"/>
          <w:szCs w:val="24"/>
        </w:rPr>
        <w:t>in the number of customers and demand of existing customers</w:t>
      </w:r>
      <w:r>
        <w:rPr>
          <w:rFonts w:eastAsia="Times New Roman" w:cs="Times New Roman"/>
          <w:szCs w:val="24"/>
        </w:rPr>
        <w:t>)</w:t>
      </w:r>
      <w:r w:rsidRPr="0029455C">
        <w:rPr>
          <w:rFonts w:eastAsia="Times New Roman" w:cs="Times New Roman"/>
          <w:szCs w:val="24"/>
        </w:rPr>
        <w:t xml:space="preserve"> appear to </w:t>
      </w:r>
      <w:r>
        <w:rPr>
          <w:rFonts w:eastAsia="Times New Roman" w:cs="Times New Roman"/>
          <w:szCs w:val="24"/>
        </w:rPr>
        <w:t>far exceed</w:t>
      </w:r>
      <w:r w:rsidRPr="0029455C">
        <w:rPr>
          <w:rFonts w:eastAsia="Times New Roman" w:cs="Times New Roman"/>
          <w:szCs w:val="24"/>
        </w:rPr>
        <w:t xml:space="preserve"> the growth experienced during 2011-2018</w:t>
      </w:r>
      <w:r>
        <w:rPr>
          <w:rFonts w:eastAsia="Times New Roman" w:cs="Times New Roman"/>
          <w:szCs w:val="24"/>
        </w:rPr>
        <w:t>.</w:t>
      </w:r>
    </w:p>
    <w:p w:rsidR="00740E29" w:rsidP="0029455C">
      <w:pPr>
        <w:spacing w:after="0" w:line="480" w:lineRule="auto"/>
        <w:ind w:firstLine="720"/>
        <w:rPr>
          <w:rFonts w:cs="Times New Roman"/>
          <w:szCs w:val="24"/>
        </w:rPr>
        <w:sectPr w:rsidSect="00740E29">
          <w:footerReference w:type="default" r:id="rId7"/>
          <w:pgSz w:w="12240" w:h="15840"/>
          <w:pgMar w:top="1350" w:right="1800" w:bottom="1440" w:left="1800" w:header="720" w:footer="720" w:gutter="0"/>
          <w:pgNumType w:start="1"/>
          <w:cols w:space="720"/>
          <w:docGrid w:linePitch="360"/>
        </w:sectPr>
      </w:pPr>
      <w:r>
        <w:rPr>
          <w:rFonts w:cs="Times New Roman"/>
          <w:szCs w:val="24"/>
        </w:rPr>
        <w:t>The following table</w:t>
      </w:r>
      <w:r w:rsidRPr="0029455C">
        <w:rPr>
          <w:rFonts w:cs="Times New Roman"/>
          <w:szCs w:val="24"/>
        </w:rPr>
        <w:t xml:space="preserve"> shows data reported by Columbia on number of customers, consumption and investments made to meet growth requirements</w:t>
      </w:r>
      <w:r>
        <w:rPr>
          <w:rFonts w:cs="Times New Roman"/>
          <w:szCs w:val="24"/>
        </w:rPr>
        <w:t>:</w:t>
      </w:r>
      <w:r w:rsidRPr="0029455C">
        <w:rPr>
          <w:rFonts w:cs="Times New Roman"/>
          <w:szCs w:val="24"/>
        </w:rPr>
        <w:t xml:space="preserve"> </w:t>
      </w:r>
    </w:p>
    <w:p w:rsidR="0029455C" w:rsidRPr="0029455C" w:rsidP="0029455C">
      <w:pPr>
        <w:spacing w:after="0" w:line="480" w:lineRule="auto"/>
        <w:ind w:firstLine="720"/>
        <w:rPr>
          <w:rFonts w:cs="Times New Roman"/>
          <w:szCs w:val="24"/>
        </w:rPr>
      </w:pPr>
    </w:p>
    <w:tbl>
      <w:tblPr>
        <w:tblStyle w:val="TableGrid1"/>
        <w:tblW w:w="11770" w:type="dxa"/>
        <w:tblInd w:w="-1570" w:type="dxa"/>
        <w:tblLook w:val="04A0"/>
      </w:tblPr>
      <w:tblGrid>
        <w:gridCol w:w="1510"/>
        <w:gridCol w:w="1330"/>
        <w:gridCol w:w="1330"/>
        <w:gridCol w:w="1330"/>
        <w:gridCol w:w="1330"/>
        <w:gridCol w:w="1330"/>
        <w:gridCol w:w="1330"/>
        <w:gridCol w:w="1330"/>
        <w:gridCol w:w="950"/>
      </w:tblGrid>
      <w:tr w:rsidTr="0029455C">
        <w:tblPrEx>
          <w:tblW w:w="11770" w:type="dxa"/>
          <w:tblInd w:w="-1570" w:type="dxa"/>
          <w:tblLook w:val="04A0"/>
        </w:tblPrEx>
        <w:tc>
          <w:tcPr>
            <w:tcW w:w="1510" w:type="dxa"/>
          </w:tcPr>
          <w:p w:rsidR="0029455C" w:rsidRPr="0029455C" w:rsidP="0029455C">
            <w:pPr>
              <w:rPr>
                <w:rFonts w:cs="Times New Roman"/>
                <w:szCs w:val="24"/>
              </w:rPr>
            </w:pPr>
          </w:p>
        </w:tc>
        <w:tc>
          <w:tcPr>
            <w:tcW w:w="1330" w:type="dxa"/>
          </w:tcPr>
          <w:p w:rsidR="0029455C" w:rsidRPr="0029455C" w:rsidP="0029455C">
            <w:pPr>
              <w:rPr>
                <w:rFonts w:cs="Times New Roman"/>
                <w:szCs w:val="24"/>
              </w:rPr>
            </w:pPr>
            <w:r w:rsidRPr="0029455C">
              <w:rPr>
                <w:rFonts w:cs="Times New Roman"/>
                <w:szCs w:val="24"/>
              </w:rPr>
              <w:t>2011</w:t>
            </w:r>
          </w:p>
        </w:tc>
        <w:tc>
          <w:tcPr>
            <w:tcW w:w="1330" w:type="dxa"/>
          </w:tcPr>
          <w:p w:rsidR="0029455C" w:rsidRPr="0029455C" w:rsidP="0029455C">
            <w:pPr>
              <w:rPr>
                <w:rFonts w:cs="Times New Roman"/>
                <w:szCs w:val="24"/>
              </w:rPr>
            </w:pPr>
            <w:r w:rsidRPr="0029455C">
              <w:rPr>
                <w:rFonts w:cs="Times New Roman"/>
                <w:szCs w:val="24"/>
              </w:rPr>
              <w:t>2012</w:t>
            </w:r>
          </w:p>
        </w:tc>
        <w:tc>
          <w:tcPr>
            <w:tcW w:w="1330" w:type="dxa"/>
          </w:tcPr>
          <w:p w:rsidR="0029455C" w:rsidRPr="0029455C" w:rsidP="0029455C">
            <w:pPr>
              <w:rPr>
                <w:rFonts w:cs="Times New Roman"/>
                <w:szCs w:val="24"/>
              </w:rPr>
            </w:pPr>
            <w:r w:rsidRPr="0029455C">
              <w:rPr>
                <w:rFonts w:cs="Times New Roman"/>
                <w:szCs w:val="24"/>
              </w:rPr>
              <w:t>2013</w:t>
            </w:r>
          </w:p>
        </w:tc>
        <w:tc>
          <w:tcPr>
            <w:tcW w:w="1330" w:type="dxa"/>
          </w:tcPr>
          <w:p w:rsidR="0029455C" w:rsidRPr="0029455C" w:rsidP="0029455C">
            <w:pPr>
              <w:rPr>
                <w:rFonts w:cs="Times New Roman"/>
                <w:szCs w:val="24"/>
              </w:rPr>
            </w:pPr>
            <w:r w:rsidRPr="0029455C">
              <w:rPr>
                <w:rFonts w:cs="Times New Roman"/>
                <w:szCs w:val="24"/>
              </w:rPr>
              <w:t>2014</w:t>
            </w:r>
          </w:p>
        </w:tc>
        <w:tc>
          <w:tcPr>
            <w:tcW w:w="1330" w:type="dxa"/>
          </w:tcPr>
          <w:p w:rsidR="0029455C" w:rsidRPr="0029455C" w:rsidP="0029455C">
            <w:pPr>
              <w:rPr>
                <w:rFonts w:cs="Times New Roman"/>
                <w:szCs w:val="24"/>
              </w:rPr>
            </w:pPr>
            <w:r w:rsidRPr="0029455C">
              <w:rPr>
                <w:rFonts w:cs="Times New Roman"/>
                <w:szCs w:val="24"/>
              </w:rPr>
              <w:t>2015</w:t>
            </w:r>
          </w:p>
        </w:tc>
        <w:tc>
          <w:tcPr>
            <w:tcW w:w="1330" w:type="dxa"/>
          </w:tcPr>
          <w:p w:rsidR="0029455C" w:rsidRPr="0029455C" w:rsidP="0029455C">
            <w:pPr>
              <w:rPr>
                <w:rFonts w:cs="Times New Roman"/>
                <w:szCs w:val="24"/>
              </w:rPr>
            </w:pPr>
            <w:r w:rsidRPr="0029455C">
              <w:rPr>
                <w:rFonts w:cs="Times New Roman"/>
                <w:szCs w:val="24"/>
              </w:rPr>
              <w:t>2016</w:t>
            </w:r>
          </w:p>
        </w:tc>
        <w:tc>
          <w:tcPr>
            <w:tcW w:w="1330" w:type="dxa"/>
          </w:tcPr>
          <w:p w:rsidR="0029455C" w:rsidRPr="0029455C" w:rsidP="0029455C">
            <w:pPr>
              <w:rPr>
                <w:rFonts w:cs="Times New Roman"/>
                <w:szCs w:val="24"/>
              </w:rPr>
            </w:pPr>
            <w:r w:rsidRPr="0029455C">
              <w:rPr>
                <w:rFonts w:cs="Times New Roman"/>
                <w:szCs w:val="24"/>
              </w:rPr>
              <w:t>2017</w:t>
            </w:r>
          </w:p>
        </w:tc>
        <w:tc>
          <w:tcPr>
            <w:tcW w:w="950" w:type="dxa"/>
          </w:tcPr>
          <w:p w:rsidR="0029455C" w:rsidRPr="0029455C" w:rsidP="0029455C">
            <w:pPr>
              <w:rPr>
                <w:rFonts w:cs="Times New Roman"/>
                <w:szCs w:val="24"/>
              </w:rPr>
            </w:pPr>
            <w:r w:rsidRPr="0029455C">
              <w:rPr>
                <w:rFonts w:cs="Times New Roman"/>
                <w:szCs w:val="24"/>
              </w:rPr>
              <w:t>Change 2011-2017</w:t>
            </w:r>
          </w:p>
        </w:tc>
      </w:tr>
      <w:tr w:rsidTr="0029455C">
        <w:tblPrEx>
          <w:tblW w:w="11770" w:type="dxa"/>
          <w:tblInd w:w="-1570" w:type="dxa"/>
          <w:tblLook w:val="04A0"/>
        </w:tblPrEx>
        <w:tc>
          <w:tcPr>
            <w:tcW w:w="1510" w:type="dxa"/>
          </w:tcPr>
          <w:p w:rsidR="0029455C" w:rsidRPr="0029455C" w:rsidP="0029455C">
            <w:pPr>
              <w:rPr>
                <w:rFonts w:cs="Times New Roman"/>
                <w:szCs w:val="24"/>
              </w:rPr>
            </w:pPr>
            <w:r w:rsidRPr="0029455C">
              <w:rPr>
                <w:rFonts w:cs="Times New Roman"/>
                <w:szCs w:val="24"/>
              </w:rPr>
              <w:t>No of Customers</w:t>
            </w:r>
          </w:p>
        </w:tc>
        <w:tc>
          <w:tcPr>
            <w:tcW w:w="1330" w:type="dxa"/>
          </w:tcPr>
          <w:p w:rsidR="0029455C" w:rsidRPr="0029455C" w:rsidP="0029455C">
            <w:pPr>
              <w:rPr>
                <w:rFonts w:ascii="Calibri" w:hAnsi="Calibri"/>
                <w:color w:val="000000"/>
                <w:sz w:val="22"/>
              </w:rPr>
            </w:pPr>
            <w:r w:rsidRPr="0029455C">
              <w:rPr>
                <w:rFonts w:ascii="Calibri" w:hAnsi="Calibri"/>
                <w:color w:val="000000"/>
                <w:sz w:val="22"/>
              </w:rPr>
              <w:t>1,400,364</w:t>
            </w:r>
          </w:p>
          <w:p w:rsidR="0029455C" w:rsidRPr="0029455C" w:rsidP="0029455C">
            <w:pPr>
              <w:rPr>
                <w:rFonts w:cs="Times New Roman"/>
                <w:szCs w:val="24"/>
              </w:rPr>
            </w:pPr>
          </w:p>
        </w:tc>
        <w:tc>
          <w:tcPr>
            <w:tcW w:w="1330" w:type="dxa"/>
          </w:tcPr>
          <w:p w:rsidR="0029455C" w:rsidRPr="0029455C" w:rsidP="0029455C">
            <w:pPr>
              <w:rPr>
                <w:rFonts w:ascii="Calibri" w:hAnsi="Calibri"/>
                <w:color w:val="000000"/>
                <w:sz w:val="22"/>
              </w:rPr>
            </w:pPr>
            <w:r w:rsidRPr="0029455C">
              <w:rPr>
                <w:rFonts w:ascii="Calibri" w:hAnsi="Calibri"/>
                <w:color w:val="000000"/>
                <w:sz w:val="22"/>
              </w:rPr>
              <w:t>1,393,943</w:t>
            </w:r>
          </w:p>
          <w:p w:rsidR="0029455C" w:rsidRPr="0029455C" w:rsidP="0029455C">
            <w:pPr>
              <w:rPr>
                <w:rFonts w:cs="Times New Roman"/>
                <w:szCs w:val="24"/>
              </w:rPr>
            </w:pPr>
          </w:p>
        </w:tc>
        <w:tc>
          <w:tcPr>
            <w:tcW w:w="1330" w:type="dxa"/>
          </w:tcPr>
          <w:p w:rsidR="0029455C" w:rsidRPr="0029455C" w:rsidP="0029455C">
            <w:pPr>
              <w:rPr>
                <w:rFonts w:ascii="Calibri" w:hAnsi="Calibri"/>
                <w:color w:val="000000"/>
                <w:sz w:val="22"/>
              </w:rPr>
            </w:pPr>
            <w:r w:rsidRPr="0029455C">
              <w:rPr>
                <w:rFonts w:ascii="Calibri" w:hAnsi="Calibri"/>
                <w:color w:val="000000"/>
                <w:sz w:val="22"/>
              </w:rPr>
              <w:t>1,399,714</w:t>
            </w:r>
          </w:p>
          <w:p w:rsidR="0029455C" w:rsidRPr="0029455C" w:rsidP="0029455C">
            <w:pPr>
              <w:rPr>
                <w:rFonts w:cs="Times New Roman"/>
                <w:szCs w:val="24"/>
              </w:rPr>
            </w:pPr>
          </w:p>
        </w:tc>
        <w:tc>
          <w:tcPr>
            <w:tcW w:w="1330" w:type="dxa"/>
          </w:tcPr>
          <w:p w:rsidR="0029455C" w:rsidRPr="0029455C" w:rsidP="0029455C">
            <w:pPr>
              <w:rPr>
                <w:rFonts w:ascii="Calibri" w:hAnsi="Calibri"/>
                <w:color w:val="000000"/>
                <w:sz w:val="22"/>
              </w:rPr>
            </w:pPr>
            <w:r w:rsidRPr="0029455C">
              <w:rPr>
                <w:rFonts w:ascii="Calibri" w:hAnsi="Calibri"/>
                <w:color w:val="000000"/>
                <w:sz w:val="22"/>
              </w:rPr>
              <w:t>1,423,447</w:t>
            </w:r>
          </w:p>
          <w:p w:rsidR="0029455C" w:rsidRPr="0029455C" w:rsidP="0029455C">
            <w:pPr>
              <w:rPr>
                <w:rFonts w:cs="Times New Roman"/>
                <w:szCs w:val="24"/>
              </w:rPr>
            </w:pPr>
          </w:p>
        </w:tc>
        <w:tc>
          <w:tcPr>
            <w:tcW w:w="1330" w:type="dxa"/>
          </w:tcPr>
          <w:p w:rsidR="0029455C" w:rsidRPr="0029455C" w:rsidP="0029455C">
            <w:pPr>
              <w:rPr>
                <w:rFonts w:ascii="Calibri" w:hAnsi="Calibri"/>
                <w:color w:val="000000"/>
                <w:sz w:val="22"/>
              </w:rPr>
            </w:pPr>
            <w:r w:rsidRPr="0029455C">
              <w:rPr>
                <w:rFonts w:ascii="Calibri" w:hAnsi="Calibri"/>
                <w:color w:val="000000"/>
                <w:sz w:val="22"/>
              </w:rPr>
              <w:t>1,427,440</w:t>
            </w:r>
          </w:p>
          <w:p w:rsidR="0029455C" w:rsidRPr="0029455C" w:rsidP="0029455C">
            <w:pPr>
              <w:rPr>
                <w:rFonts w:cs="Times New Roman"/>
                <w:szCs w:val="24"/>
              </w:rPr>
            </w:pPr>
          </w:p>
        </w:tc>
        <w:tc>
          <w:tcPr>
            <w:tcW w:w="1330" w:type="dxa"/>
          </w:tcPr>
          <w:p w:rsidR="0029455C" w:rsidRPr="0029455C" w:rsidP="0029455C">
            <w:pPr>
              <w:rPr>
                <w:rFonts w:ascii="Calibri" w:hAnsi="Calibri"/>
                <w:color w:val="000000"/>
                <w:sz w:val="22"/>
              </w:rPr>
            </w:pPr>
            <w:r w:rsidRPr="0029455C">
              <w:rPr>
                <w:rFonts w:ascii="Calibri" w:hAnsi="Calibri"/>
                <w:color w:val="000000"/>
                <w:sz w:val="22"/>
              </w:rPr>
              <w:t>1,433,604</w:t>
            </w:r>
          </w:p>
          <w:p w:rsidR="0029455C" w:rsidRPr="0029455C" w:rsidP="0029455C">
            <w:pPr>
              <w:rPr>
                <w:rFonts w:cs="Times New Roman"/>
                <w:szCs w:val="24"/>
              </w:rPr>
            </w:pPr>
          </w:p>
        </w:tc>
        <w:tc>
          <w:tcPr>
            <w:tcW w:w="1330" w:type="dxa"/>
          </w:tcPr>
          <w:p w:rsidR="0029455C" w:rsidRPr="0029455C" w:rsidP="0029455C">
            <w:pPr>
              <w:rPr>
                <w:rFonts w:ascii="Calibri" w:hAnsi="Calibri"/>
                <w:color w:val="000000"/>
                <w:sz w:val="22"/>
              </w:rPr>
            </w:pPr>
            <w:r w:rsidRPr="0029455C">
              <w:rPr>
                <w:rFonts w:ascii="Calibri" w:hAnsi="Calibri"/>
                <w:color w:val="000000"/>
                <w:sz w:val="22"/>
              </w:rPr>
              <w:t>1,442,553</w:t>
            </w:r>
          </w:p>
          <w:p w:rsidR="0029455C" w:rsidRPr="0029455C" w:rsidP="0029455C">
            <w:pPr>
              <w:rPr>
                <w:rFonts w:cs="Times New Roman"/>
                <w:szCs w:val="24"/>
              </w:rPr>
            </w:pPr>
          </w:p>
        </w:tc>
        <w:tc>
          <w:tcPr>
            <w:tcW w:w="950" w:type="dxa"/>
          </w:tcPr>
          <w:p w:rsidR="0029455C" w:rsidRPr="0029455C" w:rsidP="0029455C">
            <w:pPr>
              <w:rPr>
                <w:rFonts w:ascii="Calibri" w:hAnsi="Calibri"/>
                <w:color w:val="000000"/>
                <w:sz w:val="22"/>
              </w:rPr>
            </w:pPr>
            <w:r w:rsidRPr="0029455C">
              <w:rPr>
                <w:rFonts w:ascii="Calibri" w:hAnsi="Calibri"/>
                <w:color w:val="000000"/>
                <w:sz w:val="22"/>
              </w:rPr>
              <w:t>3</w:t>
            </w:r>
            <w:r w:rsidR="001F2910">
              <w:rPr>
                <w:rFonts w:ascii="Calibri" w:hAnsi="Calibri"/>
                <w:color w:val="000000"/>
                <w:sz w:val="22"/>
              </w:rPr>
              <w:t>.0</w:t>
            </w:r>
            <w:r w:rsidRPr="0029455C">
              <w:rPr>
                <w:rFonts w:ascii="Calibri" w:hAnsi="Calibri"/>
                <w:color w:val="000000"/>
                <w:sz w:val="22"/>
              </w:rPr>
              <w:t>%</w:t>
            </w:r>
          </w:p>
        </w:tc>
      </w:tr>
      <w:tr w:rsidTr="0029455C">
        <w:tblPrEx>
          <w:tblW w:w="11770" w:type="dxa"/>
          <w:tblInd w:w="-1570" w:type="dxa"/>
          <w:tblLook w:val="04A0"/>
        </w:tblPrEx>
        <w:tc>
          <w:tcPr>
            <w:tcW w:w="1510" w:type="dxa"/>
          </w:tcPr>
          <w:p w:rsidR="0029455C" w:rsidRPr="0029455C" w:rsidP="0029455C">
            <w:pPr>
              <w:rPr>
                <w:rFonts w:cs="Times New Roman"/>
                <w:szCs w:val="24"/>
              </w:rPr>
            </w:pPr>
            <w:r w:rsidRPr="0029455C">
              <w:rPr>
                <w:rFonts w:cs="Times New Roman"/>
                <w:szCs w:val="24"/>
              </w:rPr>
              <w:t>Total Consumption (Mcf)</w:t>
            </w:r>
          </w:p>
        </w:tc>
        <w:tc>
          <w:tcPr>
            <w:tcW w:w="1330" w:type="dxa"/>
          </w:tcPr>
          <w:p w:rsidR="0029455C" w:rsidRPr="0029455C" w:rsidP="0029455C">
            <w:pPr>
              <w:rPr>
                <w:rFonts w:ascii="Calibri" w:hAnsi="Calibri"/>
                <w:color w:val="000000"/>
                <w:sz w:val="22"/>
              </w:rPr>
            </w:pPr>
            <w:r w:rsidRPr="0029455C">
              <w:rPr>
                <w:rFonts w:ascii="Calibri" w:hAnsi="Calibri"/>
                <w:color w:val="000000"/>
                <w:sz w:val="22"/>
              </w:rPr>
              <w:t>249,617,603</w:t>
            </w:r>
          </w:p>
          <w:p w:rsidR="0029455C" w:rsidRPr="0029455C" w:rsidP="0029455C">
            <w:pPr>
              <w:rPr>
                <w:rFonts w:cs="Times New Roman"/>
                <w:szCs w:val="24"/>
              </w:rPr>
            </w:pPr>
          </w:p>
        </w:tc>
        <w:tc>
          <w:tcPr>
            <w:tcW w:w="1330" w:type="dxa"/>
          </w:tcPr>
          <w:p w:rsidR="0029455C" w:rsidRPr="0029455C" w:rsidP="0029455C">
            <w:pPr>
              <w:rPr>
                <w:rFonts w:ascii="Calibri" w:hAnsi="Calibri"/>
                <w:color w:val="000000"/>
                <w:sz w:val="22"/>
              </w:rPr>
            </w:pPr>
            <w:r w:rsidRPr="0029455C">
              <w:rPr>
                <w:rFonts w:ascii="Calibri" w:hAnsi="Calibri"/>
                <w:color w:val="000000"/>
                <w:sz w:val="22"/>
              </w:rPr>
              <w:t>230,519,563</w:t>
            </w:r>
          </w:p>
          <w:p w:rsidR="0029455C" w:rsidRPr="0029455C" w:rsidP="0029455C">
            <w:pPr>
              <w:rPr>
                <w:rFonts w:cs="Times New Roman"/>
                <w:szCs w:val="24"/>
              </w:rPr>
            </w:pPr>
          </w:p>
        </w:tc>
        <w:tc>
          <w:tcPr>
            <w:tcW w:w="1330" w:type="dxa"/>
          </w:tcPr>
          <w:p w:rsidR="0029455C" w:rsidRPr="0029455C" w:rsidP="0029455C">
            <w:pPr>
              <w:rPr>
                <w:rFonts w:ascii="Calibri" w:hAnsi="Calibri"/>
                <w:color w:val="000000"/>
                <w:sz w:val="22"/>
              </w:rPr>
            </w:pPr>
            <w:r w:rsidRPr="0029455C">
              <w:rPr>
                <w:rFonts w:ascii="Calibri" w:hAnsi="Calibri"/>
                <w:color w:val="000000"/>
                <w:sz w:val="22"/>
              </w:rPr>
              <w:t>256,430,246</w:t>
            </w:r>
          </w:p>
          <w:p w:rsidR="0029455C" w:rsidRPr="0029455C" w:rsidP="0029455C">
            <w:pPr>
              <w:rPr>
                <w:rFonts w:cs="Times New Roman"/>
                <w:szCs w:val="24"/>
              </w:rPr>
            </w:pPr>
          </w:p>
        </w:tc>
        <w:tc>
          <w:tcPr>
            <w:tcW w:w="1330" w:type="dxa"/>
          </w:tcPr>
          <w:p w:rsidR="0029455C" w:rsidRPr="0029455C" w:rsidP="0029455C">
            <w:pPr>
              <w:rPr>
                <w:rFonts w:ascii="Calibri" w:hAnsi="Calibri"/>
                <w:color w:val="000000"/>
                <w:sz w:val="22"/>
              </w:rPr>
            </w:pPr>
            <w:r w:rsidRPr="0029455C">
              <w:rPr>
                <w:rFonts w:ascii="Calibri" w:hAnsi="Calibri"/>
                <w:color w:val="000000"/>
                <w:sz w:val="22"/>
              </w:rPr>
              <w:t>277,717,989</w:t>
            </w:r>
          </w:p>
          <w:p w:rsidR="0029455C" w:rsidRPr="0029455C" w:rsidP="0029455C">
            <w:pPr>
              <w:rPr>
                <w:rFonts w:cs="Times New Roman"/>
                <w:szCs w:val="24"/>
              </w:rPr>
            </w:pPr>
          </w:p>
        </w:tc>
        <w:tc>
          <w:tcPr>
            <w:tcW w:w="1330" w:type="dxa"/>
          </w:tcPr>
          <w:p w:rsidR="0029455C" w:rsidRPr="0029455C" w:rsidP="0029455C">
            <w:pPr>
              <w:rPr>
                <w:rFonts w:ascii="Calibri" w:hAnsi="Calibri"/>
                <w:color w:val="000000"/>
                <w:sz w:val="22"/>
              </w:rPr>
            </w:pPr>
            <w:r w:rsidRPr="0029455C">
              <w:rPr>
                <w:rFonts w:ascii="Calibri" w:hAnsi="Calibri"/>
                <w:color w:val="000000"/>
                <w:sz w:val="22"/>
              </w:rPr>
              <w:t>249,883,123</w:t>
            </w:r>
          </w:p>
          <w:p w:rsidR="0029455C" w:rsidRPr="0029455C" w:rsidP="0029455C">
            <w:pPr>
              <w:rPr>
                <w:rFonts w:cs="Times New Roman"/>
                <w:szCs w:val="24"/>
              </w:rPr>
            </w:pPr>
          </w:p>
        </w:tc>
        <w:tc>
          <w:tcPr>
            <w:tcW w:w="1330" w:type="dxa"/>
          </w:tcPr>
          <w:p w:rsidR="0029455C" w:rsidRPr="0029455C" w:rsidP="0029455C">
            <w:pPr>
              <w:rPr>
                <w:rFonts w:ascii="Calibri" w:hAnsi="Calibri"/>
                <w:color w:val="000000"/>
                <w:sz w:val="22"/>
              </w:rPr>
            </w:pPr>
            <w:r w:rsidRPr="0029455C">
              <w:rPr>
                <w:rFonts w:ascii="Calibri" w:hAnsi="Calibri"/>
                <w:color w:val="000000"/>
                <w:sz w:val="22"/>
              </w:rPr>
              <w:t>235,072,449</w:t>
            </w:r>
          </w:p>
          <w:p w:rsidR="0029455C" w:rsidRPr="0029455C" w:rsidP="0029455C">
            <w:pPr>
              <w:rPr>
                <w:rFonts w:cs="Times New Roman"/>
                <w:szCs w:val="24"/>
              </w:rPr>
            </w:pPr>
          </w:p>
        </w:tc>
        <w:tc>
          <w:tcPr>
            <w:tcW w:w="1330" w:type="dxa"/>
          </w:tcPr>
          <w:p w:rsidR="0029455C" w:rsidRPr="0029455C" w:rsidP="0029455C">
            <w:pPr>
              <w:rPr>
                <w:rFonts w:ascii="Calibri" w:hAnsi="Calibri"/>
                <w:color w:val="000000"/>
                <w:sz w:val="22"/>
              </w:rPr>
            </w:pPr>
            <w:r w:rsidRPr="0029455C">
              <w:rPr>
                <w:rFonts w:ascii="Calibri" w:hAnsi="Calibri"/>
                <w:color w:val="000000"/>
                <w:sz w:val="22"/>
              </w:rPr>
              <w:t>241,130,164</w:t>
            </w:r>
          </w:p>
          <w:p w:rsidR="0029455C" w:rsidRPr="0029455C" w:rsidP="0029455C">
            <w:pPr>
              <w:rPr>
                <w:rFonts w:cs="Times New Roman"/>
                <w:szCs w:val="24"/>
              </w:rPr>
            </w:pPr>
          </w:p>
        </w:tc>
        <w:tc>
          <w:tcPr>
            <w:tcW w:w="950" w:type="dxa"/>
          </w:tcPr>
          <w:p w:rsidR="0029455C" w:rsidRPr="0029455C" w:rsidP="0029455C">
            <w:pPr>
              <w:rPr>
                <w:rFonts w:cs="Times New Roman"/>
                <w:szCs w:val="24"/>
              </w:rPr>
            </w:pPr>
            <w:r w:rsidRPr="0029455C">
              <w:rPr>
                <w:rFonts w:cs="Times New Roman"/>
                <w:szCs w:val="24"/>
              </w:rPr>
              <w:t>-3</w:t>
            </w:r>
            <w:r w:rsidR="001F2910">
              <w:rPr>
                <w:rFonts w:cs="Times New Roman"/>
                <w:szCs w:val="24"/>
              </w:rPr>
              <w:t>.4</w:t>
            </w:r>
            <w:r w:rsidRPr="0029455C">
              <w:rPr>
                <w:rFonts w:cs="Times New Roman"/>
                <w:szCs w:val="24"/>
              </w:rPr>
              <w:t>%</w:t>
            </w:r>
          </w:p>
        </w:tc>
      </w:tr>
      <w:tr w:rsidTr="0029455C">
        <w:tblPrEx>
          <w:tblW w:w="11770" w:type="dxa"/>
          <w:tblInd w:w="-1570" w:type="dxa"/>
          <w:tblLook w:val="04A0"/>
        </w:tblPrEx>
        <w:tc>
          <w:tcPr>
            <w:tcW w:w="1510" w:type="dxa"/>
          </w:tcPr>
          <w:p w:rsidR="0029455C" w:rsidRPr="0029455C" w:rsidP="0029455C">
            <w:pPr>
              <w:rPr>
                <w:rFonts w:cs="Times New Roman"/>
                <w:szCs w:val="24"/>
              </w:rPr>
            </w:pPr>
            <w:r w:rsidRPr="0029455C">
              <w:rPr>
                <w:rFonts w:cs="Times New Roman"/>
                <w:szCs w:val="24"/>
              </w:rPr>
              <w:t>CEP Investment ($)</w:t>
            </w:r>
          </w:p>
        </w:tc>
        <w:tc>
          <w:tcPr>
            <w:tcW w:w="1330" w:type="dxa"/>
          </w:tcPr>
          <w:p w:rsidR="0029455C" w:rsidRPr="0029455C" w:rsidP="0029455C">
            <w:pPr>
              <w:rPr>
                <w:rFonts w:ascii="Calibri" w:hAnsi="Calibri"/>
                <w:color w:val="000000"/>
                <w:sz w:val="22"/>
              </w:rPr>
            </w:pPr>
            <w:r>
              <w:rPr>
                <w:rFonts w:ascii="Calibri" w:hAnsi="Calibri"/>
                <w:color w:val="000000"/>
                <w:sz w:val="22"/>
              </w:rPr>
              <w:t>$</w:t>
            </w:r>
            <w:r w:rsidRPr="0029455C">
              <w:rPr>
                <w:rFonts w:ascii="Calibri" w:hAnsi="Calibri"/>
                <w:color w:val="000000"/>
                <w:sz w:val="22"/>
              </w:rPr>
              <w:t>6,463,621</w:t>
            </w:r>
          </w:p>
          <w:p w:rsidR="0029455C" w:rsidRPr="0029455C" w:rsidP="0029455C">
            <w:pPr>
              <w:rPr>
                <w:rFonts w:cs="Times New Roman"/>
                <w:szCs w:val="24"/>
              </w:rPr>
            </w:pPr>
          </w:p>
        </w:tc>
        <w:tc>
          <w:tcPr>
            <w:tcW w:w="1330" w:type="dxa"/>
          </w:tcPr>
          <w:p w:rsidR="0029455C" w:rsidRPr="0029455C" w:rsidP="0029455C">
            <w:pPr>
              <w:rPr>
                <w:rFonts w:ascii="Calibri" w:hAnsi="Calibri"/>
                <w:color w:val="000000"/>
                <w:sz w:val="22"/>
              </w:rPr>
            </w:pPr>
            <w:r>
              <w:rPr>
                <w:rFonts w:ascii="Calibri" w:hAnsi="Calibri"/>
                <w:color w:val="000000"/>
                <w:sz w:val="22"/>
              </w:rPr>
              <w:t>$</w:t>
            </w:r>
            <w:r w:rsidRPr="0029455C">
              <w:rPr>
                <w:rFonts w:ascii="Calibri" w:hAnsi="Calibri"/>
                <w:color w:val="000000"/>
                <w:sz w:val="22"/>
              </w:rPr>
              <w:t>32,485,780</w:t>
            </w:r>
          </w:p>
          <w:p w:rsidR="0029455C" w:rsidRPr="0029455C" w:rsidP="0029455C">
            <w:pPr>
              <w:rPr>
                <w:rFonts w:cs="Times New Roman"/>
                <w:szCs w:val="24"/>
              </w:rPr>
            </w:pPr>
          </w:p>
        </w:tc>
        <w:tc>
          <w:tcPr>
            <w:tcW w:w="1330" w:type="dxa"/>
          </w:tcPr>
          <w:p w:rsidR="0029455C" w:rsidRPr="0029455C" w:rsidP="0029455C">
            <w:pPr>
              <w:rPr>
                <w:rFonts w:ascii="Calibri" w:hAnsi="Calibri"/>
                <w:color w:val="000000"/>
                <w:sz w:val="22"/>
              </w:rPr>
            </w:pPr>
            <w:r>
              <w:rPr>
                <w:rFonts w:ascii="Calibri" w:hAnsi="Calibri"/>
                <w:color w:val="000000"/>
                <w:sz w:val="22"/>
              </w:rPr>
              <w:t>$</w:t>
            </w:r>
            <w:r w:rsidRPr="0029455C">
              <w:rPr>
                <w:rFonts w:ascii="Calibri" w:hAnsi="Calibri"/>
                <w:color w:val="000000"/>
                <w:sz w:val="22"/>
              </w:rPr>
              <w:t>38,068,779</w:t>
            </w:r>
          </w:p>
          <w:p w:rsidR="0029455C" w:rsidRPr="0029455C" w:rsidP="0029455C">
            <w:pPr>
              <w:rPr>
                <w:rFonts w:cs="Times New Roman"/>
                <w:szCs w:val="24"/>
              </w:rPr>
            </w:pPr>
          </w:p>
        </w:tc>
        <w:tc>
          <w:tcPr>
            <w:tcW w:w="1330" w:type="dxa"/>
          </w:tcPr>
          <w:p w:rsidR="0029455C" w:rsidRPr="0029455C" w:rsidP="0029455C">
            <w:pPr>
              <w:rPr>
                <w:rFonts w:ascii="Calibri" w:hAnsi="Calibri"/>
                <w:color w:val="000000"/>
                <w:sz w:val="22"/>
              </w:rPr>
            </w:pPr>
            <w:r>
              <w:rPr>
                <w:rFonts w:ascii="Calibri" w:hAnsi="Calibri"/>
                <w:color w:val="000000"/>
                <w:sz w:val="22"/>
              </w:rPr>
              <w:t>$</w:t>
            </w:r>
            <w:r w:rsidRPr="0029455C">
              <w:rPr>
                <w:rFonts w:ascii="Calibri" w:hAnsi="Calibri"/>
                <w:color w:val="000000"/>
                <w:sz w:val="22"/>
              </w:rPr>
              <w:t>43,127,243</w:t>
            </w:r>
          </w:p>
          <w:p w:rsidR="0029455C" w:rsidRPr="0029455C" w:rsidP="0029455C">
            <w:pPr>
              <w:rPr>
                <w:rFonts w:cs="Times New Roman"/>
                <w:szCs w:val="24"/>
              </w:rPr>
            </w:pPr>
          </w:p>
        </w:tc>
        <w:tc>
          <w:tcPr>
            <w:tcW w:w="1330" w:type="dxa"/>
          </w:tcPr>
          <w:p w:rsidR="0029455C" w:rsidRPr="0029455C" w:rsidP="0029455C">
            <w:pPr>
              <w:rPr>
                <w:rFonts w:ascii="Calibri" w:hAnsi="Calibri"/>
                <w:color w:val="000000"/>
                <w:sz w:val="22"/>
              </w:rPr>
            </w:pPr>
            <w:r>
              <w:rPr>
                <w:rFonts w:ascii="Calibri" w:hAnsi="Calibri"/>
                <w:color w:val="000000"/>
                <w:sz w:val="22"/>
              </w:rPr>
              <w:t>$</w:t>
            </w:r>
            <w:r w:rsidRPr="0029455C">
              <w:rPr>
                <w:rFonts w:ascii="Calibri" w:hAnsi="Calibri"/>
                <w:color w:val="000000"/>
                <w:sz w:val="22"/>
              </w:rPr>
              <w:t>48,444,906</w:t>
            </w:r>
          </w:p>
          <w:p w:rsidR="0029455C" w:rsidRPr="0029455C" w:rsidP="0029455C">
            <w:pPr>
              <w:rPr>
                <w:rFonts w:cs="Times New Roman"/>
                <w:szCs w:val="24"/>
              </w:rPr>
            </w:pPr>
          </w:p>
        </w:tc>
        <w:tc>
          <w:tcPr>
            <w:tcW w:w="1330" w:type="dxa"/>
          </w:tcPr>
          <w:p w:rsidR="0029455C" w:rsidRPr="0029455C" w:rsidP="0029455C">
            <w:pPr>
              <w:rPr>
                <w:rFonts w:ascii="Calibri" w:hAnsi="Calibri"/>
                <w:color w:val="000000"/>
                <w:sz w:val="22"/>
              </w:rPr>
            </w:pPr>
            <w:r>
              <w:rPr>
                <w:rFonts w:ascii="Calibri" w:hAnsi="Calibri"/>
                <w:color w:val="000000"/>
                <w:sz w:val="22"/>
              </w:rPr>
              <w:t>$</w:t>
            </w:r>
            <w:r w:rsidRPr="0029455C">
              <w:rPr>
                <w:rFonts w:ascii="Calibri" w:hAnsi="Calibri"/>
                <w:color w:val="000000"/>
                <w:sz w:val="22"/>
              </w:rPr>
              <w:t>57,410,409</w:t>
            </w:r>
          </w:p>
          <w:p w:rsidR="0029455C" w:rsidRPr="0029455C" w:rsidP="0029455C">
            <w:pPr>
              <w:rPr>
                <w:rFonts w:cs="Times New Roman"/>
                <w:szCs w:val="24"/>
              </w:rPr>
            </w:pPr>
          </w:p>
        </w:tc>
        <w:tc>
          <w:tcPr>
            <w:tcW w:w="1330" w:type="dxa"/>
          </w:tcPr>
          <w:p w:rsidR="0029455C" w:rsidRPr="0029455C" w:rsidP="0029455C">
            <w:pPr>
              <w:rPr>
                <w:rFonts w:ascii="Calibri" w:hAnsi="Calibri"/>
                <w:color w:val="000000"/>
                <w:sz w:val="22"/>
              </w:rPr>
            </w:pPr>
            <w:r>
              <w:rPr>
                <w:rFonts w:ascii="Calibri" w:hAnsi="Calibri"/>
                <w:color w:val="000000"/>
                <w:sz w:val="22"/>
              </w:rPr>
              <w:t>$</w:t>
            </w:r>
            <w:r w:rsidRPr="0029455C">
              <w:rPr>
                <w:rFonts w:ascii="Calibri" w:hAnsi="Calibri"/>
                <w:color w:val="000000"/>
                <w:sz w:val="22"/>
              </w:rPr>
              <w:t>67,052,159</w:t>
            </w:r>
          </w:p>
          <w:p w:rsidR="0029455C" w:rsidRPr="0029455C" w:rsidP="0029455C">
            <w:pPr>
              <w:rPr>
                <w:rFonts w:cs="Times New Roman"/>
                <w:szCs w:val="24"/>
              </w:rPr>
            </w:pPr>
          </w:p>
        </w:tc>
        <w:tc>
          <w:tcPr>
            <w:tcW w:w="950" w:type="dxa"/>
          </w:tcPr>
          <w:p w:rsidR="0029455C" w:rsidRPr="0029455C" w:rsidP="0029455C">
            <w:pPr>
              <w:rPr>
                <w:rFonts w:cs="Times New Roman"/>
                <w:szCs w:val="24"/>
              </w:rPr>
            </w:pPr>
            <w:r w:rsidRPr="0029455C">
              <w:rPr>
                <w:rFonts w:cs="Times New Roman"/>
                <w:szCs w:val="24"/>
              </w:rPr>
              <w:t>-</w:t>
            </w:r>
          </w:p>
        </w:tc>
      </w:tr>
    </w:tbl>
    <w:p w:rsidR="005B7CB7" w:rsidP="0029455C">
      <w:pPr>
        <w:spacing w:after="0" w:line="480" w:lineRule="auto"/>
        <w:ind w:firstLine="720"/>
        <w:rPr>
          <w:rFonts w:cs="Times New Roman"/>
          <w:szCs w:val="24"/>
        </w:rPr>
      </w:pPr>
    </w:p>
    <w:p w:rsidR="009D391C" w:rsidP="0029455C">
      <w:pPr>
        <w:spacing w:after="0" w:line="480" w:lineRule="auto"/>
        <w:ind w:firstLine="720"/>
        <w:rPr>
          <w:rFonts w:cs="Times New Roman"/>
          <w:szCs w:val="24"/>
        </w:rPr>
      </w:pPr>
      <w:r>
        <w:rPr>
          <w:rFonts w:cs="Times New Roman"/>
          <w:szCs w:val="24"/>
        </w:rPr>
        <w:t>The PUCO Staff and the auditor failed to consider or determine whether</w:t>
      </w:r>
      <w:r w:rsidRPr="0029455C" w:rsidR="0029455C">
        <w:rPr>
          <w:rFonts w:cs="Times New Roman"/>
          <w:szCs w:val="24"/>
        </w:rPr>
        <w:t xml:space="preserve"> Columbia</w:t>
      </w:r>
      <w:r>
        <w:rPr>
          <w:rFonts w:cs="Times New Roman"/>
          <w:szCs w:val="24"/>
        </w:rPr>
        <w:t xml:space="preserve"> properly</w:t>
      </w:r>
      <w:r w:rsidRPr="0029455C" w:rsidR="0029455C">
        <w:rPr>
          <w:rFonts w:cs="Times New Roman"/>
          <w:szCs w:val="24"/>
        </w:rPr>
        <w:t xml:space="preserve"> budgeted its capital expenditures</w:t>
      </w:r>
      <w:r w:rsidR="00BF790F">
        <w:rPr>
          <w:rFonts w:cs="Times New Roman"/>
          <w:szCs w:val="24"/>
        </w:rPr>
        <w:t xml:space="preserve">. </w:t>
      </w:r>
      <w:r w:rsidR="001F2910">
        <w:rPr>
          <w:rFonts w:cs="Times New Roman"/>
          <w:szCs w:val="24"/>
        </w:rPr>
        <w:t>Further, the PUCO Staff Report</w:t>
      </w:r>
      <w:r w:rsidR="00BF790F">
        <w:rPr>
          <w:rFonts w:cs="Times New Roman"/>
          <w:szCs w:val="24"/>
        </w:rPr>
        <w:t xml:space="preserve"> failed to analyze whether Columbia overestimated </w:t>
      </w:r>
      <w:r w:rsidR="001F2910">
        <w:rPr>
          <w:rFonts w:cs="Times New Roman"/>
          <w:szCs w:val="24"/>
        </w:rPr>
        <w:t xml:space="preserve">and/or overspent on </w:t>
      </w:r>
      <w:r w:rsidR="00BF790F">
        <w:rPr>
          <w:rFonts w:cs="Times New Roman"/>
          <w:szCs w:val="24"/>
        </w:rPr>
        <w:t>the capital investment needed for each of the four categories (</w:t>
      </w:r>
      <w:r w:rsidR="00BF790F">
        <w:rPr>
          <w:rFonts w:eastAsia="Times New Roman" w:cs="Times New Roman"/>
          <w:szCs w:val="24"/>
        </w:rPr>
        <w:t>replacement/betterment, growth, support services, and information technology)</w:t>
      </w:r>
      <w:r w:rsidRPr="0029455C" w:rsidR="0029455C">
        <w:rPr>
          <w:rFonts w:cs="Times New Roman"/>
          <w:szCs w:val="24"/>
        </w:rPr>
        <w:t xml:space="preserve">. </w:t>
      </w:r>
    </w:p>
    <w:p w:rsidR="007953C0" w:rsidRPr="00B81AEF" w:rsidP="009D391C">
      <w:pPr>
        <w:pStyle w:val="Heading2"/>
      </w:pPr>
      <w:bookmarkStart w:id="8" w:name="_Toc527386731"/>
      <w:r>
        <w:t xml:space="preserve">Objection 3 - </w:t>
      </w:r>
      <w:r w:rsidRPr="00B81AEF">
        <w:t xml:space="preserve">The </w:t>
      </w:r>
      <w:r w:rsidR="00BF790F">
        <w:t xml:space="preserve">PUCO </w:t>
      </w:r>
      <w:r w:rsidRPr="00B81AEF">
        <w:t xml:space="preserve">Staff Report </w:t>
      </w:r>
      <w:r w:rsidR="005C6107">
        <w:t xml:space="preserve">failed </w:t>
      </w:r>
      <w:r w:rsidRPr="005C6107" w:rsidR="003A7C4C">
        <w:t xml:space="preserve">to require </w:t>
      </w:r>
      <w:r w:rsidR="003A7C4C">
        <w:t xml:space="preserve">(but should have required) </w:t>
      </w:r>
      <w:r w:rsidRPr="005C6107" w:rsidR="003A7C4C">
        <w:t>Columbia to identify any meter relocation costs that should not have been included for ultimate collection from customers in the CEP</w:t>
      </w:r>
      <w:r w:rsidRPr="00B81AEF">
        <w:t>.</w:t>
      </w:r>
      <w:bookmarkEnd w:id="8"/>
    </w:p>
    <w:p w:rsidR="007953C0" w:rsidRPr="00B81AEF" w:rsidP="007953C0">
      <w:pPr>
        <w:spacing w:after="0" w:line="480" w:lineRule="auto"/>
        <w:rPr>
          <w:rFonts w:cs="Times New Roman"/>
          <w:szCs w:val="24"/>
        </w:rPr>
      </w:pPr>
      <w:r w:rsidRPr="00B81AEF">
        <w:rPr>
          <w:rFonts w:eastAsia="Times New Roman" w:cs="Times New Roman"/>
          <w:szCs w:val="24"/>
        </w:rPr>
        <w:tab/>
      </w:r>
      <w:r w:rsidRPr="00B81AEF">
        <w:rPr>
          <w:rFonts w:cs="Times New Roman"/>
          <w:szCs w:val="24"/>
        </w:rPr>
        <w:t xml:space="preserve">The </w:t>
      </w:r>
      <w:r w:rsidR="00432B07">
        <w:rPr>
          <w:rFonts w:cs="Times New Roman"/>
          <w:szCs w:val="24"/>
        </w:rPr>
        <w:t xml:space="preserve">PUCO </w:t>
      </w:r>
      <w:r w:rsidRPr="00B81AEF">
        <w:rPr>
          <w:rFonts w:cs="Times New Roman"/>
          <w:szCs w:val="24"/>
        </w:rPr>
        <w:t xml:space="preserve">Staff </w:t>
      </w:r>
      <w:r w:rsidR="00432B07">
        <w:rPr>
          <w:rFonts w:cs="Times New Roman"/>
          <w:szCs w:val="24"/>
        </w:rPr>
        <w:t>recommended</w:t>
      </w:r>
      <w:r w:rsidRPr="00B81AEF">
        <w:rPr>
          <w:rFonts w:cs="Times New Roman"/>
          <w:szCs w:val="24"/>
        </w:rPr>
        <w:t xml:space="preserve"> that Columbia work with the</w:t>
      </w:r>
      <w:r w:rsidR="00104321">
        <w:rPr>
          <w:rFonts w:cs="Times New Roman"/>
          <w:szCs w:val="24"/>
        </w:rPr>
        <w:t xml:space="preserve"> PUCO</w:t>
      </w:r>
      <w:r w:rsidRPr="00B81AEF">
        <w:rPr>
          <w:rFonts w:cs="Times New Roman"/>
          <w:szCs w:val="24"/>
        </w:rPr>
        <w:t xml:space="preserve"> Staff to better identify proper accounting for meter relocation projects.</w:t>
      </w:r>
      <w:r>
        <w:rPr>
          <w:rFonts w:cs="Times New Roman"/>
          <w:szCs w:val="24"/>
          <w:vertAlign w:val="superscript"/>
        </w:rPr>
        <w:footnoteReference w:id="16"/>
      </w:r>
      <w:r w:rsidRPr="00B81AEF">
        <w:rPr>
          <w:rFonts w:cs="Times New Roman"/>
          <w:szCs w:val="24"/>
        </w:rPr>
        <w:t xml:space="preserve">  </w:t>
      </w:r>
      <w:r w:rsidR="0030510D">
        <w:rPr>
          <w:rFonts w:cs="Times New Roman"/>
          <w:szCs w:val="24"/>
        </w:rPr>
        <w:t xml:space="preserve">However, the PUCO Staff failed to identify meter relocation costs that should not have been collected from customers. </w:t>
      </w:r>
      <w:r w:rsidRPr="00B81AEF">
        <w:rPr>
          <w:rFonts w:cs="Times New Roman"/>
          <w:szCs w:val="24"/>
        </w:rPr>
        <w:t xml:space="preserve">Blue Ridge reported that when Columbia moves meters from inside to outside </w:t>
      </w:r>
      <w:r w:rsidR="001F2910">
        <w:rPr>
          <w:rFonts w:cs="Times New Roman"/>
          <w:szCs w:val="24"/>
        </w:rPr>
        <w:t>a</w:t>
      </w:r>
      <w:r w:rsidRPr="00B81AEF">
        <w:rPr>
          <w:rFonts w:cs="Times New Roman"/>
          <w:szCs w:val="24"/>
        </w:rPr>
        <w:t xml:space="preserve"> residence, the work is typically charged as an operations and maintenance (“O&amp;M”) expense.</w:t>
      </w:r>
      <w:r>
        <w:rPr>
          <w:rFonts w:cs="Times New Roman"/>
          <w:szCs w:val="24"/>
          <w:vertAlign w:val="superscript"/>
        </w:rPr>
        <w:footnoteReference w:id="17"/>
      </w:r>
      <w:r w:rsidRPr="00B81AEF">
        <w:rPr>
          <w:rFonts w:cs="Times New Roman"/>
          <w:szCs w:val="24"/>
        </w:rPr>
        <w:t xml:space="preserve"> However, when relocation of the meter is performed in conjunction with a service line replacement, the entire project is capitalized under the CEP.</w:t>
      </w:r>
      <w:r>
        <w:rPr>
          <w:rFonts w:cs="Times New Roman"/>
          <w:szCs w:val="24"/>
          <w:vertAlign w:val="superscript"/>
        </w:rPr>
        <w:footnoteReference w:id="18"/>
      </w:r>
      <w:r w:rsidRPr="00B81AEF">
        <w:rPr>
          <w:rFonts w:cs="Times New Roman"/>
          <w:szCs w:val="24"/>
        </w:rPr>
        <w:t xml:space="preserve">  Therefore, Columbia has an incentive to delay meter relocations until the work can </w:t>
      </w:r>
      <w:r w:rsidR="001F2910">
        <w:rPr>
          <w:rFonts w:cs="Times New Roman"/>
          <w:szCs w:val="24"/>
        </w:rPr>
        <w:t xml:space="preserve">be </w:t>
      </w:r>
      <w:r w:rsidRPr="00B81AEF">
        <w:rPr>
          <w:rFonts w:cs="Times New Roman"/>
          <w:szCs w:val="24"/>
        </w:rPr>
        <w:t xml:space="preserve">capitalized as part of a service line replacement.  Columbia does not track the number of meter relocations on an annual basis or know the cost for relocated meters that are either expensed or capitalized. </w:t>
      </w:r>
      <w:r>
        <w:rPr>
          <w:rFonts w:cs="Times New Roman"/>
          <w:szCs w:val="24"/>
          <w:vertAlign w:val="superscript"/>
        </w:rPr>
        <w:footnoteReference w:id="19"/>
      </w:r>
      <w:r w:rsidRPr="00B81AEF">
        <w:rPr>
          <w:rFonts w:cs="Times New Roman"/>
          <w:szCs w:val="24"/>
        </w:rPr>
        <w:t xml:space="preserve"> Blue Ridge recommended that Columbia track meter relocations more closely in order to demonstrate that the cost of meter relocations are properly included in CEP.</w:t>
      </w:r>
      <w:r>
        <w:rPr>
          <w:rFonts w:cs="Times New Roman"/>
          <w:szCs w:val="24"/>
          <w:vertAlign w:val="superscript"/>
        </w:rPr>
        <w:footnoteReference w:id="20"/>
      </w:r>
    </w:p>
    <w:p w:rsidR="000277E8" w:rsidRPr="00B81AEF" w:rsidP="007953C0">
      <w:pPr>
        <w:spacing w:after="0" w:line="480" w:lineRule="auto"/>
        <w:ind w:firstLine="720"/>
        <w:rPr>
          <w:rFonts w:eastAsia="Times New Roman" w:cs="Times New Roman"/>
          <w:szCs w:val="24"/>
        </w:rPr>
      </w:pPr>
      <w:r w:rsidRPr="00B81AEF">
        <w:rPr>
          <w:rFonts w:cs="Times New Roman"/>
          <w:szCs w:val="24"/>
        </w:rPr>
        <w:t xml:space="preserve">The </w:t>
      </w:r>
      <w:r w:rsidR="00104321">
        <w:rPr>
          <w:rFonts w:cs="Times New Roman"/>
          <w:szCs w:val="24"/>
        </w:rPr>
        <w:t xml:space="preserve">PUCO </w:t>
      </w:r>
      <w:r w:rsidRPr="00B81AEF">
        <w:rPr>
          <w:rFonts w:cs="Times New Roman"/>
          <w:szCs w:val="24"/>
        </w:rPr>
        <w:t>Staff Report fail</w:t>
      </w:r>
      <w:r w:rsidR="001F2910">
        <w:rPr>
          <w:rFonts w:cs="Times New Roman"/>
          <w:szCs w:val="24"/>
        </w:rPr>
        <w:t>ed</w:t>
      </w:r>
      <w:r w:rsidRPr="00B81AEF">
        <w:rPr>
          <w:rFonts w:cs="Times New Roman"/>
          <w:szCs w:val="24"/>
        </w:rPr>
        <w:t xml:space="preserve"> to adopt the Blue Ridge recommendation that Columbia track meter relocation projects to demonstrate that the costs are properly included in the CEP.  In addition, the </w:t>
      </w:r>
      <w:r w:rsidR="00104321">
        <w:rPr>
          <w:rFonts w:cs="Times New Roman"/>
          <w:szCs w:val="24"/>
        </w:rPr>
        <w:t xml:space="preserve">PUCO </w:t>
      </w:r>
      <w:r w:rsidRPr="00B81AEF">
        <w:rPr>
          <w:rFonts w:cs="Times New Roman"/>
          <w:szCs w:val="24"/>
        </w:rPr>
        <w:t xml:space="preserve">Staff Report failed to recommend a disallowance for all meter relocation costs that Columbia has included in the CEP if </w:t>
      </w:r>
      <w:r w:rsidR="000D31DD">
        <w:rPr>
          <w:rFonts w:cs="Times New Roman"/>
          <w:szCs w:val="24"/>
        </w:rPr>
        <w:t>Columbia</w:t>
      </w:r>
      <w:r w:rsidRPr="00B81AEF">
        <w:rPr>
          <w:rFonts w:cs="Times New Roman"/>
          <w:szCs w:val="24"/>
        </w:rPr>
        <w:t xml:space="preserve"> is unable to demonstrate that the costs should have been capitalized under the CEP. Customers already pay meter relocation expenses in base rates and should not have to pay the same costs again under the CEP.</w:t>
      </w:r>
    </w:p>
    <w:p w:rsidR="000277E8" w:rsidP="009D391C">
      <w:pPr>
        <w:pStyle w:val="Heading2"/>
      </w:pPr>
      <w:bookmarkStart w:id="9" w:name="_Toc527386732"/>
      <w:r w:rsidRPr="00B81AEF">
        <w:t xml:space="preserve">Objection </w:t>
      </w:r>
      <w:r w:rsidR="00BF790F">
        <w:t>4</w:t>
      </w:r>
      <w:r w:rsidRPr="00B81AEF">
        <w:t xml:space="preserve"> –</w:t>
      </w:r>
      <w:r w:rsidRPr="00B81AEF" w:rsidR="007953C0">
        <w:t xml:space="preserve">The </w:t>
      </w:r>
      <w:r w:rsidR="00BF790F">
        <w:t xml:space="preserve">PUCO </w:t>
      </w:r>
      <w:r w:rsidRPr="00B81AEF" w:rsidR="007953C0">
        <w:t>Staff Report fail</w:t>
      </w:r>
      <w:r w:rsidR="00BF790F">
        <w:t>ed</w:t>
      </w:r>
      <w:r w:rsidRPr="00B81AEF" w:rsidR="007953C0">
        <w:t xml:space="preserve"> </w:t>
      </w:r>
      <w:r w:rsidRPr="005C6107" w:rsidR="003A7C4C">
        <w:t xml:space="preserve">recommend </w:t>
      </w:r>
      <w:r w:rsidR="003A7C4C">
        <w:t xml:space="preserve">(but should have recommended) </w:t>
      </w:r>
      <w:r w:rsidRPr="005C6107" w:rsidR="003A7C4C">
        <w:t>revenue offsets for each year since Columbia initiated the CEP to help reduce the impact of the spending on consumers</w:t>
      </w:r>
      <w:r w:rsidR="00B81AEF">
        <w:t>.</w:t>
      </w:r>
      <w:bookmarkEnd w:id="9"/>
    </w:p>
    <w:p w:rsidR="00B81AEF" w:rsidRPr="00B81AEF" w:rsidP="00B81AEF">
      <w:pPr>
        <w:spacing w:after="0" w:line="480" w:lineRule="auto"/>
        <w:ind w:firstLine="720"/>
        <w:rPr>
          <w:rFonts w:cs="Times New Roman"/>
          <w:szCs w:val="24"/>
        </w:rPr>
      </w:pPr>
      <w:r w:rsidRPr="00B81AEF">
        <w:rPr>
          <w:rFonts w:cs="Times New Roman"/>
          <w:szCs w:val="24"/>
        </w:rPr>
        <w:t>The Blue Ridge analysis included an analysis of the CEP work orders that were part of a sample to determine if the work order should generate revenue and if so, is the CEP offset by the revenue produced.</w:t>
      </w:r>
      <w:r>
        <w:rPr>
          <w:rFonts w:cs="Times New Roman"/>
          <w:szCs w:val="24"/>
          <w:vertAlign w:val="superscript"/>
        </w:rPr>
        <w:footnoteReference w:id="21"/>
      </w:r>
      <w:r w:rsidRPr="00B81AEF">
        <w:rPr>
          <w:rFonts w:cs="Times New Roman"/>
          <w:szCs w:val="24"/>
        </w:rPr>
        <w:t xml:space="preserve">  Several of the work orders involved projects that were categorized as growth-related or betterment-related and had the potential to generate revenue.</w:t>
      </w:r>
      <w:r>
        <w:rPr>
          <w:rFonts w:cs="Times New Roman"/>
          <w:szCs w:val="24"/>
          <w:vertAlign w:val="superscript"/>
        </w:rPr>
        <w:footnoteReference w:id="22"/>
      </w:r>
      <w:r w:rsidRPr="00B81AEF">
        <w:rPr>
          <w:rFonts w:cs="Times New Roman"/>
          <w:szCs w:val="24"/>
        </w:rPr>
        <w:t xml:space="preserve">  Growth related projects include facilities that are needed to provide service to new customers or to provide increased load capacity to existing customers.</w:t>
      </w:r>
      <w:r>
        <w:rPr>
          <w:rFonts w:cs="Times New Roman"/>
          <w:szCs w:val="24"/>
          <w:vertAlign w:val="superscript"/>
        </w:rPr>
        <w:footnoteReference w:id="23"/>
      </w:r>
      <w:r w:rsidRPr="00B81AEF">
        <w:rPr>
          <w:rFonts w:cs="Times New Roman"/>
          <w:szCs w:val="24"/>
        </w:rPr>
        <w:t xml:space="preserve">  Betterment-related projects include replacement of facilities due to physical deterioration, meeting governmental authority requirements, accommodating customer requests for facility relocations, and improving system operating conditions and ensuring adequate distribution capacity and/or reliability.</w:t>
      </w:r>
      <w:r>
        <w:rPr>
          <w:rFonts w:cs="Times New Roman"/>
          <w:szCs w:val="24"/>
          <w:vertAlign w:val="superscript"/>
        </w:rPr>
        <w:footnoteReference w:id="24"/>
      </w:r>
    </w:p>
    <w:p w:rsidR="00B81AEF" w:rsidRPr="00B81AEF" w:rsidP="00B81AEF">
      <w:pPr>
        <w:spacing w:after="0" w:line="480" w:lineRule="auto"/>
        <w:ind w:firstLine="720"/>
        <w:rPr>
          <w:rFonts w:cs="Times New Roman"/>
          <w:szCs w:val="24"/>
        </w:rPr>
      </w:pPr>
      <w:r w:rsidRPr="00B81AEF">
        <w:rPr>
          <w:rFonts w:cs="Times New Roman"/>
          <w:szCs w:val="24"/>
        </w:rPr>
        <w:t>Columbia</w:t>
      </w:r>
      <w:r>
        <w:rPr>
          <w:rFonts w:cs="Times New Roman"/>
          <w:szCs w:val="24"/>
        </w:rPr>
        <w:t>’s</w:t>
      </w:r>
      <w:r w:rsidRPr="00B81AEF">
        <w:rPr>
          <w:rFonts w:cs="Times New Roman"/>
          <w:szCs w:val="24"/>
        </w:rPr>
        <w:t xml:space="preserve"> spending in growth-related projects increased from $32.6 million in 2012 to $81.4 million in 2017.</w:t>
      </w:r>
      <w:r>
        <w:rPr>
          <w:rFonts w:cs="Times New Roman"/>
          <w:szCs w:val="24"/>
          <w:vertAlign w:val="superscript"/>
        </w:rPr>
        <w:footnoteReference w:id="25"/>
      </w:r>
      <w:r w:rsidRPr="00B81AEF">
        <w:rPr>
          <w:rFonts w:cs="Times New Roman"/>
          <w:szCs w:val="24"/>
        </w:rPr>
        <w:t xml:space="preserve">  Columbia spending in betterment-related projects increased from $2.2 million in 2012 to $13 million in 2017.</w:t>
      </w:r>
      <w:r>
        <w:rPr>
          <w:rFonts w:cs="Times New Roman"/>
          <w:szCs w:val="24"/>
          <w:vertAlign w:val="superscript"/>
        </w:rPr>
        <w:footnoteReference w:id="26"/>
      </w:r>
      <w:r w:rsidRPr="00B81AEF">
        <w:rPr>
          <w:rFonts w:cs="Times New Roman"/>
          <w:szCs w:val="24"/>
        </w:rPr>
        <w:t xml:space="preserve">  Despite the additional CEP spending in growth-related and betterment-related projects, Columbia has not provided any revenue-offset since the program began in 2012.</w:t>
      </w:r>
      <w:r>
        <w:rPr>
          <w:rFonts w:cs="Times New Roman"/>
          <w:szCs w:val="24"/>
          <w:vertAlign w:val="superscript"/>
        </w:rPr>
        <w:footnoteReference w:id="27"/>
      </w:r>
      <w:r w:rsidRPr="00B81AEF">
        <w:rPr>
          <w:rFonts w:cs="Times New Roman"/>
          <w:szCs w:val="24"/>
        </w:rPr>
        <w:t xml:space="preserve">  Columbia calculates the incremental revenue by identifying increases/decreases in the average number of customers served by rate schedule since the last distribution rate case.</w:t>
      </w:r>
      <w:r>
        <w:rPr>
          <w:rFonts w:cs="Times New Roman"/>
          <w:szCs w:val="24"/>
          <w:vertAlign w:val="superscript"/>
        </w:rPr>
        <w:footnoteReference w:id="28"/>
      </w:r>
      <w:r w:rsidRPr="00B81AEF">
        <w:rPr>
          <w:rFonts w:cs="Times New Roman"/>
          <w:szCs w:val="24"/>
        </w:rPr>
        <w:t xml:space="preserve">  Blue Ridge requested more precise calculations from Columbia based on number of customers served by rate schedule over time.  The revised calculations revealed a potential revenue offset of $443,539 in 2015. </w:t>
      </w:r>
      <w:r>
        <w:rPr>
          <w:rFonts w:cs="Times New Roman"/>
          <w:szCs w:val="24"/>
          <w:vertAlign w:val="superscript"/>
        </w:rPr>
        <w:footnoteReference w:id="29"/>
      </w:r>
      <w:r w:rsidRPr="00B81AEF">
        <w:rPr>
          <w:rFonts w:cs="Times New Roman"/>
          <w:szCs w:val="24"/>
        </w:rPr>
        <w:t xml:space="preserve"> </w:t>
      </w:r>
    </w:p>
    <w:p w:rsidR="007953C0" w:rsidRPr="00B81AEF" w:rsidP="00B81AEF">
      <w:pPr>
        <w:spacing w:after="0" w:line="480" w:lineRule="auto"/>
        <w:ind w:firstLine="720"/>
        <w:rPr>
          <w:rFonts w:cs="Times New Roman"/>
          <w:szCs w:val="24"/>
        </w:rPr>
      </w:pPr>
      <w:r w:rsidRPr="00B81AEF">
        <w:rPr>
          <w:rFonts w:cs="Times New Roman"/>
          <w:szCs w:val="24"/>
        </w:rPr>
        <w:t xml:space="preserve">The </w:t>
      </w:r>
      <w:r w:rsidR="00104321">
        <w:rPr>
          <w:rFonts w:cs="Times New Roman"/>
          <w:szCs w:val="24"/>
        </w:rPr>
        <w:t xml:space="preserve">PUCO </w:t>
      </w:r>
      <w:r w:rsidRPr="00B81AEF">
        <w:rPr>
          <w:rFonts w:cs="Times New Roman"/>
          <w:szCs w:val="24"/>
        </w:rPr>
        <w:t xml:space="preserve">Staff Report failed to recommend that the PUCO require Columbia to offset 2015 CEP spending by the revenue offset of $443,539.  In addition, the </w:t>
      </w:r>
      <w:r w:rsidR="00104321">
        <w:rPr>
          <w:rFonts w:cs="Times New Roman"/>
          <w:szCs w:val="24"/>
        </w:rPr>
        <w:t xml:space="preserve">PUCO </w:t>
      </w:r>
      <w:r w:rsidRPr="00B81AEF">
        <w:rPr>
          <w:rFonts w:cs="Times New Roman"/>
          <w:szCs w:val="24"/>
        </w:rPr>
        <w:t>Staff Report failed to recommend a methodology that results in revenue offsets being provided to help pay for the additional CEP spending especially for growth and betterment related projects</w:t>
      </w:r>
    </w:p>
    <w:p w:rsidR="00B81AEF" w:rsidRPr="00B81AEF" w:rsidP="009D391C">
      <w:pPr>
        <w:pStyle w:val="Heading2"/>
      </w:pPr>
      <w:bookmarkStart w:id="10" w:name="_Toc527386733"/>
      <w:r w:rsidRPr="00B81AEF">
        <w:t xml:space="preserve">Objection </w:t>
      </w:r>
      <w:r w:rsidR="00BF790F">
        <w:t>5</w:t>
      </w:r>
      <w:r w:rsidRPr="00B81AEF">
        <w:t xml:space="preserve"> – </w:t>
      </w:r>
      <w:r w:rsidRPr="00B81AEF">
        <w:t xml:space="preserve">The </w:t>
      </w:r>
      <w:r w:rsidR="00BF790F">
        <w:t xml:space="preserve">PUCO </w:t>
      </w:r>
      <w:r w:rsidRPr="00B81AEF">
        <w:t xml:space="preserve">Staff Report </w:t>
      </w:r>
      <w:r w:rsidR="005C6107">
        <w:t>failed</w:t>
      </w:r>
      <w:r w:rsidRPr="00B81AEF">
        <w:t xml:space="preserve"> to </w:t>
      </w:r>
      <w:r w:rsidRPr="005C6107" w:rsidR="003A7C4C">
        <w:t xml:space="preserve">recommend </w:t>
      </w:r>
      <w:r w:rsidR="003A7C4C">
        <w:t xml:space="preserve">(but should have recommended) </w:t>
      </w:r>
      <w:r w:rsidRPr="005C6107" w:rsidR="003A7C4C">
        <w:t>operational savings credit</w:t>
      </w:r>
      <w:r w:rsidR="003A7C4C">
        <w:t>s</w:t>
      </w:r>
      <w:r w:rsidRPr="005C6107" w:rsidR="003A7C4C">
        <w:t xml:space="preserve"> be used to help offset the cost of the CEP</w:t>
      </w:r>
      <w:r w:rsidR="003A7C4C">
        <w:t xml:space="preserve"> to consumers</w:t>
      </w:r>
      <w:r w:rsidRPr="00B81AEF">
        <w:t>.</w:t>
      </w:r>
      <w:bookmarkEnd w:id="10"/>
    </w:p>
    <w:p w:rsidR="007953C0" w:rsidRPr="00B81AEF" w:rsidP="000277E8">
      <w:pPr>
        <w:spacing w:after="0" w:line="480" w:lineRule="auto"/>
        <w:rPr>
          <w:rFonts w:eastAsia="Times New Roman" w:cs="Times New Roman"/>
          <w:szCs w:val="24"/>
        </w:rPr>
      </w:pPr>
      <w:r w:rsidRPr="00B81AEF">
        <w:rPr>
          <w:rFonts w:eastAsia="Times New Roman" w:cs="Times New Roman"/>
          <w:szCs w:val="24"/>
        </w:rPr>
        <w:tab/>
      </w:r>
      <w:r w:rsidRPr="00B81AEF">
        <w:rPr>
          <w:rFonts w:cs="Times New Roman"/>
          <w:szCs w:val="24"/>
        </w:rPr>
        <w:t xml:space="preserve">The </w:t>
      </w:r>
      <w:r w:rsidR="00104321">
        <w:rPr>
          <w:rFonts w:cs="Times New Roman"/>
          <w:szCs w:val="24"/>
        </w:rPr>
        <w:t>PUCO</w:t>
      </w:r>
      <w:r w:rsidRPr="00B81AEF" w:rsidR="00104321">
        <w:rPr>
          <w:rFonts w:cs="Times New Roman"/>
          <w:szCs w:val="24"/>
        </w:rPr>
        <w:t xml:space="preserve"> </w:t>
      </w:r>
      <w:r w:rsidRPr="00B81AEF">
        <w:rPr>
          <w:rFonts w:cs="Times New Roman"/>
          <w:szCs w:val="24"/>
        </w:rPr>
        <w:t xml:space="preserve">Staff Report </w:t>
      </w:r>
      <w:r w:rsidR="00104321">
        <w:rPr>
          <w:rFonts w:cs="Times New Roman"/>
          <w:szCs w:val="24"/>
        </w:rPr>
        <w:t>failed</w:t>
      </w:r>
      <w:r w:rsidRPr="00B81AEF">
        <w:rPr>
          <w:rFonts w:cs="Times New Roman"/>
          <w:szCs w:val="24"/>
        </w:rPr>
        <w:t xml:space="preserve"> to recommend that operational savings that Columbia must be obtaining through the CEP spending be credited towards the cost of the CEP.  A large segment of the CEP is related to replacing aging infrastructure based on age and condition.  Between 2008 and 2017, the level of capital spending for age and condition-related projects has increased from $90.5 million in 2008 to $220.4 million in 2017.  Large spending on infrastructure should also be contributing to lowering Columbia’s </w:t>
      </w:r>
      <w:r w:rsidR="00104321">
        <w:rPr>
          <w:rFonts w:cs="Times New Roman"/>
          <w:szCs w:val="24"/>
        </w:rPr>
        <w:t>maintenance</w:t>
      </w:r>
      <w:r w:rsidR="00AC5207">
        <w:rPr>
          <w:rFonts w:cs="Times New Roman"/>
          <w:szCs w:val="24"/>
        </w:rPr>
        <w:t xml:space="preserve"> and other</w:t>
      </w:r>
      <w:r w:rsidRPr="00B81AEF">
        <w:rPr>
          <w:rFonts w:cs="Times New Roman"/>
          <w:szCs w:val="24"/>
        </w:rPr>
        <w:t xml:space="preserve"> costs and </w:t>
      </w:r>
      <w:r w:rsidR="00AC5207">
        <w:rPr>
          <w:rFonts w:cs="Times New Roman"/>
          <w:szCs w:val="24"/>
        </w:rPr>
        <w:t xml:space="preserve">should </w:t>
      </w:r>
      <w:r w:rsidRPr="00B81AEF">
        <w:rPr>
          <w:rFonts w:cs="Times New Roman"/>
          <w:szCs w:val="24"/>
        </w:rPr>
        <w:t xml:space="preserve">ultimately lower distribution rates.  However, customers who are paying for the CEP will not realize the benefits of the lower rates until base rates are adjusted in a future distribution rate case.  To help avoid this delay, Columbia should be crediting the savings that it is obtaining in lower </w:t>
      </w:r>
      <w:r w:rsidR="00104321">
        <w:rPr>
          <w:rFonts w:cs="Times New Roman"/>
          <w:szCs w:val="24"/>
        </w:rPr>
        <w:t>maintenance</w:t>
      </w:r>
      <w:r w:rsidRPr="00B81AEF">
        <w:rPr>
          <w:rFonts w:cs="Times New Roman"/>
          <w:szCs w:val="24"/>
        </w:rPr>
        <w:t xml:space="preserve"> costs towards the cost of the CEP.  This will help reduce the ultimate CEP costs that are paid by customers.  Finally, the Commission has recognized the importance of operational cost savings credits in the Columbia infrastructure replacement program (IRP). Given that many of the CEP funded investments are similar in nature to the IRP, an operational cost savings credits helps ensure that reductions in </w:t>
      </w:r>
      <w:r w:rsidR="00104321">
        <w:rPr>
          <w:rFonts w:cs="Times New Roman"/>
          <w:szCs w:val="24"/>
        </w:rPr>
        <w:t>maintenance</w:t>
      </w:r>
      <w:r w:rsidRPr="00B81AEF">
        <w:rPr>
          <w:rFonts w:cs="Times New Roman"/>
          <w:szCs w:val="24"/>
        </w:rPr>
        <w:t xml:space="preserve"> costs that Columbia is benefiting from are being shared with customers</w:t>
      </w:r>
    </w:p>
    <w:p w:rsidR="007953C0" w:rsidP="009D391C">
      <w:pPr>
        <w:pStyle w:val="Heading2"/>
      </w:pPr>
      <w:bookmarkStart w:id="11" w:name="_Toc527386734"/>
      <w:r w:rsidRPr="00B81AEF">
        <w:t xml:space="preserve">Objection </w:t>
      </w:r>
      <w:r w:rsidR="00BF790F">
        <w:t>6</w:t>
      </w:r>
      <w:r w:rsidRPr="00B81AEF">
        <w:t xml:space="preserve"> – </w:t>
      </w:r>
      <w:r w:rsidRPr="00B81AEF" w:rsidR="00B81AEF">
        <w:t xml:space="preserve">The PUCO Staff Report failed </w:t>
      </w:r>
      <w:r w:rsidRPr="005C6107" w:rsidR="003A7C4C">
        <w:t xml:space="preserve">to recognize </w:t>
      </w:r>
      <w:r w:rsidR="003A7C4C">
        <w:t xml:space="preserve">(but should have recognized) </w:t>
      </w:r>
      <w:r w:rsidRPr="005C6107" w:rsidR="003A7C4C">
        <w:t>that the pre-tax rate of return that was requested and recommended by Blue Ridge should be based on current market conditions</w:t>
      </w:r>
      <w:r w:rsidRPr="00B81AEF" w:rsidR="00B81AEF">
        <w:t>.</w:t>
      </w:r>
      <w:bookmarkEnd w:id="11"/>
    </w:p>
    <w:p w:rsidR="00104321" w:rsidP="00B81AEF">
      <w:pPr>
        <w:spacing w:after="0" w:line="480" w:lineRule="auto"/>
        <w:ind w:firstLine="720"/>
        <w:rPr>
          <w:rFonts w:cs="Times New Roman"/>
          <w:szCs w:val="24"/>
        </w:rPr>
      </w:pPr>
      <w:r>
        <w:rPr>
          <w:rFonts w:cs="Times New Roman"/>
          <w:szCs w:val="24"/>
        </w:rPr>
        <w:t xml:space="preserve">Columbia requested to use the same rate </w:t>
      </w:r>
      <w:r w:rsidR="00A20F5E">
        <w:rPr>
          <w:rFonts w:cs="Times New Roman"/>
          <w:szCs w:val="24"/>
        </w:rPr>
        <w:t xml:space="preserve">of return </w:t>
      </w:r>
      <w:r>
        <w:rPr>
          <w:rFonts w:cs="Times New Roman"/>
          <w:szCs w:val="24"/>
        </w:rPr>
        <w:t xml:space="preserve">as was approved in its last base rate case, which was filed and approved in 2008 (Case No. 08-0072-GA-AIR). In its original application in this case, Columbia requested a </w:t>
      </w:r>
      <w:r w:rsidR="00A20F5E">
        <w:rPr>
          <w:rFonts w:cs="Times New Roman"/>
          <w:szCs w:val="24"/>
        </w:rPr>
        <w:t xml:space="preserve">pre-tax </w:t>
      </w:r>
      <w:r>
        <w:rPr>
          <w:rFonts w:cs="Times New Roman"/>
          <w:szCs w:val="24"/>
        </w:rPr>
        <w:t>rate of return was 10.95%. However, due to the lower tax rate, this was lowered in the amended application to 9.52%. The 9.52% rate of return was calculated based on a return on equity of 10.39% and a cost of debt of 5.78% and produced an after-tax rate of 8.12%</w:t>
      </w:r>
      <w:r w:rsidR="00A20F5E">
        <w:rPr>
          <w:rFonts w:cs="Times New Roman"/>
          <w:szCs w:val="24"/>
        </w:rPr>
        <w:t>, the same as th</w:t>
      </w:r>
      <w:r w:rsidR="003B605C">
        <w:rPr>
          <w:rFonts w:cs="Times New Roman"/>
          <w:szCs w:val="24"/>
        </w:rPr>
        <w:t>ose approved in the last rate case approved in 2008</w:t>
      </w:r>
      <w:r>
        <w:rPr>
          <w:rFonts w:cs="Times New Roman"/>
          <w:szCs w:val="24"/>
        </w:rPr>
        <w:t xml:space="preserve">.  </w:t>
      </w:r>
      <w:r w:rsidRPr="00A12159">
        <w:rPr>
          <w:rFonts w:cs="Times New Roman"/>
          <w:szCs w:val="24"/>
        </w:rPr>
        <w:t>Blue</w:t>
      </w:r>
      <w:r>
        <w:rPr>
          <w:rFonts w:cs="Times New Roman"/>
          <w:szCs w:val="24"/>
        </w:rPr>
        <w:t xml:space="preserve"> </w:t>
      </w:r>
      <w:r w:rsidRPr="00A12159">
        <w:rPr>
          <w:rFonts w:cs="Times New Roman"/>
          <w:szCs w:val="24"/>
        </w:rPr>
        <w:t xml:space="preserve">Ridge </w:t>
      </w:r>
      <w:r>
        <w:rPr>
          <w:rFonts w:cs="Times New Roman"/>
          <w:szCs w:val="24"/>
        </w:rPr>
        <w:t xml:space="preserve">and the PUCO </w:t>
      </w:r>
      <w:r w:rsidRPr="00A12159">
        <w:rPr>
          <w:rFonts w:cs="Times New Roman"/>
          <w:szCs w:val="24"/>
        </w:rPr>
        <w:t xml:space="preserve">Staff </w:t>
      </w:r>
      <w:r>
        <w:rPr>
          <w:rFonts w:cs="Times New Roman"/>
          <w:szCs w:val="24"/>
        </w:rPr>
        <w:t xml:space="preserve">should have recommended a revised return on equity based on current </w:t>
      </w:r>
      <w:r w:rsidR="003B605C">
        <w:rPr>
          <w:rFonts w:cs="Times New Roman"/>
          <w:szCs w:val="24"/>
        </w:rPr>
        <w:t xml:space="preserve">economic and financial </w:t>
      </w:r>
      <w:r>
        <w:rPr>
          <w:rFonts w:cs="Times New Roman"/>
          <w:szCs w:val="24"/>
        </w:rPr>
        <w:t xml:space="preserve">market conditions. </w:t>
      </w:r>
    </w:p>
    <w:p w:rsidR="00104321" w:rsidP="009D391C">
      <w:pPr>
        <w:pStyle w:val="Heading2"/>
      </w:pPr>
      <w:bookmarkStart w:id="12" w:name="_Toc527386735"/>
      <w:r w:rsidRPr="00B81AEF">
        <w:t xml:space="preserve">Objection </w:t>
      </w:r>
      <w:r>
        <w:t>7</w:t>
      </w:r>
      <w:r w:rsidRPr="00B81AEF">
        <w:t xml:space="preserve"> – The PUCO Staff Report failed </w:t>
      </w:r>
      <w:r w:rsidRPr="005B6416" w:rsidR="003A7C4C">
        <w:t>to recommend (but should have recommended) that Columbia file its next base rate case as soon as possible to, among other things, reduce Columbia’s return on equity (profit) that was set years ago and is now too high to charge to consumers</w:t>
      </w:r>
      <w:r w:rsidRPr="00B81AEF">
        <w:t>.</w:t>
      </w:r>
      <w:bookmarkEnd w:id="12"/>
    </w:p>
    <w:p w:rsidR="007953C0" w:rsidP="00B81AEF">
      <w:pPr>
        <w:spacing w:after="0" w:line="480" w:lineRule="auto"/>
        <w:ind w:firstLine="720"/>
        <w:rPr>
          <w:rFonts w:eastAsia="Times New Roman" w:cs="Times New Roman"/>
          <w:szCs w:val="24"/>
        </w:rPr>
      </w:pPr>
      <w:r>
        <w:rPr>
          <w:rFonts w:eastAsia="Times New Roman" w:cs="Times New Roman"/>
          <w:szCs w:val="24"/>
        </w:rPr>
        <w:t>The PUCO Staff Report failed to recommend that Columbia</w:t>
      </w:r>
      <w:r w:rsidR="00934E3E">
        <w:rPr>
          <w:rFonts w:eastAsia="Times New Roman" w:cs="Times New Roman"/>
          <w:szCs w:val="24"/>
        </w:rPr>
        <w:t xml:space="preserve"> </w:t>
      </w:r>
      <w:r>
        <w:rPr>
          <w:rFonts w:eastAsia="Times New Roman" w:cs="Times New Roman"/>
          <w:szCs w:val="24"/>
        </w:rPr>
        <w:t xml:space="preserve">file </w:t>
      </w:r>
      <w:r w:rsidR="00934E3E">
        <w:rPr>
          <w:rFonts w:eastAsia="Times New Roman" w:cs="Times New Roman"/>
          <w:szCs w:val="24"/>
        </w:rPr>
        <w:t xml:space="preserve">a </w:t>
      </w:r>
      <w:r>
        <w:rPr>
          <w:rFonts w:eastAsia="Times New Roman" w:cs="Times New Roman"/>
          <w:szCs w:val="24"/>
        </w:rPr>
        <w:t xml:space="preserve">base </w:t>
      </w:r>
      <w:r w:rsidR="00934E3E">
        <w:rPr>
          <w:rFonts w:eastAsia="Times New Roman" w:cs="Times New Roman"/>
          <w:szCs w:val="24"/>
        </w:rPr>
        <w:t xml:space="preserve">distribution </w:t>
      </w:r>
      <w:r>
        <w:rPr>
          <w:rFonts w:eastAsia="Times New Roman" w:cs="Times New Roman"/>
          <w:szCs w:val="24"/>
        </w:rPr>
        <w:t>rate case</w:t>
      </w:r>
      <w:r w:rsidR="00934E3E">
        <w:rPr>
          <w:rFonts w:eastAsia="Times New Roman" w:cs="Times New Roman"/>
          <w:szCs w:val="24"/>
        </w:rPr>
        <w:t xml:space="preserve"> as soon as possible</w:t>
      </w:r>
      <w:r w:rsidR="003A7C4C">
        <w:rPr>
          <w:rFonts w:eastAsia="Times New Roman" w:cs="Times New Roman"/>
          <w:szCs w:val="24"/>
        </w:rPr>
        <w:t xml:space="preserve"> to, among other things, lower its return on equity (profit)</w:t>
      </w:r>
      <w:r>
        <w:rPr>
          <w:rFonts w:eastAsia="Times New Roman" w:cs="Times New Roman"/>
          <w:szCs w:val="24"/>
        </w:rPr>
        <w:t>. While the PUCO Staff Report recommends that Columbia perform a new depreciation study prior to its next base rate case</w:t>
      </w:r>
      <w:r w:rsidR="00A4665E">
        <w:rPr>
          <w:rFonts w:eastAsia="Times New Roman" w:cs="Times New Roman"/>
          <w:szCs w:val="24"/>
        </w:rPr>
        <w:t xml:space="preserve"> and to work with Staff regarding the filing of the next rate case application</w:t>
      </w:r>
      <w:r>
        <w:rPr>
          <w:rFonts w:eastAsia="Times New Roman" w:cs="Times New Roman"/>
          <w:szCs w:val="24"/>
        </w:rPr>
        <w:t>, it should have recommended that Columbia file its next base rate case</w:t>
      </w:r>
      <w:r w:rsidR="00A4665E">
        <w:rPr>
          <w:rFonts w:eastAsia="Times New Roman" w:cs="Times New Roman"/>
          <w:szCs w:val="24"/>
        </w:rPr>
        <w:t xml:space="preserve"> as soon as possible</w:t>
      </w:r>
      <w:r>
        <w:rPr>
          <w:rFonts w:eastAsia="Times New Roman" w:cs="Times New Roman"/>
          <w:szCs w:val="24"/>
        </w:rPr>
        <w:t xml:space="preserve">. </w:t>
      </w:r>
      <w:r w:rsidR="00C31920">
        <w:rPr>
          <w:rFonts w:eastAsia="Times New Roman" w:cs="Times New Roman"/>
          <w:szCs w:val="24"/>
        </w:rPr>
        <w:t xml:space="preserve">A base rate case would limit the growth of the deferral that is causing the increasing charges to customers, including the increase in carrying costs. </w:t>
      </w:r>
      <w:r w:rsidR="00AC5207">
        <w:rPr>
          <w:rFonts w:eastAsia="Times New Roman" w:cs="Times New Roman"/>
          <w:szCs w:val="24"/>
        </w:rPr>
        <w:t xml:space="preserve">Further, a base rate case would assist consumers by identifying operational savings that are currently included in Columbia’s base rates. </w:t>
      </w:r>
      <w:r>
        <w:rPr>
          <w:rFonts w:eastAsia="Times New Roman" w:cs="Times New Roman"/>
          <w:szCs w:val="24"/>
        </w:rPr>
        <w:t>Columbia’s last base rate case was in 2008, with the</w:t>
      </w:r>
      <w:r w:rsidR="00C31920">
        <w:rPr>
          <w:rFonts w:eastAsia="Times New Roman" w:cs="Times New Roman"/>
          <w:szCs w:val="24"/>
        </w:rPr>
        <w:t xml:space="preserve"> CEP then</w:t>
      </w:r>
      <w:r>
        <w:rPr>
          <w:rFonts w:eastAsia="Times New Roman" w:cs="Times New Roman"/>
          <w:szCs w:val="24"/>
        </w:rPr>
        <w:t xml:space="preserve"> beginning in 2011. It has been over 10 years since Columbia </w:t>
      </w:r>
      <w:r w:rsidR="00C31920">
        <w:rPr>
          <w:rFonts w:eastAsia="Times New Roman" w:cs="Times New Roman"/>
          <w:szCs w:val="24"/>
        </w:rPr>
        <w:t>l</w:t>
      </w:r>
      <w:r>
        <w:rPr>
          <w:rFonts w:eastAsia="Times New Roman" w:cs="Times New Roman"/>
          <w:szCs w:val="24"/>
        </w:rPr>
        <w:t xml:space="preserve">ast </w:t>
      </w:r>
      <w:r w:rsidR="00C31920">
        <w:rPr>
          <w:rFonts w:eastAsia="Times New Roman" w:cs="Times New Roman"/>
          <w:szCs w:val="24"/>
        </w:rPr>
        <w:t xml:space="preserve">filed a </w:t>
      </w:r>
      <w:r>
        <w:rPr>
          <w:rFonts w:eastAsia="Times New Roman" w:cs="Times New Roman"/>
          <w:szCs w:val="24"/>
        </w:rPr>
        <w:t>base rate case, it is</w:t>
      </w:r>
      <w:r w:rsidR="00C31920">
        <w:rPr>
          <w:rFonts w:eastAsia="Times New Roman" w:cs="Times New Roman"/>
          <w:szCs w:val="24"/>
        </w:rPr>
        <w:t xml:space="preserve"> now long past</w:t>
      </w:r>
      <w:r>
        <w:rPr>
          <w:rFonts w:eastAsia="Times New Roman" w:cs="Times New Roman"/>
          <w:szCs w:val="24"/>
        </w:rPr>
        <w:t xml:space="preserve"> time for the utility to open its books. The PUCO Staff Report should have recommended that Columbia file its next base rate case </w:t>
      </w:r>
      <w:r w:rsidR="00A4665E">
        <w:rPr>
          <w:rFonts w:eastAsia="Times New Roman" w:cs="Times New Roman"/>
          <w:szCs w:val="24"/>
        </w:rPr>
        <w:t xml:space="preserve">as soon as possible </w:t>
      </w:r>
      <w:r>
        <w:rPr>
          <w:rFonts w:eastAsia="Times New Roman" w:cs="Times New Roman"/>
          <w:szCs w:val="24"/>
        </w:rPr>
        <w:t>with a test year of calendar year 2019.</w:t>
      </w:r>
    </w:p>
    <w:p w:rsidR="00106E51" w:rsidRPr="009D391C" w:rsidP="009D391C">
      <w:pPr>
        <w:pStyle w:val="Heading2"/>
      </w:pPr>
      <w:bookmarkStart w:id="13" w:name="_Toc527386736"/>
      <w:r w:rsidRPr="009D391C">
        <w:t xml:space="preserve">Objection 8 – The PUCO Staff Report failed </w:t>
      </w:r>
      <w:r w:rsidR="003A7C4C">
        <w:t>to recommend (but should have recommended) that Columbia lower its charges to consumers to account for Columbia’s tax savings from the federal tax cuts under the Tax Cuts and Jobs Act of 2017</w:t>
      </w:r>
      <w:r w:rsidRPr="009D391C">
        <w:t>.</w:t>
      </w:r>
      <w:bookmarkEnd w:id="13"/>
    </w:p>
    <w:p w:rsidR="00106E51" w:rsidP="00106E51">
      <w:pPr>
        <w:spacing w:after="0" w:line="480" w:lineRule="auto"/>
        <w:ind w:firstLine="720"/>
        <w:rPr>
          <w:rFonts w:eastAsia="Times New Roman" w:cs="Times New Roman"/>
          <w:szCs w:val="24"/>
        </w:rPr>
      </w:pPr>
      <w:r>
        <w:rPr>
          <w:rFonts w:eastAsia="Times New Roman" w:cs="Times New Roman"/>
          <w:szCs w:val="24"/>
        </w:rPr>
        <w:t xml:space="preserve">The PUCO Staff Report failed to recommend that Columbia </w:t>
      </w:r>
      <w:r w:rsidR="00FB787D">
        <w:rPr>
          <w:rFonts w:eastAsia="Times New Roman" w:cs="Times New Roman"/>
          <w:szCs w:val="24"/>
        </w:rPr>
        <w:t xml:space="preserve">lower its </w:t>
      </w:r>
      <w:r w:rsidR="00600A2D">
        <w:rPr>
          <w:rFonts w:eastAsia="Times New Roman" w:cs="Times New Roman"/>
          <w:szCs w:val="24"/>
        </w:rPr>
        <w:t xml:space="preserve">charges to consumers to account for the benefits of the federal tax cuts.  </w:t>
      </w:r>
      <w:r w:rsidR="00A4665E">
        <w:rPr>
          <w:rFonts w:eastAsia="Times New Roman" w:cs="Times New Roman"/>
          <w:szCs w:val="24"/>
        </w:rPr>
        <w:t>While the PUCO Staff properly noted that Columbia’s rate of return should be lowered to account for the effects of the federal tax cuts, such rate of return could have been lowered further to be more reflective of current market conditions. Additionally, Columbia continues to charge customers base rates established based upon the previous 35 percent corporate tax rate. The PUCO Staff Report should have recommended that Columbia lower its charges to consumers in the CEP, base rates, and other riders to provide the benefits of the lower federal tax rate to consumers.</w:t>
      </w:r>
    </w:p>
    <w:p w:rsidR="00E57090" w:rsidRPr="00B81AEF" w:rsidP="00E57090">
      <w:pPr>
        <w:spacing w:after="0" w:line="240" w:lineRule="auto"/>
        <w:ind w:firstLine="720"/>
        <w:rPr>
          <w:rFonts w:eastAsia="Times New Roman" w:cs="Times New Roman"/>
          <w:szCs w:val="24"/>
        </w:rPr>
      </w:pPr>
    </w:p>
    <w:p w:rsidR="000277E8" w:rsidRPr="00B81AEF" w:rsidP="00E57090">
      <w:pPr>
        <w:pStyle w:val="Heading1"/>
      </w:pPr>
      <w:bookmarkStart w:id="14" w:name="_Toc527386737"/>
      <w:r>
        <w:t>III.</w:t>
      </w:r>
      <w:r>
        <w:tab/>
      </w:r>
      <w:r w:rsidRPr="00B81AEF">
        <w:t>CONCLUSION</w:t>
      </w:r>
      <w:bookmarkEnd w:id="14"/>
    </w:p>
    <w:p w:rsidR="00740E29" w:rsidP="00BF790F">
      <w:pPr>
        <w:spacing w:after="0" w:line="480" w:lineRule="auto"/>
        <w:ind w:firstLine="720"/>
        <w:rPr>
          <w:rFonts w:eastAsia="Times New Roman" w:cs="Times New Roman"/>
          <w:szCs w:val="24"/>
        </w:rPr>
        <w:sectPr w:rsidSect="00740E29">
          <w:pgSz w:w="12240" w:h="15840"/>
          <w:pgMar w:top="1350" w:right="1800" w:bottom="1440" w:left="1800" w:header="720" w:footer="720" w:gutter="0"/>
          <w:cols w:space="720"/>
          <w:docGrid w:linePitch="360"/>
        </w:sectPr>
      </w:pPr>
      <w:r w:rsidRPr="00B81AEF">
        <w:rPr>
          <w:rFonts w:eastAsia="Times New Roman" w:cs="Times New Roman"/>
          <w:szCs w:val="24"/>
        </w:rPr>
        <w:t xml:space="preserve">OCC’s recommendations, if adopted, would protect consumers from run-away capital </w:t>
      </w:r>
      <w:r w:rsidR="00104321">
        <w:rPr>
          <w:rFonts w:eastAsia="Times New Roman" w:cs="Times New Roman"/>
          <w:szCs w:val="24"/>
        </w:rPr>
        <w:t>spending costs by Columbia</w:t>
      </w:r>
      <w:r>
        <w:rPr>
          <w:rFonts w:eastAsia="Times New Roman" w:cs="Times New Roman"/>
          <w:szCs w:val="24"/>
        </w:rPr>
        <w:t>. The PUCO Staff Report should have included numerous provisions to protect consumers from capital spending in excess of what was actually ne</w:t>
      </w:r>
      <w:r w:rsidR="005B7CB7">
        <w:rPr>
          <w:rFonts w:eastAsia="Times New Roman" w:cs="Times New Roman"/>
          <w:szCs w:val="24"/>
        </w:rPr>
        <w:t>eded</w:t>
      </w:r>
      <w:r>
        <w:rPr>
          <w:rFonts w:eastAsia="Times New Roman" w:cs="Times New Roman"/>
          <w:szCs w:val="24"/>
        </w:rPr>
        <w:t xml:space="preserve">. Further, any operational </w:t>
      </w:r>
      <w:r w:rsidR="00104321">
        <w:rPr>
          <w:rFonts w:eastAsia="Times New Roman" w:cs="Times New Roman"/>
          <w:szCs w:val="24"/>
        </w:rPr>
        <w:t xml:space="preserve">and maintenance </w:t>
      </w:r>
      <w:r>
        <w:rPr>
          <w:rFonts w:eastAsia="Times New Roman" w:cs="Times New Roman"/>
          <w:szCs w:val="24"/>
        </w:rPr>
        <w:t>savings resulting from the additional capital spending should be credited to customers to offset the costs of the CEP. Customers should not be forced to pay more than what is needed.</w:t>
      </w:r>
    </w:p>
    <w:p w:rsidR="00BF790F" w:rsidRPr="00BF790F" w:rsidP="00BF790F">
      <w:pPr>
        <w:spacing w:after="0" w:line="480" w:lineRule="auto"/>
        <w:ind w:firstLine="720"/>
        <w:rPr>
          <w:rFonts w:eastAsia="Times New Roman" w:cs="Times New Roman"/>
          <w:szCs w:val="24"/>
        </w:rPr>
      </w:pPr>
    </w:p>
    <w:p w:rsidR="00E57090">
      <w:pPr>
        <w:rPr>
          <w:rFonts w:cs="Times New Roman"/>
          <w:szCs w:val="24"/>
        </w:rPr>
      </w:pPr>
    </w:p>
    <w:p w:rsidR="00600A2D" w:rsidRPr="00B81AEF" w:rsidP="00447CFD">
      <w:pPr>
        <w:widowControl w:val="0"/>
        <w:spacing w:after="0" w:line="240" w:lineRule="auto"/>
        <w:ind w:left="2880" w:right="-672" w:firstLine="720"/>
        <w:rPr>
          <w:rFonts w:cs="Times New Roman"/>
          <w:szCs w:val="24"/>
        </w:rPr>
      </w:pPr>
      <w:r w:rsidRPr="00B81AEF">
        <w:rPr>
          <w:rFonts w:cs="Times New Roman"/>
          <w:szCs w:val="24"/>
        </w:rPr>
        <w:t>Respectfully submitted,</w:t>
      </w:r>
    </w:p>
    <w:p w:rsidR="00600A2D" w:rsidRPr="00B81AEF" w:rsidP="00600A2D">
      <w:pPr>
        <w:widowControl w:val="0"/>
        <w:spacing w:after="0" w:line="240" w:lineRule="auto"/>
        <w:ind w:left="3600" w:right="-672" w:firstLine="720"/>
        <w:rPr>
          <w:rFonts w:cs="Times New Roman"/>
          <w:sz w:val="18"/>
          <w:szCs w:val="24"/>
        </w:rPr>
      </w:pPr>
    </w:p>
    <w:p w:rsidR="00447CFD" w:rsidRPr="00B81AEF" w:rsidP="00447CFD">
      <w:pPr>
        <w:spacing w:after="0" w:line="240" w:lineRule="auto"/>
        <w:ind w:left="3600"/>
        <w:rPr>
          <w:rFonts w:cs="Times New Roman"/>
          <w:szCs w:val="24"/>
        </w:rPr>
      </w:pPr>
      <w:r w:rsidRPr="00B81AEF">
        <w:rPr>
          <w:rFonts w:cs="Times New Roman"/>
          <w:szCs w:val="24"/>
        </w:rPr>
        <w:t xml:space="preserve">Bruce Weston </w:t>
      </w:r>
      <w:r w:rsidRPr="00B81AEF">
        <w:rPr>
          <w:rFonts w:cs="Times New Roman"/>
          <w:szCs w:val="24"/>
        </w:rPr>
        <w:t>(0016973)</w:t>
      </w:r>
    </w:p>
    <w:p w:rsidR="00447CFD" w:rsidP="00480BA8">
      <w:pPr>
        <w:spacing w:after="0" w:line="240" w:lineRule="auto"/>
        <w:ind w:left="2880" w:firstLine="720"/>
        <w:rPr>
          <w:rFonts w:cs="Times New Roman"/>
          <w:szCs w:val="24"/>
        </w:rPr>
      </w:pPr>
      <w:r w:rsidRPr="00B81AEF">
        <w:rPr>
          <w:rFonts w:cs="Times New Roman"/>
          <w:szCs w:val="24"/>
        </w:rPr>
        <w:t>Ohio Consumers’ Counsel</w:t>
      </w:r>
    </w:p>
    <w:p w:rsidR="00E57090" w:rsidP="00480BA8">
      <w:pPr>
        <w:spacing w:after="0" w:line="240" w:lineRule="auto"/>
        <w:ind w:left="2880" w:firstLine="720"/>
        <w:rPr>
          <w:rFonts w:cs="Times New Roman"/>
          <w:szCs w:val="24"/>
        </w:rPr>
      </w:pPr>
    </w:p>
    <w:p w:rsidR="00E57090" w:rsidRPr="00E57090" w:rsidP="00480BA8">
      <w:pPr>
        <w:spacing w:after="0" w:line="240" w:lineRule="auto"/>
        <w:ind w:left="2880" w:firstLine="720"/>
        <w:rPr>
          <w:rFonts w:cs="Times New Roman"/>
          <w:i/>
          <w:szCs w:val="24"/>
          <w:u w:val="single"/>
        </w:rPr>
      </w:pPr>
      <w:r>
        <w:rPr>
          <w:rFonts w:cs="Times New Roman"/>
          <w:i/>
          <w:szCs w:val="24"/>
          <w:u w:val="single"/>
        </w:rPr>
        <w:t>/s/ Bryce A. McKenney</w:t>
      </w:r>
    </w:p>
    <w:p w:rsidR="00447CFD" w:rsidRPr="00B81AEF" w:rsidP="00447CFD">
      <w:pPr>
        <w:spacing w:after="0" w:line="240" w:lineRule="auto"/>
        <w:ind w:firstLine="3600"/>
        <w:rPr>
          <w:rFonts w:cs="Times New Roman"/>
          <w:szCs w:val="24"/>
        </w:rPr>
      </w:pPr>
      <w:r w:rsidRPr="00B81AEF">
        <w:rPr>
          <w:rFonts w:cs="Times New Roman"/>
          <w:szCs w:val="24"/>
        </w:rPr>
        <w:t>Bryce A. McKenney (0088203)</w:t>
      </w:r>
    </w:p>
    <w:p w:rsidR="00447CFD" w:rsidRPr="00B81AEF" w:rsidP="00447CFD">
      <w:pPr>
        <w:spacing w:after="0" w:line="240" w:lineRule="auto"/>
        <w:ind w:firstLine="3600"/>
        <w:rPr>
          <w:rFonts w:cs="Times New Roman"/>
          <w:szCs w:val="24"/>
        </w:rPr>
      </w:pPr>
      <w:r w:rsidRPr="00B81AEF">
        <w:rPr>
          <w:rFonts w:cs="Times New Roman"/>
          <w:szCs w:val="24"/>
        </w:rPr>
        <w:t>Assistant Consumers’ Counsel</w:t>
      </w:r>
    </w:p>
    <w:p w:rsidR="00447CFD" w:rsidRPr="00B81AEF" w:rsidP="00447CFD">
      <w:pPr>
        <w:spacing w:after="0" w:line="240" w:lineRule="auto"/>
        <w:ind w:firstLine="3600"/>
        <w:rPr>
          <w:rFonts w:cs="Times New Roman"/>
          <w:szCs w:val="24"/>
        </w:rPr>
      </w:pPr>
    </w:p>
    <w:p w:rsidR="00447CFD" w:rsidRPr="00B81AEF" w:rsidP="00447CFD">
      <w:pPr>
        <w:spacing w:after="0" w:line="240" w:lineRule="auto"/>
        <w:ind w:firstLine="3600"/>
        <w:rPr>
          <w:rFonts w:cs="Times New Roman"/>
          <w:b/>
          <w:szCs w:val="24"/>
        </w:rPr>
      </w:pPr>
      <w:r w:rsidRPr="00B81AEF">
        <w:rPr>
          <w:rFonts w:cs="Times New Roman"/>
          <w:b/>
          <w:szCs w:val="24"/>
        </w:rPr>
        <w:t>Office of the Ohio Consumers’ Counsel</w:t>
      </w:r>
    </w:p>
    <w:p w:rsidR="00447CFD" w:rsidRPr="00B81AEF" w:rsidP="00447CFD">
      <w:pPr>
        <w:spacing w:after="0" w:line="240" w:lineRule="auto"/>
        <w:ind w:firstLine="3600"/>
        <w:rPr>
          <w:rFonts w:cs="Times New Roman"/>
          <w:szCs w:val="24"/>
        </w:rPr>
      </w:pPr>
      <w:r w:rsidRPr="00B81AEF">
        <w:rPr>
          <w:rFonts w:cs="Times New Roman"/>
          <w:szCs w:val="24"/>
        </w:rPr>
        <w:t>65 East State Street, 7</w:t>
      </w:r>
      <w:r w:rsidRPr="00B81AEF">
        <w:rPr>
          <w:rFonts w:cs="Times New Roman"/>
          <w:szCs w:val="24"/>
          <w:vertAlign w:val="superscript"/>
        </w:rPr>
        <w:t>th</w:t>
      </w:r>
      <w:r w:rsidRPr="00B81AEF">
        <w:rPr>
          <w:rFonts w:cs="Times New Roman"/>
          <w:szCs w:val="24"/>
        </w:rPr>
        <w:t xml:space="preserve"> Floor</w:t>
      </w:r>
    </w:p>
    <w:p w:rsidR="00447CFD" w:rsidRPr="00B81AEF" w:rsidP="00447CFD">
      <w:pPr>
        <w:spacing w:after="0" w:line="240" w:lineRule="auto"/>
        <w:ind w:firstLine="3600"/>
        <w:rPr>
          <w:rFonts w:cs="Times New Roman"/>
          <w:szCs w:val="24"/>
        </w:rPr>
      </w:pPr>
      <w:r w:rsidRPr="00B81AEF">
        <w:rPr>
          <w:rFonts w:cs="Times New Roman"/>
          <w:szCs w:val="24"/>
        </w:rPr>
        <w:t>Columbus, Ohio 43215-4213</w:t>
      </w:r>
    </w:p>
    <w:p w:rsidR="00447CFD" w:rsidRPr="00B81AEF" w:rsidP="00447CFD">
      <w:pPr>
        <w:spacing w:after="0" w:line="240" w:lineRule="auto"/>
        <w:ind w:firstLine="3600"/>
        <w:rPr>
          <w:rFonts w:cs="Times New Roman"/>
          <w:szCs w:val="24"/>
        </w:rPr>
      </w:pPr>
      <w:r w:rsidRPr="00B81AEF">
        <w:rPr>
          <w:rFonts w:cs="Times New Roman"/>
          <w:szCs w:val="24"/>
        </w:rPr>
        <w:t>Telephone:  McKenney Direct – 614-9585</w:t>
      </w:r>
    </w:p>
    <w:p w:rsidR="00447CFD" w:rsidRPr="00B81AEF" w:rsidP="00447CFD">
      <w:pPr>
        <w:spacing w:after="0" w:line="240" w:lineRule="auto"/>
        <w:ind w:firstLine="3600"/>
        <w:rPr>
          <w:rFonts w:cs="Times New Roman"/>
          <w:szCs w:val="24"/>
        </w:rPr>
      </w:pPr>
      <w:r w:rsidRPr="00B81AEF">
        <w:rPr>
          <w:rStyle w:val="DefaultParagraphFont"/>
          <w:rFonts w:cs="Times New Roman"/>
          <w:color w:val="auto"/>
          <w:szCs w:val="24"/>
          <w:u w:val="none"/>
        </w:rPr>
        <w:t>Bryce.mckenney@occ.ohio.gov</w:t>
      </w:r>
      <w:r w:rsidRPr="00B81AEF">
        <w:rPr>
          <w:rFonts w:cs="Times New Roman"/>
          <w:szCs w:val="24"/>
        </w:rPr>
        <w:t xml:space="preserve"> </w:t>
      </w:r>
    </w:p>
    <w:p w:rsidR="00447CFD" w:rsidRPr="00B81AEF" w:rsidP="00447CFD">
      <w:pPr>
        <w:spacing w:after="0" w:line="240" w:lineRule="auto"/>
        <w:ind w:firstLine="3600"/>
        <w:rPr>
          <w:rFonts w:cs="Times New Roman"/>
          <w:szCs w:val="24"/>
        </w:rPr>
        <w:sectPr w:rsidSect="00740E29">
          <w:pgSz w:w="12240" w:h="15840"/>
          <w:pgMar w:top="1350" w:right="1800" w:bottom="1440" w:left="1800" w:header="720" w:footer="720" w:gutter="0"/>
          <w:cols w:space="720"/>
          <w:docGrid w:linePitch="360"/>
        </w:sectPr>
      </w:pPr>
      <w:r w:rsidRPr="00B81AEF">
        <w:rPr>
          <w:rFonts w:cs="Times New Roman"/>
          <w:szCs w:val="24"/>
        </w:rPr>
        <w:t>(Will accept service via email)</w:t>
      </w:r>
    </w:p>
    <w:p w:rsidR="00600A2D" w:rsidRPr="00B81AEF" w:rsidP="00600A2D">
      <w:pPr>
        <w:spacing w:after="0" w:line="480" w:lineRule="auto"/>
        <w:ind w:firstLine="720"/>
        <w:jc w:val="center"/>
        <w:rPr>
          <w:rFonts w:eastAsiaTheme="minorEastAsia" w:cs="Times New Roman"/>
          <w:b/>
          <w:szCs w:val="24"/>
          <w:u w:val="single"/>
        </w:rPr>
      </w:pPr>
      <w:r w:rsidRPr="00B81AEF">
        <w:rPr>
          <w:rFonts w:eastAsiaTheme="minorEastAsia" w:cs="Times New Roman"/>
          <w:b/>
          <w:szCs w:val="24"/>
          <w:u w:val="single"/>
        </w:rPr>
        <w:t>CERTIFICATE OF SERVICE</w:t>
      </w:r>
    </w:p>
    <w:p w:rsidR="00600A2D" w:rsidRPr="00B81AEF" w:rsidP="00600A2D">
      <w:pPr>
        <w:spacing w:after="0" w:line="480" w:lineRule="auto"/>
        <w:ind w:firstLine="720"/>
        <w:rPr>
          <w:rFonts w:eastAsiaTheme="minorEastAsia" w:cs="Times New Roman"/>
          <w:szCs w:val="24"/>
        </w:rPr>
      </w:pPr>
      <w:r w:rsidRPr="00B81AEF">
        <w:rPr>
          <w:rFonts w:eastAsiaTheme="minorEastAsia" w:cs="Times New Roman"/>
          <w:szCs w:val="24"/>
        </w:rPr>
        <w:t>I hereby certify that a copy of th</w:t>
      </w:r>
      <w:r w:rsidR="00E57090">
        <w:rPr>
          <w:rFonts w:eastAsiaTheme="minorEastAsia" w:cs="Times New Roman"/>
          <w:szCs w:val="24"/>
        </w:rPr>
        <w:t>ese Objections</w:t>
      </w:r>
      <w:r w:rsidRPr="00B81AEF" w:rsidR="007E1D85">
        <w:rPr>
          <w:rFonts w:eastAsiaTheme="minorEastAsia" w:cs="Times New Roman"/>
          <w:szCs w:val="24"/>
        </w:rPr>
        <w:t xml:space="preserve"> </w:t>
      </w:r>
      <w:r w:rsidRPr="00B81AEF">
        <w:rPr>
          <w:rFonts w:eastAsiaTheme="minorEastAsia" w:cs="Times New Roman"/>
          <w:szCs w:val="24"/>
        </w:rPr>
        <w:t xml:space="preserve">was served on the persons stated below via electronic transmission, this </w:t>
      </w:r>
      <w:r w:rsidRPr="00B81AEF" w:rsidR="00480BA8">
        <w:rPr>
          <w:rFonts w:eastAsiaTheme="minorEastAsia" w:cs="Times New Roman"/>
          <w:szCs w:val="24"/>
        </w:rPr>
        <w:t>15</w:t>
      </w:r>
      <w:r w:rsidRPr="00B81AEF">
        <w:rPr>
          <w:rFonts w:eastAsiaTheme="minorEastAsia" w:cs="Times New Roman"/>
          <w:szCs w:val="24"/>
        </w:rPr>
        <w:t>th day of October 2018.</w:t>
      </w:r>
    </w:p>
    <w:p w:rsidR="00600A2D" w:rsidRPr="00B81AEF" w:rsidP="00600A2D">
      <w:pPr>
        <w:spacing w:after="0" w:line="480" w:lineRule="auto"/>
        <w:ind w:firstLine="720"/>
        <w:rPr>
          <w:rFonts w:eastAsiaTheme="minorEastAsia" w:cs="Times New Roman"/>
          <w:szCs w:val="24"/>
        </w:rPr>
      </w:pPr>
    </w:p>
    <w:p w:rsidR="00600A2D" w:rsidRPr="00B81AEF" w:rsidP="00600A2D">
      <w:pPr>
        <w:tabs>
          <w:tab w:val="left" w:pos="4320"/>
        </w:tabs>
        <w:spacing w:after="0" w:line="240" w:lineRule="auto"/>
        <w:rPr>
          <w:rFonts w:cs="Times New Roman"/>
          <w:i/>
          <w:szCs w:val="24"/>
          <w:u w:val="single"/>
        </w:rPr>
      </w:pPr>
      <w:r w:rsidRPr="00B81AEF">
        <w:rPr>
          <w:rFonts w:cs="Times New Roman"/>
          <w:i/>
          <w:szCs w:val="24"/>
        </w:rPr>
        <w:tab/>
      </w:r>
      <w:r w:rsidRPr="00B81AEF">
        <w:rPr>
          <w:rFonts w:cs="Times New Roman"/>
          <w:i/>
          <w:szCs w:val="24"/>
          <w:u w:val="single"/>
        </w:rPr>
        <w:t xml:space="preserve">/s/ </w:t>
      </w:r>
      <w:r w:rsidRPr="00B81AEF" w:rsidR="00480BA8">
        <w:rPr>
          <w:rFonts w:cs="Times New Roman"/>
          <w:i/>
          <w:szCs w:val="24"/>
          <w:u w:val="single"/>
        </w:rPr>
        <w:t>Bryce McKenney</w:t>
      </w:r>
      <w:r w:rsidRPr="00B81AEF">
        <w:rPr>
          <w:rFonts w:cs="Times New Roman"/>
          <w:i/>
          <w:szCs w:val="24"/>
          <w:u w:val="single"/>
        </w:rPr>
        <w:t>__</w:t>
      </w:r>
    </w:p>
    <w:p w:rsidR="00600A2D" w:rsidRPr="00B81AEF" w:rsidP="00600A2D">
      <w:pPr>
        <w:tabs>
          <w:tab w:val="left" w:pos="4320"/>
        </w:tabs>
        <w:spacing w:after="0" w:line="240" w:lineRule="auto"/>
        <w:rPr>
          <w:rFonts w:cs="Times New Roman"/>
          <w:szCs w:val="24"/>
        </w:rPr>
      </w:pPr>
      <w:r w:rsidRPr="00B81AEF">
        <w:rPr>
          <w:rFonts w:cs="Times New Roman"/>
          <w:szCs w:val="24"/>
        </w:rPr>
        <w:tab/>
      </w:r>
      <w:r w:rsidRPr="00B81AEF" w:rsidR="00480BA8">
        <w:rPr>
          <w:rFonts w:cs="Times New Roman"/>
          <w:szCs w:val="24"/>
        </w:rPr>
        <w:t>Bryce A. McKenney</w:t>
      </w:r>
    </w:p>
    <w:p w:rsidR="00600A2D" w:rsidRPr="00B81AEF" w:rsidP="00600A2D">
      <w:pPr>
        <w:tabs>
          <w:tab w:val="left" w:pos="4320"/>
        </w:tabs>
        <w:spacing w:after="0" w:line="240" w:lineRule="auto"/>
        <w:rPr>
          <w:rFonts w:cs="Times New Roman"/>
          <w:szCs w:val="24"/>
        </w:rPr>
      </w:pPr>
      <w:r w:rsidRPr="00B81AEF">
        <w:rPr>
          <w:rFonts w:cs="Times New Roman"/>
          <w:szCs w:val="24"/>
        </w:rPr>
        <w:tab/>
      </w:r>
      <w:r w:rsidRPr="00B81AEF" w:rsidR="00480BA8">
        <w:rPr>
          <w:rFonts w:cs="Times New Roman"/>
          <w:szCs w:val="24"/>
        </w:rPr>
        <w:t>Assistant Consumers’ Counsel</w:t>
      </w:r>
    </w:p>
    <w:p w:rsidR="00600A2D" w:rsidRPr="00B81AEF" w:rsidP="00600A2D">
      <w:pPr>
        <w:tabs>
          <w:tab w:val="left" w:pos="4320"/>
        </w:tabs>
        <w:spacing w:after="0" w:line="240" w:lineRule="auto"/>
        <w:rPr>
          <w:rFonts w:cs="Times New Roman"/>
          <w:b/>
          <w:szCs w:val="24"/>
          <w:u w:val="single"/>
        </w:rPr>
      </w:pPr>
      <w:r w:rsidRPr="00B81AEF">
        <w:rPr>
          <w:rFonts w:cs="Times New Roman"/>
          <w:szCs w:val="24"/>
        </w:rPr>
        <w:tab/>
      </w:r>
    </w:p>
    <w:p w:rsidR="00600A2D" w:rsidRPr="00B81AEF" w:rsidP="00600A2D">
      <w:pPr>
        <w:pStyle w:val="CommentText"/>
        <w:jc w:val="center"/>
        <w:rPr>
          <w:b/>
          <w:u w:val="single"/>
        </w:rPr>
      </w:pPr>
    </w:p>
    <w:p w:rsidR="00D76EE6" w:rsidP="00D76EE6">
      <w:pPr>
        <w:pStyle w:val="CommentText"/>
        <w:jc w:val="center"/>
        <w:rPr>
          <w:b/>
          <w:u w:val="single"/>
        </w:rPr>
      </w:pPr>
      <w:r w:rsidRPr="00573CB1">
        <w:rPr>
          <w:b/>
          <w:u w:val="single"/>
        </w:rPr>
        <w:t>SERVICE LIST</w:t>
      </w:r>
    </w:p>
    <w:p w:rsidR="00D76EE6" w:rsidRPr="00573CB1" w:rsidP="00D76EE6">
      <w:pPr>
        <w:pStyle w:val="CommentText"/>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7"/>
        <w:gridCol w:w="437"/>
        <w:gridCol w:w="3896"/>
      </w:tblGrid>
      <w:tr w:rsidTr="00600A2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13" w:type="dxa"/>
            <w:tcBorders>
              <w:top w:val="nil"/>
              <w:left w:val="nil"/>
              <w:bottom w:val="nil"/>
              <w:right w:val="nil"/>
            </w:tcBorders>
            <w:shd w:val="clear" w:color="auto" w:fill="auto"/>
          </w:tcPr>
          <w:p w:rsidR="00D76EE6" w:rsidRPr="001D18D3" w:rsidP="00D76EE6">
            <w:pPr>
              <w:pStyle w:val="CommentText"/>
            </w:pPr>
            <w:r w:rsidRPr="001D18D3">
              <w:t>Robert.eubanks@ohioattorneygeneral.gov</w:t>
            </w:r>
          </w:p>
          <w:p w:rsidR="00D76EE6" w:rsidRPr="001D18D3" w:rsidP="00D76EE6">
            <w:pPr>
              <w:pStyle w:val="CommentText"/>
              <w:rPr>
                <w:b/>
              </w:rPr>
            </w:pPr>
            <w:r w:rsidRPr="001D18D3">
              <w:t>Jodi.bair@ohioattorneygeneral.gov</w:t>
            </w:r>
          </w:p>
          <w:p w:rsidR="00D76EE6" w:rsidRPr="001D18D3" w:rsidP="00D76EE6">
            <w:pPr>
              <w:autoSpaceDE w:val="0"/>
              <w:autoSpaceDN w:val="0"/>
              <w:adjustRightInd w:val="0"/>
              <w:spacing w:after="0" w:line="240" w:lineRule="auto"/>
              <w:rPr>
                <w:szCs w:val="24"/>
              </w:rPr>
            </w:pPr>
            <w:r w:rsidRPr="001D18D3">
              <w:rPr>
                <w:szCs w:val="24"/>
              </w:rPr>
              <w:t>bojko@carpenterlipps.com</w:t>
            </w:r>
          </w:p>
          <w:p w:rsidR="00D76EE6" w:rsidRPr="001D18D3" w:rsidP="00D76EE6">
            <w:pPr>
              <w:pStyle w:val="CommentText"/>
            </w:pPr>
            <w:r w:rsidRPr="001D18D3">
              <w:t>dressel@carpenterlipps.com</w:t>
            </w:r>
          </w:p>
          <w:p w:rsidR="00D76EE6" w:rsidRPr="001D18D3" w:rsidP="00D76EE6">
            <w:pPr>
              <w:pStyle w:val="CommentText"/>
            </w:pPr>
            <w:r w:rsidRPr="001D18D3">
              <w:t>paul@carpenterlipps.com</w:t>
            </w:r>
          </w:p>
          <w:p w:rsidR="00D76EE6" w:rsidRPr="001D18D3" w:rsidP="00600A2D">
            <w:pPr>
              <w:pStyle w:val="CommentText"/>
              <w:rPr>
                <w:b/>
              </w:rPr>
            </w:pPr>
          </w:p>
          <w:p w:rsidR="00D76EE6" w:rsidRPr="001D18D3" w:rsidP="00600A2D">
            <w:pPr>
              <w:pStyle w:val="CommentText"/>
              <w:rPr>
                <w:b/>
              </w:rPr>
            </w:pPr>
          </w:p>
          <w:p w:rsidR="00D76EE6" w:rsidRPr="001D18D3" w:rsidP="00600A2D">
            <w:pPr>
              <w:pStyle w:val="CommentText"/>
            </w:pPr>
            <w:r w:rsidRPr="001D18D3">
              <w:t>Attorney Examiners:</w:t>
            </w:r>
          </w:p>
          <w:p w:rsidR="00D76EE6" w:rsidRPr="001D18D3" w:rsidP="00600A2D">
            <w:pPr>
              <w:pStyle w:val="CommentText"/>
            </w:pPr>
            <w:r w:rsidRPr="001D18D3">
              <w:t>Patricia.schabo@puc.state.oh.us</w:t>
            </w:r>
          </w:p>
          <w:p w:rsidR="00D76EE6" w:rsidRPr="001D18D3" w:rsidP="00600A2D">
            <w:pPr>
              <w:pStyle w:val="CommentText"/>
              <w:rPr>
                <w:b/>
              </w:rPr>
            </w:pPr>
            <w:r w:rsidRPr="001D18D3">
              <w:t>Greta.see@puc.state.oh.us</w:t>
            </w:r>
          </w:p>
          <w:p w:rsidR="00D76EE6" w:rsidRPr="001D18D3" w:rsidP="00600A2D">
            <w:pPr>
              <w:pStyle w:val="CommentText"/>
              <w:rPr>
                <w:b/>
              </w:rPr>
            </w:pPr>
          </w:p>
        </w:tc>
        <w:tc>
          <w:tcPr>
            <w:tcW w:w="475" w:type="dxa"/>
            <w:tcBorders>
              <w:top w:val="nil"/>
              <w:left w:val="nil"/>
              <w:bottom w:val="nil"/>
              <w:right w:val="nil"/>
            </w:tcBorders>
            <w:shd w:val="clear" w:color="auto" w:fill="auto"/>
          </w:tcPr>
          <w:p w:rsidR="00D76EE6" w:rsidRPr="001D18D3" w:rsidP="00600A2D">
            <w:pPr>
              <w:pStyle w:val="CommentText"/>
              <w:rPr>
                <w:b/>
              </w:rPr>
            </w:pPr>
          </w:p>
        </w:tc>
        <w:tc>
          <w:tcPr>
            <w:tcW w:w="4068" w:type="dxa"/>
            <w:tcBorders>
              <w:top w:val="nil"/>
              <w:left w:val="nil"/>
              <w:bottom w:val="nil"/>
              <w:right w:val="nil"/>
            </w:tcBorders>
            <w:shd w:val="clear" w:color="auto" w:fill="auto"/>
          </w:tcPr>
          <w:p w:rsidR="00D76EE6" w:rsidRPr="001D18D3" w:rsidP="00600A2D">
            <w:pPr>
              <w:pStyle w:val="CommentText"/>
            </w:pPr>
            <w:r w:rsidRPr="001D18D3">
              <w:t>sseiple@nisource.com</w:t>
            </w:r>
          </w:p>
          <w:p w:rsidR="00D76EE6" w:rsidRPr="001D18D3" w:rsidP="00600A2D">
            <w:pPr>
              <w:pStyle w:val="CommentText"/>
            </w:pPr>
            <w:r w:rsidRPr="001D18D3">
              <w:t>josephclark@nisource.com</w:t>
            </w:r>
          </w:p>
          <w:p w:rsidR="00D76EE6" w:rsidRPr="001D18D3" w:rsidP="00600A2D">
            <w:pPr>
              <w:pStyle w:val="CommentText"/>
            </w:pPr>
            <w:r w:rsidRPr="001D18D3">
              <w:t>egallon@porterwright.com</w:t>
            </w:r>
          </w:p>
          <w:p w:rsidR="00D76EE6" w:rsidRPr="001D18D3" w:rsidP="00600A2D">
            <w:pPr>
              <w:pStyle w:val="CommentText"/>
            </w:pPr>
            <w:r w:rsidRPr="001D18D3">
              <w:t>mstemm@porterwright.com</w:t>
            </w:r>
          </w:p>
          <w:p w:rsidR="00D76EE6" w:rsidRPr="001D18D3" w:rsidP="00600A2D">
            <w:pPr>
              <w:pStyle w:val="CommentText"/>
            </w:pPr>
            <w:r w:rsidRPr="001D18D3">
              <w:t>etaylor@porterwright.com</w:t>
            </w:r>
          </w:p>
          <w:p w:rsidR="00D76EE6" w:rsidRPr="001D18D3" w:rsidP="00600A2D">
            <w:pPr>
              <w:pStyle w:val="CommentText"/>
            </w:pPr>
            <w:r w:rsidRPr="001D18D3">
              <w:t>fdarr@mwncmh.com</w:t>
            </w:r>
          </w:p>
          <w:p w:rsidR="00D76EE6" w:rsidRPr="001D18D3" w:rsidP="00600A2D">
            <w:pPr>
              <w:pStyle w:val="CommentText"/>
            </w:pPr>
            <w:r w:rsidRPr="001D18D3">
              <w:t>mpritchard@mwncmh.com</w:t>
            </w:r>
          </w:p>
          <w:p w:rsidR="00D76EE6" w:rsidRPr="001D18D3" w:rsidP="00600A2D">
            <w:pPr>
              <w:pStyle w:val="CommentText"/>
              <w:rPr>
                <w:b/>
              </w:rPr>
            </w:pPr>
          </w:p>
        </w:tc>
      </w:tr>
    </w:tbl>
    <w:p w:rsidR="00600A2D" w:rsidRPr="00B81AEF" w:rsidP="00600A2D">
      <w:pPr>
        <w:pStyle w:val="CommentText"/>
        <w:jc w:val="center"/>
        <w:rPr>
          <w:b/>
          <w:u w:val="single"/>
        </w:rPr>
      </w:pPr>
    </w:p>
    <w:sectPr w:rsidSect="00600A2D">
      <w:footerReference w:type="default" r:id="rId8"/>
      <w:pgSz w:w="12240" w:h="15840"/>
      <w:pgMar w:top="13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39382432"/>
      <w:docPartObj>
        <w:docPartGallery w:val="Page Numbers (Bottom of Page)"/>
        <w:docPartUnique/>
      </w:docPartObj>
    </w:sdtPr>
    <w:sdtEndPr>
      <w:rPr>
        <w:noProof/>
      </w:rPr>
    </w:sdtEndPr>
    <w:sdtContent>
      <w:p w:rsidR="00600A2D">
        <w:pPr>
          <w:pStyle w:val="Footer"/>
          <w:jc w:val="center"/>
        </w:pPr>
      </w:p>
    </w:sdtContent>
  </w:sdt>
  <w:p w:rsidR="00600A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6996900"/>
      <w:docPartObj>
        <w:docPartGallery w:val="Page Numbers (Bottom of Page)"/>
        <w:docPartUnique/>
      </w:docPartObj>
    </w:sdtPr>
    <w:sdtEndPr>
      <w:rPr>
        <w:noProof/>
      </w:rPr>
    </w:sdtEndPr>
    <w:sdtContent>
      <w:p w:rsidR="00600A2D">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600A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17309619"/>
      <w:docPartObj>
        <w:docPartGallery w:val="Page Numbers (Bottom of Page)"/>
        <w:docPartUnique/>
      </w:docPartObj>
    </w:sdtPr>
    <w:sdtEndPr>
      <w:rPr>
        <w:noProof/>
      </w:rPr>
    </w:sdtEndPr>
    <w:sdtContent>
      <w:p w:rsidR="00600A2D">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0A2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7953" w:rsidP="00600A2D">
      <w:pPr>
        <w:spacing w:after="0" w:line="240" w:lineRule="auto"/>
      </w:pPr>
      <w:r>
        <w:separator/>
      </w:r>
    </w:p>
  </w:footnote>
  <w:footnote w:type="continuationSeparator" w:id="1">
    <w:p w:rsidR="00F07953" w:rsidP="00600A2D">
      <w:pPr>
        <w:spacing w:after="0" w:line="240" w:lineRule="auto"/>
      </w:pPr>
      <w:r>
        <w:continuationSeparator/>
      </w:r>
    </w:p>
  </w:footnote>
  <w:footnote w:id="2">
    <w:p w:rsidR="00600A2D" w:rsidRPr="00872816" w:rsidP="00872816">
      <w:pPr>
        <w:pStyle w:val="FootnoteText"/>
        <w:spacing w:after="120"/>
        <w:rPr>
          <w:rFonts w:ascii="Times New Roman" w:hAnsi="Times New Roman" w:cs="Times New Roman"/>
        </w:rPr>
      </w:pPr>
      <w:r w:rsidRPr="00872816">
        <w:rPr>
          <w:rStyle w:val="FootnoteReference"/>
          <w:rFonts w:ascii="Times New Roman" w:hAnsi="Times New Roman" w:cs="Times New Roman"/>
        </w:rPr>
        <w:footnoteRef/>
      </w:r>
      <w:r w:rsidRPr="00872816">
        <w:rPr>
          <w:rFonts w:ascii="Times New Roman" w:hAnsi="Times New Roman" w:cs="Times New Roman"/>
        </w:rPr>
        <w:t xml:space="preserve"> Staff Report at 7</w:t>
      </w:r>
    </w:p>
  </w:footnote>
  <w:footnote w:id="3">
    <w:p w:rsidR="00600A2D" w:rsidRPr="00872816" w:rsidP="00872816">
      <w:pPr>
        <w:pStyle w:val="FootnoteText"/>
        <w:spacing w:after="120"/>
        <w:rPr>
          <w:rFonts w:ascii="Times New Roman" w:hAnsi="Times New Roman" w:cs="Times New Roman"/>
        </w:rPr>
      </w:pPr>
      <w:r w:rsidRPr="00872816">
        <w:rPr>
          <w:rStyle w:val="FootnoteReference"/>
          <w:rFonts w:ascii="Times New Roman" w:hAnsi="Times New Roman" w:cs="Times New Roman"/>
        </w:rPr>
        <w:footnoteRef/>
      </w:r>
      <w:r w:rsidRPr="00872816">
        <w:rPr>
          <w:rFonts w:ascii="Times New Roman" w:hAnsi="Times New Roman" w:cs="Times New Roman"/>
        </w:rPr>
        <w:t xml:space="preserve"> Audit Report at 23</w:t>
      </w:r>
    </w:p>
  </w:footnote>
  <w:footnote w:id="4">
    <w:p w:rsidR="00600A2D" w:rsidRPr="00872816" w:rsidP="00872816">
      <w:pPr>
        <w:pStyle w:val="FootnoteText"/>
        <w:spacing w:after="120"/>
        <w:rPr>
          <w:rFonts w:ascii="Times New Roman" w:hAnsi="Times New Roman" w:cs="Times New Roman"/>
        </w:rPr>
      </w:pPr>
      <w:r w:rsidRPr="00872816">
        <w:rPr>
          <w:rStyle w:val="FootnoteReference"/>
          <w:rFonts w:ascii="Times New Roman" w:hAnsi="Times New Roman" w:cs="Times New Roman"/>
        </w:rPr>
        <w:footnoteRef/>
      </w:r>
      <w:r w:rsidRPr="00872816">
        <w:rPr>
          <w:rFonts w:ascii="Times New Roman" w:hAnsi="Times New Roman" w:cs="Times New Roman"/>
        </w:rPr>
        <w:t xml:space="preserve"> Audit Report at 39-40</w:t>
      </w:r>
    </w:p>
  </w:footnote>
  <w:footnote w:id="5">
    <w:p w:rsidR="00600A2D" w:rsidRPr="00872816" w:rsidP="00872816">
      <w:pPr>
        <w:pStyle w:val="FootnoteText"/>
        <w:spacing w:after="120"/>
        <w:rPr>
          <w:rFonts w:ascii="Times New Roman" w:hAnsi="Times New Roman" w:cs="Times New Roman"/>
        </w:rPr>
      </w:pPr>
      <w:r w:rsidRPr="00872816">
        <w:rPr>
          <w:rStyle w:val="FootnoteReference"/>
          <w:rFonts w:ascii="Times New Roman" w:hAnsi="Times New Roman" w:cs="Times New Roman"/>
        </w:rPr>
        <w:footnoteRef/>
      </w:r>
      <w:r w:rsidRPr="00872816">
        <w:rPr>
          <w:rFonts w:ascii="Times New Roman" w:hAnsi="Times New Roman" w:cs="Times New Roman"/>
        </w:rPr>
        <w:t xml:space="preserve"> Audit Report at 29</w:t>
      </w:r>
    </w:p>
  </w:footnote>
  <w:footnote w:id="6">
    <w:p w:rsidR="00600A2D" w:rsidRPr="00872816" w:rsidP="00872816">
      <w:pPr>
        <w:pStyle w:val="FootnoteText"/>
        <w:spacing w:after="120"/>
        <w:rPr>
          <w:rFonts w:ascii="Times New Roman" w:hAnsi="Times New Roman" w:cs="Times New Roman"/>
        </w:rPr>
      </w:pPr>
      <w:r w:rsidRPr="00872816">
        <w:rPr>
          <w:rStyle w:val="FootnoteReference"/>
          <w:rFonts w:ascii="Times New Roman" w:hAnsi="Times New Roman" w:cs="Times New Roman"/>
        </w:rPr>
        <w:footnoteRef/>
      </w:r>
      <w:r w:rsidRPr="00872816">
        <w:rPr>
          <w:rFonts w:ascii="Times New Roman" w:hAnsi="Times New Roman" w:cs="Times New Roman"/>
        </w:rPr>
        <w:t xml:space="preserve"> Audit Report at 32</w:t>
      </w:r>
    </w:p>
  </w:footnote>
  <w:footnote w:id="7">
    <w:p w:rsidR="00600A2D" w:rsidRPr="00872816" w:rsidP="00872816">
      <w:pPr>
        <w:pStyle w:val="FootnoteText"/>
        <w:spacing w:after="120"/>
        <w:rPr>
          <w:rFonts w:ascii="Times New Roman" w:hAnsi="Times New Roman" w:cs="Times New Roman"/>
        </w:rPr>
      </w:pPr>
      <w:r w:rsidRPr="00872816">
        <w:rPr>
          <w:rStyle w:val="FootnoteReference"/>
          <w:rFonts w:ascii="Times New Roman" w:hAnsi="Times New Roman" w:cs="Times New Roman"/>
        </w:rPr>
        <w:footnoteRef/>
      </w:r>
      <w:r w:rsidRPr="00872816">
        <w:rPr>
          <w:rFonts w:ascii="Times New Roman" w:hAnsi="Times New Roman" w:cs="Times New Roman"/>
        </w:rPr>
        <w:t xml:space="preserve"> Id.</w:t>
      </w:r>
    </w:p>
  </w:footnote>
  <w:footnote w:id="8">
    <w:p w:rsidR="00600A2D" w:rsidRPr="00872816" w:rsidP="00872816">
      <w:pPr>
        <w:pStyle w:val="FootnoteText"/>
        <w:spacing w:after="120"/>
        <w:rPr>
          <w:rFonts w:ascii="Times New Roman" w:hAnsi="Times New Roman" w:cs="Times New Roman"/>
        </w:rPr>
      </w:pPr>
      <w:r w:rsidRPr="00872816">
        <w:rPr>
          <w:rStyle w:val="FootnoteReference"/>
          <w:rFonts w:ascii="Times New Roman" w:hAnsi="Times New Roman" w:cs="Times New Roman"/>
        </w:rPr>
        <w:footnoteRef/>
      </w:r>
      <w:r w:rsidRPr="00872816">
        <w:rPr>
          <w:rFonts w:ascii="Times New Roman" w:hAnsi="Times New Roman" w:cs="Times New Roman"/>
        </w:rPr>
        <w:t xml:space="preserve"> Id.</w:t>
      </w:r>
    </w:p>
  </w:footnote>
  <w:footnote w:id="9">
    <w:p w:rsidR="00600A2D" w:rsidRPr="00872816" w:rsidP="00872816">
      <w:pPr>
        <w:pStyle w:val="FootnoteText"/>
        <w:spacing w:after="120"/>
        <w:rPr>
          <w:rFonts w:ascii="Times New Roman" w:hAnsi="Times New Roman" w:cs="Times New Roman"/>
        </w:rPr>
      </w:pPr>
      <w:r w:rsidRPr="00872816">
        <w:rPr>
          <w:rStyle w:val="FootnoteReference"/>
          <w:rFonts w:ascii="Times New Roman" w:hAnsi="Times New Roman" w:cs="Times New Roman"/>
        </w:rPr>
        <w:footnoteRef/>
      </w:r>
      <w:r w:rsidRPr="00872816">
        <w:rPr>
          <w:rFonts w:ascii="Times New Roman" w:hAnsi="Times New Roman" w:cs="Times New Roman"/>
        </w:rPr>
        <w:t xml:space="preserve"> Id.</w:t>
      </w:r>
    </w:p>
  </w:footnote>
  <w:footnote w:id="10">
    <w:p w:rsidR="00600A2D" w:rsidRPr="00872816" w:rsidP="00872816">
      <w:pPr>
        <w:pStyle w:val="FootnoteText"/>
        <w:spacing w:after="120"/>
        <w:rPr>
          <w:rFonts w:ascii="Times New Roman" w:hAnsi="Times New Roman" w:cs="Times New Roman"/>
        </w:rPr>
      </w:pPr>
      <w:r w:rsidRPr="00872816">
        <w:rPr>
          <w:rStyle w:val="FootnoteReference"/>
          <w:rFonts w:ascii="Times New Roman" w:hAnsi="Times New Roman" w:cs="Times New Roman"/>
        </w:rPr>
        <w:footnoteRef/>
      </w:r>
      <w:r w:rsidRPr="00872816">
        <w:rPr>
          <w:rFonts w:ascii="Times New Roman" w:hAnsi="Times New Roman" w:cs="Times New Roman"/>
        </w:rPr>
        <w:t xml:space="preserve"> Audit Report at 33.</w:t>
      </w:r>
    </w:p>
  </w:footnote>
  <w:footnote w:id="11">
    <w:p w:rsidR="00600A2D" w:rsidRPr="00872816" w:rsidP="00872816">
      <w:pPr>
        <w:pStyle w:val="FootnoteText"/>
        <w:spacing w:after="120"/>
        <w:rPr>
          <w:rFonts w:ascii="Times New Roman" w:hAnsi="Times New Roman" w:cs="Times New Roman"/>
        </w:rPr>
      </w:pPr>
      <w:r w:rsidRPr="00872816">
        <w:rPr>
          <w:rStyle w:val="FootnoteReference"/>
          <w:rFonts w:ascii="Times New Roman" w:hAnsi="Times New Roman" w:cs="Times New Roman"/>
        </w:rPr>
        <w:footnoteRef/>
      </w:r>
      <w:r w:rsidRPr="00872816">
        <w:rPr>
          <w:rFonts w:ascii="Times New Roman" w:hAnsi="Times New Roman" w:cs="Times New Roman"/>
        </w:rPr>
        <w:t xml:space="preserve"> Audit Report at 39</w:t>
      </w:r>
    </w:p>
  </w:footnote>
  <w:footnote w:id="12">
    <w:p w:rsidR="00600A2D" w:rsidRPr="00872816" w:rsidP="00872816">
      <w:pPr>
        <w:pStyle w:val="FootnoteText"/>
        <w:spacing w:after="120"/>
        <w:rPr>
          <w:rFonts w:ascii="Times New Roman" w:hAnsi="Times New Roman" w:cs="Times New Roman"/>
        </w:rPr>
      </w:pPr>
      <w:r w:rsidRPr="00872816">
        <w:rPr>
          <w:rStyle w:val="FootnoteReference"/>
          <w:rFonts w:ascii="Times New Roman" w:hAnsi="Times New Roman" w:cs="Times New Roman"/>
        </w:rPr>
        <w:footnoteRef/>
      </w:r>
      <w:r w:rsidRPr="00872816">
        <w:rPr>
          <w:rFonts w:ascii="Times New Roman" w:hAnsi="Times New Roman" w:cs="Times New Roman"/>
        </w:rPr>
        <w:t xml:space="preserve"> Id.</w:t>
      </w:r>
    </w:p>
  </w:footnote>
  <w:footnote w:id="13">
    <w:p w:rsidR="00600A2D" w:rsidRPr="00872816" w:rsidP="00872816">
      <w:pPr>
        <w:pStyle w:val="FootnoteText"/>
        <w:spacing w:after="120"/>
        <w:rPr>
          <w:rFonts w:ascii="Times New Roman" w:hAnsi="Times New Roman" w:cs="Times New Roman"/>
        </w:rPr>
      </w:pPr>
      <w:r w:rsidRPr="00872816">
        <w:rPr>
          <w:rStyle w:val="FootnoteReference"/>
          <w:rFonts w:ascii="Times New Roman" w:hAnsi="Times New Roman" w:cs="Times New Roman"/>
        </w:rPr>
        <w:footnoteRef/>
      </w:r>
      <w:r w:rsidRPr="00872816">
        <w:rPr>
          <w:rFonts w:ascii="Times New Roman" w:hAnsi="Times New Roman" w:cs="Times New Roman"/>
        </w:rPr>
        <w:t xml:space="preserve"> Audit Report at 39-42</w:t>
      </w:r>
    </w:p>
  </w:footnote>
  <w:footnote w:id="14">
    <w:p w:rsidR="00600A2D" w:rsidRPr="00872816" w:rsidP="00872816">
      <w:pPr>
        <w:pStyle w:val="FootnoteText"/>
        <w:spacing w:after="120"/>
        <w:rPr>
          <w:rFonts w:ascii="Times New Roman" w:hAnsi="Times New Roman" w:cs="Times New Roman"/>
        </w:rPr>
      </w:pPr>
      <w:r w:rsidRPr="00872816">
        <w:rPr>
          <w:rStyle w:val="FootnoteReference"/>
          <w:rFonts w:ascii="Times New Roman" w:hAnsi="Times New Roman" w:cs="Times New Roman"/>
        </w:rPr>
        <w:footnoteRef/>
      </w:r>
      <w:r w:rsidRPr="00872816">
        <w:rPr>
          <w:rFonts w:ascii="Times New Roman" w:hAnsi="Times New Roman" w:cs="Times New Roman"/>
        </w:rPr>
        <w:t xml:space="preserve"> Audit Report at 40-41 </w:t>
      </w:r>
    </w:p>
  </w:footnote>
  <w:footnote w:id="15">
    <w:p w:rsidR="00600A2D" w:rsidRPr="00872816" w:rsidP="00872816">
      <w:pPr>
        <w:pStyle w:val="FootnoteText"/>
        <w:spacing w:after="120"/>
        <w:rPr>
          <w:rFonts w:ascii="Times New Roman" w:hAnsi="Times New Roman" w:cs="Times New Roman"/>
          <w:sz w:val="22"/>
          <w:szCs w:val="24"/>
        </w:rPr>
      </w:pPr>
      <w:r w:rsidRPr="00872816">
        <w:rPr>
          <w:rStyle w:val="FootnoteReference"/>
          <w:rFonts w:ascii="Times New Roman" w:hAnsi="Times New Roman" w:cs="Times New Roman"/>
        </w:rPr>
        <w:footnoteRef/>
      </w:r>
      <w:r w:rsidRPr="00872816">
        <w:rPr>
          <w:rFonts w:ascii="Times New Roman" w:hAnsi="Times New Roman" w:cs="Times New Roman"/>
        </w:rPr>
        <w:t xml:space="preserve"> </w:t>
      </w:r>
      <w:r w:rsidRPr="00872816">
        <w:rPr>
          <w:rFonts w:ascii="Times New Roman" w:hAnsi="Times New Roman" w:cs="Times New Roman"/>
          <w:i/>
        </w:rPr>
        <w:t>In re Columbia Gas of Ohio, Inc. for Approval to Implement a Capital Expenditure Program</w:t>
      </w:r>
      <w:r w:rsidRPr="00872816">
        <w:rPr>
          <w:rFonts w:ascii="Times New Roman" w:hAnsi="Times New Roman" w:cs="Times New Roman"/>
        </w:rPr>
        <w:t>, Case No. 12-3221-GA-UNC, et al., Finding and Order (Oct. 9, 2013) at 5.</w:t>
      </w:r>
    </w:p>
  </w:footnote>
  <w:footnote w:id="16">
    <w:p w:rsidR="00600A2D" w:rsidRPr="00872816" w:rsidP="00872816">
      <w:pPr>
        <w:pStyle w:val="FootnoteText"/>
        <w:spacing w:after="120"/>
        <w:rPr>
          <w:rFonts w:ascii="Times New Roman" w:hAnsi="Times New Roman" w:cs="Times New Roman"/>
        </w:rPr>
      </w:pPr>
      <w:r w:rsidRPr="00872816">
        <w:rPr>
          <w:rStyle w:val="FootnoteReference"/>
          <w:rFonts w:ascii="Times New Roman" w:hAnsi="Times New Roman" w:cs="Times New Roman"/>
        </w:rPr>
        <w:footnoteRef/>
      </w:r>
      <w:r w:rsidRPr="00872816">
        <w:rPr>
          <w:rFonts w:ascii="Times New Roman" w:hAnsi="Times New Roman" w:cs="Times New Roman"/>
        </w:rPr>
        <w:t xml:space="preserve"> Staff Report at 7</w:t>
      </w:r>
      <w:r>
        <w:rPr>
          <w:rFonts w:ascii="Times New Roman" w:hAnsi="Times New Roman" w:cs="Times New Roman"/>
        </w:rPr>
        <w:t>.</w:t>
      </w:r>
    </w:p>
  </w:footnote>
  <w:footnote w:id="17">
    <w:p w:rsidR="00600A2D" w:rsidRPr="00872816" w:rsidP="00872816">
      <w:pPr>
        <w:pStyle w:val="FootnoteText"/>
        <w:spacing w:after="120"/>
        <w:rPr>
          <w:rFonts w:ascii="Times New Roman" w:hAnsi="Times New Roman" w:cs="Times New Roman"/>
        </w:rPr>
      </w:pPr>
      <w:r w:rsidRPr="00872816">
        <w:rPr>
          <w:rStyle w:val="FootnoteReference"/>
          <w:rFonts w:ascii="Times New Roman" w:hAnsi="Times New Roman" w:cs="Times New Roman"/>
        </w:rPr>
        <w:footnoteRef/>
      </w:r>
      <w:r w:rsidRPr="00872816">
        <w:rPr>
          <w:rFonts w:ascii="Times New Roman" w:hAnsi="Times New Roman" w:cs="Times New Roman"/>
        </w:rPr>
        <w:t xml:space="preserve"> Audit Report at 35</w:t>
      </w:r>
      <w:r>
        <w:rPr>
          <w:rFonts w:ascii="Times New Roman" w:hAnsi="Times New Roman" w:cs="Times New Roman"/>
        </w:rPr>
        <w:t>.</w:t>
      </w:r>
    </w:p>
  </w:footnote>
  <w:footnote w:id="18">
    <w:p w:rsidR="00600A2D" w:rsidRPr="00872816" w:rsidP="00872816">
      <w:pPr>
        <w:pStyle w:val="FootnoteText"/>
        <w:spacing w:after="120"/>
        <w:rPr>
          <w:rFonts w:ascii="Times New Roman" w:hAnsi="Times New Roman" w:cs="Times New Roman"/>
        </w:rPr>
      </w:pPr>
      <w:r w:rsidRPr="00872816">
        <w:rPr>
          <w:rStyle w:val="FootnoteReference"/>
          <w:rFonts w:ascii="Times New Roman" w:hAnsi="Times New Roman" w:cs="Times New Roman"/>
        </w:rPr>
        <w:footnoteRef/>
      </w:r>
      <w:r w:rsidRPr="00872816">
        <w:rPr>
          <w:rFonts w:ascii="Times New Roman" w:hAnsi="Times New Roman" w:cs="Times New Roman"/>
        </w:rPr>
        <w:t xml:space="preserve"> Id.</w:t>
      </w:r>
    </w:p>
  </w:footnote>
  <w:footnote w:id="19">
    <w:p w:rsidR="00600A2D" w:rsidRPr="00872816" w:rsidP="00872816">
      <w:pPr>
        <w:pStyle w:val="FootnoteText"/>
        <w:spacing w:after="120"/>
        <w:rPr>
          <w:rFonts w:ascii="Times New Roman" w:hAnsi="Times New Roman" w:cs="Times New Roman"/>
        </w:rPr>
      </w:pPr>
      <w:r w:rsidRPr="00872816">
        <w:rPr>
          <w:rStyle w:val="FootnoteReference"/>
          <w:rFonts w:ascii="Times New Roman" w:hAnsi="Times New Roman" w:cs="Times New Roman"/>
        </w:rPr>
        <w:footnoteRef/>
      </w:r>
      <w:r w:rsidRPr="00872816">
        <w:rPr>
          <w:rFonts w:ascii="Times New Roman" w:hAnsi="Times New Roman" w:cs="Times New Roman"/>
        </w:rPr>
        <w:t xml:space="preserve"> Id.</w:t>
      </w:r>
    </w:p>
  </w:footnote>
  <w:footnote w:id="20">
    <w:p w:rsidR="00600A2D" w:rsidRPr="00872816" w:rsidP="00872816">
      <w:pPr>
        <w:pStyle w:val="FootnoteText"/>
        <w:spacing w:after="120"/>
        <w:rPr>
          <w:rFonts w:ascii="Times New Roman" w:hAnsi="Times New Roman" w:cs="Times New Roman"/>
        </w:rPr>
      </w:pPr>
      <w:r w:rsidRPr="00872816">
        <w:rPr>
          <w:rStyle w:val="FootnoteReference"/>
          <w:rFonts w:ascii="Times New Roman" w:hAnsi="Times New Roman" w:cs="Times New Roman"/>
        </w:rPr>
        <w:footnoteRef/>
      </w:r>
      <w:r w:rsidRPr="00872816">
        <w:rPr>
          <w:rFonts w:ascii="Times New Roman" w:hAnsi="Times New Roman" w:cs="Times New Roman"/>
        </w:rPr>
        <w:t xml:space="preserve"> Id.</w:t>
      </w:r>
    </w:p>
  </w:footnote>
  <w:footnote w:id="21">
    <w:p w:rsidR="00600A2D" w:rsidRPr="00872816" w:rsidP="00872816">
      <w:pPr>
        <w:pStyle w:val="FootnoteText"/>
        <w:spacing w:after="120"/>
        <w:rPr>
          <w:rFonts w:ascii="Times New Roman" w:hAnsi="Times New Roman" w:cs="Times New Roman"/>
        </w:rPr>
      </w:pPr>
      <w:r w:rsidRPr="00872816">
        <w:rPr>
          <w:rStyle w:val="FootnoteReference"/>
          <w:rFonts w:ascii="Times New Roman" w:hAnsi="Times New Roman" w:cs="Times New Roman"/>
        </w:rPr>
        <w:footnoteRef/>
      </w:r>
      <w:r w:rsidRPr="00872816">
        <w:rPr>
          <w:rFonts w:ascii="Times New Roman" w:hAnsi="Times New Roman" w:cs="Times New Roman"/>
        </w:rPr>
        <w:t xml:space="preserve"> Audit Report at 35</w:t>
      </w:r>
      <w:r>
        <w:rPr>
          <w:rFonts w:ascii="Times New Roman" w:hAnsi="Times New Roman" w:cs="Times New Roman"/>
        </w:rPr>
        <w:t>.</w:t>
      </w:r>
    </w:p>
  </w:footnote>
  <w:footnote w:id="22">
    <w:p w:rsidR="00600A2D" w:rsidRPr="00872816" w:rsidP="00872816">
      <w:pPr>
        <w:pStyle w:val="FootnoteText"/>
        <w:spacing w:after="120"/>
        <w:rPr>
          <w:rFonts w:ascii="Times New Roman" w:hAnsi="Times New Roman" w:cs="Times New Roman"/>
        </w:rPr>
      </w:pPr>
      <w:r w:rsidRPr="00872816">
        <w:rPr>
          <w:rStyle w:val="FootnoteReference"/>
          <w:rFonts w:ascii="Times New Roman" w:hAnsi="Times New Roman" w:cs="Times New Roman"/>
        </w:rPr>
        <w:footnoteRef/>
      </w:r>
      <w:r w:rsidRPr="00872816">
        <w:rPr>
          <w:rFonts w:ascii="Times New Roman" w:hAnsi="Times New Roman" w:cs="Times New Roman"/>
        </w:rPr>
        <w:t xml:space="preserve"> Id</w:t>
      </w:r>
      <w:r>
        <w:rPr>
          <w:rFonts w:ascii="Times New Roman" w:hAnsi="Times New Roman" w:cs="Times New Roman"/>
        </w:rPr>
        <w:t>.</w:t>
      </w:r>
    </w:p>
  </w:footnote>
  <w:footnote w:id="23">
    <w:p w:rsidR="00600A2D" w:rsidRPr="00872816" w:rsidP="00872816">
      <w:pPr>
        <w:pStyle w:val="FootnoteText"/>
        <w:spacing w:after="120"/>
        <w:rPr>
          <w:rFonts w:ascii="Times New Roman" w:hAnsi="Times New Roman" w:cs="Times New Roman"/>
        </w:rPr>
      </w:pPr>
      <w:r w:rsidRPr="00872816">
        <w:rPr>
          <w:rStyle w:val="FootnoteReference"/>
          <w:rFonts w:ascii="Times New Roman" w:hAnsi="Times New Roman" w:cs="Times New Roman"/>
        </w:rPr>
        <w:footnoteRef/>
      </w:r>
      <w:r w:rsidRPr="00872816">
        <w:rPr>
          <w:rFonts w:ascii="Times New Roman" w:hAnsi="Times New Roman" w:cs="Times New Roman"/>
        </w:rPr>
        <w:t xml:space="preserve"> Audit Report at 69</w:t>
      </w:r>
      <w:r>
        <w:rPr>
          <w:rFonts w:ascii="Times New Roman" w:hAnsi="Times New Roman" w:cs="Times New Roman"/>
        </w:rPr>
        <w:t>.</w:t>
      </w:r>
    </w:p>
  </w:footnote>
  <w:footnote w:id="24">
    <w:p w:rsidR="00600A2D" w:rsidRPr="00872816" w:rsidP="00872816">
      <w:pPr>
        <w:pStyle w:val="FootnoteText"/>
        <w:spacing w:after="120"/>
        <w:rPr>
          <w:rFonts w:ascii="Times New Roman" w:hAnsi="Times New Roman" w:cs="Times New Roman"/>
        </w:rPr>
      </w:pPr>
      <w:r w:rsidRPr="00872816">
        <w:rPr>
          <w:rStyle w:val="FootnoteReference"/>
          <w:rFonts w:ascii="Times New Roman" w:hAnsi="Times New Roman" w:cs="Times New Roman"/>
        </w:rPr>
        <w:footnoteRef/>
      </w:r>
      <w:r w:rsidRPr="00872816">
        <w:rPr>
          <w:rFonts w:ascii="Times New Roman" w:hAnsi="Times New Roman" w:cs="Times New Roman"/>
        </w:rPr>
        <w:t xml:space="preserve"> Id.</w:t>
      </w:r>
    </w:p>
  </w:footnote>
  <w:footnote w:id="25">
    <w:p w:rsidR="00600A2D" w:rsidRPr="00872816" w:rsidP="00872816">
      <w:pPr>
        <w:pStyle w:val="FootnoteText"/>
        <w:spacing w:after="120"/>
        <w:rPr>
          <w:rFonts w:ascii="Times New Roman" w:hAnsi="Times New Roman" w:cs="Times New Roman"/>
        </w:rPr>
      </w:pPr>
      <w:r w:rsidRPr="00872816">
        <w:rPr>
          <w:rStyle w:val="FootnoteReference"/>
          <w:rFonts w:ascii="Times New Roman" w:hAnsi="Times New Roman" w:cs="Times New Roman"/>
        </w:rPr>
        <w:footnoteRef/>
      </w:r>
      <w:r w:rsidRPr="00872816">
        <w:rPr>
          <w:rFonts w:ascii="Times New Roman" w:hAnsi="Times New Roman" w:cs="Times New Roman"/>
        </w:rPr>
        <w:t xml:space="preserve"> Audit Report at 54</w:t>
      </w:r>
      <w:r>
        <w:rPr>
          <w:rFonts w:ascii="Times New Roman" w:hAnsi="Times New Roman" w:cs="Times New Roman"/>
        </w:rPr>
        <w:t>.</w:t>
      </w:r>
    </w:p>
  </w:footnote>
  <w:footnote w:id="26">
    <w:p w:rsidR="00600A2D" w:rsidRPr="00872816" w:rsidP="00872816">
      <w:pPr>
        <w:pStyle w:val="FootnoteText"/>
        <w:spacing w:after="120"/>
        <w:rPr>
          <w:rFonts w:ascii="Times New Roman" w:hAnsi="Times New Roman" w:cs="Times New Roman"/>
        </w:rPr>
      </w:pPr>
      <w:r w:rsidRPr="00872816">
        <w:rPr>
          <w:rStyle w:val="FootnoteReference"/>
          <w:rFonts w:ascii="Times New Roman" w:hAnsi="Times New Roman" w:cs="Times New Roman"/>
        </w:rPr>
        <w:footnoteRef/>
      </w:r>
      <w:r w:rsidRPr="00872816">
        <w:rPr>
          <w:rFonts w:ascii="Times New Roman" w:hAnsi="Times New Roman" w:cs="Times New Roman"/>
        </w:rPr>
        <w:t xml:space="preserve"> Id.</w:t>
      </w:r>
    </w:p>
  </w:footnote>
  <w:footnote w:id="27">
    <w:p w:rsidR="00600A2D" w:rsidRPr="00872816" w:rsidP="00872816">
      <w:pPr>
        <w:pStyle w:val="FootnoteText"/>
        <w:spacing w:after="120"/>
        <w:rPr>
          <w:rFonts w:ascii="Times New Roman" w:hAnsi="Times New Roman" w:cs="Times New Roman"/>
        </w:rPr>
      </w:pPr>
      <w:r w:rsidRPr="00872816">
        <w:rPr>
          <w:rStyle w:val="FootnoteReference"/>
          <w:rFonts w:ascii="Times New Roman" w:hAnsi="Times New Roman" w:cs="Times New Roman"/>
        </w:rPr>
        <w:footnoteRef/>
      </w:r>
      <w:r w:rsidRPr="00872816">
        <w:rPr>
          <w:rFonts w:ascii="Times New Roman" w:hAnsi="Times New Roman" w:cs="Times New Roman"/>
        </w:rPr>
        <w:t xml:space="preserve"> Audit Report at 36.</w:t>
      </w:r>
    </w:p>
  </w:footnote>
  <w:footnote w:id="28">
    <w:p w:rsidR="00600A2D" w:rsidRPr="00872816" w:rsidP="00872816">
      <w:pPr>
        <w:pStyle w:val="FootnoteText"/>
        <w:spacing w:after="120"/>
        <w:rPr>
          <w:rFonts w:ascii="Times New Roman" w:hAnsi="Times New Roman" w:cs="Times New Roman"/>
        </w:rPr>
      </w:pPr>
      <w:r w:rsidRPr="00872816">
        <w:rPr>
          <w:rStyle w:val="FootnoteReference"/>
          <w:rFonts w:ascii="Times New Roman" w:hAnsi="Times New Roman" w:cs="Times New Roman"/>
        </w:rPr>
        <w:footnoteRef/>
      </w:r>
      <w:r w:rsidRPr="00872816">
        <w:rPr>
          <w:rFonts w:ascii="Times New Roman" w:hAnsi="Times New Roman" w:cs="Times New Roman"/>
        </w:rPr>
        <w:t xml:space="preserve"> Id.</w:t>
      </w:r>
    </w:p>
  </w:footnote>
  <w:footnote w:id="29">
    <w:p w:rsidR="00600A2D" w:rsidRPr="00872816" w:rsidP="00872816">
      <w:pPr>
        <w:pStyle w:val="FootnoteText"/>
        <w:spacing w:after="120"/>
        <w:rPr>
          <w:rFonts w:ascii="Times New Roman" w:hAnsi="Times New Roman" w:cs="Times New Roman"/>
        </w:rPr>
      </w:pPr>
      <w:r w:rsidRPr="00872816">
        <w:rPr>
          <w:rStyle w:val="FootnoteReference"/>
          <w:rFonts w:ascii="Times New Roman" w:hAnsi="Times New Roman" w:cs="Times New Roman"/>
        </w:rPr>
        <w:footnoteRef/>
      </w:r>
      <w:r w:rsidRPr="00872816">
        <w:rPr>
          <w:rFonts w:ascii="Times New Roman" w:hAnsi="Times New Roman" w:cs="Times New Roman"/>
        </w:rPr>
        <w:t xml:space="preserve"> 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2"/>
    <w:multiLevelType w:val="singleLevel"/>
    <w:tmpl w:val="CB38AA2A"/>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844277DC"/>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693C805A"/>
    <w:lvl w:ilvl="0">
      <w:start w:val="1"/>
      <w:numFmt w:val="bullet"/>
      <w:lvlText w:val=""/>
      <w:lvlJc w:val="left"/>
      <w:pPr>
        <w:tabs>
          <w:tab w:val="num" w:pos="360"/>
        </w:tabs>
        <w:ind w:left="360" w:hanging="360"/>
      </w:pPr>
      <w:rPr>
        <w:rFonts w:ascii="Symbol" w:hAnsi="Symbol" w:hint="default"/>
      </w:rPr>
    </w:lvl>
  </w:abstractNum>
  <w:abstractNum w:abstractNumId="3">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4">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423078B"/>
    <w:multiLevelType w:val="hybridMultilevel"/>
    <w:tmpl w:val="FE1640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47848A7"/>
    <w:multiLevelType w:val="hybridMultilevel"/>
    <w:tmpl w:val="E28A5D2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9">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4EDE51AB"/>
    <w:multiLevelType w:val="hybridMultilevel"/>
    <w:tmpl w:val="782A43F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75021736"/>
    <w:multiLevelType w:val="hybridMultilevel"/>
    <w:tmpl w:val="E8CA4AE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5"/>
  </w:num>
  <w:num w:numId="5">
    <w:abstractNumId w:val="8"/>
  </w:num>
  <w:num w:numId="6">
    <w:abstractNumId w:val="11"/>
  </w:num>
  <w:num w:numId="7">
    <w:abstractNumId w:val="6"/>
  </w:num>
  <w:num w:numId="8">
    <w:abstractNumId w:val="7"/>
  </w:num>
  <w:num w:numId="9">
    <w:abstractNumId w:val="12"/>
  </w:num>
  <w:num w:numId="10">
    <w:abstractNumId w:val="10"/>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displayBackgroundShap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090"/>
    <w:rPr>
      <w:rFonts w:ascii="Times New Roman" w:hAnsi="Times New Roman"/>
      <w:sz w:val="24"/>
    </w:rPr>
  </w:style>
  <w:style w:type="paragraph" w:styleId="Heading1">
    <w:name w:val="heading 1"/>
    <w:basedOn w:val="Normal"/>
    <w:next w:val="Normal"/>
    <w:link w:val="Heading1Char"/>
    <w:autoRedefine/>
    <w:uiPriority w:val="9"/>
    <w:qFormat/>
    <w:rsid w:val="009D391C"/>
    <w:pPr>
      <w:keepNext/>
      <w:keepLines/>
      <w:spacing w:after="240" w:line="240" w:lineRule="auto"/>
      <w:ind w:left="720" w:hanging="720"/>
      <w:outlineLvl w:val="0"/>
    </w:pPr>
    <w:rPr>
      <w:rFonts w:eastAsia="Times New Roman" w:cs="Times New Roman"/>
      <w:b/>
      <w:bCs/>
      <w:caps/>
      <w:szCs w:val="24"/>
    </w:rPr>
  </w:style>
  <w:style w:type="paragraph" w:styleId="Heading2">
    <w:name w:val="heading 2"/>
    <w:basedOn w:val="Normal"/>
    <w:next w:val="Normal"/>
    <w:link w:val="Heading2Char"/>
    <w:autoRedefine/>
    <w:uiPriority w:val="9"/>
    <w:unhideWhenUsed/>
    <w:qFormat/>
    <w:rsid w:val="009D391C"/>
    <w:pPr>
      <w:spacing w:after="240" w:line="240" w:lineRule="auto"/>
      <w:outlineLvl w:val="1"/>
    </w:pPr>
    <w:rPr>
      <w:rFonts w:eastAsia="Times New Roman" w:cs="Times New Roman"/>
      <w:szCs w:val="24"/>
    </w:rPr>
  </w:style>
  <w:style w:type="paragraph" w:styleId="Heading3">
    <w:name w:val="heading 3"/>
    <w:basedOn w:val="Normal"/>
    <w:next w:val="Normal"/>
    <w:link w:val="Heading3Char"/>
    <w:autoRedefine/>
    <w:uiPriority w:val="9"/>
    <w:unhideWhenUsed/>
    <w:qFormat/>
    <w:rsid w:val="00E57090"/>
    <w:pPr>
      <w:keepNext/>
      <w:tabs>
        <w:tab w:val="left" w:pos="720"/>
        <w:tab w:val="left" w:pos="1440"/>
      </w:tabs>
      <w:spacing w:after="240" w:line="240" w:lineRule="auto"/>
      <w:ind w:left="1440" w:hanging="720"/>
      <w:outlineLvl w:val="2"/>
    </w:pPr>
    <w:rPr>
      <w:rFonts w:ascii="Times New Roman Bold" w:hAnsi="Times New Roman Bold" w:eastAsiaTheme="majorEastAsia" w:cstheme="majorBidi"/>
      <w:b/>
      <w:bCs/>
      <w:szCs w:val="20"/>
    </w:rPr>
  </w:style>
  <w:style w:type="paragraph" w:styleId="Heading4">
    <w:name w:val="heading 4"/>
    <w:basedOn w:val="Normal"/>
    <w:next w:val="Normal"/>
    <w:link w:val="Heading4Char"/>
    <w:uiPriority w:val="9"/>
    <w:unhideWhenUsed/>
    <w:qFormat/>
    <w:rsid w:val="00C73E5B"/>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D446C5"/>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7090"/>
    <w:rPr>
      <w:rFonts w:ascii="Times New Roman Bold" w:hAnsi="Times New Roman Bold" w:eastAsiaTheme="majorEastAsia" w:cstheme="majorBidi"/>
      <w:b/>
      <w:bCs/>
      <w:sz w:val="24"/>
      <w:szCs w:val="20"/>
    </w:rPr>
  </w:style>
  <w:style w:type="character" w:styleId="Hyperlink">
    <w:name w:val="Hyperlink"/>
    <w:basedOn w:val="DefaultParagraphFont"/>
    <w:uiPriority w:val="99"/>
    <w:unhideWhenUsed/>
    <w:rsid w:val="006F040C"/>
    <w:rPr>
      <w:color w:val="0000FF"/>
      <w:u w:val="single"/>
    </w:rPr>
  </w:style>
  <w:style w:type="paragraph" w:styleId="HTMLPreformatted">
    <w:name w:val="HTML Preformatted"/>
    <w:basedOn w:val="Normal"/>
    <w:link w:val="HTMLPreformattedChar"/>
    <w:unhideWhenUsed/>
    <w:rsid w:val="006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F040C"/>
    <w:rPr>
      <w:rFonts w:ascii="Courier New" w:eastAsia="Courier New" w:hAnsi="Courier New" w:cs="Courier New"/>
      <w:sz w:val="20"/>
      <w:szCs w:val="20"/>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rsid w:val="00076C62"/>
    <w:pPr>
      <w:spacing w:after="0" w:line="240" w:lineRule="auto"/>
    </w:pPr>
    <w:rPr>
      <w:rFonts w:asciiTheme="minorHAnsi" w:hAnsiTheme="minorHAnsi"/>
      <w:sz w:val="20"/>
      <w:szCs w:val="20"/>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uiPriority w:val="99"/>
    <w:rsid w:val="00076C62"/>
    <w:rPr>
      <w:sz w:val="20"/>
      <w:szCs w:val="20"/>
    </w:rPr>
  </w:style>
  <w:style w:type="character" w:styleId="FootnoteReference">
    <w:name w:val="footnote reference"/>
    <w:aliases w:val="(NECG) Footnote Reference,Appel note de bas de p,Style 12,Style 124,Style 13,Style 3,fr,o"/>
    <w:basedOn w:val="DefaultParagraphFont"/>
    <w:uiPriority w:val="99"/>
    <w:unhideWhenUsed/>
    <w:rsid w:val="00076C62"/>
    <w:rPr>
      <w:vertAlign w:val="superscript"/>
    </w:rPr>
  </w:style>
  <w:style w:type="paragraph" w:styleId="ListParagraph">
    <w:name w:val="List Paragraph"/>
    <w:basedOn w:val="Normal"/>
    <w:uiPriority w:val="34"/>
    <w:qFormat/>
    <w:rsid w:val="00076C62"/>
    <w:pPr>
      <w:ind w:left="720"/>
      <w:contextualSpacing/>
    </w:pPr>
    <w:rPr>
      <w:rFonts w:asciiTheme="minorHAnsi" w:hAnsiTheme="minorHAnsi"/>
      <w:sz w:val="22"/>
    </w:rPr>
  </w:style>
  <w:style w:type="table" w:styleId="TableGrid">
    <w:name w:val="Table Grid"/>
    <w:basedOn w:val="TableNormal"/>
    <w:uiPriority w:val="59"/>
    <w:rsid w:val="00076C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62"/>
    <w:rPr>
      <w:rFonts w:ascii="Times New Roman" w:hAnsi="Times New Roman"/>
      <w:sz w:val="24"/>
    </w:rPr>
  </w:style>
  <w:style w:type="character" w:customStyle="1" w:styleId="Heading1Char">
    <w:name w:val="Heading 1 Char"/>
    <w:basedOn w:val="DefaultParagraphFont"/>
    <w:link w:val="Heading1"/>
    <w:uiPriority w:val="9"/>
    <w:rsid w:val="009D391C"/>
    <w:rPr>
      <w:rFonts w:ascii="Times New Roman" w:eastAsia="Times New Roman" w:hAnsi="Times New Roman" w:cs="Times New Roman"/>
      <w:b/>
      <w:bCs/>
      <w:caps/>
      <w:sz w:val="24"/>
      <w:szCs w:val="24"/>
    </w:rPr>
  </w:style>
  <w:style w:type="character" w:customStyle="1" w:styleId="Heading2Char">
    <w:name w:val="Heading 2 Char"/>
    <w:basedOn w:val="DefaultParagraphFont"/>
    <w:link w:val="Heading2"/>
    <w:uiPriority w:val="9"/>
    <w:rsid w:val="009D391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D4"/>
    <w:rPr>
      <w:rFonts w:ascii="Times New Roman" w:hAnsi="Times New Roman"/>
      <w:sz w:val="24"/>
    </w:rPr>
  </w:style>
  <w:style w:type="paragraph" w:styleId="CommentText">
    <w:name w:val="annotation text"/>
    <w:basedOn w:val="Normal"/>
    <w:link w:val="CommentTextChar"/>
    <w:rsid w:val="00C75249"/>
    <w:pPr>
      <w:spacing w:after="0" w:line="240" w:lineRule="auto"/>
    </w:pPr>
    <w:rPr>
      <w:rFonts w:eastAsia="Times New Roman" w:cs="Times New Roman"/>
      <w:szCs w:val="24"/>
    </w:rPr>
  </w:style>
  <w:style w:type="character" w:customStyle="1" w:styleId="CommentTextChar">
    <w:name w:val="Comment Text Char"/>
    <w:basedOn w:val="DefaultParagraphFont"/>
    <w:link w:val="CommentText"/>
    <w:rsid w:val="00C75249"/>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1B706D"/>
    <w:pPr>
      <w:tabs>
        <w:tab w:val="left" w:pos="720"/>
        <w:tab w:val="decimal" w:leader="dot" w:pos="8640"/>
      </w:tabs>
      <w:spacing w:after="240" w:line="240" w:lineRule="auto"/>
      <w:ind w:left="720" w:hanging="720"/>
      <w:outlineLvl w:val="0"/>
    </w:pPr>
  </w:style>
  <w:style w:type="paragraph" w:styleId="TOC2">
    <w:name w:val="toc 2"/>
    <w:basedOn w:val="Normal"/>
    <w:next w:val="Normal"/>
    <w:autoRedefine/>
    <w:uiPriority w:val="39"/>
    <w:unhideWhenUsed/>
    <w:qFormat/>
    <w:rsid w:val="00E57090"/>
    <w:pPr>
      <w:tabs>
        <w:tab w:val="left" w:pos="720"/>
        <w:tab w:val="decimal" w:leader="dot" w:pos="8640"/>
      </w:tabs>
      <w:spacing w:after="240" w:line="240" w:lineRule="auto"/>
      <w:outlineLvl w:val="1"/>
    </w:pPr>
  </w:style>
  <w:style w:type="paragraph" w:styleId="TOC3">
    <w:name w:val="toc 3"/>
    <w:basedOn w:val="Normal"/>
    <w:next w:val="Normal"/>
    <w:autoRedefine/>
    <w:uiPriority w:val="39"/>
    <w:unhideWhenUsed/>
    <w:rsid w:val="00F17368"/>
    <w:pPr>
      <w:tabs>
        <w:tab w:val="decimal" w:leader="dot" w:pos="8640"/>
      </w:tabs>
      <w:spacing w:after="240" w:line="240" w:lineRule="auto"/>
      <w:ind w:left="2160" w:hanging="720"/>
      <w:outlineLvl w:val="2"/>
    </w:pPr>
  </w:style>
  <w:style w:type="paragraph" w:styleId="BalloonText">
    <w:name w:val="Balloon Text"/>
    <w:basedOn w:val="Normal"/>
    <w:link w:val="BalloonTextChar"/>
    <w:uiPriority w:val="99"/>
    <w:semiHidden/>
    <w:unhideWhenUsed/>
    <w:rsid w:val="00E8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7D"/>
    <w:rPr>
      <w:rFonts w:ascii="Tahoma" w:hAnsi="Tahoma" w:cs="Tahoma"/>
      <w:sz w:val="16"/>
      <w:szCs w:val="16"/>
    </w:rPr>
  </w:style>
  <w:style w:type="character" w:customStyle="1" w:styleId="apple-converted-space">
    <w:name w:val="apple-converted-space"/>
    <w:basedOn w:val="DefaultParagraphFont"/>
    <w:rsid w:val="005D179E"/>
  </w:style>
  <w:style w:type="character" w:customStyle="1" w:styleId="ssit">
    <w:name w:val="ss_it"/>
    <w:basedOn w:val="DefaultParagraphFont"/>
    <w:rsid w:val="005D179E"/>
  </w:style>
  <w:style w:type="character" w:styleId="CommentReference">
    <w:name w:val="annotation reference"/>
    <w:basedOn w:val="DefaultParagraphFont"/>
    <w:uiPriority w:val="99"/>
    <w:semiHidden/>
    <w:unhideWhenUsed/>
    <w:rsid w:val="00B82BFE"/>
    <w:rPr>
      <w:sz w:val="16"/>
      <w:szCs w:val="16"/>
    </w:rPr>
  </w:style>
  <w:style w:type="paragraph" w:styleId="CommentSubject">
    <w:name w:val="annotation subject"/>
    <w:basedOn w:val="CommentText"/>
    <w:next w:val="CommentText"/>
    <w:link w:val="CommentSubjectChar"/>
    <w:uiPriority w:val="99"/>
    <w:semiHidden/>
    <w:unhideWhenUsed/>
    <w:rsid w:val="00B82BFE"/>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B82BFE"/>
    <w:rPr>
      <w:rFonts w:ascii="Times New Roman" w:eastAsia="Times New Roman" w:hAnsi="Times New Roman" w:cs="Times New Roman"/>
      <w:b/>
      <w:bCs/>
      <w:sz w:val="20"/>
      <w:szCs w:val="20"/>
    </w:rPr>
  </w:style>
  <w:style w:type="paragraph" w:styleId="Revision">
    <w:name w:val="Revision"/>
    <w:hidden/>
    <w:uiPriority w:val="99"/>
    <w:semiHidden/>
    <w:rsid w:val="00B82BF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C73E5B"/>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D446C5"/>
    <w:rPr>
      <w:rFonts w:ascii="Times New Roman" w:hAnsi="Times New Roman" w:eastAsiaTheme="majorEastAsia" w:cstheme="majorBidi"/>
      <w:sz w:val="24"/>
    </w:rPr>
  </w:style>
  <w:style w:type="paragraph" w:styleId="TOC4">
    <w:name w:val="toc 4"/>
    <w:basedOn w:val="Normal"/>
    <w:next w:val="Normal"/>
    <w:autoRedefine/>
    <w:uiPriority w:val="39"/>
    <w:unhideWhenUsed/>
    <w:rsid w:val="00C73E5B"/>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rsid w:val="00C73E5B"/>
    <w:pPr>
      <w:tabs>
        <w:tab w:val="decimal" w:leader="dot" w:pos="720"/>
        <w:tab w:val="decimal" w:pos="1440"/>
        <w:tab w:val="decimal" w:leader="dot" w:pos="8640"/>
      </w:tabs>
      <w:spacing w:after="240" w:line="240" w:lineRule="auto"/>
      <w:ind w:left="3600" w:hanging="720"/>
    </w:pPr>
  </w:style>
  <w:style w:type="paragraph" w:styleId="BodyText">
    <w:name w:val="Body Text"/>
    <w:basedOn w:val="Normal"/>
    <w:link w:val="BodyTextChar"/>
    <w:rsid w:val="00342E9A"/>
    <w:pPr>
      <w:spacing w:after="120" w:line="240" w:lineRule="auto"/>
    </w:pPr>
    <w:rPr>
      <w:rFonts w:eastAsia="Times New Roman" w:cs="Times New Roman"/>
      <w:sz w:val="20"/>
      <w:szCs w:val="20"/>
    </w:rPr>
  </w:style>
  <w:style w:type="character" w:customStyle="1" w:styleId="BodyTextChar">
    <w:name w:val="Body Text Char"/>
    <w:basedOn w:val="DefaultParagraphFont"/>
    <w:link w:val="BodyText"/>
    <w:rsid w:val="00342E9A"/>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rsid w:val="00447CFD"/>
    <w:rPr>
      <w:color w:val="808080"/>
      <w:shd w:val="clear" w:color="auto" w:fill="E6E6E6"/>
    </w:rPr>
  </w:style>
  <w:style w:type="table" w:customStyle="1" w:styleId="TableGrid1">
    <w:name w:val="Table Grid1"/>
    <w:basedOn w:val="TableNormal"/>
    <w:next w:val="TableGrid"/>
    <w:uiPriority w:val="59"/>
    <w:rsid w:val="0029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&#65279;<?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E6F1B3-B215-4B81-9FAF-0B874215FC28}">
  <we:reference id="wa104380757" version="1.0.0.0" store="en-US" storeType="OMEX"/>
  <we:alternateReferences>
    <we:reference id="wa104380757" version="1.0.0.0" store="WA10438075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17</Pages>
  <Words>3825</Words>
  <Characters>21807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COH CEP Objections w MGMT Edits  (00060753.DOCX;3)</vt:lpstr>
    </vt:vector>
  </TitlesOfParts>
  <Company/>
  <LinksUpToDate>false</LinksUpToDate>
  <CharactersWithSpaces>25581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2018-10-15T21:12:26Z</dcterms:created>
  <dcterms:modified xsi:type="dcterms:W3CDTF">2018-10-15T21:12:26Z</dcterms:modified>
</cp:coreProperties>
</file>