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14C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14CD5" w:rsidRPr="00376A99" w:rsidP="00A4405A">
            <w:pPr>
              <w:autoSpaceDE w:val="0"/>
              <w:autoSpaceDN w:val="0"/>
              <w:adjustRightInd w:val="0"/>
              <w:rPr>
                <w:rStyle w:val="DefaultParagraphFont"/>
                <w:sz w:val="24"/>
                <w:szCs w:val="24"/>
                <w:lang w:val="en-US" w:eastAsia="en-US" w:bidi="ar-SA"/>
              </w:rPr>
            </w:pPr>
            <w:r>
              <w:rPr>
                <w:sz w:val="24"/>
                <w:szCs w:val="24"/>
                <w:lang w:val="en-US" w:eastAsia="en-US" w:bidi="ar-SA"/>
              </w:rPr>
              <w:t xml:space="preserve">In </w:t>
            </w:r>
            <w:r w:rsidR="00EB50EF">
              <w:rPr>
                <w:sz w:val="24"/>
                <w:szCs w:val="24"/>
                <w:lang w:val="en-US" w:eastAsia="en-US" w:bidi="ar-SA"/>
              </w:rPr>
              <w:t>t</w:t>
            </w:r>
            <w:r>
              <w:rPr>
                <w:sz w:val="24"/>
                <w:szCs w:val="24"/>
                <w:lang w:val="en-US" w:eastAsia="en-US" w:bidi="ar-SA"/>
              </w:rPr>
              <w:t xml:space="preserve">he Matter of the </w:t>
            </w:r>
            <w:r w:rsidR="00A4405A">
              <w:rPr>
                <w:sz w:val="24"/>
                <w:szCs w:val="24"/>
                <w:lang w:val="en-US" w:eastAsia="en-US" w:bidi="ar-SA"/>
              </w:rPr>
              <w:t>Application of Ohio Power Company to Update the Energy Efficiency and Peak Demand Reduction Rider</w:t>
            </w:r>
            <w:r w:rsidR="00A7081F">
              <w:rPr>
                <w:sz w:val="24"/>
                <w:szCs w:val="24"/>
                <w:lang w:val="en-US" w:eastAsia="en-US" w:bidi="ar-SA"/>
              </w:rPr>
              <w:t>.</w:t>
            </w:r>
          </w:p>
        </w:tc>
        <w:tc>
          <w:tcPr>
            <w:tcW w:w="36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A4405A" w:rsidRPr="00376A99"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 xml:space="preserve">Case No. </w:t>
            </w:r>
            <w:r w:rsidR="00A4405A">
              <w:rPr>
                <w:rFonts w:ascii="Times New Roman" w:eastAsia="Courier New" w:hAnsi="Times New Roman" w:cs="Courier New"/>
                <w:sz w:val="24"/>
                <w:szCs w:val="24"/>
                <w:lang w:val="en-US" w:eastAsia="en-US" w:bidi="ar-SA"/>
              </w:rPr>
              <w:t>17-1266-EL-RDR</w:t>
            </w:r>
          </w:p>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 xml:space="preserve">REPLY IN SUPPORT OF </w:t>
      </w:r>
      <w:r>
        <w:rPr>
          <w:b/>
          <w:bCs/>
        </w:rPr>
        <w:t>MOTION TO INTERVENE</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A4405A" w:rsidP="00614CD5">
      <w:pPr>
        <w:pStyle w:val="BodyTextIndent3"/>
        <w:widowControl w:val="0"/>
        <w:spacing w:line="480" w:lineRule="auto"/>
        <w:ind w:right="-24"/>
      </w:pPr>
      <w:r>
        <w:t>For the second time in less than two weeks,</w:t>
      </w:r>
      <w:r>
        <w:rPr>
          <w:rStyle w:val="FootnoteReference"/>
        </w:rPr>
        <w:footnoteReference w:id="2"/>
      </w:r>
      <w:r>
        <w:t xml:space="preserve"> Ohio Power Company ("AEP Ohio"</w:t>
      </w:r>
      <w:r w:rsidR="00AF0421">
        <w:t xml:space="preserve"> or </w:t>
      </w:r>
      <w:r w:rsidR="00972A4A">
        <w:t>the "</w:t>
      </w:r>
      <w:r w:rsidR="00AF0421">
        <w:t>Utility</w:t>
      </w:r>
      <w:r w:rsidR="00972A4A">
        <w:t>"</w:t>
      </w:r>
      <w:r>
        <w:t xml:space="preserve">) does not want </w:t>
      </w:r>
      <w:r w:rsidR="006F2057">
        <w:t>residential consumers</w:t>
      </w:r>
      <w:r>
        <w:t xml:space="preserve"> to</w:t>
      </w:r>
      <w:r w:rsidR="00C44E90">
        <w:t xml:space="preserve"> be heard in </w:t>
      </w:r>
      <w:r>
        <w:t>proceedings before the Public Utilities Commission of Ohio ("PUCO").</w:t>
      </w:r>
      <w:r w:rsidR="00C44E90">
        <w:t xml:space="preserve"> </w:t>
      </w:r>
      <w:r w:rsidR="00E044A4">
        <w:t xml:space="preserve">But </w:t>
      </w:r>
      <w:r w:rsidR="006F2057">
        <w:t xml:space="preserve">AEP Ohio's 1.2 million residential consumers </w:t>
      </w:r>
      <w:r w:rsidR="00E044A4">
        <w:t>should be heard.</w:t>
      </w:r>
    </w:p>
    <w:p w:rsidR="009063F5" w:rsidP="00614CD5">
      <w:pPr>
        <w:pStyle w:val="BodyTextIndent3"/>
        <w:widowControl w:val="0"/>
        <w:spacing w:line="480" w:lineRule="auto"/>
        <w:ind w:right="-24"/>
      </w:pPr>
      <w:r>
        <w:t xml:space="preserve">The </w:t>
      </w:r>
      <w:r w:rsidR="00E044A4">
        <w:t>PUCO</w:t>
      </w:r>
      <w:r>
        <w:t xml:space="preserve"> should grant </w:t>
      </w:r>
      <w:r w:rsidR="00E044A4">
        <w:t>OCC's</w:t>
      </w:r>
      <w:r>
        <w:t xml:space="preserve"> motion to intervene</w:t>
      </w:r>
      <w:r>
        <w:rPr>
          <w:rStyle w:val="FootnoteReference"/>
        </w:rPr>
        <w:footnoteReference w:id="3"/>
      </w:r>
      <w:r w:rsidR="006F2057">
        <w:t xml:space="preserve"> on behalf of residential consumers</w:t>
      </w:r>
      <w:r>
        <w:t xml:space="preserve"> because it easily satisfies the requirements of Ohio Revised Code</w:t>
      </w:r>
      <w:r w:rsidR="00E044A4">
        <w:t xml:space="preserve"> ("R.C.")</w:t>
      </w:r>
      <w:r>
        <w:t xml:space="preserve"> 4903.221</w:t>
      </w:r>
      <w:r w:rsidR="00364C0B">
        <w:t xml:space="preserve"> and Ohio Administrative Code</w:t>
      </w:r>
      <w:r w:rsidR="00E044A4">
        <w:t xml:space="preserve"> ("Ohio Adm. Code")</w:t>
      </w:r>
      <w:r w:rsidR="00364C0B">
        <w:t xml:space="preserve"> 4901-1-11</w:t>
      </w:r>
      <w:r w:rsidR="005B68FB">
        <w:t xml:space="preserve"> and is consistent with the Ohio Supreme Court's ruling that intervention should be liberally allowed</w:t>
      </w:r>
      <w:r>
        <w:t>.</w:t>
      </w:r>
      <w:r>
        <w:rPr>
          <w:rStyle w:val="FootnoteReference"/>
        </w:rPr>
        <w:footnoteReference w:id="4"/>
      </w:r>
      <w:r>
        <w:t xml:space="preserve"> </w:t>
      </w:r>
      <w:r w:rsidR="00E044A4">
        <w:t>AEP Ohio's</w:t>
      </w:r>
      <w:r>
        <w:t xml:space="preserve"> arguments to the contrary, set forth in its memorandum contra</w:t>
      </w:r>
      <w:r w:rsidR="00D77D43">
        <w:t>,</w:t>
      </w:r>
      <w:r>
        <w:rPr>
          <w:rStyle w:val="FootnoteReference"/>
        </w:rPr>
        <w:footnoteReference w:id="5"/>
      </w:r>
      <w:r>
        <w:t xml:space="preserve"> are meritless.</w:t>
      </w:r>
    </w:p>
    <w:p w:rsidR="009063F5" w:rsidRPr="003E0A29" w:rsidP="006F2057">
      <w:pPr>
        <w:pStyle w:val="BodyTextIndent3"/>
        <w:keepNext/>
        <w:widowControl w:val="0"/>
        <w:spacing w:line="480" w:lineRule="auto"/>
        <w:ind w:right="-29"/>
        <w:rPr>
          <w:b/>
        </w:rPr>
      </w:pPr>
      <w:r>
        <w:rPr>
          <w:b/>
        </w:rPr>
        <w:t>A.</w:t>
      </w:r>
      <w:r>
        <w:rPr>
          <w:b/>
        </w:rPr>
        <w:tab/>
        <w:t>OCC's Motion to Intervene is timely.</w:t>
      </w:r>
    </w:p>
    <w:p w:rsidR="003E0A29" w:rsidP="00614CD5">
      <w:pPr>
        <w:pStyle w:val="BodyTextIndent3"/>
        <w:widowControl w:val="0"/>
        <w:spacing w:line="480" w:lineRule="auto"/>
        <w:ind w:right="-24"/>
      </w:pPr>
      <w:r>
        <w:t xml:space="preserve">R.C. 4903.221 provides that a person may file a motion to intervene no later than </w:t>
      </w:r>
      <w:r w:rsidR="005B68FB">
        <w:t>(i</w:t>
      </w:r>
      <w:r>
        <w:t>) any deadline that the PUCO sets or</w:t>
      </w:r>
      <w:r w:rsidR="005B68FB">
        <w:t>, if no such deadline is set, (ii</w:t>
      </w:r>
      <w:r>
        <w:t>) five days before the scheduled date of hearing. In this case, the PUCO did not set a deadline for intervention. Nor is there any hearing set. Thus, OCC's Motion to Intervene is timely.</w:t>
      </w:r>
    </w:p>
    <w:p w:rsidR="003E0A29" w:rsidP="00E044A4">
      <w:pPr>
        <w:pStyle w:val="BodyTextIndent3"/>
        <w:widowControl w:val="0"/>
        <w:spacing w:line="480" w:lineRule="auto"/>
        <w:ind w:right="-24"/>
      </w:pPr>
      <w:r>
        <w:t xml:space="preserve">AEP Ohio suggests that OCC's Motion to Intervene is somehow late, complaining that </w:t>
      </w:r>
      <w:r w:rsidR="00E044A4">
        <w:t>OCC is intervening "at this late stage."</w:t>
      </w:r>
      <w:r>
        <w:rPr>
          <w:rStyle w:val="FootnoteReference"/>
        </w:rPr>
        <w:footnoteReference w:id="6"/>
      </w:r>
      <w:r w:rsidR="00E044A4">
        <w:t xml:space="preserve"> This claim </w:t>
      </w:r>
      <w:r w:rsidR="00CC1F1C">
        <w:t>lacks support in law or precedent</w:t>
      </w:r>
      <w:r w:rsidR="00E044A4">
        <w:t>. AEP Ohio filed its application in this case on May 15, 2017, and OCC filed its Motion to Intervene on June 2, 2017. There is no possible way to conclude that OCC's motion was filed at a "late stage" in this case.</w:t>
      </w:r>
      <w:r w:rsidR="006F2057">
        <w:t xml:space="preserve"> </w:t>
      </w:r>
      <w:r w:rsidR="00CC1F1C">
        <w:t>OCC</w:t>
      </w:r>
      <w:r w:rsidR="00972A4A">
        <w:t>'</w:t>
      </w:r>
      <w:r w:rsidR="00CC1F1C">
        <w:t xml:space="preserve">s </w:t>
      </w:r>
      <w:r w:rsidR="00972A4A">
        <w:t>m</w:t>
      </w:r>
      <w:r w:rsidR="00CC1F1C">
        <w:t>otion should be granted.</w:t>
      </w:r>
    </w:p>
    <w:p w:rsidR="003E0A29" w:rsidRPr="003C3D56" w:rsidP="008C0228">
      <w:pPr>
        <w:pStyle w:val="BodyTextIndent3"/>
        <w:widowControl w:val="0"/>
        <w:spacing w:after="240" w:line="240" w:lineRule="auto"/>
        <w:ind w:left="1440" w:right="720" w:hanging="720"/>
        <w:rPr>
          <w:b/>
        </w:rPr>
      </w:pPr>
      <w:r>
        <w:rPr>
          <w:b/>
        </w:rPr>
        <w:t>B.</w:t>
      </w:r>
      <w:r>
        <w:rPr>
          <w:b/>
        </w:rPr>
        <w:tab/>
      </w:r>
      <w:r w:rsidR="003C3D56">
        <w:rPr>
          <w:b/>
        </w:rPr>
        <w:t xml:space="preserve">Residential consumers will pay millions of dollars to AEP </w:t>
      </w:r>
      <w:r w:rsidR="00C6562D">
        <w:rPr>
          <w:b/>
        </w:rPr>
        <w:t xml:space="preserve">Ohio </w:t>
      </w:r>
      <w:r w:rsidR="000D13EC">
        <w:rPr>
          <w:b/>
        </w:rPr>
        <w:t>for energy efficiency programs</w:t>
      </w:r>
      <w:r w:rsidR="000A3582">
        <w:rPr>
          <w:b/>
        </w:rPr>
        <w:t>; they have a real and substantial interest in this proceeding and will be adversely affected by it.</w:t>
      </w:r>
    </w:p>
    <w:p w:rsidR="00E044A4" w:rsidP="00614CD5">
      <w:pPr>
        <w:pStyle w:val="BodyTextIndent3"/>
        <w:widowControl w:val="0"/>
        <w:spacing w:line="480" w:lineRule="auto"/>
        <w:ind w:right="-24"/>
      </w:pPr>
      <w:r>
        <w:t xml:space="preserve">AEP Ohio contends that </w:t>
      </w:r>
      <w:r>
        <w:t>Ohio's residential consumers will not be adversely affected by this proceeding</w:t>
      </w:r>
      <w:r w:rsidR="000A3582">
        <w:t xml:space="preserve"> and have no real or substantial interest in it</w:t>
      </w:r>
      <w:r>
        <w:t>.</w:t>
      </w:r>
      <w:r>
        <w:rPr>
          <w:rStyle w:val="FootnoteReference"/>
        </w:rPr>
        <w:footnoteReference w:id="7"/>
      </w:r>
      <w:r>
        <w:t xml:space="preserve"> AEP Ohio is wrong.</w:t>
      </w:r>
    </w:p>
    <w:p w:rsidR="0035353F" w:rsidP="00614CD5">
      <w:pPr>
        <w:pStyle w:val="BodyTextIndent3"/>
        <w:widowControl w:val="0"/>
        <w:spacing w:line="480" w:lineRule="auto"/>
        <w:ind w:right="-24"/>
      </w:pPr>
      <w:r>
        <w:t xml:space="preserve">Residential consumers may be adversely affected </w:t>
      </w:r>
      <w:r w:rsidR="000A3582">
        <w:t>and have a real and substantial interest in this proceeding</w:t>
      </w:r>
      <w:r w:rsidR="006C3B9B">
        <w:t xml:space="preserve">. </w:t>
      </w:r>
      <w:r w:rsidR="00F54D14">
        <w:t>A</w:t>
      </w:r>
      <w:r w:rsidR="005976E5">
        <w:t>mong other things,</w:t>
      </w:r>
      <w:r>
        <w:t xml:space="preserve"> </w:t>
      </w:r>
      <w:r w:rsidR="00F54D14">
        <w:t xml:space="preserve">residential consumers </w:t>
      </w:r>
      <w:r w:rsidR="006F2057">
        <w:t>(i) </w:t>
      </w:r>
      <w:r>
        <w:t xml:space="preserve">pay tens of millions of dollars to AEP Ohio each year for its energy efficiency programs </w:t>
      </w:r>
      <w:r w:rsidR="00F54D14">
        <w:t xml:space="preserve">through </w:t>
      </w:r>
      <w:r>
        <w:t>the rider in question</w:t>
      </w:r>
      <w:r w:rsidR="00CC1F1C">
        <w:t xml:space="preserve"> in this proceeding</w:t>
      </w:r>
      <w:r w:rsidR="006F2057">
        <w:t>, (ii) </w:t>
      </w:r>
      <w:r>
        <w:t>pay millions of dollars each year to AEP Ohio in "shared savings," which are</w:t>
      </w:r>
      <w:r w:rsidR="005976E5">
        <w:t xml:space="preserve"> pure profits for the utility,</w:t>
      </w:r>
      <w:r w:rsidR="006F2057">
        <w:t xml:space="preserve"> and (iii) </w:t>
      </w:r>
      <w:r w:rsidR="005976E5">
        <w:t xml:space="preserve">pay </w:t>
      </w:r>
      <w:r w:rsidR="00F54D14">
        <w:t xml:space="preserve">a rate through </w:t>
      </w:r>
      <w:r w:rsidR="005976E5">
        <w:t xml:space="preserve">AEP </w:t>
      </w:r>
    </w:p>
    <w:p w:rsidR="0035353F">
      <w:r>
        <w:br w:type="page"/>
      </w:r>
    </w:p>
    <w:p w:rsidR="00E044A4" w:rsidP="0035353F">
      <w:pPr>
        <w:pStyle w:val="BodyTextIndent3"/>
        <w:widowControl w:val="0"/>
        <w:spacing w:line="480" w:lineRule="auto"/>
        <w:ind w:right="-24" w:firstLine="0"/>
      </w:pPr>
      <w:r>
        <w:t xml:space="preserve">Ohio's energy efficiency and peak demand reduction </w:t>
      </w:r>
      <w:r w:rsidR="006C3B9B">
        <w:t>("EE/PDR"</w:t>
      </w:r>
      <w:r w:rsidR="00BF699B">
        <w:t xml:space="preserve">) </w:t>
      </w:r>
      <w:r>
        <w:t xml:space="preserve">cost recovery rider </w:t>
      </w:r>
      <w:r w:rsidR="00F54D14">
        <w:t xml:space="preserve">that </w:t>
      </w:r>
      <w:r>
        <w:t>AEP Ohio</w:t>
      </w:r>
      <w:r w:rsidR="00CC1F1C">
        <w:t xml:space="preserve"> seeks authorization to increase </w:t>
      </w:r>
      <w:r>
        <w:t>in this case.</w:t>
      </w:r>
      <w:r>
        <w:rPr>
          <w:rStyle w:val="FootnoteReference"/>
        </w:rPr>
        <w:footnoteReference w:id="8"/>
      </w:r>
    </w:p>
    <w:p w:rsidR="00C6562D" w:rsidP="00614CD5">
      <w:pPr>
        <w:pStyle w:val="BodyTextIndent3"/>
        <w:widowControl w:val="0"/>
        <w:spacing w:line="480" w:lineRule="auto"/>
        <w:ind w:right="-24"/>
      </w:pPr>
      <w:r>
        <w:t>OCC has demonstrated that residential consumers may be advers</w:t>
      </w:r>
      <w:r w:rsidR="005976E5">
        <w:t>ely affected by this proceeding</w:t>
      </w:r>
      <w:r w:rsidR="000A3582">
        <w:t>. OCC has demonstrated that residential consumers have a real and substantial interest in this proceeding. T</w:t>
      </w:r>
      <w:r w:rsidR="005976E5">
        <w:t xml:space="preserve">he PUCO should grant </w:t>
      </w:r>
      <w:r w:rsidR="006F2057">
        <w:t>OCC'</w:t>
      </w:r>
      <w:r w:rsidR="00F54D14">
        <w:t xml:space="preserve">s </w:t>
      </w:r>
      <w:r w:rsidR="005976E5">
        <w:t>Motion to Intervene.</w:t>
      </w:r>
    </w:p>
    <w:p w:rsidR="003142E5" w:rsidRPr="003142E5" w:rsidP="00A7081F">
      <w:pPr>
        <w:pStyle w:val="BodyTextIndent3"/>
        <w:widowControl w:val="0"/>
        <w:spacing w:after="240" w:line="240" w:lineRule="auto"/>
        <w:ind w:left="1440" w:right="720" w:hanging="720"/>
        <w:rPr>
          <w:b/>
        </w:rPr>
      </w:pPr>
      <w:r>
        <w:rPr>
          <w:b/>
        </w:rPr>
        <w:t>C</w:t>
      </w:r>
      <w:r w:rsidR="00F64238">
        <w:rPr>
          <w:b/>
        </w:rPr>
        <w:t>.</w:t>
      </w:r>
      <w:r w:rsidR="00F64238">
        <w:rPr>
          <w:b/>
        </w:rPr>
        <w:tab/>
      </w:r>
      <w:r>
        <w:rPr>
          <w:b/>
        </w:rPr>
        <w:t xml:space="preserve">OCC will advance the legal position that customers should not pay unreasonable or unlawful rates under AEP Ohio's </w:t>
      </w:r>
      <w:r w:rsidR="00832DE4">
        <w:rPr>
          <w:b/>
        </w:rPr>
        <w:t>energy efficiency rider</w:t>
      </w:r>
      <w:r>
        <w:rPr>
          <w:b/>
        </w:rPr>
        <w:t>.</w:t>
      </w:r>
    </w:p>
    <w:p w:rsidR="003142E5" w:rsidP="00614CD5">
      <w:pPr>
        <w:pStyle w:val="BodyTextIndent3"/>
        <w:widowControl w:val="0"/>
        <w:spacing w:line="480" w:lineRule="auto"/>
        <w:ind w:right="-24"/>
      </w:pPr>
      <w:r>
        <w:t>AEP Ohio contends that OCC's legal position "has no apparent relation to the merits of this proceeding."</w:t>
      </w:r>
      <w:r>
        <w:rPr>
          <w:rStyle w:val="FootnoteReference"/>
        </w:rPr>
        <w:footnoteReference w:id="9"/>
      </w:r>
      <w:r>
        <w:t xml:space="preserve"> In support of this </w:t>
      </w:r>
      <w:r w:rsidR="00A8212B">
        <w:t>argument</w:t>
      </w:r>
      <w:r>
        <w:t xml:space="preserve">, AEP Ohio </w:t>
      </w:r>
      <w:r w:rsidR="00832DE4">
        <w:t>states that its standard service offer rates are not at issue here and that the reasonableness and lawfulness of the EE/PDR rider are not at issue</w:t>
      </w:r>
      <w:r>
        <w:t>.</w:t>
      </w:r>
      <w:r>
        <w:rPr>
          <w:rStyle w:val="FootnoteReference"/>
        </w:rPr>
        <w:footnoteReference w:id="10"/>
      </w:r>
      <w:r>
        <w:t xml:space="preserve"> This argument fails.</w:t>
      </w:r>
    </w:p>
    <w:p w:rsidR="003142E5" w:rsidP="00614CD5">
      <w:pPr>
        <w:pStyle w:val="BodyTextIndent3"/>
        <w:widowControl w:val="0"/>
        <w:spacing w:line="480" w:lineRule="auto"/>
        <w:ind w:right="-24"/>
      </w:pPr>
      <w:r>
        <w:t xml:space="preserve">AEP Ohio's reference to its standard service offer rate is confusing. OCC never mentions the standard service offer in its motion to intervene, and OCC obviously does not intend to challenge AEP Ohio's standard service offer in this energy efficiency rider case. Likewise, </w:t>
      </w:r>
      <w:r>
        <w:t xml:space="preserve">OCC is not seeking to challenge the existence of the </w:t>
      </w:r>
      <w:r>
        <w:t>EE/PDR rider</w:t>
      </w:r>
      <w:r>
        <w:t xml:space="preserve">. Instead, as </w:t>
      </w:r>
      <w:r w:rsidR="00A8212B">
        <w:t>described</w:t>
      </w:r>
      <w:r>
        <w:t xml:space="preserve"> in its Motion to Intervene, OCC is seeking to intervene to ensure that the </w:t>
      </w:r>
      <w:r>
        <w:rPr>
          <w:u w:val="single"/>
        </w:rPr>
        <w:t>rate</w:t>
      </w:r>
      <w:r>
        <w:t xml:space="preserve"> that residential customers pay through the </w:t>
      </w:r>
      <w:r>
        <w:t>EE/PDR rider</w:t>
      </w:r>
      <w:r>
        <w:t xml:space="preserve"> is lawful and reasonable.</w:t>
      </w:r>
      <w:r>
        <w:rPr>
          <w:rStyle w:val="FootnoteReference"/>
        </w:rPr>
        <w:footnoteReference w:id="11"/>
      </w:r>
      <w:r w:rsidR="009A7838">
        <w:t xml:space="preserve"> Thus, consistent with R.C. 4903.221(B)(2), OCC's potential legal positions in this case support its intervention.</w:t>
      </w:r>
      <w:r w:rsidR="00AF0421">
        <w:t xml:space="preserve"> Therefore, OCC</w:t>
      </w:r>
      <w:r w:rsidR="00972A4A">
        <w:t>'</w:t>
      </w:r>
      <w:r w:rsidR="006C3B9B">
        <w:t>s m</w:t>
      </w:r>
      <w:r w:rsidR="00AF0421">
        <w:t>otion should be granted.</w:t>
      </w:r>
    </w:p>
    <w:p w:rsidR="0035353F">
      <w:pPr>
        <w:rPr>
          <w:b/>
        </w:rPr>
      </w:pPr>
      <w:r>
        <w:rPr>
          <w:b/>
        </w:rPr>
        <w:br w:type="page"/>
      </w:r>
    </w:p>
    <w:p w:rsidR="009A7838" w:rsidRPr="009A7838" w:rsidP="006F2057">
      <w:pPr>
        <w:pStyle w:val="BodyTextIndent3"/>
        <w:keepNext/>
        <w:widowControl w:val="0"/>
        <w:spacing w:after="240" w:line="240" w:lineRule="auto"/>
        <w:ind w:left="1440" w:right="720" w:hanging="720"/>
        <w:rPr>
          <w:b/>
        </w:rPr>
      </w:pPr>
      <w:r>
        <w:rPr>
          <w:b/>
        </w:rPr>
        <w:t>D</w:t>
      </w:r>
      <w:r>
        <w:rPr>
          <w:b/>
        </w:rPr>
        <w:t>.</w:t>
      </w:r>
      <w:r>
        <w:rPr>
          <w:b/>
        </w:rPr>
        <w:tab/>
        <w:t>OCC's intervention will not unduly prolong and delay this proceeding.</w:t>
      </w:r>
    </w:p>
    <w:p w:rsidR="003142E5" w:rsidP="00614CD5">
      <w:pPr>
        <w:pStyle w:val="BodyTextIndent3"/>
        <w:widowControl w:val="0"/>
        <w:spacing w:line="480" w:lineRule="auto"/>
        <w:ind w:right="-24"/>
      </w:pPr>
      <w:r>
        <w:t xml:space="preserve">AEP Ohio argues that OCC's intervention will unduly prolong and delay this proceeding in </w:t>
      </w:r>
      <w:r w:rsidR="00832DE4">
        <w:t>three</w:t>
      </w:r>
      <w:r>
        <w:t xml:space="preserve"> ways. First, AEP Ohio argues that the proceeding would be delayed because </w:t>
      </w:r>
      <w:r w:rsidR="00C95B49">
        <w:t>AEP Ohio</w:t>
      </w:r>
      <w:r>
        <w:t xml:space="preserve"> </w:t>
      </w:r>
      <w:r w:rsidR="00C95B49">
        <w:t>might</w:t>
      </w:r>
      <w:r>
        <w:t xml:space="preserve"> be required to respond to discovery.</w:t>
      </w:r>
      <w:r>
        <w:rPr>
          <w:rStyle w:val="FootnoteReference"/>
        </w:rPr>
        <w:footnoteReference w:id="12"/>
      </w:r>
      <w:r>
        <w:t xml:space="preserve"> But the mere taking of discovery </w:t>
      </w:r>
      <w:r w:rsidR="00AB520C">
        <w:t xml:space="preserve">does not </w:t>
      </w:r>
      <w:r>
        <w:t>constitute undue delay. Indeed, parties and intervenors have a statutory right to take discovery.</w:t>
      </w:r>
      <w:r>
        <w:rPr>
          <w:rStyle w:val="FootnoteReference"/>
        </w:rPr>
        <w:footnoteReference w:id="13"/>
      </w:r>
      <w:r>
        <w:t xml:space="preserve"> AEP Ohio cites no authority for its view that the ability to take discovery constitutes undue delay warranting denial of intervention.</w:t>
      </w:r>
      <w:r w:rsidR="005B68FB">
        <w:t xml:space="preserve"> If the ability to take discovery constituted undue delay, then, by extension, no party would ever be permitted to intervene in any case before the PUCO.</w:t>
      </w:r>
    </w:p>
    <w:p w:rsidR="009A7838" w:rsidP="00614CD5">
      <w:pPr>
        <w:pStyle w:val="BodyTextIndent3"/>
        <w:widowControl w:val="0"/>
        <w:spacing w:line="480" w:lineRule="auto"/>
        <w:ind w:right="-24"/>
      </w:pPr>
      <w:r>
        <w:t>Second, AEP Ohio claims that OCC's intervention may require AEP Ohio to "</w:t>
      </w:r>
      <w:r w:rsidR="00832DE4">
        <w:t>address repetitive legal and</w:t>
      </w:r>
      <w:r>
        <w:t xml:space="preserve"> factual issues."</w:t>
      </w:r>
      <w:r>
        <w:rPr>
          <w:rStyle w:val="FootnoteReference"/>
        </w:rPr>
        <w:footnoteReference w:id="14"/>
      </w:r>
      <w:r>
        <w:t xml:space="preserve"> This claim is baseless. OCC has a right to raise legal and factual issues related to AEP Ohio's filings, and there is no evidence that </w:t>
      </w:r>
      <w:r w:rsidR="00C95B49">
        <w:t>such issues will be "</w:t>
      </w:r>
      <w:r w:rsidR="005B68FB">
        <w:t>repetitive</w:t>
      </w:r>
      <w:r w:rsidR="00AB520C">
        <w:t>.</w:t>
      </w:r>
      <w:r w:rsidR="00C95B49">
        <w:t>"</w:t>
      </w:r>
      <w:r w:rsidR="005B68FB">
        <w:t xml:space="preserve"> </w:t>
      </w:r>
    </w:p>
    <w:p w:rsidR="00832DE4" w:rsidP="00614CD5">
      <w:pPr>
        <w:pStyle w:val="BodyTextIndent3"/>
        <w:widowControl w:val="0"/>
        <w:spacing w:line="480" w:lineRule="auto"/>
        <w:ind w:right="-24"/>
      </w:pPr>
      <w:r>
        <w:t xml:space="preserve">Third, AEP Ohio is concerned that OCC's intervention could cause other parties to intervene and participate in this case and could cause other parties to intervene in </w:t>
      </w:r>
      <w:r>
        <w:rPr>
          <w:i/>
        </w:rPr>
        <w:t>other</w:t>
      </w:r>
      <w:r>
        <w:t xml:space="preserve"> cases.</w:t>
      </w:r>
      <w:r>
        <w:rPr>
          <w:rStyle w:val="FootnoteReference"/>
        </w:rPr>
        <w:footnoteReference w:id="15"/>
      </w:r>
      <w:r>
        <w:t xml:space="preserve"> The PUCO should reject th</w:t>
      </w:r>
      <w:r w:rsidR="006D6378">
        <w:t>ese novel theories</w:t>
      </w:r>
      <w:r w:rsidR="00972A4A">
        <w:t>,</w:t>
      </w:r>
      <w:r w:rsidR="00AF0421">
        <w:t xml:space="preserve"> which have no support in law or precedent</w:t>
      </w:r>
      <w:r>
        <w:t xml:space="preserve">. If other parties choose to intervene in AEP Ohio's proceedings, then those motions to intervene will be evaluated </w:t>
      </w:r>
      <w:r w:rsidR="006C3B9B">
        <w:t xml:space="preserve">individually </w:t>
      </w:r>
      <w:r>
        <w:t xml:space="preserve">under the applicable sections of the Ohio Revised Code, Ohio Administrative Code, and binding Supreme Court precedent. There is no basis to conclude that the </w:t>
      </w:r>
      <w:r w:rsidRPr="00D31E3E">
        <w:rPr>
          <w:i/>
        </w:rPr>
        <w:t>possibility</w:t>
      </w:r>
      <w:r>
        <w:t xml:space="preserve"> of other parties intervening somehow means that OCC's intervention will delay this proceeding. And there is certainly no basis to conclude that the PUCO should reject OCC's motion to intervene because it may induce parties to intervene in </w:t>
      </w:r>
      <w:r w:rsidRPr="006F2057">
        <w:rPr>
          <w:i/>
        </w:rPr>
        <w:t>future</w:t>
      </w:r>
      <w:r>
        <w:t xml:space="preserve"> proceedings.</w:t>
      </w:r>
    </w:p>
    <w:p w:rsidR="006C3B9B" w:rsidRPr="00832DE4" w:rsidP="00614CD5">
      <w:pPr>
        <w:pStyle w:val="BodyTextIndent3"/>
        <w:widowControl w:val="0"/>
        <w:spacing w:line="480" w:lineRule="auto"/>
        <w:ind w:right="-24"/>
      </w:pPr>
      <w:r>
        <w:t>The PUCO should reject AEP Ohio's argument that OCC's intervention would unduly prolong and delay this proceeding.</w:t>
      </w:r>
    </w:p>
    <w:p w:rsidR="009A7838" w:rsidRPr="000E3DE0" w:rsidP="0048390D">
      <w:pPr>
        <w:pStyle w:val="BodyTextIndent3"/>
        <w:keepNext/>
        <w:widowControl w:val="0"/>
        <w:spacing w:after="240" w:line="240" w:lineRule="auto"/>
        <w:ind w:left="1440" w:right="720" w:hanging="720"/>
        <w:rPr>
          <w:b/>
        </w:rPr>
      </w:pPr>
      <w:r>
        <w:rPr>
          <w:b/>
        </w:rPr>
        <w:t>E</w:t>
      </w:r>
      <w:r w:rsidR="000E3DE0">
        <w:rPr>
          <w:b/>
        </w:rPr>
        <w:t>.</w:t>
      </w:r>
      <w:r w:rsidR="000E3DE0">
        <w:rPr>
          <w:b/>
        </w:rPr>
        <w:tab/>
        <w:t xml:space="preserve">No other party to this proceeding </w:t>
      </w:r>
      <w:r w:rsidR="00BF699B">
        <w:rPr>
          <w:b/>
        </w:rPr>
        <w:t xml:space="preserve">can </w:t>
      </w:r>
      <w:r w:rsidR="000E3DE0">
        <w:rPr>
          <w:b/>
        </w:rPr>
        <w:t>represent the interests of all of AEP Ohio's 1.3 million residential consumers.</w:t>
      </w:r>
    </w:p>
    <w:p w:rsidR="009A7838" w:rsidP="00614CD5">
      <w:pPr>
        <w:pStyle w:val="BodyTextIndent3"/>
        <w:widowControl w:val="0"/>
        <w:spacing w:line="480" w:lineRule="auto"/>
        <w:ind w:right="-24"/>
      </w:pPr>
      <w:r>
        <w:t xml:space="preserve">In its Motion to Intervene, OCC </w:t>
      </w:r>
      <w:r w:rsidR="00A8212B">
        <w:t>asserted</w:t>
      </w:r>
      <w:r>
        <w:t xml:space="preserve"> that it satisfied O</w:t>
      </w:r>
      <w:r w:rsidR="00AB520C">
        <w:t xml:space="preserve">hio </w:t>
      </w:r>
      <w:r>
        <w:t>A</w:t>
      </w:r>
      <w:r w:rsidR="00AB520C">
        <w:t xml:space="preserve">dm. </w:t>
      </w:r>
      <w:r>
        <w:t>C</w:t>
      </w:r>
      <w:r w:rsidR="00AB520C">
        <w:t>ode</w:t>
      </w:r>
      <w:r>
        <w:t xml:space="preserve"> 4901-1-11(B)(5) because it is the unique representative of AEP Ohio's residential consumers.</w:t>
      </w:r>
      <w:r>
        <w:rPr>
          <w:rStyle w:val="FootnoteReference"/>
        </w:rPr>
        <w:footnoteReference w:id="16"/>
      </w:r>
      <w:r>
        <w:t xml:space="preserve"> AEP Ohio does not </w:t>
      </w:r>
      <w:r w:rsidR="005B68FB">
        <w:t xml:space="preserve">dispute this and does not </w:t>
      </w:r>
      <w:r>
        <w:t>argue that some other party represents the same interests as OCC. Instead, AEP Ohio counters OCC's position by again claiming that residential consumers have no interest in this proceeding at all, and therefore, it is impossible for any party</w:t>
      </w:r>
      <w:r w:rsidR="00A8212B">
        <w:t xml:space="preserve"> (OCC or otherwise)</w:t>
      </w:r>
      <w:r w:rsidR="00196DEB">
        <w:t xml:space="preserve"> to represent residential customers' </w:t>
      </w:r>
      <w:r>
        <w:t>interests.</w:t>
      </w:r>
      <w:r>
        <w:rPr>
          <w:rStyle w:val="FootnoteReference"/>
        </w:rPr>
        <w:footnoteReference w:id="17"/>
      </w:r>
    </w:p>
    <w:p w:rsidR="009A7838" w:rsidP="00E47695">
      <w:pPr>
        <w:pStyle w:val="BodyTextIndent3"/>
        <w:widowControl w:val="0"/>
        <w:spacing w:line="480" w:lineRule="auto"/>
        <w:ind w:right="-24"/>
      </w:pPr>
      <w:r>
        <w:t>F</w:t>
      </w:r>
      <w:r w:rsidR="000E3DE0">
        <w:t>or the many reasons described above, the residential consumers that OCC represents have an interest in this proceeding. There is no party other than OCC that represents those interests.</w:t>
      </w:r>
      <w:r w:rsidR="00364C0B">
        <w:t xml:space="preserve"> Thus, OCC satisfies </w:t>
      </w:r>
      <w:r w:rsidR="00BF699B">
        <w:t xml:space="preserve">Ohio Adm. Code </w:t>
      </w:r>
      <w:r w:rsidR="00A8212B">
        <w:t>4901-1-11(B)(5), and AEP</w:t>
      </w:r>
      <w:r w:rsidR="00BF699B">
        <w:t xml:space="preserve"> Ohio</w:t>
      </w:r>
      <w:r w:rsidR="00A8212B">
        <w:t>'s arguments to the contrary are meritless.</w:t>
      </w:r>
    </w:p>
    <w:p w:rsidR="009A7838" w:rsidRPr="00364C0B" w:rsidP="00614CD5">
      <w:pPr>
        <w:pStyle w:val="BodyTextIndent3"/>
        <w:widowControl w:val="0"/>
        <w:spacing w:line="480" w:lineRule="auto"/>
        <w:ind w:right="-24"/>
        <w:rPr>
          <w:b/>
        </w:rPr>
      </w:pPr>
      <w:r>
        <w:rPr>
          <w:b/>
        </w:rPr>
        <w:t>F</w:t>
      </w:r>
      <w:r w:rsidR="00364C0B">
        <w:rPr>
          <w:b/>
        </w:rPr>
        <w:t>.</w:t>
      </w:r>
      <w:r w:rsidR="00364C0B">
        <w:rPr>
          <w:b/>
        </w:rPr>
        <w:tab/>
      </w:r>
      <w:r w:rsidR="008C0228">
        <w:rPr>
          <w:b/>
        </w:rPr>
        <w:t>C</w:t>
      </w:r>
      <w:r w:rsidR="006F2057">
        <w:rPr>
          <w:b/>
        </w:rPr>
        <w:t>onclusion</w:t>
      </w:r>
    </w:p>
    <w:p w:rsidR="006D6378" w:rsidRPr="0048390D" w:rsidP="0048390D">
      <w:pPr>
        <w:pStyle w:val="BodyTextIndent3"/>
        <w:widowControl w:val="0"/>
        <w:spacing w:line="480" w:lineRule="auto"/>
        <w:ind w:right="-24"/>
      </w:pPr>
      <w:r>
        <w:t xml:space="preserve">The PUCO should grant OCC’s Motion to Intervene; it </w:t>
      </w:r>
      <w:r w:rsidR="00364C0B">
        <w:t>satisfies the requirements of R.C. 4903.221 and O</w:t>
      </w:r>
      <w:r w:rsidR="003F7B93">
        <w:t xml:space="preserve">hio </w:t>
      </w:r>
      <w:r w:rsidR="00364C0B">
        <w:t>A</w:t>
      </w:r>
      <w:r w:rsidR="003F7B93">
        <w:t xml:space="preserve">dm. </w:t>
      </w:r>
      <w:r w:rsidR="00364C0B">
        <w:t>C</w:t>
      </w:r>
      <w:r w:rsidR="003F7B93">
        <w:t>ode</w:t>
      </w:r>
      <w:r w:rsidR="00364C0B">
        <w:t xml:space="preserve"> 4901-1-11. </w:t>
      </w:r>
      <w:r>
        <w:t xml:space="preserve">By opposing OCC's Motion to Intervene, AEP Ohio apparently believes that it can update its energy efficiency rider, charge residential customers many millions of dollars per year for energy efficiency programs, and charge residential customers millions of dollars per year in utility shareholder profits—and </w:t>
      </w:r>
      <w:r w:rsidR="00BF699B">
        <w:t xml:space="preserve">consumers </w:t>
      </w:r>
      <w:r>
        <w:t xml:space="preserve">should be denied a right to be heard by the administrative agency (the PUCO) responsible for evaluating those charges. The PUCO should reject AEP Ohio's </w:t>
      </w:r>
      <w:r w:rsidR="00BB28C8">
        <w:t>attempt</w:t>
      </w:r>
      <w:r>
        <w:t xml:space="preserve"> to create a public forum where only it has a voice.</w:t>
      </w:r>
      <w:r w:rsidR="00AF0421">
        <w:t xml:space="preserve"> </w:t>
      </w:r>
    </w:p>
    <w:p w:rsidR="00614CD5" w:rsidRPr="00B86AAD" w:rsidP="00614CD5">
      <w:pPr>
        <w:spacing w:line="480" w:lineRule="auto"/>
        <w:ind w:firstLine="4320"/>
        <w:rPr>
          <w:szCs w:val="24"/>
        </w:rPr>
      </w:pP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Christopher M. Healey (0086027)</w:t>
      </w:r>
    </w:p>
    <w:p w:rsidR="0048390D" w:rsidP="00614CD5">
      <w:pPr>
        <w:tabs>
          <w:tab w:val="left" w:pos="4320"/>
        </w:tabs>
        <w:ind w:left="4320"/>
        <w:rPr>
          <w:szCs w:val="24"/>
        </w:rPr>
      </w:pPr>
      <w:r>
        <w:rPr>
          <w:szCs w:val="24"/>
        </w:rPr>
        <w:t>Counsel of Record</w:t>
      </w:r>
    </w:p>
    <w:p w:rsidR="0048390D" w:rsidP="00614CD5">
      <w:pPr>
        <w:tabs>
          <w:tab w:val="left" w:pos="4320"/>
        </w:tabs>
        <w:ind w:left="4320"/>
        <w:rPr>
          <w:szCs w:val="24"/>
        </w:rPr>
      </w:pPr>
      <w:r>
        <w:rPr>
          <w:szCs w:val="24"/>
        </w:rPr>
        <w:t>Terry L. Etter (0067445)</w:t>
      </w:r>
    </w:p>
    <w:p w:rsidR="00614CD5" w:rsidP="00614CD5">
      <w:pPr>
        <w:tabs>
          <w:tab w:val="left" w:pos="4320"/>
        </w:tabs>
        <w:ind w:left="4320"/>
        <w:rPr>
          <w:szCs w:val="24"/>
        </w:rPr>
      </w:pPr>
      <w:r>
        <w:rPr>
          <w:szCs w:val="24"/>
        </w:rPr>
        <w:t>Assistant Consumers' Counsel</w:t>
      </w:r>
      <w:r w:rsidRPr="00F257DB">
        <w:rPr>
          <w:szCs w:val="24"/>
        </w:rPr>
        <w:br/>
      </w: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sidRPr="00F257DB">
        <w:rPr>
          <w:szCs w:val="24"/>
        </w:rPr>
        <w:t>10 West Broad Street, Suite 1800</w:t>
      </w:r>
    </w:p>
    <w:p w:rsidR="00614CD5" w:rsidP="00614CD5">
      <w:pPr>
        <w:tabs>
          <w:tab w:val="left" w:pos="4320"/>
        </w:tabs>
        <w:ind w:left="4320"/>
        <w:rPr>
          <w:szCs w:val="24"/>
        </w:rPr>
      </w:pPr>
      <w:r w:rsidRPr="00F257DB">
        <w:rPr>
          <w:szCs w:val="24"/>
        </w:rPr>
        <w:t>Columbus, Ohio 43215-3485</w:t>
      </w:r>
    </w:p>
    <w:p w:rsidR="00614CD5" w:rsidP="00614CD5">
      <w:pPr>
        <w:tabs>
          <w:tab w:val="left" w:pos="4320"/>
        </w:tabs>
        <w:ind w:left="4320"/>
        <w:rPr>
          <w:szCs w:val="24"/>
        </w:rPr>
      </w:pPr>
      <w:r>
        <w:rPr>
          <w:szCs w:val="24"/>
        </w:rPr>
        <w:t>Telephone</w:t>
      </w:r>
      <w:r w:rsidR="0048390D">
        <w:rPr>
          <w:szCs w:val="24"/>
        </w:rPr>
        <w:t xml:space="preserve"> [Healey]</w:t>
      </w:r>
      <w:r>
        <w:rPr>
          <w:szCs w:val="24"/>
        </w:rPr>
        <w:t xml:space="preserve">: </w:t>
      </w:r>
      <w:r w:rsidRPr="00F257DB">
        <w:rPr>
          <w:szCs w:val="24"/>
        </w:rPr>
        <w:t xml:space="preserve">(614) </w:t>
      </w:r>
      <w:r>
        <w:rPr>
          <w:szCs w:val="24"/>
        </w:rPr>
        <w:t>466-9571</w:t>
      </w:r>
      <w:r w:rsidRPr="00F257DB">
        <w:rPr>
          <w:szCs w:val="24"/>
        </w:rPr>
        <w:t xml:space="preserve"> </w:t>
      </w:r>
    </w:p>
    <w:p w:rsidR="0048390D" w:rsidRPr="00F257DB" w:rsidP="00614CD5">
      <w:pPr>
        <w:tabs>
          <w:tab w:val="left" w:pos="4320"/>
        </w:tabs>
        <w:ind w:left="4320"/>
        <w:rPr>
          <w:szCs w:val="24"/>
        </w:rPr>
      </w:pPr>
      <w:r>
        <w:rPr>
          <w:szCs w:val="24"/>
        </w:rPr>
        <w:t>Telephone [Etter]: (614) 466-7964</w:t>
      </w:r>
    </w:p>
    <w:p w:rsidR="00614CD5" w:rsidP="00614C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48390D" w:rsidRPr="00F257DB" w:rsidP="00614CD5">
      <w:pPr>
        <w:ind w:left="4320"/>
        <w:rPr>
          <w:szCs w:val="24"/>
        </w:rPr>
      </w:pPr>
      <w:r>
        <w:fldChar w:fldCharType="begin"/>
      </w:r>
      <w:r>
        <w:instrText xml:space="preserve"> HYPERLINK "mailto:terry.etter@occ.ohio.gov" </w:instrText>
      </w:r>
      <w:r>
        <w:fldChar w:fldCharType="separate"/>
      </w:r>
      <w:r w:rsidRPr="00DB1602">
        <w:rPr>
          <w:rStyle w:val="Hyperlink"/>
          <w:szCs w:val="24"/>
        </w:rPr>
        <w:t>terry.etter@occ.ohio.gov</w:t>
      </w:r>
      <w:r>
        <w:fldChar w:fldCharType="end"/>
      </w:r>
      <w:r>
        <w:rPr>
          <w:szCs w:val="24"/>
        </w:rPr>
        <w:t xml:space="preserve"> </w:t>
      </w:r>
    </w:p>
    <w:p w:rsidR="00614CD5" w:rsidP="00614CD5">
      <w:pPr>
        <w:ind w:left="4320"/>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r w:rsidRPr="00F257DB">
        <w:rPr>
          <w:szCs w:val="24"/>
        </w:rPr>
        <w:t>(</w:t>
      </w:r>
      <w:r w:rsidR="00A7081F">
        <w:rPr>
          <w:szCs w:val="24"/>
        </w:rPr>
        <w:t xml:space="preserve">Both </w:t>
      </w:r>
      <w:r w:rsidR="0048390D">
        <w:rPr>
          <w:szCs w:val="24"/>
        </w:rPr>
        <w:t>w</w:t>
      </w:r>
      <w:r w:rsidRPr="00F257DB">
        <w:rPr>
          <w:szCs w:val="24"/>
        </w:rPr>
        <w:t>ill accept service via email)</w:t>
      </w: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 xml:space="preserve">I hereby certify that a copy of this </w:t>
      </w:r>
      <w:r w:rsidR="00364C0B">
        <w:t xml:space="preserve">Reply </w:t>
      </w:r>
      <w:r w:rsidRPr="001E4C2F">
        <w:t>was served on the persons stated below via electronic transmission, this</w:t>
      </w:r>
      <w:r w:rsidR="00C95B49">
        <w:t xml:space="preserve"> </w:t>
      </w:r>
      <w:r w:rsidR="0048390D">
        <w:t>26th</w:t>
      </w:r>
      <w:r w:rsidRPr="001E4C2F">
        <w:t xml:space="preserve"> day of </w:t>
      </w:r>
      <w:r w:rsidR="00364C0B">
        <w:t>June</w:t>
      </w:r>
      <w:r w:rsidRPr="001E4C2F">
        <w:t xml:space="preserve"> 2017.</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p w:rsidR="00A7081F" w:rsidP="00A7081F">
      <w:pPr>
        <w:pStyle w:val="CommentText"/>
        <w:jc w:val="center"/>
        <w:rPr>
          <w:b/>
          <w:u w:val="single"/>
        </w:rPr>
      </w:pPr>
      <w:r w:rsidRPr="00FB7D74">
        <w:rPr>
          <w:b/>
          <w:u w:val="single"/>
        </w:rPr>
        <w:t>SERVICE LIST</w:t>
      </w:r>
    </w:p>
    <w:p w:rsidR="00A7081F" w:rsidP="00A7081F">
      <w:pPr>
        <w:pStyle w:val="CommentText"/>
        <w:jc w:val="center"/>
        <w:rPr>
          <w:b/>
          <w:u w:val="single"/>
        </w:rPr>
      </w:pPr>
    </w:p>
    <w:p w:rsidR="00A7081F" w:rsidP="00A7081F">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36753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A7081F" w:rsidRPr="009B52AB" w:rsidP="00367530">
            <w:pPr>
              <w:autoSpaceDE w:val="0"/>
              <w:autoSpaceDN w:val="0"/>
              <w:adjustRightInd w:val="0"/>
              <w:rPr>
                <w:rStyle w:val="DefaultParagraphFont"/>
                <w:bCs/>
                <w:sz w:val="24"/>
                <w:lang w:val="en-US" w:eastAsia="en-US" w:bidi="ar-SA"/>
              </w:rPr>
            </w:pPr>
            <w:r w:rsidRPr="009B52AB">
              <w:rPr>
                <w:bCs/>
                <w:sz w:val="24"/>
                <w:lang w:val="en-US" w:eastAsia="en-US" w:bidi="ar-SA"/>
              </w:rPr>
              <w:t>William Wright</w:t>
            </w:r>
          </w:p>
          <w:p w:rsidR="00A7081F" w:rsidRPr="009B52AB" w:rsidP="00367530">
            <w:pPr>
              <w:autoSpaceDE w:val="0"/>
              <w:autoSpaceDN w:val="0"/>
              <w:adjustRightInd w:val="0"/>
              <w:rPr>
                <w:rStyle w:val="DefaultParagraphFont"/>
                <w:bCs/>
                <w:sz w:val="24"/>
                <w:lang w:val="en-US" w:eastAsia="en-US" w:bidi="ar-SA"/>
              </w:rPr>
            </w:pPr>
            <w:r w:rsidRPr="009B52AB">
              <w:rPr>
                <w:bCs/>
                <w:sz w:val="24"/>
                <w:lang w:val="en-US" w:eastAsia="en-US" w:bidi="ar-SA"/>
              </w:rPr>
              <w:t>Ohio Attorney General’s Office</w:t>
            </w:r>
          </w:p>
          <w:p w:rsidR="00A7081F" w:rsidRPr="009B52AB" w:rsidP="00367530">
            <w:pPr>
              <w:autoSpaceDE w:val="0"/>
              <w:autoSpaceDN w:val="0"/>
              <w:adjustRightInd w:val="0"/>
              <w:rPr>
                <w:rStyle w:val="DefaultParagraphFont"/>
                <w:bCs/>
                <w:sz w:val="24"/>
                <w:lang w:val="en-US" w:eastAsia="en-US" w:bidi="ar-SA"/>
              </w:rPr>
            </w:pPr>
            <w:r w:rsidRPr="009B52AB">
              <w:rPr>
                <w:bCs/>
                <w:sz w:val="24"/>
                <w:lang w:val="en-US" w:eastAsia="en-US" w:bidi="ar-SA"/>
              </w:rPr>
              <w:t>Public Utilities Commission of Ohio</w:t>
            </w:r>
          </w:p>
          <w:p w:rsidR="00A7081F" w:rsidRPr="00F71EF5" w:rsidP="00367530">
            <w:pPr>
              <w:autoSpaceDE w:val="0"/>
              <w:autoSpaceDN w:val="0"/>
              <w:adjustRightInd w:val="0"/>
              <w:rPr>
                <w:rStyle w:val="DefaultParagraphFont"/>
                <w:bCs/>
                <w:sz w:val="24"/>
                <w:szCs w:val="24"/>
                <w:lang w:val="en-US" w:eastAsia="en-US" w:bidi="ar-SA"/>
              </w:rPr>
            </w:pPr>
            <w:r w:rsidRPr="00F71EF5">
              <w:rPr>
                <w:bCs/>
                <w:sz w:val="24"/>
                <w:szCs w:val="24"/>
                <w:lang w:val="en-US" w:eastAsia="en-US" w:bidi="ar-SA"/>
              </w:rPr>
              <w:t>30 E. Broad St., 16</w:t>
            </w:r>
            <w:r w:rsidRPr="00F71EF5">
              <w:rPr>
                <w:bCs/>
                <w:sz w:val="24"/>
                <w:szCs w:val="24"/>
                <w:vertAlign w:val="superscript"/>
                <w:lang w:val="en-US" w:eastAsia="en-US" w:bidi="ar-SA"/>
              </w:rPr>
              <w:t>th</w:t>
            </w:r>
            <w:r w:rsidRPr="00F71EF5">
              <w:rPr>
                <w:bCs/>
                <w:sz w:val="24"/>
                <w:szCs w:val="24"/>
                <w:lang w:val="en-US" w:eastAsia="en-US" w:bidi="ar-SA"/>
              </w:rPr>
              <w:t xml:space="preserve"> Floor</w:t>
            </w:r>
          </w:p>
          <w:p w:rsidR="00A7081F" w:rsidRPr="009B52AB" w:rsidP="00367530">
            <w:pPr>
              <w:autoSpaceDE w:val="0"/>
              <w:autoSpaceDN w:val="0"/>
              <w:adjustRightInd w:val="0"/>
              <w:rPr>
                <w:rStyle w:val="DefaultParagraphFont"/>
                <w:bCs/>
                <w:sz w:val="24"/>
                <w:lang w:val="en-US" w:eastAsia="en-US" w:bidi="ar-SA"/>
              </w:rPr>
            </w:pPr>
            <w:r w:rsidRPr="00F71EF5">
              <w:rPr>
                <w:bCs/>
                <w:sz w:val="24"/>
                <w:szCs w:val="24"/>
                <w:lang w:val="en-US" w:eastAsia="en-US" w:bidi="ar-SA"/>
              </w:rPr>
              <w:t>Columbus, Ohio 43215</w:t>
            </w:r>
          </w:p>
          <w:p w:rsidR="00A7081F" w:rsidRPr="009B52AB" w:rsidP="00367530">
            <w:pPr>
              <w:autoSpaceDE w:val="0"/>
              <w:autoSpaceDN w:val="0"/>
              <w:adjustRightInd w:val="0"/>
              <w:rPr>
                <w:rStyle w:val="DefaultParagraphFont"/>
                <w:bCs/>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011932">
              <w:rPr>
                <w:rStyle w:val="Hyperlink"/>
                <w:bCs/>
                <w:color w:val="0000FF"/>
                <w:sz w:val="24"/>
                <w:szCs w:val="24"/>
                <w:u w:val="single"/>
                <w:lang w:val="en-US" w:eastAsia="en-US" w:bidi="ar-SA"/>
              </w:rPr>
              <w:t>william.wright@ohioattorneygeneral.gov</w:t>
            </w:r>
            <w:r>
              <w:fldChar w:fldCharType="end"/>
            </w:r>
          </w:p>
          <w:p w:rsidR="00A7081F" w:rsidP="00367530">
            <w:pPr>
              <w:pStyle w:val="CommentText"/>
              <w:jc w:val="center"/>
              <w:rPr>
                <w:rStyle w:val="DefaultParagraphFont"/>
                <w:b/>
                <w:sz w:val="24"/>
                <w:szCs w:val="24"/>
                <w:u w:val="single"/>
                <w:lang w:val="en-US" w:eastAsia="en-US" w:bidi="ar-SA"/>
              </w:rPr>
            </w:pPr>
          </w:p>
        </w:tc>
        <w:tc>
          <w:tcPr>
            <w:tcW w:w="4428" w:type="dxa"/>
          </w:tcPr>
          <w:p w:rsidR="00A7081F" w:rsidP="00367530">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Steven T. Nourse</w:t>
            </w:r>
          </w:p>
          <w:p w:rsidR="00A7081F" w:rsidP="00367530">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AEP Service Corporation</w:t>
            </w:r>
          </w:p>
          <w:p w:rsidR="00A7081F" w:rsidP="00367530">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1 Riverside Plaza, 29</w:t>
            </w:r>
            <w:r>
              <w:rPr>
                <w:color w:val="000000"/>
                <w:sz w:val="16"/>
                <w:szCs w:val="16"/>
                <w:lang w:val="en-US" w:eastAsia="en-US" w:bidi="ar-SA"/>
              </w:rPr>
              <w:t xml:space="preserve">th </w:t>
            </w:r>
            <w:r>
              <w:rPr>
                <w:color w:val="000000"/>
                <w:sz w:val="24"/>
                <w:szCs w:val="24"/>
                <w:lang w:val="en-US" w:eastAsia="en-US" w:bidi="ar-SA"/>
              </w:rPr>
              <w:t>Floor</w:t>
            </w:r>
          </w:p>
          <w:p w:rsidR="00A7081F" w:rsidP="00367530">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Columbus, Ohio 43215-2373</w:t>
            </w:r>
          </w:p>
          <w:p w:rsidR="00A7081F" w:rsidP="00367530">
            <w:pPr>
              <w:autoSpaceDE w:val="0"/>
              <w:autoSpaceDN w:val="0"/>
              <w:adjustRightInd w:val="0"/>
              <w:ind w:left="612"/>
              <w:rPr>
                <w:rStyle w:val="DefaultParagraphFont"/>
                <w:color w:val="0000FF"/>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61447E">
              <w:rPr>
                <w:rStyle w:val="Hyperlink"/>
                <w:color w:val="0000FF"/>
                <w:sz w:val="24"/>
                <w:szCs w:val="24"/>
                <w:u w:val="single"/>
                <w:lang w:val="en-US" w:eastAsia="en-US" w:bidi="ar-SA"/>
              </w:rPr>
              <w:t>stnourse@aep.com</w:t>
            </w:r>
            <w:r>
              <w:fldChar w:fldCharType="end"/>
            </w:r>
          </w:p>
          <w:p w:rsidR="00A7081F" w:rsidP="00367530">
            <w:pPr>
              <w:autoSpaceDE w:val="0"/>
              <w:autoSpaceDN w:val="0"/>
              <w:adjustRightInd w:val="0"/>
              <w:ind w:left="612"/>
              <w:rPr>
                <w:rStyle w:val="DefaultParagraphFont"/>
                <w:color w:val="0000FF"/>
                <w:sz w:val="24"/>
                <w:szCs w:val="24"/>
                <w:lang w:val="en-US" w:eastAsia="en-US" w:bidi="ar-SA"/>
              </w:rPr>
            </w:pPr>
          </w:p>
          <w:p w:rsidR="00A7081F" w:rsidP="00367530">
            <w:pPr>
              <w:pStyle w:val="CommentText"/>
              <w:ind w:left="612"/>
              <w:rPr>
                <w:rStyle w:val="DefaultParagraphFont"/>
                <w:b/>
                <w:sz w:val="24"/>
                <w:szCs w:val="24"/>
                <w:u w:val="single"/>
                <w:lang w:val="en-US" w:eastAsia="en-US" w:bidi="ar-SA"/>
              </w:rPr>
            </w:pPr>
            <w:r>
              <w:rPr>
                <w:i/>
                <w:iCs/>
                <w:color w:val="000000"/>
                <w:sz w:val="24"/>
                <w:szCs w:val="24"/>
                <w:lang w:val="en-US" w:eastAsia="en-US" w:bidi="ar-SA"/>
              </w:rPr>
              <w:t>Counsel for Ohio Power Company</w:t>
            </w:r>
          </w:p>
        </w:tc>
      </w:tr>
    </w:tbl>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BF7DFF">
        <w:tblPrEx>
          <w:tblW w:w="0" w:type="auto"/>
          <w:tblInd w:w="0" w:type="dxa"/>
          <w:tblCellMar>
            <w:top w:w="0" w:type="dxa"/>
            <w:left w:w="108" w:type="dxa"/>
            <w:bottom w:w="0" w:type="dxa"/>
            <w:right w:w="108" w:type="dxa"/>
          </w:tblCellMar>
          <w:tblLook w:val="04A0"/>
        </w:tblPrEx>
        <w:tc>
          <w:tcPr>
            <w:tcW w:w="4428" w:type="dxa"/>
            <w:shd w:val="clear" w:color="auto" w:fill="auto"/>
          </w:tcPr>
          <w:p w:rsidR="009443C8" w:rsidRPr="009443C8" w:rsidP="005A348E">
            <w:pPr>
              <w:pStyle w:val="CommentText"/>
              <w:rPr>
                <w:rStyle w:val="DefaultParagraphFont"/>
                <w:sz w:val="24"/>
                <w:szCs w:val="24"/>
                <w:lang w:val="en-US" w:eastAsia="en-US" w:bidi="ar-SA"/>
              </w:rPr>
            </w:pPr>
          </w:p>
        </w:tc>
        <w:tc>
          <w:tcPr>
            <w:tcW w:w="4428" w:type="dxa"/>
            <w:shd w:val="clear" w:color="auto" w:fill="auto"/>
          </w:tcPr>
          <w:p w:rsidR="009443C8" w:rsidRPr="00BF7DFF" w:rsidP="006D6378">
            <w:pPr>
              <w:pStyle w:val="BodyText"/>
              <w:ind w:left="972"/>
              <w:jc w:val="both"/>
              <w:rPr>
                <w:rStyle w:val="DefaultParagraphFont"/>
                <w:b/>
                <w:sz w:val="24"/>
                <w:u w:val="single"/>
                <w:lang w:val="en-US" w:eastAsia="en-US" w:bidi="ar-SA"/>
              </w:rPr>
            </w:pPr>
          </w:p>
        </w:tc>
      </w:tr>
    </w:tbl>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614CD5">
        <w:tblPrEx>
          <w:tblW w:w="0" w:type="auto"/>
          <w:tblInd w:w="0" w:type="dxa"/>
          <w:tblCellMar>
            <w:top w:w="0" w:type="dxa"/>
            <w:left w:w="108" w:type="dxa"/>
            <w:bottom w:w="0" w:type="dxa"/>
            <w:right w:w="108" w:type="dxa"/>
          </w:tblCellMar>
          <w:tblLook w:val="04A0"/>
        </w:tblPrEx>
        <w:tc>
          <w:tcPr>
            <w:tcW w:w="4428" w:type="dxa"/>
            <w:shd w:val="clear" w:color="auto" w:fill="auto"/>
          </w:tcPr>
          <w:p w:rsidR="00614CD5" w:rsidRPr="00F7490A" w:rsidP="00614CD5">
            <w:pPr>
              <w:pStyle w:val="CommentText"/>
              <w:rPr>
                <w:rStyle w:val="DefaultParagraphFont"/>
                <w:sz w:val="24"/>
                <w:szCs w:val="24"/>
                <w:lang w:val="en-US" w:eastAsia="en-US" w:bidi="ar-SA"/>
              </w:rPr>
            </w:pPr>
          </w:p>
        </w:tc>
        <w:tc>
          <w:tcPr>
            <w:tcW w:w="4428" w:type="dxa"/>
            <w:shd w:val="clear" w:color="auto" w:fill="auto"/>
          </w:tcPr>
          <w:p w:rsidR="00614CD5" w:rsidRPr="00F7490A" w:rsidP="00614CD5">
            <w:pPr>
              <w:pStyle w:val="CommentText"/>
              <w:rPr>
                <w:rStyle w:val="DefaultParagraphFont"/>
                <w:sz w:val="24"/>
                <w:szCs w:val="24"/>
                <w:lang w:val="en-US" w:eastAsia="en-US" w:bidi="ar-SA"/>
              </w:rPr>
            </w:pPr>
          </w:p>
        </w:tc>
      </w:tr>
    </w:tbl>
    <w:p w:rsidR="00614CD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F2057">
    <w:pPr>
      <w:pStyle w:val="Footer"/>
      <w:framePr w:wrap="around" w:vAnchor="text" w:hAnchor="margin" w:xAlign="center" w:y="1"/>
      <w:jc w:val="center"/>
      <w:rPr>
        <w:rStyle w:val="PageNumber"/>
        <w:sz w:val="24"/>
        <w:szCs w:val="24"/>
      </w:rPr>
    </w:pPr>
    <w:r w:rsidRPr="006F2057">
      <w:rPr>
        <w:rStyle w:val="PageNumber"/>
        <w:sz w:val="24"/>
        <w:szCs w:val="24"/>
      </w:rPr>
      <w:fldChar w:fldCharType="begin"/>
    </w:r>
    <w:r w:rsidRPr="006F2057">
      <w:rPr>
        <w:rStyle w:val="PageNumber"/>
        <w:sz w:val="24"/>
        <w:szCs w:val="24"/>
      </w:rPr>
      <w:instrText xml:space="preserve">PAGE  </w:instrText>
    </w:r>
    <w:r w:rsidRPr="006F2057">
      <w:rPr>
        <w:rStyle w:val="PageNumber"/>
        <w:sz w:val="24"/>
        <w:szCs w:val="24"/>
      </w:rPr>
      <w:fldChar w:fldCharType="separate"/>
    </w:r>
    <w:r w:rsidR="006E5E60">
      <w:rPr>
        <w:rStyle w:val="PageNumber"/>
        <w:noProof/>
        <w:sz w:val="24"/>
        <w:szCs w:val="24"/>
      </w:rPr>
      <w:t>3</w:t>
    </w:r>
    <w:r w:rsidRPr="006F2057">
      <w:rPr>
        <w:rStyle w:val="PageNumber"/>
        <w:sz w:val="24"/>
        <w:szCs w:val="24"/>
      </w:rPr>
      <w:fldChar w:fldCharType="end"/>
    </w:r>
  </w:p>
  <w:p w:rsidR="00614CD5" w:rsidRPr="006F2057">
    <w:pPr>
      <w:pStyle w:val="Footer"/>
      <w:framePr w:wrap="around" w:vAnchor="text" w:hAnchor="margin" w:xAlign="center" w:y="1"/>
      <w:rPr>
        <w:rStyle w:val="PageNumber"/>
      </w:rPr>
    </w:pPr>
  </w:p>
  <w:p w:rsidR="00614CD5" w:rsidRPr="006F2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1E3D">
      <w:r>
        <w:separator/>
      </w:r>
    </w:p>
  </w:footnote>
  <w:footnote w:type="continuationSeparator" w:id="1">
    <w:p w:rsidR="00D01E3D">
      <w:r>
        <w:continuationSeparator/>
      </w:r>
    </w:p>
  </w:footnote>
  <w:footnote w:id="2">
    <w:p w:rsidR="00A4405A" w:rsidRPr="00A4405A" w:rsidP="005A348E">
      <w:pPr>
        <w:pStyle w:val="FootnoteText"/>
        <w:spacing w:after="120"/>
      </w:pPr>
      <w:r>
        <w:rPr>
          <w:rStyle w:val="FootnoteReference"/>
        </w:rPr>
        <w:footnoteRef/>
      </w:r>
      <w:r>
        <w:t xml:space="preserve"> AEP Ohio also opposed the Ohio Consumers' Counsel's ("OCC") intervention in its most recent update to its renewable energy rider. </w:t>
      </w:r>
      <w:r>
        <w:rPr>
          <w:i/>
        </w:rPr>
        <w:t>See</w:t>
      </w:r>
      <w:r>
        <w:t xml:space="preserve"> Ohio Power Company's Memorandum Contra the Office of the Ohio Consumers' Counsel Motion to Intervene (June 8, 2017), Case No. 15-1052-EL-RDR.</w:t>
      </w:r>
    </w:p>
  </w:footnote>
  <w:footnote w:id="3">
    <w:p w:rsidR="006F2057" w:rsidP="006F2057">
      <w:pPr>
        <w:pStyle w:val="FootnoteText"/>
        <w:spacing w:after="120"/>
      </w:pPr>
      <w:r>
        <w:rPr>
          <w:rStyle w:val="FootnoteReference"/>
        </w:rPr>
        <w:footnoteRef/>
      </w:r>
      <w:r>
        <w:t xml:space="preserve"> Motion to Intervene by the Office of the Ohio Consumers' Counsel (June 2, 2017) (the "Motion to Intervene").</w:t>
      </w:r>
    </w:p>
  </w:footnote>
  <w:footnote w:id="4">
    <w:p w:rsidR="005B68FB" w:rsidP="005A348E">
      <w:pPr>
        <w:pStyle w:val="FootnoteText"/>
        <w:spacing w:after="120"/>
      </w:pPr>
      <w:r>
        <w:rPr>
          <w:rStyle w:val="FootnoteReference"/>
        </w:rPr>
        <w:footnoteRef/>
      </w:r>
      <w:r>
        <w:t xml:space="preserve"> Ohio Consumers' Counsel v. PUCO, 111 Ohio St. 3d 384, 2006-Ohio-5853, ¶ 20 (2006).</w:t>
      </w:r>
    </w:p>
  </w:footnote>
  <w:footnote w:id="5">
    <w:p w:rsidR="009063F5" w:rsidP="005A348E">
      <w:pPr>
        <w:pStyle w:val="FootnoteText"/>
        <w:spacing w:after="120"/>
      </w:pPr>
      <w:r>
        <w:rPr>
          <w:rStyle w:val="FootnoteReference"/>
        </w:rPr>
        <w:footnoteRef/>
      </w:r>
      <w:r>
        <w:t xml:space="preserve"> Ohio Power Company's Memorandum Contra the Office of the Ohio Consumers' Couns</w:t>
      </w:r>
      <w:r w:rsidR="00E044A4">
        <w:t>el's Motion to Intervene (June 19</w:t>
      </w:r>
      <w:r>
        <w:t>, 2017) (the "Memo Contra").</w:t>
      </w:r>
      <w:r w:rsidR="00F54D14">
        <w:t xml:space="preserve">  OCC files this reply to the Memo Contra under Ohio Adm. Code 4901-1-12(B)(2).</w:t>
      </w:r>
    </w:p>
  </w:footnote>
  <w:footnote w:id="6">
    <w:p w:rsidR="00E044A4" w:rsidP="005A348E">
      <w:pPr>
        <w:pStyle w:val="FootnoteText"/>
        <w:spacing w:after="120"/>
      </w:pPr>
      <w:r>
        <w:rPr>
          <w:rStyle w:val="FootnoteReference"/>
        </w:rPr>
        <w:footnoteRef/>
      </w:r>
      <w:r>
        <w:t xml:space="preserve"> Memo Contra at 8.</w:t>
      </w:r>
    </w:p>
  </w:footnote>
  <w:footnote w:id="7">
    <w:p w:rsidR="00E044A4" w:rsidP="005A348E">
      <w:pPr>
        <w:pStyle w:val="FootnoteText"/>
        <w:spacing w:after="120"/>
      </w:pPr>
      <w:r>
        <w:rPr>
          <w:rStyle w:val="FootnoteReference"/>
        </w:rPr>
        <w:footnoteRef/>
      </w:r>
      <w:r>
        <w:t xml:space="preserve"> </w:t>
      </w:r>
      <w:r w:rsidR="00F54D14">
        <w:rPr>
          <w:i/>
        </w:rPr>
        <w:t xml:space="preserve">Id. </w:t>
      </w:r>
      <w:r>
        <w:t>at 3-4.</w:t>
      </w:r>
    </w:p>
  </w:footnote>
  <w:footnote w:id="8">
    <w:p w:rsidR="005976E5" w:rsidP="005A348E">
      <w:pPr>
        <w:pStyle w:val="FootnoteText"/>
        <w:spacing w:after="120"/>
      </w:pPr>
      <w:r>
        <w:rPr>
          <w:rStyle w:val="FootnoteReference"/>
        </w:rPr>
        <w:footnoteRef/>
      </w:r>
      <w:r>
        <w:t xml:space="preserve"> See Application.</w:t>
      </w:r>
    </w:p>
  </w:footnote>
  <w:footnote w:id="9">
    <w:p w:rsidR="003142E5" w:rsidP="005A348E">
      <w:pPr>
        <w:pStyle w:val="FootnoteText"/>
        <w:spacing w:after="120"/>
      </w:pPr>
      <w:r>
        <w:rPr>
          <w:rStyle w:val="FootnoteReference"/>
        </w:rPr>
        <w:footnoteRef/>
      </w:r>
      <w:r>
        <w:t xml:space="preserve"> Memo Contra at 5.</w:t>
      </w:r>
    </w:p>
  </w:footnote>
  <w:footnote w:id="10">
    <w:p w:rsidR="003142E5" w:rsidP="005A348E">
      <w:pPr>
        <w:pStyle w:val="FootnoteText"/>
        <w:spacing w:after="120"/>
      </w:pPr>
      <w:r>
        <w:rPr>
          <w:rStyle w:val="FootnoteReference"/>
        </w:rPr>
        <w:footnoteRef/>
      </w:r>
      <w:r>
        <w:t xml:space="preserve"> Id.</w:t>
      </w:r>
    </w:p>
  </w:footnote>
  <w:footnote w:id="11">
    <w:p w:rsidR="003142E5" w:rsidP="005A348E">
      <w:pPr>
        <w:pStyle w:val="FootnoteText"/>
        <w:spacing w:after="120"/>
      </w:pPr>
      <w:r>
        <w:rPr>
          <w:rStyle w:val="FootnoteReference"/>
        </w:rPr>
        <w:footnoteRef/>
      </w:r>
      <w:r>
        <w:t xml:space="preserve"> See Motion to Intervene at 2.</w:t>
      </w:r>
    </w:p>
  </w:footnote>
  <w:footnote w:id="12">
    <w:p w:rsidR="009A7838" w:rsidP="005A348E">
      <w:pPr>
        <w:pStyle w:val="FootnoteText"/>
        <w:spacing w:after="120"/>
      </w:pPr>
      <w:r>
        <w:rPr>
          <w:rStyle w:val="FootnoteReference"/>
        </w:rPr>
        <w:footnoteRef/>
      </w:r>
      <w:r>
        <w:t xml:space="preserve"> Memo Contra at 6.</w:t>
      </w:r>
    </w:p>
  </w:footnote>
  <w:footnote w:id="13">
    <w:p w:rsidR="009A7838" w:rsidP="005A348E">
      <w:pPr>
        <w:pStyle w:val="FootnoteText"/>
        <w:spacing w:after="120"/>
      </w:pPr>
      <w:r>
        <w:rPr>
          <w:rStyle w:val="FootnoteReference"/>
        </w:rPr>
        <w:footnoteRef/>
      </w:r>
      <w:r>
        <w:t xml:space="preserve"> See R.C. 4903.082 ("All parties and intervenors shall be granted ample rights of discove</w:t>
      </w:r>
      <w:r w:rsidR="003005F1">
        <w:t>ry.").</w:t>
      </w:r>
    </w:p>
  </w:footnote>
  <w:footnote w:id="14">
    <w:p w:rsidR="009A7838" w:rsidP="005A348E">
      <w:pPr>
        <w:pStyle w:val="FootnoteText"/>
        <w:spacing w:after="120"/>
      </w:pPr>
      <w:r>
        <w:rPr>
          <w:rStyle w:val="FootnoteReference"/>
        </w:rPr>
        <w:footnoteRef/>
      </w:r>
      <w:r>
        <w:t xml:space="preserve"> Memo Contra at 6.</w:t>
      </w:r>
    </w:p>
  </w:footnote>
  <w:footnote w:id="15">
    <w:p w:rsidR="00832DE4" w:rsidP="005A348E">
      <w:pPr>
        <w:pStyle w:val="FootnoteText"/>
        <w:spacing w:after="120"/>
      </w:pPr>
      <w:r>
        <w:rPr>
          <w:rStyle w:val="FootnoteReference"/>
        </w:rPr>
        <w:footnoteRef/>
      </w:r>
      <w:r>
        <w:t xml:space="preserve"> </w:t>
      </w:r>
      <w:r w:rsidR="00BF699B">
        <w:t>Id</w:t>
      </w:r>
      <w:r>
        <w:t>.</w:t>
      </w:r>
    </w:p>
  </w:footnote>
  <w:footnote w:id="16">
    <w:p w:rsidR="000E3DE0" w:rsidP="005A348E">
      <w:pPr>
        <w:pStyle w:val="FootnoteText"/>
        <w:spacing w:after="120"/>
      </w:pPr>
      <w:r>
        <w:rPr>
          <w:rStyle w:val="FootnoteReference"/>
        </w:rPr>
        <w:footnoteRef/>
      </w:r>
      <w:r>
        <w:t xml:space="preserve"> Motion to Intervene at 3.</w:t>
      </w:r>
    </w:p>
  </w:footnote>
  <w:footnote w:id="17">
    <w:p w:rsidR="000E3DE0" w:rsidP="005A348E">
      <w:pPr>
        <w:pStyle w:val="FootnoteText"/>
        <w:spacing w:after="120"/>
      </w:pPr>
      <w:r>
        <w:rPr>
          <w:rStyle w:val="FootnoteReference"/>
        </w:rPr>
        <w:footnoteRef/>
      </w:r>
      <w:r>
        <w:t xml:space="preserve"> Memo Contra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AEP 17-1266 - OCC Reply In Support of MTI  (00044981.DOCX;4)</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2017-06-26T20:16:08Z</dcterms:created>
  <dcterms:modified xsi:type="dcterms:W3CDTF">2017-06-26T20:16:08Z</dcterms:modified>
</cp:coreProperties>
</file>