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3B4" w:rsidRDefault="00813472" w:rsidP="00813472">
      <w:pPr>
        <w:spacing w:after="0" w:line="240" w:lineRule="auto"/>
        <w:jc w:val="center"/>
        <w:rPr>
          <w:rFonts w:cs="Times New Roman"/>
          <w:b/>
          <w:sz w:val="26"/>
          <w:szCs w:val="26"/>
        </w:rPr>
      </w:pPr>
      <w:bookmarkStart w:id="0" w:name="_GoBack"/>
      <w:bookmarkEnd w:id="0"/>
      <w:r w:rsidRPr="00CD42AF">
        <w:rPr>
          <w:rFonts w:cs="Times New Roman"/>
          <w:b/>
          <w:sz w:val="26"/>
          <w:szCs w:val="26"/>
        </w:rPr>
        <w:t>BEFORE</w:t>
      </w:r>
    </w:p>
    <w:p w:rsidR="00813472" w:rsidRPr="00CD42AF" w:rsidRDefault="00813472" w:rsidP="00813472">
      <w:pPr>
        <w:spacing w:after="0" w:line="240" w:lineRule="auto"/>
        <w:jc w:val="center"/>
        <w:rPr>
          <w:rFonts w:cs="Times New Roman"/>
          <w:b/>
          <w:sz w:val="26"/>
          <w:szCs w:val="26"/>
        </w:rPr>
      </w:pPr>
      <w:r w:rsidRPr="00CD42AF">
        <w:rPr>
          <w:rFonts w:cs="Times New Roman"/>
          <w:b/>
          <w:sz w:val="26"/>
          <w:szCs w:val="26"/>
        </w:rPr>
        <w:t>THE PUBLIC UTILITIES COMMISSION OF OHIO</w:t>
      </w:r>
    </w:p>
    <w:p w:rsidR="00813472" w:rsidRPr="00CD42AF" w:rsidRDefault="00813472" w:rsidP="00813472">
      <w:pPr>
        <w:rPr>
          <w:rFonts w:cs="Times New Roman"/>
          <w:sz w:val="26"/>
          <w:szCs w:val="26"/>
        </w:rPr>
      </w:pPr>
    </w:p>
    <w:tbl>
      <w:tblPr>
        <w:tblW w:w="8762" w:type="dxa"/>
        <w:tblLook w:val="04A0" w:firstRow="1" w:lastRow="0" w:firstColumn="1" w:lastColumn="0" w:noHBand="0" w:noVBand="1"/>
      </w:tblPr>
      <w:tblGrid>
        <w:gridCol w:w="4518"/>
        <w:gridCol w:w="360"/>
        <w:gridCol w:w="3884"/>
      </w:tblGrid>
      <w:tr w:rsidR="00813472" w:rsidRPr="00CD42AF" w:rsidTr="000E73B4">
        <w:tc>
          <w:tcPr>
            <w:tcW w:w="4518" w:type="dxa"/>
            <w:shd w:val="clear" w:color="auto" w:fill="auto"/>
          </w:tcPr>
          <w:p w:rsidR="00813472" w:rsidRPr="0036080A" w:rsidRDefault="00813472" w:rsidP="000E73B4">
            <w:pPr>
              <w:spacing w:after="0" w:line="240" w:lineRule="auto"/>
              <w:rPr>
                <w:rFonts w:cs="Times New Roman"/>
                <w:sz w:val="26"/>
                <w:szCs w:val="26"/>
              </w:rPr>
            </w:pPr>
            <w:r w:rsidRPr="0036080A">
              <w:rPr>
                <w:rFonts w:cs="Times New Roman"/>
                <w:sz w:val="26"/>
                <w:szCs w:val="26"/>
              </w:rPr>
              <w:t xml:space="preserve">In the Matter of the Application of Columbia Gas of Ohio, Inc., for </w:t>
            </w:r>
            <w:r w:rsidR="007174B3" w:rsidRPr="0036080A">
              <w:rPr>
                <w:rFonts w:cs="Times New Roman"/>
                <w:sz w:val="26"/>
                <w:szCs w:val="26"/>
              </w:rPr>
              <w:t>A</w:t>
            </w:r>
            <w:r w:rsidR="007174B3">
              <w:rPr>
                <w:rFonts w:cs="Times New Roman"/>
                <w:sz w:val="26"/>
                <w:szCs w:val="26"/>
              </w:rPr>
              <w:t xml:space="preserve">pproval </w:t>
            </w:r>
            <w:r w:rsidRPr="0036080A">
              <w:rPr>
                <w:rFonts w:cs="Times New Roman"/>
                <w:sz w:val="26"/>
                <w:szCs w:val="26"/>
              </w:rPr>
              <w:t xml:space="preserve">to </w:t>
            </w:r>
            <w:r w:rsidR="007174B3">
              <w:rPr>
                <w:rFonts w:cs="Times New Roman"/>
                <w:sz w:val="26"/>
                <w:szCs w:val="26"/>
              </w:rPr>
              <w:t xml:space="preserve">Implement a Capital Expenditure </w:t>
            </w:r>
            <w:r w:rsidR="007174B3" w:rsidRPr="0036080A">
              <w:rPr>
                <w:rFonts w:cs="Times New Roman"/>
                <w:sz w:val="26"/>
                <w:szCs w:val="26"/>
              </w:rPr>
              <w:t>Program</w:t>
            </w:r>
            <w:r w:rsidRPr="0036080A">
              <w:rPr>
                <w:rFonts w:cs="Times New Roman"/>
                <w:sz w:val="26"/>
                <w:szCs w:val="26"/>
              </w:rPr>
              <w:t>.</w:t>
            </w:r>
          </w:p>
        </w:tc>
        <w:tc>
          <w:tcPr>
            <w:tcW w:w="360" w:type="dxa"/>
          </w:tcPr>
          <w:p w:rsidR="007174B3" w:rsidRPr="00CD42AF" w:rsidRDefault="000E73B4" w:rsidP="000E73B4">
            <w:pPr>
              <w:pStyle w:val="NoSpacing"/>
              <w:rPr>
                <w:rFonts w:cs="Times New Roman"/>
                <w:sz w:val="26"/>
                <w:szCs w:val="26"/>
              </w:rPr>
            </w:pPr>
            <w:r>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r>
              <w:rPr>
                <w:rFonts w:cs="Times New Roman"/>
                <w:sz w:val="26"/>
                <w:szCs w:val="26"/>
              </w:rPr>
              <w:br/>
            </w:r>
          </w:p>
        </w:tc>
        <w:tc>
          <w:tcPr>
            <w:tcW w:w="3884" w:type="dxa"/>
            <w:shd w:val="clear" w:color="auto" w:fill="auto"/>
          </w:tcPr>
          <w:p w:rsidR="00813472" w:rsidRPr="00CD42AF" w:rsidRDefault="00813472" w:rsidP="000E73B4">
            <w:pPr>
              <w:spacing w:after="0" w:line="240" w:lineRule="auto"/>
              <w:ind w:left="-288"/>
              <w:rPr>
                <w:rFonts w:cs="Times New Roman"/>
                <w:sz w:val="26"/>
                <w:szCs w:val="26"/>
              </w:rPr>
            </w:pPr>
          </w:p>
          <w:p w:rsidR="00813472" w:rsidRPr="00CD42AF" w:rsidRDefault="00813472" w:rsidP="000E73B4">
            <w:pPr>
              <w:spacing w:after="0" w:line="240" w:lineRule="auto"/>
              <w:ind w:left="72"/>
              <w:rPr>
                <w:rFonts w:cs="Times New Roman"/>
                <w:sz w:val="26"/>
                <w:szCs w:val="26"/>
              </w:rPr>
            </w:pPr>
            <w:r w:rsidRPr="00CD42AF">
              <w:rPr>
                <w:rFonts w:cs="Times New Roman"/>
                <w:sz w:val="26"/>
                <w:szCs w:val="26"/>
              </w:rPr>
              <w:t xml:space="preserve">Case No. </w:t>
            </w:r>
            <w:r w:rsidR="007174B3">
              <w:rPr>
                <w:rFonts w:cs="Times New Roman"/>
                <w:sz w:val="26"/>
                <w:szCs w:val="26"/>
              </w:rPr>
              <w:t>11-5351</w:t>
            </w:r>
            <w:r w:rsidRPr="00CD42AF">
              <w:rPr>
                <w:rFonts w:cs="Times New Roman"/>
                <w:sz w:val="26"/>
                <w:szCs w:val="26"/>
              </w:rPr>
              <w:t>-GA-</w:t>
            </w:r>
            <w:r w:rsidR="007174B3">
              <w:rPr>
                <w:rFonts w:cs="Times New Roman"/>
                <w:sz w:val="26"/>
                <w:szCs w:val="26"/>
              </w:rPr>
              <w:t>UNC</w:t>
            </w:r>
          </w:p>
        </w:tc>
      </w:tr>
      <w:tr w:rsidR="007174B3" w:rsidRPr="00CD42AF" w:rsidTr="000E73B4">
        <w:tc>
          <w:tcPr>
            <w:tcW w:w="4518" w:type="dxa"/>
            <w:shd w:val="clear" w:color="auto" w:fill="auto"/>
          </w:tcPr>
          <w:p w:rsidR="007174B3" w:rsidRPr="0036080A" w:rsidRDefault="007174B3" w:rsidP="000E73B4">
            <w:pPr>
              <w:spacing w:after="0" w:line="240" w:lineRule="auto"/>
              <w:rPr>
                <w:rFonts w:cs="Times New Roman"/>
                <w:sz w:val="26"/>
                <w:szCs w:val="26"/>
              </w:rPr>
            </w:pPr>
            <w:r w:rsidRPr="0036080A">
              <w:rPr>
                <w:rFonts w:cs="Times New Roman"/>
                <w:sz w:val="26"/>
                <w:szCs w:val="26"/>
              </w:rPr>
              <w:t>In the Matter of the Application of Columbia Gas of Ohio, Inc., for A</w:t>
            </w:r>
            <w:r>
              <w:rPr>
                <w:rFonts w:cs="Times New Roman"/>
                <w:sz w:val="26"/>
                <w:szCs w:val="26"/>
              </w:rPr>
              <w:t xml:space="preserve">pproval </w:t>
            </w:r>
            <w:r w:rsidRPr="0036080A">
              <w:rPr>
                <w:rFonts w:cs="Times New Roman"/>
                <w:sz w:val="26"/>
                <w:szCs w:val="26"/>
              </w:rPr>
              <w:t xml:space="preserve">to </w:t>
            </w:r>
            <w:r>
              <w:rPr>
                <w:rFonts w:cs="Times New Roman"/>
                <w:sz w:val="26"/>
                <w:szCs w:val="26"/>
              </w:rPr>
              <w:t>Change Accounting Methods</w:t>
            </w:r>
            <w:r w:rsidRPr="0036080A">
              <w:rPr>
                <w:rFonts w:cs="Times New Roman"/>
                <w:sz w:val="26"/>
                <w:szCs w:val="26"/>
              </w:rPr>
              <w:t>.</w:t>
            </w:r>
          </w:p>
        </w:tc>
        <w:tc>
          <w:tcPr>
            <w:tcW w:w="360" w:type="dxa"/>
          </w:tcPr>
          <w:p w:rsidR="007174B3" w:rsidRPr="00CD42AF" w:rsidRDefault="007174B3" w:rsidP="000E73B4">
            <w:pPr>
              <w:spacing w:after="0" w:line="240" w:lineRule="auto"/>
              <w:rPr>
                <w:rFonts w:cs="Times New Roman"/>
                <w:sz w:val="26"/>
                <w:szCs w:val="26"/>
              </w:rPr>
            </w:pPr>
            <w:r w:rsidRPr="00CD42AF">
              <w:rPr>
                <w:rFonts w:cs="Times New Roman"/>
                <w:sz w:val="26"/>
                <w:szCs w:val="26"/>
              </w:rPr>
              <w:t>:</w:t>
            </w:r>
            <w:r w:rsidR="000E73B4">
              <w:rPr>
                <w:rFonts w:cs="Times New Roman"/>
                <w:sz w:val="26"/>
                <w:szCs w:val="26"/>
              </w:rPr>
              <w:br/>
              <w:t>:</w:t>
            </w:r>
            <w:r w:rsidR="000E73B4">
              <w:rPr>
                <w:rFonts w:cs="Times New Roman"/>
                <w:sz w:val="26"/>
                <w:szCs w:val="26"/>
              </w:rPr>
              <w:br/>
              <w:t>:</w:t>
            </w:r>
            <w:r w:rsidR="000E73B4">
              <w:rPr>
                <w:rFonts w:cs="Times New Roman"/>
                <w:sz w:val="26"/>
                <w:szCs w:val="26"/>
              </w:rPr>
              <w:br/>
              <w:t>:</w:t>
            </w:r>
          </w:p>
        </w:tc>
        <w:tc>
          <w:tcPr>
            <w:tcW w:w="3884" w:type="dxa"/>
            <w:shd w:val="clear" w:color="auto" w:fill="auto"/>
          </w:tcPr>
          <w:p w:rsidR="007174B3" w:rsidRPr="00CD42AF" w:rsidRDefault="007174B3" w:rsidP="000E73B4">
            <w:pPr>
              <w:spacing w:after="0" w:line="240" w:lineRule="auto"/>
              <w:ind w:left="-288"/>
              <w:rPr>
                <w:rFonts w:cs="Times New Roman"/>
                <w:sz w:val="26"/>
                <w:szCs w:val="26"/>
              </w:rPr>
            </w:pPr>
          </w:p>
          <w:p w:rsidR="007174B3" w:rsidRPr="00CD42AF" w:rsidRDefault="007174B3" w:rsidP="000E73B4">
            <w:pPr>
              <w:spacing w:after="0" w:line="240" w:lineRule="auto"/>
              <w:ind w:left="72"/>
              <w:rPr>
                <w:rFonts w:cs="Times New Roman"/>
                <w:sz w:val="26"/>
                <w:szCs w:val="26"/>
              </w:rPr>
            </w:pPr>
            <w:r w:rsidRPr="000E73B4">
              <w:rPr>
                <w:rFonts w:cs="Times New Roman"/>
                <w:sz w:val="26"/>
                <w:szCs w:val="26"/>
              </w:rPr>
              <w:t>Case No. 11-5352-GA-AAM</w:t>
            </w:r>
          </w:p>
        </w:tc>
      </w:tr>
    </w:tbl>
    <w:p w:rsidR="000E73B4" w:rsidRPr="000E73B4" w:rsidRDefault="000E73B4" w:rsidP="000E73B4">
      <w:pPr>
        <w:pStyle w:val="NoSpacing"/>
      </w:pPr>
    </w:p>
    <w:p w:rsidR="00813472"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915BED" w:rsidRPr="009C4948" w:rsidRDefault="009434D3" w:rsidP="00813472">
      <w:pPr>
        <w:spacing w:after="0" w:line="240" w:lineRule="auto"/>
        <w:jc w:val="center"/>
        <w:rPr>
          <w:rFonts w:cs="Times New Roman"/>
          <w:b/>
          <w:sz w:val="28"/>
          <w:szCs w:val="28"/>
        </w:rPr>
      </w:pPr>
      <w:r>
        <w:rPr>
          <w:rFonts w:cs="Times New Roman"/>
          <w:b/>
          <w:sz w:val="28"/>
          <w:szCs w:val="28"/>
        </w:rPr>
        <w:t>SUR-</w:t>
      </w:r>
      <w:r w:rsidR="008E4708">
        <w:rPr>
          <w:rFonts w:cs="Times New Roman"/>
          <w:b/>
          <w:sz w:val="28"/>
          <w:szCs w:val="28"/>
        </w:rPr>
        <w:t xml:space="preserve">REPLY </w:t>
      </w:r>
      <w:r w:rsidR="0056760B">
        <w:rPr>
          <w:rFonts w:cs="Times New Roman"/>
          <w:b/>
          <w:sz w:val="28"/>
          <w:szCs w:val="28"/>
        </w:rPr>
        <w:t>COMMENTS</w:t>
      </w:r>
      <w:r w:rsidR="0056760B" w:rsidRPr="009C4948">
        <w:rPr>
          <w:rFonts w:cs="Times New Roman"/>
          <w:b/>
          <w:sz w:val="28"/>
          <w:szCs w:val="28"/>
        </w:rPr>
        <w:t xml:space="preserve"> </w:t>
      </w:r>
    </w:p>
    <w:p w:rsidR="00813472" w:rsidRPr="00CD42AF" w:rsidRDefault="00813472" w:rsidP="00813472">
      <w:pPr>
        <w:spacing w:after="0" w:line="240" w:lineRule="auto"/>
        <w:jc w:val="center"/>
        <w:rPr>
          <w:rFonts w:cs="Times New Roman"/>
          <w:b/>
          <w:sz w:val="26"/>
          <w:szCs w:val="26"/>
        </w:rPr>
      </w:pPr>
      <w:r w:rsidRPr="00CD42AF">
        <w:rPr>
          <w:rFonts w:cs="Times New Roman"/>
          <w:b/>
          <w:sz w:val="26"/>
          <w:szCs w:val="26"/>
        </w:rPr>
        <w:t>SUBMITTED ON BEHALF OF</w:t>
      </w:r>
      <w:r w:rsidR="00654A33">
        <w:rPr>
          <w:rFonts w:cs="Times New Roman"/>
          <w:b/>
          <w:sz w:val="26"/>
          <w:szCs w:val="26"/>
        </w:rPr>
        <w:t xml:space="preserve"> THE STAFF OF</w:t>
      </w:r>
    </w:p>
    <w:p w:rsidR="00813472" w:rsidRPr="00CD42AF" w:rsidRDefault="00813472" w:rsidP="00813472">
      <w:pPr>
        <w:spacing w:after="0" w:line="240" w:lineRule="auto"/>
        <w:jc w:val="center"/>
        <w:rPr>
          <w:rFonts w:cs="Times New Roman"/>
          <w:sz w:val="26"/>
          <w:szCs w:val="26"/>
        </w:rPr>
      </w:pPr>
      <w:r w:rsidRPr="00CD42AF">
        <w:rPr>
          <w:rFonts w:cs="Times New Roman"/>
          <w:b/>
          <w:sz w:val="26"/>
          <w:szCs w:val="26"/>
        </w:rPr>
        <w:t>THE PUBLIC UTILITIES COMMISSION OF OHIO</w:t>
      </w:r>
    </w:p>
    <w:p w:rsidR="00915BED"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2B0FA8" w:rsidRDefault="002B0FA8" w:rsidP="002B0FA8">
      <w:pPr>
        <w:pStyle w:val="NoSpacing"/>
      </w:pPr>
    </w:p>
    <w:p w:rsidR="002B0FA8" w:rsidRPr="002B0FA8" w:rsidRDefault="002B0FA8" w:rsidP="002B0FA8">
      <w:pPr>
        <w:pStyle w:val="NoSpacing"/>
      </w:pPr>
    </w:p>
    <w:p w:rsidR="00813472" w:rsidRPr="00CD42AF" w:rsidRDefault="00813472" w:rsidP="000E73B4">
      <w:pPr>
        <w:pStyle w:val="text"/>
        <w:ind w:left="4320"/>
        <w:rPr>
          <w:b/>
          <w:szCs w:val="26"/>
        </w:rPr>
      </w:pPr>
      <w:r w:rsidRPr="00CD42AF">
        <w:rPr>
          <w:b/>
          <w:szCs w:val="26"/>
        </w:rPr>
        <w:t xml:space="preserve">Michael DeWine </w:t>
      </w:r>
    </w:p>
    <w:p w:rsidR="00813472" w:rsidRPr="00CD42AF" w:rsidRDefault="002B0FA8" w:rsidP="000E73B4">
      <w:pPr>
        <w:pStyle w:val="text"/>
        <w:ind w:left="4320"/>
        <w:rPr>
          <w:szCs w:val="26"/>
        </w:rPr>
      </w:pPr>
      <w:r>
        <w:rPr>
          <w:szCs w:val="26"/>
        </w:rPr>
        <w:t xml:space="preserve">Ohio </w:t>
      </w:r>
      <w:r w:rsidR="00813472" w:rsidRPr="00CD42AF">
        <w:rPr>
          <w:szCs w:val="26"/>
        </w:rPr>
        <w:t>Attorney General</w:t>
      </w:r>
    </w:p>
    <w:p w:rsidR="00813472" w:rsidRPr="00CD42AF" w:rsidRDefault="00813472" w:rsidP="000E73B4">
      <w:pPr>
        <w:pStyle w:val="text"/>
        <w:ind w:left="4320"/>
        <w:rPr>
          <w:szCs w:val="26"/>
        </w:rPr>
      </w:pPr>
    </w:p>
    <w:p w:rsidR="002B0FA8" w:rsidRDefault="002B0FA8" w:rsidP="000E73B4">
      <w:pPr>
        <w:pStyle w:val="text"/>
        <w:ind w:left="4320"/>
        <w:rPr>
          <w:szCs w:val="26"/>
        </w:rPr>
      </w:pPr>
      <w:r>
        <w:rPr>
          <w:b/>
          <w:szCs w:val="26"/>
        </w:rPr>
        <w:t>William L. Wright</w:t>
      </w:r>
    </w:p>
    <w:p w:rsidR="00813472" w:rsidRPr="002B0FA8" w:rsidRDefault="00813472" w:rsidP="000E73B4">
      <w:pPr>
        <w:pStyle w:val="text"/>
        <w:ind w:left="4320"/>
        <w:rPr>
          <w:b/>
          <w:szCs w:val="26"/>
        </w:rPr>
      </w:pPr>
      <w:r w:rsidRPr="00CD42AF">
        <w:rPr>
          <w:szCs w:val="26"/>
        </w:rPr>
        <w:t>Section Chief</w:t>
      </w:r>
    </w:p>
    <w:p w:rsidR="00813472" w:rsidRPr="00CD42AF" w:rsidRDefault="00813472" w:rsidP="000E73B4">
      <w:pPr>
        <w:pStyle w:val="text"/>
        <w:ind w:left="4320"/>
        <w:rPr>
          <w:szCs w:val="26"/>
        </w:rPr>
      </w:pPr>
    </w:p>
    <w:p w:rsidR="00813472" w:rsidRPr="000E73B4" w:rsidRDefault="00CD42AF" w:rsidP="000E73B4">
      <w:pPr>
        <w:pStyle w:val="text"/>
        <w:ind w:left="4320"/>
        <w:rPr>
          <w:b/>
          <w:szCs w:val="26"/>
        </w:rPr>
      </w:pPr>
      <w:r w:rsidRPr="000E73B4">
        <w:rPr>
          <w:b/>
          <w:szCs w:val="26"/>
        </w:rPr>
        <w:t>Ste</w:t>
      </w:r>
      <w:r w:rsidR="001420B4">
        <w:rPr>
          <w:b/>
          <w:szCs w:val="26"/>
        </w:rPr>
        <w:t>ph</w:t>
      </w:r>
      <w:r w:rsidRPr="000E73B4">
        <w:rPr>
          <w:b/>
          <w:szCs w:val="26"/>
        </w:rPr>
        <w:t xml:space="preserve">en </w:t>
      </w:r>
      <w:r w:rsidR="0056760B">
        <w:rPr>
          <w:b/>
          <w:szCs w:val="26"/>
        </w:rPr>
        <w:t>A. Reilly</w:t>
      </w:r>
      <w:r w:rsidRPr="000E73B4">
        <w:rPr>
          <w:b/>
          <w:szCs w:val="26"/>
        </w:rPr>
        <w:t xml:space="preserve"> </w:t>
      </w:r>
    </w:p>
    <w:p w:rsidR="00813472" w:rsidRPr="000E73B4" w:rsidRDefault="00643B5F" w:rsidP="000E73B4">
      <w:pPr>
        <w:pStyle w:val="text"/>
        <w:ind w:left="4320"/>
        <w:rPr>
          <w:szCs w:val="26"/>
        </w:rPr>
      </w:pPr>
      <w:r w:rsidRPr="000E73B4">
        <w:rPr>
          <w:szCs w:val="26"/>
        </w:rPr>
        <w:t>Assistant Attorney</w:t>
      </w:r>
      <w:r w:rsidR="00813472" w:rsidRPr="000E73B4">
        <w:rPr>
          <w:szCs w:val="26"/>
        </w:rPr>
        <w:t xml:space="preserve"> General</w:t>
      </w:r>
    </w:p>
    <w:p w:rsidR="00813472" w:rsidRPr="000E73B4" w:rsidRDefault="00813472" w:rsidP="000E73B4">
      <w:pPr>
        <w:pStyle w:val="text"/>
        <w:ind w:left="4320"/>
        <w:rPr>
          <w:szCs w:val="26"/>
        </w:rPr>
      </w:pPr>
      <w:r w:rsidRPr="000E73B4">
        <w:rPr>
          <w:szCs w:val="26"/>
        </w:rPr>
        <w:t>Public Utilities Section</w:t>
      </w:r>
    </w:p>
    <w:p w:rsidR="00813472" w:rsidRPr="000E73B4" w:rsidRDefault="00813472" w:rsidP="000E73B4">
      <w:pPr>
        <w:pStyle w:val="text"/>
        <w:ind w:left="4320"/>
        <w:rPr>
          <w:szCs w:val="26"/>
        </w:rPr>
      </w:pPr>
      <w:proofErr w:type="gramStart"/>
      <w:r w:rsidRPr="000E73B4">
        <w:rPr>
          <w:szCs w:val="26"/>
        </w:rPr>
        <w:t>180 East Broad Street, 6</w:t>
      </w:r>
      <w:r w:rsidRPr="000E73B4">
        <w:rPr>
          <w:szCs w:val="26"/>
          <w:vertAlign w:val="superscript"/>
        </w:rPr>
        <w:t>th</w:t>
      </w:r>
      <w:r w:rsidRPr="000E73B4">
        <w:rPr>
          <w:szCs w:val="26"/>
        </w:rPr>
        <w:t xml:space="preserve"> Fl.</w:t>
      </w:r>
      <w:proofErr w:type="gramEnd"/>
      <w:r w:rsidRPr="000E73B4">
        <w:rPr>
          <w:szCs w:val="26"/>
        </w:rPr>
        <w:t xml:space="preserve"> </w:t>
      </w:r>
    </w:p>
    <w:p w:rsidR="00813472" w:rsidRPr="000E73B4" w:rsidRDefault="00813472" w:rsidP="000E73B4">
      <w:pPr>
        <w:pStyle w:val="text"/>
        <w:ind w:left="4320"/>
        <w:rPr>
          <w:szCs w:val="26"/>
        </w:rPr>
      </w:pPr>
      <w:r w:rsidRPr="000E73B4">
        <w:rPr>
          <w:szCs w:val="26"/>
        </w:rPr>
        <w:t xml:space="preserve">Columbus, </w:t>
      </w:r>
      <w:r w:rsidR="002B0FA8">
        <w:rPr>
          <w:szCs w:val="26"/>
        </w:rPr>
        <w:t>OH</w:t>
      </w:r>
      <w:r w:rsidRPr="000E73B4">
        <w:rPr>
          <w:szCs w:val="26"/>
        </w:rPr>
        <w:t xml:space="preserve">  43215</w:t>
      </w:r>
    </w:p>
    <w:p w:rsidR="00813472" w:rsidRPr="001420B4" w:rsidRDefault="002B0FA8" w:rsidP="000E73B4">
      <w:pPr>
        <w:pStyle w:val="text"/>
        <w:ind w:left="4320"/>
        <w:rPr>
          <w:szCs w:val="26"/>
        </w:rPr>
      </w:pPr>
      <w:r w:rsidRPr="001420B4">
        <w:rPr>
          <w:szCs w:val="26"/>
        </w:rPr>
        <w:t>614.466.4395 (telephone)</w:t>
      </w:r>
    </w:p>
    <w:p w:rsidR="00813472" w:rsidRPr="001420B4" w:rsidRDefault="002B0FA8" w:rsidP="000E73B4">
      <w:pPr>
        <w:spacing w:after="0" w:line="240" w:lineRule="auto"/>
        <w:ind w:left="4320"/>
        <w:jc w:val="both"/>
        <w:rPr>
          <w:rFonts w:cs="Times New Roman"/>
          <w:sz w:val="26"/>
          <w:szCs w:val="26"/>
        </w:rPr>
      </w:pPr>
      <w:r w:rsidRPr="001420B4">
        <w:rPr>
          <w:rFonts w:cs="Times New Roman"/>
          <w:sz w:val="26"/>
          <w:szCs w:val="26"/>
        </w:rPr>
        <w:t>614.644.8764 (fax)</w:t>
      </w:r>
    </w:p>
    <w:p w:rsidR="002B0FA8" w:rsidRPr="001420B4" w:rsidRDefault="00935201" w:rsidP="002B0FA8">
      <w:pPr>
        <w:spacing w:after="0" w:line="240" w:lineRule="auto"/>
        <w:ind w:left="4320"/>
        <w:jc w:val="both"/>
        <w:rPr>
          <w:rFonts w:cs="Times New Roman"/>
          <w:sz w:val="26"/>
          <w:szCs w:val="26"/>
        </w:rPr>
      </w:pPr>
      <w:hyperlink r:id="rId8" w:history="1">
        <w:r w:rsidR="002B0FA8" w:rsidRPr="001420B4">
          <w:rPr>
            <w:rStyle w:val="Hyperlink"/>
            <w:rFonts w:cs="Times New Roman"/>
            <w:sz w:val="26"/>
            <w:szCs w:val="26"/>
          </w:rPr>
          <w:t>william.wright@puc.state.oh.us</w:t>
        </w:r>
      </w:hyperlink>
    </w:p>
    <w:p w:rsidR="00813472" w:rsidRDefault="00935201" w:rsidP="000E73B4">
      <w:pPr>
        <w:spacing w:after="0" w:line="240" w:lineRule="auto"/>
        <w:ind w:left="4320"/>
        <w:jc w:val="both"/>
        <w:rPr>
          <w:rFonts w:cs="Times New Roman"/>
          <w:sz w:val="26"/>
          <w:szCs w:val="26"/>
        </w:rPr>
      </w:pPr>
      <w:hyperlink r:id="rId9" w:history="1">
        <w:r w:rsidR="001420B4" w:rsidRPr="009C1D5B">
          <w:rPr>
            <w:rStyle w:val="Hyperlink"/>
            <w:rFonts w:cs="Times New Roman"/>
            <w:sz w:val="26"/>
            <w:szCs w:val="26"/>
          </w:rPr>
          <w:t>stephen.reilly@puc.state.oh.us</w:t>
        </w:r>
      </w:hyperlink>
    </w:p>
    <w:p w:rsidR="00915BED" w:rsidRDefault="00915BED" w:rsidP="00915BED">
      <w:pPr>
        <w:pStyle w:val="NoSpacing"/>
      </w:pPr>
    </w:p>
    <w:p w:rsidR="000E73B4" w:rsidRDefault="000E73B4" w:rsidP="000E73B4">
      <w:pPr>
        <w:pStyle w:val="NoSpacing"/>
      </w:pPr>
    </w:p>
    <w:p w:rsidR="004B3408" w:rsidRDefault="004B3408" w:rsidP="000E73B4">
      <w:pPr>
        <w:pStyle w:val="NoSpacing"/>
      </w:pPr>
    </w:p>
    <w:p w:rsidR="004B3408" w:rsidRDefault="004B3408" w:rsidP="000E73B4">
      <w:pPr>
        <w:pStyle w:val="NoSpacing"/>
      </w:pPr>
    </w:p>
    <w:p w:rsidR="004B3408" w:rsidRPr="000E73B4" w:rsidRDefault="004B3408" w:rsidP="000E73B4">
      <w:pPr>
        <w:pStyle w:val="NoSpacing"/>
      </w:pPr>
    </w:p>
    <w:p w:rsidR="00813472" w:rsidRPr="00CD42AF" w:rsidRDefault="00813472" w:rsidP="00CD42AF">
      <w:pPr>
        <w:jc w:val="both"/>
        <w:rPr>
          <w:rFonts w:cs="Times New Roman"/>
          <w:sz w:val="26"/>
          <w:szCs w:val="26"/>
        </w:rPr>
      </w:pPr>
      <w:r w:rsidRPr="00CD42AF">
        <w:rPr>
          <w:rFonts w:cs="Times New Roman"/>
          <w:sz w:val="26"/>
          <w:szCs w:val="26"/>
        </w:rPr>
        <w:t xml:space="preserve">Date Submitted: </w:t>
      </w:r>
      <w:r w:rsidR="009434D3">
        <w:rPr>
          <w:rFonts w:cs="Times New Roman"/>
          <w:sz w:val="26"/>
          <w:szCs w:val="26"/>
        </w:rPr>
        <w:t xml:space="preserve">August </w:t>
      </w:r>
      <w:r w:rsidR="00457618">
        <w:rPr>
          <w:rFonts w:cs="Times New Roman"/>
          <w:sz w:val="26"/>
          <w:szCs w:val="26"/>
        </w:rPr>
        <w:t>15</w:t>
      </w:r>
      <w:r w:rsidR="00457618" w:rsidRPr="00CD42AF">
        <w:rPr>
          <w:rFonts w:cs="Times New Roman"/>
          <w:sz w:val="26"/>
          <w:szCs w:val="26"/>
        </w:rPr>
        <w:t xml:space="preserve">, </w:t>
      </w:r>
      <w:r w:rsidR="00CD42AF" w:rsidRPr="00CD42AF">
        <w:rPr>
          <w:rFonts w:cs="Times New Roman"/>
          <w:sz w:val="26"/>
          <w:szCs w:val="26"/>
        </w:rPr>
        <w:t>2012</w:t>
      </w:r>
    </w:p>
    <w:p w:rsidR="00CD42AF" w:rsidRPr="00CD42AF" w:rsidRDefault="00CD42AF">
      <w:pPr>
        <w:rPr>
          <w:rFonts w:cs="Times New Roman"/>
          <w:sz w:val="26"/>
          <w:szCs w:val="26"/>
        </w:rPr>
        <w:sectPr w:rsidR="00CD42AF" w:rsidRPr="00CD42AF" w:rsidSect="00B65AD5">
          <w:footerReference w:type="default" r:id="rId10"/>
          <w:pgSz w:w="12240" w:h="15840"/>
          <w:pgMar w:top="1440" w:right="1440" w:bottom="1440" w:left="1440" w:header="720" w:footer="720" w:gutter="0"/>
          <w:cols w:space="720"/>
          <w:titlePg/>
          <w:docGrid w:linePitch="360"/>
        </w:sectPr>
      </w:pPr>
    </w:p>
    <w:p w:rsidR="00522146" w:rsidRDefault="0059084C">
      <w:pPr>
        <w:pStyle w:val="TOC1"/>
        <w:rPr>
          <w:rFonts w:asciiTheme="minorHAnsi" w:eastAsiaTheme="minorEastAsia" w:hAnsiTheme="minorHAnsi"/>
          <w:noProof/>
          <w:sz w:val="22"/>
        </w:rPr>
      </w:pPr>
      <w:r>
        <w:rPr>
          <w:rFonts w:cs="Times New Roman"/>
          <w:b/>
          <w:szCs w:val="26"/>
        </w:rPr>
        <w:lastRenderedPageBreak/>
        <w:fldChar w:fldCharType="begin"/>
      </w:r>
      <w:r>
        <w:rPr>
          <w:rFonts w:cs="Times New Roman"/>
          <w:b/>
          <w:szCs w:val="26"/>
        </w:rPr>
        <w:instrText xml:space="preserve"> TOC \o "1-5" \u </w:instrText>
      </w:r>
      <w:r>
        <w:rPr>
          <w:rFonts w:cs="Times New Roman"/>
          <w:b/>
          <w:szCs w:val="26"/>
        </w:rPr>
        <w:fldChar w:fldCharType="separate"/>
      </w:r>
      <w:r w:rsidR="00522146">
        <w:rPr>
          <w:noProof/>
        </w:rPr>
        <w:t>I.</w:t>
      </w:r>
      <w:r w:rsidR="00522146">
        <w:rPr>
          <w:rFonts w:asciiTheme="minorHAnsi" w:eastAsiaTheme="minorEastAsia" w:hAnsiTheme="minorHAnsi"/>
          <w:noProof/>
          <w:sz w:val="22"/>
        </w:rPr>
        <w:tab/>
      </w:r>
      <w:r w:rsidR="00522146">
        <w:rPr>
          <w:noProof/>
        </w:rPr>
        <w:t>INTRODUCTION</w:t>
      </w:r>
      <w:r w:rsidR="00522146">
        <w:rPr>
          <w:noProof/>
        </w:rPr>
        <w:tab/>
      </w:r>
      <w:r w:rsidR="00522146">
        <w:rPr>
          <w:noProof/>
        </w:rPr>
        <w:fldChar w:fldCharType="begin"/>
      </w:r>
      <w:r w:rsidR="00522146">
        <w:rPr>
          <w:noProof/>
        </w:rPr>
        <w:instrText xml:space="preserve"> PAGEREF _Toc332788830 \h </w:instrText>
      </w:r>
      <w:r w:rsidR="00522146">
        <w:rPr>
          <w:noProof/>
        </w:rPr>
      </w:r>
      <w:r w:rsidR="00522146">
        <w:rPr>
          <w:noProof/>
        </w:rPr>
        <w:fldChar w:fldCharType="separate"/>
      </w:r>
      <w:r w:rsidR="000B288C">
        <w:rPr>
          <w:noProof/>
        </w:rPr>
        <w:t>1</w:t>
      </w:r>
      <w:r w:rsidR="00522146">
        <w:rPr>
          <w:noProof/>
        </w:rPr>
        <w:fldChar w:fldCharType="end"/>
      </w:r>
    </w:p>
    <w:p w:rsidR="00522146" w:rsidRDefault="00522146">
      <w:pPr>
        <w:pStyle w:val="TOC1"/>
        <w:rPr>
          <w:rFonts w:asciiTheme="minorHAnsi" w:eastAsiaTheme="minorEastAsia" w:hAnsiTheme="minorHAnsi"/>
          <w:noProof/>
          <w:sz w:val="22"/>
        </w:rPr>
      </w:pPr>
      <w:r>
        <w:rPr>
          <w:noProof/>
        </w:rPr>
        <w:t>II.</w:t>
      </w:r>
      <w:r>
        <w:rPr>
          <w:rFonts w:asciiTheme="minorHAnsi" w:eastAsiaTheme="minorEastAsia" w:hAnsiTheme="minorHAnsi"/>
          <w:noProof/>
          <w:sz w:val="22"/>
        </w:rPr>
        <w:tab/>
      </w:r>
      <w:r>
        <w:rPr>
          <w:noProof/>
        </w:rPr>
        <w:t>STAFF’S SUR-REPLY COMMENTS</w:t>
      </w:r>
      <w:r>
        <w:rPr>
          <w:noProof/>
        </w:rPr>
        <w:tab/>
      </w:r>
      <w:r>
        <w:rPr>
          <w:noProof/>
        </w:rPr>
        <w:fldChar w:fldCharType="begin"/>
      </w:r>
      <w:r>
        <w:rPr>
          <w:noProof/>
        </w:rPr>
        <w:instrText xml:space="preserve"> PAGEREF _Toc332788831 \h </w:instrText>
      </w:r>
      <w:r>
        <w:rPr>
          <w:noProof/>
        </w:rPr>
      </w:r>
      <w:r>
        <w:rPr>
          <w:noProof/>
        </w:rPr>
        <w:fldChar w:fldCharType="separate"/>
      </w:r>
      <w:r w:rsidR="000B288C">
        <w:rPr>
          <w:noProof/>
        </w:rPr>
        <w:t>2</w:t>
      </w:r>
      <w:r>
        <w:rPr>
          <w:noProof/>
        </w:rPr>
        <w:fldChar w:fldCharType="end"/>
      </w:r>
    </w:p>
    <w:p w:rsidR="00522146" w:rsidRDefault="00522146">
      <w:pPr>
        <w:pStyle w:val="TOC2"/>
        <w:tabs>
          <w:tab w:val="left" w:pos="1440"/>
        </w:tabs>
        <w:rPr>
          <w:rFonts w:asciiTheme="minorHAnsi" w:eastAsiaTheme="minorEastAsia" w:hAnsiTheme="minorHAnsi"/>
          <w:noProof/>
          <w:sz w:val="22"/>
        </w:rPr>
      </w:pPr>
      <w:r>
        <w:rPr>
          <w:noProof/>
        </w:rPr>
        <w:t>A.</w:t>
      </w:r>
      <w:r>
        <w:rPr>
          <w:rFonts w:asciiTheme="minorHAnsi" w:eastAsiaTheme="minorEastAsia" w:hAnsiTheme="minorHAnsi"/>
          <w:noProof/>
          <w:sz w:val="22"/>
        </w:rPr>
        <w:tab/>
      </w:r>
      <w:r>
        <w:rPr>
          <w:noProof/>
        </w:rPr>
        <w:t>Columbia and the Staff agree that the total monthly deferred regulatory asset should be net of any incremental revenue and, to avoid ambiguity, the determination of incremental revenue should be clearly defined.</w:t>
      </w:r>
      <w:r>
        <w:rPr>
          <w:noProof/>
        </w:rPr>
        <w:tab/>
      </w:r>
      <w:r>
        <w:rPr>
          <w:noProof/>
        </w:rPr>
        <w:fldChar w:fldCharType="begin"/>
      </w:r>
      <w:r>
        <w:rPr>
          <w:noProof/>
        </w:rPr>
        <w:instrText xml:space="preserve"> PAGEREF _Toc332788832 \h </w:instrText>
      </w:r>
      <w:r>
        <w:rPr>
          <w:noProof/>
        </w:rPr>
      </w:r>
      <w:r>
        <w:rPr>
          <w:noProof/>
        </w:rPr>
        <w:fldChar w:fldCharType="separate"/>
      </w:r>
      <w:r w:rsidR="000B288C">
        <w:rPr>
          <w:noProof/>
        </w:rPr>
        <w:t>2</w:t>
      </w:r>
      <w:r>
        <w:rPr>
          <w:noProof/>
        </w:rPr>
        <w:fldChar w:fldCharType="end"/>
      </w:r>
    </w:p>
    <w:p w:rsidR="00522146" w:rsidRDefault="00522146">
      <w:pPr>
        <w:pStyle w:val="TOC2"/>
        <w:tabs>
          <w:tab w:val="left" w:pos="1440"/>
        </w:tabs>
        <w:rPr>
          <w:rFonts w:asciiTheme="minorHAnsi" w:eastAsiaTheme="minorEastAsia" w:hAnsiTheme="minorHAnsi"/>
          <w:noProof/>
          <w:sz w:val="22"/>
        </w:rPr>
      </w:pPr>
      <w:r>
        <w:rPr>
          <w:noProof/>
        </w:rPr>
        <w:t>B.</w:t>
      </w:r>
      <w:r>
        <w:rPr>
          <w:rFonts w:asciiTheme="minorHAnsi" w:eastAsiaTheme="minorEastAsia" w:hAnsiTheme="minorHAnsi"/>
          <w:noProof/>
          <w:sz w:val="22"/>
        </w:rPr>
        <w:tab/>
      </w:r>
      <w:r>
        <w:rPr>
          <w:noProof/>
        </w:rPr>
        <w:t>Columbia and Staff agree that the monthly deferred PISCC should be based on net plant.</w:t>
      </w:r>
      <w:r>
        <w:rPr>
          <w:noProof/>
        </w:rPr>
        <w:tab/>
      </w:r>
      <w:r>
        <w:rPr>
          <w:noProof/>
        </w:rPr>
        <w:fldChar w:fldCharType="begin"/>
      </w:r>
      <w:r>
        <w:rPr>
          <w:noProof/>
        </w:rPr>
        <w:instrText xml:space="preserve"> PAGEREF _Toc332788833 \h </w:instrText>
      </w:r>
      <w:r>
        <w:rPr>
          <w:noProof/>
        </w:rPr>
      </w:r>
      <w:r>
        <w:rPr>
          <w:noProof/>
        </w:rPr>
        <w:fldChar w:fldCharType="separate"/>
      </w:r>
      <w:r w:rsidR="000B288C">
        <w:rPr>
          <w:noProof/>
        </w:rPr>
        <w:t>4</w:t>
      </w:r>
      <w:r>
        <w:rPr>
          <w:noProof/>
        </w:rPr>
        <w:fldChar w:fldCharType="end"/>
      </w:r>
    </w:p>
    <w:p w:rsidR="00522146" w:rsidRDefault="00522146">
      <w:pPr>
        <w:pStyle w:val="TOC2"/>
        <w:tabs>
          <w:tab w:val="left" w:pos="1440"/>
        </w:tabs>
        <w:rPr>
          <w:rFonts w:asciiTheme="minorHAnsi" w:eastAsiaTheme="minorEastAsia" w:hAnsiTheme="minorHAnsi"/>
          <w:noProof/>
          <w:sz w:val="22"/>
        </w:rPr>
      </w:pPr>
      <w:r>
        <w:rPr>
          <w:noProof/>
        </w:rPr>
        <w:t>C.</w:t>
      </w:r>
      <w:r>
        <w:rPr>
          <w:rFonts w:asciiTheme="minorHAnsi" w:eastAsiaTheme="minorEastAsia" w:hAnsiTheme="minorHAnsi"/>
          <w:noProof/>
          <w:sz w:val="22"/>
        </w:rPr>
        <w:tab/>
      </w:r>
      <w:r>
        <w:rPr>
          <w:noProof/>
        </w:rPr>
        <w:t>Columbia and the Staff agree that calculation of monthly deferral of depreciation and property tax expenses should follow the formulas initially recommended by Staff in its Comments docketed February 17, 2012.</w:t>
      </w:r>
      <w:r>
        <w:rPr>
          <w:noProof/>
        </w:rPr>
        <w:tab/>
      </w:r>
      <w:r>
        <w:rPr>
          <w:noProof/>
        </w:rPr>
        <w:fldChar w:fldCharType="begin"/>
      </w:r>
      <w:r>
        <w:rPr>
          <w:noProof/>
        </w:rPr>
        <w:instrText xml:space="preserve"> PAGEREF _Toc332788834 \h </w:instrText>
      </w:r>
      <w:r>
        <w:rPr>
          <w:noProof/>
        </w:rPr>
      </w:r>
      <w:r>
        <w:rPr>
          <w:noProof/>
        </w:rPr>
        <w:fldChar w:fldCharType="separate"/>
      </w:r>
      <w:r w:rsidR="000B288C">
        <w:rPr>
          <w:noProof/>
        </w:rPr>
        <w:t>6</w:t>
      </w:r>
      <w:r>
        <w:rPr>
          <w:noProof/>
        </w:rPr>
        <w:fldChar w:fldCharType="end"/>
      </w:r>
    </w:p>
    <w:p w:rsidR="00522146" w:rsidRDefault="00522146">
      <w:pPr>
        <w:pStyle w:val="TOC2"/>
        <w:tabs>
          <w:tab w:val="left" w:pos="1440"/>
        </w:tabs>
        <w:rPr>
          <w:rFonts w:asciiTheme="minorHAnsi" w:eastAsiaTheme="minorEastAsia" w:hAnsiTheme="minorHAnsi"/>
          <w:noProof/>
          <w:sz w:val="22"/>
        </w:rPr>
      </w:pPr>
      <w:r>
        <w:rPr>
          <w:noProof/>
        </w:rPr>
        <w:t>D.</w:t>
      </w:r>
      <w:r>
        <w:rPr>
          <w:rFonts w:asciiTheme="minorHAnsi" w:eastAsiaTheme="minorEastAsia" w:hAnsiTheme="minorHAnsi"/>
          <w:noProof/>
          <w:sz w:val="22"/>
        </w:rPr>
        <w:tab/>
      </w:r>
      <w:r>
        <w:rPr>
          <w:noProof/>
        </w:rPr>
        <w:t>Columbia and the Staff agree that Columbia should make annual informational filings.</w:t>
      </w:r>
      <w:r>
        <w:rPr>
          <w:noProof/>
        </w:rPr>
        <w:tab/>
      </w:r>
      <w:r>
        <w:rPr>
          <w:noProof/>
        </w:rPr>
        <w:fldChar w:fldCharType="begin"/>
      </w:r>
      <w:r>
        <w:rPr>
          <w:noProof/>
        </w:rPr>
        <w:instrText xml:space="preserve"> PAGEREF _Toc332788835 \h </w:instrText>
      </w:r>
      <w:r>
        <w:rPr>
          <w:noProof/>
        </w:rPr>
      </w:r>
      <w:r>
        <w:rPr>
          <w:noProof/>
        </w:rPr>
        <w:fldChar w:fldCharType="separate"/>
      </w:r>
      <w:r w:rsidR="000B288C">
        <w:rPr>
          <w:noProof/>
        </w:rPr>
        <w:t>6</w:t>
      </w:r>
      <w:r>
        <w:rPr>
          <w:noProof/>
        </w:rPr>
        <w:fldChar w:fldCharType="end"/>
      </w:r>
    </w:p>
    <w:p w:rsidR="00522146" w:rsidRDefault="00522146">
      <w:pPr>
        <w:pStyle w:val="TOC2"/>
        <w:tabs>
          <w:tab w:val="left" w:pos="1440"/>
        </w:tabs>
        <w:rPr>
          <w:rFonts w:asciiTheme="minorHAnsi" w:eastAsiaTheme="minorEastAsia" w:hAnsiTheme="minorHAnsi"/>
          <w:noProof/>
          <w:sz w:val="22"/>
        </w:rPr>
      </w:pPr>
      <w:r>
        <w:rPr>
          <w:noProof/>
        </w:rPr>
        <w:t>E.</w:t>
      </w:r>
      <w:r>
        <w:rPr>
          <w:rFonts w:asciiTheme="minorHAnsi" w:eastAsiaTheme="minorEastAsia" w:hAnsiTheme="minorHAnsi"/>
          <w:noProof/>
          <w:sz w:val="22"/>
        </w:rPr>
        <w:tab/>
      </w:r>
      <w:r>
        <w:rPr>
          <w:noProof/>
        </w:rPr>
        <w:t>Columbia and the Staff agree that there should be a cap on CEP deferrals.</w:t>
      </w:r>
      <w:r>
        <w:rPr>
          <w:noProof/>
        </w:rPr>
        <w:tab/>
      </w:r>
      <w:r>
        <w:rPr>
          <w:noProof/>
        </w:rPr>
        <w:fldChar w:fldCharType="begin"/>
      </w:r>
      <w:r>
        <w:rPr>
          <w:noProof/>
        </w:rPr>
        <w:instrText xml:space="preserve"> PAGEREF _Toc332788836 \h </w:instrText>
      </w:r>
      <w:r>
        <w:rPr>
          <w:noProof/>
        </w:rPr>
      </w:r>
      <w:r>
        <w:rPr>
          <w:noProof/>
        </w:rPr>
        <w:fldChar w:fldCharType="separate"/>
      </w:r>
      <w:r w:rsidR="000B288C">
        <w:rPr>
          <w:noProof/>
        </w:rPr>
        <w:t>7</w:t>
      </w:r>
      <w:r>
        <w:rPr>
          <w:noProof/>
        </w:rPr>
        <w:fldChar w:fldCharType="end"/>
      </w:r>
    </w:p>
    <w:p w:rsidR="00522146" w:rsidRDefault="00522146">
      <w:pPr>
        <w:pStyle w:val="TOC2"/>
        <w:tabs>
          <w:tab w:val="left" w:pos="1440"/>
        </w:tabs>
        <w:rPr>
          <w:rFonts w:asciiTheme="minorHAnsi" w:eastAsiaTheme="minorEastAsia" w:hAnsiTheme="minorHAnsi"/>
          <w:noProof/>
          <w:sz w:val="22"/>
        </w:rPr>
      </w:pPr>
      <w:r>
        <w:rPr>
          <w:noProof/>
        </w:rPr>
        <w:t>F.</w:t>
      </w:r>
      <w:r>
        <w:rPr>
          <w:rFonts w:asciiTheme="minorHAnsi" w:eastAsiaTheme="minorEastAsia" w:hAnsiTheme="minorHAnsi"/>
          <w:noProof/>
          <w:sz w:val="22"/>
        </w:rPr>
        <w:tab/>
      </w:r>
      <w:r>
        <w:rPr>
          <w:noProof/>
        </w:rPr>
        <w:t>The Commission should establish the specific formulas that should be used to calculate the total monthly CEP deferrals.</w:t>
      </w:r>
      <w:r>
        <w:rPr>
          <w:noProof/>
        </w:rPr>
        <w:tab/>
      </w:r>
      <w:r>
        <w:rPr>
          <w:noProof/>
        </w:rPr>
        <w:fldChar w:fldCharType="begin"/>
      </w:r>
      <w:r>
        <w:rPr>
          <w:noProof/>
        </w:rPr>
        <w:instrText xml:space="preserve"> PAGEREF _Toc332788837 \h </w:instrText>
      </w:r>
      <w:r>
        <w:rPr>
          <w:noProof/>
        </w:rPr>
      </w:r>
      <w:r>
        <w:rPr>
          <w:noProof/>
        </w:rPr>
        <w:fldChar w:fldCharType="separate"/>
      </w:r>
      <w:r w:rsidR="000B288C">
        <w:rPr>
          <w:noProof/>
        </w:rPr>
        <w:t>9</w:t>
      </w:r>
      <w:r>
        <w:rPr>
          <w:noProof/>
        </w:rPr>
        <w:fldChar w:fldCharType="end"/>
      </w:r>
    </w:p>
    <w:p w:rsidR="00522146" w:rsidRDefault="00522146">
      <w:pPr>
        <w:pStyle w:val="TOC1"/>
        <w:rPr>
          <w:rFonts w:asciiTheme="minorHAnsi" w:eastAsiaTheme="minorEastAsia" w:hAnsiTheme="minorHAnsi"/>
          <w:noProof/>
          <w:sz w:val="22"/>
        </w:rPr>
      </w:pPr>
      <w:r>
        <w:rPr>
          <w:noProof/>
        </w:rPr>
        <w:t>III.</w:t>
      </w:r>
      <w:r>
        <w:rPr>
          <w:rFonts w:asciiTheme="minorHAnsi" w:eastAsiaTheme="minorEastAsia" w:hAnsiTheme="minorHAnsi"/>
          <w:noProof/>
          <w:sz w:val="22"/>
        </w:rPr>
        <w:tab/>
      </w:r>
      <w:r>
        <w:rPr>
          <w:noProof/>
        </w:rPr>
        <w:t>CONCLUSION</w:t>
      </w:r>
      <w:r>
        <w:rPr>
          <w:noProof/>
        </w:rPr>
        <w:tab/>
      </w:r>
      <w:r>
        <w:rPr>
          <w:noProof/>
        </w:rPr>
        <w:fldChar w:fldCharType="begin"/>
      </w:r>
      <w:r>
        <w:rPr>
          <w:noProof/>
        </w:rPr>
        <w:instrText xml:space="preserve"> PAGEREF _Toc332788838 \h </w:instrText>
      </w:r>
      <w:r>
        <w:rPr>
          <w:noProof/>
        </w:rPr>
      </w:r>
      <w:r>
        <w:rPr>
          <w:noProof/>
        </w:rPr>
        <w:fldChar w:fldCharType="separate"/>
      </w:r>
      <w:r w:rsidR="000B288C">
        <w:rPr>
          <w:noProof/>
        </w:rPr>
        <w:t>11</w:t>
      </w:r>
      <w:r>
        <w:rPr>
          <w:noProof/>
        </w:rPr>
        <w:fldChar w:fldCharType="end"/>
      </w:r>
    </w:p>
    <w:p w:rsidR="00522146" w:rsidRDefault="00522146">
      <w:pPr>
        <w:pStyle w:val="TOC1"/>
        <w:rPr>
          <w:rFonts w:asciiTheme="minorHAnsi" w:eastAsiaTheme="minorEastAsia" w:hAnsiTheme="minorHAnsi"/>
          <w:noProof/>
          <w:sz w:val="22"/>
        </w:rPr>
      </w:pPr>
      <w:r>
        <w:rPr>
          <w:noProof/>
        </w:rPr>
        <w:t>IV.</w:t>
      </w:r>
      <w:r>
        <w:rPr>
          <w:rFonts w:asciiTheme="minorHAnsi" w:eastAsiaTheme="minorEastAsia" w:hAnsiTheme="minorHAnsi"/>
          <w:noProof/>
          <w:sz w:val="22"/>
        </w:rPr>
        <w:tab/>
      </w:r>
      <w:r>
        <w:rPr>
          <w:noProof/>
        </w:rPr>
        <w:t>CERTIFICATE OF SERVICE</w:t>
      </w:r>
      <w:r>
        <w:rPr>
          <w:noProof/>
        </w:rPr>
        <w:tab/>
      </w:r>
      <w:r>
        <w:rPr>
          <w:noProof/>
        </w:rPr>
        <w:fldChar w:fldCharType="begin"/>
      </w:r>
      <w:r>
        <w:rPr>
          <w:noProof/>
        </w:rPr>
        <w:instrText xml:space="preserve"> PAGEREF _Toc332788839 \h </w:instrText>
      </w:r>
      <w:r>
        <w:rPr>
          <w:noProof/>
        </w:rPr>
      </w:r>
      <w:r>
        <w:rPr>
          <w:noProof/>
        </w:rPr>
        <w:fldChar w:fldCharType="separate"/>
      </w:r>
      <w:r w:rsidR="000B288C">
        <w:rPr>
          <w:noProof/>
        </w:rPr>
        <w:t>12</w:t>
      </w:r>
      <w:r>
        <w:rPr>
          <w:noProof/>
        </w:rPr>
        <w:fldChar w:fldCharType="end"/>
      </w:r>
    </w:p>
    <w:p w:rsidR="000E73B4" w:rsidRDefault="0059084C">
      <w:pPr>
        <w:rPr>
          <w:rFonts w:cs="Times New Roman"/>
          <w:b/>
          <w:sz w:val="26"/>
          <w:szCs w:val="26"/>
        </w:rPr>
        <w:sectPr w:rsidR="000E73B4" w:rsidSect="002B0FA8">
          <w:headerReference w:type="default" r:id="rId11"/>
          <w:footerReference w:type="default" r:id="rId12"/>
          <w:pgSz w:w="12240" w:h="15840"/>
          <w:pgMar w:top="1440" w:right="1440" w:bottom="1440" w:left="1440" w:header="720" w:footer="720" w:gutter="0"/>
          <w:pgNumType w:fmt="lowerRoman" w:start="1"/>
          <w:cols w:space="720"/>
          <w:docGrid w:linePitch="360"/>
        </w:sectPr>
      </w:pPr>
      <w:r>
        <w:rPr>
          <w:rFonts w:cs="Times New Roman"/>
          <w:b/>
          <w:sz w:val="26"/>
          <w:szCs w:val="26"/>
        </w:rPr>
        <w:fldChar w:fldCharType="end"/>
      </w:r>
    </w:p>
    <w:p w:rsidR="000E73B4" w:rsidRDefault="000E73B4" w:rsidP="000E73B4">
      <w:pPr>
        <w:spacing w:after="0" w:line="240" w:lineRule="auto"/>
        <w:jc w:val="center"/>
        <w:rPr>
          <w:rFonts w:cs="Times New Roman"/>
          <w:b/>
          <w:sz w:val="26"/>
          <w:szCs w:val="26"/>
        </w:rPr>
      </w:pPr>
      <w:r w:rsidRPr="00CD42AF">
        <w:rPr>
          <w:rFonts w:cs="Times New Roman"/>
          <w:b/>
          <w:sz w:val="26"/>
          <w:szCs w:val="26"/>
        </w:rPr>
        <w:lastRenderedPageBreak/>
        <w:t>BEFORE</w:t>
      </w:r>
    </w:p>
    <w:p w:rsidR="000E73B4" w:rsidRPr="00CD42AF" w:rsidRDefault="000E73B4" w:rsidP="000E73B4">
      <w:pPr>
        <w:spacing w:after="0" w:line="240" w:lineRule="auto"/>
        <w:jc w:val="center"/>
        <w:rPr>
          <w:rFonts w:cs="Times New Roman"/>
          <w:b/>
          <w:sz w:val="26"/>
          <w:szCs w:val="26"/>
        </w:rPr>
      </w:pPr>
      <w:r w:rsidRPr="00CD42AF">
        <w:rPr>
          <w:rFonts w:cs="Times New Roman"/>
          <w:b/>
          <w:sz w:val="26"/>
          <w:szCs w:val="26"/>
        </w:rPr>
        <w:t>THE PUBLIC UTILITIES COMMISSION OF OHIO</w:t>
      </w:r>
    </w:p>
    <w:p w:rsidR="000E73B4" w:rsidRPr="00CD42AF" w:rsidRDefault="000E73B4" w:rsidP="000E73B4">
      <w:pPr>
        <w:rPr>
          <w:rFonts w:cs="Times New Roman"/>
          <w:sz w:val="26"/>
          <w:szCs w:val="26"/>
        </w:rPr>
      </w:pPr>
    </w:p>
    <w:tbl>
      <w:tblPr>
        <w:tblW w:w="8762" w:type="dxa"/>
        <w:tblLook w:val="04A0" w:firstRow="1" w:lastRow="0" w:firstColumn="1" w:lastColumn="0" w:noHBand="0" w:noVBand="1"/>
      </w:tblPr>
      <w:tblGrid>
        <w:gridCol w:w="4518"/>
        <w:gridCol w:w="360"/>
        <w:gridCol w:w="3884"/>
      </w:tblGrid>
      <w:tr w:rsidR="000E73B4" w:rsidRPr="00CD42AF" w:rsidTr="00915BED">
        <w:tc>
          <w:tcPr>
            <w:tcW w:w="4518" w:type="dxa"/>
            <w:shd w:val="clear" w:color="auto" w:fill="auto"/>
          </w:tcPr>
          <w:p w:rsidR="000E73B4" w:rsidRPr="0036080A" w:rsidRDefault="000E73B4" w:rsidP="00915BED">
            <w:pPr>
              <w:spacing w:after="0" w:line="240" w:lineRule="auto"/>
              <w:rPr>
                <w:rFonts w:cs="Times New Roman"/>
                <w:sz w:val="26"/>
                <w:szCs w:val="26"/>
              </w:rPr>
            </w:pPr>
            <w:r w:rsidRPr="0036080A">
              <w:rPr>
                <w:rFonts w:cs="Times New Roman"/>
                <w:sz w:val="26"/>
                <w:szCs w:val="26"/>
              </w:rPr>
              <w:t>In the Matter of the Application of Columbia Gas of Ohio, Inc., for A</w:t>
            </w:r>
            <w:r>
              <w:rPr>
                <w:rFonts w:cs="Times New Roman"/>
                <w:sz w:val="26"/>
                <w:szCs w:val="26"/>
              </w:rPr>
              <w:t xml:space="preserve">pproval </w:t>
            </w:r>
            <w:r w:rsidRPr="0036080A">
              <w:rPr>
                <w:rFonts w:cs="Times New Roman"/>
                <w:sz w:val="26"/>
                <w:szCs w:val="26"/>
              </w:rPr>
              <w:t xml:space="preserve">to </w:t>
            </w:r>
            <w:r>
              <w:rPr>
                <w:rFonts w:cs="Times New Roman"/>
                <w:sz w:val="26"/>
                <w:szCs w:val="26"/>
              </w:rPr>
              <w:t xml:space="preserve">Implement a Capital Expenditure </w:t>
            </w:r>
            <w:r w:rsidRPr="0036080A">
              <w:rPr>
                <w:rFonts w:cs="Times New Roman"/>
                <w:sz w:val="26"/>
                <w:szCs w:val="26"/>
              </w:rPr>
              <w:t>Program.</w:t>
            </w:r>
          </w:p>
        </w:tc>
        <w:tc>
          <w:tcPr>
            <w:tcW w:w="360" w:type="dxa"/>
          </w:tcPr>
          <w:p w:rsidR="000E73B4" w:rsidRPr="00CD42AF" w:rsidRDefault="000E73B4" w:rsidP="00915BED">
            <w:pPr>
              <w:pStyle w:val="NoSpacing"/>
              <w:rPr>
                <w:rFonts w:cs="Times New Roman"/>
                <w:sz w:val="26"/>
                <w:szCs w:val="26"/>
              </w:rPr>
            </w:pPr>
            <w:r>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r>
              <w:rPr>
                <w:rFonts w:cs="Times New Roman"/>
                <w:sz w:val="26"/>
                <w:szCs w:val="26"/>
              </w:rPr>
              <w:br/>
            </w:r>
          </w:p>
        </w:tc>
        <w:tc>
          <w:tcPr>
            <w:tcW w:w="3884" w:type="dxa"/>
            <w:shd w:val="clear" w:color="auto" w:fill="auto"/>
          </w:tcPr>
          <w:p w:rsidR="000E73B4" w:rsidRPr="00CD42AF" w:rsidRDefault="000E73B4" w:rsidP="00915BED">
            <w:pPr>
              <w:spacing w:after="0" w:line="240" w:lineRule="auto"/>
              <w:ind w:left="-288"/>
              <w:rPr>
                <w:rFonts w:cs="Times New Roman"/>
                <w:sz w:val="26"/>
                <w:szCs w:val="26"/>
              </w:rPr>
            </w:pPr>
          </w:p>
          <w:p w:rsidR="000E73B4" w:rsidRPr="00CD42AF" w:rsidRDefault="000E73B4" w:rsidP="00915BED">
            <w:pPr>
              <w:spacing w:after="0" w:line="240" w:lineRule="auto"/>
              <w:ind w:left="72"/>
              <w:rPr>
                <w:rFonts w:cs="Times New Roman"/>
                <w:sz w:val="26"/>
                <w:szCs w:val="26"/>
              </w:rPr>
            </w:pPr>
            <w:r w:rsidRPr="00CD42AF">
              <w:rPr>
                <w:rFonts w:cs="Times New Roman"/>
                <w:sz w:val="26"/>
                <w:szCs w:val="26"/>
              </w:rPr>
              <w:t xml:space="preserve">Case No. </w:t>
            </w:r>
            <w:r>
              <w:rPr>
                <w:rFonts w:cs="Times New Roman"/>
                <w:sz w:val="26"/>
                <w:szCs w:val="26"/>
              </w:rPr>
              <w:t>11-5351</w:t>
            </w:r>
            <w:r w:rsidRPr="00CD42AF">
              <w:rPr>
                <w:rFonts w:cs="Times New Roman"/>
                <w:sz w:val="26"/>
                <w:szCs w:val="26"/>
              </w:rPr>
              <w:t>-GA-</w:t>
            </w:r>
            <w:r>
              <w:rPr>
                <w:rFonts w:cs="Times New Roman"/>
                <w:sz w:val="26"/>
                <w:szCs w:val="26"/>
              </w:rPr>
              <w:t>UNC</w:t>
            </w:r>
          </w:p>
        </w:tc>
      </w:tr>
      <w:tr w:rsidR="000E73B4" w:rsidRPr="00CD42AF" w:rsidTr="00915BED">
        <w:tc>
          <w:tcPr>
            <w:tcW w:w="4518" w:type="dxa"/>
            <w:shd w:val="clear" w:color="auto" w:fill="auto"/>
          </w:tcPr>
          <w:p w:rsidR="000E73B4" w:rsidRPr="0036080A" w:rsidRDefault="000E73B4" w:rsidP="00915BED">
            <w:pPr>
              <w:spacing w:after="0" w:line="240" w:lineRule="auto"/>
              <w:rPr>
                <w:rFonts w:cs="Times New Roman"/>
                <w:sz w:val="26"/>
                <w:szCs w:val="26"/>
              </w:rPr>
            </w:pPr>
            <w:r w:rsidRPr="0036080A">
              <w:rPr>
                <w:rFonts w:cs="Times New Roman"/>
                <w:sz w:val="26"/>
                <w:szCs w:val="26"/>
              </w:rPr>
              <w:t>In the Matter of the Application of Columbia Gas of Ohio, Inc., for A</w:t>
            </w:r>
            <w:r>
              <w:rPr>
                <w:rFonts w:cs="Times New Roman"/>
                <w:sz w:val="26"/>
                <w:szCs w:val="26"/>
              </w:rPr>
              <w:t xml:space="preserve">pproval </w:t>
            </w:r>
            <w:r w:rsidRPr="0036080A">
              <w:rPr>
                <w:rFonts w:cs="Times New Roman"/>
                <w:sz w:val="26"/>
                <w:szCs w:val="26"/>
              </w:rPr>
              <w:t xml:space="preserve">to </w:t>
            </w:r>
            <w:r>
              <w:rPr>
                <w:rFonts w:cs="Times New Roman"/>
                <w:sz w:val="26"/>
                <w:szCs w:val="26"/>
              </w:rPr>
              <w:t>Change Accounting Methods</w:t>
            </w:r>
            <w:r w:rsidRPr="0036080A">
              <w:rPr>
                <w:rFonts w:cs="Times New Roman"/>
                <w:sz w:val="26"/>
                <w:szCs w:val="26"/>
              </w:rPr>
              <w:t>.</w:t>
            </w:r>
          </w:p>
        </w:tc>
        <w:tc>
          <w:tcPr>
            <w:tcW w:w="360" w:type="dxa"/>
          </w:tcPr>
          <w:p w:rsidR="000E73B4" w:rsidRPr="00CD42AF" w:rsidRDefault="000E73B4" w:rsidP="00915BED">
            <w:pPr>
              <w:spacing w:after="0" w:line="240" w:lineRule="auto"/>
              <w:rPr>
                <w:rFonts w:cs="Times New Roman"/>
                <w:sz w:val="26"/>
                <w:szCs w:val="26"/>
              </w:rPr>
            </w:pPr>
            <w:r w:rsidRPr="00CD42AF">
              <w:rPr>
                <w:rFonts w:cs="Times New Roman"/>
                <w:sz w:val="26"/>
                <w:szCs w:val="26"/>
              </w:rPr>
              <w:t>:</w:t>
            </w:r>
            <w:r>
              <w:rPr>
                <w:rFonts w:cs="Times New Roman"/>
                <w:sz w:val="26"/>
                <w:szCs w:val="26"/>
              </w:rPr>
              <w:br/>
              <w:t>:</w:t>
            </w:r>
            <w:r>
              <w:rPr>
                <w:rFonts w:cs="Times New Roman"/>
                <w:sz w:val="26"/>
                <w:szCs w:val="26"/>
              </w:rPr>
              <w:br/>
              <w:t>:</w:t>
            </w:r>
            <w:r>
              <w:rPr>
                <w:rFonts w:cs="Times New Roman"/>
                <w:sz w:val="26"/>
                <w:szCs w:val="26"/>
              </w:rPr>
              <w:br/>
              <w:t>:</w:t>
            </w:r>
          </w:p>
        </w:tc>
        <w:tc>
          <w:tcPr>
            <w:tcW w:w="3884" w:type="dxa"/>
            <w:shd w:val="clear" w:color="auto" w:fill="auto"/>
          </w:tcPr>
          <w:p w:rsidR="000E73B4" w:rsidRPr="00CD42AF" w:rsidRDefault="000E73B4" w:rsidP="00915BED">
            <w:pPr>
              <w:spacing w:after="0" w:line="240" w:lineRule="auto"/>
              <w:ind w:left="-288"/>
              <w:rPr>
                <w:rFonts w:cs="Times New Roman"/>
                <w:sz w:val="26"/>
                <w:szCs w:val="26"/>
              </w:rPr>
            </w:pPr>
          </w:p>
          <w:p w:rsidR="000E73B4" w:rsidRPr="00CD42AF" w:rsidRDefault="000E73B4" w:rsidP="00915BED">
            <w:pPr>
              <w:spacing w:after="0" w:line="240" w:lineRule="auto"/>
              <w:ind w:left="72"/>
              <w:rPr>
                <w:rFonts w:cs="Times New Roman"/>
                <w:sz w:val="26"/>
                <w:szCs w:val="26"/>
              </w:rPr>
            </w:pPr>
            <w:r w:rsidRPr="000E73B4">
              <w:rPr>
                <w:rFonts w:cs="Times New Roman"/>
                <w:sz w:val="26"/>
                <w:szCs w:val="26"/>
              </w:rPr>
              <w:t>Case No. 11-5352-GA-AAM</w:t>
            </w:r>
          </w:p>
        </w:tc>
      </w:tr>
    </w:tbl>
    <w:p w:rsidR="00915BED"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9434D3" w:rsidRPr="009C4948" w:rsidRDefault="009434D3" w:rsidP="009434D3">
      <w:pPr>
        <w:spacing w:after="0" w:line="240" w:lineRule="auto"/>
        <w:jc w:val="center"/>
        <w:rPr>
          <w:rFonts w:cs="Times New Roman"/>
          <w:b/>
          <w:sz w:val="28"/>
          <w:szCs w:val="28"/>
        </w:rPr>
      </w:pPr>
      <w:r>
        <w:rPr>
          <w:rFonts w:cs="Times New Roman"/>
          <w:b/>
          <w:sz w:val="28"/>
          <w:szCs w:val="28"/>
        </w:rPr>
        <w:t>SUR-REPLY COMMENTS</w:t>
      </w:r>
      <w:r w:rsidRPr="009C4948">
        <w:rPr>
          <w:rFonts w:cs="Times New Roman"/>
          <w:b/>
          <w:sz w:val="28"/>
          <w:szCs w:val="28"/>
        </w:rPr>
        <w:t xml:space="preserve"> </w:t>
      </w:r>
    </w:p>
    <w:p w:rsidR="009434D3" w:rsidRPr="00CD42AF" w:rsidRDefault="009434D3" w:rsidP="009434D3">
      <w:pPr>
        <w:spacing w:after="0" w:line="240" w:lineRule="auto"/>
        <w:jc w:val="center"/>
        <w:rPr>
          <w:rFonts w:cs="Times New Roman"/>
          <w:b/>
          <w:sz w:val="26"/>
          <w:szCs w:val="26"/>
        </w:rPr>
      </w:pPr>
      <w:r w:rsidRPr="00CD42AF">
        <w:rPr>
          <w:rFonts w:cs="Times New Roman"/>
          <w:b/>
          <w:sz w:val="26"/>
          <w:szCs w:val="26"/>
        </w:rPr>
        <w:t>SUBMITTED ON BEHALF OF</w:t>
      </w:r>
      <w:r>
        <w:rPr>
          <w:rFonts w:cs="Times New Roman"/>
          <w:b/>
          <w:sz w:val="26"/>
          <w:szCs w:val="26"/>
        </w:rPr>
        <w:t xml:space="preserve"> THE STAFF OF</w:t>
      </w:r>
    </w:p>
    <w:p w:rsidR="009434D3" w:rsidRPr="00CD42AF" w:rsidRDefault="009434D3" w:rsidP="009434D3">
      <w:pPr>
        <w:spacing w:after="0" w:line="240" w:lineRule="auto"/>
        <w:jc w:val="center"/>
        <w:rPr>
          <w:rFonts w:cs="Times New Roman"/>
          <w:sz w:val="26"/>
          <w:szCs w:val="26"/>
        </w:rPr>
      </w:pPr>
      <w:r w:rsidRPr="00CD42AF">
        <w:rPr>
          <w:rFonts w:cs="Times New Roman"/>
          <w:b/>
          <w:sz w:val="26"/>
          <w:szCs w:val="26"/>
        </w:rPr>
        <w:t>THE PUBLIC UTILITIES COMMISSION OF OHIO</w:t>
      </w:r>
    </w:p>
    <w:p w:rsidR="00915BED" w:rsidRPr="00915BED" w:rsidRDefault="00915BED" w:rsidP="00915BED">
      <w:pPr>
        <w:tabs>
          <w:tab w:val="left" w:pos="9360"/>
        </w:tabs>
        <w:jc w:val="both"/>
        <w:rPr>
          <w:rFonts w:cs="Times New Roman"/>
          <w:sz w:val="26"/>
          <w:szCs w:val="26"/>
          <w:u w:val="single"/>
        </w:rPr>
      </w:pPr>
      <w:r>
        <w:rPr>
          <w:rFonts w:cs="Times New Roman"/>
          <w:sz w:val="26"/>
          <w:szCs w:val="26"/>
          <w:u w:val="single"/>
        </w:rPr>
        <w:tab/>
      </w:r>
    </w:p>
    <w:p w:rsidR="002E4BCE" w:rsidRPr="00CD42AF" w:rsidRDefault="005E0D99" w:rsidP="00230969">
      <w:pPr>
        <w:pStyle w:val="Heading1"/>
      </w:pPr>
      <w:bookmarkStart w:id="1" w:name="_Toc332788830"/>
      <w:r w:rsidRPr="00CD42AF">
        <w:t>INTRODUCTION</w:t>
      </w:r>
      <w:bookmarkEnd w:id="1"/>
      <w:r w:rsidR="00E42447" w:rsidRPr="00CD42AF">
        <w:t xml:space="preserve"> </w:t>
      </w:r>
    </w:p>
    <w:p w:rsidR="009434D3" w:rsidRPr="008C19D3" w:rsidRDefault="009434D3" w:rsidP="009434D3">
      <w:pPr>
        <w:pStyle w:val="textstyle"/>
      </w:pPr>
      <w:r>
        <w:tab/>
      </w:r>
      <w:r w:rsidRPr="008C19D3">
        <w:t>On October 3, 2011, Columbia Gas of Ohio, Inc. (“Columbia” or “Company”) filed an Application for Authority to Implement a Capital Expenditure Program and for Approval to Change Accounting Methods (“Application”) in the dockets listed above</w:t>
      </w:r>
      <w:r w:rsidR="00050A19" w:rsidRPr="008C19D3">
        <w:t xml:space="preserve">.  </w:t>
      </w:r>
      <w:r w:rsidRPr="008C19D3">
        <w:t>Columbia is seeking the Commission’s approval to create a capital expenditure program (“</w:t>
      </w:r>
      <w:proofErr w:type="spellStart"/>
      <w:r w:rsidRPr="008C19D3">
        <w:t>CEP</w:t>
      </w:r>
      <w:proofErr w:type="spellEnd"/>
      <w:r w:rsidRPr="008C19D3">
        <w:t>”) for the period from October 1, 2011, through December 31, 2012, and associ</w:t>
      </w:r>
      <w:r w:rsidR="00F452D9">
        <w:softHyphen/>
      </w:r>
      <w:r w:rsidRPr="008C19D3">
        <w:t>ated deferral authority retroactive to October 1, 2011.</w:t>
      </w:r>
    </w:p>
    <w:p w:rsidR="009434D3" w:rsidRPr="009434D3" w:rsidRDefault="009434D3" w:rsidP="009434D3">
      <w:pPr>
        <w:pStyle w:val="textstyle"/>
      </w:pPr>
      <w:r>
        <w:tab/>
      </w:r>
      <w:r w:rsidRPr="009434D3">
        <w:t xml:space="preserve">On January 27, 2012, the Commission granted motions to intervene by Office of the Ohio Consumers’ Counsel (“OCC”) and Ohio Partners for Affordable Energy (“OPAE”). </w:t>
      </w:r>
      <w:r>
        <w:t xml:space="preserve"> </w:t>
      </w:r>
      <w:r w:rsidRPr="009434D3">
        <w:t>On February 17, 2012, Commission Staff, the OCC, and OPAE filed initial Comments.</w:t>
      </w:r>
      <w:r>
        <w:t xml:space="preserve"> </w:t>
      </w:r>
      <w:r w:rsidRPr="009434D3">
        <w:t xml:space="preserve"> On February 27, 2012, Staff, the OCC, OPAE, and Columbia filed reply Comments.</w:t>
      </w:r>
      <w:r>
        <w:t xml:space="preserve"> </w:t>
      </w:r>
      <w:r w:rsidRPr="009434D3">
        <w:t xml:space="preserve"> In its January 27th Entry, the Commission stated that it would later “deter</w:t>
      </w:r>
      <w:r w:rsidR="00F452D9">
        <w:softHyphen/>
      </w:r>
      <w:r w:rsidRPr="009434D3">
        <w:lastRenderedPageBreak/>
        <w:t xml:space="preserve">mine what further process may be necessary following the receipt of the comments and reply comments”.  On July 26, 2012, Columbia filed Supplemental Reply Comments. </w:t>
      </w:r>
    </w:p>
    <w:p w:rsidR="009434D3" w:rsidRPr="009434D3" w:rsidRDefault="009434D3" w:rsidP="009434D3">
      <w:pPr>
        <w:pStyle w:val="textstyle"/>
      </w:pPr>
      <w:r w:rsidRPr="009434D3">
        <w:t>The Staff has reviewed Columbia’s Supplemental Reply Comments and notes that Columbia has modified several of its positions on various topics such that it now either agrees with the positions advocated by the Staff or it accepts the Staff position on various topics with certain clarifications or provisos in an attempt to resolve differences and move forward on its initial Application.  The Staff appreciates Columbia’s consideration of the Staff positions on the various topics and willingness to modify its original positions in order to reach agreement.  In that spirit, the Staff hereby submits the following Sur Reply Comments that summarize the Staff’s understanding of the areas of agreement between Columbia and the Staff and posit clarifications where needed to ensure agree</w:t>
      </w:r>
      <w:r w:rsidR="00F452D9">
        <w:softHyphen/>
      </w:r>
      <w:r w:rsidRPr="009434D3">
        <w:t xml:space="preserve">ment and avoid future disagreements.    </w:t>
      </w:r>
    </w:p>
    <w:p w:rsidR="008E753D" w:rsidRPr="00CD42AF" w:rsidRDefault="00C33368" w:rsidP="00230969">
      <w:pPr>
        <w:pStyle w:val="Heading1"/>
      </w:pPr>
      <w:bookmarkStart w:id="2" w:name="_Toc332788831"/>
      <w:r>
        <w:t xml:space="preserve">STAFF’S </w:t>
      </w:r>
      <w:r w:rsidR="009434D3">
        <w:t>SUR-</w:t>
      </w:r>
      <w:r>
        <w:t>REPLY COMMENTS</w:t>
      </w:r>
      <w:bookmarkEnd w:id="2"/>
      <w:r w:rsidR="00385947">
        <w:t xml:space="preserve"> </w:t>
      </w:r>
    </w:p>
    <w:p w:rsidR="00A346EC" w:rsidRPr="00792A39" w:rsidRDefault="009434D3" w:rsidP="00792A39">
      <w:pPr>
        <w:pStyle w:val="Heading2"/>
      </w:pPr>
      <w:bookmarkStart w:id="3" w:name="_Toc317248249"/>
      <w:bookmarkStart w:id="4" w:name="_Toc332788832"/>
      <w:r w:rsidRPr="00792A39">
        <w:t xml:space="preserve">Columbia and the </w:t>
      </w:r>
      <w:r w:rsidR="00457618" w:rsidRPr="00792A39">
        <w:t>Staff agree</w:t>
      </w:r>
      <w:r w:rsidRPr="00792A39">
        <w:t xml:space="preserve"> that the total monthly deferred regulatory asset should be net of any incre</w:t>
      </w:r>
      <w:r w:rsidR="00F452D9">
        <w:softHyphen/>
      </w:r>
      <w:r w:rsidRPr="00792A39">
        <w:t>mental revenue</w:t>
      </w:r>
      <w:r w:rsidR="00233972">
        <w:t xml:space="preserve"> and,</w:t>
      </w:r>
      <w:r w:rsidR="00792A39">
        <w:t xml:space="preserve"> to avoid am</w:t>
      </w:r>
      <w:r w:rsidRPr="00792A39">
        <w:t>biguity</w:t>
      </w:r>
      <w:r w:rsidR="00792A39">
        <w:t>,</w:t>
      </w:r>
      <w:r w:rsidRPr="00792A39">
        <w:t xml:space="preserve"> the deter</w:t>
      </w:r>
      <w:r w:rsidR="00457618">
        <w:softHyphen/>
      </w:r>
      <w:r w:rsidRPr="00792A39">
        <w:t>mina</w:t>
      </w:r>
      <w:r w:rsidR="00F452D9">
        <w:softHyphen/>
      </w:r>
      <w:r w:rsidRPr="00792A39">
        <w:t>tion of incremental revenue should be clearly defined</w:t>
      </w:r>
      <w:r w:rsidR="005A5444" w:rsidRPr="00792A39">
        <w:t>.</w:t>
      </w:r>
      <w:bookmarkEnd w:id="3"/>
      <w:bookmarkEnd w:id="4"/>
    </w:p>
    <w:p w:rsidR="009434D3" w:rsidRDefault="00792A39" w:rsidP="00792A39">
      <w:pPr>
        <w:pStyle w:val="textstyle"/>
      </w:pPr>
      <w:bookmarkStart w:id="5" w:name="_Toc317248250"/>
      <w:r>
        <w:tab/>
      </w:r>
      <w:r w:rsidR="009434D3" w:rsidRPr="008C19D3">
        <w:t xml:space="preserve">In its </w:t>
      </w:r>
      <w:r w:rsidR="009434D3">
        <w:t>S</w:t>
      </w:r>
      <w:r w:rsidR="009434D3" w:rsidRPr="008C19D3">
        <w:t xml:space="preserve">upplemental </w:t>
      </w:r>
      <w:r w:rsidR="009434D3">
        <w:t>Reply Comments</w:t>
      </w:r>
      <w:r w:rsidR="009434D3" w:rsidRPr="008C19D3">
        <w:t xml:space="preserve"> </w:t>
      </w:r>
      <w:r w:rsidR="009434D3">
        <w:t xml:space="preserve">responding to the </w:t>
      </w:r>
      <w:r w:rsidR="009434D3" w:rsidRPr="008C19D3">
        <w:t>Staff</w:t>
      </w:r>
      <w:r w:rsidR="009434D3">
        <w:t>’s</w:t>
      </w:r>
      <w:r w:rsidR="009434D3" w:rsidRPr="008C19D3">
        <w:t xml:space="preserve"> </w:t>
      </w:r>
      <w:r w:rsidR="009434D3">
        <w:t>C</w:t>
      </w:r>
      <w:r w:rsidR="009434D3" w:rsidRPr="008C19D3">
        <w:t xml:space="preserve">omments, Columbia “reiterates its agreement with Staff’s proposal to calculate incremental revenue through the multiplication of any net increase in customer accounts by the cost portion of </w:t>
      </w:r>
      <w:r w:rsidR="009434D3" w:rsidRPr="008C19D3">
        <w:lastRenderedPageBreak/>
        <w:t>the rate for each customer class.”</w:t>
      </w:r>
      <w:r w:rsidR="009434D3">
        <w:rPr>
          <w:rStyle w:val="FootnoteReference"/>
          <w:szCs w:val="24"/>
        </w:rPr>
        <w:footnoteReference w:id="1"/>
      </w:r>
      <w:r w:rsidR="009434D3">
        <w:t xml:space="preserve">  The Staff’s initial proposal, however, focused only on revenue generated by the net increase in customers served under a straight fixed-variable rate design (“</w:t>
      </w:r>
      <w:proofErr w:type="spellStart"/>
      <w:r w:rsidR="009434D3">
        <w:t>SFV</w:t>
      </w:r>
      <w:proofErr w:type="spellEnd"/>
      <w:r w:rsidR="009434D3">
        <w:t xml:space="preserve">”).  The Staff’s initial Comments do not address revenue that could be generated by </w:t>
      </w:r>
      <w:proofErr w:type="spellStart"/>
      <w:r w:rsidR="009434D3">
        <w:t>CEP</w:t>
      </w:r>
      <w:proofErr w:type="spellEnd"/>
      <w:r w:rsidR="009434D3">
        <w:t xml:space="preserve"> investments to serve non-</w:t>
      </w:r>
      <w:proofErr w:type="spellStart"/>
      <w:r w:rsidR="009434D3">
        <w:t>SFV</w:t>
      </w:r>
      <w:proofErr w:type="spellEnd"/>
      <w:r w:rsidR="009434D3">
        <w:t xml:space="preserve"> customers, such as those served via a volumetric rate, or other potential sources of revenue.  The Staff believes that the Com</w:t>
      </w:r>
      <w:r w:rsidR="00F452D9">
        <w:softHyphen/>
      </w:r>
      <w:r w:rsidR="009434D3">
        <w:t xml:space="preserve">mission should state as a principle that any revenue directly associated with </w:t>
      </w:r>
      <w:proofErr w:type="spellStart"/>
      <w:r w:rsidR="009434D3">
        <w:t>CEP</w:t>
      </w:r>
      <w:proofErr w:type="spellEnd"/>
      <w:r w:rsidR="009434D3">
        <w:t xml:space="preserve"> invest</w:t>
      </w:r>
      <w:r w:rsidR="00F452D9">
        <w:softHyphen/>
      </w:r>
      <w:r w:rsidR="009434D3">
        <w:t xml:space="preserve">ments under a </w:t>
      </w:r>
      <w:proofErr w:type="spellStart"/>
      <w:r w:rsidR="009434D3">
        <w:t>CEP</w:t>
      </w:r>
      <w:proofErr w:type="spellEnd"/>
      <w:r w:rsidR="009434D3">
        <w:t xml:space="preserve"> should be used to offset the requested </w:t>
      </w:r>
      <w:proofErr w:type="spellStart"/>
      <w:r w:rsidR="009434D3">
        <w:t>CEP</w:t>
      </w:r>
      <w:proofErr w:type="spellEnd"/>
      <w:r w:rsidR="009434D3">
        <w:t xml:space="preserve"> deferrals.</w:t>
      </w:r>
    </w:p>
    <w:p w:rsidR="009434D3" w:rsidRPr="008C19D3" w:rsidRDefault="00792A39" w:rsidP="00792A39">
      <w:pPr>
        <w:pStyle w:val="textstyle"/>
      </w:pPr>
      <w:r>
        <w:tab/>
      </w:r>
      <w:r w:rsidR="009434D3">
        <w:t xml:space="preserve">In Reply Comments filed in its capital expenditure proceeding, Vectren Energy Delivery of Ohio, Inc. (Vectren) recognized that </w:t>
      </w:r>
      <w:proofErr w:type="spellStart"/>
      <w:r w:rsidR="009434D3">
        <w:t>CEP</w:t>
      </w:r>
      <w:proofErr w:type="spellEnd"/>
      <w:r w:rsidR="009434D3">
        <w:t xml:space="preserve"> investments could generate revenue from customers other than those served under a </w:t>
      </w:r>
      <w:proofErr w:type="spellStart"/>
      <w:r w:rsidR="009434D3">
        <w:t>SFV</w:t>
      </w:r>
      <w:proofErr w:type="spellEnd"/>
      <w:r w:rsidR="009434D3">
        <w:t xml:space="preserve"> rate.</w:t>
      </w:r>
      <w:r w:rsidR="009434D3">
        <w:rPr>
          <w:rStyle w:val="FootnoteReference"/>
          <w:szCs w:val="24"/>
        </w:rPr>
        <w:footnoteReference w:id="2"/>
      </w:r>
      <w:r w:rsidR="009434D3">
        <w:t xml:space="preserve">  Vectren proposed to calculate incremental revenue received from non-</w:t>
      </w:r>
      <w:proofErr w:type="spellStart"/>
      <w:r w:rsidR="009434D3">
        <w:t>SFV</w:t>
      </w:r>
      <w:proofErr w:type="spellEnd"/>
      <w:r w:rsidR="009434D3">
        <w:t xml:space="preserve"> customers that can be directly attributed to program investment by multiplying the consumption of those customers by the cost por</w:t>
      </w:r>
      <w:r w:rsidR="00F452D9">
        <w:softHyphen/>
      </w:r>
      <w:r w:rsidR="009434D3">
        <w:t>tion of their tariff rate.</w:t>
      </w:r>
      <w:r w:rsidR="009434D3">
        <w:rPr>
          <w:rStyle w:val="FootnoteReference"/>
          <w:szCs w:val="24"/>
        </w:rPr>
        <w:footnoteReference w:id="3"/>
      </w:r>
      <w:r w:rsidR="009434D3">
        <w:t xml:space="preserve">  The Staff believes that this approach </w:t>
      </w:r>
      <w:r w:rsidR="00233972">
        <w:t xml:space="preserve">is reasonable and consistent with the approach that the Staff proposed for the </w:t>
      </w:r>
      <w:proofErr w:type="spellStart"/>
      <w:r w:rsidR="00233972">
        <w:t>SFV</w:t>
      </w:r>
      <w:proofErr w:type="spellEnd"/>
      <w:r w:rsidR="00233972">
        <w:t xml:space="preserve"> customers.  Therefore</w:t>
      </w:r>
      <w:r w:rsidR="00F67218">
        <w:t>,</w:t>
      </w:r>
      <w:r w:rsidR="00233972">
        <w:t xml:space="preserve"> the Staff recommends </w:t>
      </w:r>
      <w:r w:rsidR="009434D3">
        <w:t xml:space="preserve">that the Commission should adopt this methodology for determining </w:t>
      </w:r>
      <w:proofErr w:type="spellStart"/>
      <w:r w:rsidR="009434D3">
        <w:t>CEP</w:t>
      </w:r>
      <w:proofErr w:type="spellEnd"/>
      <w:r w:rsidR="009434D3">
        <w:t xml:space="preserve"> </w:t>
      </w:r>
      <w:r w:rsidR="009434D3">
        <w:lastRenderedPageBreak/>
        <w:t>revenue from non-</w:t>
      </w:r>
      <w:proofErr w:type="spellStart"/>
      <w:r w:rsidR="009434D3">
        <w:t>SFV</w:t>
      </w:r>
      <w:proofErr w:type="spellEnd"/>
      <w:r w:rsidR="009434D3">
        <w:t xml:space="preserve"> customers in addition to the Staff-recommended approach for calculating revenue gener</w:t>
      </w:r>
      <w:r w:rsidR="00F452D9">
        <w:softHyphen/>
      </w:r>
      <w:r w:rsidR="009434D3">
        <w:t xml:space="preserve">ated by </w:t>
      </w:r>
      <w:proofErr w:type="spellStart"/>
      <w:r w:rsidR="009434D3">
        <w:t>SVF</w:t>
      </w:r>
      <w:proofErr w:type="spellEnd"/>
      <w:r w:rsidR="009434D3">
        <w:t xml:space="preserve"> customers delineated in the Staff’s initial Com</w:t>
      </w:r>
      <w:r w:rsidR="00457618">
        <w:softHyphen/>
      </w:r>
      <w:r w:rsidR="009434D3">
        <w:t>ments</w:t>
      </w:r>
      <w:r w:rsidR="009434D3" w:rsidRPr="007B043F">
        <w:t xml:space="preserve">.  </w:t>
      </w:r>
      <w:r w:rsidR="009434D3">
        <w:t xml:space="preserve">Lastly, the </w:t>
      </w:r>
      <w:r w:rsidR="00F67218">
        <w:t xml:space="preserve">Staff recommends that the </w:t>
      </w:r>
      <w:r w:rsidR="009434D3">
        <w:t>Commis</w:t>
      </w:r>
      <w:r w:rsidR="00F452D9">
        <w:softHyphen/>
      </w:r>
      <w:r w:rsidR="009434D3">
        <w:t xml:space="preserve">sion </w:t>
      </w:r>
      <w:r w:rsidR="00F67218">
        <w:t xml:space="preserve">also require </w:t>
      </w:r>
      <w:r w:rsidR="009434D3">
        <w:t xml:space="preserve">that any other sources of revenue directly associated with </w:t>
      </w:r>
      <w:proofErr w:type="spellStart"/>
      <w:r w:rsidR="009434D3">
        <w:t>CEP</w:t>
      </w:r>
      <w:proofErr w:type="spellEnd"/>
      <w:r w:rsidR="009434D3">
        <w:t xml:space="preserve"> investments be recognized and used to offset </w:t>
      </w:r>
      <w:proofErr w:type="spellStart"/>
      <w:r w:rsidR="009434D3">
        <w:t>CEP</w:t>
      </w:r>
      <w:proofErr w:type="spellEnd"/>
      <w:r w:rsidR="009434D3">
        <w:t xml:space="preserve"> deferrals.  </w:t>
      </w:r>
    </w:p>
    <w:p w:rsidR="009434D3" w:rsidRPr="008C19D3" w:rsidRDefault="00792A39" w:rsidP="00792A39">
      <w:pPr>
        <w:pStyle w:val="textstyle"/>
      </w:pPr>
      <w:r>
        <w:tab/>
      </w:r>
      <w:r w:rsidR="009434D3">
        <w:t>As a specific recommendation in this case</w:t>
      </w:r>
      <w:r w:rsidR="009434D3" w:rsidRPr="008C19D3">
        <w:t xml:space="preserve">, </w:t>
      </w:r>
      <w:r w:rsidR="009434D3">
        <w:t xml:space="preserve">the </w:t>
      </w:r>
      <w:r w:rsidR="009434D3" w:rsidRPr="008C19D3">
        <w:t>Staff recommends that the Commis</w:t>
      </w:r>
      <w:r w:rsidR="00F452D9">
        <w:softHyphen/>
      </w:r>
      <w:r w:rsidR="009434D3" w:rsidRPr="008C19D3">
        <w:t xml:space="preserve">sion require Columbia to offset the monthly regulatory asset amount charged to the </w:t>
      </w:r>
      <w:proofErr w:type="spellStart"/>
      <w:r w:rsidR="009434D3" w:rsidRPr="008C19D3">
        <w:t>CEP</w:t>
      </w:r>
      <w:proofErr w:type="spellEnd"/>
      <w:r w:rsidR="009434D3" w:rsidRPr="008C19D3">
        <w:t xml:space="preserve"> program by those revenues generated from the assets included in the </w:t>
      </w:r>
      <w:proofErr w:type="spellStart"/>
      <w:r w:rsidR="009434D3" w:rsidRPr="008C19D3">
        <w:t>CEP</w:t>
      </w:r>
      <w:proofErr w:type="spellEnd"/>
      <w:r w:rsidR="009434D3" w:rsidRPr="008C19D3">
        <w:t xml:space="preserve"> as recommended in </w:t>
      </w:r>
      <w:r w:rsidR="009434D3">
        <w:t>Staff’s</w:t>
      </w:r>
      <w:r w:rsidR="009434D3" w:rsidRPr="008C19D3">
        <w:t xml:space="preserve"> </w:t>
      </w:r>
      <w:r w:rsidR="009434D3">
        <w:t>R</w:t>
      </w:r>
      <w:r w:rsidR="009434D3" w:rsidRPr="008C19D3">
        <w:t xml:space="preserve">eply </w:t>
      </w:r>
      <w:r w:rsidR="009434D3">
        <w:t>C</w:t>
      </w:r>
      <w:r w:rsidR="009434D3" w:rsidRPr="008C19D3">
        <w:t>omments in th</w:t>
      </w:r>
      <w:r w:rsidR="009434D3">
        <w:t>e</w:t>
      </w:r>
      <w:r w:rsidR="009434D3" w:rsidRPr="008C19D3">
        <w:t>s</w:t>
      </w:r>
      <w:r w:rsidR="009434D3">
        <w:t>e</w:t>
      </w:r>
      <w:r w:rsidR="009434D3" w:rsidRPr="008C19D3">
        <w:t xml:space="preserve"> proceeding</w:t>
      </w:r>
      <w:r w:rsidR="009434D3">
        <w:t xml:space="preserve">s for </w:t>
      </w:r>
      <w:proofErr w:type="spellStart"/>
      <w:r w:rsidR="009434D3">
        <w:t>SFV</w:t>
      </w:r>
      <w:proofErr w:type="spellEnd"/>
      <w:r w:rsidR="009434D3">
        <w:t xml:space="preserve"> customers and as discussed above for non-</w:t>
      </w:r>
      <w:proofErr w:type="spellStart"/>
      <w:r w:rsidR="009434D3">
        <w:t>SFV</w:t>
      </w:r>
      <w:proofErr w:type="spellEnd"/>
      <w:r w:rsidR="009434D3">
        <w:t xml:space="preserve"> customers and other revenue sources.  The Staff has rec</w:t>
      </w:r>
      <w:r w:rsidR="00F452D9">
        <w:softHyphen/>
      </w:r>
      <w:r w:rsidR="009434D3">
        <w:t>ommended below a specific formula for determining incremental revenue.  Furthermore, the Staff recommends that the Commission direct Columbia to maintain sufficient rec</w:t>
      </w:r>
      <w:r w:rsidR="00F452D9">
        <w:softHyphen/>
      </w:r>
      <w:r w:rsidR="009434D3">
        <w:t xml:space="preserve">ords to enable the Staff to verify that all revenue generated from </w:t>
      </w:r>
      <w:proofErr w:type="spellStart"/>
      <w:r w:rsidR="009434D3">
        <w:t>CEP</w:t>
      </w:r>
      <w:proofErr w:type="spellEnd"/>
      <w:r w:rsidR="009434D3">
        <w:t xml:space="preserve"> investments can be accurately excluded from the total monthly deferral.</w:t>
      </w:r>
    </w:p>
    <w:p w:rsidR="00601DD8" w:rsidRDefault="009434D3" w:rsidP="00792A39">
      <w:pPr>
        <w:pStyle w:val="Heading2"/>
      </w:pPr>
      <w:bookmarkStart w:id="6" w:name="_Toc332788833"/>
      <w:r>
        <w:t>Columbia and Staff agree that the m</w:t>
      </w:r>
      <w:r w:rsidRPr="00D43E18">
        <w:t xml:space="preserve">onthly deferred </w:t>
      </w:r>
      <w:proofErr w:type="spellStart"/>
      <w:r w:rsidRPr="00D43E18">
        <w:t>PISCC</w:t>
      </w:r>
      <w:proofErr w:type="spellEnd"/>
      <w:r w:rsidRPr="00D43E18">
        <w:t xml:space="preserve"> should be based on net plant</w:t>
      </w:r>
      <w:r w:rsidR="005A5444">
        <w:t>.</w:t>
      </w:r>
      <w:bookmarkEnd w:id="5"/>
      <w:bookmarkEnd w:id="6"/>
    </w:p>
    <w:p w:rsidR="009434D3" w:rsidRPr="008C19D3" w:rsidRDefault="00792A39" w:rsidP="00792A39">
      <w:pPr>
        <w:pStyle w:val="textstyle"/>
      </w:pPr>
      <w:bookmarkStart w:id="7" w:name="_Toc317248251"/>
      <w:r>
        <w:tab/>
      </w:r>
      <w:r w:rsidR="009434D3" w:rsidRPr="008C19D3">
        <w:t xml:space="preserve">In its initial </w:t>
      </w:r>
      <w:r w:rsidR="009434D3">
        <w:t>C</w:t>
      </w:r>
      <w:r w:rsidR="009434D3" w:rsidRPr="008C19D3">
        <w:t>omments</w:t>
      </w:r>
      <w:r w:rsidR="009434D3">
        <w:t xml:space="preserve"> in these cases</w:t>
      </w:r>
      <w:r w:rsidR="009434D3" w:rsidRPr="008C19D3">
        <w:t xml:space="preserve">, </w:t>
      </w:r>
      <w:r w:rsidR="009434D3">
        <w:t xml:space="preserve">the </w:t>
      </w:r>
      <w:r w:rsidR="009434D3" w:rsidRPr="008C19D3">
        <w:t>Staff recommended that Post-In-Service Carrying Charges (</w:t>
      </w:r>
      <w:r w:rsidR="009434D3">
        <w:t>“</w:t>
      </w:r>
      <w:proofErr w:type="spellStart"/>
      <w:r w:rsidR="009434D3" w:rsidRPr="008C19D3">
        <w:t>PISCC</w:t>
      </w:r>
      <w:proofErr w:type="spellEnd"/>
      <w:r w:rsidR="009434D3">
        <w:t>”</w:t>
      </w:r>
      <w:r w:rsidR="009434D3" w:rsidRPr="008C19D3">
        <w:t xml:space="preserve">) be calculated net of accumulated depreciation in order to prevent Columbia from collecting carrying costs on an expense item.  Columbia, in its </w:t>
      </w:r>
      <w:r w:rsidR="009434D3">
        <w:t>S</w:t>
      </w:r>
      <w:r w:rsidR="009434D3" w:rsidRPr="008C19D3">
        <w:t xml:space="preserve">upplemental </w:t>
      </w:r>
      <w:r w:rsidR="009434D3">
        <w:t>Reply</w:t>
      </w:r>
      <w:r w:rsidR="009434D3" w:rsidRPr="008C19D3">
        <w:t xml:space="preserve"> </w:t>
      </w:r>
      <w:r w:rsidR="009434D3">
        <w:t>C</w:t>
      </w:r>
      <w:r w:rsidR="009434D3" w:rsidRPr="008C19D3">
        <w:t xml:space="preserve">omments, agrees.  In addition, the OCC recommended </w:t>
      </w:r>
      <w:r w:rsidR="009434D3">
        <w:t xml:space="preserve">in its initial </w:t>
      </w:r>
      <w:r w:rsidR="009434D3">
        <w:lastRenderedPageBreak/>
        <w:t xml:space="preserve">Comments </w:t>
      </w:r>
      <w:r w:rsidR="009434D3" w:rsidRPr="008C19D3">
        <w:t xml:space="preserve">that </w:t>
      </w:r>
      <w:proofErr w:type="spellStart"/>
      <w:r w:rsidR="009434D3" w:rsidRPr="008C19D3">
        <w:t>PISCC</w:t>
      </w:r>
      <w:proofErr w:type="spellEnd"/>
      <w:r w:rsidR="009434D3" w:rsidRPr="008C19D3">
        <w:t xml:space="preserve"> be calculated net of retirements</w:t>
      </w:r>
      <w:r w:rsidR="009434D3">
        <w:rPr>
          <w:rStyle w:val="FootnoteReference"/>
          <w:szCs w:val="24"/>
        </w:rPr>
        <w:footnoteReference w:id="4"/>
      </w:r>
      <w:r w:rsidR="009434D3">
        <w:t>, and the</w:t>
      </w:r>
      <w:r w:rsidR="009434D3" w:rsidRPr="008C19D3">
        <w:t xml:space="preserve"> Staff agreed with OCC</w:t>
      </w:r>
      <w:r w:rsidR="009434D3">
        <w:t xml:space="preserve"> in Reply Comments.</w:t>
      </w:r>
      <w:r w:rsidR="009434D3">
        <w:rPr>
          <w:rStyle w:val="FootnoteReference"/>
          <w:szCs w:val="24"/>
        </w:rPr>
        <w:footnoteReference w:id="5"/>
      </w:r>
      <w:r w:rsidR="009434D3" w:rsidRPr="008C19D3">
        <w:t xml:space="preserve"> </w:t>
      </w:r>
      <w:r w:rsidR="009434D3">
        <w:t xml:space="preserve"> </w:t>
      </w:r>
      <w:r w:rsidR="009434D3" w:rsidRPr="008C19D3">
        <w:t xml:space="preserve">In its </w:t>
      </w:r>
      <w:r w:rsidR="009434D3">
        <w:t>S</w:t>
      </w:r>
      <w:r w:rsidR="009434D3" w:rsidRPr="008C19D3">
        <w:t xml:space="preserve">upplemental </w:t>
      </w:r>
      <w:r w:rsidR="009434D3">
        <w:t>Reply Comments</w:t>
      </w:r>
      <w:r w:rsidR="009434D3" w:rsidRPr="008C19D3">
        <w:t>, Columbia agree</w:t>
      </w:r>
      <w:r w:rsidR="009434D3">
        <w:t>s</w:t>
      </w:r>
      <w:r w:rsidR="009434D3" w:rsidRPr="008C19D3">
        <w:t xml:space="preserve"> with this concept and concur</w:t>
      </w:r>
      <w:r w:rsidR="009434D3">
        <w:t xml:space="preserve">s </w:t>
      </w:r>
      <w:r w:rsidR="009434D3" w:rsidRPr="008C19D3">
        <w:t xml:space="preserve">with Staff and the OCC that, for the </w:t>
      </w:r>
      <w:proofErr w:type="spellStart"/>
      <w:r w:rsidR="009434D3" w:rsidRPr="008C19D3">
        <w:t>CEP</w:t>
      </w:r>
      <w:proofErr w:type="spellEnd"/>
      <w:r w:rsidR="009434D3" w:rsidRPr="008C19D3">
        <w:t xml:space="preserve">, </w:t>
      </w:r>
      <w:proofErr w:type="spellStart"/>
      <w:r w:rsidR="009434D3" w:rsidRPr="008C19D3">
        <w:t>PISCC</w:t>
      </w:r>
      <w:proofErr w:type="spellEnd"/>
      <w:r w:rsidR="009434D3" w:rsidRPr="008C19D3">
        <w:t xml:space="preserve"> should be calcu</w:t>
      </w:r>
      <w:r w:rsidR="00F452D9">
        <w:softHyphen/>
      </w:r>
      <w:r w:rsidR="009434D3" w:rsidRPr="008C19D3">
        <w:t>lated on net plant, which is gross plant less depreciation</w:t>
      </w:r>
      <w:r w:rsidR="009434D3">
        <w:t>,</w:t>
      </w:r>
      <w:r w:rsidR="009434D3" w:rsidRPr="008C19D3">
        <w:t xml:space="preserve"> retirements</w:t>
      </w:r>
      <w:r w:rsidR="009434D3">
        <w:t>, and cost of removal (if applicable)</w:t>
      </w:r>
      <w:r w:rsidR="009434D3">
        <w:rPr>
          <w:rStyle w:val="FootnoteReference"/>
          <w:szCs w:val="24"/>
        </w:rPr>
        <w:footnoteReference w:id="6"/>
      </w:r>
      <w:r w:rsidR="009434D3" w:rsidRPr="008C19D3">
        <w:t>.</w:t>
      </w:r>
      <w:r w:rsidR="009434D3">
        <w:t xml:space="preserve">  </w:t>
      </w:r>
      <w:r w:rsidR="009434D3" w:rsidRPr="008C19D3">
        <w:t xml:space="preserve">However, Columbia makes it clear that because only incremental capital investments will included in the </w:t>
      </w:r>
      <w:proofErr w:type="spellStart"/>
      <w:r w:rsidR="009434D3" w:rsidRPr="008C19D3">
        <w:t>CEP</w:t>
      </w:r>
      <w:proofErr w:type="spellEnd"/>
      <w:r w:rsidR="009434D3" w:rsidRPr="008C19D3">
        <w:t xml:space="preserve">, then only those retirements associated with </w:t>
      </w:r>
      <w:proofErr w:type="spellStart"/>
      <w:r w:rsidR="009434D3" w:rsidRPr="008C19D3">
        <w:t>CEP</w:t>
      </w:r>
      <w:proofErr w:type="spellEnd"/>
      <w:r w:rsidR="009434D3" w:rsidRPr="008C19D3">
        <w:t xml:space="preserve"> investments </w:t>
      </w:r>
      <w:r w:rsidR="009434D3">
        <w:t>should</w:t>
      </w:r>
      <w:r w:rsidR="009434D3" w:rsidRPr="008C19D3">
        <w:t xml:space="preserve"> be netted against gross plant.  </w:t>
      </w:r>
      <w:r w:rsidR="009434D3">
        <w:t xml:space="preserve">The </w:t>
      </w:r>
      <w:r w:rsidR="009434D3" w:rsidRPr="008C19D3">
        <w:t xml:space="preserve">Staff agrees with Columbia on this point.  Retirements for plant not placed in service under the </w:t>
      </w:r>
      <w:proofErr w:type="spellStart"/>
      <w:r w:rsidR="009434D3" w:rsidRPr="008C19D3">
        <w:t>CEP</w:t>
      </w:r>
      <w:proofErr w:type="spellEnd"/>
      <w:r w:rsidR="009434D3" w:rsidRPr="008C19D3">
        <w:t xml:space="preserve"> will be accounted for elsewhere</w:t>
      </w:r>
      <w:r w:rsidR="009434D3">
        <w:t xml:space="preserve">. </w:t>
      </w:r>
      <w:r w:rsidR="009434D3" w:rsidRPr="008C19D3">
        <w:t xml:space="preserve"> </w:t>
      </w:r>
      <w:r w:rsidR="009434D3">
        <w:t>T</w:t>
      </w:r>
      <w:r w:rsidR="009434D3" w:rsidRPr="008C19D3">
        <w:t xml:space="preserve">herefore, it would be </w:t>
      </w:r>
      <w:r w:rsidR="009434D3">
        <w:t>un</w:t>
      </w:r>
      <w:r w:rsidR="009434D3" w:rsidRPr="008C19D3">
        <w:t xml:space="preserve">fair to deduct them from the </w:t>
      </w:r>
      <w:proofErr w:type="spellStart"/>
      <w:r w:rsidR="009434D3" w:rsidRPr="008C19D3">
        <w:t>CEP</w:t>
      </w:r>
      <w:proofErr w:type="spellEnd"/>
      <w:r w:rsidR="009434D3" w:rsidRPr="008C19D3">
        <w:t xml:space="preserve"> as well.</w:t>
      </w:r>
    </w:p>
    <w:p w:rsidR="009434D3" w:rsidRPr="008C19D3" w:rsidRDefault="00792A39" w:rsidP="00792A39">
      <w:pPr>
        <w:pStyle w:val="textstyle"/>
      </w:pPr>
      <w:r>
        <w:tab/>
      </w:r>
      <w:r w:rsidR="009434D3">
        <w:t xml:space="preserve">In light of </w:t>
      </w:r>
      <w:r w:rsidR="00F67218">
        <w:t xml:space="preserve">this </w:t>
      </w:r>
      <w:r w:rsidR="009434D3">
        <w:t xml:space="preserve">agreement between Columbia and the </w:t>
      </w:r>
      <w:r w:rsidR="009434D3" w:rsidRPr="008C19D3">
        <w:t>Staff</w:t>
      </w:r>
      <w:r w:rsidR="009434D3">
        <w:t xml:space="preserve">, the Staff </w:t>
      </w:r>
      <w:r w:rsidR="009434D3" w:rsidRPr="008C19D3">
        <w:t xml:space="preserve">recommends that the Commission </w:t>
      </w:r>
      <w:r w:rsidR="009434D3">
        <w:t>direct</w:t>
      </w:r>
      <w:r w:rsidR="009434D3" w:rsidRPr="008C19D3">
        <w:t xml:space="preserve"> Columbia to calculate </w:t>
      </w:r>
      <w:proofErr w:type="spellStart"/>
      <w:r w:rsidR="009434D3" w:rsidRPr="008C19D3">
        <w:t>PISCC</w:t>
      </w:r>
      <w:proofErr w:type="spellEnd"/>
      <w:r w:rsidR="009434D3" w:rsidRPr="008C19D3">
        <w:t xml:space="preserve"> on assets placed in-service under the </w:t>
      </w:r>
      <w:proofErr w:type="spellStart"/>
      <w:r w:rsidR="009434D3" w:rsidRPr="008C19D3">
        <w:t>CEP</w:t>
      </w:r>
      <w:proofErr w:type="spellEnd"/>
      <w:r w:rsidR="009434D3" w:rsidRPr="008C19D3">
        <w:t xml:space="preserve"> as recommended </w:t>
      </w:r>
      <w:r w:rsidR="009434D3">
        <w:t>by the</w:t>
      </w:r>
      <w:r w:rsidR="009434D3" w:rsidRPr="008C19D3">
        <w:t xml:space="preserve"> Staff</w:t>
      </w:r>
      <w:r w:rsidR="009434D3">
        <w:t xml:space="preserve"> such that the </w:t>
      </w:r>
      <w:proofErr w:type="spellStart"/>
      <w:r w:rsidR="009434D3">
        <w:t>PISCC</w:t>
      </w:r>
      <w:proofErr w:type="spellEnd"/>
      <w:r w:rsidR="009434D3">
        <w:t xml:space="preserve"> is determined by taking </w:t>
      </w:r>
      <w:r w:rsidR="009434D3" w:rsidRPr="008C19D3">
        <w:t>the previous month’s ending gross plant balance (</w:t>
      </w:r>
      <w:r w:rsidR="009434D3">
        <w:t xml:space="preserve">utilizing the </w:t>
      </w:r>
      <w:r w:rsidR="009434D3" w:rsidRPr="008C19D3">
        <w:t>one-month lag method), less associated depreciation and retirements, a</w:t>
      </w:r>
      <w:r w:rsidR="009434D3">
        <w:t>nd multiplying it by</w:t>
      </w:r>
      <w:r w:rsidR="009434D3" w:rsidRPr="008C19D3">
        <w:t xml:space="preserve"> Columbia’s monthly long-term cost of debt rate.</w:t>
      </w:r>
      <w:r w:rsidR="009434D3">
        <w:t xml:space="preserve">  The specific </w:t>
      </w:r>
      <w:proofErr w:type="spellStart"/>
      <w:r w:rsidR="009434D3">
        <w:t>PISCC</w:t>
      </w:r>
      <w:proofErr w:type="spellEnd"/>
      <w:r w:rsidR="009434D3">
        <w:t xml:space="preserve"> formula that the Staff is recommending is set forth below in the Staff summary of formulas that should be adopted in this pro</w:t>
      </w:r>
      <w:r w:rsidR="00F452D9">
        <w:softHyphen/>
      </w:r>
      <w:r w:rsidR="009434D3">
        <w:t>ceeding.</w:t>
      </w:r>
    </w:p>
    <w:p w:rsidR="00A346EC" w:rsidRDefault="009434D3" w:rsidP="00792A39">
      <w:pPr>
        <w:pStyle w:val="Heading2"/>
      </w:pPr>
      <w:bookmarkStart w:id="8" w:name="_Toc332788834"/>
      <w:bookmarkEnd w:id="7"/>
      <w:r>
        <w:lastRenderedPageBreak/>
        <w:t>Columbia and the Staff agree that c</w:t>
      </w:r>
      <w:r w:rsidRPr="00D43E18">
        <w:t>alculation of monthly deferral of depreciation and property tax expense</w:t>
      </w:r>
      <w:r>
        <w:t>s</w:t>
      </w:r>
      <w:r w:rsidRPr="00D43E18">
        <w:t xml:space="preserve"> should follow the formula</w:t>
      </w:r>
      <w:r>
        <w:t>s</w:t>
      </w:r>
      <w:r w:rsidRPr="00D43E18">
        <w:t xml:space="preserve"> initially recom</w:t>
      </w:r>
      <w:r w:rsidR="00F452D9">
        <w:softHyphen/>
      </w:r>
      <w:r w:rsidRPr="00D43E18">
        <w:t>mended by Staff</w:t>
      </w:r>
      <w:r>
        <w:t xml:space="preserve"> in its Comments docketed February 17, 2012</w:t>
      </w:r>
      <w:r w:rsidR="00E71C2B">
        <w:t>.</w:t>
      </w:r>
      <w:bookmarkEnd w:id="8"/>
    </w:p>
    <w:p w:rsidR="009434D3" w:rsidRDefault="00792A39" w:rsidP="00792A39">
      <w:pPr>
        <w:pStyle w:val="textstyle"/>
      </w:pPr>
      <w:bookmarkStart w:id="9" w:name="_Toc317248254"/>
      <w:r>
        <w:tab/>
      </w:r>
      <w:r w:rsidR="009434D3" w:rsidRPr="008C19D3">
        <w:t xml:space="preserve">In its initial </w:t>
      </w:r>
      <w:r w:rsidR="009434D3">
        <w:t>C</w:t>
      </w:r>
      <w:r w:rsidR="009434D3" w:rsidRPr="008C19D3">
        <w:t xml:space="preserve">omments, </w:t>
      </w:r>
      <w:r w:rsidR="009434D3">
        <w:t xml:space="preserve">the </w:t>
      </w:r>
      <w:r w:rsidR="009434D3" w:rsidRPr="008C19D3">
        <w:t>Staff set forth formulas for calculating the monthly defer</w:t>
      </w:r>
      <w:r w:rsidR="00F452D9">
        <w:softHyphen/>
      </w:r>
      <w:r w:rsidR="009434D3" w:rsidRPr="008C19D3">
        <w:t xml:space="preserve">rals for both </w:t>
      </w:r>
      <w:r w:rsidR="009434D3">
        <w:t xml:space="preserve">the </w:t>
      </w:r>
      <w:r w:rsidR="009434D3" w:rsidRPr="008C19D3">
        <w:t xml:space="preserve">depreciation </w:t>
      </w:r>
      <w:r w:rsidR="009434D3">
        <w:t xml:space="preserve">expense </w:t>
      </w:r>
      <w:r w:rsidR="009434D3" w:rsidRPr="008C19D3">
        <w:t>and property tax</w:t>
      </w:r>
      <w:r w:rsidR="009434D3">
        <w:t xml:space="preserve"> expense associated with </w:t>
      </w:r>
      <w:proofErr w:type="spellStart"/>
      <w:r w:rsidR="009434D3">
        <w:t>CEP</w:t>
      </w:r>
      <w:proofErr w:type="spellEnd"/>
      <w:r w:rsidR="009434D3">
        <w:t xml:space="preserve"> investments</w:t>
      </w:r>
      <w:r w:rsidR="009434D3" w:rsidRPr="008C19D3">
        <w:t xml:space="preserve">.  Because Columbia agrees with the methodology, </w:t>
      </w:r>
      <w:r w:rsidR="009434D3">
        <w:t xml:space="preserve">Staff recommends that </w:t>
      </w:r>
      <w:r w:rsidR="009434D3" w:rsidRPr="008C19D3">
        <w:t xml:space="preserve">the Commission require Columbia to calculate depreciation and property tax deferrals for the </w:t>
      </w:r>
      <w:proofErr w:type="spellStart"/>
      <w:r w:rsidR="009434D3" w:rsidRPr="008C19D3">
        <w:t>CEP</w:t>
      </w:r>
      <w:proofErr w:type="spellEnd"/>
      <w:r w:rsidR="009434D3" w:rsidRPr="008C19D3">
        <w:t xml:space="preserve"> in a manner consistent with Staff’s recommendation.</w:t>
      </w:r>
      <w:r w:rsidR="009434D3">
        <w:t xml:space="preserve">  The specific formulas for cal</w:t>
      </w:r>
      <w:r w:rsidR="00F452D9">
        <w:softHyphen/>
      </w:r>
      <w:r w:rsidR="009434D3">
        <w:t>culating these expenses are detailed below in the summary of Staff –recommended for</w:t>
      </w:r>
      <w:r w:rsidR="00F452D9">
        <w:softHyphen/>
      </w:r>
      <w:r w:rsidR="009434D3">
        <w:t>mulas.</w:t>
      </w:r>
    </w:p>
    <w:p w:rsidR="009434D3" w:rsidRPr="00D43E18" w:rsidRDefault="009434D3" w:rsidP="00050A19">
      <w:pPr>
        <w:pStyle w:val="Heading2"/>
      </w:pPr>
      <w:bookmarkStart w:id="10" w:name="_Toc332788835"/>
      <w:r w:rsidRPr="00D43E18">
        <w:t xml:space="preserve">Columbia </w:t>
      </w:r>
      <w:r>
        <w:t xml:space="preserve">and the Staff agree that Columbia </w:t>
      </w:r>
      <w:r w:rsidRPr="00D43E18">
        <w:t>should make annual informational filings.</w:t>
      </w:r>
      <w:bookmarkEnd w:id="10"/>
    </w:p>
    <w:p w:rsidR="009434D3" w:rsidRPr="008C19D3" w:rsidRDefault="00050A19" w:rsidP="00050A19">
      <w:pPr>
        <w:pStyle w:val="textstyle"/>
      </w:pPr>
      <w:r>
        <w:tab/>
      </w:r>
      <w:r w:rsidR="009434D3" w:rsidRPr="008C19D3">
        <w:t xml:space="preserve">In its initial </w:t>
      </w:r>
      <w:r w:rsidR="009434D3">
        <w:t>C</w:t>
      </w:r>
      <w:r w:rsidR="009434D3" w:rsidRPr="008C19D3">
        <w:t xml:space="preserve">omments, Staff proposed that Columbia should be required to make annual informational filings for its </w:t>
      </w:r>
      <w:proofErr w:type="spellStart"/>
      <w:r w:rsidR="009434D3" w:rsidRPr="008C19D3">
        <w:t>CEP</w:t>
      </w:r>
      <w:proofErr w:type="spellEnd"/>
      <w:r w:rsidR="009434D3" w:rsidRPr="008C19D3">
        <w:t xml:space="preserve"> program on March 15 for the previous calendar year and that this filing “should detail the monthly capital </w:t>
      </w:r>
      <w:proofErr w:type="spellStart"/>
      <w:r w:rsidR="009434D3" w:rsidRPr="008C19D3">
        <w:t>CEP</w:t>
      </w:r>
      <w:proofErr w:type="spellEnd"/>
      <w:r w:rsidR="009434D3" w:rsidRPr="008C19D3">
        <w:t xml:space="preserve"> investments and the cal</w:t>
      </w:r>
      <w:r w:rsidR="00F452D9">
        <w:softHyphen/>
      </w:r>
      <w:r w:rsidR="009434D3" w:rsidRPr="008C19D3">
        <w:t xml:space="preserve">culation used to determine the deferred amounts to be recorded.” </w:t>
      </w:r>
      <w:r w:rsidR="009434D3">
        <w:rPr>
          <w:rStyle w:val="FootnoteReference"/>
          <w:szCs w:val="24"/>
        </w:rPr>
        <w:footnoteReference w:id="7"/>
      </w:r>
      <w:r w:rsidR="009434D3" w:rsidRPr="008C19D3">
        <w:t xml:space="preserve"> </w:t>
      </w:r>
      <w:r w:rsidR="009434D3">
        <w:t xml:space="preserve"> In its Supplemental Reply Comments, </w:t>
      </w:r>
      <w:r w:rsidR="009434D3" w:rsidRPr="008C19D3">
        <w:t xml:space="preserve">Columbia agrees to make an annual filing </w:t>
      </w:r>
      <w:r w:rsidR="009434D3">
        <w:t>as recommended by Staff</w:t>
      </w:r>
      <w:r w:rsidR="009434D3" w:rsidRPr="008C19D3">
        <w:t xml:space="preserve">.  However, </w:t>
      </w:r>
      <w:r w:rsidR="009434D3">
        <w:t xml:space="preserve">the Company </w:t>
      </w:r>
      <w:r w:rsidR="009434D3" w:rsidRPr="008C19D3">
        <w:t xml:space="preserve">requests that the annual filing date be moved back to April 30, rather than </w:t>
      </w:r>
      <w:r w:rsidR="009434D3">
        <w:t xml:space="preserve">the </w:t>
      </w:r>
      <w:r w:rsidR="009434D3" w:rsidRPr="008C19D3">
        <w:t>March 15</w:t>
      </w:r>
      <w:r w:rsidR="009434D3">
        <w:t xml:space="preserve"> date that the Staff recommended.  Columbia maintains that </w:t>
      </w:r>
      <w:r w:rsidR="009434D3" w:rsidRPr="008C19D3">
        <w:t xml:space="preserve">its “accounting staff is tied up with the year-end closing of the </w:t>
      </w:r>
      <w:r w:rsidR="009434D3">
        <w:t>C</w:t>
      </w:r>
      <w:r w:rsidR="009434D3" w:rsidRPr="008C19D3">
        <w:t xml:space="preserve">ompany’s books and the </w:t>
      </w:r>
      <w:r w:rsidR="009434D3" w:rsidRPr="008C19D3">
        <w:lastRenderedPageBreak/>
        <w:t xml:space="preserve">support of Columbia’s annual </w:t>
      </w:r>
      <w:proofErr w:type="spellStart"/>
      <w:r w:rsidR="009434D3" w:rsidRPr="008C19D3">
        <w:t>IRP</w:t>
      </w:r>
      <w:proofErr w:type="spellEnd"/>
      <w:r w:rsidR="009434D3" w:rsidRPr="008C19D3">
        <w:t xml:space="preserve"> filing.”</w:t>
      </w:r>
      <w:r w:rsidR="009434D3">
        <w:rPr>
          <w:rStyle w:val="FootnoteReference"/>
          <w:szCs w:val="24"/>
        </w:rPr>
        <w:footnoteReference w:id="8"/>
      </w:r>
      <w:r w:rsidR="009434D3" w:rsidRPr="008C19D3">
        <w:t xml:space="preserve">  The Staff </w:t>
      </w:r>
      <w:r w:rsidR="009434D3">
        <w:t>agrees with Columbia’s recommenda</w:t>
      </w:r>
      <w:r w:rsidR="00F452D9">
        <w:softHyphen/>
      </w:r>
      <w:r w:rsidR="009434D3">
        <w:t xml:space="preserve">tion to move the filing date to April 30.  Like Columbia, the Staff’s resources are also stretched thin around March 15 of each year.  In addition, there is no harm caused by moving the date to April 30.  Therefore, the Staff recommends that the Commission direct Columbia to make an informational filing by April 30 of each year that details </w:t>
      </w:r>
      <w:r w:rsidR="009434D3" w:rsidRPr="008C19D3">
        <w:t xml:space="preserve">the monthly capital </w:t>
      </w:r>
      <w:proofErr w:type="spellStart"/>
      <w:r w:rsidR="009434D3" w:rsidRPr="008C19D3">
        <w:t>CEP</w:t>
      </w:r>
      <w:proofErr w:type="spellEnd"/>
      <w:r w:rsidR="009434D3" w:rsidRPr="008C19D3">
        <w:t xml:space="preserve"> investments and the calculation</w:t>
      </w:r>
      <w:r w:rsidR="009434D3">
        <w:t>s</w:t>
      </w:r>
      <w:r w:rsidR="009434D3" w:rsidRPr="008C19D3">
        <w:t xml:space="preserve"> used to determine the </w:t>
      </w:r>
      <w:r w:rsidR="009434D3">
        <w:t xml:space="preserve">associated deferrals as recommended in the Staff’s initial Comments.  </w:t>
      </w:r>
      <w:r w:rsidR="009434D3" w:rsidRPr="007B043F">
        <w:t xml:space="preserve">Specifically, the annual filing should include </w:t>
      </w:r>
      <w:r w:rsidR="009434D3">
        <w:t xml:space="preserve">all calculations used to determine the monthly deferred amounts including a breakdown of investments (by budget class), </w:t>
      </w:r>
      <w:proofErr w:type="spellStart"/>
      <w:r w:rsidR="009434D3">
        <w:t>PISCC</w:t>
      </w:r>
      <w:proofErr w:type="spellEnd"/>
      <w:r w:rsidR="009434D3">
        <w:t>, depreciation expense, property tax expense, and all incremental revenue, as well as a capital budget for the upcoming year.</w:t>
      </w:r>
      <w:r w:rsidR="009434D3">
        <w:rPr>
          <w:rStyle w:val="FootnoteReference"/>
          <w:szCs w:val="24"/>
        </w:rPr>
        <w:footnoteReference w:id="9"/>
      </w:r>
      <w:r>
        <w:t xml:space="preserve">  In addition</w:t>
      </w:r>
      <w:r w:rsidR="009434D3" w:rsidRPr="007B043F">
        <w:t xml:space="preserve">, for the reasons discussed below, </w:t>
      </w:r>
      <w:r w:rsidR="009434D3">
        <w:t>the annual filing should also include an estimation of the effects that the proposed deferrals would have on customer bills if they were to be included in rates.</w:t>
      </w:r>
    </w:p>
    <w:p w:rsidR="009434D3" w:rsidRPr="00D43E18" w:rsidRDefault="009434D3" w:rsidP="00050A19">
      <w:pPr>
        <w:pStyle w:val="Heading2"/>
      </w:pPr>
      <w:bookmarkStart w:id="11" w:name="_Toc332788836"/>
      <w:r>
        <w:t xml:space="preserve">Columbia and the Staff agree that there should be a cap on </w:t>
      </w:r>
      <w:proofErr w:type="spellStart"/>
      <w:r>
        <w:t>CEP</w:t>
      </w:r>
      <w:proofErr w:type="spellEnd"/>
      <w:r>
        <w:t xml:space="preserve"> deferrals.</w:t>
      </w:r>
      <w:bookmarkEnd w:id="11"/>
    </w:p>
    <w:p w:rsidR="009434D3" w:rsidRPr="008C19D3" w:rsidRDefault="009434D3" w:rsidP="00050A19">
      <w:pPr>
        <w:pStyle w:val="textstyle"/>
      </w:pPr>
      <w:r>
        <w:tab/>
      </w:r>
      <w:r w:rsidRPr="008C19D3">
        <w:t xml:space="preserve">In its initial comments, the OCC expressed concern over the </w:t>
      </w:r>
      <w:proofErr w:type="spellStart"/>
      <w:r w:rsidRPr="008C19D3">
        <w:t>CEP</w:t>
      </w:r>
      <w:proofErr w:type="spellEnd"/>
      <w:r w:rsidRPr="008C19D3">
        <w:t xml:space="preserve"> deferrals being allowed to grow indefinitely.  </w:t>
      </w:r>
      <w:r>
        <w:t xml:space="preserve">The OCC was concerned over the </w:t>
      </w:r>
      <w:r w:rsidRPr="008C19D3">
        <w:t>potential for signifi</w:t>
      </w:r>
      <w:r w:rsidR="00F452D9">
        <w:softHyphen/>
      </w:r>
      <w:r w:rsidRPr="008C19D3">
        <w:t xml:space="preserve">cantly larger future </w:t>
      </w:r>
      <w:r>
        <w:t xml:space="preserve">customer </w:t>
      </w:r>
      <w:r w:rsidRPr="008C19D3">
        <w:t xml:space="preserve">rate increases due to the continued accrual of carrying </w:t>
      </w:r>
      <w:r w:rsidRPr="008C19D3">
        <w:lastRenderedPageBreak/>
        <w:t>charges</w:t>
      </w:r>
      <w:r>
        <w:t xml:space="preserve"> on the </w:t>
      </w:r>
      <w:proofErr w:type="spellStart"/>
      <w:r>
        <w:t>CEP</w:t>
      </w:r>
      <w:proofErr w:type="spellEnd"/>
      <w:r>
        <w:t xml:space="preserve"> deferrals</w:t>
      </w:r>
      <w:r w:rsidRPr="008C19D3">
        <w:t xml:space="preserve">.  </w:t>
      </w:r>
      <w:r>
        <w:t>As a result, t</w:t>
      </w:r>
      <w:r w:rsidRPr="008C19D3">
        <w:t xml:space="preserve">he OCC recommended that </w:t>
      </w:r>
      <w:r>
        <w:t xml:space="preserve">the </w:t>
      </w:r>
      <w:r w:rsidRPr="008C19D3">
        <w:t xml:space="preserve">deferrals end when they become effective in </w:t>
      </w:r>
      <w:r>
        <w:t xml:space="preserve">Columbia’s </w:t>
      </w:r>
      <w:r w:rsidRPr="008C19D3">
        <w:t>base rates or on December 31, 2014, which</w:t>
      </w:r>
      <w:r w:rsidR="00F452D9">
        <w:softHyphen/>
      </w:r>
      <w:r w:rsidRPr="008C19D3">
        <w:t xml:space="preserve">ever comes first.  </w:t>
      </w:r>
      <w:r>
        <w:t xml:space="preserve">In its Reply Comments in this case, the </w:t>
      </w:r>
      <w:r w:rsidRPr="008C19D3">
        <w:t>Staff agreed with the OCC</w:t>
      </w:r>
      <w:r w:rsidR="00050A19">
        <w:t>.</w:t>
      </w:r>
      <w:r w:rsidR="00050A19" w:rsidRPr="008C19D3">
        <w:t xml:space="preserve"> </w:t>
      </w:r>
      <w:r w:rsidR="00050A19">
        <w:t xml:space="preserve"> </w:t>
      </w:r>
      <w:r>
        <w:t xml:space="preserve">In response to OCC and Staff’s concern, </w:t>
      </w:r>
      <w:r w:rsidRPr="008C19D3">
        <w:t xml:space="preserve">Columbia </w:t>
      </w:r>
      <w:r>
        <w:t>states in its Supplemental Reply Com</w:t>
      </w:r>
      <w:r w:rsidR="00F452D9">
        <w:softHyphen/>
      </w:r>
      <w:r>
        <w:t xml:space="preserve">ments that it </w:t>
      </w:r>
      <w:r w:rsidRPr="008C19D3">
        <w:t xml:space="preserve">recognizes the concern over </w:t>
      </w:r>
      <w:r>
        <w:t xml:space="preserve">potential </w:t>
      </w:r>
      <w:r w:rsidRPr="008C19D3">
        <w:t>customer rate shock</w:t>
      </w:r>
      <w:r>
        <w:t>,</w:t>
      </w:r>
      <w:r w:rsidRPr="008C19D3">
        <w:t xml:space="preserve"> </w:t>
      </w:r>
      <w:r>
        <w:t>however it sug</w:t>
      </w:r>
      <w:r w:rsidR="00F452D9">
        <w:softHyphen/>
      </w:r>
      <w:r>
        <w:t xml:space="preserve">gests that a better way to address the concern is to place a cap on accrual of the deferrals that is tied to the impact on the rates for the </w:t>
      </w:r>
      <w:r w:rsidRPr="008C19D3">
        <w:t>Small General Service (“</w:t>
      </w:r>
      <w:proofErr w:type="spellStart"/>
      <w:r w:rsidRPr="008C19D3">
        <w:t>SGS</w:t>
      </w:r>
      <w:proofErr w:type="spellEnd"/>
      <w:r w:rsidRPr="008C19D3">
        <w:t>”) class</w:t>
      </w:r>
      <w:r>
        <w:t xml:space="preserve"> of cus</w:t>
      </w:r>
      <w:r w:rsidR="00F452D9">
        <w:softHyphen/>
      </w:r>
      <w:r>
        <w:t xml:space="preserve">tomers.  Specifically, Columbia </w:t>
      </w:r>
      <w:r w:rsidRPr="008C19D3">
        <w:t>suggest</w:t>
      </w:r>
      <w:r>
        <w:t xml:space="preserve">s </w:t>
      </w:r>
      <w:r w:rsidRPr="008C19D3">
        <w:t xml:space="preserve">that </w:t>
      </w:r>
      <w:r>
        <w:t xml:space="preserve">approved </w:t>
      </w:r>
      <w:proofErr w:type="spellStart"/>
      <w:r>
        <w:t>CEP</w:t>
      </w:r>
      <w:proofErr w:type="spellEnd"/>
      <w:r>
        <w:t xml:space="preserve"> </w:t>
      </w:r>
      <w:r w:rsidRPr="008C19D3">
        <w:t xml:space="preserve">deferrals be allowed to accrue until </w:t>
      </w:r>
      <w:r>
        <w:t xml:space="preserve">such time as the deferrals, if put into rates, </w:t>
      </w:r>
      <w:r w:rsidRPr="008C19D3">
        <w:t xml:space="preserve">would increase the monthly rates for </w:t>
      </w:r>
      <w:r>
        <w:t xml:space="preserve">the </w:t>
      </w:r>
      <w:proofErr w:type="spellStart"/>
      <w:r w:rsidRPr="008C19D3">
        <w:t>SGS</w:t>
      </w:r>
      <w:proofErr w:type="spellEnd"/>
      <w:r w:rsidRPr="008C19D3">
        <w:t xml:space="preserve"> customers by </w:t>
      </w:r>
      <w:r>
        <w:t xml:space="preserve">more than </w:t>
      </w:r>
      <w:r w:rsidRPr="008C19D3">
        <w:t>$1.50.</w:t>
      </w:r>
    </w:p>
    <w:p w:rsidR="009434D3" w:rsidRDefault="00050A19" w:rsidP="00050A19">
      <w:pPr>
        <w:pStyle w:val="textstyle"/>
      </w:pPr>
      <w:r>
        <w:tab/>
      </w:r>
      <w:r w:rsidR="009434D3">
        <w:t xml:space="preserve">The </w:t>
      </w:r>
      <w:r w:rsidR="009434D3" w:rsidRPr="008C19D3">
        <w:t xml:space="preserve">Staff agrees that </w:t>
      </w:r>
      <w:r w:rsidR="009434D3">
        <w:t xml:space="preserve">Columbia’s proposed $1.50/month cap on </w:t>
      </w:r>
      <w:proofErr w:type="spellStart"/>
      <w:r w:rsidR="009434D3">
        <w:t>SGS</w:t>
      </w:r>
      <w:proofErr w:type="spellEnd"/>
      <w:r w:rsidR="009434D3">
        <w:t xml:space="preserve"> customers’ rates strikes a reasonable balance between allowing the </w:t>
      </w:r>
      <w:proofErr w:type="spellStart"/>
      <w:r w:rsidR="009434D3">
        <w:t>CEP</w:t>
      </w:r>
      <w:proofErr w:type="spellEnd"/>
      <w:r w:rsidR="009434D3">
        <w:t xml:space="preserve"> deferrals to accrue over a sufficient time period in order to avoid frequent recovery proceedings and allowing the deferrals to accrue too long and potentially creating rate shock for customers when the deferrals are ultimately recovered in rates.  Therefore, the Staff </w:t>
      </w:r>
      <w:r w:rsidR="009434D3" w:rsidRPr="008C19D3">
        <w:t xml:space="preserve">recommends that the Commission </w:t>
      </w:r>
      <w:r w:rsidR="009434D3">
        <w:t xml:space="preserve">direct that Columbia can accrue </w:t>
      </w:r>
      <w:proofErr w:type="spellStart"/>
      <w:r w:rsidR="009434D3">
        <w:t>CEP</w:t>
      </w:r>
      <w:proofErr w:type="spellEnd"/>
      <w:r w:rsidR="009434D3">
        <w:t xml:space="preserve"> deferrals up until the point where the accrued deferrals, if included in rates, would cause the rate</w:t>
      </w:r>
      <w:r w:rsidR="00725B11">
        <w:t>s</w:t>
      </w:r>
      <w:r w:rsidR="009434D3">
        <w:t xml:space="preserve"> charged to the </w:t>
      </w:r>
      <w:proofErr w:type="spellStart"/>
      <w:r w:rsidR="009434D3">
        <w:t>SGS</w:t>
      </w:r>
      <w:proofErr w:type="spellEnd"/>
      <w:r w:rsidR="009434D3">
        <w:t xml:space="preserve"> class of customers to </w:t>
      </w:r>
      <w:r w:rsidR="00F67218">
        <w:t xml:space="preserve">increase by more than </w:t>
      </w:r>
      <w:r w:rsidR="009434D3">
        <w:t xml:space="preserve">$1.50/month.  Accrual of all future </w:t>
      </w:r>
      <w:proofErr w:type="spellStart"/>
      <w:r w:rsidR="009434D3">
        <w:t>CEP</w:t>
      </w:r>
      <w:proofErr w:type="spellEnd"/>
      <w:r w:rsidR="009434D3">
        <w:t>-related deferral’s would cease once the $1.50/month threshold is surpassed until such time as Columbia files to recover the existing accrued deferrals under one of the recovery mech</w:t>
      </w:r>
      <w:r w:rsidR="00457618">
        <w:softHyphen/>
      </w:r>
      <w:r w:rsidR="009434D3">
        <w:t xml:space="preserve">anisms specified in Revised Code </w:t>
      </w:r>
      <w:r w:rsidR="009434D3" w:rsidRPr="007B043F">
        <w:t>Sections 4909.18, 4905.05, or 4929.11.</w:t>
      </w:r>
      <w:r w:rsidR="009434D3">
        <w:t xml:space="preserve"> </w:t>
      </w:r>
    </w:p>
    <w:p w:rsidR="009434D3" w:rsidRPr="00D43E18" w:rsidRDefault="009434D3" w:rsidP="00050A19">
      <w:pPr>
        <w:pStyle w:val="Heading2"/>
      </w:pPr>
      <w:bookmarkStart w:id="12" w:name="_Toc332788837"/>
      <w:r w:rsidRPr="00D43E18">
        <w:lastRenderedPageBreak/>
        <w:t xml:space="preserve">The </w:t>
      </w:r>
      <w:r>
        <w:t>Commission should establish the specific formu</w:t>
      </w:r>
      <w:r w:rsidR="00F452D9">
        <w:softHyphen/>
      </w:r>
      <w:r>
        <w:t xml:space="preserve">las that should be used to calculate the total monthly </w:t>
      </w:r>
      <w:proofErr w:type="spellStart"/>
      <w:r>
        <w:t>CEP</w:t>
      </w:r>
      <w:proofErr w:type="spellEnd"/>
      <w:r>
        <w:t xml:space="preserve"> deferrals</w:t>
      </w:r>
      <w:r w:rsidRPr="00D43E18">
        <w:t>.</w:t>
      </w:r>
      <w:bookmarkEnd w:id="12"/>
    </w:p>
    <w:p w:rsidR="009434D3" w:rsidRPr="008C19D3" w:rsidRDefault="00050A19" w:rsidP="00050A19">
      <w:pPr>
        <w:pStyle w:val="textstyle"/>
      </w:pPr>
      <w:r>
        <w:tab/>
      </w:r>
      <w:r w:rsidR="009434D3">
        <w:t>As the discussion above demonstrates, through the cycle of comments, reply com</w:t>
      </w:r>
      <w:r w:rsidR="00F452D9">
        <w:softHyphen/>
      </w:r>
      <w:r w:rsidR="009434D3">
        <w:t xml:space="preserve">ments, supplemental reply comments, and evolving positions on varying topics, there is now a substantial amount of agreement between Columbia and the Staff on Columbia’s proposal for creation of a </w:t>
      </w:r>
      <w:proofErr w:type="spellStart"/>
      <w:r w:rsidR="009434D3">
        <w:t>CEP</w:t>
      </w:r>
      <w:proofErr w:type="spellEnd"/>
      <w:r w:rsidR="009434D3">
        <w:t xml:space="preserve"> and calculation of associated deferrals.  Despite this gen</w:t>
      </w:r>
      <w:r w:rsidR="00F452D9">
        <w:softHyphen/>
      </w:r>
      <w:r w:rsidR="009434D3">
        <w:t>eral agreement, however, the Staff believes that it is prudent for the Commission to spe</w:t>
      </w:r>
      <w:r w:rsidR="00F452D9">
        <w:softHyphen/>
      </w:r>
      <w:r w:rsidR="009434D3">
        <w:t xml:space="preserve">cifically adopt the formulas that should be used to calculate the monthly </w:t>
      </w:r>
      <w:proofErr w:type="spellStart"/>
      <w:r w:rsidR="009434D3">
        <w:t>CEP</w:t>
      </w:r>
      <w:proofErr w:type="spellEnd"/>
      <w:r w:rsidR="009434D3">
        <w:t xml:space="preserve"> deferrals.  Towards this end, the Staff recommends that the </w:t>
      </w:r>
      <w:r w:rsidR="009434D3" w:rsidRPr="008C19D3">
        <w:t>formula</w:t>
      </w:r>
      <w:r w:rsidR="009434D3">
        <w:t>s</w:t>
      </w:r>
      <w:r w:rsidR="009434D3" w:rsidRPr="008C19D3">
        <w:t xml:space="preserve"> for calculating the monthly deferral amounts should be calculated as follows:</w:t>
      </w:r>
    </w:p>
    <w:p w:rsidR="009434D3" w:rsidRPr="00EE2909" w:rsidRDefault="009434D3" w:rsidP="009434D3">
      <w:pPr>
        <w:spacing w:line="480" w:lineRule="auto"/>
      </w:pPr>
    </w:p>
    <w:tbl>
      <w:tblPr>
        <w:tblW w:w="7680" w:type="dxa"/>
        <w:tblInd w:w="848" w:type="dxa"/>
        <w:tblLook w:val="04A0" w:firstRow="1" w:lastRow="0" w:firstColumn="1" w:lastColumn="0" w:noHBand="0" w:noVBand="1"/>
      </w:tblPr>
      <w:tblGrid>
        <w:gridCol w:w="2860"/>
        <w:gridCol w:w="460"/>
        <w:gridCol w:w="4360"/>
      </w:tblGrid>
      <w:tr w:rsidR="009434D3" w:rsidRPr="008C19D3" w:rsidTr="00050A19">
        <w:trPr>
          <w:trHeight w:val="1500"/>
        </w:trPr>
        <w:tc>
          <w:tcPr>
            <w:tcW w:w="2860" w:type="dxa"/>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Total Monthly Deferral</w:t>
            </w:r>
          </w:p>
        </w:tc>
        <w:tc>
          <w:tcPr>
            <w:tcW w:w="460"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w:t>
            </w:r>
            <w:proofErr w:type="spellStart"/>
            <w:r w:rsidRPr="00050A19">
              <w:rPr>
                <w:rFonts w:eastAsia="Times New Roman" w:cs="Times New Roman"/>
                <w:color w:val="000000"/>
                <w:sz w:val="26"/>
                <w:szCs w:val="26"/>
              </w:rPr>
              <w:t>PISCC</w:t>
            </w:r>
            <w:proofErr w:type="spellEnd"/>
            <w:r w:rsidRPr="00050A19">
              <w:rPr>
                <w:rFonts w:eastAsia="Times New Roman" w:cs="Times New Roman"/>
                <w:color w:val="000000"/>
                <w:sz w:val="26"/>
                <w:szCs w:val="26"/>
              </w:rPr>
              <w:t>) + (Depreciation Expense) + (Property Tax Expense) - (Incremental Revenues)</w:t>
            </w:r>
          </w:p>
        </w:tc>
      </w:tr>
    </w:tbl>
    <w:p w:rsidR="009434D3" w:rsidRPr="008C19D3" w:rsidRDefault="009434D3" w:rsidP="009434D3">
      <w:pPr>
        <w:rPr>
          <w:rFonts w:cs="Times New Roman"/>
        </w:rPr>
      </w:pPr>
    </w:p>
    <w:p w:rsidR="009434D3" w:rsidRDefault="009434D3" w:rsidP="00050A19">
      <w:pPr>
        <w:pStyle w:val="textstyle"/>
      </w:pPr>
      <w:r w:rsidRPr="008C19D3">
        <w:t>Where:</w:t>
      </w:r>
    </w:p>
    <w:p w:rsidR="00C25496" w:rsidRPr="008C19D3" w:rsidRDefault="00C25496" w:rsidP="00050A19">
      <w:pPr>
        <w:pStyle w:val="textstyle"/>
      </w:pPr>
    </w:p>
    <w:tbl>
      <w:tblPr>
        <w:tblW w:w="7763" w:type="dxa"/>
        <w:tblInd w:w="848" w:type="dxa"/>
        <w:tblLook w:val="04A0" w:firstRow="1" w:lastRow="0" w:firstColumn="1" w:lastColumn="0" w:noHBand="0" w:noVBand="1"/>
      </w:tblPr>
      <w:tblGrid>
        <w:gridCol w:w="2320"/>
        <w:gridCol w:w="363"/>
        <w:gridCol w:w="5080"/>
      </w:tblGrid>
      <w:tr w:rsidR="009434D3" w:rsidRPr="008C19D3" w:rsidTr="00050A19">
        <w:trPr>
          <w:trHeight w:val="1500"/>
        </w:trPr>
        <w:tc>
          <w:tcPr>
            <w:tcW w:w="2320" w:type="dxa"/>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proofErr w:type="spellStart"/>
            <w:r w:rsidRPr="00050A19">
              <w:rPr>
                <w:rFonts w:eastAsia="Times New Roman" w:cs="Times New Roman"/>
                <w:color w:val="000000"/>
                <w:sz w:val="26"/>
                <w:szCs w:val="26"/>
              </w:rPr>
              <w:t>PISCC</w:t>
            </w:r>
            <w:proofErr w:type="spellEnd"/>
          </w:p>
        </w:tc>
        <w:tc>
          <w:tcPr>
            <w:tcW w:w="363"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5080" w:type="dxa"/>
            <w:tcBorders>
              <w:top w:val="single" w:sz="4" w:space="0" w:color="auto"/>
              <w:left w:val="nil"/>
              <w:bottom w:val="single" w:sz="4" w:space="0" w:color="auto"/>
              <w:right w:val="single" w:sz="4" w:space="0" w:color="auto"/>
            </w:tcBorders>
            <w:shd w:val="clear" w:color="auto" w:fill="auto"/>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[(Previous Month's Cumulative Gross Plan Additions) - (Previous Month's Accumulated Depreciation) - (Previous Month's Cumulative Retirements)] x [(Long Term Debt Rate) / (12 Months)]</w:t>
            </w:r>
          </w:p>
        </w:tc>
      </w:tr>
    </w:tbl>
    <w:p w:rsidR="00050A19" w:rsidRDefault="00050A19">
      <w:r>
        <w:br w:type="page"/>
      </w:r>
    </w:p>
    <w:tbl>
      <w:tblPr>
        <w:tblW w:w="7763" w:type="dxa"/>
        <w:tblInd w:w="848" w:type="dxa"/>
        <w:tblLook w:val="04A0" w:firstRow="1" w:lastRow="0" w:firstColumn="1" w:lastColumn="0" w:noHBand="0" w:noVBand="1"/>
      </w:tblPr>
      <w:tblGrid>
        <w:gridCol w:w="2683"/>
        <w:gridCol w:w="720"/>
        <w:gridCol w:w="4360"/>
      </w:tblGrid>
      <w:tr w:rsidR="009434D3" w:rsidRPr="008C19D3" w:rsidTr="00050A19">
        <w:trPr>
          <w:trHeight w:val="300"/>
        </w:trPr>
        <w:tc>
          <w:tcPr>
            <w:tcW w:w="2683" w:type="dxa"/>
            <w:tcBorders>
              <w:top w:val="nil"/>
              <w:left w:val="nil"/>
              <w:bottom w:val="nil"/>
              <w:right w:val="nil"/>
            </w:tcBorders>
            <w:shd w:val="clear" w:color="auto" w:fill="auto"/>
            <w:noWrap/>
            <w:vAlign w:val="bottom"/>
          </w:tcPr>
          <w:p w:rsidR="00050A19" w:rsidRDefault="00050A19" w:rsidP="00050A19">
            <w:pPr>
              <w:pStyle w:val="NoSpacing"/>
            </w:pPr>
          </w:p>
          <w:p w:rsidR="00050A19" w:rsidRDefault="00050A19" w:rsidP="00050A19">
            <w:pPr>
              <w:pStyle w:val="NoSpacing"/>
            </w:pPr>
          </w:p>
          <w:p w:rsidR="00050A19" w:rsidRPr="00050A19" w:rsidRDefault="00050A19" w:rsidP="00050A19">
            <w:pPr>
              <w:pStyle w:val="NoSpacing"/>
            </w:pPr>
          </w:p>
        </w:tc>
        <w:tc>
          <w:tcPr>
            <w:tcW w:w="720" w:type="dxa"/>
            <w:tcBorders>
              <w:top w:val="nil"/>
              <w:left w:val="nil"/>
              <w:bottom w:val="nil"/>
              <w:right w:val="nil"/>
            </w:tcBorders>
            <w:shd w:val="clear" w:color="auto" w:fill="auto"/>
            <w:noWrap/>
            <w:vAlign w:val="bottom"/>
          </w:tcPr>
          <w:p w:rsidR="009434D3" w:rsidRPr="008C19D3" w:rsidRDefault="009434D3" w:rsidP="009434D3">
            <w:pPr>
              <w:spacing w:after="0" w:line="240" w:lineRule="auto"/>
              <w:rPr>
                <w:rFonts w:ascii="Calibri" w:eastAsia="Times New Roman" w:hAnsi="Calibri" w:cs="Calibri"/>
                <w:color w:val="000000"/>
              </w:rPr>
            </w:pPr>
          </w:p>
        </w:tc>
        <w:tc>
          <w:tcPr>
            <w:tcW w:w="4360" w:type="dxa"/>
            <w:tcBorders>
              <w:top w:val="nil"/>
              <w:left w:val="nil"/>
              <w:bottom w:val="nil"/>
              <w:right w:val="nil"/>
            </w:tcBorders>
            <w:shd w:val="clear" w:color="auto" w:fill="auto"/>
            <w:noWrap/>
            <w:vAlign w:val="bottom"/>
          </w:tcPr>
          <w:p w:rsidR="00050A19" w:rsidRPr="00050A19" w:rsidRDefault="00050A19" w:rsidP="00050A19">
            <w:pPr>
              <w:pStyle w:val="NoSpacing"/>
            </w:pPr>
          </w:p>
        </w:tc>
      </w:tr>
      <w:tr w:rsidR="009434D3" w:rsidRPr="008C19D3" w:rsidTr="00050A19">
        <w:trPr>
          <w:trHeight w:val="1500"/>
        </w:trPr>
        <w:tc>
          <w:tcPr>
            <w:tcW w:w="2683" w:type="dxa"/>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Depreciation Expense</w:t>
            </w:r>
          </w:p>
        </w:tc>
        <w:tc>
          <w:tcPr>
            <w:tcW w:w="720"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[(Previous Month's Cumulative Gross Plan Additions) - (Previous Month's Cumulative Retirements) + (1/2 Current Month's Plant Additions) - (1/2 Current Month's Retirements)] x [(Depreciation Rate) / (12 Months)]</w:t>
            </w:r>
          </w:p>
        </w:tc>
      </w:tr>
      <w:tr w:rsidR="009434D3" w:rsidRPr="008C19D3" w:rsidTr="00050A19">
        <w:trPr>
          <w:trHeight w:val="300"/>
        </w:trPr>
        <w:tc>
          <w:tcPr>
            <w:tcW w:w="2683"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c>
          <w:tcPr>
            <w:tcW w:w="4360"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r>
      <w:tr w:rsidR="009434D3" w:rsidRPr="008C19D3" w:rsidTr="00050A19">
        <w:trPr>
          <w:trHeight w:val="1500"/>
        </w:trPr>
        <w:tc>
          <w:tcPr>
            <w:tcW w:w="2683" w:type="dxa"/>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Property Tax Expense</w:t>
            </w:r>
          </w:p>
        </w:tc>
        <w:tc>
          <w:tcPr>
            <w:tcW w:w="720"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[(Previous Month's Cumulative Gross Plan Additions) - (Previous Month's Cumulative Retirements)] x (Percent Good Adjustment) x [(Effective Property Tax Rate) / (12 Months)]</w:t>
            </w:r>
          </w:p>
        </w:tc>
      </w:tr>
      <w:tr w:rsidR="009434D3" w:rsidRPr="008C19D3" w:rsidTr="00050A19">
        <w:trPr>
          <w:trHeight w:val="300"/>
        </w:trPr>
        <w:tc>
          <w:tcPr>
            <w:tcW w:w="2683"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c>
          <w:tcPr>
            <w:tcW w:w="720"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c>
          <w:tcPr>
            <w:tcW w:w="4360" w:type="dxa"/>
            <w:tcBorders>
              <w:top w:val="nil"/>
              <w:left w:val="nil"/>
              <w:bottom w:val="nil"/>
              <w:right w:val="nil"/>
            </w:tcBorders>
            <w:shd w:val="clear" w:color="auto" w:fill="auto"/>
            <w:noWrap/>
            <w:vAlign w:val="bottom"/>
            <w:hideMark/>
          </w:tcPr>
          <w:p w:rsidR="009434D3" w:rsidRPr="008C19D3" w:rsidRDefault="009434D3" w:rsidP="009434D3">
            <w:pPr>
              <w:spacing w:after="0" w:line="240" w:lineRule="auto"/>
              <w:rPr>
                <w:rFonts w:ascii="Calibri" w:eastAsia="Times New Roman" w:hAnsi="Calibri" w:cs="Calibri"/>
                <w:color w:val="000000"/>
              </w:rPr>
            </w:pPr>
          </w:p>
        </w:tc>
      </w:tr>
      <w:tr w:rsidR="009434D3" w:rsidRPr="00050A19" w:rsidTr="00050A19">
        <w:trPr>
          <w:trHeight w:val="1500"/>
        </w:trPr>
        <w:tc>
          <w:tcPr>
            <w:tcW w:w="2683" w:type="dxa"/>
            <w:tcBorders>
              <w:top w:val="single" w:sz="4" w:space="0" w:color="auto"/>
              <w:left w:val="single" w:sz="4" w:space="0" w:color="auto"/>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Incremental Revenue</w:t>
            </w:r>
          </w:p>
        </w:tc>
        <w:tc>
          <w:tcPr>
            <w:tcW w:w="720" w:type="dxa"/>
            <w:tcBorders>
              <w:top w:val="single" w:sz="4" w:space="0" w:color="auto"/>
              <w:left w:val="nil"/>
              <w:bottom w:val="single" w:sz="4" w:space="0" w:color="auto"/>
              <w:right w:val="nil"/>
            </w:tcBorders>
            <w:shd w:val="clear" w:color="auto" w:fill="auto"/>
            <w:noWrap/>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 xml:space="preserve"> = </w:t>
            </w:r>
          </w:p>
        </w:tc>
        <w:tc>
          <w:tcPr>
            <w:tcW w:w="4360" w:type="dxa"/>
            <w:tcBorders>
              <w:top w:val="single" w:sz="4" w:space="0" w:color="auto"/>
              <w:left w:val="nil"/>
              <w:bottom w:val="single" w:sz="4" w:space="0" w:color="auto"/>
              <w:right w:val="single" w:sz="4" w:space="0" w:color="auto"/>
            </w:tcBorders>
            <w:shd w:val="clear" w:color="auto" w:fill="auto"/>
            <w:vAlign w:val="center"/>
            <w:hideMark/>
          </w:tcPr>
          <w:p w:rsidR="009434D3" w:rsidRPr="00050A19" w:rsidRDefault="009434D3" w:rsidP="009434D3">
            <w:pPr>
              <w:spacing w:after="0" w:line="240" w:lineRule="auto"/>
              <w:jc w:val="center"/>
              <w:rPr>
                <w:rFonts w:eastAsia="Times New Roman" w:cs="Times New Roman"/>
                <w:color w:val="000000"/>
                <w:sz w:val="26"/>
                <w:szCs w:val="26"/>
              </w:rPr>
            </w:pPr>
            <w:r w:rsidRPr="00050A19">
              <w:rPr>
                <w:rFonts w:eastAsia="Times New Roman" w:cs="Times New Roman"/>
                <w:color w:val="000000"/>
                <w:sz w:val="26"/>
                <w:szCs w:val="26"/>
              </w:rPr>
              <w:t>[(Current Month's Customers - Baseline Customers) x (Cost Portion of Rate)] + [(Consumption by non-</w:t>
            </w:r>
            <w:proofErr w:type="spellStart"/>
            <w:r w:rsidRPr="00050A19">
              <w:rPr>
                <w:rFonts w:eastAsia="Times New Roman" w:cs="Times New Roman"/>
                <w:color w:val="000000"/>
                <w:sz w:val="26"/>
                <w:szCs w:val="26"/>
              </w:rPr>
              <w:t>SFV</w:t>
            </w:r>
            <w:proofErr w:type="spellEnd"/>
            <w:r w:rsidRPr="00050A19">
              <w:rPr>
                <w:rFonts w:eastAsia="Times New Roman" w:cs="Times New Roman"/>
                <w:color w:val="000000"/>
                <w:sz w:val="26"/>
                <w:szCs w:val="26"/>
              </w:rPr>
              <w:t xml:space="preserve"> customers directly attributable to program investment) x (Cost Portion of Rate)] + (Other revenues directly attributable to program investment)</w:t>
            </w:r>
          </w:p>
        </w:tc>
      </w:tr>
    </w:tbl>
    <w:p w:rsidR="009434D3" w:rsidRDefault="009434D3" w:rsidP="009434D3"/>
    <w:p w:rsidR="009434D3" w:rsidRDefault="00050A19" w:rsidP="00050A19">
      <w:pPr>
        <w:pStyle w:val="textstyle"/>
        <w:rPr>
          <w:b/>
        </w:rPr>
      </w:pPr>
      <w:r>
        <w:tab/>
      </w:r>
      <w:r w:rsidR="009434D3">
        <w:t xml:space="preserve">Commission adoption of the specific formulas to be used to calculate the total monthly </w:t>
      </w:r>
      <w:proofErr w:type="spellStart"/>
      <w:r w:rsidR="009434D3">
        <w:t>CEP</w:t>
      </w:r>
      <w:proofErr w:type="spellEnd"/>
      <w:r w:rsidR="009434D3">
        <w:t xml:space="preserve"> deferrals as well as the other Staff recommendations made herein should go a long way towards avoiding future misunderstandings and argu</w:t>
      </w:r>
      <w:r>
        <w:t xml:space="preserve">ments over the </w:t>
      </w:r>
      <w:proofErr w:type="spellStart"/>
      <w:r>
        <w:t>CEP</w:t>
      </w:r>
      <w:proofErr w:type="spellEnd"/>
      <w:r>
        <w:t xml:space="preserve"> deferrals.  </w:t>
      </w:r>
      <w:r w:rsidR="009434D3">
        <w:t xml:space="preserve">Notwithstanding Commission adopted formulas and apparent agreement on much of the </w:t>
      </w:r>
      <w:proofErr w:type="spellStart"/>
      <w:r w:rsidR="009434D3">
        <w:t>CEP</w:t>
      </w:r>
      <w:proofErr w:type="spellEnd"/>
      <w:r w:rsidR="009434D3">
        <w:t xml:space="preserve"> topics, however, the Staff reiterates the statement that it made in its ini</w:t>
      </w:r>
      <w:r w:rsidR="00F452D9">
        <w:softHyphen/>
      </w:r>
      <w:r w:rsidR="009434D3">
        <w:t xml:space="preserve">tial Comments that </w:t>
      </w:r>
      <w:r w:rsidR="009434D3" w:rsidRPr="00830DCB">
        <w:t>the Staff is taking no position on the level or prudence of the capital</w:t>
      </w:r>
      <w:r w:rsidR="009434D3">
        <w:t xml:space="preserve"> </w:t>
      </w:r>
      <w:r w:rsidR="009434D3" w:rsidRPr="00830DCB">
        <w:t xml:space="preserve">spending proposed in the </w:t>
      </w:r>
      <w:proofErr w:type="spellStart"/>
      <w:r w:rsidR="009434D3" w:rsidRPr="00830DCB">
        <w:t>CEP</w:t>
      </w:r>
      <w:proofErr w:type="spellEnd"/>
      <w:r w:rsidR="009434D3">
        <w:t xml:space="preserve"> in this proceeding</w:t>
      </w:r>
      <w:r w:rsidR="009434D3" w:rsidRPr="00830DCB">
        <w:t xml:space="preserve">. </w:t>
      </w:r>
      <w:r w:rsidR="009434D3">
        <w:t xml:space="preserve"> Moreover</w:t>
      </w:r>
      <w:r w:rsidR="009434D3" w:rsidRPr="00830DCB">
        <w:t>, the Staff</w:t>
      </w:r>
      <w:r w:rsidR="009434D3">
        <w:t>’</w:t>
      </w:r>
      <w:r w:rsidR="009434D3" w:rsidRPr="00830DCB">
        <w:t>s lack of comment or objection to</w:t>
      </w:r>
      <w:r w:rsidR="009434D3">
        <w:t xml:space="preserve"> </w:t>
      </w:r>
      <w:r w:rsidR="009434D3" w:rsidRPr="00830DCB">
        <w:t xml:space="preserve">the proposed </w:t>
      </w:r>
      <w:proofErr w:type="spellStart"/>
      <w:r w:rsidR="009434D3" w:rsidRPr="00830DCB">
        <w:t>CEP</w:t>
      </w:r>
      <w:proofErr w:type="spellEnd"/>
      <w:r w:rsidR="009434D3" w:rsidRPr="00830DCB">
        <w:t xml:space="preserve"> investments should in no way be construed as the Staff</w:t>
      </w:r>
      <w:r w:rsidR="00F67218">
        <w:t>’</w:t>
      </w:r>
      <w:r w:rsidR="009434D3" w:rsidRPr="00830DCB">
        <w:t>s lack of</w:t>
      </w:r>
      <w:r w:rsidR="009434D3">
        <w:t xml:space="preserve"> </w:t>
      </w:r>
      <w:r w:rsidR="009434D3" w:rsidRPr="00830DCB">
        <w:t>objec</w:t>
      </w:r>
      <w:r w:rsidR="009434D3">
        <w:t>t</w:t>
      </w:r>
      <w:r w:rsidR="009434D3" w:rsidRPr="00830DCB">
        <w:t xml:space="preserve">ion or support for future recovery of the investments or related </w:t>
      </w:r>
      <w:r w:rsidR="009434D3" w:rsidRPr="00830DCB">
        <w:lastRenderedPageBreak/>
        <w:t>deferred amounts</w:t>
      </w:r>
      <w:r w:rsidRPr="00830DCB">
        <w:t>.</w:t>
      </w:r>
      <w:r>
        <w:t xml:space="preserve">  </w:t>
      </w:r>
      <w:r w:rsidR="009434D3" w:rsidRPr="00830DCB">
        <w:t>In fact, the Staff will investigate and make any necessary adjustments to the deferrals</w:t>
      </w:r>
      <w:r w:rsidR="009434D3">
        <w:t xml:space="preserve"> </w:t>
      </w:r>
      <w:r w:rsidR="009434D3" w:rsidRPr="00830DCB">
        <w:t>when Columbia applies to recover the deferred assets.</w:t>
      </w:r>
    </w:p>
    <w:p w:rsidR="005A5444" w:rsidRDefault="005A5444" w:rsidP="00230969">
      <w:pPr>
        <w:pStyle w:val="Heading1"/>
      </w:pPr>
      <w:bookmarkStart w:id="13" w:name="_Toc332788838"/>
      <w:r>
        <w:t>CONCLUSION</w:t>
      </w:r>
      <w:bookmarkEnd w:id="9"/>
      <w:bookmarkEnd w:id="13"/>
    </w:p>
    <w:p w:rsidR="009434D3" w:rsidRPr="008C19D3" w:rsidRDefault="00050A19" w:rsidP="00050A19">
      <w:pPr>
        <w:pStyle w:val="textstyle"/>
      </w:pPr>
      <w:r>
        <w:tab/>
      </w:r>
      <w:r w:rsidR="009434D3" w:rsidRPr="008C19D3">
        <w:t xml:space="preserve">With the adoption of the Staff’s unmodified recommendations included in </w:t>
      </w:r>
      <w:r w:rsidR="009434D3">
        <w:t xml:space="preserve">these Sur Reply </w:t>
      </w:r>
      <w:r w:rsidR="009434D3" w:rsidRPr="008C19D3">
        <w:t>Comments</w:t>
      </w:r>
      <w:r w:rsidR="009434D3">
        <w:t>,</w:t>
      </w:r>
      <w:r w:rsidR="009434D3" w:rsidRPr="008C19D3">
        <w:t xml:space="preserve"> the Staff would respectfully recommend that the Commission approve Columbia</w:t>
      </w:r>
      <w:r w:rsidR="009434D3">
        <w:t>’s Application in these cases.</w:t>
      </w:r>
    </w:p>
    <w:p w:rsidR="0036080A" w:rsidRDefault="0036080A" w:rsidP="002B0FA8">
      <w:pPr>
        <w:tabs>
          <w:tab w:val="center" w:pos="9360"/>
        </w:tabs>
        <w:spacing w:after="0" w:line="240" w:lineRule="auto"/>
        <w:ind w:left="4320"/>
        <w:rPr>
          <w:rFonts w:cs="Times New Roman"/>
          <w:sz w:val="26"/>
          <w:szCs w:val="26"/>
        </w:rPr>
      </w:pPr>
      <w:r>
        <w:rPr>
          <w:rFonts w:cs="Times New Roman"/>
          <w:sz w:val="26"/>
          <w:szCs w:val="26"/>
        </w:rPr>
        <w:t>Respectfully Submitted,</w:t>
      </w:r>
    </w:p>
    <w:p w:rsidR="002B0FA8" w:rsidRPr="002B0FA8" w:rsidRDefault="002B0FA8" w:rsidP="002B0FA8">
      <w:pPr>
        <w:pStyle w:val="NoSpacing"/>
      </w:pPr>
    </w:p>
    <w:p w:rsidR="001420B4" w:rsidRPr="00CD42AF" w:rsidRDefault="001420B4" w:rsidP="001420B4">
      <w:pPr>
        <w:pStyle w:val="text"/>
        <w:ind w:left="4320"/>
        <w:rPr>
          <w:b/>
          <w:szCs w:val="26"/>
        </w:rPr>
      </w:pPr>
      <w:r w:rsidRPr="00CD42AF">
        <w:rPr>
          <w:b/>
          <w:szCs w:val="26"/>
        </w:rPr>
        <w:t xml:space="preserve">Michael DeWine </w:t>
      </w:r>
    </w:p>
    <w:p w:rsidR="001420B4" w:rsidRPr="00CD42AF" w:rsidRDefault="001420B4" w:rsidP="001420B4">
      <w:pPr>
        <w:pStyle w:val="text"/>
        <w:ind w:left="4320"/>
        <w:rPr>
          <w:szCs w:val="26"/>
        </w:rPr>
      </w:pPr>
      <w:r>
        <w:rPr>
          <w:szCs w:val="26"/>
        </w:rPr>
        <w:t xml:space="preserve">Ohio </w:t>
      </w:r>
      <w:r w:rsidRPr="00CD42AF">
        <w:rPr>
          <w:szCs w:val="26"/>
        </w:rPr>
        <w:t>Attorney General</w:t>
      </w:r>
    </w:p>
    <w:p w:rsidR="001420B4" w:rsidRPr="00CD42AF" w:rsidRDefault="001420B4" w:rsidP="001420B4">
      <w:pPr>
        <w:pStyle w:val="text"/>
        <w:ind w:left="4320"/>
        <w:rPr>
          <w:szCs w:val="26"/>
        </w:rPr>
      </w:pPr>
    </w:p>
    <w:p w:rsidR="001420B4" w:rsidRDefault="001420B4" w:rsidP="001420B4">
      <w:pPr>
        <w:pStyle w:val="text"/>
        <w:ind w:left="4320"/>
        <w:rPr>
          <w:szCs w:val="26"/>
        </w:rPr>
      </w:pPr>
      <w:r>
        <w:rPr>
          <w:b/>
          <w:szCs w:val="26"/>
        </w:rPr>
        <w:t>William L. Wright</w:t>
      </w:r>
    </w:p>
    <w:p w:rsidR="001420B4" w:rsidRPr="002B0FA8" w:rsidRDefault="001420B4" w:rsidP="001420B4">
      <w:pPr>
        <w:pStyle w:val="text"/>
        <w:ind w:left="4320"/>
        <w:rPr>
          <w:b/>
          <w:szCs w:val="26"/>
        </w:rPr>
      </w:pPr>
      <w:r w:rsidRPr="00CD42AF">
        <w:rPr>
          <w:szCs w:val="26"/>
        </w:rPr>
        <w:t>Section Chief</w:t>
      </w:r>
    </w:p>
    <w:p w:rsidR="001420B4" w:rsidRDefault="001420B4" w:rsidP="001420B4">
      <w:pPr>
        <w:pStyle w:val="text"/>
        <w:ind w:left="4320"/>
        <w:rPr>
          <w:szCs w:val="26"/>
        </w:rPr>
      </w:pPr>
    </w:p>
    <w:p w:rsidR="00395DDD" w:rsidRDefault="00395DDD" w:rsidP="001420B4">
      <w:pPr>
        <w:pStyle w:val="text"/>
        <w:ind w:left="4320"/>
        <w:rPr>
          <w:szCs w:val="26"/>
          <w:u w:val="single"/>
        </w:rPr>
      </w:pPr>
    </w:p>
    <w:p w:rsidR="00395DDD" w:rsidRPr="001E55BC" w:rsidRDefault="001E55BC" w:rsidP="001420B4">
      <w:pPr>
        <w:pStyle w:val="text"/>
        <w:ind w:left="4320"/>
        <w:rPr>
          <w:rFonts w:ascii="Viner Hand ITC" w:hAnsi="Viner Hand ITC"/>
          <w:sz w:val="36"/>
          <w:szCs w:val="36"/>
          <w:u w:val="single"/>
        </w:rPr>
      </w:pPr>
      <w:r w:rsidRPr="001E55BC">
        <w:rPr>
          <w:rFonts w:ascii="Viner Hand ITC" w:hAnsi="Viner Hand ITC"/>
          <w:sz w:val="36"/>
          <w:szCs w:val="36"/>
          <w:u w:val="single"/>
        </w:rPr>
        <w:t>/s/ Stephen A. Reilly</w:t>
      </w:r>
      <w:r w:rsidR="00395DDD" w:rsidRPr="001E55BC">
        <w:rPr>
          <w:rFonts w:ascii="Viner Hand ITC" w:hAnsi="Viner Hand ITC"/>
          <w:sz w:val="36"/>
          <w:szCs w:val="36"/>
          <w:u w:val="single"/>
        </w:rPr>
        <w:tab/>
      </w:r>
    </w:p>
    <w:p w:rsidR="001420B4" w:rsidRPr="000E73B4" w:rsidRDefault="001420B4" w:rsidP="001420B4">
      <w:pPr>
        <w:pStyle w:val="text"/>
        <w:ind w:left="4320"/>
        <w:rPr>
          <w:b/>
          <w:szCs w:val="26"/>
        </w:rPr>
      </w:pPr>
      <w:r w:rsidRPr="000E73B4">
        <w:rPr>
          <w:b/>
          <w:szCs w:val="26"/>
        </w:rPr>
        <w:t>Ste</w:t>
      </w:r>
      <w:r>
        <w:rPr>
          <w:b/>
          <w:szCs w:val="26"/>
        </w:rPr>
        <w:t>ph</w:t>
      </w:r>
      <w:r w:rsidRPr="000E73B4">
        <w:rPr>
          <w:b/>
          <w:szCs w:val="26"/>
        </w:rPr>
        <w:t xml:space="preserve">en </w:t>
      </w:r>
      <w:r>
        <w:rPr>
          <w:b/>
          <w:szCs w:val="26"/>
        </w:rPr>
        <w:t>A. Reilly</w:t>
      </w:r>
      <w:r w:rsidRPr="000E73B4">
        <w:rPr>
          <w:b/>
          <w:szCs w:val="26"/>
        </w:rPr>
        <w:t xml:space="preserve"> </w:t>
      </w:r>
    </w:p>
    <w:p w:rsidR="001420B4" w:rsidRPr="000E73B4" w:rsidRDefault="001420B4" w:rsidP="001420B4">
      <w:pPr>
        <w:pStyle w:val="text"/>
        <w:ind w:left="4320"/>
        <w:rPr>
          <w:szCs w:val="26"/>
        </w:rPr>
      </w:pPr>
      <w:r w:rsidRPr="000E73B4">
        <w:rPr>
          <w:szCs w:val="26"/>
        </w:rPr>
        <w:t>Assistant Attorney General</w:t>
      </w:r>
    </w:p>
    <w:p w:rsidR="001420B4" w:rsidRPr="000E73B4" w:rsidRDefault="001420B4" w:rsidP="001420B4">
      <w:pPr>
        <w:pStyle w:val="text"/>
        <w:ind w:left="4320"/>
        <w:rPr>
          <w:szCs w:val="26"/>
        </w:rPr>
      </w:pPr>
      <w:r w:rsidRPr="000E73B4">
        <w:rPr>
          <w:szCs w:val="26"/>
        </w:rPr>
        <w:t>Public Utilities Section</w:t>
      </w:r>
    </w:p>
    <w:p w:rsidR="001420B4" w:rsidRPr="000E73B4" w:rsidRDefault="001420B4" w:rsidP="001420B4">
      <w:pPr>
        <w:pStyle w:val="text"/>
        <w:ind w:left="4320"/>
        <w:rPr>
          <w:szCs w:val="26"/>
        </w:rPr>
      </w:pPr>
      <w:proofErr w:type="gramStart"/>
      <w:r w:rsidRPr="000E73B4">
        <w:rPr>
          <w:szCs w:val="26"/>
        </w:rPr>
        <w:t>180 East Broad Street, 6</w:t>
      </w:r>
      <w:r w:rsidRPr="000E73B4">
        <w:rPr>
          <w:szCs w:val="26"/>
          <w:vertAlign w:val="superscript"/>
        </w:rPr>
        <w:t>th</w:t>
      </w:r>
      <w:r w:rsidRPr="000E73B4">
        <w:rPr>
          <w:szCs w:val="26"/>
        </w:rPr>
        <w:t xml:space="preserve"> Fl.</w:t>
      </w:r>
      <w:proofErr w:type="gramEnd"/>
      <w:r w:rsidRPr="000E73B4">
        <w:rPr>
          <w:szCs w:val="26"/>
        </w:rPr>
        <w:t xml:space="preserve"> </w:t>
      </w:r>
    </w:p>
    <w:p w:rsidR="001420B4" w:rsidRPr="000E73B4" w:rsidRDefault="001420B4" w:rsidP="001420B4">
      <w:pPr>
        <w:pStyle w:val="text"/>
        <w:ind w:left="4320"/>
        <w:rPr>
          <w:szCs w:val="26"/>
        </w:rPr>
      </w:pPr>
      <w:r w:rsidRPr="000E73B4">
        <w:rPr>
          <w:szCs w:val="26"/>
        </w:rPr>
        <w:t xml:space="preserve">Columbus, </w:t>
      </w:r>
      <w:r>
        <w:rPr>
          <w:szCs w:val="26"/>
        </w:rPr>
        <w:t>OH</w:t>
      </w:r>
      <w:r w:rsidRPr="000E73B4">
        <w:rPr>
          <w:szCs w:val="26"/>
        </w:rPr>
        <w:t xml:space="preserve">  43215</w:t>
      </w:r>
    </w:p>
    <w:p w:rsidR="001420B4" w:rsidRPr="001420B4" w:rsidRDefault="001420B4" w:rsidP="001420B4">
      <w:pPr>
        <w:pStyle w:val="text"/>
        <w:ind w:left="4320"/>
        <w:rPr>
          <w:szCs w:val="26"/>
        </w:rPr>
      </w:pPr>
      <w:r w:rsidRPr="001420B4">
        <w:rPr>
          <w:szCs w:val="26"/>
        </w:rPr>
        <w:t>614.466.4395 (telephone)</w:t>
      </w:r>
    </w:p>
    <w:p w:rsidR="001420B4" w:rsidRPr="001420B4" w:rsidRDefault="001420B4" w:rsidP="001420B4">
      <w:pPr>
        <w:spacing w:after="0" w:line="240" w:lineRule="auto"/>
        <w:ind w:left="4320"/>
        <w:jc w:val="both"/>
        <w:rPr>
          <w:rFonts w:cs="Times New Roman"/>
          <w:sz w:val="26"/>
          <w:szCs w:val="26"/>
        </w:rPr>
      </w:pPr>
      <w:r w:rsidRPr="001420B4">
        <w:rPr>
          <w:rFonts w:cs="Times New Roman"/>
          <w:sz w:val="26"/>
          <w:szCs w:val="26"/>
        </w:rPr>
        <w:t>614.644.8764 (fax)</w:t>
      </w:r>
    </w:p>
    <w:p w:rsidR="001420B4" w:rsidRPr="001420B4" w:rsidRDefault="00935201" w:rsidP="001420B4">
      <w:pPr>
        <w:spacing w:after="0" w:line="240" w:lineRule="auto"/>
        <w:ind w:left="4320"/>
        <w:jc w:val="both"/>
        <w:rPr>
          <w:rFonts w:cs="Times New Roman"/>
          <w:sz w:val="26"/>
          <w:szCs w:val="26"/>
        </w:rPr>
      </w:pPr>
      <w:hyperlink r:id="rId13" w:history="1">
        <w:r w:rsidR="001420B4" w:rsidRPr="001420B4">
          <w:rPr>
            <w:rStyle w:val="Hyperlink"/>
            <w:rFonts w:cs="Times New Roman"/>
            <w:sz w:val="26"/>
            <w:szCs w:val="26"/>
          </w:rPr>
          <w:t>william.wright@puc.state.oh.us</w:t>
        </w:r>
      </w:hyperlink>
    </w:p>
    <w:p w:rsidR="001420B4" w:rsidRDefault="00935201" w:rsidP="001420B4">
      <w:pPr>
        <w:spacing w:after="0" w:line="240" w:lineRule="auto"/>
        <w:ind w:left="4320"/>
        <w:jc w:val="both"/>
        <w:rPr>
          <w:rFonts w:cs="Times New Roman"/>
          <w:sz w:val="26"/>
          <w:szCs w:val="26"/>
        </w:rPr>
      </w:pPr>
      <w:hyperlink r:id="rId14" w:history="1">
        <w:r w:rsidR="001420B4" w:rsidRPr="009C1D5B">
          <w:rPr>
            <w:rStyle w:val="Hyperlink"/>
            <w:rFonts w:cs="Times New Roman"/>
            <w:sz w:val="26"/>
            <w:szCs w:val="26"/>
          </w:rPr>
          <w:t>stephen.reilly@puc.state.oh.us</w:t>
        </w:r>
      </w:hyperlink>
    </w:p>
    <w:p w:rsidR="005A5444" w:rsidRDefault="005A5444" w:rsidP="0036080A">
      <w:pPr>
        <w:jc w:val="center"/>
        <w:rPr>
          <w:rFonts w:cs="Times New Roman"/>
          <w:b/>
          <w:sz w:val="26"/>
          <w:szCs w:val="26"/>
        </w:rPr>
      </w:pPr>
      <w:r>
        <w:rPr>
          <w:rFonts w:cs="Times New Roman"/>
          <w:b/>
          <w:sz w:val="26"/>
          <w:szCs w:val="26"/>
        </w:rPr>
        <w:br w:type="page"/>
      </w:r>
    </w:p>
    <w:p w:rsidR="00CD42AF" w:rsidRPr="000E73B4" w:rsidRDefault="00CD42AF" w:rsidP="00230969">
      <w:pPr>
        <w:pStyle w:val="Heading1"/>
      </w:pPr>
      <w:bookmarkStart w:id="14" w:name="_Toc317248255"/>
      <w:bookmarkStart w:id="15" w:name="_Toc332788839"/>
      <w:r w:rsidRPr="000E73B4">
        <w:lastRenderedPageBreak/>
        <w:t>CERTIFICATE OF SERVICE</w:t>
      </w:r>
      <w:bookmarkEnd w:id="14"/>
      <w:bookmarkEnd w:id="15"/>
    </w:p>
    <w:p w:rsidR="00CD42AF" w:rsidRPr="000E73B4" w:rsidRDefault="00CD42AF" w:rsidP="00CD42AF">
      <w:pPr>
        <w:spacing w:line="480" w:lineRule="auto"/>
        <w:jc w:val="both"/>
        <w:rPr>
          <w:rFonts w:cs="Times New Roman"/>
          <w:sz w:val="26"/>
          <w:szCs w:val="26"/>
        </w:rPr>
      </w:pPr>
      <w:r w:rsidRPr="000E73B4">
        <w:rPr>
          <w:rFonts w:cs="Times New Roman"/>
          <w:sz w:val="26"/>
          <w:szCs w:val="26"/>
        </w:rPr>
        <w:tab/>
        <w:t>I hereby certify that a true copy of the</w:t>
      </w:r>
      <w:r w:rsidR="0061659A" w:rsidRPr="000E73B4">
        <w:rPr>
          <w:rFonts w:cs="Times New Roman"/>
          <w:sz w:val="26"/>
          <w:szCs w:val="26"/>
        </w:rPr>
        <w:t xml:space="preserve"> </w:t>
      </w:r>
      <w:r w:rsidR="002B0FA8">
        <w:rPr>
          <w:rFonts w:cs="Times New Roman"/>
          <w:sz w:val="26"/>
          <w:szCs w:val="26"/>
        </w:rPr>
        <w:t xml:space="preserve">foregoing </w:t>
      </w:r>
      <w:r w:rsidR="00050A19">
        <w:rPr>
          <w:rFonts w:cs="Times New Roman"/>
          <w:b/>
          <w:sz w:val="26"/>
          <w:szCs w:val="26"/>
        </w:rPr>
        <w:t>Sur-</w:t>
      </w:r>
      <w:r w:rsidR="002362D8" w:rsidRPr="002362D8">
        <w:rPr>
          <w:rFonts w:cs="Times New Roman"/>
          <w:b/>
          <w:sz w:val="26"/>
          <w:szCs w:val="26"/>
        </w:rPr>
        <w:t>Reply</w:t>
      </w:r>
      <w:r w:rsidR="002362D8">
        <w:rPr>
          <w:rFonts w:cs="Times New Roman"/>
          <w:sz w:val="26"/>
          <w:szCs w:val="26"/>
        </w:rPr>
        <w:t xml:space="preserve"> </w:t>
      </w:r>
      <w:r w:rsidR="00B17D9A">
        <w:rPr>
          <w:rFonts w:cs="Times New Roman"/>
          <w:b/>
          <w:sz w:val="26"/>
          <w:szCs w:val="26"/>
        </w:rPr>
        <w:t>Comments</w:t>
      </w:r>
      <w:r w:rsidRPr="000E73B4">
        <w:rPr>
          <w:rFonts w:cs="Times New Roman"/>
          <w:b/>
          <w:sz w:val="26"/>
          <w:szCs w:val="26"/>
        </w:rPr>
        <w:t xml:space="preserve"> </w:t>
      </w:r>
      <w:r w:rsidR="002B0FA8" w:rsidRPr="002B0FA8">
        <w:rPr>
          <w:rFonts w:cs="Times New Roman"/>
          <w:sz w:val="26"/>
          <w:szCs w:val="26"/>
        </w:rPr>
        <w:t xml:space="preserve">submitted on behalf of the Staff of the Public Utilities Commission of Ohio </w:t>
      </w:r>
      <w:r w:rsidRPr="000E73B4">
        <w:rPr>
          <w:rFonts w:cs="Times New Roman"/>
          <w:sz w:val="26"/>
          <w:szCs w:val="26"/>
        </w:rPr>
        <w:t>was served by elec</w:t>
      </w:r>
      <w:r w:rsidR="00F452D9">
        <w:rPr>
          <w:rFonts w:cs="Times New Roman"/>
          <w:sz w:val="26"/>
          <w:szCs w:val="26"/>
        </w:rPr>
        <w:softHyphen/>
      </w:r>
      <w:r w:rsidRPr="000E73B4">
        <w:rPr>
          <w:rFonts w:cs="Times New Roman"/>
          <w:sz w:val="26"/>
          <w:szCs w:val="26"/>
        </w:rPr>
        <w:t xml:space="preserve">tronic mail upon the following parties of record, this </w:t>
      </w:r>
      <w:r w:rsidR="00050A19">
        <w:rPr>
          <w:rFonts w:cs="Times New Roman"/>
          <w:sz w:val="26"/>
          <w:szCs w:val="26"/>
        </w:rPr>
        <w:t xml:space="preserve">August </w:t>
      </w:r>
      <w:r w:rsidR="00C25496">
        <w:rPr>
          <w:rFonts w:cs="Times New Roman"/>
          <w:sz w:val="26"/>
          <w:szCs w:val="26"/>
        </w:rPr>
        <w:t>15</w:t>
      </w:r>
      <w:r w:rsidR="00B65AD5" w:rsidRPr="000E73B4">
        <w:rPr>
          <w:rFonts w:cs="Times New Roman"/>
          <w:sz w:val="26"/>
          <w:szCs w:val="26"/>
        </w:rPr>
        <w:t>, 2012</w:t>
      </w:r>
      <w:r w:rsidRPr="000E73B4">
        <w:rPr>
          <w:rFonts w:cs="Times New Roman"/>
          <w:sz w:val="26"/>
          <w:szCs w:val="26"/>
        </w:rPr>
        <w:t>.</w:t>
      </w:r>
    </w:p>
    <w:p w:rsidR="00395DDD" w:rsidRDefault="00395DDD" w:rsidP="002B0FA8">
      <w:pPr>
        <w:tabs>
          <w:tab w:val="left" w:pos="9360"/>
        </w:tabs>
        <w:spacing w:after="0" w:line="240" w:lineRule="auto"/>
        <w:ind w:left="4770"/>
        <w:jc w:val="both"/>
        <w:rPr>
          <w:rFonts w:cs="Times New Roman"/>
          <w:sz w:val="26"/>
          <w:szCs w:val="26"/>
          <w:u w:val="single"/>
        </w:rPr>
      </w:pPr>
    </w:p>
    <w:p w:rsidR="001E55BC" w:rsidRDefault="001E55BC" w:rsidP="001E55BC">
      <w:pPr>
        <w:tabs>
          <w:tab w:val="left" w:pos="9360"/>
        </w:tabs>
        <w:spacing w:after="0" w:line="240" w:lineRule="auto"/>
        <w:ind w:left="4770"/>
        <w:rPr>
          <w:rFonts w:ascii="Viner Hand ITC" w:hAnsi="Viner Hand ITC"/>
          <w:sz w:val="36"/>
          <w:szCs w:val="36"/>
          <w:u w:val="single"/>
        </w:rPr>
      </w:pPr>
      <w:r w:rsidRPr="001E55BC">
        <w:rPr>
          <w:rFonts w:ascii="Viner Hand ITC" w:hAnsi="Viner Hand ITC"/>
          <w:sz w:val="36"/>
          <w:szCs w:val="36"/>
          <w:u w:val="single"/>
        </w:rPr>
        <w:t>/s/ Stephen A. Reilly</w:t>
      </w:r>
      <w:r>
        <w:rPr>
          <w:rFonts w:ascii="Viner Hand ITC" w:hAnsi="Viner Hand ITC"/>
          <w:sz w:val="36"/>
          <w:szCs w:val="36"/>
          <w:u w:val="single"/>
        </w:rPr>
        <w:tab/>
      </w:r>
    </w:p>
    <w:p w:rsidR="00CD42AF" w:rsidRPr="00050A19" w:rsidRDefault="00451D2C" w:rsidP="001420B4">
      <w:pPr>
        <w:spacing w:after="0" w:line="240" w:lineRule="auto"/>
        <w:ind w:left="4770"/>
        <w:rPr>
          <w:b/>
          <w:sz w:val="26"/>
          <w:szCs w:val="26"/>
        </w:rPr>
      </w:pPr>
      <w:r w:rsidRPr="00050A19">
        <w:rPr>
          <w:b/>
          <w:sz w:val="26"/>
          <w:szCs w:val="26"/>
        </w:rPr>
        <w:t>Stephen A. Reilly</w:t>
      </w:r>
    </w:p>
    <w:p w:rsidR="00CD42AF" w:rsidRPr="00050A19" w:rsidRDefault="00395DDD" w:rsidP="00B65AD5">
      <w:pPr>
        <w:spacing w:after="0" w:line="240" w:lineRule="auto"/>
        <w:ind w:left="4770"/>
        <w:jc w:val="both"/>
        <w:rPr>
          <w:rFonts w:cs="Times New Roman"/>
          <w:sz w:val="26"/>
          <w:szCs w:val="26"/>
        </w:rPr>
      </w:pPr>
      <w:r w:rsidRPr="00050A19">
        <w:rPr>
          <w:rFonts w:cs="Times New Roman"/>
          <w:sz w:val="26"/>
          <w:szCs w:val="26"/>
        </w:rPr>
        <w:t>Assistant Attorney General</w:t>
      </w:r>
    </w:p>
    <w:p w:rsidR="00CD42AF" w:rsidRPr="000E73B4" w:rsidRDefault="00CD42AF" w:rsidP="00CD42AF">
      <w:pPr>
        <w:ind w:left="4320"/>
        <w:jc w:val="both"/>
        <w:rPr>
          <w:rFonts w:cs="Times New Roman"/>
          <w:sz w:val="26"/>
          <w:szCs w:val="26"/>
        </w:rPr>
      </w:pPr>
    </w:p>
    <w:p w:rsidR="00CD42AF" w:rsidRPr="000E73B4" w:rsidRDefault="00CD42AF" w:rsidP="00CD42AF">
      <w:pPr>
        <w:ind w:left="4320"/>
        <w:jc w:val="both"/>
        <w:rPr>
          <w:rFonts w:cs="Times New Roman"/>
          <w:sz w:val="26"/>
          <w:szCs w:val="26"/>
        </w:rPr>
      </w:pPr>
    </w:p>
    <w:p w:rsidR="00CD42AF" w:rsidRPr="000E73B4" w:rsidRDefault="00CD42AF" w:rsidP="00CD42AF">
      <w:pPr>
        <w:ind w:left="90"/>
        <w:jc w:val="both"/>
        <w:rPr>
          <w:rFonts w:cs="Times New Roman"/>
          <w:b/>
          <w:sz w:val="26"/>
          <w:szCs w:val="26"/>
        </w:rPr>
      </w:pPr>
      <w:r w:rsidRPr="000E73B4">
        <w:rPr>
          <w:rFonts w:cs="Times New Roman"/>
          <w:b/>
          <w:sz w:val="26"/>
          <w:szCs w:val="26"/>
        </w:rPr>
        <w:t>PARTIES OF RECORD:</w:t>
      </w:r>
    </w:p>
    <w:p w:rsidR="008E753D" w:rsidRPr="000E73B4" w:rsidRDefault="00B65AD5" w:rsidP="00B65AD5">
      <w:pPr>
        <w:pStyle w:val="NoSpacing"/>
        <w:ind w:left="90"/>
        <w:rPr>
          <w:rFonts w:cs="Times New Roman"/>
          <w:sz w:val="26"/>
          <w:szCs w:val="26"/>
        </w:rPr>
      </w:pPr>
      <w:r w:rsidRPr="000E73B4">
        <w:rPr>
          <w:rFonts w:cs="Times New Roman"/>
          <w:sz w:val="26"/>
          <w:szCs w:val="26"/>
        </w:rPr>
        <w:t>Larry S. Sauer</w:t>
      </w:r>
    </w:p>
    <w:p w:rsidR="00B65AD5" w:rsidRPr="000E73B4" w:rsidRDefault="00B65AD5" w:rsidP="00B65AD5">
      <w:pPr>
        <w:pStyle w:val="NoSpacing"/>
        <w:ind w:left="90"/>
        <w:rPr>
          <w:rFonts w:cs="Times New Roman"/>
          <w:sz w:val="26"/>
          <w:szCs w:val="26"/>
        </w:rPr>
      </w:pPr>
      <w:r w:rsidRPr="000E73B4">
        <w:rPr>
          <w:rFonts w:cs="Times New Roman"/>
          <w:sz w:val="26"/>
          <w:szCs w:val="26"/>
        </w:rPr>
        <w:t>Joseph P. Serio</w:t>
      </w:r>
    </w:p>
    <w:p w:rsidR="00B65AD5" w:rsidRPr="000E73B4" w:rsidRDefault="00B65AD5" w:rsidP="00B65AD5">
      <w:pPr>
        <w:pStyle w:val="NoSpacing"/>
        <w:ind w:left="90"/>
        <w:rPr>
          <w:rFonts w:cs="Times New Roman"/>
          <w:sz w:val="26"/>
          <w:szCs w:val="26"/>
        </w:rPr>
      </w:pPr>
      <w:r w:rsidRPr="000E73B4">
        <w:rPr>
          <w:rFonts w:cs="Times New Roman"/>
          <w:sz w:val="26"/>
          <w:szCs w:val="26"/>
        </w:rPr>
        <w:t>Assistant Consumers’ counsel</w:t>
      </w:r>
    </w:p>
    <w:p w:rsidR="00B65AD5" w:rsidRPr="000E73B4" w:rsidRDefault="00B65AD5" w:rsidP="00B65AD5">
      <w:pPr>
        <w:pStyle w:val="NoSpacing"/>
        <w:ind w:left="90"/>
        <w:rPr>
          <w:rFonts w:cs="Times New Roman"/>
          <w:sz w:val="26"/>
          <w:szCs w:val="26"/>
        </w:rPr>
      </w:pPr>
      <w:r w:rsidRPr="000E73B4">
        <w:rPr>
          <w:rFonts w:cs="Times New Roman"/>
          <w:sz w:val="26"/>
          <w:szCs w:val="26"/>
        </w:rPr>
        <w:t>10 West Broad Street, Suite 1800</w:t>
      </w:r>
    </w:p>
    <w:p w:rsidR="00B65AD5" w:rsidRPr="000E73B4" w:rsidRDefault="00B65AD5" w:rsidP="00B65AD5">
      <w:pPr>
        <w:pStyle w:val="NoSpacing"/>
        <w:ind w:left="90"/>
        <w:rPr>
          <w:rFonts w:cs="Times New Roman"/>
          <w:sz w:val="26"/>
          <w:szCs w:val="26"/>
        </w:rPr>
      </w:pPr>
      <w:r w:rsidRPr="000E73B4">
        <w:rPr>
          <w:rFonts w:cs="Times New Roman"/>
          <w:sz w:val="26"/>
          <w:szCs w:val="26"/>
        </w:rPr>
        <w:t>Columbus, Ohio  43215-3485</w:t>
      </w:r>
    </w:p>
    <w:p w:rsidR="00B65AD5" w:rsidRPr="000E73B4" w:rsidRDefault="00B65AD5" w:rsidP="00B65AD5">
      <w:pPr>
        <w:pStyle w:val="NoSpacing"/>
        <w:ind w:left="90"/>
        <w:rPr>
          <w:rFonts w:cs="Times New Roman"/>
          <w:sz w:val="26"/>
          <w:szCs w:val="26"/>
        </w:rPr>
      </w:pPr>
      <w:r w:rsidRPr="000E73B4">
        <w:rPr>
          <w:rFonts w:cs="Times New Roman"/>
          <w:sz w:val="26"/>
          <w:szCs w:val="26"/>
        </w:rPr>
        <w:t>serio@occ.state.oh.us</w:t>
      </w:r>
    </w:p>
    <w:p w:rsidR="00B65AD5" w:rsidRPr="000E73B4" w:rsidRDefault="00B65AD5" w:rsidP="00B65AD5">
      <w:pPr>
        <w:pStyle w:val="NoSpacing"/>
        <w:ind w:left="90"/>
        <w:rPr>
          <w:rStyle w:val="Hyperlink"/>
          <w:rFonts w:cs="Times New Roman"/>
          <w:sz w:val="26"/>
          <w:szCs w:val="26"/>
        </w:rPr>
      </w:pPr>
      <w:r w:rsidRPr="000E73B4">
        <w:rPr>
          <w:rFonts w:cs="Times New Roman"/>
          <w:sz w:val="26"/>
          <w:szCs w:val="26"/>
        </w:rPr>
        <w:t>sauer@occ.state.oh.us</w:t>
      </w:r>
    </w:p>
    <w:p w:rsidR="0061659A" w:rsidRPr="000E73B4" w:rsidRDefault="0061659A" w:rsidP="00B65AD5">
      <w:pPr>
        <w:pStyle w:val="NoSpacing"/>
        <w:ind w:left="90"/>
        <w:rPr>
          <w:rStyle w:val="Hyperlink"/>
          <w:rFonts w:cs="Times New Roman"/>
          <w:sz w:val="26"/>
          <w:szCs w:val="26"/>
        </w:rPr>
      </w:pPr>
    </w:p>
    <w:p w:rsidR="0061659A" w:rsidRPr="000E73B4" w:rsidRDefault="00654A33" w:rsidP="00B65AD5">
      <w:pPr>
        <w:pStyle w:val="NoSpacing"/>
        <w:ind w:left="90"/>
        <w:rPr>
          <w:rFonts w:cs="Times New Roman"/>
          <w:sz w:val="26"/>
          <w:szCs w:val="26"/>
        </w:rPr>
      </w:pPr>
      <w:r w:rsidRPr="000E73B4">
        <w:rPr>
          <w:rFonts w:cs="Times New Roman"/>
          <w:sz w:val="26"/>
          <w:szCs w:val="26"/>
        </w:rPr>
        <w:t>Steph</w:t>
      </w:r>
      <w:r w:rsidR="0061659A" w:rsidRPr="000E73B4">
        <w:rPr>
          <w:rFonts w:cs="Times New Roman"/>
          <w:sz w:val="26"/>
          <w:szCs w:val="26"/>
        </w:rPr>
        <w:t>en B</w:t>
      </w:r>
      <w:r w:rsidRPr="000E73B4">
        <w:rPr>
          <w:rFonts w:cs="Times New Roman"/>
          <w:sz w:val="26"/>
          <w:szCs w:val="26"/>
        </w:rPr>
        <w:t>.</w:t>
      </w:r>
      <w:r w:rsidR="0061659A" w:rsidRPr="000E73B4">
        <w:rPr>
          <w:rFonts w:cs="Times New Roman"/>
          <w:sz w:val="26"/>
          <w:szCs w:val="26"/>
        </w:rPr>
        <w:t xml:space="preserve"> Seiple</w:t>
      </w:r>
    </w:p>
    <w:p w:rsidR="0061659A" w:rsidRPr="000E73B4" w:rsidRDefault="0061659A" w:rsidP="00B65AD5">
      <w:pPr>
        <w:pStyle w:val="NoSpacing"/>
        <w:ind w:left="90"/>
        <w:rPr>
          <w:rFonts w:cs="Times New Roman"/>
          <w:sz w:val="26"/>
          <w:szCs w:val="26"/>
        </w:rPr>
      </w:pPr>
      <w:r w:rsidRPr="000E73B4">
        <w:rPr>
          <w:rFonts w:cs="Times New Roman"/>
          <w:sz w:val="26"/>
          <w:szCs w:val="26"/>
        </w:rPr>
        <w:t>Brooke E. Leslie</w:t>
      </w:r>
    </w:p>
    <w:p w:rsidR="0061659A" w:rsidRPr="000E73B4" w:rsidRDefault="0061659A" w:rsidP="00B65AD5">
      <w:pPr>
        <w:pStyle w:val="NoSpacing"/>
        <w:ind w:left="90"/>
        <w:rPr>
          <w:rFonts w:cs="Times New Roman"/>
          <w:sz w:val="26"/>
          <w:szCs w:val="26"/>
        </w:rPr>
      </w:pPr>
      <w:r w:rsidRPr="000E73B4">
        <w:rPr>
          <w:rFonts w:cs="Times New Roman"/>
          <w:sz w:val="26"/>
          <w:szCs w:val="26"/>
        </w:rPr>
        <w:t>200 Civic Center Drive</w:t>
      </w:r>
    </w:p>
    <w:p w:rsidR="0061659A" w:rsidRPr="000E73B4" w:rsidRDefault="0061659A" w:rsidP="00B65AD5">
      <w:pPr>
        <w:pStyle w:val="NoSpacing"/>
        <w:ind w:left="90"/>
        <w:rPr>
          <w:rFonts w:cs="Times New Roman"/>
          <w:sz w:val="26"/>
          <w:szCs w:val="26"/>
        </w:rPr>
      </w:pPr>
      <w:r w:rsidRPr="000E73B4">
        <w:rPr>
          <w:rFonts w:cs="Times New Roman"/>
          <w:sz w:val="26"/>
          <w:szCs w:val="26"/>
        </w:rPr>
        <w:t>P.O. Box 117</w:t>
      </w:r>
    </w:p>
    <w:p w:rsidR="0061659A" w:rsidRPr="000E73B4" w:rsidRDefault="0061659A" w:rsidP="00B65AD5">
      <w:pPr>
        <w:pStyle w:val="NoSpacing"/>
        <w:ind w:left="90"/>
        <w:rPr>
          <w:rFonts w:cs="Times New Roman"/>
          <w:sz w:val="26"/>
          <w:szCs w:val="26"/>
        </w:rPr>
      </w:pPr>
      <w:r w:rsidRPr="000E73B4">
        <w:rPr>
          <w:rFonts w:cs="Times New Roman"/>
          <w:sz w:val="26"/>
          <w:szCs w:val="26"/>
        </w:rPr>
        <w:t>Columbus, OH 43216</w:t>
      </w:r>
    </w:p>
    <w:p w:rsidR="0061659A" w:rsidRPr="000E73B4" w:rsidRDefault="0061659A" w:rsidP="00B65AD5">
      <w:pPr>
        <w:pStyle w:val="NoSpacing"/>
        <w:ind w:left="90"/>
        <w:rPr>
          <w:rFonts w:cs="Times New Roman"/>
          <w:sz w:val="26"/>
          <w:szCs w:val="26"/>
        </w:rPr>
      </w:pPr>
      <w:r w:rsidRPr="000E73B4">
        <w:rPr>
          <w:rFonts w:cs="Times New Roman"/>
          <w:sz w:val="26"/>
          <w:szCs w:val="26"/>
        </w:rPr>
        <w:t>sseiple@nisource.com</w:t>
      </w:r>
    </w:p>
    <w:p w:rsidR="0061659A" w:rsidRDefault="0061659A" w:rsidP="00B65AD5">
      <w:pPr>
        <w:pStyle w:val="NoSpacing"/>
        <w:ind w:left="90"/>
        <w:rPr>
          <w:rFonts w:cs="Times New Roman"/>
          <w:sz w:val="26"/>
          <w:szCs w:val="26"/>
        </w:rPr>
      </w:pPr>
      <w:r w:rsidRPr="000E73B4">
        <w:rPr>
          <w:rFonts w:cs="Times New Roman"/>
          <w:sz w:val="26"/>
          <w:szCs w:val="26"/>
        </w:rPr>
        <w:t>bleslie@nisource.com</w:t>
      </w:r>
    </w:p>
    <w:p w:rsidR="00B65AD5" w:rsidRPr="00CD42AF" w:rsidRDefault="00B65AD5" w:rsidP="00B65AD5">
      <w:pPr>
        <w:pStyle w:val="NoSpacing"/>
        <w:ind w:left="90"/>
        <w:rPr>
          <w:rFonts w:cs="Times New Roman"/>
          <w:sz w:val="26"/>
          <w:szCs w:val="26"/>
        </w:rPr>
      </w:pPr>
    </w:p>
    <w:sectPr w:rsidR="00B65AD5" w:rsidRPr="00CD42AF" w:rsidSect="002B0FA8">
      <w:headerReference w:type="default" r:id="rId15"/>
      <w:footerReference w:type="default" r:id="rId16"/>
      <w:headerReference w:type="first" r:id="rId17"/>
      <w:footerReference w:type="firs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03E0" w:rsidRDefault="00DA03E0" w:rsidP="00334569">
      <w:pPr>
        <w:spacing w:after="0" w:line="240" w:lineRule="auto"/>
      </w:pPr>
      <w:r>
        <w:separator/>
      </w:r>
    </w:p>
  </w:endnote>
  <w:endnote w:type="continuationSeparator" w:id="0">
    <w:p w:rsidR="00DA03E0" w:rsidRDefault="00DA03E0" w:rsidP="00334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716428"/>
      <w:docPartObj>
        <w:docPartGallery w:val="Page Numbers (Bottom of Page)"/>
        <w:docPartUnique/>
      </w:docPartObj>
    </w:sdtPr>
    <w:sdtEndPr>
      <w:rPr>
        <w:noProof/>
      </w:rPr>
    </w:sdtEndPr>
    <w:sdtContent>
      <w:p w:rsidR="00050A19" w:rsidRDefault="00050A1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050A19" w:rsidRDefault="00050A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865077"/>
      <w:docPartObj>
        <w:docPartGallery w:val="Page Numbers (Bottom of Page)"/>
        <w:docPartUnique/>
      </w:docPartObj>
    </w:sdtPr>
    <w:sdtEndPr>
      <w:rPr>
        <w:noProof/>
      </w:rPr>
    </w:sdtEndPr>
    <w:sdtContent>
      <w:p w:rsidR="00050A19" w:rsidRDefault="00050A19" w:rsidP="002B0FA8">
        <w:pPr>
          <w:pStyle w:val="Footer"/>
          <w:jc w:val="center"/>
        </w:pPr>
        <w:r>
          <w:fldChar w:fldCharType="begin"/>
        </w:r>
        <w:r>
          <w:instrText xml:space="preserve"> PAGE   \* MERGEFORMAT </w:instrText>
        </w:r>
        <w:r>
          <w:fldChar w:fldCharType="separate"/>
        </w:r>
        <w:r w:rsidR="00935201">
          <w:rPr>
            <w:noProof/>
          </w:rPr>
          <w:t>i</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3298612"/>
      <w:docPartObj>
        <w:docPartGallery w:val="Page Numbers (Bottom of Page)"/>
        <w:docPartUnique/>
      </w:docPartObj>
    </w:sdtPr>
    <w:sdtEndPr>
      <w:rPr>
        <w:noProof/>
      </w:rPr>
    </w:sdtEndPr>
    <w:sdtContent>
      <w:p w:rsidR="00050A19" w:rsidRDefault="00050A19" w:rsidP="002B0FA8">
        <w:pPr>
          <w:pStyle w:val="Footer"/>
          <w:jc w:val="center"/>
        </w:pPr>
        <w:r>
          <w:fldChar w:fldCharType="begin"/>
        </w:r>
        <w:r>
          <w:instrText xml:space="preserve"> PAGE   \* MERGEFORMAT </w:instrText>
        </w:r>
        <w:r>
          <w:fldChar w:fldCharType="separate"/>
        </w:r>
        <w:r w:rsidR="00935201">
          <w:rPr>
            <w:noProof/>
          </w:rPr>
          <w:t>12</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19" w:rsidRDefault="00050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03E0" w:rsidRDefault="00DA03E0" w:rsidP="00334569">
      <w:pPr>
        <w:spacing w:after="0" w:line="240" w:lineRule="auto"/>
      </w:pPr>
      <w:r>
        <w:separator/>
      </w:r>
    </w:p>
  </w:footnote>
  <w:footnote w:type="continuationSeparator" w:id="0">
    <w:p w:rsidR="00DA03E0" w:rsidRDefault="00DA03E0" w:rsidP="00334569">
      <w:pPr>
        <w:spacing w:after="0" w:line="240" w:lineRule="auto"/>
      </w:pPr>
      <w:r>
        <w:continuationSeparator/>
      </w:r>
    </w:p>
  </w:footnote>
  <w:footnote w:id="1">
    <w:p w:rsidR="00050A19" w:rsidRPr="00946EB7" w:rsidRDefault="00050A19" w:rsidP="009434D3">
      <w:pPr>
        <w:pStyle w:val="FootnoteText"/>
      </w:pPr>
      <w:r>
        <w:rPr>
          <w:rStyle w:val="FootnoteReference"/>
        </w:rPr>
        <w:footnoteRef/>
      </w:r>
      <w:r>
        <w:t xml:space="preserve"> </w:t>
      </w:r>
      <w:r>
        <w:tab/>
      </w:r>
      <w:r>
        <w:tab/>
      </w:r>
      <w:r w:rsidRPr="00B6024B">
        <w:rPr>
          <w:i/>
        </w:rPr>
        <w:t xml:space="preserve">In the Matter of the Application of Columbia Gas of Ohio, Inc. for Approval to Implement a Capital </w:t>
      </w:r>
      <w:r>
        <w:rPr>
          <w:i/>
        </w:rPr>
        <w:t>Expenditure</w:t>
      </w:r>
      <w:r w:rsidRPr="00B6024B">
        <w:rPr>
          <w:i/>
        </w:rPr>
        <w:t xml:space="preserve"> Program,</w:t>
      </w:r>
      <w:r>
        <w:rPr>
          <w:i/>
        </w:rPr>
        <w:t xml:space="preserve"> </w:t>
      </w:r>
      <w:r>
        <w:t xml:space="preserve">Case Nos. 11-5351-GA-UNC, </w:t>
      </w:r>
      <w:r>
        <w:rPr>
          <w:i/>
        </w:rPr>
        <w:t>et al</w:t>
      </w:r>
      <w:r>
        <w:t xml:space="preserve">. (hereinafter </w:t>
      </w:r>
      <w:r>
        <w:rPr>
          <w:i/>
        </w:rPr>
        <w:t>In re Columbia Gas</w:t>
      </w:r>
      <w:r>
        <w:t xml:space="preserve">), (Supplemental Reply Comments of Columbia Gas of Ohio, Inc. at 2) (July 26, 2012) (Columbia Supplemental Reply).  </w:t>
      </w:r>
    </w:p>
  </w:footnote>
  <w:footnote w:id="2">
    <w:p w:rsidR="00050A19" w:rsidRDefault="00050A19" w:rsidP="009434D3">
      <w:pPr>
        <w:pStyle w:val="FootnoteText"/>
      </w:pPr>
      <w:r>
        <w:rPr>
          <w:rStyle w:val="FootnoteReference"/>
        </w:rPr>
        <w:footnoteRef/>
      </w:r>
      <w:r>
        <w:t xml:space="preserve"> </w:t>
      </w:r>
      <w:r>
        <w:tab/>
      </w:r>
      <w:r>
        <w:tab/>
      </w:r>
      <w:r w:rsidRPr="007B043F">
        <w:rPr>
          <w:i/>
        </w:rPr>
        <w:t xml:space="preserve">In the Matter of the Application of Vectren Energy Delivery of Ohio, Inc. for Approval to Implement a Capital Expenditures Program, </w:t>
      </w:r>
      <w:r>
        <w:t>Case No</w:t>
      </w:r>
      <w:r w:rsidR="00BA1DA5">
        <w:t>. 12-530-GA-UNC</w:t>
      </w:r>
      <w:r>
        <w:t xml:space="preserve">  (Reply Comments of Vectren Energy Delivery of Ohio, Inc. at 2) (April 27, 2012) (</w:t>
      </w:r>
      <w:proofErr w:type="spellStart"/>
      <w:r>
        <w:t>VEDO</w:t>
      </w:r>
      <w:proofErr w:type="spellEnd"/>
      <w:r>
        <w:t xml:space="preserve"> Reply).</w:t>
      </w:r>
    </w:p>
  </w:footnote>
  <w:footnote w:id="3">
    <w:p w:rsidR="00050A19" w:rsidRDefault="00050A19" w:rsidP="009434D3">
      <w:pPr>
        <w:pStyle w:val="FootnoteText"/>
      </w:pPr>
      <w:r>
        <w:rPr>
          <w:rStyle w:val="FootnoteReference"/>
        </w:rPr>
        <w:footnoteRef/>
      </w:r>
      <w:r>
        <w:t xml:space="preserve"> </w:t>
      </w:r>
      <w:r>
        <w:tab/>
      </w:r>
      <w:r>
        <w:tab/>
      </w:r>
      <w:r w:rsidRPr="007B043F">
        <w:rPr>
          <w:i/>
        </w:rPr>
        <w:t>Id.</w:t>
      </w:r>
    </w:p>
  </w:footnote>
  <w:footnote w:id="4">
    <w:p w:rsidR="00050A19" w:rsidRDefault="00050A19" w:rsidP="009434D3">
      <w:pPr>
        <w:pStyle w:val="FootnoteText"/>
      </w:pPr>
      <w:r>
        <w:rPr>
          <w:rStyle w:val="FootnoteReference"/>
        </w:rPr>
        <w:footnoteRef/>
      </w:r>
      <w:r>
        <w:t xml:space="preserve"> </w:t>
      </w:r>
      <w:r>
        <w:tab/>
      </w:r>
      <w:r>
        <w:tab/>
      </w:r>
      <w:r w:rsidRPr="00B6024B">
        <w:rPr>
          <w:i/>
        </w:rPr>
        <w:t xml:space="preserve">In </w:t>
      </w:r>
      <w:r>
        <w:rPr>
          <w:i/>
        </w:rPr>
        <w:t>re Columbia Gas</w:t>
      </w:r>
      <w:r>
        <w:t xml:space="preserve"> (Initial Comments by </w:t>
      </w:r>
      <w:proofErr w:type="gramStart"/>
      <w:r>
        <w:t>The</w:t>
      </w:r>
      <w:proofErr w:type="gramEnd"/>
      <w:r>
        <w:t xml:space="preserve"> Office of the Ohio Consumers’ Counsel at 8) (February 17, 2012).  </w:t>
      </w:r>
    </w:p>
  </w:footnote>
  <w:footnote w:id="5">
    <w:p w:rsidR="00050A19" w:rsidRDefault="00050A19" w:rsidP="009434D3">
      <w:pPr>
        <w:pStyle w:val="FootnoteText"/>
      </w:pPr>
      <w:r>
        <w:rPr>
          <w:rStyle w:val="FootnoteReference"/>
        </w:rPr>
        <w:footnoteRef/>
      </w:r>
      <w:r>
        <w:t xml:space="preserve"> </w:t>
      </w:r>
      <w:r>
        <w:tab/>
      </w:r>
      <w:r>
        <w:tab/>
      </w:r>
      <w:r w:rsidRPr="00B6024B">
        <w:rPr>
          <w:i/>
        </w:rPr>
        <w:t xml:space="preserve">In </w:t>
      </w:r>
      <w:r>
        <w:rPr>
          <w:i/>
        </w:rPr>
        <w:t>re Columbia Gas</w:t>
      </w:r>
      <w:r>
        <w:t xml:space="preserve"> (Reply Comments submitted on behalf of the Staff of the Public </w:t>
      </w:r>
      <w:r w:rsidR="00F452D9">
        <w:t>Utilities</w:t>
      </w:r>
      <w:r>
        <w:t xml:space="preserve"> Commission of Ohio at 3) (February 27, 2012).  </w:t>
      </w:r>
    </w:p>
  </w:footnote>
  <w:footnote w:id="6">
    <w:p w:rsidR="00050A19" w:rsidRDefault="00050A19" w:rsidP="009434D3">
      <w:pPr>
        <w:pStyle w:val="FootnoteText"/>
      </w:pPr>
      <w:r>
        <w:rPr>
          <w:rStyle w:val="FootnoteReference"/>
        </w:rPr>
        <w:footnoteRef/>
      </w:r>
      <w:r>
        <w:t xml:space="preserve"> </w:t>
      </w:r>
      <w:r>
        <w:tab/>
      </w:r>
      <w:r>
        <w:tab/>
      </w:r>
      <w:r w:rsidRPr="00B6024B">
        <w:rPr>
          <w:i/>
        </w:rPr>
        <w:t xml:space="preserve">In </w:t>
      </w:r>
      <w:r>
        <w:rPr>
          <w:i/>
        </w:rPr>
        <w:t>re Columbia Gas</w:t>
      </w:r>
      <w:r>
        <w:t xml:space="preserve"> (Supplemental Reply Comments of Columbia Gas of Ohio, Inc. at 3) (July 26, 2012).  </w:t>
      </w:r>
    </w:p>
  </w:footnote>
  <w:footnote w:id="7">
    <w:p w:rsidR="00050A19" w:rsidRDefault="00050A19" w:rsidP="009434D3">
      <w:pPr>
        <w:pStyle w:val="FootnoteText"/>
      </w:pPr>
      <w:r>
        <w:rPr>
          <w:rStyle w:val="FootnoteReference"/>
        </w:rPr>
        <w:footnoteRef/>
      </w:r>
      <w:r>
        <w:t xml:space="preserve"> </w:t>
      </w:r>
      <w:r>
        <w:tab/>
      </w:r>
      <w:r>
        <w:tab/>
      </w:r>
      <w:r w:rsidRPr="00B6024B">
        <w:rPr>
          <w:i/>
        </w:rPr>
        <w:t xml:space="preserve">In </w:t>
      </w:r>
      <w:r>
        <w:rPr>
          <w:i/>
        </w:rPr>
        <w:t>re Columbia Gas</w:t>
      </w:r>
      <w:r>
        <w:t xml:space="preserve"> (Comments submitted on behalf of the Staff of the Public Utilities Commission of Ohio at 13) (February 27, 2012).</w:t>
      </w:r>
    </w:p>
  </w:footnote>
  <w:footnote w:id="8">
    <w:p w:rsidR="00050A19" w:rsidRDefault="00050A19" w:rsidP="009434D3">
      <w:pPr>
        <w:pStyle w:val="FootnoteText"/>
      </w:pPr>
      <w:r>
        <w:rPr>
          <w:rStyle w:val="FootnoteReference"/>
        </w:rPr>
        <w:footnoteRef/>
      </w:r>
      <w:r>
        <w:t xml:space="preserve"> </w:t>
      </w:r>
      <w:r>
        <w:tab/>
      </w:r>
      <w:r>
        <w:tab/>
      </w:r>
      <w:r>
        <w:rPr>
          <w:i/>
        </w:rPr>
        <w:t>In re Columbia Gas</w:t>
      </w:r>
      <w:r>
        <w:t xml:space="preserve"> (Supplemental Reply Comments of Columbia Gas of Ohio, Inc. at 4) (July 26, 2012).</w:t>
      </w:r>
    </w:p>
  </w:footnote>
  <w:footnote w:id="9">
    <w:p w:rsidR="00050A19" w:rsidRDefault="00050A19" w:rsidP="009434D3">
      <w:pPr>
        <w:pStyle w:val="FootnoteText"/>
      </w:pPr>
      <w:r>
        <w:rPr>
          <w:rStyle w:val="FootnoteReference"/>
        </w:rPr>
        <w:footnoteRef/>
      </w:r>
      <w:r>
        <w:t xml:space="preserve"> </w:t>
      </w:r>
      <w:r>
        <w:tab/>
      </w:r>
      <w:r>
        <w:tab/>
      </w:r>
      <w:r w:rsidRPr="00B6024B">
        <w:rPr>
          <w:i/>
        </w:rPr>
        <w:t xml:space="preserve">In </w:t>
      </w:r>
      <w:r>
        <w:rPr>
          <w:i/>
        </w:rPr>
        <w:t>re Columbia Gas</w:t>
      </w:r>
      <w:r>
        <w:t xml:space="preserve"> (Comments submitted on behalf of the Staff of the Public Utilities Commission of Ohio at 13) (February 27, 2012.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19" w:rsidRDefault="00050A19" w:rsidP="002B0FA8">
    <w:pPr>
      <w:pStyle w:val="Header"/>
      <w:jc w:val="center"/>
      <w:rPr>
        <w:b/>
        <w:sz w:val="28"/>
        <w:szCs w:val="28"/>
      </w:rPr>
    </w:pPr>
    <w:r>
      <w:rPr>
        <w:b/>
        <w:sz w:val="28"/>
        <w:szCs w:val="28"/>
      </w:rPr>
      <w:t>TABLE OF CONTENTS</w:t>
    </w:r>
  </w:p>
  <w:p w:rsidR="00050A19" w:rsidRDefault="00050A19" w:rsidP="002B0FA8">
    <w:pPr>
      <w:pStyle w:val="Header"/>
      <w:jc w:val="right"/>
      <w:rPr>
        <w:b/>
        <w:sz w:val="28"/>
        <w:szCs w:val="28"/>
      </w:rPr>
    </w:pPr>
    <w:r>
      <w:rPr>
        <w:b/>
        <w:sz w:val="28"/>
        <w:szCs w:val="28"/>
      </w:rPr>
      <w:t>Page</w:t>
    </w:r>
  </w:p>
  <w:p w:rsidR="00050A19" w:rsidRDefault="00050A19" w:rsidP="002B0FA8">
    <w:pPr>
      <w:pStyle w:val="Header"/>
      <w:jc w:val="right"/>
      <w:rPr>
        <w:b/>
        <w:sz w:val="28"/>
        <w:szCs w:val="28"/>
      </w:rPr>
    </w:pPr>
  </w:p>
  <w:p w:rsidR="00050A19" w:rsidRPr="002B0FA8" w:rsidRDefault="00050A19" w:rsidP="002B0FA8">
    <w:pPr>
      <w:pStyle w:val="Header"/>
      <w:jc w:val="right"/>
      <w:rPr>
        <w:b/>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19" w:rsidRPr="00F25A9B" w:rsidRDefault="00050A19" w:rsidP="00F25A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0A19" w:rsidRPr="00F25A9B" w:rsidRDefault="00050A19" w:rsidP="00F25A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B0161"/>
    <w:multiLevelType w:val="hybridMultilevel"/>
    <w:tmpl w:val="1E761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96A30"/>
    <w:multiLevelType w:val="hybridMultilevel"/>
    <w:tmpl w:val="AC54A9C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215033B3"/>
    <w:multiLevelType w:val="hybridMultilevel"/>
    <w:tmpl w:val="C4A203FE"/>
    <w:lvl w:ilvl="0" w:tplc="36EED19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3D4511"/>
    <w:multiLevelType w:val="hybridMultilevel"/>
    <w:tmpl w:val="D2CEA59A"/>
    <w:lvl w:ilvl="0" w:tplc="ED382888">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B522CE"/>
    <w:multiLevelType w:val="hybridMultilevel"/>
    <w:tmpl w:val="93A6DF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32139F"/>
    <w:multiLevelType w:val="hybridMultilevel"/>
    <w:tmpl w:val="C84A4D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D5106AC"/>
    <w:multiLevelType w:val="hybridMultilevel"/>
    <w:tmpl w:val="0D1A0F98"/>
    <w:lvl w:ilvl="0" w:tplc="B2F863A2">
      <w:start w:val="1"/>
      <w:numFmt w:val="upperRoman"/>
      <w:lvlText w:val="%1."/>
      <w:lvlJc w:val="left"/>
      <w:pPr>
        <w:ind w:left="5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8023975"/>
    <w:multiLevelType w:val="hybridMultilevel"/>
    <w:tmpl w:val="04382B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7A6F5A"/>
    <w:multiLevelType w:val="hybridMultilevel"/>
    <w:tmpl w:val="4F3C3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4DD749D"/>
    <w:multiLevelType w:val="hybridMultilevel"/>
    <w:tmpl w:val="E67496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212D27"/>
    <w:multiLevelType w:val="hybridMultilevel"/>
    <w:tmpl w:val="A3D818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1DC598E"/>
    <w:multiLevelType w:val="hybridMultilevel"/>
    <w:tmpl w:val="3E406B6C"/>
    <w:lvl w:ilvl="0" w:tplc="71EAADEE">
      <w:start w:val="1"/>
      <w:numFmt w:val="upperLetter"/>
      <w:pStyle w:val="Heading2"/>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7A67EFB"/>
    <w:multiLevelType w:val="hybridMultilevel"/>
    <w:tmpl w:val="8B888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5"/>
  </w:num>
  <w:num w:numId="3">
    <w:abstractNumId w:val="8"/>
  </w:num>
  <w:num w:numId="4">
    <w:abstractNumId w:val="0"/>
  </w:num>
  <w:num w:numId="5">
    <w:abstractNumId w:val="10"/>
  </w:num>
  <w:num w:numId="6">
    <w:abstractNumId w:val="9"/>
  </w:num>
  <w:num w:numId="7">
    <w:abstractNumId w:val="4"/>
  </w:num>
  <w:num w:numId="8">
    <w:abstractNumId w:val="2"/>
  </w:num>
  <w:num w:numId="9">
    <w:abstractNumId w:val="6"/>
  </w:num>
  <w:num w:numId="10">
    <w:abstractNumId w:val="11"/>
  </w:num>
  <w:num w:numId="11">
    <w:abstractNumId w:val="3"/>
  </w:num>
  <w:num w:numId="12">
    <w:abstractNumId w:val="11"/>
    <w:lvlOverride w:ilvl="0">
      <w:startOverride w:val="1"/>
    </w:lvlOverride>
  </w:num>
  <w:num w:numId="13">
    <w:abstractNumId w:val="1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99"/>
    <w:rsid w:val="00011697"/>
    <w:rsid w:val="00014504"/>
    <w:rsid w:val="00014A1D"/>
    <w:rsid w:val="00020DAE"/>
    <w:rsid w:val="0003578D"/>
    <w:rsid w:val="000365C1"/>
    <w:rsid w:val="00047A6D"/>
    <w:rsid w:val="00050A19"/>
    <w:rsid w:val="000643F0"/>
    <w:rsid w:val="00065663"/>
    <w:rsid w:val="00073FE2"/>
    <w:rsid w:val="00074EAC"/>
    <w:rsid w:val="000A6BE2"/>
    <w:rsid w:val="000B288C"/>
    <w:rsid w:val="000B4E82"/>
    <w:rsid w:val="000C00A3"/>
    <w:rsid w:val="000C60E8"/>
    <w:rsid w:val="000D0211"/>
    <w:rsid w:val="000D51EB"/>
    <w:rsid w:val="000E73B4"/>
    <w:rsid w:val="000F32DE"/>
    <w:rsid w:val="000F44F2"/>
    <w:rsid w:val="00121D72"/>
    <w:rsid w:val="001316F1"/>
    <w:rsid w:val="001360B6"/>
    <w:rsid w:val="001408B2"/>
    <w:rsid w:val="001420B4"/>
    <w:rsid w:val="00150F3B"/>
    <w:rsid w:val="00153220"/>
    <w:rsid w:val="001562E4"/>
    <w:rsid w:val="00160121"/>
    <w:rsid w:val="001846BC"/>
    <w:rsid w:val="001C42E5"/>
    <w:rsid w:val="001E55BC"/>
    <w:rsid w:val="001E66FD"/>
    <w:rsid w:val="001F5BAF"/>
    <w:rsid w:val="0020282B"/>
    <w:rsid w:val="00217012"/>
    <w:rsid w:val="00226E85"/>
    <w:rsid w:val="00230969"/>
    <w:rsid w:val="002331A7"/>
    <w:rsid w:val="00233972"/>
    <w:rsid w:val="00234BA6"/>
    <w:rsid w:val="002362D8"/>
    <w:rsid w:val="002371D5"/>
    <w:rsid w:val="002472F5"/>
    <w:rsid w:val="00251C7F"/>
    <w:rsid w:val="0025706E"/>
    <w:rsid w:val="002736D9"/>
    <w:rsid w:val="002A0387"/>
    <w:rsid w:val="002A13C3"/>
    <w:rsid w:val="002A1BD2"/>
    <w:rsid w:val="002A71CE"/>
    <w:rsid w:val="002B0FA8"/>
    <w:rsid w:val="002B45EE"/>
    <w:rsid w:val="002B749D"/>
    <w:rsid w:val="002C60EA"/>
    <w:rsid w:val="002E4BCE"/>
    <w:rsid w:val="002E713E"/>
    <w:rsid w:val="002F3244"/>
    <w:rsid w:val="00313F86"/>
    <w:rsid w:val="00334569"/>
    <w:rsid w:val="00344D0E"/>
    <w:rsid w:val="00351A60"/>
    <w:rsid w:val="0036080A"/>
    <w:rsid w:val="00363A9A"/>
    <w:rsid w:val="00372296"/>
    <w:rsid w:val="00383334"/>
    <w:rsid w:val="003838E0"/>
    <w:rsid w:val="00385947"/>
    <w:rsid w:val="00387B59"/>
    <w:rsid w:val="00395DDD"/>
    <w:rsid w:val="003A2BB1"/>
    <w:rsid w:val="003C3D34"/>
    <w:rsid w:val="003C5DFF"/>
    <w:rsid w:val="003D4C13"/>
    <w:rsid w:val="003E6CB5"/>
    <w:rsid w:val="003F3DAB"/>
    <w:rsid w:val="00412B1A"/>
    <w:rsid w:val="00414971"/>
    <w:rsid w:val="00420D22"/>
    <w:rsid w:val="004268C2"/>
    <w:rsid w:val="00432876"/>
    <w:rsid w:val="0043374F"/>
    <w:rsid w:val="004338CA"/>
    <w:rsid w:val="00451D2C"/>
    <w:rsid w:val="00457618"/>
    <w:rsid w:val="004B2885"/>
    <w:rsid w:val="004B3408"/>
    <w:rsid w:val="004B3766"/>
    <w:rsid w:val="004B7F00"/>
    <w:rsid w:val="004C7418"/>
    <w:rsid w:val="004D5222"/>
    <w:rsid w:val="004E57FC"/>
    <w:rsid w:val="004F293B"/>
    <w:rsid w:val="004F7FCD"/>
    <w:rsid w:val="0050047E"/>
    <w:rsid w:val="0051330D"/>
    <w:rsid w:val="0052205B"/>
    <w:rsid w:val="00522146"/>
    <w:rsid w:val="00522BA5"/>
    <w:rsid w:val="00542498"/>
    <w:rsid w:val="00545975"/>
    <w:rsid w:val="005544EE"/>
    <w:rsid w:val="0056760B"/>
    <w:rsid w:val="0059084C"/>
    <w:rsid w:val="005A5444"/>
    <w:rsid w:val="005B1E8F"/>
    <w:rsid w:val="005C3508"/>
    <w:rsid w:val="005C51C2"/>
    <w:rsid w:val="005C7D27"/>
    <w:rsid w:val="005E0D99"/>
    <w:rsid w:val="00601DD8"/>
    <w:rsid w:val="00603052"/>
    <w:rsid w:val="00614BFD"/>
    <w:rsid w:val="0061659A"/>
    <w:rsid w:val="00630E6E"/>
    <w:rsid w:val="00640CC5"/>
    <w:rsid w:val="00643B5F"/>
    <w:rsid w:val="006516B8"/>
    <w:rsid w:val="00654A33"/>
    <w:rsid w:val="00691FC4"/>
    <w:rsid w:val="006B616E"/>
    <w:rsid w:val="006C0052"/>
    <w:rsid w:val="006C119A"/>
    <w:rsid w:val="006C6FDD"/>
    <w:rsid w:val="00707DD4"/>
    <w:rsid w:val="007146A1"/>
    <w:rsid w:val="007174B3"/>
    <w:rsid w:val="00725B11"/>
    <w:rsid w:val="007334DB"/>
    <w:rsid w:val="0073661A"/>
    <w:rsid w:val="0074394D"/>
    <w:rsid w:val="00760F32"/>
    <w:rsid w:val="0077312C"/>
    <w:rsid w:val="00774531"/>
    <w:rsid w:val="00777D10"/>
    <w:rsid w:val="007802DA"/>
    <w:rsid w:val="007840BD"/>
    <w:rsid w:val="0078448E"/>
    <w:rsid w:val="00786DDC"/>
    <w:rsid w:val="00792A39"/>
    <w:rsid w:val="00793117"/>
    <w:rsid w:val="007A496D"/>
    <w:rsid w:val="007E1D01"/>
    <w:rsid w:val="007F0491"/>
    <w:rsid w:val="007F4C8A"/>
    <w:rsid w:val="00804C67"/>
    <w:rsid w:val="00813472"/>
    <w:rsid w:val="00813FC9"/>
    <w:rsid w:val="0081583D"/>
    <w:rsid w:val="0081683F"/>
    <w:rsid w:val="00836A14"/>
    <w:rsid w:val="008405C3"/>
    <w:rsid w:val="00855B92"/>
    <w:rsid w:val="0086335A"/>
    <w:rsid w:val="00882879"/>
    <w:rsid w:val="00894D38"/>
    <w:rsid w:val="008A1676"/>
    <w:rsid w:val="008D0471"/>
    <w:rsid w:val="008E2D21"/>
    <w:rsid w:val="008E4708"/>
    <w:rsid w:val="008E753D"/>
    <w:rsid w:val="009006FF"/>
    <w:rsid w:val="00901669"/>
    <w:rsid w:val="0090503D"/>
    <w:rsid w:val="00915BED"/>
    <w:rsid w:val="009178AE"/>
    <w:rsid w:val="00921027"/>
    <w:rsid w:val="0092344F"/>
    <w:rsid w:val="00925638"/>
    <w:rsid w:val="00932925"/>
    <w:rsid w:val="00935201"/>
    <w:rsid w:val="00943338"/>
    <w:rsid w:val="009434D3"/>
    <w:rsid w:val="00954DD5"/>
    <w:rsid w:val="00960011"/>
    <w:rsid w:val="009614FF"/>
    <w:rsid w:val="0096161D"/>
    <w:rsid w:val="00963F9F"/>
    <w:rsid w:val="009666B2"/>
    <w:rsid w:val="0097072C"/>
    <w:rsid w:val="00971CE8"/>
    <w:rsid w:val="009A0303"/>
    <w:rsid w:val="009B2C1D"/>
    <w:rsid w:val="009B65CA"/>
    <w:rsid w:val="009C4948"/>
    <w:rsid w:val="009C5231"/>
    <w:rsid w:val="009D0C73"/>
    <w:rsid w:val="009D3CA5"/>
    <w:rsid w:val="009E52D5"/>
    <w:rsid w:val="009E7DC1"/>
    <w:rsid w:val="009F5AD9"/>
    <w:rsid w:val="00A11E7D"/>
    <w:rsid w:val="00A178C1"/>
    <w:rsid w:val="00A346EC"/>
    <w:rsid w:val="00A35B93"/>
    <w:rsid w:val="00A46922"/>
    <w:rsid w:val="00A47960"/>
    <w:rsid w:val="00A5184E"/>
    <w:rsid w:val="00A52FD0"/>
    <w:rsid w:val="00A57B1D"/>
    <w:rsid w:val="00A64C2F"/>
    <w:rsid w:val="00A70785"/>
    <w:rsid w:val="00A71593"/>
    <w:rsid w:val="00A8001F"/>
    <w:rsid w:val="00A84678"/>
    <w:rsid w:val="00A879CB"/>
    <w:rsid w:val="00AB1B94"/>
    <w:rsid w:val="00AB4BAC"/>
    <w:rsid w:val="00AB5BB4"/>
    <w:rsid w:val="00AB762C"/>
    <w:rsid w:val="00AD74E4"/>
    <w:rsid w:val="00AE6A65"/>
    <w:rsid w:val="00AE6B2F"/>
    <w:rsid w:val="00B15315"/>
    <w:rsid w:val="00B17D9A"/>
    <w:rsid w:val="00B25BB4"/>
    <w:rsid w:val="00B25BF5"/>
    <w:rsid w:val="00B40984"/>
    <w:rsid w:val="00B41A53"/>
    <w:rsid w:val="00B475DC"/>
    <w:rsid w:val="00B60DCA"/>
    <w:rsid w:val="00B625BB"/>
    <w:rsid w:val="00B62DFA"/>
    <w:rsid w:val="00B65AD5"/>
    <w:rsid w:val="00B81DFB"/>
    <w:rsid w:val="00B9713C"/>
    <w:rsid w:val="00BA00FC"/>
    <w:rsid w:val="00BA1DA5"/>
    <w:rsid w:val="00BC195C"/>
    <w:rsid w:val="00BC21D2"/>
    <w:rsid w:val="00BC62E7"/>
    <w:rsid w:val="00BD4520"/>
    <w:rsid w:val="00BE2F05"/>
    <w:rsid w:val="00BF1F6A"/>
    <w:rsid w:val="00C1021D"/>
    <w:rsid w:val="00C25496"/>
    <w:rsid w:val="00C26062"/>
    <w:rsid w:val="00C33368"/>
    <w:rsid w:val="00C50EEC"/>
    <w:rsid w:val="00C52922"/>
    <w:rsid w:val="00C620C6"/>
    <w:rsid w:val="00C62CED"/>
    <w:rsid w:val="00C669B2"/>
    <w:rsid w:val="00C77EB1"/>
    <w:rsid w:val="00C87A99"/>
    <w:rsid w:val="00CA600B"/>
    <w:rsid w:val="00CB2B71"/>
    <w:rsid w:val="00CC1F47"/>
    <w:rsid w:val="00CD1722"/>
    <w:rsid w:val="00CD42AF"/>
    <w:rsid w:val="00CD60B1"/>
    <w:rsid w:val="00CE2968"/>
    <w:rsid w:val="00CF2C0C"/>
    <w:rsid w:val="00D1024F"/>
    <w:rsid w:val="00D11596"/>
    <w:rsid w:val="00D132E5"/>
    <w:rsid w:val="00D271A0"/>
    <w:rsid w:val="00D33D0F"/>
    <w:rsid w:val="00D56F59"/>
    <w:rsid w:val="00D6216A"/>
    <w:rsid w:val="00D77E2E"/>
    <w:rsid w:val="00D83E32"/>
    <w:rsid w:val="00D87C2F"/>
    <w:rsid w:val="00DA03E0"/>
    <w:rsid w:val="00DB050F"/>
    <w:rsid w:val="00DB46C6"/>
    <w:rsid w:val="00DB5296"/>
    <w:rsid w:val="00DC13DF"/>
    <w:rsid w:val="00DE12CB"/>
    <w:rsid w:val="00DF416A"/>
    <w:rsid w:val="00E1699F"/>
    <w:rsid w:val="00E26ED9"/>
    <w:rsid w:val="00E3326E"/>
    <w:rsid w:val="00E35D59"/>
    <w:rsid w:val="00E42447"/>
    <w:rsid w:val="00E4674A"/>
    <w:rsid w:val="00E46759"/>
    <w:rsid w:val="00E51A55"/>
    <w:rsid w:val="00E53DFA"/>
    <w:rsid w:val="00E657E3"/>
    <w:rsid w:val="00E71C2B"/>
    <w:rsid w:val="00E71DAD"/>
    <w:rsid w:val="00E86804"/>
    <w:rsid w:val="00E978B3"/>
    <w:rsid w:val="00EE7AB3"/>
    <w:rsid w:val="00EE7C08"/>
    <w:rsid w:val="00EF2076"/>
    <w:rsid w:val="00EF7FD1"/>
    <w:rsid w:val="00F01B2C"/>
    <w:rsid w:val="00F068BE"/>
    <w:rsid w:val="00F159CA"/>
    <w:rsid w:val="00F25A9B"/>
    <w:rsid w:val="00F452D9"/>
    <w:rsid w:val="00F56EB4"/>
    <w:rsid w:val="00F62B1E"/>
    <w:rsid w:val="00F67218"/>
    <w:rsid w:val="00F80C14"/>
    <w:rsid w:val="00F87E05"/>
    <w:rsid w:val="00F914E0"/>
    <w:rsid w:val="00F92037"/>
    <w:rsid w:val="00F97CB5"/>
    <w:rsid w:val="00FB1C59"/>
    <w:rsid w:val="00FB4393"/>
    <w:rsid w:val="00FD5570"/>
    <w:rsid w:val="00FD61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eferred"/>
    <w:next w:val="NoSpacing"/>
    <w:qFormat/>
    <w:rsid w:val="00CE2968"/>
    <w:rPr>
      <w:rFonts w:ascii="Times New Roman" w:hAnsi="Times New Roman"/>
      <w:sz w:val="24"/>
    </w:rPr>
  </w:style>
  <w:style w:type="paragraph" w:styleId="Heading1">
    <w:name w:val="heading 1"/>
    <w:basedOn w:val="Normal"/>
    <w:next w:val="Normal"/>
    <w:link w:val="Heading1Char"/>
    <w:autoRedefine/>
    <w:uiPriority w:val="9"/>
    <w:qFormat/>
    <w:rsid w:val="001420B4"/>
    <w:pPr>
      <w:keepNext/>
      <w:keepLines/>
      <w:numPr>
        <w:numId w:val="11"/>
      </w:numPr>
      <w:spacing w:before="360" w:after="240" w:line="240" w:lineRule="auto"/>
      <w:ind w:hanging="72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792A39"/>
    <w:pPr>
      <w:keepNext/>
      <w:keepLines/>
      <w:numPr>
        <w:numId w:val="10"/>
      </w:numPr>
      <w:spacing w:before="360" w:after="240" w:line="240" w:lineRule="auto"/>
      <w:ind w:right="1440" w:hanging="720"/>
      <w:outlineLvl w:val="1"/>
    </w:pPr>
    <w:rPr>
      <w:rFonts w:eastAsiaTheme="majorEastAsia" w:cs="Times New Roman"/>
      <w:b/>
      <w:bCs/>
      <w:sz w:val="28"/>
      <w:szCs w:val="28"/>
    </w:rPr>
  </w:style>
  <w:style w:type="paragraph" w:styleId="Heading3">
    <w:name w:val="heading 3"/>
    <w:basedOn w:val="Normal"/>
    <w:next w:val="Normal"/>
    <w:link w:val="Heading3Char"/>
    <w:autoRedefine/>
    <w:uiPriority w:val="9"/>
    <w:unhideWhenUsed/>
    <w:qFormat/>
    <w:rsid w:val="00792A39"/>
    <w:pPr>
      <w:keepNext/>
      <w:keepLines/>
      <w:spacing w:before="360" w:after="240" w:line="240" w:lineRule="auto"/>
      <w:ind w:left="2160" w:right="1440" w:hanging="7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68"/>
    <w:pPr>
      <w:spacing w:after="0" w:line="240" w:lineRule="auto"/>
    </w:pPr>
    <w:rPr>
      <w:rFonts w:ascii="Times New Roman" w:hAnsi="Times New Roman"/>
      <w:sz w:val="24"/>
    </w:rPr>
  </w:style>
  <w:style w:type="paragraph" w:styleId="FootnoteText">
    <w:name w:val="footnote text"/>
    <w:basedOn w:val="Normal"/>
    <w:link w:val="FootnoteTextChar"/>
    <w:autoRedefine/>
    <w:uiPriority w:val="99"/>
    <w:unhideWhenUsed/>
    <w:rsid w:val="00B25BB4"/>
    <w:pPr>
      <w:spacing w:before="240" w:after="240" w:line="240" w:lineRule="auto"/>
      <w:ind w:left="720" w:hanging="720"/>
    </w:pPr>
    <w:rPr>
      <w:rFonts w:cs="Arial"/>
      <w:szCs w:val="20"/>
    </w:rPr>
  </w:style>
  <w:style w:type="character" w:customStyle="1" w:styleId="FootnoteTextChar">
    <w:name w:val="Footnote Text Char"/>
    <w:basedOn w:val="DefaultParagraphFont"/>
    <w:link w:val="FootnoteText"/>
    <w:uiPriority w:val="99"/>
    <w:rsid w:val="00B25BB4"/>
    <w:rPr>
      <w:rFonts w:ascii="Times New Roman" w:hAnsi="Times New Roman" w:cs="Arial"/>
      <w:sz w:val="24"/>
      <w:szCs w:val="20"/>
    </w:rPr>
  </w:style>
  <w:style w:type="character" w:styleId="FootnoteReference">
    <w:name w:val="footnote reference"/>
    <w:basedOn w:val="DefaultParagraphFont"/>
    <w:uiPriority w:val="99"/>
    <w:semiHidden/>
    <w:unhideWhenUsed/>
    <w:rsid w:val="00334569"/>
    <w:rPr>
      <w:vertAlign w:val="superscript"/>
    </w:rPr>
  </w:style>
  <w:style w:type="paragraph" w:styleId="ListParagraph">
    <w:name w:val="List Paragraph"/>
    <w:basedOn w:val="Normal"/>
    <w:uiPriority w:val="34"/>
    <w:qFormat/>
    <w:rsid w:val="00E3326E"/>
    <w:pPr>
      <w:ind w:left="720"/>
      <w:contextualSpacing/>
    </w:pPr>
    <w:rPr>
      <w:rFonts w:asciiTheme="minorHAnsi" w:hAnsiTheme="minorHAnsi"/>
      <w:sz w:val="22"/>
    </w:rPr>
  </w:style>
  <w:style w:type="character" w:styleId="Hyperlink">
    <w:name w:val="Hyperlink"/>
    <w:basedOn w:val="DefaultParagraphFont"/>
    <w:uiPriority w:val="99"/>
    <w:unhideWhenUsed/>
    <w:rsid w:val="00813472"/>
    <w:rPr>
      <w:color w:val="0000FF"/>
      <w:u w:val="single"/>
    </w:rPr>
  </w:style>
  <w:style w:type="paragraph" w:customStyle="1" w:styleId="text">
    <w:name w:val="text"/>
    <w:basedOn w:val="Normal"/>
    <w:autoRedefine/>
    <w:rsid w:val="00813472"/>
    <w:pPr>
      <w:tabs>
        <w:tab w:val="left" w:pos="9360"/>
      </w:tabs>
      <w:spacing w:after="0" w:line="240" w:lineRule="auto"/>
      <w:ind w:left="5040"/>
      <w:jc w:val="both"/>
    </w:pPr>
    <w:rPr>
      <w:rFonts w:eastAsia="Times New Roman" w:cs="Times New Roman"/>
      <w:sz w:val="26"/>
      <w:szCs w:val="20"/>
    </w:rPr>
  </w:style>
  <w:style w:type="paragraph" w:customStyle="1" w:styleId="DefaultParagraphFont1">
    <w:name w:val="Default Paragraph Font1"/>
    <w:rsid w:val="00CD42AF"/>
    <w:pPr>
      <w:spacing w:after="0" w:line="240" w:lineRule="auto"/>
    </w:pPr>
    <w:rPr>
      <w:rFonts w:ascii="Palatino" w:eastAsia="Times New Roman" w:hAnsi="Palatino" w:cs="Times New Roman"/>
      <w:sz w:val="24"/>
      <w:szCs w:val="20"/>
    </w:rPr>
  </w:style>
  <w:style w:type="paragraph" w:customStyle="1" w:styleId="noindent">
    <w:name w:val="no indent"/>
    <w:basedOn w:val="Normal"/>
    <w:rsid w:val="00CD42AF"/>
    <w:pPr>
      <w:spacing w:after="0" w:line="240" w:lineRule="auto"/>
      <w:jc w:val="both"/>
    </w:pPr>
    <w:rPr>
      <w:rFonts w:ascii="Palatino" w:eastAsia="Times New Roman" w:hAnsi="Palatino" w:cs="Times New Roman"/>
      <w:szCs w:val="20"/>
    </w:rPr>
  </w:style>
  <w:style w:type="paragraph" w:styleId="Header">
    <w:name w:val="header"/>
    <w:basedOn w:val="Normal"/>
    <w:link w:val="HeaderChar"/>
    <w:uiPriority w:val="99"/>
    <w:unhideWhenUsed/>
    <w:rsid w:val="00B6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D5"/>
    <w:rPr>
      <w:rFonts w:ascii="Times New Roman" w:hAnsi="Times New Roman"/>
      <w:sz w:val="24"/>
    </w:rPr>
  </w:style>
  <w:style w:type="paragraph" w:styleId="Footer">
    <w:name w:val="footer"/>
    <w:basedOn w:val="Normal"/>
    <w:link w:val="FooterChar"/>
    <w:uiPriority w:val="99"/>
    <w:unhideWhenUsed/>
    <w:rsid w:val="00B6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D5"/>
    <w:rPr>
      <w:rFonts w:ascii="Times New Roman" w:hAnsi="Times New Roman"/>
      <w:sz w:val="24"/>
    </w:rPr>
  </w:style>
  <w:style w:type="paragraph" w:styleId="BalloonText">
    <w:name w:val="Balloon Text"/>
    <w:basedOn w:val="Normal"/>
    <w:link w:val="BalloonTextChar"/>
    <w:uiPriority w:val="99"/>
    <w:semiHidden/>
    <w:unhideWhenUsed/>
    <w:rsid w:val="00B6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D5"/>
    <w:rPr>
      <w:rFonts w:ascii="Tahoma" w:hAnsi="Tahoma" w:cs="Tahoma"/>
      <w:sz w:val="16"/>
      <w:szCs w:val="16"/>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20B4"/>
    <w:rPr>
      <w:rFonts w:ascii="Times New Roman" w:eastAsiaTheme="majorEastAsia" w:hAnsi="Times New Roman" w:cstheme="majorBidi"/>
      <w:b/>
      <w:bCs/>
      <w:sz w:val="28"/>
      <w:szCs w:val="28"/>
    </w:rPr>
  </w:style>
  <w:style w:type="paragraph" w:customStyle="1" w:styleId="textstyle">
    <w:name w:val="text style"/>
    <w:basedOn w:val="NoSpacing"/>
    <w:rsid w:val="000E73B4"/>
    <w:pPr>
      <w:spacing w:line="480" w:lineRule="auto"/>
    </w:pPr>
    <w:rPr>
      <w:rFonts w:cs="Times New Roman"/>
      <w:sz w:val="26"/>
      <w:szCs w:val="26"/>
    </w:rPr>
  </w:style>
  <w:style w:type="character" w:customStyle="1" w:styleId="Heading2Char">
    <w:name w:val="Heading 2 Char"/>
    <w:basedOn w:val="DefaultParagraphFont"/>
    <w:link w:val="Heading2"/>
    <w:uiPriority w:val="9"/>
    <w:rsid w:val="00792A39"/>
    <w:rPr>
      <w:rFonts w:ascii="Times New Roman" w:eastAsiaTheme="majorEastAsia" w:hAnsi="Times New Roman" w:cs="Times New Roman"/>
      <w:b/>
      <w:bCs/>
      <w:sz w:val="28"/>
      <w:szCs w:val="28"/>
    </w:rPr>
  </w:style>
  <w:style w:type="paragraph" w:styleId="TOC1">
    <w:name w:val="toc 1"/>
    <w:basedOn w:val="Normal"/>
    <w:next w:val="Normal"/>
    <w:autoRedefine/>
    <w:uiPriority w:val="39"/>
    <w:unhideWhenUsed/>
    <w:rsid w:val="00AD74E4"/>
    <w:pPr>
      <w:tabs>
        <w:tab w:val="right" w:leader="dot" w:pos="9350"/>
      </w:tabs>
      <w:spacing w:before="240" w:after="240" w:line="240" w:lineRule="auto"/>
      <w:ind w:left="720" w:right="1440" w:hanging="720"/>
    </w:pPr>
    <w:rPr>
      <w:sz w:val="26"/>
    </w:rPr>
  </w:style>
  <w:style w:type="paragraph" w:styleId="TOC2">
    <w:name w:val="toc 2"/>
    <w:basedOn w:val="Normal"/>
    <w:next w:val="Normal"/>
    <w:autoRedefine/>
    <w:uiPriority w:val="39"/>
    <w:unhideWhenUsed/>
    <w:rsid w:val="0059084C"/>
    <w:pPr>
      <w:tabs>
        <w:tab w:val="right" w:leader="dot" w:pos="9350"/>
      </w:tabs>
      <w:spacing w:before="240" w:after="240" w:line="240" w:lineRule="auto"/>
      <w:ind w:left="1440" w:right="1440" w:hanging="720"/>
    </w:pPr>
    <w:rPr>
      <w:sz w:val="26"/>
    </w:rPr>
  </w:style>
  <w:style w:type="paragraph" w:styleId="EndnoteText">
    <w:name w:val="endnote text"/>
    <w:basedOn w:val="Normal"/>
    <w:link w:val="EndnoteTextChar"/>
    <w:uiPriority w:val="99"/>
    <w:semiHidden/>
    <w:unhideWhenUsed/>
    <w:rsid w:val="009B65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5CA"/>
    <w:rPr>
      <w:rFonts w:ascii="Times New Roman" w:hAnsi="Times New Roman"/>
      <w:sz w:val="20"/>
      <w:szCs w:val="20"/>
    </w:rPr>
  </w:style>
  <w:style w:type="character" w:styleId="EndnoteReference">
    <w:name w:val="endnote reference"/>
    <w:basedOn w:val="DefaultParagraphFont"/>
    <w:uiPriority w:val="99"/>
    <w:semiHidden/>
    <w:unhideWhenUsed/>
    <w:rsid w:val="009B65CA"/>
    <w:rPr>
      <w:vertAlign w:val="superscript"/>
    </w:rPr>
  </w:style>
  <w:style w:type="character" w:customStyle="1" w:styleId="Heading3Char">
    <w:name w:val="Heading 3 Char"/>
    <w:basedOn w:val="DefaultParagraphFont"/>
    <w:link w:val="Heading3"/>
    <w:uiPriority w:val="9"/>
    <w:rsid w:val="00792A39"/>
    <w:rPr>
      <w:rFonts w:ascii="Times New Roman" w:eastAsiaTheme="majorEastAsia" w:hAnsi="Times New Roman" w:cstheme="majorBidi"/>
      <w:b/>
      <w:b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Preferred"/>
    <w:next w:val="NoSpacing"/>
    <w:qFormat/>
    <w:rsid w:val="00CE2968"/>
    <w:rPr>
      <w:rFonts w:ascii="Times New Roman" w:hAnsi="Times New Roman"/>
      <w:sz w:val="24"/>
    </w:rPr>
  </w:style>
  <w:style w:type="paragraph" w:styleId="Heading1">
    <w:name w:val="heading 1"/>
    <w:basedOn w:val="Normal"/>
    <w:next w:val="Normal"/>
    <w:link w:val="Heading1Char"/>
    <w:autoRedefine/>
    <w:uiPriority w:val="9"/>
    <w:qFormat/>
    <w:rsid w:val="001420B4"/>
    <w:pPr>
      <w:keepNext/>
      <w:keepLines/>
      <w:numPr>
        <w:numId w:val="11"/>
      </w:numPr>
      <w:spacing w:before="360" w:after="240" w:line="240" w:lineRule="auto"/>
      <w:ind w:hanging="720"/>
      <w:outlineLvl w:val="0"/>
    </w:pPr>
    <w:rPr>
      <w:rFonts w:eastAsiaTheme="majorEastAsia" w:cstheme="majorBidi"/>
      <w:b/>
      <w:bCs/>
      <w:sz w:val="28"/>
      <w:szCs w:val="28"/>
    </w:rPr>
  </w:style>
  <w:style w:type="paragraph" w:styleId="Heading2">
    <w:name w:val="heading 2"/>
    <w:basedOn w:val="Normal"/>
    <w:next w:val="Normal"/>
    <w:link w:val="Heading2Char"/>
    <w:autoRedefine/>
    <w:uiPriority w:val="9"/>
    <w:unhideWhenUsed/>
    <w:qFormat/>
    <w:rsid w:val="00792A39"/>
    <w:pPr>
      <w:keepNext/>
      <w:keepLines/>
      <w:numPr>
        <w:numId w:val="10"/>
      </w:numPr>
      <w:spacing w:before="360" w:after="240" w:line="240" w:lineRule="auto"/>
      <w:ind w:right="1440" w:hanging="720"/>
      <w:outlineLvl w:val="1"/>
    </w:pPr>
    <w:rPr>
      <w:rFonts w:eastAsiaTheme="majorEastAsia" w:cs="Times New Roman"/>
      <w:b/>
      <w:bCs/>
      <w:sz w:val="28"/>
      <w:szCs w:val="28"/>
    </w:rPr>
  </w:style>
  <w:style w:type="paragraph" w:styleId="Heading3">
    <w:name w:val="heading 3"/>
    <w:basedOn w:val="Normal"/>
    <w:next w:val="Normal"/>
    <w:link w:val="Heading3Char"/>
    <w:autoRedefine/>
    <w:uiPriority w:val="9"/>
    <w:unhideWhenUsed/>
    <w:qFormat/>
    <w:rsid w:val="00792A39"/>
    <w:pPr>
      <w:keepNext/>
      <w:keepLines/>
      <w:spacing w:before="360" w:after="240" w:line="240" w:lineRule="auto"/>
      <w:ind w:left="2160" w:right="1440" w:hanging="720"/>
      <w:outlineLvl w:val="2"/>
    </w:pPr>
    <w:rPr>
      <w:rFonts w:eastAsiaTheme="majorEastAsia" w:cstheme="majorBidi"/>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E2968"/>
    <w:pPr>
      <w:spacing w:after="0" w:line="240" w:lineRule="auto"/>
    </w:pPr>
    <w:rPr>
      <w:rFonts w:ascii="Times New Roman" w:hAnsi="Times New Roman"/>
      <w:sz w:val="24"/>
    </w:rPr>
  </w:style>
  <w:style w:type="paragraph" w:styleId="FootnoteText">
    <w:name w:val="footnote text"/>
    <w:basedOn w:val="Normal"/>
    <w:link w:val="FootnoteTextChar"/>
    <w:autoRedefine/>
    <w:uiPriority w:val="99"/>
    <w:unhideWhenUsed/>
    <w:rsid w:val="00B25BB4"/>
    <w:pPr>
      <w:spacing w:before="240" w:after="240" w:line="240" w:lineRule="auto"/>
      <w:ind w:left="720" w:hanging="720"/>
    </w:pPr>
    <w:rPr>
      <w:rFonts w:cs="Arial"/>
      <w:szCs w:val="20"/>
    </w:rPr>
  </w:style>
  <w:style w:type="character" w:customStyle="1" w:styleId="FootnoteTextChar">
    <w:name w:val="Footnote Text Char"/>
    <w:basedOn w:val="DefaultParagraphFont"/>
    <w:link w:val="FootnoteText"/>
    <w:uiPriority w:val="99"/>
    <w:rsid w:val="00B25BB4"/>
    <w:rPr>
      <w:rFonts w:ascii="Times New Roman" w:hAnsi="Times New Roman" w:cs="Arial"/>
      <w:sz w:val="24"/>
      <w:szCs w:val="20"/>
    </w:rPr>
  </w:style>
  <w:style w:type="character" w:styleId="FootnoteReference">
    <w:name w:val="footnote reference"/>
    <w:basedOn w:val="DefaultParagraphFont"/>
    <w:uiPriority w:val="99"/>
    <w:semiHidden/>
    <w:unhideWhenUsed/>
    <w:rsid w:val="00334569"/>
    <w:rPr>
      <w:vertAlign w:val="superscript"/>
    </w:rPr>
  </w:style>
  <w:style w:type="paragraph" w:styleId="ListParagraph">
    <w:name w:val="List Paragraph"/>
    <w:basedOn w:val="Normal"/>
    <w:uiPriority w:val="34"/>
    <w:qFormat/>
    <w:rsid w:val="00E3326E"/>
    <w:pPr>
      <w:ind w:left="720"/>
      <w:contextualSpacing/>
    </w:pPr>
    <w:rPr>
      <w:rFonts w:asciiTheme="minorHAnsi" w:hAnsiTheme="minorHAnsi"/>
      <w:sz w:val="22"/>
    </w:rPr>
  </w:style>
  <w:style w:type="character" w:styleId="Hyperlink">
    <w:name w:val="Hyperlink"/>
    <w:basedOn w:val="DefaultParagraphFont"/>
    <w:uiPriority w:val="99"/>
    <w:unhideWhenUsed/>
    <w:rsid w:val="00813472"/>
    <w:rPr>
      <w:color w:val="0000FF"/>
      <w:u w:val="single"/>
    </w:rPr>
  </w:style>
  <w:style w:type="paragraph" w:customStyle="1" w:styleId="text">
    <w:name w:val="text"/>
    <w:basedOn w:val="Normal"/>
    <w:autoRedefine/>
    <w:rsid w:val="00813472"/>
    <w:pPr>
      <w:tabs>
        <w:tab w:val="left" w:pos="9360"/>
      </w:tabs>
      <w:spacing w:after="0" w:line="240" w:lineRule="auto"/>
      <w:ind w:left="5040"/>
      <w:jc w:val="both"/>
    </w:pPr>
    <w:rPr>
      <w:rFonts w:eastAsia="Times New Roman" w:cs="Times New Roman"/>
      <w:sz w:val="26"/>
      <w:szCs w:val="20"/>
    </w:rPr>
  </w:style>
  <w:style w:type="paragraph" w:customStyle="1" w:styleId="DefaultParagraphFont1">
    <w:name w:val="Default Paragraph Font1"/>
    <w:rsid w:val="00CD42AF"/>
    <w:pPr>
      <w:spacing w:after="0" w:line="240" w:lineRule="auto"/>
    </w:pPr>
    <w:rPr>
      <w:rFonts w:ascii="Palatino" w:eastAsia="Times New Roman" w:hAnsi="Palatino" w:cs="Times New Roman"/>
      <w:sz w:val="24"/>
      <w:szCs w:val="20"/>
    </w:rPr>
  </w:style>
  <w:style w:type="paragraph" w:customStyle="1" w:styleId="noindent">
    <w:name w:val="no indent"/>
    <w:basedOn w:val="Normal"/>
    <w:rsid w:val="00CD42AF"/>
    <w:pPr>
      <w:spacing w:after="0" w:line="240" w:lineRule="auto"/>
      <w:jc w:val="both"/>
    </w:pPr>
    <w:rPr>
      <w:rFonts w:ascii="Palatino" w:eastAsia="Times New Roman" w:hAnsi="Palatino" w:cs="Times New Roman"/>
      <w:szCs w:val="20"/>
    </w:rPr>
  </w:style>
  <w:style w:type="paragraph" w:styleId="Header">
    <w:name w:val="header"/>
    <w:basedOn w:val="Normal"/>
    <w:link w:val="HeaderChar"/>
    <w:uiPriority w:val="99"/>
    <w:unhideWhenUsed/>
    <w:rsid w:val="00B65A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5AD5"/>
    <w:rPr>
      <w:rFonts w:ascii="Times New Roman" w:hAnsi="Times New Roman"/>
      <w:sz w:val="24"/>
    </w:rPr>
  </w:style>
  <w:style w:type="paragraph" w:styleId="Footer">
    <w:name w:val="footer"/>
    <w:basedOn w:val="Normal"/>
    <w:link w:val="FooterChar"/>
    <w:uiPriority w:val="99"/>
    <w:unhideWhenUsed/>
    <w:rsid w:val="00B65A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5AD5"/>
    <w:rPr>
      <w:rFonts w:ascii="Times New Roman" w:hAnsi="Times New Roman"/>
      <w:sz w:val="24"/>
    </w:rPr>
  </w:style>
  <w:style w:type="paragraph" w:styleId="BalloonText">
    <w:name w:val="Balloon Text"/>
    <w:basedOn w:val="Normal"/>
    <w:link w:val="BalloonTextChar"/>
    <w:uiPriority w:val="99"/>
    <w:semiHidden/>
    <w:unhideWhenUsed/>
    <w:rsid w:val="00B65A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AD5"/>
    <w:rPr>
      <w:rFonts w:ascii="Tahoma" w:hAnsi="Tahoma" w:cs="Tahoma"/>
      <w:sz w:val="16"/>
      <w:szCs w:val="16"/>
    </w:rPr>
  </w:style>
  <w:style w:type="table" w:styleId="TableGrid">
    <w:name w:val="Table Grid"/>
    <w:basedOn w:val="TableNormal"/>
    <w:uiPriority w:val="59"/>
    <w:rsid w:val="007A49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420B4"/>
    <w:rPr>
      <w:rFonts w:ascii="Times New Roman" w:eastAsiaTheme="majorEastAsia" w:hAnsi="Times New Roman" w:cstheme="majorBidi"/>
      <w:b/>
      <w:bCs/>
      <w:sz w:val="28"/>
      <w:szCs w:val="28"/>
    </w:rPr>
  </w:style>
  <w:style w:type="paragraph" w:customStyle="1" w:styleId="textstyle">
    <w:name w:val="text style"/>
    <w:basedOn w:val="NoSpacing"/>
    <w:rsid w:val="000E73B4"/>
    <w:pPr>
      <w:spacing w:line="480" w:lineRule="auto"/>
    </w:pPr>
    <w:rPr>
      <w:rFonts w:cs="Times New Roman"/>
      <w:sz w:val="26"/>
      <w:szCs w:val="26"/>
    </w:rPr>
  </w:style>
  <w:style w:type="character" w:customStyle="1" w:styleId="Heading2Char">
    <w:name w:val="Heading 2 Char"/>
    <w:basedOn w:val="DefaultParagraphFont"/>
    <w:link w:val="Heading2"/>
    <w:uiPriority w:val="9"/>
    <w:rsid w:val="00792A39"/>
    <w:rPr>
      <w:rFonts w:ascii="Times New Roman" w:eastAsiaTheme="majorEastAsia" w:hAnsi="Times New Roman" w:cs="Times New Roman"/>
      <w:b/>
      <w:bCs/>
      <w:sz w:val="28"/>
      <w:szCs w:val="28"/>
    </w:rPr>
  </w:style>
  <w:style w:type="paragraph" w:styleId="TOC1">
    <w:name w:val="toc 1"/>
    <w:basedOn w:val="Normal"/>
    <w:next w:val="Normal"/>
    <w:autoRedefine/>
    <w:uiPriority w:val="39"/>
    <w:unhideWhenUsed/>
    <w:rsid w:val="00AD74E4"/>
    <w:pPr>
      <w:tabs>
        <w:tab w:val="right" w:leader="dot" w:pos="9350"/>
      </w:tabs>
      <w:spacing w:before="240" w:after="240" w:line="240" w:lineRule="auto"/>
      <w:ind w:left="720" w:right="1440" w:hanging="720"/>
    </w:pPr>
    <w:rPr>
      <w:sz w:val="26"/>
    </w:rPr>
  </w:style>
  <w:style w:type="paragraph" w:styleId="TOC2">
    <w:name w:val="toc 2"/>
    <w:basedOn w:val="Normal"/>
    <w:next w:val="Normal"/>
    <w:autoRedefine/>
    <w:uiPriority w:val="39"/>
    <w:unhideWhenUsed/>
    <w:rsid w:val="0059084C"/>
    <w:pPr>
      <w:tabs>
        <w:tab w:val="right" w:leader="dot" w:pos="9350"/>
      </w:tabs>
      <w:spacing w:before="240" w:after="240" w:line="240" w:lineRule="auto"/>
      <w:ind w:left="1440" w:right="1440" w:hanging="720"/>
    </w:pPr>
    <w:rPr>
      <w:sz w:val="26"/>
    </w:rPr>
  </w:style>
  <w:style w:type="paragraph" w:styleId="EndnoteText">
    <w:name w:val="endnote text"/>
    <w:basedOn w:val="Normal"/>
    <w:link w:val="EndnoteTextChar"/>
    <w:uiPriority w:val="99"/>
    <w:semiHidden/>
    <w:unhideWhenUsed/>
    <w:rsid w:val="009B65C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B65CA"/>
    <w:rPr>
      <w:rFonts w:ascii="Times New Roman" w:hAnsi="Times New Roman"/>
      <w:sz w:val="20"/>
      <w:szCs w:val="20"/>
    </w:rPr>
  </w:style>
  <w:style w:type="character" w:styleId="EndnoteReference">
    <w:name w:val="endnote reference"/>
    <w:basedOn w:val="DefaultParagraphFont"/>
    <w:uiPriority w:val="99"/>
    <w:semiHidden/>
    <w:unhideWhenUsed/>
    <w:rsid w:val="009B65CA"/>
    <w:rPr>
      <w:vertAlign w:val="superscript"/>
    </w:rPr>
  </w:style>
  <w:style w:type="character" w:customStyle="1" w:styleId="Heading3Char">
    <w:name w:val="Heading 3 Char"/>
    <w:basedOn w:val="DefaultParagraphFont"/>
    <w:link w:val="Heading3"/>
    <w:uiPriority w:val="9"/>
    <w:rsid w:val="00792A39"/>
    <w:rPr>
      <w:rFonts w:ascii="Times New Roman" w:eastAsiaTheme="majorEastAsia" w:hAnsi="Times New Roman" w:cstheme="majorBidi"/>
      <w:b/>
      <w:bCs/>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iam.wright@puc.state.oh.us" TargetMode="External"/><Relationship Id="rId13" Type="http://schemas.openxmlformats.org/officeDocument/2006/relationships/hyperlink" Target="mailto:william.wright@puc.state.oh.us" TargetMode="External"/><Relationship Id="rId18"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tephen.reilly@puc.state.oh.us" TargetMode="External"/><Relationship Id="rId14" Type="http://schemas.openxmlformats.org/officeDocument/2006/relationships/hyperlink" Target="mailto:stephen.reilly@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2673</Words>
  <Characters>15237</Characters>
  <Application>Microsoft Office Word</Application>
  <DocSecurity>0</DocSecurity>
  <Lines>126</Lines>
  <Paragraphs>35</Paragraphs>
  <ScaleCrop>false</ScaleCrop>
  <Company/>
  <LinksUpToDate>false</LinksUpToDate>
  <CharactersWithSpaces>17875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2012-08-15T20:02:00Z</dcterms:created>
  <dcterms:modified xsi:type="dcterms:W3CDTF">2012-08-15T20:02:00Z</dcterms:modified>
</cp:coreProperties>
</file>