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586697" w:rsidRPr="00C54DC3" w:rsidP="00586697" w14:paraId="7548E725" w14:textId="77777777">
      <w:pPr>
        <w:pStyle w:val="HTMLPreformatted"/>
        <w:jc w:val="center"/>
        <w:rPr>
          <w:rFonts w:ascii="Times New Roman" w:hAnsi="Times New Roman" w:cs="Times New Roman"/>
          <w:b/>
          <w:bCs/>
          <w:sz w:val="24"/>
          <w:szCs w:val="24"/>
        </w:rPr>
      </w:pPr>
      <w:bookmarkStart w:id="0" w:name="_GoBack"/>
      <w:bookmarkEnd w:id="0"/>
      <w:r w:rsidRPr="00C54DC3">
        <w:rPr>
          <w:rFonts w:ascii="Times New Roman" w:hAnsi="Times New Roman" w:cs="Times New Roman"/>
          <w:b/>
          <w:bCs/>
          <w:sz w:val="24"/>
          <w:szCs w:val="24"/>
        </w:rPr>
        <w:t>BEFORE</w:t>
      </w:r>
    </w:p>
    <w:p w:rsidR="00586697" w:rsidRPr="00C54DC3" w:rsidP="00586697" w14:paraId="08D86F61" w14:textId="77777777">
      <w:pPr>
        <w:pStyle w:val="HTMLPreformatted"/>
        <w:jc w:val="center"/>
        <w:rPr>
          <w:rFonts w:ascii="Times New Roman" w:hAnsi="Times New Roman" w:cs="Times New Roman"/>
          <w:sz w:val="24"/>
          <w:szCs w:val="24"/>
        </w:rPr>
      </w:pPr>
      <w:r w:rsidRPr="00C54DC3">
        <w:rPr>
          <w:rFonts w:ascii="Times New Roman" w:hAnsi="Times New Roman" w:cs="Times New Roman"/>
          <w:b/>
          <w:bCs/>
          <w:sz w:val="24"/>
          <w:szCs w:val="24"/>
        </w:rPr>
        <w:t>THE PUBLIC UTILITIES COMMISSION OF OHIO</w:t>
      </w:r>
    </w:p>
    <w:p w:rsidR="00586697" w:rsidRPr="00C54DC3" w:rsidP="00586697" w14:paraId="7235964E" w14:textId="77777777">
      <w:pPr>
        <w:pStyle w:val="HTMLPreformatted"/>
        <w:rPr>
          <w:rFonts w:ascii="Times New Roman" w:hAnsi="Times New Roman" w:cs="Times New Roman"/>
          <w:sz w:val="24"/>
          <w:szCs w:val="24"/>
        </w:rPr>
      </w:pPr>
    </w:p>
    <w:tbl>
      <w:tblPr>
        <w:tblW w:w="8820" w:type="dxa"/>
        <w:tblLook w:val="01E0"/>
      </w:tblPr>
      <w:tblGrid>
        <w:gridCol w:w="5058"/>
        <w:gridCol w:w="360"/>
        <w:gridCol w:w="3402"/>
      </w:tblGrid>
      <w:tr w14:paraId="5F5AA63C" w14:textId="77777777" w:rsidTr="00CF74D0">
        <w:tblPrEx>
          <w:tblW w:w="8820" w:type="dxa"/>
          <w:tblLook w:val="01E0"/>
        </w:tblPrEx>
        <w:trPr>
          <w:trHeight w:val="792"/>
        </w:trPr>
        <w:tc>
          <w:tcPr>
            <w:tcW w:w="5058" w:type="dxa"/>
            <w:shd w:val="clear" w:color="auto" w:fill="auto"/>
          </w:tcPr>
          <w:p w:rsidR="00586697" w:rsidRPr="00C54DC3" w:rsidP="00616ED0" w14:paraId="41B9E516" w14:textId="18680823">
            <w:pPr>
              <w:autoSpaceDE w:val="0"/>
              <w:autoSpaceDN w:val="0"/>
              <w:adjustRightInd w:val="0"/>
              <w:rPr>
                <w:szCs w:val="24"/>
              </w:rPr>
            </w:pPr>
            <w:r w:rsidRPr="00850EAC">
              <w:rPr>
                <w:szCs w:val="24"/>
              </w:rPr>
              <w:t xml:space="preserve">In the Matter of </w:t>
            </w:r>
            <w:r w:rsidR="00746A9A">
              <w:rPr>
                <w:szCs w:val="24"/>
              </w:rPr>
              <w:t>the Application of The Dayton Power and Light Company to Update its Reconciliation Rider.</w:t>
            </w:r>
          </w:p>
        </w:tc>
        <w:tc>
          <w:tcPr>
            <w:tcW w:w="360" w:type="dxa"/>
            <w:shd w:val="clear" w:color="auto" w:fill="auto"/>
          </w:tcPr>
          <w:p w:rsidR="00586697" w:rsidRPr="00C54DC3" w:rsidP="00586697" w14:paraId="139653C3" w14:textId="77777777">
            <w:pPr>
              <w:pStyle w:val="HTMLPreformatted"/>
              <w:rPr>
                <w:rFonts w:ascii="Times New Roman" w:hAnsi="Times New Roman" w:cs="Times New Roman"/>
                <w:sz w:val="24"/>
                <w:szCs w:val="24"/>
              </w:rPr>
            </w:pPr>
            <w:r w:rsidRPr="00C54DC3">
              <w:rPr>
                <w:rFonts w:ascii="Times New Roman" w:hAnsi="Times New Roman" w:cs="Times New Roman"/>
                <w:sz w:val="24"/>
                <w:szCs w:val="24"/>
              </w:rPr>
              <w:t>)</w:t>
            </w:r>
          </w:p>
          <w:p w:rsidR="00586697" w:rsidRPr="00C54DC3" w:rsidP="00586697" w14:paraId="0918205B" w14:textId="77777777">
            <w:pPr>
              <w:pStyle w:val="HTMLPreformatted"/>
              <w:rPr>
                <w:rFonts w:ascii="Times New Roman" w:hAnsi="Times New Roman" w:cs="Times New Roman"/>
                <w:sz w:val="24"/>
                <w:szCs w:val="24"/>
              </w:rPr>
            </w:pPr>
            <w:r w:rsidRPr="00C54DC3">
              <w:rPr>
                <w:rFonts w:ascii="Times New Roman" w:hAnsi="Times New Roman" w:cs="Times New Roman"/>
                <w:sz w:val="24"/>
                <w:szCs w:val="24"/>
              </w:rPr>
              <w:t>)</w:t>
            </w:r>
          </w:p>
          <w:p w:rsidR="00974888" w:rsidP="00586697" w14:paraId="61DB459F" w14:textId="77777777">
            <w:pPr>
              <w:pStyle w:val="HTMLPreformatted"/>
              <w:rPr>
                <w:rFonts w:ascii="Times New Roman" w:hAnsi="Times New Roman" w:cs="Times New Roman"/>
                <w:sz w:val="24"/>
                <w:szCs w:val="24"/>
              </w:rPr>
            </w:pPr>
            <w:r w:rsidRPr="00C54DC3">
              <w:rPr>
                <w:rFonts w:ascii="Times New Roman" w:hAnsi="Times New Roman" w:cs="Times New Roman"/>
                <w:sz w:val="24"/>
                <w:szCs w:val="24"/>
              </w:rPr>
              <w:t>)</w:t>
            </w:r>
          </w:p>
          <w:p w:rsidR="00616ED0" w:rsidRPr="00C54DC3" w:rsidP="00586697" w14:paraId="32497D73" w14:textId="0D431723">
            <w:pPr>
              <w:pStyle w:val="HTMLPreformatted"/>
              <w:rPr>
                <w:rFonts w:ascii="Times New Roman" w:hAnsi="Times New Roman" w:cs="Times New Roman"/>
                <w:sz w:val="24"/>
                <w:szCs w:val="24"/>
              </w:rPr>
            </w:pPr>
          </w:p>
        </w:tc>
        <w:tc>
          <w:tcPr>
            <w:tcW w:w="3402" w:type="dxa"/>
            <w:shd w:val="clear" w:color="auto" w:fill="auto"/>
          </w:tcPr>
          <w:p w:rsidR="00586697" w:rsidRPr="00C54DC3" w:rsidP="00586697" w14:paraId="485E678A" w14:textId="77777777">
            <w:pPr>
              <w:pStyle w:val="HTMLPreformatted"/>
              <w:rPr>
                <w:rFonts w:ascii="Times New Roman" w:hAnsi="Times New Roman" w:cs="Times New Roman"/>
                <w:sz w:val="24"/>
                <w:szCs w:val="24"/>
              </w:rPr>
            </w:pPr>
          </w:p>
          <w:p w:rsidR="00586697" w:rsidRPr="00C54DC3" w:rsidP="00586697" w14:paraId="68B6ECE7" w14:textId="7C7E4DF2">
            <w:pPr>
              <w:rPr>
                <w:i/>
                <w:szCs w:val="24"/>
              </w:rPr>
            </w:pPr>
            <w:r w:rsidRPr="00C54DC3">
              <w:rPr>
                <w:szCs w:val="24"/>
              </w:rPr>
              <w:t>Case No. 19-</w:t>
            </w:r>
            <w:r w:rsidR="00746A9A">
              <w:rPr>
                <w:szCs w:val="24"/>
              </w:rPr>
              <w:t>1776</w:t>
            </w:r>
            <w:r w:rsidRPr="00C54DC3">
              <w:rPr>
                <w:szCs w:val="24"/>
              </w:rPr>
              <w:t>-EL-</w:t>
            </w:r>
            <w:r w:rsidR="00746A9A">
              <w:rPr>
                <w:szCs w:val="24"/>
              </w:rPr>
              <w:t>RDR</w:t>
            </w:r>
          </w:p>
          <w:p w:rsidR="00586697" w:rsidRPr="00C54DC3" w:rsidP="00586697" w14:paraId="4CAB369B" w14:textId="77777777">
            <w:pPr>
              <w:pStyle w:val="HTMLPreformatted"/>
              <w:rPr>
                <w:rFonts w:ascii="Times New Roman" w:hAnsi="Times New Roman" w:cs="Times New Roman"/>
                <w:sz w:val="24"/>
                <w:szCs w:val="24"/>
              </w:rPr>
            </w:pPr>
          </w:p>
        </w:tc>
      </w:tr>
    </w:tbl>
    <w:p w:rsidR="00586697" w:rsidRPr="00C54DC3" w:rsidP="00586697" w14:paraId="33A8220A" w14:textId="77777777">
      <w:pPr>
        <w:pStyle w:val="HTMLPreformatted"/>
        <w:pBdr>
          <w:top w:val="single" w:sz="12" w:space="1" w:color="auto"/>
        </w:pBdr>
        <w:rPr>
          <w:rFonts w:ascii="Times New Roman" w:hAnsi="Times New Roman" w:cs="Times New Roman"/>
          <w:sz w:val="24"/>
          <w:szCs w:val="24"/>
        </w:rPr>
      </w:pPr>
    </w:p>
    <w:p w:rsidR="00586697" w:rsidRPr="00C54DC3" w:rsidP="00586697" w14:paraId="542EB618" w14:textId="77777777">
      <w:pPr>
        <w:jc w:val="center"/>
        <w:rPr>
          <w:b/>
          <w:bCs/>
          <w:szCs w:val="24"/>
        </w:rPr>
      </w:pPr>
      <w:r w:rsidRPr="00C54DC3">
        <w:rPr>
          <w:b/>
          <w:bCs/>
          <w:szCs w:val="24"/>
        </w:rPr>
        <w:t>MOTION TO INTERVENE</w:t>
      </w:r>
    </w:p>
    <w:p w:rsidR="00586697" w:rsidRPr="00C54DC3" w:rsidP="00586697" w14:paraId="1F0C961B" w14:textId="77777777">
      <w:pPr>
        <w:jc w:val="center"/>
        <w:rPr>
          <w:b/>
          <w:bCs/>
          <w:szCs w:val="24"/>
        </w:rPr>
      </w:pPr>
      <w:r w:rsidRPr="00C54DC3">
        <w:rPr>
          <w:b/>
          <w:bCs/>
          <w:szCs w:val="24"/>
        </w:rPr>
        <w:t>BY</w:t>
      </w:r>
    </w:p>
    <w:p w:rsidR="00586697" w:rsidRPr="00C54DC3" w:rsidP="00586697" w14:paraId="40E7460D" w14:textId="69C42B15">
      <w:pPr>
        <w:jc w:val="center"/>
        <w:rPr>
          <w:b/>
          <w:bCs/>
          <w:szCs w:val="24"/>
        </w:rPr>
      </w:pPr>
      <w:r w:rsidRPr="00C54DC3">
        <w:rPr>
          <w:b/>
          <w:bCs/>
          <w:szCs w:val="24"/>
        </w:rPr>
        <w:t>THE OFFICE OF THE OHIO CONSUMERS</w:t>
      </w:r>
      <w:r w:rsidR="00771779">
        <w:rPr>
          <w:b/>
          <w:bCs/>
          <w:szCs w:val="24"/>
        </w:rPr>
        <w:t>’</w:t>
      </w:r>
      <w:r w:rsidRPr="00C54DC3">
        <w:rPr>
          <w:b/>
          <w:bCs/>
          <w:szCs w:val="24"/>
        </w:rPr>
        <w:t xml:space="preserve"> COUNSEL</w:t>
      </w:r>
    </w:p>
    <w:p w:rsidR="00586697" w:rsidRPr="00C54DC3" w:rsidP="00586697" w14:paraId="03773C10" w14:textId="77777777">
      <w:pPr>
        <w:pBdr>
          <w:bottom w:val="single" w:sz="12" w:space="1" w:color="auto"/>
        </w:pBdr>
        <w:tabs>
          <w:tab w:val="left" w:pos="4320"/>
        </w:tabs>
        <w:rPr>
          <w:szCs w:val="24"/>
        </w:rPr>
      </w:pPr>
    </w:p>
    <w:p w:rsidR="00616ED0" w:rsidP="00616ED0" w14:paraId="38450411" w14:textId="4B0EA8C3">
      <w:pPr>
        <w:pStyle w:val="BodyTextIndent3"/>
        <w:widowControl w:val="0"/>
        <w:spacing w:line="240" w:lineRule="auto"/>
        <w:ind w:right="-312"/>
        <w:rPr>
          <w:szCs w:val="24"/>
        </w:rPr>
      </w:pPr>
    </w:p>
    <w:p w:rsidR="00771779" w:rsidP="00616ED0" w14:paraId="0C6D1882" w14:textId="77777777">
      <w:pPr>
        <w:pStyle w:val="BodyTextIndent3"/>
        <w:widowControl w:val="0"/>
        <w:spacing w:line="240" w:lineRule="auto"/>
        <w:ind w:right="-312"/>
        <w:rPr>
          <w:szCs w:val="24"/>
        </w:rPr>
      </w:pPr>
    </w:p>
    <w:p w:rsidR="008C02A8" w:rsidP="00616ED0" w14:paraId="04C9E185" w14:textId="48C32B8F">
      <w:pPr>
        <w:pStyle w:val="BodyTextIndent3"/>
        <w:widowControl w:val="0"/>
        <w:spacing w:line="480" w:lineRule="auto"/>
        <w:rPr>
          <w:szCs w:val="24"/>
        </w:rPr>
      </w:pPr>
      <w:r>
        <w:rPr>
          <w:szCs w:val="24"/>
        </w:rPr>
        <w:t xml:space="preserve">Despite </w:t>
      </w:r>
      <w:r w:rsidR="009175B2">
        <w:rPr>
          <w:szCs w:val="24"/>
        </w:rPr>
        <w:t>Ohio</w:t>
      </w:r>
      <w:r w:rsidR="00771779">
        <w:rPr>
          <w:szCs w:val="24"/>
        </w:rPr>
        <w:t>’</w:t>
      </w:r>
      <w:r w:rsidR="009175B2">
        <w:rPr>
          <w:szCs w:val="24"/>
        </w:rPr>
        <w:t>s</w:t>
      </w:r>
      <w:r w:rsidR="004E33C2">
        <w:rPr>
          <w:szCs w:val="24"/>
        </w:rPr>
        <w:t xml:space="preserve"> 1999 law that deregulated </w:t>
      </w:r>
      <w:r w:rsidR="009175B2">
        <w:rPr>
          <w:szCs w:val="24"/>
        </w:rPr>
        <w:t>power plants,</w:t>
      </w:r>
      <w:r w:rsidR="004E33C2">
        <w:rPr>
          <w:szCs w:val="24"/>
        </w:rPr>
        <w:t xml:space="preserve"> </w:t>
      </w:r>
      <w:r w:rsidR="009175B2">
        <w:rPr>
          <w:szCs w:val="24"/>
        </w:rPr>
        <w:t>DP&amp;L has gained PUCO approval to charge its monopoly customers for subsidies to two coal plants (one of which is not even in Ohio (in Indiana).</w:t>
      </w:r>
      <w:r w:rsidR="00771779">
        <w:rPr>
          <w:szCs w:val="24"/>
        </w:rPr>
        <w:t xml:space="preserve"> </w:t>
      </w:r>
      <w:r w:rsidR="009175B2">
        <w:rPr>
          <w:szCs w:val="24"/>
        </w:rPr>
        <w:t>These subsidies elevate monopolies like DP&amp;L over competitive markets for serving consumers. DP&amp;L</w:t>
      </w:r>
      <w:r w:rsidR="00771779">
        <w:rPr>
          <w:szCs w:val="24"/>
        </w:rPr>
        <w:t>’</w:t>
      </w:r>
      <w:r w:rsidR="009175B2">
        <w:rPr>
          <w:szCs w:val="24"/>
        </w:rPr>
        <w:t xml:space="preserve">s subsidy charges put profits before people. The people </w:t>
      </w:r>
      <w:r w:rsidR="00074632">
        <w:rPr>
          <w:szCs w:val="24"/>
        </w:rPr>
        <w:t xml:space="preserve">imposed upon by </w:t>
      </w:r>
      <w:r w:rsidR="009175B2">
        <w:rPr>
          <w:szCs w:val="24"/>
        </w:rPr>
        <w:t xml:space="preserve">DP&amp;L include the </w:t>
      </w:r>
      <w:r w:rsidR="00531BA8">
        <w:rPr>
          <w:szCs w:val="24"/>
        </w:rPr>
        <w:t>33.5%</w:t>
      </w:r>
      <w:r w:rsidR="009175B2">
        <w:rPr>
          <w:szCs w:val="24"/>
        </w:rPr>
        <w:t xml:space="preserve"> of the population in Dayton that </w:t>
      </w:r>
      <w:r w:rsidR="00074632">
        <w:rPr>
          <w:szCs w:val="24"/>
        </w:rPr>
        <w:t>live in poverty but must pay subsidies to their monopoly utility.</w:t>
      </w:r>
      <w:r w:rsidR="009175B2">
        <w:rPr>
          <w:szCs w:val="24"/>
        </w:rPr>
        <w:t xml:space="preserve"> </w:t>
      </w:r>
    </w:p>
    <w:p w:rsidR="00616ED0" w:rsidP="00DA0CB4" w14:paraId="1FA21D6D" w14:textId="588F574A">
      <w:pPr>
        <w:pStyle w:val="BodyTextIndent3"/>
        <w:widowControl w:val="0"/>
        <w:spacing w:line="480" w:lineRule="auto"/>
        <w:ind w:right="-312"/>
        <w:rPr>
          <w:szCs w:val="24"/>
        </w:rPr>
      </w:pPr>
      <w:r>
        <w:rPr>
          <w:szCs w:val="24"/>
        </w:rPr>
        <w:t>O</w:t>
      </w:r>
      <w:r w:rsidRPr="00C54DC3">
        <w:rPr>
          <w:szCs w:val="24"/>
        </w:rPr>
        <w:t xml:space="preserve">n behalf of </w:t>
      </w:r>
      <w:r w:rsidR="00A72E17">
        <w:rPr>
          <w:szCs w:val="24"/>
        </w:rPr>
        <w:t xml:space="preserve">465,000 residential customers of </w:t>
      </w:r>
      <w:r>
        <w:rPr>
          <w:szCs w:val="24"/>
        </w:rPr>
        <w:t xml:space="preserve">Dayton Power &amp; Light Company </w:t>
      </w:r>
      <w:r w:rsidR="004E33C2">
        <w:rPr>
          <w:szCs w:val="24"/>
        </w:rPr>
        <w:t>(“DP&amp;L”)</w:t>
      </w:r>
      <w:r w:rsidRPr="00C54DC3">
        <w:rPr>
          <w:szCs w:val="24"/>
        </w:rPr>
        <w:t>,</w:t>
      </w:r>
      <w:r>
        <w:rPr>
          <w:szCs w:val="24"/>
        </w:rPr>
        <w:t xml:space="preserve"> t</w:t>
      </w:r>
      <w:r w:rsidRPr="00C54DC3" w:rsidR="00811ABE">
        <w:rPr>
          <w:szCs w:val="24"/>
        </w:rPr>
        <w:t>he Office of the Ohio Consumers</w:t>
      </w:r>
      <w:r w:rsidR="00771779">
        <w:rPr>
          <w:szCs w:val="24"/>
        </w:rPr>
        <w:t>’</w:t>
      </w:r>
      <w:r w:rsidRPr="00C54DC3" w:rsidR="00811ABE">
        <w:rPr>
          <w:szCs w:val="24"/>
        </w:rPr>
        <w:t xml:space="preserve"> Counsel moves to intervene </w:t>
      </w:r>
      <w:r w:rsidR="00A72E17">
        <w:rPr>
          <w:szCs w:val="24"/>
        </w:rPr>
        <w:t>in this case.</w:t>
      </w:r>
      <w:r>
        <w:rPr>
          <w:rStyle w:val="FootnoteReference"/>
          <w:szCs w:val="24"/>
        </w:rPr>
        <w:footnoteReference w:id="2"/>
      </w:r>
      <w:r w:rsidR="00A72E17">
        <w:rPr>
          <w:szCs w:val="24"/>
        </w:rPr>
        <w:t xml:space="preserve"> </w:t>
      </w:r>
    </w:p>
    <w:p w:rsidR="00616ED0" w:rsidP="00616ED0" w14:paraId="682814B4" w14:textId="213A18A4">
      <w:pPr>
        <w:pStyle w:val="BodyTextIndent3"/>
        <w:widowControl w:val="0"/>
        <w:spacing w:line="480" w:lineRule="auto"/>
        <w:ind w:firstLine="0"/>
        <w:rPr>
          <w:szCs w:val="24"/>
        </w:rPr>
      </w:pPr>
      <w:r>
        <w:rPr>
          <w:szCs w:val="24"/>
        </w:rPr>
        <w:t>T</w:t>
      </w:r>
      <w:r w:rsidRPr="00DA0CB4" w:rsidR="00DA0CB4">
        <w:rPr>
          <w:szCs w:val="24"/>
        </w:rPr>
        <w:t xml:space="preserve">he Public Utilities Commission of Ohio </w:t>
      </w:r>
      <w:r w:rsidR="004E33C2">
        <w:rPr>
          <w:szCs w:val="24"/>
        </w:rPr>
        <w:t xml:space="preserve">(“PUCO”) </w:t>
      </w:r>
      <w:r w:rsidR="00587F25">
        <w:rPr>
          <w:szCs w:val="24"/>
        </w:rPr>
        <w:t>will</w:t>
      </w:r>
      <w:r>
        <w:rPr>
          <w:szCs w:val="24"/>
        </w:rPr>
        <w:t xml:space="preserve"> be</w:t>
      </w:r>
      <w:r w:rsidR="00587F25">
        <w:rPr>
          <w:szCs w:val="24"/>
        </w:rPr>
        <w:t xml:space="preserve"> review</w:t>
      </w:r>
      <w:r>
        <w:rPr>
          <w:szCs w:val="24"/>
        </w:rPr>
        <w:t>ing</w:t>
      </w:r>
      <w:r w:rsidR="00587F25">
        <w:rPr>
          <w:szCs w:val="24"/>
        </w:rPr>
        <w:t xml:space="preserve"> DP&amp;L</w:t>
      </w:r>
      <w:r w:rsidR="00771779">
        <w:rPr>
          <w:szCs w:val="24"/>
        </w:rPr>
        <w:t>’</w:t>
      </w:r>
      <w:r w:rsidR="00587F25">
        <w:rPr>
          <w:szCs w:val="24"/>
        </w:rPr>
        <w:t>s charge</w:t>
      </w:r>
      <w:r>
        <w:rPr>
          <w:szCs w:val="24"/>
        </w:rPr>
        <w:t>s</w:t>
      </w:r>
      <w:r w:rsidR="00587F25">
        <w:rPr>
          <w:szCs w:val="24"/>
        </w:rPr>
        <w:t xml:space="preserve"> </w:t>
      </w:r>
      <w:r w:rsidR="004E33C2">
        <w:rPr>
          <w:szCs w:val="24"/>
        </w:rPr>
        <w:t>to</w:t>
      </w:r>
      <w:r w:rsidR="00587F25">
        <w:rPr>
          <w:szCs w:val="24"/>
        </w:rPr>
        <w:t xml:space="preserve"> consumers to subsidize</w:t>
      </w:r>
      <w:r w:rsidR="00501BF5">
        <w:rPr>
          <w:szCs w:val="24"/>
        </w:rPr>
        <w:t xml:space="preserve"> </w:t>
      </w:r>
      <w:r w:rsidR="00587F25">
        <w:rPr>
          <w:szCs w:val="24"/>
        </w:rPr>
        <w:t>the Ohio Valley Electric Corporation</w:t>
      </w:r>
      <w:r w:rsidR="00771779">
        <w:rPr>
          <w:szCs w:val="24"/>
        </w:rPr>
        <w:t>’</w:t>
      </w:r>
      <w:r w:rsidR="004E33C2">
        <w:rPr>
          <w:szCs w:val="24"/>
        </w:rPr>
        <w:t>s (“OVEC”) generating plants</w:t>
      </w:r>
      <w:r w:rsidR="008F27C5">
        <w:rPr>
          <w:szCs w:val="24"/>
        </w:rPr>
        <w:t xml:space="preserve">. </w:t>
      </w:r>
      <w:r w:rsidR="00F82653">
        <w:rPr>
          <w:szCs w:val="24"/>
        </w:rPr>
        <w:t xml:space="preserve">DP&amp;L seeks to increase the </w:t>
      </w:r>
      <w:r w:rsidR="004E33C2">
        <w:rPr>
          <w:szCs w:val="24"/>
        </w:rPr>
        <w:t>OVEC Subsidy C</w:t>
      </w:r>
      <w:r w:rsidR="003727AA">
        <w:rPr>
          <w:szCs w:val="24"/>
        </w:rPr>
        <w:t>harge</w:t>
      </w:r>
      <w:r w:rsidR="00F82653">
        <w:rPr>
          <w:szCs w:val="24"/>
        </w:rPr>
        <w:t xml:space="preserve"> so that a typical residential customer will pay an additional $</w:t>
      </w:r>
      <w:r w:rsidR="004E33C2">
        <w:rPr>
          <w:szCs w:val="24"/>
        </w:rPr>
        <w:t>0</w:t>
      </w:r>
      <w:r w:rsidR="00F82653">
        <w:rPr>
          <w:szCs w:val="24"/>
        </w:rPr>
        <w:t>.43 per month</w:t>
      </w:r>
      <w:r w:rsidR="004E33C2">
        <w:rPr>
          <w:szCs w:val="24"/>
        </w:rPr>
        <w:t xml:space="preserve"> or $</w:t>
      </w:r>
      <w:r w:rsidR="000C5372">
        <w:rPr>
          <w:szCs w:val="24"/>
        </w:rPr>
        <w:t>1.11</w:t>
      </w:r>
      <w:r w:rsidR="004E33C2">
        <w:rPr>
          <w:szCs w:val="24"/>
        </w:rPr>
        <w:t xml:space="preserve"> in total per month</w:t>
      </w:r>
      <w:r w:rsidR="00F82653">
        <w:rPr>
          <w:szCs w:val="24"/>
        </w:rPr>
        <w:t>.</w:t>
      </w:r>
      <w:r>
        <w:rPr>
          <w:rStyle w:val="FootnoteReference"/>
          <w:szCs w:val="24"/>
        </w:rPr>
        <w:footnoteReference w:id="3"/>
      </w:r>
      <w:r w:rsidR="00771779">
        <w:rPr>
          <w:szCs w:val="24"/>
        </w:rPr>
        <w:t xml:space="preserve"> </w:t>
      </w:r>
      <w:r w:rsidR="003727AA">
        <w:rPr>
          <w:szCs w:val="24"/>
        </w:rPr>
        <w:t xml:space="preserve">Consumers should not have to pay </w:t>
      </w:r>
      <w:r>
        <w:rPr>
          <w:szCs w:val="24"/>
        </w:rPr>
        <w:t>a penny to subsidize these coal plants</w:t>
      </w:r>
      <w:r w:rsidR="003727AA">
        <w:rPr>
          <w:szCs w:val="24"/>
        </w:rPr>
        <w:t>.</w:t>
      </w:r>
      <w:r w:rsidR="00771779">
        <w:rPr>
          <w:szCs w:val="24"/>
        </w:rPr>
        <w:t xml:space="preserve"> </w:t>
      </w:r>
    </w:p>
    <w:p w:rsidR="00771779" w14:paraId="1E963D49" w14:textId="77777777">
      <w:pPr>
        <w:rPr>
          <w:szCs w:val="24"/>
        </w:rPr>
        <w:sectPr w:rsidSect="00586697">
          <w:footerReference w:type="default" r:id="rId6"/>
          <w:pgSz w:w="12240" w:h="15840"/>
          <w:pgMar w:top="1440" w:right="1800" w:bottom="1440" w:left="1800" w:header="720" w:footer="720" w:gutter="0"/>
          <w:pgNumType w:start="2"/>
          <w:cols w:space="720"/>
          <w:docGrid w:linePitch="360"/>
        </w:sectPr>
      </w:pPr>
    </w:p>
    <w:p w:rsidR="00CE1184" w:rsidP="00DA0CB4" w14:paraId="53E82478" w14:textId="642D7A19">
      <w:pPr>
        <w:pStyle w:val="BodyTextIndent3"/>
        <w:widowControl w:val="0"/>
        <w:spacing w:line="480" w:lineRule="auto"/>
        <w:ind w:right="-312"/>
        <w:rPr>
          <w:szCs w:val="24"/>
        </w:rPr>
      </w:pPr>
      <w:r w:rsidRPr="00C54DC3">
        <w:rPr>
          <w:szCs w:val="24"/>
        </w:rPr>
        <w:t xml:space="preserve">The reasons </w:t>
      </w:r>
      <w:r w:rsidR="003727AA">
        <w:rPr>
          <w:szCs w:val="24"/>
        </w:rPr>
        <w:t xml:space="preserve">that </w:t>
      </w:r>
      <w:r w:rsidRPr="00C54DC3">
        <w:rPr>
          <w:szCs w:val="24"/>
        </w:rPr>
        <w:t>the PUCO should grant OCC</w:t>
      </w:r>
      <w:r w:rsidR="00771779">
        <w:rPr>
          <w:szCs w:val="24"/>
        </w:rPr>
        <w:t>’</w:t>
      </w:r>
      <w:r w:rsidRPr="00C54DC3">
        <w:rPr>
          <w:szCs w:val="24"/>
        </w:rPr>
        <w:t>s motion are further set forth in the attached memorandum in support.</w:t>
      </w:r>
    </w:p>
    <w:p w:rsidR="00CE1184" w14:paraId="36A1A96D" w14:textId="622D7039">
      <w:pPr>
        <w:rPr>
          <w:szCs w:val="24"/>
        </w:rPr>
      </w:pPr>
    </w:p>
    <w:p w:rsidR="00CE1184" w:rsidRPr="00DA0CB4" w:rsidP="00CE1184" w14:paraId="5A59C7F6" w14:textId="77777777">
      <w:pPr>
        <w:ind w:left="3600" w:firstLine="720"/>
        <w:rPr>
          <w:rFonts w:eastAsiaTheme="minorHAnsi"/>
          <w:szCs w:val="24"/>
        </w:rPr>
      </w:pPr>
      <w:bookmarkStart w:id="1" w:name="_Hlk21601170"/>
      <w:r w:rsidRPr="00DA0CB4">
        <w:rPr>
          <w:rFonts w:eastAsiaTheme="minorHAnsi"/>
          <w:szCs w:val="24"/>
        </w:rPr>
        <w:t>Respectfully submitted,</w:t>
      </w:r>
    </w:p>
    <w:p w:rsidR="00CE1184" w:rsidRPr="00DA0CB4" w:rsidP="00CE1184" w14:paraId="4158FD1D" w14:textId="77777777">
      <w:pPr>
        <w:ind w:left="3600" w:firstLine="720"/>
        <w:rPr>
          <w:rFonts w:eastAsiaTheme="minorHAnsi"/>
          <w:szCs w:val="24"/>
        </w:rPr>
      </w:pPr>
    </w:p>
    <w:p w:rsidR="00CE1184" w:rsidRPr="00DA0CB4" w:rsidP="00CE1184" w14:paraId="0DF305B9" w14:textId="5E61585D">
      <w:pPr>
        <w:tabs>
          <w:tab w:val="left" w:pos="4320"/>
          <w:tab w:val="center" w:pos="4680"/>
          <w:tab w:val="right" w:pos="9360"/>
        </w:tabs>
        <w:rPr>
          <w:rFonts w:eastAsiaTheme="minorHAnsi"/>
          <w:szCs w:val="24"/>
        </w:rPr>
      </w:pPr>
      <w:r w:rsidRPr="00DA0CB4">
        <w:rPr>
          <w:rFonts w:eastAsiaTheme="minorHAnsi"/>
          <w:szCs w:val="24"/>
        </w:rPr>
        <w:tab/>
      </w:r>
      <w:r w:rsidRPr="00DA0CB4">
        <w:rPr>
          <w:rFonts w:eastAsiaTheme="minorHAnsi"/>
          <w:szCs w:val="24"/>
        </w:rPr>
        <w:tab/>
        <w:t>Bruce Weston (0016973)</w:t>
      </w:r>
    </w:p>
    <w:p w:rsidR="00CE1184" w:rsidRPr="00DA0CB4" w:rsidP="00CE1184" w14:paraId="3F2F48EC" w14:textId="2B59C5B2">
      <w:pPr>
        <w:tabs>
          <w:tab w:val="left" w:pos="4320"/>
        </w:tabs>
        <w:rPr>
          <w:rFonts w:eastAsiaTheme="minorHAnsi"/>
          <w:szCs w:val="24"/>
        </w:rPr>
      </w:pPr>
      <w:r w:rsidRPr="00DA0CB4">
        <w:rPr>
          <w:rFonts w:eastAsiaTheme="minorHAnsi"/>
          <w:szCs w:val="24"/>
        </w:rPr>
        <w:tab/>
        <w:t>Ohio Consumers</w:t>
      </w:r>
      <w:r w:rsidR="00771779">
        <w:rPr>
          <w:rFonts w:eastAsiaTheme="minorHAnsi"/>
          <w:szCs w:val="24"/>
        </w:rPr>
        <w:t>’</w:t>
      </w:r>
      <w:r w:rsidRPr="00DA0CB4">
        <w:rPr>
          <w:rFonts w:eastAsiaTheme="minorHAnsi"/>
          <w:szCs w:val="24"/>
        </w:rPr>
        <w:t xml:space="preserve"> Counsel</w:t>
      </w:r>
    </w:p>
    <w:p w:rsidR="00CE1184" w:rsidRPr="00DA0CB4" w:rsidP="00CE1184" w14:paraId="140D60DA" w14:textId="77777777">
      <w:pPr>
        <w:tabs>
          <w:tab w:val="left" w:pos="4320"/>
        </w:tabs>
        <w:rPr>
          <w:rFonts w:eastAsiaTheme="minorHAnsi"/>
          <w:szCs w:val="24"/>
        </w:rPr>
      </w:pPr>
      <w:r w:rsidRPr="00DA0CB4">
        <w:rPr>
          <w:rFonts w:eastAsiaTheme="minorHAnsi"/>
          <w:szCs w:val="24"/>
        </w:rPr>
        <w:tab/>
      </w:r>
    </w:p>
    <w:p w:rsidR="00CE1184" w:rsidRPr="00DA0CB4" w:rsidP="00503B89" w14:paraId="604939E0" w14:textId="3880915D">
      <w:pPr>
        <w:tabs>
          <w:tab w:val="left" w:pos="4320"/>
          <w:tab w:val="center" w:pos="4680"/>
          <w:tab w:val="left" w:pos="7830"/>
          <w:tab w:val="right" w:pos="9360"/>
        </w:tabs>
        <w:rPr>
          <w:rFonts w:eastAsiaTheme="minorHAnsi"/>
          <w:i/>
          <w:iCs/>
          <w:szCs w:val="24"/>
          <w:u w:val="single"/>
        </w:rPr>
      </w:pPr>
      <w:r w:rsidRPr="00DA0CB4">
        <w:rPr>
          <w:rFonts w:eastAsiaTheme="minorHAnsi"/>
          <w:szCs w:val="24"/>
        </w:rPr>
        <w:tab/>
      </w:r>
      <w:r w:rsidRPr="00DA0CB4">
        <w:rPr>
          <w:rFonts w:eastAsiaTheme="minorHAnsi"/>
          <w:i/>
          <w:iCs/>
          <w:szCs w:val="24"/>
          <w:u w:val="single"/>
        </w:rPr>
        <w:t xml:space="preserve">/s/ </w:t>
      </w:r>
      <w:r>
        <w:rPr>
          <w:rFonts w:eastAsiaTheme="minorHAnsi"/>
          <w:i/>
          <w:iCs/>
          <w:szCs w:val="24"/>
          <w:u w:val="single"/>
        </w:rPr>
        <w:t>William J. Michael</w:t>
      </w:r>
      <w:r w:rsidR="00503B89">
        <w:rPr>
          <w:rFonts w:eastAsiaTheme="minorHAnsi"/>
          <w:i/>
          <w:iCs/>
          <w:szCs w:val="24"/>
          <w:u w:val="single"/>
        </w:rPr>
        <w:tab/>
      </w:r>
    </w:p>
    <w:p w:rsidR="00CE1184" w:rsidRPr="00DA0CB4" w:rsidP="00CE1184" w14:paraId="743E266E" w14:textId="77777777">
      <w:pPr>
        <w:tabs>
          <w:tab w:val="left" w:pos="4320"/>
        </w:tabs>
        <w:rPr>
          <w:rFonts w:eastAsiaTheme="minorHAnsi"/>
          <w:szCs w:val="24"/>
        </w:rPr>
      </w:pPr>
      <w:r w:rsidRPr="00DA0CB4">
        <w:rPr>
          <w:rFonts w:eastAsiaTheme="minorHAnsi"/>
          <w:szCs w:val="24"/>
        </w:rPr>
        <w:tab/>
        <w:t>William J. Michael (0070921)</w:t>
      </w:r>
    </w:p>
    <w:p w:rsidR="00CE1184" w:rsidP="00CE1184" w14:paraId="0F5544EC" w14:textId="5F0A9800">
      <w:pPr>
        <w:tabs>
          <w:tab w:val="left" w:pos="4320"/>
        </w:tabs>
        <w:rPr>
          <w:rFonts w:eastAsiaTheme="minorHAnsi"/>
          <w:szCs w:val="24"/>
        </w:rPr>
      </w:pPr>
      <w:r w:rsidRPr="00DA0CB4">
        <w:rPr>
          <w:rFonts w:eastAsiaTheme="minorHAnsi"/>
          <w:szCs w:val="24"/>
        </w:rPr>
        <w:tab/>
        <w:t>Counsel of Record</w:t>
      </w:r>
    </w:p>
    <w:p w:rsidR="00503B89" w:rsidRPr="007E2879" w:rsidP="00503B89" w14:paraId="1AB874A5" w14:textId="4A87119A">
      <w:pPr>
        <w:tabs>
          <w:tab w:val="left" w:pos="4320"/>
        </w:tabs>
        <w:ind w:left="4320"/>
        <w:rPr>
          <w:szCs w:val="24"/>
        </w:rPr>
      </w:pPr>
      <w:r w:rsidRPr="007E2879">
        <w:rPr>
          <w:szCs w:val="24"/>
        </w:rPr>
        <w:t>Bryce McKenney (0088203)</w:t>
      </w:r>
    </w:p>
    <w:p w:rsidR="00503B89" w:rsidRPr="007E2879" w:rsidP="00503B89" w14:paraId="315F99E3" w14:textId="1F7516BF">
      <w:pPr>
        <w:tabs>
          <w:tab w:val="left" w:pos="4320"/>
        </w:tabs>
        <w:ind w:left="4320"/>
        <w:rPr>
          <w:szCs w:val="24"/>
        </w:rPr>
      </w:pPr>
      <w:r w:rsidRPr="007E2879">
        <w:rPr>
          <w:szCs w:val="24"/>
        </w:rPr>
        <w:t>Assistant Consumers</w:t>
      </w:r>
      <w:r w:rsidR="00771779">
        <w:rPr>
          <w:szCs w:val="24"/>
        </w:rPr>
        <w:t>’</w:t>
      </w:r>
      <w:r w:rsidRPr="007E2879">
        <w:rPr>
          <w:szCs w:val="24"/>
        </w:rPr>
        <w:t xml:space="preserve"> Counsel</w:t>
      </w:r>
    </w:p>
    <w:p w:rsidR="00CE1184" w:rsidRPr="00DA0CB4" w:rsidP="00CE1184" w14:paraId="57A4B560" w14:textId="33F031CC">
      <w:pPr>
        <w:tabs>
          <w:tab w:val="left" w:pos="4320"/>
        </w:tabs>
        <w:rPr>
          <w:rFonts w:eastAsiaTheme="minorHAnsi"/>
          <w:b/>
          <w:szCs w:val="24"/>
        </w:rPr>
      </w:pPr>
      <w:r w:rsidRPr="00DA0CB4">
        <w:rPr>
          <w:rFonts w:eastAsiaTheme="minorHAnsi"/>
          <w:szCs w:val="24"/>
        </w:rPr>
        <w:tab/>
      </w:r>
    </w:p>
    <w:p w:rsidR="00CE1184" w:rsidRPr="00DA0CB4" w:rsidP="00CE1184" w14:paraId="64CEFA1E" w14:textId="2D0417DE">
      <w:pPr>
        <w:ind w:left="4320"/>
        <w:rPr>
          <w:rFonts w:eastAsiaTheme="minorHAnsi"/>
          <w:b/>
          <w:szCs w:val="24"/>
        </w:rPr>
      </w:pPr>
      <w:r w:rsidRPr="00DA0CB4">
        <w:rPr>
          <w:rFonts w:eastAsiaTheme="minorHAnsi"/>
          <w:b/>
          <w:szCs w:val="24"/>
        </w:rPr>
        <w:t>Office of the Ohio Consumers</w:t>
      </w:r>
      <w:r w:rsidR="00771779">
        <w:rPr>
          <w:rFonts w:eastAsiaTheme="minorHAnsi"/>
          <w:b/>
          <w:szCs w:val="24"/>
        </w:rPr>
        <w:t>’</w:t>
      </w:r>
      <w:r w:rsidRPr="00DA0CB4">
        <w:rPr>
          <w:rFonts w:eastAsiaTheme="minorHAnsi"/>
          <w:b/>
          <w:szCs w:val="24"/>
        </w:rPr>
        <w:t xml:space="preserve"> Counsel</w:t>
      </w:r>
    </w:p>
    <w:p w:rsidR="00CE1184" w:rsidRPr="00DA0CB4" w:rsidP="00CE1184" w14:paraId="735E2D5B" w14:textId="77777777">
      <w:pPr>
        <w:ind w:left="3600" w:firstLine="720"/>
        <w:rPr>
          <w:rFonts w:eastAsiaTheme="minorHAnsi"/>
          <w:b/>
          <w:szCs w:val="24"/>
        </w:rPr>
      </w:pPr>
      <w:r w:rsidRPr="00DA0CB4">
        <w:rPr>
          <w:rFonts w:eastAsiaTheme="minorHAnsi"/>
          <w:szCs w:val="24"/>
        </w:rPr>
        <w:t>65 East State Street, 7</w:t>
      </w:r>
      <w:r w:rsidRPr="00CE1184">
        <w:rPr>
          <w:rFonts w:eastAsiaTheme="minorHAnsi"/>
          <w:szCs w:val="24"/>
        </w:rPr>
        <w:t xml:space="preserve">th </w:t>
      </w:r>
      <w:r w:rsidRPr="00DA0CB4">
        <w:rPr>
          <w:rFonts w:eastAsiaTheme="minorHAnsi"/>
          <w:szCs w:val="24"/>
        </w:rPr>
        <w:t>Floor</w:t>
      </w:r>
    </w:p>
    <w:p w:rsidR="00CE1184" w:rsidRPr="00DA0CB4" w:rsidP="00CE1184" w14:paraId="7EFF01CD" w14:textId="77777777">
      <w:pPr>
        <w:ind w:left="3600" w:firstLine="720"/>
        <w:rPr>
          <w:rFonts w:eastAsiaTheme="minorHAnsi"/>
          <w:szCs w:val="24"/>
        </w:rPr>
      </w:pPr>
      <w:r w:rsidRPr="00DA0CB4">
        <w:rPr>
          <w:rFonts w:eastAsiaTheme="minorHAnsi"/>
          <w:szCs w:val="24"/>
        </w:rPr>
        <w:t>Columbus, Ohio 43215-4213</w:t>
      </w:r>
    </w:p>
    <w:p w:rsidR="00CE1184" w:rsidP="00CE1184" w14:paraId="17F51E85" w14:textId="573F4C4C">
      <w:pPr>
        <w:autoSpaceDE w:val="0"/>
        <w:autoSpaceDN w:val="0"/>
        <w:adjustRightInd w:val="0"/>
        <w:ind w:left="4320"/>
        <w:rPr>
          <w:rFonts w:eastAsiaTheme="minorHAnsi"/>
          <w:szCs w:val="24"/>
        </w:rPr>
      </w:pPr>
      <w:r w:rsidRPr="00DA0CB4">
        <w:rPr>
          <w:rFonts w:eastAsiaTheme="minorHAnsi"/>
          <w:szCs w:val="24"/>
        </w:rPr>
        <w:t>Telephone [Michael]: (614) 466-1291</w:t>
      </w:r>
    </w:p>
    <w:p w:rsidR="00503B89" w:rsidRPr="007E2879" w:rsidP="00503B89" w14:paraId="7B9524C6" w14:textId="77777777">
      <w:pPr>
        <w:autoSpaceDE w:val="0"/>
        <w:autoSpaceDN w:val="0"/>
        <w:adjustRightInd w:val="0"/>
        <w:ind w:left="4320"/>
        <w:rPr>
          <w:szCs w:val="24"/>
        </w:rPr>
      </w:pPr>
      <w:r w:rsidRPr="007E2879">
        <w:rPr>
          <w:szCs w:val="24"/>
        </w:rPr>
        <w:t>Telephone [McKenney]: (614) 466-9585</w:t>
      </w:r>
    </w:p>
    <w:p w:rsidR="00CE1184" w:rsidP="00CE1184" w14:paraId="31A09056" w14:textId="625EC4B2">
      <w:pPr>
        <w:tabs>
          <w:tab w:val="left" w:pos="4320"/>
        </w:tabs>
        <w:rPr>
          <w:rFonts w:eastAsiaTheme="minorHAnsi"/>
          <w:color w:val="0000FF"/>
          <w:szCs w:val="24"/>
          <w:u w:val="single"/>
        </w:rPr>
      </w:pPr>
      <w:r w:rsidRPr="00DA0CB4">
        <w:rPr>
          <w:rFonts w:eastAsiaTheme="minorHAnsi"/>
          <w:szCs w:val="24"/>
        </w:rPr>
        <w:tab/>
      </w:r>
      <w:hyperlink r:id="rId7" w:history="1">
        <w:r w:rsidR="00540F15">
          <w:rPr>
            <w:rFonts w:eastAsiaTheme="minorHAnsi"/>
            <w:color w:val="0000FF"/>
            <w:szCs w:val="24"/>
            <w:u w:val="single"/>
          </w:rPr>
          <w:t>w</w:t>
        </w:r>
        <w:r w:rsidRPr="00DA0CB4">
          <w:rPr>
            <w:rFonts w:eastAsiaTheme="minorHAnsi"/>
            <w:color w:val="0000FF"/>
            <w:szCs w:val="24"/>
            <w:u w:val="single"/>
          </w:rPr>
          <w:t>illiam.michael@occ.ohio.gov</w:t>
        </w:r>
      </w:hyperlink>
    </w:p>
    <w:p w:rsidR="00503B89" w:rsidRPr="007E2879" w:rsidP="00503B89" w14:paraId="23D17DE5" w14:textId="062ABE53">
      <w:pPr>
        <w:ind w:left="4320"/>
        <w:rPr>
          <w:rStyle w:val="Hyperlink"/>
          <w:szCs w:val="24"/>
        </w:rPr>
      </w:pPr>
      <w:r w:rsidRPr="007E2879">
        <w:rPr>
          <w:rStyle w:val="Hyperlink"/>
          <w:szCs w:val="24"/>
        </w:rPr>
        <w:t>bryce.mckenney@occ.ohio.gov</w:t>
      </w:r>
    </w:p>
    <w:p w:rsidR="00CE1184" w:rsidRPr="00DA0CB4" w:rsidP="00CE1184" w14:paraId="77CDF9AC" w14:textId="77777777">
      <w:pPr>
        <w:ind w:left="4320"/>
        <w:rPr>
          <w:rFonts w:eastAsiaTheme="minorHAnsi"/>
          <w:szCs w:val="24"/>
        </w:rPr>
      </w:pPr>
      <w:r w:rsidRPr="00DA0CB4">
        <w:rPr>
          <w:rFonts w:eastAsiaTheme="minorHAnsi"/>
          <w:szCs w:val="24"/>
        </w:rPr>
        <w:t>(</w:t>
      </w:r>
      <w:r>
        <w:rPr>
          <w:rFonts w:eastAsiaTheme="minorHAnsi"/>
          <w:szCs w:val="24"/>
        </w:rPr>
        <w:t>w</w:t>
      </w:r>
      <w:r w:rsidRPr="00DA0CB4">
        <w:rPr>
          <w:rFonts w:eastAsiaTheme="minorHAnsi"/>
          <w:szCs w:val="24"/>
        </w:rPr>
        <w:t>illing to accept service by e-mail)</w:t>
      </w:r>
    </w:p>
    <w:bookmarkEnd w:id="1"/>
    <w:p w:rsidR="00DC4006" w:rsidRPr="00C54DC3" w:rsidP="00586697" w14:paraId="54DCAAFB" w14:textId="77777777">
      <w:pPr>
        <w:pStyle w:val="HTMLPreformatted"/>
        <w:jc w:val="center"/>
        <w:rPr>
          <w:rFonts w:ascii="Times New Roman" w:hAnsi="Times New Roman" w:cs="Times New Roman"/>
          <w:b/>
          <w:bCs/>
          <w:sz w:val="24"/>
          <w:szCs w:val="24"/>
        </w:rPr>
        <w:sectPr w:rsidSect="00586697">
          <w:footerReference w:type="default" r:id="rId8"/>
          <w:pgSz w:w="12240" w:h="15840"/>
          <w:pgMar w:top="1440" w:right="1800" w:bottom="1440" w:left="1800" w:header="720" w:footer="720" w:gutter="0"/>
          <w:pgNumType w:start="2"/>
          <w:cols w:space="720"/>
          <w:docGrid w:linePitch="360"/>
        </w:sectPr>
      </w:pPr>
    </w:p>
    <w:p w:rsidR="00586697" w:rsidRPr="00C54DC3" w:rsidP="00586697" w14:paraId="3098423D" w14:textId="77777777">
      <w:pPr>
        <w:pStyle w:val="HTMLPreformatted"/>
        <w:jc w:val="center"/>
        <w:rPr>
          <w:rFonts w:ascii="Times New Roman" w:hAnsi="Times New Roman" w:cs="Times New Roman"/>
          <w:b/>
          <w:bCs/>
          <w:sz w:val="24"/>
          <w:szCs w:val="24"/>
        </w:rPr>
      </w:pPr>
      <w:r w:rsidRPr="00C54DC3">
        <w:rPr>
          <w:rFonts w:ascii="Times New Roman" w:hAnsi="Times New Roman" w:cs="Times New Roman"/>
          <w:b/>
          <w:bCs/>
          <w:sz w:val="24"/>
          <w:szCs w:val="24"/>
        </w:rPr>
        <w:t>BEFORE</w:t>
      </w:r>
    </w:p>
    <w:p w:rsidR="00586697" w:rsidRPr="00C54DC3" w:rsidP="00586697" w14:paraId="5C31FCF1" w14:textId="77777777">
      <w:pPr>
        <w:pStyle w:val="HTMLPreformatted"/>
        <w:jc w:val="center"/>
        <w:rPr>
          <w:rFonts w:ascii="Times New Roman" w:hAnsi="Times New Roman" w:cs="Times New Roman"/>
          <w:sz w:val="24"/>
          <w:szCs w:val="24"/>
        </w:rPr>
      </w:pPr>
      <w:r w:rsidRPr="00C54DC3">
        <w:rPr>
          <w:rFonts w:ascii="Times New Roman" w:hAnsi="Times New Roman" w:cs="Times New Roman"/>
          <w:b/>
          <w:bCs/>
          <w:sz w:val="24"/>
          <w:szCs w:val="24"/>
        </w:rPr>
        <w:t>THE PUBLIC UTILITIES COMMISSION OF OHIO</w:t>
      </w:r>
    </w:p>
    <w:p w:rsidR="00586697" w:rsidRPr="00C54DC3" w:rsidP="00586697" w14:paraId="04C1A124" w14:textId="77777777">
      <w:pPr>
        <w:pStyle w:val="HTMLPreformatted"/>
        <w:rPr>
          <w:rFonts w:ascii="Times New Roman" w:hAnsi="Times New Roman" w:cs="Times New Roman"/>
          <w:sz w:val="24"/>
          <w:szCs w:val="24"/>
        </w:rPr>
      </w:pPr>
    </w:p>
    <w:tbl>
      <w:tblPr>
        <w:tblW w:w="8550" w:type="dxa"/>
        <w:tblLook w:val="01E0"/>
      </w:tblPr>
      <w:tblGrid>
        <w:gridCol w:w="5058"/>
        <w:gridCol w:w="360"/>
        <w:gridCol w:w="3132"/>
      </w:tblGrid>
      <w:tr w14:paraId="3F2D3826" w14:textId="77777777" w:rsidTr="00CF74D0">
        <w:tblPrEx>
          <w:tblW w:w="8550" w:type="dxa"/>
          <w:tblLook w:val="01E0"/>
        </w:tblPrEx>
        <w:trPr>
          <w:trHeight w:val="807"/>
        </w:trPr>
        <w:tc>
          <w:tcPr>
            <w:tcW w:w="5058" w:type="dxa"/>
            <w:shd w:val="clear" w:color="auto" w:fill="auto"/>
          </w:tcPr>
          <w:p w:rsidR="00746A9A" w:rsidRPr="00C54DC3" w:rsidP="00746A9A" w14:paraId="1C8B4355" w14:textId="77777777">
            <w:pPr>
              <w:autoSpaceDE w:val="0"/>
              <w:autoSpaceDN w:val="0"/>
              <w:adjustRightInd w:val="0"/>
              <w:rPr>
                <w:szCs w:val="24"/>
              </w:rPr>
            </w:pPr>
            <w:r w:rsidRPr="00850EAC">
              <w:rPr>
                <w:szCs w:val="24"/>
              </w:rPr>
              <w:t xml:space="preserve">In the Matter of </w:t>
            </w:r>
            <w:r>
              <w:rPr>
                <w:szCs w:val="24"/>
              </w:rPr>
              <w:t>the Application of The Dayton Power and Light Company to Update its Reconciliation Rider.</w:t>
            </w:r>
          </w:p>
          <w:p w:rsidR="00586697" w:rsidRPr="00C54DC3" w:rsidP="00586697" w14:paraId="6E93C0FB" w14:textId="77777777">
            <w:pPr>
              <w:autoSpaceDE w:val="0"/>
              <w:autoSpaceDN w:val="0"/>
              <w:adjustRightInd w:val="0"/>
              <w:rPr>
                <w:szCs w:val="24"/>
              </w:rPr>
            </w:pPr>
          </w:p>
        </w:tc>
        <w:tc>
          <w:tcPr>
            <w:tcW w:w="360" w:type="dxa"/>
            <w:shd w:val="clear" w:color="auto" w:fill="auto"/>
          </w:tcPr>
          <w:p w:rsidR="00586697" w:rsidRPr="00C54DC3" w:rsidP="00586697" w14:paraId="355F4D0D" w14:textId="77777777">
            <w:pPr>
              <w:pStyle w:val="HTMLPreformatted"/>
              <w:rPr>
                <w:rFonts w:ascii="Times New Roman" w:hAnsi="Times New Roman" w:cs="Times New Roman"/>
                <w:sz w:val="24"/>
                <w:szCs w:val="24"/>
              </w:rPr>
            </w:pPr>
            <w:r w:rsidRPr="00C54DC3">
              <w:rPr>
                <w:rFonts w:ascii="Times New Roman" w:hAnsi="Times New Roman" w:cs="Times New Roman"/>
                <w:sz w:val="24"/>
                <w:szCs w:val="24"/>
              </w:rPr>
              <w:t>)</w:t>
            </w:r>
          </w:p>
          <w:p w:rsidR="00586697" w:rsidRPr="00C54DC3" w:rsidP="00586697" w14:paraId="241BCCE8" w14:textId="77777777">
            <w:pPr>
              <w:pStyle w:val="HTMLPreformatted"/>
              <w:rPr>
                <w:rFonts w:ascii="Times New Roman" w:hAnsi="Times New Roman" w:cs="Times New Roman"/>
                <w:sz w:val="24"/>
                <w:szCs w:val="24"/>
              </w:rPr>
            </w:pPr>
            <w:r w:rsidRPr="00C54DC3">
              <w:rPr>
                <w:rFonts w:ascii="Times New Roman" w:hAnsi="Times New Roman" w:cs="Times New Roman"/>
                <w:sz w:val="24"/>
                <w:szCs w:val="24"/>
              </w:rPr>
              <w:t>)</w:t>
            </w:r>
          </w:p>
          <w:p w:rsidR="00586697" w:rsidRPr="00C54DC3" w:rsidP="00586697" w14:paraId="5990AA4F" w14:textId="77777777">
            <w:pPr>
              <w:pStyle w:val="HTMLPreformatted"/>
              <w:rPr>
                <w:rFonts w:ascii="Times New Roman" w:hAnsi="Times New Roman" w:cs="Times New Roman"/>
                <w:sz w:val="24"/>
                <w:szCs w:val="24"/>
              </w:rPr>
            </w:pPr>
            <w:r w:rsidRPr="00C54DC3">
              <w:rPr>
                <w:rFonts w:ascii="Times New Roman" w:hAnsi="Times New Roman" w:cs="Times New Roman"/>
                <w:sz w:val="24"/>
                <w:szCs w:val="24"/>
              </w:rPr>
              <w:t>)</w:t>
            </w:r>
          </w:p>
        </w:tc>
        <w:tc>
          <w:tcPr>
            <w:tcW w:w="3132" w:type="dxa"/>
            <w:shd w:val="clear" w:color="auto" w:fill="auto"/>
          </w:tcPr>
          <w:p w:rsidR="00586697" w:rsidRPr="00C54DC3" w:rsidP="00586697" w14:paraId="1DE28439" w14:textId="77777777">
            <w:pPr>
              <w:pStyle w:val="HTMLPreformatted"/>
              <w:rPr>
                <w:rFonts w:ascii="Times New Roman" w:hAnsi="Times New Roman" w:cs="Times New Roman"/>
                <w:sz w:val="24"/>
                <w:szCs w:val="24"/>
              </w:rPr>
            </w:pPr>
          </w:p>
          <w:p w:rsidR="00586697" w:rsidRPr="00C54DC3" w:rsidP="00586697" w14:paraId="15F74B49" w14:textId="25372ED8">
            <w:pPr>
              <w:rPr>
                <w:i/>
                <w:szCs w:val="24"/>
              </w:rPr>
            </w:pPr>
            <w:r w:rsidRPr="00C54DC3">
              <w:rPr>
                <w:szCs w:val="24"/>
              </w:rPr>
              <w:t>Case No. 19-</w:t>
            </w:r>
            <w:r w:rsidR="00746A9A">
              <w:rPr>
                <w:szCs w:val="24"/>
              </w:rPr>
              <w:t>1776</w:t>
            </w:r>
            <w:r w:rsidRPr="00C54DC3">
              <w:rPr>
                <w:szCs w:val="24"/>
              </w:rPr>
              <w:t>-EL-</w:t>
            </w:r>
            <w:r w:rsidR="00746A9A">
              <w:rPr>
                <w:szCs w:val="24"/>
              </w:rPr>
              <w:t>RDR</w:t>
            </w:r>
          </w:p>
          <w:p w:rsidR="00586697" w:rsidRPr="00C54DC3" w:rsidP="00586697" w14:paraId="4B0FFB6C" w14:textId="77777777">
            <w:pPr>
              <w:pStyle w:val="HTMLPreformatted"/>
              <w:rPr>
                <w:rFonts w:ascii="Times New Roman" w:hAnsi="Times New Roman" w:cs="Times New Roman"/>
                <w:sz w:val="24"/>
                <w:szCs w:val="24"/>
              </w:rPr>
            </w:pPr>
          </w:p>
        </w:tc>
      </w:tr>
    </w:tbl>
    <w:p w:rsidR="00586697" w:rsidRPr="00C54DC3" w:rsidP="00586697" w14:paraId="44CFE272" w14:textId="77777777">
      <w:pPr>
        <w:pStyle w:val="HTMLPreformatted"/>
        <w:pBdr>
          <w:top w:val="single" w:sz="12" w:space="1" w:color="auto"/>
        </w:pBdr>
        <w:rPr>
          <w:rFonts w:ascii="Times New Roman" w:hAnsi="Times New Roman" w:cs="Times New Roman"/>
          <w:sz w:val="24"/>
          <w:szCs w:val="24"/>
        </w:rPr>
      </w:pPr>
    </w:p>
    <w:p w:rsidR="00586697" w:rsidRPr="00C54DC3" w:rsidP="00586697" w14:paraId="762F04AE" w14:textId="77777777">
      <w:pPr>
        <w:jc w:val="center"/>
        <w:rPr>
          <w:b/>
          <w:bCs/>
          <w:szCs w:val="24"/>
        </w:rPr>
      </w:pPr>
      <w:r w:rsidRPr="00C54DC3">
        <w:rPr>
          <w:b/>
          <w:bCs/>
          <w:szCs w:val="24"/>
        </w:rPr>
        <w:t>MEMORANDUM IN SUPPORT</w:t>
      </w:r>
    </w:p>
    <w:p w:rsidR="00586697" w:rsidRPr="00C54DC3" w:rsidP="00586697" w14:paraId="04D37C2E" w14:textId="77777777">
      <w:pPr>
        <w:pBdr>
          <w:bottom w:val="single" w:sz="12" w:space="1" w:color="auto"/>
        </w:pBdr>
        <w:tabs>
          <w:tab w:val="left" w:pos="4320"/>
        </w:tabs>
        <w:rPr>
          <w:szCs w:val="24"/>
        </w:rPr>
      </w:pPr>
    </w:p>
    <w:p w:rsidR="007829EE" w:rsidRPr="00C54DC3" w:rsidP="0028596E" w14:paraId="404F92A7" w14:textId="0A733331">
      <w:pPr>
        <w:pStyle w:val="BodyTextIndent3"/>
        <w:spacing w:before="240" w:after="240" w:line="480" w:lineRule="auto"/>
        <w:rPr>
          <w:szCs w:val="24"/>
        </w:rPr>
      </w:pPr>
      <w:r>
        <w:rPr>
          <w:szCs w:val="24"/>
        </w:rPr>
        <w:t>On September 16,</w:t>
      </w:r>
      <w:r w:rsidR="00753349">
        <w:rPr>
          <w:szCs w:val="24"/>
        </w:rPr>
        <w:t xml:space="preserve"> </w:t>
      </w:r>
      <w:r>
        <w:rPr>
          <w:szCs w:val="24"/>
        </w:rPr>
        <w:t>2019, DP&amp;L filed an application to update</w:t>
      </w:r>
      <w:r w:rsidRPr="003727AA" w:rsidR="003727AA">
        <w:rPr>
          <w:szCs w:val="24"/>
        </w:rPr>
        <w:t xml:space="preserve"> </w:t>
      </w:r>
      <w:r w:rsidR="003727AA">
        <w:rPr>
          <w:szCs w:val="24"/>
        </w:rPr>
        <w:t xml:space="preserve">its charge </w:t>
      </w:r>
      <w:r w:rsidR="00F2589B">
        <w:rPr>
          <w:szCs w:val="24"/>
        </w:rPr>
        <w:t xml:space="preserve">to </w:t>
      </w:r>
      <w:r w:rsidR="003727AA">
        <w:rPr>
          <w:szCs w:val="24"/>
        </w:rPr>
        <w:t xml:space="preserve">consumers </w:t>
      </w:r>
      <w:r w:rsidR="00F2589B">
        <w:rPr>
          <w:szCs w:val="24"/>
        </w:rPr>
        <w:t>for</w:t>
      </w:r>
      <w:r w:rsidR="003727AA">
        <w:rPr>
          <w:szCs w:val="24"/>
        </w:rPr>
        <w:t xml:space="preserve"> subsidiz</w:t>
      </w:r>
      <w:r w:rsidR="00F2589B">
        <w:rPr>
          <w:szCs w:val="24"/>
        </w:rPr>
        <w:t>ing</w:t>
      </w:r>
      <w:r w:rsidR="003727AA">
        <w:rPr>
          <w:szCs w:val="24"/>
        </w:rPr>
        <w:t xml:space="preserve"> its interest in </w:t>
      </w:r>
      <w:r w:rsidR="00F2589B">
        <w:rPr>
          <w:szCs w:val="24"/>
        </w:rPr>
        <w:t xml:space="preserve">the </w:t>
      </w:r>
      <w:r w:rsidR="00753349">
        <w:rPr>
          <w:szCs w:val="24"/>
        </w:rPr>
        <w:t xml:space="preserve">OVEC </w:t>
      </w:r>
      <w:r w:rsidR="00F2589B">
        <w:rPr>
          <w:szCs w:val="24"/>
        </w:rPr>
        <w:t>coal plants</w:t>
      </w:r>
      <w:r w:rsidR="003727AA">
        <w:rPr>
          <w:szCs w:val="24"/>
        </w:rPr>
        <w:t>.</w:t>
      </w:r>
      <w:r>
        <w:rPr>
          <w:szCs w:val="24"/>
        </w:rPr>
        <w:t xml:space="preserve"> </w:t>
      </w:r>
      <w:r w:rsidR="000F412F">
        <w:rPr>
          <w:szCs w:val="24"/>
        </w:rPr>
        <w:t>DP&amp;L charge</w:t>
      </w:r>
      <w:r w:rsidR="00F2589B">
        <w:rPr>
          <w:szCs w:val="24"/>
        </w:rPr>
        <w:t>s</w:t>
      </w:r>
      <w:r w:rsidR="000F412F">
        <w:rPr>
          <w:szCs w:val="24"/>
        </w:rPr>
        <w:t xml:space="preserve"> consumers to subsidize its interest in two 1950s-era coal plants, one in Ohio and one in Indiana.</w:t>
      </w:r>
      <w:r w:rsidR="00501BF5">
        <w:rPr>
          <w:szCs w:val="24"/>
        </w:rPr>
        <w:t xml:space="preserve"> </w:t>
      </w:r>
      <w:r w:rsidR="000F412F">
        <w:rPr>
          <w:szCs w:val="24"/>
        </w:rPr>
        <w:t>The legality of that charge, what DP&amp;L calls the “Reconciliation Rider,” is currently on appeal to the Supreme Court</w:t>
      </w:r>
      <w:r w:rsidR="00C80830">
        <w:rPr>
          <w:szCs w:val="24"/>
        </w:rPr>
        <w:t xml:space="preserve"> of Ohio (“Court”)</w:t>
      </w:r>
      <w:r w:rsidR="000F412F">
        <w:rPr>
          <w:szCs w:val="24"/>
        </w:rPr>
        <w:t>.</w:t>
      </w:r>
      <w:r>
        <w:rPr>
          <w:rStyle w:val="FootnoteReference"/>
          <w:szCs w:val="24"/>
        </w:rPr>
        <w:footnoteReference w:id="4"/>
      </w:r>
      <w:r w:rsidR="00501BF5">
        <w:rPr>
          <w:szCs w:val="24"/>
        </w:rPr>
        <w:t xml:space="preserve"> </w:t>
      </w:r>
      <w:r w:rsidR="000F412F">
        <w:rPr>
          <w:szCs w:val="24"/>
        </w:rPr>
        <w:t>DP&amp;L asks the PUCO for authority to increase the OVEC Subsidy Charge so that a typical residential consumer will pay $.43 more per month for electric service.</w:t>
      </w:r>
      <w:r>
        <w:rPr>
          <w:rStyle w:val="FootnoteReference"/>
          <w:szCs w:val="24"/>
        </w:rPr>
        <w:footnoteReference w:id="5"/>
      </w:r>
      <w:r w:rsidR="00501BF5">
        <w:rPr>
          <w:szCs w:val="24"/>
        </w:rPr>
        <w:t xml:space="preserve"> </w:t>
      </w:r>
      <w:r w:rsidRPr="00C54DC3" w:rsidR="00811ABE">
        <w:rPr>
          <w:szCs w:val="24"/>
        </w:rPr>
        <w:t xml:space="preserve">OCC has authority under law to represent the interests of </w:t>
      </w:r>
      <w:r w:rsidR="000F412F">
        <w:rPr>
          <w:szCs w:val="24"/>
        </w:rPr>
        <w:t>DP&amp;L</w:t>
      </w:r>
      <w:r w:rsidR="00771779">
        <w:rPr>
          <w:szCs w:val="24"/>
        </w:rPr>
        <w:t>’</w:t>
      </w:r>
      <w:r w:rsidR="000F412F">
        <w:rPr>
          <w:szCs w:val="24"/>
        </w:rPr>
        <w:t>s 465,000</w:t>
      </w:r>
      <w:r w:rsidRPr="00C54DC3" w:rsidR="00811ABE">
        <w:rPr>
          <w:szCs w:val="24"/>
        </w:rPr>
        <w:t xml:space="preserve"> residential electric utility customers under R.C. Chapter 4911. </w:t>
      </w:r>
    </w:p>
    <w:p w:rsidR="00586697" w:rsidRPr="00C54DC3" w:rsidP="007829EE" w14:paraId="0EC25514" w14:textId="2DFD127B">
      <w:pPr>
        <w:pStyle w:val="BodyTextIndent3"/>
        <w:spacing w:line="480" w:lineRule="auto"/>
        <w:rPr>
          <w:szCs w:val="24"/>
        </w:rPr>
      </w:pPr>
      <w:r w:rsidRPr="00C54DC3">
        <w:rPr>
          <w:szCs w:val="24"/>
        </w:rPr>
        <w:t xml:space="preserve">R.C. 4903.221 provides, in part, that any person “who may be adversely affected” by a PUCO proceeding is entitled to seek intervention in that proceeding. The interests of </w:t>
      </w:r>
      <w:r w:rsidR="000F412F">
        <w:rPr>
          <w:szCs w:val="24"/>
        </w:rPr>
        <w:t>DP&amp;L</w:t>
      </w:r>
      <w:r w:rsidR="00771779">
        <w:rPr>
          <w:szCs w:val="24"/>
        </w:rPr>
        <w:t>’</w:t>
      </w:r>
      <w:r w:rsidR="000F412F">
        <w:rPr>
          <w:szCs w:val="24"/>
        </w:rPr>
        <w:t>s</w:t>
      </w:r>
      <w:r w:rsidRPr="00C54DC3">
        <w:rPr>
          <w:szCs w:val="24"/>
        </w:rPr>
        <w:t xml:space="preserve"> residential </w:t>
      </w:r>
      <w:r w:rsidR="00DA0CB4">
        <w:rPr>
          <w:szCs w:val="24"/>
        </w:rPr>
        <w:t xml:space="preserve">electric utility </w:t>
      </w:r>
      <w:r w:rsidRPr="00C54DC3">
        <w:rPr>
          <w:szCs w:val="24"/>
        </w:rPr>
        <w:t xml:space="preserve">consumers may be “adversely affected” by this case, especially if the customers were unrepresented in a proceeding </w:t>
      </w:r>
      <w:r w:rsidR="000F412F">
        <w:rPr>
          <w:szCs w:val="24"/>
        </w:rPr>
        <w:t>where DP&amp;L asks for authority to increase</w:t>
      </w:r>
      <w:r w:rsidRPr="00C54DC3">
        <w:rPr>
          <w:szCs w:val="24"/>
        </w:rPr>
        <w:t xml:space="preserve"> the charges consumers will pay for </w:t>
      </w:r>
      <w:r w:rsidR="00DA0CB4">
        <w:rPr>
          <w:szCs w:val="24"/>
        </w:rPr>
        <w:t>coal-fired power plants in Ohio and Indiana</w:t>
      </w:r>
      <w:r w:rsidRPr="00C54DC3">
        <w:rPr>
          <w:szCs w:val="24"/>
        </w:rPr>
        <w:t>. Thus, this element of the intervention standard in R.C. 4903.221 is satisfied.</w:t>
      </w:r>
    </w:p>
    <w:p w:rsidR="00586697" w:rsidRPr="00C54DC3" w:rsidP="000B783F" w14:paraId="50469D42" w14:textId="77777777">
      <w:pPr>
        <w:pStyle w:val="BodyTextIndent3"/>
        <w:keepNext/>
        <w:spacing w:line="480" w:lineRule="auto"/>
        <w:rPr>
          <w:szCs w:val="24"/>
        </w:rPr>
      </w:pPr>
      <w:r w:rsidRPr="00C54DC3">
        <w:rPr>
          <w:szCs w:val="24"/>
        </w:rPr>
        <w:t>R.C. 4903.221(B) requires the PUCO to consider the following criteria in ruling on motions to intervene:</w:t>
      </w:r>
    </w:p>
    <w:p w:rsidR="000B783F" w:rsidRPr="00C54DC3" w:rsidP="00586697" w14:paraId="400BC145" w14:textId="7670DB49">
      <w:pPr>
        <w:spacing w:after="240"/>
        <w:ind w:left="2160" w:right="720" w:hanging="720"/>
        <w:rPr>
          <w:szCs w:val="24"/>
        </w:rPr>
      </w:pPr>
      <w:r w:rsidRPr="00C54DC3">
        <w:rPr>
          <w:szCs w:val="24"/>
        </w:rPr>
        <w:t>(1)</w:t>
      </w:r>
      <w:r w:rsidRPr="00C54DC3">
        <w:rPr>
          <w:szCs w:val="24"/>
        </w:rPr>
        <w:tab/>
        <w:t>The nature and extent of the prospective intervenor</w:t>
      </w:r>
      <w:r w:rsidR="00771779">
        <w:rPr>
          <w:szCs w:val="24"/>
        </w:rPr>
        <w:t>’</w:t>
      </w:r>
      <w:r w:rsidRPr="00C54DC3">
        <w:rPr>
          <w:szCs w:val="24"/>
        </w:rPr>
        <w:t>s interest;</w:t>
      </w:r>
    </w:p>
    <w:p w:rsidR="00586697" w:rsidRPr="00C54DC3" w:rsidP="00586697" w14:paraId="1E025B2C" w14:textId="77777777">
      <w:pPr>
        <w:spacing w:after="240"/>
        <w:ind w:left="2160" w:right="720" w:hanging="720"/>
        <w:rPr>
          <w:szCs w:val="24"/>
        </w:rPr>
      </w:pPr>
      <w:r w:rsidRPr="00C54DC3">
        <w:rPr>
          <w:szCs w:val="24"/>
        </w:rPr>
        <w:t>(2)</w:t>
      </w:r>
      <w:r w:rsidRPr="00C54DC3">
        <w:rPr>
          <w:szCs w:val="24"/>
        </w:rPr>
        <w:tab/>
        <w:t>The legal position advanced by the prospective intervenor and its probable relation to the merits of the case;</w:t>
      </w:r>
    </w:p>
    <w:p w:rsidR="00586697" w:rsidRPr="00C54DC3" w:rsidP="00586697" w14:paraId="5B705810" w14:textId="77777777">
      <w:pPr>
        <w:spacing w:after="240"/>
        <w:ind w:left="2160" w:right="720" w:hanging="720"/>
        <w:rPr>
          <w:szCs w:val="24"/>
        </w:rPr>
      </w:pPr>
      <w:r w:rsidRPr="00C54DC3">
        <w:rPr>
          <w:szCs w:val="24"/>
        </w:rPr>
        <w:t>(3)</w:t>
      </w:r>
      <w:r w:rsidRPr="00C54DC3">
        <w:rPr>
          <w:szCs w:val="24"/>
        </w:rPr>
        <w:tab/>
        <w:t>Whether the intervention by the prospective intervenor will unduly prolong or delay the proceedings; and</w:t>
      </w:r>
    </w:p>
    <w:p w:rsidR="00586697" w:rsidRPr="00C54DC3" w:rsidP="00586697" w14:paraId="7FEF36AD" w14:textId="77777777">
      <w:pPr>
        <w:spacing w:after="240"/>
        <w:ind w:left="2160" w:right="720" w:hanging="720"/>
        <w:rPr>
          <w:szCs w:val="24"/>
        </w:rPr>
      </w:pPr>
      <w:r w:rsidRPr="00C54DC3">
        <w:rPr>
          <w:szCs w:val="24"/>
        </w:rPr>
        <w:t>(4)</w:t>
      </w:r>
      <w:r w:rsidRPr="00C54DC3">
        <w:rPr>
          <w:szCs w:val="24"/>
        </w:rPr>
        <w:tab/>
        <w:t>Whether the prospective intervenor will significantly contribute to full development and equitable resolution of the factual issues.</w:t>
      </w:r>
    </w:p>
    <w:p w:rsidR="00586697" w:rsidRPr="00C54DC3" w:rsidP="00586697" w14:paraId="17117506" w14:textId="43A6E803">
      <w:pPr>
        <w:pStyle w:val="BodyTextIndent3"/>
        <w:suppressAutoHyphens/>
        <w:spacing w:line="480" w:lineRule="auto"/>
        <w:rPr>
          <w:szCs w:val="24"/>
        </w:rPr>
      </w:pPr>
      <w:r w:rsidRPr="00C54DC3">
        <w:rPr>
          <w:szCs w:val="24"/>
        </w:rPr>
        <w:t>First, the nature and extent of OCC</w:t>
      </w:r>
      <w:r w:rsidR="00771779">
        <w:rPr>
          <w:szCs w:val="24"/>
        </w:rPr>
        <w:t>’</w:t>
      </w:r>
      <w:r w:rsidRPr="00C54DC3">
        <w:rPr>
          <w:szCs w:val="24"/>
        </w:rPr>
        <w:t>s interest is representing</w:t>
      </w:r>
      <w:r w:rsidR="00DA0CB4">
        <w:rPr>
          <w:szCs w:val="24"/>
        </w:rPr>
        <w:t xml:space="preserve"> </w:t>
      </w:r>
      <w:r w:rsidR="000F412F">
        <w:rPr>
          <w:szCs w:val="24"/>
        </w:rPr>
        <w:t>DP&amp;L</w:t>
      </w:r>
      <w:r w:rsidR="00771779">
        <w:rPr>
          <w:szCs w:val="24"/>
        </w:rPr>
        <w:t>’</w:t>
      </w:r>
      <w:r w:rsidR="000F412F">
        <w:rPr>
          <w:szCs w:val="24"/>
        </w:rPr>
        <w:t>s</w:t>
      </w:r>
      <w:r w:rsidRPr="00C54DC3">
        <w:rPr>
          <w:szCs w:val="24"/>
        </w:rPr>
        <w:t xml:space="preserve"> residential </w:t>
      </w:r>
      <w:r w:rsidR="00DA0CB4">
        <w:rPr>
          <w:szCs w:val="24"/>
        </w:rPr>
        <w:t xml:space="preserve">electric utility consumers </w:t>
      </w:r>
      <w:r w:rsidRPr="00C54DC3">
        <w:rPr>
          <w:szCs w:val="24"/>
        </w:rPr>
        <w:t xml:space="preserve">who will be asked to pay </w:t>
      </w:r>
      <w:r w:rsidR="000F412F">
        <w:rPr>
          <w:szCs w:val="24"/>
        </w:rPr>
        <w:t>increased</w:t>
      </w:r>
      <w:r w:rsidRPr="00C54DC3">
        <w:rPr>
          <w:szCs w:val="24"/>
        </w:rPr>
        <w:t xml:space="preserve"> charges </w:t>
      </w:r>
      <w:r w:rsidR="00DA0CB4">
        <w:rPr>
          <w:szCs w:val="24"/>
        </w:rPr>
        <w:t>to subsidize the costs of two coal-fired power plants, one in Ohio and the other in Indiana</w:t>
      </w:r>
      <w:r w:rsidRPr="00C54DC3">
        <w:rPr>
          <w:szCs w:val="24"/>
        </w:rPr>
        <w:t>. The</w:t>
      </w:r>
      <w:r w:rsidR="004E33C2">
        <w:rPr>
          <w:szCs w:val="24"/>
        </w:rPr>
        <w:t xml:space="preserve"> OVEC Subsidy</w:t>
      </w:r>
      <w:r w:rsidRPr="00C54DC3">
        <w:rPr>
          <w:szCs w:val="24"/>
        </w:rPr>
        <w:t xml:space="preserve"> </w:t>
      </w:r>
      <w:r w:rsidR="004E33C2">
        <w:rPr>
          <w:szCs w:val="24"/>
        </w:rPr>
        <w:t>C</w:t>
      </w:r>
      <w:r w:rsidRPr="00C54DC3">
        <w:rPr>
          <w:szCs w:val="24"/>
        </w:rPr>
        <w:t xml:space="preserve">harge should be just and reasonable. This interest is different from that of any other party and especially different from </w:t>
      </w:r>
      <w:r w:rsidR="000F412F">
        <w:rPr>
          <w:szCs w:val="24"/>
        </w:rPr>
        <w:t>DP&amp;L</w:t>
      </w:r>
      <w:r w:rsidRPr="00C54DC3">
        <w:rPr>
          <w:szCs w:val="24"/>
        </w:rPr>
        <w:t>, whose advocacy includes the financial interest</w:t>
      </w:r>
      <w:r w:rsidR="00DA0CB4">
        <w:rPr>
          <w:szCs w:val="24"/>
        </w:rPr>
        <w:t>s</w:t>
      </w:r>
      <w:r w:rsidRPr="00C54DC3">
        <w:rPr>
          <w:szCs w:val="24"/>
        </w:rPr>
        <w:t xml:space="preserve"> of stockholders.</w:t>
      </w:r>
    </w:p>
    <w:p w:rsidR="00586697" w:rsidRPr="00C54DC3" w:rsidP="00586697" w14:paraId="13C3297F" w14:textId="16A3224C">
      <w:pPr>
        <w:pStyle w:val="Footer"/>
        <w:tabs>
          <w:tab w:val="clear" w:pos="4320"/>
          <w:tab w:val="clear" w:pos="8640"/>
        </w:tabs>
        <w:suppressAutoHyphens/>
        <w:spacing w:line="480" w:lineRule="auto"/>
        <w:ind w:firstLine="720"/>
        <w:rPr>
          <w:sz w:val="24"/>
          <w:szCs w:val="24"/>
        </w:rPr>
      </w:pPr>
      <w:r w:rsidRPr="00C54DC3">
        <w:rPr>
          <w:sz w:val="24"/>
          <w:szCs w:val="24"/>
        </w:rPr>
        <w:t>Second, OCC</w:t>
      </w:r>
      <w:r w:rsidR="00771779">
        <w:rPr>
          <w:sz w:val="24"/>
          <w:szCs w:val="24"/>
        </w:rPr>
        <w:t>’</w:t>
      </w:r>
      <w:r w:rsidRPr="00C54DC3">
        <w:rPr>
          <w:sz w:val="24"/>
          <w:szCs w:val="24"/>
        </w:rPr>
        <w:t xml:space="preserve">s legal position will include, without limitation, advancing the position that </w:t>
      </w:r>
      <w:r w:rsidR="00953FCD">
        <w:rPr>
          <w:sz w:val="24"/>
          <w:szCs w:val="24"/>
        </w:rPr>
        <w:t xml:space="preserve">a </w:t>
      </w:r>
      <w:r w:rsidRPr="00C54DC3">
        <w:rPr>
          <w:sz w:val="24"/>
          <w:szCs w:val="24"/>
        </w:rPr>
        <w:t>utilit</w:t>
      </w:r>
      <w:r w:rsidR="00953FCD">
        <w:rPr>
          <w:sz w:val="24"/>
          <w:szCs w:val="24"/>
        </w:rPr>
        <w:t>y cannot</w:t>
      </w:r>
      <w:r w:rsidRPr="00C54DC3">
        <w:rPr>
          <w:sz w:val="24"/>
          <w:szCs w:val="24"/>
        </w:rPr>
        <w:t xml:space="preserve"> </w:t>
      </w:r>
      <w:r w:rsidR="00953FCD">
        <w:rPr>
          <w:sz w:val="24"/>
          <w:szCs w:val="24"/>
        </w:rPr>
        <w:t xml:space="preserve">levy a </w:t>
      </w:r>
      <w:r w:rsidRPr="00C54DC3">
        <w:rPr>
          <w:sz w:val="24"/>
          <w:szCs w:val="24"/>
        </w:rPr>
        <w:t>charge</w:t>
      </w:r>
      <w:r w:rsidR="00953FCD">
        <w:rPr>
          <w:sz w:val="24"/>
          <w:szCs w:val="24"/>
        </w:rPr>
        <w:t xml:space="preserve"> on </w:t>
      </w:r>
      <w:r w:rsidRPr="00C54DC3">
        <w:rPr>
          <w:sz w:val="24"/>
          <w:szCs w:val="24"/>
        </w:rPr>
        <w:t xml:space="preserve">consumers </w:t>
      </w:r>
      <w:r w:rsidR="00953FCD">
        <w:rPr>
          <w:sz w:val="24"/>
          <w:szCs w:val="24"/>
        </w:rPr>
        <w:t>unless the charge is lawful,</w:t>
      </w:r>
      <w:r w:rsidRPr="00C54DC3">
        <w:rPr>
          <w:sz w:val="24"/>
          <w:szCs w:val="24"/>
        </w:rPr>
        <w:t xml:space="preserve"> just and reasonable.</w:t>
      </w:r>
      <w:r>
        <w:rPr>
          <w:rStyle w:val="FootnoteReference"/>
          <w:sz w:val="24"/>
          <w:szCs w:val="24"/>
        </w:rPr>
        <w:footnoteReference w:id="6"/>
      </w:r>
      <w:r w:rsidRPr="00C54DC3">
        <w:rPr>
          <w:sz w:val="24"/>
          <w:szCs w:val="24"/>
        </w:rPr>
        <w:t xml:space="preserve"> OCC will </w:t>
      </w:r>
      <w:r w:rsidR="00953FCD">
        <w:rPr>
          <w:sz w:val="24"/>
          <w:szCs w:val="24"/>
        </w:rPr>
        <w:t>seek</w:t>
      </w:r>
      <w:r w:rsidRPr="00C54DC3" w:rsidR="00953FCD">
        <w:rPr>
          <w:sz w:val="24"/>
          <w:szCs w:val="24"/>
        </w:rPr>
        <w:t xml:space="preserve"> </w:t>
      </w:r>
      <w:r w:rsidRPr="00C54DC3">
        <w:rPr>
          <w:sz w:val="24"/>
          <w:szCs w:val="24"/>
        </w:rPr>
        <w:t xml:space="preserve">to determine whether </w:t>
      </w:r>
      <w:r w:rsidR="00953FCD">
        <w:rPr>
          <w:sz w:val="24"/>
          <w:szCs w:val="24"/>
        </w:rPr>
        <w:t>DP&amp;L</w:t>
      </w:r>
      <w:r w:rsidR="00771779">
        <w:rPr>
          <w:sz w:val="24"/>
          <w:szCs w:val="24"/>
        </w:rPr>
        <w:t>’</w:t>
      </w:r>
      <w:r w:rsidR="00953FCD">
        <w:rPr>
          <w:sz w:val="24"/>
          <w:szCs w:val="24"/>
        </w:rPr>
        <w:t xml:space="preserve">s charging of consumers for an </w:t>
      </w:r>
      <w:r w:rsidR="004E33C2">
        <w:rPr>
          <w:sz w:val="24"/>
          <w:szCs w:val="24"/>
        </w:rPr>
        <w:t xml:space="preserve">OVEC Subsidy </w:t>
      </w:r>
      <w:r w:rsidR="00953FCD">
        <w:rPr>
          <w:sz w:val="24"/>
          <w:szCs w:val="24"/>
        </w:rPr>
        <w:t>is</w:t>
      </w:r>
      <w:r w:rsidRPr="00C54DC3">
        <w:rPr>
          <w:sz w:val="24"/>
          <w:szCs w:val="24"/>
        </w:rPr>
        <w:t xml:space="preserve"> </w:t>
      </w:r>
      <w:r w:rsidR="00753349">
        <w:rPr>
          <w:sz w:val="24"/>
          <w:szCs w:val="24"/>
        </w:rPr>
        <w:t xml:space="preserve">just and </w:t>
      </w:r>
      <w:r w:rsidRPr="00C54DC3">
        <w:rPr>
          <w:sz w:val="24"/>
          <w:szCs w:val="24"/>
        </w:rPr>
        <w:t>reasonable.</w:t>
      </w:r>
    </w:p>
    <w:p w:rsidR="00586697" w:rsidRPr="00C54DC3" w:rsidP="00586697" w14:paraId="411B9719" w14:textId="1C6F9363">
      <w:pPr>
        <w:pStyle w:val="BodyTextIndent3"/>
        <w:suppressAutoHyphens/>
        <w:spacing w:line="480" w:lineRule="auto"/>
        <w:rPr>
          <w:szCs w:val="24"/>
        </w:rPr>
      </w:pPr>
      <w:r w:rsidRPr="00C54DC3">
        <w:rPr>
          <w:szCs w:val="24"/>
        </w:rPr>
        <w:t>Third, OCC</w:t>
      </w:r>
      <w:r w:rsidR="00771779">
        <w:rPr>
          <w:szCs w:val="24"/>
        </w:rPr>
        <w:t>’</w:t>
      </w:r>
      <w:r w:rsidRPr="00C54DC3">
        <w:rPr>
          <w:szCs w:val="24"/>
        </w:rPr>
        <w:t>s intervention will not unduly prolong or delay the proceedings. OCC, with its longstanding expertise and experience in PUCO proceedings, will duly allow for the efficient processing of the case with consideration of the public interest.</w:t>
      </w:r>
    </w:p>
    <w:p w:rsidR="00586697" w:rsidRPr="00C54DC3" w:rsidP="00586697" w14:paraId="5A806921" w14:textId="6E560586">
      <w:pPr>
        <w:pStyle w:val="Footer"/>
        <w:tabs>
          <w:tab w:val="clear" w:pos="4320"/>
          <w:tab w:val="clear" w:pos="8640"/>
        </w:tabs>
        <w:suppressAutoHyphens/>
        <w:spacing w:line="480" w:lineRule="auto"/>
        <w:ind w:firstLine="720"/>
        <w:rPr>
          <w:sz w:val="24"/>
          <w:szCs w:val="24"/>
        </w:rPr>
      </w:pPr>
      <w:r w:rsidRPr="00C54DC3">
        <w:rPr>
          <w:sz w:val="24"/>
          <w:szCs w:val="24"/>
        </w:rPr>
        <w:t>Fourth, OCC</w:t>
      </w:r>
      <w:r w:rsidR="00771779">
        <w:rPr>
          <w:sz w:val="24"/>
          <w:szCs w:val="24"/>
        </w:rPr>
        <w:t>’</w:t>
      </w:r>
      <w:r w:rsidRPr="00C54DC3">
        <w:rPr>
          <w:sz w:val="24"/>
          <w:szCs w:val="24"/>
        </w:rPr>
        <w:t xml:space="preserve">s intervention will significantly contribute to the full development and equitable resolution of the factual issues. OCC will obtain and develop information that the PUCO should consider for equitably and lawfully deciding the case in the public interest. </w:t>
      </w:r>
    </w:p>
    <w:p w:rsidR="00586697" w:rsidRPr="00C54DC3" w:rsidP="00586697" w14:paraId="0B4E0908" w14:textId="7BA11E21">
      <w:pPr>
        <w:pStyle w:val="WW-BodyTextIndent3"/>
        <w:spacing w:line="480" w:lineRule="auto"/>
        <w:rPr>
          <w:szCs w:val="24"/>
        </w:rPr>
      </w:pPr>
      <w:r w:rsidRPr="00C54DC3">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w:t>
      </w:r>
      <w:r w:rsidR="00DA0CB4">
        <w:rPr>
          <w:szCs w:val="24"/>
        </w:rPr>
        <w:t>Ohio</w:t>
      </w:r>
      <w:r w:rsidR="00771779">
        <w:rPr>
          <w:szCs w:val="24"/>
        </w:rPr>
        <w:t>’</w:t>
      </w:r>
      <w:r w:rsidR="00DA0CB4">
        <w:rPr>
          <w:szCs w:val="24"/>
        </w:rPr>
        <w:t xml:space="preserve">s </w:t>
      </w:r>
      <w:r w:rsidRPr="00C54DC3">
        <w:rPr>
          <w:szCs w:val="24"/>
        </w:rPr>
        <w:t xml:space="preserve">residential </w:t>
      </w:r>
      <w:r w:rsidR="00DA0CB4">
        <w:rPr>
          <w:szCs w:val="24"/>
        </w:rPr>
        <w:t xml:space="preserve">electric </w:t>
      </w:r>
      <w:r w:rsidRPr="00C54DC3">
        <w:rPr>
          <w:szCs w:val="24"/>
        </w:rPr>
        <w:t xml:space="preserve">utility consumers, OCC has a very real and substantial interest in this case where the PUCO will </w:t>
      </w:r>
      <w:r w:rsidR="00845E6B">
        <w:rPr>
          <w:szCs w:val="24"/>
        </w:rPr>
        <w:t>review DP&amp;L</w:t>
      </w:r>
      <w:r w:rsidR="00771779">
        <w:rPr>
          <w:szCs w:val="24"/>
        </w:rPr>
        <w:t>’</w:t>
      </w:r>
      <w:r w:rsidR="00845E6B">
        <w:rPr>
          <w:szCs w:val="24"/>
        </w:rPr>
        <w:t>s request to increase the OVEC Subsidy Charge.</w:t>
      </w:r>
    </w:p>
    <w:p w:rsidR="00586697" w:rsidRPr="00C54DC3" w:rsidP="00586697" w14:paraId="4BBD3CEA" w14:textId="77777777">
      <w:pPr>
        <w:pStyle w:val="BodyTextIndent3"/>
        <w:suppressAutoHyphens/>
        <w:spacing w:line="480" w:lineRule="auto"/>
        <w:rPr>
          <w:szCs w:val="24"/>
        </w:rPr>
      </w:pPr>
      <w:r w:rsidRPr="00C54DC3">
        <w:rPr>
          <w:szCs w:val="24"/>
        </w:rPr>
        <w:t>In addition, OCC meets the criteria of Ohio Adm. Code 4901-1-11(B)(1)-(4). These criteria mirror the statutory criteria in R.C. 4903.221(B), which OCC already has addressed and satisfies.</w:t>
      </w:r>
    </w:p>
    <w:p w:rsidR="00586697" w:rsidRPr="00C54DC3" w:rsidP="00586697" w14:paraId="35D6C203" w14:textId="3E9BE789">
      <w:pPr>
        <w:pStyle w:val="BodyTextIndent3"/>
        <w:suppressAutoHyphens/>
        <w:spacing w:line="480" w:lineRule="auto"/>
        <w:rPr>
          <w:szCs w:val="24"/>
        </w:rPr>
      </w:pPr>
      <w:r w:rsidRPr="00C54DC3">
        <w:rPr>
          <w:szCs w:val="24"/>
        </w:rPr>
        <w:t>Ohio Adm. Code 4901-1-11(B)(5) states that the PUCO shall consider the “extent to which the person</w:t>
      </w:r>
      <w:r w:rsidR="00771779">
        <w:rPr>
          <w:szCs w:val="24"/>
        </w:rPr>
        <w:t>’</w:t>
      </w:r>
      <w:r w:rsidRPr="00C54DC3">
        <w:rPr>
          <w:szCs w:val="24"/>
        </w:rPr>
        <w:t>s interest is represented by existing parties.” While OCC does not concede the lawfulness of this criterion, OCC satisfies this criterion in that it uniquely has been designated as the state representative of the interests of Ohio</w:t>
      </w:r>
      <w:r w:rsidR="00771779">
        <w:rPr>
          <w:szCs w:val="24"/>
        </w:rPr>
        <w:t>’</w:t>
      </w:r>
      <w:r w:rsidRPr="00C54DC3">
        <w:rPr>
          <w:szCs w:val="24"/>
        </w:rPr>
        <w:t>s residential utility consumers. That interest is different from, and not represented by, any other entity in Ohio.</w:t>
      </w:r>
    </w:p>
    <w:p w:rsidR="00586697" w:rsidRPr="00C54DC3" w:rsidP="00586697" w14:paraId="0ADDC13D" w14:textId="15B6CCE6">
      <w:pPr>
        <w:pStyle w:val="WW-BodyTextIndent3"/>
        <w:spacing w:line="480" w:lineRule="auto"/>
        <w:rPr>
          <w:szCs w:val="24"/>
        </w:rPr>
      </w:pPr>
      <w:r w:rsidRPr="00C54DC3">
        <w:rPr>
          <w:szCs w:val="24"/>
        </w:rPr>
        <w:t>Moreover, the Court confirmed OCC</w:t>
      </w:r>
      <w:r w:rsidR="00771779">
        <w:rPr>
          <w:szCs w:val="24"/>
        </w:rPr>
        <w:t>’</w:t>
      </w:r>
      <w:r w:rsidRPr="00C54DC3">
        <w:rPr>
          <w:szCs w:val="24"/>
        </w:rPr>
        <w:t>s right to intervene in PUCO proceedings in deciding two appeals in which OCC claimed the PUCO erred by denying its interventions. The Court found that the PUCO abused its discretion in denying OCC</w:t>
      </w:r>
      <w:r w:rsidR="00771779">
        <w:rPr>
          <w:szCs w:val="24"/>
        </w:rPr>
        <w:t>’</w:t>
      </w:r>
      <w:r w:rsidRPr="00C54DC3">
        <w:rPr>
          <w:szCs w:val="24"/>
        </w:rPr>
        <w:t>s interventions and that OCC should have been granted intervention in both proceedings.</w:t>
      </w:r>
      <w:r>
        <w:rPr>
          <w:rStyle w:val="FootnoteReference"/>
          <w:szCs w:val="24"/>
        </w:rPr>
        <w:footnoteReference w:id="7"/>
      </w:r>
    </w:p>
    <w:p w:rsidR="00586697" w:rsidRPr="00C54DC3" w:rsidP="00586697" w14:paraId="784AF3F5" w14:textId="48436548">
      <w:pPr>
        <w:suppressAutoHyphens/>
        <w:spacing w:line="480" w:lineRule="auto"/>
        <w:ind w:firstLine="720"/>
        <w:rPr>
          <w:szCs w:val="24"/>
        </w:rPr>
      </w:pPr>
      <w:r w:rsidRPr="00C54DC3">
        <w:rPr>
          <w:szCs w:val="24"/>
        </w:rPr>
        <w:t xml:space="preserve">OCC meets the criteria set forth in R.C. 4903.221, Ohio Adm. Code 4901-1-11, and the precedent established by the Court for intervention. On behalf of </w:t>
      </w:r>
      <w:r w:rsidR="00845E6B">
        <w:rPr>
          <w:szCs w:val="24"/>
        </w:rPr>
        <w:t>DP&amp;L</w:t>
      </w:r>
      <w:r w:rsidR="00771779">
        <w:rPr>
          <w:szCs w:val="24"/>
        </w:rPr>
        <w:t>’</w:t>
      </w:r>
      <w:r w:rsidR="00845E6B">
        <w:rPr>
          <w:szCs w:val="24"/>
        </w:rPr>
        <w:t>s</w:t>
      </w:r>
      <w:r w:rsidRPr="00C54DC3">
        <w:rPr>
          <w:szCs w:val="24"/>
        </w:rPr>
        <w:t xml:space="preserve"> residential </w:t>
      </w:r>
      <w:r w:rsidR="00DA0CB4">
        <w:rPr>
          <w:szCs w:val="24"/>
        </w:rPr>
        <w:t xml:space="preserve">electric utility </w:t>
      </w:r>
      <w:r w:rsidRPr="00C54DC3">
        <w:rPr>
          <w:szCs w:val="24"/>
        </w:rPr>
        <w:t>consumers, the PUCO should grant OCC</w:t>
      </w:r>
      <w:r w:rsidR="00771779">
        <w:rPr>
          <w:szCs w:val="24"/>
        </w:rPr>
        <w:t>’</w:t>
      </w:r>
      <w:r w:rsidRPr="00C54DC3">
        <w:rPr>
          <w:szCs w:val="24"/>
        </w:rPr>
        <w:t>s motion to intervene</w:t>
      </w:r>
      <w:r w:rsidR="00953FCD">
        <w:rPr>
          <w:szCs w:val="24"/>
        </w:rPr>
        <w:t xml:space="preserve"> to give consumers a voice in this case</w:t>
      </w:r>
      <w:r w:rsidRPr="00C54DC3">
        <w:rPr>
          <w:szCs w:val="24"/>
        </w:rPr>
        <w:t>.</w:t>
      </w:r>
    </w:p>
    <w:p w:rsidR="00586697" w:rsidRPr="00C54DC3" w14:paraId="6E7E040C" w14:textId="77777777">
      <w:pPr>
        <w:rPr>
          <w:szCs w:val="24"/>
        </w:rPr>
      </w:pPr>
    </w:p>
    <w:p w:rsidR="00503B89" w:rsidRPr="00DA0CB4" w:rsidP="00503B89" w14:paraId="25539491" w14:textId="77777777">
      <w:pPr>
        <w:ind w:left="3600" w:firstLine="720"/>
        <w:rPr>
          <w:rFonts w:eastAsiaTheme="minorHAnsi"/>
          <w:szCs w:val="24"/>
        </w:rPr>
      </w:pPr>
      <w:r w:rsidRPr="00DA0CB4">
        <w:rPr>
          <w:rFonts w:eastAsiaTheme="minorHAnsi"/>
          <w:szCs w:val="24"/>
        </w:rPr>
        <w:t>Respectfully submitted,</w:t>
      </w:r>
    </w:p>
    <w:p w:rsidR="00503B89" w:rsidRPr="00DA0CB4" w:rsidP="00503B89" w14:paraId="12774FAD" w14:textId="77777777">
      <w:pPr>
        <w:ind w:left="3600" w:firstLine="720"/>
        <w:rPr>
          <w:rFonts w:eastAsiaTheme="minorHAnsi"/>
          <w:szCs w:val="24"/>
        </w:rPr>
      </w:pPr>
    </w:p>
    <w:p w:rsidR="00503B89" w:rsidRPr="00DA0CB4" w:rsidP="00503B89" w14:paraId="063860E4" w14:textId="77777777">
      <w:pPr>
        <w:tabs>
          <w:tab w:val="left" w:pos="4320"/>
          <w:tab w:val="center" w:pos="4680"/>
          <w:tab w:val="right" w:pos="9360"/>
        </w:tabs>
        <w:rPr>
          <w:rFonts w:eastAsiaTheme="minorHAnsi"/>
          <w:szCs w:val="24"/>
        </w:rPr>
      </w:pPr>
      <w:r w:rsidRPr="00DA0CB4">
        <w:rPr>
          <w:rFonts w:eastAsiaTheme="minorHAnsi"/>
          <w:szCs w:val="24"/>
        </w:rPr>
        <w:tab/>
      </w:r>
      <w:r w:rsidRPr="00DA0CB4">
        <w:rPr>
          <w:rFonts w:eastAsiaTheme="minorHAnsi"/>
          <w:szCs w:val="24"/>
        </w:rPr>
        <w:tab/>
        <w:t>Bruce Weston (0016973)</w:t>
      </w:r>
    </w:p>
    <w:p w:rsidR="00503B89" w:rsidRPr="00DA0CB4" w:rsidP="00503B89" w14:paraId="3BE9B16B" w14:textId="4F95FF60">
      <w:pPr>
        <w:tabs>
          <w:tab w:val="left" w:pos="4320"/>
        </w:tabs>
        <w:rPr>
          <w:rFonts w:eastAsiaTheme="minorHAnsi"/>
          <w:szCs w:val="24"/>
        </w:rPr>
      </w:pPr>
      <w:r w:rsidRPr="00DA0CB4">
        <w:rPr>
          <w:rFonts w:eastAsiaTheme="minorHAnsi"/>
          <w:szCs w:val="24"/>
        </w:rPr>
        <w:tab/>
        <w:t>Ohio Consumers</w:t>
      </w:r>
      <w:r w:rsidR="00771779">
        <w:rPr>
          <w:rFonts w:eastAsiaTheme="minorHAnsi"/>
          <w:szCs w:val="24"/>
        </w:rPr>
        <w:t>’</w:t>
      </w:r>
      <w:r w:rsidRPr="00DA0CB4">
        <w:rPr>
          <w:rFonts w:eastAsiaTheme="minorHAnsi"/>
          <w:szCs w:val="24"/>
        </w:rPr>
        <w:t xml:space="preserve"> Counsel</w:t>
      </w:r>
    </w:p>
    <w:p w:rsidR="00503B89" w:rsidRPr="00DA0CB4" w:rsidP="00503B89" w14:paraId="0F481E41" w14:textId="77777777">
      <w:pPr>
        <w:tabs>
          <w:tab w:val="left" w:pos="4320"/>
        </w:tabs>
        <w:rPr>
          <w:rFonts w:eastAsiaTheme="minorHAnsi"/>
          <w:szCs w:val="24"/>
        </w:rPr>
      </w:pPr>
      <w:r w:rsidRPr="00DA0CB4">
        <w:rPr>
          <w:rFonts w:eastAsiaTheme="minorHAnsi"/>
          <w:szCs w:val="24"/>
        </w:rPr>
        <w:tab/>
      </w:r>
    </w:p>
    <w:p w:rsidR="00503B89" w:rsidRPr="00DA0CB4" w:rsidP="00503B89" w14:paraId="5CBD68EC" w14:textId="77777777">
      <w:pPr>
        <w:tabs>
          <w:tab w:val="left" w:pos="4320"/>
          <w:tab w:val="center" w:pos="4680"/>
          <w:tab w:val="left" w:pos="7830"/>
          <w:tab w:val="right" w:pos="9360"/>
        </w:tabs>
        <w:rPr>
          <w:rFonts w:eastAsiaTheme="minorHAnsi"/>
          <w:i/>
          <w:iCs/>
          <w:szCs w:val="24"/>
          <w:u w:val="single"/>
        </w:rPr>
      </w:pPr>
      <w:r w:rsidRPr="00DA0CB4">
        <w:rPr>
          <w:rFonts w:eastAsiaTheme="minorHAnsi"/>
          <w:szCs w:val="24"/>
        </w:rPr>
        <w:tab/>
      </w:r>
      <w:r w:rsidRPr="00DA0CB4">
        <w:rPr>
          <w:rFonts w:eastAsiaTheme="minorHAnsi"/>
          <w:i/>
          <w:iCs/>
          <w:szCs w:val="24"/>
          <w:u w:val="single"/>
        </w:rPr>
        <w:t xml:space="preserve">/s/ </w:t>
      </w:r>
      <w:r>
        <w:rPr>
          <w:rFonts w:eastAsiaTheme="minorHAnsi"/>
          <w:i/>
          <w:iCs/>
          <w:szCs w:val="24"/>
          <w:u w:val="single"/>
        </w:rPr>
        <w:t>William J. Michael</w:t>
      </w:r>
      <w:r>
        <w:rPr>
          <w:rFonts w:eastAsiaTheme="minorHAnsi"/>
          <w:i/>
          <w:iCs/>
          <w:szCs w:val="24"/>
          <w:u w:val="single"/>
        </w:rPr>
        <w:tab/>
      </w:r>
    </w:p>
    <w:p w:rsidR="00503B89" w:rsidRPr="00DA0CB4" w:rsidP="00503B89" w14:paraId="696F003F" w14:textId="77777777">
      <w:pPr>
        <w:tabs>
          <w:tab w:val="left" w:pos="4320"/>
        </w:tabs>
        <w:rPr>
          <w:rFonts w:eastAsiaTheme="minorHAnsi"/>
          <w:szCs w:val="24"/>
        </w:rPr>
      </w:pPr>
      <w:r w:rsidRPr="00DA0CB4">
        <w:rPr>
          <w:rFonts w:eastAsiaTheme="minorHAnsi"/>
          <w:szCs w:val="24"/>
        </w:rPr>
        <w:tab/>
        <w:t>William J. Michael (0070921)</w:t>
      </w:r>
    </w:p>
    <w:p w:rsidR="00503B89" w:rsidP="00503B89" w14:paraId="62695AE9" w14:textId="77777777">
      <w:pPr>
        <w:tabs>
          <w:tab w:val="left" w:pos="4320"/>
        </w:tabs>
        <w:rPr>
          <w:rFonts w:eastAsiaTheme="minorHAnsi"/>
          <w:szCs w:val="24"/>
        </w:rPr>
      </w:pPr>
      <w:r w:rsidRPr="00DA0CB4">
        <w:rPr>
          <w:rFonts w:eastAsiaTheme="minorHAnsi"/>
          <w:szCs w:val="24"/>
        </w:rPr>
        <w:tab/>
        <w:t>Counsel of Record</w:t>
      </w:r>
    </w:p>
    <w:p w:rsidR="00503B89" w:rsidRPr="007E2879" w:rsidP="00503B89" w14:paraId="7ED1774E" w14:textId="77777777">
      <w:pPr>
        <w:tabs>
          <w:tab w:val="left" w:pos="4320"/>
        </w:tabs>
        <w:ind w:left="4320"/>
        <w:rPr>
          <w:szCs w:val="24"/>
        </w:rPr>
      </w:pPr>
      <w:r w:rsidRPr="007E2879">
        <w:rPr>
          <w:szCs w:val="24"/>
        </w:rPr>
        <w:t>Bryce McKenney (0088203)</w:t>
      </w:r>
    </w:p>
    <w:p w:rsidR="00503B89" w:rsidRPr="007E2879" w:rsidP="00503B89" w14:paraId="44DAE34C" w14:textId="7B6770DB">
      <w:pPr>
        <w:tabs>
          <w:tab w:val="left" w:pos="4320"/>
        </w:tabs>
        <w:ind w:left="4320"/>
        <w:rPr>
          <w:szCs w:val="24"/>
        </w:rPr>
      </w:pPr>
      <w:r w:rsidRPr="007E2879">
        <w:rPr>
          <w:szCs w:val="24"/>
        </w:rPr>
        <w:t>Assistant Consumers</w:t>
      </w:r>
      <w:r w:rsidR="00771779">
        <w:rPr>
          <w:szCs w:val="24"/>
        </w:rPr>
        <w:t>’</w:t>
      </w:r>
      <w:r w:rsidRPr="007E2879">
        <w:rPr>
          <w:szCs w:val="24"/>
        </w:rPr>
        <w:t xml:space="preserve"> Counsel</w:t>
      </w:r>
    </w:p>
    <w:p w:rsidR="00503B89" w:rsidRPr="00DA0CB4" w:rsidP="00503B89" w14:paraId="1C4EAD1C" w14:textId="77777777">
      <w:pPr>
        <w:tabs>
          <w:tab w:val="left" w:pos="4320"/>
        </w:tabs>
        <w:rPr>
          <w:rFonts w:eastAsiaTheme="minorHAnsi"/>
          <w:b/>
          <w:szCs w:val="24"/>
        </w:rPr>
      </w:pPr>
      <w:r w:rsidRPr="00DA0CB4">
        <w:rPr>
          <w:rFonts w:eastAsiaTheme="minorHAnsi"/>
          <w:szCs w:val="24"/>
        </w:rPr>
        <w:tab/>
      </w:r>
    </w:p>
    <w:p w:rsidR="00503B89" w:rsidRPr="00DA0CB4" w:rsidP="00503B89" w14:paraId="1153BE20" w14:textId="16970BCD">
      <w:pPr>
        <w:ind w:left="4320"/>
        <w:rPr>
          <w:rFonts w:eastAsiaTheme="minorHAnsi"/>
          <w:b/>
          <w:szCs w:val="24"/>
        </w:rPr>
      </w:pPr>
      <w:r w:rsidRPr="00DA0CB4">
        <w:rPr>
          <w:rFonts w:eastAsiaTheme="minorHAnsi"/>
          <w:b/>
          <w:szCs w:val="24"/>
        </w:rPr>
        <w:t>Office of the Ohio Consumers</w:t>
      </w:r>
      <w:r w:rsidR="00771779">
        <w:rPr>
          <w:rFonts w:eastAsiaTheme="minorHAnsi"/>
          <w:b/>
          <w:szCs w:val="24"/>
        </w:rPr>
        <w:t>’</w:t>
      </w:r>
      <w:r w:rsidRPr="00DA0CB4">
        <w:rPr>
          <w:rFonts w:eastAsiaTheme="minorHAnsi"/>
          <w:b/>
          <w:szCs w:val="24"/>
        </w:rPr>
        <w:t xml:space="preserve"> Counsel</w:t>
      </w:r>
    </w:p>
    <w:p w:rsidR="00503B89" w:rsidRPr="00DA0CB4" w:rsidP="00503B89" w14:paraId="54B198E2" w14:textId="77777777">
      <w:pPr>
        <w:ind w:left="3600" w:firstLine="720"/>
        <w:rPr>
          <w:rFonts w:eastAsiaTheme="minorHAnsi"/>
          <w:b/>
          <w:szCs w:val="24"/>
        </w:rPr>
      </w:pPr>
      <w:r w:rsidRPr="00DA0CB4">
        <w:rPr>
          <w:rFonts w:eastAsiaTheme="minorHAnsi"/>
          <w:szCs w:val="24"/>
        </w:rPr>
        <w:t>65 East State Street, 7</w:t>
      </w:r>
      <w:r w:rsidRPr="00CE1184">
        <w:rPr>
          <w:rFonts w:eastAsiaTheme="minorHAnsi"/>
          <w:szCs w:val="24"/>
        </w:rPr>
        <w:t xml:space="preserve">th </w:t>
      </w:r>
      <w:r w:rsidRPr="00DA0CB4">
        <w:rPr>
          <w:rFonts w:eastAsiaTheme="minorHAnsi"/>
          <w:szCs w:val="24"/>
        </w:rPr>
        <w:t>Floor</w:t>
      </w:r>
    </w:p>
    <w:p w:rsidR="00503B89" w:rsidRPr="00DA0CB4" w:rsidP="00503B89" w14:paraId="3C42E5FA" w14:textId="77777777">
      <w:pPr>
        <w:ind w:left="3600" w:firstLine="720"/>
        <w:rPr>
          <w:rFonts w:eastAsiaTheme="minorHAnsi"/>
          <w:szCs w:val="24"/>
        </w:rPr>
      </w:pPr>
      <w:r w:rsidRPr="00DA0CB4">
        <w:rPr>
          <w:rFonts w:eastAsiaTheme="minorHAnsi"/>
          <w:szCs w:val="24"/>
        </w:rPr>
        <w:t>Columbus, Ohio 43215-4213</w:t>
      </w:r>
    </w:p>
    <w:p w:rsidR="00503B89" w:rsidP="00503B89" w14:paraId="6D7D736C" w14:textId="77777777">
      <w:pPr>
        <w:autoSpaceDE w:val="0"/>
        <w:autoSpaceDN w:val="0"/>
        <w:adjustRightInd w:val="0"/>
        <w:ind w:left="4320"/>
        <w:rPr>
          <w:rFonts w:eastAsiaTheme="minorHAnsi"/>
          <w:szCs w:val="24"/>
        </w:rPr>
      </w:pPr>
      <w:r w:rsidRPr="00DA0CB4">
        <w:rPr>
          <w:rFonts w:eastAsiaTheme="minorHAnsi"/>
          <w:szCs w:val="24"/>
        </w:rPr>
        <w:t>Telephone [Michael]: (614) 466-1291</w:t>
      </w:r>
    </w:p>
    <w:p w:rsidR="00503B89" w:rsidRPr="007E2879" w:rsidP="00503B89" w14:paraId="00C1DAA4" w14:textId="77777777">
      <w:pPr>
        <w:autoSpaceDE w:val="0"/>
        <w:autoSpaceDN w:val="0"/>
        <w:adjustRightInd w:val="0"/>
        <w:ind w:left="4320"/>
        <w:rPr>
          <w:szCs w:val="24"/>
        </w:rPr>
      </w:pPr>
      <w:r w:rsidRPr="007E2879">
        <w:rPr>
          <w:szCs w:val="24"/>
        </w:rPr>
        <w:t>Telephone [McKenney]: (614) 466-9585</w:t>
      </w:r>
    </w:p>
    <w:p w:rsidR="00503B89" w:rsidP="00503B89" w14:paraId="27ED8857" w14:textId="77777777">
      <w:pPr>
        <w:tabs>
          <w:tab w:val="left" w:pos="4320"/>
        </w:tabs>
        <w:rPr>
          <w:rFonts w:eastAsiaTheme="minorHAnsi"/>
          <w:color w:val="0000FF"/>
          <w:szCs w:val="24"/>
          <w:u w:val="single"/>
        </w:rPr>
      </w:pPr>
      <w:r w:rsidRPr="00DA0CB4">
        <w:rPr>
          <w:rFonts w:eastAsiaTheme="minorHAnsi"/>
          <w:szCs w:val="24"/>
        </w:rPr>
        <w:tab/>
      </w:r>
      <w:hyperlink r:id="rId7" w:history="1">
        <w:r>
          <w:rPr>
            <w:rFonts w:eastAsiaTheme="minorHAnsi"/>
            <w:color w:val="0000FF"/>
            <w:szCs w:val="24"/>
            <w:u w:val="single"/>
          </w:rPr>
          <w:t>w</w:t>
        </w:r>
        <w:r w:rsidRPr="00DA0CB4">
          <w:rPr>
            <w:rFonts w:eastAsiaTheme="minorHAnsi"/>
            <w:color w:val="0000FF"/>
            <w:szCs w:val="24"/>
            <w:u w:val="single"/>
          </w:rPr>
          <w:t>illiam.michael@occ.ohio.gov</w:t>
        </w:r>
      </w:hyperlink>
    </w:p>
    <w:p w:rsidR="00503B89" w:rsidRPr="007E2879" w:rsidP="00503B89" w14:paraId="5E944560" w14:textId="77777777">
      <w:pPr>
        <w:ind w:left="4320"/>
        <w:rPr>
          <w:rStyle w:val="Hyperlink"/>
          <w:szCs w:val="24"/>
        </w:rPr>
      </w:pPr>
      <w:r w:rsidRPr="007E2879">
        <w:rPr>
          <w:rStyle w:val="Hyperlink"/>
          <w:szCs w:val="24"/>
        </w:rPr>
        <w:t>bryce.mckenney@occ.ohio.gov</w:t>
      </w:r>
    </w:p>
    <w:p w:rsidR="00503B89" w:rsidRPr="00DA0CB4" w:rsidP="00503B89" w14:paraId="79365C0F" w14:textId="77777777">
      <w:pPr>
        <w:ind w:left="4320"/>
        <w:rPr>
          <w:rFonts w:eastAsiaTheme="minorHAnsi"/>
          <w:szCs w:val="24"/>
        </w:rPr>
      </w:pPr>
      <w:r w:rsidRPr="00DA0CB4">
        <w:rPr>
          <w:rFonts w:eastAsiaTheme="minorHAnsi"/>
          <w:szCs w:val="24"/>
        </w:rPr>
        <w:t>(</w:t>
      </w:r>
      <w:r>
        <w:rPr>
          <w:rFonts w:eastAsiaTheme="minorHAnsi"/>
          <w:szCs w:val="24"/>
        </w:rPr>
        <w:t>w</w:t>
      </w:r>
      <w:r w:rsidRPr="00DA0CB4">
        <w:rPr>
          <w:rFonts w:eastAsiaTheme="minorHAnsi"/>
          <w:szCs w:val="24"/>
        </w:rPr>
        <w:t>illing to accept service by e-mail)</w:t>
      </w:r>
    </w:p>
    <w:p w:rsidR="005E77C0" w:rsidRPr="00C54DC3" w:rsidP="00586697" w14:paraId="1FAB1D73" w14:textId="77777777">
      <w:pPr>
        <w:jc w:val="center"/>
        <w:rPr>
          <w:b/>
          <w:bCs/>
          <w:szCs w:val="24"/>
          <w:u w:val="single"/>
        </w:rPr>
        <w:sectPr w:rsidSect="00DC4006">
          <w:headerReference w:type="default" r:id="rId9"/>
          <w:footerReference w:type="default" r:id="rId10"/>
          <w:pgSz w:w="12240" w:h="15840"/>
          <w:pgMar w:top="1440" w:right="1800" w:bottom="1440" w:left="1800" w:header="720" w:footer="720" w:gutter="0"/>
          <w:pgNumType w:start="1"/>
          <w:cols w:space="720"/>
          <w:docGrid w:linePitch="360"/>
        </w:sectPr>
      </w:pPr>
    </w:p>
    <w:p w:rsidR="00586697" w:rsidRPr="00C54DC3" w:rsidP="00586697" w14:paraId="029596E7" w14:textId="77777777">
      <w:pPr>
        <w:jc w:val="center"/>
        <w:rPr>
          <w:b/>
          <w:bCs/>
          <w:szCs w:val="24"/>
          <w:u w:val="single"/>
        </w:rPr>
      </w:pPr>
      <w:r w:rsidRPr="00C54DC3">
        <w:rPr>
          <w:b/>
          <w:bCs/>
          <w:szCs w:val="24"/>
          <w:u w:val="single"/>
        </w:rPr>
        <w:t>CERTIFICATE OF SERVICE</w:t>
      </w:r>
    </w:p>
    <w:p w:rsidR="00586697" w:rsidRPr="00C54DC3" w:rsidP="00586697" w14:paraId="3FCAD264" w14:textId="77777777">
      <w:pPr>
        <w:jc w:val="center"/>
        <w:rPr>
          <w:b/>
          <w:bCs/>
          <w:szCs w:val="24"/>
          <w:u w:val="single"/>
        </w:rPr>
      </w:pPr>
    </w:p>
    <w:p w:rsidR="00586697" w:rsidRPr="00C54DC3" w:rsidP="00586697" w14:paraId="62F62231" w14:textId="194A0D61">
      <w:pPr>
        <w:spacing w:line="480" w:lineRule="atLeast"/>
        <w:ind w:firstLine="720"/>
        <w:rPr>
          <w:szCs w:val="24"/>
        </w:rPr>
      </w:pPr>
      <w:r w:rsidRPr="00C54DC3">
        <w:rPr>
          <w:szCs w:val="24"/>
        </w:rPr>
        <w:t>I hereby certify that a copy of this Motion to Intervene was served on the persons stated below via</w:t>
      </w:r>
      <w:r w:rsidRPr="00C54DC3">
        <w:rPr>
          <w:i/>
          <w:szCs w:val="24"/>
        </w:rPr>
        <w:t xml:space="preserve"> </w:t>
      </w:r>
      <w:r w:rsidRPr="00C54DC3">
        <w:rPr>
          <w:szCs w:val="24"/>
        </w:rPr>
        <w:t xml:space="preserve">electric transmission </w:t>
      </w:r>
      <w:r w:rsidR="00B5587C">
        <w:rPr>
          <w:szCs w:val="24"/>
        </w:rPr>
        <w:t xml:space="preserve">upon the parties below </w:t>
      </w:r>
      <w:r w:rsidRPr="00C54DC3">
        <w:rPr>
          <w:szCs w:val="24"/>
        </w:rPr>
        <w:t xml:space="preserve">this </w:t>
      </w:r>
      <w:r w:rsidR="00616ED0">
        <w:rPr>
          <w:szCs w:val="24"/>
        </w:rPr>
        <w:t>17th</w:t>
      </w:r>
      <w:r w:rsidR="00B5587C">
        <w:rPr>
          <w:szCs w:val="24"/>
        </w:rPr>
        <w:t xml:space="preserve"> day of October</w:t>
      </w:r>
      <w:r w:rsidRPr="00C54DC3">
        <w:rPr>
          <w:szCs w:val="24"/>
        </w:rPr>
        <w:t xml:space="preserve"> 2019.</w:t>
      </w:r>
    </w:p>
    <w:p w:rsidR="00586697" w:rsidRPr="00C54DC3" w:rsidP="00586697" w14:paraId="178A96CF" w14:textId="77777777">
      <w:pPr>
        <w:spacing w:line="480" w:lineRule="atLeast"/>
        <w:rPr>
          <w:szCs w:val="24"/>
        </w:rPr>
      </w:pPr>
    </w:p>
    <w:p w:rsidR="00586697" w:rsidRPr="00C54DC3" w:rsidP="00586697" w14:paraId="3AC830FB" w14:textId="1B868B13">
      <w:pPr>
        <w:autoSpaceDE w:val="0"/>
        <w:autoSpaceDN w:val="0"/>
        <w:adjustRightInd w:val="0"/>
        <w:ind w:left="4320"/>
        <w:rPr>
          <w:i/>
          <w:szCs w:val="24"/>
        </w:rPr>
      </w:pPr>
      <w:r w:rsidRPr="00C54DC3">
        <w:rPr>
          <w:i/>
          <w:szCs w:val="24"/>
          <w:u w:val="single"/>
        </w:rPr>
        <w:t>/s/ </w:t>
      </w:r>
      <w:r w:rsidR="00CE1184">
        <w:rPr>
          <w:i/>
          <w:szCs w:val="24"/>
          <w:u w:val="single"/>
        </w:rPr>
        <w:t>William J. Michael</w:t>
      </w:r>
      <w:r w:rsidR="00CE1184">
        <w:rPr>
          <w:i/>
          <w:szCs w:val="24"/>
          <w:u w:val="single"/>
        </w:rPr>
        <w:tab/>
      </w:r>
      <w:r w:rsidR="00CE1184">
        <w:rPr>
          <w:i/>
          <w:szCs w:val="24"/>
          <w:u w:val="single"/>
        </w:rPr>
        <w:tab/>
      </w:r>
      <w:r w:rsidRPr="00C54DC3">
        <w:rPr>
          <w:i/>
          <w:szCs w:val="24"/>
          <w:u w:val="single"/>
        </w:rPr>
        <w:tab/>
      </w:r>
    </w:p>
    <w:p w:rsidR="00586697" w:rsidRPr="00C54DC3" w:rsidP="00586697" w14:paraId="2D0BE65A" w14:textId="613DF419">
      <w:pPr>
        <w:tabs>
          <w:tab w:val="left" w:pos="4320"/>
        </w:tabs>
        <w:ind w:left="4320"/>
        <w:rPr>
          <w:szCs w:val="24"/>
        </w:rPr>
      </w:pPr>
      <w:r>
        <w:rPr>
          <w:szCs w:val="24"/>
        </w:rPr>
        <w:t>William J. Michael</w:t>
      </w:r>
      <w:r w:rsidRPr="00C54DC3" w:rsidR="00811ABE">
        <w:rPr>
          <w:szCs w:val="24"/>
        </w:rPr>
        <w:br/>
      </w:r>
      <w:r>
        <w:rPr>
          <w:szCs w:val="24"/>
        </w:rPr>
        <w:t>Assistant Consumers</w:t>
      </w:r>
      <w:r w:rsidR="00771779">
        <w:rPr>
          <w:szCs w:val="24"/>
        </w:rPr>
        <w:t>’</w:t>
      </w:r>
      <w:r>
        <w:rPr>
          <w:szCs w:val="24"/>
        </w:rPr>
        <w:t xml:space="preserve"> Counsel</w:t>
      </w:r>
    </w:p>
    <w:p w:rsidR="00586697" w:rsidRPr="00C54DC3" w:rsidP="00586697" w14:paraId="3C90C404" w14:textId="77777777">
      <w:pPr>
        <w:pStyle w:val="CommentSubject"/>
        <w:rPr>
          <w:szCs w:val="24"/>
        </w:rPr>
      </w:pPr>
    </w:p>
    <w:p w:rsidR="00746A9A" w:rsidRPr="00A619A1" w:rsidP="00746A9A" w14:paraId="7B7CAA71" w14:textId="096A9D17">
      <w:pPr>
        <w:pStyle w:val="CommentText"/>
        <w:rPr>
          <w:bCs/>
        </w:rPr>
      </w:pPr>
      <w:r w:rsidRPr="00A619A1">
        <w:rPr>
          <w:bCs/>
        </w:rPr>
        <w:t>The PUCO</w:t>
      </w:r>
      <w:r w:rsidR="00771779">
        <w:rPr>
          <w:bCs/>
        </w:rPr>
        <w:t>’</w:t>
      </w:r>
      <w:r w:rsidRPr="00A619A1">
        <w:rPr>
          <w:bCs/>
        </w:rPr>
        <w:t>s e-filing system will electronically serve notice of the filing of this document on the following parties:</w:t>
      </w:r>
    </w:p>
    <w:p w:rsidR="00746A9A" w:rsidRPr="00A452E0" w:rsidP="00746A9A" w14:paraId="78A3AB7B" w14:textId="77777777">
      <w:pPr>
        <w:tabs>
          <w:tab w:val="left" w:pos="4320"/>
        </w:tabs>
      </w:pPr>
    </w:p>
    <w:p w:rsidR="00746A9A" w:rsidP="00746A9A" w14:paraId="39F68665" w14:textId="77777777">
      <w:pPr>
        <w:pStyle w:val="CommentText"/>
        <w:jc w:val="center"/>
        <w:rPr>
          <w:b/>
          <w:u w:val="single"/>
        </w:rPr>
      </w:pPr>
      <w:r w:rsidRPr="00710E80">
        <w:rPr>
          <w:b/>
          <w:u w:val="single"/>
        </w:rPr>
        <w:t>SERVICE LIST</w:t>
      </w:r>
    </w:p>
    <w:p w:rsidR="00746A9A" w:rsidP="00746A9A" w14:paraId="418E9C25"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3C9B4099" w14:textId="77777777" w:rsidTr="00FE57F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746A9A" w:rsidRPr="00465AA6" w:rsidP="00FE57F1" w14:paraId="080CA954" w14:textId="59AD54AD">
            <w:pPr>
              <w:rPr>
                <w:rStyle w:val="Hyperlink"/>
              </w:rPr>
            </w:pPr>
            <w:r>
              <w:rPr>
                <w:rStyle w:val="Hyperlink"/>
              </w:rPr>
              <w:t>j</w:t>
            </w:r>
            <w:r w:rsidRPr="00465AA6">
              <w:rPr>
                <w:rStyle w:val="Hyperlink"/>
              </w:rPr>
              <w:t>ohn.jones@ohioattorneygeneral.gov</w:t>
            </w:r>
          </w:p>
          <w:p w:rsidR="00746A9A" w:rsidP="00FE57F1" w14:paraId="30D6DFF2" w14:textId="77777777"/>
          <w:p w:rsidR="00746A9A" w:rsidP="00FE57F1" w14:paraId="3E5A18D0" w14:textId="77777777"/>
        </w:tc>
        <w:tc>
          <w:tcPr>
            <w:tcW w:w="4315" w:type="dxa"/>
          </w:tcPr>
          <w:p w:rsidR="00746A9A" w:rsidRPr="00CE1184" w:rsidP="00FE57F1" w14:paraId="56EA7AB8" w14:textId="54E5A9A3">
            <w:pPr>
              <w:ind w:left="400"/>
              <w:rPr>
                <w:rStyle w:val="Hyperlink"/>
              </w:rPr>
            </w:pPr>
            <w:r w:rsidRPr="00CE1184">
              <w:rPr>
                <w:rStyle w:val="Hyperlink"/>
              </w:rPr>
              <w:t>Michael.schuler@aes.com</w:t>
            </w:r>
          </w:p>
          <w:p w:rsidR="00CE1184" w:rsidP="00FE57F1" w14:paraId="09A9BC9E" w14:textId="77777777">
            <w:pPr>
              <w:ind w:left="400"/>
              <w:rPr>
                <w:rFonts w:ascii="Times-Roman" w:hAnsi="Times-Roman" w:cs="Times-Roman"/>
              </w:rPr>
            </w:pPr>
          </w:p>
          <w:p w:rsidR="00746A9A" w:rsidP="00FE57F1" w14:paraId="7C72D263" w14:textId="77777777"/>
          <w:p w:rsidR="00746A9A" w:rsidP="00FE57F1" w14:paraId="5BFE0F3B" w14:textId="77777777"/>
        </w:tc>
      </w:tr>
    </w:tbl>
    <w:p w:rsidR="00586697" w:rsidRPr="00C54DC3" w:rsidP="00586697" w14:paraId="4F84E367" w14:textId="77777777">
      <w:pPr>
        <w:pStyle w:val="CommentText"/>
        <w:jc w:val="center"/>
        <w:rPr>
          <w:b/>
          <w:u w:val="single"/>
        </w:rPr>
      </w:pPr>
    </w:p>
    <w:p w:rsidR="00DC4006" w:rsidRPr="00C54DC3" w:rsidP="00586697" w14:paraId="0572EADB" w14:textId="77777777">
      <w:pPr>
        <w:pStyle w:val="CommentText"/>
        <w:rPr>
          <w:b/>
          <w:bCs/>
        </w:rPr>
      </w:pPr>
    </w:p>
    <w:sectPr w:rsidSect="005E77C0">
      <w:footerReference w:type="defaul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1DEE" w14:paraId="791A03BC" w14:textId="03DC5BD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0249043"/>
      <w:docPartObj>
        <w:docPartGallery w:val="Page Numbers (Bottom of Page)"/>
        <w:docPartUnique/>
      </w:docPartObj>
    </w:sdtPr>
    <w:sdtEndPr>
      <w:rPr>
        <w:noProof/>
        <w:sz w:val="24"/>
        <w:szCs w:val="24"/>
      </w:rPr>
    </w:sdtEndPr>
    <w:sdtContent>
      <w:p w:rsidR="00771779" w:rsidRPr="00771779" w14:paraId="5609924E" w14:textId="23B334ED">
        <w:pPr>
          <w:pStyle w:val="Footer"/>
          <w:jc w:val="center"/>
          <w:rPr>
            <w:sz w:val="24"/>
            <w:szCs w:val="24"/>
          </w:rPr>
        </w:pPr>
        <w:r w:rsidRPr="00771779">
          <w:rPr>
            <w:sz w:val="24"/>
            <w:szCs w:val="24"/>
          </w:rPr>
          <w:fldChar w:fldCharType="begin"/>
        </w:r>
        <w:r w:rsidRPr="00771779">
          <w:rPr>
            <w:sz w:val="24"/>
            <w:szCs w:val="24"/>
          </w:rPr>
          <w:instrText xml:space="preserve"> PAGE   \* MERGEFORMAT </w:instrText>
        </w:r>
        <w:r w:rsidRPr="00771779">
          <w:rPr>
            <w:sz w:val="24"/>
            <w:szCs w:val="24"/>
          </w:rPr>
          <w:fldChar w:fldCharType="separate"/>
        </w:r>
        <w:r w:rsidRPr="00771779">
          <w:rPr>
            <w:noProof/>
            <w:sz w:val="24"/>
            <w:szCs w:val="24"/>
          </w:rPr>
          <w:t>2</w:t>
        </w:r>
        <w:r w:rsidRPr="0077177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98718357"/>
      <w:docPartObj>
        <w:docPartGallery w:val="Page Numbers (Bottom of Page)"/>
        <w:docPartUnique/>
      </w:docPartObj>
    </w:sdtPr>
    <w:sdtEndPr>
      <w:rPr>
        <w:noProof/>
        <w:sz w:val="24"/>
        <w:szCs w:val="24"/>
      </w:rPr>
    </w:sdtEndPr>
    <w:sdtContent>
      <w:p w:rsidR="005E77C0" w:rsidRPr="005E77C0" w14:paraId="0BDF2E09" w14:textId="77777777">
        <w:pPr>
          <w:pStyle w:val="Footer"/>
          <w:jc w:val="center"/>
          <w:rPr>
            <w:sz w:val="24"/>
            <w:szCs w:val="24"/>
          </w:rPr>
        </w:pPr>
        <w:r w:rsidRPr="005E77C0">
          <w:rPr>
            <w:sz w:val="24"/>
            <w:szCs w:val="24"/>
          </w:rPr>
          <w:fldChar w:fldCharType="begin"/>
        </w:r>
        <w:r w:rsidRPr="005E77C0">
          <w:rPr>
            <w:sz w:val="24"/>
            <w:szCs w:val="24"/>
          </w:rPr>
          <w:instrText xml:space="preserve"> PAGE   \* MERGEFORMAT </w:instrText>
        </w:r>
        <w:r w:rsidRPr="005E77C0">
          <w:rPr>
            <w:sz w:val="24"/>
            <w:szCs w:val="24"/>
          </w:rPr>
          <w:fldChar w:fldCharType="separate"/>
        </w:r>
        <w:r w:rsidRPr="005E77C0">
          <w:rPr>
            <w:noProof/>
            <w:sz w:val="24"/>
            <w:szCs w:val="24"/>
          </w:rPr>
          <w:t>2</w:t>
        </w:r>
        <w:r w:rsidRPr="005E77C0">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9097031"/>
      <w:docPartObj>
        <w:docPartGallery w:val="Page Numbers (Bottom of Page)"/>
        <w:docPartUnique/>
      </w:docPartObj>
    </w:sdtPr>
    <w:sdtEndPr>
      <w:rPr>
        <w:noProof/>
        <w:sz w:val="24"/>
        <w:szCs w:val="24"/>
      </w:rPr>
    </w:sdtEndPr>
    <w:sdtContent>
      <w:p w:rsidR="005E77C0" w:rsidRPr="005E77C0" w14:paraId="4D8CBC7B" w14:textId="77777777">
        <w:pPr>
          <w:pStyle w:val="Footer"/>
          <w:jc w:val="center"/>
          <w:rPr>
            <w:sz w:val="24"/>
            <w:szCs w:val="24"/>
          </w:rPr>
        </w:pPr>
        <w:r w:rsidRPr="005E77C0">
          <w:rPr>
            <w:sz w:val="24"/>
            <w:szCs w:val="24"/>
          </w:rPr>
          <w:fldChar w:fldCharType="begin"/>
        </w:r>
        <w:r w:rsidRPr="005E77C0">
          <w:rPr>
            <w:sz w:val="24"/>
            <w:szCs w:val="24"/>
          </w:rPr>
          <w:instrText xml:space="preserve"> PAGE   \* MERGEFORMAT </w:instrText>
        </w:r>
        <w:r w:rsidRPr="005E77C0">
          <w:rPr>
            <w:sz w:val="24"/>
            <w:szCs w:val="24"/>
          </w:rPr>
          <w:fldChar w:fldCharType="separate"/>
        </w:r>
        <w:r w:rsidRPr="005E77C0">
          <w:rPr>
            <w:noProof/>
            <w:sz w:val="24"/>
            <w:szCs w:val="24"/>
          </w:rPr>
          <w:t>2</w:t>
        </w:r>
        <w:r w:rsidRPr="005E77C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1B4E" w14:paraId="4535A771" w14:textId="77777777">
      <w:r>
        <w:separator/>
      </w:r>
    </w:p>
  </w:footnote>
  <w:footnote w:type="continuationSeparator" w:id="1">
    <w:p w:rsidR="000D1B4E" w14:paraId="6EDC2F53" w14:textId="77777777">
      <w:r>
        <w:continuationSeparator/>
      </w:r>
    </w:p>
  </w:footnote>
  <w:footnote w:id="2">
    <w:p w:rsidR="00D23428" w:rsidRPr="00F82653" w:rsidP="00D23428" w14:paraId="0AD43204" w14:textId="77777777">
      <w:pPr>
        <w:pStyle w:val="FootnoteText"/>
        <w:spacing w:after="120"/>
      </w:pPr>
      <w:r>
        <w:rPr>
          <w:rStyle w:val="FootnoteReference"/>
        </w:rPr>
        <w:footnoteRef/>
      </w:r>
      <w:r>
        <w:t xml:space="preserve"> </w:t>
      </w:r>
      <w:r>
        <w:rPr>
          <w:i/>
          <w:iCs/>
        </w:rPr>
        <w:t xml:space="preserve">See </w:t>
      </w:r>
      <w:r>
        <w:t>R.C. Chapter 4911, R.C. 4903.221, and Ohio Adm.Code 4901-1-11.</w:t>
      </w:r>
    </w:p>
  </w:footnote>
  <w:footnote w:id="3">
    <w:p w:rsidR="00F82653" w:rsidRPr="00F82653" w:rsidP="004F1DEE" w14:paraId="7E628DA9" w14:textId="155CB994">
      <w:pPr>
        <w:pStyle w:val="FootnoteText"/>
        <w:spacing w:after="120"/>
      </w:pPr>
      <w:r>
        <w:rPr>
          <w:rStyle w:val="FootnoteReference"/>
        </w:rPr>
        <w:footnoteRef/>
      </w:r>
      <w:r>
        <w:t xml:space="preserve"> Based on 1,000 kWh per month.</w:t>
      </w:r>
      <w:r w:rsidR="00501BF5">
        <w:t xml:space="preserve"> </w:t>
      </w:r>
      <w:r>
        <w:rPr>
          <w:i/>
          <w:iCs/>
        </w:rPr>
        <w:t xml:space="preserve">See </w:t>
      </w:r>
      <w:r>
        <w:t>Schedules and Workpaper attached to DP&amp;L</w:t>
      </w:r>
      <w:r w:rsidR="00771779">
        <w:t>’</w:t>
      </w:r>
      <w:r>
        <w:t>s Application.</w:t>
      </w:r>
    </w:p>
  </w:footnote>
  <w:footnote w:id="4">
    <w:p w:rsidR="000F412F" w:rsidRPr="000F412F" w:rsidP="004F1DEE" w14:paraId="38671EA8" w14:textId="58FACE5D">
      <w:pPr>
        <w:pStyle w:val="FootnoteText"/>
        <w:spacing w:after="120"/>
      </w:pPr>
      <w:r>
        <w:rPr>
          <w:rStyle w:val="FootnoteReference"/>
        </w:rPr>
        <w:footnoteRef/>
      </w:r>
      <w:r>
        <w:t xml:space="preserve"> </w:t>
      </w:r>
      <w:r>
        <w:rPr>
          <w:i/>
          <w:iCs/>
        </w:rPr>
        <w:t xml:space="preserve">See </w:t>
      </w:r>
      <w:r>
        <w:t>Court Case No. 2019-0020.</w:t>
      </w:r>
      <w:r w:rsidR="00501BF5">
        <w:t xml:space="preserve"> </w:t>
      </w:r>
      <w:r>
        <w:t>Notwithstanding this Motion to Intervene</w:t>
      </w:r>
      <w:r w:rsidR="00845E6B">
        <w:t xml:space="preserve"> or anything stated herein</w:t>
      </w:r>
      <w:r>
        <w:t>, OCC believes that the OVEC Subsidy Charge is unlawful.</w:t>
      </w:r>
      <w:r w:rsidR="00501BF5">
        <w:t xml:space="preserve"> </w:t>
      </w:r>
      <w:r>
        <w:t>Therefore, consumers should not pay it at all.</w:t>
      </w:r>
    </w:p>
  </w:footnote>
  <w:footnote w:id="5">
    <w:p w:rsidR="000F412F" w:rsidP="004F1DEE" w14:paraId="6BF63B5D" w14:textId="648A45B4">
      <w:pPr>
        <w:pStyle w:val="FootnoteText"/>
        <w:spacing w:after="120"/>
      </w:pPr>
      <w:r>
        <w:rPr>
          <w:rStyle w:val="FootnoteReference"/>
        </w:rPr>
        <w:footnoteRef/>
      </w:r>
      <w:r>
        <w:t xml:space="preserve"> Based on 1,000 kWh per month.</w:t>
      </w:r>
      <w:r w:rsidR="00501BF5">
        <w:t xml:space="preserve"> </w:t>
      </w:r>
      <w:r>
        <w:rPr>
          <w:i/>
          <w:iCs/>
        </w:rPr>
        <w:t xml:space="preserve">See </w:t>
      </w:r>
      <w:r>
        <w:t>Schedules and Workpaper attached to DP&amp;L</w:t>
      </w:r>
      <w:r w:rsidR="00771779">
        <w:t>’</w:t>
      </w:r>
      <w:r>
        <w:t>s Application.</w:t>
      </w:r>
    </w:p>
  </w:footnote>
  <w:footnote w:id="6">
    <w:p w:rsidR="00586697" w:rsidRPr="00A93B8E" w:rsidP="004F1DEE" w14:paraId="19DF6582" w14:textId="77777777">
      <w:pPr>
        <w:pStyle w:val="FootnoteText"/>
        <w:spacing w:before="0" w:after="120"/>
      </w:pPr>
      <w:r w:rsidRPr="00A93B8E">
        <w:rPr>
          <w:rStyle w:val="FootnoteReference"/>
        </w:rPr>
        <w:footnoteRef/>
      </w:r>
      <w:r w:rsidRPr="00A93B8E">
        <w:t xml:space="preserve"> </w:t>
      </w:r>
      <w:r w:rsidRPr="00A93B8E">
        <w:rPr>
          <w:i/>
        </w:rPr>
        <w:t>See</w:t>
      </w:r>
      <w:r w:rsidRPr="00A93B8E">
        <w:t xml:space="preserve"> R.C. 4905.22 (</w:t>
      </w:r>
      <w:r>
        <w:t>“</w:t>
      </w:r>
      <w:r w:rsidRPr="00A93B8E">
        <w:t>All charges made or demanded for any service rendered, or to be rendered, shall be just, reasonable, and not more than the charges allowed by law or by order of the public utilities commission . . .</w:t>
      </w:r>
      <w:r>
        <w:t>”</w:t>
      </w:r>
      <w:r w:rsidRPr="00A93B8E">
        <w:t>).</w:t>
      </w:r>
    </w:p>
  </w:footnote>
  <w:footnote w:id="7">
    <w:p w:rsidR="00586697" w:rsidP="004F1DEE" w14:paraId="2A45E2DA" w14:textId="658838C3">
      <w:pPr>
        <w:pStyle w:val="FootnoteText"/>
        <w:spacing w:before="0" w:after="120"/>
      </w:pPr>
      <w:r>
        <w:rPr>
          <w:rStyle w:val="FootnoteReference"/>
        </w:rPr>
        <w:footnoteRef/>
      </w:r>
      <w:r>
        <w:t xml:space="preserve"> </w:t>
      </w:r>
      <w:r w:rsidRPr="009B0BD6">
        <w:rPr>
          <w:i/>
        </w:rPr>
        <w:t>See Ohio Consumers</w:t>
      </w:r>
      <w:r w:rsidR="00771779">
        <w:rPr>
          <w:i/>
        </w:rPr>
        <w:t>’</w:t>
      </w:r>
      <w:r w:rsidRPr="009B0BD6">
        <w:rPr>
          <w:i/>
        </w:rPr>
        <w:t xml:space="preserve"> Counsel v. Pub. Util. Comm.</w:t>
      </w:r>
      <w:r>
        <w:t>, 111 Ohio St.3d 384, 2006-Ohio-5853, 13-20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006" w14:paraId="3CFBC6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B84E02"/>
    <w:multiLevelType w:val="hybridMultilevel"/>
    <w:tmpl w:val="C54EB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77"/>
    <w:rsid w:val="000263A0"/>
    <w:rsid w:val="0003087D"/>
    <w:rsid w:val="00043558"/>
    <w:rsid w:val="00074632"/>
    <w:rsid w:val="000A1CC6"/>
    <w:rsid w:val="000B783F"/>
    <w:rsid w:val="000C5372"/>
    <w:rsid w:val="000C541F"/>
    <w:rsid w:val="000D1B4E"/>
    <w:rsid w:val="000F412F"/>
    <w:rsid w:val="00170477"/>
    <w:rsid w:val="00176914"/>
    <w:rsid w:val="001C4685"/>
    <w:rsid w:val="00230771"/>
    <w:rsid w:val="002561CB"/>
    <w:rsid w:val="0028596E"/>
    <w:rsid w:val="0029415B"/>
    <w:rsid w:val="002C59A9"/>
    <w:rsid w:val="003041A0"/>
    <w:rsid w:val="0030539C"/>
    <w:rsid w:val="003727AA"/>
    <w:rsid w:val="00394F39"/>
    <w:rsid w:val="0046041F"/>
    <w:rsid w:val="00465AA6"/>
    <w:rsid w:val="004C51FD"/>
    <w:rsid w:val="004E33C2"/>
    <w:rsid w:val="004F1DEE"/>
    <w:rsid w:val="00501BF5"/>
    <w:rsid w:val="00503B89"/>
    <w:rsid w:val="00531BA8"/>
    <w:rsid w:val="0053498A"/>
    <w:rsid w:val="00540F15"/>
    <w:rsid w:val="0058526C"/>
    <w:rsid w:val="00586697"/>
    <w:rsid w:val="00587F25"/>
    <w:rsid w:val="005C4149"/>
    <w:rsid w:val="005E77C0"/>
    <w:rsid w:val="00616ED0"/>
    <w:rsid w:val="00657618"/>
    <w:rsid w:val="006C6F6A"/>
    <w:rsid w:val="006F7E3D"/>
    <w:rsid w:val="00710E80"/>
    <w:rsid w:val="00720E1C"/>
    <w:rsid w:val="00746A9A"/>
    <w:rsid w:val="00753349"/>
    <w:rsid w:val="00771779"/>
    <w:rsid w:val="007829EE"/>
    <w:rsid w:val="007E2879"/>
    <w:rsid w:val="00811ABE"/>
    <w:rsid w:val="00845E6B"/>
    <w:rsid w:val="00850EAC"/>
    <w:rsid w:val="00855119"/>
    <w:rsid w:val="008B0FE6"/>
    <w:rsid w:val="008C02A8"/>
    <w:rsid w:val="008E3372"/>
    <w:rsid w:val="008F27C5"/>
    <w:rsid w:val="009175B2"/>
    <w:rsid w:val="0095384D"/>
    <w:rsid w:val="00953FCD"/>
    <w:rsid w:val="00974888"/>
    <w:rsid w:val="009872B8"/>
    <w:rsid w:val="009A25CD"/>
    <w:rsid w:val="009B0BD6"/>
    <w:rsid w:val="00A230F3"/>
    <w:rsid w:val="00A452E0"/>
    <w:rsid w:val="00A470E0"/>
    <w:rsid w:val="00A619A1"/>
    <w:rsid w:val="00A72E17"/>
    <w:rsid w:val="00A93B8E"/>
    <w:rsid w:val="00B448C8"/>
    <w:rsid w:val="00B5587C"/>
    <w:rsid w:val="00B60325"/>
    <w:rsid w:val="00C061F5"/>
    <w:rsid w:val="00C54DC3"/>
    <w:rsid w:val="00C80830"/>
    <w:rsid w:val="00CA73C6"/>
    <w:rsid w:val="00CE1184"/>
    <w:rsid w:val="00CF74D0"/>
    <w:rsid w:val="00D23428"/>
    <w:rsid w:val="00DA0CB4"/>
    <w:rsid w:val="00DC4006"/>
    <w:rsid w:val="00E34E9D"/>
    <w:rsid w:val="00EE650D"/>
    <w:rsid w:val="00F2589B"/>
    <w:rsid w:val="00F82653"/>
    <w:rsid w:val="00F86E4E"/>
    <w:rsid w:val="00FE57F1"/>
    <w:rsid w:val="00FF46B1"/>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89"/>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uiPriority w:val="99"/>
    <w:rsid w:val="007C2976"/>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7C2976"/>
    <w:pPr>
      <w:spacing w:before="120"/>
    </w:pPr>
    <w:rPr>
      <w:sz w:val="20"/>
    </w:rPr>
  </w:style>
  <w:style w:type="character" w:styleId="FootnoteReference">
    <w:name w:val="footnote reference"/>
    <w:aliases w:val="o"/>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uiPriority w:val="99"/>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aliases w:val="Footnote Text Cha Char1,Footnote Text Char Char4 Char Char1,Footnote Text Char Char4 Char1 Char Char Char1,Footnote Text Char2 Char1,Footnote Text Char4 Char Char1,Footnote Text Char4 Char1 Char Char Char1"/>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semiHidden/>
    <w:locked/>
    <w:rsid w:val="00E46B01"/>
    <w:rPr>
      <w:lang w:val="en-US" w:eastAsia="en-US" w:bidi="ar-SA"/>
    </w:rPr>
  </w:style>
  <w:style w:type="character" w:customStyle="1" w:styleId="UnresolvedMention2">
    <w:name w:val="Unresolved Mention2"/>
    <w:basedOn w:val="DefaultParagraphFont"/>
    <w:uiPriority w:val="99"/>
    <w:semiHidden/>
    <w:unhideWhenUsed/>
    <w:rsid w:val="006D4270"/>
    <w:rPr>
      <w:color w:val="808080"/>
      <w:shd w:val="clear" w:color="auto" w:fill="E6E6E6"/>
    </w:rPr>
  </w:style>
  <w:style w:type="character" w:customStyle="1" w:styleId="UnresolvedMention3">
    <w:name w:val="Unresolved Mention3"/>
    <w:basedOn w:val="DefaultParagraphFont"/>
    <w:rsid w:val="00ED723F"/>
    <w:rPr>
      <w:color w:val="605E5C"/>
      <w:shd w:val="clear" w:color="auto" w:fill="E1DFDD"/>
    </w:rPr>
  </w:style>
  <w:style w:type="paragraph" w:styleId="ListParagraph">
    <w:name w:val="List Paragraph"/>
    <w:basedOn w:val="Normal"/>
    <w:uiPriority w:val="34"/>
    <w:qFormat/>
    <w:rsid w:val="00610F89"/>
    <w:pPr>
      <w:ind w:left="720"/>
      <w:contextualSpacing/>
    </w:pPr>
  </w:style>
  <w:style w:type="character" w:customStyle="1" w:styleId="CommentTextChar">
    <w:name w:val="Comment Text Char"/>
    <w:basedOn w:val="DefaultParagraphFont"/>
    <w:link w:val="CommentText"/>
    <w:uiPriority w:val="99"/>
    <w:rsid w:val="00C54D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footer" Target="footer2.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38133-E3AF-4E93-AEC6-0585EE04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19-1776 MTI.docx</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2019-10-17T14:11:47Z</dcterms:created>
  <dcterms:modified xsi:type="dcterms:W3CDTF">2019-10-17T14:11:47Z</dcterms:modified>
</cp:coreProperties>
</file>