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1A" w:rsidRPr="00133F59" w:rsidRDefault="008A5A1A" w:rsidP="00F91DD3">
      <w:pPr>
        <w:pStyle w:val="BodyText"/>
        <w:jc w:val="right"/>
        <w:rPr>
          <w:b/>
          <w:i/>
        </w:rPr>
      </w:pPr>
      <w:bookmarkStart w:id="0" w:name="_Toc249780366"/>
      <w:bookmarkStart w:id="1" w:name="_Toc249782093"/>
      <w:bookmarkStart w:id="2" w:name="_GoBack"/>
      <w:bookmarkEnd w:id="2"/>
      <w:r w:rsidRPr="00133F59">
        <w:rPr>
          <w:b/>
          <w:i/>
        </w:rPr>
        <w:t>OCC EXHIBIT</w:t>
      </w:r>
      <w:r w:rsidR="00133F59">
        <w:rPr>
          <w:b/>
          <w:i/>
        </w:rPr>
        <w:t xml:space="preserve"> NO.</w:t>
      </w:r>
      <w:r w:rsidRPr="00133F59">
        <w:rPr>
          <w:b/>
          <w:i/>
        </w:rPr>
        <w:t xml:space="preserve"> ______</w:t>
      </w:r>
      <w:bookmarkEnd w:id="0"/>
      <w:bookmarkEnd w:id="1"/>
    </w:p>
    <w:p w:rsidR="008A5A1A" w:rsidRDefault="008A5A1A" w:rsidP="008D073F">
      <w:pPr>
        <w:pStyle w:val="BodyText"/>
      </w:pPr>
      <w:bookmarkStart w:id="3" w:name="_Toc249780368"/>
      <w:bookmarkStart w:id="4" w:name="_Toc249782095"/>
    </w:p>
    <w:p w:rsidR="008A5A1A" w:rsidRPr="00F91DD3" w:rsidRDefault="008A5A1A" w:rsidP="00F91DD3">
      <w:pPr>
        <w:pStyle w:val="BodyText"/>
        <w:ind w:left="0"/>
        <w:jc w:val="center"/>
        <w:rPr>
          <w:b/>
        </w:rPr>
      </w:pPr>
      <w:r w:rsidRPr="00F91DD3">
        <w:rPr>
          <w:b/>
        </w:rPr>
        <w:t>BEFORE</w:t>
      </w:r>
      <w:bookmarkEnd w:id="3"/>
      <w:bookmarkEnd w:id="4"/>
    </w:p>
    <w:p w:rsidR="008A5A1A" w:rsidRDefault="008A5A1A">
      <w:pPr>
        <w:jc w:val="center"/>
        <w:rPr>
          <w:b/>
          <w:bCs/>
        </w:rPr>
      </w:pPr>
      <w:bookmarkStart w:id="5" w:name="_Toc249780369"/>
      <w:bookmarkStart w:id="6" w:name="_Toc249782096"/>
      <w:r>
        <w:rPr>
          <w:b/>
          <w:bCs/>
        </w:rPr>
        <w:t>THE PUBLIC UTILITIES COMMISSION OF OHIO</w:t>
      </w:r>
      <w:bookmarkEnd w:id="5"/>
      <w:bookmarkEnd w:id="6"/>
    </w:p>
    <w:p w:rsidR="00C76530" w:rsidRDefault="00C76530">
      <w:pPr>
        <w:jc w:val="center"/>
        <w:rPr>
          <w:b/>
          <w:bCs/>
        </w:rPr>
      </w:pPr>
    </w:p>
    <w:p w:rsidR="00C76530" w:rsidRDefault="00C76530">
      <w:pPr>
        <w:jc w:val="center"/>
        <w:rPr>
          <w:b/>
          <w:bCs/>
        </w:rPr>
      </w:pPr>
    </w:p>
    <w:tbl>
      <w:tblPr>
        <w:tblW w:w="9092" w:type="dxa"/>
        <w:jc w:val="center"/>
        <w:tblInd w:w="-106" w:type="dxa"/>
        <w:tblLook w:val="01E0" w:firstRow="1" w:lastRow="1" w:firstColumn="1" w:lastColumn="1" w:noHBand="0" w:noVBand="0"/>
      </w:tblPr>
      <w:tblGrid>
        <w:gridCol w:w="4332"/>
        <w:gridCol w:w="360"/>
        <w:gridCol w:w="4400"/>
      </w:tblGrid>
      <w:tr w:rsidR="00C76530" w:rsidRPr="0048594C" w:rsidTr="00C76530">
        <w:trPr>
          <w:trHeight w:val="807"/>
          <w:jc w:val="center"/>
        </w:trPr>
        <w:tc>
          <w:tcPr>
            <w:tcW w:w="4332" w:type="dxa"/>
          </w:tcPr>
          <w:p w:rsidR="00C76530" w:rsidRPr="0048594C" w:rsidRDefault="00C76530" w:rsidP="00E51967">
            <w:pPr>
              <w:autoSpaceDE w:val="0"/>
              <w:autoSpaceDN w:val="0"/>
              <w:adjustRightInd w:val="0"/>
            </w:pPr>
            <w:r w:rsidRPr="0048594C">
              <w:t xml:space="preserve">In the Matter of the </w:t>
            </w:r>
            <w:r w:rsidR="00BE5920">
              <w:t>Application of The Dayton Power and Light Company for Authority to Recover of Certain Storm-Related Service Restoration Costs.</w:t>
            </w:r>
            <w:r w:rsidR="003B2B9A">
              <w:t xml:space="preserve"> </w:t>
            </w:r>
          </w:p>
          <w:p w:rsidR="00C76530" w:rsidRPr="0048594C" w:rsidRDefault="00C76530" w:rsidP="00E51967">
            <w:pPr>
              <w:autoSpaceDE w:val="0"/>
              <w:autoSpaceDN w:val="0"/>
              <w:adjustRightInd w:val="0"/>
            </w:pPr>
          </w:p>
          <w:p w:rsidR="00C76530" w:rsidRPr="0048594C" w:rsidRDefault="00154BB4" w:rsidP="00BE5920">
            <w:pPr>
              <w:autoSpaceDE w:val="0"/>
              <w:autoSpaceDN w:val="0"/>
              <w:adjustRightInd w:val="0"/>
            </w:pPr>
            <w:r>
              <w:t xml:space="preserve">In the Matter of the </w:t>
            </w:r>
            <w:r w:rsidR="00BE5920">
              <w:t>Application of The Dayton Power and Light Company for Approval of Certain Accounting Authority.</w:t>
            </w:r>
          </w:p>
        </w:tc>
        <w:tc>
          <w:tcPr>
            <w:tcW w:w="360" w:type="dxa"/>
          </w:tcPr>
          <w:p w:rsidR="00C76530" w:rsidRPr="0048594C" w:rsidRDefault="00C76530" w:rsidP="00E51967">
            <w:pPr>
              <w:pStyle w:val="HTMLPreformatted"/>
              <w:rPr>
                <w:rFonts w:ascii="Times New Roman" w:hAnsi="Times New Roman"/>
                <w:sz w:val="24"/>
                <w:szCs w:val="24"/>
              </w:rPr>
            </w:pPr>
            <w:r w:rsidRPr="0048594C">
              <w:rPr>
                <w:rFonts w:ascii="Times New Roman" w:hAnsi="Times New Roman"/>
                <w:sz w:val="24"/>
                <w:szCs w:val="24"/>
              </w:rPr>
              <w:t>)</w:t>
            </w:r>
          </w:p>
          <w:p w:rsidR="00C76530" w:rsidRPr="0048594C" w:rsidRDefault="00C76530" w:rsidP="00E51967">
            <w:pPr>
              <w:pStyle w:val="HTMLPreformatted"/>
              <w:rPr>
                <w:rFonts w:ascii="Times New Roman" w:hAnsi="Times New Roman"/>
                <w:sz w:val="24"/>
                <w:szCs w:val="24"/>
              </w:rPr>
            </w:pPr>
            <w:r w:rsidRPr="0048594C">
              <w:rPr>
                <w:rFonts w:ascii="Times New Roman" w:hAnsi="Times New Roman"/>
                <w:sz w:val="24"/>
                <w:szCs w:val="24"/>
              </w:rPr>
              <w:t>)</w:t>
            </w:r>
          </w:p>
          <w:p w:rsidR="00C76530" w:rsidRPr="0048594C" w:rsidRDefault="00C76530" w:rsidP="00E51967">
            <w:pPr>
              <w:pStyle w:val="HTMLPreformatted"/>
              <w:rPr>
                <w:rFonts w:ascii="Times New Roman" w:hAnsi="Times New Roman"/>
                <w:sz w:val="24"/>
                <w:szCs w:val="24"/>
              </w:rPr>
            </w:pPr>
            <w:r w:rsidRPr="0048594C">
              <w:rPr>
                <w:rFonts w:ascii="Times New Roman" w:hAnsi="Times New Roman"/>
                <w:sz w:val="24"/>
                <w:szCs w:val="24"/>
              </w:rPr>
              <w:t>)</w:t>
            </w:r>
          </w:p>
          <w:p w:rsidR="00C76530" w:rsidRPr="0048594C" w:rsidRDefault="003B2B9A" w:rsidP="00E51967">
            <w:pPr>
              <w:pStyle w:val="HTMLPreformatted"/>
              <w:rPr>
                <w:rFonts w:ascii="Times New Roman" w:hAnsi="Times New Roman"/>
                <w:sz w:val="24"/>
                <w:szCs w:val="24"/>
              </w:rPr>
            </w:pPr>
            <w:r>
              <w:rPr>
                <w:rFonts w:ascii="Times New Roman" w:hAnsi="Times New Roman"/>
                <w:sz w:val="24"/>
                <w:szCs w:val="24"/>
              </w:rPr>
              <w:t>)</w:t>
            </w:r>
          </w:p>
          <w:p w:rsidR="004C5D19" w:rsidRPr="0048594C" w:rsidRDefault="004C5D19" w:rsidP="004C5D19">
            <w:pPr>
              <w:pStyle w:val="HTMLPreformatted"/>
              <w:rPr>
                <w:rFonts w:ascii="Times New Roman" w:hAnsi="Times New Roman"/>
                <w:sz w:val="24"/>
                <w:szCs w:val="24"/>
              </w:rPr>
            </w:pPr>
          </w:p>
          <w:p w:rsidR="004C5D19" w:rsidRPr="0048594C" w:rsidRDefault="004C5D19" w:rsidP="004C5D19">
            <w:pPr>
              <w:pStyle w:val="HTMLPreformatted"/>
              <w:rPr>
                <w:rFonts w:ascii="Times New Roman" w:hAnsi="Times New Roman"/>
                <w:sz w:val="24"/>
                <w:szCs w:val="24"/>
              </w:rPr>
            </w:pPr>
            <w:r w:rsidRPr="0048594C">
              <w:rPr>
                <w:rFonts w:ascii="Times New Roman" w:hAnsi="Times New Roman"/>
                <w:sz w:val="24"/>
                <w:szCs w:val="24"/>
              </w:rPr>
              <w:t>)</w:t>
            </w:r>
          </w:p>
          <w:p w:rsidR="004C5D19" w:rsidRPr="0048594C" w:rsidRDefault="004C5D19" w:rsidP="004C5D19">
            <w:pPr>
              <w:pStyle w:val="HTMLPreformatted"/>
              <w:rPr>
                <w:rFonts w:ascii="Times New Roman" w:hAnsi="Times New Roman"/>
                <w:sz w:val="24"/>
                <w:szCs w:val="24"/>
              </w:rPr>
            </w:pPr>
            <w:r w:rsidRPr="0048594C">
              <w:rPr>
                <w:rFonts w:ascii="Times New Roman" w:hAnsi="Times New Roman"/>
                <w:sz w:val="24"/>
                <w:szCs w:val="24"/>
              </w:rPr>
              <w:t>)</w:t>
            </w:r>
          </w:p>
          <w:p w:rsidR="004C5D19" w:rsidRPr="0048594C" w:rsidRDefault="004C5D19" w:rsidP="004C5D19">
            <w:pPr>
              <w:pStyle w:val="HTMLPreformatted"/>
              <w:rPr>
                <w:rFonts w:ascii="Times New Roman" w:hAnsi="Times New Roman"/>
                <w:sz w:val="24"/>
                <w:szCs w:val="24"/>
              </w:rPr>
            </w:pPr>
            <w:r>
              <w:rPr>
                <w:rFonts w:ascii="Times New Roman" w:hAnsi="Times New Roman"/>
                <w:sz w:val="24"/>
                <w:szCs w:val="24"/>
              </w:rPr>
              <w:t>)</w:t>
            </w:r>
          </w:p>
          <w:p w:rsidR="00C76530" w:rsidRPr="0048594C" w:rsidRDefault="004C5D19" w:rsidP="00E51967">
            <w:pPr>
              <w:pStyle w:val="HTMLPreformatted"/>
              <w:rPr>
                <w:rFonts w:ascii="Times New Roman" w:hAnsi="Times New Roman"/>
                <w:sz w:val="24"/>
                <w:szCs w:val="24"/>
              </w:rPr>
            </w:pPr>
            <w:r>
              <w:rPr>
                <w:rFonts w:ascii="Times New Roman" w:hAnsi="Times New Roman"/>
                <w:sz w:val="24"/>
                <w:szCs w:val="24"/>
              </w:rPr>
              <w:t>)</w:t>
            </w:r>
          </w:p>
        </w:tc>
        <w:tc>
          <w:tcPr>
            <w:tcW w:w="4400" w:type="dxa"/>
          </w:tcPr>
          <w:p w:rsidR="00C76530" w:rsidRPr="0048594C" w:rsidRDefault="00C76530" w:rsidP="00E51967">
            <w:pPr>
              <w:pStyle w:val="HTMLPreformatted"/>
              <w:rPr>
                <w:rFonts w:ascii="Times New Roman" w:hAnsi="Times New Roman"/>
                <w:sz w:val="24"/>
                <w:szCs w:val="24"/>
                <w:lang w:val="es-ES"/>
              </w:rPr>
            </w:pPr>
          </w:p>
          <w:p w:rsidR="00C76530" w:rsidRPr="0048594C" w:rsidRDefault="00C76530" w:rsidP="00E51967">
            <w:pPr>
              <w:autoSpaceDE w:val="0"/>
              <w:autoSpaceDN w:val="0"/>
              <w:adjustRightInd w:val="0"/>
              <w:rPr>
                <w:lang w:val="es-ES"/>
              </w:rPr>
            </w:pPr>
            <w:r w:rsidRPr="0048594C">
              <w:rPr>
                <w:lang w:val="es-ES"/>
              </w:rPr>
              <w:t xml:space="preserve">Case No. </w:t>
            </w:r>
            <w:r w:rsidR="003B2B9A">
              <w:rPr>
                <w:lang w:val="es-ES"/>
              </w:rPr>
              <w:t>1</w:t>
            </w:r>
            <w:r w:rsidR="00BE5920">
              <w:rPr>
                <w:lang w:val="es-ES"/>
              </w:rPr>
              <w:t>2</w:t>
            </w:r>
            <w:r w:rsidR="003B2B9A">
              <w:rPr>
                <w:lang w:val="es-ES"/>
              </w:rPr>
              <w:t>-</w:t>
            </w:r>
            <w:r w:rsidR="00BE5920">
              <w:rPr>
                <w:lang w:val="es-ES"/>
              </w:rPr>
              <w:t>3062</w:t>
            </w:r>
            <w:r w:rsidRPr="0048594C">
              <w:rPr>
                <w:lang w:val="es-ES"/>
              </w:rPr>
              <w:t>-EL-</w:t>
            </w:r>
            <w:r w:rsidR="00BE5920">
              <w:rPr>
                <w:lang w:val="es-ES"/>
              </w:rPr>
              <w:t>RDR</w:t>
            </w:r>
          </w:p>
          <w:p w:rsidR="00C76530" w:rsidRPr="0048594C" w:rsidRDefault="00C76530" w:rsidP="00E51967">
            <w:pPr>
              <w:pStyle w:val="HTMLPreformatted"/>
              <w:rPr>
                <w:rFonts w:ascii="Times New Roman" w:hAnsi="Times New Roman"/>
                <w:sz w:val="24"/>
                <w:szCs w:val="24"/>
                <w:lang w:val="es-ES"/>
              </w:rPr>
            </w:pPr>
          </w:p>
          <w:p w:rsidR="00C76530" w:rsidRPr="0048594C" w:rsidRDefault="00C76530" w:rsidP="00E51967">
            <w:pPr>
              <w:pStyle w:val="HTMLPreformatted"/>
              <w:rPr>
                <w:rFonts w:ascii="Times New Roman" w:hAnsi="Times New Roman"/>
                <w:sz w:val="24"/>
                <w:szCs w:val="24"/>
                <w:lang w:val="es-ES"/>
              </w:rPr>
            </w:pPr>
          </w:p>
          <w:p w:rsidR="00C76530" w:rsidRPr="0048594C" w:rsidRDefault="00C76530" w:rsidP="00E51967">
            <w:pPr>
              <w:pStyle w:val="HTMLPreformatted"/>
              <w:rPr>
                <w:rFonts w:ascii="Times New Roman" w:hAnsi="Times New Roman"/>
                <w:sz w:val="24"/>
                <w:szCs w:val="24"/>
                <w:lang w:val="es-ES"/>
              </w:rPr>
            </w:pPr>
          </w:p>
          <w:p w:rsidR="00C76530" w:rsidRDefault="00C76530" w:rsidP="00AA4151">
            <w:pPr>
              <w:pStyle w:val="HTMLPreformatted"/>
            </w:pPr>
          </w:p>
          <w:p w:rsidR="00AA4151" w:rsidRPr="004C5D19" w:rsidRDefault="004C5D19" w:rsidP="00AA4151">
            <w:pPr>
              <w:pStyle w:val="HTMLPreformatted"/>
              <w:rPr>
                <w:rFonts w:ascii="Times New Roman" w:hAnsi="Times New Roman"/>
                <w:sz w:val="24"/>
                <w:szCs w:val="24"/>
              </w:rPr>
            </w:pPr>
            <w:r w:rsidRPr="004C5D19">
              <w:rPr>
                <w:rFonts w:ascii="Times New Roman" w:hAnsi="Times New Roman"/>
                <w:sz w:val="24"/>
                <w:szCs w:val="24"/>
              </w:rPr>
              <w:t>Case No. 1</w:t>
            </w:r>
            <w:r w:rsidR="00BE5920">
              <w:rPr>
                <w:rFonts w:ascii="Times New Roman" w:hAnsi="Times New Roman"/>
                <w:sz w:val="24"/>
                <w:szCs w:val="24"/>
              </w:rPr>
              <w:t>2</w:t>
            </w:r>
            <w:r w:rsidRPr="004C5D19">
              <w:rPr>
                <w:rFonts w:ascii="Times New Roman" w:hAnsi="Times New Roman"/>
                <w:sz w:val="24"/>
                <w:szCs w:val="24"/>
              </w:rPr>
              <w:t>-</w:t>
            </w:r>
            <w:r w:rsidR="00BE5920">
              <w:rPr>
                <w:rFonts w:ascii="Times New Roman" w:hAnsi="Times New Roman"/>
                <w:sz w:val="24"/>
                <w:szCs w:val="24"/>
              </w:rPr>
              <w:t>3</w:t>
            </w:r>
            <w:r w:rsidRPr="004C5D19">
              <w:rPr>
                <w:rFonts w:ascii="Times New Roman" w:hAnsi="Times New Roman"/>
                <w:sz w:val="24"/>
                <w:szCs w:val="24"/>
              </w:rPr>
              <w:t>2</w:t>
            </w:r>
            <w:r w:rsidR="00BE5920">
              <w:rPr>
                <w:rFonts w:ascii="Times New Roman" w:hAnsi="Times New Roman"/>
                <w:sz w:val="24"/>
                <w:szCs w:val="24"/>
              </w:rPr>
              <w:t>66</w:t>
            </w:r>
            <w:r w:rsidRPr="004C5D19">
              <w:rPr>
                <w:rFonts w:ascii="Times New Roman" w:hAnsi="Times New Roman"/>
                <w:sz w:val="24"/>
                <w:szCs w:val="24"/>
              </w:rPr>
              <w:t>-EL-</w:t>
            </w:r>
            <w:r w:rsidR="00BE5920">
              <w:rPr>
                <w:rFonts w:ascii="Times New Roman" w:hAnsi="Times New Roman"/>
                <w:sz w:val="24"/>
                <w:szCs w:val="24"/>
              </w:rPr>
              <w:t>AAM</w:t>
            </w:r>
          </w:p>
          <w:p w:rsidR="00AA4151" w:rsidRDefault="00AA4151" w:rsidP="00AA4151">
            <w:pPr>
              <w:pStyle w:val="HTMLPreformatted"/>
            </w:pPr>
          </w:p>
          <w:p w:rsidR="00AA4151" w:rsidRPr="0048594C" w:rsidRDefault="00AA4151" w:rsidP="00AA4151">
            <w:pPr>
              <w:pStyle w:val="HTMLPreformatted"/>
            </w:pPr>
          </w:p>
        </w:tc>
      </w:tr>
    </w:tbl>
    <w:p w:rsidR="00D326C7" w:rsidRDefault="00D326C7" w:rsidP="003B2B9A">
      <w:pPr>
        <w:pStyle w:val="Header"/>
        <w:rPr>
          <w:b/>
          <w:bCs/>
        </w:rPr>
      </w:pPr>
    </w:p>
    <w:p w:rsidR="00F91DD3" w:rsidRDefault="00F91DD3" w:rsidP="003B2B9A">
      <w:pPr>
        <w:pStyle w:val="Header"/>
        <w:rPr>
          <w:b/>
          <w:bCs/>
        </w:rPr>
      </w:pPr>
    </w:p>
    <w:p w:rsidR="00F91DD3" w:rsidRDefault="00F91DD3" w:rsidP="003B2B9A">
      <w:pPr>
        <w:pStyle w:val="Header"/>
        <w:rPr>
          <w:b/>
          <w:bCs/>
        </w:rPr>
      </w:pPr>
    </w:p>
    <w:p w:rsidR="00D326C7" w:rsidRDefault="00D326C7" w:rsidP="003B2B9A">
      <w:pPr>
        <w:pStyle w:val="Header"/>
        <w:rPr>
          <w:b/>
          <w:bCs/>
        </w:rPr>
      </w:pPr>
    </w:p>
    <w:p w:rsidR="00F91DD3" w:rsidRDefault="008A5A1A" w:rsidP="00F91DD3">
      <w:pPr>
        <w:pStyle w:val="BodyText"/>
        <w:spacing w:line="240" w:lineRule="auto"/>
        <w:ind w:left="0"/>
        <w:jc w:val="center"/>
        <w:rPr>
          <w:b/>
        </w:rPr>
      </w:pPr>
      <w:r w:rsidRPr="00171F54">
        <w:rPr>
          <w:b/>
        </w:rPr>
        <w:t>DIRECT TESTIMONY</w:t>
      </w:r>
    </w:p>
    <w:p w:rsidR="008A5A1A" w:rsidRDefault="008A5A1A" w:rsidP="00F91DD3">
      <w:pPr>
        <w:pStyle w:val="BodyText"/>
        <w:spacing w:line="240" w:lineRule="auto"/>
        <w:ind w:left="0"/>
        <w:jc w:val="center"/>
        <w:rPr>
          <w:b/>
          <w:bCs/>
        </w:rPr>
      </w:pPr>
      <w:r>
        <w:rPr>
          <w:b/>
          <w:bCs/>
        </w:rPr>
        <w:t>OF</w:t>
      </w:r>
    </w:p>
    <w:p w:rsidR="008A5A1A" w:rsidRDefault="008A5A1A">
      <w:pPr>
        <w:pStyle w:val="List2"/>
        <w:ind w:left="540" w:hanging="540"/>
        <w:jc w:val="center"/>
        <w:rPr>
          <w:b/>
          <w:bCs/>
        </w:rPr>
      </w:pPr>
      <w:r>
        <w:rPr>
          <w:b/>
          <w:bCs/>
        </w:rPr>
        <w:t>DANIEL J. DUANN, Ph.D.</w:t>
      </w:r>
    </w:p>
    <w:p w:rsidR="008A5A1A" w:rsidRDefault="008A5A1A">
      <w:pPr>
        <w:pStyle w:val="List2"/>
        <w:ind w:left="540" w:hanging="540"/>
        <w:jc w:val="center"/>
      </w:pPr>
    </w:p>
    <w:p w:rsidR="00F91DD3" w:rsidRDefault="00F91DD3">
      <w:pPr>
        <w:pStyle w:val="List2"/>
        <w:ind w:left="540" w:hanging="540"/>
        <w:jc w:val="center"/>
      </w:pPr>
    </w:p>
    <w:p w:rsidR="00F91DD3" w:rsidRDefault="00F91DD3">
      <w:pPr>
        <w:pStyle w:val="List2"/>
        <w:ind w:left="540" w:hanging="540"/>
        <w:jc w:val="center"/>
      </w:pPr>
    </w:p>
    <w:p w:rsidR="008A5A1A" w:rsidRDefault="008A5A1A">
      <w:pPr>
        <w:pStyle w:val="List2"/>
        <w:ind w:left="540" w:hanging="540"/>
        <w:jc w:val="center"/>
      </w:pPr>
    </w:p>
    <w:p w:rsidR="008A5A1A" w:rsidRDefault="008A5A1A">
      <w:pPr>
        <w:jc w:val="center"/>
        <w:rPr>
          <w:b/>
          <w:bCs/>
        </w:rPr>
      </w:pPr>
      <w:bookmarkStart w:id="7" w:name="_Toc249780371"/>
      <w:bookmarkStart w:id="8" w:name="_Toc249782097"/>
      <w:r>
        <w:rPr>
          <w:b/>
          <w:bCs/>
        </w:rPr>
        <w:t>On Behalf of</w:t>
      </w:r>
    </w:p>
    <w:p w:rsidR="008A5A1A" w:rsidRDefault="008A5A1A">
      <w:pPr>
        <w:jc w:val="center"/>
        <w:rPr>
          <w:b/>
          <w:bCs/>
          <w:caps/>
        </w:rPr>
      </w:pPr>
      <w:r>
        <w:rPr>
          <w:b/>
          <w:bCs/>
        </w:rPr>
        <w:t>The Office of the Ohio Consumers’ Counsel</w:t>
      </w:r>
    </w:p>
    <w:p w:rsidR="008A5A1A" w:rsidRDefault="008A5A1A">
      <w:pPr>
        <w:jc w:val="center"/>
        <w:rPr>
          <w:i/>
          <w:iCs/>
        </w:rPr>
      </w:pPr>
      <w:r>
        <w:rPr>
          <w:i/>
          <w:iCs/>
        </w:rPr>
        <w:t>10 West Broad Street, Suite 1800</w:t>
      </w:r>
    </w:p>
    <w:p w:rsidR="008A5A1A" w:rsidRDefault="008A5A1A">
      <w:pPr>
        <w:jc w:val="center"/>
        <w:rPr>
          <w:i/>
          <w:iCs/>
        </w:rPr>
      </w:pPr>
      <w:r>
        <w:rPr>
          <w:i/>
          <w:iCs/>
        </w:rPr>
        <w:t>Columbus, Ohio43215-3485</w:t>
      </w:r>
    </w:p>
    <w:bookmarkEnd w:id="7"/>
    <w:bookmarkEnd w:id="8"/>
    <w:p w:rsidR="008A5A1A" w:rsidRDefault="008A5A1A">
      <w:pPr>
        <w:jc w:val="center"/>
      </w:pPr>
    </w:p>
    <w:p w:rsidR="008A5A1A" w:rsidRDefault="008A5A1A">
      <w:pPr>
        <w:jc w:val="center"/>
      </w:pPr>
    </w:p>
    <w:p w:rsidR="008A5A1A" w:rsidRDefault="008A5A1A">
      <w:pPr>
        <w:jc w:val="center"/>
      </w:pPr>
    </w:p>
    <w:p w:rsidR="008A5A1A" w:rsidRDefault="00BE5920">
      <w:pPr>
        <w:jc w:val="center"/>
        <w:rPr>
          <w:b/>
          <w:bCs/>
          <w:i/>
          <w:iCs/>
        </w:rPr>
      </w:pPr>
      <w:r>
        <w:rPr>
          <w:b/>
          <w:bCs/>
          <w:i/>
          <w:iCs/>
        </w:rPr>
        <w:t xml:space="preserve">January 31, </w:t>
      </w:r>
      <w:r w:rsidR="008A5A1A">
        <w:rPr>
          <w:b/>
          <w:bCs/>
          <w:i/>
          <w:iCs/>
        </w:rPr>
        <w:t>201</w:t>
      </w:r>
      <w:r>
        <w:rPr>
          <w:b/>
          <w:bCs/>
          <w:i/>
          <w:iCs/>
        </w:rPr>
        <w:t>4</w:t>
      </w:r>
    </w:p>
    <w:p w:rsidR="008A5A1A" w:rsidRDefault="008A5A1A">
      <w:pPr>
        <w:jc w:val="center"/>
        <w:rPr>
          <w:b/>
          <w:bCs/>
          <w:i/>
          <w:iCs/>
        </w:rPr>
        <w:sectPr w:rsidR="008A5A1A" w:rsidSect="0075341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8A5A1A" w:rsidRPr="00171F54" w:rsidRDefault="008A5A1A" w:rsidP="00171F54">
      <w:pPr>
        <w:pStyle w:val="BodyText"/>
        <w:ind w:left="0"/>
        <w:jc w:val="center"/>
        <w:rPr>
          <w:b/>
        </w:rPr>
      </w:pPr>
      <w:r w:rsidRPr="00171F54">
        <w:rPr>
          <w:b/>
        </w:rPr>
        <w:lastRenderedPageBreak/>
        <w:t>TABLE OF CONTENTS</w:t>
      </w:r>
    </w:p>
    <w:p w:rsidR="008A5A1A" w:rsidRPr="00A27653" w:rsidRDefault="008A5A1A" w:rsidP="00171F54">
      <w:pPr>
        <w:pStyle w:val="BodyText"/>
        <w:ind w:left="0"/>
        <w:jc w:val="right"/>
      </w:pPr>
      <w:r w:rsidRPr="00A27653">
        <w:t>Page</w:t>
      </w:r>
    </w:p>
    <w:p w:rsidR="005D7302" w:rsidRDefault="006C02FA" w:rsidP="005D7302">
      <w:pPr>
        <w:pStyle w:val="TOC1"/>
        <w:ind w:right="720"/>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378946308" w:history="1">
        <w:r w:rsidR="005D7302" w:rsidRPr="00245F23">
          <w:rPr>
            <w:rStyle w:val="Hyperlink"/>
            <w:noProof/>
          </w:rPr>
          <w:t>I.</w:t>
        </w:r>
        <w:r w:rsidR="005D7302">
          <w:rPr>
            <w:rFonts w:asciiTheme="minorHAnsi" w:eastAsiaTheme="minorEastAsia" w:hAnsiTheme="minorHAnsi" w:cstheme="minorBidi"/>
            <w:caps w:val="0"/>
            <w:noProof/>
            <w:sz w:val="22"/>
            <w:szCs w:val="22"/>
          </w:rPr>
          <w:tab/>
        </w:r>
        <w:r w:rsidR="005D7302" w:rsidRPr="00245F23">
          <w:rPr>
            <w:rStyle w:val="Hyperlink"/>
            <w:noProof/>
          </w:rPr>
          <w:t>INTRODUCTION</w:t>
        </w:r>
        <w:r w:rsidR="005D7302">
          <w:rPr>
            <w:noProof/>
            <w:webHidden/>
          </w:rPr>
          <w:tab/>
        </w:r>
        <w:r w:rsidR="005D7302">
          <w:rPr>
            <w:noProof/>
            <w:webHidden/>
          </w:rPr>
          <w:fldChar w:fldCharType="begin"/>
        </w:r>
        <w:r w:rsidR="005D7302">
          <w:rPr>
            <w:noProof/>
            <w:webHidden/>
          </w:rPr>
          <w:instrText xml:space="preserve"> PAGEREF _Toc378946308 \h </w:instrText>
        </w:r>
        <w:r w:rsidR="005D7302">
          <w:rPr>
            <w:noProof/>
            <w:webHidden/>
          </w:rPr>
        </w:r>
        <w:r w:rsidR="005D7302">
          <w:rPr>
            <w:noProof/>
            <w:webHidden/>
          </w:rPr>
          <w:fldChar w:fldCharType="separate"/>
        </w:r>
        <w:r w:rsidR="00821EB1">
          <w:rPr>
            <w:noProof/>
            <w:webHidden/>
          </w:rPr>
          <w:t>1</w:t>
        </w:r>
        <w:r w:rsidR="005D7302">
          <w:rPr>
            <w:noProof/>
            <w:webHidden/>
          </w:rPr>
          <w:fldChar w:fldCharType="end"/>
        </w:r>
      </w:hyperlink>
    </w:p>
    <w:p w:rsidR="005D7302" w:rsidRDefault="004D483C" w:rsidP="005D7302">
      <w:pPr>
        <w:pStyle w:val="TOC1"/>
        <w:ind w:right="720"/>
        <w:rPr>
          <w:rFonts w:asciiTheme="minorHAnsi" w:eastAsiaTheme="minorEastAsia" w:hAnsiTheme="minorHAnsi" w:cstheme="minorBidi"/>
          <w:caps w:val="0"/>
          <w:noProof/>
          <w:sz w:val="22"/>
          <w:szCs w:val="22"/>
        </w:rPr>
      </w:pPr>
      <w:hyperlink w:anchor="_Toc378946309" w:history="1">
        <w:r w:rsidR="005D7302" w:rsidRPr="00245F23">
          <w:rPr>
            <w:rStyle w:val="Hyperlink"/>
            <w:noProof/>
          </w:rPr>
          <w:t>II.</w:t>
        </w:r>
        <w:r w:rsidR="005D7302">
          <w:rPr>
            <w:rFonts w:asciiTheme="minorHAnsi" w:eastAsiaTheme="minorEastAsia" w:hAnsiTheme="minorHAnsi" w:cstheme="minorBidi"/>
            <w:caps w:val="0"/>
            <w:noProof/>
            <w:sz w:val="22"/>
            <w:szCs w:val="22"/>
          </w:rPr>
          <w:tab/>
        </w:r>
        <w:r w:rsidR="005D7302" w:rsidRPr="00245F23">
          <w:rPr>
            <w:rStyle w:val="Hyperlink"/>
            <w:noProof/>
          </w:rPr>
          <w:t>PURPOSE OF TESTIMONY</w:t>
        </w:r>
        <w:r w:rsidR="005D7302">
          <w:rPr>
            <w:noProof/>
            <w:webHidden/>
          </w:rPr>
          <w:tab/>
        </w:r>
        <w:r w:rsidR="005D7302">
          <w:rPr>
            <w:noProof/>
            <w:webHidden/>
          </w:rPr>
          <w:fldChar w:fldCharType="begin"/>
        </w:r>
        <w:r w:rsidR="005D7302">
          <w:rPr>
            <w:noProof/>
            <w:webHidden/>
          </w:rPr>
          <w:instrText xml:space="preserve"> PAGEREF _Toc378946309 \h </w:instrText>
        </w:r>
        <w:r w:rsidR="005D7302">
          <w:rPr>
            <w:noProof/>
            <w:webHidden/>
          </w:rPr>
        </w:r>
        <w:r w:rsidR="005D7302">
          <w:rPr>
            <w:noProof/>
            <w:webHidden/>
          </w:rPr>
          <w:fldChar w:fldCharType="separate"/>
        </w:r>
        <w:r w:rsidR="00821EB1">
          <w:rPr>
            <w:noProof/>
            <w:webHidden/>
          </w:rPr>
          <w:t>3</w:t>
        </w:r>
        <w:r w:rsidR="005D7302">
          <w:rPr>
            <w:noProof/>
            <w:webHidden/>
          </w:rPr>
          <w:fldChar w:fldCharType="end"/>
        </w:r>
      </w:hyperlink>
    </w:p>
    <w:p w:rsidR="005D7302" w:rsidRDefault="004D483C" w:rsidP="005D7302">
      <w:pPr>
        <w:pStyle w:val="TOC1"/>
        <w:ind w:right="720"/>
        <w:rPr>
          <w:rFonts w:asciiTheme="minorHAnsi" w:eastAsiaTheme="minorEastAsia" w:hAnsiTheme="minorHAnsi" w:cstheme="minorBidi"/>
          <w:caps w:val="0"/>
          <w:noProof/>
          <w:sz w:val="22"/>
          <w:szCs w:val="22"/>
        </w:rPr>
      </w:pPr>
      <w:hyperlink w:anchor="_Toc378946310" w:history="1">
        <w:r w:rsidR="005D7302" w:rsidRPr="00245F23">
          <w:rPr>
            <w:rStyle w:val="Hyperlink"/>
            <w:noProof/>
          </w:rPr>
          <w:t>III.</w:t>
        </w:r>
        <w:r w:rsidR="005D7302">
          <w:rPr>
            <w:rFonts w:asciiTheme="minorHAnsi" w:eastAsiaTheme="minorEastAsia" w:hAnsiTheme="minorHAnsi" w:cstheme="minorBidi"/>
            <w:caps w:val="0"/>
            <w:noProof/>
            <w:sz w:val="22"/>
            <w:szCs w:val="22"/>
          </w:rPr>
          <w:tab/>
        </w:r>
        <w:r w:rsidR="005D7302" w:rsidRPr="00245F23">
          <w:rPr>
            <w:rStyle w:val="Hyperlink"/>
            <w:noProof/>
          </w:rPr>
          <w:t>RECOMMENDATIONS AND COMMENTS</w:t>
        </w:r>
        <w:r w:rsidR="005D7302">
          <w:rPr>
            <w:noProof/>
            <w:webHidden/>
          </w:rPr>
          <w:tab/>
        </w:r>
        <w:r w:rsidR="005D7302">
          <w:rPr>
            <w:noProof/>
            <w:webHidden/>
          </w:rPr>
          <w:fldChar w:fldCharType="begin"/>
        </w:r>
        <w:r w:rsidR="005D7302">
          <w:rPr>
            <w:noProof/>
            <w:webHidden/>
          </w:rPr>
          <w:instrText xml:space="preserve"> PAGEREF _Toc378946310 \h </w:instrText>
        </w:r>
        <w:r w:rsidR="005D7302">
          <w:rPr>
            <w:noProof/>
            <w:webHidden/>
          </w:rPr>
        </w:r>
        <w:r w:rsidR="005D7302">
          <w:rPr>
            <w:noProof/>
            <w:webHidden/>
          </w:rPr>
          <w:fldChar w:fldCharType="separate"/>
        </w:r>
        <w:r w:rsidR="00821EB1">
          <w:rPr>
            <w:noProof/>
            <w:webHidden/>
          </w:rPr>
          <w:t>4</w:t>
        </w:r>
        <w:r w:rsidR="005D7302">
          <w:rPr>
            <w:noProof/>
            <w:webHidden/>
          </w:rPr>
          <w:fldChar w:fldCharType="end"/>
        </w:r>
      </w:hyperlink>
    </w:p>
    <w:p w:rsidR="005D7302" w:rsidRDefault="004D483C" w:rsidP="005D7302">
      <w:pPr>
        <w:pStyle w:val="TOC2"/>
        <w:tabs>
          <w:tab w:val="left" w:pos="1440"/>
        </w:tabs>
        <w:ind w:right="720"/>
        <w:rPr>
          <w:rFonts w:asciiTheme="minorHAnsi" w:eastAsiaTheme="minorEastAsia" w:hAnsiTheme="minorHAnsi" w:cstheme="minorBidi"/>
          <w:noProof/>
          <w:sz w:val="22"/>
          <w:szCs w:val="22"/>
        </w:rPr>
      </w:pPr>
      <w:hyperlink w:anchor="_Toc378946311" w:history="1">
        <w:r w:rsidR="005D7302" w:rsidRPr="00245F23">
          <w:rPr>
            <w:rStyle w:val="Hyperlink"/>
            <w:rFonts w:asciiTheme="majorBidi" w:hAnsiTheme="majorBidi" w:cstheme="majorBidi"/>
            <w:noProof/>
          </w:rPr>
          <w:t>A.</w:t>
        </w:r>
        <w:r w:rsidR="005D7302">
          <w:rPr>
            <w:rFonts w:asciiTheme="minorHAnsi" w:eastAsiaTheme="minorEastAsia" w:hAnsiTheme="minorHAnsi" w:cstheme="minorBidi"/>
            <w:noProof/>
            <w:sz w:val="22"/>
            <w:szCs w:val="22"/>
          </w:rPr>
          <w:tab/>
        </w:r>
        <w:r w:rsidR="005D7302" w:rsidRPr="00245F23">
          <w:rPr>
            <w:rStyle w:val="Hyperlink"/>
            <w:noProof/>
          </w:rPr>
          <w:t>Costs Associated With Capital Expenditures</w:t>
        </w:r>
        <w:r w:rsidR="005D7302">
          <w:rPr>
            <w:noProof/>
            <w:webHidden/>
          </w:rPr>
          <w:tab/>
        </w:r>
        <w:r w:rsidR="005D7302">
          <w:rPr>
            <w:noProof/>
            <w:webHidden/>
          </w:rPr>
          <w:fldChar w:fldCharType="begin"/>
        </w:r>
        <w:r w:rsidR="005D7302">
          <w:rPr>
            <w:noProof/>
            <w:webHidden/>
          </w:rPr>
          <w:instrText xml:space="preserve"> PAGEREF _Toc378946311 \h </w:instrText>
        </w:r>
        <w:r w:rsidR="005D7302">
          <w:rPr>
            <w:noProof/>
            <w:webHidden/>
          </w:rPr>
        </w:r>
        <w:r w:rsidR="005D7302">
          <w:rPr>
            <w:noProof/>
            <w:webHidden/>
          </w:rPr>
          <w:fldChar w:fldCharType="separate"/>
        </w:r>
        <w:r w:rsidR="00821EB1">
          <w:rPr>
            <w:noProof/>
            <w:webHidden/>
          </w:rPr>
          <w:t>8</w:t>
        </w:r>
        <w:r w:rsidR="005D7302">
          <w:rPr>
            <w:noProof/>
            <w:webHidden/>
          </w:rPr>
          <w:fldChar w:fldCharType="end"/>
        </w:r>
      </w:hyperlink>
    </w:p>
    <w:p w:rsidR="005D7302" w:rsidRDefault="004D483C" w:rsidP="005D7302">
      <w:pPr>
        <w:pStyle w:val="TOC2"/>
        <w:tabs>
          <w:tab w:val="left" w:pos="1440"/>
        </w:tabs>
        <w:ind w:right="720"/>
        <w:rPr>
          <w:rFonts w:asciiTheme="minorHAnsi" w:eastAsiaTheme="minorEastAsia" w:hAnsiTheme="minorHAnsi" w:cstheme="minorBidi"/>
          <w:noProof/>
          <w:sz w:val="22"/>
          <w:szCs w:val="22"/>
        </w:rPr>
      </w:pPr>
      <w:hyperlink w:anchor="_Toc378946312" w:history="1">
        <w:r w:rsidR="005D7302" w:rsidRPr="00245F23">
          <w:rPr>
            <w:rStyle w:val="Hyperlink"/>
            <w:rFonts w:asciiTheme="majorBidi" w:hAnsiTheme="majorBidi" w:cstheme="majorBidi"/>
            <w:noProof/>
          </w:rPr>
          <w:t>B.</w:t>
        </w:r>
        <w:r w:rsidR="005D7302">
          <w:rPr>
            <w:rFonts w:asciiTheme="minorHAnsi" w:eastAsiaTheme="minorEastAsia" w:hAnsiTheme="minorHAnsi" w:cstheme="minorBidi"/>
            <w:noProof/>
            <w:sz w:val="22"/>
            <w:szCs w:val="22"/>
          </w:rPr>
          <w:tab/>
        </w:r>
        <w:r w:rsidR="005D7302" w:rsidRPr="00245F23">
          <w:rPr>
            <w:rStyle w:val="Hyperlink"/>
            <w:noProof/>
          </w:rPr>
          <w:t>Storm Cost Recovery Rider Going Forward</w:t>
        </w:r>
        <w:r w:rsidR="005D7302">
          <w:rPr>
            <w:noProof/>
            <w:webHidden/>
          </w:rPr>
          <w:tab/>
        </w:r>
        <w:r w:rsidR="005D7302">
          <w:rPr>
            <w:noProof/>
            <w:webHidden/>
          </w:rPr>
          <w:fldChar w:fldCharType="begin"/>
        </w:r>
        <w:r w:rsidR="005D7302">
          <w:rPr>
            <w:noProof/>
            <w:webHidden/>
          </w:rPr>
          <w:instrText xml:space="preserve"> PAGEREF _Toc378946312 \h </w:instrText>
        </w:r>
        <w:r w:rsidR="005D7302">
          <w:rPr>
            <w:noProof/>
            <w:webHidden/>
          </w:rPr>
        </w:r>
        <w:r w:rsidR="005D7302">
          <w:rPr>
            <w:noProof/>
            <w:webHidden/>
          </w:rPr>
          <w:fldChar w:fldCharType="separate"/>
        </w:r>
        <w:r w:rsidR="00821EB1">
          <w:rPr>
            <w:noProof/>
            <w:webHidden/>
          </w:rPr>
          <w:t>9</w:t>
        </w:r>
        <w:r w:rsidR="005D7302">
          <w:rPr>
            <w:noProof/>
            <w:webHidden/>
          </w:rPr>
          <w:fldChar w:fldCharType="end"/>
        </w:r>
      </w:hyperlink>
    </w:p>
    <w:p w:rsidR="005D7302" w:rsidRDefault="004D483C" w:rsidP="005D7302">
      <w:pPr>
        <w:pStyle w:val="TOC2"/>
        <w:tabs>
          <w:tab w:val="left" w:pos="1440"/>
        </w:tabs>
        <w:ind w:right="720"/>
        <w:rPr>
          <w:rFonts w:asciiTheme="minorHAnsi" w:eastAsiaTheme="minorEastAsia" w:hAnsiTheme="minorHAnsi" w:cstheme="minorBidi"/>
          <w:noProof/>
          <w:sz w:val="22"/>
          <w:szCs w:val="22"/>
        </w:rPr>
      </w:pPr>
      <w:hyperlink w:anchor="_Toc378946313" w:history="1">
        <w:r w:rsidR="005D7302" w:rsidRPr="00245F23">
          <w:rPr>
            <w:rStyle w:val="Hyperlink"/>
            <w:rFonts w:asciiTheme="majorBidi" w:hAnsiTheme="majorBidi" w:cstheme="majorBidi"/>
            <w:noProof/>
          </w:rPr>
          <w:t>C.</w:t>
        </w:r>
        <w:r w:rsidR="005D7302">
          <w:rPr>
            <w:rFonts w:asciiTheme="minorHAnsi" w:eastAsiaTheme="minorEastAsia" w:hAnsiTheme="minorHAnsi" w:cstheme="minorBidi"/>
            <w:noProof/>
            <w:sz w:val="22"/>
            <w:szCs w:val="22"/>
          </w:rPr>
          <w:tab/>
        </w:r>
        <w:r w:rsidR="005D7302" w:rsidRPr="00245F23">
          <w:rPr>
            <w:rStyle w:val="Hyperlink"/>
            <w:noProof/>
          </w:rPr>
          <w:t>Carrying Cost Rate</w:t>
        </w:r>
        <w:r w:rsidR="005D7302">
          <w:rPr>
            <w:noProof/>
            <w:webHidden/>
          </w:rPr>
          <w:tab/>
        </w:r>
        <w:r w:rsidR="005D7302">
          <w:rPr>
            <w:noProof/>
            <w:webHidden/>
          </w:rPr>
          <w:fldChar w:fldCharType="begin"/>
        </w:r>
        <w:r w:rsidR="005D7302">
          <w:rPr>
            <w:noProof/>
            <w:webHidden/>
          </w:rPr>
          <w:instrText xml:space="preserve"> PAGEREF _Toc378946313 \h </w:instrText>
        </w:r>
        <w:r w:rsidR="005D7302">
          <w:rPr>
            <w:noProof/>
            <w:webHidden/>
          </w:rPr>
        </w:r>
        <w:r w:rsidR="005D7302">
          <w:rPr>
            <w:noProof/>
            <w:webHidden/>
          </w:rPr>
          <w:fldChar w:fldCharType="separate"/>
        </w:r>
        <w:r w:rsidR="00821EB1">
          <w:rPr>
            <w:noProof/>
            <w:webHidden/>
          </w:rPr>
          <w:t>10</w:t>
        </w:r>
        <w:r w:rsidR="005D7302">
          <w:rPr>
            <w:noProof/>
            <w:webHidden/>
          </w:rPr>
          <w:fldChar w:fldCharType="end"/>
        </w:r>
      </w:hyperlink>
    </w:p>
    <w:p w:rsidR="005D7302" w:rsidRDefault="004D483C" w:rsidP="005D7302">
      <w:pPr>
        <w:pStyle w:val="TOC2"/>
        <w:tabs>
          <w:tab w:val="left" w:pos="1440"/>
        </w:tabs>
        <w:ind w:right="720"/>
        <w:rPr>
          <w:rFonts w:asciiTheme="minorHAnsi" w:eastAsiaTheme="minorEastAsia" w:hAnsiTheme="minorHAnsi" w:cstheme="minorBidi"/>
          <w:noProof/>
          <w:sz w:val="22"/>
          <w:szCs w:val="22"/>
        </w:rPr>
      </w:pPr>
      <w:hyperlink w:anchor="_Toc378946314" w:history="1">
        <w:r w:rsidR="005D7302" w:rsidRPr="00245F23">
          <w:rPr>
            <w:rStyle w:val="Hyperlink"/>
            <w:rFonts w:asciiTheme="majorBidi" w:hAnsiTheme="majorBidi" w:cstheme="majorBidi"/>
            <w:noProof/>
          </w:rPr>
          <w:t>D.</w:t>
        </w:r>
        <w:r w:rsidR="005D7302">
          <w:rPr>
            <w:rFonts w:asciiTheme="minorHAnsi" w:eastAsiaTheme="minorEastAsia" w:hAnsiTheme="minorHAnsi" w:cstheme="minorBidi"/>
            <w:noProof/>
            <w:sz w:val="22"/>
            <w:szCs w:val="22"/>
          </w:rPr>
          <w:tab/>
        </w:r>
        <w:r w:rsidR="005D7302" w:rsidRPr="00245F23">
          <w:rPr>
            <w:rStyle w:val="Hyperlink"/>
            <w:noProof/>
          </w:rPr>
          <w:t>Deferral And Collection From Customers For 2008 And 2011 Costs</w:t>
        </w:r>
        <w:r w:rsidR="005D7302">
          <w:rPr>
            <w:noProof/>
            <w:webHidden/>
          </w:rPr>
          <w:tab/>
        </w:r>
        <w:r w:rsidR="005D7302">
          <w:rPr>
            <w:noProof/>
            <w:webHidden/>
          </w:rPr>
          <w:fldChar w:fldCharType="begin"/>
        </w:r>
        <w:r w:rsidR="005D7302">
          <w:rPr>
            <w:noProof/>
            <w:webHidden/>
          </w:rPr>
          <w:instrText xml:space="preserve"> PAGEREF _Toc378946314 \h </w:instrText>
        </w:r>
        <w:r w:rsidR="005D7302">
          <w:rPr>
            <w:noProof/>
            <w:webHidden/>
          </w:rPr>
        </w:r>
        <w:r w:rsidR="005D7302">
          <w:rPr>
            <w:noProof/>
            <w:webHidden/>
          </w:rPr>
          <w:fldChar w:fldCharType="separate"/>
        </w:r>
        <w:r w:rsidR="00821EB1">
          <w:rPr>
            <w:noProof/>
            <w:webHidden/>
          </w:rPr>
          <w:t>12</w:t>
        </w:r>
        <w:r w:rsidR="005D7302">
          <w:rPr>
            <w:noProof/>
            <w:webHidden/>
          </w:rPr>
          <w:fldChar w:fldCharType="end"/>
        </w:r>
      </w:hyperlink>
    </w:p>
    <w:p w:rsidR="005D7302" w:rsidRDefault="004D483C" w:rsidP="005D7302">
      <w:pPr>
        <w:pStyle w:val="TOC1"/>
        <w:ind w:right="720"/>
        <w:rPr>
          <w:rFonts w:asciiTheme="minorHAnsi" w:eastAsiaTheme="minorEastAsia" w:hAnsiTheme="minorHAnsi" w:cstheme="minorBidi"/>
          <w:caps w:val="0"/>
          <w:noProof/>
          <w:sz w:val="22"/>
          <w:szCs w:val="22"/>
        </w:rPr>
      </w:pPr>
      <w:hyperlink w:anchor="_Toc378946315" w:history="1">
        <w:r w:rsidR="005D7302" w:rsidRPr="00245F23">
          <w:rPr>
            <w:rStyle w:val="Hyperlink"/>
            <w:noProof/>
          </w:rPr>
          <w:t>IV.</w:t>
        </w:r>
        <w:r w:rsidR="005D7302">
          <w:rPr>
            <w:rFonts w:asciiTheme="minorHAnsi" w:eastAsiaTheme="minorEastAsia" w:hAnsiTheme="minorHAnsi" w:cstheme="minorBidi"/>
            <w:caps w:val="0"/>
            <w:noProof/>
            <w:sz w:val="22"/>
            <w:szCs w:val="22"/>
          </w:rPr>
          <w:tab/>
        </w:r>
        <w:r w:rsidR="005D7302" w:rsidRPr="00245F23">
          <w:rPr>
            <w:rStyle w:val="Hyperlink"/>
            <w:noProof/>
          </w:rPr>
          <w:t>CONCLUSION</w:t>
        </w:r>
        <w:r w:rsidR="005D7302">
          <w:rPr>
            <w:noProof/>
            <w:webHidden/>
          </w:rPr>
          <w:tab/>
        </w:r>
        <w:r w:rsidR="005D7302">
          <w:rPr>
            <w:noProof/>
            <w:webHidden/>
          </w:rPr>
          <w:fldChar w:fldCharType="begin"/>
        </w:r>
        <w:r w:rsidR="005D7302">
          <w:rPr>
            <w:noProof/>
            <w:webHidden/>
          </w:rPr>
          <w:instrText xml:space="preserve"> PAGEREF _Toc378946315 \h </w:instrText>
        </w:r>
        <w:r w:rsidR="005D7302">
          <w:rPr>
            <w:noProof/>
            <w:webHidden/>
          </w:rPr>
        </w:r>
        <w:r w:rsidR="005D7302">
          <w:rPr>
            <w:noProof/>
            <w:webHidden/>
          </w:rPr>
          <w:fldChar w:fldCharType="separate"/>
        </w:r>
        <w:r w:rsidR="00821EB1">
          <w:rPr>
            <w:noProof/>
            <w:webHidden/>
          </w:rPr>
          <w:t>27</w:t>
        </w:r>
        <w:r w:rsidR="005D7302">
          <w:rPr>
            <w:noProof/>
            <w:webHidden/>
          </w:rPr>
          <w:fldChar w:fldCharType="end"/>
        </w:r>
      </w:hyperlink>
    </w:p>
    <w:p w:rsidR="00361884" w:rsidRDefault="006C02FA" w:rsidP="00171F54">
      <w:pPr>
        <w:pStyle w:val="BodyText"/>
        <w:ind w:left="0"/>
      </w:pPr>
      <w:r>
        <w:fldChar w:fldCharType="end"/>
      </w:r>
    </w:p>
    <w:p w:rsidR="0097380D" w:rsidRDefault="0097380D" w:rsidP="00171F54">
      <w:pPr>
        <w:pStyle w:val="BodyText"/>
        <w:ind w:left="0"/>
      </w:pPr>
    </w:p>
    <w:p w:rsidR="008A5A1A" w:rsidRPr="0097380D" w:rsidRDefault="00361884" w:rsidP="0097380D">
      <w:pPr>
        <w:pStyle w:val="TOC1"/>
        <w:rPr>
          <w:b/>
        </w:rPr>
      </w:pPr>
      <w:r w:rsidRPr="0097380D">
        <w:rPr>
          <w:b/>
        </w:rPr>
        <w:t>LIST O</w:t>
      </w:r>
      <w:r w:rsidR="008A5A1A" w:rsidRPr="0097380D">
        <w:rPr>
          <w:b/>
        </w:rPr>
        <w:t>F ATTACHMENTS</w:t>
      </w:r>
    </w:p>
    <w:p w:rsidR="008A5A1A" w:rsidRDefault="008A5A1A" w:rsidP="00F91DD3">
      <w:pPr>
        <w:pStyle w:val="BodyText"/>
        <w:ind w:left="0"/>
      </w:pPr>
      <w:r>
        <w:t>Attachment DJD-</w:t>
      </w:r>
      <w:r w:rsidR="00A228F9">
        <w:t>1</w:t>
      </w:r>
    </w:p>
    <w:p w:rsidR="008A5A1A" w:rsidRDefault="008A5A1A" w:rsidP="00F91DD3">
      <w:pPr>
        <w:pStyle w:val="BodyText"/>
        <w:ind w:left="0"/>
      </w:pPr>
      <w:r>
        <w:t>Attachment DJD-</w:t>
      </w:r>
      <w:r w:rsidR="00A228F9">
        <w:t>2</w:t>
      </w:r>
    </w:p>
    <w:p w:rsidR="00334C7F" w:rsidRDefault="00334C7F" w:rsidP="00831F30">
      <w:pPr>
        <w:spacing w:line="480" w:lineRule="auto"/>
        <w:sectPr w:rsidR="00334C7F" w:rsidSect="00753412">
          <w:headerReference w:type="even" r:id="rId14"/>
          <w:headerReference w:type="default" r:id="rId15"/>
          <w:headerReference w:type="first" r:id="rId16"/>
          <w:footerReference w:type="first" r:id="rId17"/>
          <w:pgSz w:w="12240" w:h="15840"/>
          <w:pgMar w:top="1440" w:right="1800" w:bottom="1440" w:left="1800" w:header="720" w:footer="720" w:gutter="0"/>
          <w:cols w:space="720"/>
          <w:titlePg/>
          <w:docGrid w:linePitch="360"/>
        </w:sectPr>
      </w:pPr>
    </w:p>
    <w:p w:rsidR="008A5A1A" w:rsidRPr="00D326C7" w:rsidRDefault="008A5A1A" w:rsidP="00B75BCF">
      <w:pPr>
        <w:pStyle w:val="Heading1"/>
        <w:ind w:left="720" w:hanging="720"/>
      </w:pPr>
      <w:bookmarkStart w:id="9" w:name="_Toc329611144"/>
      <w:bookmarkStart w:id="10" w:name="_Toc349131552"/>
      <w:bookmarkStart w:id="11" w:name="_Toc378946308"/>
      <w:r w:rsidRPr="00D326C7">
        <w:lastRenderedPageBreak/>
        <w:t>INTRODUCTION</w:t>
      </w:r>
      <w:bookmarkEnd w:id="9"/>
      <w:bookmarkEnd w:id="10"/>
      <w:bookmarkEnd w:id="11"/>
    </w:p>
    <w:p w:rsidR="008A5A1A" w:rsidRDefault="008A5A1A" w:rsidP="0097380D">
      <w:pPr>
        <w:autoSpaceDE w:val="0"/>
        <w:autoSpaceDN w:val="0"/>
        <w:adjustRightInd w:val="0"/>
        <w:spacing w:line="480" w:lineRule="auto"/>
        <w:ind w:left="1080"/>
        <w:rPr>
          <w:b/>
          <w:bCs/>
        </w:rPr>
      </w:pPr>
    </w:p>
    <w:p w:rsidR="008A5A1A" w:rsidRDefault="008A5A1A" w:rsidP="0097380D">
      <w:pPr>
        <w:autoSpaceDE w:val="0"/>
        <w:autoSpaceDN w:val="0"/>
        <w:adjustRightInd w:val="0"/>
        <w:spacing w:line="480" w:lineRule="auto"/>
        <w:rPr>
          <w:b/>
          <w:bCs/>
          <w:i/>
          <w:iCs/>
        </w:rPr>
      </w:pPr>
      <w:r>
        <w:rPr>
          <w:b/>
          <w:bCs/>
          <w:i/>
          <w:iCs/>
        </w:rPr>
        <w:t>Q1.</w:t>
      </w:r>
      <w:r>
        <w:rPr>
          <w:b/>
          <w:bCs/>
          <w:i/>
          <w:iCs/>
        </w:rPr>
        <w:tab/>
        <w:t>PLEASE STATE YOUR NAME, BUSINESS ADDRESS AND POSITION.</w:t>
      </w:r>
    </w:p>
    <w:p w:rsidR="008A5A1A" w:rsidRDefault="008A5A1A" w:rsidP="0097380D">
      <w:pPr>
        <w:autoSpaceDE w:val="0"/>
        <w:autoSpaceDN w:val="0"/>
        <w:adjustRightInd w:val="0"/>
        <w:spacing w:line="480" w:lineRule="auto"/>
        <w:ind w:left="720" w:hanging="720"/>
      </w:pPr>
      <w:r>
        <w:rPr>
          <w:b/>
          <w:bCs/>
          <w:i/>
          <w:iCs/>
        </w:rPr>
        <w:t>A1.</w:t>
      </w:r>
      <w:r>
        <w:rPr>
          <w:b/>
          <w:bCs/>
          <w:i/>
          <w:iCs/>
        </w:rPr>
        <w:tab/>
      </w:r>
      <w:r>
        <w:t>My name is Daniel J. Duann.  My business address is 10 West Broad Street, Suite 1800, Columbus, Ohio, 43215-3485.  I am a Principal Regulatory Analyst with the Office of the Ohio Consumers’ Counsel (“OCC”).</w:t>
      </w:r>
    </w:p>
    <w:p w:rsidR="008A5A1A" w:rsidRDefault="008A5A1A" w:rsidP="0097380D">
      <w:pPr>
        <w:autoSpaceDE w:val="0"/>
        <w:autoSpaceDN w:val="0"/>
        <w:adjustRightInd w:val="0"/>
        <w:spacing w:line="480" w:lineRule="auto"/>
        <w:ind w:left="720" w:hanging="720"/>
      </w:pPr>
    </w:p>
    <w:p w:rsidR="008A5A1A" w:rsidRDefault="008A5A1A" w:rsidP="0097380D">
      <w:pPr>
        <w:autoSpaceDE w:val="0"/>
        <w:autoSpaceDN w:val="0"/>
        <w:adjustRightInd w:val="0"/>
        <w:spacing w:line="480" w:lineRule="auto"/>
        <w:ind w:left="720" w:hanging="720"/>
        <w:rPr>
          <w:b/>
          <w:bCs/>
        </w:rPr>
      </w:pPr>
      <w:r>
        <w:rPr>
          <w:b/>
          <w:bCs/>
          <w:i/>
          <w:iCs/>
        </w:rPr>
        <w:t>Q2.</w:t>
      </w:r>
      <w:r>
        <w:rPr>
          <w:b/>
          <w:bCs/>
          <w:i/>
          <w:iCs/>
        </w:rPr>
        <w:tab/>
        <w:t>PLEASE DESCRIBE YOUR EDUCATIONAL BACKGROUND AND PROFESSIONAL EXPERIENCE.</w:t>
      </w:r>
    </w:p>
    <w:p w:rsidR="008A5A1A" w:rsidRDefault="008A5A1A" w:rsidP="0097380D">
      <w:pPr>
        <w:autoSpaceDE w:val="0"/>
        <w:autoSpaceDN w:val="0"/>
        <w:adjustRightInd w:val="0"/>
        <w:spacing w:line="480" w:lineRule="auto"/>
        <w:ind w:left="720" w:hanging="720"/>
      </w:pPr>
      <w:r>
        <w:rPr>
          <w:b/>
          <w:bCs/>
          <w:i/>
          <w:iCs/>
        </w:rPr>
        <w:t>A2.</w:t>
      </w:r>
      <w:r>
        <w:rPr>
          <w:b/>
          <w:bCs/>
          <w:i/>
          <w:iCs/>
        </w:rPr>
        <w:tab/>
      </w:r>
      <w:r>
        <w:t xml:space="preserve">I received my Ph.D. degree in public policy analysis from the Wharton School, University of Pennsylvania.  I also have a M.S. degree in energy management and policy from the University of Pennsylvania and a M.A. degree in economics from the University of Kansas.  I completed my undergraduate study in business administration at the National Taiwan University, Taiwan, Republic of China.  I </w:t>
      </w:r>
      <w:r w:rsidR="00506BED">
        <w:t xml:space="preserve">was conferred by the </w:t>
      </w:r>
      <w:r>
        <w:t xml:space="preserve">Society of Utility and Regulatory Financial Analysts </w:t>
      </w:r>
      <w:r w:rsidR="00506BED">
        <w:t xml:space="preserve">as a Certified Rate of Return Analyst </w:t>
      </w:r>
      <w:r>
        <w:t>in April 2011.</w:t>
      </w:r>
    </w:p>
    <w:p w:rsidR="008A5A1A" w:rsidRDefault="008A5A1A" w:rsidP="0097380D">
      <w:pPr>
        <w:autoSpaceDE w:val="0"/>
        <w:autoSpaceDN w:val="0"/>
        <w:adjustRightInd w:val="0"/>
        <w:spacing w:line="480" w:lineRule="auto"/>
        <w:ind w:left="720" w:hanging="720"/>
      </w:pPr>
    </w:p>
    <w:p w:rsidR="008A5A1A" w:rsidRDefault="008A5A1A" w:rsidP="0097380D">
      <w:pPr>
        <w:autoSpaceDE w:val="0"/>
        <w:autoSpaceDN w:val="0"/>
        <w:adjustRightInd w:val="0"/>
        <w:spacing w:line="480" w:lineRule="auto"/>
        <w:ind w:left="720"/>
      </w:pPr>
      <w:r>
        <w:t xml:space="preserve">I was a Utility Examiner II in the Forecasting Section of the Ohio Division of Energy, Ohio Department of Development, from 1983 to 1985.  From 1985 to 1986, I was an Economist with the Center of Health Policy Research at the American Medical Association in Chicago.  In </w:t>
      </w:r>
      <w:r w:rsidR="00BA49AF">
        <w:t xml:space="preserve">late </w:t>
      </w:r>
      <w:r>
        <w:t xml:space="preserve">1986, I joined the Illinois Commerce Commission as a Senior Economist in its Policy Analysis and Research Division.  I was employed as a Senior Institute Economist at the </w:t>
      </w:r>
      <w:r>
        <w:lastRenderedPageBreak/>
        <w:t>National Regulatory Research Institute (“NRRI”) at The Ohio State University from 1987 to 1995.  My work at NRRI involved many areas of utility regulation and energy policy.  I was an independent business consultant from 1996 to 2007.</w:t>
      </w:r>
    </w:p>
    <w:p w:rsidR="008A5A1A" w:rsidRDefault="008A5A1A" w:rsidP="0097380D">
      <w:pPr>
        <w:autoSpaceDE w:val="0"/>
        <w:autoSpaceDN w:val="0"/>
        <w:adjustRightInd w:val="0"/>
        <w:spacing w:line="480" w:lineRule="auto"/>
        <w:ind w:left="720"/>
      </w:pPr>
    </w:p>
    <w:p w:rsidR="008A5A1A" w:rsidRDefault="008A5A1A" w:rsidP="0097380D">
      <w:pPr>
        <w:autoSpaceDE w:val="0"/>
        <w:autoSpaceDN w:val="0"/>
        <w:adjustRightInd w:val="0"/>
        <w:spacing w:line="480" w:lineRule="auto"/>
        <w:ind w:left="720"/>
      </w:pPr>
      <w:r>
        <w:t xml:space="preserve">I joined </w:t>
      </w:r>
      <w:r w:rsidR="007E2B6F">
        <w:t xml:space="preserve">the </w:t>
      </w:r>
      <w:r>
        <w:t xml:space="preserve">OCC in January 2008 as a Senior Regulatory Analyst.  I was promoted to my current position in November 2011.  My responsibilities are to assist </w:t>
      </w:r>
      <w:r w:rsidR="00007ACB">
        <w:t xml:space="preserve">the </w:t>
      </w:r>
      <w:r>
        <w:t>OCC by participating in various regulatory proceedings before the Public Utilities Commission of Ohio (“PUCO”).  These proceedings include rate cases, alternative regulation, fuel cost recovery, service reliability, and other types of filings by Ohio’s electric, gas</w:t>
      </w:r>
      <w:r w:rsidR="00E4108D">
        <w:t>,</w:t>
      </w:r>
      <w:r>
        <w:t xml:space="preserve"> and water companies.</w:t>
      </w:r>
    </w:p>
    <w:p w:rsidR="008A5A1A" w:rsidRDefault="008A5A1A" w:rsidP="0097380D">
      <w:pPr>
        <w:autoSpaceDE w:val="0"/>
        <w:autoSpaceDN w:val="0"/>
        <w:adjustRightInd w:val="0"/>
        <w:spacing w:line="480" w:lineRule="auto"/>
      </w:pPr>
    </w:p>
    <w:p w:rsidR="008A5A1A" w:rsidRDefault="008A5A1A" w:rsidP="0097380D">
      <w:pPr>
        <w:autoSpaceDE w:val="0"/>
        <w:autoSpaceDN w:val="0"/>
        <w:adjustRightInd w:val="0"/>
        <w:spacing w:line="480" w:lineRule="auto"/>
        <w:ind w:left="720" w:hanging="720"/>
      </w:pPr>
      <w:r>
        <w:rPr>
          <w:b/>
          <w:bCs/>
          <w:i/>
          <w:iCs/>
        </w:rPr>
        <w:t>Q3.</w:t>
      </w:r>
      <w:r>
        <w:rPr>
          <w:b/>
          <w:bCs/>
          <w:i/>
          <w:iCs/>
        </w:rPr>
        <w:tab/>
        <w:t>HAVE YOU PREVIOUSLY SUBMITTED TESTIMONY OR TESTIFIED BEFORE THE PUBLIC UTILITIES COMMISSION</w:t>
      </w:r>
      <w:r w:rsidR="0054235E">
        <w:rPr>
          <w:b/>
          <w:bCs/>
          <w:i/>
          <w:iCs/>
        </w:rPr>
        <w:t xml:space="preserve"> </w:t>
      </w:r>
      <w:r>
        <w:rPr>
          <w:b/>
          <w:bCs/>
          <w:i/>
          <w:iCs/>
        </w:rPr>
        <w:t>OF OHIO?</w:t>
      </w:r>
    </w:p>
    <w:p w:rsidR="004C643D" w:rsidRDefault="008A5A1A" w:rsidP="0097380D">
      <w:pPr>
        <w:autoSpaceDE w:val="0"/>
        <w:autoSpaceDN w:val="0"/>
        <w:adjustRightInd w:val="0"/>
        <w:spacing w:line="480" w:lineRule="auto"/>
        <w:ind w:left="720" w:hanging="720"/>
      </w:pPr>
      <w:r>
        <w:rPr>
          <w:b/>
          <w:bCs/>
          <w:i/>
          <w:iCs/>
        </w:rPr>
        <w:t>A3.</w:t>
      </w:r>
      <w:r>
        <w:tab/>
        <w:t xml:space="preserve">Yes.  I have submitted expert testimony on behalf of </w:t>
      </w:r>
      <w:r w:rsidR="00007ACB">
        <w:t xml:space="preserve">the </w:t>
      </w:r>
      <w:r>
        <w:t xml:space="preserve">OCC before the PUCO in a number of cases involving electric, gas, and water </w:t>
      </w:r>
      <w:r w:rsidR="00577425">
        <w:t>utilities</w:t>
      </w:r>
      <w:r>
        <w:t>.  A list of these cases is included in Attachment DJD-</w:t>
      </w:r>
      <w:r w:rsidR="009F02DC">
        <w:t>1</w:t>
      </w:r>
      <w:r>
        <w:t>.</w:t>
      </w:r>
    </w:p>
    <w:p w:rsidR="006923FC" w:rsidRDefault="006923FC" w:rsidP="0097380D">
      <w:pPr>
        <w:autoSpaceDE w:val="0"/>
        <w:autoSpaceDN w:val="0"/>
        <w:adjustRightInd w:val="0"/>
        <w:spacing w:line="480" w:lineRule="auto"/>
        <w:ind w:left="720" w:hanging="720"/>
      </w:pPr>
    </w:p>
    <w:p w:rsidR="008A5A1A" w:rsidRDefault="008A5A1A" w:rsidP="0097380D">
      <w:pPr>
        <w:autoSpaceDE w:val="0"/>
        <w:autoSpaceDN w:val="0"/>
        <w:adjustRightInd w:val="0"/>
        <w:spacing w:line="480" w:lineRule="auto"/>
        <w:ind w:left="720" w:hanging="720"/>
        <w:rPr>
          <w:b/>
          <w:bCs/>
          <w:i/>
          <w:iCs/>
        </w:rPr>
      </w:pPr>
      <w:r>
        <w:rPr>
          <w:b/>
          <w:bCs/>
          <w:i/>
          <w:iCs/>
        </w:rPr>
        <w:t>Q</w:t>
      </w:r>
      <w:r w:rsidR="002A4357">
        <w:rPr>
          <w:b/>
          <w:bCs/>
          <w:i/>
          <w:iCs/>
        </w:rPr>
        <w:t>4</w:t>
      </w:r>
      <w:r>
        <w:rPr>
          <w:b/>
          <w:bCs/>
          <w:i/>
          <w:iCs/>
        </w:rPr>
        <w:t>.</w:t>
      </w:r>
      <w:r>
        <w:rPr>
          <w:b/>
          <w:bCs/>
          <w:i/>
          <w:iCs/>
        </w:rPr>
        <w:tab/>
        <w:t xml:space="preserve">WHAT ARE YOUR QUALIFICATIONS </w:t>
      </w:r>
      <w:r w:rsidR="004A6EC7">
        <w:rPr>
          <w:b/>
          <w:bCs/>
          <w:i/>
          <w:iCs/>
        </w:rPr>
        <w:t xml:space="preserve">WITH </w:t>
      </w:r>
      <w:r w:rsidR="00E871C4">
        <w:rPr>
          <w:b/>
          <w:bCs/>
          <w:i/>
          <w:iCs/>
        </w:rPr>
        <w:t xml:space="preserve">REGARD </w:t>
      </w:r>
      <w:r>
        <w:rPr>
          <w:b/>
          <w:bCs/>
          <w:i/>
          <w:iCs/>
        </w:rPr>
        <w:t>TO YOUR TESTIMONY</w:t>
      </w:r>
      <w:r w:rsidR="00E871C4">
        <w:rPr>
          <w:b/>
          <w:bCs/>
          <w:i/>
          <w:iCs/>
        </w:rPr>
        <w:t xml:space="preserve"> IN THIS PROCEEDING</w:t>
      </w:r>
      <w:r>
        <w:rPr>
          <w:b/>
          <w:bCs/>
          <w:i/>
          <w:iCs/>
        </w:rPr>
        <w:t>?</w:t>
      </w:r>
    </w:p>
    <w:p w:rsidR="005E763C" w:rsidRDefault="008A5A1A" w:rsidP="005E763C">
      <w:pPr>
        <w:autoSpaceDE w:val="0"/>
        <w:autoSpaceDN w:val="0"/>
        <w:adjustRightInd w:val="0"/>
        <w:spacing w:line="480" w:lineRule="auto"/>
        <w:ind w:left="720" w:hanging="720"/>
      </w:pPr>
      <w:r>
        <w:rPr>
          <w:b/>
          <w:bCs/>
          <w:i/>
          <w:iCs/>
        </w:rPr>
        <w:t>A</w:t>
      </w:r>
      <w:r w:rsidR="002A4357">
        <w:rPr>
          <w:b/>
          <w:bCs/>
          <w:i/>
          <w:iCs/>
        </w:rPr>
        <w:t>4</w:t>
      </w:r>
      <w:r>
        <w:rPr>
          <w:b/>
          <w:bCs/>
          <w:i/>
          <w:iCs/>
        </w:rPr>
        <w:t>.</w:t>
      </w:r>
      <w:r>
        <w:rPr>
          <w:b/>
          <w:bCs/>
          <w:i/>
          <w:iCs/>
        </w:rPr>
        <w:tab/>
      </w:r>
      <w:r w:rsidR="00A17473">
        <w:t xml:space="preserve">I </w:t>
      </w:r>
      <w:r w:rsidR="005322E6">
        <w:t xml:space="preserve">am a trained economist with </w:t>
      </w:r>
      <w:r>
        <w:t>over twenty</w:t>
      </w:r>
      <w:r w:rsidR="00A17473">
        <w:t>-five</w:t>
      </w:r>
      <w:r>
        <w:t xml:space="preserve"> years of experience in studying and analyzing </w:t>
      </w:r>
      <w:r w:rsidR="00A17473">
        <w:t xml:space="preserve">the </w:t>
      </w:r>
      <w:r>
        <w:t xml:space="preserve">regulation of </w:t>
      </w:r>
      <w:r w:rsidR="00A17473">
        <w:t xml:space="preserve">public </w:t>
      </w:r>
      <w:r>
        <w:t xml:space="preserve">utilities in the United States.  A list of my </w:t>
      </w:r>
      <w:r w:rsidR="00E4108D">
        <w:t xml:space="preserve">selected </w:t>
      </w:r>
      <w:r>
        <w:t>professional publications is included in Attachment DJD-</w:t>
      </w:r>
      <w:r w:rsidR="009F02DC">
        <w:t>2</w:t>
      </w:r>
      <w:r>
        <w:t xml:space="preserve">. </w:t>
      </w:r>
      <w:r w:rsidR="00C36E3F">
        <w:t xml:space="preserve"> </w:t>
      </w:r>
      <w:r w:rsidR="00A17473">
        <w:t xml:space="preserve">I have directly participated in many public utility proceedings in Ohio and Illinois.  </w:t>
      </w:r>
      <w:r>
        <w:t xml:space="preserve">I am familiar with the </w:t>
      </w:r>
      <w:r w:rsidR="0099410A">
        <w:t xml:space="preserve">rate-making </w:t>
      </w:r>
      <w:r>
        <w:t>issues</w:t>
      </w:r>
      <w:r w:rsidR="009F5626">
        <w:t xml:space="preserve"> </w:t>
      </w:r>
      <w:r>
        <w:t xml:space="preserve">related to </w:t>
      </w:r>
      <w:r w:rsidR="0099410A">
        <w:t xml:space="preserve">the </w:t>
      </w:r>
      <w:r w:rsidR="00625832">
        <w:t xml:space="preserve">authorization of </w:t>
      </w:r>
      <w:r w:rsidR="00CD523D">
        <w:t>deferrals</w:t>
      </w:r>
      <w:r w:rsidR="0099410A">
        <w:t xml:space="preserve"> and subsequent collection, if any, </w:t>
      </w:r>
      <w:r w:rsidR="00BE5920">
        <w:t xml:space="preserve">by </w:t>
      </w:r>
      <w:r w:rsidR="0014170C">
        <w:t>electric utilities in Ohio</w:t>
      </w:r>
      <w:r w:rsidR="00CD523D">
        <w:t xml:space="preserve">.  </w:t>
      </w:r>
      <w:r w:rsidR="004B668A">
        <w:t xml:space="preserve">For example, </w:t>
      </w:r>
      <w:r w:rsidR="004B668A">
        <w:rPr>
          <w:rFonts w:eastAsia="Times New Roman"/>
        </w:rPr>
        <w:t>I filed testimon</w:t>
      </w:r>
      <w:r w:rsidR="004A6EC7">
        <w:rPr>
          <w:rFonts w:eastAsia="Times New Roman"/>
        </w:rPr>
        <w:t>y</w:t>
      </w:r>
      <w:r w:rsidR="004B668A">
        <w:rPr>
          <w:rFonts w:eastAsia="Times New Roman"/>
        </w:rPr>
        <w:t xml:space="preserve"> </w:t>
      </w:r>
      <w:r w:rsidR="009B64EE">
        <w:rPr>
          <w:rFonts w:eastAsia="Times New Roman"/>
        </w:rPr>
        <w:t xml:space="preserve">and </w:t>
      </w:r>
      <w:r w:rsidR="009D016F">
        <w:rPr>
          <w:rFonts w:eastAsia="Times New Roman"/>
        </w:rPr>
        <w:t xml:space="preserve">testified </w:t>
      </w:r>
      <w:r w:rsidR="004B668A">
        <w:rPr>
          <w:rFonts w:eastAsia="Times New Roman"/>
        </w:rPr>
        <w:t xml:space="preserve">in the 2009 and 2012 Electric Security Plan (“ESP”) </w:t>
      </w:r>
      <w:r w:rsidR="00625832">
        <w:rPr>
          <w:rFonts w:eastAsia="Times New Roman"/>
        </w:rPr>
        <w:t>proce</w:t>
      </w:r>
      <w:r w:rsidR="00D258CC">
        <w:rPr>
          <w:rFonts w:eastAsia="Times New Roman"/>
        </w:rPr>
        <w:t>e</w:t>
      </w:r>
      <w:r w:rsidR="00625832">
        <w:rPr>
          <w:rFonts w:eastAsia="Times New Roman"/>
        </w:rPr>
        <w:t>dings</w:t>
      </w:r>
      <w:r w:rsidR="00574A01">
        <w:rPr>
          <w:rFonts w:eastAsia="Times New Roman"/>
        </w:rPr>
        <w:t xml:space="preserve"> of Dayton Power and Light Company (“DP&amp;L” or “</w:t>
      </w:r>
      <w:r w:rsidR="009F6D0C">
        <w:rPr>
          <w:rFonts w:eastAsia="Times New Roman"/>
        </w:rPr>
        <w:t>Utility</w:t>
      </w:r>
      <w:r w:rsidR="00574A01">
        <w:rPr>
          <w:rFonts w:eastAsia="Times New Roman"/>
        </w:rPr>
        <w:t xml:space="preserve">”) </w:t>
      </w:r>
      <w:r w:rsidR="004B668A">
        <w:rPr>
          <w:rFonts w:eastAsia="Times New Roman"/>
        </w:rPr>
        <w:t>(Case Nos. 08-1094-EL-SSO et al.</w:t>
      </w:r>
      <w:r w:rsidR="003E28BC">
        <w:rPr>
          <w:rFonts w:eastAsia="Times New Roman"/>
        </w:rPr>
        <w:t>,</w:t>
      </w:r>
      <w:r w:rsidR="004B668A">
        <w:rPr>
          <w:rFonts w:eastAsia="Times New Roman"/>
        </w:rPr>
        <w:t xml:space="preserve"> and 12-426-EL-SSO).  I </w:t>
      </w:r>
      <w:r w:rsidR="009D016F">
        <w:rPr>
          <w:rFonts w:eastAsia="Times New Roman"/>
        </w:rPr>
        <w:t xml:space="preserve">also </w:t>
      </w:r>
      <w:r w:rsidR="004B668A">
        <w:rPr>
          <w:rFonts w:eastAsia="Times New Roman"/>
        </w:rPr>
        <w:t>testified in the 2009</w:t>
      </w:r>
      <w:r w:rsidR="003E28BC">
        <w:rPr>
          <w:rFonts w:eastAsia="Times New Roman"/>
        </w:rPr>
        <w:t>, 2010</w:t>
      </w:r>
      <w:r w:rsidR="004A6EC7">
        <w:rPr>
          <w:rFonts w:eastAsia="Times New Roman"/>
        </w:rPr>
        <w:t>,</w:t>
      </w:r>
      <w:r w:rsidR="003E28BC">
        <w:rPr>
          <w:rFonts w:eastAsia="Times New Roman"/>
        </w:rPr>
        <w:t xml:space="preserve"> and 2011</w:t>
      </w:r>
      <w:r w:rsidR="004B668A">
        <w:rPr>
          <w:rFonts w:eastAsia="Times New Roman"/>
        </w:rPr>
        <w:t xml:space="preserve"> AEP Ohio Fuel Adjustment </w:t>
      </w:r>
      <w:r w:rsidR="009D016F">
        <w:rPr>
          <w:rFonts w:eastAsia="Times New Roman"/>
        </w:rPr>
        <w:t>Clause (“FAC”) Audit proceeding</w:t>
      </w:r>
      <w:r w:rsidR="00625832">
        <w:rPr>
          <w:rFonts w:eastAsia="Times New Roman"/>
        </w:rPr>
        <w:t>s</w:t>
      </w:r>
      <w:r w:rsidR="004B668A">
        <w:rPr>
          <w:rFonts w:eastAsia="Times New Roman"/>
        </w:rPr>
        <w:t xml:space="preserve">, </w:t>
      </w:r>
      <w:r w:rsidR="009D016F">
        <w:rPr>
          <w:rFonts w:eastAsia="Times New Roman"/>
        </w:rPr>
        <w:t xml:space="preserve">several </w:t>
      </w:r>
      <w:r w:rsidR="004B668A">
        <w:rPr>
          <w:rFonts w:eastAsia="Times New Roman"/>
        </w:rPr>
        <w:t xml:space="preserve">AEP Ohio </w:t>
      </w:r>
      <w:r w:rsidR="004B668A">
        <w:t>ESP</w:t>
      </w:r>
      <w:r w:rsidR="009D016F">
        <w:t xml:space="preserve"> proceedings, and the most recent </w:t>
      </w:r>
      <w:r w:rsidR="006F2123">
        <w:t xml:space="preserve">electric and natural gas </w:t>
      </w:r>
      <w:r w:rsidR="009D016F">
        <w:t xml:space="preserve">distribution </w:t>
      </w:r>
      <w:r w:rsidR="00611E72">
        <w:t>rate cases of Duke Energy Ohio.</w:t>
      </w:r>
    </w:p>
    <w:p w:rsidR="00462716" w:rsidRDefault="00462716" w:rsidP="005E763C">
      <w:pPr>
        <w:autoSpaceDE w:val="0"/>
        <w:autoSpaceDN w:val="0"/>
        <w:adjustRightInd w:val="0"/>
        <w:spacing w:line="480" w:lineRule="auto"/>
        <w:ind w:left="720" w:hanging="720"/>
      </w:pPr>
    </w:p>
    <w:p w:rsidR="008A5A1A" w:rsidRDefault="008A5A1A" w:rsidP="00611E72">
      <w:pPr>
        <w:pStyle w:val="Heading1"/>
        <w:ind w:left="720" w:hanging="720"/>
      </w:pPr>
      <w:bookmarkStart w:id="12" w:name="_Toc329611145"/>
      <w:bookmarkStart w:id="13" w:name="_Toc349131553"/>
      <w:bookmarkStart w:id="14" w:name="_Toc378946309"/>
      <w:r>
        <w:t>PURPOSE OF TESTIMONY</w:t>
      </w:r>
      <w:bookmarkEnd w:id="12"/>
      <w:bookmarkEnd w:id="13"/>
      <w:bookmarkEnd w:id="14"/>
    </w:p>
    <w:p w:rsidR="001F1285" w:rsidRDefault="001F1285" w:rsidP="0097380D">
      <w:pPr>
        <w:autoSpaceDE w:val="0"/>
        <w:autoSpaceDN w:val="0"/>
        <w:adjustRightInd w:val="0"/>
        <w:spacing w:line="480" w:lineRule="auto"/>
        <w:ind w:left="1080"/>
        <w:rPr>
          <w:b/>
          <w:bCs/>
        </w:rPr>
      </w:pPr>
    </w:p>
    <w:p w:rsidR="008A5A1A" w:rsidRPr="00EF0C3B" w:rsidRDefault="008A5A1A" w:rsidP="0097380D">
      <w:pPr>
        <w:autoSpaceDE w:val="0"/>
        <w:autoSpaceDN w:val="0"/>
        <w:adjustRightInd w:val="0"/>
        <w:spacing w:line="480" w:lineRule="auto"/>
        <w:ind w:left="720" w:hanging="720"/>
        <w:rPr>
          <w:b/>
          <w:bCs/>
          <w:i/>
          <w:iCs/>
        </w:rPr>
      </w:pPr>
      <w:r w:rsidRPr="00EF0C3B">
        <w:rPr>
          <w:b/>
          <w:bCs/>
          <w:i/>
          <w:iCs/>
        </w:rPr>
        <w:t>Q</w:t>
      </w:r>
      <w:r w:rsidR="002A4357" w:rsidRPr="00EF0C3B">
        <w:rPr>
          <w:b/>
          <w:bCs/>
          <w:i/>
          <w:iCs/>
        </w:rPr>
        <w:t>5</w:t>
      </w:r>
      <w:r w:rsidRPr="00EF0C3B">
        <w:rPr>
          <w:b/>
          <w:bCs/>
          <w:i/>
          <w:iCs/>
        </w:rPr>
        <w:t>.</w:t>
      </w:r>
      <w:r w:rsidRPr="00EF0C3B">
        <w:rPr>
          <w:b/>
          <w:bCs/>
          <w:i/>
          <w:iCs/>
        </w:rPr>
        <w:tab/>
        <w:t xml:space="preserve">WHAT </w:t>
      </w:r>
      <w:r w:rsidR="00084F77" w:rsidRPr="00EF0C3B">
        <w:rPr>
          <w:b/>
          <w:bCs/>
          <w:i/>
          <w:iCs/>
        </w:rPr>
        <w:t xml:space="preserve">IS </w:t>
      </w:r>
      <w:r w:rsidRPr="00EF0C3B">
        <w:rPr>
          <w:b/>
          <w:bCs/>
          <w:i/>
          <w:iCs/>
        </w:rPr>
        <w:t>THE PURPOSE OF YOUR TESTIMONY?</w:t>
      </w:r>
    </w:p>
    <w:p w:rsidR="00EA58C8" w:rsidRDefault="008A5A1A" w:rsidP="00EA58C8">
      <w:pPr>
        <w:spacing w:line="480" w:lineRule="auto"/>
        <w:ind w:left="720" w:hanging="720"/>
        <w:rPr>
          <w:rFonts w:ascii="Times New Roman Bold" w:hAnsi="Times New Roman Bold"/>
          <w:b/>
          <w:bCs/>
          <w:caps/>
        </w:rPr>
      </w:pPr>
      <w:r w:rsidRPr="00EF0C3B">
        <w:rPr>
          <w:b/>
          <w:bCs/>
          <w:i/>
          <w:iCs/>
        </w:rPr>
        <w:t>A</w:t>
      </w:r>
      <w:r w:rsidR="002A4357" w:rsidRPr="00EF0C3B">
        <w:rPr>
          <w:b/>
          <w:bCs/>
          <w:i/>
          <w:iCs/>
        </w:rPr>
        <w:t>5</w:t>
      </w:r>
      <w:r w:rsidRPr="00EF0C3B">
        <w:rPr>
          <w:b/>
          <w:bCs/>
          <w:i/>
          <w:iCs/>
        </w:rPr>
        <w:t>.</w:t>
      </w:r>
      <w:r w:rsidRPr="00EF0C3B">
        <w:rPr>
          <w:b/>
          <w:bCs/>
        </w:rPr>
        <w:tab/>
      </w:r>
      <w:r w:rsidRPr="00EF0C3B">
        <w:t xml:space="preserve">The purpose of my testimony is to </w:t>
      </w:r>
      <w:r w:rsidR="00FF56B5" w:rsidRPr="00EF0C3B">
        <w:t xml:space="preserve">support and explain </w:t>
      </w:r>
      <w:r w:rsidR="002909E6" w:rsidRPr="00EF0C3B">
        <w:t xml:space="preserve">certain </w:t>
      </w:r>
      <w:r w:rsidRPr="00EF0C3B">
        <w:t>position</w:t>
      </w:r>
      <w:r w:rsidR="002909E6" w:rsidRPr="00EF0C3B">
        <w:t>s</w:t>
      </w:r>
      <w:r w:rsidRPr="00EF0C3B">
        <w:t xml:space="preserve"> </w:t>
      </w:r>
      <w:r w:rsidR="00007ACB" w:rsidRPr="00EF0C3B">
        <w:t xml:space="preserve">of the OCC </w:t>
      </w:r>
      <w:r w:rsidR="00C35119" w:rsidRPr="00EF0C3B">
        <w:t xml:space="preserve">regarding </w:t>
      </w:r>
      <w:r w:rsidR="00E4108D" w:rsidRPr="00EF0C3B">
        <w:t xml:space="preserve">the </w:t>
      </w:r>
      <w:r w:rsidR="00810ACE">
        <w:t xml:space="preserve">application </w:t>
      </w:r>
      <w:r w:rsidR="002A4357" w:rsidRPr="00EF0C3B">
        <w:t xml:space="preserve">by DP&amp;L </w:t>
      </w:r>
      <w:r w:rsidR="00810ACE">
        <w:t xml:space="preserve">to collect </w:t>
      </w:r>
      <w:r w:rsidR="0018169E">
        <w:t xml:space="preserve">from customers 2008 and 2012 </w:t>
      </w:r>
      <w:r w:rsidR="00D258CC">
        <w:t>storm-related costs</w:t>
      </w:r>
      <w:r w:rsidR="004A6EC7">
        <w:t>,</w:t>
      </w:r>
      <w:r w:rsidR="00D258CC">
        <w:t xml:space="preserve"> </w:t>
      </w:r>
      <w:r w:rsidR="00810ACE">
        <w:t xml:space="preserve">to defer and collect storm-related costs of 2011, and </w:t>
      </w:r>
      <w:r w:rsidR="00333731">
        <w:t xml:space="preserve">to establish </w:t>
      </w:r>
      <w:r w:rsidR="00810ACE">
        <w:t>a Storm Cost Recovery Rider</w:t>
      </w:r>
      <w:r w:rsidR="00410029">
        <w:t xml:space="preserve"> that allows DP&amp;L</w:t>
      </w:r>
      <w:r w:rsidR="00810ACE">
        <w:t xml:space="preserve"> to defer and collect </w:t>
      </w:r>
      <w:r w:rsidR="00410029">
        <w:t xml:space="preserve">all </w:t>
      </w:r>
      <w:r w:rsidR="00462716">
        <w:t xml:space="preserve">operation and </w:t>
      </w:r>
      <w:r w:rsidR="00955E82" w:rsidRPr="00EF0C3B">
        <w:t>maintenance (</w:t>
      </w:r>
      <w:r w:rsidR="00944E58">
        <w:t>“</w:t>
      </w:r>
      <w:r w:rsidR="00955E82" w:rsidRPr="00EF0C3B">
        <w:t>O&amp;M</w:t>
      </w:r>
      <w:r w:rsidR="00944E58">
        <w:t>”</w:t>
      </w:r>
      <w:r w:rsidR="00955E82" w:rsidRPr="00EF0C3B">
        <w:t xml:space="preserve">) </w:t>
      </w:r>
      <w:r w:rsidR="002909E6" w:rsidRPr="00EF0C3B">
        <w:t xml:space="preserve">costs </w:t>
      </w:r>
      <w:r w:rsidR="00810ACE">
        <w:t>for major</w:t>
      </w:r>
      <w:r w:rsidR="00462716">
        <w:t>-event</w:t>
      </w:r>
      <w:r w:rsidR="00810ACE">
        <w:t xml:space="preserve"> storms going forward.</w:t>
      </w:r>
      <w:r w:rsidR="002909E6" w:rsidRPr="00EF0C3B">
        <w:rPr>
          <w:rStyle w:val="FootnoteReference"/>
        </w:rPr>
        <w:footnoteReference w:id="1"/>
      </w:r>
      <w:r w:rsidR="00076305">
        <w:t xml:space="preserve"> </w:t>
      </w:r>
      <w:r w:rsidR="0097716E">
        <w:t xml:space="preserve"> </w:t>
      </w:r>
      <w:r w:rsidR="005450EF">
        <w:t>The analysis and conclusion regarding the prudence and reasonableness of individual expenses items and baseline are discussed by another OCC witness, Anthony J. Yankel.</w:t>
      </w:r>
      <w:r w:rsidR="00EA58C8">
        <w:br w:type="page"/>
      </w:r>
    </w:p>
    <w:p w:rsidR="004A76A5" w:rsidRDefault="004A76A5" w:rsidP="00611E72">
      <w:pPr>
        <w:pStyle w:val="Heading1"/>
        <w:ind w:left="720" w:hanging="720"/>
      </w:pPr>
      <w:bookmarkStart w:id="15" w:name="_Toc378946310"/>
      <w:r>
        <w:t>RECOMMENDATIONS</w:t>
      </w:r>
      <w:r w:rsidR="00CC17F3">
        <w:t xml:space="preserve"> AND COMMENTS</w:t>
      </w:r>
      <w:bookmarkEnd w:id="15"/>
    </w:p>
    <w:p w:rsidR="00462716" w:rsidRDefault="00462716" w:rsidP="004B668A">
      <w:pPr>
        <w:autoSpaceDE w:val="0"/>
        <w:autoSpaceDN w:val="0"/>
        <w:adjustRightInd w:val="0"/>
        <w:spacing w:line="480" w:lineRule="auto"/>
        <w:ind w:left="720" w:hanging="720"/>
        <w:rPr>
          <w:b/>
          <w:i/>
        </w:rPr>
      </w:pPr>
    </w:p>
    <w:p w:rsidR="004B668A" w:rsidRDefault="002909E6" w:rsidP="004B668A">
      <w:pPr>
        <w:autoSpaceDE w:val="0"/>
        <w:autoSpaceDN w:val="0"/>
        <w:adjustRightInd w:val="0"/>
        <w:spacing w:line="480" w:lineRule="auto"/>
        <w:ind w:left="720" w:hanging="720"/>
        <w:rPr>
          <w:b/>
          <w:bCs/>
          <w:i/>
          <w:iCs/>
        </w:rPr>
      </w:pPr>
      <w:r w:rsidRPr="00795B74">
        <w:rPr>
          <w:b/>
          <w:i/>
        </w:rPr>
        <w:t>Q</w:t>
      </w:r>
      <w:r>
        <w:rPr>
          <w:b/>
          <w:i/>
        </w:rPr>
        <w:t>6</w:t>
      </w:r>
      <w:r w:rsidRPr="00795B74">
        <w:rPr>
          <w:b/>
          <w:i/>
        </w:rPr>
        <w:t>.</w:t>
      </w:r>
      <w:r w:rsidRPr="00795B74">
        <w:rPr>
          <w:b/>
          <w:i/>
        </w:rPr>
        <w:tab/>
      </w:r>
      <w:r w:rsidR="004B668A">
        <w:rPr>
          <w:b/>
          <w:bCs/>
          <w:i/>
          <w:iCs/>
        </w:rPr>
        <w:t>PLEASE SUMMARIZE YOUR FINDINGS AND RECOMMENDATIONS.</w:t>
      </w:r>
    </w:p>
    <w:p w:rsidR="00625832" w:rsidRDefault="004B668A" w:rsidP="001426CD">
      <w:pPr>
        <w:spacing w:line="480" w:lineRule="auto"/>
        <w:ind w:left="720" w:hanging="720"/>
        <w:rPr>
          <w:bCs/>
          <w:iCs/>
        </w:rPr>
      </w:pPr>
      <w:r>
        <w:rPr>
          <w:b/>
          <w:bCs/>
          <w:i/>
          <w:iCs/>
        </w:rPr>
        <w:t>A6.</w:t>
      </w:r>
      <w:r>
        <w:rPr>
          <w:b/>
          <w:bCs/>
          <w:i/>
          <w:iCs/>
        </w:rPr>
        <w:tab/>
      </w:r>
      <w:r w:rsidR="00462716">
        <w:rPr>
          <w:bCs/>
          <w:iCs/>
        </w:rPr>
        <w:t xml:space="preserve">First, </w:t>
      </w:r>
      <w:r w:rsidR="00955E82">
        <w:rPr>
          <w:bCs/>
          <w:iCs/>
        </w:rPr>
        <w:t xml:space="preserve">I recommend </w:t>
      </w:r>
      <w:r w:rsidR="004A6EC7">
        <w:rPr>
          <w:bCs/>
          <w:iCs/>
        </w:rPr>
        <w:t xml:space="preserve">that </w:t>
      </w:r>
      <w:r w:rsidR="00955E82">
        <w:rPr>
          <w:bCs/>
          <w:iCs/>
        </w:rPr>
        <w:t xml:space="preserve">the </w:t>
      </w:r>
      <w:r w:rsidR="00CF6A1B">
        <w:rPr>
          <w:bCs/>
          <w:iCs/>
        </w:rPr>
        <w:t>PUCO</w:t>
      </w:r>
      <w:r w:rsidR="00955E82">
        <w:rPr>
          <w:bCs/>
          <w:iCs/>
        </w:rPr>
        <w:t xml:space="preserve"> deny the </w:t>
      </w:r>
      <w:r w:rsidR="00A17D27">
        <w:rPr>
          <w:bCs/>
          <w:iCs/>
        </w:rPr>
        <w:t>Utility</w:t>
      </w:r>
      <w:r w:rsidR="00955E82">
        <w:rPr>
          <w:bCs/>
          <w:iCs/>
        </w:rPr>
        <w:t xml:space="preserve">’s </w:t>
      </w:r>
      <w:r w:rsidR="005562F7">
        <w:rPr>
          <w:bCs/>
          <w:iCs/>
        </w:rPr>
        <w:t xml:space="preserve">application </w:t>
      </w:r>
      <w:r w:rsidR="00955E82">
        <w:rPr>
          <w:bCs/>
          <w:iCs/>
        </w:rPr>
        <w:t xml:space="preserve">to collect </w:t>
      </w:r>
      <w:r w:rsidR="005562F7">
        <w:rPr>
          <w:bCs/>
          <w:iCs/>
        </w:rPr>
        <w:t>all storm-related capital costs</w:t>
      </w:r>
      <w:r w:rsidR="00103F63">
        <w:rPr>
          <w:bCs/>
          <w:iCs/>
        </w:rPr>
        <w:t xml:space="preserve"> from customers.  </w:t>
      </w:r>
      <w:r w:rsidR="00462716">
        <w:rPr>
          <w:bCs/>
          <w:iCs/>
        </w:rPr>
        <w:t xml:space="preserve">Second, </w:t>
      </w:r>
      <w:r w:rsidR="005562F7">
        <w:rPr>
          <w:bCs/>
          <w:iCs/>
        </w:rPr>
        <w:t xml:space="preserve">I recommend the </w:t>
      </w:r>
      <w:r w:rsidR="00A17D27">
        <w:rPr>
          <w:bCs/>
          <w:iCs/>
        </w:rPr>
        <w:t>PUCO</w:t>
      </w:r>
      <w:r w:rsidR="005562F7">
        <w:rPr>
          <w:bCs/>
          <w:iCs/>
        </w:rPr>
        <w:t xml:space="preserve"> deny DP&amp;L’s request to collect </w:t>
      </w:r>
      <w:r w:rsidR="00955E82">
        <w:rPr>
          <w:bCs/>
          <w:iCs/>
        </w:rPr>
        <w:t xml:space="preserve">the 2008 </w:t>
      </w:r>
      <w:r w:rsidR="005562F7">
        <w:rPr>
          <w:bCs/>
          <w:iCs/>
        </w:rPr>
        <w:t xml:space="preserve">deferred </w:t>
      </w:r>
      <w:r w:rsidR="00955E82">
        <w:rPr>
          <w:bCs/>
          <w:iCs/>
        </w:rPr>
        <w:t>storm-</w:t>
      </w:r>
      <w:r w:rsidR="000D5C05">
        <w:rPr>
          <w:bCs/>
          <w:iCs/>
        </w:rPr>
        <w:t>r</w:t>
      </w:r>
      <w:r w:rsidR="00955E82">
        <w:rPr>
          <w:bCs/>
          <w:iCs/>
        </w:rPr>
        <w:t>elated O&amp;M costs a</w:t>
      </w:r>
      <w:r w:rsidR="005562F7">
        <w:rPr>
          <w:bCs/>
          <w:iCs/>
        </w:rPr>
        <w:t>nd</w:t>
      </w:r>
      <w:r w:rsidR="00A11BC0">
        <w:rPr>
          <w:bCs/>
          <w:iCs/>
        </w:rPr>
        <w:t xml:space="preserve"> deny</w:t>
      </w:r>
      <w:r w:rsidR="005562F7">
        <w:rPr>
          <w:bCs/>
          <w:iCs/>
        </w:rPr>
        <w:t xml:space="preserve"> the </w:t>
      </w:r>
      <w:r w:rsidR="001426CD">
        <w:rPr>
          <w:bCs/>
          <w:iCs/>
        </w:rPr>
        <w:t>request</w:t>
      </w:r>
      <w:r w:rsidR="002A4EA3">
        <w:rPr>
          <w:bCs/>
          <w:iCs/>
        </w:rPr>
        <w:t xml:space="preserve"> </w:t>
      </w:r>
      <w:r w:rsidR="00955E82">
        <w:rPr>
          <w:bCs/>
          <w:iCs/>
        </w:rPr>
        <w:t xml:space="preserve">to defer and collect the 2011 storm-related O&amp;M costs.  </w:t>
      </w:r>
      <w:r w:rsidR="00617323">
        <w:rPr>
          <w:bCs/>
          <w:iCs/>
        </w:rPr>
        <w:t>Third</w:t>
      </w:r>
      <w:r w:rsidR="005562F7">
        <w:rPr>
          <w:bCs/>
          <w:iCs/>
        </w:rPr>
        <w:t xml:space="preserve">, I recommend the </w:t>
      </w:r>
      <w:r w:rsidR="00A17D27">
        <w:rPr>
          <w:bCs/>
          <w:iCs/>
        </w:rPr>
        <w:t>PUCO</w:t>
      </w:r>
      <w:r w:rsidR="005562F7">
        <w:rPr>
          <w:bCs/>
          <w:iCs/>
        </w:rPr>
        <w:t xml:space="preserve"> </w:t>
      </w:r>
      <w:r w:rsidR="00FC76E1">
        <w:rPr>
          <w:bCs/>
          <w:iCs/>
        </w:rPr>
        <w:t xml:space="preserve">deny the </w:t>
      </w:r>
      <w:r w:rsidR="00A17D27">
        <w:rPr>
          <w:bCs/>
          <w:iCs/>
        </w:rPr>
        <w:t>Utility</w:t>
      </w:r>
      <w:r w:rsidR="00FC76E1">
        <w:rPr>
          <w:bCs/>
          <w:iCs/>
        </w:rPr>
        <w:t xml:space="preserve">’s request </w:t>
      </w:r>
      <w:r w:rsidR="005562F7">
        <w:rPr>
          <w:bCs/>
          <w:iCs/>
        </w:rPr>
        <w:t xml:space="preserve">to establish a Storm Cost Recovery Rider </w:t>
      </w:r>
      <w:r w:rsidR="00410029">
        <w:rPr>
          <w:bCs/>
          <w:iCs/>
        </w:rPr>
        <w:t xml:space="preserve">that will </w:t>
      </w:r>
      <w:r w:rsidR="005562F7">
        <w:rPr>
          <w:bCs/>
          <w:iCs/>
        </w:rPr>
        <w:t xml:space="preserve">allow DP&amp;L to defer and collect </w:t>
      </w:r>
      <w:r w:rsidR="00361134">
        <w:rPr>
          <w:bCs/>
          <w:iCs/>
        </w:rPr>
        <w:t xml:space="preserve">from customers </w:t>
      </w:r>
      <w:r w:rsidR="00804B0B">
        <w:rPr>
          <w:bCs/>
          <w:iCs/>
        </w:rPr>
        <w:t xml:space="preserve">future O&amp;M costs related to major-event storms. </w:t>
      </w:r>
      <w:r w:rsidR="00A17D27">
        <w:rPr>
          <w:bCs/>
          <w:iCs/>
        </w:rPr>
        <w:t xml:space="preserve"> </w:t>
      </w:r>
      <w:r w:rsidR="0083043F">
        <w:rPr>
          <w:bCs/>
          <w:iCs/>
        </w:rPr>
        <w:t>Fourth, I</w:t>
      </w:r>
      <w:r w:rsidR="00804B0B">
        <w:rPr>
          <w:bCs/>
          <w:iCs/>
        </w:rPr>
        <w:t xml:space="preserve"> </w:t>
      </w:r>
      <w:r w:rsidR="0083043F">
        <w:rPr>
          <w:bCs/>
          <w:iCs/>
        </w:rPr>
        <w:t>recommend that the PUCO reject DP&amp;L’s request for a 5.86% carry</w:t>
      </w:r>
      <w:r w:rsidR="00043E66">
        <w:rPr>
          <w:bCs/>
          <w:iCs/>
        </w:rPr>
        <w:t>ing charge on all deferred amount</w:t>
      </w:r>
      <w:r w:rsidR="0083043F">
        <w:rPr>
          <w:bCs/>
          <w:iCs/>
        </w:rPr>
        <w:t xml:space="preserve">s after </w:t>
      </w:r>
      <w:r w:rsidR="004E18D8">
        <w:rPr>
          <w:bCs/>
          <w:iCs/>
        </w:rPr>
        <w:t>December 31</w:t>
      </w:r>
      <w:r w:rsidR="0083043F">
        <w:rPr>
          <w:bCs/>
          <w:iCs/>
        </w:rPr>
        <w:t xml:space="preserve">, 2013.  If the PUCO permits DP&amp;L to collect carrying charges from customers on deferred amounts after </w:t>
      </w:r>
      <w:r w:rsidR="00455938">
        <w:rPr>
          <w:bCs/>
          <w:iCs/>
        </w:rPr>
        <w:t>December 31</w:t>
      </w:r>
      <w:r w:rsidR="0083043F">
        <w:rPr>
          <w:bCs/>
          <w:iCs/>
        </w:rPr>
        <w:t>,</w:t>
      </w:r>
      <w:r w:rsidR="00043E66">
        <w:rPr>
          <w:bCs/>
          <w:iCs/>
        </w:rPr>
        <w:t xml:space="preserve"> 2013, then th</w:t>
      </w:r>
      <w:r w:rsidR="00A17D27">
        <w:rPr>
          <w:bCs/>
          <w:iCs/>
        </w:rPr>
        <w:t>ose</w:t>
      </w:r>
      <w:r w:rsidR="0083043F">
        <w:rPr>
          <w:bCs/>
          <w:iCs/>
        </w:rPr>
        <w:t xml:space="preserve"> </w:t>
      </w:r>
      <w:r w:rsidR="00A17D27">
        <w:rPr>
          <w:bCs/>
          <w:iCs/>
        </w:rPr>
        <w:t xml:space="preserve">carrying </w:t>
      </w:r>
      <w:r w:rsidR="0083043F">
        <w:rPr>
          <w:bCs/>
          <w:iCs/>
        </w:rPr>
        <w:t>charge</w:t>
      </w:r>
      <w:r w:rsidR="00A17D27">
        <w:rPr>
          <w:bCs/>
          <w:iCs/>
        </w:rPr>
        <w:t>s</w:t>
      </w:r>
      <w:r w:rsidR="0083043F">
        <w:rPr>
          <w:bCs/>
          <w:iCs/>
        </w:rPr>
        <w:t xml:space="preserve"> should be based on DP&amp;L’s most recent cost of debt appr</w:t>
      </w:r>
      <w:r w:rsidR="000D5C05">
        <w:rPr>
          <w:bCs/>
          <w:iCs/>
        </w:rPr>
        <w:t xml:space="preserve">oved in its </w:t>
      </w:r>
      <w:r w:rsidR="00F62D96">
        <w:rPr>
          <w:bCs/>
          <w:iCs/>
        </w:rPr>
        <w:t xml:space="preserve">most </w:t>
      </w:r>
      <w:r w:rsidR="000D5C05">
        <w:rPr>
          <w:bCs/>
          <w:iCs/>
        </w:rPr>
        <w:t>recent ESP</w:t>
      </w:r>
      <w:r w:rsidR="0083043F">
        <w:rPr>
          <w:bCs/>
          <w:iCs/>
        </w:rPr>
        <w:t xml:space="preserve"> proceeding</w:t>
      </w:r>
      <w:r w:rsidR="00A17D27">
        <w:rPr>
          <w:bCs/>
          <w:iCs/>
        </w:rPr>
        <w:t xml:space="preserve"> -</w:t>
      </w:r>
      <w:r w:rsidR="004A6EC7">
        <w:rPr>
          <w:bCs/>
          <w:iCs/>
        </w:rPr>
        <w:t>-</w:t>
      </w:r>
      <w:r w:rsidR="00A17D27">
        <w:rPr>
          <w:bCs/>
          <w:iCs/>
        </w:rPr>
        <w:t xml:space="preserve"> </w:t>
      </w:r>
      <w:r w:rsidR="00043E66">
        <w:rPr>
          <w:bCs/>
          <w:iCs/>
        </w:rPr>
        <w:t>4.94%.</w:t>
      </w:r>
      <w:r w:rsidR="000D5C05">
        <w:rPr>
          <w:rStyle w:val="FootnoteReference"/>
          <w:bCs/>
          <w:iCs/>
        </w:rPr>
        <w:footnoteReference w:id="2"/>
      </w:r>
    </w:p>
    <w:p w:rsidR="00A17D27" w:rsidRDefault="00A17D27" w:rsidP="00625832">
      <w:pPr>
        <w:spacing w:line="480" w:lineRule="auto"/>
        <w:ind w:left="720" w:hanging="720"/>
        <w:rPr>
          <w:b/>
          <w:bCs/>
          <w:i/>
          <w:iCs/>
        </w:rPr>
      </w:pPr>
    </w:p>
    <w:p w:rsidR="00625832" w:rsidRDefault="00625832" w:rsidP="00625832">
      <w:pPr>
        <w:spacing w:line="480" w:lineRule="auto"/>
        <w:ind w:left="720" w:hanging="720"/>
        <w:rPr>
          <w:b/>
          <w:i/>
        </w:rPr>
      </w:pPr>
      <w:r>
        <w:rPr>
          <w:b/>
          <w:bCs/>
          <w:i/>
          <w:iCs/>
        </w:rPr>
        <w:t>Q7.</w:t>
      </w:r>
      <w:r>
        <w:rPr>
          <w:b/>
          <w:bCs/>
          <w:i/>
          <w:iCs/>
        </w:rPr>
        <w:tab/>
      </w:r>
      <w:r>
        <w:rPr>
          <w:b/>
          <w:i/>
        </w:rPr>
        <w:t>WHAT IS DP&amp;L REQUESTING IN TH</w:t>
      </w:r>
      <w:r w:rsidR="00333731">
        <w:rPr>
          <w:b/>
          <w:i/>
        </w:rPr>
        <w:t xml:space="preserve">IS </w:t>
      </w:r>
      <w:r>
        <w:rPr>
          <w:b/>
          <w:i/>
        </w:rPr>
        <w:t>PROCEEDING?</w:t>
      </w:r>
    </w:p>
    <w:p w:rsidR="00625832" w:rsidRDefault="00625832" w:rsidP="00DF5FA6">
      <w:pPr>
        <w:autoSpaceDE w:val="0"/>
        <w:autoSpaceDN w:val="0"/>
        <w:adjustRightInd w:val="0"/>
        <w:spacing w:line="480" w:lineRule="auto"/>
        <w:ind w:left="720" w:hanging="720"/>
      </w:pPr>
      <w:r w:rsidRPr="00CF7E23">
        <w:rPr>
          <w:b/>
          <w:i/>
        </w:rPr>
        <w:t>A</w:t>
      </w:r>
      <w:r>
        <w:rPr>
          <w:b/>
          <w:i/>
        </w:rPr>
        <w:t>7</w:t>
      </w:r>
      <w:r w:rsidRPr="00CF7E23">
        <w:rPr>
          <w:b/>
          <w:i/>
        </w:rPr>
        <w:t>.</w:t>
      </w:r>
      <w:r>
        <w:rPr>
          <w:b/>
          <w:i/>
        </w:rPr>
        <w:tab/>
      </w:r>
      <w:r w:rsidR="00574A01">
        <w:t>T</w:t>
      </w:r>
      <w:r>
        <w:t xml:space="preserve">he </w:t>
      </w:r>
      <w:r w:rsidR="00A17D27">
        <w:t>Utility</w:t>
      </w:r>
      <w:r w:rsidR="0044489E">
        <w:t xml:space="preserve"> </w:t>
      </w:r>
      <w:r>
        <w:t xml:space="preserve">is </w:t>
      </w:r>
      <w:r w:rsidRPr="001A7C4D">
        <w:t>request</w:t>
      </w:r>
      <w:r>
        <w:t>ing</w:t>
      </w:r>
      <w:r w:rsidRPr="001A7C4D">
        <w:t xml:space="preserve"> authority to </w:t>
      </w:r>
      <w:r w:rsidR="001A6940">
        <w:t xml:space="preserve">collect from </w:t>
      </w:r>
      <w:r w:rsidRPr="001A7C4D">
        <w:t>customers</w:t>
      </w:r>
      <w:r>
        <w:t xml:space="preserve"> </w:t>
      </w:r>
      <w:r w:rsidR="00A17D27">
        <w:t xml:space="preserve">the </w:t>
      </w:r>
      <w:r w:rsidR="001A6940">
        <w:t xml:space="preserve">storm-related O&amp;M </w:t>
      </w:r>
      <w:r w:rsidRPr="001A7C4D">
        <w:t xml:space="preserve">expenses </w:t>
      </w:r>
      <w:r w:rsidR="001A6940">
        <w:t>for all major</w:t>
      </w:r>
      <w:r w:rsidR="00F62D96">
        <w:t>-</w:t>
      </w:r>
      <w:r w:rsidR="001A6940">
        <w:t>event storms in 2011 and 2012, as well as certain 2008 storm O&amp;M expenses</w:t>
      </w:r>
      <w:r w:rsidR="00A516D7">
        <w:t>.</w:t>
      </w:r>
      <w:r w:rsidR="00A516D7">
        <w:rPr>
          <w:rStyle w:val="FootnoteReference"/>
        </w:rPr>
        <w:footnoteReference w:id="3"/>
      </w:r>
      <w:r w:rsidR="00A516D7">
        <w:t xml:space="preserve">  DP&amp;L is also seeking </w:t>
      </w:r>
      <w:r w:rsidR="00A17D27">
        <w:t xml:space="preserve">to charge customers for </w:t>
      </w:r>
      <w:r w:rsidR="00A516D7">
        <w:t>related capital revenue requirements for Hurricane Ike in 2008 and major storms in 2011 and 2012.</w:t>
      </w:r>
      <w:r w:rsidR="00A516D7">
        <w:rPr>
          <w:rStyle w:val="FootnoteReference"/>
        </w:rPr>
        <w:footnoteReference w:id="4"/>
      </w:r>
      <w:r w:rsidR="00A516D7">
        <w:t xml:space="preserve">  Furthermore, DP&amp;L requests that the </w:t>
      </w:r>
      <w:r w:rsidR="00A17D27">
        <w:t>PUCO</w:t>
      </w:r>
      <w:r w:rsidR="00A516D7">
        <w:t xml:space="preserve"> grant accounting authority to defer the 2011 major storm O&amp;M costs with carrying costs equal to the </w:t>
      </w:r>
      <w:r w:rsidR="00A17D27">
        <w:t>Utility</w:t>
      </w:r>
      <w:r w:rsidR="00A516D7">
        <w:t>’s cost of debt.</w:t>
      </w:r>
      <w:r w:rsidR="00A516D7">
        <w:rPr>
          <w:rStyle w:val="FootnoteReference"/>
        </w:rPr>
        <w:footnoteReference w:id="5"/>
      </w:r>
      <w:r w:rsidR="00A516D7">
        <w:t xml:space="preserve">  Finally, DP&amp;L is seeking to implement a Storm Cost Recovery Rider that would permit DP&amp;L to recover all costs associated with major storms going forward and request</w:t>
      </w:r>
      <w:r w:rsidR="00B36AC3">
        <w:t>ing</w:t>
      </w:r>
      <w:r w:rsidR="00A516D7">
        <w:t xml:space="preserve"> accounting authority to defer O&amp;M costs until they are collected through this rider. </w:t>
      </w:r>
      <w:r w:rsidR="00A516D7">
        <w:rPr>
          <w:rStyle w:val="FootnoteReference"/>
        </w:rPr>
        <w:footnoteReference w:id="6"/>
      </w:r>
      <w:r w:rsidRPr="001A7C4D">
        <w:t xml:space="preserve">  </w:t>
      </w:r>
      <w:r w:rsidR="00617323">
        <w:t xml:space="preserve">In total, </w:t>
      </w:r>
      <w:r w:rsidR="0086710B">
        <w:t xml:space="preserve">DP&amp;L </w:t>
      </w:r>
      <w:r w:rsidR="007B7A87">
        <w:t xml:space="preserve">seeks </w:t>
      </w:r>
      <w:r w:rsidR="0086710B">
        <w:t xml:space="preserve">to </w:t>
      </w:r>
      <w:r w:rsidR="00A11BC0">
        <w:t xml:space="preserve">charge customers for </w:t>
      </w:r>
      <w:r w:rsidR="0086710B">
        <w:t>approximately $64.6 million in total annual storm-related revenue requirements over a three</w:t>
      </w:r>
      <w:r w:rsidR="007B7A87">
        <w:t>-</w:t>
      </w:r>
      <w:r w:rsidR="0086710B">
        <w:t>year period from March 2012 through February 2015.</w:t>
      </w:r>
      <w:r w:rsidR="0086710B">
        <w:rPr>
          <w:rStyle w:val="FootnoteReference"/>
        </w:rPr>
        <w:footnoteReference w:id="7"/>
      </w:r>
    </w:p>
    <w:p w:rsidR="0079640A" w:rsidRDefault="0079640A" w:rsidP="0079640A">
      <w:pPr>
        <w:spacing w:line="480" w:lineRule="auto"/>
        <w:ind w:left="720" w:hanging="720"/>
        <w:rPr>
          <w:b/>
          <w:bCs/>
          <w:i/>
          <w:iCs/>
        </w:rPr>
      </w:pPr>
    </w:p>
    <w:p w:rsidR="0079640A" w:rsidRDefault="0079640A" w:rsidP="0079640A">
      <w:pPr>
        <w:spacing w:line="480" w:lineRule="auto"/>
        <w:ind w:left="720" w:hanging="720"/>
        <w:rPr>
          <w:b/>
          <w:i/>
        </w:rPr>
      </w:pPr>
      <w:r>
        <w:rPr>
          <w:b/>
          <w:bCs/>
          <w:i/>
          <w:iCs/>
        </w:rPr>
        <w:t>Q8.</w:t>
      </w:r>
      <w:r>
        <w:rPr>
          <w:b/>
          <w:bCs/>
          <w:i/>
          <w:iCs/>
        </w:rPr>
        <w:tab/>
        <w:t>DO YOU AGREE WITH DP&amp;L’S ASSERTION THAT IT CURRENTLY DOES NOT HAVE A RATE MECHANISM TO RECOVER STORM COSTS?</w:t>
      </w:r>
    </w:p>
    <w:p w:rsidR="002D1413" w:rsidRDefault="0079640A" w:rsidP="00611E72">
      <w:pPr>
        <w:spacing w:line="480" w:lineRule="auto"/>
        <w:ind w:left="720" w:hanging="720"/>
        <w:rPr>
          <w:b/>
          <w:bCs/>
          <w:i/>
          <w:iCs/>
        </w:rPr>
      </w:pPr>
      <w:r w:rsidRPr="00CF7E23">
        <w:rPr>
          <w:b/>
          <w:i/>
        </w:rPr>
        <w:t>A</w:t>
      </w:r>
      <w:r>
        <w:rPr>
          <w:b/>
          <w:i/>
        </w:rPr>
        <w:t>8</w:t>
      </w:r>
      <w:r w:rsidRPr="00CF7E23">
        <w:rPr>
          <w:b/>
          <w:i/>
        </w:rPr>
        <w:t>.</w:t>
      </w:r>
      <w:r>
        <w:rPr>
          <w:b/>
          <w:i/>
        </w:rPr>
        <w:tab/>
      </w:r>
      <w:r>
        <w:t xml:space="preserve">No.  I do not agree </w:t>
      </w:r>
      <w:r w:rsidR="00480923">
        <w:t xml:space="preserve">with </w:t>
      </w:r>
      <w:r>
        <w:t xml:space="preserve">this assertion. </w:t>
      </w:r>
      <w:r w:rsidR="00611E72">
        <w:t xml:space="preserve"> </w:t>
      </w:r>
      <w:r w:rsidR="00326A35">
        <w:t>There is no factual basis for this assertion.</w:t>
      </w:r>
      <w:r>
        <w:t xml:space="preserve">  </w:t>
      </w:r>
      <w:r w:rsidR="00480923">
        <w:t>Actually DP&amp;L’s position on this issue is confusing and inconsistent.</w:t>
      </w:r>
      <w:r w:rsidR="004F30F2">
        <w:rPr>
          <w:b/>
          <w:bCs/>
          <w:i/>
          <w:iCs/>
        </w:rPr>
        <w:t xml:space="preserve"> </w:t>
      </w:r>
      <w:r w:rsidR="00263A27">
        <w:rPr>
          <w:b/>
          <w:bCs/>
          <w:i/>
          <w:iCs/>
        </w:rPr>
        <w:t xml:space="preserve"> </w:t>
      </w:r>
      <w:r>
        <w:t xml:space="preserve">On the one hand, </w:t>
      </w:r>
      <w:r w:rsidR="00326A35">
        <w:t xml:space="preserve">DP&amp;L’s </w:t>
      </w:r>
      <w:r w:rsidR="00617323">
        <w:t>witness</w:t>
      </w:r>
      <w:r>
        <w:t xml:space="preserve"> indicates it </w:t>
      </w:r>
      <w:r w:rsidR="00F62D96">
        <w:t xml:space="preserve">currently </w:t>
      </w:r>
      <w:r>
        <w:t>has no rate mechanism to recover storm costs.</w:t>
      </w:r>
      <w:r w:rsidR="00C62B7A" w:rsidRPr="000B371F">
        <w:rPr>
          <w:rStyle w:val="FootnoteReference"/>
          <w:bCs/>
          <w:iCs/>
        </w:rPr>
        <w:footnoteReference w:id="8"/>
      </w:r>
      <w:r w:rsidR="001729DD" w:rsidRPr="000B371F">
        <w:rPr>
          <w:bCs/>
          <w:iCs/>
        </w:rPr>
        <w:t xml:space="preserve"> </w:t>
      </w:r>
      <w:r w:rsidR="00263A27">
        <w:rPr>
          <w:b/>
          <w:bCs/>
          <w:i/>
          <w:iCs/>
        </w:rPr>
        <w:t xml:space="preserve"> </w:t>
      </w:r>
      <w:r>
        <w:t xml:space="preserve">On the </w:t>
      </w:r>
      <w:r w:rsidR="00804B0B">
        <w:t xml:space="preserve">other </w:t>
      </w:r>
      <w:r>
        <w:t xml:space="preserve">hand, </w:t>
      </w:r>
      <w:r w:rsidR="00617323">
        <w:t xml:space="preserve">the same witness </w:t>
      </w:r>
      <w:r>
        <w:t xml:space="preserve">readily admits that storm costs are included in its current base distribution rates even though the level of storm cost recovery </w:t>
      </w:r>
      <w:r w:rsidR="00F62D96">
        <w:t xml:space="preserve">that </w:t>
      </w:r>
      <w:r>
        <w:t>would have been included in the base distribution rate is unclear.</w:t>
      </w:r>
      <w:r>
        <w:rPr>
          <w:rStyle w:val="FootnoteReference"/>
        </w:rPr>
        <w:footnoteReference w:id="9"/>
      </w:r>
      <w:r>
        <w:t xml:space="preserve">  </w:t>
      </w:r>
      <w:r w:rsidR="00480923">
        <w:t>T</w:t>
      </w:r>
      <w:r>
        <w:t xml:space="preserve">here is no question that storm-related costs, as part of the operation expenses of the 1991 test year, were included in the </w:t>
      </w:r>
      <w:r w:rsidR="004F30F2">
        <w:t xml:space="preserve">distribution </w:t>
      </w:r>
      <w:r w:rsidR="00480923">
        <w:t xml:space="preserve">rates </w:t>
      </w:r>
      <w:r w:rsidR="004F30F2">
        <w:t xml:space="preserve">that are </w:t>
      </w:r>
      <w:r w:rsidR="00480923">
        <w:t>currently charged to DP&amp;L customer</w:t>
      </w:r>
      <w:r w:rsidR="007B7A87">
        <w:t>s</w:t>
      </w:r>
      <w:r w:rsidR="00480923">
        <w:t>.</w:t>
      </w:r>
      <w:r>
        <w:t xml:space="preserve">  </w:t>
      </w:r>
      <w:r w:rsidR="00135A70">
        <w:t xml:space="preserve">And the </w:t>
      </w:r>
      <w:r w:rsidR="00A17D27">
        <w:t>PUCO</w:t>
      </w:r>
      <w:r w:rsidR="00135A70">
        <w:t xml:space="preserve"> </w:t>
      </w:r>
      <w:r w:rsidR="00AD71F6">
        <w:t xml:space="preserve">specifically </w:t>
      </w:r>
      <w:r w:rsidR="00B51C77">
        <w:t>found</w:t>
      </w:r>
      <w:r w:rsidR="00135A70">
        <w:t xml:space="preserve"> last year (in the </w:t>
      </w:r>
      <w:r w:rsidR="00C71A96">
        <w:t>proceeding where DP&amp;L requested</w:t>
      </w:r>
      <w:r w:rsidR="00135A70">
        <w:t xml:space="preserve"> authority to defer O&amp;M expenses </w:t>
      </w:r>
      <w:r w:rsidR="002457AB">
        <w:t>related to</w:t>
      </w:r>
      <w:r w:rsidR="00135A70">
        <w:t xml:space="preserve"> the </w:t>
      </w:r>
      <w:r w:rsidR="0091790C">
        <w:t>2012 Derecho</w:t>
      </w:r>
      <w:r w:rsidR="00135A70">
        <w:t xml:space="preserve">) that </w:t>
      </w:r>
      <w:r w:rsidR="000D5C05">
        <w:t xml:space="preserve">if DP&amp;L were permitted to </w:t>
      </w:r>
      <w:r w:rsidR="00135A70">
        <w:t xml:space="preserve">collect the full amount of </w:t>
      </w:r>
      <w:r w:rsidR="000D5C05">
        <w:t>storm restoration O&amp;M expenses ass</w:t>
      </w:r>
      <w:r w:rsidR="00135A70">
        <w:t>ociated with major storms from customers, “</w:t>
      </w:r>
      <w:r w:rsidR="00F62D96">
        <w:t>[</w:t>
      </w:r>
      <w:r w:rsidR="00135A70">
        <w:t>it</w:t>
      </w:r>
      <w:r w:rsidR="00F62D96">
        <w:t>]</w:t>
      </w:r>
      <w:r w:rsidR="00135A70">
        <w:t xml:space="preserve"> could allow for DP&amp;L to engage in double-recovery for the O&amp;M expenses, first from base distribution rates and second from </w:t>
      </w:r>
      <w:r w:rsidR="00C05E40">
        <w:t>[the Derecho</w:t>
      </w:r>
      <w:r w:rsidR="00135A70">
        <w:t xml:space="preserve"> cost deferral] proceeding.”</w:t>
      </w:r>
      <w:r w:rsidR="00135A70">
        <w:rPr>
          <w:rStyle w:val="FootnoteReference"/>
        </w:rPr>
        <w:footnoteReference w:id="10"/>
      </w:r>
    </w:p>
    <w:p w:rsidR="004202C2" w:rsidRDefault="004202C2" w:rsidP="00611E72">
      <w:pPr>
        <w:spacing w:line="480" w:lineRule="auto"/>
        <w:ind w:left="720" w:hanging="720"/>
        <w:rPr>
          <w:b/>
          <w:bCs/>
          <w:i/>
          <w:iCs/>
        </w:rPr>
      </w:pPr>
    </w:p>
    <w:p w:rsidR="00053D63" w:rsidRDefault="00053D63" w:rsidP="00053D63">
      <w:pPr>
        <w:spacing w:line="480" w:lineRule="auto"/>
        <w:ind w:left="720" w:hanging="720"/>
        <w:rPr>
          <w:b/>
          <w:i/>
        </w:rPr>
      </w:pPr>
      <w:r>
        <w:rPr>
          <w:b/>
          <w:bCs/>
          <w:i/>
          <w:iCs/>
        </w:rPr>
        <w:t>Q</w:t>
      </w:r>
      <w:r w:rsidR="0079640A">
        <w:rPr>
          <w:b/>
          <w:bCs/>
          <w:i/>
          <w:iCs/>
        </w:rPr>
        <w:t>9</w:t>
      </w:r>
      <w:r>
        <w:rPr>
          <w:b/>
          <w:bCs/>
          <w:i/>
          <w:iCs/>
        </w:rPr>
        <w:t>.</w:t>
      </w:r>
      <w:r>
        <w:rPr>
          <w:b/>
          <w:bCs/>
          <w:i/>
          <w:iCs/>
        </w:rPr>
        <w:tab/>
      </w:r>
      <w:r w:rsidR="00DB42B0">
        <w:rPr>
          <w:b/>
          <w:bCs/>
          <w:i/>
          <w:iCs/>
        </w:rPr>
        <w:t>DO YOU AGREE WITH</w:t>
      </w:r>
      <w:r>
        <w:rPr>
          <w:b/>
          <w:bCs/>
          <w:i/>
          <w:iCs/>
        </w:rPr>
        <w:t xml:space="preserve"> DP&amp;L’S ASSERTION THAT “</w:t>
      </w:r>
      <w:r w:rsidR="00C306EC">
        <w:rPr>
          <w:b/>
          <w:bCs/>
          <w:i/>
          <w:iCs/>
        </w:rPr>
        <w:t xml:space="preserve">THEREFORE, </w:t>
      </w:r>
      <w:r>
        <w:rPr>
          <w:b/>
          <w:bCs/>
          <w:i/>
          <w:iCs/>
        </w:rPr>
        <w:t>IT IS REASONABLE TO AS</w:t>
      </w:r>
      <w:r w:rsidR="00664B16">
        <w:rPr>
          <w:b/>
          <w:bCs/>
          <w:i/>
          <w:iCs/>
        </w:rPr>
        <w:t>S</w:t>
      </w:r>
      <w:r>
        <w:rPr>
          <w:b/>
          <w:bCs/>
          <w:i/>
          <w:iCs/>
        </w:rPr>
        <w:t>UME THAT THE COST OF NON-MAJOR EVENTS IS</w:t>
      </w:r>
      <w:r w:rsidR="004F30F2">
        <w:rPr>
          <w:b/>
          <w:bCs/>
          <w:i/>
          <w:iCs/>
        </w:rPr>
        <w:t xml:space="preserve"> </w:t>
      </w:r>
      <w:r>
        <w:rPr>
          <w:b/>
          <w:bCs/>
          <w:i/>
          <w:iCs/>
        </w:rPr>
        <w:t xml:space="preserve">RECOVERED IN CURRENT DISTRIBUTION </w:t>
      </w:r>
      <w:r w:rsidR="00462716">
        <w:rPr>
          <w:b/>
          <w:bCs/>
          <w:i/>
          <w:iCs/>
        </w:rPr>
        <w:t xml:space="preserve">RATES AND THAT THE COST ASSOCIATED WITH MAJOR EVENT STORMS SHOULD BE RECOVERABLE THROUGH A SEPARATE </w:t>
      </w:r>
      <w:r w:rsidR="001D5A41">
        <w:rPr>
          <w:b/>
          <w:bCs/>
          <w:i/>
          <w:iCs/>
        </w:rPr>
        <w:t>RIDER</w:t>
      </w:r>
      <w:r>
        <w:rPr>
          <w:b/>
          <w:bCs/>
          <w:i/>
          <w:iCs/>
        </w:rPr>
        <w:t>”</w:t>
      </w:r>
      <w:r>
        <w:rPr>
          <w:b/>
          <w:i/>
        </w:rPr>
        <w:t>?</w:t>
      </w:r>
      <w:r>
        <w:rPr>
          <w:rStyle w:val="FootnoteReference"/>
          <w:b/>
          <w:i/>
        </w:rPr>
        <w:footnoteReference w:id="11"/>
      </w:r>
    </w:p>
    <w:p w:rsidR="00AE02A7" w:rsidRDefault="00053D63" w:rsidP="00034506">
      <w:pPr>
        <w:spacing w:line="480" w:lineRule="auto"/>
        <w:ind w:left="720" w:hanging="720"/>
      </w:pPr>
      <w:r w:rsidRPr="00AE348E">
        <w:rPr>
          <w:b/>
          <w:i/>
        </w:rPr>
        <w:t>A</w:t>
      </w:r>
      <w:r w:rsidR="0079640A" w:rsidRPr="00AE348E">
        <w:rPr>
          <w:b/>
          <w:i/>
        </w:rPr>
        <w:t>9</w:t>
      </w:r>
      <w:r w:rsidRPr="00AE348E">
        <w:rPr>
          <w:b/>
          <w:i/>
        </w:rPr>
        <w:t>.</w:t>
      </w:r>
      <w:r w:rsidRPr="00AE348E">
        <w:rPr>
          <w:b/>
          <w:i/>
        </w:rPr>
        <w:tab/>
      </w:r>
      <w:r w:rsidRPr="00AE348E">
        <w:t xml:space="preserve">No.  I do not agree with this assertion by DP&amp;L.  </w:t>
      </w:r>
      <w:r w:rsidR="00480923" w:rsidRPr="00AE348E">
        <w:t>It is my understanding</w:t>
      </w:r>
      <w:r w:rsidR="00A302D5" w:rsidRPr="00AE348E">
        <w:t xml:space="preserve"> that </w:t>
      </w:r>
      <w:r w:rsidR="00480923" w:rsidRPr="00AE348E">
        <w:t>the definition, or the threshold, of a Major Event</w:t>
      </w:r>
      <w:r w:rsidR="00F62D96">
        <w:t xml:space="preserve"> Days in the PUCO’s rules</w:t>
      </w:r>
      <w:r w:rsidR="00480923" w:rsidRPr="00AE348E">
        <w:t xml:space="preserve"> is</w:t>
      </w:r>
      <w:r w:rsidR="00503F1C" w:rsidRPr="00AE348E">
        <w:t xml:space="preserve"> </w:t>
      </w:r>
      <w:r w:rsidR="00AE348E" w:rsidRPr="00AE348E">
        <w:t>primarily</w:t>
      </w:r>
      <w:r w:rsidR="00480923" w:rsidRPr="00AE348E">
        <w:t xml:space="preserve"> used to calculate the system reliability performance of a utility</w:t>
      </w:r>
      <w:r w:rsidR="00FD5FCA">
        <w:t>;</w:t>
      </w:r>
      <w:r w:rsidR="00480923" w:rsidRPr="00AE348E">
        <w:rPr>
          <w:rStyle w:val="FootnoteReference"/>
        </w:rPr>
        <w:footnoteReference w:id="12"/>
      </w:r>
      <w:r w:rsidR="00FD5FCA">
        <w:t xml:space="preserve"> </w:t>
      </w:r>
      <w:r w:rsidR="00AE348E" w:rsidRPr="00AE348E">
        <w:t>i</w:t>
      </w:r>
      <w:r w:rsidR="00480923" w:rsidRPr="00AE348E">
        <w:t>t has nothing to do with the collection</w:t>
      </w:r>
      <w:r w:rsidR="00503F1C" w:rsidRPr="00AE348E">
        <w:t xml:space="preserve"> of</w:t>
      </w:r>
      <w:r w:rsidR="00480923" w:rsidRPr="00AE348E">
        <w:t xml:space="preserve"> storm-related costs.</w:t>
      </w:r>
      <w:r w:rsidR="00A302D5" w:rsidRPr="00AE348E">
        <w:t xml:space="preserve">  </w:t>
      </w:r>
      <w:r w:rsidRPr="00AE348E">
        <w:t xml:space="preserve">I am not aware of any </w:t>
      </w:r>
      <w:r w:rsidR="00606070">
        <w:t xml:space="preserve">Ohio law or </w:t>
      </w:r>
      <w:r w:rsidRPr="00AE348E">
        <w:t xml:space="preserve">PUCO </w:t>
      </w:r>
      <w:r w:rsidR="00606070">
        <w:t>rule</w:t>
      </w:r>
      <w:r w:rsidR="002630E0">
        <w:t xml:space="preserve"> </w:t>
      </w:r>
      <w:r w:rsidR="00606070">
        <w:t xml:space="preserve">that requires </w:t>
      </w:r>
      <w:r w:rsidR="00A302D5" w:rsidRPr="00AE348E">
        <w:t>the costs of major-event storm</w:t>
      </w:r>
      <w:r w:rsidR="00606070">
        <w:t>s to be</w:t>
      </w:r>
      <w:r w:rsidR="00A302D5" w:rsidRPr="00AE348E">
        <w:t xml:space="preserve"> tracked separate</w:t>
      </w:r>
      <w:r w:rsidR="002630E0">
        <w:t>ly</w:t>
      </w:r>
      <w:r w:rsidR="00A302D5" w:rsidRPr="00AE348E">
        <w:t xml:space="preserve"> or </w:t>
      </w:r>
      <w:r w:rsidR="00AE348E" w:rsidRPr="00AE348E">
        <w:t xml:space="preserve">that </w:t>
      </w:r>
      <w:r w:rsidR="002630E0">
        <w:t xml:space="preserve">requires </w:t>
      </w:r>
      <w:r w:rsidR="00AE348E" w:rsidRPr="00AE348E">
        <w:t xml:space="preserve">such </w:t>
      </w:r>
      <w:r w:rsidR="001A6940" w:rsidRPr="00AE348E">
        <w:t>costs</w:t>
      </w:r>
      <w:r w:rsidR="002630E0">
        <w:t xml:space="preserve"> to</w:t>
      </w:r>
      <w:r w:rsidR="001A6940" w:rsidRPr="00AE348E">
        <w:t xml:space="preserve"> be collected through a rider</w:t>
      </w:r>
      <w:r w:rsidR="0086710B" w:rsidRPr="00AE348E">
        <w:t xml:space="preserve"> </w:t>
      </w:r>
      <w:r w:rsidR="00AE348E" w:rsidRPr="00AE348E">
        <w:t xml:space="preserve">separate </w:t>
      </w:r>
      <w:r w:rsidR="0086710B" w:rsidRPr="00AE348E">
        <w:t>from base distribution rate</w:t>
      </w:r>
      <w:r w:rsidR="00AE348E" w:rsidRPr="00AE348E">
        <w:t>s</w:t>
      </w:r>
      <w:r w:rsidR="001A6940" w:rsidRPr="00AE348E">
        <w:t>.  DP&amp;L has not identified any such</w:t>
      </w:r>
      <w:r w:rsidR="00606070">
        <w:t xml:space="preserve"> law or rule </w:t>
      </w:r>
      <w:r w:rsidR="001A6940" w:rsidRPr="00AE348E">
        <w:t xml:space="preserve">requirement in </w:t>
      </w:r>
      <w:r w:rsidR="0086710B" w:rsidRPr="00AE348E">
        <w:t>its Application and supporting testimon</w:t>
      </w:r>
      <w:r w:rsidR="004A6EC7">
        <w:t>y</w:t>
      </w:r>
      <w:r w:rsidR="001A6940" w:rsidRPr="00AE348E">
        <w:t xml:space="preserve">.  </w:t>
      </w:r>
      <w:r w:rsidR="00503F1C" w:rsidRPr="00AE348E">
        <w:t xml:space="preserve">Nor has </w:t>
      </w:r>
      <w:r w:rsidR="0079640A" w:rsidRPr="00AE348E">
        <w:t xml:space="preserve">DP&amp;L explained why it is reasonable to </w:t>
      </w:r>
      <w:r w:rsidR="002630E0">
        <w:t xml:space="preserve">require </w:t>
      </w:r>
      <w:r w:rsidR="002630E0" w:rsidRPr="00AE348E">
        <w:t>the costs of major-event storm</w:t>
      </w:r>
      <w:r w:rsidR="002630E0">
        <w:t>s to be</w:t>
      </w:r>
      <w:r w:rsidR="002630E0" w:rsidRPr="00AE348E">
        <w:t xml:space="preserve"> tracked separate</w:t>
      </w:r>
      <w:r w:rsidR="002630E0">
        <w:t>ly</w:t>
      </w:r>
      <w:r w:rsidR="002630E0" w:rsidRPr="00AE348E">
        <w:t xml:space="preserve"> or </w:t>
      </w:r>
      <w:r w:rsidR="002630E0">
        <w:t>to</w:t>
      </w:r>
      <w:r w:rsidR="002630E0" w:rsidRPr="00AE348E">
        <w:t xml:space="preserve"> </w:t>
      </w:r>
      <w:r w:rsidR="002630E0">
        <w:t xml:space="preserve">require </w:t>
      </w:r>
      <w:r w:rsidR="002630E0" w:rsidRPr="00AE348E">
        <w:t>such costs</w:t>
      </w:r>
      <w:r w:rsidR="002630E0">
        <w:t xml:space="preserve"> to</w:t>
      </w:r>
      <w:r w:rsidR="002630E0" w:rsidRPr="00AE348E">
        <w:t xml:space="preserve"> be collected through a rider separate from base distribution rates</w:t>
      </w:r>
      <w:r w:rsidR="0079640A" w:rsidRPr="00AE348E">
        <w:t xml:space="preserve">.  In </w:t>
      </w:r>
      <w:r w:rsidR="00F62D96">
        <w:t xml:space="preserve">her </w:t>
      </w:r>
      <w:r w:rsidR="0079640A" w:rsidRPr="00AE348E">
        <w:t xml:space="preserve">supporting testimony, </w:t>
      </w:r>
      <w:r w:rsidR="00503F1C" w:rsidRPr="00AE348E">
        <w:t xml:space="preserve">the </w:t>
      </w:r>
      <w:r w:rsidR="00A17D27">
        <w:t>Utility</w:t>
      </w:r>
      <w:r w:rsidR="004A6EC7">
        <w:t>’s</w:t>
      </w:r>
      <w:r w:rsidR="00503F1C" w:rsidRPr="00AE348E">
        <w:t xml:space="preserve"> witness </w:t>
      </w:r>
      <w:r w:rsidR="0079640A" w:rsidRPr="00AE348E">
        <w:t xml:space="preserve">merely </w:t>
      </w:r>
      <w:r w:rsidR="00AE02A7" w:rsidRPr="00AE348E">
        <w:t>re</w:t>
      </w:r>
      <w:r w:rsidR="0079640A" w:rsidRPr="00AE348E">
        <w:t>state</w:t>
      </w:r>
      <w:r w:rsidR="004A6EC7">
        <w:t>s</w:t>
      </w:r>
      <w:r w:rsidR="0079640A" w:rsidRPr="00AE348E">
        <w:t xml:space="preserve"> the same position.</w:t>
      </w:r>
      <w:r w:rsidR="0079640A" w:rsidRPr="00AE348E">
        <w:rPr>
          <w:rStyle w:val="FootnoteReference"/>
        </w:rPr>
        <w:footnoteReference w:id="13"/>
      </w:r>
      <w:r w:rsidR="0079640A" w:rsidRPr="00AE348E">
        <w:t xml:space="preserve">  </w:t>
      </w:r>
      <w:r w:rsidR="00503F1C" w:rsidRPr="00AE348E">
        <w:t>Then</w:t>
      </w:r>
      <w:r w:rsidR="001D5A41" w:rsidRPr="00AE348E">
        <w:t>, in the Supplemental Testimony filed on January 17, 2014, DP&amp;L</w:t>
      </w:r>
      <w:r w:rsidR="002630E0">
        <w:t>’s witness</w:t>
      </w:r>
      <w:r w:rsidR="001D5A41" w:rsidRPr="00AE348E">
        <w:t xml:space="preserve"> </w:t>
      </w:r>
      <w:r w:rsidR="00503F1C" w:rsidRPr="00AE348E">
        <w:t xml:space="preserve">still </w:t>
      </w:r>
      <w:r w:rsidR="001D5A41" w:rsidRPr="00AE348E">
        <w:t>provide</w:t>
      </w:r>
      <w:r w:rsidR="00503F1C" w:rsidRPr="00AE348E">
        <w:t>d</w:t>
      </w:r>
      <w:r w:rsidR="001D5A41" w:rsidRPr="00AE348E">
        <w:t xml:space="preserve"> no explanation </w:t>
      </w:r>
      <w:r w:rsidR="00503F1C" w:rsidRPr="00AE348E">
        <w:t xml:space="preserve">or </w:t>
      </w:r>
      <w:r w:rsidR="001D5A41" w:rsidRPr="00AE348E">
        <w:t xml:space="preserve">support </w:t>
      </w:r>
      <w:r w:rsidR="004F30F2">
        <w:t xml:space="preserve">for </w:t>
      </w:r>
      <w:r w:rsidR="002630E0">
        <w:t>the</w:t>
      </w:r>
      <w:r w:rsidR="004F30F2">
        <w:t xml:space="preserve"> contention </w:t>
      </w:r>
      <w:r w:rsidR="001D5A41" w:rsidRPr="00AE348E">
        <w:t xml:space="preserve">that the O&amp;M costs related to major event storms are not </w:t>
      </w:r>
      <w:r w:rsidR="00A302D5" w:rsidRPr="00AE348E">
        <w:t xml:space="preserve">already </w:t>
      </w:r>
      <w:r w:rsidR="001D5A41" w:rsidRPr="00AE348E">
        <w:t>recovered</w:t>
      </w:r>
      <w:r w:rsidR="002630E0">
        <w:t xml:space="preserve"> from customers</w:t>
      </w:r>
      <w:r w:rsidR="001D5A41" w:rsidRPr="00AE348E">
        <w:t xml:space="preserve"> in DP&amp;L’s current rates.</w:t>
      </w:r>
      <w:r w:rsidR="001D5A41" w:rsidRPr="00AE348E">
        <w:rPr>
          <w:rStyle w:val="FootnoteReference"/>
        </w:rPr>
        <w:footnoteReference w:id="14"/>
      </w:r>
      <w:r w:rsidR="001D5A41" w:rsidRPr="00AE348E">
        <w:t xml:space="preserve">  </w:t>
      </w:r>
    </w:p>
    <w:p w:rsidR="00AE02A7" w:rsidRDefault="00AE02A7" w:rsidP="0079640A">
      <w:pPr>
        <w:spacing w:line="480" w:lineRule="auto"/>
        <w:ind w:left="720" w:hanging="720"/>
      </w:pPr>
    </w:p>
    <w:p w:rsidR="003A0984" w:rsidRDefault="00A302D5" w:rsidP="004202C2">
      <w:pPr>
        <w:spacing w:line="480" w:lineRule="auto"/>
        <w:ind w:left="720"/>
      </w:pPr>
      <w:r>
        <w:t>More importantly, t</w:t>
      </w:r>
      <w:r w:rsidR="00AB04F9">
        <w:t xml:space="preserve">he </w:t>
      </w:r>
      <w:r w:rsidR="00A17D27">
        <w:t>PUCO</w:t>
      </w:r>
      <w:r w:rsidR="00AB04F9">
        <w:t xml:space="preserve"> has determined </w:t>
      </w:r>
      <w:r w:rsidR="00AE02A7">
        <w:t xml:space="preserve">in a related proceeding </w:t>
      </w:r>
      <w:r w:rsidR="00AB04F9">
        <w:t xml:space="preserve">that allowing DP&amp;L to defer the full amount of O&amp;M costs associated with major-event storms in a given year is </w:t>
      </w:r>
      <w:r w:rsidR="00503F1C">
        <w:t>in</w:t>
      </w:r>
      <w:r w:rsidR="00AB04F9">
        <w:t xml:space="preserve">consistent with </w:t>
      </w:r>
      <w:r w:rsidR="00A17D27">
        <w:t>PUCO</w:t>
      </w:r>
      <w:r w:rsidR="00AB04F9">
        <w:t xml:space="preserve"> precedent</w:t>
      </w:r>
      <w:r w:rsidR="00503F1C">
        <w:t>.</w:t>
      </w:r>
      <w:r w:rsidR="00503F1C">
        <w:rPr>
          <w:rStyle w:val="FootnoteReference"/>
        </w:rPr>
        <w:footnoteReference w:id="15"/>
      </w:r>
      <w:r w:rsidR="00503F1C">
        <w:t xml:space="preserve"> </w:t>
      </w:r>
      <w:r w:rsidR="004F30F2">
        <w:t xml:space="preserve"> </w:t>
      </w:r>
      <w:r w:rsidR="0091790C">
        <w:t>And</w:t>
      </w:r>
      <w:r w:rsidR="00464DED">
        <w:t>,</w:t>
      </w:r>
      <w:r w:rsidR="0091790C">
        <w:t xml:space="preserve"> as stated above, t</w:t>
      </w:r>
      <w:r w:rsidR="00503F1C">
        <w:t xml:space="preserve">he </w:t>
      </w:r>
      <w:r w:rsidR="00A17D27">
        <w:t>PUCO</w:t>
      </w:r>
      <w:r w:rsidR="00503F1C">
        <w:t xml:space="preserve"> explained that such a deferral could</w:t>
      </w:r>
      <w:r w:rsidR="00AB04F9">
        <w:t xml:space="preserve"> result in double recovery of O&amp;M expenses</w:t>
      </w:r>
      <w:r w:rsidR="00464DED" w:rsidRPr="00464DED">
        <w:t xml:space="preserve"> </w:t>
      </w:r>
      <w:r w:rsidR="00464DED">
        <w:t xml:space="preserve">from customers </w:t>
      </w:r>
      <w:r w:rsidR="00E23086">
        <w:t>—</w:t>
      </w:r>
      <w:r w:rsidR="00E124DA">
        <w:t xml:space="preserve"> </w:t>
      </w:r>
      <w:r w:rsidR="004F30F2">
        <w:t>through</w:t>
      </w:r>
      <w:r w:rsidR="003A0984">
        <w:t xml:space="preserve"> base distribution rates and </w:t>
      </w:r>
      <w:r w:rsidR="00A622EF">
        <w:t>also</w:t>
      </w:r>
      <w:r w:rsidR="00503F1C">
        <w:t xml:space="preserve"> </w:t>
      </w:r>
      <w:r w:rsidR="003A0984">
        <w:t>from the deferral proceeding</w:t>
      </w:r>
      <w:r w:rsidR="00AB04F9">
        <w:t>.</w:t>
      </w:r>
      <w:r w:rsidR="00AB04F9">
        <w:rPr>
          <w:rStyle w:val="FootnoteReference"/>
        </w:rPr>
        <w:footnoteReference w:id="16"/>
      </w:r>
    </w:p>
    <w:p w:rsidR="00B45191" w:rsidRDefault="00B45191" w:rsidP="004202C2">
      <w:pPr>
        <w:spacing w:line="480" w:lineRule="auto"/>
        <w:ind w:left="720"/>
      </w:pPr>
    </w:p>
    <w:p w:rsidR="00B45191" w:rsidRDefault="000B371F" w:rsidP="004202C2">
      <w:pPr>
        <w:pStyle w:val="Heading2"/>
      </w:pPr>
      <w:bookmarkStart w:id="16" w:name="_Toc378946311"/>
      <w:r>
        <w:t xml:space="preserve">Costs Associated With </w:t>
      </w:r>
      <w:r w:rsidRPr="00EA58C8">
        <w:t>Capital Expenditures</w:t>
      </w:r>
      <w:bookmarkEnd w:id="16"/>
    </w:p>
    <w:p w:rsidR="004202C2" w:rsidRPr="004202C2" w:rsidRDefault="004202C2" w:rsidP="004202C2">
      <w:pPr>
        <w:spacing w:line="480" w:lineRule="auto"/>
        <w:rPr>
          <w:lang w:eastAsia="zh-TW"/>
        </w:rPr>
      </w:pPr>
    </w:p>
    <w:p w:rsidR="00DB42B0" w:rsidRDefault="00DB42B0" w:rsidP="004202C2">
      <w:pPr>
        <w:spacing w:line="480" w:lineRule="auto"/>
        <w:ind w:left="720" w:hanging="720"/>
        <w:rPr>
          <w:b/>
          <w:i/>
        </w:rPr>
      </w:pPr>
      <w:r w:rsidRPr="00AE348E">
        <w:rPr>
          <w:b/>
          <w:bCs/>
          <w:i/>
          <w:iCs/>
        </w:rPr>
        <w:t>Q</w:t>
      </w:r>
      <w:r w:rsidR="0079640A" w:rsidRPr="00AE348E">
        <w:rPr>
          <w:b/>
          <w:bCs/>
          <w:i/>
          <w:iCs/>
        </w:rPr>
        <w:t>10</w:t>
      </w:r>
      <w:r w:rsidRPr="00AE348E">
        <w:rPr>
          <w:b/>
          <w:bCs/>
          <w:i/>
          <w:iCs/>
        </w:rPr>
        <w:t>.</w:t>
      </w:r>
      <w:r w:rsidRPr="00AE348E">
        <w:rPr>
          <w:b/>
          <w:bCs/>
          <w:i/>
          <w:iCs/>
        </w:rPr>
        <w:tab/>
        <w:t xml:space="preserve">SHOULD THE </w:t>
      </w:r>
      <w:r w:rsidR="00363820" w:rsidRPr="00AE348E">
        <w:rPr>
          <w:b/>
          <w:bCs/>
          <w:i/>
          <w:iCs/>
        </w:rPr>
        <w:t>REVENUE REQUIREMENT</w:t>
      </w:r>
      <w:r w:rsidR="00784D75" w:rsidRPr="00AE348E">
        <w:rPr>
          <w:b/>
          <w:bCs/>
          <w:i/>
          <w:iCs/>
        </w:rPr>
        <w:t>S</w:t>
      </w:r>
      <w:r w:rsidR="00363820" w:rsidRPr="00AE348E">
        <w:rPr>
          <w:b/>
          <w:bCs/>
          <w:i/>
          <w:iCs/>
        </w:rPr>
        <w:t xml:space="preserve"> </w:t>
      </w:r>
      <w:r w:rsidR="003959AD">
        <w:rPr>
          <w:b/>
          <w:bCs/>
          <w:i/>
          <w:iCs/>
        </w:rPr>
        <w:t xml:space="preserve">(OR COSTS) </w:t>
      </w:r>
      <w:r w:rsidR="00784D75" w:rsidRPr="00AE348E">
        <w:rPr>
          <w:b/>
          <w:bCs/>
          <w:i/>
          <w:iCs/>
        </w:rPr>
        <w:t xml:space="preserve">AS A RESULT OF </w:t>
      </w:r>
      <w:r w:rsidRPr="00AE348E">
        <w:rPr>
          <w:b/>
          <w:bCs/>
          <w:i/>
          <w:iCs/>
        </w:rPr>
        <w:t xml:space="preserve">STORM-RELATED CAPITAL EXPENDITURES </w:t>
      </w:r>
      <w:r w:rsidR="00784D75" w:rsidRPr="00AE348E">
        <w:rPr>
          <w:b/>
          <w:bCs/>
          <w:i/>
          <w:iCs/>
        </w:rPr>
        <w:t xml:space="preserve">ASSOCIATED WITH HURRICANE IKE, 2011 MAJOR EVENT STORMS, AND </w:t>
      </w:r>
      <w:r w:rsidR="004F30F2">
        <w:rPr>
          <w:b/>
          <w:bCs/>
          <w:i/>
          <w:iCs/>
        </w:rPr>
        <w:t xml:space="preserve">THE </w:t>
      </w:r>
      <w:r w:rsidR="00784D75" w:rsidRPr="00AE348E">
        <w:rPr>
          <w:b/>
          <w:bCs/>
          <w:i/>
          <w:iCs/>
        </w:rPr>
        <w:t xml:space="preserve">2012 DERECHO </w:t>
      </w:r>
      <w:r w:rsidRPr="00AE348E">
        <w:rPr>
          <w:b/>
          <w:bCs/>
          <w:i/>
          <w:iCs/>
        </w:rPr>
        <w:t xml:space="preserve">BE </w:t>
      </w:r>
      <w:r w:rsidR="0086710B" w:rsidRPr="00AE348E">
        <w:rPr>
          <w:b/>
          <w:bCs/>
          <w:i/>
          <w:iCs/>
        </w:rPr>
        <w:t>ADDRESSED</w:t>
      </w:r>
      <w:r w:rsidRPr="00AE348E">
        <w:rPr>
          <w:b/>
          <w:i/>
        </w:rPr>
        <w:t xml:space="preserve"> IN TH</w:t>
      </w:r>
      <w:r w:rsidR="00784D75" w:rsidRPr="00AE348E">
        <w:rPr>
          <w:b/>
          <w:i/>
        </w:rPr>
        <w:t xml:space="preserve">IS </w:t>
      </w:r>
      <w:r w:rsidRPr="00AE348E">
        <w:rPr>
          <w:b/>
          <w:i/>
        </w:rPr>
        <w:t>PROCEEDING?</w:t>
      </w:r>
    </w:p>
    <w:p w:rsidR="009540C5" w:rsidRDefault="00DB42B0" w:rsidP="00783530">
      <w:pPr>
        <w:spacing w:line="480" w:lineRule="auto"/>
        <w:ind w:left="720" w:hanging="720"/>
      </w:pPr>
      <w:r w:rsidRPr="00CF7E23">
        <w:rPr>
          <w:b/>
          <w:i/>
        </w:rPr>
        <w:t>A</w:t>
      </w:r>
      <w:r w:rsidR="0079640A">
        <w:rPr>
          <w:b/>
          <w:i/>
        </w:rPr>
        <w:t>10</w:t>
      </w:r>
      <w:r w:rsidRPr="00CF7E23">
        <w:rPr>
          <w:b/>
          <w:i/>
        </w:rPr>
        <w:t>.</w:t>
      </w:r>
      <w:r>
        <w:rPr>
          <w:b/>
          <w:i/>
        </w:rPr>
        <w:tab/>
      </w:r>
      <w:r w:rsidR="00A302D5">
        <w:t xml:space="preserve">No. </w:t>
      </w:r>
      <w:r w:rsidR="004F30F2">
        <w:t xml:space="preserve"> </w:t>
      </w:r>
      <w:r w:rsidR="003D11DA">
        <w:t xml:space="preserve">The </w:t>
      </w:r>
      <w:r w:rsidR="00A17D27">
        <w:t>PUCO</w:t>
      </w:r>
      <w:r w:rsidR="003D11DA">
        <w:t xml:space="preserve"> has already ruled that this is not the appropriate proceeding to authorize DP&amp;L to </w:t>
      </w:r>
      <w:r w:rsidR="00C05E40">
        <w:t xml:space="preserve">collect </w:t>
      </w:r>
      <w:r w:rsidR="003D11DA">
        <w:t xml:space="preserve">storm-related capital </w:t>
      </w:r>
      <w:r w:rsidR="00AD774B">
        <w:t>costs</w:t>
      </w:r>
      <w:r w:rsidR="00C05E40">
        <w:t xml:space="preserve"> from customers</w:t>
      </w:r>
      <w:r w:rsidR="00A622EF">
        <w:t>.  The PUCO determined</w:t>
      </w:r>
      <w:r w:rsidR="00C05E40">
        <w:t xml:space="preserve"> that any</w:t>
      </w:r>
      <w:r w:rsidR="003D11DA">
        <w:t xml:space="preserve"> </w:t>
      </w:r>
      <w:r w:rsidR="00AD774B">
        <w:t xml:space="preserve">capital-related costs </w:t>
      </w:r>
      <w:r w:rsidR="003D11DA">
        <w:t xml:space="preserve">are more appropriately </w:t>
      </w:r>
      <w:r w:rsidR="00C05E40">
        <w:t xml:space="preserve">collected </w:t>
      </w:r>
      <w:r w:rsidR="003D11DA">
        <w:t>through a distribution rate case</w:t>
      </w:r>
      <w:r w:rsidR="00464DED">
        <w:t xml:space="preserve">. </w:t>
      </w:r>
      <w:r w:rsidR="003D11DA">
        <w:t xml:space="preserve"> </w:t>
      </w:r>
      <w:r w:rsidR="00464DED">
        <w:t>A</w:t>
      </w:r>
      <w:r w:rsidR="003D11DA">
        <w:t xml:space="preserve">nd </w:t>
      </w:r>
      <w:r w:rsidR="00464DED">
        <w:t xml:space="preserve">the PUCO </w:t>
      </w:r>
      <w:r w:rsidR="003D11DA">
        <w:t xml:space="preserve">denied inclusion </w:t>
      </w:r>
      <w:r w:rsidR="004F30F2">
        <w:t xml:space="preserve">of such costs </w:t>
      </w:r>
      <w:r w:rsidR="003D11DA">
        <w:t>for collection</w:t>
      </w:r>
      <w:r w:rsidR="00464DED">
        <w:t xml:space="preserve"> from customers</w:t>
      </w:r>
      <w:r w:rsidR="003D11DA">
        <w:t xml:space="preserve"> in this case.</w:t>
      </w:r>
      <w:r w:rsidR="003D11DA">
        <w:rPr>
          <w:rStyle w:val="FootnoteReference"/>
        </w:rPr>
        <w:footnoteReference w:id="17"/>
      </w:r>
      <w:r w:rsidR="003D11DA">
        <w:t xml:space="preserve">  </w:t>
      </w:r>
      <w:r w:rsidR="00AD774B">
        <w:t>T</w:t>
      </w:r>
      <w:r w:rsidR="003D11DA">
        <w:t xml:space="preserve">he PUCO Staff estimated that </w:t>
      </w:r>
      <w:r w:rsidR="003959AD">
        <w:t xml:space="preserve">the costs associated with </w:t>
      </w:r>
      <w:r w:rsidR="003D11DA">
        <w:t xml:space="preserve">capital expenditures and carrying charges for </w:t>
      </w:r>
      <w:r w:rsidR="008F52C6">
        <w:t xml:space="preserve">which the PUCO denied </w:t>
      </w:r>
      <w:r w:rsidR="00C05E40">
        <w:t>DP&amp;L collection from customers</w:t>
      </w:r>
      <w:r w:rsidR="003D11DA">
        <w:t xml:space="preserve"> </w:t>
      </w:r>
      <w:r w:rsidR="00AD774B">
        <w:t xml:space="preserve">in this proceeding </w:t>
      </w:r>
      <w:r w:rsidR="003D11DA">
        <w:t>w</w:t>
      </w:r>
      <w:r w:rsidR="00464DED">
        <w:t>ere</w:t>
      </w:r>
      <w:r w:rsidR="003D11DA">
        <w:t xml:space="preserve"> approximately $27.6 million.</w:t>
      </w:r>
      <w:r w:rsidR="00783530">
        <w:rPr>
          <w:rStyle w:val="FootnoteReference"/>
        </w:rPr>
        <w:footnoteReference w:id="18"/>
      </w:r>
      <w:r w:rsidR="004F30F2">
        <w:t xml:space="preserve">  </w:t>
      </w:r>
      <w:r w:rsidR="008F52C6">
        <w:t>Moreover</w:t>
      </w:r>
      <w:r w:rsidR="003D11DA">
        <w:t xml:space="preserve">, </w:t>
      </w:r>
      <w:r w:rsidR="00784D75">
        <w:t>DP&amp;L</w:t>
      </w:r>
      <w:r w:rsidR="00503F1C">
        <w:t>’s request</w:t>
      </w:r>
      <w:r w:rsidR="00784D75">
        <w:t xml:space="preserve"> to </w:t>
      </w:r>
      <w:r>
        <w:t>collect</w:t>
      </w:r>
      <w:r w:rsidR="00784D75">
        <w:t xml:space="preserve"> </w:t>
      </w:r>
      <w:r w:rsidR="00503F1C">
        <w:t xml:space="preserve">a </w:t>
      </w:r>
      <w:r w:rsidR="00784D75">
        <w:t>return on rate base, depreciation expense, and taxes on storm-related capital expenditure</w:t>
      </w:r>
      <w:r w:rsidR="00503F1C">
        <w:t>s</w:t>
      </w:r>
      <w:r w:rsidR="00A770CF">
        <w:rPr>
          <w:rStyle w:val="FootnoteReference"/>
        </w:rPr>
        <w:footnoteReference w:id="19"/>
      </w:r>
      <w:r w:rsidR="00A770CF">
        <w:t xml:space="preserve"> </w:t>
      </w:r>
      <w:r w:rsidR="00E124DA">
        <w:t xml:space="preserve">-- </w:t>
      </w:r>
      <w:r w:rsidR="00AD774B">
        <w:t>through a separate rider outside</w:t>
      </w:r>
      <w:r w:rsidR="00C05E40">
        <w:t xml:space="preserve"> a rate case</w:t>
      </w:r>
      <w:r w:rsidR="00E124DA">
        <w:t xml:space="preserve"> </w:t>
      </w:r>
      <w:r w:rsidR="00464DED">
        <w:t>—</w:t>
      </w:r>
      <w:r w:rsidR="00E124DA">
        <w:t xml:space="preserve"> </w:t>
      </w:r>
      <w:r w:rsidR="00784D75">
        <w:t>is unreasonable</w:t>
      </w:r>
      <w:r w:rsidR="00401B85">
        <w:t xml:space="preserve"> and should be denied</w:t>
      </w:r>
      <w:r w:rsidR="00464DED">
        <w:t>.  DP&amp;L’</w:t>
      </w:r>
      <w:r w:rsidR="00401B85">
        <w:t>s request should</w:t>
      </w:r>
      <w:r w:rsidR="00464DED">
        <w:t xml:space="preserve"> also</w:t>
      </w:r>
      <w:r w:rsidR="00401B85">
        <w:t xml:space="preserve"> be denied because it is</w:t>
      </w:r>
      <w:r w:rsidR="00784D75">
        <w:t xml:space="preserve"> </w:t>
      </w:r>
      <w:r w:rsidR="00A770CF">
        <w:t xml:space="preserve">contrary to </w:t>
      </w:r>
      <w:r w:rsidR="00784D75">
        <w:t>long-standing regulatory principles</w:t>
      </w:r>
      <w:r w:rsidR="00263A27">
        <w:t>.</w:t>
      </w:r>
    </w:p>
    <w:p w:rsidR="00AE02A7" w:rsidRDefault="00AE02A7" w:rsidP="00F96463">
      <w:pPr>
        <w:spacing w:line="480" w:lineRule="auto"/>
        <w:ind w:left="720" w:hanging="720"/>
        <w:rPr>
          <w:b/>
          <w:bCs/>
          <w:i/>
          <w:iCs/>
        </w:rPr>
      </w:pPr>
    </w:p>
    <w:p w:rsidR="00B45191" w:rsidRPr="00EA58C8" w:rsidRDefault="000B371F" w:rsidP="00186368">
      <w:pPr>
        <w:pStyle w:val="Heading2"/>
      </w:pPr>
      <w:bookmarkStart w:id="17" w:name="_Toc378946312"/>
      <w:r w:rsidRPr="00EA58C8">
        <w:t>Storm Cost Recovery Rider Going Forward</w:t>
      </w:r>
      <w:bookmarkEnd w:id="17"/>
    </w:p>
    <w:p w:rsidR="00EA58C8" w:rsidRDefault="00EA58C8" w:rsidP="00F96463">
      <w:pPr>
        <w:spacing w:line="480" w:lineRule="auto"/>
        <w:ind w:left="720" w:hanging="720"/>
        <w:rPr>
          <w:b/>
          <w:bCs/>
          <w:i/>
          <w:iCs/>
        </w:rPr>
      </w:pPr>
    </w:p>
    <w:p w:rsidR="00F96463" w:rsidRDefault="00F96463" w:rsidP="00F96463">
      <w:pPr>
        <w:spacing w:line="480" w:lineRule="auto"/>
        <w:ind w:left="720" w:hanging="720"/>
        <w:rPr>
          <w:b/>
          <w:i/>
        </w:rPr>
      </w:pPr>
      <w:r>
        <w:rPr>
          <w:b/>
          <w:bCs/>
          <w:i/>
          <w:iCs/>
        </w:rPr>
        <w:t>Q11.</w:t>
      </w:r>
      <w:r>
        <w:rPr>
          <w:b/>
          <w:bCs/>
          <w:i/>
          <w:iCs/>
        </w:rPr>
        <w:tab/>
        <w:t>SHOULD DP&amp;L BE AL</w:t>
      </w:r>
      <w:r w:rsidR="00AE02A7">
        <w:rPr>
          <w:b/>
          <w:bCs/>
          <w:i/>
          <w:iCs/>
        </w:rPr>
        <w:t>LOWED</w:t>
      </w:r>
      <w:r w:rsidR="00BD5813">
        <w:rPr>
          <w:b/>
          <w:bCs/>
          <w:i/>
          <w:iCs/>
        </w:rPr>
        <w:t xml:space="preserve"> TO</w:t>
      </w:r>
      <w:r w:rsidR="00AE02A7">
        <w:rPr>
          <w:b/>
          <w:bCs/>
          <w:i/>
          <w:iCs/>
        </w:rPr>
        <w:t xml:space="preserve"> DEFER AND COLLECT </w:t>
      </w:r>
      <w:r w:rsidR="00E957DB">
        <w:rPr>
          <w:b/>
          <w:bCs/>
          <w:i/>
          <w:iCs/>
        </w:rPr>
        <w:t xml:space="preserve">FROM CUSTOMERS </w:t>
      </w:r>
      <w:r w:rsidR="00BD5813">
        <w:rPr>
          <w:b/>
          <w:bCs/>
          <w:i/>
          <w:iCs/>
        </w:rPr>
        <w:t xml:space="preserve">ALL </w:t>
      </w:r>
      <w:r w:rsidR="00AE02A7">
        <w:rPr>
          <w:b/>
          <w:bCs/>
          <w:i/>
          <w:iCs/>
        </w:rPr>
        <w:t>O</w:t>
      </w:r>
      <w:r w:rsidR="00DE7EBE">
        <w:rPr>
          <w:b/>
          <w:bCs/>
          <w:i/>
          <w:iCs/>
        </w:rPr>
        <w:t xml:space="preserve">PERATION AND </w:t>
      </w:r>
      <w:r w:rsidR="00AE02A7">
        <w:rPr>
          <w:b/>
          <w:bCs/>
          <w:i/>
          <w:iCs/>
        </w:rPr>
        <w:t>M</w:t>
      </w:r>
      <w:r w:rsidR="00DE7EBE">
        <w:rPr>
          <w:b/>
          <w:bCs/>
          <w:i/>
          <w:iCs/>
        </w:rPr>
        <w:t>AINTENANCE</w:t>
      </w:r>
      <w:r w:rsidR="00AE02A7">
        <w:rPr>
          <w:b/>
          <w:bCs/>
          <w:i/>
          <w:iCs/>
        </w:rPr>
        <w:t xml:space="preserve"> COSTS</w:t>
      </w:r>
      <w:r>
        <w:rPr>
          <w:b/>
          <w:bCs/>
          <w:i/>
          <w:iCs/>
        </w:rPr>
        <w:t xml:space="preserve"> FROM FUTURE MAJOR EVENT STORMS?</w:t>
      </w:r>
    </w:p>
    <w:p w:rsidR="002D1413" w:rsidRDefault="00611E72" w:rsidP="00263A27">
      <w:pPr>
        <w:spacing w:line="480" w:lineRule="auto"/>
        <w:ind w:left="720" w:hanging="720"/>
      </w:pPr>
      <w:r>
        <w:rPr>
          <w:b/>
          <w:i/>
        </w:rPr>
        <w:t>A11.</w:t>
      </w:r>
      <w:r w:rsidR="00F96463" w:rsidRPr="00AE348E">
        <w:rPr>
          <w:b/>
          <w:i/>
        </w:rPr>
        <w:tab/>
      </w:r>
      <w:r w:rsidR="00F96463" w:rsidRPr="00AE348E">
        <w:t xml:space="preserve">No.  </w:t>
      </w:r>
      <w:r w:rsidR="003959AD">
        <w:t xml:space="preserve">DP&amp;L should not be allowed to establish a </w:t>
      </w:r>
      <w:r w:rsidR="00F96463" w:rsidRPr="00AE348E">
        <w:t xml:space="preserve">Storm Cost Recovery Rider that would permit </w:t>
      </w:r>
      <w:r w:rsidR="003959AD">
        <w:t xml:space="preserve">it </w:t>
      </w:r>
      <w:r w:rsidR="00F96463" w:rsidRPr="00AE348E">
        <w:t xml:space="preserve">to </w:t>
      </w:r>
      <w:r w:rsidR="003959AD">
        <w:t xml:space="preserve">collect </w:t>
      </w:r>
      <w:r w:rsidR="00E957DB">
        <w:t xml:space="preserve">from customers </w:t>
      </w:r>
      <w:r w:rsidR="00F96463" w:rsidRPr="00AE348E">
        <w:t xml:space="preserve">all </w:t>
      </w:r>
      <w:r w:rsidR="00AE02A7" w:rsidRPr="00AE348E">
        <w:t xml:space="preserve">O&amp;M </w:t>
      </w:r>
      <w:r w:rsidR="00F96463" w:rsidRPr="00AE348E">
        <w:t xml:space="preserve">costs associated with major storms </w:t>
      </w:r>
      <w:r w:rsidR="00AE348E" w:rsidRPr="00AE348E">
        <w:t xml:space="preserve">on a </w:t>
      </w:r>
      <w:r w:rsidR="00F96463" w:rsidRPr="00AE348E">
        <w:t xml:space="preserve">going forward </w:t>
      </w:r>
      <w:r w:rsidR="00AE348E" w:rsidRPr="00AE348E">
        <w:t>basis</w:t>
      </w:r>
      <w:r w:rsidR="00153A5D">
        <w:t xml:space="preserve">. </w:t>
      </w:r>
      <w:r w:rsidR="00AE348E" w:rsidRPr="00AE348E">
        <w:t xml:space="preserve"> </w:t>
      </w:r>
      <w:r w:rsidR="00153A5D">
        <w:t xml:space="preserve">Also, DP&amp;L should not be authorized </w:t>
      </w:r>
      <w:r w:rsidR="00F96463" w:rsidRPr="00AE348E">
        <w:t xml:space="preserve">to defer O&amp;M costs </w:t>
      </w:r>
      <w:r w:rsidR="00153A5D">
        <w:t>and</w:t>
      </w:r>
      <w:r w:rsidR="00F96463" w:rsidRPr="00AE348E">
        <w:t xml:space="preserve"> recover</w:t>
      </w:r>
      <w:r w:rsidR="00153A5D">
        <w:t xml:space="preserve"> such costs</w:t>
      </w:r>
      <w:r w:rsidR="00E81C29">
        <w:t xml:space="preserve"> from customers</w:t>
      </w:r>
      <w:r w:rsidR="00F96463" w:rsidRPr="00AE348E">
        <w:t xml:space="preserve"> through </w:t>
      </w:r>
      <w:r w:rsidR="00AE348E" w:rsidRPr="00AE348E">
        <w:t xml:space="preserve">a </w:t>
      </w:r>
      <w:r w:rsidR="00F96463" w:rsidRPr="00AE348E">
        <w:t>rider.</w:t>
      </w:r>
      <w:r w:rsidR="00ED48A8" w:rsidRPr="00AE348E">
        <w:rPr>
          <w:rStyle w:val="FootnoteReference"/>
        </w:rPr>
        <w:footnoteReference w:id="20"/>
      </w:r>
      <w:r w:rsidR="00F96463" w:rsidRPr="00AE348E">
        <w:t xml:space="preserve">  </w:t>
      </w:r>
      <w:r w:rsidR="00AE348E" w:rsidRPr="00AE348E">
        <w:t xml:space="preserve">DP&amp;L has not </w:t>
      </w:r>
      <w:r w:rsidR="003959AD">
        <w:t xml:space="preserve">proved </w:t>
      </w:r>
      <w:r w:rsidR="00AE02A7" w:rsidRPr="00AE348E">
        <w:t>that the O&amp;M costs of major-event storms are not already collected</w:t>
      </w:r>
      <w:r w:rsidR="00E81C29">
        <w:t xml:space="preserve"> from customers</w:t>
      </w:r>
      <w:r w:rsidR="00AE02A7" w:rsidRPr="00AE348E">
        <w:t xml:space="preserve"> as part of base distribution rate</w:t>
      </w:r>
      <w:r w:rsidR="00AE348E" w:rsidRPr="00AE348E">
        <w:t>s</w:t>
      </w:r>
      <w:r w:rsidR="00AE02A7" w:rsidRPr="00AE348E">
        <w:t xml:space="preserve">.  </w:t>
      </w:r>
      <w:r w:rsidR="006A3B2D">
        <w:t>No</w:t>
      </w:r>
      <w:r w:rsidR="006A3B2D" w:rsidRPr="00AE348E">
        <w:t xml:space="preserve">r </w:t>
      </w:r>
      <w:r w:rsidR="006A3B2D">
        <w:t>has DP&amp;L put forth any testimony in this proceeding that explains how</w:t>
      </w:r>
      <w:r w:rsidR="006A3B2D" w:rsidRPr="00AE348E">
        <w:t xml:space="preserve"> customers will benefit from the a</w:t>
      </w:r>
      <w:r w:rsidR="006A3B2D">
        <w:t>pproval</w:t>
      </w:r>
      <w:r w:rsidR="006A3B2D" w:rsidRPr="00AE348E">
        <w:t xml:space="preserve"> of </w:t>
      </w:r>
      <w:r w:rsidR="006A3B2D">
        <w:t>such a</w:t>
      </w:r>
      <w:r w:rsidR="00EA58C8">
        <w:t xml:space="preserve"> rider.</w:t>
      </w:r>
    </w:p>
    <w:p w:rsidR="0079640A" w:rsidRDefault="0019633D" w:rsidP="00595085">
      <w:pPr>
        <w:spacing w:line="480" w:lineRule="auto"/>
        <w:ind w:left="720"/>
      </w:pPr>
      <w:r>
        <w:t xml:space="preserve">The PUCO should evaluate each deferral request on a </w:t>
      </w:r>
      <w:r w:rsidR="00C17902">
        <w:t xml:space="preserve">case-by-case </w:t>
      </w:r>
      <w:r>
        <w:t xml:space="preserve">basis. </w:t>
      </w:r>
      <w:r w:rsidR="00611E72">
        <w:t xml:space="preserve"> </w:t>
      </w:r>
      <w:r>
        <w:t>Otherwise</w:t>
      </w:r>
      <w:r w:rsidR="00AE348E" w:rsidRPr="00AE348E">
        <w:t>,</w:t>
      </w:r>
      <w:r w:rsidR="00AE02A7" w:rsidRPr="00AE348E">
        <w:t xml:space="preserve"> establishment of the proposed Storm Cost Recovery Rider </w:t>
      </w:r>
      <w:r>
        <w:t>c</w:t>
      </w:r>
      <w:r w:rsidR="00AE348E" w:rsidRPr="00AE348E">
        <w:t xml:space="preserve">ould </w:t>
      </w:r>
      <w:r>
        <w:t xml:space="preserve">potentially </w:t>
      </w:r>
      <w:r w:rsidR="00AE02A7" w:rsidRPr="00AE348E">
        <w:t>result in double recovery of O&amp;M costs</w:t>
      </w:r>
      <w:r w:rsidR="00C306EC">
        <w:t xml:space="preserve"> and </w:t>
      </w:r>
      <w:r w:rsidR="004D60DF">
        <w:t>without adequate prudence review of storm-related costs.</w:t>
      </w:r>
      <w:r w:rsidR="00602B1B">
        <w:t xml:space="preserve"> </w:t>
      </w:r>
      <w:r w:rsidR="00E957DB">
        <w:t xml:space="preserve"> </w:t>
      </w:r>
      <w:r w:rsidR="006A3B2D">
        <w:t>Finally, DP&amp;L’s request for a Storm Cost Recovery Rider should be rejected because t</w:t>
      </w:r>
      <w:r w:rsidR="009540C5" w:rsidRPr="00AE348E">
        <w:t xml:space="preserve">he current regulatory framework </w:t>
      </w:r>
      <w:r w:rsidR="00AE348E" w:rsidRPr="00AE348E">
        <w:t>for</w:t>
      </w:r>
      <w:r w:rsidR="00BD5813" w:rsidRPr="00AE348E">
        <w:t xml:space="preserve"> </w:t>
      </w:r>
      <w:r w:rsidR="00E957DB">
        <w:t xml:space="preserve">DP&amp;L’s </w:t>
      </w:r>
      <w:r w:rsidR="009540C5" w:rsidRPr="00AE348E">
        <w:t xml:space="preserve">storm-related costs is </w:t>
      </w:r>
      <w:r w:rsidR="00A770CF" w:rsidRPr="00AE348E">
        <w:t xml:space="preserve">reasonable and </w:t>
      </w:r>
      <w:r w:rsidR="009540C5" w:rsidRPr="00AE348E">
        <w:t>provide</w:t>
      </w:r>
      <w:r w:rsidR="00AE348E">
        <w:t>s</w:t>
      </w:r>
      <w:r w:rsidR="009540C5" w:rsidRPr="00AE348E">
        <w:t xml:space="preserve"> safeguards for customers </w:t>
      </w:r>
      <w:r w:rsidR="00AE348E">
        <w:t xml:space="preserve">to </w:t>
      </w:r>
      <w:r w:rsidR="001E0C78">
        <w:t xml:space="preserve">protect </w:t>
      </w:r>
      <w:r w:rsidR="00AE348E">
        <w:t>them from</w:t>
      </w:r>
      <w:r w:rsidR="00AE348E" w:rsidRPr="00AE348E">
        <w:t xml:space="preserve"> </w:t>
      </w:r>
      <w:r w:rsidR="00611E72">
        <w:t>overpaying storm-related costs.</w:t>
      </w:r>
    </w:p>
    <w:p w:rsidR="002D1413" w:rsidRDefault="002D1413" w:rsidP="002D1413">
      <w:pPr>
        <w:spacing w:line="480" w:lineRule="auto"/>
        <w:ind w:left="720" w:hanging="720"/>
        <w:rPr>
          <w:b/>
          <w:kern w:val="2"/>
          <w:szCs w:val="22"/>
          <w:lang w:eastAsia="zh-TW"/>
        </w:rPr>
      </w:pPr>
    </w:p>
    <w:p w:rsidR="00B45191" w:rsidRPr="00EA58C8" w:rsidRDefault="000B371F" w:rsidP="00186368">
      <w:pPr>
        <w:pStyle w:val="Heading2"/>
      </w:pPr>
      <w:bookmarkStart w:id="18" w:name="_Toc378946313"/>
      <w:r w:rsidRPr="00EA58C8">
        <w:t>Carrying Cost Rate</w:t>
      </w:r>
      <w:bookmarkEnd w:id="18"/>
    </w:p>
    <w:p w:rsidR="00EA58C8" w:rsidRDefault="00EA58C8" w:rsidP="000B6507">
      <w:pPr>
        <w:spacing w:line="480" w:lineRule="auto"/>
        <w:ind w:left="720" w:hanging="720"/>
        <w:rPr>
          <w:b/>
          <w:bCs/>
          <w:i/>
          <w:iCs/>
        </w:rPr>
      </w:pPr>
    </w:p>
    <w:p w:rsidR="000B6507" w:rsidRPr="00804B0B" w:rsidRDefault="000B6507" w:rsidP="000B6507">
      <w:pPr>
        <w:spacing w:line="480" w:lineRule="auto"/>
        <w:ind w:left="720" w:hanging="720"/>
        <w:rPr>
          <w:b/>
          <w:i/>
        </w:rPr>
      </w:pPr>
      <w:r w:rsidRPr="00804B0B">
        <w:rPr>
          <w:b/>
          <w:bCs/>
          <w:i/>
          <w:iCs/>
        </w:rPr>
        <w:t>Q</w:t>
      </w:r>
      <w:r>
        <w:rPr>
          <w:b/>
          <w:bCs/>
          <w:i/>
          <w:iCs/>
        </w:rPr>
        <w:t>1</w:t>
      </w:r>
      <w:r w:rsidR="00677581">
        <w:rPr>
          <w:b/>
          <w:bCs/>
          <w:i/>
          <w:iCs/>
        </w:rPr>
        <w:t>2</w:t>
      </w:r>
      <w:r w:rsidRPr="00804B0B">
        <w:rPr>
          <w:b/>
          <w:bCs/>
          <w:i/>
          <w:iCs/>
        </w:rPr>
        <w:t>.</w:t>
      </w:r>
      <w:r w:rsidRPr="00804B0B">
        <w:rPr>
          <w:b/>
          <w:bCs/>
          <w:i/>
          <w:iCs/>
        </w:rPr>
        <w:tab/>
      </w:r>
      <w:r>
        <w:rPr>
          <w:b/>
          <w:bCs/>
          <w:i/>
          <w:iCs/>
        </w:rPr>
        <w:t xml:space="preserve">IN THE PROCEEDING WHERE DP&amp;L RECEIVED APPROVAL TO DEFER SOME STORM COSTS </w:t>
      </w:r>
      <w:r w:rsidR="00E957DB">
        <w:rPr>
          <w:b/>
          <w:bCs/>
          <w:i/>
          <w:iCs/>
        </w:rPr>
        <w:t>RELATED</w:t>
      </w:r>
      <w:r>
        <w:rPr>
          <w:b/>
          <w:bCs/>
          <w:i/>
          <w:iCs/>
        </w:rPr>
        <w:t xml:space="preserve"> TO THE 2012 DERECHO, </w:t>
      </w:r>
      <w:r w:rsidRPr="00804B0B">
        <w:rPr>
          <w:b/>
          <w:i/>
        </w:rPr>
        <w:t>WHAT</w:t>
      </w:r>
      <w:r w:rsidR="000F74B0">
        <w:rPr>
          <w:b/>
          <w:i/>
        </w:rPr>
        <w:t xml:space="preserve"> </w:t>
      </w:r>
      <w:r>
        <w:rPr>
          <w:b/>
          <w:i/>
        </w:rPr>
        <w:t xml:space="preserve">DID THE PUCO ORDER IN REGARD TO THE </w:t>
      </w:r>
      <w:r w:rsidR="000F74B0">
        <w:rPr>
          <w:b/>
          <w:i/>
        </w:rPr>
        <w:t>CARR</w:t>
      </w:r>
      <w:r w:rsidR="00DF7A15">
        <w:rPr>
          <w:b/>
          <w:i/>
        </w:rPr>
        <w:t xml:space="preserve">YING COST </w:t>
      </w:r>
      <w:r>
        <w:rPr>
          <w:b/>
          <w:i/>
        </w:rPr>
        <w:t>RATE</w:t>
      </w:r>
      <w:r w:rsidRPr="00804B0B">
        <w:rPr>
          <w:b/>
          <w:i/>
        </w:rPr>
        <w:t>?</w:t>
      </w:r>
    </w:p>
    <w:p w:rsidR="002D1413" w:rsidRDefault="000B6507" w:rsidP="002D1413">
      <w:pPr>
        <w:autoSpaceDE w:val="0"/>
        <w:autoSpaceDN w:val="0"/>
        <w:adjustRightInd w:val="0"/>
        <w:spacing w:line="480" w:lineRule="auto"/>
        <w:ind w:left="720" w:hanging="720"/>
        <w:rPr>
          <w:b/>
          <w:bCs/>
          <w:i/>
          <w:iCs/>
        </w:rPr>
      </w:pPr>
      <w:r w:rsidRPr="00804B0B">
        <w:rPr>
          <w:b/>
          <w:i/>
        </w:rPr>
        <w:t>A</w:t>
      </w:r>
      <w:r>
        <w:rPr>
          <w:b/>
          <w:i/>
        </w:rPr>
        <w:t>1</w:t>
      </w:r>
      <w:r w:rsidR="00677581">
        <w:rPr>
          <w:b/>
          <w:i/>
        </w:rPr>
        <w:t>2</w:t>
      </w:r>
      <w:r w:rsidRPr="00804B0B">
        <w:rPr>
          <w:b/>
          <w:i/>
        </w:rPr>
        <w:t>.</w:t>
      </w:r>
      <w:r w:rsidRPr="00804B0B">
        <w:rPr>
          <w:b/>
          <w:i/>
        </w:rPr>
        <w:tab/>
      </w:r>
      <w:r w:rsidR="00170C1C">
        <w:t>In that proceeding, t</w:t>
      </w:r>
      <w:r w:rsidR="00DF7A15">
        <w:t xml:space="preserve">he PUCO </w:t>
      </w:r>
      <w:r w:rsidR="0042473B">
        <w:t>held “</w:t>
      </w:r>
      <w:r w:rsidR="00677581">
        <w:t xml:space="preserve">Sound regulatory policy directs </w:t>
      </w:r>
      <w:r w:rsidR="000F74B0">
        <w:t>that the carrying</w:t>
      </w:r>
      <w:r w:rsidR="00DF7A15">
        <w:t xml:space="preserve"> cost rate should be set equal to the most recently approved cost of long-term debt. </w:t>
      </w:r>
      <w:r w:rsidR="00E957DB">
        <w:t xml:space="preserve"> </w:t>
      </w:r>
      <w:r w:rsidR="00DF7A15">
        <w:t>When a new cost of long-term debt is approved, the carrying costs should then be amended to reflect the newly approved rate.”</w:t>
      </w:r>
      <w:r w:rsidR="00DF7A15">
        <w:rPr>
          <w:rStyle w:val="FootnoteReference"/>
        </w:rPr>
        <w:footnoteReference w:id="21"/>
      </w:r>
      <w:r w:rsidR="002D1413">
        <w:rPr>
          <w:b/>
          <w:bCs/>
          <w:i/>
          <w:iCs/>
        </w:rPr>
        <w:br w:type="page"/>
      </w:r>
    </w:p>
    <w:p w:rsidR="00E302BF" w:rsidRPr="00804B0B" w:rsidRDefault="00E302BF" w:rsidP="00E302BF">
      <w:pPr>
        <w:spacing w:line="480" w:lineRule="auto"/>
        <w:ind w:left="720" w:hanging="720"/>
        <w:rPr>
          <w:b/>
          <w:i/>
        </w:rPr>
      </w:pPr>
      <w:r w:rsidRPr="00804B0B">
        <w:rPr>
          <w:b/>
          <w:bCs/>
          <w:i/>
          <w:iCs/>
        </w:rPr>
        <w:t>Q</w:t>
      </w:r>
      <w:r>
        <w:rPr>
          <w:b/>
          <w:bCs/>
          <w:i/>
          <w:iCs/>
        </w:rPr>
        <w:t>1</w:t>
      </w:r>
      <w:r w:rsidR="00677581">
        <w:rPr>
          <w:b/>
          <w:bCs/>
          <w:i/>
          <w:iCs/>
        </w:rPr>
        <w:t>3</w:t>
      </w:r>
      <w:r w:rsidRPr="00804B0B">
        <w:rPr>
          <w:b/>
          <w:bCs/>
          <w:i/>
          <w:iCs/>
        </w:rPr>
        <w:t>.</w:t>
      </w:r>
      <w:r w:rsidRPr="00804B0B">
        <w:rPr>
          <w:b/>
          <w:bCs/>
          <w:i/>
          <w:iCs/>
        </w:rPr>
        <w:tab/>
      </w:r>
      <w:r>
        <w:rPr>
          <w:b/>
          <w:bCs/>
          <w:i/>
          <w:iCs/>
        </w:rPr>
        <w:t>WHAT CA</w:t>
      </w:r>
      <w:r>
        <w:rPr>
          <w:b/>
          <w:i/>
        </w:rPr>
        <w:t xml:space="preserve">RRYING COST RATE DOES DP&amp;L REQUEST IN </w:t>
      </w:r>
      <w:r w:rsidR="00170C1C">
        <w:rPr>
          <w:b/>
          <w:i/>
        </w:rPr>
        <w:t>THIS PROCEEDING</w:t>
      </w:r>
      <w:r w:rsidRPr="00804B0B">
        <w:rPr>
          <w:b/>
          <w:i/>
        </w:rPr>
        <w:t>?</w:t>
      </w:r>
    </w:p>
    <w:p w:rsidR="000B6507" w:rsidRDefault="00E302BF" w:rsidP="00611E72">
      <w:pPr>
        <w:autoSpaceDE w:val="0"/>
        <w:autoSpaceDN w:val="0"/>
        <w:adjustRightInd w:val="0"/>
        <w:spacing w:line="480" w:lineRule="auto"/>
        <w:ind w:left="720" w:hanging="720"/>
      </w:pPr>
      <w:r w:rsidRPr="001177DD">
        <w:rPr>
          <w:b/>
          <w:bCs/>
          <w:i/>
          <w:iCs/>
        </w:rPr>
        <w:t>A1</w:t>
      </w:r>
      <w:r w:rsidR="00677581">
        <w:rPr>
          <w:b/>
          <w:bCs/>
          <w:i/>
          <w:iCs/>
        </w:rPr>
        <w:t>3</w:t>
      </w:r>
      <w:r w:rsidRPr="001177DD">
        <w:rPr>
          <w:b/>
          <w:bCs/>
          <w:i/>
          <w:iCs/>
        </w:rPr>
        <w:t>.</w:t>
      </w:r>
      <w:r w:rsidRPr="00595085">
        <w:tab/>
      </w:r>
      <w:r w:rsidR="00170C1C">
        <w:t xml:space="preserve">DP&amp;L proposes a carrying cost of 5.86% </w:t>
      </w:r>
      <w:r w:rsidR="00864EDD">
        <w:t xml:space="preserve">on deferred storm expenses </w:t>
      </w:r>
      <w:r w:rsidR="00170C1C">
        <w:t>based</w:t>
      </w:r>
      <w:r w:rsidR="001E0C78">
        <w:t xml:space="preserve"> on</w:t>
      </w:r>
      <w:r w:rsidR="00170C1C">
        <w:t xml:space="preserve"> its actual cost of debt as filed and approved in DP&amp;L’s 2008 ESP</w:t>
      </w:r>
      <w:r w:rsidR="00864EDD">
        <w:t>,</w:t>
      </w:r>
      <w:r w:rsidR="00FA503A">
        <w:rPr>
          <w:rStyle w:val="FootnoteReference"/>
        </w:rPr>
        <w:footnoteReference w:id="22"/>
      </w:r>
      <w:r w:rsidR="00864EDD">
        <w:t xml:space="preserve"> and a carrying charge equal to its June 30, 2012 cost of debt (5.56%) to any over or under recovered amount on a going forward basis.</w:t>
      </w:r>
      <w:r w:rsidR="00864EDD">
        <w:rPr>
          <w:rStyle w:val="FootnoteReference"/>
        </w:rPr>
        <w:footnoteReference w:id="23"/>
      </w:r>
    </w:p>
    <w:p w:rsidR="000642AA" w:rsidRPr="00A07E6F" w:rsidRDefault="000642AA" w:rsidP="00E302BF">
      <w:pPr>
        <w:autoSpaceDE w:val="0"/>
        <w:autoSpaceDN w:val="0"/>
        <w:adjustRightInd w:val="0"/>
        <w:spacing w:line="480" w:lineRule="auto"/>
        <w:ind w:left="720" w:hanging="720"/>
      </w:pPr>
    </w:p>
    <w:p w:rsidR="00E302BF" w:rsidRPr="00804B0B" w:rsidRDefault="00E302BF" w:rsidP="00E302BF">
      <w:pPr>
        <w:spacing w:line="480" w:lineRule="auto"/>
        <w:ind w:left="720" w:hanging="720"/>
        <w:rPr>
          <w:b/>
          <w:i/>
        </w:rPr>
      </w:pPr>
      <w:r w:rsidRPr="00804B0B">
        <w:rPr>
          <w:b/>
          <w:bCs/>
          <w:i/>
          <w:iCs/>
        </w:rPr>
        <w:t>Q</w:t>
      </w:r>
      <w:r>
        <w:rPr>
          <w:b/>
          <w:bCs/>
          <w:i/>
          <w:iCs/>
        </w:rPr>
        <w:t>1</w:t>
      </w:r>
      <w:r w:rsidR="00677581">
        <w:rPr>
          <w:b/>
          <w:bCs/>
          <w:i/>
          <w:iCs/>
        </w:rPr>
        <w:t>4</w:t>
      </w:r>
      <w:r w:rsidRPr="00804B0B">
        <w:rPr>
          <w:b/>
          <w:bCs/>
          <w:i/>
          <w:iCs/>
        </w:rPr>
        <w:t>.</w:t>
      </w:r>
      <w:r w:rsidRPr="00804B0B">
        <w:rPr>
          <w:b/>
          <w:bCs/>
          <w:i/>
          <w:iCs/>
        </w:rPr>
        <w:tab/>
      </w:r>
      <w:r>
        <w:rPr>
          <w:b/>
          <w:bCs/>
          <w:i/>
          <w:iCs/>
        </w:rPr>
        <w:t>IS 5.8</w:t>
      </w:r>
      <w:r w:rsidR="00170C1C">
        <w:rPr>
          <w:b/>
          <w:bCs/>
          <w:i/>
          <w:iCs/>
        </w:rPr>
        <w:t>6</w:t>
      </w:r>
      <w:r>
        <w:rPr>
          <w:b/>
          <w:bCs/>
          <w:i/>
          <w:iCs/>
        </w:rPr>
        <w:t>%</w:t>
      </w:r>
      <w:r w:rsidR="00864EDD">
        <w:rPr>
          <w:b/>
          <w:bCs/>
          <w:i/>
          <w:iCs/>
        </w:rPr>
        <w:t xml:space="preserve"> OR 5.56%</w:t>
      </w:r>
      <w:r>
        <w:rPr>
          <w:b/>
          <w:bCs/>
          <w:i/>
          <w:iCs/>
        </w:rPr>
        <w:t xml:space="preserve"> DP&amp;L’S MOST RECENT </w:t>
      </w:r>
      <w:r w:rsidR="00E957DB">
        <w:rPr>
          <w:b/>
          <w:bCs/>
          <w:i/>
          <w:iCs/>
        </w:rPr>
        <w:t>PUCO-</w:t>
      </w:r>
      <w:r>
        <w:rPr>
          <w:b/>
          <w:bCs/>
          <w:i/>
          <w:iCs/>
        </w:rPr>
        <w:t>APPROVED COST OF LONG-TERM DEBT</w:t>
      </w:r>
      <w:r w:rsidRPr="00804B0B">
        <w:rPr>
          <w:b/>
          <w:i/>
        </w:rPr>
        <w:t>?</w:t>
      </w:r>
    </w:p>
    <w:p w:rsidR="00E302BF" w:rsidRDefault="00E302BF" w:rsidP="00611E72">
      <w:pPr>
        <w:autoSpaceDE w:val="0"/>
        <w:autoSpaceDN w:val="0"/>
        <w:adjustRightInd w:val="0"/>
        <w:spacing w:line="480" w:lineRule="auto"/>
        <w:ind w:left="720" w:hanging="720"/>
      </w:pPr>
      <w:r w:rsidRPr="001177DD">
        <w:rPr>
          <w:b/>
          <w:bCs/>
          <w:i/>
          <w:iCs/>
        </w:rPr>
        <w:t>A1</w:t>
      </w:r>
      <w:r w:rsidR="00677581">
        <w:rPr>
          <w:b/>
          <w:bCs/>
          <w:i/>
          <w:iCs/>
        </w:rPr>
        <w:t>4</w:t>
      </w:r>
      <w:r w:rsidRPr="001177DD">
        <w:rPr>
          <w:b/>
          <w:bCs/>
          <w:i/>
          <w:iCs/>
        </w:rPr>
        <w:t>.</w:t>
      </w:r>
      <w:r w:rsidRPr="00595085">
        <w:tab/>
        <w:t>No.</w:t>
      </w:r>
      <w:r w:rsidR="00C757F5">
        <w:t xml:space="preserve"> </w:t>
      </w:r>
      <w:r w:rsidRPr="00595085">
        <w:t xml:space="preserve"> On September 4, 2013, the PUCO approved an ESP with a </w:t>
      </w:r>
      <w:r w:rsidR="003245D3">
        <w:t>4.94% cost of long-term debt.</w:t>
      </w:r>
      <w:r w:rsidR="003245D3">
        <w:rPr>
          <w:rStyle w:val="FootnoteReference"/>
        </w:rPr>
        <w:footnoteReference w:id="24"/>
      </w:r>
    </w:p>
    <w:p w:rsidR="000642AA" w:rsidRPr="00595085" w:rsidRDefault="000642AA" w:rsidP="00E302BF">
      <w:pPr>
        <w:autoSpaceDE w:val="0"/>
        <w:autoSpaceDN w:val="0"/>
        <w:adjustRightInd w:val="0"/>
        <w:spacing w:line="480" w:lineRule="auto"/>
        <w:ind w:left="720" w:hanging="720"/>
        <w:rPr>
          <w:bCs/>
          <w:iCs/>
        </w:rPr>
      </w:pPr>
    </w:p>
    <w:p w:rsidR="005412D4" w:rsidRPr="00804B0B" w:rsidRDefault="005412D4" w:rsidP="005412D4">
      <w:pPr>
        <w:spacing w:line="480" w:lineRule="auto"/>
        <w:ind w:left="720" w:hanging="720"/>
        <w:rPr>
          <w:b/>
          <w:i/>
        </w:rPr>
      </w:pPr>
      <w:r w:rsidRPr="00804B0B">
        <w:rPr>
          <w:b/>
          <w:bCs/>
          <w:i/>
          <w:iCs/>
        </w:rPr>
        <w:t>Q</w:t>
      </w:r>
      <w:r>
        <w:rPr>
          <w:b/>
          <w:bCs/>
          <w:i/>
          <w:iCs/>
        </w:rPr>
        <w:t>1</w:t>
      </w:r>
      <w:r w:rsidR="00677581">
        <w:rPr>
          <w:b/>
          <w:bCs/>
          <w:i/>
          <w:iCs/>
        </w:rPr>
        <w:t>5</w:t>
      </w:r>
      <w:r w:rsidRPr="00804B0B">
        <w:rPr>
          <w:b/>
          <w:bCs/>
          <w:i/>
          <w:iCs/>
        </w:rPr>
        <w:t>.</w:t>
      </w:r>
      <w:r w:rsidRPr="00804B0B">
        <w:rPr>
          <w:b/>
          <w:bCs/>
          <w:i/>
          <w:iCs/>
        </w:rPr>
        <w:tab/>
      </w:r>
      <w:r>
        <w:rPr>
          <w:b/>
          <w:bCs/>
          <w:i/>
          <w:iCs/>
        </w:rPr>
        <w:t xml:space="preserve">WHAT SHOULD THE </w:t>
      </w:r>
      <w:r>
        <w:rPr>
          <w:b/>
          <w:i/>
        </w:rPr>
        <w:t xml:space="preserve">CARRYING COST RATE BE </w:t>
      </w:r>
      <w:r w:rsidR="00E957DB">
        <w:rPr>
          <w:b/>
          <w:i/>
        </w:rPr>
        <w:t>FOR</w:t>
      </w:r>
      <w:r>
        <w:rPr>
          <w:b/>
          <w:i/>
        </w:rPr>
        <w:t xml:space="preserve"> ANY DEFERRAL BALANCES </w:t>
      </w:r>
      <w:r w:rsidR="00D359D1">
        <w:rPr>
          <w:b/>
          <w:i/>
        </w:rPr>
        <w:t>AFTER DECEMBER 31, 2013</w:t>
      </w:r>
      <w:r w:rsidRPr="00804B0B">
        <w:rPr>
          <w:b/>
          <w:i/>
        </w:rPr>
        <w:t>?</w:t>
      </w:r>
    </w:p>
    <w:p w:rsidR="002D1413" w:rsidRDefault="005412D4" w:rsidP="002D1413">
      <w:pPr>
        <w:spacing w:line="480" w:lineRule="auto"/>
        <w:ind w:left="720" w:hanging="720"/>
        <w:rPr>
          <w:b/>
        </w:rPr>
      </w:pPr>
      <w:r w:rsidRPr="001177DD">
        <w:rPr>
          <w:b/>
          <w:bCs/>
          <w:i/>
          <w:iCs/>
        </w:rPr>
        <w:t>A1</w:t>
      </w:r>
      <w:r w:rsidR="00677581">
        <w:rPr>
          <w:b/>
          <w:bCs/>
          <w:i/>
          <w:iCs/>
        </w:rPr>
        <w:t>5</w:t>
      </w:r>
      <w:r w:rsidRPr="001177DD">
        <w:rPr>
          <w:b/>
          <w:bCs/>
          <w:i/>
          <w:iCs/>
        </w:rPr>
        <w:t>.</w:t>
      </w:r>
      <w:r w:rsidRPr="00595085">
        <w:tab/>
      </w:r>
      <w:r w:rsidR="00D366E4">
        <w:t xml:space="preserve">The carrying cost for any </w:t>
      </w:r>
      <w:r w:rsidR="00E957DB">
        <w:t xml:space="preserve">DP&amp;L </w:t>
      </w:r>
      <w:r w:rsidR="00D366E4">
        <w:t xml:space="preserve">deferred storm-related O&amp;M expenses approved for collection should be </w:t>
      </w:r>
      <w:r w:rsidRPr="00595085">
        <w:t>4.94%</w:t>
      </w:r>
      <w:r w:rsidR="00D366E4">
        <w:t xml:space="preserve"> after </w:t>
      </w:r>
      <w:r w:rsidR="00AF2899">
        <w:t>December 31</w:t>
      </w:r>
      <w:r w:rsidR="00D366E4">
        <w:t>, 2013.</w:t>
      </w:r>
      <w:r w:rsidR="002D1413">
        <w:rPr>
          <w:b/>
        </w:rPr>
        <w:br w:type="page"/>
      </w:r>
    </w:p>
    <w:p w:rsidR="00677581" w:rsidRPr="004202C2" w:rsidRDefault="000B371F" w:rsidP="004202C2">
      <w:pPr>
        <w:pStyle w:val="Heading2"/>
        <w:rPr>
          <w:rStyle w:val="Heading2Char"/>
          <w:b/>
        </w:rPr>
      </w:pPr>
      <w:bookmarkStart w:id="19" w:name="_Toc378946314"/>
      <w:r w:rsidRPr="004202C2">
        <w:rPr>
          <w:rStyle w:val="Heading2Char"/>
          <w:b/>
        </w:rPr>
        <w:t>Deferral And Collection From Customers For 2008 And 2011 Costs</w:t>
      </w:r>
      <w:bookmarkEnd w:id="19"/>
    </w:p>
    <w:p w:rsidR="004202C2" w:rsidRPr="00186368" w:rsidRDefault="004202C2" w:rsidP="00335E61">
      <w:pPr>
        <w:spacing w:line="480" w:lineRule="auto"/>
        <w:ind w:left="720" w:hanging="720"/>
      </w:pPr>
    </w:p>
    <w:p w:rsidR="003959AD" w:rsidRPr="00335E61" w:rsidRDefault="003959AD" w:rsidP="00335E61">
      <w:pPr>
        <w:spacing w:line="480" w:lineRule="auto"/>
        <w:ind w:left="720" w:hanging="720"/>
        <w:rPr>
          <w:b/>
          <w:i/>
        </w:rPr>
      </w:pPr>
      <w:r w:rsidRPr="00335E61">
        <w:rPr>
          <w:b/>
          <w:i/>
          <w:iCs/>
        </w:rPr>
        <w:t>Q1</w:t>
      </w:r>
      <w:r w:rsidR="00677581" w:rsidRPr="00335E61">
        <w:rPr>
          <w:b/>
          <w:i/>
          <w:iCs/>
        </w:rPr>
        <w:t>6</w:t>
      </w:r>
      <w:r w:rsidRPr="00335E61">
        <w:rPr>
          <w:b/>
          <w:i/>
          <w:iCs/>
        </w:rPr>
        <w:t>.</w:t>
      </w:r>
      <w:r w:rsidRPr="00335E61">
        <w:rPr>
          <w:b/>
          <w:i/>
          <w:iCs/>
        </w:rPr>
        <w:tab/>
      </w:r>
      <w:r w:rsidRPr="00335E61">
        <w:rPr>
          <w:b/>
          <w:i/>
        </w:rPr>
        <w:t>WHAT 2008 STORM-RELATED COSTS DID THE PUCO AUTHORIZE DP&amp;L TO DEFER?</w:t>
      </w:r>
    </w:p>
    <w:p w:rsidR="003959AD" w:rsidRPr="00335E61" w:rsidRDefault="003959AD" w:rsidP="00335E61">
      <w:pPr>
        <w:spacing w:line="480" w:lineRule="auto"/>
        <w:ind w:left="720" w:hanging="720"/>
        <w:rPr>
          <w:bCs/>
          <w:i/>
          <w:iCs/>
        </w:rPr>
      </w:pPr>
      <w:r w:rsidRPr="00335E61">
        <w:rPr>
          <w:b/>
          <w:bCs/>
          <w:i/>
        </w:rPr>
        <w:t>A1</w:t>
      </w:r>
      <w:r w:rsidR="00677581" w:rsidRPr="00335E61">
        <w:rPr>
          <w:b/>
          <w:bCs/>
          <w:i/>
        </w:rPr>
        <w:t>6</w:t>
      </w:r>
      <w:r w:rsidRPr="00804B0B">
        <w:rPr>
          <w:i/>
        </w:rPr>
        <w:t>.</w:t>
      </w:r>
      <w:r w:rsidRPr="00804B0B">
        <w:rPr>
          <w:i/>
        </w:rPr>
        <w:tab/>
      </w:r>
      <w:r w:rsidRPr="00335E61">
        <w:rPr>
          <w:bCs/>
        </w:rPr>
        <w:t>The PUCO authorized DP&amp;L to defer only the incremental O&amp;M expenses related to the September 14, 2008 wind storm (Hurricane Ike) and associated carrying costs.</w:t>
      </w:r>
      <w:r w:rsidRPr="00335E61">
        <w:rPr>
          <w:bCs/>
          <w:vertAlign w:val="superscript"/>
        </w:rPr>
        <w:t xml:space="preserve"> </w:t>
      </w:r>
      <w:r w:rsidRPr="00335E61">
        <w:rPr>
          <w:bCs/>
          <w:vertAlign w:val="superscript"/>
        </w:rPr>
        <w:footnoteReference w:id="25"/>
      </w:r>
      <w:r w:rsidRPr="00335E61">
        <w:rPr>
          <w:bCs/>
        </w:rPr>
        <w:t xml:space="preserve">  However, DP&amp;L is also trying to charge its customers for a multitude of storm costs incurred in 2008 that the PUCO never authorized DP&amp;L to defer.  Specifically, DP&amp;L is seeking PUCO approval in its Application to charge its customers $3,574,933.87 in O&amp;M costs and additional carrying costs resulting from other storms in 2008.</w:t>
      </w:r>
      <w:r w:rsidRPr="00335E61">
        <w:rPr>
          <w:rStyle w:val="FootnoteReference"/>
          <w:bCs/>
        </w:rPr>
        <w:footnoteReference w:id="26"/>
      </w:r>
      <w:r w:rsidRPr="00335E61">
        <w:rPr>
          <w:bCs/>
        </w:rPr>
        <w:t xml:space="preserve"> </w:t>
      </w:r>
      <w:r w:rsidR="00263A27">
        <w:rPr>
          <w:bCs/>
        </w:rPr>
        <w:t xml:space="preserve"> </w:t>
      </w:r>
      <w:r w:rsidRPr="00335E61">
        <w:rPr>
          <w:bCs/>
        </w:rPr>
        <w:t>Customers should not pay those costs.</w:t>
      </w:r>
    </w:p>
    <w:p w:rsidR="005412D4" w:rsidRPr="00186368" w:rsidRDefault="005412D4" w:rsidP="005412D4">
      <w:pPr>
        <w:spacing w:line="480" w:lineRule="auto"/>
        <w:ind w:left="720" w:hanging="720"/>
        <w:rPr>
          <w:b/>
        </w:rPr>
      </w:pPr>
    </w:p>
    <w:p w:rsidR="00401293" w:rsidRDefault="00401293" w:rsidP="00401293">
      <w:pPr>
        <w:spacing w:line="480" w:lineRule="auto"/>
        <w:ind w:left="720" w:hanging="720"/>
        <w:rPr>
          <w:b/>
          <w:i/>
        </w:rPr>
      </w:pPr>
      <w:r w:rsidRPr="00795B74">
        <w:rPr>
          <w:b/>
          <w:i/>
        </w:rPr>
        <w:t>Q</w:t>
      </w:r>
      <w:r>
        <w:rPr>
          <w:b/>
          <w:i/>
        </w:rPr>
        <w:t>1</w:t>
      </w:r>
      <w:r w:rsidR="00D366E4">
        <w:rPr>
          <w:b/>
          <w:i/>
        </w:rPr>
        <w:t>7</w:t>
      </w:r>
      <w:r w:rsidRPr="00795B74">
        <w:rPr>
          <w:b/>
          <w:i/>
        </w:rPr>
        <w:t>.</w:t>
      </w:r>
      <w:r w:rsidRPr="00795B74">
        <w:rPr>
          <w:b/>
          <w:i/>
        </w:rPr>
        <w:tab/>
      </w:r>
      <w:r>
        <w:rPr>
          <w:b/>
          <w:i/>
        </w:rPr>
        <w:t>HAVE YOU CALCULATED THE RETURN ON EQUITY OF DP&amp;L AND OTHER OHIO ELECTRIC DISTRIBUTION UTILITIES FOR THE PERIOD OF 2004 TO 2011?</w:t>
      </w:r>
    </w:p>
    <w:p w:rsidR="00401293" w:rsidRDefault="00401293" w:rsidP="00401293">
      <w:pPr>
        <w:spacing w:line="480" w:lineRule="auto"/>
        <w:ind w:left="720" w:hanging="720"/>
      </w:pPr>
      <w:r w:rsidRPr="00CF7E23">
        <w:rPr>
          <w:b/>
          <w:i/>
        </w:rPr>
        <w:t>A</w:t>
      </w:r>
      <w:r>
        <w:rPr>
          <w:b/>
          <w:i/>
        </w:rPr>
        <w:t>1</w:t>
      </w:r>
      <w:r w:rsidR="00D366E4">
        <w:rPr>
          <w:b/>
          <w:i/>
        </w:rPr>
        <w:t>7</w:t>
      </w:r>
      <w:r w:rsidRPr="00CF7E23">
        <w:rPr>
          <w:b/>
          <w:i/>
        </w:rPr>
        <w:t>.</w:t>
      </w:r>
      <w:r>
        <w:rPr>
          <w:b/>
          <w:i/>
        </w:rPr>
        <w:tab/>
      </w:r>
      <w:r>
        <w:t>Yes.  I have used the data included in the Annual report to the PUCO (</w:t>
      </w:r>
      <w:r w:rsidR="00A770CF">
        <w:t xml:space="preserve">or </w:t>
      </w:r>
      <w:r>
        <w:t xml:space="preserve">FERC Form 1) filed by all major Ohio EDUs to calculate their respective annual </w:t>
      </w:r>
      <w:r w:rsidR="00E957DB">
        <w:t>return on equity (“</w:t>
      </w:r>
      <w:r>
        <w:t>ROE</w:t>
      </w:r>
      <w:r w:rsidR="00E957DB">
        <w:t>”)</w:t>
      </w:r>
      <w:r>
        <w:t xml:space="preserve"> during this particular time period.  The results are summarized in Table 1.</w:t>
      </w:r>
    </w:p>
    <w:p w:rsidR="00401293" w:rsidRPr="000C28F0" w:rsidRDefault="00401293" w:rsidP="00401293">
      <w:pPr>
        <w:spacing w:line="480" w:lineRule="auto"/>
        <w:ind w:left="720" w:hanging="720"/>
        <w:jc w:val="center"/>
        <w:rPr>
          <w:b/>
          <w:sz w:val="20"/>
          <w:szCs w:val="20"/>
        </w:rPr>
      </w:pPr>
      <w:r w:rsidRPr="000C28F0">
        <w:rPr>
          <w:b/>
          <w:sz w:val="20"/>
          <w:szCs w:val="20"/>
        </w:rPr>
        <w:t>Table 1: Return on Equity of Major Ohio Electric Distribution Utilities (2004 – 2011)</w:t>
      </w:r>
    </w:p>
    <w:tbl>
      <w:tblPr>
        <w:tblW w:w="8925" w:type="dxa"/>
        <w:tblInd w:w="93" w:type="dxa"/>
        <w:tblLook w:val="04A0" w:firstRow="1" w:lastRow="0" w:firstColumn="1" w:lastColumn="0" w:noHBand="0" w:noVBand="1"/>
      </w:tblPr>
      <w:tblGrid>
        <w:gridCol w:w="1239"/>
        <w:gridCol w:w="1098"/>
        <w:gridCol w:w="931"/>
        <w:gridCol w:w="216"/>
        <w:gridCol w:w="702"/>
        <w:gridCol w:w="216"/>
        <w:gridCol w:w="722"/>
        <w:gridCol w:w="940"/>
        <w:gridCol w:w="920"/>
        <w:gridCol w:w="216"/>
        <w:gridCol w:w="764"/>
        <w:gridCol w:w="216"/>
        <w:gridCol w:w="806"/>
      </w:tblGrid>
      <w:tr w:rsidR="00401293" w:rsidRPr="00E957DB" w:rsidTr="00401293">
        <w:trPr>
          <w:trHeight w:val="351"/>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b/>
                <w:bCs/>
                <w:color w:val="000000"/>
                <w:sz w:val="20"/>
                <w:szCs w:val="20"/>
              </w:rPr>
            </w:pPr>
            <w:r w:rsidRPr="00186368">
              <w:rPr>
                <w:rFonts w:eastAsia="Times New Roman"/>
                <w:b/>
                <w:bCs/>
                <w:color w:val="000000"/>
                <w:sz w:val="20"/>
                <w:szCs w:val="20"/>
              </w:rPr>
              <w:t>UTILITIES</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b/>
                <w:bCs/>
                <w:color w:val="000000"/>
                <w:sz w:val="22"/>
                <w:szCs w:val="22"/>
              </w:rPr>
            </w:pPr>
            <w:r w:rsidRPr="00186368">
              <w:rPr>
                <w:rFonts w:eastAsia="Times New Roman"/>
                <w:b/>
                <w:bCs/>
                <w:color w:val="000000"/>
                <w:sz w:val="22"/>
                <w:szCs w:val="22"/>
              </w:rPr>
              <w:t>2011</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b/>
                <w:bCs/>
                <w:color w:val="000000"/>
                <w:sz w:val="22"/>
                <w:szCs w:val="22"/>
              </w:rPr>
            </w:pPr>
            <w:r w:rsidRPr="00186368">
              <w:rPr>
                <w:rFonts w:eastAsia="Times New Roman"/>
                <w:b/>
                <w:bCs/>
                <w:color w:val="000000"/>
                <w:sz w:val="22"/>
                <w:szCs w:val="22"/>
              </w:rPr>
              <w:t>2010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b/>
                <w:bCs/>
                <w:color w:val="000000"/>
                <w:sz w:val="22"/>
                <w:szCs w:val="22"/>
              </w:rPr>
            </w:pPr>
            <w:r w:rsidRPr="00186368">
              <w:rPr>
                <w:rFonts w:eastAsia="Times New Roman"/>
                <w:b/>
                <w:bCs/>
                <w:color w:val="000000"/>
                <w:sz w:val="22"/>
                <w:szCs w:val="22"/>
              </w:rPr>
              <w:t>2009</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b/>
                <w:bCs/>
                <w:color w:val="000000"/>
                <w:sz w:val="22"/>
                <w:szCs w:val="22"/>
              </w:rPr>
            </w:pPr>
            <w:r w:rsidRPr="00186368">
              <w:rPr>
                <w:rFonts w:eastAsia="Times New Roman"/>
                <w:b/>
                <w:bCs/>
                <w:color w:val="000000"/>
                <w:sz w:val="22"/>
                <w:szCs w:val="22"/>
              </w:rPr>
              <w:t>2008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b/>
                <w:bCs/>
                <w:color w:val="000000"/>
                <w:sz w:val="22"/>
                <w:szCs w:val="22"/>
              </w:rPr>
            </w:pPr>
            <w:r w:rsidRPr="00186368">
              <w:rPr>
                <w:rFonts w:eastAsia="Times New Roman"/>
                <w:b/>
                <w:bCs/>
                <w:color w:val="000000"/>
                <w:sz w:val="22"/>
                <w:szCs w:val="22"/>
              </w:rPr>
              <w:t>2007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b/>
                <w:bCs/>
                <w:color w:val="000000"/>
                <w:sz w:val="22"/>
                <w:szCs w:val="22"/>
              </w:rPr>
            </w:pPr>
            <w:r w:rsidRPr="00186368">
              <w:rPr>
                <w:rFonts w:eastAsia="Times New Roman"/>
                <w:b/>
                <w:bCs/>
                <w:color w:val="000000"/>
                <w:sz w:val="22"/>
                <w:szCs w:val="22"/>
              </w:rPr>
              <w:t>2006</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b/>
                <w:bCs/>
                <w:color w:val="000000"/>
                <w:sz w:val="22"/>
                <w:szCs w:val="22"/>
              </w:rPr>
            </w:pPr>
            <w:r w:rsidRPr="00186368">
              <w:rPr>
                <w:rFonts w:eastAsia="Times New Roman"/>
                <w:b/>
                <w:bCs/>
                <w:color w:val="000000"/>
                <w:sz w:val="22"/>
                <w:szCs w:val="22"/>
              </w:rPr>
              <w:t>2005</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b/>
                <w:bCs/>
                <w:color w:val="000000"/>
                <w:sz w:val="22"/>
                <w:szCs w:val="22"/>
              </w:rPr>
            </w:pPr>
            <w:r w:rsidRPr="00186368">
              <w:rPr>
                <w:rFonts w:eastAsia="Times New Roman"/>
                <w:b/>
                <w:bCs/>
                <w:color w:val="000000"/>
                <w:sz w:val="22"/>
                <w:szCs w:val="22"/>
              </w:rPr>
              <w:t>2004</w:t>
            </w:r>
          </w:p>
        </w:tc>
      </w:tr>
      <w:tr w:rsidR="00401293" w:rsidRPr="00E957DB" w:rsidTr="00401293">
        <w:trPr>
          <w:trHeight w:val="288"/>
        </w:trPr>
        <w:tc>
          <w:tcPr>
            <w:tcW w:w="11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01293" w:rsidRPr="00186368" w:rsidRDefault="00401293" w:rsidP="00401293">
            <w:pPr>
              <w:rPr>
                <w:rFonts w:eastAsia="Times New Roman"/>
                <w:b/>
                <w:bCs/>
                <w:color w:val="000000"/>
                <w:sz w:val="20"/>
                <w:szCs w:val="20"/>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401293" w:rsidRPr="00186368" w:rsidRDefault="00401293" w:rsidP="00401293">
            <w:pPr>
              <w:jc w:val="center"/>
              <w:rPr>
                <w:rFonts w:eastAsia="Times New Roman"/>
                <w:color w:val="000000"/>
                <w:sz w:val="22"/>
                <w:szCs w:val="22"/>
              </w:rPr>
            </w:pPr>
          </w:p>
        </w:tc>
        <w:tc>
          <w:tcPr>
            <w:tcW w:w="931" w:type="dxa"/>
            <w:tcBorders>
              <w:top w:val="single" w:sz="4" w:space="0" w:color="auto"/>
              <w:left w:val="nil"/>
              <w:bottom w:val="single" w:sz="4" w:space="0" w:color="auto"/>
              <w:right w:val="single" w:sz="4" w:space="0" w:color="auto"/>
            </w:tcBorders>
            <w:shd w:val="clear" w:color="000000" w:fill="FFFFFF"/>
            <w:noWrap/>
            <w:vAlign w:val="bottom"/>
            <w:hideMark/>
          </w:tcPr>
          <w:p w:rsidR="00401293" w:rsidRPr="00186368" w:rsidRDefault="00401293" w:rsidP="00401293">
            <w:pPr>
              <w:jc w:val="center"/>
              <w:rPr>
                <w:rFonts w:eastAsia="Times New Roman"/>
                <w:color w:val="000000"/>
                <w:sz w:val="22"/>
                <w:szCs w:val="22"/>
              </w:rPr>
            </w:pPr>
          </w:p>
        </w:tc>
        <w:tc>
          <w:tcPr>
            <w:tcW w:w="9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1293" w:rsidRPr="00186368" w:rsidRDefault="00401293" w:rsidP="00401293">
            <w:pPr>
              <w:jc w:val="center"/>
              <w:rPr>
                <w:rFonts w:eastAsia="Times New Roman"/>
                <w:color w:val="000000"/>
                <w:sz w:val="22"/>
                <w:szCs w:val="22"/>
              </w:rPr>
            </w:pPr>
          </w:p>
        </w:tc>
        <w:tc>
          <w:tcPr>
            <w:tcW w:w="93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1293" w:rsidRPr="00186368" w:rsidRDefault="00401293" w:rsidP="00401293">
            <w:pPr>
              <w:jc w:val="right"/>
              <w:rPr>
                <w:rFonts w:eastAsia="Times New Roman"/>
                <w:color w:val="000000"/>
                <w:sz w:val="22"/>
                <w:szCs w:val="22"/>
              </w:rPr>
            </w:pP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rsidR="00401293" w:rsidRPr="00186368" w:rsidRDefault="00401293" w:rsidP="00401293">
            <w:pPr>
              <w:jc w:val="center"/>
              <w:rPr>
                <w:rFonts w:eastAsia="Times New Roman"/>
                <w:color w:val="000000"/>
                <w:sz w:val="22"/>
                <w:szCs w:val="22"/>
              </w:rPr>
            </w:pPr>
          </w:p>
        </w:tc>
        <w:tc>
          <w:tcPr>
            <w:tcW w:w="920" w:type="dxa"/>
            <w:tcBorders>
              <w:top w:val="single" w:sz="4" w:space="0" w:color="auto"/>
              <w:left w:val="nil"/>
              <w:bottom w:val="single" w:sz="4" w:space="0" w:color="auto"/>
              <w:right w:val="single" w:sz="4" w:space="0" w:color="auto"/>
            </w:tcBorders>
            <w:shd w:val="clear" w:color="000000" w:fill="FFFFFF"/>
            <w:noWrap/>
            <w:vAlign w:val="bottom"/>
            <w:hideMark/>
          </w:tcPr>
          <w:p w:rsidR="00401293" w:rsidRPr="00186368" w:rsidRDefault="00401293" w:rsidP="00401293">
            <w:pPr>
              <w:jc w:val="center"/>
              <w:rPr>
                <w:rFonts w:eastAsia="Times New Roman"/>
                <w:color w:val="000000"/>
                <w:sz w:val="22"/>
                <w:szCs w:val="22"/>
              </w:rPr>
            </w:pPr>
          </w:p>
        </w:tc>
        <w:tc>
          <w:tcPr>
            <w:tcW w:w="9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1293" w:rsidRPr="00186368" w:rsidRDefault="00401293" w:rsidP="00401293">
            <w:pPr>
              <w:jc w:val="center"/>
              <w:rPr>
                <w:rFonts w:eastAsia="Times New Roman"/>
                <w:color w:val="000000"/>
                <w:sz w:val="22"/>
                <w:szCs w:val="22"/>
              </w:rPr>
            </w:pPr>
          </w:p>
        </w:tc>
        <w:tc>
          <w:tcPr>
            <w:tcW w:w="102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1293" w:rsidRPr="00186368" w:rsidRDefault="00401293" w:rsidP="00401293">
            <w:pPr>
              <w:jc w:val="center"/>
              <w:rPr>
                <w:rFonts w:eastAsia="Times New Roman"/>
                <w:color w:val="000000"/>
                <w:sz w:val="22"/>
                <w:szCs w:val="22"/>
              </w:rPr>
            </w:pPr>
          </w:p>
        </w:tc>
      </w:tr>
      <w:tr w:rsidR="00401293" w:rsidRPr="00E957DB" w:rsidTr="00401293">
        <w:trPr>
          <w:trHeight w:val="288"/>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rPr>
                <w:rFonts w:eastAsia="Times New Roman"/>
                <w:b/>
                <w:bCs/>
                <w:color w:val="000000"/>
                <w:sz w:val="20"/>
                <w:szCs w:val="20"/>
              </w:rPr>
            </w:pPr>
            <w:r w:rsidRPr="00186368">
              <w:rPr>
                <w:rFonts w:eastAsia="Times New Roman"/>
                <w:b/>
                <w:bCs/>
                <w:color w:val="000000"/>
                <w:sz w:val="20"/>
                <w:szCs w:val="20"/>
              </w:rPr>
              <w:t>CSP</w:t>
            </w:r>
          </w:p>
        </w:tc>
        <w:tc>
          <w:tcPr>
            <w:tcW w:w="1098" w:type="dxa"/>
            <w:tcBorders>
              <w:top w:val="nil"/>
              <w:left w:val="nil"/>
              <w:bottom w:val="single" w:sz="4" w:space="0" w:color="auto"/>
              <w:right w:val="single" w:sz="4" w:space="0" w:color="auto"/>
            </w:tcBorders>
            <w:shd w:val="clear" w:color="000000" w:fill="FFFFFF"/>
            <w:noWrap/>
            <w:vAlign w:val="bottom"/>
            <w:hideMark/>
          </w:tcPr>
          <w:p w:rsidR="00401293" w:rsidRPr="00186368" w:rsidRDefault="00401293" w:rsidP="00401293">
            <w:pPr>
              <w:jc w:val="center"/>
              <w:rPr>
                <w:rFonts w:eastAsia="Times New Roman"/>
                <w:color w:val="000000"/>
                <w:sz w:val="22"/>
                <w:szCs w:val="22"/>
              </w:rPr>
            </w:pPr>
          </w:p>
        </w:tc>
        <w:tc>
          <w:tcPr>
            <w:tcW w:w="931"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16.18%</w:t>
            </w:r>
          </w:p>
        </w:tc>
        <w:tc>
          <w:tcPr>
            <w:tcW w:w="918"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20.83%</w:t>
            </w:r>
          </w:p>
        </w:tc>
        <w:tc>
          <w:tcPr>
            <w:tcW w:w="938"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right"/>
              <w:rPr>
                <w:rFonts w:eastAsia="Times New Roman"/>
                <w:color w:val="000000"/>
                <w:sz w:val="22"/>
                <w:szCs w:val="22"/>
              </w:rPr>
            </w:pPr>
            <w:r w:rsidRPr="00186368">
              <w:rPr>
                <w:rFonts w:eastAsia="Times New Roman"/>
                <w:color w:val="000000"/>
                <w:sz w:val="22"/>
                <w:szCs w:val="22"/>
              </w:rPr>
              <w:t>19.63%</w:t>
            </w:r>
          </w:p>
        </w:tc>
        <w:tc>
          <w:tcPr>
            <w:tcW w:w="940"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23.19%</w:t>
            </w:r>
          </w:p>
        </w:tc>
        <w:tc>
          <w:tcPr>
            <w:tcW w:w="920"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18.19%</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14.57%</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15.62%</w:t>
            </w:r>
          </w:p>
        </w:tc>
      </w:tr>
      <w:tr w:rsidR="00401293" w:rsidRPr="00E957DB" w:rsidTr="00401293">
        <w:trPr>
          <w:trHeight w:val="288"/>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rPr>
                <w:rFonts w:eastAsia="Times New Roman"/>
                <w:b/>
                <w:bCs/>
                <w:color w:val="000000"/>
                <w:sz w:val="20"/>
                <w:szCs w:val="20"/>
              </w:rPr>
            </w:pPr>
            <w:r w:rsidRPr="00186368">
              <w:rPr>
                <w:rFonts w:eastAsia="Times New Roman"/>
                <w:b/>
                <w:bCs/>
                <w:color w:val="000000"/>
                <w:sz w:val="20"/>
                <w:szCs w:val="20"/>
              </w:rPr>
              <w:t>OP</w:t>
            </w:r>
          </w:p>
        </w:tc>
        <w:tc>
          <w:tcPr>
            <w:tcW w:w="1098" w:type="dxa"/>
            <w:tcBorders>
              <w:top w:val="nil"/>
              <w:left w:val="nil"/>
              <w:bottom w:val="single" w:sz="4" w:space="0" w:color="auto"/>
              <w:right w:val="single" w:sz="4" w:space="0" w:color="auto"/>
            </w:tcBorders>
            <w:shd w:val="clear" w:color="000000" w:fill="FFFFFF"/>
            <w:noWrap/>
            <w:vAlign w:val="bottom"/>
            <w:hideMark/>
          </w:tcPr>
          <w:p w:rsidR="00401293" w:rsidRPr="00186368" w:rsidRDefault="00401293" w:rsidP="00401293">
            <w:pPr>
              <w:jc w:val="center"/>
              <w:rPr>
                <w:rFonts w:eastAsia="Times New Roman"/>
                <w:color w:val="000000"/>
                <w:sz w:val="22"/>
                <w:szCs w:val="22"/>
              </w:rPr>
            </w:pPr>
          </w:p>
        </w:tc>
        <w:tc>
          <w:tcPr>
            <w:tcW w:w="931"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9.76%</w:t>
            </w:r>
          </w:p>
        </w:tc>
        <w:tc>
          <w:tcPr>
            <w:tcW w:w="918"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10.82%</w:t>
            </w:r>
          </w:p>
        </w:tc>
        <w:tc>
          <w:tcPr>
            <w:tcW w:w="938"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right"/>
              <w:rPr>
                <w:rFonts w:eastAsia="Times New Roman"/>
                <w:color w:val="000000"/>
                <w:sz w:val="22"/>
                <w:szCs w:val="22"/>
              </w:rPr>
            </w:pPr>
            <w:r w:rsidRPr="00186368">
              <w:rPr>
                <w:rFonts w:eastAsia="Times New Roman"/>
                <w:color w:val="000000"/>
                <w:sz w:val="22"/>
                <w:szCs w:val="22"/>
              </w:rPr>
              <w:t>9.78%</w:t>
            </w:r>
          </w:p>
        </w:tc>
        <w:tc>
          <w:tcPr>
            <w:tcW w:w="940"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12.46%</w:t>
            </w:r>
          </w:p>
        </w:tc>
        <w:tc>
          <w:tcPr>
            <w:tcW w:w="920"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12.07%</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15.12%</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14.25%</w:t>
            </w:r>
          </w:p>
        </w:tc>
      </w:tr>
      <w:tr w:rsidR="00401293" w:rsidRPr="00E957DB" w:rsidTr="00401293">
        <w:trPr>
          <w:trHeight w:val="288"/>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rPr>
                <w:rFonts w:eastAsia="Times New Roman"/>
                <w:b/>
                <w:bCs/>
                <w:color w:val="000000"/>
                <w:sz w:val="20"/>
                <w:szCs w:val="20"/>
              </w:rPr>
            </w:pPr>
            <w:r w:rsidRPr="00186368">
              <w:rPr>
                <w:rFonts w:eastAsia="Times New Roman"/>
                <w:b/>
                <w:bCs/>
                <w:color w:val="000000"/>
                <w:sz w:val="20"/>
                <w:szCs w:val="20"/>
              </w:rPr>
              <w:t>Duke</w:t>
            </w:r>
          </w:p>
        </w:tc>
        <w:tc>
          <w:tcPr>
            <w:tcW w:w="1098" w:type="dxa"/>
            <w:tcBorders>
              <w:top w:val="nil"/>
              <w:left w:val="nil"/>
              <w:bottom w:val="single" w:sz="4" w:space="0" w:color="auto"/>
              <w:right w:val="single" w:sz="4" w:space="0" w:color="auto"/>
            </w:tcBorders>
            <w:shd w:val="clear" w:color="000000" w:fill="FFFFFF"/>
            <w:noWrap/>
            <w:vAlign w:val="bottom"/>
            <w:hideMark/>
          </w:tcPr>
          <w:p w:rsidR="00401293" w:rsidRPr="00186368" w:rsidRDefault="00401293" w:rsidP="00401293">
            <w:pPr>
              <w:jc w:val="center"/>
              <w:rPr>
                <w:rFonts w:eastAsia="Times New Roman"/>
                <w:color w:val="000000"/>
                <w:sz w:val="22"/>
                <w:szCs w:val="22"/>
              </w:rPr>
            </w:pPr>
          </w:p>
        </w:tc>
        <w:tc>
          <w:tcPr>
            <w:tcW w:w="931"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-7.76%</w:t>
            </w:r>
          </w:p>
        </w:tc>
        <w:tc>
          <w:tcPr>
            <w:tcW w:w="918"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-6.79%</w:t>
            </w:r>
          </w:p>
        </w:tc>
        <w:tc>
          <w:tcPr>
            <w:tcW w:w="938"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right"/>
              <w:rPr>
                <w:rFonts w:eastAsia="Times New Roman"/>
                <w:color w:val="000000"/>
                <w:sz w:val="22"/>
                <w:szCs w:val="22"/>
              </w:rPr>
            </w:pPr>
            <w:r w:rsidRPr="00186368">
              <w:rPr>
                <w:rFonts w:eastAsia="Times New Roman"/>
                <w:color w:val="000000"/>
                <w:sz w:val="22"/>
                <w:szCs w:val="22"/>
              </w:rPr>
              <w:t>4.35%</w:t>
            </w:r>
          </w:p>
        </w:tc>
        <w:tc>
          <w:tcPr>
            <w:tcW w:w="940"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4.08%</w:t>
            </w:r>
          </w:p>
        </w:tc>
        <w:tc>
          <w:tcPr>
            <w:tcW w:w="920"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4.09%</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15.26%</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13.39%</w:t>
            </w:r>
          </w:p>
        </w:tc>
      </w:tr>
      <w:tr w:rsidR="00401293" w:rsidRPr="00E957DB" w:rsidTr="00401293">
        <w:trPr>
          <w:trHeight w:val="288"/>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rPr>
                <w:rFonts w:eastAsia="Times New Roman"/>
                <w:b/>
                <w:bCs/>
                <w:color w:val="000000"/>
                <w:sz w:val="20"/>
                <w:szCs w:val="20"/>
              </w:rPr>
            </w:pPr>
            <w:r w:rsidRPr="00186368">
              <w:rPr>
                <w:rFonts w:eastAsia="Times New Roman"/>
                <w:b/>
                <w:bCs/>
                <w:color w:val="000000"/>
                <w:sz w:val="20"/>
                <w:szCs w:val="20"/>
              </w:rPr>
              <w:t>CEI</w:t>
            </w:r>
          </w:p>
        </w:tc>
        <w:tc>
          <w:tcPr>
            <w:tcW w:w="1098" w:type="dxa"/>
            <w:tcBorders>
              <w:top w:val="nil"/>
              <w:left w:val="nil"/>
              <w:bottom w:val="single" w:sz="4" w:space="0" w:color="auto"/>
              <w:right w:val="single" w:sz="4" w:space="0" w:color="auto"/>
            </w:tcBorders>
            <w:shd w:val="clear" w:color="000000" w:fill="FFFFFF"/>
            <w:noWrap/>
            <w:vAlign w:val="bottom"/>
            <w:hideMark/>
          </w:tcPr>
          <w:p w:rsidR="00401293" w:rsidRPr="00186368" w:rsidRDefault="00401293" w:rsidP="00401293">
            <w:pPr>
              <w:jc w:val="center"/>
              <w:rPr>
                <w:rFonts w:eastAsia="Times New Roman"/>
                <w:color w:val="000000"/>
                <w:sz w:val="22"/>
                <w:szCs w:val="22"/>
              </w:rPr>
            </w:pPr>
          </w:p>
        </w:tc>
        <w:tc>
          <w:tcPr>
            <w:tcW w:w="931"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5.80%</w:t>
            </w:r>
          </w:p>
        </w:tc>
        <w:tc>
          <w:tcPr>
            <w:tcW w:w="918"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-0.86%</w:t>
            </w:r>
          </w:p>
        </w:tc>
        <w:tc>
          <w:tcPr>
            <w:tcW w:w="938"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right"/>
              <w:rPr>
                <w:rFonts w:eastAsia="Times New Roman"/>
                <w:color w:val="000000"/>
                <w:sz w:val="22"/>
                <w:szCs w:val="22"/>
              </w:rPr>
            </w:pPr>
            <w:r w:rsidRPr="00186368">
              <w:rPr>
                <w:rFonts w:eastAsia="Times New Roman"/>
                <w:color w:val="000000"/>
                <w:sz w:val="22"/>
                <w:szCs w:val="22"/>
              </w:rPr>
              <w:t>18.39%</w:t>
            </w:r>
          </w:p>
        </w:tc>
        <w:tc>
          <w:tcPr>
            <w:tcW w:w="940"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18.68%</w:t>
            </w:r>
          </w:p>
        </w:tc>
        <w:tc>
          <w:tcPr>
            <w:tcW w:w="920"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17.95%</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11.89%</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12.64%</w:t>
            </w:r>
          </w:p>
        </w:tc>
      </w:tr>
      <w:tr w:rsidR="00401293" w:rsidRPr="00E957DB" w:rsidTr="00401293">
        <w:trPr>
          <w:trHeight w:val="288"/>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rPr>
                <w:rFonts w:eastAsia="Times New Roman"/>
                <w:b/>
                <w:bCs/>
                <w:color w:val="000000"/>
                <w:sz w:val="20"/>
                <w:szCs w:val="20"/>
              </w:rPr>
            </w:pPr>
            <w:r w:rsidRPr="00186368">
              <w:rPr>
                <w:rFonts w:eastAsia="Times New Roman"/>
                <w:b/>
                <w:bCs/>
                <w:color w:val="000000"/>
                <w:sz w:val="20"/>
                <w:szCs w:val="20"/>
              </w:rPr>
              <w:t>Ohio Edison</w:t>
            </w:r>
          </w:p>
        </w:tc>
        <w:tc>
          <w:tcPr>
            <w:tcW w:w="1098" w:type="dxa"/>
            <w:tcBorders>
              <w:top w:val="nil"/>
              <w:left w:val="nil"/>
              <w:bottom w:val="single" w:sz="4" w:space="0" w:color="auto"/>
              <w:right w:val="single" w:sz="4" w:space="0" w:color="auto"/>
            </w:tcBorders>
            <w:shd w:val="clear" w:color="000000" w:fill="FFFFFF"/>
            <w:noWrap/>
            <w:vAlign w:val="bottom"/>
            <w:hideMark/>
          </w:tcPr>
          <w:p w:rsidR="00401293" w:rsidRPr="00186368" w:rsidRDefault="00401293" w:rsidP="00401293">
            <w:pPr>
              <w:jc w:val="center"/>
              <w:rPr>
                <w:rFonts w:eastAsia="Times New Roman"/>
                <w:color w:val="000000"/>
                <w:sz w:val="22"/>
                <w:szCs w:val="22"/>
              </w:rPr>
            </w:pPr>
          </w:p>
        </w:tc>
        <w:tc>
          <w:tcPr>
            <w:tcW w:w="931"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16.24%</w:t>
            </w:r>
          </w:p>
        </w:tc>
        <w:tc>
          <w:tcPr>
            <w:tcW w:w="918"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10.53%</w:t>
            </w:r>
          </w:p>
        </w:tc>
        <w:tc>
          <w:tcPr>
            <w:tcW w:w="938"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right"/>
              <w:rPr>
                <w:rFonts w:eastAsia="Times New Roman"/>
                <w:color w:val="000000"/>
                <w:sz w:val="22"/>
                <w:szCs w:val="22"/>
              </w:rPr>
            </w:pPr>
            <w:r w:rsidRPr="00186368">
              <w:rPr>
                <w:rFonts w:eastAsia="Times New Roman"/>
                <w:color w:val="000000"/>
                <w:sz w:val="22"/>
                <w:szCs w:val="22"/>
              </w:rPr>
              <w:t>14.75%</w:t>
            </w:r>
          </w:p>
        </w:tc>
        <w:tc>
          <w:tcPr>
            <w:tcW w:w="940"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11.11%</w:t>
            </w:r>
          </w:p>
        </w:tc>
        <w:tc>
          <w:tcPr>
            <w:tcW w:w="920"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9.38%</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12.47%</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13.41%</w:t>
            </w:r>
          </w:p>
        </w:tc>
      </w:tr>
      <w:tr w:rsidR="00401293" w:rsidRPr="00E957DB" w:rsidTr="00401293">
        <w:trPr>
          <w:trHeight w:val="288"/>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401293" w:rsidRPr="00186368" w:rsidRDefault="00401293" w:rsidP="00401293">
            <w:pPr>
              <w:rPr>
                <w:rFonts w:eastAsia="Times New Roman"/>
                <w:b/>
                <w:bCs/>
                <w:color w:val="000000"/>
                <w:sz w:val="20"/>
                <w:szCs w:val="20"/>
              </w:rPr>
            </w:pPr>
            <w:r w:rsidRPr="00186368">
              <w:rPr>
                <w:rFonts w:eastAsia="Times New Roman"/>
                <w:b/>
                <w:bCs/>
                <w:color w:val="000000"/>
                <w:sz w:val="20"/>
                <w:szCs w:val="20"/>
              </w:rPr>
              <w:t>Toledo Edison</w:t>
            </w:r>
          </w:p>
        </w:tc>
        <w:tc>
          <w:tcPr>
            <w:tcW w:w="1098" w:type="dxa"/>
            <w:tcBorders>
              <w:top w:val="nil"/>
              <w:left w:val="nil"/>
              <w:bottom w:val="single" w:sz="4" w:space="0" w:color="auto"/>
              <w:right w:val="single" w:sz="4" w:space="0" w:color="auto"/>
            </w:tcBorders>
            <w:shd w:val="clear" w:color="000000" w:fill="FFFFFF"/>
            <w:noWrap/>
            <w:vAlign w:val="bottom"/>
            <w:hideMark/>
          </w:tcPr>
          <w:p w:rsidR="00401293" w:rsidRPr="00186368" w:rsidRDefault="00401293" w:rsidP="00401293">
            <w:pPr>
              <w:jc w:val="center"/>
              <w:rPr>
                <w:rFonts w:eastAsia="Times New Roman"/>
                <w:color w:val="000000"/>
                <w:sz w:val="22"/>
                <w:szCs w:val="22"/>
              </w:rPr>
            </w:pPr>
          </w:p>
        </w:tc>
        <w:tc>
          <w:tcPr>
            <w:tcW w:w="931"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8.45%</w:t>
            </w:r>
          </w:p>
        </w:tc>
        <w:tc>
          <w:tcPr>
            <w:tcW w:w="918"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4.95%</w:t>
            </w:r>
          </w:p>
        </w:tc>
        <w:tc>
          <w:tcPr>
            <w:tcW w:w="938"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right"/>
              <w:rPr>
                <w:rFonts w:eastAsia="Times New Roman"/>
                <w:color w:val="000000"/>
                <w:sz w:val="22"/>
                <w:szCs w:val="22"/>
              </w:rPr>
            </w:pPr>
            <w:r w:rsidRPr="00186368">
              <w:rPr>
                <w:rFonts w:eastAsia="Times New Roman"/>
                <w:color w:val="000000"/>
                <w:sz w:val="22"/>
                <w:szCs w:val="22"/>
              </w:rPr>
              <w:t>15.52%</w:t>
            </w:r>
          </w:p>
        </w:tc>
        <w:tc>
          <w:tcPr>
            <w:tcW w:w="940"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18.87%</w:t>
            </w:r>
          </w:p>
        </w:tc>
        <w:tc>
          <w:tcPr>
            <w:tcW w:w="920" w:type="dxa"/>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14.10%</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7.91%</w:t>
            </w:r>
          </w:p>
        </w:tc>
        <w:tc>
          <w:tcPr>
            <w:tcW w:w="1022" w:type="dxa"/>
            <w:gridSpan w:val="2"/>
            <w:tcBorders>
              <w:top w:val="nil"/>
              <w:left w:val="nil"/>
              <w:bottom w:val="single" w:sz="4" w:space="0" w:color="auto"/>
              <w:right w:val="single" w:sz="4" w:space="0" w:color="auto"/>
            </w:tcBorders>
            <w:shd w:val="clear" w:color="auto" w:fill="auto"/>
            <w:noWrap/>
            <w:vAlign w:val="bottom"/>
            <w:hideMark/>
          </w:tcPr>
          <w:p w:rsidR="00401293" w:rsidRPr="00186368" w:rsidRDefault="00401293" w:rsidP="00401293">
            <w:pPr>
              <w:jc w:val="center"/>
              <w:rPr>
                <w:rFonts w:eastAsia="Times New Roman"/>
                <w:color w:val="000000"/>
                <w:sz w:val="22"/>
                <w:szCs w:val="22"/>
              </w:rPr>
            </w:pPr>
            <w:r w:rsidRPr="00186368">
              <w:rPr>
                <w:rFonts w:eastAsia="Times New Roman"/>
                <w:color w:val="000000"/>
                <w:sz w:val="22"/>
                <w:szCs w:val="22"/>
              </w:rPr>
              <w:t>9.60%</w:t>
            </w:r>
          </w:p>
        </w:tc>
      </w:tr>
      <w:tr w:rsidR="00401293" w:rsidRPr="00E957DB" w:rsidTr="00401293">
        <w:trPr>
          <w:gridAfter w:val="1"/>
          <w:wAfter w:w="806" w:type="dxa"/>
          <w:trHeight w:val="288"/>
        </w:trPr>
        <w:tc>
          <w:tcPr>
            <w:tcW w:w="4341" w:type="dxa"/>
            <w:gridSpan w:val="6"/>
            <w:tcBorders>
              <w:top w:val="nil"/>
              <w:left w:val="nil"/>
              <w:bottom w:val="nil"/>
              <w:right w:val="nil"/>
            </w:tcBorders>
            <w:shd w:val="clear" w:color="auto" w:fill="auto"/>
            <w:noWrap/>
            <w:vAlign w:val="bottom"/>
            <w:hideMark/>
          </w:tcPr>
          <w:p w:rsidR="00401293" w:rsidRPr="00186368" w:rsidRDefault="00401293" w:rsidP="00401293">
            <w:pPr>
              <w:rPr>
                <w:rFonts w:eastAsia="Times New Roman"/>
                <w:color w:val="000000"/>
                <w:sz w:val="22"/>
                <w:szCs w:val="22"/>
              </w:rPr>
            </w:pPr>
            <w:r w:rsidRPr="00186368">
              <w:rPr>
                <w:rFonts w:eastAsia="Times New Roman"/>
                <w:color w:val="000000"/>
                <w:sz w:val="22"/>
                <w:szCs w:val="22"/>
              </w:rPr>
              <w:t>*: Merged with OP at the end of 2011.</w:t>
            </w:r>
          </w:p>
        </w:tc>
        <w:tc>
          <w:tcPr>
            <w:tcW w:w="722" w:type="dxa"/>
            <w:tcBorders>
              <w:top w:val="nil"/>
              <w:left w:val="nil"/>
              <w:bottom w:val="nil"/>
              <w:right w:val="nil"/>
            </w:tcBorders>
            <w:shd w:val="clear" w:color="auto" w:fill="auto"/>
            <w:noWrap/>
            <w:vAlign w:val="bottom"/>
            <w:hideMark/>
          </w:tcPr>
          <w:p w:rsidR="00401293" w:rsidRPr="00186368" w:rsidRDefault="00401293" w:rsidP="00401293">
            <w:pPr>
              <w:rPr>
                <w:rFonts w:eastAsia="Times New Roman"/>
                <w:color w:val="000000"/>
                <w:sz w:val="22"/>
                <w:szCs w:val="22"/>
              </w:rPr>
            </w:pPr>
          </w:p>
        </w:tc>
        <w:tc>
          <w:tcPr>
            <w:tcW w:w="940" w:type="dxa"/>
            <w:tcBorders>
              <w:top w:val="nil"/>
              <w:left w:val="nil"/>
              <w:bottom w:val="nil"/>
              <w:right w:val="nil"/>
            </w:tcBorders>
            <w:shd w:val="clear" w:color="auto" w:fill="auto"/>
            <w:noWrap/>
            <w:vAlign w:val="bottom"/>
            <w:hideMark/>
          </w:tcPr>
          <w:p w:rsidR="00401293" w:rsidRPr="00186368" w:rsidRDefault="00401293" w:rsidP="00401293">
            <w:pPr>
              <w:rPr>
                <w:rFonts w:eastAsia="Times New Roman"/>
                <w:color w:val="000000"/>
                <w:sz w:val="22"/>
                <w:szCs w:val="22"/>
              </w:rPr>
            </w:pPr>
          </w:p>
        </w:tc>
        <w:tc>
          <w:tcPr>
            <w:tcW w:w="1136" w:type="dxa"/>
            <w:gridSpan w:val="2"/>
            <w:tcBorders>
              <w:top w:val="nil"/>
              <w:left w:val="nil"/>
              <w:bottom w:val="nil"/>
              <w:right w:val="nil"/>
            </w:tcBorders>
            <w:shd w:val="clear" w:color="auto" w:fill="auto"/>
            <w:noWrap/>
            <w:vAlign w:val="bottom"/>
            <w:hideMark/>
          </w:tcPr>
          <w:p w:rsidR="00401293" w:rsidRPr="00186368" w:rsidRDefault="00401293" w:rsidP="00401293">
            <w:pPr>
              <w:rPr>
                <w:rFonts w:eastAsia="Times New Roman"/>
                <w:color w:val="000000"/>
                <w:sz w:val="22"/>
                <w:szCs w:val="22"/>
              </w:rPr>
            </w:pPr>
          </w:p>
        </w:tc>
        <w:tc>
          <w:tcPr>
            <w:tcW w:w="980" w:type="dxa"/>
            <w:gridSpan w:val="2"/>
            <w:tcBorders>
              <w:top w:val="nil"/>
              <w:left w:val="nil"/>
              <w:bottom w:val="nil"/>
              <w:right w:val="nil"/>
            </w:tcBorders>
            <w:shd w:val="clear" w:color="auto" w:fill="auto"/>
            <w:noWrap/>
            <w:vAlign w:val="bottom"/>
            <w:hideMark/>
          </w:tcPr>
          <w:p w:rsidR="00401293" w:rsidRPr="00186368" w:rsidRDefault="00401293" w:rsidP="00401293">
            <w:pPr>
              <w:rPr>
                <w:rFonts w:eastAsia="Times New Roman"/>
                <w:color w:val="000000"/>
                <w:sz w:val="22"/>
                <w:szCs w:val="22"/>
              </w:rPr>
            </w:pPr>
          </w:p>
        </w:tc>
      </w:tr>
      <w:tr w:rsidR="00401293" w:rsidRPr="00E957DB" w:rsidTr="00401293">
        <w:trPr>
          <w:gridAfter w:val="1"/>
          <w:wAfter w:w="806" w:type="dxa"/>
          <w:trHeight w:val="288"/>
        </w:trPr>
        <w:tc>
          <w:tcPr>
            <w:tcW w:w="3423" w:type="dxa"/>
            <w:gridSpan w:val="4"/>
            <w:tcBorders>
              <w:top w:val="nil"/>
              <w:left w:val="nil"/>
              <w:bottom w:val="nil"/>
              <w:right w:val="nil"/>
            </w:tcBorders>
            <w:shd w:val="clear" w:color="auto" w:fill="auto"/>
            <w:noWrap/>
            <w:vAlign w:val="bottom"/>
            <w:hideMark/>
          </w:tcPr>
          <w:p w:rsidR="00401293" w:rsidRDefault="00401293" w:rsidP="00401293">
            <w:pPr>
              <w:rPr>
                <w:rFonts w:eastAsia="Times New Roman"/>
                <w:color w:val="000000"/>
                <w:sz w:val="22"/>
                <w:szCs w:val="22"/>
              </w:rPr>
            </w:pPr>
            <w:r w:rsidRPr="00186368">
              <w:rPr>
                <w:rFonts w:eastAsia="Times New Roman"/>
                <w:color w:val="000000"/>
                <w:sz w:val="22"/>
                <w:szCs w:val="22"/>
              </w:rPr>
              <w:t>**: ROE of the merged OP</w:t>
            </w:r>
          </w:p>
          <w:p w:rsidR="00E957DB" w:rsidRPr="00186368" w:rsidRDefault="00E957DB" w:rsidP="00401293">
            <w:pPr>
              <w:rPr>
                <w:rFonts w:eastAsia="Times New Roman"/>
                <w:color w:val="000000"/>
                <w:sz w:val="22"/>
                <w:szCs w:val="22"/>
              </w:rPr>
            </w:pPr>
          </w:p>
        </w:tc>
        <w:tc>
          <w:tcPr>
            <w:tcW w:w="918" w:type="dxa"/>
            <w:gridSpan w:val="2"/>
            <w:tcBorders>
              <w:top w:val="nil"/>
              <w:left w:val="nil"/>
              <w:bottom w:val="nil"/>
              <w:right w:val="nil"/>
            </w:tcBorders>
            <w:shd w:val="clear" w:color="auto" w:fill="auto"/>
            <w:noWrap/>
            <w:vAlign w:val="bottom"/>
            <w:hideMark/>
          </w:tcPr>
          <w:p w:rsidR="00401293" w:rsidRPr="00186368" w:rsidRDefault="00401293" w:rsidP="00401293">
            <w:pPr>
              <w:rPr>
                <w:rFonts w:eastAsia="Times New Roman"/>
                <w:color w:val="000000"/>
                <w:sz w:val="22"/>
                <w:szCs w:val="22"/>
              </w:rPr>
            </w:pPr>
          </w:p>
        </w:tc>
        <w:tc>
          <w:tcPr>
            <w:tcW w:w="722" w:type="dxa"/>
            <w:tcBorders>
              <w:top w:val="nil"/>
              <w:left w:val="nil"/>
              <w:bottom w:val="nil"/>
              <w:right w:val="nil"/>
            </w:tcBorders>
            <w:shd w:val="clear" w:color="auto" w:fill="auto"/>
            <w:noWrap/>
            <w:vAlign w:val="bottom"/>
            <w:hideMark/>
          </w:tcPr>
          <w:p w:rsidR="00401293" w:rsidRPr="00186368" w:rsidRDefault="00401293" w:rsidP="00401293">
            <w:pPr>
              <w:rPr>
                <w:rFonts w:eastAsia="Times New Roman"/>
                <w:color w:val="000000"/>
                <w:sz w:val="22"/>
                <w:szCs w:val="22"/>
              </w:rPr>
            </w:pPr>
          </w:p>
        </w:tc>
        <w:tc>
          <w:tcPr>
            <w:tcW w:w="940" w:type="dxa"/>
            <w:tcBorders>
              <w:top w:val="nil"/>
              <w:left w:val="nil"/>
              <w:bottom w:val="nil"/>
              <w:right w:val="nil"/>
            </w:tcBorders>
            <w:shd w:val="clear" w:color="auto" w:fill="auto"/>
            <w:noWrap/>
            <w:vAlign w:val="bottom"/>
            <w:hideMark/>
          </w:tcPr>
          <w:p w:rsidR="00401293" w:rsidRPr="00186368" w:rsidRDefault="00401293" w:rsidP="00401293">
            <w:pPr>
              <w:rPr>
                <w:rFonts w:eastAsia="Times New Roman"/>
                <w:color w:val="000000"/>
                <w:sz w:val="22"/>
                <w:szCs w:val="22"/>
              </w:rPr>
            </w:pPr>
          </w:p>
        </w:tc>
        <w:tc>
          <w:tcPr>
            <w:tcW w:w="1136" w:type="dxa"/>
            <w:gridSpan w:val="2"/>
            <w:tcBorders>
              <w:top w:val="nil"/>
              <w:left w:val="nil"/>
              <w:bottom w:val="nil"/>
              <w:right w:val="nil"/>
            </w:tcBorders>
            <w:shd w:val="clear" w:color="auto" w:fill="auto"/>
            <w:noWrap/>
            <w:vAlign w:val="bottom"/>
            <w:hideMark/>
          </w:tcPr>
          <w:p w:rsidR="00401293" w:rsidRPr="00186368" w:rsidRDefault="00401293" w:rsidP="00401293">
            <w:pPr>
              <w:rPr>
                <w:rFonts w:eastAsia="Times New Roman"/>
                <w:color w:val="000000"/>
                <w:sz w:val="22"/>
                <w:szCs w:val="22"/>
              </w:rPr>
            </w:pPr>
          </w:p>
        </w:tc>
        <w:tc>
          <w:tcPr>
            <w:tcW w:w="980" w:type="dxa"/>
            <w:gridSpan w:val="2"/>
            <w:tcBorders>
              <w:top w:val="nil"/>
              <w:left w:val="nil"/>
              <w:bottom w:val="nil"/>
              <w:right w:val="nil"/>
            </w:tcBorders>
            <w:shd w:val="clear" w:color="auto" w:fill="auto"/>
            <w:noWrap/>
            <w:vAlign w:val="bottom"/>
            <w:hideMark/>
          </w:tcPr>
          <w:p w:rsidR="00401293" w:rsidRPr="00186368" w:rsidRDefault="00401293" w:rsidP="00401293">
            <w:pPr>
              <w:rPr>
                <w:rFonts w:eastAsia="Times New Roman"/>
                <w:color w:val="000000"/>
                <w:sz w:val="22"/>
                <w:szCs w:val="22"/>
              </w:rPr>
            </w:pPr>
          </w:p>
        </w:tc>
      </w:tr>
    </w:tbl>
    <w:p w:rsidR="00401293" w:rsidRDefault="00401293" w:rsidP="00401293">
      <w:pPr>
        <w:autoSpaceDE w:val="0"/>
        <w:autoSpaceDN w:val="0"/>
        <w:adjustRightInd w:val="0"/>
        <w:spacing w:line="480" w:lineRule="auto"/>
        <w:ind w:left="720" w:hanging="720"/>
      </w:pPr>
    </w:p>
    <w:p w:rsidR="00401293" w:rsidRDefault="00401293" w:rsidP="00401293">
      <w:pPr>
        <w:spacing w:line="480" w:lineRule="auto"/>
        <w:ind w:left="720" w:hanging="720"/>
      </w:pPr>
      <w:r w:rsidRPr="00795B74">
        <w:rPr>
          <w:b/>
          <w:i/>
        </w:rPr>
        <w:t>Q</w:t>
      </w:r>
      <w:r>
        <w:rPr>
          <w:b/>
          <w:i/>
        </w:rPr>
        <w:t>1</w:t>
      </w:r>
      <w:r w:rsidR="00D366E4">
        <w:rPr>
          <w:b/>
          <w:i/>
        </w:rPr>
        <w:t>8</w:t>
      </w:r>
      <w:r w:rsidRPr="00795B74">
        <w:rPr>
          <w:b/>
          <w:i/>
        </w:rPr>
        <w:t>.</w:t>
      </w:r>
      <w:r w:rsidRPr="00795B74">
        <w:rPr>
          <w:b/>
          <w:i/>
        </w:rPr>
        <w:tab/>
      </w:r>
      <w:r>
        <w:rPr>
          <w:b/>
          <w:i/>
        </w:rPr>
        <w:t>WHAT WAS DP&amp;L’S RETURN ON EQUITY FOR 2008?</w:t>
      </w:r>
    </w:p>
    <w:p w:rsidR="00BD5813" w:rsidRDefault="00401293" w:rsidP="00263A27">
      <w:pPr>
        <w:spacing w:line="480" w:lineRule="auto"/>
        <w:ind w:left="720" w:hanging="720"/>
      </w:pPr>
      <w:r w:rsidRPr="005B0A8C">
        <w:rPr>
          <w:b/>
          <w:i/>
        </w:rPr>
        <w:t>A</w:t>
      </w:r>
      <w:r>
        <w:rPr>
          <w:b/>
          <w:i/>
        </w:rPr>
        <w:t>1</w:t>
      </w:r>
      <w:r w:rsidR="00D366E4">
        <w:rPr>
          <w:b/>
          <w:i/>
        </w:rPr>
        <w:t>8</w:t>
      </w:r>
      <w:r w:rsidRPr="005B0A8C">
        <w:rPr>
          <w:b/>
          <w:i/>
        </w:rPr>
        <w:t>.</w:t>
      </w:r>
      <w:r>
        <w:tab/>
      </w:r>
      <w:r w:rsidR="00E43C70">
        <w:t>In 2008, DP&amp;L had a net income of $285.8 million</w:t>
      </w:r>
      <w:r w:rsidR="00677581">
        <w:t>, a preferred dividend of $0.9 million,</w:t>
      </w:r>
      <w:r w:rsidR="00E43C70">
        <w:t xml:space="preserve"> and average shareholder equity of $1,422.1 million</w:t>
      </w:r>
      <w:r w:rsidR="008F52C6">
        <w:t>, yielding</w:t>
      </w:r>
      <w:r>
        <w:t xml:space="preserve"> </w:t>
      </w:r>
      <w:r w:rsidR="008F52C6">
        <w:t xml:space="preserve">a </w:t>
      </w:r>
      <w:r>
        <w:t xml:space="preserve">20.04% </w:t>
      </w:r>
      <w:r w:rsidR="008F52C6">
        <w:t>return on equity</w:t>
      </w:r>
      <w:r w:rsidR="00E43C70">
        <w:t>.</w:t>
      </w:r>
    </w:p>
    <w:p w:rsidR="00677581" w:rsidRDefault="00677581" w:rsidP="00BF62FB">
      <w:pPr>
        <w:spacing w:line="480" w:lineRule="auto"/>
        <w:ind w:left="720" w:hanging="720"/>
        <w:rPr>
          <w:b/>
          <w:bCs/>
          <w:i/>
          <w:iCs/>
        </w:rPr>
      </w:pPr>
    </w:p>
    <w:p w:rsidR="00BD5813" w:rsidRDefault="00BD5813" w:rsidP="00BF62FB">
      <w:pPr>
        <w:spacing w:line="480" w:lineRule="auto"/>
        <w:ind w:left="720" w:hanging="720"/>
        <w:rPr>
          <w:b/>
          <w:bCs/>
          <w:i/>
          <w:iCs/>
        </w:rPr>
      </w:pPr>
      <w:r>
        <w:rPr>
          <w:b/>
          <w:bCs/>
          <w:i/>
          <w:iCs/>
        </w:rPr>
        <w:t>Q1</w:t>
      </w:r>
      <w:r w:rsidR="00D366E4">
        <w:rPr>
          <w:b/>
          <w:bCs/>
          <w:i/>
          <w:iCs/>
        </w:rPr>
        <w:t>9</w:t>
      </w:r>
      <w:r>
        <w:rPr>
          <w:b/>
          <w:bCs/>
          <w:i/>
          <w:iCs/>
        </w:rPr>
        <w:t>.</w:t>
      </w:r>
      <w:r>
        <w:rPr>
          <w:b/>
          <w:bCs/>
          <w:i/>
          <w:iCs/>
        </w:rPr>
        <w:tab/>
      </w:r>
      <w:r w:rsidR="00190A23">
        <w:rPr>
          <w:b/>
          <w:bCs/>
          <w:i/>
          <w:iCs/>
        </w:rPr>
        <w:t>IF</w:t>
      </w:r>
      <w:r w:rsidR="001E0C78">
        <w:rPr>
          <w:b/>
          <w:bCs/>
          <w:i/>
          <w:iCs/>
        </w:rPr>
        <w:t xml:space="preserve"> </w:t>
      </w:r>
      <w:r>
        <w:rPr>
          <w:b/>
          <w:bCs/>
          <w:i/>
          <w:iCs/>
        </w:rPr>
        <w:t xml:space="preserve">DP&amp;L </w:t>
      </w:r>
      <w:r w:rsidR="00190A23">
        <w:rPr>
          <w:b/>
          <w:bCs/>
          <w:i/>
          <w:iCs/>
        </w:rPr>
        <w:t xml:space="preserve">HAD </w:t>
      </w:r>
      <w:r>
        <w:rPr>
          <w:b/>
          <w:bCs/>
          <w:i/>
          <w:iCs/>
        </w:rPr>
        <w:t xml:space="preserve">EXPENSED ITS 2008 STORM-RELATED </w:t>
      </w:r>
      <w:r w:rsidR="008F52C6">
        <w:rPr>
          <w:b/>
          <w:bCs/>
          <w:i/>
          <w:iCs/>
        </w:rPr>
        <w:t>COST</w:t>
      </w:r>
      <w:r w:rsidR="00A00192">
        <w:rPr>
          <w:b/>
          <w:bCs/>
          <w:i/>
          <w:iCs/>
        </w:rPr>
        <w:t>S</w:t>
      </w:r>
      <w:r w:rsidR="00C71A96">
        <w:rPr>
          <w:b/>
          <w:bCs/>
          <w:i/>
          <w:iCs/>
        </w:rPr>
        <w:t xml:space="preserve"> </w:t>
      </w:r>
      <w:r>
        <w:rPr>
          <w:b/>
          <w:bCs/>
          <w:i/>
          <w:iCs/>
        </w:rPr>
        <w:t xml:space="preserve">IN ITS NORMAL COURSE OF BUSINESS, </w:t>
      </w:r>
      <w:r w:rsidR="008F52C6">
        <w:rPr>
          <w:b/>
          <w:bCs/>
          <w:i/>
          <w:iCs/>
        </w:rPr>
        <w:t xml:space="preserve">HOW </w:t>
      </w:r>
      <w:r>
        <w:rPr>
          <w:b/>
          <w:bCs/>
          <w:i/>
          <w:iCs/>
        </w:rPr>
        <w:t xml:space="preserve">WOULD </w:t>
      </w:r>
      <w:r w:rsidR="00A00192">
        <w:rPr>
          <w:b/>
          <w:bCs/>
          <w:i/>
          <w:iCs/>
        </w:rPr>
        <w:t xml:space="preserve">THAT </w:t>
      </w:r>
      <w:r w:rsidR="00D14B70">
        <w:rPr>
          <w:b/>
          <w:bCs/>
          <w:i/>
          <w:iCs/>
        </w:rPr>
        <w:t>HA</w:t>
      </w:r>
      <w:r w:rsidR="00190A23">
        <w:rPr>
          <w:b/>
          <w:bCs/>
          <w:i/>
          <w:iCs/>
        </w:rPr>
        <w:t>VE</w:t>
      </w:r>
      <w:r w:rsidR="008F52C6">
        <w:rPr>
          <w:b/>
          <w:bCs/>
          <w:i/>
          <w:iCs/>
        </w:rPr>
        <w:t xml:space="preserve"> </w:t>
      </w:r>
      <w:r>
        <w:rPr>
          <w:b/>
          <w:bCs/>
          <w:i/>
          <w:iCs/>
        </w:rPr>
        <w:t>IMPACT</w:t>
      </w:r>
      <w:r w:rsidR="008F52C6">
        <w:rPr>
          <w:b/>
          <w:bCs/>
          <w:i/>
          <w:iCs/>
        </w:rPr>
        <w:t>ED</w:t>
      </w:r>
      <w:r>
        <w:rPr>
          <w:b/>
          <w:bCs/>
          <w:i/>
          <w:iCs/>
        </w:rPr>
        <w:t xml:space="preserve"> </w:t>
      </w:r>
      <w:r w:rsidR="008F52C6">
        <w:rPr>
          <w:b/>
          <w:bCs/>
          <w:i/>
          <w:iCs/>
        </w:rPr>
        <w:t xml:space="preserve">THE </w:t>
      </w:r>
      <w:r w:rsidR="00A17D27">
        <w:rPr>
          <w:b/>
          <w:bCs/>
          <w:i/>
          <w:iCs/>
        </w:rPr>
        <w:t>UTILITY</w:t>
      </w:r>
      <w:r w:rsidR="008F52C6">
        <w:rPr>
          <w:b/>
          <w:bCs/>
          <w:i/>
          <w:iCs/>
        </w:rPr>
        <w:t>’S</w:t>
      </w:r>
      <w:r>
        <w:rPr>
          <w:b/>
          <w:bCs/>
          <w:i/>
          <w:iCs/>
        </w:rPr>
        <w:t xml:space="preserve"> RETURN ON EQUITY?</w:t>
      </w:r>
    </w:p>
    <w:p w:rsidR="004202C2" w:rsidRDefault="00BD5813" w:rsidP="004202C2">
      <w:pPr>
        <w:autoSpaceDE w:val="0"/>
        <w:autoSpaceDN w:val="0"/>
        <w:adjustRightInd w:val="0"/>
        <w:spacing w:line="480" w:lineRule="auto"/>
        <w:ind w:left="720" w:hanging="720"/>
        <w:rPr>
          <w:b/>
          <w:bCs/>
          <w:i/>
          <w:iCs/>
        </w:rPr>
      </w:pPr>
      <w:r>
        <w:rPr>
          <w:b/>
          <w:bCs/>
          <w:i/>
          <w:iCs/>
        </w:rPr>
        <w:t>A1</w:t>
      </w:r>
      <w:r w:rsidR="00D366E4">
        <w:rPr>
          <w:b/>
          <w:bCs/>
          <w:i/>
          <w:iCs/>
        </w:rPr>
        <w:t>9</w:t>
      </w:r>
      <w:r>
        <w:rPr>
          <w:b/>
          <w:bCs/>
          <w:i/>
          <w:iCs/>
        </w:rPr>
        <w:t>.</w:t>
      </w:r>
      <w:r w:rsidR="000F23E4">
        <w:rPr>
          <w:b/>
          <w:bCs/>
          <w:i/>
          <w:iCs/>
        </w:rPr>
        <w:tab/>
      </w:r>
      <w:r w:rsidR="00C17902">
        <w:rPr>
          <w:bCs/>
          <w:iCs/>
        </w:rPr>
        <w:t xml:space="preserve">The </w:t>
      </w:r>
      <w:r w:rsidR="00AF1263">
        <w:rPr>
          <w:bCs/>
          <w:iCs/>
        </w:rPr>
        <w:t xml:space="preserve">re-calculated </w:t>
      </w:r>
      <w:r w:rsidR="00C17902">
        <w:rPr>
          <w:bCs/>
          <w:iCs/>
        </w:rPr>
        <w:t>return on equity of 2008 would be slightly lower than the ROE of 20.04% reported in DP&amp;L’s financial statement</w:t>
      </w:r>
      <w:r w:rsidR="00AF1263">
        <w:rPr>
          <w:bCs/>
          <w:iCs/>
        </w:rPr>
        <w:t xml:space="preserve">. </w:t>
      </w:r>
      <w:r w:rsidR="00C17902">
        <w:rPr>
          <w:bCs/>
          <w:iCs/>
        </w:rPr>
        <w:t xml:space="preserve"> </w:t>
      </w:r>
      <w:r w:rsidR="000F23E4">
        <w:rPr>
          <w:bCs/>
          <w:iCs/>
        </w:rPr>
        <w:t xml:space="preserve">Based on </w:t>
      </w:r>
      <w:r w:rsidR="006E7C27">
        <w:rPr>
          <w:bCs/>
          <w:iCs/>
        </w:rPr>
        <w:t xml:space="preserve">the </w:t>
      </w:r>
      <w:r w:rsidR="00677581">
        <w:rPr>
          <w:bCs/>
          <w:iCs/>
        </w:rPr>
        <w:t>DPL</w:t>
      </w:r>
      <w:r w:rsidR="006E7C27">
        <w:rPr>
          <w:bCs/>
          <w:iCs/>
        </w:rPr>
        <w:t>,</w:t>
      </w:r>
      <w:r w:rsidR="00677581">
        <w:rPr>
          <w:bCs/>
          <w:iCs/>
        </w:rPr>
        <w:t xml:space="preserve"> Inc.</w:t>
      </w:r>
      <w:r w:rsidR="000F23E4">
        <w:rPr>
          <w:bCs/>
          <w:iCs/>
        </w:rPr>
        <w:t xml:space="preserve"> 2008 Annual Report, DP&amp;L deferred approximately $13 million of incremental </w:t>
      </w:r>
      <w:r w:rsidR="006E7C27">
        <w:rPr>
          <w:bCs/>
          <w:iCs/>
        </w:rPr>
        <w:t>O&amp;M</w:t>
      </w:r>
      <w:r w:rsidR="000F23E4">
        <w:rPr>
          <w:bCs/>
          <w:iCs/>
        </w:rPr>
        <w:t xml:space="preserve"> costs associated with </w:t>
      </w:r>
      <w:r w:rsidR="00A00192">
        <w:rPr>
          <w:bCs/>
          <w:iCs/>
        </w:rPr>
        <w:t xml:space="preserve">its </w:t>
      </w:r>
      <w:r w:rsidR="000F23E4">
        <w:rPr>
          <w:bCs/>
          <w:iCs/>
        </w:rPr>
        <w:t>storm restoration effort in 2008.</w:t>
      </w:r>
      <w:r w:rsidR="000F23E4">
        <w:rPr>
          <w:rStyle w:val="FootnoteReference"/>
          <w:bCs/>
          <w:iCs/>
        </w:rPr>
        <w:footnoteReference w:id="27"/>
      </w:r>
      <w:r>
        <w:rPr>
          <w:b/>
          <w:bCs/>
          <w:i/>
          <w:iCs/>
        </w:rPr>
        <w:t xml:space="preserve">  </w:t>
      </w:r>
      <w:r w:rsidR="00C40BBD">
        <w:rPr>
          <w:bCs/>
          <w:iCs/>
        </w:rPr>
        <w:t xml:space="preserve">Assuming that the amounts presented by DP&amp;L in </w:t>
      </w:r>
      <w:r w:rsidR="000F23E4">
        <w:rPr>
          <w:bCs/>
          <w:iCs/>
        </w:rPr>
        <w:t xml:space="preserve">Schedule C-1 of </w:t>
      </w:r>
      <w:r w:rsidR="00BD0070">
        <w:rPr>
          <w:bCs/>
          <w:iCs/>
        </w:rPr>
        <w:t xml:space="preserve">its </w:t>
      </w:r>
      <w:r w:rsidR="000F23E4">
        <w:rPr>
          <w:bCs/>
          <w:iCs/>
        </w:rPr>
        <w:t>Application</w:t>
      </w:r>
      <w:r w:rsidR="00C40BBD">
        <w:rPr>
          <w:bCs/>
          <w:iCs/>
        </w:rPr>
        <w:t xml:space="preserve"> are reasonable and accurate</w:t>
      </w:r>
      <w:r w:rsidR="000F23E4">
        <w:rPr>
          <w:bCs/>
          <w:iCs/>
        </w:rPr>
        <w:t xml:space="preserve">, the </w:t>
      </w:r>
      <w:r w:rsidR="00A770CF">
        <w:rPr>
          <w:bCs/>
          <w:iCs/>
        </w:rPr>
        <w:t xml:space="preserve">total </w:t>
      </w:r>
      <w:r w:rsidR="000F23E4">
        <w:rPr>
          <w:bCs/>
          <w:iCs/>
        </w:rPr>
        <w:t>2008 Incremental Storm O&amp;M</w:t>
      </w:r>
      <w:r w:rsidR="008F52C6">
        <w:rPr>
          <w:bCs/>
          <w:iCs/>
        </w:rPr>
        <w:t xml:space="preserve"> costs</w:t>
      </w:r>
      <w:r w:rsidR="000F23E4">
        <w:rPr>
          <w:bCs/>
          <w:iCs/>
        </w:rPr>
        <w:t xml:space="preserve"> </w:t>
      </w:r>
      <w:r w:rsidR="008F52C6">
        <w:rPr>
          <w:bCs/>
          <w:iCs/>
        </w:rPr>
        <w:t>were</w:t>
      </w:r>
      <w:r w:rsidR="00040F3E">
        <w:rPr>
          <w:bCs/>
          <w:iCs/>
        </w:rPr>
        <w:t xml:space="preserve"> </w:t>
      </w:r>
      <w:r w:rsidR="000F23E4">
        <w:rPr>
          <w:bCs/>
          <w:iCs/>
        </w:rPr>
        <w:t>approximately $14.9 million ($14,896,538).</w:t>
      </w:r>
      <w:r w:rsidR="000F23E4">
        <w:rPr>
          <w:rStyle w:val="FootnoteReference"/>
          <w:bCs/>
          <w:iCs/>
        </w:rPr>
        <w:footnoteReference w:id="28"/>
      </w:r>
      <w:r w:rsidR="000F23E4">
        <w:rPr>
          <w:bCs/>
          <w:iCs/>
        </w:rPr>
        <w:t xml:space="preserve">  If the $14.9 million amount </w:t>
      </w:r>
      <w:r w:rsidR="00E957DB">
        <w:rPr>
          <w:bCs/>
          <w:iCs/>
        </w:rPr>
        <w:t>had been</w:t>
      </w:r>
      <w:r w:rsidR="008F52C6">
        <w:rPr>
          <w:bCs/>
          <w:iCs/>
        </w:rPr>
        <w:t xml:space="preserve"> </w:t>
      </w:r>
      <w:r w:rsidR="00E8276C">
        <w:rPr>
          <w:bCs/>
          <w:iCs/>
        </w:rPr>
        <w:t xml:space="preserve">treated as </w:t>
      </w:r>
      <w:r w:rsidR="008F52C6">
        <w:rPr>
          <w:bCs/>
          <w:iCs/>
        </w:rPr>
        <w:t xml:space="preserve">expenses in </w:t>
      </w:r>
      <w:r w:rsidR="00E8276C">
        <w:rPr>
          <w:bCs/>
          <w:iCs/>
        </w:rPr>
        <w:t xml:space="preserve">2008, </w:t>
      </w:r>
      <w:r w:rsidR="00AF1263">
        <w:rPr>
          <w:bCs/>
          <w:iCs/>
        </w:rPr>
        <w:t xml:space="preserve">I estimate that </w:t>
      </w:r>
      <w:r w:rsidR="00E957DB">
        <w:rPr>
          <w:bCs/>
          <w:iCs/>
        </w:rPr>
        <w:t>DP&amp;L’s</w:t>
      </w:r>
      <w:r w:rsidR="000F23E4">
        <w:rPr>
          <w:bCs/>
          <w:iCs/>
        </w:rPr>
        <w:t xml:space="preserve"> 2008 net income would have been </w:t>
      </w:r>
      <w:r w:rsidR="00040F3E">
        <w:rPr>
          <w:bCs/>
          <w:iCs/>
        </w:rPr>
        <w:t xml:space="preserve">reduced to </w:t>
      </w:r>
      <w:r w:rsidR="00E8276C">
        <w:rPr>
          <w:bCs/>
          <w:iCs/>
        </w:rPr>
        <w:t>$270.9 million</w:t>
      </w:r>
      <w:r w:rsidR="00E957DB">
        <w:rPr>
          <w:bCs/>
          <w:iCs/>
        </w:rPr>
        <w:t>,</w:t>
      </w:r>
      <w:r w:rsidR="00E8276C">
        <w:rPr>
          <w:bCs/>
          <w:iCs/>
        </w:rPr>
        <w:t xml:space="preserve"> </w:t>
      </w:r>
      <w:r w:rsidR="00BF0EC3">
        <w:rPr>
          <w:bCs/>
          <w:iCs/>
        </w:rPr>
        <w:t>yielding a</w:t>
      </w:r>
      <w:r w:rsidR="007645BD">
        <w:rPr>
          <w:bCs/>
          <w:iCs/>
        </w:rPr>
        <w:t>n</w:t>
      </w:r>
      <w:r w:rsidR="00E8276C">
        <w:rPr>
          <w:bCs/>
          <w:iCs/>
        </w:rPr>
        <w:t xml:space="preserve"> 1</w:t>
      </w:r>
      <w:r w:rsidR="00677581">
        <w:rPr>
          <w:bCs/>
          <w:iCs/>
        </w:rPr>
        <w:t>8.99</w:t>
      </w:r>
      <w:r w:rsidR="00E8276C">
        <w:rPr>
          <w:bCs/>
          <w:iCs/>
        </w:rPr>
        <w:t>%</w:t>
      </w:r>
      <w:r w:rsidR="00BF0EC3">
        <w:rPr>
          <w:bCs/>
          <w:iCs/>
        </w:rPr>
        <w:t xml:space="preserve"> return </w:t>
      </w:r>
      <w:r w:rsidR="00D14B70">
        <w:rPr>
          <w:bCs/>
          <w:iCs/>
        </w:rPr>
        <w:t>on</w:t>
      </w:r>
      <w:r w:rsidR="00BF0EC3">
        <w:rPr>
          <w:bCs/>
          <w:iCs/>
        </w:rPr>
        <w:t xml:space="preserve"> equity</w:t>
      </w:r>
      <w:r w:rsidR="00E957DB">
        <w:rPr>
          <w:bCs/>
          <w:iCs/>
        </w:rPr>
        <w:t>,</w:t>
      </w:r>
      <w:r w:rsidR="00AF1263">
        <w:rPr>
          <w:bCs/>
          <w:iCs/>
        </w:rPr>
        <w:t xml:space="preserve"> assuming the amounts of income tax expenses and average shareholder’s equity do not change as a result of added expenses</w:t>
      </w:r>
      <w:r w:rsidR="00E8276C">
        <w:rPr>
          <w:bCs/>
          <w:iCs/>
        </w:rPr>
        <w:t>.</w:t>
      </w:r>
      <w:r w:rsidR="00AF1263">
        <w:rPr>
          <w:rStyle w:val="FootnoteReference"/>
          <w:bCs/>
          <w:iCs/>
        </w:rPr>
        <w:footnoteReference w:id="29"/>
      </w:r>
      <w:r w:rsidR="00E8276C">
        <w:rPr>
          <w:bCs/>
          <w:iCs/>
        </w:rPr>
        <w:t xml:space="preserve">  If only </w:t>
      </w:r>
      <w:r w:rsidR="00A770CF">
        <w:rPr>
          <w:bCs/>
          <w:iCs/>
        </w:rPr>
        <w:t xml:space="preserve">the </w:t>
      </w:r>
      <w:r w:rsidR="00E8276C">
        <w:rPr>
          <w:bCs/>
          <w:iCs/>
        </w:rPr>
        <w:t xml:space="preserve">2008 Hurricane Ike Incremental O&amp;M costs </w:t>
      </w:r>
      <w:r w:rsidR="003D4337">
        <w:rPr>
          <w:bCs/>
          <w:iCs/>
        </w:rPr>
        <w:t xml:space="preserve">exceeding the three-year average service restoration O&amp;M expense </w:t>
      </w:r>
      <w:r w:rsidR="00E957DB">
        <w:rPr>
          <w:bCs/>
          <w:iCs/>
        </w:rPr>
        <w:t xml:space="preserve">that was </w:t>
      </w:r>
      <w:r w:rsidR="00E8276C">
        <w:rPr>
          <w:bCs/>
          <w:iCs/>
        </w:rPr>
        <w:t xml:space="preserve">deferred </w:t>
      </w:r>
      <w:r w:rsidR="00A770CF">
        <w:rPr>
          <w:bCs/>
          <w:iCs/>
        </w:rPr>
        <w:t>(as a</w:t>
      </w:r>
      <w:r w:rsidR="00C40BBD">
        <w:rPr>
          <w:bCs/>
          <w:iCs/>
        </w:rPr>
        <w:t xml:space="preserve">uthorized </w:t>
      </w:r>
      <w:r w:rsidR="00A770CF">
        <w:rPr>
          <w:bCs/>
          <w:iCs/>
        </w:rPr>
        <w:t xml:space="preserve">by the </w:t>
      </w:r>
      <w:r w:rsidR="00A17D27">
        <w:rPr>
          <w:bCs/>
          <w:iCs/>
        </w:rPr>
        <w:t>PUCO</w:t>
      </w:r>
      <w:r w:rsidR="00A770CF">
        <w:rPr>
          <w:bCs/>
          <w:iCs/>
        </w:rPr>
        <w:t xml:space="preserve">) </w:t>
      </w:r>
      <w:r w:rsidR="00E957DB">
        <w:rPr>
          <w:bCs/>
          <w:iCs/>
        </w:rPr>
        <w:t xml:space="preserve">had been </w:t>
      </w:r>
      <w:r w:rsidR="00E8276C">
        <w:rPr>
          <w:bCs/>
          <w:iCs/>
        </w:rPr>
        <w:t xml:space="preserve">treated as </w:t>
      </w:r>
      <w:r w:rsidR="00BF0EC3">
        <w:rPr>
          <w:bCs/>
          <w:iCs/>
        </w:rPr>
        <w:t xml:space="preserve">expenses in </w:t>
      </w:r>
      <w:r w:rsidR="00E8276C">
        <w:rPr>
          <w:bCs/>
          <w:iCs/>
        </w:rPr>
        <w:t>2008,</w:t>
      </w:r>
      <w:r w:rsidR="001E0C78">
        <w:rPr>
          <w:bCs/>
          <w:iCs/>
        </w:rPr>
        <w:t xml:space="preserve"> </w:t>
      </w:r>
      <w:r w:rsidR="00040F3E">
        <w:rPr>
          <w:bCs/>
          <w:iCs/>
        </w:rPr>
        <w:t xml:space="preserve">the </w:t>
      </w:r>
      <w:r w:rsidR="00E97D1B">
        <w:rPr>
          <w:bCs/>
          <w:iCs/>
        </w:rPr>
        <w:t xml:space="preserve">2008 O&amp;M expenses </w:t>
      </w:r>
      <w:r w:rsidR="00040F3E">
        <w:rPr>
          <w:bCs/>
          <w:iCs/>
        </w:rPr>
        <w:t xml:space="preserve">(without deferral) would be increased </w:t>
      </w:r>
      <w:r w:rsidR="00E97D1B">
        <w:rPr>
          <w:bCs/>
          <w:iCs/>
        </w:rPr>
        <w:t>approximately $11.3 million ($11,321,604 = $13,661,050 - $2,339,446).</w:t>
      </w:r>
      <w:r w:rsidR="00E97D1B">
        <w:rPr>
          <w:rStyle w:val="FootnoteReference"/>
          <w:bCs/>
          <w:iCs/>
        </w:rPr>
        <w:footnoteReference w:id="30"/>
      </w:r>
      <w:r w:rsidR="00E8276C">
        <w:rPr>
          <w:bCs/>
          <w:iCs/>
        </w:rPr>
        <w:t xml:space="preserve">  </w:t>
      </w:r>
      <w:r w:rsidR="00AF1263">
        <w:rPr>
          <w:bCs/>
          <w:iCs/>
        </w:rPr>
        <w:t xml:space="preserve">I estimate that </w:t>
      </w:r>
      <w:r w:rsidR="00C40BBD">
        <w:rPr>
          <w:bCs/>
          <w:iCs/>
        </w:rPr>
        <w:t>t</w:t>
      </w:r>
      <w:r w:rsidR="00E97D1B">
        <w:rPr>
          <w:bCs/>
          <w:iCs/>
        </w:rPr>
        <w:t xml:space="preserve">he 2008 net income would </w:t>
      </w:r>
      <w:r w:rsidR="005013F4">
        <w:rPr>
          <w:bCs/>
          <w:iCs/>
        </w:rPr>
        <w:t xml:space="preserve">then </w:t>
      </w:r>
      <w:r w:rsidR="00E97D1B">
        <w:rPr>
          <w:bCs/>
          <w:iCs/>
        </w:rPr>
        <w:t xml:space="preserve">have been </w:t>
      </w:r>
      <w:r w:rsidR="00040F3E">
        <w:rPr>
          <w:bCs/>
          <w:iCs/>
        </w:rPr>
        <w:t xml:space="preserve">reduced to </w:t>
      </w:r>
      <w:r w:rsidR="00E97D1B">
        <w:rPr>
          <w:bCs/>
          <w:iCs/>
        </w:rPr>
        <w:t xml:space="preserve">$274.5 million </w:t>
      </w:r>
      <w:r w:rsidR="00BF0EC3">
        <w:rPr>
          <w:bCs/>
          <w:iCs/>
        </w:rPr>
        <w:t xml:space="preserve">yielding a </w:t>
      </w:r>
      <w:r w:rsidR="00E97D1B">
        <w:rPr>
          <w:bCs/>
          <w:iCs/>
        </w:rPr>
        <w:t>19.</w:t>
      </w:r>
      <w:r w:rsidR="00C64830">
        <w:rPr>
          <w:bCs/>
          <w:iCs/>
        </w:rPr>
        <w:t>24</w:t>
      </w:r>
      <w:r w:rsidR="00E97D1B">
        <w:rPr>
          <w:bCs/>
          <w:iCs/>
        </w:rPr>
        <w:t>%</w:t>
      </w:r>
      <w:r w:rsidR="00BF0EC3">
        <w:rPr>
          <w:bCs/>
          <w:iCs/>
        </w:rPr>
        <w:t xml:space="preserve"> return on equity</w:t>
      </w:r>
      <w:r w:rsidR="005013F4">
        <w:rPr>
          <w:bCs/>
          <w:iCs/>
        </w:rPr>
        <w:t>,</w:t>
      </w:r>
      <w:r w:rsidR="00AF1263">
        <w:rPr>
          <w:bCs/>
          <w:iCs/>
        </w:rPr>
        <w:t xml:space="preserve"> assuming once again the </w:t>
      </w:r>
      <w:r w:rsidR="00D14B70">
        <w:rPr>
          <w:bCs/>
          <w:iCs/>
        </w:rPr>
        <w:t>amount</w:t>
      </w:r>
      <w:r w:rsidR="00AF1263">
        <w:rPr>
          <w:bCs/>
          <w:iCs/>
        </w:rPr>
        <w:t xml:space="preserve"> of income tax expenses and average shareholder’s equity do not change</w:t>
      </w:r>
      <w:r w:rsidR="00BF62FB">
        <w:rPr>
          <w:bCs/>
          <w:iCs/>
        </w:rPr>
        <w:t>.</w:t>
      </w:r>
      <w:r w:rsidR="004202C2">
        <w:rPr>
          <w:b/>
          <w:bCs/>
          <w:i/>
          <w:iCs/>
        </w:rPr>
        <w:br w:type="page"/>
      </w:r>
    </w:p>
    <w:p w:rsidR="00401293" w:rsidRDefault="00401293" w:rsidP="00401293">
      <w:pPr>
        <w:autoSpaceDE w:val="0"/>
        <w:autoSpaceDN w:val="0"/>
        <w:adjustRightInd w:val="0"/>
        <w:spacing w:line="480" w:lineRule="auto"/>
        <w:ind w:left="720" w:hanging="720"/>
        <w:rPr>
          <w:b/>
          <w:bCs/>
          <w:i/>
          <w:iCs/>
        </w:rPr>
      </w:pPr>
      <w:r>
        <w:rPr>
          <w:b/>
          <w:bCs/>
          <w:i/>
          <w:iCs/>
        </w:rPr>
        <w:t>Q</w:t>
      </w:r>
      <w:r w:rsidR="00D366E4">
        <w:rPr>
          <w:b/>
          <w:bCs/>
          <w:i/>
          <w:iCs/>
        </w:rPr>
        <w:t>20</w:t>
      </w:r>
      <w:r>
        <w:rPr>
          <w:b/>
          <w:bCs/>
          <w:i/>
          <w:iCs/>
        </w:rPr>
        <w:t>.</w:t>
      </w:r>
      <w:r>
        <w:rPr>
          <w:b/>
          <w:bCs/>
          <w:i/>
          <w:iCs/>
        </w:rPr>
        <w:tab/>
      </w:r>
      <w:r w:rsidR="005013F4">
        <w:rPr>
          <w:b/>
          <w:bCs/>
          <w:i/>
          <w:iCs/>
        </w:rPr>
        <w:t>GIVEN THAT, ABSENT THE DEFERRALS, DP&amp;L WOULD HAVE HAD</w:t>
      </w:r>
      <w:r>
        <w:rPr>
          <w:b/>
          <w:bCs/>
          <w:i/>
          <w:iCs/>
        </w:rPr>
        <w:t xml:space="preserve"> A 2008 </w:t>
      </w:r>
      <w:r w:rsidR="00E97D1B">
        <w:rPr>
          <w:b/>
          <w:bCs/>
          <w:i/>
          <w:iCs/>
        </w:rPr>
        <w:t xml:space="preserve">ADJUSTED </w:t>
      </w:r>
      <w:r>
        <w:rPr>
          <w:b/>
          <w:bCs/>
          <w:i/>
          <w:iCs/>
        </w:rPr>
        <w:t>RET</w:t>
      </w:r>
      <w:r w:rsidR="000F5743">
        <w:rPr>
          <w:b/>
          <w:bCs/>
          <w:i/>
          <w:iCs/>
        </w:rPr>
        <w:t>UR</w:t>
      </w:r>
      <w:r>
        <w:rPr>
          <w:b/>
          <w:bCs/>
          <w:i/>
          <w:iCs/>
        </w:rPr>
        <w:t xml:space="preserve">N ON EQUITY OF </w:t>
      </w:r>
      <w:r w:rsidR="00E97D1B">
        <w:rPr>
          <w:b/>
          <w:bCs/>
          <w:i/>
          <w:iCs/>
        </w:rPr>
        <w:t>1</w:t>
      </w:r>
      <w:r w:rsidR="00C64830">
        <w:rPr>
          <w:b/>
          <w:bCs/>
          <w:i/>
          <w:iCs/>
        </w:rPr>
        <w:t>8.99</w:t>
      </w:r>
      <w:r>
        <w:rPr>
          <w:b/>
          <w:bCs/>
          <w:i/>
          <w:iCs/>
        </w:rPr>
        <w:t>%</w:t>
      </w:r>
      <w:r w:rsidR="00A770CF">
        <w:rPr>
          <w:b/>
          <w:bCs/>
          <w:i/>
          <w:iCs/>
        </w:rPr>
        <w:t xml:space="preserve"> OR 19.</w:t>
      </w:r>
      <w:r w:rsidR="00C64830">
        <w:rPr>
          <w:b/>
          <w:bCs/>
          <w:i/>
          <w:iCs/>
        </w:rPr>
        <w:t>24</w:t>
      </w:r>
      <w:r w:rsidR="00A770CF">
        <w:rPr>
          <w:b/>
          <w:bCs/>
          <w:i/>
          <w:iCs/>
        </w:rPr>
        <w:t>%</w:t>
      </w:r>
      <w:r>
        <w:rPr>
          <w:b/>
          <w:bCs/>
          <w:i/>
          <w:iCs/>
        </w:rPr>
        <w:t xml:space="preserve">, SHOULD DP&amp;L BE ALLOWED TO COLLECT FROM CUSTOMERS THE DEFFERED 2008 </w:t>
      </w:r>
      <w:r w:rsidR="00A770CF">
        <w:rPr>
          <w:b/>
          <w:bCs/>
          <w:i/>
          <w:iCs/>
        </w:rPr>
        <w:t xml:space="preserve">INCREMENTAL </w:t>
      </w:r>
      <w:r w:rsidR="000F5743">
        <w:rPr>
          <w:b/>
          <w:bCs/>
          <w:i/>
          <w:iCs/>
        </w:rPr>
        <w:t>O</w:t>
      </w:r>
      <w:r w:rsidR="00190A23">
        <w:rPr>
          <w:b/>
          <w:bCs/>
          <w:i/>
          <w:iCs/>
        </w:rPr>
        <w:t>PERATION AND MAINTENANCE</w:t>
      </w:r>
      <w:r w:rsidR="00040F3E">
        <w:rPr>
          <w:b/>
          <w:bCs/>
          <w:i/>
          <w:iCs/>
        </w:rPr>
        <w:t xml:space="preserve"> </w:t>
      </w:r>
      <w:r>
        <w:rPr>
          <w:b/>
          <w:bCs/>
          <w:i/>
          <w:iCs/>
        </w:rPr>
        <w:t>EXPENSES RELATED TO HURRICANE IKE</w:t>
      </w:r>
      <w:r w:rsidR="00BA723E">
        <w:rPr>
          <w:b/>
          <w:bCs/>
          <w:i/>
          <w:iCs/>
        </w:rPr>
        <w:t xml:space="preserve"> AND OTHER MAJOR-EVENT STORMS</w:t>
      </w:r>
      <w:r>
        <w:rPr>
          <w:b/>
          <w:bCs/>
          <w:i/>
          <w:iCs/>
        </w:rPr>
        <w:t>?</w:t>
      </w:r>
    </w:p>
    <w:p w:rsidR="00401293" w:rsidRDefault="00401293" w:rsidP="00401293">
      <w:pPr>
        <w:autoSpaceDE w:val="0"/>
        <w:autoSpaceDN w:val="0"/>
        <w:adjustRightInd w:val="0"/>
        <w:spacing w:line="480" w:lineRule="auto"/>
        <w:ind w:left="720" w:hanging="720"/>
        <w:rPr>
          <w:bCs/>
          <w:iCs/>
        </w:rPr>
      </w:pPr>
      <w:r>
        <w:rPr>
          <w:b/>
          <w:bCs/>
          <w:i/>
          <w:iCs/>
        </w:rPr>
        <w:t>A</w:t>
      </w:r>
      <w:r w:rsidR="00D366E4">
        <w:rPr>
          <w:b/>
          <w:bCs/>
          <w:i/>
          <w:iCs/>
        </w:rPr>
        <w:t>20</w:t>
      </w:r>
      <w:r>
        <w:rPr>
          <w:b/>
          <w:bCs/>
          <w:i/>
          <w:iCs/>
        </w:rPr>
        <w:t>.</w:t>
      </w:r>
      <w:r>
        <w:rPr>
          <w:b/>
          <w:bCs/>
          <w:i/>
          <w:iCs/>
        </w:rPr>
        <w:tab/>
      </w:r>
      <w:r>
        <w:rPr>
          <w:bCs/>
          <w:iCs/>
        </w:rPr>
        <w:t>No.</w:t>
      </w:r>
    </w:p>
    <w:p w:rsidR="00401293" w:rsidRDefault="00401293" w:rsidP="00401293">
      <w:pPr>
        <w:autoSpaceDE w:val="0"/>
        <w:autoSpaceDN w:val="0"/>
        <w:adjustRightInd w:val="0"/>
        <w:spacing w:line="480" w:lineRule="auto"/>
        <w:ind w:left="720" w:hanging="720"/>
        <w:rPr>
          <w:b/>
          <w:bCs/>
          <w:i/>
          <w:iCs/>
        </w:rPr>
      </w:pPr>
    </w:p>
    <w:p w:rsidR="00401293" w:rsidRDefault="00401293" w:rsidP="00401293">
      <w:pPr>
        <w:autoSpaceDE w:val="0"/>
        <w:autoSpaceDN w:val="0"/>
        <w:adjustRightInd w:val="0"/>
        <w:spacing w:line="480" w:lineRule="auto"/>
        <w:ind w:left="720" w:hanging="720"/>
        <w:rPr>
          <w:b/>
          <w:bCs/>
          <w:i/>
          <w:iCs/>
        </w:rPr>
      </w:pPr>
      <w:r>
        <w:rPr>
          <w:b/>
          <w:bCs/>
          <w:i/>
          <w:iCs/>
        </w:rPr>
        <w:t>Q</w:t>
      </w:r>
      <w:r w:rsidR="00D366E4">
        <w:rPr>
          <w:b/>
          <w:bCs/>
          <w:i/>
          <w:iCs/>
        </w:rPr>
        <w:t>21</w:t>
      </w:r>
      <w:r w:rsidR="00BF62FB">
        <w:rPr>
          <w:b/>
          <w:bCs/>
          <w:i/>
          <w:iCs/>
        </w:rPr>
        <w:t>.</w:t>
      </w:r>
      <w:r w:rsidR="005013F4">
        <w:rPr>
          <w:b/>
          <w:bCs/>
          <w:i/>
          <w:iCs/>
        </w:rPr>
        <w:tab/>
      </w:r>
      <w:r>
        <w:rPr>
          <w:b/>
          <w:bCs/>
          <w:i/>
          <w:iCs/>
        </w:rPr>
        <w:t>WHY SHOULD THE PUCO DENY DP&amp;L’S REQUEST TO COLLECT F</w:t>
      </w:r>
      <w:r w:rsidR="00E43C70">
        <w:rPr>
          <w:b/>
          <w:bCs/>
          <w:i/>
          <w:iCs/>
        </w:rPr>
        <w:t>ROM CUSTOMERS THE DEFFERED 2008</w:t>
      </w:r>
      <w:r>
        <w:rPr>
          <w:b/>
          <w:bCs/>
          <w:i/>
          <w:iCs/>
        </w:rPr>
        <w:t xml:space="preserve"> </w:t>
      </w:r>
      <w:r w:rsidR="00BA723E">
        <w:rPr>
          <w:b/>
          <w:bCs/>
          <w:i/>
          <w:iCs/>
        </w:rPr>
        <w:t xml:space="preserve">INCREMENTAL </w:t>
      </w:r>
      <w:r w:rsidR="00040F3E">
        <w:rPr>
          <w:b/>
          <w:bCs/>
          <w:i/>
          <w:iCs/>
        </w:rPr>
        <w:t xml:space="preserve">STORM-RELATED </w:t>
      </w:r>
      <w:r w:rsidR="00C71A96">
        <w:rPr>
          <w:b/>
          <w:bCs/>
          <w:i/>
          <w:iCs/>
        </w:rPr>
        <w:t xml:space="preserve">OPERATION AND MAINTENANCE </w:t>
      </w:r>
      <w:r>
        <w:rPr>
          <w:b/>
          <w:bCs/>
          <w:i/>
          <w:iCs/>
        </w:rPr>
        <w:t>EXPENSES?</w:t>
      </w:r>
    </w:p>
    <w:p w:rsidR="000B70BA" w:rsidRDefault="00401293" w:rsidP="00401293">
      <w:pPr>
        <w:autoSpaceDE w:val="0"/>
        <w:autoSpaceDN w:val="0"/>
        <w:adjustRightInd w:val="0"/>
        <w:spacing w:line="480" w:lineRule="auto"/>
        <w:ind w:left="720" w:hanging="720"/>
      </w:pPr>
      <w:r>
        <w:rPr>
          <w:b/>
          <w:bCs/>
          <w:i/>
          <w:iCs/>
        </w:rPr>
        <w:t>A</w:t>
      </w:r>
      <w:r w:rsidR="00D116E4">
        <w:rPr>
          <w:b/>
          <w:bCs/>
          <w:i/>
          <w:iCs/>
        </w:rPr>
        <w:t>21</w:t>
      </w:r>
      <w:r>
        <w:rPr>
          <w:b/>
          <w:bCs/>
          <w:i/>
          <w:iCs/>
        </w:rPr>
        <w:t>.</w:t>
      </w:r>
      <w:r>
        <w:rPr>
          <w:b/>
          <w:bCs/>
          <w:i/>
          <w:iCs/>
        </w:rPr>
        <w:tab/>
      </w:r>
      <w:r w:rsidR="00E43C70">
        <w:rPr>
          <w:bCs/>
          <w:iCs/>
        </w:rPr>
        <w:t xml:space="preserve">As shown in Table 1, </w:t>
      </w:r>
      <w:r>
        <w:t xml:space="preserve">DP&amp;L’s </w:t>
      </w:r>
      <w:r w:rsidR="00467F4A">
        <w:t xml:space="preserve">per-book </w:t>
      </w:r>
      <w:r w:rsidR="000F5743">
        <w:t xml:space="preserve">ROE </w:t>
      </w:r>
      <w:r w:rsidR="00D116E4">
        <w:t xml:space="preserve">of 20.04% </w:t>
      </w:r>
      <w:r>
        <w:t>in 2008 was the highest among Ohio’s seven major electric utilities.</w:t>
      </w:r>
      <w:r w:rsidR="005013F4">
        <w:t xml:space="preserve"> </w:t>
      </w:r>
      <w:r>
        <w:t xml:space="preserve"> </w:t>
      </w:r>
      <w:r w:rsidR="00467F4A">
        <w:t>Even if the deferred storm-related costs were fully expense</w:t>
      </w:r>
      <w:r w:rsidR="005013F4">
        <w:t>d (instead of deferred)</w:t>
      </w:r>
      <w:r w:rsidR="00467F4A">
        <w:t xml:space="preserve">, </w:t>
      </w:r>
      <w:r>
        <w:t xml:space="preserve">DP&amp;L’s </w:t>
      </w:r>
      <w:r w:rsidR="00467F4A">
        <w:t xml:space="preserve">re-calculated </w:t>
      </w:r>
      <w:r>
        <w:t xml:space="preserve">earned ROE </w:t>
      </w:r>
      <w:r w:rsidR="00A770CF">
        <w:t>of 1</w:t>
      </w:r>
      <w:r w:rsidR="00C64830">
        <w:t>8.99</w:t>
      </w:r>
      <w:r w:rsidR="00A770CF">
        <w:t xml:space="preserve">% </w:t>
      </w:r>
      <w:r>
        <w:t xml:space="preserve">in 2008 was higher than </w:t>
      </w:r>
      <w:r w:rsidR="00E43C70">
        <w:t>its</w:t>
      </w:r>
      <w:r>
        <w:t xml:space="preserve"> authorized ROE</w:t>
      </w:r>
      <w:r w:rsidR="00BA723E">
        <w:t xml:space="preserve"> (</w:t>
      </w:r>
      <w:r>
        <w:t>12.06 -13.19%</w:t>
      </w:r>
      <w:r w:rsidR="00BA723E">
        <w:t>)</w:t>
      </w:r>
      <w:r>
        <w:t xml:space="preserve"> approved by the </w:t>
      </w:r>
      <w:r w:rsidR="00A17D27">
        <w:t>PUCO</w:t>
      </w:r>
      <w:r>
        <w:t xml:space="preserve"> in DP&amp;L’s last rate case (Case No. 91-414-EL-AIR).</w:t>
      </w:r>
      <w:r>
        <w:rPr>
          <w:rStyle w:val="FootnoteReference"/>
        </w:rPr>
        <w:footnoteReference w:id="31"/>
      </w:r>
      <w:r>
        <w:t xml:space="preserve"> </w:t>
      </w:r>
      <w:r w:rsidR="00E43C70">
        <w:t xml:space="preserve"> </w:t>
      </w:r>
      <w:r>
        <w:t xml:space="preserve">Additionally, </w:t>
      </w:r>
      <w:r w:rsidR="000F5743">
        <w:t>DP&amp;L’s</w:t>
      </w:r>
      <w:r>
        <w:t xml:space="preserve"> </w:t>
      </w:r>
      <w:r w:rsidR="00E97D1B">
        <w:t>1</w:t>
      </w:r>
      <w:r w:rsidR="00C64830">
        <w:t>8.99</w:t>
      </w:r>
      <w:r>
        <w:t xml:space="preserve">% </w:t>
      </w:r>
      <w:r w:rsidR="000F5743">
        <w:t xml:space="preserve">ROE </w:t>
      </w:r>
      <w:r>
        <w:t xml:space="preserve">is </w:t>
      </w:r>
      <w:r w:rsidR="00E97D1B">
        <w:t xml:space="preserve">considerably higher than </w:t>
      </w:r>
      <w:r>
        <w:t xml:space="preserve">the 11.30% </w:t>
      </w:r>
      <w:r w:rsidR="000F5743">
        <w:t xml:space="preserve">ROE </w:t>
      </w:r>
      <w:r>
        <w:t xml:space="preserve">that was approved by the </w:t>
      </w:r>
      <w:r w:rsidR="00A17D27">
        <w:t>PUCO</w:t>
      </w:r>
      <w:r>
        <w:t xml:space="preserve"> in DP&amp;L’s 200</w:t>
      </w:r>
      <w:r w:rsidR="00BA723E">
        <w:t>8</w:t>
      </w:r>
      <w:r>
        <w:t xml:space="preserve"> ESP.</w:t>
      </w:r>
      <w:r>
        <w:rPr>
          <w:rStyle w:val="FootnoteReference"/>
        </w:rPr>
        <w:footnoteReference w:id="32"/>
      </w:r>
      <w:r>
        <w:t xml:space="preserve">  Such a high ROE (</w:t>
      </w:r>
      <w:r w:rsidR="00E97D1B">
        <w:t>1</w:t>
      </w:r>
      <w:r w:rsidR="00C64830">
        <w:t>8.99</w:t>
      </w:r>
      <w:r>
        <w:t>%) indicates that in 2008 DP&amp;L</w:t>
      </w:r>
      <w:r w:rsidR="00EE3FBD">
        <w:t>’s revenues from the rates it</w:t>
      </w:r>
      <w:r>
        <w:t xml:space="preserve"> collected from its customers</w:t>
      </w:r>
      <w:r w:rsidR="00E43C70">
        <w:t xml:space="preserve"> </w:t>
      </w:r>
      <w:r w:rsidR="00EE3FBD">
        <w:t xml:space="preserve">more than covered </w:t>
      </w:r>
      <w:r w:rsidR="00E43C70">
        <w:t xml:space="preserve">all </w:t>
      </w:r>
      <w:r>
        <w:t>t</w:t>
      </w:r>
      <w:r w:rsidR="00E43C70">
        <w:t>he</w:t>
      </w:r>
      <w:r>
        <w:t xml:space="preserve"> O&amp;M costs </w:t>
      </w:r>
      <w:r w:rsidR="005013F4">
        <w:t xml:space="preserve">it </w:t>
      </w:r>
      <w:r w:rsidR="00E43C70">
        <w:t xml:space="preserve">incurred </w:t>
      </w:r>
      <w:r>
        <w:t>(including all storm-related O&amp;M expenses</w:t>
      </w:r>
      <w:r w:rsidR="000A7765">
        <w:t xml:space="preserve"> incurred in 2008</w:t>
      </w:r>
      <w:r>
        <w:t xml:space="preserve">) and </w:t>
      </w:r>
      <w:r w:rsidR="00E43C70">
        <w:t xml:space="preserve">at the same time earned an extremely high </w:t>
      </w:r>
      <w:r>
        <w:t xml:space="preserve">return on its invested capital.  Because DP&amp;L has </w:t>
      </w:r>
      <w:r w:rsidR="00BA723E">
        <w:t xml:space="preserve">more than </w:t>
      </w:r>
      <w:r>
        <w:t xml:space="preserve">fully recovered its </w:t>
      </w:r>
      <w:r w:rsidR="00B844FE">
        <w:t xml:space="preserve">total </w:t>
      </w:r>
      <w:r>
        <w:t xml:space="preserve">costs (which include all storm-related O&amp;M expenses and a very high return on invested capital) </w:t>
      </w:r>
      <w:r w:rsidR="00B844FE">
        <w:t xml:space="preserve">of providing electric service </w:t>
      </w:r>
      <w:r>
        <w:t xml:space="preserve">in 2008, </w:t>
      </w:r>
      <w:r w:rsidR="00E43C70">
        <w:t xml:space="preserve">there is no financial need for DP&amp;L to collect </w:t>
      </w:r>
      <w:r>
        <w:t xml:space="preserve">any </w:t>
      </w:r>
      <w:r w:rsidR="00E43C70">
        <w:t xml:space="preserve">deferred </w:t>
      </w:r>
      <w:r w:rsidR="00B844FE">
        <w:t xml:space="preserve">2008 </w:t>
      </w:r>
      <w:r w:rsidR="00E43C70">
        <w:t>storm-related O&amp;M expenses</w:t>
      </w:r>
      <w:r w:rsidR="00BF62FB">
        <w:t>.</w:t>
      </w:r>
    </w:p>
    <w:p w:rsidR="000B70BA" w:rsidRDefault="000B70BA" w:rsidP="00401293">
      <w:pPr>
        <w:autoSpaceDE w:val="0"/>
        <w:autoSpaceDN w:val="0"/>
        <w:adjustRightInd w:val="0"/>
        <w:spacing w:line="480" w:lineRule="auto"/>
        <w:ind w:left="720" w:hanging="720"/>
      </w:pPr>
    </w:p>
    <w:p w:rsidR="00401293" w:rsidRDefault="000B70BA" w:rsidP="00DF5FA6">
      <w:pPr>
        <w:autoSpaceDE w:val="0"/>
        <w:autoSpaceDN w:val="0"/>
        <w:adjustRightInd w:val="0"/>
        <w:spacing w:line="480" w:lineRule="auto"/>
        <w:ind w:left="720"/>
      </w:pPr>
      <w:r>
        <w:t xml:space="preserve">Furthermore, any </w:t>
      </w:r>
      <w:r w:rsidR="00B844FE">
        <w:t xml:space="preserve">additional </w:t>
      </w:r>
      <w:r w:rsidR="00401293">
        <w:t xml:space="preserve">collection of </w:t>
      </w:r>
      <w:r w:rsidR="00B844FE">
        <w:t xml:space="preserve">the </w:t>
      </w:r>
      <w:r w:rsidR="00401293">
        <w:t xml:space="preserve">deferred </w:t>
      </w:r>
      <w:r>
        <w:t xml:space="preserve">2008 </w:t>
      </w:r>
      <w:r w:rsidR="00401293">
        <w:t>storm-related expenses</w:t>
      </w:r>
      <w:r w:rsidR="00BA723E">
        <w:t xml:space="preserve"> from customers </w:t>
      </w:r>
      <w:r w:rsidR="00401293">
        <w:t xml:space="preserve">would amount to an unreasonable and unjust increase in rates.  </w:t>
      </w:r>
      <w:r w:rsidR="00467F4A">
        <w:t xml:space="preserve">Actually, it would be a double recovery of the deferred storm-related O&amp;M expenses. </w:t>
      </w:r>
      <w:r w:rsidR="005013F4">
        <w:t xml:space="preserve"> </w:t>
      </w:r>
      <w:r w:rsidR="00401293">
        <w:t xml:space="preserve">The </w:t>
      </w:r>
      <w:r>
        <w:t xml:space="preserve">imposition and </w:t>
      </w:r>
      <w:r w:rsidR="00401293">
        <w:t>collection of un</w:t>
      </w:r>
      <w:r w:rsidR="00A80DFF">
        <w:t>just and un</w:t>
      </w:r>
      <w:r w:rsidR="00401293">
        <w:t xml:space="preserve">reasonable rates </w:t>
      </w:r>
      <w:r w:rsidR="00A80DFF">
        <w:t xml:space="preserve">by a regulated electric utility such as DP&amp;L </w:t>
      </w:r>
      <w:r w:rsidR="00401293">
        <w:t>is contrary to the electric service policies of the state of Ohio, specifically</w:t>
      </w:r>
      <w:r w:rsidR="007E596A">
        <w:t>,</w:t>
      </w:r>
      <w:r w:rsidR="00401293">
        <w:t xml:space="preserve"> the availability of reasonably priced retail electric service</w:t>
      </w:r>
      <w:r w:rsidR="00061A19">
        <w:t xml:space="preserve"> and </w:t>
      </w:r>
      <w:r w:rsidR="00401293">
        <w:t>the protection of at-risk population</w:t>
      </w:r>
      <w:r w:rsidR="00061A19">
        <w:t>s</w:t>
      </w:r>
      <w:r w:rsidR="00283CE9">
        <w:t>.</w:t>
      </w:r>
    </w:p>
    <w:p w:rsidR="00C64830" w:rsidRDefault="00C64830" w:rsidP="002909E6">
      <w:pPr>
        <w:spacing w:line="480" w:lineRule="auto"/>
        <w:ind w:left="720" w:hanging="720"/>
        <w:rPr>
          <w:b/>
          <w:i/>
        </w:rPr>
      </w:pPr>
    </w:p>
    <w:p w:rsidR="002909E6" w:rsidRDefault="002909E6" w:rsidP="002909E6">
      <w:pPr>
        <w:spacing w:line="480" w:lineRule="auto"/>
        <w:ind w:left="720" w:hanging="720"/>
        <w:rPr>
          <w:b/>
          <w:i/>
        </w:rPr>
      </w:pPr>
      <w:r w:rsidRPr="00795B74">
        <w:rPr>
          <w:b/>
          <w:i/>
        </w:rPr>
        <w:t>Q</w:t>
      </w:r>
      <w:r w:rsidR="00D116E4">
        <w:rPr>
          <w:b/>
          <w:i/>
        </w:rPr>
        <w:t>22</w:t>
      </w:r>
      <w:r w:rsidRPr="00795B74">
        <w:rPr>
          <w:b/>
          <w:i/>
        </w:rPr>
        <w:t>.</w:t>
      </w:r>
      <w:r w:rsidRPr="00795B74">
        <w:rPr>
          <w:b/>
          <w:i/>
        </w:rPr>
        <w:tab/>
      </w:r>
      <w:r w:rsidR="008D51C6">
        <w:rPr>
          <w:b/>
          <w:i/>
        </w:rPr>
        <w:t xml:space="preserve">SHOULD </w:t>
      </w:r>
      <w:r w:rsidR="007E596A">
        <w:rPr>
          <w:b/>
          <w:i/>
        </w:rPr>
        <w:t xml:space="preserve">THE PUCO GRANT </w:t>
      </w:r>
      <w:r w:rsidR="008D51C6">
        <w:rPr>
          <w:b/>
          <w:i/>
        </w:rPr>
        <w:t>DP&amp;L THE AUTHORITY TO DEFER THE 2011 MAJOR</w:t>
      </w:r>
      <w:r w:rsidR="00204B53">
        <w:rPr>
          <w:b/>
          <w:i/>
        </w:rPr>
        <w:t xml:space="preserve"> </w:t>
      </w:r>
      <w:r w:rsidR="008D51C6">
        <w:rPr>
          <w:b/>
          <w:i/>
        </w:rPr>
        <w:t>STORM</w:t>
      </w:r>
      <w:r w:rsidR="00204B53">
        <w:rPr>
          <w:b/>
          <w:i/>
        </w:rPr>
        <w:t>-</w:t>
      </w:r>
      <w:r w:rsidR="008D51C6">
        <w:rPr>
          <w:b/>
          <w:i/>
        </w:rPr>
        <w:t xml:space="preserve">RELATED </w:t>
      </w:r>
      <w:r w:rsidR="00C71A96">
        <w:rPr>
          <w:b/>
          <w:bCs/>
          <w:i/>
          <w:iCs/>
        </w:rPr>
        <w:t xml:space="preserve">OPERATION AND MAINTENANCE </w:t>
      </w:r>
      <w:r w:rsidR="008D51C6">
        <w:rPr>
          <w:b/>
          <w:i/>
        </w:rPr>
        <w:t>COSTS?</w:t>
      </w:r>
    </w:p>
    <w:p w:rsidR="004659EC" w:rsidRDefault="002909E6" w:rsidP="0097380D">
      <w:pPr>
        <w:spacing w:line="480" w:lineRule="auto"/>
        <w:ind w:left="720" w:hanging="720"/>
        <w:rPr>
          <w:b/>
          <w:i/>
        </w:rPr>
      </w:pPr>
      <w:r w:rsidRPr="00CF7E23">
        <w:rPr>
          <w:b/>
          <w:i/>
        </w:rPr>
        <w:t>A</w:t>
      </w:r>
      <w:r w:rsidR="00D116E4">
        <w:rPr>
          <w:b/>
          <w:i/>
        </w:rPr>
        <w:t>22</w:t>
      </w:r>
      <w:r w:rsidRPr="00CF7E23">
        <w:rPr>
          <w:b/>
          <w:i/>
        </w:rPr>
        <w:t>.</w:t>
      </w:r>
      <w:r w:rsidR="008D51C6">
        <w:rPr>
          <w:b/>
          <w:i/>
        </w:rPr>
        <w:tab/>
      </w:r>
      <w:r w:rsidR="005A7B46">
        <w:t xml:space="preserve">No.  </w:t>
      </w:r>
      <w:r w:rsidR="00190A23">
        <w:t>DP&amp;L has not alleged, nor can it demonstrate a financial need for th</w:t>
      </w:r>
      <w:r w:rsidR="005013F4">
        <w:t>is</w:t>
      </w:r>
      <w:r w:rsidR="00190A23">
        <w:t xml:space="preserve"> deferral.</w:t>
      </w:r>
      <w:r w:rsidR="00190A23">
        <w:rPr>
          <w:rStyle w:val="FootnoteReference"/>
        </w:rPr>
        <w:footnoteReference w:id="33"/>
      </w:r>
      <w:r w:rsidR="00190A23">
        <w:t xml:space="preserve">  Moreover, </w:t>
      </w:r>
      <w:r w:rsidR="004659EC">
        <w:t xml:space="preserve">DP&amp;L should not be granted the authority to defer these </w:t>
      </w:r>
      <w:r w:rsidR="00A80DFF">
        <w:t xml:space="preserve">O&amp;M </w:t>
      </w:r>
      <w:r w:rsidR="004659EC">
        <w:t xml:space="preserve">costs because the deferral request is </w:t>
      </w:r>
      <w:r w:rsidR="00E43420">
        <w:t xml:space="preserve">not </w:t>
      </w:r>
      <w:r w:rsidR="004659EC">
        <w:t>timely</w:t>
      </w:r>
      <w:r w:rsidR="00A80DFF">
        <w:t xml:space="preserve">. </w:t>
      </w:r>
      <w:r w:rsidR="005013F4">
        <w:t xml:space="preserve"> </w:t>
      </w:r>
      <w:r w:rsidR="00651DBD">
        <w:t xml:space="preserve">DP&amp;L has </w:t>
      </w:r>
      <w:r w:rsidR="00B87E84">
        <w:t xml:space="preserve">not provided any explanation why it waited </w:t>
      </w:r>
      <w:r w:rsidR="00A80DFF">
        <w:t>2</w:t>
      </w:r>
      <w:r w:rsidR="00204B53">
        <w:t>3</w:t>
      </w:r>
      <w:r w:rsidR="00A80DFF">
        <w:t xml:space="preserve"> months </w:t>
      </w:r>
      <w:r w:rsidR="00B87E84">
        <w:t xml:space="preserve">to file the </w:t>
      </w:r>
      <w:r w:rsidR="00E43420">
        <w:t xml:space="preserve">request for </w:t>
      </w:r>
      <w:r w:rsidR="00B87E84">
        <w:t>deferral</w:t>
      </w:r>
      <w:r w:rsidR="00E43420">
        <w:t>.</w:t>
      </w:r>
      <w:r w:rsidR="00522C87">
        <w:rPr>
          <w:rStyle w:val="FootnoteReference"/>
        </w:rPr>
        <w:footnoteReference w:id="34"/>
      </w:r>
      <w:r w:rsidR="00AC004D">
        <w:t xml:space="preserve"> </w:t>
      </w:r>
      <w:r w:rsidR="00E43420">
        <w:t xml:space="preserve"> DP&amp;L </w:t>
      </w:r>
      <w:r w:rsidR="00651DBD">
        <w:t>failed to show any extraordinary circumstance for the long delay in filing the deferral request fo</w:t>
      </w:r>
      <w:r w:rsidR="00283CE9">
        <w:t>r the 2011 storm-related costs.</w:t>
      </w:r>
    </w:p>
    <w:p w:rsidR="0044489E" w:rsidRDefault="0044489E" w:rsidP="0097380D">
      <w:pPr>
        <w:spacing w:line="480" w:lineRule="auto"/>
        <w:ind w:left="720" w:hanging="720"/>
        <w:rPr>
          <w:b/>
          <w:i/>
        </w:rPr>
      </w:pPr>
    </w:p>
    <w:p w:rsidR="004659EC" w:rsidRDefault="004659EC" w:rsidP="0097380D">
      <w:pPr>
        <w:spacing w:line="480" w:lineRule="auto"/>
        <w:ind w:left="720" w:hanging="720"/>
        <w:rPr>
          <w:b/>
          <w:i/>
        </w:rPr>
      </w:pPr>
      <w:r>
        <w:rPr>
          <w:b/>
          <w:i/>
        </w:rPr>
        <w:t>Q</w:t>
      </w:r>
      <w:r w:rsidR="00D116E4">
        <w:rPr>
          <w:b/>
          <w:i/>
        </w:rPr>
        <w:t>23</w:t>
      </w:r>
      <w:r>
        <w:rPr>
          <w:b/>
          <w:i/>
        </w:rPr>
        <w:t>.</w:t>
      </w:r>
      <w:r>
        <w:rPr>
          <w:b/>
          <w:i/>
        </w:rPr>
        <w:tab/>
        <w:t>WHEN DID DP&amp;L FILE ITS APPLICATION REQUESTING AUTHORITY TO DEFER THE 2011 STORM-RELATED EXPENSES?</w:t>
      </w:r>
    </w:p>
    <w:p w:rsidR="004659EC" w:rsidRDefault="004659EC" w:rsidP="0097380D">
      <w:pPr>
        <w:spacing w:line="480" w:lineRule="auto"/>
        <w:ind w:left="720" w:hanging="720"/>
      </w:pPr>
      <w:r w:rsidRPr="00AC004D">
        <w:rPr>
          <w:b/>
          <w:i/>
        </w:rPr>
        <w:t>A</w:t>
      </w:r>
      <w:r w:rsidR="00D116E4">
        <w:rPr>
          <w:b/>
          <w:i/>
        </w:rPr>
        <w:t>23</w:t>
      </w:r>
      <w:r w:rsidRPr="00AC004D">
        <w:rPr>
          <w:b/>
          <w:i/>
        </w:rPr>
        <w:t>.</w:t>
      </w:r>
      <w:r w:rsidRPr="00DF5FA6">
        <w:tab/>
        <w:t xml:space="preserve">DP&amp;L filed its Application </w:t>
      </w:r>
      <w:r w:rsidR="00A80DFF">
        <w:t>for the authority to defer 2011 storm</w:t>
      </w:r>
      <w:r w:rsidR="00A93D15">
        <w:t xml:space="preserve"> </w:t>
      </w:r>
      <w:r w:rsidR="00A80DFF">
        <w:t xml:space="preserve">related costs </w:t>
      </w:r>
      <w:r w:rsidRPr="00DF5FA6">
        <w:t xml:space="preserve">on </w:t>
      </w:r>
      <w:r w:rsidR="00007ACB">
        <w:t>December 21, 2012</w:t>
      </w:r>
      <w:r w:rsidRPr="00DF5FA6">
        <w:t xml:space="preserve">.  </w:t>
      </w:r>
      <w:r w:rsidR="00F85F5A">
        <w:t>DP&amp;L waited nearly fifteen months</w:t>
      </w:r>
      <w:r w:rsidR="009B44D7">
        <w:t xml:space="preserve"> </w:t>
      </w:r>
      <w:r w:rsidR="00CA1297">
        <w:t xml:space="preserve">after </w:t>
      </w:r>
      <w:r w:rsidR="009B44D7">
        <w:t xml:space="preserve">the last </w:t>
      </w:r>
      <w:r w:rsidR="001605E4">
        <w:t xml:space="preserve">major </w:t>
      </w:r>
      <w:r w:rsidR="009B44D7">
        <w:t xml:space="preserve">storm of 2011 </w:t>
      </w:r>
      <w:r w:rsidR="001605E4">
        <w:t xml:space="preserve">(September 3, 2011) </w:t>
      </w:r>
      <w:r w:rsidR="009B44D7">
        <w:t>and nearly 2</w:t>
      </w:r>
      <w:r w:rsidR="005F0C76">
        <w:t>3</w:t>
      </w:r>
      <w:r w:rsidR="009B44D7">
        <w:t xml:space="preserve"> months </w:t>
      </w:r>
      <w:r w:rsidR="00CA1297">
        <w:t xml:space="preserve">after </w:t>
      </w:r>
      <w:r w:rsidR="009B44D7">
        <w:t xml:space="preserve">the first </w:t>
      </w:r>
      <w:r w:rsidR="001605E4">
        <w:t xml:space="preserve">major </w:t>
      </w:r>
      <w:r w:rsidR="009B44D7">
        <w:t>storm in 2011</w:t>
      </w:r>
      <w:r w:rsidR="00F85F5A">
        <w:t xml:space="preserve"> </w:t>
      </w:r>
      <w:r w:rsidR="001605E4">
        <w:t>(</w:t>
      </w:r>
      <w:r w:rsidR="005F0C76">
        <w:t>January 3</w:t>
      </w:r>
      <w:r w:rsidR="001605E4">
        <w:t xml:space="preserve">1, 2011) </w:t>
      </w:r>
      <w:r w:rsidR="00F85F5A">
        <w:t xml:space="preserve">to seek </w:t>
      </w:r>
      <w:r w:rsidR="009B44D7">
        <w:t>authority</w:t>
      </w:r>
      <w:r w:rsidR="00F85F5A">
        <w:t xml:space="preserve"> to defer </w:t>
      </w:r>
      <w:r w:rsidR="00A80DFF">
        <w:t xml:space="preserve">the </w:t>
      </w:r>
      <w:r w:rsidR="009B44D7">
        <w:t>2011 storm</w:t>
      </w:r>
      <w:r w:rsidR="00A80DFF">
        <w:t>-related</w:t>
      </w:r>
      <w:r w:rsidR="00F85F5A">
        <w:t xml:space="preserve"> costs.</w:t>
      </w:r>
      <w:r w:rsidR="001605E4">
        <w:rPr>
          <w:rStyle w:val="FootnoteReference"/>
        </w:rPr>
        <w:footnoteReference w:id="35"/>
      </w:r>
      <w:r w:rsidR="00F85F5A">
        <w:t xml:space="preserve">  This is a significant delay considering DP&amp;L filed its Application to defer 2008 storm-related expenses </w:t>
      </w:r>
      <w:r w:rsidR="00007ACB">
        <w:t>103 days</w:t>
      </w:r>
      <w:r w:rsidR="00F85F5A">
        <w:t xml:space="preserve"> after the Hurricane Ike wind storm, and </w:t>
      </w:r>
      <w:r w:rsidR="005013F4">
        <w:t>its Application to defer 201</w:t>
      </w:r>
      <w:r w:rsidR="00AA4A58">
        <w:t>2</w:t>
      </w:r>
      <w:r w:rsidR="005013F4">
        <w:t xml:space="preserve"> expenses </w:t>
      </w:r>
      <w:r w:rsidR="00007ACB">
        <w:t>42 days</w:t>
      </w:r>
      <w:r w:rsidR="00F85F5A">
        <w:t xml:space="preserve"> after the 2012 storm-related expenses were incurred.</w:t>
      </w:r>
      <w:r w:rsidR="00651DBD">
        <w:t xml:space="preserve">  Actually, DP&amp;L filed its </w:t>
      </w:r>
      <w:r w:rsidR="00190A23">
        <w:t>A</w:t>
      </w:r>
      <w:r w:rsidR="00651DBD">
        <w:t xml:space="preserve">pplication to defer the 2012 storm-related costs </w:t>
      </w:r>
      <w:r w:rsidR="00B844FE">
        <w:t xml:space="preserve">and received the approval for the 2012 deferral </w:t>
      </w:r>
      <w:r w:rsidR="005013F4">
        <w:t xml:space="preserve">before it filed </w:t>
      </w:r>
      <w:r w:rsidR="00651DBD">
        <w:t xml:space="preserve">its </w:t>
      </w:r>
      <w:r w:rsidR="00190A23">
        <w:t>A</w:t>
      </w:r>
      <w:r w:rsidR="00651DBD">
        <w:t>pplication to defer the 2011 storm-related costs.</w:t>
      </w:r>
      <w:r w:rsidR="00DB42B0">
        <w:rPr>
          <w:rStyle w:val="FootnoteReference"/>
        </w:rPr>
        <w:footnoteReference w:id="36"/>
      </w:r>
    </w:p>
    <w:p w:rsidR="00924FC1" w:rsidRDefault="00924FC1" w:rsidP="0097380D">
      <w:pPr>
        <w:spacing w:line="480" w:lineRule="auto"/>
        <w:ind w:left="720" w:hanging="720"/>
      </w:pPr>
    </w:p>
    <w:p w:rsidR="004202C2" w:rsidRDefault="00E92A21" w:rsidP="00283CE9">
      <w:pPr>
        <w:spacing w:line="480" w:lineRule="auto"/>
        <w:ind w:left="720"/>
      </w:pPr>
      <w:r>
        <w:t xml:space="preserve">DP&amp;L’s </w:t>
      </w:r>
      <w:r w:rsidR="00924FC1">
        <w:t xml:space="preserve">request for deferral of 2011 storm-related costs is particularly troublesome </w:t>
      </w:r>
      <w:r w:rsidR="00A93D15">
        <w:t xml:space="preserve">as a matter of public utility regulation </w:t>
      </w:r>
      <w:r w:rsidR="00924FC1">
        <w:t xml:space="preserve">because these 2011 costs were fully expensed and reflected in DP&amp;L’s 2011 financial statements.  By granting the deferral </w:t>
      </w:r>
      <w:r w:rsidR="00040F3E">
        <w:t xml:space="preserve">at this time </w:t>
      </w:r>
      <w:r w:rsidR="00924FC1">
        <w:t xml:space="preserve">and allowing DP&amp;L to collect them, the </w:t>
      </w:r>
      <w:r w:rsidR="00A17D27">
        <w:t>PUCO</w:t>
      </w:r>
      <w:r w:rsidR="00924FC1">
        <w:t xml:space="preserve"> is giving a</w:t>
      </w:r>
      <w:r w:rsidR="00040F3E">
        <w:t>n</w:t>
      </w:r>
      <w:r w:rsidR="00924FC1">
        <w:t xml:space="preserve"> unjustified and unreasonable windfall </w:t>
      </w:r>
      <w:r w:rsidR="00A93D15">
        <w:t xml:space="preserve">of at least $10 million ($10,035,297) </w:t>
      </w:r>
      <w:r w:rsidR="00924FC1">
        <w:t>to DP&amp;L</w:t>
      </w:r>
      <w:r>
        <w:t>.</w:t>
      </w:r>
      <w:r w:rsidR="00A93D15">
        <w:rPr>
          <w:rStyle w:val="FootnoteReference"/>
        </w:rPr>
        <w:footnoteReference w:id="37"/>
      </w:r>
      <w:r>
        <w:t xml:space="preserve">  This windfall would</w:t>
      </w:r>
      <w:r w:rsidR="005450EF">
        <w:t xml:space="preserve"> be paid by DP&amp;L’s customers</w:t>
      </w:r>
      <w:r>
        <w:t>,</w:t>
      </w:r>
      <w:r w:rsidR="005450EF">
        <w:t xml:space="preserve"> </w:t>
      </w:r>
      <w:r w:rsidR="009B7856">
        <w:t xml:space="preserve">who </w:t>
      </w:r>
      <w:r w:rsidR="005450EF">
        <w:t xml:space="preserve">are already paying one of the highest electric rates </w:t>
      </w:r>
      <w:r w:rsidR="00170D88">
        <w:t xml:space="preserve">in Ohio </w:t>
      </w:r>
      <w:r w:rsidR="005450EF">
        <w:t>at this time.</w:t>
      </w:r>
      <w:r w:rsidR="005450EF">
        <w:rPr>
          <w:rStyle w:val="FootnoteReference"/>
        </w:rPr>
        <w:footnoteReference w:id="38"/>
      </w:r>
    </w:p>
    <w:p w:rsidR="002D1413" w:rsidRDefault="002D1413" w:rsidP="00283CE9">
      <w:pPr>
        <w:spacing w:line="480" w:lineRule="auto"/>
        <w:ind w:left="720"/>
        <w:rPr>
          <w:b/>
          <w:i/>
        </w:rPr>
      </w:pPr>
    </w:p>
    <w:p w:rsidR="004659EC" w:rsidRDefault="00F85F5A" w:rsidP="0097380D">
      <w:pPr>
        <w:spacing w:line="480" w:lineRule="auto"/>
        <w:ind w:left="720" w:hanging="720"/>
        <w:rPr>
          <w:b/>
          <w:i/>
        </w:rPr>
      </w:pPr>
      <w:r>
        <w:rPr>
          <w:b/>
          <w:i/>
        </w:rPr>
        <w:t>Q</w:t>
      </w:r>
      <w:r w:rsidR="000C272E">
        <w:rPr>
          <w:b/>
          <w:i/>
        </w:rPr>
        <w:t>2</w:t>
      </w:r>
      <w:r w:rsidR="00D116E4">
        <w:rPr>
          <w:b/>
          <w:i/>
        </w:rPr>
        <w:t>4</w:t>
      </w:r>
      <w:r>
        <w:rPr>
          <w:b/>
          <w:i/>
        </w:rPr>
        <w:t>.</w:t>
      </w:r>
      <w:r>
        <w:rPr>
          <w:b/>
          <w:i/>
        </w:rPr>
        <w:tab/>
      </w:r>
      <w:r w:rsidR="004E655E">
        <w:rPr>
          <w:b/>
          <w:i/>
        </w:rPr>
        <w:t xml:space="preserve">HAS </w:t>
      </w:r>
      <w:r>
        <w:rPr>
          <w:b/>
          <w:i/>
        </w:rPr>
        <w:t xml:space="preserve">THE PUCO STAFF </w:t>
      </w:r>
      <w:r w:rsidR="004E655E">
        <w:rPr>
          <w:b/>
          <w:i/>
        </w:rPr>
        <w:t xml:space="preserve">COMMENTED ON THE </w:t>
      </w:r>
      <w:r w:rsidR="00190A23">
        <w:rPr>
          <w:b/>
          <w:i/>
        </w:rPr>
        <w:t>UN</w:t>
      </w:r>
      <w:r>
        <w:rPr>
          <w:b/>
          <w:i/>
        </w:rPr>
        <w:t xml:space="preserve">TIMELINESS OF DP&amp;L’S </w:t>
      </w:r>
      <w:r w:rsidR="004E655E">
        <w:rPr>
          <w:b/>
          <w:i/>
        </w:rPr>
        <w:t xml:space="preserve">REQUEST TO </w:t>
      </w:r>
      <w:r>
        <w:rPr>
          <w:b/>
          <w:i/>
        </w:rPr>
        <w:t xml:space="preserve">DEFER 2011 STORM-RELATED </w:t>
      </w:r>
      <w:r w:rsidR="004E655E">
        <w:rPr>
          <w:b/>
          <w:i/>
        </w:rPr>
        <w:t>COSTS</w:t>
      </w:r>
      <w:r>
        <w:rPr>
          <w:b/>
          <w:i/>
        </w:rPr>
        <w:t>?</w:t>
      </w:r>
    </w:p>
    <w:p w:rsidR="004202C2" w:rsidRDefault="00F85F5A" w:rsidP="004202C2">
      <w:pPr>
        <w:spacing w:line="480" w:lineRule="auto"/>
        <w:ind w:left="720" w:hanging="720"/>
        <w:rPr>
          <w:b/>
          <w:i/>
        </w:rPr>
      </w:pPr>
      <w:r w:rsidRPr="00AC004D">
        <w:rPr>
          <w:b/>
          <w:i/>
        </w:rPr>
        <w:t>A</w:t>
      </w:r>
      <w:r w:rsidR="000C272E">
        <w:rPr>
          <w:b/>
          <w:i/>
        </w:rPr>
        <w:t>2</w:t>
      </w:r>
      <w:r w:rsidR="00D116E4">
        <w:rPr>
          <w:b/>
          <w:i/>
        </w:rPr>
        <w:t>4</w:t>
      </w:r>
      <w:r w:rsidRPr="00AC004D">
        <w:rPr>
          <w:b/>
          <w:i/>
        </w:rPr>
        <w:t>.</w:t>
      </w:r>
      <w:r>
        <w:tab/>
        <w:t xml:space="preserve">Yes. </w:t>
      </w:r>
      <w:r w:rsidR="00170D88">
        <w:t xml:space="preserve"> </w:t>
      </w:r>
      <w:r>
        <w:t>The PUCO Staff indicated</w:t>
      </w:r>
      <w:r w:rsidR="004E655E">
        <w:t xml:space="preserve">, </w:t>
      </w:r>
      <w:r>
        <w:t>in Comments filed in this case, that the 2011 deferral request was not timely filed</w:t>
      </w:r>
      <w:r w:rsidR="00AC004D">
        <w:t xml:space="preserve"> a</w:t>
      </w:r>
      <w:r w:rsidR="000A7765">
        <w:t xml:space="preserve">nd </w:t>
      </w:r>
      <w:r w:rsidR="00AC004D">
        <w:t xml:space="preserve">the </w:t>
      </w:r>
      <w:r w:rsidR="00B844FE">
        <w:t xml:space="preserve">2011 </w:t>
      </w:r>
      <w:r w:rsidR="00AC004D">
        <w:t xml:space="preserve">financial statements </w:t>
      </w:r>
      <w:r w:rsidR="00B844FE">
        <w:t xml:space="preserve">of DP&amp;L </w:t>
      </w:r>
      <w:r w:rsidR="00AC004D">
        <w:t xml:space="preserve">were </w:t>
      </w:r>
      <w:r w:rsidR="00B844FE">
        <w:t xml:space="preserve">already </w:t>
      </w:r>
      <w:r w:rsidR="00AC004D">
        <w:t>completed</w:t>
      </w:r>
      <w:r w:rsidR="00B844FE">
        <w:t xml:space="preserve"> and filed before the filing of the request for deferral</w:t>
      </w:r>
      <w:r>
        <w:t>.</w:t>
      </w:r>
      <w:r>
        <w:rPr>
          <w:rStyle w:val="FootnoteReference"/>
        </w:rPr>
        <w:footnoteReference w:id="39"/>
      </w:r>
      <w:r w:rsidR="00AC004D">
        <w:t xml:space="preserve">  The PUCO </w:t>
      </w:r>
      <w:r w:rsidR="000A7765">
        <w:t xml:space="preserve">Staff </w:t>
      </w:r>
      <w:r w:rsidR="00AC004D">
        <w:t>indicated that deferring</w:t>
      </w:r>
      <w:r w:rsidR="00E92A21">
        <w:t xml:space="preserve"> 2011</w:t>
      </w:r>
      <w:r w:rsidR="00AC004D">
        <w:t xml:space="preserve"> </w:t>
      </w:r>
      <w:r w:rsidR="00B844FE">
        <w:t xml:space="preserve">storm-related </w:t>
      </w:r>
      <w:r w:rsidR="00AC004D">
        <w:t>expenses is not appropriate and is not recommended</w:t>
      </w:r>
      <w:r w:rsidR="00CE068D">
        <w:t xml:space="preserve"> for collection</w:t>
      </w:r>
      <w:r w:rsidR="00AC004D">
        <w:t>.</w:t>
      </w:r>
      <w:r w:rsidR="00AC004D">
        <w:rPr>
          <w:rStyle w:val="FootnoteReference"/>
        </w:rPr>
        <w:footnoteReference w:id="40"/>
      </w:r>
      <w:r w:rsidR="00AC004D">
        <w:t xml:space="preserve"> </w:t>
      </w:r>
      <w:r w:rsidR="00664B16">
        <w:t xml:space="preserve"> </w:t>
      </w:r>
      <w:r w:rsidR="000A7765">
        <w:t xml:space="preserve">The </w:t>
      </w:r>
      <w:r w:rsidR="00664B16">
        <w:t xml:space="preserve">PUCO Staff reiterated </w:t>
      </w:r>
      <w:r w:rsidR="000A7765">
        <w:t xml:space="preserve">the same position </w:t>
      </w:r>
      <w:r w:rsidR="00664B16">
        <w:t>in its Audit Report filed on January 3, 2014</w:t>
      </w:r>
      <w:r w:rsidR="00FB23D0">
        <w:t>,</w:t>
      </w:r>
      <w:r w:rsidR="00CE068D">
        <w:t xml:space="preserve"> that the 2008 and 2011 expenses should not be recovered (i.e. </w:t>
      </w:r>
      <w:r w:rsidR="00FB23D0">
        <w:t xml:space="preserve">the expenses should not be </w:t>
      </w:r>
      <w:r w:rsidR="00CE068D">
        <w:t>collected from customers)</w:t>
      </w:r>
      <w:r w:rsidR="00664B16">
        <w:t>.</w:t>
      </w:r>
      <w:r w:rsidR="00664B16">
        <w:rPr>
          <w:rStyle w:val="FootnoteReference"/>
        </w:rPr>
        <w:footnoteReference w:id="41"/>
      </w:r>
      <w:bookmarkStart w:id="20" w:name="_Toc349131554"/>
      <w:bookmarkStart w:id="21" w:name="_Toc329611146"/>
      <w:r w:rsidR="004202C2">
        <w:rPr>
          <w:b/>
          <w:i/>
        </w:rPr>
        <w:br w:type="page"/>
      </w:r>
    </w:p>
    <w:p w:rsidR="005D1C5C" w:rsidRDefault="005D1C5C" w:rsidP="005D1C5C">
      <w:pPr>
        <w:spacing w:line="480" w:lineRule="auto"/>
        <w:ind w:left="720" w:hanging="720"/>
      </w:pPr>
      <w:r w:rsidRPr="00795B74">
        <w:rPr>
          <w:b/>
          <w:i/>
        </w:rPr>
        <w:t>Q</w:t>
      </w:r>
      <w:r w:rsidR="00B0741B">
        <w:rPr>
          <w:b/>
          <w:i/>
        </w:rPr>
        <w:t>2</w:t>
      </w:r>
      <w:r w:rsidR="00D116E4">
        <w:rPr>
          <w:b/>
          <w:i/>
        </w:rPr>
        <w:t>5</w:t>
      </w:r>
      <w:r w:rsidRPr="00795B74">
        <w:rPr>
          <w:b/>
          <w:i/>
        </w:rPr>
        <w:t>.</w:t>
      </w:r>
      <w:r w:rsidRPr="00795B74">
        <w:rPr>
          <w:b/>
          <w:i/>
        </w:rPr>
        <w:tab/>
      </w:r>
      <w:r>
        <w:rPr>
          <w:b/>
          <w:i/>
        </w:rPr>
        <w:t>WHAT WAS DP&amp;L’S RETURN ON EQUITY FOR 2011?</w:t>
      </w:r>
    </w:p>
    <w:p w:rsidR="002D1413" w:rsidRDefault="005D1C5C" w:rsidP="004202C2">
      <w:pPr>
        <w:spacing w:line="480" w:lineRule="auto"/>
        <w:ind w:left="720" w:hanging="720"/>
      </w:pPr>
      <w:r w:rsidRPr="005B0A8C">
        <w:rPr>
          <w:b/>
          <w:i/>
        </w:rPr>
        <w:t>A</w:t>
      </w:r>
      <w:r w:rsidR="00B0741B">
        <w:rPr>
          <w:b/>
          <w:i/>
        </w:rPr>
        <w:t>2</w:t>
      </w:r>
      <w:r w:rsidR="00D116E4">
        <w:rPr>
          <w:b/>
          <w:i/>
        </w:rPr>
        <w:t>5</w:t>
      </w:r>
      <w:r w:rsidRPr="005B0A8C">
        <w:rPr>
          <w:b/>
          <w:i/>
        </w:rPr>
        <w:t>.</w:t>
      </w:r>
      <w:r>
        <w:tab/>
        <w:t>In 2011, DP&amp;L had a net income of $193.2 million</w:t>
      </w:r>
      <w:r w:rsidR="00A93D15">
        <w:t>, a preferred dividend of $0.9 million,</w:t>
      </w:r>
      <w:r>
        <w:t xml:space="preserve"> and average shareholder equity of $1,368.7 million</w:t>
      </w:r>
      <w:r w:rsidR="00E92A21">
        <w:t xml:space="preserve">, </w:t>
      </w:r>
      <w:r w:rsidR="00D14B70">
        <w:t>yielding</w:t>
      </w:r>
      <w:r w:rsidR="00E92A21">
        <w:t xml:space="preserve"> a</w:t>
      </w:r>
      <w:r>
        <w:t xml:space="preserve"> 14.05% </w:t>
      </w:r>
      <w:r w:rsidR="00E92A21">
        <w:t>return on equity</w:t>
      </w:r>
      <w:r w:rsidR="00283CE9">
        <w:t>.</w:t>
      </w:r>
    </w:p>
    <w:p w:rsidR="004202C2" w:rsidRDefault="004202C2" w:rsidP="004202C2">
      <w:pPr>
        <w:spacing w:line="480" w:lineRule="auto"/>
        <w:ind w:left="720" w:hanging="720"/>
        <w:rPr>
          <w:b/>
          <w:bCs/>
          <w:i/>
          <w:iCs/>
        </w:rPr>
      </w:pPr>
    </w:p>
    <w:p w:rsidR="000C272E" w:rsidRDefault="000C272E" w:rsidP="000C272E">
      <w:pPr>
        <w:autoSpaceDE w:val="0"/>
        <w:autoSpaceDN w:val="0"/>
        <w:adjustRightInd w:val="0"/>
        <w:spacing w:line="480" w:lineRule="auto"/>
        <w:ind w:left="720" w:hanging="720"/>
        <w:rPr>
          <w:b/>
          <w:bCs/>
          <w:i/>
          <w:iCs/>
        </w:rPr>
      </w:pPr>
      <w:r>
        <w:rPr>
          <w:b/>
          <w:bCs/>
          <w:i/>
          <w:iCs/>
        </w:rPr>
        <w:t>Q2</w:t>
      </w:r>
      <w:r w:rsidR="00D116E4">
        <w:rPr>
          <w:b/>
          <w:bCs/>
          <w:i/>
          <w:iCs/>
        </w:rPr>
        <w:t>6</w:t>
      </w:r>
      <w:r>
        <w:rPr>
          <w:b/>
          <w:bCs/>
          <w:i/>
          <w:iCs/>
        </w:rPr>
        <w:t>.</w:t>
      </w:r>
      <w:r>
        <w:rPr>
          <w:b/>
          <w:bCs/>
          <w:i/>
          <w:iCs/>
        </w:rPr>
        <w:tab/>
        <w:t>HAS DP&amp;L ALREADY EXPENSED ALL ITS 2011 STORM-RELATED EXPENSES IN ITS NORMAL COURSE OF BUSINESS?</w:t>
      </w:r>
    </w:p>
    <w:p w:rsidR="005D1C5C" w:rsidRDefault="000C272E" w:rsidP="002D1413">
      <w:pPr>
        <w:autoSpaceDE w:val="0"/>
        <w:autoSpaceDN w:val="0"/>
        <w:adjustRightInd w:val="0"/>
        <w:spacing w:line="480" w:lineRule="auto"/>
        <w:ind w:left="720" w:hanging="720"/>
        <w:rPr>
          <w:bCs/>
          <w:iCs/>
        </w:rPr>
      </w:pPr>
      <w:r>
        <w:rPr>
          <w:b/>
          <w:bCs/>
          <w:i/>
          <w:iCs/>
        </w:rPr>
        <w:t>A2</w:t>
      </w:r>
      <w:r w:rsidR="00D116E4">
        <w:rPr>
          <w:b/>
          <w:bCs/>
          <w:i/>
          <w:iCs/>
        </w:rPr>
        <w:t>6</w:t>
      </w:r>
      <w:r>
        <w:rPr>
          <w:b/>
          <w:bCs/>
          <w:i/>
          <w:iCs/>
        </w:rPr>
        <w:t>.</w:t>
      </w:r>
      <w:r>
        <w:rPr>
          <w:b/>
          <w:bCs/>
          <w:i/>
          <w:iCs/>
        </w:rPr>
        <w:tab/>
      </w:r>
      <w:r>
        <w:rPr>
          <w:bCs/>
          <w:iCs/>
        </w:rPr>
        <w:t xml:space="preserve">Yes.  Because DP&amp;L has not yet received </w:t>
      </w:r>
      <w:r w:rsidR="00A17D27">
        <w:rPr>
          <w:bCs/>
          <w:iCs/>
        </w:rPr>
        <w:t>PUCO</w:t>
      </w:r>
      <w:r>
        <w:rPr>
          <w:bCs/>
          <w:iCs/>
        </w:rPr>
        <w:t xml:space="preserve"> approval to defer any of its 2011 storm-related expenses</w:t>
      </w:r>
      <w:r w:rsidR="00F90885">
        <w:rPr>
          <w:bCs/>
          <w:iCs/>
        </w:rPr>
        <w:t xml:space="preserve"> at this time</w:t>
      </w:r>
      <w:r>
        <w:rPr>
          <w:bCs/>
          <w:iCs/>
        </w:rPr>
        <w:t xml:space="preserve">, these 2011 storm-related expenses </w:t>
      </w:r>
      <w:r w:rsidR="00E92A21">
        <w:rPr>
          <w:bCs/>
          <w:iCs/>
        </w:rPr>
        <w:t xml:space="preserve">have </w:t>
      </w:r>
      <w:r>
        <w:rPr>
          <w:bCs/>
          <w:iCs/>
        </w:rPr>
        <w:t xml:space="preserve">already been </w:t>
      </w:r>
      <w:r w:rsidR="00B844FE">
        <w:rPr>
          <w:bCs/>
          <w:iCs/>
        </w:rPr>
        <w:t>recorded and re</w:t>
      </w:r>
      <w:r>
        <w:rPr>
          <w:bCs/>
          <w:iCs/>
        </w:rPr>
        <w:t xml:space="preserve">flected in the net income and return on equity as </w:t>
      </w:r>
      <w:r w:rsidR="00B844FE">
        <w:rPr>
          <w:bCs/>
          <w:iCs/>
        </w:rPr>
        <w:t>reported</w:t>
      </w:r>
      <w:r w:rsidR="00AA4E0B">
        <w:rPr>
          <w:bCs/>
          <w:iCs/>
        </w:rPr>
        <w:t xml:space="preserve"> in </w:t>
      </w:r>
      <w:r w:rsidR="00E92A21">
        <w:rPr>
          <w:bCs/>
          <w:iCs/>
        </w:rPr>
        <w:t xml:space="preserve">the </w:t>
      </w:r>
      <w:r w:rsidR="00A17D27">
        <w:rPr>
          <w:bCs/>
          <w:iCs/>
        </w:rPr>
        <w:t>Utility</w:t>
      </w:r>
      <w:r w:rsidR="00E92A21">
        <w:rPr>
          <w:bCs/>
          <w:iCs/>
        </w:rPr>
        <w:t xml:space="preserve">’s </w:t>
      </w:r>
      <w:r w:rsidR="00AA4E0B">
        <w:rPr>
          <w:bCs/>
          <w:iCs/>
        </w:rPr>
        <w:t>financial statements</w:t>
      </w:r>
      <w:r>
        <w:rPr>
          <w:bCs/>
          <w:iCs/>
        </w:rPr>
        <w:t xml:space="preserve">.  I have </w:t>
      </w:r>
      <w:r w:rsidR="009942B1">
        <w:rPr>
          <w:bCs/>
          <w:iCs/>
        </w:rPr>
        <w:t xml:space="preserve">confirmed this by </w:t>
      </w:r>
      <w:r>
        <w:rPr>
          <w:bCs/>
          <w:iCs/>
        </w:rPr>
        <w:t>review</w:t>
      </w:r>
      <w:r w:rsidR="009942B1">
        <w:rPr>
          <w:bCs/>
          <w:iCs/>
        </w:rPr>
        <w:t xml:space="preserve">ing </w:t>
      </w:r>
      <w:r w:rsidR="00F90885">
        <w:rPr>
          <w:bCs/>
          <w:iCs/>
        </w:rPr>
        <w:t xml:space="preserve">the 2011 FERC Form 1 filed by </w:t>
      </w:r>
      <w:r w:rsidR="009942B1">
        <w:rPr>
          <w:bCs/>
          <w:iCs/>
        </w:rPr>
        <w:t xml:space="preserve">DP&amp;L.  </w:t>
      </w:r>
      <w:r w:rsidR="00E92A21">
        <w:rPr>
          <w:bCs/>
          <w:iCs/>
        </w:rPr>
        <w:t xml:space="preserve">During my review of the 2011 FERC Form 1, </w:t>
      </w:r>
      <w:r w:rsidR="00B844FE">
        <w:rPr>
          <w:bCs/>
          <w:iCs/>
        </w:rPr>
        <w:t xml:space="preserve">I did not find any </w:t>
      </w:r>
      <w:r w:rsidR="009942B1">
        <w:rPr>
          <w:bCs/>
          <w:iCs/>
        </w:rPr>
        <w:t xml:space="preserve">record of </w:t>
      </w:r>
      <w:r w:rsidR="00B844FE">
        <w:rPr>
          <w:bCs/>
          <w:iCs/>
        </w:rPr>
        <w:t xml:space="preserve">the </w:t>
      </w:r>
      <w:r w:rsidR="009942B1">
        <w:rPr>
          <w:bCs/>
          <w:iCs/>
        </w:rPr>
        <w:t>deferral of</w:t>
      </w:r>
      <w:r w:rsidR="002D1413">
        <w:rPr>
          <w:bCs/>
          <w:iCs/>
        </w:rPr>
        <w:t xml:space="preserve"> the 2011 storm-related costs.</w:t>
      </w:r>
    </w:p>
    <w:p w:rsidR="002D1413" w:rsidRPr="000C272E" w:rsidRDefault="002D1413" w:rsidP="002D1413">
      <w:pPr>
        <w:autoSpaceDE w:val="0"/>
        <w:autoSpaceDN w:val="0"/>
        <w:adjustRightInd w:val="0"/>
        <w:spacing w:line="480" w:lineRule="auto"/>
        <w:ind w:left="720" w:hanging="720"/>
        <w:rPr>
          <w:bCs/>
          <w:iCs/>
        </w:rPr>
      </w:pPr>
    </w:p>
    <w:p w:rsidR="005D1C5C" w:rsidRDefault="005D1C5C" w:rsidP="004202C2">
      <w:pPr>
        <w:autoSpaceDE w:val="0"/>
        <w:autoSpaceDN w:val="0"/>
        <w:adjustRightInd w:val="0"/>
        <w:spacing w:line="480" w:lineRule="auto"/>
        <w:ind w:left="720" w:hanging="720"/>
        <w:rPr>
          <w:b/>
          <w:bCs/>
          <w:i/>
          <w:iCs/>
        </w:rPr>
      </w:pPr>
      <w:r>
        <w:rPr>
          <w:b/>
          <w:bCs/>
          <w:i/>
          <w:iCs/>
        </w:rPr>
        <w:t>Q</w:t>
      </w:r>
      <w:r w:rsidR="00B0741B">
        <w:rPr>
          <w:b/>
          <w:bCs/>
          <w:i/>
          <w:iCs/>
        </w:rPr>
        <w:t>2</w:t>
      </w:r>
      <w:r w:rsidR="00D116E4">
        <w:rPr>
          <w:b/>
          <w:bCs/>
          <w:i/>
          <w:iCs/>
        </w:rPr>
        <w:t>7</w:t>
      </w:r>
      <w:r w:rsidR="00283CE9">
        <w:rPr>
          <w:b/>
          <w:bCs/>
          <w:i/>
          <w:iCs/>
        </w:rPr>
        <w:t>.</w:t>
      </w:r>
      <w:r>
        <w:rPr>
          <w:b/>
          <w:bCs/>
          <w:i/>
          <w:iCs/>
        </w:rPr>
        <w:tab/>
      </w:r>
      <w:r w:rsidR="00E92A21">
        <w:rPr>
          <w:b/>
          <w:bCs/>
          <w:i/>
          <w:iCs/>
        </w:rPr>
        <w:t>IF THE PUCO PERMITS DP&amp;L TO D</w:t>
      </w:r>
      <w:r w:rsidR="00B77326">
        <w:rPr>
          <w:b/>
          <w:bCs/>
          <w:i/>
          <w:iCs/>
        </w:rPr>
        <w:t>E</w:t>
      </w:r>
      <w:r w:rsidR="00E92A21">
        <w:rPr>
          <w:b/>
          <w:bCs/>
          <w:i/>
          <w:iCs/>
        </w:rPr>
        <w:t xml:space="preserve">FER THE 2011 STORM-RELATED </w:t>
      </w:r>
      <w:r w:rsidR="00C71A96">
        <w:rPr>
          <w:b/>
          <w:bCs/>
          <w:i/>
          <w:iCs/>
        </w:rPr>
        <w:t xml:space="preserve">OPERATION AND MAINTENANCE </w:t>
      </w:r>
      <w:r w:rsidR="00467F4A">
        <w:rPr>
          <w:b/>
          <w:bCs/>
          <w:i/>
          <w:iCs/>
        </w:rPr>
        <w:t>COSTS</w:t>
      </w:r>
      <w:r w:rsidR="00C71A96">
        <w:rPr>
          <w:b/>
          <w:bCs/>
          <w:i/>
          <w:iCs/>
        </w:rPr>
        <w:t>, THEN</w:t>
      </w:r>
      <w:r w:rsidR="00467F4A">
        <w:rPr>
          <w:b/>
          <w:bCs/>
          <w:i/>
          <w:iCs/>
        </w:rPr>
        <w:t xml:space="preserve"> </w:t>
      </w:r>
      <w:r>
        <w:rPr>
          <w:b/>
          <w:bCs/>
          <w:i/>
          <w:iCs/>
        </w:rPr>
        <w:t xml:space="preserve">WHY SHOULD THE PUCO DENY DP&amp;L’S REQUEST TO COLLECT </w:t>
      </w:r>
      <w:r w:rsidR="00E92A21">
        <w:rPr>
          <w:b/>
          <w:bCs/>
          <w:i/>
          <w:iCs/>
        </w:rPr>
        <w:t xml:space="preserve">THOSE COSTS </w:t>
      </w:r>
      <w:r>
        <w:rPr>
          <w:b/>
          <w:bCs/>
          <w:i/>
          <w:iCs/>
        </w:rPr>
        <w:t xml:space="preserve">FROM </w:t>
      </w:r>
      <w:r w:rsidR="00E92A21">
        <w:rPr>
          <w:b/>
          <w:bCs/>
          <w:i/>
          <w:iCs/>
        </w:rPr>
        <w:t xml:space="preserve">ITS </w:t>
      </w:r>
      <w:r>
        <w:rPr>
          <w:b/>
          <w:bCs/>
          <w:i/>
          <w:iCs/>
        </w:rPr>
        <w:t>CUSTOMERS?</w:t>
      </w:r>
    </w:p>
    <w:p w:rsidR="00B0741B" w:rsidRDefault="005D1C5C" w:rsidP="005D1C5C">
      <w:pPr>
        <w:autoSpaceDE w:val="0"/>
        <w:autoSpaceDN w:val="0"/>
        <w:adjustRightInd w:val="0"/>
        <w:spacing w:line="480" w:lineRule="auto"/>
        <w:ind w:left="720" w:hanging="720"/>
      </w:pPr>
      <w:r>
        <w:rPr>
          <w:b/>
          <w:bCs/>
          <w:i/>
          <w:iCs/>
        </w:rPr>
        <w:t>A</w:t>
      </w:r>
      <w:r w:rsidR="00B0741B">
        <w:rPr>
          <w:b/>
          <w:bCs/>
          <w:i/>
          <w:iCs/>
        </w:rPr>
        <w:t>2</w:t>
      </w:r>
      <w:r w:rsidR="00D116E4">
        <w:rPr>
          <w:b/>
          <w:bCs/>
          <w:i/>
          <w:iCs/>
        </w:rPr>
        <w:t>7</w:t>
      </w:r>
      <w:r>
        <w:rPr>
          <w:b/>
          <w:bCs/>
          <w:i/>
          <w:iCs/>
        </w:rPr>
        <w:t>.</w:t>
      </w:r>
      <w:r>
        <w:rPr>
          <w:b/>
          <w:bCs/>
          <w:i/>
          <w:iCs/>
        </w:rPr>
        <w:tab/>
      </w:r>
      <w:r w:rsidR="003C39DF">
        <w:rPr>
          <w:bCs/>
          <w:iCs/>
        </w:rPr>
        <w:t xml:space="preserve">As discussed earlier, </w:t>
      </w:r>
      <w:r w:rsidR="003C39DF">
        <w:t xml:space="preserve">DP&amp;L’s request for deferral of the 2011 major-storm related incremental O&amp;M costs </w:t>
      </w:r>
      <w:r w:rsidR="009404D5">
        <w:t xml:space="preserve">was not </w:t>
      </w:r>
      <w:r w:rsidR="003C39DF">
        <w:t xml:space="preserve">timely and the </w:t>
      </w:r>
      <w:r w:rsidR="00A17D27">
        <w:t>PUCO</w:t>
      </w:r>
      <w:r w:rsidR="003C39DF">
        <w:t xml:space="preserve"> should deny DP&amp;L’s Application for the authority to defer the 2011 incremental storm expenses.  However, </w:t>
      </w:r>
      <w:r w:rsidR="009404D5">
        <w:t xml:space="preserve">even </w:t>
      </w:r>
      <w:r w:rsidR="002E54A8">
        <w:t xml:space="preserve">if </w:t>
      </w:r>
      <w:r w:rsidR="003C39DF">
        <w:t xml:space="preserve">DP&amp;L were </w:t>
      </w:r>
      <w:r w:rsidR="00E92A21">
        <w:t>granted authority to</w:t>
      </w:r>
      <w:r w:rsidR="003C39DF">
        <w:t xml:space="preserve"> defer </w:t>
      </w:r>
      <w:r w:rsidR="002E54A8">
        <w:t xml:space="preserve">the </w:t>
      </w:r>
      <w:r w:rsidR="003C39DF">
        <w:t>2011</w:t>
      </w:r>
      <w:r w:rsidR="00E92A21">
        <w:t xml:space="preserve"> storm</w:t>
      </w:r>
      <w:r w:rsidR="003C39DF">
        <w:t xml:space="preserve"> expenses thirty-six months after the occurrence of the first major storms of 2011, </w:t>
      </w:r>
      <w:r w:rsidR="00B0741B">
        <w:t xml:space="preserve">it is </w:t>
      </w:r>
      <w:r w:rsidR="009404D5">
        <w:t xml:space="preserve">still </w:t>
      </w:r>
      <w:r w:rsidR="00B0741B">
        <w:t xml:space="preserve">unreasonable to allow DP&amp;L to </w:t>
      </w:r>
      <w:r w:rsidR="00B77326">
        <w:t>charge customers for</w:t>
      </w:r>
      <w:r w:rsidR="00B0741B">
        <w:t xml:space="preserve"> these </w:t>
      </w:r>
      <w:r w:rsidR="009404D5">
        <w:t xml:space="preserve">storm-related </w:t>
      </w:r>
      <w:r w:rsidR="00B0741B">
        <w:t>O&amp;M expense</w:t>
      </w:r>
      <w:r w:rsidR="00E92A21">
        <w:t>s</w:t>
      </w:r>
      <w:r w:rsidR="00637349">
        <w:t>,</w:t>
      </w:r>
      <w:r w:rsidR="00B0741B">
        <w:t xml:space="preserve"> given its </w:t>
      </w:r>
      <w:r w:rsidR="009404D5">
        <w:t xml:space="preserve">earned </w:t>
      </w:r>
      <w:r w:rsidR="003C39DF">
        <w:t xml:space="preserve">ROE of 14.05% </w:t>
      </w:r>
      <w:r w:rsidR="00B0741B">
        <w:t xml:space="preserve">in 2011.  </w:t>
      </w:r>
      <w:r w:rsidR="00D116E4">
        <w:t xml:space="preserve">As shown in Table 1, </w:t>
      </w:r>
      <w:r w:rsidR="002E54A8">
        <w:t xml:space="preserve">DP&amp;L’s </w:t>
      </w:r>
      <w:r w:rsidR="00B0741B">
        <w:t xml:space="preserve">14.05% </w:t>
      </w:r>
      <w:r w:rsidR="002E54A8">
        <w:t xml:space="preserve">ROE </w:t>
      </w:r>
      <w:r w:rsidR="003C39DF">
        <w:t xml:space="preserve">was </w:t>
      </w:r>
      <w:r w:rsidR="009404D5">
        <w:t xml:space="preserve">one of the highest among major </w:t>
      </w:r>
      <w:r w:rsidR="00467F4A">
        <w:t xml:space="preserve">Ohio </w:t>
      </w:r>
      <w:r w:rsidR="009404D5">
        <w:t xml:space="preserve">electric utilities in 2011.  It is also </w:t>
      </w:r>
      <w:r w:rsidR="003C39DF">
        <w:t xml:space="preserve">higher than the </w:t>
      </w:r>
      <w:r w:rsidR="00B77326">
        <w:t>PUCO-</w:t>
      </w:r>
      <w:r w:rsidR="003C39DF">
        <w:t xml:space="preserve">approved ROEs </w:t>
      </w:r>
      <w:r w:rsidR="009404D5">
        <w:t xml:space="preserve">for DP&amp;L </w:t>
      </w:r>
      <w:r w:rsidR="003C39DF">
        <w:t>in prior rate cases (</w:t>
      </w:r>
      <w:r w:rsidR="002E54A8">
        <w:t xml:space="preserve">approving </w:t>
      </w:r>
      <w:r w:rsidR="003C39DF">
        <w:t>an ROE between 12.06</w:t>
      </w:r>
      <w:r w:rsidR="00E72F0B">
        <w:t>%</w:t>
      </w:r>
      <w:r w:rsidR="003C39DF">
        <w:t xml:space="preserve"> – 13.19%) and </w:t>
      </w:r>
      <w:r w:rsidR="00637349">
        <w:t xml:space="preserve">in </w:t>
      </w:r>
      <w:r w:rsidR="009404D5">
        <w:t xml:space="preserve">the 2008 </w:t>
      </w:r>
      <w:r w:rsidR="003C39DF">
        <w:t>ESP (</w:t>
      </w:r>
      <w:r w:rsidR="002E54A8">
        <w:t xml:space="preserve">approving </w:t>
      </w:r>
      <w:r w:rsidR="003C39DF">
        <w:t xml:space="preserve">an ROE </w:t>
      </w:r>
      <w:r w:rsidR="002E54A8">
        <w:t>o</w:t>
      </w:r>
      <w:r w:rsidR="00283CE9">
        <w:t>f 11.30%).</w:t>
      </w:r>
    </w:p>
    <w:p w:rsidR="00B0741B" w:rsidRDefault="00B0741B" w:rsidP="005D1C5C">
      <w:pPr>
        <w:autoSpaceDE w:val="0"/>
        <w:autoSpaceDN w:val="0"/>
        <w:adjustRightInd w:val="0"/>
        <w:spacing w:line="480" w:lineRule="auto"/>
        <w:ind w:left="720" w:hanging="720"/>
      </w:pPr>
    </w:p>
    <w:p w:rsidR="005D1C5C" w:rsidRDefault="005D1C5C" w:rsidP="00034506">
      <w:pPr>
        <w:autoSpaceDE w:val="0"/>
        <w:autoSpaceDN w:val="0"/>
        <w:adjustRightInd w:val="0"/>
        <w:spacing w:line="480" w:lineRule="auto"/>
        <w:ind w:left="720"/>
      </w:pPr>
      <w:r>
        <w:t>Such a high ROE (</w:t>
      </w:r>
      <w:r w:rsidR="003C39DF">
        <w:t>14.05</w:t>
      </w:r>
      <w:r>
        <w:t xml:space="preserve">%) </w:t>
      </w:r>
      <w:r w:rsidR="00B0741B">
        <w:t xml:space="preserve">clearly </w:t>
      </w:r>
      <w:r>
        <w:t>indicates that, in 20</w:t>
      </w:r>
      <w:r w:rsidR="003C39DF">
        <w:t>11</w:t>
      </w:r>
      <w:r>
        <w:t>, DP&amp;L</w:t>
      </w:r>
      <w:r w:rsidR="00EE3FBD">
        <w:t xml:space="preserve">’s revenues </w:t>
      </w:r>
      <w:r>
        <w:t xml:space="preserve">collected from its customers </w:t>
      </w:r>
      <w:r w:rsidR="00EE3FBD">
        <w:t xml:space="preserve">more than covered </w:t>
      </w:r>
      <w:r>
        <w:t>all O&amp;M costs (including all storm-related O&amp;M expenses) and at the same time earned a</w:t>
      </w:r>
      <w:r w:rsidR="00D116E4">
        <w:t xml:space="preserve"> very </w:t>
      </w:r>
      <w:r>
        <w:t>high return on its invested capital.  Because DP&amp;L has fully recovered its costs (which include all storm-related O&amp;M expenses and a very high return on invested capital) in 20</w:t>
      </w:r>
      <w:r w:rsidR="003C39DF">
        <w:t>11</w:t>
      </w:r>
      <w:r>
        <w:t>, there is no financial need for DP&amp;L to collect any deferr</w:t>
      </w:r>
      <w:r w:rsidR="00283CE9">
        <w:t>ed storm-related O&amp;M expenses.</w:t>
      </w:r>
    </w:p>
    <w:p w:rsidR="005D1C5C" w:rsidRDefault="005D1C5C" w:rsidP="005D1C5C">
      <w:pPr>
        <w:autoSpaceDE w:val="0"/>
        <w:autoSpaceDN w:val="0"/>
        <w:adjustRightInd w:val="0"/>
        <w:spacing w:line="480" w:lineRule="auto"/>
        <w:ind w:left="720" w:hanging="720"/>
      </w:pPr>
    </w:p>
    <w:p w:rsidR="002D1413" w:rsidRDefault="005D1C5C" w:rsidP="004202C2">
      <w:pPr>
        <w:autoSpaceDE w:val="0"/>
        <w:autoSpaceDN w:val="0"/>
        <w:adjustRightInd w:val="0"/>
        <w:spacing w:line="480" w:lineRule="auto"/>
        <w:ind w:left="720"/>
        <w:rPr>
          <w:b/>
          <w:bCs/>
          <w:i/>
          <w:iCs/>
        </w:rPr>
      </w:pPr>
      <w:r>
        <w:t xml:space="preserve">Furthermore, </w:t>
      </w:r>
      <w:r w:rsidR="00BE319E">
        <w:t xml:space="preserve">given the ROE earned by DP&amp;L in 2011, </w:t>
      </w:r>
      <w:r>
        <w:t xml:space="preserve">any additional collection of revenues </w:t>
      </w:r>
      <w:r w:rsidR="00FE2D48">
        <w:t xml:space="preserve">from its customers </w:t>
      </w:r>
      <w:r>
        <w:t xml:space="preserve">(as a result of the collection of </w:t>
      </w:r>
      <w:r w:rsidR="003C39DF">
        <w:t xml:space="preserve">the yet-to-be </w:t>
      </w:r>
      <w:r>
        <w:t>deferred 20</w:t>
      </w:r>
      <w:r w:rsidR="003C39DF">
        <w:t>11</w:t>
      </w:r>
      <w:r>
        <w:t xml:space="preserve"> storm-related expenses) would amount to an unreasonable and unjust increase in rates.  The imposition and collection of these unreasonable and unjust rates is contrary to the electric service policies of the state of Ohio </w:t>
      </w:r>
      <w:r w:rsidR="003C39DF">
        <w:t>and long-standing regulatory principles.</w:t>
      </w:r>
    </w:p>
    <w:p w:rsidR="00031C74" w:rsidRDefault="00031C74" w:rsidP="00031C74">
      <w:pPr>
        <w:spacing w:line="480" w:lineRule="auto"/>
        <w:ind w:left="720" w:hanging="720"/>
        <w:rPr>
          <w:b/>
          <w:bCs/>
          <w:i/>
          <w:iCs/>
        </w:rPr>
      </w:pPr>
      <w:r>
        <w:rPr>
          <w:b/>
          <w:bCs/>
          <w:i/>
          <w:iCs/>
        </w:rPr>
        <w:t>Q</w:t>
      </w:r>
      <w:r w:rsidR="003C39DF">
        <w:rPr>
          <w:b/>
          <w:bCs/>
          <w:i/>
          <w:iCs/>
        </w:rPr>
        <w:t>2</w:t>
      </w:r>
      <w:r w:rsidR="00D116E4">
        <w:rPr>
          <w:b/>
          <w:bCs/>
          <w:i/>
          <w:iCs/>
        </w:rPr>
        <w:t>8</w:t>
      </w:r>
      <w:r>
        <w:rPr>
          <w:b/>
          <w:bCs/>
          <w:i/>
          <w:iCs/>
        </w:rPr>
        <w:t>.</w:t>
      </w:r>
      <w:r>
        <w:rPr>
          <w:b/>
          <w:bCs/>
          <w:i/>
          <w:iCs/>
        </w:rPr>
        <w:tab/>
      </w:r>
      <w:r w:rsidR="00FB783A">
        <w:rPr>
          <w:b/>
          <w:bCs/>
          <w:i/>
          <w:iCs/>
        </w:rPr>
        <w:t xml:space="preserve">IS </w:t>
      </w:r>
      <w:r w:rsidR="00B42A12">
        <w:rPr>
          <w:b/>
          <w:bCs/>
          <w:i/>
          <w:iCs/>
        </w:rPr>
        <w:t>THE</w:t>
      </w:r>
      <w:r w:rsidR="009E2A8E">
        <w:rPr>
          <w:b/>
          <w:bCs/>
          <w:i/>
          <w:iCs/>
        </w:rPr>
        <w:t xml:space="preserve"> PUCO</w:t>
      </w:r>
      <w:r w:rsidR="00B42A12">
        <w:rPr>
          <w:b/>
          <w:bCs/>
          <w:i/>
          <w:iCs/>
        </w:rPr>
        <w:t>’S</w:t>
      </w:r>
      <w:r w:rsidR="009E2A8E">
        <w:rPr>
          <w:b/>
          <w:bCs/>
          <w:i/>
          <w:iCs/>
        </w:rPr>
        <w:t xml:space="preserve"> APPROVAL</w:t>
      </w:r>
      <w:r w:rsidR="00B42A12">
        <w:rPr>
          <w:b/>
          <w:bCs/>
          <w:i/>
          <w:iCs/>
        </w:rPr>
        <w:t xml:space="preserve"> FOR DP&amp;L</w:t>
      </w:r>
      <w:r w:rsidR="009E2A8E">
        <w:rPr>
          <w:b/>
          <w:bCs/>
          <w:i/>
          <w:iCs/>
        </w:rPr>
        <w:t xml:space="preserve"> TO DEFER EXPENSES </w:t>
      </w:r>
      <w:r w:rsidR="00FB783A">
        <w:rPr>
          <w:b/>
          <w:bCs/>
          <w:i/>
          <w:iCs/>
        </w:rPr>
        <w:t xml:space="preserve">THE EQUIVALENT </w:t>
      </w:r>
      <w:r w:rsidR="00EC67EE">
        <w:rPr>
          <w:b/>
          <w:bCs/>
          <w:i/>
          <w:iCs/>
        </w:rPr>
        <w:t>OF</w:t>
      </w:r>
      <w:r w:rsidR="00B42A12">
        <w:rPr>
          <w:b/>
          <w:bCs/>
          <w:i/>
          <w:iCs/>
        </w:rPr>
        <w:t xml:space="preserve"> DP&amp;L</w:t>
      </w:r>
      <w:r w:rsidR="00FB783A">
        <w:rPr>
          <w:b/>
          <w:bCs/>
          <w:i/>
          <w:iCs/>
        </w:rPr>
        <w:t xml:space="preserve"> </w:t>
      </w:r>
      <w:r w:rsidR="009E2A8E">
        <w:rPr>
          <w:b/>
          <w:bCs/>
          <w:i/>
          <w:iCs/>
        </w:rPr>
        <w:t xml:space="preserve">RECEIVING </w:t>
      </w:r>
      <w:r w:rsidR="00EC67EE">
        <w:rPr>
          <w:b/>
          <w:bCs/>
          <w:i/>
          <w:iCs/>
        </w:rPr>
        <w:t xml:space="preserve">THE PUCO’S </w:t>
      </w:r>
      <w:r w:rsidR="00FB783A">
        <w:rPr>
          <w:b/>
          <w:bCs/>
          <w:i/>
          <w:iCs/>
        </w:rPr>
        <w:t xml:space="preserve">AUTHORIZATION </w:t>
      </w:r>
      <w:r w:rsidR="009E2A8E">
        <w:rPr>
          <w:b/>
          <w:bCs/>
          <w:i/>
          <w:iCs/>
        </w:rPr>
        <w:t xml:space="preserve">TO COLLECT THOSE EXPENSES </w:t>
      </w:r>
      <w:r w:rsidR="00170905">
        <w:rPr>
          <w:b/>
          <w:bCs/>
          <w:i/>
          <w:iCs/>
        </w:rPr>
        <w:t>FROM CUSTOMERS</w:t>
      </w:r>
      <w:r w:rsidR="00FB783A">
        <w:rPr>
          <w:b/>
          <w:bCs/>
          <w:i/>
          <w:iCs/>
        </w:rPr>
        <w:t>?</w:t>
      </w:r>
    </w:p>
    <w:p w:rsidR="00A64B29" w:rsidRDefault="00031C74" w:rsidP="00283CE9">
      <w:pPr>
        <w:spacing w:line="480" w:lineRule="auto"/>
        <w:ind w:left="720" w:hanging="720"/>
        <w:rPr>
          <w:iCs/>
        </w:rPr>
      </w:pPr>
      <w:r w:rsidRPr="003F2BE9">
        <w:rPr>
          <w:b/>
          <w:i/>
          <w:iCs/>
        </w:rPr>
        <w:t>A</w:t>
      </w:r>
      <w:r w:rsidR="00BF761B">
        <w:rPr>
          <w:b/>
          <w:i/>
          <w:iCs/>
        </w:rPr>
        <w:t>2</w:t>
      </w:r>
      <w:r w:rsidR="00D116E4">
        <w:rPr>
          <w:b/>
          <w:i/>
          <w:iCs/>
        </w:rPr>
        <w:t>8</w:t>
      </w:r>
      <w:r w:rsidRPr="003F2BE9">
        <w:rPr>
          <w:b/>
          <w:i/>
          <w:iCs/>
        </w:rPr>
        <w:t>.</w:t>
      </w:r>
      <w:r>
        <w:rPr>
          <w:b/>
          <w:i/>
          <w:iCs/>
        </w:rPr>
        <w:tab/>
      </w:r>
      <w:r w:rsidR="001B01EE">
        <w:rPr>
          <w:iCs/>
        </w:rPr>
        <w:t xml:space="preserve">No.  </w:t>
      </w:r>
      <w:r w:rsidR="00FB783A">
        <w:rPr>
          <w:iCs/>
        </w:rPr>
        <w:t xml:space="preserve">It is well recognized </w:t>
      </w:r>
      <w:r w:rsidR="001B01EE">
        <w:rPr>
          <w:iCs/>
        </w:rPr>
        <w:t xml:space="preserve">that the </w:t>
      </w:r>
      <w:r w:rsidR="00B77326">
        <w:rPr>
          <w:iCs/>
        </w:rPr>
        <w:t xml:space="preserve">PUCO’s </w:t>
      </w:r>
      <w:r w:rsidR="001B01EE">
        <w:rPr>
          <w:iCs/>
        </w:rPr>
        <w:t xml:space="preserve">authorization to defer certain expenses is not equivalent to the </w:t>
      </w:r>
      <w:r w:rsidR="00B77326">
        <w:rPr>
          <w:iCs/>
        </w:rPr>
        <w:t xml:space="preserve">PUCO’s </w:t>
      </w:r>
      <w:r w:rsidR="001B01EE">
        <w:rPr>
          <w:iCs/>
        </w:rPr>
        <w:t xml:space="preserve">authorization to collect the deferred expenses.  </w:t>
      </w:r>
      <w:r w:rsidR="00FB783A">
        <w:rPr>
          <w:iCs/>
        </w:rPr>
        <w:t>DP&amp;</w:t>
      </w:r>
      <w:r w:rsidR="009B64EE">
        <w:rPr>
          <w:iCs/>
        </w:rPr>
        <w:t>L</w:t>
      </w:r>
      <w:r w:rsidR="002E54A8">
        <w:rPr>
          <w:iCs/>
        </w:rPr>
        <w:t xml:space="preserve"> has consistently acknowledged </w:t>
      </w:r>
      <w:r w:rsidR="00FB783A">
        <w:rPr>
          <w:iCs/>
        </w:rPr>
        <w:t xml:space="preserve">this distinction.  </w:t>
      </w:r>
      <w:r w:rsidR="0068416B">
        <w:rPr>
          <w:iCs/>
        </w:rPr>
        <w:t xml:space="preserve">For example, </w:t>
      </w:r>
      <w:r w:rsidR="00FB783A">
        <w:rPr>
          <w:iCs/>
        </w:rPr>
        <w:t xml:space="preserve">in </w:t>
      </w:r>
      <w:r w:rsidR="0068416B">
        <w:rPr>
          <w:iCs/>
        </w:rPr>
        <w:t xml:space="preserve">its </w:t>
      </w:r>
      <w:r w:rsidR="00FB783A">
        <w:rPr>
          <w:iCs/>
        </w:rPr>
        <w:t xml:space="preserve">2008 </w:t>
      </w:r>
      <w:r w:rsidR="0068416B">
        <w:rPr>
          <w:iCs/>
        </w:rPr>
        <w:t xml:space="preserve">storm expenses </w:t>
      </w:r>
      <w:r w:rsidR="00FB783A">
        <w:rPr>
          <w:iCs/>
        </w:rPr>
        <w:t>deferral Application</w:t>
      </w:r>
      <w:r w:rsidR="0068416B">
        <w:rPr>
          <w:iCs/>
        </w:rPr>
        <w:t xml:space="preserve"> (Case No. 08-1332-EL-AAM)</w:t>
      </w:r>
      <w:r w:rsidR="00FB783A">
        <w:rPr>
          <w:iCs/>
        </w:rPr>
        <w:t xml:space="preserve">, </w:t>
      </w:r>
      <w:r w:rsidR="0068416B">
        <w:rPr>
          <w:iCs/>
        </w:rPr>
        <w:t xml:space="preserve">DP&amp;L </w:t>
      </w:r>
      <w:r w:rsidR="001B01EE">
        <w:rPr>
          <w:iCs/>
        </w:rPr>
        <w:t>stated</w:t>
      </w:r>
      <w:r w:rsidR="003B0162">
        <w:rPr>
          <w:iCs/>
        </w:rPr>
        <w:t xml:space="preserve"> that</w:t>
      </w:r>
      <w:r w:rsidR="0068416B">
        <w:rPr>
          <w:iCs/>
        </w:rPr>
        <w:t>:</w:t>
      </w:r>
    </w:p>
    <w:p w:rsidR="00A74E50" w:rsidRDefault="001B01EE" w:rsidP="00FA3B10">
      <w:pPr>
        <w:spacing w:line="480" w:lineRule="auto"/>
        <w:ind w:left="1440" w:right="720"/>
        <w:rPr>
          <w:iCs/>
        </w:rPr>
      </w:pPr>
      <w:r>
        <w:rPr>
          <w:iCs/>
        </w:rPr>
        <w:t>“The Company at this time is not requesting to commence recovery of O&amp;M expenses</w:t>
      </w:r>
      <w:r w:rsidR="00AA6835">
        <w:rPr>
          <w:iCs/>
        </w:rPr>
        <w:t xml:space="preserve"> associated with repairing/replacing those distribution facilities damaged by Hurricane Ike.  Instead, it seeks approval for deferring the related O&amp;M expenses and the resultant carrying costs as described above.”</w:t>
      </w:r>
      <w:r w:rsidR="00AA6835">
        <w:rPr>
          <w:rStyle w:val="FootnoteReference"/>
          <w:iCs/>
        </w:rPr>
        <w:footnoteReference w:id="42"/>
      </w:r>
    </w:p>
    <w:p w:rsidR="00FA3B10" w:rsidRDefault="00FA3B10" w:rsidP="00FA3B10">
      <w:pPr>
        <w:spacing w:line="480" w:lineRule="auto"/>
        <w:ind w:left="1440" w:right="720"/>
        <w:rPr>
          <w:iCs/>
        </w:rPr>
      </w:pPr>
    </w:p>
    <w:p w:rsidR="00A74E50" w:rsidRDefault="003B0162" w:rsidP="00FA3B10">
      <w:pPr>
        <w:spacing w:line="480" w:lineRule="auto"/>
        <w:ind w:left="720"/>
        <w:rPr>
          <w:iCs/>
        </w:rPr>
      </w:pPr>
      <w:r>
        <w:rPr>
          <w:iCs/>
        </w:rPr>
        <w:t xml:space="preserve">Furthermore, in its 2012 Application for </w:t>
      </w:r>
      <w:r w:rsidR="0068416B">
        <w:rPr>
          <w:iCs/>
        </w:rPr>
        <w:t>s</w:t>
      </w:r>
      <w:r>
        <w:rPr>
          <w:iCs/>
        </w:rPr>
        <w:t xml:space="preserve">torm </w:t>
      </w:r>
      <w:r w:rsidR="0068416B">
        <w:rPr>
          <w:iCs/>
        </w:rPr>
        <w:t>c</w:t>
      </w:r>
      <w:r>
        <w:rPr>
          <w:iCs/>
        </w:rPr>
        <w:t>osts deferral</w:t>
      </w:r>
      <w:r w:rsidR="0068416B">
        <w:rPr>
          <w:iCs/>
        </w:rPr>
        <w:t xml:space="preserve"> (Case No. 12-2281-EL-AAM)</w:t>
      </w:r>
      <w:r>
        <w:rPr>
          <w:iCs/>
        </w:rPr>
        <w:t>, DP&amp;L indicated that</w:t>
      </w:r>
      <w:r w:rsidR="00381876">
        <w:rPr>
          <w:iCs/>
        </w:rPr>
        <w:t>:</w:t>
      </w:r>
    </w:p>
    <w:p w:rsidR="00FB783A" w:rsidRDefault="003B0162" w:rsidP="00871D7C">
      <w:pPr>
        <w:spacing w:line="480" w:lineRule="auto"/>
        <w:ind w:left="1440" w:right="720"/>
        <w:rPr>
          <w:iCs/>
        </w:rPr>
      </w:pPr>
      <w:r>
        <w:rPr>
          <w:iCs/>
        </w:rPr>
        <w:t>“</w:t>
      </w:r>
      <w:r w:rsidR="002E54A8">
        <w:rPr>
          <w:iCs/>
        </w:rPr>
        <w:t>[t]</w:t>
      </w:r>
      <w:r>
        <w:rPr>
          <w:iCs/>
        </w:rPr>
        <w:t>he requested deferral is an accounting procedure that does not result in an increase in any rate or charge.  Therefore, no hearing is required on this application.”</w:t>
      </w:r>
      <w:r>
        <w:rPr>
          <w:rStyle w:val="FootnoteReference"/>
          <w:iCs/>
        </w:rPr>
        <w:footnoteReference w:id="43"/>
      </w:r>
    </w:p>
    <w:p w:rsidR="00A74E50" w:rsidRDefault="00FB783A" w:rsidP="00FA3B10">
      <w:pPr>
        <w:spacing w:line="480" w:lineRule="auto"/>
        <w:ind w:left="720"/>
      </w:pPr>
      <w:r>
        <w:t xml:space="preserve">More importantly, the </w:t>
      </w:r>
      <w:r w:rsidR="00A17D27">
        <w:t>PUCO</w:t>
      </w:r>
      <w:r w:rsidR="0068416B">
        <w:t xml:space="preserve"> </w:t>
      </w:r>
      <w:r>
        <w:t xml:space="preserve">has explicitly </w:t>
      </w:r>
      <w:r w:rsidR="00680187">
        <w:t xml:space="preserve">stated </w:t>
      </w:r>
      <w:r>
        <w:t>this distinction</w:t>
      </w:r>
      <w:r w:rsidR="00680187">
        <w:t xml:space="preserve"> (that authority for deferrals is not authority to collect the deferrals from customers)</w:t>
      </w:r>
      <w:r>
        <w:t xml:space="preserve"> </w:t>
      </w:r>
      <w:r w:rsidR="00F44D26">
        <w:t xml:space="preserve">in many </w:t>
      </w:r>
      <w:r w:rsidR="00BF761B">
        <w:t>instances</w:t>
      </w:r>
      <w:r w:rsidR="00F44D26">
        <w:t xml:space="preserve">.  </w:t>
      </w:r>
      <w:r w:rsidR="0068416B">
        <w:t xml:space="preserve">For example, </w:t>
      </w:r>
      <w:r w:rsidR="00F44D26">
        <w:t xml:space="preserve">in the Finding and Order </w:t>
      </w:r>
      <w:r w:rsidR="008C6BC6">
        <w:t>for</w:t>
      </w:r>
      <w:r w:rsidR="00F44D26">
        <w:t xml:space="preserve"> the 2008 Deferral authorization, the </w:t>
      </w:r>
      <w:r w:rsidR="00A17D27">
        <w:t>PUCO</w:t>
      </w:r>
      <w:r w:rsidR="00F44D26">
        <w:t xml:space="preserve"> stated</w:t>
      </w:r>
      <w:r w:rsidR="002E54A8">
        <w:t>:</w:t>
      </w:r>
    </w:p>
    <w:p w:rsidR="0044489E" w:rsidRDefault="00F44D26" w:rsidP="001177DD">
      <w:pPr>
        <w:spacing w:line="480" w:lineRule="auto"/>
        <w:ind w:left="1440" w:right="720"/>
      </w:pPr>
      <w:r>
        <w:t xml:space="preserve">“The determination of the reasonableness of the deferred amounts and the </w:t>
      </w:r>
      <w:r w:rsidR="00A64B29">
        <w:t>r</w:t>
      </w:r>
      <w:r>
        <w:t xml:space="preserve">ecovery thereof, if any, will be examined and addressed in a future proceeding before the Commission.  As the Supreme Court has previously held, </w:t>
      </w:r>
      <w:r w:rsidRPr="00F44D26">
        <w:rPr>
          <w:i/>
        </w:rPr>
        <w:t>deferrals</w:t>
      </w:r>
      <w:r>
        <w:t xml:space="preserve"> do not constitute ratemaking.  </w:t>
      </w:r>
      <w:r w:rsidRPr="00F44D26">
        <w:rPr>
          <w:i/>
        </w:rPr>
        <w:t>See Elyria Foundry Co. v. Pub. Util. Comm.</w:t>
      </w:r>
      <w:r>
        <w:t xml:space="preserve"> (2007), 114 Ohio St.3d 305.”</w:t>
      </w:r>
      <w:r>
        <w:rPr>
          <w:rStyle w:val="FootnoteReference"/>
        </w:rPr>
        <w:footnoteReference w:id="44"/>
      </w:r>
    </w:p>
    <w:p w:rsidR="00FA3B10" w:rsidRDefault="00FA3B10" w:rsidP="001177DD">
      <w:pPr>
        <w:spacing w:line="480" w:lineRule="auto"/>
        <w:ind w:left="1440" w:right="720"/>
      </w:pPr>
    </w:p>
    <w:p w:rsidR="00FA3B10" w:rsidRDefault="00DC3096" w:rsidP="00280F8E">
      <w:pPr>
        <w:spacing w:line="480" w:lineRule="auto"/>
        <w:ind w:left="720"/>
        <w:rPr>
          <w:b/>
          <w:bCs/>
          <w:i/>
          <w:iCs/>
        </w:rPr>
      </w:pPr>
      <w:r>
        <w:t>Furthermore, the PUCO ordered “That nothing in this Entry shall be binding upon the Commission in any subsequent investigation or proceeding involving the justness or reasonableness of any rate, charge, rule, or regulation.”</w:t>
      </w:r>
      <w:r>
        <w:rPr>
          <w:rStyle w:val="FootnoteReference"/>
        </w:rPr>
        <w:footnoteReference w:id="45"/>
      </w:r>
      <w:r>
        <w:t xml:space="preserve">  Consequently, </w:t>
      </w:r>
      <w:r w:rsidR="00A17D27">
        <w:t>PUCO</w:t>
      </w:r>
      <w:r w:rsidR="00253C48">
        <w:t xml:space="preserve"> precedent</w:t>
      </w:r>
      <w:r w:rsidR="002E54A8">
        <w:t xml:space="preserve"> clearly indicates </w:t>
      </w:r>
      <w:r w:rsidR="00253C48">
        <w:t>t</w:t>
      </w:r>
      <w:r w:rsidR="00BF761B">
        <w:t xml:space="preserve">here should not be any presumption that </w:t>
      </w:r>
      <w:r w:rsidR="002E54A8">
        <w:t xml:space="preserve">a </w:t>
      </w:r>
      <w:r w:rsidR="00BF761B">
        <w:t>deferred amount would be fully collected in the future.</w:t>
      </w:r>
      <w:r w:rsidR="00FA3B10">
        <w:rPr>
          <w:b/>
          <w:bCs/>
          <w:i/>
          <w:iCs/>
        </w:rPr>
        <w:br w:type="page"/>
      </w:r>
    </w:p>
    <w:p w:rsidR="0068416B" w:rsidRDefault="0068416B" w:rsidP="00BF761B">
      <w:pPr>
        <w:spacing w:line="480" w:lineRule="auto"/>
        <w:ind w:left="720" w:hanging="720"/>
        <w:rPr>
          <w:b/>
          <w:bCs/>
          <w:i/>
          <w:iCs/>
        </w:rPr>
      </w:pPr>
      <w:r>
        <w:rPr>
          <w:b/>
          <w:bCs/>
          <w:i/>
          <w:iCs/>
        </w:rPr>
        <w:t>Q</w:t>
      </w:r>
      <w:r w:rsidR="00BF761B">
        <w:rPr>
          <w:b/>
          <w:bCs/>
          <w:i/>
          <w:iCs/>
        </w:rPr>
        <w:t>2</w:t>
      </w:r>
      <w:r w:rsidR="00D116E4">
        <w:rPr>
          <w:b/>
          <w:bCs/>
          <w:i/>
          <w:iCs/>
        </w:rPr>
        <w:t>9</w:t>
      </w:r>
      <w:r>
        <w:rPr>
          <w:b/>
          <w:bCs/>
          <w:i/>
          <w:iCs/>
        </w:rPr>
        <w:t>.</w:t>
      </w:r>
      <w:r>
        <w:rPr>
          <w:b/>
          <w:bCs/>
          <w:i/>
          <w:iCs/>
        </w:rPr>
        <w:tab/>
        <w:t>DO YOU AGREE WITH DP&amp;L’S ASSERTION THAT “MANY THIRD PARTIES</w:t>
      </w:r>
      <w:r w:rsidR="00363721">
        <w:rPr>
          <w:b/>
          <w:bCs/>
          <w:i/>
          <w:iCs/>
        </w:rPr>
        <w:t>, SUCH AS INVESTORS, LENDERS, AUDITORS, AND RATING AGENCIES, HAVE RELIED ON THE COMMISSION’S ORDER AND HISTORICAL PRECEDENTS THAT HAVE BEEN SET BY THE COMMISSION, AND IT WOULD BE UNREASONABLE TO DENY RECOVERY OF THE STORM EXPENSE IN LIGHT OF THAT RELIANCE”?</w:t>
      </w:r>
      <w:r w:rsidR="00363721">
        <w:rPr>
          <w:rStyle w:val="FootnoteReference"/>
          <w:b/>
          <w:bCs/>
          <w:i/>
          <w:iCs/>
        </w:rPr>
        <w:footnoteReference w:id="46"/>
      </w:r>
    </w:p>
    <w:p w:rsidR="00541EDE" w:rsidRDefault="0068416B" w:rsidP="00283CE9">
      <w:pPr>
        <w:spacing w:line="480" w:lineRule="auto"/>
        <w:ind w:left="720" w:hanging="720"/>
        <w:rPr>
          <w:iCs/>
        </w:rPr>
      </w:pPr>
      <w:r w:rsidRPr="003F2BE9">
        <w:rPr>
          <w:b/>
          <w:i/>
          <w:iCs/>
        </w:rPr>
        <w:t>A</w:t>
      </w:r>
      <w:r w:rsidR="002251B5">
        <w:rPr>
          <w:b/>
          <w:i/>
          <w:iCs/>
        </w:rPr>
        <w:t>2</w:t>
      </w:r>
      <w:r w:rsidR="00D116E4">
        <w:rPr>
          <w:b/>
          <w:i/>
          <w:iCs/>
        </w:rPr>
        <w:t>9</w:t>
      </w:r>
      <w:r w:rsidRPr="003F2BE9">
        <w:rPr>
          <w:b/>
          <w:i/>
          <w:iCs/>
        </w:rPr>
        <w:t>.</w:t>
      </w:r>
      <w:r>
        <w:rPr>
          <w:b/>
          <w:i/>
          <w:iCs/>
        </w:rPr>
        <w:tab/>
      </w:r>
      <w:r w:rsidR="00363721">
        <w:rPr>
          <w:iCs/>
        </w:rPr>
        <w:t>No.  I do not agree with this assertion</w:t>
      </w:r>
      <w:r w:rsidR="00BF761B">
        <w:rPr>
          <w:iCs/>
        </w:rPr>
        <w:t xml:space="preserve">. </w:t>
      </w:r>
      <w:r w:rsidR="006E371F">
        <w:rPr>
          <w:iCs/>
        </w:rPr>
        <w:t xml:space="preserve"> </w:t>
      </w:r>
      <w:r w:rsidR="00363721">
        <w:rPr>
          <w:iCs/>
        </w:rPr>
        <w:t>First of all, as discussed above, it is well</w:t>
      </w:r>
      <w:r w:rsidR="002E54A8">
        <w:rPr>
          <w:iCs/>
        </w:rPr>
        <w:t>-</w:t>
      </w:r>
      <w:r w:rsidR="00363721">
        <w:rPr>
          <w:iCs/>
        </w:rPr>
        <w:t xml:space="preserve">known and established that </w:t>
      </w:r>
      <w:r w:rsidR="002E54A8">
        <w:rPr>
          <w:iCs/>
        </w:rPr>
        <w:t xml:space="preserve">a PUCO </w:t>
      </w:r>
      <w:r w:rsidR="00363721">
        <w:rPr>
          <w:iCs/>
        </w:rPr>
        <w:t xml:space="preserve">authorization to defer is not </w:t>
      </w:r>
      <w:r w:rsidR="00BF761B">
        <w:rPr>
          <w:iCs/>
        </w:rPr>
        <w:t xml:space="preserve">an </w:t>
      </w:r>
      <w:r w:rsidR="00363721">
        <w:rPr>
          <w:iCs/>
        </w:rPr>
        <w:t>authorization to collect</w:t>
      </w:r>
      <w:r w:rsidR="009942B1">
        <w:rPr>
          <w:iCs/>
        </w:rPr>
        <w:t xml:space="preserve"> </w:t>
      </w:r>
      <w:r w:rsidR="002E54A8">
        <w:rPr>
          <w:iCs/>
        </w:rPr>
        <w:t>the deferred costs</w:t>
      </w:r>
      <w:r w:rsidR="00363721">
        <w:rPr>
          <w:iCs/>
        </w:rPr>
        <w:t xml:space="preserve">.  </w:t>
      </w:r>
      <w:r w:rsidR="00BF761B">
        <w:rPr>
          <w:iCs/>
        </w:rPr>
        <w:t>Th</w:t>
      </w:r>
      <w:r w:rsidR="00644682">
        <w:rPr>
          <w:iCs/>
        </w:rPr>
        <w:t>ere</w:t>
      </w:r>
      <w:r w:rsidR="00BF761B">
        <w:rPr>
          <w:iCs/>
        </w:rPr>
        <w:t xml:space="preserve"> </w:t>
      </w:r>
      <w:r w:rsidR="002251B5">
        <w:rPr>
          <w:iCs/>
        </w:rPr>
        <w:t xml:space="preserve">is no ambiguity or uncertainty regarding this </w:t>
      </w:r>
      <w:r w:rsidR="00BF761B">
        <w:rPr>
          <w:iCs/>
        </w:rPr>
        <w:t xml:space="preserve">regulatory policy of the </w:t>
      </w:r>
      <w:r w:rsidR="00A17D27">
        <w:rPr>
          <w:iCs/>
        </w:rPr>
        <w:t>PUCO</w:t>
      </w:r>
      <w:r w:rsidR="002251B5">
        <w:rPr>
          <w:iCs/>
        </w:rPr>
        <w:t>.</w:t>
      </w:r>
      <w:r w:rsidR="00B77326">
        <w:rPr>
          <w:iCs/>
        </w:rPr>
        <w:t xml:space="preserve"> </w:t>
      </w:r>
      <w:r w:rsidR="00BF761B">
        <w:rPr>
          <w:iCs/>
        </w:rPr>
        <w:t xml:space="preserve"> </w:t>
      </w:r>
      <w:r w:rsidR="002E54A8">
        <w:rPr>
          <w:iCs/>
        </w:rPr>
        <w:t>A regulated utility always bears</w:t>
      </w:r>
      <w:r w:rsidR="00363721">
        <w:rPr>
          <w:iCs/>
        </w:rPr>
        <w:t xml:space="preserve"> a</w:t>
      </w:r>
      <w:r w:rsidR="00A472F1">
        <w:rPr>
          <w:iCs/>
        </w:rPr>
        <w:t xml:space="preserve"> </w:t>
      </w:r>
      <w:r w:rsidR="00363721">
        <w:rPr>
          <w:iCs/>
        </w:rPr>
        <w:t>risk that a</w:t>
      </w:r>
      <w:r w:rsidR="009942B1">
        <w:rPr>
          <w:iCs/>
        </w:rPr>
        <w:t>n authorization for</w:t>
      </w:r>
      <w:r w:rsidR="00363721">
        <w:rPr>
          <w:iCs/>
        </w:rPr>
        <w:t xml:space="preserve"> deferral </w:t>
      </w:r>
      <w:r w:rsidR="00DD2ECB">
        <w:rPr>
          <w:iCs/>
        </w:rPr>
        <w:t>may</w:t>
      </w:r>
      <w:r w:rsidR="002E54A8">
        <w:rPr>
          <w:iCs/>
        </w:rPr>
        <w:t xml:space="preserve"> be</w:t>
      </w:r>
      <w:r w:rsidR="00363721">
        <w:rPr>
          <w:iCs/>
        </w:rPr>
        <w:t xml:space="preserve"> reduced or eliminated </w:t>
      </w:r>
      <w:r w:rsidR="00072CA3">
        <w:rPr>
          <w:iCs/>
        </w:rPr>
        <w:t>in a future proceeding</w:t>
      </w:r>
      <w:r w:rsidR="00DD2ECB">
        <w:rPr>
          <w:iCs/>
        </w:rPr>
        <w:t>.  This could happen</w:t>
      </w:r>
      <w:r w:rsidR="00072CA3">
        <w:rPr>
          <w:iCs/>
        </w:rPr>
        <w:t xml:space="preserve"> </w:t>
      </w:r>
      <w:r w:rsidR="00363721">
        <w:rPr>
          <w:iCs/>
        </w:rPr>
        <w:t>for</w:t>
      </w:r>
      <w:r w:rsidR="00DD2ECB">
        <w:rPr>
          <w:iCs/>
        </w:rPr>
        <w:t xml:space="preserve"> a number </w:t>
      </w:r>
      <w:r w:rsidR="00363721">
        <w:rPr>
          <w:iCs/>
        </w:rPr>
        <w:t>reasons</w:t>
      </w:r>
      <w:r w:rsidR="009942B1">
        <w:rPr>
          <w:iCs/>
        </w:rPr>
        <w:t xml:space="preserve"> such as </w:t>
      </w:r>
      <w:r w:rsidR="00326A35">
        <w:rPr>
          <w:iCs/>
        </w:rPr>
        <w:t xml:space="preserve">the </w:t>
      </w:r>
      <w:r w:rsidR="00A17D27">
        <w:rPr>
          <w:iCs/>
        </w:rPr>
        <w:t>PUCO</w:t>
      </w:r>
      <w:r w:rsidR="00DD2ECB">
        <w:rPr>
          <w:iCs/>
        </w:rPr>
        <w:t xml:space="preserve"> finding that the costs were imprudent</w:t>
      </w:r>
      <w:r w:rsidR="009942B1">
        <w:rPr>
          <w:iCs/>
        </w:rPr>
        <w:t xml:space="preserve"> </w:t>
      </w:r>
      <w:r w:rsidR="00DD2ECB">
        <w:rPr>
          <w:iCs/>
        </w:rPr>
        <w:t xml:space="preserve">or that they were not </w:t>
      </w:r>
      <w:r w:rsidR="009942B1">
        <w:rPr>
          <w:iCs/>
        </w:rPr>
        <w:t>just and reasonable</w:t>
      </w:r>
      <w:r w:rsidR="00363721">
        <w:rPr>
          <w:iCs/>
        </w:rPr>
        <w:t xml:space="preserve">.  </w:t>
      </w:r>
      <w:r w:rsidR="00E42D54">
        <w:rPr>
          <w:iCs/>
        </w:rPr>
        <w:t xml:space="preserve">For example, in </w:t>
      </w:r>
      <w:r w:rsidR="00E75727">
        <w:rPr>
          <w:iCs/>
        </w:rPr>
        <w:t xml:space="preserve">the </w:t>
      </w:r>
      <w:r w:rsidR="00E42D54">
        <w:rPr>
          <w:iCs/>
        </w:rPr>
        <w:t xml:space="preserve">recent storm costs case of Duke Energy Ohio, Inc. (“Duke”), the PUCO </w:t>
      </w:r>
      <w:r w:rsidR="0026302B">
        <w:rPr>
          <w:iCs/>
        </w:rPr>
        <w:t xml:space="preserve">disallowed </w:t>
      </w:r>
      <w:r w:rsidR="00E42D54">
        <w:rPr>
          <w:iCs/>
        </w:rPr>
        <w:t>approximately half ($14,</w:t>
      </w:r>
      <w:r w:rsidR="0026302B">
        <w:rPr>
          <w:iCs/>
        </w:rPr>
        <w:t>368,667</w:t>
      </w:r>
      <w:r w:rsidR="00E42D54">
        <w:rPr>
          <w:iCs/>
        </w:rPr>
        <w:t>) of the amount</w:t>
      </w:r>
      <w:r w:rsidR="00E75727">
        <w:rPr>
          <w:iCs/>
        </w:rPr>
        <w:t xml:space="preserve"> that Duke sought to collect</w:t>
      </w:r>
      <w:r w:rsidR="00E42D54">
        <w:rPr>
          <w:iCs/>
        </w:rPr>
        <w:t xml:space="preserve"> ($28,473,244)</w:t>
      </w:r>
      <w:r w:rsidR="00582F05">
        <w:rPr>
          <w:iCs/>
        </w:rPr>
        <w:t xml:space="preserve"> </w:t>
      </w:r>
      <w:r w:rsidR="00E42D54">
        <w:rPr>
          <w:iCs/>
        </w:rPr>
        <w:t>.</w:t>
      </w:r>
      <w:r w:rsidR="00582F05">
        <w:rPr>
          <w:rStyle w:val="FootnoteReference"/>
          <w:iCs/>
        </w:rPr>
        <w:footnoteReference w:id="47"/>
      </w:r>
      <w:r w:rsidR="00E42D54">
        <w:rPr>
          <w:iCs/>
        </w:rPr>
        <w:t xml:space="preserve">  </w:t>
      </w:r>
      <w:r w:rsidR="00363721">
        <w:rPr>
          <w:iCs/>
        </w:rPr>
        <w:t xml:space="preserve">Second, the </w:t>
      </w:r>
      <w:r w:rsidR="00BF761B">
        <w:rPr>
          <w:iCs/>
        </w:rPr>
        <w:t xml:space="preserve">amount </w:t>
      </w:r>
      <w:r w:rsidR="002251B5">
        <w:rPr>
          <w:iCs/>
        </w:rPr>
        <w:t xml:space="preserve">of deferral and </w:t>
      </w:r>
      <w:r w:rsidR="00541EDE">
        <w:rPr>
          <w:iCs/>
        </w:rPr>
        <w:t xml:space="preserve">the uncertainty </w:t>
      </w:r>
      <w:r w:rsidR="002251B5">
        <w:rPr>
          <w:iCs/>
        </w:rPr>
        <w:t>in collection</w:t>
      </w:r>
      <w:r w:rsidR="00541EDE">
        <w:rPr>
          <w:iCs/>
        </w:rPr>
        <w:t xml:space="preserve"> </w:t>
      </w:r>
      <w:r w:rsidR="002251B5">
        <w:rPr>
          <w:iCs/>
        </w:rPr>
        <w:t xml:space="preserve">are </w:t>
      </w:r>
      <w:r w:rsidR="006E371F">
        <w:rPr>
          <w:iCs/>
        </w:rPr>
        <w:t>routinely</w:t>
      </w:r>
      <w:r w:rsidR="002251B5">
        <w:rPr>
          <w:iCs/>
        </w:rPr>
        <w:t xml:space="preserve"> disclosed </w:t>
      </w:r>
      <w:r w:rsidR="006E371F">
        <w:rPr>
          <w:iCs/>
        </w:rPr>
        <w:t xml:space="preserve">in </w:t>
      </w:r>
      <w:r w:rsidR="00326A35">
        <w:rPr>
          <w:iCs/>
        </w:rPr>
        <w:t xml:space="preserve">the </w:t>
      </w:r>
      <w:r w:rsidR="00DD2ECB">
        <w:rPr>
          <w:iCs/>
        </w:rPr>
        <w:t xml:space="preserve">publicly filed </w:t>
      </w:r>
      <w:r w:rsidR="006E371F">
        <w:rPr>
          <w:iCs/>
        </w:rPr>
        <w:t>financial statements</w:t>
      </w:r>
      <w:r w:rsidR="00326A35">
        <w:rPr>
          <w:iCs/>
        </w:rPr>
        <w:t xml:space="preserve"> of the regulated utility</w:t>
      </w:r>
      <w:r w:rsidR="0026302B">
        <w:rPr>
          <w:iCs/>
        </w:rPr>
        <w:t>, and it was DP&amp;L (not the PUCO) that made the decision to reflect the deferrals on its financial statements that are read by third parties</w:t>
      </w:r>
      <w:r w:rsidR="006E371F">
        <w:rPr>
          <w:iCs/>
        </w:rPr>
        <w:t xml:space="preserve">. </w:t>
      </w:r>
      <w:r w:rsidR="002251B5">
        <w:rPr>
          <w:iCs/>
        </w:rPr>
        <w:t xml:space="preserve"> </w:t>
      </w:r>
      <w:r w:rsidR="0026302B">
        <w:rPr>
          <w:iCs/>
        </w:rPr>
        <w:t>I</w:t>
      </w:r>
      <w:r w:rsidR="00363721">
        <w:rPr>
          <w:iCs/>
        </w:rPr>
        <w:t xml:space="preserve">nvestors </w:t>
      </w:r>
      <w:r w:rsidR="00A472F1">
        <w:rPr>
          <w:iCs/>
        </w:rPr>
        <w:t xml:space="preserve">and rating agencies are knowledgeable and experienced entities with </w:t>
      </w:r>
      <w:r w:rsidR="002251B5">
        <w:rPr>
          <w:iCs/>
        </w:rPr>
        <w:t xml:space="preserve">an </w:t>
      </w:r>
      <w:r w:rsidR="00A472F1">
        <w:rPr>
          <w:iCs/>
        </w:rPr>
        <w:t xml:space="preserve">explicit responsibility </w:t>
      </w:r>
      <w:r w:rsidR="00D9090E">
        <w:rPr>
          <w:iCs/>
        </w:rPr>
        <w:t>for</w:t>
      </w:r>
      <w:r w:rsidR="00A472F1">
        <w:rPr>
          <w:iCs/>
        </w:rPr>
        <w:t xml:space="preserve"> </w:t>
      </w:r>
      <w:r w:rsidR="00C66D30">
        <w:rPr>
          <w:iCs/>
        </w:rPr>
        <w:t>a</w:t>
      </w:r>
      <w:r w:rsidR="00A472F1">
        <w:rPr>
          <w:iCs/>
        </w:rPr>
        <w:t xml:space="preserve">ssessing </w:t>
      </w:r>
      <w:r w:rsidR="00326A35">
        <w:rPr>
          <w:iCs/>
        </w:rPr>
        <w:t xml:space="preserve">all </w:t>
      </w:r>
      <w:r w:rsidR="00A472F1">
        <w:rPr>
          <w:iCs/>
        </w:rPr>
        <w:t xml:space="preserve">the risk associated with </w:t>
      </w:r>
      <w:r w:rsidR="00326A35">
        <w:rPr>
          <w:iCs/>
        </w:rPr>
        <w:t xml:space="preserve">the </w:t>
      </w:r>
      <w:r w:rsidR="00A472F1">
        <w:rPr>
          <w:iCs/>
        </w:rPr>
        <w:t xml:space="preserve">equity and debts </w:t>
      </w:r>
      <w:r w:rsidR="00326A35">
        <w:rPr>
          <w:iCs/>
        </w:rPr>
        <w:t xml:space="preserve">of </w:t>
      </w:r>
      <w:r w:rsidR="00A472F1">
        <w:rPr>
          <w:iCs/>
        </w:rPr>
        <w:t xml:space="preserve">a particular utility. </w:t>
      </w:r>
      <w:r w:rsidR="00B77326">
        <w:rPr>
          <w:iCs/>
        </w:rPr>
        <w:t xml:space="preserve"> </w:t>
      </w:r>
      <w:r w:rsidR="00326A35">
        <w:rPr>
          <w:iCs/>
        </w:rPr>
        <w:t xml:space="preserve">It is </w:t>
      </w:r>
      <w:r w:rsidR="00C66D30">
        <w:rPr>
          <w:iCs/>
        </w:rPr>
        <w:t xml:space="preserve">unreasonable to </w:t>
      </w:r>
      <w:r w:rsidR="00326A35">
        <w:rPr>
          <w:iCs/>
        </w:rPr>
        <w:t>assume that t</w:t>
      </w:r>
      <w:r w:rsidR="002251B5">
        <w:rPr>
          <w:iCs/>
        </w:rPr>
        <w:t>he investors</w:t>
      </w:r>
      <w:r w:rsidR="00326A35">
        <w:rPr>
          <w:iCs/>
        </w:rPr>
        <w:t>,</w:t>
      </w:r>
      <w:r w:rsidR="002251B5">
        <w:rPr>
          <w:iCs/>
        </w:rPr>
        <w:t xml:space="preserve"> financial analysts</w:t>
      </w:r>
      <w:r w:rsidR="00326A35">
        <w:rPr>
          <w:iCs/>
        </w:rPr>
        <w:t>, and rating agencies</w:t>
      </w:r>
      <w:r w:rsidR="002251B5">
        <w:rPr>
          <w:iCs/>
        </w:rPr>
        <w:t xml:space="preserve"> are </w:t>
      </w:r>
      <w:r w:rsidR="002C4156">
        <w:rPr>
          <w:iCs/>
        </w:rPr>
        <w:t xml:space="preserve">not </w:t>
      </w:r>
      <w:r w:rsidR="002251B5">
        <w:rPr>
          <w:iCs/>
        </w:rPr>
        <w:t xml:space="preserve">fully aware of the risk facing </w:t>
      </w:r>
      <w:r w:rsidR="00A472F1">
        <w:rPr>
          <w:iCs/>
        </w:rPr>
        <w:t xml:space="preserve">DP&amp;L </w:t>
      </w:r>
      <w:r w:rsidR="002251B5">
        <w:rPr>
          <w:iCs/>
        </w:rPr>
        <w:t>in not collecting these previously deferred or non-de</w:t>
      </w:r>
      <w:r w:rsidR="00283CE9">
        <w:rPr>
          <w:iCs/>
        </w:rPr>
        <w:t>ferred storm-related expenses.</w:t>
      </w:r>
      <w:r w:rsidR="0026302B">
        <w:rPr>
          <w:iCs/>
        </w:rPr>
        <w:t xml:space="preserve">  And the PUCO even stated in </w:t>
      </w:r>
      <w:r w:rsidR="001D6FFA">
        <w:rPr>
          <w:iCs/>
        </w:rPr>
        <w:t>both deferral cases, Case Nos. 08-1332 and 12-2281 respectively, that granting the deferrals did not constitute ratemaking.</w:t>
      </w:r>
      <w:r w:rsidR="001D6FFA">
        <w:rPr>
          <w:rStyle w:val="FootnoteReference"/>
          <w:iCs/>
        </w:rPr>
        <w:footnoteReference w:id="48"/>
      </w:r>
    </w:p>
    <w:p w:rsidR="00233938" w:rsidRDefault="00233938" w:rsidP="00541EDE">
      <w:pPr>
        <w:spacing w:line="480" w:lineRule="auto"/>
        <w:ind w:left="720" w:hanging="720"/>
        <w:rPr>
          <w:iCs/>
        </w:rPr>
      </w:pPr>
    </w:p>
    <w:p w:rsidR="00C66D30" w:rsidRDefault="00C66D30" w:rsidP="00C66D30">
      <w:pPr>
        <w:spacing w:line="480" w:lineRule="auto"/>
        <w:ind w:left="720" w:hanging="720"/>
        <w:rPr>
          <w:b/>
          <w:i/>
        </w:rPr>
      </w:pPr>
      <w:r w:rsidRPr="00171F54">
        <w:rPr>
          <w:b/>
          <w:i/>
        </w:rPr>
        <w:t>Q</w:t>
      </w:r>
      <w:r w:rsidR="003E0D9C">
        <w:rPr>
          <w:b/>
          <w:i/>
        </w:rPr>
        <w:t>30</w:t>
      </w:r>
      <w:r w:rsidRPr="00171F54">
        <w:rPr>
          <w:b/>
          <w:i/>
        </w:rPr>
        <w:t>.</w:t>
      </w:r>
      <w:r w:rsidRPr="00171F54">
        <w:rPr>
          <w:b/>
          <w:i/>
        </w:rPr>
        <w:tab/>
      </w:r>
      <w:r>
        <w:rPr>
          <w:b/>
          <w:i/>
        </w:rPr>
        <w:t>DO YOU AGREE WITH DP&amp;L’S ASSERTION THAT “A COMMISSION ORDER AUTHORIZING A UTILITY TO RECORD AN EXPENSE AS A REGULATORY ASSET INDICATES TO INVESTORS AND LENDERS THAT THE AMOUNTS WILL PROBABLY BE RECOVERED IN A FUTURE PERIOD”?</w:t>
      </w:r>
      <w:r w:rsidR="003E0D9C">
        <w:rPr>
          <w:rStyle w:val="FootnoteReference"/>
          <w:b/>
          <w:i/>
        </w:rPr>
        <w:footnoteReference w:id="49"/>
      </w:r>
    </w:p>
    <w:p w:rsidR="00C66D30" w:rsidRDefault="00C66D30" w:rsidP="00501E73">
      <w:pPr>
        <w:spacing w:line="480" w:lineRule="auto"/>
        <w:ind w:left="720" w:hanging="720"/>
        <w:rPr>
          <w:iCs/>
        </w:rPr>
      </w:pPr>
      <w:r w:rsidRPr="00171F54">
        <w:rPr>
          <w:b/>
          <w:i/>
        </w:rPr>
        <w:t>A</w:t>
      </w:r>
      <w:r w:rsidR="003E0D9C">
        <w:rPr>
          <w:b/>
          <w:i/>
        </w:rPr>
        <w:t>30</w:t>
      </w:r>
      <w:r w:rsidRPr="00171F54">
        <w:rPr>
          <w:b/>
          <w:i/>
        </w:rPr>
        <w:t>.</w:t>
      </w:r>
      <w:r>
        <w:rPr>
          <w:b/>
          <w:i/>
        </w:rPr>
        <w:tab/>
      </w:r>
      <w:r>
        <w:t xml:space="preserve">No.  I do not agree with this assertion.  As discussed above, the </w:t>
      </w:r>
      <w:r w:rsidR="00A17D27">
        <w:t>PUCO</w:t>
      </w:r>
      <w:r>
        <w:t xml:space="preserve"> has explicitly ruled that </w:t>
      </w:r>
      <w:r w:rsidR="004414B7">
        <w:t xml:space="preserve">allowing </w:t>
      </w:r>
      <w:r>
        <w:t>deferral</w:t>
      </w:r>
      <w:r w:rsidR="004414B7">
        <w:t>s</w:t>
      </w:r>
      <w:r>
        <w:t xml:space="preserve"> is not ratemaking and </w:t>
      </w:r>
      <w:r w:rsidR="004414B7">
        <w:t xml:space="preserve">that </w:t>
      </w:r>
      <w:r w:rsidR="00072CA3">
        <w:t xml:space="preserve">the </w:t>
      </w:r>
      <w:r>
        <w:t xml:space="preserve">authorization of a deferral does not prevent the </w:t>
      </w:r>
      <w:r w:rsidR="00A17D27">
        <w:t>PUCO</w:t>
      </w:r>
      <w:r>
        <w:t xml:space="preserve"> from </w:t>
      </w:r>
      <w:r w:rsidR="00DD2ECB">
        <w:t>finding that</w:t>
      </w:r>
      <w:r>
        <w:t xml:space="preserve"> the deferred amounts </w:t>
      </w:r>
      <w:r w:rsidR="00DD2ECB">
        <w:t>were imprudent or unreasonable</w:t>
      </w:r>
      <w:r>
        <w:t xml:space="preserve"> in a future proceeding.  </w:t>
      </w:r>
      <w:r w:rsidR="00541EDE">
        <w:rPr>
          <w:iCs/>
        </w:rPr>
        <w:t>DP&amp;L and third part</w:t>
      </w:r>
      <w:r w:rsidR="00DD2ECB">
        <w:rPr>
          <w:iCs/>
        </w:rPr>
        <w:t>y</w:t>
      </w:r>
      <w:r w:rsidR="00541EDE">
        <w:rPr>
          <w:iCs/>
        </w:rPr>
        <w:t xml:space="preserve"> </w:t>
      </w:r>
      <w:r w:rsidR="00CF5A0E">
        <w:rPr>
          <w:iCs/>
        </w:rPr>
        <w:t>investors and lenders must</w:t>
      </w:r>
      <w:r w:rsidR="00541EDE">
        <w:rPr>
          <w:iCs/>
        </w:rPr>
        <w:t xml:space="preserve"> assess and assign </w:t>
      </w:r>
      <w:r w:rsidR="00CF5A0E">
        <w:rPr>
          <w:iCs/>
        </w:rPr>
        <w:t xml:space="preserve">the </w:t>
      </w:r>
      <w:r w:rsidR="00541EDE">
        <w:rPr>
          <w:iCs/>
        </w:rPr>
        <w:t xml:space="preserve">probability of collecting the deferred expenses based on their own information, knowledge and experience.  </w:t>
      </w:r>
      <w:r w:rsidR="00CF5A0E">
        <w:rPr>
          <w:iCs/>
        </w:rPr>
        <w:t>Those parties, however, are</w:t>
      </w:r>
      <w:r w:rsidR="00541EDE">
        <w:rPr>
          <w:iCs/>
        </w:rPr>
        <w:t xml:space="preserve"> solely responsible for the consequences of their own assessments.  The </w:t>
      </w:r>
      <w:r w:rsidR="00A17D27">
        <w:rPr>
          <w:iCs/>
        </w:rPr>
        <w:t>PUCO</w:t>
      </w:r>
      <w:r w:rsidR="00541EDE">
        <w:rPr>
          <w:iCs/>
        </w:rPr>
        <w:t xml:space="preserve"> should not be held hostage to the “reliance” </w:t>
      </w:r>
      <w:r w:rsidR="00072CA3">
        <w:rPr>
          <w:iCs/>
        </w:rPr>
        <w:t xml:space="preserve">claimed </w:t>
      </w:r>
      <w:r w:rsidR="00541EDE">
        <w:rPr>
          <w:iCs/>
        </w:rPr>
        <w:t>by DP&amp;L or the third part</w:t>
      </w:r>
      <w:r w:rsidR="00CF5A0E">
        <w:rPr>
          <w:iCs/>
        </w:rPr>
        <w:t>y investors and lenders</w:t>
      </w:r>
      <w:r w:rsidR="00283CE9">
        <w:rPr>
          <w:iCs/>
        </w:rPr>
        <w:t>.</w:t>
      </w:r>
    </w:p>
    <w:p w:rsidR="00C66D30" w:rsidRDefault="00072CA3" w:rsidP="00326C9C">
      <w:pPr>
        <w:spacing w:line="480" w:lineRule="auto"/>
        <w:ind w:left="720"/>
        <w:rPr>
          <w:iCs/>
        </w:rPr>
      </w:pPr>
      <w:r>
        <w:rPr>
          <w:iCs/>
        </w:rPr>
        <w:t xml:space="preserve">DP&amp;L </w:t>
      </w:r>
      <w:r w:rsidR="00CF5A0E">
        <w:rPr>
          <w:iCs/>
        </w:rPr>
        <w:t>appears to be under the mistaken assumption that</w:t>
      </w:r>
      <w:r>
        <w:rPr>
          <w:iCs/>
        </w:rPr>
        <w:t xml:space="preserve"> </w:t>
      </w:r>
      <w:r w:rsidR="00387CC7">
        <w:rPr>
          <w:iCs/>
        </w:rPr>
        <w:t xml:space="preserve">when a regulated utility records </w:t>
      </w:r>
      <w:r w:rsidR="00D14B70">
        <w:rPr>
          <w:iCs/>
        </w:rPr>
        <w:t>a deferred expense</w:t>
      </w:r>
      <w:r w:rsidR="00387CC7">
        <w:rPr>
          <w:iCs/>
        </w:rPr>
        <w:t xml:space="preserve"> as a regulatory asset in its financial statements, the PUCO will </w:t>
      </w:r>
      <w:r w:rsidR="00422ED0">
        <w:rPr>
          <w:iCs/>
        </w:rPr>
        <w:t xml:space="preserve">(or should) </w:t>
      </w:r>
      <w:r w:rsidR="00387CC7">
        <w:rPr>
          <w:iCs/>
        </w:rPr>
        <w:t>allow the regulated utility to collect the deferred amount.</w:t>
      </w:r>
      <w:r w:rsidR="00387CC7">
        <w:rPr>
          <w:rStyle w:val="FootnoteReference"/>
          <w:iCs/>
        </w:rPr>
        <w:footnoteReference w:id="50"/>
      </w:r>
      <w:r w:rsidR="00387CC7">
        <w:rPr>
          <w:iCs/>
        </w:rPr>
        <w:t xml:space="preserve">  </w:t>
      </w:r>
      <w:r w:rsidR="00CF5A0E">
        <w:rPr>
          <w:iCs/>
        </w:rPr>
        <w:t xml:space="preserve">Under DP&amp;L’s theory, the </w:t>
      </w:r>
      <w:r w:rsidR="00A17D27">
        <w:rPr>
          <w:iCs/>
        </w:rPr>
        <w:t>PUCO</w:t>
      </w:r>
      <w:r w:rsidR="00CF5A0E">
        <w:rPr>
          <w:iCs/>
        </w:rPr>
        <w:t xml:space="preserve"> should not independently determin</w:t>
      </w:r>
      <w:r w:rsidR="00DF63B9">
        <w:rPr>
          <w:iCs/>
        </w:rPr>
        <w:t>e</w:t>
      </w:r>
      <w:r w:rsidR="00CF5A0E">
        <w:rPr>
          <w:iCs/>
        </w:rPr>
        <w:t xml:space="preserve"> whether</w:t>
      </w:r>
      <w:r>
        <w:rPr>
          <w:iCs/>
        </w:rPr>
        <w:t xml:space="preserve"> </w:t>
      </w:r>
      <w:r w:rsidR="00387CC7">
        <w:rPr>
          <w:iCs/>
        </w:rPr>
        <w:t xml:space="preserve">the deferred expense is </w:t>
      </w:r>
      <w:r w:rsidR="003E0D9C">
        <w:rPr>
          <w:iCs/>
        </w:rPr>
        <w:t>un</w:t>
      </w:r>
      <w:r>
        <w:rPr>
          <w:iCs/>
        </w:rPr>
        <w:t>needed, im</w:t>
      </w:r>
      <w:r w:rsidR="00387CC7">
        <w:rPr>
          <w:iCs/>
        </w:rPr>
        <w:t>prudent</w:t>
      </w:r>
      <w:r>
        <w:rPr>
          <w:iCs/>
        </w:rPr>
        <w:t xml:space="preserve">ly incurred, </w:t>
      </w:r>
      <w:r w:rsidR="00387CC7">
        <w:rPr>
          <w:iCs/>
        </w:rPr>
        <w:t xml:space="preserve">or </w:t>
      </w:r>
      <w:r w:rsidR="00CF5A0E">
        <w:rPr>
          <w:iCs/>
        </w:rPr>
        <w:t xml:space="preserve">if </w:t>
      </w:r>
      <w:r w:rsidR="00387CC7">
        <w:rPr>
          <w:iCs/>
        </w:rPr>
        <w:t xml:space="preserve">the resulting rates </w:t>
      </w:r>
      <w:r>
        <w:rPr>
          <w:iCs/>
        </w:rPr>
        <w:t>may be un</w:t>
      </w:r>
      <w:r w:rsidR="00387CC7">
        <w:rPr>
          <w:iCs/>
        </w:rPr>
        <w:t xml:space="preserve">just and </w:t>
      </w:r>
      <w:r>
        <w:rPr>
          <w:iCs/>
        </w:rPr>
        <w:t>un</w:t>
      </w:r>
      <w:r w:rsidR="00387CC7">
        <w:rPr>
          <w:iCs/>
        </w:rPr>
        <w:t xml:space="preserve">reasonable.  This position is contrary to established regulatory principles </w:t>
      </w:r>
      <w:r>
        <w:rPr>
          <w:iCs/>
        </w:rPr>
        <w:t xml:space="preserve">and </w:t>
      </w:r>
      <w:r w:rsidR="00A17D27">
        <w:rPr>
          <w:iCs/>
        </w:rPr>
        <w:t>PUCO</w:t>
      </w:r>
      <w:r>
        <w:rPr>
          <w:iCs/>
        </w:rPr>
        <w:t xml:space="preserve"> precedent</w:t>
      </w:r>
      <w:r w:rsidR="008E725A">
        <w:rPr>
          <w:iCs/>
        </w:rPr>
        <w:t>,</w:t>
      </w:r>
      <w:r>
        <w:rPr>
          <w:iCs/>
        </w:rPr>
        <w:t xml:space="preserve"> </w:t>
      </w:r>
      <w:r w:rsidR="00387CC7">
        <w:rPr>
          <w:iCs/>
        </w:rPr>
        <w:t xml:space="preserve">and it should be rejected by the </w:t>
      </w:r>
      <w:r w:rsidR="00CF5A0E">
        <w:rPr>
          <w:iCs/>
        </w:rPr>
        <w:t>PUCO</w:t>
      </w:r>
      <w:r w:rsidR="00326C9C">
        <w:rPr>
          <w:iCs/>
        </w:rPr>
        <w:t>.</w:t>
      </w:r>
    </w:p>
    <w:p w:rsidR="0068416B" w:rsidRPr="00363721" w:rsidRDefault="0068416B" w:rsidP="00363721">
      <w:pPr>
        <w:spacing w:line="480" w:lineRule="auto"/>
        <w:ind w:left="720" w:hanging="720"/>
      </w:pPr>
    </w:p>
    <w:p w:rsidR="00AA26F9" w:rsidRPr="00171F54" w:rsidRDefault="00AA26F9" w:rsidP="0097380D">
      <w:pPr>
        <w:spacing w:line="480" w:lineRule="auto"/>
        <w:ind w:left="720" w:hanging="720"/>
        <w:rPr>
          <w:b/>
          <w:i/>
        </w:rPr>
      </w:pPr>
      <w:r w:rsidRPr="00171F54">
        <w:rPr>
          <w:b/>
          <w:i/>
        </w:rPr>
        <w:t>Q</w:t>
      </w:r>
      <w:r w:rsidR="003E0D9C">
        <w:rPr>
          <w:b/>
          <w:i/>
        </w:rPr>
        <w:t>31</w:t>
      </w:r>
      <w:r w:rsidRPr="00171F54">
        <w:rPr>
          <w:b/>
          <w:i/>
        </w:rPr>
        <w:t>.</w:t>
      </w:r>
      <w:r w:rsidRPr="00171F54">
        <w:rPr>
          <w:b/>
          <w:i/>
        </w:rPr>
        <w:tab/>
      </w:r>
      <w:r w:rsidR="00007ACB">
        <w:rPr>
          <w:b/>
          <w:i/>
        </w:rPr>
        <w:t xml:space="preserve">WOULD </w:t>
      </w:r>
      <w:r w:rsidR="009D76A9">
        <w:rPr>
          <w:b/>
          <w:i/>
        </w:rPr>
        <w:t>THE DISALLOWANCE OF DEFERRED STORM COSTS I</w:t>
      </w:r>
      <w:r w:rsidR="00923235">
        <w:rPr>
          <w:b/>
          <w:i/>
        </w:rPr>
        <w:t>N THIS PROCEEDING</w:t>
      </w:r>
      <w:r w:rsidR="009D76A9">
        <w:rPr>
          <w:b/>
          <w:i/>
        </w:rPr>
        <w:t xml:space="preserve"> </w:t>
      </w:r>
      <w:r w:rsidR="002A4EA3">
        <w:rPr>
          <w:b/>
          <w:i/>
        </w:rPr>
        <w:t>CONSTITUT</w:t>
      </w:r>
      <w:r w:rsidR="00007ACB">
        <w:rPr>
          <w:b/>
          <w:i/>
        </w:rPr>
        <w:t>E</w:t>
      </w:r>
      <w:r w:rsidR="002A4EA3">
        <w:rPr>
          <w:b/>
          <w:i/>
        </w:rPr>
        <w:t xml:space="preserve"> </w:t>
      </w:r>
      <w:r w:rsidR="009D76A9">
        <w:rPr>
          <w:b/>
          <w:i/>
        </w:rPr>
        <w:t>RETROACTIVE RATEMAKING</w:t>
      </w:r>
      <w:r w:rsidR="00DF5FA6">
        <w:rPr>
          <w:b/>
          <w:i/>
        </w:rPr>
        <w:t xml:space="preserve"> AS CLAIMED BY DP&amp;L</w:t>
      </w:r>
      <w:r w:rsidR="008E725A">
        <w:rPr>
          <w:b/>
          <w:i/>
        </w:rPr>
        <w:t>’S WITNESS BARRETT</w:t>
      </w:r>
      <w:r w:rsidR="009D76A9">
        <w:rPr>
          <w:b/>
          <w:i/>
        </w:rPr>
        <w:t>?</w:t>
      </w:r>
      <w:r w:rsidR="00CF5A0E" w:rsidRPr="00CF5A0E">
        <w:rPr>
          <w:rStyle w:val="FootnoteReference"/>
        </w:rPr>
        <w:t xml:space="preserve"> </w:t>
      </w:r>
      <w:r w:rsidR="00CF5A0E">
        <w:rPr>
          <w:rStyle w:val="FootnoteReference"/>
        </w:rPr>
        <w:footnoteReference w:id="51"/>
      </w:r>
    </w:p>
    <w:p w:rsidR="00FA3B10" w:rsidRDefault="00AA26F9" w:rsidP="00FA3B10">
      <w:pPr>
        <w:spacing w:line="480" w:lineRule="auto"/>
        <w:ind w:left="720" w:hanging="720"/>
        <w:rPr>
          <w:b/>
          <w:i/>
        </w:rPr>
      </w:pPr>
      <w:r w:rsidRPr="00171F54">
        <w:rPr>
          <w:b/>
          <w:i/>
        </w:rPr>
        <w:t>A</w:t>
      </w:r>
      <w:r w:rsidR="003E0D9C">
        <w:rPr>
          <w:b/>
          <w:i/>
        </w:rPr>
        <w:t>31</w:t>
      </w:r>
      <w:r w:rsidRPr="00171F54">
        <w:rPr>
          <w:b/>
          <w:i/>
        </w:rPr>
        <w:t>.</w:t>
      </w:r>
      <w:r w:rsidRPr="00474A57">
        <w:rPr>
          <w:b/>
        </w:rPr>
        <w:tab/>
      </w:r>
      <w:r w:rsidR="00923235">
        <w:t xml:space="preserve">No.  As </w:t>
      </w:r>
      <w:r w:rsidR="00CF5A0E">
        <w:t>previously explained</w:t>
      </w:r>
      <w:r w:rsidR="00923235">
        <w:t xml:space="preserve">, the </w:t>
      </w:r>
      <w:r w:rsidR="00A17D27">
        <w:t>PUCO</w:t>
      </w:r>
      <w:r w:rsidR="00923235">
        <w:t xml:space="preserve"> has clear</w:t>
      </w:r>
      <w:r w:rsidR="00CF5A0E">
        <w:t>ly stated</w:t>
      </w:r>
      <w:r w:rsidR="00923235">
        <w:t xml:space="preserve"> that the authorization of </w:t>
      </w:r>
      <w:r w:rsidR="008E725A">
        <w:t xml:space="preserve">a </w:t>
      </w:r>
      <w:r w:rsidR="00923235">
        <w:t xml:space="preserve">deferral is not ratemaking and </w:t>
      </w:r>
      <w:r w:rsidR="006548CD">
        <w:t xml:space="preserve">it </w:t>
      </w:r>
      <w:r w:rsidR="00A64B29">
        <w:t xml:space="preserve">does not change the rates charged to utility customers.  </w:t>
      </w:r>
      <w:r w:rsidR="00A64B29" w:rsidRPr="00186368">
        <w:t xml:space="preserve">Consequently, the disallowance of deferred storm costs merely affirms the </w:t>
      </w:r>
      <w:r w:rsidR="00381876" w:rsidRPr="00186368">
        <w:t xml:space="preserve">2008 </w:t>
      </w:r>
      <w:r w:rsidR="00A64B29" w:rsidRPr="00186368">
        <w:t xml:space="preserve">rates </w:t>
      </w:r>
      <w:r w:rsidR="00DF5FA6" w:rsidRPr="00186368">
        <w:t xml:space="preserve">already </w:t>
      </w:r>
      <w:r w:rsidR="00A64B29" w:rsidRPr="00186368">
        <w:t>in place</w:t>
      </w:r>
      <w:r w:rsidR="00A64B29">
        <w:t>.  It does not change the rates charged to customers during the time period th</w:t>
      </w:r>
      <w:r w:rsidR="00326C9C">
        <w:t>e storm expenses were deferred.</w:t>
      </w:r>
      <w:r w:rsidR="00FA3B10">
        <w:rPr>
          <w:b/>
          <w:i/>
        </w:rPr>
        <w:br w:type="page"/>
      </w:r>
    </w:p>
    <w:p w:rsidR="00BC5950" w:rsidRPr="00171F54" w:rsidRDefault="00BC5950" w:rsidP="00BC5950">
      <w:pPr>
        <w:spacing w:line="480" w:lineRule="auto"/>
        <w:ind w:left="720" w:hanging="720"/>
        <w:rPr>
          <w:b/>
          <w:i/>
        </w:rPr>
      </w:pPr>
      <w:r w:rsidRPr="00171F54">
        <w:rPr>
          <w:b/>
          <w:i/>
        </w:rPr>
        <w:t>Q</w:t>
      </w:r>
      <w:r w:rsidR="003E0D9C">
        <w:rPr>
          <w:b/>
          <w:i/>
        </w:rPr>
        <w:t>3</w:t>
      </w:r>
      <w:r>
        <w:rPr>
          <w:b/>
          <w:i/>
        </w:rPr>
        <w:t>2</w:t>
      </w:r>
      <w:r w:rsidRPr="00171F54">
        <w:rPr>
          <w:b/>
          <w:i/>
        </w:rPr>
        <w:t>.</w:t>
      </w:r>
      <w:r w:rsidRPr="00171F54">
        <w:rPr>
          <w:b/>
          <w:i/>
        </w:rPr>
        <w:tab/>
      </w:r>
      <w:r w:rsidR="003C2E0D">
        <w:rPr>
          <w:b/>
          <w:i/>
        </w:rPr>
        <w:t xml:space="preserve">ARE YOU AWARE OF </w:t>
      </w:r>
      <w:r>
        <w:rPr>
          <w:b/>
          <w:i/>
        </w:rPr>
        <w:t xml:space="preserve">THE EFFECTS ON DP&amp;L’S </w:t>
      </w:r>
      <w:r w:rsidR="00B65372">
        <w:rPr>
          <w:b/>
          <w:i/>
        </w:rPr>
        <w:t xml:space="preserve">CURRENT </w:t>
      </w:r>
      <w:r>
        <w:rPr>
          <w:b/>
          <w:i/>
        </w:rPr>
        <w:t xml:space="preserve">FINANCIAL PERFORMANCE IF THE 2008 AND 2011 STORM-RELATED INCREMENTAL O&amp;M EXPENSES WERE </w:t>
      </w:r>
      <w:r w:rsidR="0002626F">
        <w:rPr>
          <w:b/>
          <w:i/>
        </w:rPr>
        <w:t>NOT COLLECTED FROM CUSTOMERS</w:t>
      </w:r>
      <w:r w:rsidR="00326C9C">
        <w:rPr>
          <w:b/>
          <w:i/>
        </w:rPr>
        <w:t>?</w:t>
      </w:r>
    </w:p>
    <w:p w:rsidR="00226482" w:rsidRDefault="00BC5950" w:rsidP="00326C9C">
      <w:pPr>
        <w:spacing w:line="480" w:lineRule="auto"/>
        <w:ind w:left="720" w:hanging="720"/>
      </w:pPr>
      <w:r w:rsidRPr="00171F54">
        <w:rPr>
          <w:b/>
          <w:i/>
        </w:rPr>
        <w:t>A</w:t>
      </w:r>
      <w:r w:rsidR="003E0D9C">
        <w:rPr>
          <w:b/>
          <w:i/>
        </w:rPr>
        <w:t>32</w:t>
      </w:r>
      <w:r w:rsidRPr="00171F54">
        <w:rPr>
          <w:b/>
          <w:i/>
        </w:rPr>
        <w:t>.</w:t>
      </w:r>
      <w:r w:rsidR="00B65372">
        <w:rPr>
          <w:b/>
          <w:i/>
        </w:rPr>
        <w:tab/>
      </w:r>
      <w:r w:rsidR="00B65372">
        <w:t xml:space="preserve">Yes.  </w:t>
      </w:r>
      <w:r w:rsidR="008C204D">
        <w:t>But,</w:t>
      </w:r>
      <w:r w:rsidR="00CF5A0E">
        <w:t xml:space="preserve"> </w:t>
      </w:r>
      <w:r w:rsidR="0002626F">
        <w:t>in my opinion,</w:t>
      </w:r>
      <w:r w:rsidR="00BD424A">
        <w:t xml:space="preserve"> write-offs </w:t>
      </w:r>
      <w:r w:rsidR="008C204D">
        <w:t>resulting from</w:t>
      </w:r>
      <w:r w:rsidR="00BD424A">
        <w:t xml:space="preserve"> </w:t>
      </w:r>
      <w:r w:rsidR="008C204D">
        <w:t xml:space="preserve">a PUCO order disallowing DP&amp;L from charging customers for </w:t>
      </w:r>
      <w:r w:rsidR="003C2E0D">
        <w:t xml:space="preserve">certain deferred </w:t>
      </w:r>
      <w:r w:rsidR="008C204D">
        <w:t xml:space="preserve">storm-related expenses </w:t>
      </w:r>
      <w:r w:rsidR="00BD424A">
        <w:t xml:space="preserve">should </w:t>
      </w:r>
      <w:r w:rsidR="0002626F">
        <w:t xml:space="preserve">not </w:t>
      </w:r>
      <w:r w:rsidR="00BD424A">
        <w:t xml:space="preserve">be </w:t>
      </w:r>
      <w:r w:rsidR="000B04C7">
        <w:t xml:space="preserve">a factor in the </w:t>
      </w:r>
      <w:r w:rsidR="00A17D27">
        <w:t>PUCO</w:t>
      </w:r>
      <w:r w:rsidR="000B04C7">
        <w:t>’s deliberation in this proceeding.</w:t>
      </w:r>
      <w:r w:rsidR="00DD7AB6">
        <w:t xml:space="preserve">  </w:t>
      </w:r>
      <w:r w:rsidR="00CF5A0E">
        <w:t>T</w:t>
      </w:r>
      <w:r w:rsidR="00B65372">
        <w:t>he effect</w:t>
      </w:r>
      <w:r w:rsidR="000B04C7">
        <w:t xml:space="preserve"> </w:t>
      </w:r>
      <w:r w:rsidR="00CF5A0E">
        <w:t xml:space="preserve">that a </w:t>
      </w:r>
      <w:r w:rsidR="000B04C7">
        <w:t xml:space="preserve">disallowance </w:t>
      </w:r>
      <w:r w:rsidR="00CF5A0E">
        <w:t xml:space="preserve">will have </w:t>
      </w:r>
      <w:r w:rsidR="000B04C7">
        <w:t>o</w:t>
      </w:r>
      <w:r w:rsidR="00B65372">
        <w:t xml:space="preserve">n </w:t>
      </w:r>
      <w:r w:rsidR="00181AAF">
        <w:t>DP&amp;L’s</w:t>
      </w:r>
      <w:r w:rsidR="00B65372">
        <w:t xml:space="preserve"> current financial performance is irrelevant </w:t>
      </w:r>
      <w:r w:rsidR="00181AAF">
        <w:t xml:space="preserve">because </w:t>
      </w:r>
      <w:r w:rsidR="008C204D">
        <w:t xml:space="preserve">the very purpose of </w:t>
      </w:r>
      <w:r w:rsidR="00181AAF">
        <w:t xml:space="preserve">this proceeding is </w:t>
      </w:r>
      <w:r w:rsidR="008C204D">
        <w:t xml:space="preserve">to determine whether DP&amp;L’s </w:t>
      </w:r>
      <w:r w:rsidR="00B65372">
        <w:t>storm-related O&amp;M expenses for 2008 and 2011</w:t>
      </w:r>
      <w:r w:rsidR="003C2E0D">
        <w:t xml:space="preserve"> should be disallowed, among other issues</w:t>
      </w:r>
      <w:r w:rsidR="00B65372">
        <w:t>.</w:t>
      </w:r>
    </w:p>
    <w:p w:rsidR="00226482" w:rsidRDefault="00226482" w:rsidP="00186368">
      <w:pPr>
        <w:spacing w:line="480" w:lineRule="auto"/>
        <w:ind w:left="720"/>
      </w:pPr>
    </w:p>
    <w:p w:rsidR="00734E9D" w:rsidRDefault="00CF5A0E" w:rsidP="00186368">
      <w:pPr>
        <w:spacing w:line="480" w:lineRule="auto"/>
        <w:ind w:left="720"/>
      </w:pPr>
      <w:r>
        <w:t>Moreover</w:t>
      </w:r>
      <w:r w:rsidR="00B65372">
        <w:t xml:space="preserve">, </w:t>
      </w:r>
      <w:r w:rsidR="00453A96">
        <w:t xml:space="preserve">I estimated </w:t>
      </w:r>
      <w:r w:rsidR="00B65372">
        <w:t xml:space="preserve">the total </w:t>
      </w:r>
      <w:r w:rsidR="00BD424A">
        <w:t>amount</w:t>
      </w:r>
      <w:r w:rsidR="006D1E83">
        <w:t>s</w:t>
      </w:r>
      <w:r w:rsidR="00BD424A">
        <w:t xml:space="preserve"> of </w:t>
      </w:r>
      <w:r w:rsidR="006D1E83">
        <w:t xml:space="preserve">write-offs as a result of the disallowance are </w:t>
      </w:r>
      <w:r w:rsidR="00BD424A">
        <w:t xml:space="preserve">modest.  Specifically, the </w:t>
      </w:r>
      <w:r w:rsidR="00B65372">
        <w:t xml:space="preserve">recoverable amount of incremental O&amp;M </w:t>
      </w:r>
      <w:r>
        <w:t xml:space="preserve">costs </w:t>
      </w:r>
      <w:r w:rsidR="00B65372">
        <w:t xml:space="preserve">for the 2008, 2011, and 2012, after proposed adjustments by </w:t>
      </w:r>
      <w:r w:rsidR="00E52387">
        <w:t xml:space="preserve">the </w:t>
      </w:r>
      <w:r w:rsidR="00B65372">
        <w:t>PUCO Staff</w:t>
      </w:r>
      <w:r w:rsidR="00BD424A">
        <w:t>, is approximately $23.4 million ($23,407,216).</w:t>
      </w:r>
      <w:r w:rsidR="00BD424A">
        <w:rPr>
          <w:rStyle w:val="FootnoteReference"/>
        </w:rPr>
        <w:footnoteReference w:id="52"/>
      </w:r>
      <w:r w:rsidR="00B65372">
        <w:t xml:space="preserve"> </w:t>
      </w:r>
      <w:r w:rsidR="002E5242">
        <w:t xml:space="preserve"> </w:t>
      </w:r>
      <w:r w:rsidR="00BD424A">
        <w:t xml:space="preserve">The total amount of disallowance for 2008 and 2011 storm-related incremental O&amp;M expenses will be even </w:t>
      </w:r>
      <w:r w:rsidR="00453A96">
        <w:t>smaller</w:t>
      </w:r>
      <w:r w:rsidR="00BD424A">
        <w:t xml:space="preserve">. </w:t>
      </w:r>
      <w:r w:rsidR="00B45191">
        <w:t xml:space="preserve"> </w:t>
      </w:r>
      <w:r w:rsidR="00683AC9">
        <w:t>Also, i</w:t>
      </w:r>
      <w:r w:rsidR="006D1E83">
        <w:t xml:space="preserve">t should be noted that </w:t>
      </w:r>
      <w:r w:rsidR="00683AC9">
        <w:t xml:space="preserve">a </w:t>
      </w:r>
      <w:r w:rsidR="006D1E83">
        <w:t>disallowance of 2011 storm-related incremental O&amp;M expenses</w:t>
      </w:r>
      <w:r w:rsidR="00A74E50">
        <w:t xml:space="preserve"> </w:t>
      </w:r>
      <w:r w:rsidR="006D1E83">
        <w:t>will not result in any write-off to DP&amp;L</w:t>
      </w:r>
      <w:r w:rsidR="00683AC9">
        <w:t xml:space="preserve"> because the amounts have not been </w:t>
      </w:r>
      <w:r w:rsidR="00453A96">
        <w:t xml:space="preserve">authorized by the PUCO to be </w:t>
      </w:r>
      <w:r w:rsidR="00683AC9">
        <w:t>deferred</w:t>
      </w:r>
      <w:r w:rsidR="006D1E83">
        <w:t xml:space="preserve">.  </w:t>
      </w:r>
      <w:r w:rsidR="00453A96">
        <w:t xml:space="preserve">As an alternative measurement of the amount of possible write-offs, </w:t>
      </w:r>
      <w:r w:rsidR="006D1E83">
        <w:t>DP&amp;L</w:t>
      </w:r>
      <w:r w:rsidR="00BD424A">
        <w:t xml:space="preserve"> </w:t>
      </w:r>
      <w:r w:rsidR="00C26DF3">
        <w:t>estimates that it currently has recorded approximately $20.1 million in deferred expenses and carrying charges associated with the 2008 major storms.</w:t>
      </w:r>
      <w:r w:rsidR="00C26DF3">
        <w:rPr>
          <w:rStyle w:val="FootnoteReference"/>
        </w:rPr>
        <w:footnoteReference w:id="53"/>
      </w:r>
    </w:p>
    <w:p w:rsidR="00734E9D" w:rsidRDefault="00734E9D" w:rsidP="00186368">
      <w:pPr>
        <w:spacing w:line="480" w:lineRule="auto"/>
        <w:ind w:left="720"/>
      </w:pPr>
    </w:p>
    <w:p w:rsidR="00A74E50" w:rsidRDefault="00CF5A0E" w:rsidP="00FA3B10">
      <w:pPr>
        <w:spacing w:line="480" w:lineRule="auto"/>
        <w:ind w:left="720"/>
      </w:pPr>
      <w:r>
        <w:t>Finally</w:t>
      </w:r>
      <w:r w:rsidR="00DD7AB6">
        <w:t>, t</w:t>
      </w:r>
      <w:r w:rsidR="00BD424A">
        <w:t xml:space="preserve">his potential write-off of $23.4 million </w:t>
      </w:r>
      <w:r w:rsidR="00C26DF3">
        <w:t xml:space="preserve">or $20.1 million </w:t>
      </w:r>
      <w:r w:rsidR="00BD424A">
        <w:t>is considerabl</w:t>
      </w:r>
      <w:r>
        <w:t>y</w:t>
      </w:r>
      <w:r w:rsidR="00BD424A">
        <w:t xml:space="preserve"> less than </w:t>
      </w:r>
      <w:r w:rsidR="00453A96">
        <w:t xml:space="preserve">some </w:t>
      </w:r>
      <w:r w:rsidR="00BD424A">
        <w:t xml:space="preserve">write-offs taken by DP&amp;L in the past.  For example, </w:t>
      </w:r>
      <w:r w:rsidR="00B45191">
        <w:t xml:space="preserve">in 2012 </w:t>
      </w:r>
      <w:r w:rsidR="000B04C7">
        <w:t>DP&amp;L recorded a pre-tax write-off</w:t>
      </w:r>
      <w:r w:rsidR="00BD424A">
        <w:t xml:space="preserve"> </w:t>
      </w:r>
      <w:r w:rsidR="000B04C7">
        <w:t>of $80.8 million related to its Conesville and Hutchings generating facilities</w:t>
      </w:r>
      <w:r>
        <w:t>.  This write-off</w:t>
      </w:r>
      <w:r w:rsidR="000B04C7">
        <w:t xml:space="preserve"> was disclosed in SEC Form 10Q/A for the quarterly period ended September 30, 2012</w:t>
      </w:r>
      <w:r w:rsidR="000B04C7">
        <w:rPr>
          <w:rStyle w:val="FootnoteReference"/>
        </w:rPr>
        <w:footnoteReference w:id="54"/>
      </w:r>
      <w:r w:rsidR="00BD424A">
        <w:t xml:space="preserve"> </w:t>
      </w:r>
      <w:r>
        <w:t xml:space="preserve">and was </w:t>
      </w:r>
      <w:r w:rsidR="00181AAF">
        <w:t>unrelated to any decision by the PUCO.</w:t>
      </w:r>
      <w:r w:rsidR="00F44B41">
        <w:rPr>
          <w:rStyle w:val="FootnoteReference"/>
        </w:rPr>
        <w:footnoteReference w:id="55"/>
      </w:r>
      <w:r w:rsidR="00181AAF">
        <w:t xml:space="preserve">  The write-offs of real and regulatory assets </w:t>
      </w:r>
      <w:r w:rsidR="00192FF4">
        <w:t>occur in the</w:t>
      </w:r>
      <w:r w:rsidR="00181AAF">
        <w:t xml:space="preserve"> normal </w:t>
      </w:r>
      <w:r w:rsidR="00192FF4">
        <w:t>course</w:t>
      </w:r>
      <w:r w:rsidR="00181AAF">
        <w:t xml:space="preserve"> of </w:t>
      </w:r>
      <w:r w:rsidR="00DD7AB6">
        <w:t xml:space="preserve">doing </w:t>
      </w:r>
      <w:r w:rsidR="00181AAF">
        <w:t xml:space="preserve">business for a regulated utility.  If there is any </w:t>
      </w:r>
      <w:r w:rsidR="00181AAF" w:rsidRPr="00186368">
        <w:t>impairment t</w:t>
      </w:r>
      <w:r w:rsidR="00181AAF">
        <w:t xml:space="preserve">o the value of a real or a regulatory asset, a regulated utility needs to record such </w:t>
      </w:r>
      <w:r w:rsidR="00072CA3">
        <w:t>impairment</w:t>
      </w:r>
      <w:r w:rsidR="00181AAF">
        <w:t xml:space="preserve">.  The </w:t>
      </w:r>
      <w:r w:rsidR="00A17D27">
        <w:t>PUCO</w:t>
      </w:r>
      <w:r w:rsidR="00181AAF">
        <w:t xml:space="preserve"> should not interfere with this process.</w:t>
      </w:r>
      <w:bookmarkEnd w:id="20"/>
    </w:p>
    <w:p w:rsidR="00FA3B10" w:rsidRDefault="00FA3B10" w:rsidP="00FA3B10">
      <w:pPr>
        <w:spacing w:line="480" w:lineRule="auto"/>
        <w:ind w:left="720"/>
        <w:rPr>
          <w:rFonts w:ascii="Times New Roman Bold" w:hAnsi="Times New Roman Bold"/>
          <w:b/>
          <w:bCs/>
          <w:caps/>
        </w:rPr>
      </w:pPr>
    </w:p>
    <w:p w:rsidR="0032051E" w:rsidRDefault="00A91C59" w:rsidP="00C36248">
      <w:pPr>
        <w:pStyle w:val="Heading1"/>
        <w:ind w:left="720" w:hanging="720"/>
      </w:pPr>
      <w:bookmarkStart w:id="22" w:name="_Toc378946315"/>
      <w:r>
        <w:t>CONCLUSION</w:t>
      </w:r>
      <w:bookmarkEnd w:id="22"/>
    </w:p>
    <w:p w:rsidR="00020230" w:rsidRDefault="00020230" w:rsidP="0097380D">
      <w:pPr>
        <w:pStyle w:val="Heading1"/>
        <w:numPr>
          <w:ilvl w:val="0"/>
          <w:numId w:val="0"/>
        </w:numPr>
        <w:ind w:left="720"/>
      </w:pPr>
    </w:p>
    <w:p w:rsidR="008A5A1A" w:rsidRPr="00A4206B" w:rsidRDefault="00020230" w:rsidP="0097380D">
      <w:pPr>
        <w:spacing w:line="480" w:lineRule="auto"/>
        <w:ind w:left="720" w:hanging="720"/>
        <w:rPr>
          <w:b/>
          <w:bCs/>
          <w:i/>
        </w:rPr>
      </w:pPr>
      <w:r w:rsidRPr="00A4206B">
        <w:rPr>
          <w:b/>
          <w:i/>
        </w:rPr>
        <w:t>Q</w:t>
      </w:r>
      <w:r w:rsidR="003E0D9C">
        <w:rPr>
          <w:b/>
          <w:i/>
        </w:rPr>
        <w:t>33</w:t>
      </w:r>
      <w:r w:rsidRPr="00A4206B">
        <w:rPr>
          <w:b/>
          <w:i/>
        </w:rPr>
        <w:t>.</w:t>
      </w:r>
      <w:r w:rsidRPr="00A4206B">
        <w:rPr>
          <w:b/>
          <w:i/>
        </w:rPr>
        <w:tab/>
      </w:r>
      <w:bookmarkEnd w:id="21"/>
      <w:r w:rsidR="008A5A1A" w:rsidRPr="00A4206B">
        <w:rPr>
          <w:b/>
          <w:i/>
        </w:rPr>
        <w:t>DOES THIS CONCLUDE YOUR TESTIMONY?</w:t>
      </w:r>
    </w:p>
    <w:p w:rsidR="008A5A1A" w:rsidRDefault="008A5A1A" w:rsidP="0097380D">
      <w:pPr>
        <w:pStyle w:val="BodyText"/>
        <w:ind w:hanging="720"/>
      </w:pPr>
      <w:r>
        <w:rPr>
          <w:b/>
          <w:bCs/>
          <w:i/>
        </w:rPr>
        <w:t>A</w:t>
      </w:r>
      <w:r w:rsidR="003E0D9C">
        <w:rPr>
          <w:b/>
          <w:bCs/>
          <w:i/>
        </w:rPr>
        <w:t>33</w:t>
      </w:r>
      <w:r>
        <w:rPr>
          <w:b/>
          <w:bCs/>
          <w:i/>
        </w:rPr>
        <w:t>.</w:t>
      </w:r>
      <w:r>
        <w:rPr>
          <w:b/>
          <w:bCs/>
          <w:i/>
        </w:rPr>
        <w:tab/>
      </w:r>
      <w:r w:rsidRPr="008D073F">
        <w:t>Yes</w:t>
      </w:r>
      <w:r>
        <w:t xml:space="preserve">.  However, I reserve the right to supplement my testimony in the event that </w:t>
      </w:r>
      <w:r w:rsidR="00577425">
        <w:t xml:space="preserve">DP&amp;L, </w:t>
      </w:r>
      <w:r w:rsidR="0039524C">
        <w:t xml:space="preserve">the </w:t>
      </w:r>
      <w:r>
        <w:t>PUCO Staff or other parties submit additional testimonies, or if new information or data in connection with this proceeding becomes available.</w:t>
      </w:r>
    </w:p>
    <w:p w:rsidR="008A5A1A" w:rsidRDefault="008A5A1A">
      <w:pPr>
        <w:spacing w:line="480" w:lineRule="auto"/>
        <w:sectPr w:rsidR="008A5A1A" w:rsidSect="00753412">
          <w:headerReference w:type="even" r:id="rId18"/>
          <w:headerReference w:type="default" r:id="rId19"/>
          <w:footerReference w:type="default" r:id="rId20"/>
          <w:headerReference w:type="first" r:id="rId21"/>
          <w:pgSz w:w="12240" w:h="15840" w:code="1"/>
          <w:pgMar w:top="1440" w:right="1800" w:bottom="1440" w:left="1800" w:header="720" w:footer="720" w:gutter="0"/>
          <w:lnNumType w:countBy="1"/>
          <w:pgNumType w:start="1"/>
          <w:cols w:space="720"/>
          <w:docGrid w:linePitch="360"/>
        </w:sectPr>
      </w:pPr>
    </w:p>
    <w:p w:rsidR="008A5A1A" w:rsidRPr="00A27653" w:rsidRDefault="008A5A1A" w:rsidP="00A4206B">
      <w:pPr>
        <w:pStyle w:val="BodyText"/>
        <w:ind w:left="0"/>
        <w:jc w:val="center"/>
        <w:rPr>
          <w:b/>
          <w:u w:val="single"/>
        </w:rPr>
      </w:pPr>
      <w:r w:rsidRPr="00A27653">
        <w:rPr>
          <w:b/>
          <w:u w:val="single"/>
        </w:rPr>
        <w:t>CERTIFICATE OF SERVICE</w:t>
      </w:r>
    </w:p>
    <w:p w:rsidR="00A16ECF" w:rsidRDefault="002E5242" w:rsidP="002E5242">
      <w:pPr>
        <w:spacing w:line="480" w:lineRule="auto"/>
        <w:ind w:firstLine="720"/>
      </w:pPr>
      <w:r>
        <w:t>I hereby certify that a</w:t>
      </w:r>
      <w:r w:rsidR="008A5A1A">
        <w:t xml:space="preserve"> copy of the </w:t>
      </w:r>
      <w:r w:rsidR="008A5A1A">
        <w:rPr>
          <w:i/>
          <w:iCs/>
        </w:rPr>
        <w:t xml:space="preserve">Direct Testimony of Daniel J. </w:t>
      </w:r>
      <w:r w:rsidR="00462716">
        <w:rPr>
          <w:i/>
          <w:iCs/>
        </w:rPr>
        <w:t>Duann</w:t>
      </w:r>
      <w:r w:rsidR="000D5834">
        <w:rPr>
          <w:i/>
          <w:iCs/>
        </w:rPr>
        <w:t>, Ph.D.</w:t>
      </w:r>
      <w:r w:rsidR="00462716">
        <w:t xml:space="preserve"> </w:t>
      </w:r>
      <w:r>
        <w:t>was served on the persons stated below via electronic transmission this 31st day of January 2014.</w:t>
      </w:r>
      <w:r w:rsidR="008A5A1A">
        <w:tab/>
      </w:r>
    </w:p>
    <w:p w:rsidR="008A5A1A" w:rsidRPr="00A27653" w:rsidRDefault="008A5A1A" w:rsidP="00A16ECF">
      <w:pPr>
        <w:ind w:firstLine="720"/>
        <w:rPr>
          <w:i/>
          <w:u w:val="single"/>
        </w:rPr>
      </w:pPr>
      <w:r>
        <w:tab/>
      </w:r>
      <w:r>
        <w:tab/>
      </w:r>
      <w:r>
        <w:tab/>
      </w:r>
      <w:r>
        <w:tab/>
      </w:r>
      <w:r>
        <w:tab/>
      </w:r>
      <w:r w:rsidR="00A27653" w:rsidRPr="00A27653">
        <w:rPr>
          <w:i/>
          <w:u w:val="single"/>
        </w:rPr>
        <w:t>/s/</w:t>
      </w:r>
      <w:r w:rsidR="00A27653" w:rsidRPr="00A27653">
        <w:rPr>
          <w:i/>
          <w:iCs/>
          <w:u w:val="single"/>
        </w:rPr>
        <w:t xml:space="preserve"> </w:t>
      </w:r>
      <w:r w:rsidR="00577425">
        <w:rPr>
          <w:i/>
          <w:iCs/>
          <w:u w:val="single"/>
        </w:rPr>
        <w:t xml:space="preserve">Melissa </w:t>
      </w:r>
      <w:r w:rsidR="00637054">
        <w:rPr>
          <w:i/>
          <w:iCs/>
          <w:u w:val="single"/>
        </w:rPr>
        <w:t xml:space="preserve">R. </w:t>
      </w:r>
      <w:r w:rsidR="00577425">
        <w:rPr>
          <w:i/>
          <w:iCs/>
          <w:u w:val="single"/>
        </w:rPr>
        <w:t>Yost</w:t>
      </w:r>
      <w:r w:rsidR="00A27653" w:rsidRPr="00A27653">
        <w:rPr>
          <w:i/>
          <w:iCs/>
          <w:u w:val="single"/>
        </w:rPr>
        <w:tab/>
      </w:r>
      <w:r w:rsidR="00A27653" w:rsidRPr="00A27653">
        <w:rPr>
          <w:i/>
          <w:iCs/>
          <w:u w:val="single"/>
        </w:rPr>
        <w:tab/>
      </w:r>
      <w:r w:rsidR="00A27653" w:rsidRPr="00A27653">
        <w:rPr>
          <w:i/>
          <w:iCs/>
          <w:u w:val="single"/>
        </w:rPr>
        <w:tab/>
      </w:r>
      <w:r w:rsidR="00A27653" w:rsidRPr="00A27653">
        <w:rPr>
          <w:i/>
          <w:u w:val="single"/>
        </w:rPr>
        <w:t xml:space="preserve"> </w:t>
      </w:r>
    </w:p>
    <w:p w:rsidR="008A5A1A" w:rsidRPr="00A27653" w:rsidRDefault="00A27653" w:rsidP="00A27653">
      <w:pPr>
        <w:pStyle w:val="BodyText"/>
        <w:tabs>
          <w:tab w:val="left" w:pos="4320"/>
        </w:tabs>
        <w:spacing w:line="240" w:lineRule="auto"/>
        <w:ind w:left="0"/>
      </w:pPr>
      <w:r w:rsidRPr="00A27653">
        <w:tab/>
      </w:r>
      <w:r w:rsidR="00577425">
        <w:t xml:space="preserve">Melissa </w:t>
      </w:r>
      <w:r w:rsidR="00637054">
        <w:t xml:space="preserve">R. </w:t>
      </w:r>
      <w:r w:rsidR="00577425">
        <w:t>Yost</w:t>
      </w:r>
    </w:p>
    <w:p w:rsidR="008A5A1A" w:rsidRPr="00A27653" w:rsidRDefault="008A5A1A" w:rsidP="00A27653">
      <w:pPr>
        <w:pStyle w:val="EndnoteText"/>
        <w:widowControl/>
        <w:rPr>
          <w:rFonts w:ascii="Times New Roman" w:hAnsi="Times New Roman"/>
        </w:rPr>
      </w:pPr>
      <w:r w:rsidRPr="00A27653">
        <w:rPr>
          <w:rFonts w:ascii="Times New Roman" w:hAnsi="Times New Roman"/>
        </w:rPr>
        <w:tab/>
      </w:r>
      <w:r w:rsidRPr="00A27653">
        <w:rPr>
          <w:rFonts w:ascii="Times New Roman" w:hAnsi="Times New Roman"/>
        </w:rPr>
        <w:tab/>
      </w:r>
      <w:r w:rsidRPr="00A27653">
        <w:rPr>
          <w:rFonts w:ascii="Times New Roman" w:hAnsi="Times New Roman"/>
        </w:rPr>
        <w:tab/>
      </w:r>
      <w:r w:rsidRPr="00A27653">
        <w:rPr>
          <w:rFonts w:ascii="Times New Roman" w:hAnsi="Times New Roman"/>
        </w:rPr>
        <w:tab/>
      </w:r>
      <w:r w:rsidRPr="00A27653">
        <w:rPr>
          <w:rFonts w:ascii="Times New Roman" w:hAnsi="Times New Roman"/>
        </w:rPr>
        <w:tab/>
      </w:r>
      <w:r w:rsidRPr="00A27653">
        <w:rPr>
          <w:rFonts w:ascii="Times New Roman" w:hAnsi="Times New Roman"/>
        </w:rPr>
        <w:tab/>
      </w:r>
      <w:r w:rsidR="00637054">
        <w:rPr>
          <w:rFonts w:ascii="Times New Roman" w:hAnsi="Times New Roman"/>
        </w:rPr>
        <w:t>Deputy</w:t>
      </w:r>
      <w:r w:rsidR="00A27653" w:rsidRPr="00A27653">
        <w:rPr>
          <w:rFonts w:ascii="Times New Roman" w:hAnsi="Times New Roman"/>
        </w:rPr>
        <w:t xml:space="preserve"> Consumers’ Counsel</w:t>
      </w:r>
    </w:p>
    <w:p w:rsidR="008A5A1A" w:rsidRPr="00A27653" w:rsidRDefault="008A5A1A" w:rsidP="00A27653">
      <w:pPr>
        <w:pStyle w:val="EndnoteText"/>
        <w:widowControl/>
        <w:rPr>
          <w:rFonts w:ascii="Times New Roman" w:hAnsi="Times New Roman"/>
        </w:rPr>
      </w:pPr>
    </w:p>
    <w:p w:rsidR="002F3721" w:rsidRPr="00A27653" w:rsidRDefault="002F3721" w:rsidP="00A27653">
      <w:pPr>
        <w:pStyle w:val="EndnoteText"/>
        <w:widowControl/>
        <w:rPr>
          <w:rFonts w:ascii="Times New Roman" w:hAnsi="Times New Roman"/>
        </w:rPr>
      </w:pPr>
    </w:p>
    <w:p w:rsidR="00CB4725" w:rsidRPr="00A27653" w:rsidRDefault="00CB4725" w:rsidP="00CB4725">
      <w:pPr>
        <w:pStyle w:val="CommentText"/>
        <w:jc w:val="center"/>
        <w:rPr>
          <w:b/>
          <w:sz w:val="24"/>
          <w:szCs w:val="24"/>
          <w:u w:val="single"/>
        </w:rPr>
      </w:pPr>
      <w:r w:rsidRPr="00A27653">
        <w:rPr>
          <w:b/>
          <w:sz w:val="24"/>
          <w:szCs w:val="24"/>
          <w:u w:val="single"/>
        </w:rPr>
        <w:t>SERVICE LIST</w:t>
      </w:r>
    </w:p>
    <w:p w:rsidR="00CB4725" w:rsidRDefault="00CB4725" w:rsidP="00CB4725">
      <w:pPr>
        <w:pStyle w:val="CommentText"/>
        <w:jc w:val="center"/>
        <w:rPr>
          <w:b/>
          <w:bCs/>
          <w:u w:val="single"/>
        </w:rPr>
      </w:pPr>
    </w:p>
    <w:tbl>
      <w:tblPr>
        <w:tblW w:w="0" w:type="auto"/>
        <w:jc w:val="center"/>
        <w:tblLook w:val="01E0" w:firstRow="1" w:lastRow="1" w:firstColumn="1" w:lastColumn="1" w:noHBand="0" w:noVBand="0"/>
      </w:tblPr>
      <w:tblGrid>
        <w:gridCol w:w="4428"/>
        <w:gridCol w:w="4428"/>
      </w:tblGrid>
      <w:tr w:rsidR="002E5242" w:rsidTr="002E5242">
        <w:trPr>
          <w:jc w:val="center"/>
        </w:trPr>
        <w:tc>
          <w:tcPr>
            <w:tcW w:w="4428" w:type="dxa"/>
          </w:tcPr>
          <w:p w:rsidR="002E5242" w:rsidRDefault="002E5242" w:rsidP="00034506">
            <w:pPr>
              <w:autoSpaceDE w:val="0"/>
              <w:autoSpaceDN w:val="0"/>
              <w:adjustRightInd w:val="0"/>
              <w:rPr>
                <w:bCs/>
                <w:szCs w:val="20"/>
              </w:rPr>
            </w:pPr>
            <w:r>
              <w:rPr>
                <w:bCs/>
                <w:szCs w:val="20"/>
              </w:rPr>
              <w:t>Ryan O’Rourke</w:t>
            </w:r>
          </w:p>
          <w:p w:rsidR="002E5242" w:rsidRDefault="002E5242" w:rsidP="00034506">
            <w:pPr>
              <w:autoSpaceDE w:val="0"/>
              <w:autoSpaceDN w:val="0"/>
              <w:adjustRightInd w:val="0"/>
              <w:rPr>
                <w:bCs/>
                <w:szCs w:val="20"/>
              </w:rPr>
            </w:pPr>
            <w:r>
              <w:rPr>
                <w:bCs/>
                <w:szCs w:val="20"/>
              </w:rPr>
              <w:t>Attorney General’s Office</w:t>
            </w:r>
          </w:p>
          <w:p w:rsidR="002E5242" w:rsidRDefault="002E5242" w:rsidP="00034506">
            <w:pPr>
              <w:autoSpaceDE w:val="0"/>
              <w:autoSpaceDN w:val="0"/>
              <w:adjustRightInd w:val="0"/>
              <w:rPr>
                <w:bCs/>
                <w:szCs w:val="20"/>
              </w:rPr>
            </w:pPr>
            <w:r>
              <w:rPr>
                <w:bCs/>
                <w:szCs w:val="20"/>
              </w:rPr>
              <w:t>Public Utilities Commission of Ohio</w:t>
            </w:r>
          </w:p>
          <w:p w:rsidR="002E5242" w:rsidRDefault="002E5242" w:rsidP="00034506">
            <w:pPr>
              <w:autoSpaceDE w:val="0"/>
              <w:autoSpaceDN w:val="0"/>
              <w:adjustRightInd w:val="0"/>
              <w:rPr>
                <w:bCs/>
                <w:szCs w:val="20"/>
              </w:rPr>
            </w:pPr>
            <w:r>
              <w:rPr>
                <w:bCs/>
                <w:szCs w:val="20"/>
              </w:rPr>
              <w:t>180 East Broad St., 6</w:t>
            </w:r>
            <w:r>
              <w:rPr>
                <w:bCs/>
                <w:szCs w:val="20"/>
                <w:vertAlign w:val="superscript"/>
              </w:rPr>
              <w:t>th</w:t>
            </w:r>
            <w:r>
              <w:rPr>
                <w:bCs/>
                <w:szCs w:val="20"/>
              </w:rPr>
              <w:t xml:space="preserve"> Fl.</w:t>
            </w:r>
          </w:p>
          <w:p w:rsidR="002E5242" w:rsidRDefault="002E5242" w:rsidP="00034506">
            <w:pPr>
              <w:autoSpaceDE w:val="0"/>
              <w:autoSpaceDN w:val="0"/>
              <w:adjustRightInd w:val="0"/>
              <w:rPr>
                <w:bCs/>
                <w:szCs w:val="20"/>
              </w:rPr>
            </w:pPr>
            <w:r>
              <w:rPr>
                <w:bCs/>
                <w:szCs w:val="20"/>
              </w:rPr>
              <w:t>Columbus, Ohio 43215</w:t>
            </w:r>
          </w:p>
          <w:p w:rsidR="002E5242" w:rsidRDefault="004D483C" w:rsidP="00034506">
            <w:pPr>
              <w:autoSpaceDE w:val="0"/>
              <w:autoSpaceDN w:val="0"/>
              <w:adjustRightInd w:val="0"/>
              <w:rPr>
                <w:bCs/>
                <w:szCs w:val="20"/>
              </w:rPr>
            </w:pPr>
            <w:hyperlink r:id="rId22" w:history="1">
              <w:r w:rsidR="002E5242">
                <w:rPr>
                  <w:rStyle w:val="Hyperlink"/>
                  <w:rFonts w:eastAsiaTheme="majorEastAsia"/>
                  <w:bCs/>
                  <w:szCs w:val="20"/>
                </w:rPr>
                <w:t>Ryan.orourke@puc.state.oh.us</w:t>
              </w:r>
            </w:hyperlink>
          </w:p>
          <w:p w:rsidR="002E5242" w:rsidRDefault="002E5242" w:rsidP="00034506">
            <w:pPr>
              <w:autoSpaceDE w:val="0"/>
              <w:autoSpaceDN w:val="0"/>
              <w:adjustRightInd w:val="0"/>
              <w:rPr>
                <w:bCs/>
                <w:szCs w:val="20"/>
              </w:rPr>
            </w:pPr>
          </w:p>
        </w:tc>
        <w:tc>
          <w:tcPr>
            <w:tcW w:w="4428" w:type="dxa"/>
          </w:tcPr>
          <w:p w:rsidR="002E5242" w:rsidRDefault="002E5242" w:rsidP="00034506">
            <w:pPr>
              <w:jc w:val="both"/>
              <w:rPr>
                <w:bCs/>
                <w:szCs w:val="20"/>
              </w:rPr>
            </w:pPr>
            <w:r>
              <w:rPr>
                <w:bCs/>
                <w:szCs w:val="20"/>
              </w:rPr>
              <w:t>Judi L. Sebeka</w:t>
            </w:r>
          </w:p>
          <w:p w:rsidR="002E5242" w:rsidRDefault="002E5242" w:rsidP="00034506">
            <w:pPr>
              <w:jc w:val="both"/>
              <w:rPr>
                <w:bCs/>
                <w:szCs w:val="20"/>
              </w:rPr>
            </w:pPr>
            <w:r>
              <w:rPr>
                <w:bCs/>
                <w:szCs w:val="20"/>
              </w:rPr>
              <w:t>Randall V. Griffin</w:t>
            </w:r>
          </w:p>
          <w:p w:rsidR="002E5242" w:rsidRDefault="002E5242" w:rsidP="00034506">
            <w:pPr>
              <w:jc w:val="both"/>
              <w:rPr>
                <w:bCs/>
                <w:szCs w:val="20"/>
              </w:rPr>
            </w:pPr>
            <w:r>
              <w:rPr>
                <w:bCs/>
                <w:szCs w:val="20"/>
              </w:rPr>
              <w:t>The Dayton Power and Light Company</w:t>
            </w:r>
          </w:p>
          <w:p w:rsidR="002E5242" w:rsidRDefault="002E5242" w:rsidP="00034506">
            <w:pPr>
              <w:jc w:val="both"/>
              <w:rPr>
                <w:bCs/>
                <w:szCs w:val="20"/>
              </w:rPr>
            </w:pPr>
            <w:r>
              <w:rPr>
                <w:bCs/>
                <w:szCs w:val="20"/>
              </w:rPr>
              <w:t>1065 Woodman Drive</w:t>
            </w:r>
          </w:p>
          <w:p w:rsidR="002E5242" w:rsidRDefault="002E5242" w:rsidP="00034506">
            <w:pPr>
              <w:jc w:val="both"/>
              <w:rPr>
                <w:bCs/>
                <w:szCs w:val="20"/>
              </w:rPr>
            </w:pPr>
            <w:r>
              <w:rPr>
                <w:bCs/>
                <w:szCs w:val="20"/>
              </w:rPr>
              <w:t>Dayton, Ohio 45432</w:t>
            </w:r>
          </w:p>
          <w:p w:rsidR="002E5242" w:rsidRDefault="004D483C" w:rsidP="00034506">
            <w:pPr>
              <w:jc w:val="both"/>
              <w:rPr>
                <w:bCs/>
                <w:szCs w:val="20"/>
              </w:rPr>
            </w:pPr>
            <w:hyperlink r:id="rId23" w:history="1">
              <w:r w:rsidR="002E5242">
                <w:rPr>
                  <w:rStyle w:val="Hyperlink"/>
                  <w:rFonts w:eastAsiaTheme="majorEastAsia"/>
                  <w:bCs/>
                  <w:szCs w:val="20"/>
                </w:rPr>
                <w:t>Judi.sobecki@dplinc.com</w:t>
              </w:r>
            </w:hyperlink>
          </w:p>
          <w:p w:rsidR="002E5242" w:rsidRDefault="004D483C" w:rsidP="00034506">
            <w:pPr>
              <w:jc w:val="both"/>
              <w:rPr>
                <w:bCs/>
                <w:szCs w:val="20"/>
              </w:rPr>
            </w:pPr>
            <w:hyperlink r:id="rId24" w:history="1">
              <w:r w:rsidR="002E5242">
                <w:rPr>
                  <w:rStyle w:val="Hyperlink"/>
                  <w:rFonts w:eastAsiaTheme="majorEastAsia"/>
                  <w:bCs/>
                  <w:szCs w:val="20"/>
                </w:rPr>
                <w:t>Randall.griffin@dplinc.com</w:t>
              </w:r>
            </w:hyperlink>
          </w:p>
          <w:p w:rsidR="002E5242" w:rsidRDefault="002E5242" w:rsidP="00034506">
            <w:pPr>
              <w:jc w:val="both"/>
              <w:rPr>
                <w:bCs/>
                <w:szCs w:val="20"/>
              </w:rPr>
            </w:pPr>
          </w:p>
          <w:p w:rsidR="002E5242" w:rsidRDefault="002E5242" w:rsidP="00034506">
            <w:pPr>
              <w:jc w:val="both"/>
              <w:rPr>
                <w:bCs/>
                <w:szCs w:val="20"/>
              </w:rPr>
            </w:pPr>
          </w:p>
        </w:tc>
      </w:tr>
      <w:tr w:rsidR="002E5242" w:rsidTr="002E5242">
        <w:trPr>
          <w:jc w:val="center"/>
        </w:trPr>
        <w:tc>
          <w:tcPr>
            <w:tcW w:w="4428" w:type="dxa"/>
          </w:tcPr>
          <w:p w:rsidR="002E5242" w:rsidRDefault="002E5242" w:rsidP="00034506">
            <w:pPr>
              <w:autoSpaceDE w:val="0"/>
              <w:autoSpaceDN w:val="0"/>
              <w:adjustRightInd w:val="0"/>
              <w:rPr>
                <w:bCs/>
                <w:szCs w:val="20"/>
              </w:rPr>
            </w:pPr>
            <w:r>
              <w:rPr>
                <w:bCs/>
                <w:szCs w:val="20"/>
              </w:rPr>
              <w:t>Mark S. Yur</w:t>
            </w:r>
            <w:r w:rsidR="000B371F">
              <w:rPr>
                <w:bCs/>
                <w:szCs w:val="20"/>
              </w:rPr>
              <w:t>ic</w:t>
            </w:r>
            <w:r>
              <w:rPr>
                <w:bCs/>
                <w:szCs w:val="20"/>
              </w:rPr>
              <w:t>k</w:t>
            </w:r>
          </w:p>
          <w:p w:rsidR="002E5242" w:rsidRDefault="002E5242" w:rsidP="00034506">
            <w:pPr>
              <w:autoSpaceDE w:val="0"/>
              <w:autoSpaceDN w:val="0"/>
              <w:adjustRightInd w:val="0"/>
              <w:rPr>
                <w:bCs/>
                <w:szCs w:val="20"/>
              </w:rPr>
            </w:pPr>
            <w:r>
              <w:rPr>
                <w:bCs/>
                <w:szCs w:val="20"/>
              </w:rPr>
              <w:t>Zachary D. Kraits</w:t>
            </w:r>
          </w:p>
          <w:p w:rsidR="002E5242" w:rsidRDefault="002E5242" w:rsidP="00034506">
            <w:pPr>
              <w:autoSpaceDE w:val="0"/>
              <w:autoSpaceDN w:val="0"/>
              <w:adjustRightInd w:val="0"/>
              <w:rPr>
                <w:bCs/>
                <w:szCs w:val="20"/>
              </w:rPr>
            </w:pPr>
            <w:r>
              <w:rPr>
                <w:bCs/>
                <w:szCs w:val="20"/>
              </w:rPr>
              <w:t>Taft Stettinius &amp; Hollister LLP</w:t>
            </w:r>
          </w:p>
          <w:p w:rsidR="002E5242" w:rsidRDefault="002E5242" w:rsidP="00034506">
            <w:pPr>
              <w:autoSpaceDE w:val="0"/>
              <w:autoSpaceDN w:val="0"/>
              <w:adjustRightInd w:val="0"/>
              <w:rPr>
                <w:bCs/>
                <w:szCs w:val="20"/>
              </w:rPr>
            </w:pPr>
            <w:r>
              <w:rPr>
                <w:bCs/>
                <w:szCs w:val="20"/>
              </w:rPr>
              <w:t>65 East State Street, Suite 1000</w:t>
            </w:r>
          </w:p>
          <w:p w:rsidR="002E5242" w:rsidRDefault="002E5242" w:rsidP="00034506">
            <w:pPr>
              <w:autoSpaceDE w:val="0"/>
              <w:autoSpaceDN w:val="0"/>
              <w:adjustRightInd w:val="0"/>
              <w:rPr>
                <w:bCs/>
                <w:szCs w:val="20"/>
              </w:rPr>
            </w:pPr>
            <w:r>
              <w:rPr>
                <w:bCs/>
                <w:szCs w:val="20"/>
              </w:rPr>
              <w:t>Columbus, Ohio 43215</w:t>
            </w:r>
          </w:p>
          <w:p w:rsidR="002E5242" w:rsidRDefault="004D483C" w:rsidP="00034506">
            <w:pPr>
              <w:autoSpaceDE w:val="0"/>
              <w:autoSpaceDN w:val="0"/>
              <w:adjustRightInd w:val="0"/>
              <w:rPr>
                <w:bCs/>
                <w:szCs w:val="20"/>
              </w:rPr>
            </w:pPr>
            <w:hyperlink r:id="rId25" w:history="1">
              <w:r w:rsidR="002E5242">
                <w:rPr>
                  <w:rStyle w:val="Hyperlink"/>
                  <w:rFonts w:eastAsiaTheme="majorEastAsia"/>
                  <w:bCs/>
                  <w:szCs w:val="20"/>
                </w:rPr>
                <w:t>myurick@taftlaw.com</w:t>
              </w:r>
            </w:hyperlink>
          </w:p>
          <w:p w:rsidR="002E5242" w:rsidRDefault="004D483C" w:rsidP="00034506">
            <w:pPr>
              <w:autoSpaceDE w:val="0"/>
              <w:autoSpaceDN w:val="0"/>
              <w:adjustRightInd w:val="0"/>
              <w:rPr>
                <w:bCs/>
                <w:szCs w:val="20"/>
              </w:rPr>
            </w:pPr>
            <w:hyperlink r:id="rId26" w:history="1">
              <w:r w:rsidR="002E5242">
                <w:rPr>
                  <w:rStyle w:val="Hyperlink"/>
                  <w:rFonts w:eastAsiaTheme="majorEastAsia"/>
                  <w:bCs/>
                  <w:szCs w:val="20"/>
                </w:rPr>
                <w:t>zkravitz@taftlaw.com</w:t>
              </w:r>
            </w:hyperlink>
          </w:p>
          <w:p w:rsidR="002E5242" w:rsidRDefault="002E5242" w:rsidP="00034506">
            <w:pPr>
              <w:autoSpaceDE w:val="0"/>
              <w:autoSpaceDN w:val="0"/>
              <w:adjustRightInd w:val="0"/>
              <w:rPr>
                <w:bCs/>
                <w:szCs w:val="20"/>
              </w:rPr>
            </w:pPr>
          </w:p>
        </w:tc>
        <w:tc>
          <w:tcPr>
            <w:tcW w:w="4428" w:type="dxa"/>
          </w:tcPr>
          <w:p w:rsidR="002E5242" w:rsidRDefault="002E5242" w:rsidP="00034506">
            <w:pPr>
              <w:jc w:val="both"/>
              <w:rPr>
                <w:bCs/>
                <w:szCs w:val="20"/>
              </w:rPr>
            </w:pPr>
            <w:r>
              <w:rPr>
                <w:bCs/>
                <w:szCs w:val="20"/>
              </w:rPr>
              <w:t>Charles J. Faruki</w:t>
            </w:r>
          </w:p>
          <w:p w:rsidR="002E5242" w:rsidRDefault="002E5242" w:rsidP="00034506">
            <w:pPr>
              <w:jc w:val="both"/>
              <w:rPr>
                <w:bCs/>
                <w:szCs w:val="20"/>
              </w:rPr>
            </w:pPr>
            <w:r>
              <w:rPr>
                <w:bCs/>
                <w:szCs w:val="20"/>
              </w:rPr>
              <w:t>Jeffrey s. Sharkey</w:t>
            </w:r>
          </w:p>
          <w:p w:rsidR="002E5242" w:rsidRDefault="002E5242" w:rsidP="00034506">
            <w:pPr>
              <w:jc w:val="both"/>
              <w:rPr>
                <w:bCs/>
                <w:szCs w:val="20"/>
              </w:rPr>
            </w:pPr>
            <w:r>
              <w:rPr>
                <w:bCs/>
                <w:szCs w:val="20"/>
              </w:rPr>
              <w:t>Faruki Ireland &amp; cox PLL</w:t>
            </w:r>
          </w:p>
          <w:p w:rsidR="002E5242" w:rsidRDefault="002E5242" w:rsidP="00034506">
            <w:pPr>
              <w:jc w:val="both"/>
              <w:rPr>
                <w:bCs/>
                <w:szCs w:val="20"/>
              </w:rPr>
            </w:pPr>
            <w:r>
              <w:rPr>
                <w:bCs/>
                <w:szCs w:val="20"/>
              </w:rPr>
              <w:t>500 Courthouse Plazas, S.W.</w:t>
            </w:r>
          </w:p>
          <w:p w:rsidR="002E5242" w:rsidRDefault="002E5242" w:rsidP="00034506">
            <w:pPr>
              <w:jc w:val="both"/>
              <w:rPr>
                <w:bCs/>
                <w:szCs w:val="20"/>
              </w:rPr>
            </w:pPr>
            <w:r>
              <w:rPr>
                <w:bCs/>
                <w:szCs w:val="20"/>
              </w:rPr>
              <w:t>10 North Ludlow Street</w:t>
            </w:r>
          </w:p>
          <w:p w:rsidR="002E5242" w:rsidRDefault="002E5242" w:rsidP="00034506">
            <w:pPr>
              <w:jc w:val="both"/>
              <w:rPr>
                <w:bCs/>
                <w:szCs w:val="20"/>
              </w:rPr>
            </w:pPr>
            <w:r>
              <w:rPr>
                <w:bCs/>
                <w:szCs w:val="20"/>
              </w:rPr>
              <w:t>Dayton, Ohio 45402</w:t>
            </w:r>
          </w:p>
          <w:p w:rsidR="002E5242" w:rsidRDefault="004D483C" w:rsidP="00034506">
            <w:pPr>
              <w:jc w:val="both"/>
              <w:rPr>
                <w:bCs/>
                <w:color w:val="0000FF"/>
                <w:szCs w:val="20"/>
                <w:u w:val="single"/>
              </w:rPr>
            </w:pPr>
            <w:hyperlink r:id="rId27" w:history="1">
              <w:r w:rsidR="002E5242">
                <w:rPr>
                  <w:rStyle w:val="Hyperlink"/>
                  <w:rFonts w:eastAsiaTheme="majorEastAsia"/>
                  <w:bCs/>
                  <w:szCs w:val="20"/>
                </w:rPr>
                <w:t>cfaruki@ficlaw.com</w:t>
              </w:r>
            </w:hyperlink>
          </w:p>
          <w:p w:rsidR="002E5242" w:rsidRDefault="004D483C" w:rsidP="00034506">
            <w:pPr>
              <w:jc w:val="both"/>
              <w:rPr>
                <w:bCs/>
                <w:color w:val="0000FF"/>
                <w:szCs w:val="20"/>
                <w:u w:val="single"/>
              </w:rPr>
            </w:pPr>
            <w:hyperlink r:id="rId28" w:history="1">
              <w:r w:rsidR="002E5242">
                <w:rPr>
                  <w:rStyle w:val="Hyperlink"/>
                  <w:rFonts w:eastAsiaTheme="majorEastAsia"/>
                  <w:bCs/>
                  <w:szCs w:val="20"/>
                </w:rPr>
                <w:t>jsharkey@ficlaw.com</w:t>
              </w:r>
            </w:hyperlink>
          </w:p>
          <w:p w:rsidR="002E5242" w:rsidRDefault="002E5242" w:rsidP="00034506">
            <w:pPr>
              <w:jc w:val="both"/>
              <w:rPr>
                <w:bCs/>
                <w:szCs w:val="20"/>
              </w:rPr>
            </w:pPr>
          </w:p>
        </w:tc>
      </w:tr>
    </w:tbl>
    <w:p w:rsidR="002E5242" w:rsidRDefault="002E5242" w:rsidP="002E5242">
      <w:pPr>
        <w:tabs>
          <w:tab w:val="left" w:pos="4320"/>
        </w:tabs>
        <w:rPr>
          <w:szCs w:val="20"/>
        </w:rPr>
      </w:pPr>
      <w:r>
        <w:rPr>
          <w:szCs w:val="20"/>
        </w:rPr>
        <w:t xml:space="preserve">AEs: </w:t>
      </w:r>
      <w:hyperlink r:id="rId29" w:history="1">
        <w:r>
          <w:rPr>
            <w:rStyle w:val="Hyperlink"/>
            <w:rFonts w:eastAsiaTheme="majorEastAsia"/>
            <w:szCs w:val="20"/>
          </w:rPr>
          <w:t>Bryce.mckenney@puc.state.oh.us</w:t>
        </w:r>
      </w:hyperlink>
    </w:p>
    <w:p w:rsidR="002E5242" w:rsidRDefault="002E5242" w:rsidP="002E5242">
      <w:pPr>
        <w:tabs>
          <w:tab w:val="left" w:pos="4320"/>
        </w:tabs>
        <w:rPr>
          <w:szCs w:val="20"/>
        </w:rPr>
      </w:pPr>
      <w:r>
        <w:rPr>
          <w:szCs w:val="20"/>
        </w:rPr>
        <w:t xml:space="preserve">         </w:t>
      </w:r>
      <w:hyperlink r:id="rId30" w:history="1">
        <w:r>
          <w:rPr>
            <w:rStyle w:val="Hyperlink"/>
            <w:rFonts w:eastAsiaTheme="majorEastAsia"/>
            <w:szCs w:val="20"/>
          </w:rPr>
          <w:t>Gregory.price@puc.state.oh.us</w:t>
        </w:r>
      </w:hyperlink>
    </w:p>
    <w:p w:rsidR="002E5242" w:rsidRDefault="002E5242">
      <w:pPr>
        <w:rPr>
          <w:b/>
        </w:rPr>
      </w:pPr>
      <w:r>
        <w:rPr>
          <w:b/>
        </w:rPr>
        <w:br w:type="page"/>
      </w:r>
    </w:p>
    <w:p w:rsidR="009F02DC" w:rsidRDefault="009F02DC" w:rsidP="009F02DC">
      <w:pPr>
        <w:jc w:val="right"/>
        <w:rPr>
          <w:b/>
        </w:rPr>
      </w:pPr>
      <w:r>
        <w:rPr>
          <w:b/>
        </w:rPr>
        <w:t>ATTACHMENT DJD-1</w:t>
      </w:r>
    </w:p>
    <w:p w:rsidR="009F02DC" w:rsidRDefault="009F02DC" w:rsidP="009F02DC">
      <w:pPr>
        <w:jc w:val="right"/>
      </w:pPr>
      <w:r>
        <w:t>Page 1 of 2</w:t>
      </w:r>
    </w:p>
    <w:p w:rsidR="009F02DC" w:rsidRDefault="009F02DC" w:rsidP="009F02DC">
      <w:pPr>
        <w:rPr>
          <w:b/>
        </w:rPr>
      </w:pPr>
    </w:p>
    <w:p w:rsidR="009F02DC" w:rsidRDefault="009F02DC" w:rsidP="009F02DC">
      <w:pPr>
        <w:jc w:val="center"/>
        <w:rPr>
          <w:b/>
        </w:rPr>
      </w:pPr>
      <w:bookmarkStart w:id="23" w:name="_Toc249780404"/>
      <w:bookmarkStart w:id="24" w:name="_Toc249782130"/>
      <w:r>
        <w:rPr>
          <w:b/>
        </w:rPr>
        <w:t xml:space="preserve">Daniel J. Duann, Ph.D. </w:t>
      </w:r>
    </w:p>
    <w:p w:rsidR="009F02DC" w:rsidRDefault="009F02DC" w:rsidP="009F02DC">
      <w:pPr>
        <w:jc w:val="center"/>
        <w:rPr>
          <w:b/>
        </w:rPr>
      </w:pPr>
      <w:r>
        <w:rPr>
          <w:b/>
        </w:rPr>
        <w:t xml:space="preserve">List of Testimonies Filed Before </w:t>
      </w:r>
      <w:r w:rsidR="005673C8">
        <w:rPr>
          <w:b/>
        </w:rPr>
        <w:t xml:space="preserve">the </w:t>
      </w:r>
      <w:r>
        <w:rPr>
          <w:b/>
        </w:rPr>
        <w:t xml:space="preserve">PUCO </w:t>
      </w:r>
      <w:bookmarkEnd w:id="23"/>
      <w:bookmarkEnd w:id="24"/>
    </w:p>
    <w:p w:rsidR="009F02DC" w:rsidRDefault="009F02DC" w:rsidP="009F02DC">
      <w:pPr>
        <w:pStyle w:val="FootnoteText"/>
        <w:spacing w:after="120"/>
      </w:pPr>
    </w:p>
    <w:p w:rsidR="009F02DC" w:rsidRDefault="009F02DC" w:rsidP="008F78A7">
      <w:pPr>
        <w:pStyle w:val="FootnoteText"/>
        <w:numPr>
          <w:ilvl w:val="0"/>
          <w:numId w:val="9"/>
        </w:numPr>
        <w:spacing w:before="0" w:after="240"/>
        <w:ind w:left="720" w:hanging="720"/>
        <w:rPr>
          <w:sz w:val="24"/>
          <w:szCs w:val="24"/>
        </w:rPr>
      </w:pPr>
      <w:r>
        <w:rPr>
          <w:i/>
          <w:sz w:val="24"/>
          <w:szCs w:val="24"/>
        </w:rPr>
        <w:t xml:space="preserve">Application of </w:t>
      </w:r>
      <w:r w:rsidR="00C97693">
        <w:rPr>
          <w:i/>
          <w:sz w:val="24"/>
          <w:szCs w:val="24"/>
        </w:rPr>
        <w:t>the</w:t>
      </w:r>
      <w:r>
        <w:rPr>
          <w:i/>
          <w:sz w:val="24"/>
          <w:szCs w:val="24"/>
        </w:rPr>
        <w:t xml:space="preserve"> Dayton Power and Light Company for Approval of Its Electric Security Plan</w:t>
      </w:r>
      <w:r>
        <w:rPr>
          <w:sz w:val="24"/>
          <w:szCs w:val="24"/>
        </w:rPr>
        <w:t>, Case No. 08-1094-EL-SSO (January 26, 2009).</w:t>
      </w:r>
    </w:p>
    <w:p w:rsidR="009F02DC" w:rsidRDefault="009F02DC" w:rsidP="008F78A7">
      <w:pPr>
        <w:pStyle w:val="FootnoteText"/>
        <w:numPr>
          <w:ilvl w:val="0"/>
          <w:numId w:val="9"/>
        </w:numPr>
        <w:spacing w:before="0" w:after="240"/>
        <w:ind w:left="720" w:hanging="720"/>
        <w:rPr>
          <w:sz w:val="24"/>
          <w:szCs w:val="24"/>
        </w:rPr>
      </w:pPr>
      <w:r>
        <w:rPr>
          <w:i/>
          <w:sz w:val="24"/>
          <w:szCs w:val="24"/>
        </w:rPr>
        <w:t>Application of Ohio American Water Company to Increase Its Rates for Water and Sewer Service Provided to Its Entire Service Area</w:t>
      </w:r>
      <w:r>
        <w:rPr>
          <w:sz w:val="24"/>
          <w:szCs w:val="24"/>
        </w:rPr>
        <w:t>, Case No. 09-391-WS-AIR (January 4,2010).</w:t>
      </w:r>
    </w:p>
    <w:p w:rsidR="009F02DC" w:rsidRDefault="009F02DC" w:rsidP="008F78A7">
      <w:pPr>
        <w:pStyle w:val="FootnoteText"/>
        <w:numPr>
          <w:ilvl w:val="0"/>
          <w:numId w:val="9"/>
        </w:numPr>
        <w:spacing w:before="0" w:after="240"/>
        <w:ind w:left="720" w:hanging="720"/>
        <w:rPr>
          <w:sz w:val="24"/>
          <w:szCs w:val="24"/>
        </w:rPr>
      </w:pPr>
      <w:r>
        <w:rPr>
          <w:i/>
          <w:sz w:val="24"/>
          <w:szCs w:val="24"/>
        </w:rPr>
        <w:t>Application of Aqua Ohio, Inc. for Authority to Increase its Rates and Charges in its Masury Division</w:t>
      </w:r>
      <w:r>
        <w:rPr>
          <w:sz w:val="24"/>
          <w:szCs w:val="24"/>
        </w:rPr>
        <w:t>, Case No. 09-560-WW-AIR (February 22, 2010).</w:t>
      </w:r>
    </w:p>
    <w:p w:rsidR="009F02DC" w:rsidRDefault="009F02DC" w:rsidP="008F78A7">
      <w:pPr>
        <w:pStyle w:val="FootnoteText"/>
        <w:numPr>
          <w:ilvl w:val="0"/>
          <w:numId w:val="9"/>
        </w:numPr>
        <w:spacing w:before="0" w:after="240"/>
        <w:ind w:left="720" w:hanging="720"/>
        <w:rPr>
          <w:sz w:val="24"/>
          <w:szCs w:val="24"/>
        </w:rPr>
      </w:pPr>
      <w:r>
        <w:rPr>
          <w:i/>
          <w:sz w:val="24"/>
          <w:szCs w:val="24"/>
        </w:rPr>
        <w:t>Application of Aqua Ohio, Inc. for Authority to increase its Rates and Charges in its Lake Erie Division</w:t>
      </w:r>
      <w:r>
        <w:rPr>
          <w:sz w:val="24"/>
          <w:szCs w:val="24"/>
        </w:rPr>
        <w:t>, Case No. 09-1044-WW-AIR (June 21, 2010).</w:t>
      </w:r>
    </w:p>
    <w:p w:rsidR="009F02DC" w:rsidRDefault="009F02DC" w:rsidP="008F78A7">
      <w:pPr>
        <w:pStyle w:val="FootnoteText"/>
        <w:numPr>
          <w:ilvl w:val="0"/>
          <w:numId w:val="9"/>
        </w:numPr>
        <w:spacing w:before="0" w:after="240"/>
        <w:ind w:left="720" w:hanging="720"/>
        <w:rPr>
          <w:sz w:val="24"/>
          <w:szCs w:val="24"/>
        </w:rPr>
      </w:pPr>
      <w:r>
        <w:rPr>
          <w:i/>
          <w:sz w:val="24"/>
          <w:szCs w:val="24"/>
        </w:rPr>
        <w:t>In the Matter of the Fuel Adjustment Clauses for Columbus Southern Power Company and Ohio Power Company</w:t>
      </w:r>
      <w:r>
        <w:rPr>
          <w:sz w:val="24"/>
          <w:szCs w:val="24"/>
        </w:rPr>
        <w:t>, Case Nos. 09-872-EL-FAC and 09-873-EL-FAC (August 16, 2010).</w:t>
      </w:r>
    </w:p>
    <w:p w:rsidR="009F02DC" w:rsidRDefault="009F02DC" w:rsidP="008F78A7">
      <w:pPr>
        <w:pStyle w:val="FootnoteText"/>
        <w:numPr>
          <w:ilvl w:val="0"/>
          <w:numId w:val="9"/>
        </w:numPr>
        <w:spacing w:before="0" w:after="240"/>
        <w:ind w:left="720" w:hanging="720"/>
        <w:rPr>
          <w:sz w:val="24"/>
          <w:szCs w:val="24"/>
        </w:rPr>
      </w:pPr>
      <w:r>
        <w:rPr>
          <w:i/>
          <w:sz w:val="24"/>
          <w:szCs w:val="24"/>
        </w:rPr>
        <w:t>In the Matter of the Application of Columbus Southern Power Company for Approval of an Electric Security Plan; an Amendment to its Corporate Separation Plan; and the Sale or Transfer of Certain Generating Asset (Remand)</w:t>
      </w:r>
      <w:r>
        <w:rPr>
          <w:sz w:val="24"/>
          <w:szCs w:val="24"/>
        </w:rPr>
        <w:t>, Case Nos. 08-917-EL-SSO et al (June 30, 2011).</w:t>
      </w:r>
    </w:p>
    <w:p w:rsidR="009F02DC" w:rsidRDefault="009F02DC" w:rsidP="008F78A7">
      <w:pPr>
        <w:pStyle w:val="FootnoteText"/>
        <w:numPr>
          <w:ilvl w:val="0"/>
          <w:numId w:val="9"/>
        </w:numPr>
        <w:spacing w:before="0" w:after="240"/>
        <w:ind w:left="720" w:hanging="720"/>
        <w:rPr>
          <w:sz w:val="24"/>
          <w:szCs w:val="24"/>
        </w:rPr>
      </w:pPr>
      <w:r>
        <w:rPr>
          <w:i/>
          <w:sz w:val="24"/>
          <w:szCs w:val="24"/>
        </w:rPr>
        <w:t>In the Matter of the Application of The East Ohio Gas Company d/b/a Dominion East Ohio for Approval of Tariffs to Modify and further Accelerate its Pipeline Infrastructure Replacement Program and to Recover the Associated Costs et al.</w:t>
      </w:r>
      <w:r>
        <w:rPr>
          <w:sz w:val="24"/>
          <w:szCs w:val="24"/>
        </w:rPr>
        <w:t>, Case Nos. 11-2401-GA-ALT and 08-169-GA-ALT (July 15, 2011).</w:t>
      </w:r>
    </w:p>
    <w:p w:rsidR="009F02DC" w:rsidRDefault="009F02DC" w:rsidP="008F78A7">
      <w:pPr>
        <w:pStyle w:val="FootnoteText"/>
        <w:numPr>
          <w:ilvl w:val="0"/>
          <w:numId w:val="9"/>
        </w:numPr>
        <w:spacing w:before="0" w:after="240"/>
        <w:ind w:left="720" w:hanging="720"/>
        <w:rPr>
          <w:sz w:val="24"/>
          <w:szCs w:val="24"/>
        </w:rPr>
      </w:pPr>
      <w:r>
        <w:rPr>
          <w:i/>
          <w:sz w:val="24"/>
          <w:szCs w:val="24"/>
        </w:rPr>
        <w:t>In the Matter of the Application of Columbus Southern Power Company and Ohio Power Company for Authority to Establish a Standard Service Offer Pursuant to 4928.143, Ohio Rev. Code in the Form of an Electric Security Plan (ESP)</w:t>
      </w:r>
      <w:r>
        <w:rPr>
          <w:sz w:val="24"/>
          <w:szCs w:val="24"/>
        </w:rPr>
        <w:t>, Case Nos. 11-346-EL-SSO, et al (July 25,2011).</w:t>
      </w:r>
    </w:p>
    <w:p w:rsidR="009F02DC" w:rsidRDefault="009F02DC" w:rsidP="008F78A7">
      <w:pPr>
        <w:pStyle w:val="FootnoteText"/>
        <w:numPr>
          <w:ilvl w:val="0"/>
          <w:numId w:val="9"/>
        </w:numPr>
        <w:spacing w:before="0" w:after="240"/>
        <w:ind w:left="720" w:hanging="720"/>
        <w:rPr>
          <w:sz w:val="24"/>
          <w:szCs w:val="24"/>
        </w:rPr>
      </w:pPr>
      <w:r>
        <w:rPr>
          <w:i/>
          <w:sz w:val="24"/>
          <w:szCs w:val="24"/>
        </w:rPr>
        <w:t>In the Matter of the Application of Columbus Southern Power Company and Ohio Power Company for Authority to Merge and Related Approval (ESP Stipulation)</w:t>
      </w:r>
      <w:r>
        <w:rPr>
          <w:sz w:val="24"/>
          <w:szCs w:val="24"/>
        </w:rPr>
        <w:t>, Case Nos. 10-2376-EL-UNC, et al (September 27, 2011).</w:t>
      </w:r>
    </w:p>
    <w:p w:rsidR="009F02DC" w:rsidRDefault="009F02DC" w:rsidP="008F78A7">
      <w:pPr>
        <w:pStyle w:val="FootnoteText"/>
        <w:numPr>
          <w:ilvl w:val="0"/>
          <w:numId w:val="9"/>
        </w:numPr>
        <w:spacing w:before="0" w:after="240"/>
        <w:ind w:left="720" w:hanging="720"/>
        <w:rPr>
          <w:sz w:val="24"/>
          <w:szCs w:val="24"/>
        </w:rPr>
      </w:pPr>
      <w:r>
        <w:rPr>
          <w:i/>
          <w:sz w:val="24"/>
          <w:szCs w:val="24"/>
        </w:rPr>
        <w:t xml:space="preserve">In the Matter of the 2010 Annual Filing of Columbus Southern Power Company and Ohio Power Company Required by Rule 4901:1-35-10, Ohio Administrative Code, </w:t>
      </w:r>
      <w:r>
        <w:rPr>
          <w:sz w:val="24"/>
          <w:szCs w:val="24"/>
        </w:rPr>
        <w:t>Case Nos. 11-4571-EL-UNC and 11-4572-EL-UNC (October 12, 2011).</w:t>
      </w:r>
    </w:p>
    <w:p w:rsidR="005673C8" w:rsidRDefault="005673C8">
      <w:pPr>
        <w:rPr>
          <w:b/>
          <w:kern w:val="2"/>
          <w:szCs w:val="22"/>
          <w:lang w:eastAsia="zh-TW"/>
        </w:rPr>
      </w:pPr>
      <w:r>
        <w:rPr>
          <w:b/>
        </w:rPr>
        <w:br w:type="page"/>
      </w:r>
    </w:p>
    <w:p w:rsidR="00C5479E" w:rsidRPr="00C5479E" w:rsidRDefault="00C5479E" w:rsidP="005673C8">
      <w:pPr>
        <w:pStyle w:val="ListParagraph"/>
        <w:ind w:leftChars="0" w:left="720" w:hanging="720"/>
        <w:jc w:val="right"/>
        <w:rPr>
          <w:rFonts w:ascii="Times New Roman" w:hAnsi="Times New Roman"/>
          <w:b/>
        </w:rPr>
      </w:pPr>
      <w:r w:rsidRPr="00C5479E">
        <w:rPr>
          <w:rFonts w:ascii="Times New Roman" w:hAnsi="Times New Roman"/>
          <w:b/>
        </w:rPr>
        <w:t>ATTACHMENT DJD-1</w:t>
      </w:r>
    </w:p>
    <w:p w:rsidR="00C5479E" w:rsidRPr="005673C8" w:rsidRDefault="00C5479E" w:rsidP="005673C8">
      <w:pPr>
        <w:pStyle w:val="ListParagraph"/>
        <w:spacing w:after="480"/>
        <w:ind w:leftChars="0" w:left="720" w:hanging="720"/>
        <w:jc w:val="right"/>
        <w:rPr>
          <w:rFonts w:ascii="Times New Roman" w:hAnsi="Times New Roman"/>
        </w:rPr>
      </w:pPr>
      <w:r w:rsidRPr="00C5479E">
        <w:rPr>
          <w:rFonts w:ascii="Times New Roman" w:hAnsi="Times New Roman"/>
        </w:rPr>
        <w:t>Page 2 of 2</w:t>
      </w:r>
    </w:p>
    <w:p w:rsidR="005673C8" w:rsidRPr="00C5479E" w:rsidRDefault="005673C8" w:rsidP="005673C8">
      <w:pPr>
        <w:pStyle w:val="FootnoteText"/>
        <w:numPr>
          <w:ilvl w:val="0"/>
          <w:numId w:val="9"/>
        </w:numPr>
        <w:spacing w:before="0" w:after="240"/>
        <w:ind w:left="720" w:hanging="720"/>
        <w:rPr>
          <w:sz w:val="24"/>
          <w:szCs w:val="24"/>
        </w:rPr>
      </w:pPr>
      <w:r>
        <w:rPr>
          <w:i/>
          <w:sz w:val="24"/>
        </w:rPr>
        <w:t>In the Matter of the Application of Ohio American Water Company to Increase Its Rates for Water and Sewer Service Provided to Its Entire Service Area</w:t>
      </w:r>
      <w:r>
        <w:rPr>
          <w:sz w:val="24"/>
        </w:rPr>
        <w:t>, Case No. 11-4161-WS-AIR (March 1, 2012).</w:t>
      </w:r>
    </w:p>
    <w:p w:rsidR="009F02DC" w:rsidRDefault="009F02DC" w:rsidP="008F78A7">
      <w:pPr>
        <w:pStyle w:val="FootnoteText"/>
        <w:numPr>
          <w:ilvl w:val="0"/>
          <w:numId w:val="9"/>
        </w:numPr>
        <w:spacing w:before="0" w:after="240"/>
        <w:ind w:left="720" w:hanging="720"/>
        <w:rPr>
          <w:sz w:val="24"/>
          <w:szCs w:val="24"/>
        </w:rPr>
      </w:pPr>
      <w:r>
        <w:rPr>
          <w:i/>
          <w:sz w:val="24"/>
          <w:szCs w:val="24"/>
        </w:rPr>
        <w:t>In the Matter of the Application of Columbus Southern Power Company and Ohio Power Company for Authority to Establish a Standard Service Offer Pursuant to 4928.143, Ohio Rev. Code in the Form of an Electric Security Plan (Modified ESP)</w:t>
      </w:r>
      <w:r>
        <w:rPr>
          <w:sz w:val="24"/>
          <w:szCs w:val="24"/>
        </w:rPr>
        <w:t>, Case Nos. 11-346-EL-SSO, et al (May 4, 2012).</w:t>
      </w:r>
    </w:p>
    <w:p w:rsidR="009F02DC" w:rsidRDefault="009F02DC" w:rsidP="008F78A7">
      <w:pPr>
        <w:numPr>
          <w:ilvl w:val="0"/>
          <w:numId w:val="9"/>
        </w:numPr>
        <w:tabs>
          <w:tab w:val="num" w:pos="720"/>
        </w:tabs>
        <w:autoSpaceDE w:val="0"/>
        <w:autoSpaceDN w:val="0"/>
        <w:adjustRightInd w:val="0"/>
        <w:spacing w:after="240"/>
        <w:ind w:left="720" w:hanging="720"/>
      </w:pPr>
      <w:r>
        <w:rPr>
          <w:i/>
        </w:rPr>
        <w:t xml:space="preserve">In the Matter of the Application of Ohio Edison Company, The Cleveland Electric Illuminating Company, and The Toledo Edison Company For Authority to Establish a Standard Service Offer Pursuant to R.C. § 4928.143 in the Form Of an Electric Security Plan, </w:t>
      </w:r>
      <w:r>
        <w:t>Case No. 12-1230-EL-SSO (May 21, 2012).</w:t>
      </w:r>
    </w:p>
    <w:p w:rsidR="00EF7AF0" w:rsidRDefault="00EF7AF0" w:rsidP="008F78A7">
      <w:pPr>
        <w:numPr>
          <w:ilvl w:val="0"/>
          <w:numId w:val="9"/>
        </w:numPr>
        <w:tabs>
          <w:tab w:val="num" w:pos="720"/>
        </w:tabs>
        <w:autoSpaceDE w:val="0"/>
        <w:autoSpaceDN w:val="0"/>
        <w:adjustRightInd w:val="0"/>
        <w:spacing w:after="240"/>
        <w:ind w:left="720" w:hanging="720"/>
      </w:pPr>
      <w:r>
        <w:rPr>
          <w:i/>
        </w:rPr>
        <w:t xml:space="preserve">In the Matter of the Application of Duke Energy Ohio Inc. for an Increase in Electric Distribution Rates, </w:t>
      </w:r>
      <w:r>
        <w:t>Case No. 12-1682-EL-AIR et al. (February 19, 2013).</w:t>
      </w:r>
    </w:p>
    <w:p w:rsidR="00EF7AF0" w:rsidRDefault="00EF7AF0" w:rsidP="008F78A7">
      <w:pPr>
        <w:numPr>
          <w:ilvl w:val="0"/>
          <w:numId w:val="9"/>
        </w:numPr>
        <w:tabs>
          <w:tab w:val="num" w:pos="720"/>
        </w:tabs>
        <w:autoSpaceDE w:val="0"/>
        <w:autoSpaceDN w:val="0"/>
        <w:adjustRightInd w:val="0"/>
        <w:spacing w:after="240"/>
        <w:ind w:left="720" w:hanging="720"/>
      </w:pPr>
      <w:r>
        <w:rPr>
          <w:i/>
        </w:rPr>
        <w:t xml:space="preserve">In the Matter of the Application of Duke Energy Ohio Inc. for an Increase in Gas Distribution Rates, </w:t>
      </w:r>
      <w:r>
        <w:t>Case No. 12-1685-GA-AIR et al. (February 25, 2013).</w:t>
      </w:r>
    </w:p>
    <w:p w:rsidR="00F60678" w:rsidRPr="00893676" w:rsidRDefault="00F60678" w:rsidP="008F78A7">
      <w:pPr>
        <w:pStyle w:val="ListParagraph"/>
        <w:numPr>
          <w:ilvl w:val="0"/>
          <w:numId w:val="9"/>
        </w:numPr>
        <w:autoSpaceDE w:val="0"/>
        <w:autoSpaceDN w:val="0"/>
        <w:adjustRightInd w:val="0"/>
        <w:spacing w:after="180"/>
        <w:ind w:leftChars="0" w:left="720" w:hanging="720"/>
        <w:rPr>
          <w:rFonts w:ascii="Times New Roman" w:hAnsi="Times New Roman"/>
        </w:rPr>
      </w:pPr>
      <w:r w:rsidRPr="00893676">
        <w:rPr>
          <w:rFonts w:ascii="Times New Roman" w:hAnsi="Times New Roman"/>
          <w:i/>
        </w:rPr>
        <w:t xml:space="preserve">In the Matter of the Application of Dayton Power &amp; Light Company For Authority to Establish a Standard Service Offer in the Form Of an Electric Security Plan Pursuant to R.C. § 4928.143, </w:t>
      </w:r>
      <w:r w:rsidRPr="00893676">
        <w:rPr>
          <w:rFonts w:ascii="Times New Roman" w:hAnsi="Times New Roman"/>
        </w:rPr>
        <w:t>Case No. 12-426-EL-SSO et al. (March 1, 2013).</w:t>
      </w:r>
    </w:p>
    <w:p w:rsidR="00F60678" w:rsidRDefault="00F60678" w:rsidP="00F60678">
      <w:pPr>
        <w:autoSpaceDE w:val="0"/>
        <w:autoSpaceDN w:val="0"/>
        <w:adjustRightInd w:val="0"/>
        <w:spacing w:after="180"/>
        <w:ind w:left="630"/>
      </w:pPr>
    </w:p>
    <w:p w:rsidR="009F02DC" w:rsidRDefault="009F02DC" w:rsidP="009F02DC">
      <w:pPr>
        <w:jc w:val="right"/>
        <w:rPr>
          <w:b/>
        </w:rPr>
      </w:pPr>
      <w:r>
        <w:br w:type="page"/>
      </w:r>
      <w:r>
        <w:rPr>
          <w:b/>
        </w:rPr>
        <w:t>ATTACHMENT DJD-2</w:t>
      </w:r>
    </w:p>
    <w:p w:rsidR="009F02DC" w:rsidRDefault="009F02DC" w:rsidP="009F02DC">
      <w:pPr>
        <w:jc w:val="right"/>
      </w:pPr>
      <w:r>
        <w:t>Page 1 of 2</w:t>
      </w:r>
    </w:p>
    <w:p w:rsidR="009F02DC" w:rsidRDefault="009F02DC" w:rsidP="009F02DC"/>
    <w:p w:rsidR="009F02DC" w:rsidRDefault="009F02DC" w:rsidP="009F02DC">
      <w:pPr>
        <w:jc w:val="center"/>
        <w:rPr>
          <w:b/>
        </w:rPr>
      </w:pPr>
      <w:r>
        <w:rPr>
          <w:b/>
        </w:rPr>
        <w:t xml:space="preserve">Daniel J. Duann, Ph.D. </w:t>
      </w:r>
    </w:p>
    <w:p w:rsidR="009F02DC" w:rsidRDefault="009F02DC" w:rsidP="009F02DC">
      <w:pPr>
        <w:jc w:val="center"/>
        <w:rPr>
          <w:b/>
        </w:rPr>
      </w:pPr>
      <w:r>
        <w:rPr>
          <w:b/>
        </w:rPr>
        <w:t xml:space="preserve">List of Professional Publications </w:t>
      </w:r>
    </w:p>
    <w:p w:rsidR="009F02DC" w:rsidRDefault="009F02DC" w:rsidP="009F02DC"/>
    <w:p w:rsidR="009F02DC" w:rsidRDefault="009F02DC" w:rsidP="005673C8">
      <w:pPr>
        <w:spacing w:after="240"/>
        <w:rPr>
          <w:b/>
        </w:rPr>
      </w:pPr>
      <w:r>
        <w:rPr>
          <w:b/>
        </w:rPr>
        <w:t>Journal Articles</w:t>
      </w:r>
    </w:p>
    <w:p w:rsidR="009F02DC" w:rsidRDefault="009F02DC" w:rsidP="005673C8">
      <w:pPr>
        <w:spacing w:after="240"/>
      </w:pPr>
      <w:r>
        <w:rPr>
          <w:i/>
        </w:rPr>
        <w:t>Regulation, The Cato Review of Business &amp; Government</w:t>
      </w:r>
      <w:r>
        <w:t xml:space="preserve">, “Turning up the Heat in the Natural Gas Industry,” Vol. 19, 1996, (with Kenneth W. Costello).  </w:t>
      </w:r>
    </w:p>
    <w:p w:rsidR="009F02DC" w:rsidRDefault="009F02DC" w:rsidP="005673C8">
      <w:pPr>
        <w:spacing w:after="240"/>
      </w:pPr>
      <w:r>
        <w:rPr>
          <w:i/>
        </w:rPr>
        <w:t>Managerial And Decision Economics</w:t>
      </w:r>
      <w:r>
        <w:t>, “Designing a Preferred Bidding Procedure for Securing Electric Generating Capacity,” Vol. 12, 1991.</w:t>
      </w:r>
    </w:p>
    <w:p w:rsidR="009F02DC" w:rsidRDefault="009F02DC" w:rsidP="005673C8">
      <w:pPr>
        <w:spacing w:after="240"/>
      </w:pPr>
      <w:r>
        <w:rPr>
          <w:i/>
        </w:rPr>
        <w:t>The Journal of Energy and Development</w:t>
      </w:r>
      <w:r>
        <w:t>, “Direct Gas Purchases by Local Distribution Companies: Supply Reliability and Cost Implications,” Vol. 14, 1989.</w:t>
      </w:r>
    </w:p>
    <w:p w:rsidR="009F02DC" w:rsidRDefault="009F02DC" w:rsidP="005673C8">
      <w:r>
        <w:rPr>
          <w:i/>
        </w:rPr>
        <w:t>Public Utilities Fortnightly</w:t>
      </w:r>
      <w:r>
        <w:t>, “Alternative Searching and Maximum Benefit in Electric Least-Cost Planning,” December 21, 1989.</w:t>
      </w:r>
    </w:p>
    <w:p w:rsidR="009F02DC" w:rsidRDefault="009F02DC" w:rsidP="009F02DC"/>
    <w:p w:rsidR="009F02DC" w:rsidRDefault="009F02DC" w:rsidP="009F02DC">
      <w:bookmarkStart w:id="25" w:name="_Toc249780406"/>
      <w:bookmarkStart w:id="26" w:name="_Toc249782132"/>
    </w:p>
    <w:p w:rsidR="009F02DC" w:rsidRDefault="009F02DC" w:rsidP="009F02DC">
      <w:pPr>
        <w:rPr>
          <w:b/>
        </w:rPr>
      </w:pPr>
      <w:r>
        <w:rPr>
          <w:b/>
        </w:rPr>
        <w:t>Research Reports and Presentations</w:t>
      </w:r>
      <w:bookmarkEnd w:id="25"/>
      <w:bookmarkEnd w:id="26"/>
    </w:p>
    <w:p w:rsidR="009F02DC" w:rsidRDefault="009F02DC" w:rsidP="009F02DC"/>
    <w:p w:rsidR="009F02DC" w:rsidRDefault="009F02DC" w:rsidP="005673C8">
      <w:pPr>
        <w:spacing w:after="240"/>
      </w:pPr>
      <w:bookmarkStart w:id="27" w:name="_Toc249780407"/>
      <w:bookmarkStart w:id="28" w:name="_Toc249782133"/>
      <w:r>
        <w:t xml:space="preserve">The National Regulatory Research Institute, </w:t>
      </w:r>
      <w:r>
        <w:rPr>
          <w:i/>
        </w:rPr>
        <w:t>Pricing Local Distribution Services in a Competitive Market</w:t>
      </w:r>
      <w:r>
        <w:t>, 1995</w:t>
      </w:r>
      <w:bookmarkEnd w:id="27"/>
      <w:bookmarkEnd w:id="28"/>
      <w:r>
        <w:t xml:space="preserve">. </w:t>
      </w:r>
    </w:p>
    <w:p w:rsidR="009F02DC" w:rsidRDefault="009F02DC" w:rsidP="005673C8">
      <w:pPr>
        <w:spacing w:after="240"/>
      </w:pPr>
      <w:r>
        <w:t xml:space="preserve">Ninth NARUC Biennial Regulatory Information Conference, Ohio State University, </w:t>
      </w:r>
      <w:r>
        <w:rPr>
          <w:i/>
        </w:rPr>
        <w:t>The Unbundling and Restructuring of Local Distribution Services in the Post-636 Gas Market</w:t>
      </w:r>
      <w:r>
        <w:t>, 1994.</w:t>
      </w:r>
    </w:p>
    <w:p w:rsidR="009F02DC" w:rsidRDefault="009F02DC" w:rsidP="005673C8">
      <w:pPr>
        <w:spacing w:after="240"/>
      </w:pPr>
      <w:r>
        <w:t xml:space="preserve">The National Regulatory Research Institute, </w:t>
      </w:r>
      <w:r>
        <w:rPr>
          <w:i/>
        </w:rPr>
        <w:t>A Survey of Recent State Initiatives on EPACT and FERC Order 636</w:t>
      </w:r>
      <w:r>
        <w:t>, 1994 (with Belle Chen).</w:t>
      </w:r>
    </w:p>
    <w:p w:rsidR="009F02DC" w:rsidRDefault="009F02DC" w:rsidP="005673C8">
      <w:pPr>
        <w:spacing w:after="240"/>
      </w:pPr>
      <w:r>
        <w:t xml:space="preserve">The National Regulatory Research Institute, </w:t>
      </w:r>
      <w:r>
        <w:rPr>
          <w:i/>
        </w:rPr>
        <w:t>Restructuring Local Distribution Services: Possibilities and Limitations</w:t>
      </w:r>
      <w:r>
        <w:t>, 1994.</w:t>
      </w:r>
    </w:p>
    <w:p w:rsidR="009F02DC" w:rsidRDefault="009F02DC" w:rsidP="005673C8">
      <w:pPr>
        <w:spacing w:after="240"/>
      </w:pPr>
      <w:r>
        <w:t xml:space="preserve">The National Regulatory Research Institute, </w:t>
      </w:r>
      <w:r>
        <w:rPr>
          <w:i/>
        </w:rPr>
        <w:t>The FERC Restructuring Rule: Implications for Local Distribution Companies and State Public Utilities Commissions</w:t>
      </w:r>
      <w:r>
        <w:t>, 1993.</w:t>
      </w:r>
    </w:p>
    <w:p w:rsidR="009F02DC" w:rsidRDefault="009F02DC" w:rsidP="005673C8">
      <w:pPr>
        <w:spacing w:after="240"/>
      </w:pPr>
      <w:r>
        <w:t xml:space="preserve">The National Regulatory Research Institute, </w:t>
      </w:r>
      <w:r>
        <w:rPr>
          <w:i/>
        </w:rPr>
        <w:t>A Synopsis of the Energy Policy Act of 1992: New Tasks for State Public Utility Commissions</w:t>
      </w:r>
      <w:r>
        <w:t xml:space="preserve">, 1993.  </w:t>
      </w:r>
    </w:p>
    <w:p w:rsidR="009F02DC" w:rsidRDefault="009F02DC" w:rsidP="009F02DC">
      <w:pPr>
        <w:spacing w:after="180"/>
      </w:pPr>
    </w:p>
    <w:p w:rsidR="009F02DC" w:rsidRDefault="009F02DC" w:rsidP="009F02DC"/>
    <w:p w:rsidR="009F02DC" w:rsidRDefault="009F02DC" w:rsidP="009F02DC"/>
    <w:p w:rsidR="009F02DC" w:rsidRDefault="009F02DC" w:rsidP="009F02DC">
      <w:pPr>
        <w:pStyle w:val="Header"/>
        <w:jc w:val="center"/>
        <w:rPr>
          <w:b/>
          <w:i/>
        </w:rPr>
      </w:pPr>
      <w:r>
        <w:rPr>
          <w:i/>
        </w:rPr>
        <w:br w:type="page"/>
      </w:r>
    </w:p>
    <w:p w:rsidR="009F02DC" w:rsidRDefault="009F02DC" w:rsidP="009F02DC">
      <w:pPr>
        <w:jc w:val="right"/>
        <w:rPr>
          <w:b/>
        </w:rPr>
      </w:pPr>
      <w:r>
        <w:rPr>
          <w:b/>
        </w:rPr>
        <w:t>ATTACHMENT DJD-2</w:t>
      </w:r>
    </w:p>
    <w:p w:rsidR="009F02DC" w:rsidRDefault="009F02DC" w:rsidP="009F02DC">
      <w:pPr>
        <w:jc w:val="right"/>
      </w:pPr>
      <w:r>
        <w:t>Page 2 of 2</w:t>
      </w:r>
    </w:p>
    <w:p w:rsidR="009F02DC" w:rsidRDefault="009F02DC" w:rsidP="009F02DC"/>
    <w:p w:rsidR="009F02DC" w:rsidRDefault="009F02DC" w:rsidP="009F02DC"/>
    <w:p w:rsidR="009F02DC" w:rsidRDefault="009F02DC" w:rsidP="005673C8">
      <w:pPr>
        <w:spacing w:after="240"/>
      </w:pPr>
      <w:r>
        <w:t xml:space="preserve">International Symposium on Energy, Environment &amp; Information Management, Argonne National Laboratory, </w:t>
      </w:r>
      <w:r>
        <w:rPr>
          <w:i/>
        </w:rPr>
        <w:t>Natural Gas Vehicles: Barriers, Potentials, and Government Policies</w:t>
      </w:r>
      <w:r>
        <w:t>, 1992.</w:t>
      </w:r>
    </w:p>
    <w:p w:rsidR="009F02DC" w:rsidRDefault="009F02DC" w:rsidP="005673C8">
      <w:pPr>
        <w:spacing w:after="240"/>
      </w:pPr>
      <w:r>
        <w:t xml:space="preserve">The National Regulatory Research Institute, </w:t>
      </w:r>
      <w:r>
        <w:rPr>
          <w:i/>
        </w:rPr>
        <w:t>Natural Gas Vehicles and the Role of State Public Service Commissions</w:t>
      </w:r>
      <w:r>
        <w:t>, 1992 (with Youssef Hegazy).</w:t>
      </w:r>
    </w:p>
    <w:p w:rsidR="009F02DC" w:rsidRDefault="009F02DC" w:rsidP="005673C8">
      <w:pPr>
        <w:spacing w:after="240"/>
      </w:pPr>
      <w:r>
        <w:t xml:space="preserve">The National Regulatory Research Institute, </w:t>
      </w:r>
      <w:r>
        <w:rPr>
          <w:i/>
        </w:rPr>
        <w:t>Incentive Regulation for Local Gas Distribution Companies under Changing Industry Structure</w:t>
      </w:r>
      <w:r>
        <w:t>, 1991 (with Mohammad Harunuzzaman, Kenneth W. Costello, and Sung-Bong Cho).</w:t>
      </w:r>
    </w:p>
    <w:p w:rsidR="009F02DC" w:rsidRDefault="009F02DC" w:rsidP="005673C8">
      <w:pPr>
        <w:spacing w:after="240"/>
      </w:pPr>
      <w:r>
        <w:t xml:space="preserve">The National Regulatory Research Institute, </w:t>
      </w:r>
      <w:r>
        <w:rPr>
          <w:i/>
        </w:rPr>
        <w:t>Discussion Papers on Competitive Bidding and Transmission Access and Pricing issues in the Context of Integrated Resource Planning</w:t>
      </w:r>
      <w:r>
        <w:t>, 1990 (with Robert E. Burns, Kenneth Rose, Kevin Kelly, and Narayan Rau).</w:t>
      </w:r>
    </w:p>
    <w:p w:rsidR="009F02DC" w:rsidRDefault="009F02DC" w:rsidP="005673C8">
      <w:pPr>
        <w:spacing w:after="240"/>
      </w:pPr>
      <w:r>
        <w:t xml:space="preserve">The National Regulatory Research Institute, </w:t>
      </w:r>
      <w:r>
        <w:rPr>
          <w:i/>
        </w:rPr>
        <w:t>Gas Storage: Strategy, Regulation, and Some Competitive Implications</w:t>
      </w:r>
      <w:r>
        <w:t>, 1990 (with Peter A. Nagler, Mohammad Harunuzzaman, and Govindarajan Iyyuni).</w:t>
      </w:r>
    </w:p>
    <w:p w:rsidR="009F02DC" w:rsidRDefault="009F02DC" w:rsidP="005673C8">
      <w:pPr>
        <w:spacing w:after="240"/>
      </w:pPr>
      <w:r>
        <w:t xml:space="preserve">The National Regulatory Research Institute, </w:t>
      </w:r>
      <w:r>
        <w:rPr>
          <w:i/>
        </w:rPr>
        <w:t>State Gas Transportation Policies: An Evaluation of Approaches</w:t>
      </w:r>
      <w:r>
        <w:t>, 1989 (with Robert E. Burns and Peter A. Nagler).</w:t>
      </w:r>
    </w:p>
    <w:p w:rsidR="009F02DC" w:rsidRDefault="009F02DC" w:rsidP="005673C8">
      <w:pPr>
        <w:pStyle w:val="BodyText"/>
        <w:spacing w:after="240" w:line="240" w:lineRule="auto"/>
        <w:ind w:left="0"/>
      </w:pPr>
      <w:r>
        <w:t xml:space="preserve">The National Regulatory Research Institute, </w:t>
      </w:r>
      <w:r>
        <w:rPr>
          <w:i/>
        </w:rPr>
        <w:t>Direct Gas Purchases by Gas Distribution Companies: Supply Reliability and Cost Implications</w:t>
      </w:r>
      <w:r>
        <w:t>, 1989, (with Robert E. Burns and Peter A. Nagler).</w:t>
      </w:r>
    </w:p>
    <w:p w:rsidR="00A4206B" w:rsidRDefault="009F02DC" w:rsidP="00A4206B">
      <w:pPr>
        <w:spacing w:after="180"/>
      </w:pPr>
      <w:r>
        <w:t xml:space="preserve">The National Regulatory Research Institute, </w:t>
      </w:r>
      <w:r>
        <w:rPr>
          <w:i/>
        </w:rPr>
        <w:t>Competitive Bidding for Electric Generating Capacity: Application and Implementation</w:t>
      </w:r>
      <w:r>
        <w:t>, 1988 (with Robert E. Burns, Douglas N. Jones, and Mark Eifert).</w:t>
      </w:r>
    </w:p>
    <w:p w:rsidR="008A5A1A" w:rsidRDefault="008A5A1A" w:rsidP="00A4206B">
      <w:pPr>
        <w:spacing w:line="480" w:lineRule="auto"/>
      </w:pPr>
    </w:p>
    <w:sectPr w:rsidR="008A5A1A" w:rsidSect="00C5479E">
      <w:headerReference w:type="even" r:id="rId31"/>
      <w:headerReference w:type="default" r:id="rId32"/>
      <w:footerReference w:type="default" r:id="rId33"/>
      <w:headerReference w:type="first" r:id="rId34"/>
      <w:footerReference w:type="first" r:id="rId35"/>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02B" w:rsidRDefault="0026302B">
      <w:r>
        <w:separator/>
      </w:r>
    </w:p>
  </w:endnote>
  <w:endnote w:type="continuationSeparator" w:id="0">
    <w:p w:rsidR="0026302B" w:rsidRDefault="0026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B1" w:rsidRDefault="00821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Default="0026302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B1" w:rsidRDefault="00821E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Default="0026302B" w:rsidP="00C76530">
    <w:pPr>
      <w:pStyle w:val="Footer"/>
      <w:jc w:val="center"/>
    </w:pPr>
    <w: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174349"/>
      <w:docPartObj>
        <w:docPartGallery w:val="Page Numbers (Bottom of Page)"/>
        <w:docPartUnique/>
      </w:docPartObj>
    </w:sdtPr>
    <w:sdtEndPr>
      <w:rPr>
        <w:noProof/>
      </w:rPr>
    </w:sdtEndPr>
    <w:sdtContent>
      <w:p w:rsidR="0026302B" w:rsidRDefault="0026302B">
        <w:pPr>
          <w:pStyle w:val="Footer"/>
          <w:jc w:val="center"/>
        </w:pPr>
        <w:r>
          <w:fldChar w:fldCharType="begin"/>
        </w:r>
        <w:r>
          <w:instrText xml:space="preserve"> PAGE   \* MERGEFORMAT </w:instrText>
        </w:r>
        <w:r>
          <w:fldChar w:fldCharType="separate"/>
        </w:r>
        <w:r w:rsidR="004D483C">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Default="0026302B">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Pr="00130543" w:rsidRDefault="0026302B" w:rsidP="00130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02B" w:rsidRDefault="0026302B">
      <w:r>
        <w:separator/>
      </w:r>
    </w:p>
  </w:footnote>
  <w:footnote w:type="continuationSeparator" w:id="0">
    <w:p w:rsidR="0026302B" w:rsidRDefault="0026302B">
      <w:r>
        <w:continuationSeparator/>
      </w:r>
    </w:p>
  </w:footnote>
  <w:footnote w:id="1">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92681A">
        <w:rPr>
          <w:rFonts w:asciiTheme="majorBidi" w:hAnsiTheme="majorBidi" w:cstheme="majorBidi"/>
          <w:i/>
        </w:rPr>
        <w:t>In the Matter of the Application of The Dayton Power and Light Company for Authority to Recover Certain Storm-Related Service restoration Costs</w:t>
      </w:r>
      <w:r w:rsidRPr="0092681A">
        <w:rPr>
          <w:rFonts w:asciiTheme="majorBidi" w:hAnsiTheme="majorBidi" w:cstheme="majorBidi"/>
        </w:rPr>
        <w:t>, Case No. 12-3062-EL-RDR et al., Application (December 21, 2012).</w:t>
      </w:r>
    </w:p>
  </w:footnote>
  <w:footnote w:id="2">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The cost of debt of 4.94% was proposed by the Utility and approved without modification (on September 4, 2013) by the PUCO for the current ESP in place.  </w:t>
      </w:r>
      <w:r w:rsidRPr="000B371F">
        <w:rPr>
          <w:rFonts w:asciiTheme="majorBidi" w:hAnsiTheme="majorBidi" w:cstheme="majorBidi"/>
          <w:i/>
        </w:rPr>
        <w:t>See</w:t>
      </w:r>
      <w:r w:rsidR="004A6EC7">
        <w:rPr>
          <w:rFonts w:asciiTheme="majorBidi" w:hAnsiTheme="majorBidi" w:cstheme="majorBidi"/>
          <w:i/>
        </w:rPr>
        <w:t>,</w:t>
      </w:r>
      <w:r w:rsidRPr="0092681A">
        <w:rPr>
          <w:rFonts w:asciiTheme="majorBidi" w:hAnsiTheme="majorBidi" w:cstheme="majorBidi"/>
        </w:rPr>
        <w:t xml:space="preserve"> </w:t>
      </w:r>
      <w:r w:rsidRPr="000B371F">
        <w:rPr>
          <w:rFonts w:asciiTheme="majorBidi" w:hAnsiTheme="majorBidi" w:cstheme="majorBidi"/>
          <w:i/>
        </w:rPr>
        <w:t>In the Matter of the Application of The Dayton Power and Light Company for Approval of its Electric Security Plan</w:t>
      </w:r>
      <w:r w:rsidRPr="0092681A">
        <w:rPr>
          <w:rFonts w:asciiTheme="majorBidi" w:hAnsiTheme="majorBidi" w:cstheme="majorBidi"/>
        </w:rPr>
        <w:t>, Case No. 12-426-EL-SSO et al., Opinion and Order at 53 (September 4, 2013).</w:t>
      </w:r>
    </w:p>
  </w:footnote>
  <w:footnote w:id="3">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92681A">
        <w:rPr>
          <w:rFonts w:asciiTheme="majorBidi" w:hAnsiTheme="majorBidi" w:cstheme="majorBidi"/>
          <w:i/>
        </w:rPr>
        <w:t xml:space="preserve">In the Matter of the Application of The Dayton Power and Light Company for Authority to Recover Certain Storm-Related Service </w:t>
      </w:r>
      <w:r w:rsidR="004A6EC7">
        <w:rPr>
          <w:rFonts w:asciiTheme="majorBidi" w:hAnsiTheme="majorBidi" w:cstheme="majorBidi"/>
          <w:i/>
        </w:rPr>
        <w:t>R</w:t>
      </w:r>
      <w:r w:rsidRPr="0092681A">
        <w:rPr>
          <w:rFonts w:asciiTheme="majorBidi" w:hAnsiTheme="majorBidi" w:cstheme="majorBidi"/>
          <w:i/>
        </w:rPr>
        <w:t>estoration Costs</w:t>
      </w:r>
      <w:r w:rsidRPr="0092681A">
        <w:rPr>
          <w:rFonts w:asciiTheme="majorBidi" w:hAnsiTheme="majorBidi" w:cstheme="majorBidi"/>
        </w:rPr>
        <w:t xml:space="preserve">, Case No. 12-3062-EL-RDR et al., Application </w:t>
      </w:r>
      <w:r w:rsidR="004A6EC7">
        <w:rPr>
          <w:rFonts w:asciiTheme="majorBidi" w:hAnsiTheme="majorBidi" w:cstheme="majorBidi"/>
        </w:rPr>
        <w:t xml:space="preserve">(“Application”) </w:t>
      </w:r>
      <w:r w:rsidRPr="0092681A">
        <w:rPr>
          <w:rFonts w:asciiTheme="majorBidi" w:hAnsiTheme="majorBidi" w:cstheme="majorBidi"/>
        </w:rPr>
        <w:t>at 2, (December 21, 2012).</w:t>
      </w:r>
    </w:p>
  </w:footnote>
  <w:footnote w:id="4">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Id.</w:t>
      </w:r>
    </w:p>
  </w:footnote>
  <w:footnote w:id="5">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Id.</w:t>
      </w:r>
    </w:p>
  </w:footnote>
  <w:footnote w:id="6">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Id.</w:t>
      </w:r>
    </w:p>
  </w:footnote>
  <w:footnote w:id="7">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4A6EC7">
        <w:rPr>
          <w:rFonts w:asciiTheme="majorBidi" w:hAnsiTheme="majorBidi" w:cstheme="majorBidi"/>
          <w:i/>
        </w:rPr>
        <w:t>,</w:t>
      </w:r>
      <w:r w:rsidRPr="0092681A">
        <w:rPr>
          <w:rFonts w:asciiTheme="majorBidi" w:hAnsiTheme="majorBidi" w:cstheme="majorBidi"/>
        </w:rPr>
        <w:t xml:space="preserve"> Application </w:t>
      </w:r>
      <w:r w:rsidR="004A6EC7">
        <w:rPr>
          <w:rFonts w:asciiTheme="majorBidi" w:hAnsiTheme="majorBidi" w:cstheme="majorBidi"/>
        </w:rPr>
        <w:t xml:space="preserve">at </w:t>
      </w:r>
      <w:r w:rsidRPr="0092681A">
        <w:rPr>
          <w:rFonts w:asciiTheme="majorBidi" w:hAnsiTheme="majorBidi" w:cstheme="majorBidi"/>
        </w:rPr>
        <w:t>Schedule B-1, page 1 of 1, line 33.  The three year total is $64,646,644 = $22,338,250 + $21,671,351 + $20,637,043.</w:t>
      </w:r>
    </w:p>
  </w:footnote>
  <w:footnote w:id="8">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4A6EC7">
        <w:rPr>
          <w:rFonts w:asciiTheme="majorBidi" w:hAnsiTheme="majorBidi" w:cstheme="majorBidi"/>
          <w:i/>
        </w:rPr>
        <w:t>,</w:t>
      </w:r>
      <w:r w:rsidRPr="0092681A">
        <w:rPr>
          <w:rFonts w:asciiTheme="majorBidi" w:hAnsiTheme="majorBidi" w:cstheme="majorBidi"/>
        </w:rPr>
        <w:t xml:space="preserve"> Direct Testimony of Dona R. Seger-Lawson at 2-3</w:t>
      </w:r>
      <w:r w:rsidR="00E75727">
        <w:rPr>
          <w:rFonts w:asciiTheme="majorBidi" w:hAnsiTheme="majorBidi" w:cstheme="majorBidi"/>
        </w:rPr>
        <w:t xml:space="preserve"> (Dec. 21, 2012)</w:t>
      </w:r>
      <w:r w:rsidRPr="0092681A">
        <w:rPr>
          <w:rFonts w:asciiTheme="majorBidi" w:hAnsiTheme="majorBidi" w:cstheme="majorBidi"/>
        </w:rPr>
        <w:t>.</w:t>
      </w:r>
    </w:p>
  </w:footnote>
  <w:footnote w:id="9">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Id., at 5-6.</w:t>
      </w:r>
    </w:p>
  </w:footnote>
  <w:footnote w:id="10">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92681A">
        <w:rPr>
          <w:rFonts w:asciiTheme="majorBidi" w:hAnsiTheme="majorBidi" w:cstheme="majorBidi"/>
          <w:i/>
        </w:rPr>
        <w:t>In the Matter of the Application of The Dayton Power and Light Company for Authority to Modify its Accounting Procedure for Certain Storm-Related Service Restoration Costs</w:t>
      </w:r>
      <w:r w:rsidRPr="0092681A">
        <w:rPr>
          <w:rFonts w:asciiTheme="majorBidi" w:hAnsiTheme="majorBidi" w:cstheme="majorBidi"/>
        </w:rPr>
        <w:t>, Case No. 12-2281-EL-AAM, Entry on Rehearing, paragraph 7 (February 13, 2013).</w:t>
      </w:r>
    </w:p>
  </w:footnote>
  <w:footnote w:id="11">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92681A">
        <w:rPr>
          <w:rFonts w:asciiTheme="majorBidi" w:hAnsiTheme="majorBidi" w:cstheme="majorBidi"/>
          <w:i/>
        </w:rPr>
        <w:t>In the Matter of the Application of The Dayton Power and Light Company for Authority to Recover Certain Storm-Related Service restoration Costs</w:t>
      </w:r>
      <w:r w:rsidRPr="0092681A">
        <w:rPr>
          <w:rFonts w:asciiTheme="majorBidi" w:hAnsiTheme="majorBidi" w:cstheme="majorBidi"/>
        </w:rPr>
        <w:t>, Case No. 12-3062-EL-RDR et al., Application at 2, (December 21, 2012).</w:t>
      </w:r>
    </w:p>
  </w:footnote>
  <w:footnote w:id="12">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For example, DP&amp;L instituted the use of the IEEE 2.5 Beta methodology to identify Major Event Days to calculate the minimum performance standards in accordance with Ohio Administrative Code and PUCO rules.  </w:t>
      </w:r>
      <w:r w:rsidRPr="000B371F">
        <w:rPr>
          <w:rFonts w:asciiTheme="majorBidi" w:hAnsiTheme="majorBidi" w:cstheme="majorBidi"/>
          <w:i/>
        </w:rPr>
        <w:t>See</w:t>
      </w:r>
      <w:r w:rsidR="00E75727">
        <w:rPr>
          <w:rFonts w:asciiTheme="majorBidi" w:hAnsiTheme="majorBidi" w:cstheme="majorBidi"/>
          <w:i/>
        </w:rPr>
        <w:t>,</w:t>
      </w:r>
      <w:r w:rsidRPr="0092681A">
        <w:rPr>
          <w:rFonts w:asciiTheme="majorBidi" w:hAnsiTheme="majorBidi" w:cstheme="majorBidi"/>
        </w:rPr>
        <w:t xml:space="preserve"> Direct Testimony of Bryce W. Nickel at 12</w:t>
      </w:r>
      <w:r w:rsidR="00E75727">
        <w:rPr>
          <w:rFonts w:asciiTheme="majorBidi" w:hAnsiTheme="majorBidi" w:cstheme="majorBidi"/>
        </w:rPr>
        <w:t xml:space="preserve"> (Dec. 12, 2012)</w:t>
      </w:r>
      <w:r w:rsidRPr="0092681A">
        <w:rPr>
          <w:rFonts w:asciiTheme="majorBidi" w:hAnsiTheme="majorBidi" w:cstheme="majorBidi"/>
        </w:rPr>
        <w:t>.</w:t>
      </w:r>
    </w:p>
  </w:footnote>
  <w:footnote w:id="13">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4A6EC7">
        <w:rPr>
          <w:rFonts w:asciiTheme="majorBidi" w:hAnsiTheme="majorBidi" w:cstheme="majorBidi"/>
          <w:i/>
        </w:rPr>
        <w:t>,</w:t>
      </w:r>
      <w:r w:rsidRPr="0092681A">
        <w:rPr>
          <w:rFonts w:asciiTheme="majorBidi" w:hAnsiTheme="majorBidi" w:cstheme="majorBidi"/>
        </w:rPr>
        <w:t xml:space="preserve"> Direct Testimony of Dona R. Seger-Lawson at 5-6.</w:t>
      </w:r>
    </w:p>
  </w:footnote>
  <w:footnote w:id="14">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4A6EC7">
        <w:rPr>
          <w:rFonts w:asciiTheme="majorBidi" w:hAnsiTheme="majorBidi" w:cstheme="majorBidi"/>
          <w:i/>
        </w:rPr>
        <w:t>,</w:t>
      </w:r>
      <w:r w:rsidRPr="0092681A">
        <w:rPr>
          <w:rFonts w:asciiTheme="majorBidi" w:hAnsiTheme="majorBidi" w:cstheme="majorBidi"/>
        </w:rPr>
        <w:t xml:space="preserve"> Supplemental Testimony of Donna R. Seger–Lawson at 2-3</w:t>
      </w:r>
      <w:r w:rsidR="00E75727">
        <w:rPr>
          <w:rFonts w:asciiTheme="majorBidi" w:hAnsiTheme="majorBidi" w:cstheme="majorBidi"/>
        </w:rPr>
        <w:t xml:space="preserve"> (Jan. 17, 2014)</w:t>
      </w:r>
      <w:r w:rsidRPr="0092681A">
        <w:rPr>
          <w:rFonts w:asciiTheme="majorBidi" w:hAnsiTheme="majorBidi" w:cstheme="majorBidi"/>
        </w:rPr>
        <w:t>.</w:t>
      </w:r>
    </w:p>
  </w:footnote>
  <w:footnote w:id="15">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92681A">
        <w:rPr>
          <w:rFonts w:asciiTheme="majorBidi" w:hAnsiTheme="majorBidi" w:cstheme="majorBidi"/>
          <w:i/>
        </w:rPr>
        <w:t>In the Matter of the Application of The Dayton Power and Light Company for Authority to Modify its Accounting Procedure for Certain Storm-Related Service Restoration Costs</w:t>
      </w:r>
      <w:r w:rsidRPr="0092681A">
        <w:rPr>
          <w:rFonts w:asciiTheme="majorBidi" w:hAnsiTheme="majorBidi" w:cstheme="majorBidi"/>
        </w:rPr>
        <w:t>, Case No. 12-2281-EL-AAM, Entry on Rehearing, paragraph 7 (February 13, 2013).</w:t>
      </w:r>
    </w:p>
  </w:footnote>
  <w:footnote w:id="16">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92681A">
        <w:rPr>
          <w:rFonts w:asciiTheme="majorBidi" w:hAnsiTheme="majorBidi" w:cstheme="majorBidi"/>
          <w:iCs/>
        </w:rPr>
        <w:t>Id.</w:t>
      </w:r>
    </w:p>
  </w:footnote>
  <w:footnote w:id="17">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92681A">
        <w:rPr>
          <w:rFonts w:asciiTheme="majorBidi" w:hAnsiTheme="majorBidi" w:cstheme="majorBidi"/>
          <w:i/>
        </w:rPr>
        <w:t>In the Matter of the Application of The Dayton Power and Light Company for Authority to Recover Certain Storm-Related Service restoration Costs</w:t>
      </w:r>
      <w:r w:rsidRPr="0092681A">
        <w:rPr>
          <w:rFonts w:asciiTheme="majorBidi" w:hAnsiTheme="majorBidi" w:cstheme="majorBidi"/>
        </w:rPr>
        <w:t>, Case No. 12-3062-EL-RDR et al., Entry, Paragraph 14 (October 23, 2013).</w:t>
      </w:r>
    </w:p>
  </w:footnote>
  <w:footnote w:id="18">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Audit Report Submitted on Behalf of the Staff of The Public Utilities Commission of Ohio at 4 (January 3, 2014).</w:t>
      </w:r>
    </w:p>
  </w:footnote>
  <w:footnote w:id="19">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124DA">
        <w:rPr>
          <w:rFonts w:asciiTheme="majorBidi" w:hAnsiTheme="majorBidi" w:cstheme="majorBidi"/>
          <w:i/>
        </w:rPr>
        <w:t>,</w:t>
      </w:r>
      <w:r w:rsidRPr="0092681A">
        <w:rPr>
          <w:rFonts w:asciiTheme="majorBidi" w:hAnsiTheme="majorBidi" w:cstheme="majorBidi"/>
        </w:rPr>
        <w:t xml:space="preserve"> Application at 6.</w:t>
      </w:r>
    </w:p>
  </w:footnote>
  <w:footnote w:id="20">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124DA">
        <w:rPr>
          <w:rFonts w:asciiTheme="majorBidi" w:hAnsiTheme="majorBidi" w:cstheme="majorBidi"/>
          <w:i/>
        </w:rPr>
        <w:t>,</w:t>
      </w:r>
      <w:r w:rsidRPr="0092681A">
        <w:rPr>
          <w:rFonts w:asciiTheme="majorBidi" w:hAnsiTheme="majorBidi" w:cstheme="majorBidi"/>
        </w:rPr>
        <w:t xml:space="preserve"> Application at 2.</w:t>
      </w:r>
    </w:p>
  </w:footnote>
  <w:footnote w:id="21">
    <w:p w:rsidR="0026302B" w:rsidRPr="0092681A" w:rsidRDefault="0026302B" w:rsidP="00556B85">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i/>
        </w:rPr>
        <w:t xml:space="preserve"> In the Matter of the Application of The Dayton Power and Light Company for Authority to Modify its Accounting Procedure for Certain Storm-Related Service Restoration Costs</w:t>
      </w:r>
      <w:r w:rsidRPr="0092681A">
        <w:rPr>
          <w:rFonts w:asciiTheme="majorBidi" w:hAnsiTheme="majorBidi" w:cstheme="majorBidi"/>
        </w:rPr>
        <w:t>, Case No. 12-2281-EL-AAM, Finding and Order, paragraph 7 (December 19, 2012).</w:t>
      </w:r>
    </w:p>
  </w:footnote>
  <w:footnote w:id="22">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92681A">
        <w:rPr>
          <w:rFonts w:asciiTheme="majorBidi" w:hAnsiTheme="majorBidi" w:cstheme="majorBidi"/>
          <w:i/>
        </w:rPr>
        <w:t>In the Matter of the Application of The Dayton Power and Light Company for Authority to Recover Certain Storm-Related Service restoration Costs</w:t>
      </w:r>
      <w:r w:rsidRPr="0092681A">
        <w:rPr>
          <w:rFonts w:asciiTheme="majorBidi" w:hAnsiTheme="majorBidi" w:cstheme="majorBidi"/>
        </w:rPr>
        <w:t>, Case No. 12-3062-EL-RDR et al., Application at 4</w:t>
      </w:r>
      <w:r>
        <w:rPr>
          <w:rFonts w:asciiTheme="majorBidi" w:hAnsiTheme="majorBidi" w:cstheme="majorBidi"/>
        </w:rPr>
        <w:t>, 6</w:t>
      </w:r>
      <w:r w:rsidRPr="0092681A">
        <w:rPr>
          <w:rFonts w:asciiTheme="majorBidi" w:hAnsiTheme="majorBidi" w:cstheme="majorBidi"/>
        </w:rPr>
        <w:t xml:space="preserve"> (December 21, 2012).</w:t>
      </w:r>
    </w:p>
  </w:footnote>
  <w:footnote w:id="23">
    <w:p w:rsidR="0026302B" w:rsidRPr="00864EDD" w:rsidRDefault="0026302B" w:rsidP="000B371F">
      <w:pPr>
        <w:pStyle w:val="FootnoteText"/>
        <w:spacing w:before="0" w:after="120"/>
      </w:pPr>
      <w:r>
        <w:rPr>
          <w:rStyle w:val="FootnoteReference"/>
        </w:rPr>
        <w:footnoteRef/>
      </w:r>
      <w:r>
        <w:t xml:space="preserve"> </w:t>
      </w:r>
      <w:r>
        <w:rPr>
          <w:i/>
        </w:rPr>
        <w:t>See</w:t>
      </w:r>
      <w:r>
        <w:t>, Application at 6, Schedule D-1, page 1 of 1, line 1 as revised by DP&amp;L Witness Gregory S. Campbell on January 31, 2014.</w:t>
      </w:r>
    </w:p>
  </w:footnote>
  <w:footnote w:id="24">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124DA">
        <w:rPr>
          <w:rFonts w:asciiTheme="majorBidi" w:hAnsiTheme="majorBidi" w:cstheme="majorBidi"/>
          <w:i/>
        </w:rPr>
        <w:t>,</w:t>
      </w:r>
      <w:r w:rsidRPr="0092681A">
        <w:rPr>
          <w:rFonts w:asciiTheme="majorBidi" w:hAnsiTheme="majorBidi" w:cstheme="majorBidi"/>
        </w:rPr>
        <w:t xml:space="preserve"> Second Revised Direct Testimony of Craig L. Jackson (December 12, 2012), at14, and Opinion and Order (September 4, 2013), PUCO Case No. 12-0426-EL-SSO et al.  The PUCO did not modify the cost of long-term debt as proposed by DP&amp;L.</w:t>
      </w:r>
    </w:p>
  </w:footnote>
  <w:footnote w:id="25">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124DA">
        <w:rPr>
          <w:rFonts w:asciiTheme="majorBidi" w:hAnsiTheme="majorBidi" w:cstheme="majorBidi"/>
          <w:i/>
        </w:rPr>
        <w:t>,</w:t>
      </w:r>
      <w:r w:rsidRPr="0092681A">
        <w:rPr>
          <w:rFonts w:asciiTheme="majorBidi" w:hAnsiTheme="majorBidi" w:cstheme="majorBidi"/>
        </w:rPr>
        <w:t xml:space="preserve"> </w:t>
      </w:r>
      <w:r w:rsidRPr="0092681A">
        <w:rPr>
          <w:rFonts w:asciiTheme="majorBidi" w:hAnsiTheme="majorBidi" w:cstheme="majorBidi"/>
          <w:i/>
        </w:rPr>
        <w:t>In the Matter of the Application of The Dayton Power and Light Company for Authority to Modify its Accounting Procedure for Certain Storm-Related Service Restoration Costs</w:t>
      </w:r>
      <w:r w:rsidRPr="0092681A">
        <w:rPr>
          <w:rFonts w:asciiTheme="majorBidi" w:hAnsiTheme="majorBidi" w:cstheme="majorBidi"/>
        </w:rPr>
        <w:t>, Case No. 08-1332-EL-AAM, Finding and Order, (January 14, 2009) at paragraphs 3and 4.</w:t>
      </w:r>
    </w:p>
  </w:footnote>
  <w:footnote w:id="26">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124DA">
        <w:rPr>
          <w:rFonts w:asciiTheme="majorBidi" w:hAnsiTheme="majorBidi" w:cstheme="majorBidi"/>
          <w:i/>
        </w:rPr>
        <w:t>,</w:t>
      </w:r>
      <w:r w:rsidRPr="0092681A">
        <w:rPr>
          <w:rFonts w:asciiTheme="majorBidi" w:hAnsiTheme="majorBidi" w:cstheme="majorBidi"/>
        </w:rPr>
        <w:t xml:space="preserve"> Application </w:t>
      </w:r>
      <w:r w:rsidR="00E124DA">
        <w:rPr>
          <w:rFonts w:asciiTheme="majorBidi" w:hAnsiTheme="majorBidi" w:cstheme="majorBidi"/>
        </w:rPr>
        <w:t xml:space="preserve">at </w:t>
      </w:r>
      <w:r w:rsidRPr="0092681A">
        <w:rPr>
          <w:rFonts w:asciiTheme="majorBidi" w:hAnsiTheme="majorBidi" w:cstheme="majorBidi"/>
        </w:rPr>
        <w:t>Schedule C-1, page 1 of 1 at line 2.</w:t>
      </w:r>
    </w:p>
  </w:footnote>
  <w:footnote w:id="27">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6E7C27">
        <w:rPr>
          <w:rFonts w:asciiTheme="majorBidi" w:hAnsiTheme="majorBidi" w:cstheme="majorBidi"/>
          <w:i/>
        </w:rPr>
        <w:t>,</w:t>
      </w:r>
      <w:r w:rsidRPr="0092681A">
        <w:rPr>
          <w:rFonts w:asciiTheme="majorBidi" w:hAnsiTheme="majorBidi" w:cstheme="majorBidi"/>
        </w:rPr>
        <w:t xml:space="preserve"> DPL</w:t>
      </w:r>
      <w:r w:rsidR="006E7C27">
        <w:rPr>
          <w:rFonts w:asciiTheme="majorBidi" w:hAnsiTheme="majorBidi" w:cstheme="majorBidi"/>
        </w:rPr>
        <w:t>,</w:t>
      </w:r>
      <w:r w:rsidRPr="0092681A">
        <w:rPr>
          <w:rFonts w:asciiTheme="majorBidi" w:hAnsiTheme="majorBidi" w:cstheme="majorBidi"/>
        </w:rPr>
        <w:t xml:space="preserve"> Inc.2008 Annual Report at 16 -17.</w:t>
      </w:r>
    </w:p>
  </w:footnote>
  <w:footnote w:id="28">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6E7C27">
        <w:rPr>
          <w:rFonts w:asciiTheme="majorBidi" w:hAnsiTheme="majorBidi" w:cstheme="majorBidi"/>
          <w:i/>
        </w:rPr>
        <w:t>,</w:t>
      </w:r>
      <w:r w:rsidRPr="0092681A">
        <w:rPr>
          <w:rFonts w:asciiTheme="majorBidi" w:hAnsiTheme="majorBidi" w:cstheme="majorBidi"/>
        </w:rPr>
        <w:t xml:space="preserve"> Application </w:t>
      </w:r>
      <w:r w:rsidR="006E7C27">
        <w:rPr>
          <w:rFonts w:asciiTheme="majorBidi" w:hAnsiTheme="majorBidi" w:cstheme="majorBidi"/>
        </w:rPr>
        <w:t xml:space="preserve">at </w:t>
      </w:r>
      <w:r w:rsidRPr="0092681A">
        <w:rPr>
          <w:rFonts w:asciiTheme="majorBidi" w:hAnsiTheme="majorBidi" w:cstheme="majorBidi"/>
        </w:rPr>
        <w:t>Schedule C-1, page 1 of 1 at line 5.</w:t>
      </w:r>
    </w:p>
  </w:footnote>
  <w:footnote w:id="29">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The increase in operating expenses, as a result of including the deferred storm-related O&amp;M expenses, will likely reduce the amount of income tax expenses and the amount of average shareholder’s equity</w:t>
      </w:r>
      <w:r w:rsidR="006E7C27">
        <w:rPr>
          <w:rFonts w:asciiTheme="majorBidi" w:hAnsiTheme="majorBidi" w:cstheme="majorBidi"/>
        </w:rPr>
        <w:t>,</w:t>
      </w:r>
      <w:r w:rsidRPr="0092681A">
        <w:rPr>
          <w:rFonts w:asciiTheme="majorBidi" w:hAnsiTheme="majorBidi" w:cstheme="majorBidi"/>
        </w:rPr>
        <w:t xml:space="preserve"> which will increase the ROE slightly above 18.99%.</w:t>
      </w:r>
    </w:p>
  </w:footnote>
  <w:footnote w:id="30">
    <w:p w:rsidR="0026302B" w:rsidRPr="0092681A" w:rsidRDefault="0026302B" w:rsidP="007645BD">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6E7C27">
        <w:rPr>
          <w:rFonts w:asciiTheme="majorBidi" w:hAnsiTheme="majorBidi" w:cstheme="majorBidi"/>
          <w:i/>
        </w:rPr>
        <w:t>,</w:t>
      </w:r>
      <w:r w:rsidRPr="0092681A">
        <w:rPr>
          <w:rFonts w:asciiTheme="majorBidi" w:hAnsiTheme="majorBidi" w:cstheme="majorBidi"/>
        </w:rPr>
        <w:t xml:space="preserve"> Application </w:t>
      </w:r>
      <w:r w:rsidR="006E7C27">
        <w:rPr>
          <w:rFonts w:asciiTheme="majorBidi" w:hAnsiTheme="majorBidi" w:cstheme="majorBidi"/>
        </w:rPr>
        <w:t xml:space="preserve">at </w:t>
      </w:r>
      <w:r w:rsidRPr="0092681A">
        <w:rPr>
          <w:rFonts w:asciiTheme="majorBidi" w:hAnsiTheme="majorBidi" w:cstheme="majorBidi"/>
        </w:rPr>
        <w:t>Schedule C-1, page 1 of 1 at lines 1 and 4.  It should be noted that the PUCO Staff had calculated a different three-year baseline storm O&amp;M costs in another proceeding (PUCO Case No. 12-426-EL-SSO) as cited in Comments By The Office of the Ohio Consumers’ Counsel at 6 and 9 (June 17, 2013).  Use of this baseline would reduce the amount of incremental O&amp;M storm cost for deferral and would result in a higher 2008 net income and ROE calculated here.</w:t>
      </w:r>
    </w:p>
  </w:footnote>
  <w:footnote w:id="31">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006E7C27">
        <w:rPr>
          <w:rFonts w:asciiTheme="majorBidi" w:hAnsiTheme="majorBidi" w:cstheme="majorBidi"/>
        </w:rPr>
        <w:t xml:space="preserve">Case No. 12-3062-EL-RDR, Comments Filed on Behalf of the </w:t>
      </w:r>
      <w:r w:rsidRPr="0092681A">
        <w:rPr>
          <w:rFonts w:asciiTheme="majorBidi" w:hAnsiTheme="majorBidi" w:cstheme="majorBidi"/>
        </w:rPr>
        <w:t>Staff</w:t>
      </w:r>
      <w:r w:rsidR="006E7C27">
        <w:rPr>
          <w:rFonts w:asciiTheme="majorBidi" w:hAnsiTheme="majorBidi" w:cstheme="majorBidi"/>
        </w:rPr>
        <w:t xml:space="preserve"> of the Public Utilities Commission of Ohio</w:t>
      </w:r>
      <w:r w:rsidRPr="0092681A">
        <w:rPr>
          <w:rFonts w:asciiTheme="majorBidi" w:hAnsiTheme="majorBidi" w:cstheme="majorBidi"/>
        </w:rPr>
        <w:t xml:space="preserve">  at 4 (June 17, 2013).</w:t>
      </w:r>
    </w:p>
  </w:footnote>
  <w:footnote w:id="32">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6E7C27">
        <w:rPr>
          <w:rFonts w:asciiTheme="majorBidi" w:hAnsiTheme="majorBidi" w:cstheme="majorBidi"/>
          <w:i/>
        </w:rPr>
        <w:t>,</w:t>
      </w:r>
      <w:r w:rsidRPr="0092681A">
        <w:rPr>
          <w:rFonts w:asciiTheme="majorBidi" w:hAnsiTheme="majorBidi" w:cstheme="majorBidi"/>
        </w:rPr>
        <w:t xml:space="preserve"> Direct Testimony of Gregory S. Campbell at 8</w:t>
      </w:r>
      <w:r w:rsidR="00E75727">
        <w:rPr>
          <w:rFonts w:asciiTheme="majorBidi" w:hAnsiTheme="majorBidi" w:cstheme="majorBidi"/>
        </w:rPr>
        <w:t xml:space="preserve"> (Dec. 21, 2012)</w:t>
      </w:r>
      <w:r w:rsidRPr="0092681A">
        <w:rPr>
          <w:rFonts w:asciiTheme="majorBidi" w:hAnsiTheme="majorBidi" w:cstheme="majorBidi"/>
        </w:rPr>
        <w:t>.</w:t>
      </w:r>
    </w:p>
  </w:footnote>
  <w:footnote w:id="33">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204B53">
        <w:rPr>
          <w:rFonts w:asciiTheme="majorBidi" w:hAnsiTheme="majorBidi" w:cstheme="majorBidi"/>
          <w:i/>
        </w:rPr>
        <w:t>,</w:t>
      </w:r>
      <w:r w:rsidRPr="0092681A">
        <w:rPr>
          <w:rFonts w:asciiTheme="majorBidi" w:hAnsiTheme="majorBidi" w:cstheme="majorBidi"/>
        </w:rPr>
        <w:t xml:space="preserve"> Direct Testimony of Dona R. Seger-Lawson at 5.</w:t>
      </w:r>
    </w:p>
  </w:footnote>
  <w:footnote w:id="34">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Id.</w:t>
      </w:r>
    </w:p>
  </w:footnote>
  <w:footnote w:id="35">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204B53">
        <w:rPr>
          <w:rFonts w:asciiTheme="majorBidi" w:hAnsiTheme="majorBidi" w:cstheme="majorBidi"/>
          <w:i/>
        </w:rPr>
        <w:t>,</w:t>
      </w:r>
      <w:r w:rsidRPr="0092681A">
        <w:rPr>
          <w:rFonts w:asciiTheme="majorBidi" w:hAnsiTheme="majorBidi" w:cstheme="majorBidi"/>
        </w:rPr>
        <w:t xml:space="preserve"> Direct Testimony of Bryce W. Nickel at 3.</w:t>
      </w:r>
    </w:p>
  </w:footnote>
  <w:footnote w:id="36">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The request for deferral of 2012 storm-related costs was filed on August 10, 2012 and amended on October 19, 2012.  </w:t>
      </w:r>
      <w:r w:rsidRPr="000B371F">
        <w:rPr>
          <w:rFonts w:asciiTheme="majorBidi" w:hAnsiTheme="majorBidi" w:cstheme="majorBidi"/>
          <w:i/>
        </w:rPr>
        <w:t>See</w:t>
      </w:r>
      <w:r w:rsidR="00204B53">
        <w:rPr>
          <w:rFonts w:asciiTheme="majorBidi" w:hAnsiTheme="majorBidi" w:cstheme="majorBidi"/>
          <w:i/>
        </w:rPr>
        <w:t>,</w:t>
      </w:r>
      <w:r w:rsidRPr="0092681A">
        <w:rPr>
          <w:rFonts w:asciiTheme="majorBidi" w:hAnsiTheme="majorBidi" w:cstheme="majorBidi"/>
        </w:rPr>
        <w:t xml:space="preserve"> Application at 5. </w:t>
      </w:r>
      <w:r>
        <w:rPr>
          <w:rFonts w:asciiTheme="majorBidi" w:hAnsiTheme="majorBidi" w:cstheme="majorBidi"/>
        </w:rPr>
        <w:t xml:space="preserve"> </w:t>
      </w:r>
      <w:r w:rsidRPr="0092681A">
        <w:rPr>
          <w:rFonts w:asciiTheme="majorBidi" w:hAnsiTheme="majorBidi" w:cstheme="majorBidi"/>
        </w:rPr>
        <w:t>The deferral of 2012 storm-related costs was approved by the PUCO on December 19, 2012.</w:t>
      </w:r>
    </w:p>
  </w:footnote>
  <w:footnote w:id="37">
    <w:p w:rsidR="0026302B" w:rsidRPr="0092681A" w:rsidRDefault="0026302B" w:rsidP="0092681A">
      <w:pPr>
        <w:pStyle w:val="FootnoteText"/>
        <w:spacing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204B53">
        <w:rPr>
          <w:rFonts w:asciiTheme="majorBidi" w:hAnsiTheme="majorBidi" w:cstheme="majorBidi"/>
          <w:i/>
        </w:rPr>
        <w:t>,</w:t>
      </w:r>
      <w:r w:rsidRPr="0092681A">
        <w:rPr>
          <w:rFonts w:asciiTheme="majorBidi" w:hAnsiTheme="majorBidi" w:cstheme="majorBidi"/>
        </w:rPr>
        <w:t xml:space="preserve"> Application </w:t>
      </w:r>
      <w:r w:rsidR="00204B53">
        <w:rPr>
          <w:rFonts w:asciiTheme="majorBidi" w:hAnsiTheme="majorBidi" w:cstheme="majorBidi"/>
        </w:rPr>
        <w:t xml:space="preserve">at </w:t>
      </w:r>
      <w:r w:rsidRPr="0092681A">
        <w:rPr>
          <w:rFonts w:asciiTheme="majorBidi" w:hAnsiTheme="majorBidi" w:cstheme="majorBidi"/>
        </w:rPr>
        <w:t>Schedule C-1, page 1 of 1 at line 7.</w:t>
      </w:r>
    </w:p>
  </w:footnote>
  <w:footnote w:id="38">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A typical DP&amp;L residential customer using 750 KWH of electricity per month pays $107.84, which is the second highest among the seven major utilities.  Also, that monthly amount is higher than the state average of $102.64, and the lowest at $90.45.  See Ohio Utility Rate Survey, A report by the Staff of the Public Utilities Commission of Ohio (January 14, 2014).</w:t>
      </w:r>
    </w:p>
  </w:footnote>
  <w:footnote w:id="39">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204B53">
        <w:rPr>
          <w:rFonts w:asciiTheme="majorBidi" w:hAnsiTheme="majorBidi" w:cstheme="majorBidi"/>
          <w:i/>
        </w:rPr>
        <w:t>,</w:t>
      </w:r>
      <w:r w:rsidRPr="0092681A">
        <w:rPr>
          <w:rFonts w:asciiTheme="majorBidi" w:hAnsiTheme="majorBidi" w:cstheme="majorBidi"/>
        </w:rPr>
        <w:t xml:space="preserve"> </w:t>
      </w:r>
      <w:r w:rsidRPr="0092681A">
        <w:rPr>
          <w:rFonts w:asciiTheme="majorBidi" w:hAnsiTheme="majorBidi" w:cstheme="majorBidi"/>
          <w:i/>
        </w:rPr>
        <w:t>In the Matter of the Application of The Dayton Power and Light Company for Authority to Recover Certain Storm-Related Service restoration Costs</w:t>
      </w:r>
      <w:r w:rsidRPr="0092681A">
        <w:rPr>
          <w:rFonts w:asciiTheme="majorBidi" w:hAnsiTheme="majorBidi" w:cstheme="majorBidi"/>
        </w:rPr>
        <w:t>, Case No. 12-3062-EL-RDR et al., Comments Filed on Behalf of the Staff of The Public Utilities Commission of Ohio at 6 (June 17, 2013).</w:t>
      </w:r>
    </w:p>
  </w:footnote>
  <w:footnote w:id="40">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Id.</w:t>
      </w:r>
    </w:p>
  </w:footnote>
  <w:footnote w:id="41">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204B53">
        <w:rPr>
          <w:rFonts w:asciiTheme="majorBidi" w:hAnsiTheme="majorBidi" w:cstheme="majorBidi"/>
          <w:i/>
        </w:rPr>
        <w:t>,</w:t>
      </w:r>
      <w:r w:rsidRPr="0092681A">
        <w:rPr>
          <w:rFonts w:asciiTheme="majorBidi" w:hAnsiTheme="majorBidi" w:cstheme="majorBidi"/>
        </w:rPr>
        <w:t xml:space="preserve"> </w:t>
      </w:r>
      <w:r w:rsidRPr="0092681A">
        <w:rPr>
          <w:rFonts w:asciiTheme="majorBidi" w:hAnsiTheme="majorBidi" w:cstheme="majorBidi"/>
          <w:i/>
        </w:rPr>
        <w:t>In the Matter of the Application of The Dayton Power and Light Company for Authority to Recover Certain Storm-Related Service restoration Costs</w:t>
      </w:r>
      <w:r w:rsidRPr="0092681A">
        <w:rPr>
          <w:rFonts w:asciiTheme="majorBidi" w:hAnsiTheme="majorBidi" w:cstheme="majorBidi"/>
        </w:rPr>
        <w:t>, Case No. 12-3062-EL-RDR et al., Audit Report Submitted on Behalf of the Staff of The Public Utilities Commission of Ohio at 3 (January 3, 2014).</w:t>
      </w:r>
    </w:p>
  </w:footnote>
  <w:footnote w:id="42">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72F0B">
        <w:rPr>
          <w:rFonts w:asciiTheme="majorBidi" w:hAnsiTheme="majorBidi" w:cstheme="majorBidi"/>
          <w:i/>
        </w:rPr>
        <w:t>,</w:t>
      </w:r>
      <w:r w:rsidRPr="0092681A">
        <w:rPr>
          <w:rFonts w:asciiTheme="majorBidi" w:hAnsiTheme="majorBidi" w:cstheme="majorBidi"/>
        </w:rPr>
        <w:t xml:space="preserve"> </w:t>
      </w:r>
      <w:r w:rsidRPr="0092681A">
        <w:rPr>
          <w:rFonts w:asciiTheme="majorBidi" w:hAnsiTheme="majorBidi" w:cstheme="majorBidi"/>
          <w:i/>
        </w:rPr>
        <w:t>In the Matter of the Application of The Dayton Power and Light Company for Authority to Modify Its Accounting Procedure for Certain Storm-Related Service Restoration Costs</w:t>
      </w:r>
      <w:r w:rsidRPr="0092681A">
        <w:rPr>
          <w:rFonts w:asciiTheme="majorBidi" w:hAnsiTheme="majorBidi" w:cstheme="majorBidi"/>
        </w:rPr>
        <w:t xml:space="preserve">, Case No. 08-1332-EL-AAM, Application </w:t>
      </w:r>
      <w:r w:rsidR="00E72F0B">
        <w:rPr>
          <w:rFonts w:asciiTheme="majorBidi" w:hAnsiTheme="majorBidi" w:cstheme="majorBidi"/>
        </w:rPr>
        <w:t xml:space="preserve">at </w:t>
      </w:r>
      <w:r w:rsidRPr="0092681A">
        <w:rPr>
          <w:rFonts w:asciiTheme="majorBidi" w:hAnsiTheme="majorBidi" w:cstheme="majorBidi"/>
        </w:rPr>
        <w:t>paragraph 8 (December 26, 2008).</w:t>
      </w:r>
    </w:p>
  </w:footnote>
  <w:footnote w:id="43">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72F0B">
        <w:rPr>
          <w:rFonts w:asciiTheme="majorBidi" w:hAnsiTheme="majorBidi" w:cstheme="majorBidi"/>
          <w:i/>
        </w:rPr>
        <w:t>,</w:t>
      </w:r>
      <w:r w:rsidRPr="0092681A">
        <w:rPr>
          <w:rFonts w:asciiTheme="majorBidi" w:hAnsiTheme="majorBidi" w:cstheme="majorBidi"/>
        </w:rPr>
        <w:t xml:space="preserve"> </w:t>
      </w:r>
      <w:r w:rsidRPr="0092681A">
        <w:rPr>
          <w:rFonts w:asciiTheme="majorBidi" w:hAnsiTheme="majorBidi" w:cstheme="majorBidi"/>
          <w:i/>
        </w:rPr>
        <w:t>In the Matter of the Application of The Dayton Power and Light Company for Authority to Modify Its Accounting Procedure for Certain Storm-Related Service Restoration Costs</w:t>
      </w:r>
      <w:r w:rsidRPr="0092681A">
        <w:rPr>
          <w:rFonts w:asciiTheme="majorBidi" w:hAnsiTheme="majorBidi" w:cstheme="majorBidi"/>
        </w:rPr>
        <w:t xml:space="preserve">, Case No. 12-2281-EL-AAM, Application </w:t>
      </w:r>
      <w:r w:rsidR="00E72F0B">
        <w:rPr>
          <w:rFonts w:asciiTheme="majorBidi" w:hAnsiTheme="majorBidi" w:cstheme="majorBidi"/>
        </w:rPr>
        <w:t xml:space="preserve">at </w:t>
      </w:r>
      <w:r w:rsidRPr="0092681A">
        <w:rPr>
          <w:rFonts w:asciiTheme="majorBidi" w:hAnsiTheme="majorBidi" w:cstheme="majorBidi"/>
        </w:rPr>
        <w:t>paragraph 9, (August 10, 2012).</w:t>
      </w:r>
    </w:p>
  </w:footnote>
  <w:footnote w:id="44">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75727">
        <w:rPr>
          <w:rFonts w:asciiTheme="majorBidi" w:hAnsiTheme="majorBidi" w:cstheme="majorBidi"/>
          <w:i/>
        </w:rPr>
        <w:t>,</w:t>
      </w:r>
      <w:r w:rsidRPr="0092681A">
        <w:rPr>
          <w:rFonts w:asciiTheme="majorBidi" w:hAnsiTheme="majorBidi" w:cstheme="majorBidi"/>
        </w:rPr>
        <w:t xml:space="preserve"> </w:t>
      </w:r>
      <w:r w:rsidRPr="0092681A">
        <w:rPr>
          <w:rFonts w:asciiTheme="majorBidi" w:hAnsiTheme="majorBidi" w:cstheme="majorBidi"/>
          <w:i/>
        </w:rPr>
        <w:t>In the Matter of the Application of The Dayton Power and Light Company for Authority to Modify Its Accounting Procedure for Certain Storm-Related Service Restoration Costs</w:t>
      </w:r>
      <w:r w:rsidRPr="0092681A">
        <w:rPr>
          <w:rFonts w:asciiTheme="majorBidi" w:hAnsiTheme="majorBidi" w:cstheme="majorBidi"/>
        </w:rPr>
        <w:t xml:space="preserve">, Case No. 08-1332-EL-AAM, Finding and Order </w:t>
      </w:r>
      <w:r w:rsidR="00E75727">
        <w:rPr>
          <w:rFonts w:asciiTheme="majorBidi" w:hAnsiTheme="majorBidi" w:cstheme="majorBidi"/>
        </w:rPr>
        <w:t xml:space="preserve">at </w:t>
      </w:r>
      <w:r w:rsidRPr="0092681A">
        <w:rPr>
          <w:rFonts w:asciiTheme="majorBidi" w:hAnsiTheme="majorBidi" w:cstheme="majorBidi"/>
        </w:rPr>
        <w:t>paragraph 6 (January 14, 2009).</w:t>
      </w:r>
    </w:p>
  </w:footnote>
  <w:footnote w:id="45">
    <w:p w:rsidR="0026302B" w:rsidRPr="0092681A" w:rsidRDefault="0026302B" w:rsidP="0092681A">
      <w:pPr>
        <w:pStyle w:val="FootnoteText"/>
        <w:spacing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Id. </w:t>
      </w:r>
      <w:r>
        <w:rPr>
          <w:rFonts w:asciiTheme="majorBidi" w:hAnsiTheme="majorBidi" w:cstheme="majorBidi"/>
        </w:rPr>
        <w:t xml:space="preserve"> </w:t>
      </w:r>
      <w:r w:rsidRPr="0092681A">
        <w:rPr>
          <w:rFonts w:asciiTheme="majorBidi" w:hAnsiTheme="majorBidi" w:cstheme="majorBidi"/>
        </w:rPr>
        <w:t>Finding and Order at 3 (January 14, 2009).</w:t>
      </w:r>
    </w:p>
  </w:footnote>
  <w:footnote w:id="46">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75727">
        <w:rPr>
          <w:rFonts w:asciiTheme="majorBidi" w:hAnsiTheme="majorBidi" w:cstheme="majorBidi"/>
          <w:i/>
        </w:rPr>
        <w:t>,</w:t>
      </w:r>
      <w:r w:rsidRPr="0092681A">
        <w:rPr>
          <w:rFonts w:asciiTheme="majorBidi" w:hAnsiTheme="majorBidi" w:cstheme="majorBidi"/>
        </w:rPr>
        <w:t xml:space="preserve"> Testimony in Response to Staff Audit Report of Michael E. Barrett at 3</w:t>
      </w:r>
      <w:r w:rsidR="003552B3">
        <w:rPr>
          <w:rFonts w:asciiTheme="majorBidi" w:hAnsiTheme="majorBidi" w:cstheme="majorBidi"/>
        </w:rPr>
        <w:t xml:space="preserve"> (Jan. 17, 2014)</w:t>
      </w:r>
      <w:r w:rsidRPr="0092681A">
        <w:rPr>
          <w:rFonts w:asciiTheme="majorBidi" w:hAnsiTheme="majorBidi" w:cstheme="majorBidi"/>
        </w:rPr>
        <w:t xml:space="preserve">. </w:t>
      </w:r>
    </w:p>
  </w:footnote>
  <w:footnote w:id="47">
    <w:p w:rsidR="0026302B" w:rsidRPr="0092681A" w:rsidRDefault="0026302B" w:rsidP="0092681A">
      <w:pPr>
        <w:pStyle w:val="FootnoteText"/>
        <w:spacing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75727">
        <w:rPr>
          <w:rFonts w:asciiTheme="majorBidi" w:hAnsiTheme="majorBidi" w:cstheme="majorBidi"/>
          <w:i/>
        </w:rPr>
        <w:t>,</w:t>
      </w:r>
      <w:r w:rsidRPr="0092681A">
        <w:rPr>
          <w:rFonts w:asciiTheme="majorBidi" w:hAnsiTheme="majorBidi" w:cstheme="majorBidi"/>
        </w:rPr>
        <w:t xml:space="preserve"> </w:t>
      </w:r>
      <w:r w:rsidRPr="000B371F">
        <w:rPr>
          <w:rFonts w:asciiTheme="majorBidi" w:hAnsiTheme="majorBidi" w:cstheme="majorBidi"/>
          <w:i/>
        </w:rPr>
        <w:t>In the Matter of the Application of Duke Energy Ohio, Inc. to Establish and Adjust the Initial Level of its Distribution Reliability Rider</w:t>
      </w:r>
      <w:r w:rsidR="00E75727">
        <w:rPr>
          <w:rFonts w:asciiTheme="majorBidi" w:hAnsiTheme="majorBidi" w:cstheme="majorBidi"/>
          <w:i/>
        </w:rPr>
        <w:t>,</w:t>
      </w:r>
      <w:r w:rsidRPr="0092681A">
        <w:rPr>
          <w:rFonts w:asciiTheme="majorBidi" w:hAnsiTheme="majorBidi" w:cstheme="majorBidi"/>
        </w:rPr>
        <w:t xml:space="preserve"> </w:t>
      </w:r>
      <w:r w:rsidR="00E75727">
        <w:rPr>
          <w:rFonts w:asciiTheme="majorBidi" w:hAnsiTheme="majorBidi" w:cstheme="majorBidi"/>
        </w:rPr>
        <w:t>V</w:t>
      </w:r>
      <w:r w:rsidRPr="0092681A">
        <w:rPr>
          <w:rFonts w:asciiTheme="majorBidi" w:hAnsiTheme="majorBidi" w:cstheme="majorBidi"/>
        </w:rPr>
        <w:t>ase No. 09-1946-EL-RDR, Opinion and Order at 8</w:t>
      </w:r>
      <w:r w:rsidR="00E75727">
        <w:rPr>
          <w:rFonts w:asciiTheme="majorBidi" w:hAnsiTheme="majorBidi" w:cstheme="majorBidi"/>
        </w:rPr>
        <w:t xml:space="preserve">, </w:t>
      </w:r>
      <w:r w:rsidRPr="0092681A">
        <w:rPr>
          <w:rFonts w:asciiTheme="majorBidi" w:hAnsiTheme="majorBidi" w:cstheme="majorBidi"/>
        </w:rPr>
        <w:t>25 (January 11, 2011).</w:t>
      </w:r>
    </w:p>
  </w:footnote>
  <w:footnote w:id="48">
    <w:p w:rsidR="001D6FFA" w:rsidRPr="001D6FFA" w:rsidRDefault="001D6FFA" w:rsidP="000B371F">
      <w:pPr>
        <w:pStyle w:val="FootnoteText"/>
        <w:spacing w:before="0" w:after="120"/>
      </w:pPr>
      <w:r>
        <w:rPr>
          <w:rStyle w:val="FootnoteReference"/>
        </w:rPr>
        <w:footnoteRef/>
      </w:r>
      <w:r>
        <w:t xml:space="preserve"> </w:t>
      </w:r>
      <w:r>
        <w:rPr>
          <w:i/>
        </w:rPr>
        <w:t>In the Matter of the Application of The Dayton Power and Light Company for Authority to Modify its Accounting Procedure for Certain Storm-Related Services Restoration Costs</w:t>
      </w:r>
      <w:r>
        <w:t xml:space="preserve">, Case No. 08-1332-EL-AAM, Finding and Order at 2 (Jan. 14, 2009); </w:t>
      </w:r>
      <w:r>
        <w:rPr>
          <w:i/>
        </w:rPr>
        <w:t>In the Matter of the Application of The Dayton Power and Light Company for Authority t</w:t>
      </w:r>
      <w:r w:rsidR="00A11E58">
        <w:rPr>
          <w:i/>
        </w:rPr>
        <w:t>o</w:t>
      </w:r>
      <w:r>
        <w:rPr>
          <w:i/>
        </w:rPr>
        <w:t xml:space="preserve"> Modify its Accounting Procedure for Certain Storm-Related Service Restoration Costs</w:t>
      </w:r>
      <w:r>
        <w:t>, Case No. 12-2281-EL-AAM, Finding and Order at 4 (Dec. 19, 2012).</w:t>
      </w:r>
    </w:p>
  </w:footnote>
  <w:footnote w:id="49">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See Testimony in Response to Staff Audit Report of Michael E. Barrett at 7.</w:t>
      </w:r>
    </w:p>
  </w:footnote>
  <w:footnote w:id="50">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75727">
        <w:rPr>
          <w:rFonts w:asciiTheme="majorBidi" w:hAnsiTheme="majorBidi" w:cstheme="majorBidi"/>
          <w:i/>
        </w:rPr>
        <w:t>,</w:t>
      </w:r>
      <w:r w:rsidRPr="0092681A">
        <w:rPr>
          <w:rFonts w:asciiTheme="majorBidi" w:hAnsiTheme="majorBidi" w:cstheme="majorBidi"/>
        </w:rPr>
        <w:t xml:space="preserve"> </w:t>
      </w:r>
      <w:r w:rsidR="00E75727">
        <w:rPr>
          <w:rFonts w:asciiTheme="majorBidi" w:hAnsiTheme="majorBidi" w:cstheme="majorBidi"/>
        </w:rPr>
        <w:t>Id.</w:t>
      </w:r>
      <w:r w:rsidRPr="0092681A">
        <w:rPr>
          <w:rFonts w:asciiTheme="majorBidi" w:hAnsiTheme="majorBidi" w:cstheme="majorBidi"/>
        </w:rPr>
        <w:t xml:space="preserve"> at 3-8.</w:t>
      </w:r>
    </w:p>
  </w:footnote>
  <w:footnote w:id="51">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75727">
        <w:rPr>
          <w:rFonts w:asciiTheme="majorBidi" w:hAnsiTheme="majorBidi" w:cstheme="majorBidi"/>
          <w:i/>
        </w:rPr>
        <w:t>,</w:t>
      </w:r>
      <w:r w:rsidRPr="0092681A">
        <w:rPr>
          <w:rFonts w:asciiTheme="majorBidi" w:hAnsiTheme="majorBidi" w:cstheme="majorBidi"/>
        </w:rPr>
        <w:t xml:space="preserve"> </w:t>
      </w:r>
      <w:r w:rsidR="00E75727">
        <w:rPr>
          <w:rFonts w:asciiTheme="majorBidi" w:hAnsiTheme="majorBidi" w:cstheme="majorBidi"/>
        </w:rPr>
        <w:t>Id.</w:t>
      </w:r>
      <w:r w:rsidRPr="0092681A">
        <w:rPr>
          <w:rFonts w:asciiTheme="majorBidi" w:hAnsiTheme="majorBidi" w:cstheme="majorBidi"/>
        </w:rPr>
        <w:t xml:space="preserve"> at 11-12.</w:t>
      </w:r>
    </w:p>
  </w:footnote>
  <w:footnote w:id="52">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75727">
        <w:rPr>
          <w:rFonts w:asciiTheme="majorBidi" w:hAnsiTheme="majorBidi" w:cstheme="majorBidi"/>
          <w:i/>
        </w:rPr>
        <w:t>,</w:t>
      </w:r>
      <w:r w:rsidRPr="0092681A">
        <w:rPr>
          <w:rFonts w:asciiTheme="majorBidi" w:hAnsiTheme="majorBidi" w:cstheme="majorBidi"/>
        </w:rPr>
        <w:t xml:space="preserve"> </w:t>
      </w:r>
      <w:r w:rsidRPr="0092681A">
        <w:rPr>
          <w:rFonts w:asciiTheme="majorBidi" w:hAnsiTheme="majorBidi" w:cstheme="majorBidi"/>
          <w:i/>
        </w:rPr>
        <w:t xml:space="preserve">In the Matter of the Application of The Dayton Power and Light Company for Authority to Recover Certain Storm-Related Service </w:t>
      </w:r>
      <w:r w:rsidR="00E75727">
        <w:rPr>
          <w:rFonts w:asciiTheme="majorBidi" w:hAnsiTheme="majorBidi" w:cstheme="majorBidi"/>
          <w:i/>
        </w:rPr>
        <w:t>R</w:t>
      </w:r>
      <w:r w:rsidRPr="0092681A">
        <w:rPr>
          <w:rFonts w:asciiTheme="majorBidi" w:hAnsiTheme="majorBidi" w:cstheme="majorBidi"/>
          <w:i/>
        </w:rPr>
        <w:t>estoration Costs</w:t>
      </w:r>
      <w:r w:rsidRPr="0092681A">
        <w:rPr>
          <w:rFonts w:asciiTheme="majorBidi" w:hAnsiTheme="majorBidi" w:cstheme="majorBidi"/>
        </w:rPr>
        <w:t>, Case No. 12-3062-EL-RDR et al., Audit Report Submitted on Behalf of the Staff of The Public Utilities Commission of Ohio at 4 (January 3, 2014).</w:t>
      </w:r>
    </w:p>
  </w:footnote>
  <w:footnote w:id="53">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75727">
        <w:rPr>
          <w:rFonts w:asciiTheme="majorBidi" w:hAnsiTheme="majorBidi" w:cstheme="majorBidi"/>
          <w:i/>
        </w:rPr>
        <w:t>,</w:t>
      </w:r>
      <w:r w:rsidRPr="0092681A">
        <w:rPr>
          <w:rFonts w:asciiTheme="majorBidi" w:hAnsiTheme="majorBidi" w:cstheme="majorBidi"/>
        </w:rPr>
        <w:t xml:space="preserve"> Supplemental Testimony of Dona R. Seger-Lawson at 5.</w:t>
      </w:r>
    </w:p>
  </w:footnote>
  <w:footnote w:id="54">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75727">
        <w:rPr>
          <w:rFonts w:asciiTheme="majorBidi" w:hAnsiTheme="majorBidi" w:cstheme="majorBidi"/>
          <w:i/>
        </w:rPr>
        <w:t>,</w:t>
      </w:r>
      <w:r w:rsidRPr="0092681A">
        <w:rPr>
          <w:rFonts w:asciiTheme="majorBidi" w:hAnsiTheme="majorBidi" w:cstheme="majorBidi"/>
        </w:rPr>
        <w:t xml:space="preserve"> Second Revised Testimony of Craig L. Jackson at 5 in PUCO Case No. 12-426-EL-SSO.</w:t>
      </w:r>
    </w:p>
  </w:footnote>
  <w:footnote w:id="55">
    <w:p w:rsidR="0026302B" w:rsidRPr="0092681A" w:rsidRDefault="0026302B" w:rsidP="0092681A">
      <w:pPr>
        <w:pStyle w:val="FootnoteText"/>
        <w:spacing w:before="0" w:after="120"/>
        <w:rPr>
          <w:rFonts w:asciiTheme="majorBidi" w:hAnsiTheme="majorBidi" w:cstheme="majorBidi"/>
        </w:rPr>
      </w:pPr>
      <w:r w:rsidRPr="0092681A">
        <w:rPr>
          <w:rStyle w:val="FootnoteReference"/>
          <w:rFonts w:asciiTheme="majorBidi" w:hAnsiTheme="majorBidi" w:cstheme="majorBidi"/>
        </w:rPr>
        <w:footnoteRef/>
      </w:r>
      <w:r w:rsidRPr="0092681A">
        <w:rPr>
          <w:rFonts w:asciiTheme="majorBidi" w:hAnsiTheme="majorBidi" w:cstheme="majorBidi"/>
        </w:rPr>
        <w:t xml:space="preserve"> </w:t>
      </w:r>
      <w:r w:rsidRPr="000B371F">
        <w:rPr>
          <w:rFonts w:asciiTheme="majorBidi" w:hAnsiTheme="majorBidi" w:cstheme="majorBidi"/>
          <w:i/>
        </w:rPr>
        <w:t>See</w:t>
      </w:r>
      <w:r w:rsidR="00E75727">
        <w:rPr>
          <w:rFonts w:asciiTheme="majorBidi" w:hAnsiTheme="majorBidi" w:cstheme="majorBidi"/>
          <w:i/>
        </w:rPr>
        <w:t>,</w:t>
      </w:r>
      <w:r w:rsidRPr="0092681A">
        <w:rPr>
          <w:rFonts w:asciiTheme="majorBidi" w:hAnsiTheme="majorBidi" w:cstheme="majorBidi"/>
        </w:rPr>
        <w:t xml:space="preserve"> DPL Inc. Form 10-Q filed with the Securities and Exchange Commission on November 6, 2012 at 64, 101 and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B1" w:rsidRDefault="00821EB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Default="0026302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Default="0026302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Pr="00A4206B" w:rsidRDefault="0026302B" w:rsidP="00A42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Default="0026302B">
    <w:pPr>
      <w:pStyle w:val="Header"/>
    </w:pPr>
  </w:p>
  <w:p w:rsidR="0026302B" w:rsidRDefault="002630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B1" w:rsidRDefault="00821E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Default="002630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Default="002630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Default="0026302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Default="0026302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Pr="00A27653" w:rsidRDefault="0026302B">
    <w:pPr>
      <w:pStyle w:val="Header"/>
      <w:jc w:val="center"/>
      <w:rPr>
        <w:i/>
        <w:iCs/>
        <w:color w:val="000000" w:themeColor="text1"/>
        <w:sz w:val="20"/>
        <w:szCs w:val="20"/>
      </w:rPr>
    </w:pPr>
  </w:p>
  <w:p w:rsidR="0026302B" w:rsidRPr="00BE5920" w:rsidRDefault="0026302B" w:rsidP="00474A57">
    <w:pPr>
      <w:pStyle w:val="Header"/>
      <w:tabs>
        <w:tab w:val="left" w:pos="6937"/>
      </w:tabs>
      <w:jc w:val="center"/>
      <w:rPr>
        <w:b/>
        <w:i/>
        <w:iCs/>
        <w:sz w:val="20"/>
        <w:szCs w:val="20"/>
      </w:rPr>
    </w:pPr>
    <w:r>
      <w:rPr>
        <w:i/>
        <w:iCs/>
        <w:sz w:val="20"/>
        <w:szCs w:val="20"/>
      </w:rPr>
      <w:t>Direct Testimony of Daniel J. Duann, Ph.D.</w:t>
    </w:r>
  </w:p>
  <w:p w:rsidR="0026302B" w:rsidRDefault="0026302B">
    <w:pPr>
      <w:pStyle w:val="Header"/>
      <w:jc w:val="center"/>
      <w:rPr>
        <w:i/>
        <w:iCs/>
        <w:sz w:val="20"/>
        <w:szCs w:val="20"/>
      </w:rPr>
    </w:pPr>
    <w:r>
      <w:rPr>
        <w:i/>
        <w:iCs/>
        <w:sz w:val="20"/>
        <w:szCs w:val="20"/>
      </w:rPr>
      <w:t>On Behalf of the Office of the Ohio Consumers’ Counsel</w:t>
    </w:r>
  </w:p>
  <w:p w:rsidR="0026302B" w:rsidRDefault="0026302B">
    <w:pPr>
      <w:pStyle w:val="Header"/>
      <w:jc w:val="center"/>
      <w:rPr>
        <w:i/>
        <w:iCs/>
        <w:sz w:val="20"/>
        <w:szCs w:val="20"/>
      </w:rPr>
    </w:pPr>
    <w:r>
      <w:rPr>
        <w:i/>
        <w:iCs/>
        <w:sz w:val="20"/>
        <w:szCs w:val="20"/>
      </w:rPr>
      <w:t>PUCO Case No. 12-3062-EL-RDR et al.</w:t>
    </w:r>
  </w:p>
  <w:p w:rsidR="0026302B" w:rsidRDefault="0026302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2B" w:rsidRDefault="00263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EE452"/>
    <w:lvl w:ilvl="0">
      <w:start w:val="1"/>
      <w:numFmt w:val="decimal"/>
      <w:lvlText w:val="%1."/>
      <w:lvlJc w:val="left"/>
      <w:pPr>
        <w:tabs>
          <w:tab w:val="num" w:pos="1800"/>
        </w:tabs>
        <w:ind w:left="1800" w:hanging="360"/>
      </w:pPr>
    </w:lvl>
  </w:abstractNum>
  <w:abstractNum w:abstractNumId="1">
    <w:nsid w:val="FFFFFF7D"/>
    <w:multiLevelType w:val="singleLevel"/>
    <w:tmpl w:val="9B940BE0"/>
    <w:lvl w:ilvl="0">
      <w:start w:val="1"/>
      <w:numFmt w:val="decimal"/>
      <w:lvlText w:val="%1."/>
      <w:lvlJc w:val="left"/>
      <w:pPr>
        <w:tabs>
          <w:tab w:val="num" w:pos="1440"/>
        </w:tabs>
        <w:ind w:left="1440" w:hanging="360"/>
      </w:pPr>
    </w:lvl>
  </w:abstractNum>
  <w:abstractNum w:abstractNumId="2">
    <w:nsid w:val="FFFFFF7E"/>
    <w:multiLevelType w:val="singleLevel"/>
    <w:tmpl w:val="C624DD22"/>
    <w:lvl w:ilvl="0">
      <w:start w:val="1"/>
      <w:numFmt w:val="decimal"/>
      <w:lvlText w:val="%1."/>
      <w:lvlJc w:val="left"/>
      <w:pPr>
        <w:tabs>
          <w:tab w:val="num" w:pos="1080"/>
        </w:tabs>
        <w:ind w:left="1080" w:hanging="360"/>
      </w:pPr>
    </w:lvl>
  </w:abstractNum>
  <w:abstractNum w:abstractNumId="3">
    <w:nsid w:val="FFFFFF7F"/>
    <w:multiLevelType w:val="singleLevel"/>
    <w:tmpl w:val="B516A5F6"/>
    <w:lvl w:ilvl="0">
      <w:start w:val="1"/>
      <w:numFmt w:val="decimal"/>
      <w:lvlText w:val="%1."/>
      <w:lvlJc w:val="left"/>
      <w:pPr>
        <w:tabs>
          <w:tab w:val="num" w:pos="720"/>
        </w:tabs>
        <w:ind w:left="720" w:hanging="360"/>
      </w:pPr>
    </w:lvl>
  </w:abstractNum>
  <w:abstractNum w:abstractNumId="4">
    <w:nsid w:val="FFFFFF80"/>
    <w:multiLevelType w:val="singleLevel"/>
    <w:tmpl w:val="DB3C0F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C68E7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4669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C1266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C5C3B0C"/>
    <w:lvl w:ilvl="0">
      <w:start w:val="1"/>
      <w:numFmt w:val="decimal"/>
      <w:lvlText w:val="%1."/>
      <w:lvlJc w:val="left"/>
      <w:pPr>
        <w:tabs>
          <w:tab w:val="num" w:pos="360"/>
        </w:tabs>
        <w:ind w:left="360" w:hanging="360"/>
      </w:pPr>
    </w:lvl>
  </w:abstractNum>
  <w:abstractNum w:abstractNumId="9">
    <w:nsid w:val="FFFFFF89"/>
    <w:multiLevelType w:val="singleLevel"/>
    <w:tmpl w:val="C2BE66F0"/>
    <w:lvl w:ilvl="0">
      <w:start w:val="1"/>
      <w:numFmt w:val="bullet"/>
      <w:lvlText w:val=""/>
      <w:lvlJc w:val="left"/>
      <w:pPr>
        <w:tabs>
          <w:tab w:val="num" w:pos="360"/>
        </w:tabs>
        <w:ind w:left="360" w:hanging="360"/>
      </w:pPr>
      <w:rPr>
        <w:rFonts w:ascii="Symbol" w:hAnsi="Symbol" w:hint="default"/>
      </w:rPr>
    </w:lvl>
  </w:abstractNum>
  <w:abstractNum w:abstractNumId="10">
    <w:nsid w:val="0127689A"/>
    <w:multiLevelType w:val="hybridMultilevel"/>
    <w:tmpl w:val="C1405798"/>
    <w:lvl w:ilvl="0" w:tplc="E1B8FD72">
      <w:start w:val="1"/>
      <w:numFmt w:val="upperRoman"/>
      <w:pStyle w:val="Heading1"/>
      <w:lvlText w:val="%1."/>
      <w:lvlJc w:val="left"/>
      <w:pPr>
        <w:tabs>
          <w:tab w:val="num" w:pos="0"/>
        </w:tabs>
        <w:ind w:left="1080" w:hanging="10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74B06B0"/>
    <w:multiLevelType w:val="hybridMultilevel"/>
    <w:tmpl w:val="5EEC0AC2"/>
    <w:lvl w:ilvl="0" w:tplc="2B3616DE">
      <w:start w:val="1"/>
      <w:numFmt w:val="upperLetter"/>
      <w:pStyle w:val="Heading2"/>
      <w:lvlText w:val="%1."/>
      <w:lvlJc w:val="left"/>
      <w:pPr>
        <w:ind w:left="360" w:hanging="360"/>
      </w:pPr>
      <w:rPr>
        <w:rFonts w:asciiTheme="majorBidi"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DDB4DBF"/>
    <w:multiLevelType w:val="hybridMultilevel"/>
    <w:tmpl w:val="67848F66"/>
    <w:lvl w:ilvl="0" w:tplc="86422B08">
      <w:start w:val="1"/>
      <w:numFmt w:val="decimal"/>
      <w:lvlText w:val="%1."/>
      <w:lvlJc w:val="left"/>
      <w:pPr>
        <w:tabs>
          <w:tab w:val="num" w:pos="360"/>
        </w:tabs>
        <w:ind w:left="360" w:hanging="360"/>
      </w:pPr>
      <w:rPr>
        <w:rFonts w:hint="default"/>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00B346B"/>
    <w:multiLevelType w:val="hybridMultilevel"/>
    <w:tmpl w:val="B9A6B5D6"/>
    <w:lvl w:ilvl="0" w:tplc="FCC84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B87AF4"/>
    <w:multiLevelType w:val="multilevel"/>
    <w:tmpl w:val="059699D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C0032E"/>
    <w:multiLevelType w:val="hybridMultilevel"/>
    <w:tmpl w:val="189EE3E6"/>
    <w:lvl w:ilvl="0" w:tplc="9F68C2E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FA174D"/>
    <w:multiLevelType w:val="hybridMultilevel"/>
    <w:tmpl w:val="6F6E43C8"/>
    <w:lvl w:ilvl="0" w:tplc="C096DA00">
      <w:start w:val="1"/>
      <w:numFmt w:val="decimal"/>
      <w:lvlText w:val="(%1)"/>
      <w:lvlJc w:val="left"/>
      <w:pPr>
        <w:ind w:left="1710" w:hanging="360"/>
      </w:pPr>
      <w:rPr>
        <w:rFonts w:ascii="Times New Roman" w:hAnsi="Times New Roman" w:cs="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23262FD7"/>
    <w:multiLevelType w:val="hybridMultilevel"/>
    <w:tmpl w:val="BC8E0648"/>
    <w:lvl w:ilvl="0" w:tplc="2C24D9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4C38C3"/>
    <w:multiLevelType w:val="hybridMultilevel"/>
    <w:tmpl w:val="0A26ADDE"/>
    <w:lvl w:ilvl="0" w:tplc="45E6E128">
      <w:start w:val="1"/>
      <w:numFmt w:val="upperRoman"/>
      <w:lvlText w:val="%1."/>
      <w:lvlJc w:val="righ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BDE6D69"/>
    <w:multiLevelType w:val="hybridMultilevel"/>
    <w:tmpl w:val="E544E180"/>
    <w:lvl w:ilvl="0" w:tplc="6B5875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3C611D82"/>
    <w:multiLevelType w:val="hybridMultilevel"/>
    <w:tmpl w:val="0A26ADDE"/>
    <w:lvl w:ilvl="0" w:tplc="45E6E128">
      <w:start w:val="1"/>
      <w:numFmt w:val="upperRoman"/>
      <w:lvlText w:val="%1."/>
      <w:lvlJc w:val="righ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D564447"/>
    <w:multiLevelType w:val="hybridMultilevel"/>
    <w:tmpl w:val="41D4BBE0"/>
    <w:lvl w:ilvl="0" w:tplc="85A0B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952C5A"/>
    <w:multiLevelType w:val="hybridMultilevel"/>
    <w:tmpl w:val="9A901568"/>
    <w:lvl w:ilvl="0" w:tplc="ADAAC906">
      <w:start w:val="5"/>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5B64EF"/>
    <w:multiLevelType w:val="hybridMultilevel"/>
    <w:tmpl w:val="BBE01C08"/>
    <w:lvl w:ilvl="0" w:tplc="81ECCAC0">
      <w:start w:val="1"/>
      <w:numFmt w:val="decimal"/>
      <w:lvlText w:val="(%1)"/>
      <w:lvlJc w:val="left"/>
      <w:pPr>
        <w:ind w:left="1800" w:hanging="36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4">
    <w:nsid w:val="54DE063B"/>
    <w:multiLevelType w:val="hybridMultilevel"/>
    <w:tmpl w:val="54BAF8C4"/>
    <w:lvl w:ilvl="0" w:tplc="C686BF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DF726A6"/>
    <w:multiLevelType w:val="hybridMultilevel"/>
    <w:tmpl w:val="E702DA64"/>
    <w:lvl w:ilvl="0" w:tplc="86422B08">
      <w:start w:val="1"/>
      <w:numFmt w:val="decimal"/>
      <w:lvlText w:val="%1."/>
      <w:lvlJc w:val="left"/>
      <w:pPr>
        <w:tabs>
          <w:tab w:val="num" w:pos="630"/>
        </w:tabs>
        <w:ind w:left="630" w:hanging="360"/>
      </w:pPr>
      <w:rPr>
        <w:rFonts w:hint="default"/>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310270"/>
    <w:multiLevelType w:val="hybridMultilevel"/>
    <w:tmpl w:val="CB923B06"/>
    <w:lvl w:ilvl="0" w:tplc="C37C16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E777433"/>
    <w:multiLevelType w:val="hybridMultilevel"/>
    <w:tmpl w:val="4614018C"/>
    <w:lvl w:ilvl="0" w:tplc="264C8D6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0"/>
  </w:num>
  <w:num w:numId="2">
    <w:abstractNumId w:val="18"/>
  </w:num>
  <w:num w:numId="3">
    <w:abstractNumId w:val="19"/>
  </w:num>
  <w:num w:numId="4">
    <w:abstractNumId w:val="26"/>
  </w:num>
  <w:num w:numId="5">
    <w:abstractNumId w:val="24"/>
  </w:num>
  <w:num w:numId="6">
    <w:abstractNumId w:val="10"/>
  </w:num>
  <w:num w:numId="7">
    <w:abstractNumId w:val="14"/>
  </w:num>
  <w:num w:numId="8">
    <w:abstractNumId w:val="23"/>
  </w:num>
  <w:num w:numId="9">
    <w:abstractNumId w:val="12"/>
  </w:num>
  <w:num w:numId="10">
    <w:abstractNumId w:val="21"/>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25"/>
  </w:num>
  <w:num w:numId="24">
    <w:abstractNumId w:val="27"/>
  </w:num>
  <w:num w:numId="25">
    <w:abstractNumId w:val="17"/>
  </w:num>
  <w:num w:numId="26">
    <w:abstractNumId w:val="13"/>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16"/>
    <w:rsid w:val="000047E0"/>
    <w:rsid w:val="00004F56"/>
    <w:rsid w:val="00004F60"/>
    <w:rsid w:val="0000551E"/>
    <w:rsid w:val="00007136"/>
    <w:rsid w:val="00007ACB"/>
    <w:rsid w:val="00010C64"/>
    <w:rsid w:val="00012CE6"/>
    <w:rsid w:val="000138B0"/>
    <w:rsid w:val="00014314"/>
    <w:rsid w:val="00014737"/>
    <w:rsid w:val="00015888"/>
    <w:rsid w:val="00020230"/>
    <w:rsid w:val="0002626F"/>
    <w:rsid w:val="00026375"/>
    <w:rsid w:val="00031C74"/>
    <w:rsid w:val="000328AE"/>
    <w:rsid w:val="00032DCB"/>
    <w:rsid w:val="00034506"/>
    <w:rsid w:val="00035C4F"/>
    <w:rsid w:val="00036907"/>
    <w:rsid w:val="00036F69"/>
    <w:rsid w:val="00040B11"/>
    <w:rsid w:val="00040F3E"/>
    <w:rsid w:val="00041B15"/>
    <w:rsid w:val="00042081"/>
    <w:rsid w:val="0004217A"/>
    <w:rsid w:val="000422D2"/>
    <w:rsid w:val="00042EE8"/>
    <w:rsid w:val="00043E66"/>
    <w:rsid w:val="00045EEE"/>
    <w:rsid w:val="00046BCC"/>
    <w:rsid w:val="00047F47"/>
    <w:rsid w:val="00053D63"/>
    <w:rsid w:val="000546F3"/>
    <w:rsid w:val="0005580E"/>
    <w:rsid w:val="00060F0F"/>
    <w:rsid w:val="00061A19"/>
    <w:rsid w:val="0006235E"/>
    <w:rsid w:val="0006320A"/>
    <w:rsid w:val="0006406C"/>
    <w:rsid w:val="000642AA"/>
    <w:rsid w:val="000643C9"/>
    <w:rsid w:val="00065C2C"/>
    <w:rsid w:val="0007089B"/>
    <w:rsid w:val="00072136"/>
    <w:rsid w:val="00072CA3"/>
    <w:rsid w:val="00074CEA"/>
    <w:rsid w:val="00076051"/>
    <w:rsid w:val="00076305"/>
    <w:rsid w:val="000812F6"/>
    <w:rsid w:val="0008161F"/>
    <w:rsid w:val="00081D3C"/>
    <w:rsid w:val="000828BF"/>
    <w:rsid w:val="0008298B"/>
    <w:rsid w:val="0008381C"/>
    <w:rsid w:val="00083E32"/>
    <w:rsid w:val="0008447E"/>
    <w:rsid w:val="00084D59"/>
    <w:rsid w:val="00084F77"/>
    <w:rsid w:val="00090B77"/>
    <w:rsid w:val="00092878"/>
    <w:rsid w:val="000941A1"/>
    <w:rsid w:val="000A119A"/>
    <w:rsid w:val="000A1C05"/>
    <w:rsid w:val="000A69C7"/>
    <w:rsid w:val="000A7765"/>
    <w:rsid w:val="000B04C7"/>
    <w:rsid w:val="000B29F4"/>
    <w:rsid w:val="000B371F"/>
    <w:rsid w:val="000B51C7"/>
    <w:rsid w:val="000B5CA0"/>
    <w:rsid w:val="000B6507"/>
    <w:rsid w:val="000B70BA"/>
    <w:rsid w:val="000C0986"/>
    <w:rsid w:val="000C0B13"/>
    <w:rsid w:val="000C272E"/>
    <w:rsid w:val="000C28F0"/>
    <w:rsid w:val="000C3386"/>
    <w:rsid w:val="000C34AE"/>
    <w:rsid w:val="000C455E"/>
    <w:rsid w:val="000C6F59"/>
    <w:rsid w:val="000D0E3B"/>
    <w:rsid w:val="000D2011"/>
    <w:rsid w:val="000D3390"/>
    <w:rsid w:val="000D375A"/>
    <w:rsid w:val="000D3EBF"/>
    <w:rsid w:val="000D4833"/>
    <w:rsid w:val="000D4AD6"/>
    <w:rsid w:val="000D5062"/>
    <w:rsid w:val="000D5834"/>
    <w:rsid w:val="000D5C05"/>
    <w:rsid w:val="000D6E66"/>
    <w:rsid w:val="000D7D84"/>
    <w:rsid w:val="000E13A6"/>
    <w:rsid w:val="000E16AB"/>
    <w:rsid w:val="000E38F6"/>
    <w:rsid w:val="000E3AD0"/>
    <w:rsid w:val="000E5AF1"/>
    <w:rsid w:val="000E5FA8"/>
    <w:rsid w:val="000E68CE"/>
    <w:rsid w:val="000F09BE"/>
    <w:rsid w:val="000F0F2B"/>
    <w:rsid w:val="000F1D71"/>
    <w:rsid w:val="000F23E4"/>
    <w:rsid w:val="000F4AF4"/>
    <w:rsid w:val="000F5453"/>
    <w:rsid w:val="000F5743"/>
    <w:rsid w:val="000F5D7C"/>
    <w:rsid w:val="000F74B0"/>
    <w:rsid w:val="001028D8"/>
    <w:rsid w:val="00103728"/>
    <w:rsid w:val="00103F63"/>
    <w:rsid w:val="00104211"/>
    <w:rsid w:val="00111E27"/>
    <w:rsid w:val="00111E5B"/>
    <w:rsid w:val="001171AF"/>
    <w:rsid w:val="001177DD"/>
    <w:rsid w:val="001232EC"/>
    <w:rsid w:val="00124306"/>
    <w:rsid w:val="0012637E"/>
    <w:rsid w:val="00130543"/>
    <w:rsid w:val="00132004"/>
    <w:rsid w:val="0013259A"/>
    <w:rsid w:val="00133F59"/>
    <w:rsid w:val="00135A70"/>
    <w:rsid w:val="0013666F"/>
    <w:rsid w:val="00140507"/>
    <w:rsid w:val="0014129F"/>
    <w:rsid w:val="0014170C"/>
    <w:rsid w:val="00141FB8"/>
    <w:rsid w:val="001426CD"/>
    <w:rsid w:val="00145B35"/>
    <w:rsid w:val="00151E3F"/>
    <w:rsid w:val="0015317D"/>
    <w:rsid w:val="00153544"/>
    <w:rsid w:val="00153A5D"/>
    <w:rsid w:val="00153C38"/>
    <w:rsid w:val="001542A2"/>
    <w:rsid w:val="001548E6"/>
    <w:rsid w:val="00154BB4"/>
    <w:rsid w:val="00155282"/>
    <w:rsid w:val="00155782"/>
    <w:rsid w:val="00160207"/>
    <w:rsid w:val="001605E4"/>
    <w:rsid w:val="00161820"/>
    <w:rsid w:val="00163C93"/>
    <w:rsid w:val="00166464"/>
    <w:rsid w:val="00170905"/>
    <w:rsid w:val="00170C1C"/>
    <w:rsid w:val="00170D88"/>
    <w:rsid w:val="00171F54"/>
    <w:rsid w:val="001729DD"/>
    <w:rsid w:val="001738B5"/>
    <w:rsid w:val="00173F3C"/>
    <w:rsid w:val="0017679F"/>
    <w:rsid w:val="00177AEB"/>
    <w:rsid w:val="001811F5"/>
    <w:rsid w:val="0018169E"/>
    <w:rsid w:val="00181AAF"/>
    <w:rsid w:val="00184413"/>
    <w:rsid w:val="00186368"/>
    <w:rsid w:val="00186A48"/>
    <w:rsid w:val="00187857"/>
    <w:rsid w:val="00190811"/>
    <w:rsid w:val="00190A23"/>
    <w:rsid w:val="001920C1"/>
    <w:rsid w:val="00192FF4"/>
    <w:rsid w:val="00195234"/>
    <w:rsid w:val="0019529A"/>
    <w:rsid w:val="00195A2D"/>
    <w:rsid w:val="0019633D"/>
    <w:rsid w:val="001A07D9"/>
    <w:rsid w:val="001A07EC"/>
    <w:rsid w:val="001A16FD"/>
    <w:rsid w:val="001A1FED"/>
    <w:rsid w:val="001A38DB"/>
    <w:rsid w:val="001A4250"/>
    <w:rsid w:val="001A6531"/>
    <w:rsid w:val="001A675A"/>
    <w:rsid w:val="001A6940"/>
    <w:rsid w:val="001A7E23"/>
    <w:rsid w:val="001B01EE"/>
    <w:rsid w:val="001B0299"/>
    <w:rsid w:val="001B28BF"/>
    <w:rsid w:val="001B4072"/>
    <w:rsid w:val="001B72C1"/>
    <w:rsid w:val="001C1434"/>
    <w:rsid w:val="001C27D8"/>
    <w:rsid w:val="001C2C80"/>
    <w:rsid w:val="001C43CB"/>
    <w:rsid w:val="001C4BA4"/>
    <w:rsid w:val="001C6594"/>
    <w:rsid w:val="001D0E28"/>
    <w:rsid w:val="001D0E70"/>
    <w:rsid w:val="001D1CD3"/>
    <w:rsid w:val="001D2347"/>
    <w:rsid w:val="001D2FA1"/>
    <w:rsid w:val="001D3620"/>
    <w:rsid w:val="001D5A41"/>
    <w:rsid w:val="001D6FFA"/>
    <w:rsid w:val="001E0C78"/>
    <w:rsid w:val="001E1B05"/>
    <w:rsid w:val="001E428E"/>
    <w:rsid w:val="001E57D4"/>
    <w:rsid w:val="001E706C"/>
    <w:rsid w:val="001E77F8"/>
    <w:rsid w:val="001F1285"/>
    <w:rsid w:val="001F33C9"/>
    <w:rsid w:val="001F3766"/>
    <w:rsid w:val="001F3A3A"/>
    <w:rsid w:val="001F3EBB"/>
    <w:rsid w:val="001F4FC3"/>
    <w:rsid w:val="001F5940"/>
    <w:rsid w:val="001F63B5"/>
    <w:rsid w:val="001F7A95"/>
    <w:rsid w:val="00204B53"/>
    <w:rsid w:val="00211C2A"/>
    <w:rsid w:val="00213C1D"/>
    <w:rsid w:val="00215244"/>
    <w:rsid w:val="00215504"/>
    <w:rsid w:val="00215B03"/>
    <w:rsid w:val="002203CF"/>
    <w:rsid w:val="00220FCF"/>
    <w:rsid w:val="002251B5"/>
    <w:rsid w:val="00226482"/>
    <w:rsid w:val="00231ACD"/>
    <w:rsid w:val="00233938"/>
    <w:rsid w:val="002352F3"/>
    <w:rsid w:val="0023635D"/>
    <w:rsid w:val="0024339B"/>
    <w:rsid w:val="00243800"/>
    <w:rsid w:val="002457AB"/>
    <w:rsid w:val="00246AAD"/>
    <w:rsid w:val="002524AA"/>
    <w:rsid w:val="0025272A"/>
    <w:rsid w:val="00253C48"/>
    <w:rsid w:val="00254ADB"/>
    <w:rsid w:val="002573C0"/>
    <w:rsid w:val="00261503"/>
    <w:rsid w:val="0026302B"/>
    <w:rsid w:val="002630E0"/>
    <w:rsid w:val="00263A27"/>
    <w:rsid w:val="00263A74"/>
    <w:rsid w:val="002658C2"/>
    <w:rsid w:val="00272A1E"/>
    <w:rsid w:val="00280543"/>
    <w:rsid w:val="00280E1B"/>
    <w:rsid w:val="00280F8E"/>
    <w:rsid w:val="002821B7"/>
    <w:rsid w:val="00282321"/>
    <w:rsid w:val="00282636"/>
    <w:rsid w:val="00283CE9"/>
    <w:rsid w:val="00284F4B"/>
    <w:rsid w:val="0028572D"/>
    <w:rsid w:val="002909E6"/>
    <w:rsid w:val="00291E86"/>
    <w:rsid w:val="00292708"/>
    <w:rsid w:val="00292F4B"/>
    <w:rsid w:val="0029584C"/>
    <w:rsid w:val="002A32FE"/>
    <w:rsid w:val="002A3ADD"/>
    <w:rsid w:val="002A4357"/>
    <w:rsid w:val="002A4EA3"/>
    <w:rsid w:val="002A4ED7"/>
    <w:rsid w:val="002A57B9"/>
    <w:rsid w:val="002A6DF9"/>
    <w:rsid w:val="002A7621"/>
    <w:rsid w:val="002A778F"/>
    <w:rsid w:val="002B0144"/>
    <w:rsid w:val="002B065A"/>
    <w:rsid w:val="002B0AE7"/>
    <w:rsid w:val="002B0D43"/>
    <w:rsid w:val="002B2564"/>
    <w:rsid w:val="002B2BD2"/>
    <w:rsid w:val="002B2E55"/>
    <w:rsid w:val="002B73BF"/>
    <w:rsid w:val="002B7FB0"/>
    <w:rsid w:val="002C3249"/>
    <w:rsid w:val="002C4156"/>
    <w:rsid w:val="002C7E10"/>
    <w:rsid w:val="002D07BD"/>
    <w:rsid w:val="002D1413"/>
    <w:rsid w:val="002D2C0F"/>
    <w:rsid w:val="002D30F5"/>
    <w:rsid w:val="002E3F78"/>
    <w:rsid w:val="002E5242"/>
    <w:rsid w:val="002E54A8"/>
    <w:rsid w:val="002E59A1"/>
    <w:rsid w:val="002F0358"/>
    <w:rsid w:val="002F1129"/>
    <w:rsid w:val="002F1607"/>
    <w:rsid w:val="002F3721"/>
    <w:rsid w:val="002F4175"/>
    <w:rsid w:val="002F43EF"/>
    <w:rsid w:val="002F4EE1"/>
    <w:rsid w:val="003012F7"/>
    <w:rsid w:val="00304D0A"/>
    <w:rsid w:val="003071B0"/>
    <w:rsid w:val="0030784D"/>
    <w:rsid w:val="00307F78"/>
    <w:rsid w:val="0031226A"/>
    <w:rsid w:val="00313111"/>
    <w:rsid w:val="00313928"/>
    <w:rsid w:val="00314100"/>
    <w:rsid w:val="0031564B"/>
    <w:rsid w:val="00317E87"/>
    <w:rsid w:val="0032051E"/>
    <w:rsid w:val="003211C3"/>
    <w:rsid w:val="0032282A"/>
    <w:rsid w:val="0032433F"/>
    <w:rsid w:val="003245D3"/>
    <w:rsid w:val="00325177"/>
    <w:rsid w:val="00325704"/>
    <w:rsid w:val="00325A9E"/>
    <w:rsid w:val="00325ED9"/>
    <w:rsid w:val="00325FF0"/>
    <w:rsid w:val="00326A35"/>
    <w:rsid w:val="00326C9C"/>
    <w:rsid w:val="00327604"/>
    <w:rsid w:val="00327EA9"/>
    <w:rsid w:val="00330FC2"/>
    <w:rsid w:val="00331DA4"/>
    <w:rsid w:val="00333731"/>
    <w:rsid w:val="00334237"/>
    <w:rsid w:val="0033430E"/>
    <w:rsid w:val="00334B58"/>
    <w:rsid w:val="00334C7F"/>
    <w:rsid w:val="00334CBA"/>
    <w:rsid w:val="00335671"/>
    <w:rsid w:val="00335E61"/>
    <w:rsid w:val="0033734C"/>
    <w:rsid w:val="0034361E"/>
    <w:rsid w:val="00343F45"/>
    <w:rsid w:val="00345211"/>
    <w:rsid w:val="003477B0"/>
    <w:rsid w:val="00347BB9"/>
    <w:rsid w:val="00347F05"/>
    <w:rsid w:val="00350C5F"/>
    <w:rsid w:val="00353194"/>
    <w:rsid w:val="00354EB8"/>
    <w:rsid w:val="003552B3"/>
    <w:rsid w:val="00356B63"/>
    <w:rsid w:val="00357107"/>
    <w:rsid w:val="003577A2"/>
    <w:rsid w:val="00361134"/>
    <w:rsid w:val="00361884"/>
    <w:rsid w:val="00362067"/>
    <w:rsid w:val="0036271C"/>
    <w:rsid w:val="00363721"/>
    <w:rsid w:val="00363820"/>
    <w:rsid w:val="00364B54"/>
    <w:rsid w:val="00365845"/>
    <w:rsid w:val="00371324"/>
    <w:rsid w:val="003718C8"/>
    <w:rsid w:val="0037446F"/>
    <w:rsid w:val="003802CD"/>
    <w:rsid w:val="0038121D"/>
    <w:rsid w:val="00381585"/>
    <w:rsid w:val="00381876"/>
    <w:rsid w:val="00382508"/>
    <w:rsid w:val="003829F3"/>
    <w:rsid w:val="00383B44"/>
    <w:rsid w:val="00385D01"/>
    <w:rsid w:val="0038734F"/>
    <w:rsid w:val="00387AD0"/>
    <w:rsid w:val="00387CC7"/>
    <w:rsid w:val="00393DBA"/>
    <w:rsid w:val="00394582"/>
    <w:rsid w:val="0039524C"/>
    <w:rsid w:val="00395468"/>
    <w:rsid w:val="00395510"/>
    <w:rsid w:val="003959AD"/>
    <w:rsid w:val="0039689D"/>
    <w:rsid w:val="00396A19"/>
    <w:rsid w:val="00396B93"/>
    <w:rsid w:val="003A0984"/>
    <w:rsid w:val="003A1E9C"/>
    <w:rsid w:val="003A2AAC"/>
    <w:rsid w:val="003A34A2"/>
    <w:rsid w:val="003A3976"/>
    <w:rsid w:val="003A3EF8"/>
    <w:rsid w:val="003B0162"/>
    <w:rsid w:val="003B1B6E"/>
    <w:rsid w:val="003B2B9A"/>
    <w:rsid w:val="003B4956"/>
    <w:rsid w:val="003B5DAC"/>
    <w:rsid w:val="003B7358"/>
    <w:rsid w:val="003C1014"/>
    <w:rsid w:val="003C2E0D"/>
    <w:rsid w:val="003C39DF"/>
    <w:rsid w:val="003C4B5C"/>
    <w:rsid w:val="003C6879"/>
    <w:rsid w:val="003C7431"/>
    <w:rsid w:val="003D11DA"/>
    <w:rsid w:val="003D2053"/>
    <w:rsid w:val="003D2692"/>
    <w:rsid w:val="003D4337"/>
    <w:rsid w:val="003D5A51"/>
    <w:rsid w:val="003D630F"/>
    <w:rsid w:val="003D6C54"/>
    <w:rsid w:val="003D77A9"/>
    <w:rsid w:val="003E0D9C"/>
    <w:rsid w:val="003E165B"/>
    <w:rsid w:val="003E28BC"/>
    <w:rsid w:val="003E2D2F"/>
    <w:rsid w:val="003E6BA4"/>
    <w:rsid w:val="003F044B"/>
    <w:rsid w:val="003F2AA8"/>
    <w:rsid w:val="003F2BE9"/>
    <w:rsid w:val="003F2C85"/>
    <w:rsid w:val="003F6DA6"/>
    <w:rsid w:val="00401293"/>
    <w:rsid w:val="00401B85"/>
    <w:rsid w:val="00401E05"/>
    <w:rsid w:val="0040426A"/>
    <w:rsid w:val="00405E27"/>
    <w:rsid w:val="00410029"/>
    <w:rsid w:val="00410335"/>
    <w:rsid w:val="00410812"/>
    <w:rsid w:val="00411146"/>
    <w:rsid w:val="00411461"/>
    <w:rsid w:val="00413E6E"/>
    <w:rsid w:val="00415B26"/>
    <w:rsid w:val="00415E92"/>
    <w:rsid w:val="00416098"/>
    <w:rsid w:val="004168CB"/>
    <w:rsid w:val="00416A66"/>
    <w:rsid w:val="00416DFE"/>
    <w:rsid w:val="004172A6"/>
    <w:rsid w:val="004202C2"/>
    <w:rsid w:val="00421DEA"/>
    <w:rsid w:val="004220AD"/>
    <w:rsid w:val="00422ED0"/>
    <w:rsid w:val="0042449D"/>
    <w:rsid w:val="0042473B"/>
    <w:rsid w:val="00424DFD"/>
    <w:rsid w:val="00425105"/>
    <w:rsid w:val="004255F6"/>
    <w:rsid w:val="00425CF8"/>
    <w:rsid w:val="004268C7"/>
    <w:rsid w:val="00427AB4"/>
    <w:rsid w:val="004317F8"/>
    <w:rsid w:val="004411CD"/>
    <w:rsid w:val="004414B7"/>
    <w:rsid w:val="00443CB0"/>
    <w:rsid w:val="004447E9"/>
    <w:rsid w:val="0044489E"/>
    <w:rsid w:val="00444A26"/>
    <w:rsid w:val="004460D8"/>
    <w:rsid w:val="0044669B"/>
    <w:rsid w:val="00447BC0"/>
    <w:rsid w:val="004510C9"/>
    <w:rsid w:val="00452D38"/>
    <w:rsid w:val="004532E4"/>
    <w:rsid w:val="0045330D"/>
    <w:rsid w:val="004533E3"/>
    <w:rsid w:val="0045382E"/>
    <w:rsid w:val="004539FF"/>
    <w:rsid w:val="00453A96"/>
    <w:rsid w:val="004553C5"/>
    <w:rsid w:val="0045580E"/>
    <w:rsid w:val="00455938"/>
    <w:rsid w:val="004576CA"/>
    <w:rsid w:val="00457A7B"/>
    <w:rsid w:val="00462716"/>
    <w:rsid w:val="004640E7"/>
    <w:rsid w:val="00464D12"/>
    <w:rsid w:val="00464DED"/>
    <w:rsid w:val="004659EC"/>
    <w:rsid w:val="004670DA"/>
    <w:rsid w:val="004679D5"/>
    <w:rsid w:val="00467AAB"/>
    <w:rsid w:val="00467F4A"/>
    <w:rsid w:val="00473AC0"/>
    <w:rsid w:val="0047422A"/>
    <w:rsid w:val="00474A57"/>
    <w:rsid w:val="00474D48"/>
    <w:rsid w:val="00475ED3"/>
    <w:rsid w:val="00475FA7"/>
    <w:rsid w:val="004779DE"/>
    <w:rsid w:val="004801F2"/>
    <w:rsid w:val="00480923"/>
    <w:rsid w:val="00481A6E"/>
    <w:rsid w:val="00483B38"/>
    <w:rsid w:val="00483E3E"/>
    <w:rsid w:val="00483EB6"/>
    <w:rsid w:val="004844D5"/>
    <w:rsid w:val="00486AF6"/>
    <w:rsid w:val="00487D2D"/>
    <w:rsid w:val="004907CE"/>
    <w:rsid w:val="004911E8"/>
    <w:rsid w:val="0049251D"/>
    <w:rsid w:val="00493446"/>
    <w:rsid w:val="004949A5"/>
    <w:rsid w:val="0049528C"/>
    <w:rsid w:val="00496217"/>
    <w:rsid w:val="0049667D"/>
    <w:rsid w:val="00497864"/>
    <w:rsid w:val="004A15C9"/>
    <w:rsid w:val="004A4151"/>
    <w:rsid w:val="004A6EC7"/>
    <w:rsid w:val="004A76A5"/>
    <w:rsid w:val="004A792B"/>
    <w:rsid w:val="004B1661"/>
    <w:rsid w:val="004B1F5B"/>
    <w:rsid w:val="004B4181"/>
    <w:rsid w:val="004B6594"/>
    <w:rsid w:val="004B668A"/>
    <w:rsid w:val="004C1806"/>
    <w:rsid w:val="004C1BE6"/>
    <w:rsid w:val="004C25F8"/>
    <w:rsid w:val="004C3957"/>
    <w:rsid w:val="004C3FB3"/>
    <w:rsid w:val="004C5146"/>
    <w:rsid w:val="004C5A2E"/>
    <w:rsid w:val="004C5D19"/>
    <w:rsid w:val="004C643D"/>
    <w:rsid w:val="004D2505"/>
    <w:rsid w:val="004D2F60"/>
    <w:rsid w:val="004D483C"/>
    <w:rsid w:val="004D60DF"/>
    <w:rsid w:val="004D621A"/>
    <w:rsid w:val="004E18D8"/>
    <w:rsid w:val="004E2957"/>
    <w:rsid w:val="004E2E41"/>
    <w:rsid w:val="004E313E"/>
    <w:rsid w:val="004E3FD7"/>
    <w:rsid w:val="004E655E"/>
    <w:rsid w:val="004F0C6B"/>
    <w:rsid w:val="004F0E0E"/>
    <w:rsid w:val="004F15D9"/>
    <w:rsid w:val="004F30F2"/>
    <w:rsid w:val="004F49B5"/>
    <w:rsid w:val="004F6393"/>
    <w:rsid w:val="004F7281"/>
    <w:rsid w:val="005013F4"/>
    <w:rsid w:val="00501E73"/>
    <w:rsid w:val="00503F1C"/>
    <w:rsid w:val="00504DFD"/>
    <w:rsid w:val="00506BED"/>
    <w:rsid w:val="0051470A"/>
    <w:rsid w:val="005159F2"/>
    <w:rsid w:val="00520573"/>
    <w:rsid w:val="00520A3D"/>
    <w:rsid w:val="0052120F"/>
    <w:rsid w:val="00522C87"/>
    <w:rsid w:val="00522D25"/>
    <w:rsid w:val="0052582B"/>
    <w:rsid w:val="00530EF1"/>
    <w:rsid w:val="005322E6"/>
    <w:rsid w:val="00533D37"/>
    <w:rsid w:val="005412D4"/>
    <w:rsid w:val="00541A68"/>
    <w:rsid w:val="00541EDE"/>
    <w:rsid w:val="0054235E"/>
    <w:rsid w:val="00542F58"/>
    <w:rsid w:val="00544756"/>
    <w:rsid w:val="005450EF"/>
    <w:rsid w:val="00545640"/>
    <w:rsid w:val="00545CD2"/>
    <w:rsid w:val="00547C49"/>
    <w:rsid w:val="005502B9"/>
    <w:rsid w:val="00551B3E"/>
    <w:rsid w:val="00555627"/>
    <w:rsid w:val="00555B87"/>
    <w:rsid w:val="005562F7"/>
    <w:rsid w:val="00556A80"/>
    <w:rsid w:val="00556B85"/>
    <w:rsid w:val="00557D58"/>
    <w:rsid w:val="00561CE3"/>
    <w:rsid w:val="00562AD6"/>
    <w:rsid w:val="005671B1"/>
    <w:rsid w:val="005673C8"/>
    <w:rsid w:val="005679F2"/>
    <w:rsid w:val="00570A91"/>
    <w:rsid w:val="00572774"/>
    <w:rsid w:val="00574572"/>
    <w:rsid w:val="00574A01"/>
    <w:rsid w:val="0057695C"/>
    <w:rsid w:val="00576D4B"/>
    <w:rsid w:val="00577425"/>
    <w:rsid w:val="0058091C"/>
    <w:rsid w:val="0058122B"/>
    <w:rsid w:val="00582F05"/>
    <w:rsid w:val="00583091"/>
    <w:rsid w:val="00584CD7"/>
    <w:rsid w:val="00586B13"/>
    <w:rsid w:val="00587410"/>
    <w:rsid w:val="00591BE7"/>
    <w:rsid w:val="005933B2"/>
    <w:rsid w:val="00595085"/>
    <w:rsid w:val="00595108"/>
    <w:rsid w:val="00597BAE"/>
    <w:rsid w:val="005A014F"/>
    <w:rsid w:val="005A0DFC"/>
    <w:rsid w:val="005A41AC"/>
    <w:rsid w:val="005A7B46"/>
    <w:rsid w:val="005B01E1"/>
    <w:rsid w:val="005B0A8C"/>
    <w:rsid w:val="005B130F"/>
    <w:rsid w:val="005B4A38"/>
    <w:rsid w:val="005B5D10"/>
    <w:rsid w:val="005C4BC6"/>
    <w:rsid w:val="005C5572"/>
    <w:rsid w:val="005C67C2"/>
    <w:rsid w:val="005D18E5"/>
    <w:rsid w:val="005D1C5C"/>
    <w:rsid w:val="005D1EB1"/>
    <w:rsid w:val="005D41A7"/>
    <w:rsid w:val="005D4209"/>
    <w:rsid w:val="005D45EB"/>
    <w:rsid w:val="005D47C6"/>
    <w:rsid w:val="005D4FF9"/>
    <w:rsid w:val="005D6428"/>
    <w:rsid w:val="005D7302"/>
    <w:rsid w:val="005E19AC"/>
    <w:rsid w:val="005E2326"/>
    <w:rsid w:val="005E3C67"/>
    <w:rsid w:val="005E6AFD"/>
    <w:rsid w:val="005E763C"/>
    <w:rsid w:val="005E780A"/>
    <w:rsid w:val="005E7968"/>
    <w:rsid w:val="005F0C76"/>
    <w:rsid w:val="005F3FC5"/>
    <w:rsid w:val="005F52FC"/>
    <w:rsid w:val="005F533D"/>
    <w:rsid w:val="005F6177"/>
    <w:rsid w:val="005F6BB2"/>
    <w:rsid w:val="005F7530"/>
    <w:rsid w:val="006006BB"/>
    <w:rsid w:val="00600B61"/>
    <w:rsid w:val="0060126E"/>
    <w:rsid w:val="00602964"/>
    <w:rsid w:val="00602B1B"/>
    <w:rsid w:val="006032C0"/>
    <w:rsid w:val="00606070"/>
    <w:rsid w:val="0061070E"/>
    <w:rsid w:val="0061163A"/>
    <w:rsid w:val="006118A5"/>
    <w:rsid w:val="00611E72"/>
    <w:rsid w:val="00613C68"/>
    <w:rsid w:val="00614B8C"/>
    <w:rsid w:val="0061581D"/>
    <w:rsid w:val="00617323"/>
    <w:rsid w:val="0062096A"/>
    <w:rsid w:val="00622574"/>
    <w:rsid w:val="00622A70"/>
    <w:rsid w:val="00624CFE"/>
    <w:rsid w:val="0062512F"/>
    <w:rsid w:val="006255FB"/>
    <w:rsid w:val="00625832"/>
    <w:rsid w:val="00627082"/>
    <w:rsid w:val="0063024F"/>
    <w:rsid w:val="00630A1D"/>
    <w:rsid w:val="00630DE0"/>
    <w:rsid w:val="0063270F"/>
    <w:rsid w:val="00637054"/>
    <w:rsid w:val="00637349"/>
    <w:rsid w:val="00641600"/>
    <w:rsid w:val="00641C48"/>
    <w:rsid w:val="0064330F"/>
    <w:rsid w:val="0064349E"/>
    <w:rsid w:val="00644682"/>
    <w:rsid w:val="0064545B"/>
    <w:rsid w:val="00647B6F"/>
    <w:rsid w:val="00650548"/>
    <w:rsid w:val="00650753"/>
    <w:rsid w:val="00651240"/>
    <w:rsid w:val="00651DBD"/>
    <w:rsid w:val="00653F3C"/>
    <w:rsid w:val="006548CD"/>
    <w:rsid w:val="00655BA1"/>
    <w:rsid w:val="0066096D"/>
    <w:rsid w:val="00660AB6"/>
    <w:rsid w:val="00662E90"/>
    <w:rsid w:val="0066417D"/>
    <w:rsid w:val="00664B16"/>
    <w:rsid w:val="0066558C"/>
    <w:rsid w:val="00666F72"/>
    <w:rsid w:val="006701C9"/>
    <w:rsid w:val="00671EEF"/>
    <w:rsid w:val="00673C5D"/>
    <w:rsid w:val="006764F2"/>
    <w:rsid w:val="0067662F"/>
    <w:rsid w:val="00677581"/>
    <w:rsid w:val="00677DA9"/>
    <w:rsid w:val="00680187"/>
    <w:rsid w:val="006814B8"/>
    <w:rsid w:val="00683AC9"/>
    <w:rsid w:val="0068416B"/>
    <w:rsid w:val="00685036"/>
    <w:rsid w:val="006923FC"/>
    <w:rsid w:val="00692CB7"/>
    <w:rsid w:val="00696E27"/>
    <w:rsid w:val="006A1F95"/>
    <w:rsid w:val="006A29B8"/>
    <w:rsid w:val="006A3B2D"/>
    <w:rsid w:val="006A4282"/>
    <w:rsid w:val="006A699B"/>
    <w:rsid w:val="006A7BC0"/>
    <w:rsid w:val="006B1881"/>
    <w:rsid w:val="006B200F"/>
    <w:rsid w:val="006B2BB4"/>
    <w:rsid w:val="006B59A7"/>
    <w:rsid w:val="006C02FA"/>
    <w:rsid w:val="006C1B4E"/>
    <w:rsid w:val="006C1CF4"/>
    <w:rsid w:val="006C2C6C"/>
    <w:rsid w:val="006C2FF5"/>
    <w:rsid w:val="006C3F33"/>
    <w:rsid w:val="006C4267"/>
    <w:rsid w:val="006C762D"/>
    <w:rsid w:val="006D0CA9"/>
    <w:rsid w:val="006D1E83"/>
    <w:rsid w:val="006D30D9"/>
    <w:rsid w:val="006D58A5"/>
    <w:rsid w:val="006E1034"/>
    <w:rsid w:val="006E1068"/>
    <w:rsid w:val="006E1FD0"/>
    <w:rsid w:val="006E371F"/>
    <w:rsid w:val="006E37C4"/>
    <w:rsid w:val="006E3890"/>
    <w:rsid w:val="006E4EB8"/>
    <w:rsid w:val="006E5DCC"/>
    <w:rsid w:val="006E630D"/>
    <w:rsid w:val="006E7C27"/>
    <w:rsid w:val="006F2123"/>
    <w:rsid w:val="006F2C9B"/>
    <w:rsid w:val="006F3C4A"/>
    <w:rsid w:val="006F3CA4"/>
    <w:rsid w:val="006F6FD8"/>
    <w:rsid w:val="006F7033"/>
    <w:rsid w:val="007012FE"/>
    <w:rsid w:val="00702ECE"/>
    <w:rsid w:val="007043E5"/>
    <w:rsid w:val="007050CF"/>
    <w:rsid w:val="00707193"/>
    <w:rsid w:val="00707C3A"/>
    <w:rsid w:val="00714807"/>
    <w:rsid w:val="007160FB"/>
    <w:rsid w:val="00716C83"/>
    <w:rsid w:val="00717BB8"/>
    <w:rsid w:val="00720810"/>
    <w:rsid w:val="00720A59"/>
    <w:rsid w:val="00721AC2"/>
    <w:rsid w:val="00723357"/>
    <w:rsid w:val="00723D86"/>
    <w:rsid w:val="007241F9"/>
    <w:rsid w:val="00725CF4"/>
    <w:rsid w:val="00726E8C"/>
    <w:rsid w:val="007334F6"/>
    <w:rsid w:val="00734485"/>
    <w:rsid w:val="00734E9D"/>
    <w:rsid w:val="00735E59"/>
    <w:rsid w:val="00736AF8"/>
    <w:rsid w:val="007440A2"/>
    <w:rsid w:val="00744137"/>
    <w:rsid w:val="007445B6"/>
    <w:rsid w:val="00744B98"/>
    <w:rsid w:val="00745009"/>
    <w:rsid w:val="00746F8B"/>
    <w:rsid w:val="007472C0"/>
    <w:rsid w:val="007502ED"/>
    <w:rsid w:val="00753412"/>
    <w:rsid w:val="00754D26"/>
    <w:rsid w:val="007559A0"/>
    <w:rsid w:val="00756B2A"/>
    <w:rsid w:val="00760245"/>
    <w:rsid w:val="00760656"/>
    <w:rsid w:val="0076388A"/>
    <w:rsid w:val="007645BD"/>
    <w:rsid w:val="00765037"/>
    <w:rsid w:val="00766E89"/>
    <w:rsid w:val="00770583"/>
    <w:rsid w:val="00773CE7"/>
    <w:rsid w:val="00773E73"/>
    <w:rsid w:val="00774792"/>
    <w:rsid w:val="00776E04"/>
    <w:rsid w:val="00783530"/>
    <w:rsid w:val="00784D75"/>
    <w:rsid w:val="0078505B"/>
    <w:rsid w:val="007877DF"/>
    <w:rsid w:val="00793BAB"/>
    <w:rsid w:val="007951BE"/>
    <w:rsid w:val="0079640A"/>
    <w:rsid w:val="00796E16"/>
    <w:rsid w:val="007A335E"/>
    <w:rsid w:val="007A39C1"/>
    <w:rsid w:val="007A3E48"/>
    <w:rsid w:val="007A7152"/>
    <w:rsid w:val="007B0E8C"/>
    <w:rsid w:val="007B11CC"/>
    <w:rsid w:val="007B18CC"/>
    <w:rsid w:val="007B19E4"/>
    <w:rsid w:val="007B3F65"/>
    <w:rsid w:val="007B7A87"/>
    <w:rsid w:val="007C0588"/>
    <w:rsid w:val="007C12E5"/>
    <w:rsid w:val="007C267E"/>
    <w:rsid w:val="007C343B"/>
    <w:rsid w:val="007C5B9E"/>
    <w:rsid w:val="007C5CBE"/>
    <w:rsid w:val="007C7224"/>
    <w:rsid w:val="007D266F"/>
    <w:rsid w:val="007D5323"/>
    <w:rsid w:val="007D59C0"/>
    <w:rsid w:val="007D7A55"/>
    <w:rsid w:val="007E0B60"/>
    <w:rsid w:val="007E0D36"/>
    <w:rsid w:val="007E2B6F"/>
    <w:rsid w:val="007E596A"/>
    <w:rsid w:val="007E5CC1"/>
    <w:rsid w:val="007E5DF3"/>
    <w:rsid w:val="007E6A32"/>
    <w:rsid w:val="007E7740"/>
    <w:rsid w:val="007E7FA1"/>
    <w:rsid w:val="007F0BCB"/>
    <w:rsid w:val="007F434B"/>
    <w:rsid w:val="007F5E8B"/>
    <w:rsid w:val="008000BE"/>
    <w:rsid w:val="00800DB7"/>
    <w:rsid w:val="0080165B"/>
    <w:rsid w:val="00802428"/>
    <w:rsid w:val="00802571"/>
    <w:rsid w:val="00804458"/>
    <w:rsid w:val="00804748"/>
    <w:rsid w:val="00804B0B"/>
    <w:rsid w:val="00810ACE"/>
    <w:rsid w:val="00812613"/>
    <w:rsid w:val="00815D81"/>
    <w:rsid w:val="0082029A"/>
    <w:rsid w:val="0082118D"/>
    <w:rsid w:val="00821EB1"/>
    <w:rsid w:val="00822CAC"/>
    <w:rsid w:val="0083043F"/>
    <w:rsid w:val="008304B9"/>
    <w:rsid w:val="00831A40"/>
    <w:rsid w:val="00831F30"/>
    <w:rsid w:val="0083266E"/>
    <w:rsid w:val="00835A2F"/>
    <w:rsid w:val="00840166"/>
    <w:rsid w:val="008409EC"/>
    <w:rsid w:val="008409F1"/>
    <w:rsid w:val="00841DF0"/>
    <w:rsid w:val="008435A6"/>
    <w:rsid w:val="008444E3"/>
    <w:rsid w:val="0084457F"/>
    <w:rsid w:val="00844A12"/>
    <w:rsid w:val="0084585A"/>
    <w:rsid w:val="00847B3A"/>
    <w:rsid w:val="00854210"/>
    <w:rsid w:val="0085425D"/>
    <w:rsid w:val="008606A6"/>
    <w:rsid w:val="00861E0A"/>
    <w:rsid w:val="00863734"/>
    <w:rsid w:val="00864EDD"/>
    <w:rsid w:val="00865BA7"/>
    <w:rsid w:val="0086710B"/>
    <w:rsid w:val="00867CE8"/>
    <w:rsid w:val="00871B2D"/>
    <w:rsid w:val="00871D7C"/>
    <w:rsid w:val="008726AF"/>
    <w:rsid w:val="008727CC"/>
    <w:rsid w:val="00876669"/>
    <w:rsid w:val="00880023"/>
    <w:rsid w:val="008816F1"/>
    <w:rsid w:val="008828B5"/>
    <w:rsid w:val="0088307E"/>
    <w:rsid w:val="00886574"/>
    <w:rsid w:val="00886F1B"/>
    <w:rsid w:val="0089056C"/>
    <w:rsid w:val="00890DCE"/>
    <w:rsid w:val="00890E2D"/>
    <w:rsid w:val="00891628"/>
    <w:rsid w:val="00893676"/>
    <w:rsid w:val="008952B5"/>
    <w:rsid w:val="008958D3"/>
    <w:rsid w:val="00897167"/>
    <w:rsid w:val="008A0377"/>
    <w:rsid w:val="008A0556"/>
    <w:rsid w:val="008A1122"/>
    <w:rsid w:val="008A1512"/>
    <w:rsid w:val="008A1C2F"/>
    <w:rsid w:val="008A3435"/>
    <w:rsid w:val="008A3A2F"/>
    <w:rsid w:val="008A54E5"/>
    <w:rsid w:val="008A5A1A"/>
    <w:rsid w:val="008A6969"/>
    <w:rsid w:val="008A6DFE"/>
    <w:rsid w:val="008A759F"/>
    <w:rsid w:val="008A7936"/>
    <w:rsid w:val="008A7FBC"/>
    <w:rsid w:val="008B0F38"/>
    <w:rsid w:val="008B7513"/>
    <w:rsid w:val="008C204D"/>
    <w:rsid w:val="008C2CA2"/>
    <w:rsid w:val="008C32C0"/>
    <w:rsid w:val="008C3772"/>
    <w:rsid w:val="008C6BC6"/>
    <w:rsid w:val="008D073F"/>
    <w:rsid w:val="008D2872"/>
    <w:rsid w:val="008D2FE9"/>
    <w:rsid w:val="008D34BA"/>
    <w:rsid w:val="008D366E"/>
    <w:rsid w:val="008D5050"/>
    <w:rsid w:val="008D51C6"/>
    <w:rsid w:val="008D56BB"/>
    <w:rsid w:val="008E1F37"/>
    <w:rsid w:val="008E2C62"/>
    <w:rsid w:val="008E387C"/>
    <w:rsid w:val="008E712F"/>
    <w:rsid w:val="008E725A"/>
    <w:rsid w:val="008F467D"/>
    <w:rsid w:val="008F51F3"/>
    <w:rsid w:val="008F52C6"/>
    <w:rsid w:val="008F5605"/>
    <w:rsid w:val="008F5A30"/>
    <w:rsid w:val="008F5C22"/>
    <w:rsid w:val="008F5F5A"/>
    <w:rsid w:val="008F78A7"/>
    <w:rsid w:val="008F7F84"/>
    <w:rsid w:val="0090199B"/>
    <w:rsid w:val="009022B8"/>
    <w:rsid w:val="00903B63"/>
    <w:rsid w:val="009050E4"/>
    <w:rsid w:val="009069DD"/>
    <w:rsid w:val="00907476"/>
    <w:rsid w:val="00911526"/>
    <w:rsid w:val="00915D5E"/>
    <w:rsid w:val="0091790C"/>
    <w:rsid w:val="00920274"/>
    <w:rsid w:val="00920D59"/>
    <w:rsid w:val="00923235"/>
    <w:rsid w:val="00923A1C"/>
    <w:rsid w:val="00924ED4"/>
    <w:rsid w:val="00924FC1"/>
    <w:rsid w:val="00925782"/>
    <w:rsid w:val="00925F32"/>
    <w:rsid w:val="009267AC"/>
    <w:rsid w:val="0092681A"/>
    <w:rsid w:val="00930084"/>
    <w:rsid w:val="009302F0"/>
    <w:rsid w:val="00931FA8"/>
    <w:rsid w:val="009333FB"/>
    <w:rsid w:val="009336A6"/>
    <w:rsid w:val="00933DD2"/>
    <w:rsid w:val="00933E3C"/>
    <w:rsid w:val="00934876"/>
    <w:rsid w:val="0093685C"/>
    <w:rsid w:val="009376B6"/>
    <w:rsid w:val="009404B0"/>
    <w:rsid w:val="009404D5"/>
    <w:rsid w:val="00942F9D"/>
    <w:rsid w:val="009442B4"/>
    <w:rsid w:val="00944987"/>
    <w:rsid w:val="00944E58"/>
    <w:rsid w:val="009476C1"/>
    <w:rsid w:val="00947F3F"/>
    <w:rsid w:val="009507BF"/>
    <w:rsid w:val="009533FD"/>
    <w:rsid w:val="009540C5"/>
    <w:rsid w:val="00955E82"/>
    <w:rsid w:val="009568C7"/>
    <w:rsid w:val="00957E67"/>
    <w:rsid w:val="00960221"/>
    <w:rsid w:val="0096057B"/>
    <w:rsid w:val="0096061D"/>
    <w:rsid w:val="00961BDC"/>
    <w:rsid w:val="00963503"/>
    <w:rsid w:val="00963C53"/>
    <w:rsid w:val="0096590A"/>
    <w:rsid w:val="00965C43"/>
    <w:rsid w:val="00966F3A"/>
    <w:rsid w:val="00967791"/>
    <w:rsid w:val="00967CE9"/>
    <w:rsid w:val="009705FE"/>
    <w:rsid w:val="00970FD7"/>
    <w:rsid w:val="00971150"/>
    <w:rsid w:val="009726D1"/>
    <w:rsid w:val="00972707"/>
    <w:rsid w:val="0097380D"/>
    <w:rsid w:val="009741BF"/>
    <w:rsid w:val="009753D0"/>
    <w:rsid w:val="0097716E"/>
    <w:rsid w:val="009806EB"/>
    <w:rsid w:val="00981F5B"/>
    <w:rsid w:val="0099035C"/>
    <w:rsid w:val="0099117D"/>
    <w:rsid w:val="009919FF"/>
    <w:rsid w:val="0099410A"/>
    <w:rsid w:val="009942B1"/>
    <w:rsid w:val="00995BF1"/>
    <w:rsid w:val="009963D9"/>
    <w:rsid w:val="00997CFB"/>
    <w:rsid w:val="009A0954"/>
    <w:rsid w:val="009A40E2"/>
    <w:rsid w:val="009A4BBE"/>
    <w:rsid w:val="009A5217"/>
    <w:rsid w:val="009A5814"/>
    <w:rsid w:val="009B339A"/>
    <w:rsid w:val="009B44D7"/>
    <w:rsid w:val="009B5470"/>
    <w:rsid w:val="009B64EE"/>
    <w:rsid w:val="009B6B2E"/>
    <w:rsid w:val="009B6FDE"/>
    <w:rsid w:val="009B7856"/>
    <w:rsid w:val="009D016F"/>
    <w:rsid w:val="009D098E"/>
    <w:rsid w:val="009D318E"/>
    <w:rsid w:val="009D3995"/>
    <w:rsid w:val="009D76A9"/>
    <w:rsid w:val="009E0059"/>
    <w:rsid w:val="009E11D3"/>
    <w:rsid w:val="009E2A30"/>
    <w:rsid w:val="009E2A8E"/>
    <w:rsid w:val="009E4BD5"/>
    <w:rsid w:val="009E5A6C"/>
    <w:rsid w:val="009E701A"/>
    <w:rsid w:val="009F02DC"/>
    <w:rsid w:val="009F3417"/>
    <w:rsid w:val="009F3D7C"/>
    <w:rsid w:val="009F5064"/>
    <w:rsid w:val="009F5626"/>
    <w:rsid w:val="009F5AC3"/>
    <w:rsid w:val="009F6D0C"/>
    <w:rsid w:val="009F73E4"/>
    <w:rsid w:val="009F7ED7"/>
    <w:rsid w:val="00A00192"/>
    <w:rsid w:val="00A00FA0"/>
    <w:rsid w:val="00A0306E"/>
    <w:rsid w:val="00A030AB"/>
    <w:rsid w:val="00A038F9"/>
    <w:rsid w:val="00A04504"/>
    <w:rsid w:val="00A06536"/>
    <w:rsid w:val="00A07E6F"/>
    <w:rsid w:val="00A10DCD"/>
    <w:rsid w:val="00A11BC0"/>
    <w:rsid w:val="00A11E58"/>
    <w:rsid w:val="00A11F13"/>
    <w:rsid w:val="00A12298"/>
    <w:rsid w:val="00A128A0"/>
    <w:rsid w:val="00A129A7"/>
    <w:rsid w:val="00A141CE"/>
    <w:rsid w:val="00A14FD6"/>
    <w:rsid w:val="00A16ECF"/>
    <w:rsid w:val="00A17473"/>
    <w:rsid w:val="00A17D27"/>
    <w:rsid w:val="00A201E1"/>
    <w:rsid w:val="00A22101"/>
    <w:rsid w:val="00A228F9"/>
    <w:rsid w:val="00A23AEB"/>
    <w:rsid w:val="00A264A0"/>
    <w:rsid w:val="00A2733D"/>
    <w:rsid w:val="00A27653"/>
    <w:rsid w:val="00A302D5"/>
    <w:rsid w:val="00A308C9"/>
    <w:rsid w:val="00A30E93"/>
    <w:rsid w:val="00A32E3C"/>
    <w:rsid w:val="00A34CDF"/>
    <w:rsid w:val="00A36DC8"/>
    <w:rsid w:val="00A36E8C"/>
    <w:rsid w:val="00A4206B"/>
    <w:rsid w:val="00A432D7"/>
    <w:rsid w:val="00A472F1"/>
    <w:rsid w:val="00A474FD"/>
    <w:rsid w:val="00A47584"/>
    <w:rsid w:val="00A479E8"/>
    <w:rsid w:val="00A503D5"/>
    <w:rsid w:val="00A516D7"/>
    <w:rsid w:val="00A539FD"/>
    <w:rsid w:val="00A55036"/>
    <w:rsid w:val="00A57B57"/>
    <w:rsid w:val="00A6171F"/>
    <w:rsid w:val="00A61CA9"/>
    <w:rsid w:val="00A61E05"/>
    <w:rsid w:val="00A622EF"/>
    <w:rsid w:val="00A64B29"/>
    <w:rsid w:val="00A657D6"/>
    <w:rsid w:val="00A66F9A"/>
    <w:rsid w:val="00A7023C"/>
    <w:rsid w:val="00A70B7B"/>
    <w:rsid w:val="00A74016"/>
    <w:rsid w:val="00A74E50"/>
    <w:rsid w:val="00A76689"/>
    <w:rsid w:val="00A770CF"/>
    <w:rsid w:val="00A772AA"/>
    <w:rsid w:val="00A80DFF"/>
    <w:rsid w:val="00A81272"/>
    <w:rsid w:val="00A812B4"/>
    <w:rsid w:val="00A8168D"/>
    <w:rsid w:val="00A83D87"/>
    <w:rsid w:val="00A841B2"/>
    <w:rsid w:val="00A85365"/>
    <w:rsid w:val="00A85C2A"/>
    <w:rsid w:val="00A864AA"/>
    <w:rsid w:val="00A86885"/>
    <w:rsid w:val="00A91C59"/>
    <w:rsid w:val="00A92C81"/>
    <w:rsid w:val="00A93D15"/>
    <w:rsid w:val="00A942B7"/>
    <w:rsid w:val="00A96061"/>
    <w:rsid w:val="00A97DA8"/>
    <w:rsid w:val="00AA160D"/>
    <w:rsid w:val="00AA26F9"/>
    <w:rsid w:val="00AA28CE"/>
    <w:rsid w:val="00AA2C98"/>
    <w:rsid w:val="00AA2E75"/>
    <w:rsid w:val="00AA4151"/>
    <w:rsid w:val="00AA4A58"/>
    <w:rsid w:val="00AA4E0B"/>
    <w:rsid w:val="00AA4F3A"/>
    <w:rsid w:val="00AA6835"/>
    <w:rsid w:val="00AA75B5"/>
    <w:rsid w:val="00AB04F9"/>
    <w:rsid w:val="00AB2628"/>
    <w:rsid w:val="00AB2A92"/>
    <w:rsid w:val="00AB3CFC"/>
    <w:rsid w:val="00AB6418"/>
    <w:rsid w:val="00AB6AD3"/>
    <w:rsid w:val="00AC004D"/>
    <w:rsid w:val="00AC0464"/>
    <w:rsid w:val="00AC0DC8"/>
    <w:rsid w:val="00AC3DB9"/>
    <w:rsid w:val="00AC5753"/>
    <w:rsid w:val="00AC6563"/>
    <w:rsid w:val="00AC7184"/>
    <w:rsid w:val="00AC79E2"/>
    <w:rsid w:val="00AD2A94"/>
    <w:rsid w:val="00AD30BF"/>
    <w:rsid w:val="00AD4CE5"/>
    <w:rsid w:val="00AD5FEF"/>
    <w:rsid w:val="00AD608C"/>
    <w:rsid w:val="00AD6F23"/>
    <w:rsid w:val="00AD71F6"/>
    <w:rsid w:val="00AD76A4"/>
    <w:rsid w:val="00AD774B"/>
    <w:rsid w:val="00AD782A"/>
    <w:rsid w:val="00AE02A7"/>
    <w:rsid w:val="00AE0461"/>
    <w:rsid w:val="00AE224B"/>
    <w:rsid w:val="00AE348E"/>
    <w:rsid w:val="00AE6E9E"/>
    <w:rsid w:val="00AE77B2"/>
    <w:rsid w:val="00AF1263"/>
    <w:rsid w:val="00AF1594"/>
    <w:rsid w:val="00AF1DAE"/>
    <w:rsid w:val="00AF2899"/>
    <w:rsid w:val="00AF2CBD"/>
    <w:rsid w:val="00AF4638"/>
    <w:rsid w:val="00AF4802"/>
    <w:rsid w:val="00AF4F84"/>
    <w:rsid w:val="00AF67CD"/>
    <w:rsid w:val="00B005CD"/>
    <w:rsid w:val="00B008E8"/>
    <w:rsid w:val="00B00E98"/>
    <w:rsid w:val="00B013EC"/>
    <w:rsid w:val="00B02EF0"/>
    <w:rsid w:val="00B063ED"/>
    <w:rsid w:val="00B06E37"/>
    <w:rsid w:val="00B0741B"/>
    <w:rsid w:val="00B07ABF"/>
    <w:rsid w:val="00B11654"/>
    <w:rsid w:val="00B14E50"/>
    <w:rsid w:val="00B169EB"/>
    <w:rsid w:val="00B16A49"/>
    <w:rsid w:val="00B20A87"/>
    <w:rsid w:val="00B246F4"/>
    <w:rsid w:val="00B25379"/>
    <w:rsid w:val="00B3095A"/>
    <w:rsid w:val="00B30F48"/>
    <w:rsid w:val="00B34D0C"/>
    <w:rsid w:val="00B35F06"/>
    <w:rsid w:val="00B35FA6"/>
    <w:rsid w:val="00B36AC3"/>
    <w:rsid w:val="00B40199"/>
    <w:rsid w:val="00B40983"/>
    <w:rsid w:val="00B42297"/>
    <w:rsid w:val="00B42A12"/>
    <w:rsid w:val="00B442B2"/>
    <w:rsid w:val="00B45191"/>
    <w:rsid w:val="00B50811"/>
    <w:rsid w:val="00B51002"/>
    <w:rsid w:val="00B51C77"/>
    <w:rsid w:val="00B531FA"/>
    <w:rsid w:val="00B55E75"/>
    <w:rsid w:val="00B5799E"/>
    <w:rsid w:val="00B610E9"/>
    <w:rsid w:val="00B65372"/>
    <w:rsid w:val="00B65410"/>
    <w:rsid w:val="00B674FE"/>
    <w:rsid w:val="00B6776E"/>
    <w:rsid w:val="00B709C3"/>
    <w:rsid w:val="00B719AA"/>
    <w:rsid w:val="00B750D8"/>
    <w:rsid w:val="00B75BCF"/>
    <w:rsid w:val="00B76634"/>
    <w:rsid w:val="00B77326"/>
    <w:rsid w:val="00B822F3"/>
    <w:rsid w:val="00B82F9B"/>
    <w:rsid w:val="00B8390F"/>
    <w:rsid w:val="00B844FE"/>
    <w:rsid w:val="00B86780"/>
    <w:rsid w:val="00B87AEF"/>
    <w:rsid w:val="00B87E84"/>
    <w:rsid w:val="00B90E5C"/>
    <w:rsid w:val="00B93B4C"/>
    <w:rsid w:val="00B94736"/>
    <w:rsid w:val="00B9687C"/>
    <w:rsid w:val="00B96C9E"/>
    <w:rsid w:val="00B970E0"/>
    <w:rsid w:val="00B97C3E"/>
    <w:rsid w:val="00BA00EF"/>
    <w:rsid w:val="00BA1281"/>
    <w:rsid w:val="00BA2559"/>
    <w:rsid w:val="00BA2E9C"/>
    <w:rsid w:val="00BA36CC"/>
    <w:rsid w:val="00BA49AF"/>
    <w:rsid w:val="00BA504F"/>
    <w:rsid w:val="00BA5B4B"/>
    <w:rsid w:val="00BA6592"/>
    <w:rsid w:val="00BA6690"/>
    <w:rsid w:val="00BA723E"/>
    <w:rsid w:val="00BB04B7"/>
    <w:rsid w:val="00BB0F24"/>
    <w:rsid w:val="00BB1949"/>
    <w:rsid w:val="00BB3A84"/>
    <w:rsid w:val="00BB4313"/>
    <w:rsid w:val="00BB4D5C"/>
    <w:rsid w:val="00BB4D98"/>
    <w:rsid w:val="00BC141F"/>
    <w:rsid w:val="00BC1C65"/>
    <w:rsid w:val="00BC321E"/>
    <w:rsid w:val="00BC4C08"/>
    <w:rsid w:val="00BC5950"/>
    <w:rsid w:val="00BC662F"/>
    <w:rsid w:val="00BD0070"/>
    <w:rsid w:val="00BD267A"/>
    <w:rsid w:val="00BD26D2"/>
    <w:rsid w:val="00BD424A"/>
    <w:rsid w:val="00BD453A"/>
    <w:rsid w:val="00BD5813"/>
    <w:rsid w:val="00BD5C46"/>
    <w:rsid w:val="00BD7CD4"/>
    <w:rsid w:val="00BE319E"/>
    <w:rsid w:val="00BE4C9B"/>
    <w:rsid w:val="00BE5920"/>
    <w:rsid w:val="00BE5D0F"/>
    <w:rsid w:val="00BE5F50"/>
    <w:rsid w:val="00BF033A"/>
    <w:rsid w:val="00BF0EC3"/>
    <w:rsid w:val="00BF22C8"/>
    <w:rsid w:val="00BF3F55"/>
    <w:rsid w:val="00BF48BE"/>
    <w:rsid w:val="00BF5AB8"/>
    <w:rsid w:val="00BF62FB"/>
    <w:rsid w:val="00BF761B"/>
    <w:rsid w:val="00BF7BD5"/>
    <w:rsid w:val="00BF7D53"/>
    <w:rsid w:val="00C000CC"/>
    <w:rsid w:val="00C013B9"/>
    <w:rsid w:val="00C0255F"/>
    <w:rsid w:val="00C042E5"/>
    <w:rsid w:val="00C04893"/>
    <w:rsid w:val="00C05B9D"/>
    <w:rsid w:val="00C05E40"/>
    <w:rsid w:val="00C06016"/>
    <w:rsid w:val="00C06EEC"/>
    <w:rsid w:val="00C06F8A"/>
    <w:rsid w:val="00C10F45"/>
    <w:rsid w:val="00C12102"/>
    <w:rsid w:val="00C12A9A"/>
    <w:rsid w:val="00C12F13"/>
    <w:rsid w:val="00C1439B"/>
    <w:rsid w:val="00C17022"/>
    <w:rsid w:val="00C17902"/>
    <w:rsid w:val="00C17992"/>
    <w:rsid w:val="00C210D2"/>
    <w:rsid w:val="00C217A8"/>
    <w:rsid w:val="00C2205E"/>
    <w:rsid w:val="00C24485"/>
    <w:rsid w:val="00C24E0A"/>
    <w:rsid w:val="00C2537A"/>
    <w:rsid w:val="00C255ED"/>
    <w:rsid w:val="00C26DF3"/>
    <w:rsid w:val="00C306EC"/>
    <w:rsid w:val="00C330DB"/>
    <w:rsid w:val="00C33D9D"/>
    <w:rsid w:val="00C33DFF"/>
    <w:rsid w:val="00C343A8"/>
    <w:rsid w:val="00C35119"/>
    <w:rsid w:val="00C36248"/>
    <w:rsid w:val="00C36E3F"/>
    <w:rsid w:val="00C40BBD"/>
    <w:rsid w:val="00C43342"/>
    <w:rsid w:val="00C44A61"/>
    <w:rsid w:val="00C463B2"/>
    <w:rsid w:val="00C51561"/>
    <w:rsid w:val="00C52379"/>
    <w:rsid w:val="00C53019"/>
    <w:rsid w:val="00C5479E"/>
    <w:rsid w:val="00C547BC"/>
    <w:rsid w:val="00C558EC"/>
    <w:rsid w:val="00C55EA3"/>
    <w:rsid w:val="00C56643"/>
    <w:rsid w:val="00C56C7C"/>
    <w:rsid w:val="00C5713A"/>
    <w:rsid w:val="00C573B0"/>
    <w:rsid w:val="00C57F7A"/>
    <w:rsid w:val="00C628BA"/>
    <w:rsid w:val="00C62B7A"/>
    <w:rsid w:val="00C62CE1"/>
    <w:rsid w:val="00C6434A"/>
    <w:rsid w:val="00C643C0"/>
    <w:rsid w:val="00C64830"/>
    <w:rsid w:val="00C64AF6"/>
    <w:rsid w:val="00C65BAE"/>
    <w:rsid w:val="00C65F41"/>
    <w:rsid w:val="00C66D30"/>
    <w:rsid w:val="00C7013C"/>
    <w:rsid w:val="00C7179A"/>
    <w:rsid w:val="00C71A96"/>
    <w:rsid w:val="00C72AC8"/>
    <w:rsid w:val="00C73A31"/>
    <w:rsid w:val="00C757F5"/>
    <w:rsid w:val="00C76530"/>
    <w:rsid w:val="00C76DC1"/>
    <w:rsid w:val="00C77B9E"/>
    <w:rsid w:val="00C80DAC"/>
    <w:rsid w:val="00C8524F"/>
    <w:rsid w:val="00C865CF"/>
    <w:rsid w:val="00C9296C"/>
    <w:rsid w:val="00C94601"/>
    <w:rsid w:val="00C96A17"/>
    <w:rsid w:val="00C97693"/>
    <w:rsid w:val="00CA029C"/>
    <w:rsid w:val="00CA1297"/>
    <w:rsid w:val="00CA48BD"/>
    <w:rsid w:val="00CA7CF3"/>
    <w:rsid w:val="00CB26FC"/>
    <w:rsid w:val="00CB3C7E"/>
    <w:rsid w:val="00CB4725"/>
    <w:rsid w:val="00CB4ADC"/>
    <w:rsid w:val="00CB6028"/>
    <w:rsid w:val="00CB70B9"/>
    <w:rsid w:val="00CC0419"/>
    <w:rsid w:val="00CC04A1"/>
    <w:rsid w:val="00CC17F3"/>
    <w:rsid w:val="00CC25C3"/>
    <w:rsid w:val="00CC2971"/>
    <w:rsid w:val="00CC5920"/>
    <w:rsid w:val="00CC5F1E"/>
    <w:rsid w:val="00CC62B2"/>
    <w:rsid w:val="00CD051D"/>
    <w:rsid w:val="00CD2194"/>
    <w:rsid w:val="00CD40FE"/>
    <w:rsid w:val="00CD4318"/>
    <w:rsid w:val="00CD4B49"/>
    <w:rsid w:val="00CD523D"/>
    <w:rsid w:val="00CD5AE5"/>
    <w:rsid w:val="00CD5C8E"/>
    <w:rsid w:val="00CE068D"/>
    <w:rsid w:val="00CE2111"/>
    <w:rsid w:val="00CE290A"/>
    <w:rsid w:val="00CE5946"/>
    <w:rsid w:val="00CE7EBA"/>
    <w:rsid w:val="00CF0572"/>
    <w:rsid w:val="00CF1216"/>
    <w:rsid w:val="00CF17AD"/>
    <w:rsid w:val="00CF37C3"/>
    <w:rsid w:val="00CF3AD6"/>
    <w:rsid w:val="00CF4F37"/>
    <w:rsid w:val="00CF5A0E"/>
    <w:rsid w:val="00CF6278"/>
    <w:rsid w:val="00CF6A1B"/>
    <w:rsid w:val="00CF764C"/>
    <w:rsid w:val="00D00C7A"/>
    <w:rsid w:val="00D02123"/>
    <w:rsid w:val="00D0281A"/>
    <w:rsid w:val="00D02EB1"/>
    <w:rsid w:val="00D04A5C"/>
    <w:rsid w:val="00D05F5B"/>
    <w:rsid w:val="00D07E9F"/>
    <w:rsid w:val="00D116E4"/>
    <w:rsid w:val="00D120E8"/>
    <w:rsid w:val="00D136EB"/>
    <w:rsid w:val="00D143A1"/>
    <w:rsid w:val="00D14B70"/>
    <w:rsid w:val="00D14E01"/>
    <w:rsid w:val="00D16257"/>
    <w:rsid w:val="00D176B9"/>
    <w:rsid w:val="00D233D0"/>
    <w:rsid w:val="00D24B77"/>
    <w:rsid w:val="00D25542"/>
    <w:rsid w:val="00D258CC"/>
    <w:rsid w:val="00D262C3"/>
    <w:rsid w:val="00D27404"/>
    <w:rsid w:val="00D3109A"/>
    <w:rsid w:val="00D326C7"/>
    <w:rsid w:val="00D339EE"/>
    <w:rsid w:val="00D3558C"/>
    <w:rsid w:val="00D359D1"/>
    <w:rsid w:val="00D366E4"/>
    <w:rsid w:val="00D40FA0"/>
    <w:rsid w:val="00D41168"/>
    <w:rsid w:val="00D4324A"/>
    <w:rsid w:val="00D449BA"/>
    <w:rsid w:val="00D47BB3"/>
    <w:rsid w:val="00D5214A"/>
    <w:rsid w:val="00D524BC"/>
    <w:rsid w:val="00D52A35"/>
    <w:rsid w:val="00D52B50"/>
    <w:rsid w:val="00D53277"/>
    <w:rsid w:val="00D567E2"/>
    <w:rsid w:val="00D57741"/>
    <w:rsid w:val="00D57A5E"/>
    <w:rsid w:val="00D6262D"/>
    <w:rsid w:val="00D6290E"/>
    <w:rsid w:val="00D62FB9"/>
    <w:rsid w:val="00D6390C"/>
    <w:rsid w:val="00D63D9D"/>
    <w:rsid w:val="00D63F78"/>
    <w:rsid w:val="00D65D2E"/>
    <w:rsid w:val="00D71086"/>
    <w:rsid w:val="00D716E1"/>
    <w:rsid w:val="00D75F1E"/>
    <w:rsid w:val="00D76266"/>
    <w:rsid w:val="00D769FC"/>
    <w:rsid w:val="00D81B72"/>
    <w:rsid w:val="00D82B94"/>
    <w:rsid w:val="00D853C5"/>
    <w:rsid w:val="00D900AD"/>
    <w:rsid w:val="00D9090E"/>
    <w:rsid w:val="00D93062"/>
    <w:rsid w:val="00D93548"/>
    <w:rsid w:val="00D94719"/>
    <w:rsid w:val="00DA0564"/>
    <w:rsid w:val="00DA11BE"/>
    <w:rsid w:val="00DA2055"/>
    <w:rsid w:val="00DA2467"/>
    <w:rsid w:val="00DA2E94"/>
    <w:rsid w:val="00DA32B9"/>
    <w:rsid w:val="00DA35FA"/>
    <w:rsid w:val="00DA4147"/>
    <w:rsid w:val="00DA7073"/>
    <w:rsid w:val="00DA7199"/>
    <w:rsid w:val="00DB1B2A"/>
    <w:rsid w:val="00DB248F"/>
    <w:rsid w:val="00DB25AF"/>
    <w:rsid w:val="00DB2942"/>
    <w:rsid w:val="00DB2B3B"/>
    <w:rsid w:val="00DB42B0"/>
    <w:rsid w:val="00DB7759"/>
    <w:rsid w:val="00DB794C"/>
    <w:rsid w:val="00DC1D76"/>
    <w:rsid w:val="00DC264D"/>
    <w:rsid w:val="00DC3096"/>
    <w:rsid w:val="00DC687A"/>
    <w:rsid w:val="00DC7AFC"/>
    <w:rsid w:val="00DD00E3"/>
    <w:rsid w:val="00DD0917"/>
    <w:rsid w:val="00DD2ECB"/>
    <w:rsid w:val="00DD50D7"/>
    <w:rsid w:val="00DD6546"/>
    <w:rsid w:val="00DD7AB6"/>
    <w:rsid w:val="00DE03BF"/>
    <w:rsid w:val="00DE0473"/>
    <w:rsid w:val="00DE06E9"/>
    <w:rsid w:val="00DE12F5"/>
    <w:rsid w:val="00DE2CD3"/>
    <w:rsid w:val="00DE33D9"/>
    <w:rsid w:val="00DE3AC9"/>
    <w:rsid w:val="00DE697D"/>
    <w:rsid w:val="00DE7EBE"/>
    <w:rsid w:val="00DF0C9F"/>
    <w:rsid w:val="00DF27A8"/>
    <w:rsid w:val="00DF5FA6"/>
    <w:rsid w:val="00DF63B9"/>
    <w:rsid w:val="00DF64B3"/>
    <w:rsid w:val="00DF7112"/>
    <w:rsid w:val="00DF7A15"/>
    <w:rsid w:val="00E00C47"/>
    <w:rsid w:val="00E0466D"/>
    <w:rsid w:val="00E04EA3"/>
    <w:rsid w:val="00E0659D"/>
    <w:rsid w:val="00E10DAE"/>
    <w:rsid w:val="00E124DA"/>
    <w:rsid w:val="00E12F08"/>
    <w:rsid w:val="00E13749"/>
    <w:rsid w:val="00E155FD"/>
    <w:rsid w:val="00E15AD9"/>
    <w:rsid w:val="00E172CE"/>
    <w:rsid w:val="00E20437"/>
    <w:rsid w:val="00E206A6"/>
    <w:rsid w:val="00E23086"/>
    <w:rsid w:val="00E302BF"/>
    <w:rsid w:val="00E30BB3"/>
    <w:rsid w:val="00E31897"/>
    <w:rsid w:val="00E31BFA"/>
    <w:rsid w:val="00E33A34"/>
    <w:rsid w:val="00E35954"/>
    <w:rsid w:val="00E35B46"/>
    <w:rsid w:val="00E4108D"/>
    <w:rsid w:val="00E425B4"/>
    <w:rsid w:val="00E42D54"/>
    <w:rsid w:val="00E43420"/>
    <w:rsid w:val="00E43C0B"/>
    <w:rsid w:val="00E43C70"/>
    <w:rsid w:val="00E44F90"/>
    <w:rsid w:val="00E450E1"/>
    <w:rsid w:val="00E45857"/>
    <w:rsid w:val="00E460BF"/>
    <w:rsid w:val="00E46331"/>
    <w:rsid w:val="00E46D53"/>
    <w:rsid w:val="00E47A7D"/>
    <w:rsid w:val="00E47A84"/>
    <w:rsid w:val="00E51129"/>
    <w:rsid w:val="00E51883"/>
    <w:rsid w:val="00E51967"/>
    <w:rsid w:val="00E52147"/>
    <w:rsid w:val="00E52387"/>
    <w:rsid w:val="00E5278B"/>
    <w:rsid w:val="00E53411"/>
    <w:rsid w:val="00E608A0"/>
    <w:rsid w:val="00E61516"/>
    <w:rsid w:val="00E64949"/>
    <w:rsid w:val="00E65741"/>
    <w:rsid w:val="00E65A9C"/>
    <w:rsid w:val="00E66BAC"/>
    <w:rsid w:val="00E67391"/>
    <w:rsid w:val="00E67935"/>
    <w:rsid w:val="00E72F0B"/>
    <w:rsid w:val="00E73FB1"/>
    <w:rsid w:val="00E75727"/>
    <w:rsid w:val="00E7732C"/>
    <w:rsid w:val="00E81416"/>
    <w:rsid w:val="00E81C29"/>
    <w:rsid w:val="00E82431"/>
    <w:rsid w:val="00E8276C"/>
    <w:rsid w:val="00E840C5"/>
    <w:rsid w:val="00E84F91"/>
    <w:rsid w:val="00E871C4"/>
    <w:rsid w:val="00E87A8D"/>
    <w:rsid w:val="00E902B5"/>
    <w:rsid w:val="00E92527"/>
    <w:rsid w:val="00E92A21"/>
    <w:rsid w:val="00E93A64"/>
    <w:rsid w:val="00E957DB"/>
    <w:rsid w:val="00E967D3"/>
    <w:rsid w:val="00E972E0"/>
    <w:rsid w:val="00E97D1B"/>
    <w:rsid w:val="00EA0313"/>
    <w:rsid w:val="00EA2AB6"/>
    <w:rsid w:val="00EA363B"/>
    <w:rsid w:val="00EA3F07"/>
    <w:rsid w:val="00EA534E"/>
    <w:rsid w:val="00EA58C8"/>
    <w:rsid w:val="00EA65C0"/>
    <w:rsid w:val="00EA6D3B"/>
    <w:rsid w:val="00EB29F5"/>
    <w:rsid w:val="00EB3991"/>
    <w:rsid w:val="00EB4A11"/>
    <w:rsid w:val="00EB6852"/>
    <w:rsid w:val="00EC3DA5"/>
    <w:rsid w:val="00EC4889"/>
    <w:rsid w:val="00EC67EE"/>
    <w:rsid w:val="00EC69D4"/>
    <w:rsid w:val="00EC6BAE"/>
    <w:rsid w:val="00EC7F89"/>
    <w:rsid w:val="00ED0C8C"/>
    <w:rsid w:val="00ED1DAD"/>
    <w:rsid w:val="00ED2C33"/>
    <w:rsid w:val="00ED2F75"/>
    <w:rsid w:val="00ED32F3"/>
    <w:rsid w:val="00ED34E6"/>
    <w:rsid w:val="00ED3BA3"/>
    <w:rsid w:val="00ED4242"/>
    <w:rsid w:val="00ED48A8"/>
    <w:rsid w:val="00ED53FA"/>
    <w:rsid w:val="00ED6374"/>
    <w:rsid w:val="00ED643D"/>
    <w:rsid w:val="00ED6F16"/>
    <w:rsid w:val="00ED7E79"/>
    <w:rsid w:val="00EE22AF"/>
    <w:rsid w:val="00EE2421"/>
    <w:rsid w:val="00EE3FBD"/>
    <w:rsid w:val="00EE4522"/>
    <w:rsid w:val="00EE4768"/>
    <w:rsid w:val="00EE5980"/>
    <w:rsid w:val="00EE6ED1"/>
    <w:rsid w:val="00EF0C3B"/>
    <w:rsid w:val="00EF27E8"/>
    <w:rsid w:val="00EF2DE7"/>
    <w:rsid w:val="00EF3EE1"/>
    <w:rsid w:val="00EF63F4"/>
    <w:rsid w:val="00EF7AF0"/>
    <w:rsid w:val="00F043CC"/>
    <w:rsid w:val="00F057BB"/>
    <w:rsid w:val="00F0778F"/>
    <w:rsid w:val="00F10185"/>
    <w:rsid w:val="00F1021F"/>
    <w:rsid w:val="00F14115"/>
    <w:rsid w:val="00F16DA9"/>
    <w:rsid w:val="00F21B01"/>
    <w:rsid w:val="00F22D15"/>
    <w:rsid w:val="00F23252"/>
    <w:rsid w:val="00F258A3"/>
    <w:rsid w:val="00F306BB"/>
    <w:rsid w:val="00F30F1F"/>
    <w:rsid w:val="00F314E8"/>
    <w:rsid w:val="00F31707"/>
    <w:rsid w:val="00F3243A"/>
    <w:rsid w:val="00F32582"/>
    <w:rsid w:val="00F32B00"/>
    <w:rsid w:val="00F3613E"/>
    <w:rsid w:val="00F365FD"/>
    <w:rsid w:val="00F42D9C"/>
    <w:rsid w:val="00F44688"/>
    <w:rsid w:val="00F44B41"/>
    <w:rsid w:val="00F44D26"/>
    <w:rsid w:val="00F452E7"/>
    <w:rsid w:val="00F52E8B"/>
    <w:rsid w:val="00F570AB"/>
    <w:rsid w:val="00F60678"/>
    <w:rsid w:val="00F62D96"/>
    <w:rsid w:val="00F64F42"/>
    <w:rsid w:val="00F657C9"/>
    <w:rsid w:val="00F65C43"/>
    <w:rsid w:val="00F67788"/>
    <w:rsid w:val="00F7151B"/>
    <w:rsid w:val="00F71745"/>
    <w:rsid w:val="00F72B3C"/>
    <w:rsid w:val="00F72FF9"/>
    <w:rsid w:val="00F76D3F"/>
    <w:rsid w:val="00F81A46"/>
    <w:rsid w:val="00F82CFD"/>
    <w:rsid w:val="00F833D7"/>
    <w:rsid w:val="00F85F5A"/>
    <w:rsid w:val="00F86AEC"/>
    <w:rsid w:val="00F872B9"/>
    <w:rsid w:val="00F90885"/>
    <w:rsid w:val="00F90D3C"/>
    <w:rsid w:val="00F91DD3"/>
    <w:rsid w:val="00F959AC"/>
    <w:rsid w:val="00F95A78"/>
    <w:rsid w:val="00F96463"/>
    <w:rsid w:val="00F97F76"/>
    <w:rsid w:val="00FA061B"/>
    <w:rsid w:val="00FA3850"/>
    <w:rsid w:val="00FA3B10"/>
    <w:rsid w:val="00FA4971"/>
    <w:rsid w:val="00FA503A"/>
    <w:rsid w:val="00FA58FE"/>
    <w:rsid w:val="00FB2007"/>
    <w:rsid w:val="00FB23D0"/>
    <w:rsid w:val="00FB2E6C"/>
    <w:rsid w:val="00FB3727"/>
    <w:rsid w:val="00FB3BB1"/>
    <w:rsid w:val="00FB3BFF"/>
    <w:rsid w:val="00FB3CF1"/>
    <w:rsid w:val="00FB783A"/>
    <w:rsid w:val="00FB7FB0"/>
    <w:rsid w:val="00FC3157"/>
    <w:rsid w:val="00FC35B2"/>
    <w:rsid w:val="00FC5C4D"/>
    <w:rsid w:val="00FC7113"/>
    <w:rsid w:val="00FC74DB"/>
    <w:rsid w:val="00FC76E1"/>
    <w:rsid w:val="00FD3396"/>
    <w:rsid w:val="00FD3997"/>
    <w:rsid w:val="00FD5FCA"/>
    <w:rsid w:val="00FD69BE"/>
    <w:rsid w:val="00FD7226"/>
    <w:rsid w:val="00FD7DC0"/>
    <w:rsid w:val="00FE04E4"/>
    <w:rsid w:val="00FE205A"/>
    <w:rsid w:val="00FE2D48"/>
    <w:rsid w:val="00FE36DB"/>
    <w:rsid w:val="00FE4A7B"/>
    <w:rsid w:val="00FE5CE2"/>
    <w:rsid w:val="00FE68C4"/>
    <w:rsid w:val="00FE7751"/>
    <w:rsid w:val="00FF4B8D"/>
    <w:rsid w:val="00FF4C59"/>
    <w:rsid w:val="00FF56B5"/>
    <w:rsid w:val="00FF5DE6"/>
    <w:rsid w:val="00FF6026"/>
    <w:rsid w:val="00FF61CE"/>
    <w:rsid w:val="00FF6359"/>
    <w:rsid w:val="00FF6A2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B065A"/>
    <w:rPr>
      <w:sz w:val="24"/>
      <w:szCs w:val="24"/>
    </w:rPr>
  </w:style>
  <w:style w:type="paragraph" w:styleId="Heading1">
    <w:name w:val="heading 1"/>
    <w:basedOn w:val="Normal"/>
    <w:next w:val="Normal"/>
    <w:link w:val="Heading1Char"/>
    <w:uiPriority w:val="99"/>
    <w:qFormat/>
    <w:rsid w:val="008D073F"/>
    <w:pPr>
      <w:numPr>
        <w:numId w:val="6"/>
      </w:numPr>
      <w:autoSpaceDE w:val="0"/>
      <w:autoSpaceDN w:val="0"/>
      <w:adjustRightInd w:val="0"/>
      <w:spacing w:line="480" w:lineRule="auto"/>
      <w:outlineLvl w:val="0"/>
    </w:pPr>
    <w:rPr>
      <w:rFonts w:ascii="Times New Roman Bold" w:hAnsi="Times New Roman Bold"/>
      <w:b/>
      <w:bCs/>
      <w:caps/>
    </w:rPr>
  </w:style>
  <w:style w:type="paragraph" w:styleId="Heading2">
    <w:name w:val="heading 2"/>
    <w:basedOn w:val="ListParagraph"/>
    <w:next w:val="Normal"/>
    <w:link w:val="Heading2Char"/>
    <w:uiPriority w:val="99"/>
    <w:qFormat/>
    <w:rsid w:val="00EA58C8"/>
    <w:pPr>
      <w:numPr>
        <w:numId w:val="28"/>
      </w:numPr>
      <w:spacing w:line="480" w:lineRule="auto"/>
      <w:ind w:leftChars="0" w:left="1440" w:hanging="720"/>
      <w:outlineLvl w:val="1"/>
    </w:pPr>
    <w:rPr>
      <w:rFonts w:ascii="Times New Roman" w:hAnsi="Times New Roman"/>
      <w:b/>
    </w:rPr>
  </w:style>
  <w:style w:type="paragraph" w:styleId="Heading3">
    <w:name w:val="heading 3"/>
    <w:basedOn w:val="Normal"/>
    <w:next w:val="Normal"/>
    <w:link w:val="Heading3Char"/>
    <w:uiPriority w:val="99"/>
    <w:qFormat/>
    <w:rsid w:val="00CF121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073F"/>
    <w:rPr>
      <w:rFonts w:ascii="Times New Roman Bold" w:hAnsi="Times New Roman Bold"/>
      <w:b/>
      <w:bCs/>
      <w:caps/>
      <w:sz w:val="24"/>
      <w:szCs w:val="24"/>
    </w:rPr>
  </w:style>
  <w:style w:type="character" w:customStyle="1" w:styleId="Heading2Char">
    <w:name w:val="Heading 2 Char"/>
    <w:link w:val="Heading2"/>
    <w:uiPriority w:val="99"/>
    <w:locked/>
    <w:rsid w:val="00EA58C8"/>
    <w:rPr>
      <w:b/>
      <w:kern w:val="2"/>
      <w:sz w:val="24"/>
      <w:szCs w:val="22"/>
      <w:lang w:eastAsia="zh-TW"/>
    </w:rPr>
  </w:style>
  <w:style w:type="character" w:customStyle="1" w:styleId="Heading3Char">
    <w:name w:val="Heading 3 Char"/>
    <w:link w:val="Heading3"/>
    <w:uiPriority w:val="99"/>
    <w:semiHidden/>
    <w:locked/>
    <w:rsid w:val="00CF1216"/>
    <w:rPr>
      <w:rFonts w:ascii="Cambria" w:hAnsi="Cambria" w:cs="Cambria"/>
      <w:b/>
      <w:bCs/>
      <w:sz w:val="26"/>
      <w:szCs w:val="26"/>
    </w:rPr>
  </w:style>
  <w:style w:type="paragraph" w:styleId="Header">
    <w:name w:val="header"/>
    <w:basedOn w:val="Normal"/>
    <w:link w:val="HeaderChar"/>
    <w:uiPriority w:val="99"/>
    <w:rsid w:val="00CF1216"/>
    <w:pPr>
      <w:tabs>
        <w:tab w:val="center" w:pos="4320"/>
        <w:tab w:val="right" w:pos="8640"/>
      </w:tabs>
    </w:pPr>
  </w:style>
  <w:style w:type="character" w:customStyle="1" w:styleId="HeaderChar">
    <w:name w:val="Header Char"/>
    <w:link w:val="Header"/>
    <w:uiPriority w:val="99"/>
    <w:locked/>
    <w:rsid w:val="00CF1216"/>
    <w:rPr>
      <w:sz w:val="24"/>
      <w:szCs w:val="24"/>
    </w:rPr>
  </w:style>
  <w:style w:type="paragraph" w:styleId="Footer">
    <w:name w:val="footer"/>
    <w:basedOn w:val="Normal"/>
    <w:link w:val="FooterChar"/>
    <w:uiPriority w:val="99"/>
    <w:rsid w:val="00CF1216"/>
    <w:pPr>
      <w:tabs>
        <w:tab w:val="center" w:pos="4320"/>
        <w:tab w:val="right" w:pos="8640"/>
      </w:tabs>
    </w:pPr>
  </w:style>
  <w:style w:type="character" w:customStyle="1" w:styleId="FooterChar">
    <w:name w:val="Footer Char"/>
    <w:link w:val="Footer"/>
    <w:uiPriority w:val="99"/>
    <w:locked/>
    <w:rsid w:val="00CF1216"/>
    <w:rPr>
      <w:sz w:val="24"/>
      <w:szCs w:val="24"/>
    </w:rPr>
  </w:style>
  <w:style w:type="character" w:styleId="PageNumber">
    <w:name w:val="page number"/>
    <w:basedOn w:val="DefaultParagraphFont"/>
    <w:uiPriority w:val="99"/>
    <w:rsid w:val="00CF1216"/>
  </w:style>
  <w:style w:type="paragraph" w:styleId="BodyText">
    <w:name w:val="Body Text"/>
    <w:basedOn w:val="Normal"/>
    <w:link w:val="BodyTextChar"/>
    <w:uiPriority w:val="99"/>
    <w:rsid w:val="008D073F"/>
    <w:pPr>
      <w:spacing w:line="480" w:lineRule="auto"/>
      <w:ind w:left="720"/>
    </w:pPr>
    <w:rPr>
      <w:iCs/>
    </w:rPr>
  </w:style>
  <w:style w:type="character" w:customStyle="1" w:styleId="BodyTextChar">
    <w:name w:val="Body Text Char"/>
    <w:link w:val="BodyText"/>
    <w:uiPriority w:val="99"/>
    <w:locked/>
    <w:rsid w:val="008D073F"/>
    <w:rPr>
      <w:iCs/>
      <w:sz w:val="24"/>
      <w:szCs w:val="24"/>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ft,fn C"/>
    <w:basedOn w:val="Normal"/>
    <w:link w:val="FootnoteTextChar3"/>
    <w:rsid w:val="00CC5920"/>
    <w:pPr>
      <w:spacing w:before="120"/>
    </w:pPr>
    <w:rPr>
      <w:sz w:val="20"/>
      <w:szCs w:val="20"/>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rsid w:val="00513044"/>
    <w:rPr>
      <w:sz w:val="20"/>
      <w:szCs w:val="20"/>
    </w:rPr>
  </w:style>
  <w:style w:type="character" w:customStyle="1" w:styleId="FootnoteTextChar21">
    <w:name w:val="Footnote Text Char21"/>
    <w:aliases w:val="Footnote Text Char1 Char3,Footnote Text Char Char Char3,Footnote Text Char1 Char Char1 Char3,Footnote Text Char Char Char Char Char3,Footnote Text Char2 Char Char Char Char1 Char3,Footnote Text Char1 Char Char1 Char Char Char Char3"/>
    <w:uiPriority w:val="99"/>
    <w:semiHidden/>
    <w:rsid w:val="00CF1216"/>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rsid w:val="00CF1216"/>
    <w:rPr>
      <w:vertAlign w:val="superscript"/>
    </w:rPr>
  </w:style>
  <w:style w:type="character" w:customStyle="1" w:styleId="FootnoteTextChar1Char2">
    <w:name w:val="Footnote Text Char1 Char2"/>
    <w:aliases w:val="Footnote Text Char Char Char2,Footnote Text Char1 Char Char1 Char2,Footnote Text Char Char Char Char Char2,Footnote Text Char2 Char Char Char Char1 Char2,Footnote Text Char1 Char Char1 Char Char Char Char2,ALTS FOOTNOTE Char"/>
    <w:uiPriority w:val="99"/>
    <w:locked/>
    <w:rsid w:val="00CF1216"/>
    <w:rPr>
      <w:lang w:val="en-US" w:eastAsia="en-US"/>
    </w:rPr>
  </w:style>
  <w:style w:type="character" w:styleId="Hyperlink">
    <w:name w:val="Hyperlink"/>
    <w:uiPriority w:val="99"/>
    <w:rsid w:val="00CF1216"/>
    <w:rPr>
      <w:color w:val="0000FF"/>
      <w:u w:val="single"/>
    </w:rPr>
  </w:style>
  <w:style w:type="paragraph" w:styleId="HTMLPreformatted">
    <w:name w:val="HTML Preformatted"/>
    <w:basedOn w:val="Normal"/>
    <w:link w:val="HTMLPreformattedChar"/>
    <w:uiPriority w:val="99"/>
    <w:rsid w:val="00CF1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CF1216"/>
    <w:rPr>
      <w:rFonts w:ascii="Courier New" w:hAnsi="Courier New" w:cs="Courier New"/>
      <w:sz w:val="20"/>
      <w:szCs w:val="20"/>
    </w:rPr>
  </w:style>
  <w:style w:type="paragraph" w:styleId="Title">
    <w:name w:val="Title"/>
    <w:basedOn w:val="Normal"/>
    <w:link w:val="TitleChar"/>
    <w:uiPriority w:val="99"/>
    <w:qFormat/>
    <w:rsid w:val="00CF1216"/>
    <w:pPr>
      <w:jc w:val="center"/>
    </w:pPr>
    <w:rPr>
      <w:b/>
      <w:bCs/>
    </w:rPr>
  </w:style>
  <w:style w:type="character" w:customStyle="1" w:styleId="TitleChar">
    <w:name w:val="Title Char"/>
    <w:link w:val="Title"/>
    <w:uiPriority w:val="99"/>
    <w:locked/>
    <w:rsid w:val="00CF1216"/>
    <w:rPr>
      <w:b/>
      <w:bCs/>
      <w:sz w:val="24"/>
      <w:szCs w:val="24"/>
    </w:rPr>
  </w:style>
  <w:style w:type="paragraph" w:styleId="PlainText">
    <w:name w:val="Plain Text"/>
    <w:basedOn w:val="Normal"/>
    <w:link w:val="PlainTextChar"/>
    <w:uiPriority w:val="99"/>
    <w:rsid w:val="00CF1216"/>
    <w:rPr>
      <w:rFonts w:ascii="Courier New" w:hAnsi="Courier New"/>
      <w:sz w:val="20"/>
      <w:szCs w:val="20"/>
    </w:rPr>
  </w:style>
  <w:style w:type="character" w:customStyle="1" w:styleId="PlainTextChar">
    <w:name w:val="Plain Text Char"/>
    <w:link w:val="PlainText"/>
    <w:uiPriority w:val="99"/>
    <w:semiHidden/>
    <w:locked/>
    <w:rsid w:val="00CF1216"/>
    <w:rPr>
      <w:rFonts w:ascii="Courier New" w:hAnsi="Courier New" w:cs="Courier New"/>
      <w:sz w:val="20"/>
      <w:szCs w:val="20"/>
    </w:rPr>
  </w:style>
  <w:style w:type="paragraph" w:styleId="TOC1">
    <w:name w:val="toc 1"/>
    <w:basedOn w:val="Normal"/>
    <w:next w:val="Normal"/>
    <w:autoRedefine/>
    <w:uiPriority w:val="39"/>
    <w:qFormat/>
    <w:rsid w:val="0097380D"/>
    <w:pPr>
      <w:tabs>
        <w:tab w:val="left" w:pos="720"/>
        <w:tab w:val="decimal" w:leader="dot" w:pos="8640"/>
      </w:tabs>
      <w:spacing w:line="480" w:lineRule="auto"/>
      <w:ind w:left="720" w:hanging="720"/>
      <w:jc w:val="center"/>
    </w:pPr>
    <w:rPr>
      <w:caps/>
    </w:rPr>
  </w:style>
  <w:style w:type="paragraph" w:styleId="List2">
    <w:name w:val="List 2"/>
    <w:basedOn w:val="Normal"/>
    <w:uiPriority w:val="99"/>
    <w:rsid w:val="00CF1216"/>
    <w:pPr>
      <w:ind w:left="720" w:hanging="360"/>
    </w:pPr>
  </w:style>
  <w:style w:type="table" w:styleId="TableGrid">
    <w:name w:val="Table Grid"/>
    <w:basedOn w:val="TableNormal"/>
    <w:uiPriority w:val="99"/>
    <w:rsid w:val="00CF1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uiPriority w:val="99"/>
    <w:semiHidden/>
    <w:locked/>
    <w:rsid w:val="00CF1216"/>
    <w:rPr>
      <w:rFonts w:ascii="Courier New" w:hAnsi="Courier New" w:cs="Courier New"/>
      <w:lang w:val="en-US" w:eastAsia="en-US"/>
    </w:rPr>
  </w:style>
  <w:style w:type="character" w:styleId="LineNumber">
    <w:name w:val="line number"/>
    <w:basedOn w:val="DefaultParagraphFont"/>
    <w:uiPriority w:val="99"/>
    <w:rsid w:val="00CF1216"/>
  </w:style>
  <w:style w:type="paragraph" w:styleId="EndnoteText">
    <w:name w:val="endnote text"/>
    <w:basedOn w:val="Normal"/>
    <w:link w:val="EndnoteTextChar"/>
    <w:uiPriority w:val="99"/>
    <w:semiHidden/>
    <w:rsid w:val="00CF1216"/>
    <w:pPr>
      <w:widowControl w:val="0"/>
      <w:snapToGrid w:val="0"/>
    </w:pPr>
    <w:rPr>
      <w:rFonts w:ascii="Courier New" w:hAnsi="Courier New"/>
    </w:rPr>
  </w:style>
  <w:style w:type="character" w:customStyle="1" w:styleId="EndnoteTextChar">
    <w:name w:val="Endnote Text Char"/>
    <w:link w:val="EndnoteText"/>
    <w:uiPriority w:val="99"/>
    <w:semiHidden/>
    <w:locked/>
    <w:rsid w:val="00CF1216"/>
    <w:rPr>
      <w:rFonts w:ascii="Courier New" w:hAnsi="Courier New" w:cs="Courier New"/>
      <w:sz w:val="24"/>
      <w:szCs w:val="24"/>
    </w:rPr>
  </w:style>
  <w:style w:type="paragraph" w:styleId="CommentText">
    <w:name w:val="annotation text"/>
    <w:basedOn w:val="Normal"/>
    <w:link w:val="CommentTextChar"/>
    <w:uiPriority w:val="99"/>
    <w:semiHidden/>
    <w:rsid w:val="00CF1216"/>
    <w:rPr>
      <w:sz w:val="20"/>
      <w:szCs w:val="20"/>
    </w:rPr>
  </w:style>
  <w:style w:type="character" w:customStyle="1" w:styleId="CommentTextChar">
    <w:name w:val="Comment Text Char"/>
    <w:link w:val="CommentText"/>
    <w:uiPriority w:val="99"/>
    <w:semiHidden/>
    <w:locked/>
    <w:rsid w:val="00CF1216"/>
    <w:rPr>
      <w:sz w:val="20"/>
      <w:szCs w:val="20"/>
    </w:rPr>
  </w:style>
  <w:style w:type="paragraph" w:styleId="DocumentMap">
    <w:name w:val="Document Map"/>
    <w:basedOn w:val="Normal"/>
    <w:link w:val="DocumentMapChar"/>
    <w:uiPriority w:val="99"/>
    <w:semiHidden/>
    <w:rsid w:val="00CF1216"/>
    <w:pPr>
      <w:shd w:val="clear" w:color="auto" w:fill="000080"/>
    </w:pPr>
    <w:rPr>
      <w:sz w:val="2"/>
      <w:szCs w:val="2"/>
    </w:rPr>
  </w:style>
  <w:style w:type="character" w:customStyle="1" w:styleId="DocumentMapChar">
    <w:name w:val="Document Map Char"/>
    <w:link w:val="DocumentMap"/>
    <w:uiPriority w:val="99"/>
    <w:semiHidden/>
    <w:locked/>
    <w:rsid w:val="00CF1216"/>
    <w:rPr>
      <w:sz w:val="2"/>
      <w:szCs w:val="2"/>
    </w:rPr>
  </w:style>
  <w:style w:type="paragraph" w:customStyle="1" w:styleId="DefaultParagraphFontParaCharCharCharCharCharCharChar">
    <w:name w:val="Default Paragraph Font Para Char Char Char Char Char Char Char"/>
    <w:basedOn w:val="Normal"/>
    <w:uiPriority w:val="99"/>
    <w:rsid w:val="00CF1216"/>
    <w:pPr>
      <w:widowControl w:val="0"/>
      <w:spacing w:line="280" w:lineRule="atLeast"/>
    </w:pPr>
    <w:rPr>
      <w:rFonts w:eastAsia="MS Mincho"/>
      <w:sz w:val="22"/>
      <w:szCs w:val="22"/>
      <w:lang w:val="en-GB" w:eastAsia="en-GB"/>
    </w:rPr>
  </w:style>
  <w:style w:type="paragraph" w:styleId="BalloonText">
    <w:name w:val="Balloon Text"/>
    <w:basedOn w:val="Normal"/>
    <w:link w:val="BalloonTextChar"/>
    <w:uiPriority w:val="99"/>
    <w:semiHidden/>
    <w:rsid w:val="002B065A"/>
    <w:rPr>
      <w:sz w:val="16"/>
      <w:szCs w:val="2"/>
    </w:rPr>
  </w:style>
  <w:style w:type="character" w:customStyle="1" w:styleId="BalloonTextChar">
    <w:name w:val="Balloon Text Char"/>
    <w:link w:val="BalloonText"/>
    <w:uiPriority w:val="99"/>
    <w:semiHidden/>
    <w:locked/>
    <w:rsid w:val="002B065A"/>
    <w:rPr>
      <w:sz w:val="16"/>
      <w:szCs w:val="2"/>
    </w:rPr>
  </w:style>
  <w:style w:type="character" w:styleId="CommentReference">
    <w:name w:val="annotation reference"/>
    <w:uiPriority w:val="99"/>
    <w:semiHidden/>
    <w:rsid w:val="00CF1216"/>
    <w:rPr>
      <w:sz w:val="16"/>
      <w:szCs w:val="16"/>
    </w:rPr>
  </w:style>
  <w:style w:type="paragraph" w:styleId="CommentSubject">
    <w:name w:val="annotation subject"/>
    <w:basedOn w:val="CommentText"/>
    <w:next w:val="CommentText"/>
    <w:link w:val="CommentSubjectChar"/>
    <w:uiPriority w:val="99"/>
    <w:semiHidden/>
    <w:rsid w:val="00CF1216"/>
    <w:rPr>
      <w:b/>
      <w:bCs/>
    </w:rPr>
  </w:style>
  <w:style w:type="character" w:customStyle="1" w:styleId="CommentSubjectChar">
    <w:name w:val="Comment Subject Char"/>
    <w:link w:val="CommentSubject"/>
    <w:uiPriority w:val="99"/>
    <w:semiHidden/>
    <w:locked/>
    <w:rsid w:val="00CF1216"/>
    <w:rPr>
      <w:b/>
      <w:bCs/>
      <w:sz w:val="20"/>
      <w:szCs w:val="20"/>
    </w:rPr>
  </w:style>
  <w:style w:type="paragraph" w:styleId="Subtitle">
    <w:name w:val="Subtitle"/>
    <w:basedOn w:val="Normal"/>
    <w:link w:val="SubtitleChar"/>
    <w:uiPriority w:val="99"/>
    <w:qFormat/>
    <w:rsid w:val="00CF1216"/>
    <w:pPr>
      <w:jc w:val="center"/>
    </w:pPr>
    <w:rPr>
      <w:rFonts w:ascii="Verdana" w:hAnsi="Verdana"/>
      <w:b/>
      <w:bCs/>
      <w:sz w:val="32"/>
      <w:szCs w:val="32"/>
    </w:rPr>
  </w:style>
  <w:style w:type="character" w:customStyle="1" w:styleId="SubtitleChar">
    <w:name w:val="Subtitle Char"/>
    <w:link w:val="Subtitle"/>
    <w:uiPriority w:val="99"/>
    <w:locked/>
    <w:rsid w:val="00CF1216"/>
    <w:rPr>
      <w:rFonts w:ascii="Verdana" w:hAnsi="Verdana" w:cs="Verdana"/>
      <w:b/>
      <w:bCs/>
      <w:sz w:val="32"/>
      <w:szCs w:val="32"/>
    </w:rPr>
  </w:style>
  <w:style w:type="paragraph" w:styleId="TOC2">
    <w:name w:val="toc 2"/>
    <w:basedOn w:val="Normal"/>
    <w:next w:val="Normal"/>
    <w:autoRedefine/>
    <w:uiPriority w:val="39"/>
    <w:qFormat/>
    <w:rsid w:val="00776E04"/>
    <w:pPr>
      <w:tabs>
        <w:tab w:val="left" w:pos="720"/>
        <w:tab w:val="decimal" w:leader="dot" w:pos="8640"/>
      </w:tabs>
      <w:spacing w:after="240"/>
      <w:ind w:left="1440" w:hanging="720"/>
    </w:pPr>
  </w:style>
  <w:style w:type="paragraph" w:styleId="TOC3">
    <w:name w:val="toc 3"/>
    <w:basedOn w:val="Normal"/>
    <w:next w:val="Normal"/>
    <w:autoRedefine/>
    <w:uiPriority w:val="99"/>
    <w:semiHidden/>
    <w:rsid w:val="00CF1216"/>
    <w:pPr>
      <w:ind w:left="480"/>
    </w:pPr>
  </w:style>
  <w:style w:type="paragraph" w:customStyle="1" w:styleId="ColorfulShading-Accent11">
    <w:name w:val="Colorful Shading - Accent 11"/>
    <w:hidden/>
    <w:uiPriority w:val="99"/>
    <w:semiHidden/>
    <w:rsid w:val="00CF1216"/>
    <w:rPr>
      <w:sz w:val="24"/>
      <w:szCs w:val="24"/>
    </w:rPr>
  </w:style>
  <w:style w:type="paragraph" w:styleId="TOAHeading">
    <w:name w:val="toa heading"/>
    <w:basedOn w:val="Normal"/>
    <w:next w:val="Normal"/>
    <w:autoRedefine/>
    <w:uiPriority w:val="99"/>
    <w:semiHidden/>
    <w:rsid w:val="00CF1216"/>
    <w:pPr>
      <w:spacing w:after="240"/>
    </w:pPr>
    <w:rPr>
      <w:b/>
      <w:bCs/>
    </w:rPr>
  </w:style>
  <w:style w:type="character" w:customStyle="1" w:styleId="FootnoteTextChar3">
    <w:name w:val="Footnote Text Char3"/>
    <w:aliases w:val="Footnote Text Char1 Char1,Footnote Text Char Char Char1,Footnote Text Char1 Char Char1 Char1,Footnote Text Char Char Char Char Char1,Footnote Text Char2 Char Char Char Char1 Char1,Footnote Text Char1 Char Char1 Char Char Char Char1"/>
    <w:link w:val="FootnoteText"/>
    <w:uiPriority w:val="99"/>
    <w:locked/>
    <w:rsid w:val="00CC5920"/>
  </w:style>
  <w:style w:type="paragraph" w:styleId="BodyText2">
    <w:name w:val="Body Text 2"/>
    <w:basedOn w:val="Normal"/>
    <w:link w:val="BodyText2Char"/>
    <w:uiPriority w:val="99"/>
    <w:rsid w:val="00CF1216"/>
    <w:pPr>
      <w:spacing w:after="120" w:line="480" w:lineRule="auto"/>
    </w:pPr>
  </w:style>
  <w:style w:type="character" w:customStyle="1" w:styleId="BodyText2Char">
    <w:name w:val="Body Text 2 Char"/>
    <w:link w:val="BodyText2"/>
    <w:uiPriority w:val="99"/>
    <w:locked/>
    <w:rsid w:val="00CF1216"/>
    <w:rPr>
      <w:sz w:val="24"/>
      <w:szCs w:val="24"/>
      <w:lang w:val="en-US" w:eastAsia="en-US"/>
    </w:rPr>
  </w:style>
  <w:style w:type="character" w:customStyle="1" w:styleId="TagStyle">
    <w:name w:val="TagStyle"/>
    <w:uiPriority w:val="99"/>
    <w:rsid w:val="00CF1216"/>
    <w:rPr>
      <w:rFonts w:ascii="Times New Roman" w:hAnsi="Times New Roman" w:cs="Times New Roman"/>
      <w:color w:val="FF00FF"/>
      <w:sz w:val="24"/>
      <w:szCs w:val="24"/>
    </w:rPr>
  </w:style>
  <w:style w:type="paragraph" w:customStyle="1" w:styleId="BodyTextSingle">
    <w:name w:val="Body Text Single"/>
    <w:aliases w:val="bs"/>
    <w:basedOn w:val="Normal"/>
    <w:uiPriority w:val="99"/>
    <w:rsid w:val="00CF1216"/>
    <w:pPr>
      <w:spacing w:after="240"/>
      <w:jc w:val="both"/>
    </w:pPr>
  </w:style>
  <w:style w:type="paragraph" w:styleId="TOCHeading">
    <w:name w:val="TOC Heading"/>
    <w:basedOn w:val="Heading1"/>
    <w:next w:val="Normal"/>
    <w:uiPriority w:val="99"/>
    <w:qFormat/>
    <w:rsid w:val="00CF1216"/>
    <w:pPr>
      <w:keepLines/>
      <w:spacing w:before="480" w:line="276" w:lineRule="auto"/>
      <w:ind w:left="0" w:firstLine="0"/>
      <w:outlineLvl w:val="9"/>
    </w:pPr>
    <w:rPr>
      <w:rFonts w:ascii="Cambria" w:hAnsi="Cambria" w:cs="Cambria"/>
      <w:caps w:val="0"/>
      <w:color w:val="365F91"/>
      <w:sz w:val="28"/>
      <w:szCs w:val="28"/>
    </w:rPr>
  </w:style>
  <w:style w:type="paragraph" w:customStyle="1" w:styleId="ColorfulList-Accent11">
    <w:name w:val="Colorful List - Accent 11"/>
    <w:basedOn w:val="Normal"/>
    <w:uiPriority w:val="99"/>
    <w:rsid w:val="00CF1216"/>
    <w:pPr>
      <w:ind w:left="720"/>
    </w:pPr>
  </w:style>
  <w:style w:type="paragraph" w:styleId="NoSpacing">
    <w:name w:val="No Spacing"/>
    <w:uiPriority w:val="1"/>
    <w:qFormat/>
    <w:rsid w:val="00CF1216"/>
    <w:rPr>
      <w:sz w:val="24"/>
      <w:szCs w:val="24"/>
    </w:rPr>
  </w:style>
  <w:style w:type="paragraph" w:styleId="z-TopofForm">
    <w:name w:val="HTML Top of Form"/>
    <w:basedOn w:val="Normal"/>
    <w:next w:val="Normal"/>
    <w:link w:val="z-TopofFormChar"/>
    <w:hidden/>
    <w:uiPriority w:val="99"/>
    <w:semiHidden/>
    <w:rsid w:val="00CF1216"/>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locked/>
    <w:rsid w:val="00CF1216"/>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CF1216"/>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locked/>
    <w:rsid w:val="00CF1216"/>
    <w:rPr>
      <w:rFonts w:ascii="Arial" w:hAnsi="Arial" w:cs="Arial"/>
      <w:vanish/>
      <w:sz w:val="16"/>
      <w:szCs w:val="16"/>
    </w:rPr>
  </w:style>
  <w:style w:type="paragraph" w:styleId="Revision">
    <w:name w:val="Revision"/>
    <w:hidden/>
    <w:uiPriority w:val="99"/>
    <w:semiHidden/>
    <w:rsid w:val="00CF1216"/>
    <w:rPr>
      <w:sz w:val="24"/>
      <w:szCs w:val="24"/>
    </w:rPr>
  </w:style>
  <w:style w:type="paragraph" w:styleId="ListParagraph">
    <w:name w:val="List Paragraph"/>
    <w:basedOn w:val="Normal"/>
    <w:uiPriority w:val="34"/>
    <w:qFormat/>
    <w:rsid w:val="008F5605"/>
    <w:pPr>
      <w:widowControl w:val="0"/>
      <w:ind w:leftChars="200" w:left="480"/>
    </w:pPr>
    <w:rPr>
      <w:rFonts w:ascii="Calibri" w:hAnsi="Calibri"/>
      <w:kern w:val="2"/>
      <w:szCs w:val="22"/>
      <w:lang w:eastAsia="zh-TW"/>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semiHidden/>
    <w:rsid w:val="00B02EF0"/>
    <w:rPr>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
    <w:uiPriority w:val="99"/>
    <w:semiHidden/>
    <w:locked/>
    <w:rsid w:val="00CC5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B065A"/>
    <w:rPr>
      <w:sz w:val="24"/>
      <w:szCs w:val="24"/>
    </w:rPr>
  </w:style>
  <w:style w:type="paragraph" w:styleId="Heading1">
    <w:name w:val="heading 1"/>
    <w:basedOn w:val="Normal"/>
    <w:next w:val="Normal"/>
    <w:link w:val="Heading1Char"/>
    <w:uiPriority w:val="99"/>
    <w:qFormat/>
    <w:rsid w:val="008D073F"/>
    <w:pPr>
      <w:numPr>
        <w:numId w:val="6"/>
      </w:numPr>
      <w:autoSpaceDE w:val="0"/>
      <w:autoSpaceDN w:val="0"/>
      <w:adjustRightInd w:val="0"/>
      <w:spacing w:line="480" w:lineRule="auto"/>
      <w:outlineLvl w:val="0"/>
    </w:pPr>
    <w:rPr>
      <w:rFonts w:ascii="Times New Roman Bold" w:hAnsi="Times New Roman Bold"/>
      <w:b/>
      <w:bCs/>
      <w:caps/>
    </w:rPr>
  </w:style>
  <w:style w:type="paragraph" w:styleId="Heading2">
    <w:name w:val="heading 2"/>
    <w:basedOn w:val="ListParagraph"/>
    <w:next w:val="Normal"/>
    <w:link w:val="Heading2Char"/>
    <w:uiPriority w:val="99"/>
    <w:qFormat/>
    <w:rsid w:val="00EA58C8"/>
    <w:pPr>
      <w:numPr>
        <w:numId w:val="28"/>
      </w:numPr>
      <w:spacing w:line="480" w:lineRule="auto"/>
      <w:ind w:leftChars="0" w:left="1440" w:hanging="720"/>
      <w:outlineLvl w:val="1"/>
    </w:pPr>
    <w:rPr>
      <w:rFonts w:ascii="Times New Roman" w:hAnsi="Times New Roman"/>
      <w:b/>
    </w:rPr>
  </w:style>
  <w:style w:type="paragraph" w:styleId="Heading3">
    <w:name w:val="heading 3"/>
    <w:basedOn w:val="Normal"/>
    <w:next w:val="Normal"/>
    <w:link w:val="Heading3Char"/>
    <w:uiPriority w:val="99"/>
    <w:qFormat/>
    <w:rsid w:val="00CF121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073F"/>
    <w:rPr>
      <w:rFonts w:ascii="Times New Roman Bold" w:hAnsi="Times New Roman Bold"/>
      <w:b/>
      <w:bCs/>
      <w:caps/>
      <w:sz w:val="24"/>
      <w:szCs w:val="24"/>
    </w:rPr>
  </w:style>
  <w:style w:type="character" w:customStyle="1" w:styleId="Heading2Char">
    <w:name w:val="Heading 2 Char"/>
    <w:link w:val="Heading2"/>
    <w:uiPriority w:val="99"/>
    <w:locked/>
    <w:rsid w:val="00EA58C8"/>
    <w:rPr>
      <w:b/>
      <w:kern w:val="2"/>
      <w:sz w:val="24"/>
      <w:szCs w:val="22"/>
      <w:lang w:eastAsia="zh-TW"/>
    </w:rPr>
  </w:style>
  <w:style w:type="character" w:customStyle="1" w:styleId="Heading3Char">
    <w:name w:val="Heading 3 Char"/>
    <w:link w:val="Heading3"/>
    <w:uiPriority w:val="99"/>
    <w:semiHidden/>
    <w:locked/>
    <w:rsid w:val="00CF1216"/>
    <w:rPr>
      <w:rFonts w:ascii="Cambria" w:hAnsi="Cambria" w:cs="Cambria"/>
      <w:b/>
      <w:bCs/>
      <w:sz w:val="26"/>
      <w:szCs w:val="26"/>
    </w:rPr>
  </w:style>
  <w:style w:type="paragraph" w:styleId="Header">
    <w:name w:val="header"/>
    <w:basedOn w:val="Normal"/>
    <w:link w:val="HeaderChar"/>
    <w:uiPriority w:val="99"/>
    <w:rsid w:val="00CF1216"/>
    <w:pPr>
      <w:tabs>
        <w:tab w:val="center" w:pos="4320"/>
        <w:tab w:val="right" w:pos="8640"/>
      </w:tabs>
    </w:pPr>
  </w:style>
  <w:style w:type="character" w:customStyle="1" w:styleId="HeaderChar">
    <w:name w:val="Header Char"/>
    <w:link w:val="Header"/>
    <w:uiPriority w:val="99"/>
    <w:locked/>
    <w:rsid w:val="00CF1216"/>
    <w:rPr>
      <w:sz w:val="24"/>
      <w:szCs w:val="24"/>
    </w:rPr>
  </w:style>
  <w:style w:type="paragraph" w:styleId="Footer">
    <w:name w:val="footer"/>
    <w:basedOn w:val="Normal"/>
    <w:link w:val="FooterChar"/>
    <w:uiPriority w:val="99"/>
    <w:rsid w:val="00CF1216"/>
    <w:pPr>
      <w:tabs>
        <w:tab w:val="center" w:pos="4320"/>
        <w:tab w:val="right" w:pos="8640"/>
      </w:tabs>
    </w:pPr>
  </w:style>
  <w:style w:type="character" w:customStyle="1" w:styleId="FooterChar">
    <w:name w:val="Footer Char"/>
    <w:link w:val="Footer"/>
    <w:uiPriority w:val="99"/>
    <w:locked/>
    <w:rsid w:val="00CF1216"/>
    <w:rPr>
      <w:sz w:val="24"/>
      <w:szCs w:val="24"/>
    </w:rPr>
  </w:style>
  <w:style w:type="character" w:styleId="PageNumber">
    <w:name w:val="page number"/>
    <w:basedOn w:val="DefaultParagraphFont"/>
    <w:uiPriority w:val="99"/>
    <w:rsid w:val="00CF1216"/>
  </w:style>
  <w:style w:type="paragraph" w:styleId="BodyText">
    <w:name w:val="Body Text"/>
    <w:basedOn w:val="Normal"/>
    <w:link w:val="BodyTextChar"/>
    <w:uiPriority w:val="99"/>
    <w:rsid w:val="008D073F"/>
    <w:pPr>
      <w:spacing w:line="480" w:lineRule="auto"/>
      <w:ind w:left="720"/>
    </w:pPr>
    <w:rPr>
      <w:iCs/>
    </w:rPr>
  </w:style>
  <w:style w:type="character" w:customStyle="1" w:styleId="BodyTextChar">
    <w:name w:val="Body Text Char"/>
    <w:link w:val="BodyText"/>
    <w:uiPriority w:val="99"/>
    <w:locked/>
    <w:rsid w:val="008D073F"/>
    <w:rPr>
      <w:iCs/>
      <w:sz w:val="24"/>
      <w:szCs w:val="24"/>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ft,fn C"/>
    <w:basedOn w:val="Normal"/>
    <w:link w:val="FootnoteTextChar3"/>
    <w:rsid w:val="00CC5920"/>
    <w:pPr>
      <w:spacing w:before="120"/>
    </w:pPr>
    <w:rPr>
      <w:sz w:val="20"/>
      <w:szCs w:val="20"/>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rsid w:val="00513044"/>
    <w:rPr>
      <w:sz w:val="20"/>
      <w:szCs w:val="20"/>
    </w:rPr>
  </w:style>
  <w:style w:type="character" w:customStyle="1" w:styleId="FootnoteTextChar21">
    <w:name w:val="Footnote Text Char21"/>
    <w:aliases w:val="Footnote Text Char1 Char3,Footnote Text Char Char Char3,Footnote Text Char1 Char Char1 Char3,Footnote Text Char Char Char Char Char3,Footnote Text Char2 Char Char Char Char1 Char3,Footnote Text Char1 Char Char1 Char Char Char Char3"/>
    <w:uiPriority w:val="99"/>
    <w:semiHidden/>
    <w:rsid w:val="00CF1216"/>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rsid w:val="00CF1216"/>
    <w:rPr>
      <w:vertAlign w:val="superscript"/>
    </w:rPr>
  </w:style>
  <w:style w:type="character" w:customStyle="1" w:styleId="FootnoteTextChar1Char2">
    <w:name w:val="Footnote Text Char1 Char2"/>
    <w:aliases w:val="Footnote Text Char Char Char2,Footnote Text Char1 Char Char1 Char2,Footnote Text Char Char Char Char Char2,Footnote Text Char2 Char Char Char Char1 Char2,Footnote Text Char1 Char Char1 Char Char Char Char2,ALTS FOOTNOTE Char"/>
    <w:uiPriority w:val="99"/>
    <w:locked/>
    <w:rsid w:val="00CF1216"/>
    <w:rPr>
      <w:lang w:val="en-US" w:eastAsia="en-US"/>
    </w:rPr>
  </w:style>
  <w:style w:type="character" w:styleId="Hyperlink">
    <w:name w:val="Hyperlink"/>
    <w:uiPriority w:val="99"/>
    <w:rsid w:val="00CF1216"/>
    <w:rPr>
      <w:color w:val="0000FF"/>
      <w:u w:val="single"/>
    </w:rPr>
  </w:style>
  <w:style w:type="paragraph" w:styleId="HTMLPreformatted">
    <w:name w:val="HTML Preformatted"/>
    <w:basedOn w:val="Normal"/>
    <w:link w:val="HTMLPreformattedChar"/>
    <w:uiPriority w:val="99"/>
    <w:rsid w:val="00CF1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CF1216"/>
    <w:rPr>
      <w:rFonts w:ascii="Courier New" w:hAnsi="Courier New" w:cs="Courier New"/>
      <w:sz w:val="20"/>
      <w:szCs w:val="20"/>
    </w:rPr>
  </w:style>
  <w:style w:type="paragraph" w:styleId="Title">
    <w:name w:val="Title"/>
    <w:basedOn w:val="Normal"/>
    <w:link w:val="TitleChar"/>
    <w:uiPriority w:val="99"/>
    <w:qFormat/>
    <w:rsid w:val="00CF1216"/>
    <w:pPr>
      <w:jc w:val="center"/>
    </w:pPr>
    <w:rPr>
      <w:b/>
      <w:bCs/>
    </w:rPr>
  </w:style>
  <w:style w:type="character" w:customStyle="1" w:styleId="TitleChar">
    <w:name w:val="Title Char"/>
    <w:link w:val="Title"/>
    <w:uiPriority w:val="99"/>
    <w:locked/>
    <w:rsid w:val="00CF1216"/>
    <w:rPr>
      <w:b/>
      <w:bCs/>
      <w:sz w:val="24"/>
      <w:szCs w:val="24"/>
    </w:rPr>
  </w:style>
  <w:style w:type="paragraph" w:styleId="PlainText">
    <w:name w:val="Plain Text"/>
    <w:basedOn w:val="Normal"/>
    <w:link w:val="PlainTextChar"/>
    <w:uiPriority w:val="99"/>
    <w:rsid w:val="00CF1216"/>
    <w:rPr>
      <w:rFonts w:ascii="Courier New" w:hAnsi="Courier New"/>
      <w:sz w:val="20"/>
      <w:szCs w:val="20"/>
    </w:rPr>
  </w:style>
  <w:style w:type="character" w:customStyle="1" w:styleId="PlainTextChar">
    <w:name w:val="Plain Text Char"/>
    <w:link w:val="PlainText"/>
    <w:uiPriority w:val="99"/>
    <w:semiHidden/>
    <w:locked/>
    <w:rsid w:val="00CF1216"/>
    <w:rPr>
      <w:rFonts w:ascii="Courier New" w:hAnsi="Courier New" w:cs="Courier New"/>
      <w:sz w:val="20"/>
      <w:szCs w:val="20"/>
    </w:rPr>
  </w:style>
  <w:style w:type="paragraph" w:styleId="TOC1">
    <w:name w:val="toc 1"/>
    <w:basedOn w:val="Normal"/>
    <w:next w:val="Normal"/>
    <w:autoRedefine/>
    <w:uiPriority w:val="39"/>
    <w:qFormat/>
    <w:rsid w:val="0097380D"/>
    <w:pPr>
      <w:tabs>
        <w:tab w:val="left" w:pos="720"/>
        <w:tab w:val="decimal" w:leader="dot" w:pos="8640"/>
      </w:tabs>
      <w:spacing w:line="480" w:lineRule="auto"/>
      <w:ind w:left="720" w:hanging="720"/>
      <w:jc w:val="center"/>
    </w:pPr>
    <w:rPr>
      <w:caps/>
    </w:rPr>
  </w:style>
  <w:style w:type="paragraph" w:styleId="List2">
    <w:name w:val="List 2"/>
    <w:basedOn w:val="Normal"/>
    <w:uiPriority w:val="99"/>
    <w:rsid w:val="00CF1216"/>
    <w:pPr>
      <w:ind w:left="720" w:hanging="360"/>
    </w:pPr>
  </w:style>
  <w:style w:type="table" w:styleId="TableGrid">
    <w:name w:val="Table Grid"/>
    <w:basedOn w:val="TableNormal"/>
    <w:uiPriority w:val="99"/>
    <w:rsid w:val="00CF1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uiPriority w:val="99"/>
    <w:semiHidden/>
    <w:locked/>
    <w:rsid w:val="00CF1216"/>
    <w:rPr>
      <w:rFonts w:ascii="Courier New" w:hAnsi="Courier New" w:cs="Courier New"/>
      <w:lang w:val="en-US" w:eastAsia="en-US"/>
    </w:rPr>
  </w:style>
  <w:style w:type="character" w:styleId="LineNumber">
    <w:name w:val="line number"/>
    <w:basedOn w:val="DefaultParagraphFont"/>
    <w:uiPriority w:val="99"/>
    <w:rsid w:val="00CF1216"/>
  </w:style>
  <w:style w:type="paragraph" w:styleId="EndnoteText">
    <w:name w:val="endnote text"/>
    <w:basedOn w:val="Normal"/>
    <w:link w:val="EndnoteTextChar"/>
    <w:uiPriority w:val="99"/>
    <w:semiHidden/>
    <w:rsid w:val="00CF1216"/>
    <w:pPr>
      <w:widowControl w:val="0"/>
      <w:snapToGrid w:val="0"/>
    </w:pPr>
    <w:rPr>
      <w:rFonts w:ascii="Courier New" w:hAnsi="Courier New"/>
    </w:rPr>
  </w:style>
  <w:style w:type="character" w:customStyle="1" w:styleId="EndnoteTextChar">
    <w:name w:val="Endnote Text Char"/>
    <w:link w:val="EndnoteText"/>
    <w:uiPriority w:val="99"/>
    <w:semiHidden/>
    <w:locked/>
    <w:rsid w:val="00CF1216"/>
    <w:rPr>
      <w:rFonts w:ascii="Courier New" w:hAnsi="Courier New" w:cs="Courier New"/>
      <w:sz w:val="24"/>
      <w:szCs w:val="24"/>
    </w:rPr>
  </w:style>
  <w:style w:type="paragraph" w:styleId="CommentText">
    <w:name w:val="annotation text"/>
    <w:basedOn w:val="Normal"/>
    <w:link w:val="CommentTextChar"/>
    <w:uiPriority w:val="99"/>
    <w:semiHidden/>
    <w:rsid w:val="00CF1216"/>
    <w:rPr>
      <w:sz w:val="20"/>
      <w:szCs w:val="20"/>
    </w:rPr>
  </w:style>
  <w:style w:type="character" w:customStyle="1" w:styleId="CommentTextChar">
    <w:name w:val="Comment Text Char"/>
    <w:link w:val="CommentText"/>
    <w:uiPriority w:val="99"/>
    <w:semiHidden/>
    <w:locked/>
    <w:rsid w:val="00CF1216"/>
    <w:rPr>
      <w:sz w:val="20"/>
      <w:szCs w:val="20"/>
    </w:rPr>
  </w:style>
  <w:style w:type="paragraph" w:styleId="DocumentMap">
    <w:name w:val="Document Map"/>
    <w:basedOn w:val="Normal"/>
    <w:link w:val="DocumentMapChar"/>
    <w:uiPriority w:val="99"/>
    <w:semiHidden/>
    <w:rsid w:val="00CF1216"/>
    <w:pPr>
      <w:shd w:val="clear" w:color="auto" w:fill="000080"/>
    </w:pPr>
    <w:rPr>
      <w:sz w:val="2"/>
      <w:szCs w:val="2"/>
    </w:rPr>
  </w:style>
  <w:style w:type="character" w:customStyle="1" w:styleId="DocumentMapChar">
    <w:name w:val="Document Map Char"/>
    <w:link w:val="DocumentMap"/>
    <w:uiPriority w:val="99"/>
    <w:semiHidden/>
    <w:locked/>
    <w:rsid w:val="00CF1216"/>
    <w:rPr>
      <w:sz w:val="2"/>
      <w:szCs w:val="2"/>
    </w:rPr>
  </w:style>
  <w:style w:type="paragraph" w:customStyle="1" w:styleId="DefaultParagraphFontParaCharCharCharCharCharCharChar">
    <w:name w:val="Default Paragraph Font Para Char Char Char Char Char Char Char"/>
    <w:basedOn w:val="Normal"/>
    <w:uiPriority w:val="99"/>
    <w:rsid w:val="00CF1216"/>
    <w:pPr>
      <w:widowControl w:val="0"/>
      <w:spacing w:line="280" w:lineRule="atLeast"/>
    </w:pPr>
    <w:rPr>
      <w:rFonts w:eastAsia="MS Mincho"/>
      <w:sz w:val="22"/>
      <w:szCs w:val="22"/>
      <w:lang w:val="en-GB" w:eastAsia="en-GB"/>
    </w:rPr>
  </w:style>
  <w:style w:type="paragraph" w:styleId="BalloonText">
    <w:name w:val="Balloon Text"/>
    <w:basedOn w:val="Normal"/>
    <w:link w:val="BalloonTextChar"/>
    <w:uiPriority w:val="99"/>
    <w:semiHidden/>
    <w:rsid w:val="002B065A"/>
    <w:rPr>
      <w:sz w:val="16"/>
      <w:szCs w:val="2"/>
    </w:rPr>
  </w:style>
  <w:style w:type="character" w:customStyle="1" w:styleId="BalloonTextChar">
    <w:name w:val="Balloon Text Char"/>
    <w:link w:val="BalloonText"/>
    <w:uiPriority w:val="99"/>
    <w:semiHidden/>
    <w:locked/>
    <w:rsid w:val="002B065A"/>
    <w:rPr>
      <w:sz w:val="16"/>
      <w:szCs w:val="2"/>
    </w:rPr>
  </w:style>
  <w:style w:type="character" w:styleId="CommentReference">
    <w:name w:val="annotation reference"/>
    <w:uiPriority w:val="99"/>
    <w:semiHidden/>
    <w:rsid w:val="00CF1216"/>
    <w:rPr>
      <w:sz w:val="16"/>
      <w:szCs w:val="16"/>
    </w:rPr>
  </w:style>
  <w:style w:type="paragraph" w:styleId="CommentSubject">
    <w:name w:val="annotation subject"/>
    <w:basedOn w:val="CommentText"/>
    <w:next w:val="CommentText"/>
    <w:link w:val="CommentSubjectChar"/>
    <w:uiPriority w:val="99"/>
    <w:semiHidden/>
    <w:rsid w:val="00CF1216"/>
    <w:rPr>
      <w:b/>
      <w:bCs/>
    </w:rPr>
  </w:style>
  <w:style w:type="character" w:customStyle="1" w:styleId="CommentSubjectChar">
    <w:name w:val="Comment Subject Char"/>
    <w:link w:val="CommentSubject"/>
    <w:uiPriority w:val="99"/>
    <w:semiHidden/>
    <w:locked/>
    <w:rsid w:val="00CF1216"/>
    <w:rPr>
      <w:b/>
      <w:bCs/>
      <w:sz w:val="20"/>
      <w:szCs w:val="20"/>
    </w:rPr>
  </w:style>
  <w:style w:type="paragraph" w:styleId="Subtitle">
    <w:name w:val="Subtitle"/>
    <w:basedOn w:val="Normal"/>
    <w:link w:val="SubtitleChar"/>
    <w:uiPriority w:val="99"/>
    <w:qFormat/>
    <w:rsid w:val="00CF1216"/>
    <w:pPr>
      <w:jc w:val="center"/>
    </w:pPr>
    <w:rPr>
      <w:rFonts w:ascii="Verdana" w:hAnsi="Verdana"/>
      <w:b/>
      <w:bCs/>
      <w:sz w:val="32"/>
      <w:szCs w:val="32"/>
    </w:rPr>
  </w:style>
  <w:style w:type="character" w:customStyle="1" w:styleId="SubtitleChar">
    <w:name w:val="Subtitle Char"/>
    <w:link w:val="Subtitle"/>
    <w:uiPriority w:val="99"/>
    <w:locked/>
    <w:rsid w:val="00CF1216"/>
    <w:rPr>
      <w:rFonts w:ascii="Verdana" w:hAnsi="Verdana" w:cs="Verdana"/>
      <w:b/>
      <w:bCs/>
      <w:sz w:val="32"/>
      <w:szCs w:val="32"/>
    </w:rPr>
  </w:style>
  <w:style w:type="paragraph" w:styleId="TOC2">
    <w:name w:val="toc 2"/>
    <w:basedOn w:val="Normal"/>
    <w:next w:val="Normal"/>
    <w:autoRedefine/>
    <w:uiPriority w:val="39"/>
    <w:qFormat/>
    <w:rsid w:val="00776E04"/>
    <w:pPr>
      <w:tabs>
        <w:tab w:val="left" w:pos="720"/>
        <w:tab w:val="decimal" w:leader="dot" w:pos="8640"/>
      </w:tabs>
      <w:spacing w:after="240"/>
      <w:ind w:left="1440" w:hanging="720"/>
    </w:pPr>
  </w:style>
  <w:style w:type="paragraph" w:styleId="TOC3">
    <w:name w:val="toc 3"/>
    <w:basedOn w:val="Normal"/>
    <w:next w:val="Normal"/>
    <w:autoRedefine/>
    <w:uiPriority w:val="99"/>
    <w:semiHidden/>
    <w:rsid w:val="00CF1216"/>
    <w:pPr>
      <w:ind w:left="480"/>
    </w:pPr>
  </w:style>
  <w:style w:type="paragraph" w:customStyle="1" w:styleId="ColorfulShading-Accent11">
    <w:name w:val="Colorful Shading - Accent 11"/>
    <w:hidden/>
    <w:uiPriority w:val="99"/>
    <w:semiHidden/>
    <w:rsid w:val="00CF1216"/>
    <w:rPr>
      <w:sz w:val="24"/>
      <w:szCs w:val="24"/>
    </w:rPr>
  </w:style>
  <w:style w:type="paragraph" w:styleId="TOAHeading">
    <w:name w:val="toa heading"/>
    <w:basedOn w:val="Normal"/>
    <w:next w:val="Normal"/>
    <w:autoRedefine/>
    <w:uiPriority w:val="99"/>
    <w:semiHidden/>
    <w:rsid w:val="00CF1216"/>
    <w:pPr>
      <w:spacing w:after="240"/>
    </w:pPr>
    <w:rPr>
      <w:b/>
      <w:bCs/>
    </w:rPr>
  </w:style>
  <w:style w:type="character" w:customStyle="1" w:styleId="FootnoteTextChar3">
    <w:name w:val="Footnote Text Char3"/>
    <w:aliases w:val="Footnote Text Char1 Char1,Footnote Text Char Char Char1,Footnote Text Char1 Char Char1 Char1,Footnote Text Char Char Char Char Char1,Footnote Text Char2 Char Char Char Char1 Char1,Footnote Text Char1 Char Char1 Char Char Char Char1"/>
    <w:link w:val="FootnoteText"/>
    <w:uiPriority w:val="99"/>
    <w:locked/>
    <w:rsid w:val="00CC5920"/>
  </w:style>
  <w:style w:type="paragraph" w:styleId="BodyText2">
    <w:name w:val="Body Text 2"/>
    <w:basedOn w:val="Normal"/>
    <w:link w:val="BodyText2Char"/>
    <w:uiPriority w:val="99"/>
    <w:rsid w:val="00CF1216"/>
    <w:pPr>
      <w:spacing w:after="120" w:line="480" w:lineRule="auto"/>
    </w:pPr>
  </w:style>
  <w:style w:type="character" w:customStyle="1" w:styleId="BodyText2Char">
    <w:name w:val="Body Text 2 Char"/>
    <w:link w:val="BodyText2"/>
    <w:uiPriority w:val="99"/>
    <w:locked/>
    <w:rsid w:val="00CF1216"/>
    <w:rPr>
      <w:sz w:val="24"/>
      <w:szCs w:val="24"/>
      <w:lang w:val="en-US" w:eastAsia="en-US"/>
    </w:rPr>
  </w:style>
  <w:style w:type="character" w:customStyle="1" w:styleId="TagStyle">
    <w:name w:val="TagStyle"/>
    <w:uiPriority w:val="99"/>
    <w:rsid w:val="00CF1216"/>
    <w:rPr>
      <w:rFonts w:ascii="Times New Roman" w:hAnsi="Times New Roman" w:cs="Times New Roman"/>
      <w:color w:val="FF00FF"/>
      <w:sz w:val="24"/>
      <w:szCs w:val="24"/>
    </w:rPr>
  </w:style>
  <w:style w:type="paragraph" w:customStyle="1" w:styleId="BodyTextSingle">
    <w:name w:val="Body Text Single"/>
    <w:aliases w:val="bs"/>
    <w:basedOn w:val="Normal"/>
    <w:uiPriority w:val="99"/>
    <w:rsid w:val="00CF1216"/>
    <w:pPr>
      <w:spacing w:after="240"/>
      <w:jc w:val="both"/>
    </w:pPr>
  </w:style>
  <w:style w:type="paragraph" w:styleId="TOCHeading">
    <w:name w:val="TOC Heading"/>
    <w:basedOn w:val="Heading1"/>
    <w:next w:val="Normal"/>
    <w:uiPriority w:val="99"/>
    <w:qFormat/>
    <w:rsid w:val="00CF1216"/>
    <w:pPr>
      <w:keepLines/>
      <w:spacing w:before="480" w:line="276" w:lineRule="auto"/>
      <w:ind w:left="0" w:firstLine="0"/>
      <w:outlineLvl w:val="9"/>
    </w:pPr>
    <w:rPr>
      <w:rFonts w:ascii="Cambria" w:hAnsi="Cambria" w:cs="Cambria"/>
      <w:caps w:val="0"/>
      <w:color w:val="365F91"/>
      <w:sz w:val="28"/>
      <w:szCs w:val="28"/>
    </w:rPr>
  </w:style>
  <w:style w:type="paragraph" w:customStyle="1" w:styleId="ColorfulList-Accent11">
    <w:name w:val="Colorful List - Accent 11"/>
    <w:basedOn w:val="Normal"/>
    <w:uiPriority w:val="99"/>
    <w:rsid w:val="00CF1216"/>
    <w:pPr>
      <w:ind w:left="720"/>
    </w:pPr>
  </w:style>
  <w:style w:type="paragraph" w:styleId="NoSpacing">
    <w:name w:val="No Spacing"/>
    <w:uiPriority w:val="1"/>
    <w:qFormat/>
    <w:rsid w:val="00CF1216"/>
    <w:rPr>
      <w:sz w:val="24"/>
      <w:szCs w:val="24"/>
    </w:rPr>
  </w:style>
  <w:style w:type="paragraph" w:styleId="z-TopofForm">
    <w:name w:val="HTML Top of Form"/>
    <w:basedOn w:val="Normal"/>
    <w:next w:val="Normal"/>
    <w:link w:val="z-TopofFormChar"/>
    <w:hidden/>
    <w:uiPriority w:val="99"/>
    <w:semiHidden/>
    <w:rsid w:val="00CF1216"/>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locked/>
    <w:rsid w:val="00CF1216"/>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CF1216"/>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locked/>
    <w:rsid w:val="00CF1216"/>
    <w:rPr>
      <w:rFonts w:ascii="Arial" w:hAnsi="Arial" w:cs="Arial"/>
      <w:vanish/>
      <w:sz w:val="16"/>
      <w:szCs w:val="16"/>
    </w:rPr>
  </w:style>
  <w:style w:type="paragraph" w:styleId="Revision">
    <w:name w:val="Revision"/>
    <w:hidden/>
    <w:uiPriority w:val="99"/>
    <w:semiHidden/>
    <w:rsid w:val="00CF1216"/>
    <w:rPr>
      <w:sz w:val="24"/>
      <w:szCs w:val="24"/>
    </w:rPr>
  </w:style>
  <w:style w:type="paragraph" w:styleId="ListParagraph">
    <w:name w:val="List Paragraph"/>
    <w:basedOn w:val="Normal"/>
    <w:uiPriority w:val="34"/>
    <w:qFormat/>
    <w:rsid w:val="008F5605"/>
    <w:pPr>
      <w:widowControl w:val="0"/>
      <w:ind w:leftChars="200" w:left="480"/>
    </w:pPr>
    <w:rPr>
      <w:rFonts w:ascii="Calibri" w:hAnsi="Calibri"/>
      <w:kern w:val="2"/>
      <w:szCs w:val="22"/>
      <w:lang w:eastAsia="zh-TW"/>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semiHidden/>
    <w:rsid w:val="00B02EF0"/>
    <w:rPr>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
    <w:uiPriority w:val="99"/>
    <w:semiHidden/>
    <w:locked/>
    <w:rsid w:val="00CC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1309">
      <w:bodyDiv w:val="1"/>
      <w:marLeft w:val="0"/>
      <w:marRight w:val="0"/>
      <w:marTop w:val="0"/>
      <w:marBottom w:val="0"/>
      <w:divBdr>
        <w:top w:val="none" w:sz="0" w:space="0" w:color="auto"/>
        <w:left w:val="none" w:sz="0" w:space="0" w:color="auto"/>
        <w:bottom w:val="none" w:sz="0" w:space="0" w:color="auto"/>
        <w:right w:val="none" w:sz="0" w:space="0" w:color="auto"/>
      </w:divBdr>
    </w:div>
    <w:div w:id="278728044">
      <w:bodyDiv w:val="1"/>
      <w:marLeft w:val="0"/>
      <w:marRight w:val="0"/>
      <w:marTop w:val="0"/>
      <w:marBottom w:val="0"/>
      <w:divBdr>
        <w:top w:val="none" w:sz="0" w:space="0" w:color="auto"/>
        <w:left w:val="none" w:sz="0" w:space="0" w:color="auto"/>
        <w:bottom w:val="none" w:sz="0" w:space="0" w:color="auto"/>
        <w:right w:val="none" w:sz="0" w:space="0" w:color="auto"/>
      </w:divBdr>
    </w:div>
    <w:div w:id="349530130">
      <w:bodyDiv w:val="1"/>
      <w:marLeft w:val="0"/>
      <w:marRight w:val="0"/>
      <w:marTop w:val="0"/>
      <w:marBottom w:val="0"/>
      <w:divBdr>
        <w:top w:val="none" w:sz="0" w:space="0" w:color="auto"/>
        <w:left w:val="none" w:sz="0" w:space="0" w:color="auto"/>
        <w:bottom w:val="none" w:sz="0" w:space="0" w:color="auto"/>
        <w:right w:val="none" w:sz="0" w:space="0" w:color="auto"/>
      </w:divBdr>
    </w:div>
    <w:div w:id="608700943">
      <w:bodyDiv w:val="1"/>
      <w:marLeft w:val="0"/>
      <w:marRight w:val="0"/>
      <w:marTop w:val="0"/>
      <w:marBottom w:val="0"/>
      <w:divBdr>
        <w:top w:val="none" w:sz="0" w:space="0" w:color="auto"/>
        <w:left w:val="none" w:sz="0" w:space="0" w:color="auto"/>
        <w:bottom w:val="none" w:sz="0" w:space="0" w:color="auto"/>
        <w:right w:val="none" w:sz="0" w:space="0" w:color="auto"/>
      </w:divBdr>
    </w:div>
    <w:div w:id="1075518629">
      <w:bodyDiv w:val="1"/>
      <w:marLeft w:val="0"/>
      <w:marRight w:val="0"/>
      <w:marTop w:val="0"/>
      <w:marBottom w:val="0"/>
      <w:divBdr>
        <w:top w:val="none" w:sz="0" w:space="0" w:color="auto"/>
        <w:left w:val="none" w:sz="0" w:space="0" w:color="auto"/>
        <w:bottom w:val="none" w:sz="0" w:space="0" w:color="auto"/>
        <w:right w:val="none" w:sz="0" w:space="0" w:color="auto"/>
      </w:divBdr>
    </w:div>
    <w:div w:id="1177885859">
      <w:bodyDiv w:val="1"/>
      <w:marLeft w:val="0"/>
      <w:marRight w:val="0"/>
      <w:marTop w:val="0"/>
      <w:marBottom w:val="0"/>
      <w:divBdr>
        <w:top w:val="none" w:sz="0" w:space="0" w:color="auto"/>
        <w:left w:val="none" w:sz="0" w:space="0" w:color="auto"/>
        <w:bottom w:val="none" w:sz="0" w:space="0" w:color="auto"/>
        <w:right w:val="none" w:sz="0" w:space="0" w:color="auto"/>
      </w:divBdr>
    </w:div>
    <w:div w:id="1191602420">
      <w:bodyDiv w:val="1"/>
      <w:marLeft w:val="0"/>
      <w:marRight w:val="0"/>
      <w:marTop w:val="0"/>
      <w:marBottom w:val="0"/>
      <w:divBdr>
        <w:top w:val="none" w:sz="0" w:space="0" w:color="auto"/>
        <w:left w:val="none" w:sz="0" w:space="0" w:color="auto"/>
        <w:bottom w:val="none" w:sz="0" w:space="0" w:color="auto"/>
        <w:right w:val="none" w:sz="0" w:space="0" w:color="auto"/>
      </w:divBdr>
    </w:div>
    <w:div w:id="1314602325">
      <w:marLeft w:val="0"/>
      <w:marRight w:val="0"/>
      <w:marTop w:val="0"/>
      <w:marBottom w:val="0"/>
      <w:divBdr>
        <w:top w:val="none" w:sz="0" w:space="0" w:color="auto"/>
        <w:left w:val="none" w:sz="0" w:space="0" w:color="auto"/>
        <w:bottom w:val="none" w:sz="0" w:space="0" w:color="auto"/>
        <w:right w:val="none" w:sz="0" w:space="0" w:color="auto"/>
      </w:divBdr>
      <w:divsChild>
        <w:div w:id="1314602322">
          <w:marLeft w:val="0"/>
          <w:marRight w:val="0"/>
          <w:marTop w:val="0"/>
          <w:marBottom w:val="0"/>
          <w:divBdr>
            <w:top w:val="none" w:sz="0" w:space="0" w:color="auto"/>
            <w:left w:val="none" w:sz="0" w:space="0" w:color="auto"/>
            <w:bottom w:val="none" w:sz="0" w:space="0" w:color="auto"/>
            <w:right w:val="none" w:sz="0" w:space="0" w:color="auto"/>
          </w:divBdr>
          <w:divsChild>
            <w:div w:id="1314602323">
              <w:marLeft w:val="0"/>
              <w:marRight w:val="0"/>
              <w:marTop w:val="0"/>
              <w:marBottom w:val="0"/>
              <w:divBdr>
                <w:top w:val="none" w:sz="0" w:space="0" w:color="auto"/>
                <w:left w:val="none" w:sz="0" w:space="0" w:color="auto"/>
                <w:bottom w:val="none" w:sz="0" w:space="0" w:color="auto"/>
                <w:right w:val="none" w:sz="0" w:space="0" w:color="auto"/>
              </w:divBdr>
              <w:divsChild>
                <w:div w:id="13146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2327">
          <w:marLeft w:val="0"/>
          <w:marRight w:val="0"/>
          <w:marTop w:val="0"/>
          <w:marBottom w:val="0"/>
          <w:divBdr>
            <w:top w:val="none" w:sz="0" w:space="0" w:color="auto"/>
            <w:left w:val="none" w:sz="0" w:space="0" w:color="auto"/>
            <w:bottom w:val="none" w:sz="0" w:space="0" w:color="auto"/>
            <w:right w:val="none" w:sz="0" w:space="0" w:color="auto"/>
          </w:divBdr>
          <w:divsChild>
            <w:div w:id="13146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800">
      <w:bodyDiv w:val="1"/>
      <w:marLeft w:val="0"/>
      <w:marRight w:val="0"/>
      <w:marTop w:val="0"/>
      <w:marBottom w:val="0"/>
      <w:divBdr>
        <w:top w:val="none" w:sz="0" w:space="0" w:color="auto"/>
        <w:left w:val="none" w:sz="0" w:space="0" w:color="auto"/>
        <w:bottom w:val="none" w:sz="0" w:space="0" w:color="auto"/>
        <w:right w:val="none" w:sz="0" w:space="0" w:color="auto"/>
      </w:divBdr>
    </w:div>
    <w:div w:id="19922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mailto:zkravitz@taftlaw.com" TargetMode="External"/><Relationship Id="rId3" Type="http://schemas.microsoft.com/office/2007/relationships/stylesWithEffects" Target="stylesWithEffects.xml"/><Relationship Id="rId21" Type="http://schemas.openxmlformats.org/officeDocument/2006/relationships/header" Target="header9.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mailto:myurick@taftlaw.com"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yperlink" Target="mailto:Bryce.mckenney@puc.state.oh.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Randall.griffin@dplinc.com" TargetMode="Externa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Judi.sobecki@dplinc.com" TargetMode="External"/><Relationship Id="rId28" Type="http://schemas.openxmlformats.org/officeDocument/2006/relationships/hyperlink" Target="mailto:jsharkey@ficlaw.com"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Ryan.orourke@puc.state.oh.us" TargetMode="External"/><Relationship Id="rId27" Type="http://schemas.openxmlformats.org/officeDocument/2006/relationships/hyperlink" Target="mailto:cfaruki@ficlaw.com" TargetMode="External"/><Relationship Id="rId30" Type="http://schemas.openxmlformats.org/officeDocument/2006/relationships/hyperlink" Target="mailto:Gregory.price@puc.state.oh.us" TargetMode="Externa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6355</Words>
  <Characters>33986</Characters>
  <Application>Microsoft Office Word</Application>
  <DocSecurity>0</DocSecurity>
  <Lines>835</Lines>
  <Paragraphs>271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40247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2014-01-31T19:36:00Z</cp:lastPrinted>
  <dcterms:created xsi:type="dcterms:W3CDTF">2014-01-31T21:13:00Z</dcterms:created>
  <dcterms:modified xsi:type="dcterms:W3CDTF">2014-01-31T21:13:00Z</dcterms:modified>
  <cp:category> </cp:category>
  <cp:contentStatus> </cp:contentStatus>
</cp:coreProperties>
</file>