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8E901" w14:textId="77777777" w:rsidR="00E83C72" w:rsidRPr="002424DE" w:rsidRDefault="00E83C72" w:rsidP="00E83C72">
      <w:pPr>
        <w:jc w:val="center"/>
        <w:rPr>
          <w:b/>
          <w:sz w:val="26"/>
          <w:szCs w:val="26"/>
        </w:rPr>
      </w:pPr>
      <w:bookmarkStart w:id="0" w:name="_Toc188843345"/>
      <w:r w:rsidRPr="002424DE">
        <w:rPr>
          <w:b/>
          <w:sz w:val="26"/>
          <w:szCs w:val="26"/>
        </w:rPr>
        <w:t>BEFORE</w:t>
      </w:r>
    </w:p>
    <w:p w14:paraId="7A1F7C70" w14:textId="77777777"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14:paraId="24F5D3EB" w14:textId="77777777"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14:paraId="58D43B01" w14:textId="77777777" w:rsidTr="00AE33CA">
        <w:trPr>
          <w:trHeight w:val="1863"/>
        </w:trPr>
        <w:tc>
          <w:tcPr>
            <w:tcW w:w="4698" w:type="dxa"/>
            <w:shd w:val="clear" w:color="auto" w:fill="auto"/>
          </w:tcPr>
          <w:p w14:paraId="05CFA256" w14:textId="77777777"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14:paraId="0993670E" w14:textId="77777777" w:rsidR="00C55279" w:rsidRDefault="00C55279" w:rsidP="00C55279">
            <w:pPr>
              <w:rPr>
                <w:color w:val="000000"/>
                <w:sz w:val="26"/>
                <w:szCs w:val="26"/>
              </w:rPr>
            </w:pPr>
          </w:p>
          <w:p w14:paraId="76E54532" w14:textId="77777777"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14:paraId="549C8972" w14:textId="77777777" w:rsidR="00E83C72" w:rsidRPr="00AE33CA" w:rsidRDefault="00E83C72" w:rsidP="00E83C72">
            <w:pPr>
              <w:rPr>
                <w:sz w:val="26"/>
                <w:szCs w:val="26"/>
              </w:rPr>
            </w:pPr>
            <w:r w:rsidRPr="00AE33CA">
              <w:rPr>
                <w:sz w:val="26"/>
                <w:szCs w:val="26"/>
              </w:rPr>
              <w:t>:</w:t>
            </w:r>
          </w:p>
          <w:p w14:paraId="1451C50A" w14:textId="77777777" w:rsidR="00E83C72" w:rsidRPr="00AE33CA" w:rsidRDefault="00E83C72" w:rsidP="00E83C72">
            <w:pPr>
              <w:rPr>
                <w:sz w:val="26"/>
                <w:szCs w:val="26"/>
              </w:rPr>
            </w:pPr>
            <w:r w:rsidRPr="00AE33CA">
              <w:rPr>
                <w:sz w:val="26"/>
                <w:szCs w:val="26"/>
              </w:rPr>
              <w:t>:</w:t>
            </w:r>
          </w:p>
          <w:p w14:paraId="2000D652" w14:textId="77777777" w:rsidR="00E83C72" w:rsidRPr="00AE33CA" w:rsidRDefault="00E83C72" w:rsidP="00E83C72">
            <w:pPr>
              <w:rPr>
                <w:sz w:val="26"/>
                <w:szCs w:val="26"/>
              </w:rPr>
            </w:pPr>
            <w:r w:rsidRPr="00AE33CA">
              <w:rPr>
                <w:sz w:val="26"/>
                <w:szCs w:val="26"/>
              </w:rPr>
              <w:t>:</w:t>
            </w:r>
          </w:p>
          <w:p w14:paraId="5B2AB86B" w14:textId="77777777" w:rsidR="00E83C72" w:rsidRDefault="00E83C72" w:rsidP="00E83C72">
            <w:pPr>
              <w:rPr>
                <w:sz w:val="26"/>
                <w:szCs w:val="26"/>
              </w:rPr>
            </w:pPr>
            <w:r w:rsidRPr="00AE33CA">
              <w:rPr>
                <w:sz w:val="26"/>
                <w:szCs w:val="26"/>
              </w:rPr>
              <w:t>:</w:t>
            </w:r>
          </w:p>
          <w:p w14:paraId="10F1B64B" w14:textId="77777777" w:rsidR="00C55279" w:rsidRDefault="00C55279" w:rsidP="00E83C72">
            <w:pPr>
              <w:rPr>
                <w:sz w:val="26"/>
                <w:szCs w:val="26"/>
              </w:rPr>
            </w:pPr>
            <w:r>
              <w:rPr>
                <w:sz w:val="26"/>
                <w:szCs w:val="26"/>
              </w:rPr>
              <w:t>:</w:t>
            </w:r>
          </w:p>
          <w:p w14:paraId="23EB116C" w14:textId="77777777" w:rsidR="00C55279" w:rsidRDefault="00C55279" w:rsidP="00E83C72">
            <w:pPr>
              <w:rPr>
                <w:sz w:val="26"/>
                <w:szCs w:val="26"/>
              </w:rPr>
            </w:pPr>
            <w:r>
              <w:rPr>
                <w:sz w:val="26"/>
                <w:szCs w:val="26"/>
              </w:rPr>
              <w:t>:</w:t>
            </w:r>
          </w:p>
          <w:p w14:paraId="0C081C3A" w14:textId="77777777" w:rsidR="00C55279" w:rsidRDefault="00C55279" w:rsidP="00E83C72">
            <w:pPr>
              <w:rPr>
                <w:sz w:val="26"/>
                <w:szCs w:val="26"/>
              </w:rPr>
            </w:pPr>
          </w:p>
          <w:p w14:paraId="2E2F9531" w14:textId="77777777" w:rsidR="00C55279" w:rsidRDefault="00C55279" w:rsidP="00E83C72">
            <w:pPr>
              <w:rPr>
                <w:sz w:val="26"/>
                <w:szCs w:val="26"/>
              </w:rPr>
            </w:pPr>
            <w:r>
              <w:rPr>
                <w:sz w:val="26"/>
                <w:szCs w:val="26"/>
              </w:rPr>
              <w:t>:</w:t>
            </w:r>
          </w:p>
          <w:p w14:paraId="727B5483" w14:textId="77777777" w:rsidR="00C55279" w:rsidRDefault="00C55279" w:rsidP="00E83C72">
            <w:pPr>
              <w:rPr>
                <w:sz w:val="26"/>
                <w:szCs w:val="26"/>
              </w:rPr>
            </w:pPr>
            <w:r>
              <w:rPr>
                <w:sz w:val="26"/>
                <w:szCs w:val="26"/>
              </w:rPr>
              <w:t>:</w:t>
            </w:r>
          </w:p>
          <w:p w14:paraId="00660C05" w14:textId="77777777" w:rsidR="00C55279" w:rsidRPr="00AE33CA" w:rsidRDefault="00C55279" w:rsidP="00E83C72">
            <w:pPr>
              <w:rPr>
                <w:sz w:val="26"/>
                <w:szCs w:val="26"/>
              </w:rPr>
            </w:pPr>
            <w:r>
              <w:rPr>
                <w:sz w:val="26"/>
                <w:szCs w:val="26"/>
              </w:rPr>
              <w:t>:</w:t>
            </w:r>
          </w:p>
          <w:p w14:paraId="65E7DAFB" w14:textId="77777777" w:rsidR="00906392" w:rsidRPr="00AE33CA" w:rsidRDefault="00906392" w:rsidP="00E83C72">
            <w:pPr>
              <w:rPr>
                <w:sz w:val="26"/>
                <w:szCs w:val="26"/>
              </w:rPr>
            </w:pPr>
          </w:p>
        </w:tc>
        <w:tc>
          <w:tcPr>
            <w:tcW w:w="3708" w:type="dxa"/>
            <w:shd w:val="clear" w:color="auto" w:fill="auto"/>
          </w:tcPr>
          <w:p w14:paraId="0AC8ADC0" w14:textId="77777777" w:rsidR="00E83C72" w:rsidRPr="00AE33CA" w:rsidRDefault="00E83C72" w:rsidP="00E83C72">
            <w:pPr>
              <w:rPr>
                <w:sz w:val="26"/>
                <w:szCs w:val="26"/>
              </w:rPr>
            </w:pPr>
          </w:p>
          <w:p w14:paraId="4FBE4317" w14:textId="77777777" w:rsidR="00E83C72" w:rsidRDefault="00E83C72" w:rsidP="00E83C72">
            <w:pPr>
              <w:rPr>
                <w:sz w:val="26"/>
                <w:szCs w:val="26"/>
              </w:rPr>
            </w:pPr>
            <w:r w:rsidRPr="00AE33CA">
              <w:rPr>
                <w:sz w:val="26"/>
                <w:szCs w:val="26"/>
              </w:rPr>
              <w:t xml:space="preserve">Case No. </w:t>
            </w:r>
            <w:r w:rsidR="00C55279">
              <w:rPr>
                <w:sz w:val="26"/>
                <w:szCs w:val="26"/>
              </w:rPr>
              <w:t>13-2385-EL-SSO</w:t>
            </w:r>
          </w:p>
          <w:p w14:paraId="5120A6DE" w14:textId="77777777" w:rsidR="00C55279" w:rsidRDefault="00C55279" w:rsidP="00E83C72">
            <w:pPr>
              <w:rPr>
                <w:sz w:val="26"/>
                <w:szCs w:val="26"/>
              </w:rPr>
            </w:pPr>
          </w:p>
          <w:p w14:paraId="6CAE607F" w14:textId="77777777" w:rsidR="00C55279" w:rsidRDefault="00C55279" w:rsidP="00E83C72">
            <w:pPr>
              <w:rPr>
                <w:sz w:val="26"/>
                <w:szCs w:val="26"/>
              </w:rPr>
            </w:pPr>
          </w:p>
          <w:p w14:paraId="78B8DDC5" w14:textId="77777777" w:rsidR="00C55279" w:rsidRDefault="00C55279" w:rsidP="00E83C72">
            <w:pPr>
              <w:rPr>
                <w:sz w:val="26"/>
                <w:szCs w:val="26"/>
              </w:rPr>
            </w:pPr>
          </w:p>
          <w:p w14:paraId="6720D5A9" w14:textId="77777777" w:rsidR="00C55279" w:rsidRDefault="00C55279" w:rsidP="00E83C72">
            <w:pPr>
              <w:rPr>
                <w:sz w:val="26"/>
                <w:szCs w:val="26"/>
              </w:rPr>
            </w:pPr>
          </w:p>
          <w:p w14:paraId="71B1A16A" w14:textId="77777777" w:rsidR="00C55279" w:rsidRDefault="00C55279" w:rsidP="00E83C72">
            <w:pPr>
              <w:rPr>
                <w:sz w:val="26"/>
                <w:szCs w:val="26"/>
              </w:rPr>
            </w:pPr>
          </w:p>
          <w:p w14:paraId="468A445C" w14:textId="77777777" w:rsidR="00C55279" w:rsidRDefault="00C55279" w:rsidP="00E83C72">
            <w:pPr>
              <w:rPr>
                <w:sz w:val="26"/>
                <w:szCs w:val="26"/>
              </w:rPr>
            </w:pPr>
          </w:p>
          <w:p w14:paraId="416D6A25" w14:textId="77777777" w:rsidR="00C55279" w:rsidRPr="00AE33CA" w:rsidRDefault="00C55279" w:rsidP="00E83C72">
            <w:pPr>
              <w:rPr>
                <w:sz w:val="26"/>
                <w:szCs w:val="26"/>
              </w:rPr>
            </w:pPr>
            <w:r>
              <w:rPr>
                <w:sz w:val="26"/>
                <w:szCs w:val="26"/>
              </w:rPr>
              <w:t>Case No. 13-2386-EL-AAM</w:t>
            </w:r>
          </w:p>
          <w:p w14:paraId="1D8DD66D" w14:textId="77777777" w:rsidR="00E83C72" w:rsidRPr="00AE33CA" w:rsidRDefault="00E83C72" w:rsidP="00E83C72">
            <w:pPr>
              <w:rPr>
                <w:sz w:val="26"/>
                <w:szCs w:val="26"/>
              </w:rPr>
            </w:pPr>
          </w:p>
          <w:p w14:paraId="6567C3ED" w14:textId="77777777" w:rsidR="00E83C72" w:rsidRPr="00AE33CA" w:rsidRDefault="00E83C72" w:rsidP="00E83C72">
            <w:pPr>
              <w:rPr>
                <w:sz w:val="26"/>
                <w:szCs w:val="26"/>
              </w:rPr>
            </w:pPr>
          </w:p>
        </w:tc>
      </w:tr>
    </w:tbl>
    <w:p w14:paraId="60E88262" w14:textId="77777777" w:rsidR="00E83C72" w:rsidRDefault="00E83C72" w:rsidP="00E83C72">
      <w:pPr>
        <w:rPr>
          <w:sz w:val="26"/>
          <w:szCs w:val="26"/>
        </w:rPr>
      </w:pPr>
    </w:p>
    <w:p w14:paraId="52DECE74" w14:textId="77777777" w:rsidR="00E83C72" w:rsidRDefault="00E83C72" w:rsidP="00E83C72">
      <w:pPr>
        <w:rPr>
          <w:sz w:val="26"/>
          <w:szCs w:val="26"/>
        </w:rPr>
      </w:pPr>
    </w:p>
    <w:p w14:paraId="48A324B6" w14:textId="77777777" w:rsidR="00E83C72" w:rsidRDefault="00E83C72" w:rsidP="00E83C72">
      <w:pPr>
        <w:rPr>
          <w:sz w:val="26"/>
          <w:szCs w:val="26"/>
        </w:rPr>
      </w:pPr>
    </w:p>
    <w:p w14:paraId="35C43B86" w14:textId="77777777" w:rsidR="00E83C72" w:rsidRDefault="00E83C72" w:rsidP="00E83C72">
      <w:pPr>
        <w:rPr>
          <w:sz w:val="26"/>
          <w:szCs w:val="26"/>
        </w:rPr>
      </w:pPr>
    </w:p>
    <w:p w14:paraId="442C629D" w14:textId="77777777" w:rsidR="00E83C72" w:rsidRDefault="00E83C72" w:rsidP="00E83C72">
      <w:pPr>
        <w:rPr>
          <w:sz w:val="26"/>
          <w:szCs w:val="26"/>
        </w:rPr>
      </w:pPr>
    </w:p>
    <w:p w14:paraId="75D00031" w14:textId="77777777" w:rsidR="00E83C72" w:rsidRDefault="00E83C72" w:rsidP="00E83C72">
      <w:pPr>
        <w:rPr>
          <w:sz w:val="26"/>
          <w:szCs w:val="26"/>
        </w:rPr>
      </w:pPr>
    </w:p>
    <w:p w14:paraId="47A44BDD" w14:textId="77777777" w:rsidR="00E83C72" w:rsidRPr="002424DE" w:rsidRDefault="00E83C72" w:rsidP="00E83C72">
      <w:pPr>
        <w:rPr>
          <w:sz w:val="26"/>
          <w:szCs w:val="26"/>
        </w:rPr>
      </w:pPr>
    </w:p>
    <w:p w14:paraId="04FF4511" w14:textId="77777777" w:rsidR="00E83C72" w:rsidRPr="002424DE" w:rsidRDefault="00E83C72" w:rsidP="00E83C72">
      <w:pPr>
        <w:jc w:val="center"/>
        <w:rPr>
          <w:b/>
          <w:sz w:val="26"/>
          <w:szCs w:val="26"/>
        </w:rPr>
      </w:pPr>
      <w:r w:rsidRPr="002424DE">
        <w:rPr>
          <w:b/>
          <w:sz w:val="26"/>
          <w:szCs w:val="26"/>
        </w:rPr>
        <w:t>PREFILED TESTIMONY</w:t>
      </w:r>
    </w:p>
    <w:p w14:paraId="5009403E" w14:textId="77777777" w:rsidR="00E83C72" w:rsidRPr="002424DE" w:rsidRDefault="00E83C72" w:rsidP="00E83C72">
      <w:pPr>
        <w:jc w:val="center"/>
        <w:rPr>
          <w:b/>
          <w:sz w:val="26"/>
          <w:szCs w:val="26"/>
        </w:rPr>
      </w:pPr>
      <w:r w:rsidRPr="002424DE">
        <w:rPr>
          <w:b/>
          <w:sz w:val="26"/>
          <w:szCs w:val="26"/>
        </w:rPr>
        <w:t>OF</w:t>
      </w:r>
    </w:p>
    <w:p w14:paraId="0DF264AA" w14:textId="77777777" w:rsidR="00AE33CA" w:rsidRPr="00AE33CA" w:rsidRDefault="003F41D3" w:rsidP="00E83C72">
      <w:pPr>
        <w:jc w:val="center"/>
        <w:rPr>
          <w:b/>
          <w:sz w:val="32"/>
          <w:szCs w:val="32"/>
        </w:rPr>
      </w:pPr>
      <w:r>
        <w:rPr>
          <w:b/>
          <w:sz w:val="32"/>
          <w:szCs w:val="32"/>
        </w:rPr>
        <w:t>PATRICK DONLON</w:t>
      </w:r>
    </w:p>
    <w:p w14:paraId="270C94F1" w14:textId="77777777" w:rsidR="00267212" w:rsidRDefault="003F41D3" w:rsidP="00E83C72">
      <w:pPr>
        <w:jc w:val="center"/>
        <w:rPr>
          <w:b/>
          <w:smallCaps/>
          <w:sz w:val="26"/>
          <w:szCs w:val="26"/>
        </w:rPr>
      </w:pPr>
      <w:r>
        <w:rPr>
          <w:b/>
          <w:smallCaps/>
          <w:sz w:val="26"/>
          <w:szCs w:val="26"/>
        </w:rPr>
        <w:t>Utilities</w:t>
      </w:r>
      <w:r w:rsidR="00AE33CA">
        <w:rPr>
          <w:b/>
          <w:smallCaps/>
          <w:sz w:val="26"/>
          <w:szCs w:val="26"/>
        </w:rPr>
        <w:t xml:space="preserve"> Departmen</w:t>
      </w:r>
      <w:r w:rsidR="00267212">
        <w:rPr>
          <w:b/>
          <w:smallCaps/>
          <w:sz w:val="26"/>
          <w:szCs w:val="26"/>
        </w:rPr>
        <w:t>t</w:t>
      </w:r>
    </w:p>
    <w:p w14:paraId="28BAAA75" w14:textId="77777777" w:rsidR="00E83C72" w:rsidRPr="002424DE" w:rsidRDefault="003F41D3" w:rsidP="00E83C72">
      <w:pPr>
        <w:jc w:val="center"/>
        <w:rPr>
          <w:b/>
          <w:smallCaps/>
          <w:sz w:val="26"/>
          <w:szCs w:val="26"/>
        </w:rPr>
      </w:pPr>
      <w:r>
        <w:rPr>
          <w:b/>
          <w:smallCaps/>
          <w:sz w:val="26"/>
          <w:szCs w:val="26"/>
        </w:rPr>
        <w:t>Rates</w:t>
      </w:r>
      <w:r w:rsidR="00C55279">
        <w:rPr>
          <w:b/>
          <w:smallCaps/>
          <w:sz w:val="26"/>
          <w:szCs w:val="26"/>
        </w:rPr>
        <w:t xml:space="preserve"> </w:t>
      </w:r>
      <w:r w:rsidR="00E83C72" w:rsidRPr="002424DE">
        <w:rPr>
          <w:b/>
          <w:smallCaps/>
          <w:sz w:val="26"/>
          <w:szCs w:val="26"/>
        </w:rPr>
        <w:t>Division</w:t>
      </w:r>
    </w:p>
    <w:p w14:paraId="1C2A1A3B" w14:textId="77777777"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14:paraId="163D071A" w14:textId="77777777" w:rsidR="00E83C72" w:rsidRPr="002424DE" w:rsidRDefault="00E83C72" w:rsidP="00E83C72">
      <w:pPr>
        <w:tabs>
          <w:tab w:val="left" w:pos="8640"/>
        </w:tabs>
        <w:ind w:left="4320"/>
        <w:rPr>
          <w:sz w:val="26"/>
          <w:szCs w:val="26"/>
          <w:u w:val="single"/>
        </w:rPr>
      </w:pPr>
    </w:p>
    <w:p w14:paraId="3E4636BA" w14:textId="77777777" w:rsidR="00E83C72" w:rsidRDefault="00E83C72" w:rsidP="00E83C72">
      <w:pPr>
        <w:tabs>
          <w:tab w:val="left" w:pos="8640"/>
        </w:tabs>
        <w:ind w:left="4320"/>
        <w:rPr>
          <w:sz w:val="26"/>
          <w:szCs w:val="26"/>
          <w:u w:val="single"/>
        </w:rPr>
      </w:pPr>
    </w:p>
    <w:p w14:paraId="26AE65F3" w14:textId="77777777" w:rsidR="00E83C72" w:rsidRDefault="00E83C72" w:rsidP="00E83C72">
      <w:pPr>
        <w:tabs>
          <w:tab w:val="left" w:pos="8640"/>
        </w:tabs>
        <w:ind w:left="4320"/>
        <w:rPr>
          <w:sz w:val="26"/>
          <w:szCs w:val="26"/>
          <w:u w:val="single"/>
        </w:rPr>
      </w:pPr>
    </w:p>
    <w:p w14:paraId="0B89CFBB" w14:textId="77777777" w:rsidR="00E83C72" w:rsidRDefault="00E83C72" w:rsidP="00E83C72">
      <w:pPr>
        <w:tabs>
          <w:tab w:val="left" w:pos="8640"/>
        </w:tabs>
        <w:ind w:left="4320"/>
        <w:rPr>
          <w:sz w:val="26"/>
          <w:szCs w:val="26"/>
          <w:u w:val="single"/>
        </w:rPr>
      </w:pPr>
    </w:p>
    <w:p w14:paraId="40F2F21B" w14:textId="77777777" w:rsidR="00E83C72" w:rsidRDefault="00E83C72" w:rsidP="00E83C72">
      <w:pPr>
        <w:tabs>
          <w:tab w:val="left" w:pos="8640"/>
        </w:tabs>
        <w:ind w:left="4320"/>
        <w:rPr>
          <w:sz w:val="26"/>
          <w:szCs w:val="26"/>
          <w:u w:val="single"/>
        </w:rPr>
      </w:pPr>
    </w:p>
    <w:p w14:paraId="433EBFFD" w14:textId="77777777" w:rsidR="00E83C72" w:rsidRDefault="00E83C72" w:rsidP="00E83C72">
      <w:pPr>
        <w:tabs>
          <w:tab w:val="left" w:pos="8640"/>
        </w:tabs>
        <w:ind w:left="4320"/>
        <w:rPr>
          <w:sz w:val="26"/>
          <w:szCs w:val="26"/>
          <w:u w:val="single"/>
        </w:rPr>
      </w:pPr>
    </w:p>
    <w:p w14:paraId="59582001" w14:textId="77777777" w:rsidR="00E83C72" w:rsidRPr="002424DE" w:rsidRDefault="00E83C72" w:rsidP="00E83C72">
      <w:pPr>
        <w:tabs>
          <w:tab w:val="left" w:pos="8640"/>
        </w:tabs>
        <w:ind w:left="4320"/>
        <w:rPr>
          <w:sz w:val="26"/>
          <w:szCs w:val="26"/>
          <w:u w:val="single"/>
        </w:rPr>
      </w:pPr>
    </w:p>
    <w:p w14:paraId="24D0B110" w14:textId="77777777" w:rsidR="00E83C72" w:rsidRPr="002424DE" w:rsidRDefault="00E83C72" w:rsidP="00E83C72">
      <w:pPr>
        <w:jc w:val="center"/>
        <w:rPr>
          <w:b/>
          <w:sz w:val="26"/>
          <w:szCs w:val="26"/>
        </w:rPr>
      </w:pPr>
      <w:r w:rsidRPr="002424DE">
        <w:rPr>
          <w:b/>
          <w:sz w:val="26"/>
          <w:szCs w:val="26"/>
        </w:rPr>
        <w:t>Staff Exhibit _____</w:t>
      </w:r>
    </w:p>
    <w:p w14:paraId="75257F76" w14:textId="77777777" w:rsidR="00E83C72" w:rsidRDefault="00E83C72" w:rsidP="00E83C72">
      <w:pPr>
        <w:rPr>
          <w:b/>
          <w:sz w:val="26"/>
          <w:szCs w:val="26"/>
        </w:rPr>
      </w:pPr>
    </w:p>
    <w:p w14:paraId="3A97CB1A" w14:textId="77777777" w:rsidR="00AE33CA" w:rsidRDefault="00AE33CA" w:rsidP="00E83C72">
      <w:pPr>
        <w:rPr>
          <w:b/>
          <w:sz w:val="26"/>
          <w:szCs w:val="26"/>
        </w:rPr>
      </w:pPr>
    </w:p>
    <w:p w14:paraId="6C577A63" w14:textId="77777777" w:rsidR="00AE33CA" w:rsidRDefault="00AE33CA" w:rsidP="00E83C72">
      <w:pPr>
        <w:rPr>
          <w:b/>
          <w:sz w:val="26"/>
          <w:szCs w:val="26"/>
        </w:rPr>
      </w:pPr>
    </w:p>
    <w:p w14:paraId="72FF0EEA" w14:textId="77777777" w:rsidR="00AE33CA" w:rsidRDefault="00AE33CA" w:rsidP="00E83C72">
      <w:pPr>
        <w:rPr>
          <w:b/>
          <w:sz w:val="26"/>
          <w:szCs w:val="26"/>
        </w:rPr>
      </w:pPr>
    </w:p>
    <w:p w14:paraId="3DEC1707" w14:textId="77777777" w:rsidR="00AE33CA" w:rsidRDefault="00AE33CA" w:rsidP="00E83C72">
      <w:pPr>
        <w:rPr>
          <w:b/>
          <w:sz w:val="26"/>
          <w:szCs w:val="26"/>
        </w:rPr>
      </w:pPr>
    </w:p>
    <w:p w14:paraId="253C304D" w14:textId="77777777" w:rsidR="00AE33CA" w:rsidRDefault="00AE33CA" w:rsidP="00E83C72">
      <w:pPr>
        <w:rPr>
          <w:b/>
          <w:sz w:val="26"/>
          <w:szCs w:val="26"/>
        </w:rPr>
      </w:pPr>
    </w:p>
    <w:p w14:paraId="1115BBC3" w14:textId="77777777" w:rsidR="00AE33CA" w:rsidRPr="002424DE" w:rsidRDefault="00AE33CA" w:rsidP="00E83C72">
      <w:pPr>
        <w:rPr>
          <w:b/>
          <w:sz w:val="26"/>
          <w:szCs w:val="26"/>
        </w:rPr>
      </w:pPr>
    </w:p>
    <w:p w14:paraId="09D0EDC0" w14:textId="77777777" w:rsidR="00E83C72" w:rsidRPr="002424DE" w:rsidRDefault="00C55279" w:rsidP="00E83C72">
      <w:pPr>
        <w:rPr>
          <w:b/>
          <w:sz w:val="26"/>
          <w:szCs w:val="26"/>
        </w:rPr>
      </w:pPr>
      <w:r>
        <w:rPr>
          <w:b/>
          <w:sz w:val="26"/>
          <w:szCs w:val="26"/>
        </w:rPr>
        <w:t>May 20, 2014</w:t>
      </w:r>
    </w:p>
    <w:p w14:paraId="2F3DA449" w14:textId="77777777" w:rsidR="00E83C72" w:rsidRPr="002424DE" w:rsidRDefault="00E83C72" w:rsidP="00E83C72">
      <w:pPr>
        <w:sectPr w:rsidR="00E83C72" w:rsidRPr="002424DE" w:rsidSect="006B3CB5">
          <w:headerReference w:type="first" r:id="rId8"/>
          <w:pgSz w:w="12240" w:h="15840"/>
          <w:pgMar w:top="1440" w:right="1440" w:bottom="1440" w:left="1440" w:header="720" w:footer="720" w:gutter="0"/>
          <w:cols w:space="720"/>
          <w:docGrid w:linePitch="360"/>
        </w:sectPr>
      </w:pPr>
    </w:p>
    <w:p w14:paraId="1B42D6FB" w14:textId="77777777" w:rsidR="00A20E3D" w:rsidRDefault="00A20E3D" w:rsidP="00A20E3D">
      <w:pPr>
        <w:pStyle w:val="TOC1"/>
        <w:rPr>
          <w:rFonts w:asciiTheme="minorHAnsi" w:eastAsiaTheme="minorEastAsia" w:hAnsiTheme="minorHAnsi" w:cstheme="minorBidi"/>
          <w:sz w:val="22"/>
          <w:szCs w:val="22"/>
        </w:rPr>
      </w:pPr>
      <w:r>
        <w:lastRenderedPageBreak/>
        <w:fldChar w:fldCharType="begin"/>
      </w:r>
      <w:r>
        <w:instrText xml:space="preserve"> TOC \o "1-4" \u </w:instrText>
      </w:r>
      <w:r>
        <w:fldChar w:fldCharType="separate"/>
      </w:r>
      <w:r>
        <w:t>BAD DEBT RIDER</w:t>
      </w:r>
      <w:r>
        <w:tab/>
      </w:r>
      <w:r>
        <w:fldChar w:fldCharType="begin"/>
      </w:r>
      <w:r>
        <w:instrText xml:space="preserve"> PAGEREF _Toc387747568 \h </w:instrText>
      </w:r>
      <w:r>
        <w:fldChar w:fldCharType="separate"/>
      </w:r>
      <w:r w:rsidR="00E31384">
        <w:t>5</w:t>
      </w:r>
      <w:r>
        <w:fldChar w:fldCharType="end"/>
      </w:r>
    </w:p>
    <w:p w14:paraId="6E3E1912" w14:textId="77777777" w:rsidR="00A20E3D" w:rsidRDefault="00A20E3D" w:rsidP="00A20E3D">
      <w:pPr>
        <w:pStyle w:val="TOC1"/>
        <w:rPr>
          <w:rFonts w:asciiTheme="minorHAnsi" w:eastAsiaTheme="minorEastAsia" w:hAnsiTheme="minorHAnsi" w:cstheme="minorBidi"/>
          <w:sz w:val="22"/>
          <w:szCs w:val="22"/>
        </w:rPr>
      </w:pPr>
      <w:r>
        <w:t>LATE FEE</w:t>
      </w:r>
      <w:r>
        <w:tab/>
      </w:r>
      <w:r>
        <w:fldChar w:fldCharType="begin"/>
      </w:r>
      <w:r>
        <w:instrText xml:space="preserve"> PAGEREF _Toc387747569 \h </w:instrText>
      </w:r>
      <w:r>
        <w:fldChar w:fldCharType="separate"/>
      </w:r>
      <w:r w:rsidR="00E31384">
        <w:t>11</w:t>
      </w:r>
      <w:r>
        <w:fldChar w:fldCharType="end"/>
      </w:r>
    </w:p>
    <w:p w14:paraId="5F54C917" w14:textId="77777777" w:rsidR="00A20E3D" w:rsidRDefault="00A20E3D" w:rsidP="00A20E3D">
      <w:pPr>
        <w:pStyle w:val="TOC1"/>
        <w:rPr>
          <w:rFonts w:asciiTheme="minorHAnsi" w:eastAsiaTheme="minorEastAsia" w:hAnsiTheme="minorHAnsi" w:cstheme="minorBidi"/>
          <w:sz w:val="22"/>
          <w:szCs w:val="22"/>
        </w:rPr>
      </w:pPr>
      <w:r>
        <w:t>PARTIAL PAYMENT TRACKING METHODOLOGY</w:t>
      </w:r>
      <w:r>
        <w:tab/>
      </w:r>
      <w:r>
        <w:fldChar w:fldCharType="begin"/>
      </w:r>
      <w:r>
        <w:instrText xml:space="preserve"> PAGEREF _Toc387747570 \h </w:instrText>
      </w:r>
      <w:r>
        <w:fldChar w:fldCharType="separate"/>
      </w:r>
      <w:r w:rsidR="00E31384">
        <w:t>12</w:t>
      </w:r>
      <w:r>
        <w:fldChar w:fldCharType="end"/>
      </w:r>
    </w:p>
    <w:p w14:paraId="52B35371" w14:textId="77777777" w:rsidR="00A20E3D" w:rsidRDefault="00A20E3D" w:rsidP="00A20E3D">
      <w:pPr>
        <w:pStyle w:val="TOC1"/>
        <w:rPr>
          <w:rFonts w:asciiTheme="minorHAnsi" w:eastAsiaTheme="minorEastAsia" w:hAnsiTheme="minorHAnsi" w:cstheme="minorBidi"/>
          <w:sz w:val="22"/>
          <w:szCs w:val="22"/>
        </w:rPr>
      </w:pPr>
      <w:r>
        <w:t>IMPLEMENTATION COST</w:t>
      </w:r>
      <w:r>
        <w:tab/>
      </w:r>
      <w:r>
        <w:fldChar w:fldCharType="begin"/>
      </w:r>
      <w:r>
        <w:instrText xml:space="preserve"> PAGEREF _Toc387747571 \h </w:instrText>
      </w:r>
      <w:r>
        <w:fldChar w:fldCharType="separate"/>
      </w:r>
      <w:r w:rsidR="00E31384">
        <w:t>13</w:t>
      </w:r>
      <w:r>
        <w:fldChar w:fldCharType="end"/>
      </w:r>
    </w:p>
    <w:p w14:paraId="4494F8F5" w14:textId="77777777" w:rsidR="00A20E3D" w:rsidRDefault="00A20E3D" w:rsidP="00A20E3D">
      <w:pPr>
        <w:pStyle w:val="TOC1"/>
      </w:pPr>
      <w:r>
        <w:t>PROOF OF SERVICE</w:t>
      </w:r>
      <w:r>
        <w:tab/>
      </w:r>
      <w:r>
        <w:fldChar w:fldCharType="begin"/>
      </w:r>
      <w:r>
        <w:instrText xml:space="preserve"> PAGEREF _Toc387747572 \h </w:instrText>
      </w:r>
      <w:r>
        <w:fldChar w:fldCharType="separate"/>
      </w:r>
      <w:r w:rsidR="00E31384">
        <w:t>16</w:t>
      </w:r>
      <w:r>
        <w:fldChar w:fldCharType="end"/>
      </w:r>
    </w:p>
    <w:p w14:paraId="084A05A1" w14:textId="1AC69E99" w:rsidR="000421C2" w:rsidRPr="000421C2" w:rsidRDefault="000421C2" w:rsidP="000421C2">
      <w:pPr>
        <w:rPr>
          <w:rFonts w:eastAsiaTheme="minorEastAsia"/>
          <w:sz w:val="26"/>
          <w:szCs w:val="26"/>
        </w:rPr>
      </w:pPr>
      <w:r w:rsidRPr="000421C2">
        <w:rPr>
          <w:rFonts w:eastAsiaTheme="minorEastAsia"/>
          <w:sz w:val="26"/>
          <w:szCs w:val="26"/>
        </w:rPr>
        <w:t>ATTACHMENT 1</w:t>
      </w:r>
    </w:p>
    <w:p w14:paraId="5385A484" w14:textId="77777777" w:rsidR="00A20E3D" w:rsidRDefault="00A20E3D" w:rsidP="00974550">
      <w:pPr>
        <w:pStyle w:val="question"/>
        <w:sectPr w:rsidR="00A20E3D" w:rsidSect="00A20E3D">
          <w:headerReference w:type="default" r:id="rId9"/>
          <w:footerReference w:type="default" r:id="rId10"/>
          <w:headerReference w:type="first" r:id="rId11"/>
          <w:footerReference w:type="first" r:id="rId12"/>
          <w:pgSz w:w="12240" w:h="15840" w:code="1"/>
          <w:pgMar w:top="1440" w:right="1440" w:bottom="1440" w:left="1440" w:header="720" w:footer="720" w:gutter="0"/>
          <w:pgNumType w:fmt="lowerRoman" w:start="1"/>
          <w:cols w:space="720"/>
          <w:titlePg/>
          <w:docGrid w:linePitch="360"/>
        </w:sectPr>
      </w:pPr>
      <w:r>
        <w:fldChar w:fldCharType="end"/>
      </w:r>
    </w:p>
    <w:p w14:paraId="6AD44D93" w14:textId="10F2F3F4"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14:paraId="6DB0DE0F" w14:textId="77777777" w:rsidR="00283025" w:rsidRPr="00283025" w:rsidRDefault="00283025" w:rsidP="00283025">
      <w:pPr>
        <w:pStyle w:val="question"/>
      </w:pPr>
      <w:r w:rsidRPr="00CA21C8">
        <w:rPr>
          <w:rFonts w:ascii="Calibri" w:hAnsi="Calibri" w:cs="Calibri"/>
          <w:sz w:val="22"/>
          <w:szCs w:val="22"/>
        </w:rPr>
        <w:tab/>
      </w:r>
      <w:r w:rsidRPr="00283025">
        <w:t xml:space="preserve">A. </w:t>
      </w:r>
      <w:r w:rsidRPr="00283025">
        <w:tab/>
        <w:t>My name is Patrick Donlon and my business address is 180 East Broad Street, Columbus, Ohio 43215.</w:t>
      </w:r>
    </w:p>
    <w:p w14:paraId="3543E7C0" w14:textId="77777777" w:rsidR="00283025" w:rsidRPr="00283025" w:rsidRDefault="00283025" w:rsidP="00283025">
      <w:pPr>
        <w:pStyle w:val="question"/>
      </w:pPr>
    </w:p>
    <w:p w14:paraId="091E85CC" w14:textId="77777777" w:rsidR="00283025" w:rsidRPr="00283025" w:rsidRDefault="00283025" w:rsidP="00283025">
      <w:pPr>
        <w:pStyle w:val="question"/>
      </w:pPr>
      <w:r w:rsidRPr="00283025">
        <w:t>2.</w:t>
      </w:r>
      <w:r w:rsidRPr="00283025">
        <w:tab/>
        <w:t xml:space="preserve">Q. </w:t>
      </w:r>
      <w:r w:rsidRPr="00283025">
        <w:tab/>
        <w:t>By whom and in what capacity are you employed?</w:t>
      </w:r>
    </w:p>
    <w:p w14:paraId="72FF9CCD" w14:textId="77777777" w:rsidR="00283025" w:rsidRPr="00283025" w:rsidRDefault="00283025" w:rsidP="00283025">
      <w:pPr>
        <w:pStyle w:val="question"/>
      </w:pPr>
      <w:r w:rsidRPr="00283025">
        <w:tab/>
        <w:t xml:space="preserve">A. </w:t>
      </w:r>
      <w:r w:rsidRPr="00283025">
        <w:tab/>
        <w:t xml:space="preserve">I am employed by The Public Utilities Commission of Ohio (PUCO) as a Rates Division Administrator in the Utilities Department.  </w:t>
      </w:r>
    </w:p>
    <w:p w14:paraId="532F5F6E" w14:textId="77777777" w:rsidR="00283025" w:rsidRPr="00283025" w:rsidRDefault="00283025" w:rsidP="00283025">
      <w:pPr>
        <w:pStyle w:val="question"/>
      </w:pPr>
    </w:p>
    <w:p w14:paraId="5B6CDBA5" w14:textId="77777777" w:rsidR="00283025" w:rsidRPr="00283025" w:rsidRDefault="00283025" w:rsidP="00283025">
      <w:pPr>
        <w:pStyle w:val="question"/>
      </w:pPr>
      <w:r w:rsidRPr="00283025">
        <w:t>3.</w:t>
      </w:r>
      <w:r w:rsidRPr="00283025">
        <w:tab/>
        <w:t xml:space="preserve">Q. </w:t>
      </w:r>
      <w:r w:rsidRPr="00283025">
        <w:tab/>
        <w:t>How long have you been in your present position?</w:t>
      </w:r>
    </w:p>
    <w:p w14:paraId="7A333D3A" w14:textId="77777777" w:rsidR="00283025" w:rsidRPr="00283025" w:rsidRDefault="00283025" w:rsidP="00283025">
      <w:pPr>
        <w:pStyle w:val="question"/>
      </w:pPr>
      <w:r w:rsidRPr="00283025">
        <w:tab/>
        <w:t xml:space="preserve">A. </w:t>
      </w:r>
      <w:r w:rsidRPr="00283025">
        <w:tab/>
        <w:t xml:space="preserve">I assumed my present position in August of 2012.  </w:t>
      </w:r>
    </w:p>
    <w:p w14:paraId="1AC0D6AE" w14:textId="77777777" w:rsidR="00283025" w:rsidRPr="00283025" w:rsidRDefault="00283025" w:rsidP="00283025">
      <w:pPr>
        <w:pStyle w:val="question"/>
      </w:pPr>
    </w:p>
    <w:p w14:paraId="72F88762" w14:textId="77777777" w:rsidR="00283025" w:rsidRPr="00283025" w:rsidRDefault="00283025" w:rsidP="00283025">
      <w:pPr>
        <w:pStyle w:val="question"/>
      </w:pPr>
      <w:r w:rsidRPr="00283025">
        <w:t>4.</w:t>
      </w:r>
      <w:r w:rsidRPr="00283025">
        <w:tab/>
        <w:t xml:space="preserve">Q. </w:t>
      </w:r>
      <w:r w:rsidRPr="00283025">
        <w:tab/>
        <w:t>What are your responsibilities in your current position?</w:t>
      </w:r>
    </w:p>
    <w:p w14:paraId="436EA0F4" w14:textId="77777777" w:rsidR="00283025" w:rsidRPr="00283025" w:rsidRDefault="00283025" w:rsidP="00283025">
      <w:pPr>
        <w:pStyle w:val="question"/>
      </w:pPr>
      <w:r w:rsidRPr="00283025">
        <w:tab/>
        <w:t xml:space="preserve">A. </w:t>
      </w:r>
      <w:r w:rsidRPr="00283025">
        <w:tab/>
        <w:t xml:space="preserve">In my current position, I am responsible for managing several Staff members and actively participating in investigations of assigned phases of rate case applications and other financial audits of public utility companies subject to the jurisdiction of the PUCO.  </w:t>
      </w:r>
    </w:p>
    <w:p w14:paraId="06218F47" w14:textId="77777777" w:rsidR="00283025" w:rsidRPr="00283025" w:rsidRDefault="00283025" w:rsidP="00283025">
      <w:pPr>
        <w:pStyle w:val="question"/>
      </w:pPr>
    </w:p>
    <w:p w14:paraId="50825A14" w14:textId="77777777" w:rsidR="00283025" w:rsidRPr="00283025" w:rsidRDefault="00283025" w:rsidP="00283025">
      <w:pPr>
        <w:pStyle w:val="question"/>
      </w:pPr>
      <w:r w:rsidRPr="00283025">
        <w:t>5.</w:t>
      </w:r>
      <w:r w:rsidRPr="00283025">
        <w:tab/>
        <w:t xml:space="preserve">Q. </w:t>
      </w:r>
      <w:r w:rsidRPr="00283025">
        <w:tab/>
        <w:t>Will you describe briefly your educational and business background?</w:t>
      </w:r>
    </w:p>
    <w:p w14:paraId="33C68F74" w14:textId="77777777" w:rsidR="00283025" w:rsidRPr="00283025" w:rsidRDefault="00283025" w:rsidP="00283025">
      <w:pPr>
        <w:pStyle w:val="question"/>
      </w:pPr>
      <w:r w:rsidRPr="00283025">
        <w:tab/>
        <w:t xml:space="preserve">A. </w:t>
      </w:r>
      <w:r w:rsidRPr="00283025">
        <w:tab/>
        <w:t xml:space="preserve">I received a Bachelor of Science degree in Accounting with a minor in Economics Management from Ohio Wesleyan University in 2000.  In 2010, I earned a Master of Business Administration degree from Franklin University.   </w:t>
      </w:r>
    </w:p>
    <w:p w14:paraId="637A14FA" w14:textId="77777777" w:rsidR="00283025" w:rsidRPr="00283025" w:rsidRDefault="00283025" w:rsidP="00283025">
      <w:pPr>
        <w:pStyle w:val="question"/>
      </w:pPr>
      <w:r w:rsidRPr="00283025">
        <w:lastRenderedPageBreak/>
        <w:tab/>
      </w:r>
      <w:r w:rsidRPr="00283025">
        <w:tab/>
        <w:t xml:space="preserve">I worked for American Electric Power (AEP) for just under ten years in two stints with the company serving in various roles.  For AEP, I was an accountant in the Generation Accounting Department, an Hourly Energy Trader for AEP focusing in the Southwestern Power Pool (SPP) market, a Fuel, Emissions and Logistics (FEL) Coordinator and a financial planning analyst in Commercial Operations.  </w:t>
      </w:r>
    </w:p>
    <w:p w14:paraId="5D83B1BB" w14:textId="77777777" w:rsidR="00283025" w:rsidRPr="00283025" w:rsidRDefault="00283025" w:rsidP="00283025">
      <w:pPr>
        <w:pStyle w:val="question"/>
      </w:pPr>
      <w:r w:rsidRPr="00283025">
        <w:t>6.</w:t>
      </w:r>
      <w:r w:rsidRPr="00283025">
        <w:tab/>
        <w:t xml:space="preserve">Q. </w:t>
      </w:r>
      <w:r w:rsidRPr="00283025">
        <w:tab/>
        <w:t>Have you provided testimony before the Public Utility Commission of Ohio?</w:t>
      </w:r>
    </w:p>
    <w:p w14:paraId="204636E4" w14:textId="77777777" w:rsidR="00283025" w:rsidRPr="00283025" w:rsidRDefault="00283025" w:rsidP="00283025">
      <w:pPr>
        <w:pStyle w:val="question"/>
      </w:pPr>
      <w:r w:rsidRPr="00283025">
        <w:tab/>
        <w:t xml:space="preserve">A. </w:t>
      </w:r>
      <w:r w:rsidRPr="00283025">
        <w:tab/>
        <w:t>Yes, I provided testimony in the following cases: Dayton Power and Light, Case No. 12-426-EL-SSO; Duke, Case Nos. 12-1682-EL-AIR and 12-1685-GA-AIR; and Northeast Natural Gas, Case No. 12-209-GA-GCR, et al.</w:t>
      </w:r>
    </w:p>
    <w:p w14:paraId="40B48825" w14:textId="77777777" w:rsidR="00283025" w:rsidRPr="00283025" w:rsidRDefault="00283025" w:rsidP="00283025">
      <w:pPr>
        <w:pStyle w:val="question"/>
      </w:pPr>
    </w:p>
    <w:p w14:paraId="68D7B992" w14:textId="77777777" w:rsidR="00283025" w:rsidRPr="00283025" w:rsidRDefault="00283025" w:rsidP="00283025">
      <w:pPr>
        <w:pStyle w:val="question"/>
      </w:pPr>
      <w:r w:rsidRPr="00283025">
        <w:t>7.</w:t>
      </w:r>
      <w:r w:rsidRPr="00283025">
        <w:tab/>
        <w:t xml:space="preserve">Q. </w:t>
      </w:r>
      <w:r w:rsidRPr="00283025">
        <w:tab/>
        <w:t>What is the purpose of your testimony in this proceeding?</w:t>
      </w:r>
    </w:p>
    <w:p w14:paraId="36F716D7" w14:textId="77777777" w:rsidR="00283025" w:rsidRPr="00283025" w:rsidRDefault="00283025" w:rsidP="00283025">
      <w:pPr>
        <w:pStyle w:val="question"/>
      </w:pPr>
      <w:r w:rsidRPr="00283025">
        <w:tab/>
        <w:t>A.</w:t>
      </w:r>
      <w:r w:rsidRPr="00283025">
        <w:tab/>
        <w:t>The purpose of my testimony is to address AEP’s proposed Purchase of Receivable (POR) program and bad debt rider.</w:t>
      </w:r>
    </w:p>
    <w:p w14:paraId="40341929" w14:textId="77777777" w:rsidR="00283025" w:rsidRPr="00283025" w:rsidRDefault="00283025" w:rsidP="00283025">
      <w:pPr>
        <w:pStyle w:val="question"/>
      </w:pPr>
    </w:p>
    <w:p w14:paraId="29B618AE" w14:textId="77777777" w:rsidR="00283025" w:rsidRPr="00283025" w:rsidRDefault="00283025" w:rsidP="00283025">
      <w:pPr>
        <w:pStyle w:val="question"/>
      </w:pPr>
      <w:r w:rsidRPr="00283025">
        <w:t>8.</w:t>
      </w:r>
      <w:r w:rsidRPr="00283025">
        <w:tab/>
        <w:t xml:space="preserve">Q. </w:t>
      </w:r>
      <w:r w:rsidRPr="00283025">
        <w:tab/>
        <w:t>Does Staff feel that a POR program is appropriate?</w:t>
      </w:r>
    </w:p>
    <w:p w14:paraId="49DD9C6F" w14:textId="77777777" w:rsidR="00283025" w:rsidRPr="00283025" w:rsidRDefault="00283025" w:rsidP="00283025">
      <w:pPr>
        <w:pStyle w:val="question"/>
      </w:pPr>
      <w:r w:rsidRPr="00283025">
        <w:tab/>
        <w:t>A.</w:t>
      </w:r>
      <w:r w:rsidRPr="00283025">
        <w:tab/>
        <w:t xml:space="preserve">Yes.  As noted in the Commission’s Order in Case No. 12-3151-EL-COI, “the Commission encourages each EDU to include in its next distribution </w:t>
      </w:r>
      <w:r w:rsidRPr="00283025">
        <w:lastRenderedPageBreak/>
        <w:t>rate case or SSO an application to implement a POR program or equiva</w:t>
      </w:r>
      <w:r w:rsidR="00F02370">
        <w:softHyphen/>
      </w:r>
      <w:r w:rsidRPr="00283025">
        <w:t>lent.”</w:t>
      </w:r>
      <w:r w:rsidRPr="00283025">
        <w:rPr>
          <w:rStyle w:val="FootnoteReference"/>
          <w:rFonts w:ascii="Calibri" w:hAnsi="Calibri"/>
          <w:sz w:val="22"/>
        </w:rPr>
        <w:footnoteReference w:id="1"/>
      </w:r>
      <w:r w:rsidRPr="00283025">
        <w:t xml:space="preserve"> </w:t>
      </w:r>
    </w:p>
    <w:p w14:paraId="55C72444" w14:textId="77777777" w:rsidR="00283025" w:rsidRPr="00283025" w:rsidRDefault="00283025" w:rsidP="00283025">
      <w:pPr>
        <w:pStyle w:val="question"/>
      </w:pPr>
    </w:p>
    <w:p w14:paraId="53C72BA7" w14:textId="77777777" w:rsidR="00283025" w:rsidRPr="00283025" w:rsidRDefault="00283025" w:rsidP="00283025">
      <w:pPr>
        <w:pStyle w:val="question"/>
      </w:pPr>
      <w:r w:rsidRPr="00283025">
        <w:t>9.</w:t>
      </w:r>
      <w:r w:rsidRPr="00283025">
        <w:tab/>
        <w:t>Q.</w:t>
      </w:r>
      <w:r w:rsidRPr="00283025">
        <w:tab/>
        <w:t>Please explain the Company’s Purchase of Receivable program and bad debt rider as proposed.</w:t>
      </w:r>
    </w:p>
    <w:p w14:paraId="1AE2958A" w14:textId="13A58AF3" w:rsidR="00283025" w:rsidRPr="00283025" w:rsidRDefault="0020588C" w:rsidP="00283025">
      <w:pPr>
        <w:pStyle w:val="question"/>
      </w:pPr>
      <w:r>
        <w:tab/>
        <w:t xml:space="preserve">A. </w:t>
      </w:r>
      <w:r>
        <w:tab/>
        <w:t>The C</w:t>
      </w:r>
      <w:r w:rsidR="00283025" w:rsidRPr="00283025">
        <w:t>ompany is proposing to purchase the receivables of the Certified Retail Electric Service (CRES) providers that participate in consolidating billing.  The key points of the proposal are:</w:t>
      </w:r>
    </w:p>
    <w:p w14:paraId="018F89E1" w14:textId="77777777" w:rsidR="00283025" w:rsidRPr="00283025" w:rsidRDefault="00283025" w:rsidP="00283025">
      <w:pPr>
        <w:pStyle w:val="question"/>
        <w:numPr>
          <w:ilvl w:val="0"/>
          <w:numId w:val="8"/>
        </w:numPr>
        <w:ind w:left="2160" w:hanging="720"/>
      </w:pPr>
      <w:r w:rsidRPr="00283025">
        <w:t>POR without recourse,</w:t>
      </w:r>
    </w:p>
    <w:p w14:paraId="7AA93FCC" w14:textId="102161C5" w:rsidR="00283025" w:rsidRPr="00283025" w:rsidRDefault="00283025" w:rsidP="00283025">
      <w:pPr>
        <w:pStyle w:val="question"/>
        <w:numPr>
          <w:ilvl w:val="0"/>
          <w:numId w:val="8"/>
        </w:numPr>
        <w:ind w:left="2160" w:hanging="720"/>
      </w:pPr>
      <w:r w:rsidRPr="00283025">
        <w:t xml:space="preserve">All suppliers </w:t>
      </w:r>
      <w:r w:rsidR="00BD1B72">
        <w:t>that</w:t>
      </w:r>
      <w:r w:rsidRPr="00283025">
        <w:t xml:space="preserve"> use consolidating billing must participate,</w:t>
      </w:r>
    </w:p>
    <w:p w14:paraId="4A0164C1" w14:textId="123368B7" w:rsidR="00283025" w:rsidRPr="00283025" w:rsidRDefault="00283025" w:rsidP="00283025">
      <w:pPr>
        <w:pStyle w:val="question"/>
        <w:numPr>
          <w:ilvl w:val="0"/>
          <w:numId w:val="8"/>
        </w:numPr>
        <w:ind w:left="2160" w:hanging="720"/>
      </w:pPr>
      <w:r w:rsidRPr="00283025">
        <w:t>Initially</w:t>
      </w:r>
      <w:r w:rsidR="0025683E">
        <w:t>,</w:t>
      </w:r>
      <w:r w:rsidRPr="00283025">
        <w:t xml:space="preserve"> the Company will not purchase any receivables from cus</w:t>
      </w:r>
      <w:r w:rsidR="00F02370">
        <w:softHyphen/>
      </w:r>
      <w:r w:rsidRPr="00283025">
        <w:t xml:space="preserve">tomers 60 days or more in arrears, </w:t>
      </w:r>
    </w:p>
    <w:p w14:paraId="328317DB" w14:textId="77777777" w:rsidR="00283025" w:rsidRPr="00283025" w:rsidRDefault="00283025" w:rsidP="00283025">
      <w:pPr>
        <w:pStyle w:val="question"/>
        <w:numPr>
          <w:ilvl w:val="0"/>
          <w:numId w:val="8"/>
        </w:numPr>
        <w:ind w:left="2160" w:hanging="720"/>
      </w:pPr>
      <w:r w:rsidRPr="00283025">
        <w:t>The Company will only purchase commodity related charges,</w:t>
      </w:r>
    </w:p>
    <w:p w14:paraId="6A36FAEE" w14:textId="77777777" w:rsidR="00283025" w:rsidRPr="00283025" w:rsidRDefault="00283025" w:rsidP="00283025">
      <w:pPr>
        <w:pStyle w:val="question"/>
        <w:numPr>
          <w:ilvl w:val="0"/>
          <w:numId w:val="8"/>
        </w:numPr>
        <w:ind w:left="2160" w:hanging="720"/>
      </w:pPr>
      <w:r w:rsidRPr="00283025">
        <w:t>The Company will pay CRES providers on a “revenue lag” annual calculation,</w:t>
      </w:r>
    </w:p>
    <w:p w14:paraId="5A457C83" w14:textId="77777777" w:rsidR="00283025" w:rsidRPr="00283025" w:rsidRDefault="00283025" w:rsidP="00283025">
      <w:pPr>
        <w:pStyle w:val="question"/>
        <w:numPr>
          <w:ilvl w:val="0"/>
          <w:numId w:val="8"/>
        </w:numPr>
        <w:ind w:left="2160" w:hanging="720"/>
      </w:pPr>
      <w:r w:rsidRPr="00283025">
        <w:t>The Company will create a bad debt rider,</w:t>
      </w:r>
    </w:p>
    <w:p w14:paraId="36C697B0" w14:textId="77777777" w:rsidR="00283025" w:rsidRPr="00283025" w:rsidRDefault="00283025" w:rsidP="00283025">
      <w:pPr>
        <w:pStyle w:val="question"/>
        <w:numPr>
          <w:ilvl w:val="0"/>
          <w:numId w:val="8"/>
        </w:numPr>
        <w:ind w:left="2160" w:hanging="720"/>
      </w:pPr>
      <w:r w:rsidRPr="00283025">
        <w:t>The Company will create a late fee with the additional revenue off</w:t>
      </w:r>
      <w:r w:rsidR="00F02370">
        <w:softHyphen/>
      </w:r>
      <w:r w:rsidRPr="00283025">
        <w:t>setting the bad debt rider,</w:t>
      </w:r>
    </w:p>
    <w:p w14:paraId="7BB61C91" w14:textId="77777777" w:rsidR="00283025" w:rsidRPr="00283025" w:rsidRDefault="00283025" w:rsidP="00283025">
      <w:pPr>
        <w:pStyle w:val="question"/>
        <w:numPr>
          <w:ilvl w:val="0"/>
          <w:numId w:val="8"/>
        </w:numPr>
        <w:ind w:left="2160" w:hanging="720"/>
      </w:pPr>
      <w:r w:rsidRPr="00283025">
        <w:lastRenderedPageBreak/>
        <w:t>The Company will charge an annual fee to CRES providers for implementation and incremental cost of the POR program.</w:t>
      </w:r>
    </w:p>
    <w:p w14:paraId="1472DA85" w14:textId="77777777" w:rsidR="00283025" w:rsidRPr="00CA21C8" w:rsidRDefault="00283025" w:rsidP="00283025">
      <w:pPr>
        <w:pStyle w:val="question"/>
        <w:ind w:left="2160" w:firstLine="0"/>
        <w:rPr>
          <w:rFonts w:ascii="Calibri" w:hAnsi="Calibri" w:cs="Calibri"/>
          <w:sz w:val="22"/>
          <w:szCs w:val="22"/>
        </w:rPr>
      </w:pPr>
    </w:p>
    <w:p w14:paraId="1535CCE7" w14:textId="205C64AA" w:rsidR="00283025" w:rsidRPr="00283025" w:rsidRDefault="00283025" w:rsidP="00283025">
      <w:pPr>
        <w:pStyle w:val="question"/>
      </w:pPr>
      <w:r w:rsidRPr="00283025">
        <w:t>10.</w:t>
      </w:r>
      <w:r w:rsidRPr="00283025">
        <w:tab/>
        <w:t>Q.</w:t>
      </w:r>
      <w:r w:rsidRPr="00283025">
        <w:tab/>
        <w:t xml:space="preserve">Does Staff recommend the purchase of receivable program as proposed by </w:t>
      </w:r>
      <w:r w:rsidR="0025683E">
        <w:t>the C</w:t>
      </w:r>
      <w:r w:rsidRPr="00283025">
        <w:t>ompany?</w:t>
      </w:r>
    </w:p>
    <w:p w14:paraId="4C027051" w14:textId="77777777" w:rsidR="00283025" w:rsidRPr="00283025" w:rsidRDefault="00283025" w:rsidP="00283025">
      <w:pPr>
        <w:pStyle w:val="question"/>
      </w:pPr>
      <w:r w:rsidRPr="00283025">
        <w:tab/>
        <w:t xml:space="preserve">A. </w:t>
      </w:r>
      <w:r w:rsidRPr="00283025">
        <w:tab/>
        <w:t xml:space="preserve">No, while Staff does agree that a purchase of receivable program is appropriate, there are significant changes Staff recommends.  </w:t>
      </w:r>
    </w:p>
    <w:p w14:paraId="149BA853" w14:textId="77777777" w:rsidR="00283025" w:rsidRPr="00283025" w:rsidRDefault="00283025" w:rsidP="00283025">
      <w:pPr>
        <w:pStyle w:val="question"/>
      </w:pPr>
    </w:p>
    <w:p w14:paraId="329523E9" w14:textId="77777777" w:rsidR="00283025" w:rsidRPr="00283025" w:rsidRDefault="00283025" w:rsidP="00283025">
      <w:pPr>
        <w:pStyle w:val="question"/>
      </w:pPr>
      <w:r w:rsidRPr="00283025">
        <w:t>11.</w:t>
      </w:r>
      <w:r w:rsidRPr="00283025">
        <w:tab/>
        <w:t>Q.</w:t>
      </w:r>
      <w:r w:rsidRPr="00283025">
        <w:tab/>
        <w:t xml:space="preserve">Which parts of the Company’s proposed POR does Staff disagree with? </w:t>
      </w:r>
    </w:p>
    <w:p w14:paraId="1E8F7E7C" w14:textId="77777777" w:rsidR="00283025" w:rsidRPr="00283025" w:rsidRDefault="00283025" w:rsidP="00283025">
      <w:pPr>
        <w:pStyle w:val="question"/>
      </w:pPr>
      <w:r w:rsidRPr="00283025">
        <w:tab/>
        <w:t xml:space="preserve">A. </w:t>
      </w:r>
      <w:r w:rsidRPr="00283025">
        <w:tab/>
        <w:t xml:space="preserve">Staff disagrees or has changes to the following proposals of the Company: </w:t>
      </w:r>
    </w:p>
    <w:p w14:paraId="01F4108D" w14:textId="77777777" w:rsidR="00283025" w:rsidRPr="00283025" w:rsidRDefault="00283025" w:rsidP="00283025">
      <w:pPr>
        <w:pStyle w:val="question"/>
        <w:numPr>
          <w:ilvl w:val="0"/>
          <w:numId w:val="8"/>
        </w:numPr>
        <w:ind w:left="2160" w:hanging="720"/>
      </w:pPr>
      <w:r w:rsidRPr="00283025">
        <w:t>The Company’s bad debt rider</w:t>
      </w:r>
      <w:r>
        <w:t>;</w:t>
      </w:r>
    </w:p>
    <w:p w14:paraId="0B2B98DD" w14:textId="77777777" w:rsidR="00283025" w:rsidRPr="00283025" w:rsidRDefault="00283025" w:rsidP="00283025">
      <w:pPr>
        <w:pStyle w:val="question"/>
        <w:numPr>
          <w:ilvl w:val="0"/>
          <w:numId w:val="8"/>
        </w:numPr>
        <w:ind w:left="2160" w:hanging="720"/>
      </w:pPr>
      <w:r w:rsidRPr="00283025">
        <w:t>The Company’s creation of a late fee with the additional revenue offsetting the bad debt rider</w:t>
      </w:r>
      <w:r>
        <w:t>;</w:t>
      </w:r>
    </w:p>
    <w:p w14:paraId="22940D23" w14:textId="77777777" w:rsidR="00283025" w:rsidRPr="00283025" w:rsidRDefault="00283025" w:rsidP="00283025">
      <w:pPr>
        <w:pStyle w:val="question"/>
        <w:numPr>
          <w:ilvl w:val="0"/>
          <w:numId w:val="8"/>
        </w:numPr>
        <w:ind w:left="2160" w:hanging="720"/>
      </w:pPr>
      <w:r w:rsidRPr="00283025">
        <w:t>The Company charging an annual fee to CRES providers for imple</w:t>
      </w:r>
      <w:r w:rsidR="00F02370">
        <w:softHyphen/>
      </w:r>
      <w:r w:rsidRPr="00283025">
        <w:t>mentation and incremental cost of the POR program</w:t>
      </w:r>
      <w:r>
        <w:t>.</w:t>
      </w:r>
      <w:r w:rsidRPr="00283025">
        <w:tab/>
        <w:t xml:space="preserve">    </w:t>
      </w:r>
    </w:p>
    <w:p w14:paraId="24C8C0B0" w14:textId="77777777" w:rsidR="00283025" w:rsidRPr="00283025" w:rsidRDefault="00283025" w:rsidP="00283025">
      <w:pPr>
        <w:pStyle w:val="question"/>
      </w:pPr>
    </w:p>
    <w:p w14:paraId="4494E762" w14:textId="77777777" w:rsidR="00283025" w:rsidRPr="00283025" w:rsidRDefault="00283025" w:rsidP="00283025">
      <w:pPr>
        <w:pStyle w:val="question"/>
      </w:pPr>
      <w:r w:rsidRPr="00283025">
        <w:t xml:space="preserve"> 12.</w:t>
      </w:r>
      <w:r w:rsidRPr="00283025">
        <w:tab/>
        <w:t>Q.</w:t>
      </w:r>
      <w:r w:rsidRPr="00283025">
        <w:tab/>
        <w:t>Does Staff agree that all customers that participate in consolidated billing should be required to participate in the POR program?</w:t>
      </w:r>
    </w:p>
    <w:p w14:paraId="1F7D68B7" w14:textId="7B4B29DF" w:rsidR="00283025" w:rsidRPr="00283025" w:rsidRDefault="00283025" w:rsidP="00283025">
      <w:pPr>
        <w:pStyle w:val="question"/>
      </w:pPr>
      <w:r w:rsidRPr="00283025">
        <w:tab/>
        <w:t xml:space="preserve">A. </w:t>
      </w:r>
      <w:r w:rsidRPr="00283025">
        <w:tab/>
        <w:t>No, Staff believes that large industrial and large commercial customers should be excluded from the POR program, even if they participate in con</w:t>
      </w:r>
      <w:r w:rsidR="00F02370">
        <w:softHyphen/>
      </w:r>
      <w:r w:rsidRPr="00283025">
        <w:t>solidated billing.  However, all other rate classes</w:t>
      </w:r>
      <w:r w:rsidR="0025683E">
        <w:t>,</w:t>
      </w:r>
      <w:r w:rsidRPr="00283025">
        <w:t xml:space="preserve"> if participating in consoli</w:t>
      </w:r>
      <w:r w:rsidR="00F02370">
        <w:softHyphen/>
      </w:r>
      <w:r w:rsidRPr="00283025">
        <w:t>dated billing</w:t>
      </w:r>
      <w:r w:rsidR="0025683E">
        <w:t>,</w:t>
      </w:r>
      <w:r w:rsidRPr="00283025">
        <w:t xml:space="preserve"> should be mandated to participate in the POR program.   </w:t>
      </w:r>
    </w:p>
    <w:p w14:paraId="59911AA4" w14:textId="77777777" w:rsidR="00283025" w:rsidRPr="00283025" w:rsidRDefault="00283025" w:rsidP="0039210C">
      <w:pPr>
        <w:pStyle w:val="Heading1"/>
      </w:pPr>
      <w:bookmarkStart w:id="1" w:name="_Toc387747568"/>
      <w:r>
        <w:lastRenderedPageBreak/>
        <w:t>BAD DEBT RIDER</w:t>
      </w:r>
      <w:bookmarkEnd w:id="1"/>
    </w:p>
    <w:p w14:paraId="2EB7F705" w14:textId="77777777" w:rsidR="00283025" w:rsidRPr="00283025" w:rsidRDefault="00283025" w:rsidP="00283025">
      <w:pPr>
        <w:pStyle w:val="question"/>
      </w:pPr>
      <w:r w:rsidRPr="00283025">
        <w:t>13.</w:t>
      </w:r>
      <w:r w:rsidRPr="00283025">
        <w:tab/>
        <w:t>Q.</w:t>
      </w:r>
      <w:r w:rsidRPr="00283025">
        <w:tab/>
        <w:t>Explain the bad debt rider as proposed by the Company?</w:t>
      </w:r>
    </w:p>
    <w:p w14:paraId="628C54CE" w14:textId="0F9A2A97" w:rsidR="00283025" w:rsidRPr="00283025" w:rsidRDefault="00283025" w:rsidP="00283025">
      <w:pPr>
        <w:pStyle w:val="question"/>
      </w:pPr>
      <w:r w:rsidRPr="00283025">
        <w:tab/>
        <w:t xml:space="preserve">A. </w:t>
      </w:r>
      <w:r w:rsidRPr="00283025">
        <w:tab/>
        <w:t xml:space="preserve">The Company is proposing a bad debt rider that will recover forecasted incremental bad debt expenses annually above the $12,221,000 of bad debt expense that is currently collected in distribution base rates.   The Company proposes the addition of late payment fees that will offset the bad debt rider.  The Company proposes that the bad debt purchased from the CRES as part of the POR program and the Company’s own SSO customers be included in the rider. Also, </w:t>
      </w:r>
      <w:r w:rsidR="0025683E">
        <w:t xml:space="preserve">AEP proposes to include </w:t>
      </w:r>
      <w:r w:rsidR="0025683E" w:rsidRPr="00283025">
        <w:t xml:space="preserve">in the bad debt rider </w:t>
      </w:r>
      <w:r w:rsidRPr="00283025">
        <w:t xml:space="preserve">any percentage of income payment plan (PIPP) installment payments not recovered through universal service fund rider or from </w:t>
      </w:r>
      <w:r w:rsidR="0025683E">
        <w:t>an</w:t>
      </w:r>
      <w:r w:rsidRPr="00283025">
        <w:t xml:space="preserve">other mechanism.   </w:t>
      </w:r>
    </w:p>
    <w:p w14:paraId="3C9E4272" w14:textId="77777777" w:rsidR="00283025" w:rsidRPr="00283025" w:rsidRDefault="00283025" w:rsidP="00283025">
      <w:pPr>
        <w:pStyle w:val="question"/>
      </w:pPr>
    </w:p>
    <w:p w14:paraId="1E67E090" w14:textId="77777777" w:rsidR="00283025" w:rsidRPr="00283025" w:rsidRDefault="00283025" w:rsidP="00283025">
      <w:pPr>
        <w:pStyle w:val="question"/>
      </w:pPr>
      <w:r w:rsidRPr="00283025">
        <w:t>14.</w:t>
      </w:r>
      <w:r w:rsidRPr="00283025">
        <w:tab/>
        <w:t>Q.</w:t>
      </w:r>
      <w:r w:rsidRPr="00283025">
        <w:tab/>
        <w:t>Does Staff agree that the Company should be allowed a bad debt rider to collect 100% of the purchased receivables?</w:t>
      </w:r>
    </w:p>
    <w:p w14:paraId="121EC34A" w14:textId="77777777" w:rsidR="00283025" w:rsidRPr="00283025" w:rsidRDefault="00283025" w:rsidP="00283025">
      <w:pPr>
        <w:pStyle w:val="question"/>
      </w:pPr>
      <w:r w:rsidRPr="00283025">
        <w:tab/>
        <w:t xml:space="preserve">A. </w:t>
      </w:r>
      <w:r w:rsidRPr="00283025">
        <w:tab/>
        <w:t xml:space="preserve">No, Staff recommends a discount rate for the purchased receivables instead of a bad debt rider.  A discount rate is a reduced purchase amount reflecting the potential risk of non-collection.  </w:t>
      </w:r>
    </w:p>
    <w:p w14:paraId="4136B298" w14:textId="77777777" w:rsidR="00283025" w:rsidRPr="00283025" w:rsidRDefault="00283025" w:rsidP="00283025">
      <w:pPr>
        <w:pStyle w:val="question"/>
      </w:pPr>
    </w:p>
    <w:p w14:paraId="6A6E3A59" w14:textId="1FA46374" w:rsidR="00283025" w:rsidRPr="00283025" w:rsidRDefault="00283025" w:rsidP="00283025">
      <w:pPr>
        <w:pStyle w:val="question"/>
      </w:pPr>
      <w:r w:rsidRPr="00283025">
        <w:t>15.</w:t>
      </w:r>
      <w:r w:rsidRPr="00283025">
        <w:tab/>
        <w:t>Q.</w:t>
      </w:r>
      <w:r w:rsidRPr="00283025">
        <w:tab/>
        <w:t>Why is S</w:t>
      </w:r>
      <w:r w:rsidR="0025683E">
        <w:t>taff recommending a discount rate instead of</w:t>
      </w:r>
      <w:r w:rsidRPr="00283025">
        <w:t xml:space="preserve"> the Company’s proposed bad debt rider?</w:t>
      </w:r>
    </w:p>
    <w:p w14:paraId="21C14CF7" w14:textId="108D0F1E" w:rsidR="00283025" w:rsidRPr="00283025" w:rsidRDefault="00283025" w:rsidP="00283025">
      <w:pPr>
        <w:pStyle w:val="question"/>
      </w:pPr>
      <w:r w:rsidRPr="00283025">
        <w:lastRenderedPageBreak/>
        <w:tab/>
        <w:t xml:space="preserve">A. </w:t>
      </w:r>
      <w:r w:rsidRPr="00283025">
        <w:tab/>
        <w:t>The Company’s bad debt rider proposal includes adjusting the rider for the over/under recovery of the bad debt expense of $12,221,000</w:t>
      </w:r>
      <w:r w:rsidRPr="00283025">
        <w:footnoteReference w:id="2"/>
      </w:r>
      <w:r w:rsidRPr="00283025">
        <w:t xml:space="preserve"> that the Com</w:t>
      </w:r>
      <w:r w:rsidR="00F02370">
        <w:softHyphen/>
      </w:r>
      <w:r w:rsidRPr="00283025">
        <w:t>pany represents is included in base distribution rates as result of the Com</w:t>
      </w:r>
      <w:r w:rsidR="00F02370">
        <w:softHyphen/>
      </w:r>
      <w:r w:rsidRPr="00283025">
        <w:t>pany’s last distribution rate case (Case No. 11-351-EL-AIR).  It is not appropriate to adjust costs from the distribution rate case in this proceeding as explained below.   If the Company files a distribution rate case</w:t>
      </w:r>
      <w:r w:rsidR="00066EDE">
        <w:t>,</w:t>
      </w:r>
      <w:r w:rsidRPr="00283025">
        <w:t xml:space="preserve"> Staff would be open to the proposal of a bad debt rider, however at this time it is more appropriate in this hearing to provide the Company with a discount rate for the purchase of receivables for each CRES provider to accurately capture the incremental cost of collections for the uncollectible amount of the purchased receivables.  </w:t>
      </w:r>
    </w:p>
    <w:p w14:paraId="0FB25109" w14:textId="77777777" w:rsidR="00283025" w:rsidRPr="00283025" w:rsidRDefault="00283025" w:rsidP="00283025">
      <w:pPr>
        <w:pStyle w:val="question"/>
      </w:pPr>
    </w:p>
    <w:p w14:paraId="46DB8DAD" w14:textId="77777777" w:rsidR="00283025" w:rsidRPr="00283025" w:rsidRDefault="00283025" w:rsidP="00283025">
      <w:pPr>
        <w:pStyle w:val="question"/>
      </w:pPr>
      <w:r w:rsidRPr="00283025">
        <w:t>16.</w:t>
      </w:r>
      <w:r w:rsidRPr="00283025">
        <w:tab/>
        <w:t>Q.</w:t>
      </w:r>
      <w:r w:rsidRPr="00283025">
        <w:tab/>
        <w:t>Do other companies have bad debt riders and POR programs?</w:t>
      </w:r>
    </w:p>
    <w:p w14:paraId="6FD703A8" w14:textId="1073FE12" w:rsidR="00283025" w:rsidRPr="00283025" w:rsidRDefault="00283025" w:rsidP="00283025">
      <w:pPr>
        <w:pStyle w:val="question"/>
      </w:pPr>
      <w:r w:rsidRPr="00283025">
        <w:tab/>
        <w:t xml:space="preserve">A. </w:t>
      </w:r>
      <w:r w:rsidRPr="00283025">
        <w:tab/>
        <w:t>Yes. The large Ohio regulated gas companies, except Duke, established a bad debt rider in 2003.  Prior to implementing a bad debt rider</w:t>
      </w:r>
      <w:r w:rsidR="00066EDE">
        <w:t>,</w:t>
      </w:r>
      <w:r w:rsidRPr="00283025">
        <w:t xml:space="preserve"> each of the</w:t>
      </w:r>
      <w:r w:rsidR="00066EDE">
        <w:t>se</w:t>
      </w:r>
      <w:r w:rsidRPr="00283025">
        <w:t xml:space="preserve"> utilities ha</w:t>
      </w:r>
      <w:r w:rsidR="00066EDE">
        <w:t>d</w:t>
      </w:r>
      <w:r w:rsidRPr="00283025">
        <w:t xml:space="preserve"> already been purchasing competitive suppliers’ account receivables at a discount rate.  In 2011, Duke established an uncollectible generation rider for electric</w:t>
      </w:r>
      <w:r>
        <w:t>,</w:t>
      </w:r>
      <w:r w:rsidRPr="00283025">
        <w:rPr>
          <w:rStyle w:val="FootnoteReference"/>
        </w:rPr>
        <w:footnoteReference w:id="3"/>
      </w:r>
      <w:r w:rsidRPr="00283025">
        <w:t xml:space="preserve"> however</w:t>
      </w:r>
      <w:r w:rsidR="00E9475E">
        <w:t>,</w:t>
      </w:r>
      <w:r w:rsidRPr="00283025">
        <w:t xml:space="preserve"> prior to that</w:t>
      </w:r>
      <w:r w:rsidR="00E9475E">
        <w:t>,</w:t>
      </w:r>
      <w:r w:rsidRPr="00283025">
        <w:t xml:space="preserve"> Duke purchased the </w:t>
      </w:r>
      <w:r w:rsidRPr="00283025">
        <w:lastRenderedPageBreak/>
        <w:t>CRES providers’ accounts receivable at a discount rate. It is important to start a P</w:t>
      </w:r>
      <w:r w:rsidR="00E9475E">
        <w:t>OR program with a discount rate</w:t>
      </w:r>
      <w:r w:rsidRPr="00283025">
        <w:t xml:space="preserve"> to remain consistent with prece</w:t>
      </w:r>
      <w:r w:rsidR="00F02370">
        <w:softHyphen/>
      </w:r>
      <w:r w:rsidRPr="00283025">
        <w:t xml:space="preserve">dent set by other utilities and to ensure accurate data is collected to properly determine the risk and </w:t>
      </w:r>
      <w:r w:rsidR="00E9475E">
        <w:t xml:space="preserve">potential </w:t>
      </w:r>
      <w:r w:rsidRPr="00283025">
        <w:t xml:space="preserve">impact CRES suppliers’ uncollectible charges </w:t>
      </w:r>
      <w:r w:rsidR="00E9475E">
        <w:t xml:space="preserve">will have </w:t>
      </w:r>
      <w:r w:rsidRPr="00283025">
        <w:t xml:space="preserve">on the Company’s bad debt expense.  </w:t>
      </w:r>
    </w:p>
    <w:p w14:paraId="26B42DC2" w14:textId="77777777" w:rsidR="00283025" w:rsidRPr="00283025" w:rsidRDefault="00283025" w:rsidP="00283025">
      <w:pPr>
        <w:pStyle w:val="question"/>
      </w:pPr>
    </w:p>
    <w:p w14:paraId="694C2A57" w14:textId="77777777" w:rsidR="00283025" w:rsidRPr="00283025" w:rsidRDefault="00283025" w:rsidP="00283025">
      <w:pPr>
        <w:pStyle w:val="question"/>
      </w:pPr>
      <w:r w:rsidRPr="00283025">
        <w:t>17.</w:t>
      </w:r>
      <w:r w:rsidRPr="00283025">
        <w:tab/>
        <w:t>Q.</w:t>
      </w:r>
      <w:r w:rsidRPr="00283025">
        <w:tab/>
        <w:t>Would the discount rate calculation be the same for all CRES providers?</w:t>
      </w:r>
    </w:p>
    <w:p w14:paraId="2A0134A8" w14:textId="0508AC2C" w:rsidR="00283025" w:rsidRPr="00283025" w:rsidRDefault="00283025" w:rsidP="00283025">
      <w:pPr>
        <w:pStyle w:val="question"/>
      </w:pPr>
      <w:r w:rsidRPr="00283025">
        <w:tab/>
        <w:t xml:space="preserve">A. </w:t>
      </w:r>
      <w:r w:rsidRPr="00283025">
        <w:tab/>
        <w:t xml:space="preserve">No, the Company would calculate a separate discount rate for each CRES provider.  The reason for this is to ensure that each CRES provider assumes </w:t>
      </w:r>
      <w:r w:rsidR="00E9475E">
        <w:t xml:space="preserve">the appropriate amount of risk for </w:t>
      </w:r>
      <w:r w:rsidRPr="00283025">
        <w:t>uncollectible</w:t>
      </w:r>
      <w:r w:rsidR="00E9475E">
        <w:t>s</w:t>
      </w:r>
      <w:r w:rsidRPr="00283025">
        <w:t xml:space="preserve"> associated with their customers.   </w:t>
      </w:r>
    </w:p>
    <w:p w14:paraId="0B4DDDD6" w14:textId="77777777" w:rsidR="00283025" w:rsidRPr="00283025" w:rsidRDefault="00283025" w:rsidP="00283025">
      <w:pPr>
        <w:pStyle w:val="question"/>
      </w:pPr>
    </w:p>
    <w:p w14:paraId="45441530" w14:textId="77777777" w:rsidR="00283025" w:rsidRPr="00283025" w:rsidRDefault="00283025" w:rsidP="00283025">
      <w:pPr>
        <w:pStyle w:val="question"/>
      </w:pPr>
      <w:r w:rsidRPr="00283025">
        <w:t>18.</w:t>
      </w:r>
      <w:r w:rsidRPr="00283025">
        <w:tab/>
        <w:t>Q.</w:t>
      </w:r>
      <w:r w:rsidRPr="00283025">
        <w:tab/>
        <w:t>Explain the discount rate calculation.</w:t>
      </w:r>
    </w:p>
    <w:p w14:paraId="5FED9FFD" w14:textId="77777777" w:rsidR="00283025" w:rsidRPr="00283025" w:rsidRDefault="00283025" w:rsidP="00283025">
      <w:pPr>
        <w:pStyle w:val="question"/>
      </w:pPr>
      <w:r w:rsidRPr="00283025">
        <w:tab/>
        <w:t xml:space="preserve">A. </w:t>
      </w:r>
      <w:r w:rsidRPr="00283025">
        <w:tab/>
        <w:t>An example of the discount rate calculation is included as Attachment 1.    The calculation has three separate calculated components that I will discuss in detail.   The calculated components are:</w:t>
      </w:r>
    </w:p>
    <w:p w14:paraId="3A1F86AD" w14:textId="77777777" w:rsidR="00283025" w:rsidRPr="00283025" w:rsidRDefault="00283025" w:rsidP="00283025">
      <w:pPr>
        <w:pStyle w:val="question"/>
        <w:numPr>
          <w:ilvl w:val="0"/>
          <w:numId w:val="9"/>
        </w:numPr>
        <w:ind w:hanging="720"/>
      </w:pPr>
      <w:r w:rsidRPr="00283025">
        <w:t>Percent of Specific CRES Provider’s Uncollectible</w:t>
      </w:r>
    </w:p>
    <w:p w14:paraId="667E658D" w14:textId="77777777" w:rsidR="00283025" w:rsidRPr="00283025" w:rsidRDefault="00283025" w:rsidP="00283025">
      <w:pPr>
        <w:pStyle w:val="question"/>
        <w:numPr>
          <w:ilvl w:val="0"/>
          <w:numId w:val="9"/>
        </w:numPr>
        <w:ind w:hanging="720"/>
      </w:pPr>
      <w:r w:rsidRPr="00283025">
        <w:t>Uncollectible Percentage</w:t>
      </w:r>
    </w:p>
    <w:p w14:paraId="1A0AAFBC" w14:textId="77777777" w:rsidR="00283025" w:rsidRPr="00283025" w:rsidRDefault="00283025" w:rsidP="00283025">
      <w:pPr>
        <w:pStyle w:val="question"/>
        <w:numPr>
          <w:ilvl w:val="0"/>
          <w:numId w:val="9"/>
        </w:numPr>
        <w:ind w:hanging="720"/>
      </w:pPr>
      <w:r w:rsidRPr="00283025">
        <w:t>Credit &amp; Collections Adder</w:t>
      </w:r>
    </w:p>
    <w:p w14:paraId="27048D26" w14:textId="77777777" w:rsidR="00283025" w:rsidRPr="00283025" w:rsidRDefault="00283025" w:rsidP="00283025">
      <w:pPr>
        <w:pStyle w:val="question"/>
        <w:ind w:left="1800" w:hanging="720"/>
      </w:pPr>
    </w:p>
    <w:p w14:paraId="278245FD" w14:textId="77777777" w:rsidR="00A87CFE" w:rsidRDefault="00A87CFE" w:rsidP="00283025">
      <w:pPr>
        <w:pStyle w:val="question"/>
      </w:pPr>
      <w:r>
        <w:br w:type="page"/>
      </w:r>
    </w:p>
    <w:p w14:paraId="74A7BA13" w14:textId="32BA1346" w:rsidR="00283025" w:rsidRPr="00283025" w:rsidRDefault="00283025" w:rsidP="00283025">
      <w:pPr>
        <w:pStyle w:val="question"/>
      </w:pPr>
      <w:r w:rsidRPr="00283025">
        <w:lastRenderedPageBreak/>
        <w:t>19.</w:t>
      </w:r>
      <w:r w:rsidRPr="00283025">
        <w:tab/>
        <w:t>Q.</w:t>
      </w:r>
      <w:r w:rsidRPr="00283025">
        <w:tab/>
        <w:t>Explain the percent of specific CRES provider’s uncollectible.</w:t>
      </w:r>
    </w:p>
    <w:p w14:paraId="619A71D9" w14:textId="77777777" w:rsidR="00283025" w:rsidRDefault="00283025" w:rsidP="00283025">
      <w:pPr>
        <w:pStyle w:val="question"/>
      </w:pPr>
      <w:r w:rsidRPr="00283025">
        <w:tab/>
        <w:t xml:space="preserve">A. </w:t>
      </w:r>
      <w:r w:rsidRPr="00283025">
        <w:tab/>
        <w:t>The calculation determines the percentage of accounts uncollectible by each individual CRES provider that is participating in the POR program.  The calculation includes the total amount of uncollectible from each specific CRES provider in the prior year divided by the total amount of uncollect</w:t>
      </w:r>
      <w:r w:rsidR="00F02370">
        <w:softHyphen/>
      </w:r>
      <w:r w:rsidRPr="00283025">
        <w:t xml:space="preserve">ible by the Company.   The first year’s discount rate will require that the uncollectible be forecasted and the full amount included in the Company’s total uncollectible.  </w:t>
      </w:r>
    </w:p>
    <w:p w14:paraId="7D0E70EA" w14:textId="77777777" w:rsidR="00283025" w:rsidRPr="00283025" w:rsidRDefault="00283025" w:rsidP="00283025">
      <w:pPr>
        <w:pStyle w:val="question"/>
      </w:pPr>
    </w:p>
    <w:p w14:paraId="2E0EAE1B" w14:textId="77777777" w:rsidR="00283025" w:rsidRPr="00283025" w:rsidRDefault="00283025" w:rsidP="00283025">
      <w:pPr>
        <w:pStyle w:val="question"/>
        <w:ind w:left="2880"/>
        <w:jc w:val="center"/>
      </w:pPr>
      <w:r w:rsidRPr="00283025">
        <w:rPr>
          <w:noProof/>
        </w:rPr>
        <w:drawing>
          <wp:inline distT="0" distB="0" distL="0" distR="0" wp14:anchorId="258C3B4C" wp14:editId="0FCBA3E9">
            <wp:extent cx="48482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581025"/>
                    </a:xfrm>
                    <a:prstGeom prst="rect">
                      <a:avLst/>
                    </a:prstGeom>
                    <a:noFill/>
                    <a:ln>
                      <a:noFill/>
                    </a:ln>
                  </pic:spPr>
                </pic:pic>
              </a:graphicData>
            </a:graphic>
          </wp:inline>
        </w:drawing>
      </w:r>
    </w:p>
    <w:p w14:paraId="043A0745" w14:textId="77777777" w:rsidR="00283025" w:rsidRPr="00CA21C8" w:rsidRDefault="00283025" w:rsidP="00283025">
      <w:pPr>
        <w:pStyle w:val="question"/>
        <w:jc w:val="center"/>
        <w:rPr>
          <w:rFonts w:ascii="Calibri" w:hAnsi="Calibri" w:cs="Calibri"/>
          <w:sz w:val="22"/>
          <w:szCs w:val="22"/>
        </w:rPr>
      </w:pPr>
    </w:p>
    <w:p w14:paraId="4135A427" w14:textId="77777777" w:rsidR="00283025" w:rsidRPr="00283025" w:rsidRDefault="00283025" w:rsidP="00283025">
      <w:pPr>
        <w:pStyle w:val="question"/>
      </w:pPr>
      <w:r w:rsidRPr="00283025">
        <w:t>20.</w:t>
      </w:r>
      <w:r w:rsidRPr="00283025">
        <w:tab/>
        <w:t>Q.</w:t>
      </w:r>
      <w:r w:rsidRPr="00283025">
        <w:tab/>
        <w:t>What is the purpose of calculating the percent of specific CRES uncollect</w:t>
      </w:r>
      <w:r w:rsidR="00F02370">
        <w:softHyphen/>
      </w:r>
      <w:r w:rsidRPr="00283025">
        <w:t>ible?</w:t>
      </w:r>
    </w:p>
    <w:p w14:paraId="41E74DF3" w14:textId="77777777" w:rsidR="00283025" w:rsidRPr="00283025" w:rsidRDefault="00283025" w:rsidP="00283025">
      <w:pPr>
        <w:pStyle w:val="question"/>
      </w:pPr>
      <w:r w:rsidRPr="00283025">
        <w:tab/>
        <w:t xml:space="preserve">A. </w:t>
      </w:r>
      <w:r w:rsidRPr="00283025">
        <w:tab/>
        <w:t xml:space="preserve">The calculation is to develop a method to allocate the collection cost, and uncollectible expenses.  Calculating this by each specific CRES provider allows the CRES providers to pay only their incremental share of expenses.  Additionally, this will create an incentive for CRES providers to properly vet their potential customers or assume the increased risk of soliciting to higher risk customers.   </w:t>
      </w:r>
    </w:p>
    <w:p w14:paraId="61A63EB0" w14:textId="673D5444" w:rsidR="00A87CFE" w:rsidRDefault="00A87CFE" w:rsidP="00283025">
      <w:pPr>
        <w:pStyle w:val="question"/>
      </w:pPr>
      <w:r>
        <w:br w:type="page"/>
      </w:r>
    </w:p>
    <w:p w14:paraId="41BFD6DB" w14:textId="171F3BD5" w:rsidR="00283025" w:rsidRPr="00283025" w:rsidRDefault="00283025" w:rsidP="00283025">
      <w:pPr>
        <w:pStyle w:val="question"/>
      </w:pPr>
      <w:r w:rsidRPr="00283025">
        <w:t>21.</w:t>
      </w:r>
      <w:r w:rsidRPr="00283025">
        <w:tab/>
        <w:t>Q.</w:t>
      </w:r>
      <w:r w:rsidRPr="00283025">
        <w:tab/>
        <w:t>How is the Uncollectible Percentage calculated?</w:t>
      </w:r>
    </w:p>
    <w:p w14:paraId="77A25F21" w14:textId="489213FD" w:rsidR="00283025" w:rsidRDefault="00283025" w:rsidP="00283025">
      <w:pPr>
        <w:pStyle w:val="question"/>
      </w:pPr>
      <w:r w:rsidRPr="00283025">
        <w:tab/>
        <w:t xml:space="preserve">A. </w:t>
      </w:r>
      <w:r w:rsidRPr="00283025">
        <w:tab/>
        <w:t>The uncollectible percentage calculates the discount rate based off the CRES provider’s prior year’s uncollectible accounts.  To calculate this per</w:t>
      </w:r>
      <w:r w:rsidR="00F02370">
        <w:softHyphen/>
      </w:r>
      <w:r w:rsidRPr="00283025">
        <w:t>centage, the Company will take the total specific CRES provider’s uncol</w:t>
      </w:r>
      <w:r w:rsidR="00F02370">
        <w:softHyphen/>
      </w:r>
      <w:r w:rsidRPr="00283025">
        <w:t>lectible accounts from the prior year and divide it by 100% of the pur</w:t>
      </w:r>
      <w:r w:rsidR="00F02370">
        <w:softHyphen/>
      </w:r>
      <w:r w:rsidRPr="00283025">
        <w:t>chased commodity from the specific CRES providers.   In the first year</w:t>
      </w:r>
      <w:r w:rsidR="00D739EF">
        <w:t>,</w:t>
      </w:r>
      <w:r w:rsidRPr="00283025">
        <w:t xml:space="preserve"> the total</w:t>
      </w:r>
      <w:r w:rsidR="00D739EF">
        <w:t xml:space="preserve"> </w:t>
      </w:r>
      <w:r w:rsidRPr="00283025">
        <w:t xml:space="preserve">uncollectible accounts for the prior year would need to be a forecasted amount for the specific CRES providers.  </w:t>
      </w:r>
    </w:p>
    <w:p w14:paraId="2B287172" w14:textId="77777777" w:rsidR="00283025" w:rsidRPr="00283025" w:rsidRDefault="00283025" w:rsidP="00283025">
      <w:pPr>
        <w:pStyle w:val="question"/>
      </w:pPr>
    </w:p>
    <w:p w14:paraId="4994F103" w14:textId="77777777" w:rsidR="00283025" w:rsidRPr="00283025" w:rsidRDefault="00283025" w:rsidP="00283025">
      <w:pPr>
        <w:pStyle w:val="question"/>
        <w:ind w:left="2880"/>
        <w:jc w:val="center"/>
      </w:pPr>
      <w:r w:rsidRPr="00283025">
        <w:rPr>
          <w:noProof/>
        </w:rPr>
        <w:drawing>
          <wp:inline distT="0" distB="0" distL="0" distR="0" wp14:anchorId="125BD832" wp14:editId="6881B2A1">
            <wp:extent cx="484822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8225" cy="1343025"/>
                    </a:xfrm>
                    <a:prstGeom prst="rect">
                      <a:avLst/>
                    </a:prstGeom>
                    <a:noFill/>
                    <a:ln>
                      <a:noFill/>
                    </a:ln>
                  </pic:spPr>
                </pic:pic>
              </a:graphicData>
            </a:graphic>
          </wp:inline>
        </w:drawing>
      </w:r>
    </w:p>
    <w:p w14:paraId="71EEEEAE" w14:textId="77777777" w:rsidR="00283025" w:rsidRPr="00CA21C8" w:rsidRDefault="00283025" w:rsidP="00283025">
      <w:pPr>
        <w:pStyle w:val="question"/>
        <w:jc w:val="center"/>
        <w:rPr>
          <w:rFonts w:ascii="Calibri" w:hAnsi="Calibri" w:cs="Calibri"/>
          <w:sz w:val="22"/>
          <w:szCs w:val="22"/>
        </w:rPr>
      </w:pPr>
    </w:p>
    <w:p w14:paraId="76478D4E" w14:textId="77777777" w:rsidR="00283025" w:rsidRPr="00283025" w:rsidRDefault="00283025" w:rsidP="00283025">
      <w:pPr>
        <w:pStyle w:val="question"/>
      </w:pPr>
      <w:r w:rsidRPr="00283025">
        <w:t>22.</w:t>
      </w:r>
      <w:r w:rsidRPr="00283025">
        <w:tab/>
        <w:t>Q.</w:t>
      </w:r>
      <w:r w:rsidRPr="00283025">
        <w:tab/>
        <w:t>What is the purpose of calculating the Uncollectible Percentage?</w:t>
      </w:r>
    </w:p>
    <w:p w14:paraId="3204F288" w14:textId="77777777" w:rsidR="00283025" w:rsidRPr="00283025" w:rsidRDefault="00283025" w:rsidP="00283025">
      <w:pPr>
        <w:pStyle w:val="question"/>
      </w:pPr>
      <w:r w:rsidRPr="00283025">
        <w:tab/>
        <w:t xml:space="preserve">A. </w:t>
      </w:r>
      <w:r w:rsidRPr="00283025">
        <w:tab/>
        <w:t>The calculation is to determine the portion of the discount rate that is asso</w:t>
      </w:r>
      <w:r w:rsidR="00F02370">
        <w:softHyphen/>
      </w:r>
      <w:r w:rsidRPr="00283025">
        <w:t>ciated with the amount of uncollectible revenue that the Company will experience from purchasing the receivables from each specific CRES pro</w:t>
      </w:r>
      <w:r w:rsidR="00F02370">
        <w:softHyphen/>
      </w:r>
      <w:r w:rsidRPr="00283025">
        <w:t xml:space="preserve">vider.  </w:t>
      </w:r>
    </w:p>
    <w:p w14:paraId="02D9155D" w14:textId="2F9509D4" w:rsidR="00A87CFE" w:rsidRDefault="00A87CFE" w:rsidP="00283025">
      <w:pPr>
        <w:pStyle w:val="question"/>
      </w:pPr>
      <w:r>
        <w:br w:type="page"/>
      </w:r>
    </w:p>
    <w:p w14:paraId="5D154EF9" w14:textId="05858D8D" w:rsidR="00283025" w:rsidRPr="00283025" w:rsidRDefault="00283025" w:rsidP="00283025">
      <w:pPr>
        <w:pStyle w:val="question"/>
      </w:pPr>
      <w:r w:rsidRPr="00283025">
        <w:t>23.</w:t>
      </w:r>
      <w:r w:rsidRPr="00283025">
        <w:tab/>
        <w:t>Q.</w:t>
      </w:r>
      <w:r w:rsidRPr="00283025">
        <w:tab/>
        <w:t>How is the Credit and Collection Adder calculated?</w:t>
      </w:r>
    </w:p>
    <w:p w14:paraId="15839D86" w14:textId="77777777" w:rsidR="00283025" w:rsidRDefault="00283025" w:rsidP="00283025">
      <w:pPr>
        <w:pStyle w:val="question"/>
      </w:pPr>
      <w:r w:rsidRPr="00CA21C8">
        <w:rPr>
          <w:rFonts w:ascii="Calibri" w:hAnsi="Calibri" w:cs="Calibri"/>
          <w:sz w:val="22"/>
          <w:szCs w:val="22"/>
        </w:rPr>
        <w:tab/>
      </w:r>
      <w:r w:rsidRPr="00283025">
        <w:t xml:space="preserve">A. </w:t>
      </w:r>
      <w:r w:rsidRPr="00283025">
        <w:tab/>
        <w:t>The credit and collection adder is calculated by taking the collection cost divided by the annual sales in Kwh to get a cost per Kwh.   The Company will forecast their sales including the POR sales, which is to be multiplied by the cost per Kwh, resulting in a forecasted collection costs.   The fore</w:t>
      </w:r>
      <w:r w:rsidR="00F02370">
        <w:softHyphen/>
      </w:r>
      <w:r w:rsidRPr="00283025">
        <w:t xml:space="preserve">casted collection cost is then multiplied by the percent of specific CRES billed POR, divided by the specific CRES provider’s billed POR.   </w:t>
      </w:r>
    </w:p>
    <w:p w14:paraId="753ED9D8" w14:textId="77777777" w:rsidR="00283025" w:rsidRPr="00283025" w:rsidRDefault="00283025" w:rsidP="00283025">
      <w:pPr>
        <w:pStyle w:val="question"/>
      </w:pPr>
    </w:p>
    <w:p w14:paraId="07382E35" w14:textId="77777777" w:rsidR="00283025" w:rsidRPr="00283025" w:rsidRDefault="00283025" w:rsidP="00283025">
      <w:pPr>
        <w:pStyle w:val="question"/>
        <w:ind w:left="2880"/>
        <w:jc w:val="center"/>
      </w:pPr>
      <w:r w:rsidRPr="00283025">
        <w:rPr>
          <w:noProof/>
        </w:rPr>
        <w:drawing>
          <wp:inline distT="0" distB="0" distL="0" distR="0" wp14:anchorId="52AEBABB" wp14:editId="143E7586">
            <wp:extent cx="4848225" cy="1343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1343025"/>
                    </a:xfrm>
                    <a:prstGeom prst="rect">
                      <a:avLst/>
                    </a:prstGeom>
                    <a:noFill/>
                    <a:ln>
                      <a:noFill/>
                    </a:ln>
                  </pic:spPr>
                </pic:pic>
              </a:graphicData>
            </a:graphic>
          </wp:inline>
        </w:drawing>
      </w:r>
    </w:p>
    <w:p w14:paraId="115148C0" w14:textId="77777777" w:rsidR="00283025" w:rsidRPr="00CA21C8" w:rsidRDefault="00283025" w:rsidP="00283025">
      <w:pPr>
        <w:pStyle w:val="question"/>
        <w:jc w:val="center"/>
        <w:rPr>
          <w:rFonts w:ascii="Calibri" w:hAnsi="Calibri" w:cs="Calibri"/>
          <w:sz w:val="22"/>
          <w:szCs w:val="22"/>
        </w:rPr>
      </w:pPr>
    </w:p>
    <w:p w14:paraId="7660A8A4" w14:textId="125AA2D4" w:rsidR="00283025" w:rsidRPr="00283025" w:rsidRDefault="00602B93" w:rsidP="00283025">
      <w:pPr>
        <w:pStyle w:val="question"/>
      </w:pPr>
      <w:r>
        <w:t>24</w:t>
      </w:r>
      <w:r w:rsidR="00283025" w:rsidRPr="00283025">
        <w:t>.</w:t>
      </w:r>
      <w:r w:rsidR="00283025" w:rsidRPr="00283025">
        <w:tab/>
        <w:t>Q.</w:t>
      </w:r>
      <w:r w:rsidR="00283025" w:rsidRPr="00283025">
        <w:tab/>
        <w:t>What is the purpose of Credit and Collection Adder?</w:t>
      </w:r>
    </w:p>
    <w:p w14:paraId="753292F0" w14:textId="77777777" w:rsidR="00283025" w:rsidRPr="00283025" w:rsidRDefault="00283025" w:rsidP="00283025">
      <w:pPr>
        <w:pStyle w:val="question"/>
      </w:pPr>
      <w:r w:rsidRPr="00283025">
        <w:tab/>
        <w:t xml:space="preserve">A. </w:t>
      </w:r>
      <w:r w:rsidRPr="00283025">
        <w:tab/>
        <w:t xml:space="preserve">The purpose of credit and collection adder is to ensure that the Company recovers the incremental cost of collection specific to each CRES provider.   </w:t>
      </w:r>
    </w:p>
    <w:p w14:paraId="303BE8AA" w14:textId="77777777" w:rsidR="00283025" w:rsidRPr="00283025" w:rsidRDefault="00283025" w:rsidP="00283025">
      <w:pPr>
        <w:pStyle w:val="question"/>
      </w:pPr>
    </w:p>
    <w:p w14:paraId="055995C2" w14:textId="043CB620" w:rsidR="00283025" w:rsidRPr="00283025" w:rsidRDefault="00602B93" w:rsidP="00283025">
      <w:pPr>
        <w:pStyle w:val="question"/>
      </w:pPr>
      <w:r>
        <w:t>25</w:t>
      </w:r>
      <w:r w:rsidR="00283025" w:rsidRPr="00283025">
        <w:t>.</w:t>
      </w:r>
      <w:r w:rsidR="00283025" w:rsidRPr="00283025">
        <w:tab/>
        <w:t>Q.</w:t>
      </w:r>
      <w:r w:rsidR="00283025" w:rsidRPr="00283025">
        <w:tab/>
        <w:t>What is included in the collection cost?</w:t>
      </w:r>
    </w:p>
    <w:p w14:paraId="58D2D857" w14:textId="7BD39AAF" w:rsidR="00283025" w:rsidRPr="00283025" w:rsidRDefault="00283025" w:rsidP="00283025">
      <w:pPr>
        <w:pStyle w:val="question"/>
      </w:pPr>
      <w:r w:rsidRPr="00283025">
        <w:tab/>
        <w:t xml:space="preserve">A. </w:t>
      </w:r>
      <w:r w:rsidRPr="00283025">
        <w:tab/>
        <w:t>The collection costs are those expenses recorded in FERC</w:t>
      </w:r>
      <w:r w:rsidR="00D739EF">
        <w:t xml:space="preserve"> account 903 and described with</w:t>
      </w:r>
      <w:r w:rsidRPr="00283025">
        <w:t xml:space="preserve">in the account description of the FERC Uniform System of Accounts that are directly or indirectly associated with residential and small commercial collection costs.     </w:t>
      </w:r>
    </w:p>
    <w:p w14:paraId="5C575DC5" w14:textId="1C9C5270" w:rsidR="00283025" w:rsidRPr="00283025" w:rsidRDefault="00602B93" w:rsidP="00283025">
      <w:pPr>
        <w:pStyle w:val="question"/>
      </w:pPr>
      <w:r>
        <w:lastRenderedPageBreak/>
        <w:t>26</w:t>
      </w:r>
      <w:r w:rsidR="00283025" w:rsidRPr="00283025">
        <w:t>.</w:t>
      </w:r>
      <w:r w:rsidR="00283025" w:rsidRPr="00283025">
        <w:tab/>
        <w:t>Q.</w:t>
      </w:r>
      <w:r w:rsidR="00283025" w:rsidRPr="00283025">
        <w:tab/>
        <w:t>What is the POR Discount Cap?</w:t>
      </w:r>
    </w:p>
    <w:p w14:paraId="1EB546D4" w14:textId="77777777" w:rsidR="00283025" w:rsidRDefault="00283025" w:rsidP="00283025">
      <w:pPr>
        <w:pStyle w:val="question"/>
      </w:pPr>
      <w:r w:rsidRPr="00283025">
        <w:tab/>
        <w:t xml:space="preserve">A. </w:t>
      </w:r>
      <w:r w:rsidRPr="00283025">
        <w:tab/>
        <w:t xml:space="preserve">The POR discount cap is set at 5% and it is the maximum that the Company can discount the purchase of receivables to any one CRES provider.   The Company will add up the factors to calculate the total discount rate if the sum of the components is greater then 5%, the discount rate will be capped at 5%.   </w:t>
      </w:r>
    </w:p>
    <w:p w14:paraId="2B6AFAF3" w14:textId="77777777" w:rsidR="00283025" w:rsidRPr="00283025" w:rsidRDefault="00283025" w:rsidP="00283025">
      <w:pPr>
        <w:pStyle w:val="question"/>
      </w:pPr>
    </w:p>
    <w:p w14:paraId="4229FE24" w14:textId="77777777" w:rsidR="00283025" w:rsidRPr="00283025" w:rsidRDefault="00283025" w:rsidP="00283025">
      <w:pPr>
        <w:pStyle w:val="question"/>
        <w:ind w:left="2880"/>
        <w:jc w:val="center"/>
      </w:pPr>
      <w:r w:rsidRPr="00283025">
        <w:rPr>
          <w:noProof/>
        </w:rPr>
        <w:drawing>
          <wp:inline distT="0" distB="0" distL="0" distR="0" wp14:anchorId="3B2F4423" wp14:editId="1F55BDDF">
            <wp:extent cx="4848225" cy="581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8225" cy="581025"/>
                    </a:xfrm>
                    <a:prstGeom prst="rect">
                      <a:avLst/>
                    </a:prstGeom>
                    <a:noFill/>
                    <a:ln>
                      <a:noFill/>
                    </a:ln>
                  </pic:spPr>
                </pic:pic>
              </a:graphicData>
            </a:graphic>
          </wp:inline>
        </w:drawing>
      </w:r>
    </w:p>
    <w:p w14:paraId="600777F4" w14:textId="77777777" w:rsidR="00283025" w:rsidRPr="00CA21C8" w:rsidRDefault="00283025" w:rsidP="00283025">
      <w:pPr>
        <w:pStyle w:val="question"/>
        <w:jc w:val="center"/>
        <w:rPr>
          <w:rFonts w:ascii="Calibri" w:hAnsi="Calibri" w:cs="Calibri"/>
          <w:sz w:val="22"/>
          <w:szCs w:val="22"/>
        </w:rPr>
      </w:pPr>
    </w:p>
    <w:p w14:paraId="1991B36B" w14:textId="57E741A4" w:rsidR="00283025" w:rsidRPr="00283025" w:rsidRDefault="00602B93" w:rsidP="00283025">
      <w:pPr>
        <w:pStyle w:val="question"/>
      </w:pPr>
      <w:r>
        <w:t>27</w:t>
      </w:r>
      <w:r w:rsidR="00283025" w:rsidRPr="00283025">
        <w:t>.</w:t>
      </w:r>
      <w:r w:rsidR="00283025" w:rsidRPr="00283025">
        <w:tab/>
        <w:t>Q.</w:t>
      </w:r>
      <w:r w:rsidR="00283025" w:rsidRPr="00283025">
        <w:tab/>
        <w:t>What is the rational for a POR Discount Cap?</w:t>
      </w:r>
    </w:p>
    <w:p w14:paraId="059CD94E" w14:textId="77777777" w:rsidR="00283025" w:rsidRPr="00283025" w:rsidRDefault="00283025" w:rsidP="00283025">
      <w:pPr>
        <w:pStyle w:val="question"/>
      </w:pPr>
      <w:r w:rsidRPr="00283025">
        <w:tab/>
        <w:t xml:space="preserve">A. </w:t>
      </w:r>
      <w:r w:rsidRPr="00283025">
        <w:tab/>
        <w:t>The POR discount cap is a ceiling, designed as an incentive for the Com</w:t>
      </w:r>
      <w:r w:rsidR="00F02370">
        <w:softHyphen/>
      </w:r>
      <w:r w:rsidRPr="00283025">
        <w:t xml:space="preserve">pany to continue to ensure that their collection costs are minimized and they continue to be diligent in their collections efforts.  </w:t>
      </w:r>
    </w:p>
    <w:p w14:paraId="6D49391C" w14:textId="77777777" w:rsidR="00283025" w:rsidRPr="00283025" w:rsidRDefault="00283025" w:rsidP="00283025">
      <w:pPr>
        <w:pStyle w:val="question"/>
      </w:pPr>
    </w:p>
    <w:p w14:paraId="2D20D4B8" w14:textId="77777777" w:rsidR="00283025" w:rsidRPr="00CA21C8" w:rsidRDefault="00283025" w:rsidP="0039210C">
      <w:pPr>
        <w:pStyle w:val="Heading1"/>
      </w:pPr>
      <w:bookmarkStart w:id="2" w:name="_Toc387747569"/>
      <w:r>
        <w:t>LATE FEE</w:t>
      </w:r>
      <w:bookmarkEnd w:id="2"/>
    </w:p>
    <w:p w14:paraId="5F8D5FE6" w14:textId="56DCDC24" w:rsidR="00283025" w:rsidRPr="00283025" w:rsidRDefault="00602B93" w:rsidP="00283025">
      <w:pPr>
        <w:pStyle w:val="question"/>
      </w:pPr>
      <w:r>
        <w:t>28</w:t>
      </w:r>
      <w:r w:rsidR="00283025" w:rsidRPr="00283025">
        <w:t>.</w:t>
      </w:r>
      <w:r w:rsidR="00283025" w:rsidRPr="00283025">
        <w:tab/>
        <w:t>Q.</w:t>
      </w:r>
      <w:r w:rsidR="00283025" w:rsidRPr="00283025">
        <w:tab/>
        <w:t>Why does Staff disagree with the Company’s proposal for a late fee?</w:t>
      </w:r>
    </w:p>
    <w:p w14:paraId="4DA4D837" w14:textId="5252F30C" w:rsidR="00283025" w:rsidRPr="00283025" w:rsidRDefault="00283025" w:rsidP="00283025">
      <w:pPr>
        <w:pStyle w:val="question"/>
      </w:pPr>
      <w:r w:rsidRPr="00283025">
        <w:tab/>
        <w:t xml:space="preserve">A. </w:t>
      </w:r>
      <w:r w:rsidRPr="00283025">
        <w:tab/>
        <w:t>Since Staff is opposed to the Company’s proposal for a bad debt rider, Staff cannot support the inclusion of a late fee.   Adding a late fee at this time would increase the revenue to the shareh</w:t>
      </w:r>
      <w:r w:rsidR="00437894">
        <w:t>olders of the Company rather tha</w:t>
      </w:r>
      <w:r w:rsidRPr="00283025">
        <w:t xml:space="preserve">n offset the uncollectible of the Company.  When the Company comes in for </w:t>
      </w:r>
      <w:r w:rsidRPr="00283025">
        <w:lastRenderedPageBreak/>
        <w:t xml:space="preserve">its distribution rate case, Staff would not be opposed to the inclusion of a late fee to offset the uncollectible account at that time.  </w:t>
      </w:r>
    </w:p>
    <w:p w14:paraId="480791C4" w14:textId="77777777" w:rsidR="00283025" w:rsidRPr="00283025" w:rsidRDefault="00283025" w:rsidP="00283025">
      <w:pPr>
        <w:pStyle w:val="question"/>
      </w:pPr>
    </w:p>
    <w:p w14:paraId="656FF999" w14:textId="77777777" w:rsidR="00283025" w:rsidRPr="00CA21C8" w:rsidRDefault="00F02370" w:rsidP="0039210C">
      <w:pPr>
        <w:pStyle w:val="Heading1"/>
      </w:pPr>
      <w:bookmarkStart w:id="3" w:name="_Toc387747570"/>
      <w:r>
        <w:t>PARTIAL PAYMENT TRACKING METHODOLOGY</w:t>
      </w:r>
      <w:bookmarkEnd w:id="3"/>
    </w:p>
    <w:p w14:paraId="13C743EB" w14:textId="114C427A" w:rsidR="00283025" w:rsidRPr="00F02370" w:rsidRDefault="00A87CFE" w:rsidP="00283025">
      <w:pPr>
        <w:pStyle w:val="question"/>
      </w:pPr>
      <w:r>
        <w:t>2</w:t>
      </w:r>
      <w:r w:rsidR="00602B93">
        <w:t>9</w:t>
      </w:r>
      <w:r w:rsidR="00283025" w:rsidRPr="00F02370">
        <w:t>.</w:t>
      </w:r>
      <w:r w:rsidR="00283025" w:rsidRPr="00F02370">
        <w:tab/>
        <w:t>Q.</w:t>
      </w:r>
      <w:r w:rsidR="00283025" w:rsidRPr="00F02370">
        <w:tab/>
        <w:t>Does there need to be a methodology for allocating partial payments to cus</w:t>
      </w:r>
      <w:r w:rsidR="00F02370">
        <w:softHyphen/>
      </w:r>
      <w:r w:rsidR="00283025" w:rsidRPr="00F02370">
        <w:t>tomer bills that are purchased?</w:t>
      </w:r>
    </w:p>
    <w:p w14:paraId="5E853FF9" w14:textId="77777777" w:rsidR="00283025" w:rsidRPr="00F02370" w:rsidRDefault="00283025" w:rsidP="00283025">
      <w:pPr>
        <w:pStyle w:val="question"/>
      </w:pPr>
      <w:r w:rsidRPr="00F02370">
        <w:tab/>
        <w:t xml:space="preserve">A. </w:t>
      </w:r>
      <w:r w:rsidRPr="00F02370">
        <w:tab/>
        <w:t>Yes. An internal tracking and allocation of any payments that do not pay a customer’s bill in full is needed.   Since the discount rate is calculating a specific discount rate for each CRES provider, misallocated partial pay</w:t>
      </w:r>
      <w:r w:rsidR="00F02370">
        <w:softHyphen/>
      </w:r>
      <w:r w:rsidRPr="00F02370">
        <w:t xml:space="preserve">ments could result in a higher CRES provider discount rate.  Staff proposes that partial payments be allocated based on the percentage of the overall bill after taxes, for generation (G), transmission (T) and distribution (D) charges.   A simple example would be a customer with a $105 bill.  The bill consists of $5 of taxes and government fees, T and D charges of $25 each and the remaining $50 is G.   Assuming the customer only pays $25 dollars of their bill, the Company would take $5 to pay taxes and government fees; whereas, the remaining $20 would be allocated based on the three charges, in this scenario, T and D would receive $5 each and G would receive $10.   </w:t>
      </w:r>
    </w:p>
    <w:p w14:paraId="38F416BD" w14:textId="77777777" w:rsidR="00283025" w:rsidRPr="00F02370" w:rsidRDefault="00283025" w:rsidP="00283025">
      <w:pPr>
        <w:pStyle w:val="question"/>
      </w:pPr>
    </w:p>
    <w:p w14:paraId="07191DFD" w14:textId="06BBF24D" w:rsidR="00283025" w:rsidRPr="00F02370" w:rsidRDefault="00602B93" w:rsidP="00283025">
      <w:pPr>
        <w:pStyle w:val="question"/>
      </w:pPr>
      <w:r>
        <w:lastRenderedPageBreak/>
        <w:t>30</w:t>
      </w:r>
      <w:r w:rsidR="00283025" w:rsidRPr="00F02370">
        <w:t>.</w:t>
      </w:r>
      <w:r w:rsidR="00283025" w:rsidRPr="00F02370">
        <w:tab/>
        <w:t>Q.</w:t>
      </w:r>
      <w:r w:rsidR="00283025" w:rsidRPr="00F02370">
        <w:tab/>
        <w:t>Would this methodology for allocating partial payments to customer bills that are pur</w:t>
      </w:r>
      <w:r w:rsidR="00437894">
        <w:t>chased affect anything other tha</w:t>
      </w:r>
      <w:r w:rsidR="00283025" w:rsidRPr="00F02370">
        <w:t>n the calculation for the percent of specific CRES provider’s uncollectible?</w:t>
      </w:r>
    </w:p>
    <w:p w14:paraId="428857A2" w14:textId="231AA051" w:rsidR="00283025" w:rsidRPr="00F02370" w:rsidRDefault="00283025" w:rsidP="00283025">
      <w:pPr>
        <w:pStyle w:val="question"/>
      </w:pPr>
      <w:r w:rsidRPr="00F02370">
        <w:tab/>
        <w:t xml:space="preserve">A. </w:t>
      </w:r>
      <w:r w:rsidRPr="00F02370">
        <w:tab/>
        <w:t xml:space="preserve">No.  The allocation methodology is an internal tracking allocation process only to ensure the calculation is accurate.  </w:t>
      </w:r>
      <w:r w:rsidR="005851E5">
        <w:t xml:space="preserve">This is not intended to change Ohio Adm. Code </w:t>
      </w:r>
      <w:r w:rsidR="005851E5" w:rsidRPr="005851E5">
        <w:t>4901:1-10-22</w:t>
      </w:r>
      <w:r w:rsidR="005851E5">
        <w:t xml:space="preserve">(G). </w:t>
      </w:r>
    </w:p>
    <w:p w14:paraId="0396BE3E" w14:textId="77777777" w:rsidR="00283025" w:rsidRPr="00CA21C8" w:rsidRDefault="00F02370" w:rsidP="0039210C">
      <w:pPr>
        <w:pStyle w:val="Heading1"/>
      </w:pPr>
      <w:bookmarkStart w:id="4" w:name="_Toc387747571"/>
      <w:r>
        <w:t>IMPLEMENTATION COST</w:t>
      </w:r>
      <w:bookmarkEnd w:id="4"/>
    </w:p>
    <w:p w14:paraId="490D0293" w14:textId="71178765" w:rsidR="00283025" w:rsidRPr="00F02370" w:rsidRDefault="00602B93" w:rsidP="00283025">
      <w:pPr>
        <w:pStyle w:val="question"/>
      </w:pPr>
      <w:r>
        <w:t>31</w:t>
      </w:r>
      <w:r w:rsidR="00283025" w:rsidRPr="00F02370">
        <w:t>.</w:t>
      </w:r>
      <w:r w:rsidR="00283025" w:rsidRPr="00F02370">
        <w:tab/>
        <w:t>Q.</w:t>
      </w:r>
      <w:r w:rsidR="00283025" w:rsidRPr="00F02370">
        <w:tab/>
        <w:t>What was the Company’s proposal for the cost to implement a POR and how did they propose to collect this cost?</w:t>
      </w:r>
    </w:p>
    <w:p w14:paraId="1328A822" w14:textId="1708C7C4" w:rsidR="00283025" w:rsidRPr="00F02370" w:rsidRDefault="00437894" w:rsidP="00283025">
      <w:pPr>
        <w:pStyle w:val="question"/>
      </w:pPr>
      <w:r>
        <w:tab/>
        <w:t xml:space="preserve">A. </w:t>
      </w:r>
      <w:r>
        <w:tab/>
        <w:t>The C</w:t>
      </w:r>
      <w:r w:rsidR="00283025" w:rsidRPr="00F02370">
        <w:t>ompany estimates the cost to implement a fully automated POR to be approximately $1.5 million.   The Company forecasted an additional $207,600 of incremental on going yearly O&amp;M support cost.  The Com</w:t>
      </w:r>
      <w:r w:rsidR="00F02370">
        <w:softHyphen/>
      </w:r>
      <w:r w:rsidR="00283025" w:rsidRPr="00F02370">
        <w:t>pany proposes to collect those cost through a fee charged to the participat</w:t>
      </w:r>
      <w:r w:rsidR="00F02370">
        <w:softHyphen/>
      </w:r>
      <w:r w:rsidR="00283025" w:rsidRPr="00F02370">
        <w:t>ing CRES providers.  The fee was derived by dividing the amortized imple</w:t>
      </w:r>
      <w:r w:rsidR="00F02370">
        <w:softHyphen/>
      </w:r>
      <w:r w:rsidR="00283025" w:rsidRPr="00F02370">
        <w:t xml:space="preserve">mentation cost over five years, and forecasted yearly administration costs by the projected number of shopping customers.  </w:t>
      </w:r>
    </w:p>
    <w:p w14:paraId="19C6D4F4" w14:textId="77777777" w:rsidR="00283025" w:rsidRPr="00F02370" w:rsidRDefault="00283025" w:rsidP="00283025">
      <w:pPr>
        <w:pStyle w:val="question"/>
      </w:pPr>
    </w:p>
    <w:p w14:paraId="7BE45BBF" w14:textId="0D942098" w:rsidR="00283025" w:rsidRPr="00F02370" w:rsidRDefault="00602B93" w:rsidP="00283025">
      <w:pPr>
        <w:pStyle w:val="question"/>
      </w:pPr>
      <w:r>
        <w:t>32</w:t>
      </w:r>
      <w:r w:rsidR="00283025" w:rsidRPr="00F02370">
        <w:t>.</w:t>
      </w:r>
      <w:r w:rsidR="00283025" w:rsidRPr="00F02370">
        <w:tab/>
        <w:t>Q.</w:t>
      </w:r>
      <w:r w:rsidR="00283025" w:rsidRPr="00F02370">
        <w:tab/>
        <w:t>Does Staff agree with the Company’s proposal for the cost to implement a POR?</w:t>
      </w:r>
    </w:p>
    <w:p w14:paraId="02A096B1" w14:textId="77777777" w:rsidR="00283025" w:rsidRPr="00F02370" w:rsidRDefault="00283025" w:rsidP="00283025">
      <w:pPr>
        <w:pStyle w:val="question"/>
      </w:pPr>
      <w:r w:rsidRPr="00F02370">
        <w:tab/>
        <w:t xml:space="preserve">A. </w:t>
      </w:r>
      <w:r w:rsidRPr="00F02370">
        <w:tab/>
        <w:t xml:space="preserve">Staff proposes that the estimated incremental O&amp;M support costs are assigned through the credit and collection adder.   Staff does agree with the </w:t>
      </w:r>
      <w:r w:rsidRPr="00F02370">
        <w:lastRenderedPageBreak/>
        <w:t xml:space="preserve">Company’s proposal to assess a yearly per-consolidated bill fee to the CRES providers for the implementation cost for a fully automated POR program.  </w:t>
      </w:r>
    </w:p>
    <w:p w14:paraId="65C1B1C8" w14:textId="77777777" w:rsidR="00283025" w:rsidRPr="00F02370" w:rsidRDefault="00283025" w:rsidP="00283025">
      <w:pPr>
        <w:pStyle w:val="question"/>
      </w:pPr>
    </w:p>
    <w:p w14:paraId="52CE2950" w14:textId="46D5BA69" w:rsidR="00283025" w:rsidRPr="00F02370" w:rsidRDefault="00602B93" w:rsidP="00283025">
      <w:pPr>
        <w:pStyle w:val="question"/>
      </w:pPr>
      <w:r>
        <w:t>33</w:t>
      </w:r>
      <w:r w:rsidR="00283025" w:rsidRPr="00F02370">
        <w:t>.</w:t>
      </w:r>
      <w:r w:rsidR="00283025" w:rsidRPr="00F02370">
        <w:tab/>
        <w:t>Q.</w:t>
      </w:r>
      <w:r w:rsidR="00283025" w:rsidRPr="00F02370">
        <w:tab/>
        <w:t>Should the yearly per-consolidated bill fee to CRES providers be adjusted annually?</w:t>
      </w:r>
    </w:p>
    <w:p w14:paraId="4A13C2DF" w14:textId="77777777" w:rsidR="00283025" w:rsidRPr="00F02370" w:rsidRDefault="00283025" w:rsidP="00283025">
      <w:pPr>
        <w:pStyle w:val="question"/>
      </w:pPr>
      <w:r w:rsidRPr="00F02370">
        <w:tab/>
        <w:t xml:space="preserve">A. </w:t>
      </w:r>
      <w:r w:rsidRPr="00F02370">
        <w:tab/>
        <w:t>Yes.  Staff proposes that annually when the Company calculates the dis</w:t>
      </w:r>
      <w:r w:rsidR="00F02370">
        <w:softHyphen/>
      </w:r>
      <w:r w:rsidRPr="00F02370">
        <w:t>count rate the Company also trues up the yearly per-consolidated bill fee.  The true-up should include the variance of actual cost of implementation verses the estimate and an adjustment for the most recent consolidating bill</w:t>
      </w:r>
      <w:r w:rsidR="00F02370">
        <w:softHyphen/>
      </w:r>
      <w:r w:rsidRPr="00F02370">
        <w:t xml:space="preserve">ing customer numbers.   </w:t>
      </w:r>
    </w:p>
    <w:p w14:paraId="7327B28F" w14:textId="77777777" w:rsidR="00283025" w:rsidRPr="00F02370" w:rsidRDefault="00283025" w:rsidP="00283025">
      <w:pPr>
        <w:pStyle w:val="question"/>
      </w:pPr>
    </w:p>
    <w:p w14:paraId="54FA1813" w14:textId="3CC01ED2" w:rsidR="00283025" w:rsidRPr="00F02370" w:rsidRDefault="00602B93" w:rsidP="00283025">
      <w:pPr>
        <w:pStyle w:val="question"/>
      </w:pPr>
      <w:r>
        <w:t>34</w:t>
      </w:r>
      <w:r w:rsidR="00283025" w:rsidRPr="00F02370">
        <w:t>.</w:t>
      </w:r>
      <w:r w:rsidR="00283025" w:rsidRPr="00F02370">
        <w:tab/>
        <w:t>Q.</w:t>
      </w:r>
      <w:r w:rsidR="00283025" w:rsidRPr="00F02370">
        <w:tab/>
        <w:t>Should there be a cap on the cost to implement a POR program?</w:t>
      </w:r>
    </w:p>
    <w:p w14:paraId="197A821F" w14:textId="77777777" w:rsidR="00283025" w:rsidRPr="00F02370" w:rsidRDefault="00283025" w:rsidP="00283025">
      <w:pPr>
        <w:pStyle w:val="question"/>
      </w:pPr>
      <w:r w:rsidRPr="00F02370">
        <w:tab/>
        <w:t xml:space="preserve">A. </w:t>
      </w:r>
      <w:r w:rsidRPr="00F02370">
        <w:tab/>
        <w:t xml:space="preserve">There should not be a hard cap on the cost to implement the POR program; however the Company should accurately track the cost as incurred.  If the Company sees that the cost will exceed 10% of the Company’s $1.5 million estimate the Company should be required to notify the participating CRES providers and Staff.  Upon notice of exceeding the $1.5 million by 10% the CRES providers can request that the Commission audit the Company’s implementation cost for prudency.  At that time, the Staff with Commission approval, will audit the cost incurred and projected for the implementation </w:t>
      </w:r>
      <w:r w:rsidRPr="00F02370">
        <w:lastRenderedPageBreak/>
        <w:t>of the POR program and submit its findings to the Commission with a rec</w:t>
      </w:r>
      <w:r w:rsidR="00F02370">
        <w:softHyphen/>
      </w:r>
      <w:r w:rsidRPr="00F02370">
        <w:t xml:space="preserve">ommendation of the reasonableness of the costs.   Staff should file the Staff report within three months of the Commission approving the audit.   </w:t>
      </w:r>
    </w:p>
    <w:p w14:paraId="0BDEA459" w14:textId="77777777" w:rsidR="00283025" w:rsidRPr="00F02370" w:rsidRDefault="00283025" w:rsidP="00283025">
      <w:pPr>
        <w:pStyle w:val="question"/>
      </w:pPr>
    </w:p>
    <w:p w14:paraId="7753AFF0" w14:textId="287225E0" w:rsidR="00974550" w:rsidRPr="00974550" w:rsidRDefault="00602B93" w:rsidP="00974550">
      <w:pPr>
        <w:pStyle w:val="question"/>
      </w:pPr>
      <w:r>
        <w:t>35</w:t>
      </w:r>
      <w:r w:rsidR="00974550">
        <w:t>.</w:t>
      </w:r>
      <w:r w:rsidR="00974550">
        <w:tab/>
      </w:r>
      <w:r w:rsidR="00974550" w:rsidRPr="00974550">
        <w:t>Q.</w:t>
      </w:r>
      <w:r w:rsidR="00974550" w:rsidRPr="00974550">
        <w:tab/>
        <w:t>Doe</w:t>
      </w:r>
      <w:r w:rsidR="006B24AD">
        <w:t>s</w:t>
      </w:r>
      <w:r w:rsidR="00974550" w:rsidRPr="00974550">
        <w:t xml:space="preserve"> this conclude your testimony?</w:t>
      </w:r>
    </w:p>
    <w:p w14:paraId="60918093" w14:textId="77777777"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14:paraId="48FE60F1" w14:textId="77777777" w:rsidR="00E83C72" w:rsidRPr="002424DE" w:rsidRDefault="00E83C72" w:rsidP="00E83C72">
      <w:pPr>
        <w:tabs>
          <w:tab w:val="left" w:pos="720"/>
        </w:tabs>
        <w:spacing w:line="480" w:lineRule="auto"/>
        <w:ind w:left="1440" w:hanging="1440"/>
        <w:sectPr w:rsidR="00E83C72" w:rsidRPr="002424DE" w:rsidSect="00E83C72">
          <w:headerReference w:type="default" r:id="rId17"/>
          <w:footerReference w:type="default" r:id="rId18"/>
          <w:headerReference w:type="first" r:id="rId19"/>
          <w:footerReference w:type="first" r:id="rId20"/>
          <w:pgSz w:w="12240" w:h="15840" w:code="1"/>
          <w:pgMar w:top="1440" w:right="1440" w:bottom="1440" w:left="1440" w:header="720" w:footer="720" w:gutter="0"/>
          <w:lnNumType w:countBy="1"/>
          <w:pgNumType w:start="1"/>
          <w:cols w:space="720"/>
          <w:titlePg/>
          <w:docGrid w:linePitch="360"/>
        </w:sectPr>
      </w:pPr>
    </w:p>
    <w:p w14:paraId="61D9D9B6" w14:textId="77777777" w:rsidR="00E83C72" w:rsidRPr="002669BF" w:rsidRDefault="00E83C72" w:rsidP="0039210C">
      <w:pPr>
        <w:pStyle w:val="Heading1"/>
      </w:pPr>
      <w:bookmarkStart w:id="5" w:name="_Toc387747572"/>
      <w:bookmarkStart w:id="6" w:name="_GoBack"/>
      <w:bookmarkEnd w:id="6"/>
      <w:r w:rsidRPr="002669BF">
        <w:lastRenderedPageBreak/>
        <w:t>PROOF OF SERVICE</w:t>
      </w:r>
      <w:bookmarkEnd w:id="0"/>
      <w:bookmarkEnd w:id="5"/>
    </w:p>
    <w:p w14:paraId="7D8204FD" w14:textId="77777777" w:rsidR="00E83C72" w:rsidRDefault="00E83C72" w:rsidP="00E83C72">
      <w:pPr>
        <w:pStyle w:val="Textstyle"/>
      </w:pPr>
      <w:r w:rsidRPr="002669BF">
        <w:tab/>
        <w:t xml:space="preserve">I hereby certify that a true copy of the foregoing Prefiled Testimony of </w:t>
      </w:r>
      <w:r w:rsidR="003F41D3">
        <w:rPr>
          <w:b/>
        </w:rPr>
        <w:t>Patrick Donlon</w:t>
      </w:r>
      <w:r w:rsidR="002C37C8">
        <w:rPr>
          <w:b/>
        </w:rPr>
        <w:t xml:space="preserve"> </w:t>
      </w:r>
      <w:r w:rsidRPr="002669BF">
        <w:t>submitted on behalf of the Staff of the Public Utilities Commission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14:paraId="3B1C8704" w14:textId="77777777" w:rsidR="00602B93" w:rsidRPr="00602B93" w:rsidRDefault="00602B93" w:rsidP="00E83C72">
      <w:pPr>
        <w:tabs>
          <w:tab w:val="left" w:pos="9360"/>
        </w:tabs>
        <w:ind w:left="4760"/>
        <w:rPr>
          <w:sz w:val="26"/>
          <w:szCs w:val="26"/>
          <w:u w:val="single"/>
        </w:rPr>
      </w:pPr>
    </w:p>
    <w:p w14:paraId="0D5E46D8" w14:textId="301C7211" w:rsidR="00E83C72" w:rsidRPr="002669BF" w:rsidRDefault="00A87CFE" w:rsidP="00E83C72">
      <w:pPr>
        <w:tabs>
          <w:tab w:val="left" w:pos="9360"/>
        </w:tabs>
        <w:ind w:left="4760"/>
        <w:rPr>
          <w:sz w:val="26"/>
          <w:szCs w:val="26"/>
          <w:u w:val="single"/>
        </w:rPr>
      </w:pPr>
      <w:r>
        <w:rPr>
          <w:rFonts w:ascii="AR BERKLEY" w:hAnsi="AR BERKLEY"/>
          <w:sz w:val="32"/>
          <w:szCs w:val="32"/>
          <w:u w:val="single"/>
        </w:rPr>
        <w:t>/s/ Devin D. Parram</w:t>
      </w:r>
      <w:r w:rsidR="00E83C72" w:rsidRPr="002669BF">
        <w:rPr>
          <w:sz w:val="26"/>
          <w:szCs w:val="26"/>
          <w:u w:val="single"/>
        </w:rPr>
        <w:tab/>
      </w:r>
    </w:p>
    <w:p w14:paraId="74D077C7" w14:textId="77777777" w:rsidR="00E83C72" w:rsidRPr="002669BF" w:rsidRDefault="007403A5" w:rsidP="00E83C72">
      <w:pPr>
        <w:tabs>
          <w:tab w:val="left" w:pos="9360"/>
        </w:tabs>
        <w:ind w:left="4760"/>
        <w:rPr>
          <w:b/>
          <w:sz w:val="26"/>
          <w:szCs w:val="26"/>
        </w:rPr>
      </w:pPr>
      <w:r>
        <w:rPr>
          <w:b/>
          <w:sz w:val="26"/>
          <w:szCs w:val="26"/>
        </w:rPr>
        <w:t>Devin D. Parram</w:t>
      </w:r>
    </w:p>
    <w:p w14:paraId="7C8FF456" w14:textId="77777777" w:rsidR="00E83C72" w:rsidRDefault="00E83C72" w:rsidP="00E83C72">
      <w:pPr>
        <w:tabs>
          <w:tab w:val="left" w:pos="9360"/>
        </w:tabs>
        <w:ind w:left="4760"/>
        <w:rPr>
          <w:sz w:val="26"/>
          <w:szCs w:val="26"/>
        </w:rPr>
      </w:pPr>
      <w:r w:rsidRPr="002669BF">
        <w:rPr>
          <w:sz w:val="26"/>
          <w:szCs w:val="26"/>
        </w:rPr>
        <w:t>Assistant Attorney General</w:t>
      </w:r>
    </w:p>
    <w:p w14:paraId="68D28FA5" w14:textId="77777777" w:rsidR="00E83C72" w:rsidRPr="002669BF" w:rsidRDefault="00E83C72" w:rsidP="00E83C72">
      <w:pPr>
        <w:rPr>
          <w:b/>
          <w:sz w:val="26"/>
          <w:szCs w:val="26"/>
        </w:rPr>
      </w:pPr>
      <w:r w:rsidRPr="002669BF">
        <w:rPr>
          <w:b/>
          <w:sz w:val="26"/>
          <w:szCs w:val="26"/>
        </w:rPr>
        <w:t>Parties of Record:</w:t>
      </w:r>
    </w:p>
    <w:p w14:paraId="70DDA02E" w14:textId="77777777" w:rsidR="00E83C72" w:rsidRPr="00602B93" w:rsidRDefault="00E83C72" w:rsidP="00E83C72">
      <w:pPr>
        <w:rPr>
          <w:b/>
          <w:sz w:val="20"/>
          <w:szCs w:val="20"/>
        </w:rPr>
      </w:pPr>
    </w:p>
    <w:tbl>
      <w:tblPr>
        <w:tblW w:w="0" w:type="auto"/>
        <w:tblLook w:val="01E0" w:firstRow="1" w:lastRow="1" w:firstColumn="1" w:lastColumn="1" w:noHBand="0" w:noVBand="0"/>
      </w:tblPr>
      <w:tblGrid>
        <w:gridCol w:w="4660"/>
        <w:gridCol w:w="4700"/>
      </w:tblGrid>
      <w:tr w:rsidR="002D302C" w:rsidRPr="00602B93" w14:paraId="5402087F" w14:textId="77777777" w:rsidTr="00345639">
        <w:tc>
          <w:tcPr>
            <w:tcW w:w="4660" w:type="dxa"/>
            <w:shd w:val="clear" w:color="auto" w:fill="auto"/>
          </w:tcPr>
          <w:p w14:paraId="0156EC7E" w14:textId="77777777" w:rsidR="002D302C" w:rsidRPr="00602B93" w:rsidRDefault="00E31384" w:rsidP="0016296C">
            <w:hyperlink r:id="rId21" w:history="1">
              <w:r w:rsidR="002D302C" w:rsidRPr="00602B93">
                <w:rPr>
                  <w:rStyle w:val="Hyperlink"/>
                </w:rPr>
                <w:t>campbell@whitt-sturtevant.com</w:t>
              </w:r>
            </w:hyperlink>
          </w:p>
          <w:p w14:paraId="7EBB40E9" w14:textId="77777777" w:rsidR="002D302C" w:rsidRPr="00602B93" w:rsidRDefault="00E31384" w:rsidP="0016296C">
            <w:hyperlink r:id="rId22" w:history="1">
              <w:r w:rsidR="002D302C" w:rsidRPr="00602B93">
                <w:rPr>
                  <w:rStyle w:val="Hyperlink"/>
                </w:rPr>
                <w:t>barthroyer@aol.com</w:t>
              </w:r>
            </w:hyperlink>
          </w:p>
          <w:p w14:paraId="70B6321D" w14:textId="77777777" w:rsidR="002D302C" w:rsidRPr="00602B93" w:rsidRDefault="00E31384" w:rsidP="0016296C">
            <w:hyperlink r:id="rId23" w:history="1">
              <w:r w:rsidR="002D302C" w:rsidRPr="00602B93">
                <w:rPr>
                  <w:rStyle w:val="Hyperlink"/>
                </w:rPr>
                <w:t>cloucas@ohiopartners.org</w:t>
              </w:r>
            </w:hyperlink>
          </w:p>
          <w:p w14:paraId="18AD7780" w14:textId="77777777" w:rsidR="002D302C" w:rsidRPr="00602B93" w:rsidRDefault="00E31384" w:rsidP="0016296C">
            <w:hyperlink r:id="rId24" w:history="1">
              <w:r w:rsidR="002D302C" w:rsidRPr="00602B93">
                <w:rPr>
                  <w:rStyle w:val="Hyperlink"/>
                </w:rPr>
                <w:t>cmooney@ohiopartners.org</w:t>
              </w:r>
            </w:hyperlink>
          </w:p>
          <w:p w14:paraId="51CE31CE" w14:textId="77777777" w:rsidR="002D302C" w:rsidRPr="00602B93" w:rsidRDefault="00E31384" w:rsidP="0016296C">
            <w:hyperlink r:id="rId25" w:history="1">
              <w:r w:rsidR="002D302C" w:rsidRPr="00602B93">
                <w:rPr>
                  <w:rStyle w:val="Hyperlink"/>
                </w:rPr>
                <w:t>dconway@porterwright.com</w:t>
              </w:r>
            </w:hyperlink>
          </w:p>
          <w:p w14:paraId="6E599089" w14:textId="77777777" w:rsidR="002D302C" w:rsidRPr="00602B93" w:rsidRDefault="00E31384" w:rsidP="0016296C">
            <w:hyperlink r:id="rId26" w:history="1">
              <w:r w:rsidR="002D302C" w:rsidRPr="00602B93">
                <w:rPr>
                  <w:rStyle w:val="Hyperlink"/>
                </w:rPr>
                <w:t>dboehm@bkllawfirm.com</w:t>
              </w:r>
            </w:hyperlink>
          </w:p>
          <w:p w14:paraId="7D0ADCC4" w14:textId="77777777" w:rsidR="002D302C" w:rsidRPr="00602B93" w:rsidRDefault="00E31384" w:rsidP="0016296C">
            <w:hyperlink r:id="rId27" w:history="1">
              <w:r w:rsidR="002D302C" w:rsidRPr="00602B93">
                <w:rPr>
                  <w:rStyle w:val="Hyperlink"/>
                </w:rPr>
                <w:t>dborchers@bricker.com</w:t>
              </w:r>
            </w:hyperlink>
          </w:p>
          <w:p w14:paraId="24C434EE" w14:textId="77777777" w:rsidR="002D302C" w:rsidRPr="00602B93" w:rsidRDefault="00E31384" w:rsidP="0016296C">
            <w:hyperlink r:id="rId28" w:history="1">
              <w:r w:rsidR="002D302C" w:rsidRPr="00602B93">
                <w:rPr>
                  <w:rStyle w:val="Hyperlink"/>
                </w:rPr>
                <w:t>edmund.berger@occ.ohio.gov</w:t>
              </w:r>
            </w:hyperlink>
          </w:p>
          <w:p w14:paraId="162F4D54" w14:textId="77777777" w:rsidR="002D302C" w:rsidRPr="00602B93" w:rsidRDefault="00E31384" w:rsidP="0016296C">
            <w:pPr>
              <w:autoSpaceDE w:val="0"/>
              <w:autoSpaceDN w:val="0"/>
              <w:adjustRightInd w:val="0"/>
            </w:pPr>
            <w:hyperlink r:id="rId29" w:history="1">
              <w:r w:rsidR="002D302C" w:rsidRPr="00602B93">
                <w:rPr>
                  <w:rStyle w:val="Hyperlink"/>
                </w:rPr>
                <w:t>fdarr@mwncmh.com</w:t>
              </w:r>
            </w:hyperlink>
          </w:p>
          <w:p w14:paraId="2FB65234" w14:textId="77777777" w:rsidR="002D302C" w:rsidRPr="00602B93" w:rsidRDefault="00E31384" w:rsidP="0016296C">
            <w:pPr>
              <w:autoSpaceDE w:val="0"/>
              <w:autoSpaceDN w:val="0"/>
              <w:adjustRightInd w:val="0"/>
            </w:pPr>
            <w:hyperlink r:id="rId30" w:history="1">
              <w:r w:rsidR="002D302C" w:rsidRPr="00602B93">
                <w:rPr>
                  <w:rStyle w:val="Hyperlink"/>
                </w:rPr>
                <w:t>gary.a.jeffries@dom.com</w:t>
              </w:r>
            </w:hyperlink>
          </w:p>
          <w:p w14:paraId="007C61B2" w14:textId="77777777" w:rsidR="002D302C" w:rsidRPr="00602B93" w:rsidRDefault="00E31384" w:rsidP="0016296C">
            <w:pPr>
              <w:autoSpaceDE w:val="0"/>
              <w:autoSpaceDN w:val="0"/>
              <w:adjustRightInd w:val="0"/>
            </w:pPr>
            <w:hyperlink r:id="rId31" w:history="1">
              <w:r w:rsidR="002D302C" w:rsidRPr="00602B93">
                <w:rPr>
                  <w:rStyle w:val="Hyperlink"/>
                </w:rPr>
                <w:t>gpoulos@enernoc.com</w:t>
              </w:r>
            </w:hyperlink>
          </w:p>
          <w:p w14:paraId="3EBCA41C" w14:textId="77777777" w:rsidR="002D302C" w:rsidRPr="00602B93" w:rsidRDefault="00E31384" w:rsidP="0016296C">
            <w:pPr>
              <w:autoSpaceDE w:val="0"/>
              <w:autoSpaceDN w:val="0"/>
              <w:adjustRightInd w:val="0"/>
            </w:pPr>
            <w:hyperlink r:id="rId32" w:history="1">
              <w:r w:rsidR="002D302C" w:rsidRPr="00602B93">
                <w:rPr>
                  <w:rStyle w:val="Hyperlink"/>
                </w:rPr>
                <w:t>williams@whitt-sturtevant.com</w:t>
              </w:r>
            </w:hyperlink>
          </w:p>
          <w:p w14:paraId="65F093B9" w14:textId="77777777" w:rsidR="002D302C" w:rsidRPr="00602B93" w:rsidRDefault="00E31384" w:rsidP="0016296C">
            <w:pPr>
              <w:autoSpaceDE w:val="0"/>
              <w:autoSpaceDN w:val="0"/>
              <w:adjustRightInd w:val="0"/>
            </w:pPr>
            <w:hyperlink r:id="rId33" w:history="1">
              <w:r w:rsidR="002D302C" w:rsidRPr="00602B93">
                <w:rPr>
                  <w:rStyle w:val="Hyperlink"/>
                </w:rPr>
                <w:t>glpetrucci@vorys.com</w:t>
              </w:r>
            </w:hyperlink>
          </w:p>
          <w:p w14:paraId="5960056F" w14:textId="77777777" w:rsidR="002D302C" w:rsidRPr="00602B93" w:rsidRDefault="00E31384" w:rsidP="0016296C">
            <w:pPr>
              <w:autoSpaceDE w:val="0"/>
              <w:autoSpaceDN w:val="0"/>
              <w:adjustRightInd w:val="0"/>
            </w:pPr>
            <w:hyperlink r:id="rId34" w:history="1">
              <w:r w:rsidR="002D302C" w:rsidRPr="00602B93">
                <w:rPr>
                  <w:rStyle w:val="Hyperlink"/>
                </w:rPr>
                <w:t>mhpetricoff@vorys.com</w:t>
              </w:r>
            </w:hyperlink>
          </w:p>
          <w:p w14:paraId="53BD5C5F" w14:textId="77777777" w:rsidR="002D302C" w:rsidRPr="00602B93" w:rsidRDefault="00E31384" w:rsidP="0016296C">
            <w:pPr>
              <w:autoSpaceDE w:val="0"/>
              <w:autoSpaceDN w:val="0"/>
              <w:adjustRightInd w:val="0"/>
            </w:pPr>
            <w:hyperlink r:id="rId35" w:history="1">
              <w:r w:rsidR="002D302C" w:rsidRPr="00602B93">
                <w:rPr>
                  <w:rStyle w:val="Hyperlink"/>
                </w:rPr>
                <w:t>tsiwo@bricker.com</w:t>
              </w:r>
            </w:hyperlink>
          </w:p>
          <w:p w14:paraId="228D9BAE" w14:textId="77777777" w:rsidR="002D302C" w:rsidRPr="00602B93" w:rsidRDefault="00E31384" w:rsidP="0016296C">
            <w:pPr>
              <w:autoSpaceDE w:val="0"/>
              <w:autoSpaceDN w:val="0"/>
              <w:adjustRightInd w:val="0"/>
            </w:pPr>
            <w:hyperlink r:id="rId36" w:history="1">
              <w:r w:rsidR="002D302C" w:rsidRPr="00602B93">
                <w:rPr>
                  <w:rStyle w:val="Hyperlink"/>
                </w:rPr>
                <w:t>jmcdermott@firstenergycorp.com</w:t>
              </w:r>
            </w:hyperlink>
          </w:p>
          <w:p w14:paraId="2D9A1CA8" w14:textId="77777777" w:rsidR="002D302C" w:rsidRPr="00602B93" w:rsidRDefault="00E31384" w:rsidP="0016296C">
            <w:pPr>
              <w:autoSpaceDE w:val="0"/>
              <w:autoSpaceDN w:val="0"/>
              <w:adjustRightInd w:val="0"/>
            </w:pPr>
            <w:hyperlink r:id="rId37" w:history="1">
              <w:r w:rsidR="002D302C" w:rsidRPr="00602B93">
                <w:rPr>
                  <w:rStyle w:val="Hyperlink"/>
                </w:rPr>
                <w:t>jfinnigan@edf.org</w:t>
              </w:r>
            </w:hyperlink>
          </w:p>
          <w:p w14:paraId="0C4A2696" w14:textId="77777777" w:rsidR="002D302C" w:rsidRPr="00602B93" w:rsidRDefault="00E31384" w:rsidP="0016296C">
            <w:pPr>
              <w:autoSpaceDE w:val="0"/>
              <w:autoSpaceDN w:val="0"/>
              <w:adjustRightInd w:val="0"/>
            </w:pPr>
            <w:hyperlink r:id="rId38" w:history="1">
              <w:r w:rsidR="002D302C" w:rsidRPr="00602B93">
                <w:rPr>
                  <w:rStyle w:val="Hyperlink"/>
                </w:rPr>
                <w:t>jkylercohn@bkllawfirm.com</w:t>
              </w:r>
            </w:hyperlink>
          </w:p>
          <w:p w14:paraId="13B6FBE5" w14:textId="77777777" w:rsidR="002D302C" w:rsidRPr="00602B93" w:rsidRDefault="00E31384" w:rsidP="0016296C">
            <w:pPr>
              <w:autoSpaceDE w:val="0"/>
              <w:autoSpaceDN w:val="0"/>
              <w:adjustRightInd w:val="0"/>
            </w:pPr>
            <w:hyperlink r:id="rId39" w:history="1">
              <w:r w:rsidR="002D302C" w:rsidRPr="00602B93">
                <w:rPr>
                  <w:rStyle w:val="Hyperlink"/>
                </w:rPr>
                <w:t>jfinnigan@edf.org</w:t>
              </w:r>
            </w:hyperlink>
          </w:p>
          <w:p w14:paraId="6DEA4AE4" w14:textId="77777777" w:rsidR="002D302C" w:rsidRPr="00602B93" w:rsidRDefault="00E31384" w:rsidP="0016296C">
            <w:pPr>
              <w:autoSpaceDE w:val="0"/>
              <w:autoSpaceDN w:val="0"/>
              <w:adjustRightInd w:val="0"/>
            </w:pPr>
            <w:hyperlink r:id="rId40" w:history="1">
              <w:r w:rsidR="002D302C" w:rsidRPr="00602B93">
                <w:rPr>
                  <w:rStyle w:val="Hyperlink"/>
                </w:rPr>
                <w:t>joseph.clark@directenergy.com</w:t>
              </w:r>
            </w:hyperlink>
          </w:p>
          <w:p w14:paraId="504810B4" w14:textId="77777777" w:rsidR="002D302C" w:rsidRPr="00602B93" w:rsidRDefault="00E31384" w:rsidP="0016296C">
            <w:pPr>
              <w:autoSpaceDE w:val="0"/>
              <w:autoSpaceDN w:val="0"/>
              <w:adjustRightInd w:val="0"/>
            </w:pPr>
            <w:hyperlink r:id="rId41" w:history="1">
              <w:r w:rsidR="002D302C" w:rsidRPr="00602B93">
                <w:rPr>
                  <w:rStyle w:val="Hyperlink"/>
                </w:rPr>
                <w:t>joliker@mwncmh.com</w:t>
              </w:r>
            </w:hyperlink>
          </w:p>
          <w:p w14:paraId="77B5973D" w14:textId="77777777" w:rsidR="002D302C" w:rsidRPr="00602B93" w:rsidRDefault="00E31384" w:rsidP="0016296C">
            <w:pPr>
              <w:autoSpaceDE w:val="0"/>
              <w:autoSpaceDN w:val="0"/>
              <w:adjustRightInd w:val="0"/>
            </w:pPr>
            <w:hyperlink r:id="rId42" w:history="1">
              <w:r w:rsidR="002D302C" w:rsidRPr="00602B93">
                <w:rPr>
                  <w:rStyle w:val="Hyperlink"/>
                </w:rPr>
                <w:t>joseph.serio@occ.ohio.gov</w:t>
              </w:r>
            </w:hyperlink>
          </w:p>
          <w:p w14:paraId="0C77F4CD" w14:textId="77777777" w:rsidR="002D302C" w:rsidRPr="00602B93" w:rsidRDefault="00E31384" w:rsidP="0016296C">
            <w:pPr>
              <w:autoSpaceDE w:val="0"/>
              <w:autoSpaceDN w:val="0"/>
              <w:adjustRightInd w:val="0"/>
            </w:pPr>
            <w:hyperlink r:id="rId43" w:history="1">
              <w:r w:rsidR="002D302C" w:rsidRPr="00602B93">
                <w:rPr>
                  <w:rStyle w:val="Hyperlink"/>
                </w:rPr>
                <w:t>judi.sobecki@aes.com</w:t>
              </w:r>
            </w:hyperlink>
          </w:p>
          <w:p w14:paraId="5234230D" w14:textId="77777777" w:rsidR="002D302C" w:rsidRPr="00602B93" w:rsidRDefault="00E31384" w:rsidP="0016296C">
            <w:pPr>
              <w:autoSpaceDE w:val="0"/>
              <w:autoSpaceDN w:val="0"/>
              <w:adjustRightInd w:val="0"/>
            </w:pPr>
            <w:hyperlink r:id="rId44" w:history="1">
              <w:r w:rsidR="002D302C" w:rsidRPr="00602B93">
                <w:rPr>
                  <w:rStyle w:val="Hyperlink"/>
                </w:rPr>
                <w:t>bojko@carpenterlipps.com</w:t>
              </w:r>
            </w:hyperlink>
          </w:p>
          <w:p w14:paraId="353187C2" w14:textId="77777777" w:rsidR="002D302C" w:rsidRPr="00602B93" w:rsidRDefault="00E31384" w:rsidP="0016296C">
            <w:pPr>
              <w:autoSpaceDE w:val="0"/>
              <w:autoSpaceDN w:val="0"/>
              <w:adjustRightInd w:val="0"/>
            </w:pPr>
            <w:hyperlink r:id="rId45" w:history="1">
              <w:r w:rsidR="002D302C" w:rsidRPr="00602B93">
                <w:rPr>
                  <w:rStyle w:val="Hyperlink"/>
                </w:rPr>
                <w:t>lfriedeman@igsenergy.com</w:t>
              </w:r>
            </w:hyperlink>
          </w:p>
          <w:p w14:paraId="4831F5BE" w14:textId="77777777" w:rsidR="002D302C" w:rsidRPr="00602B93" w:rsidRDefault="00E31384" w:rsidP="0016296C">
            <w:pPr>
              <w:autoSpaceDE w:val="0"/>
              <w:autoSpaceDN w:val="0"/>
              <w:adjustRightInd w:val="0"/>
            </w:pPr>
            <w:hyperlink r:id="rId46" w:history="1">
              <w:r w:rsidR="002D302C" w:rsidRPr="00602B93">
                <w:rPr>
                  <w:rStyle w:val="Hyperlink"/>
                </w:rPr>
                <w:t>lhawrot@spilmanlaw.com</w:t>
              </w:r>
            </w:hyperlink>
          </w:p>
          <w:p w14:paraId="3FAD52D0" w14:textId="77777777" w:rsidR="002D302C" w:rsidRPr="00602B93" w:rsidRDefault="00E31384" w:rsidP="0016296C">
            <w:pPr>
              <w:autoSpaceDE w:val="0"/>
              <w:autoSpaceDN w:val="0"/>
              <w:adjustRightInd w:val="0"/>
            </w:pPr>
            <w:hyperlink r:id="rId47" w:history="1">
              <w:r w:rsidR="002D302C" w:rsidRPr="00602B93">
                <w:rPr>
                  <w:rStyle w:val="Hyperlink"/>
                </w:rPr>
                <w:t>mohler@carpenterlipps.com</w:t>
              </w:r>
            </w:hyperlink>
          </w:p>
          <w:p w14:paraId="774ED8C4" w14:textId="77777777" w:rsidR="002D302C" w:rsidRPr="00602B93" w:rsidRDefault="00E31384" w:rsidP="0016296C">
            <w:hyperlink r:id="rId48" w:history="1">
              <w:r w:rsidR="002D302C" w:rsidRPr="00602B93">
                <w:rPr>
                  <w:rStyle w:val="Hyperlink"/>
                </w:rPr>
                <w:t>haydenm@firstenergycorp.com</w:t>
              </w:r>
            </w:hyperlink>
          </w:p>
        </w:tc>
        <w:tc>
          <w:tcPr>
            <w:tcW w:w="4700" w:type="dxa"/>
            <w:shd w:val="clear" w:color="auto" w:fill="auto"/>
          </w:tcPr>
          <w:p w14:paraId="26DEC3ED" w14:textId="77777777" w:rsidR="002D302C" w:rsidRPr="00602B93" w:rsidRDefault="00E31384" w:rsidP="0016296C">
            <w:pPr>
              <w:autoSpaceDE w:val="0"/>
              <w:autoSpaceDN w:val="0"/>
              <w:adjustRightInd w:val="0"/>
            </w:pPr>
            <w:hyperlink r:id="rId49" w:history="1">
              <w:r w:rsidR="002D302C" w:rsidRPr="00602B93">
                <w:rPr>
                  <w:rStyle w:val="Hyperlink"/>
                </w:rPr>
                <w:t>mjsatterwhite@aep.com</w:t>
              </w:r>
            </w:hyperlink>
          </w:p>
          <w:p w14:paraId="4B0F2427" w14:textId="77777777" w:rsidR="002D302C" w:rsidRPr="00602B93" w:rsidRDefault="00E31384" w:rsidP="0016296C">
            <w:pPr>
              <w:autoSpaceDE w:val="0"/>
              <w:autoSpaceDN w:val="0"/>
              <w:adjustRightInd w:val="0"/>
            </w:pPr>
            <w:hyperlink r:id="rId50" w:history="1">
              <w:r w:rsidR="002D302C" w:rsidRPr="00602B93">
                <w:rPr>
                  <w:rStyle w:val="Hyperlink"/>
                </w:rPr>
                <w:t>mswhite@igsenergy.com</w:t>
              </w:r>
            </w:hyperlink>
          </w:p>
          <w:p w14:paraId="1EEAC9D5" w14:textId="77777777" w:rsidR="002D302C" w:rsidRPr="00602B93" w:rsidRDefault="00E31384" w:rsidP="0016296C">
            <w:pPr>
              <w:autoSpaceDE w:val="0"/>
              <w:autoSpaceDN w:val="0"/>
              <w:adjustRightInd w:val="0"/>
            </w:pPr>
            <w:hyperlink r:id="rId51" w:history="1">
              <w:r w:rsidR="002D302C" w:rsidRPr="00602B93">
                <w:rPr>
                  <w:rStyle w:val="Hyperlink"/>
                </w:rPr>
                <w:t>maureen.grady@occ.ohio.gov</w:t>
              </w:r>
            </w:hyperlink>
          </w:p>
          <w:p w14:paraId="304DA5CE" w14:textId="77777777" w:rsidR="002D302C" w:rsidRPr="00602B93" w:rsidRDefault="00E31384" w:rsidP="0016296C">
            <w:pPr>
              <w:autoSpaceDE w:val="0"/>
              <w:autoSpaceDN w:val="0"/>
              <w:adjustRightInd w:val="0"/>
            </w:pPr>
            <w:hyperlink r:id="rId52" w:history="1">
              <w:r w:rsidR="002D302C" w:rsidRPr="00602B93">
                <w:rPr>
                  <w:rStyle w:val="Hyperlink"/>
                </w:rPr>
                <w:t>mkurtz@bkllawfirm.com</w:t>
              </w:r>
            </w:hyperlink>
          </w:p>
          <w:p w14:paraId="2DDE96DF" w14:textId="77777777" w:rsidR="002D302C" w:rsidRPr="00602B93" w:rsidRDefault="00E31384" w:rsidP="0016296C">
            <w:pPr>
              <w:autoSpaceDE w:val="0"/>
              <w:autoSpaceDN w:val="0"/>
              <w:adjustRightInd w:val="0"/>
            </w:pPr>
            <w:hyperlink r:id="rId53" w:history="1">
              <w:r w:rsidR="002D302C" w:rsidRPr="00602B93">
                <w:rPr>
                  <w:rStyle w:val="Hyperlink"/>
                </w:rPr>
                <w:t>msmalz@ohiopovertylaw.org</w:t>
              </w:r>
            </w:hyperlink>
          </w:p>
          <w:p w14:paraId="4F4EA3FB" w14:textId="77777777" w:rsidR="002D302C" w:rsidRPr="00602B93" w:rsidRDefault="00E31384" w:rsidP="0016296C">
            <w:pPr>
              <w:autoSpaceDE w:val="0"/>
              <w:autoSpaceDN w:val="0"/>
              <w:adjustRightInd w:val="0"/>
            </w:pPr>
            <w:hyperlink r:id="rId54" w:history="1">
              <w:r w:rsidR="002D302C" w:rsidRPr="00602B93">
                <w:rPr>
                  <w:rStyle w:val="Hyperlink"/>
                </w:rPr>
                <w:t>nmcdaniel@elpc.org</w:t>
              </w:r>
            </w:hyperlink>
          </w:p>
          <w:p w14:paraId="16F5AC27" w14:textId="77777777" w:rsidR="002D302C" w:rsidRPr="00602B93" w:rsidRDefault="00E31384" w:rsidP="0016296C">
            <w:pPr>
              <w:autoSpaceDE w:val="0"/>
              <w:autoSpaceDN w:val="0"/>
              <w:adjustRightInd w:val="0"/>
            </w:pPr>
            <w:hyperlink r:id="rId55" w:history="1">
              <w:r w:rsidR="002D302C" w:rsidRPr="00602B93">
                <w:rPr>
                  <w:rStyle w:val="Hyperlink"/>
                </w:rPr>
                <w:t>plee@oslsa.org</w:t>
              </w:r>
            </w:hyperlink>
          </w:p>
          <w:p w14:paraId="69DA1115" w14:textId="77777777" w:rsidR="002D302C" w:rsidRPr="00602B93" w:rsidRDefault="00E31384" w:rsidP="0016296C">
            <w:pPr>
              <w:autoSpaceDE w:val="0"/>
              <w:autoSpaceDN w:val="0"/>
              <w:adjustRightInd w:val="0"/>
            </w:pPr>
            <w:hyperlink r:id="rId56" w:history="1">
              <w:r w:rsidR="002D302C" w:rsidRPr="00602B93">
                <w:rPr>
                  <w:rStyle w:val="Hyperlink"/>
                </w:rPr>
                <w:t>philip.sineneng@thompsonhine.com</w:t>
              </w:r>
            </w:hyperlink>
          </w:p>
          <w:p w14:paraId="6DCE4651" w14:textId="77777777" w:rsidR="002D302C" w:rsidRPr="00602B93" w:rsidRDefault="00E31384" w:rsidP="0016296C">
            <w:pPr>
              <w:autoSpaceDE w:val="0"/>
              <w:autoSpaceDN w:val="0"/>
              <w:adjustRightInd w:val="0"/>
            </w:pPr>
            <w:hyperlink r:id="rId57" w:history="1">
              <w:r w:rsidR="002D302C" w:rsidRPr="00602B93">
                <w:rPr>
                  <w:rStyle w:val="Hyperlink"/>
                </w:rPr>
                <w:t>ricks@ohanet.org</w:t>
              </w:r>
            </w:hyperlink>
          </w:p>
          <w:p w14:paraId="1D6C7CA7" w14:textId="77777777" w:rsidR="002D302C" w:rsidRPr="00602B93" w:rsidRDefault="00E31384" w:rsidP="0016296C">
            <w:pPr>
              <w:autoSpaceDE w:val="0"/>
              <w:autoSpaceDN w:val="0"/>
              <w:adjustRightInd w:val="0"/>
            </w:pPr>
            <w:hyperlink r:id="rId58" w:history="1">
              <w:r w:rsidR="002D302C" w:rsidRPr="00602B93">
                <w:rPr>
                  <w:rStyle w:val="Hyperlink"/>
                </w:rPr>
                <w:t>rocco.dascenzo@duke-energy.com</w:t>
              </w:r>
            </w:hyperlink>
          </w:p>
          <w:p w14:paraId="65F6C372" w14:textId="77777777" w:rsidR="002D302C" w:rsidRPr="00602B93" w:rsidRDefault="00E31384" w:rsidP="0016296C">
            <w:pPr>
              <w:autoSpaceDE w:val="0"/>
              <w:autoSpaceDN w:val="0"/>
              <w:adjustRightInd w:val="0"/>
            </w:pPr>
            <w:hyperlink r:id="rId59" w:history="1">
              <w:r w:rsidR="002D302C" w:rsidRPr="00602B93">
                <w:rPr>
                  <w:rStyle w:val="Hyperlink"/>
                </w:rPr>
                <w:t>sam@mwncmh.com</w:t>
              </w:r>
            </w:hyperlink>
          </w:p>
          <w:p w14:paraId="46B4CFC5" w14:textId="77777777" w:rsidR="002D302C" w:rsidRPr="00602B93" w:rsidRDefault="00E31384" w:rsidP="0016296C">
            <w:pPr>
              <w:autoSpaceDE w:val="0"/>
              <w:autoSpaceDN w:val="0"/>
              <w:adjustRightInd w:val="0"/>
            </w:pPr>
            <w:hyperlink r:id="rId60" w:history="1">
              <w:r w:rsidR="002D302C" w:rsidRPr="00602B93">
                <w:rPr>
                  <w:rStyle w:val="Hyperlink"/>
                </w:rPr>
                <w:t>swilliams@nrdc.org</w:t>
              </w:r>
            </w:hyperlink>
          </w:p>
          <w:p w14:paraId="21938CDD" w14:textId="77777777" w:rsidR="002D302C" w:rsidRPr="00602B93" w:rsidRDefault="00E31384" w:rsidP="0016296C">
            <w:pPr>
              <w:autoSpaceDE w:val="0"/>
              <w:autoSpaceDN w:val="0"/>
              <w:adjustRightInd w:val="0"/>
            </w:pPr>
            <w:hyperlink r:id="rId61" w:history="1">
              <w:r w:rsidR="002D302C" w:rsidRPr="00602B93">
                <w:rPr>
                  <w:rStyle w:val="Hyperlink"/>
                </w:rPr>
                <w:t>casto@firstenergycorp.com</w:t>
              </w:r>
            </w:hyperlink>
          </w:p>
          <w:p w14:paraId="348FBB06" w14:textId="77777777" w:rsidR="002D302C" w:rsidRPr="00602B93" w:rsidRDefault="00E31384" w:rsidP="0016296C">
            <w:pPr>
              <w:autoSpaceDE w:val="0"/>
              <w:autoSpaceDN w:val="0"/>
              <w:adjustRightInd w:val="0"/>
            </w:pPr>
            <w:hyperlink r:id="rId62" w:history="1">
              <w:r w:rsidR="002D302C" w:rsidRPr="00602B93">
                <w:rPr>
                  <w:rStyle w:val="Hyperlink"/>
                </w:rPr>
                <w:t>sasloan@aep.com</w:t>
              </w:r>
            </w:hyperlink>
          </w:p>
          <w:p w14:paraId="0906ACA0" w14:textId="77777777" w:rsidR="002D302C" w:rsidRPr="00602B93" w:rsidRDefault="00E31384" w:rsidP="0016296C">
            <w:pPr>
              <w:autoSpaceDE w:val="0"/>
              <w:autoSpaceDN w:val="0"/>
              <w:adjustRightInd w:val="0"/>
            </w:pPr>
            <w:hyperlink r:id="rId63" w:history="1">
              <w:r w:rsidR="002D302C" w:rsidRPr="00602B93">
                <w:rPr>
                  <w:rStyle w:val="Hyperlink"/>
                </w:rPr>
                <w:t>stephanie.chmiel@thompsonhine.com</w:t>
              </w:r>
            </w:hyperlink>
          </w:p>
          <w:p w14:paraId="601928A0" w14:textId="77777777" w:rsidR="002D302C" w:rsidRPr="00602B93" w:rsidRDefault="00E31384" w:rsidP="0016296C">
            <w:pPr>
              <w:autoSpaceDE w:val="0"/>
              <w:autoSpaceDN w:val="0"/>
              <w:adjustRightInd w:val="0"/>
            </w:pPr>
            <w:hyperlink r:id="rId64" w:history="1">
              <w:r w:rsidR="002D302C" w:rsidRPr="00602B93">
                <w:rPr>
                  <w:rStyle w:val="Hyperlink"/>
                </w:rPr>
                <w:t>stephen.chriss@walmart.com</w:t>
              </w:r>
            </w:hyperlink>
          </w:p>
          <w:p w14:paraId="40386C4C" w14:textId="77777777" w:rsidR="002D302C" w:rsidRPr="00602B93" w:rsidRDefault="00E31384" w:rsidP="0016296C">
            <w:pPr>
              <w:autoSpaceDE w:val="0"/>
              <w:autoSpaceDN w:val="0"/>
              <w:adjustRightInd w:val="0"/>
            </w:pPr>
            <w:hyperlink r:id="rId65" w:history="1">
              <w:r w:rsidR="002D302C" w:rsidRPr="00602B93">
                <w:rPr>
                  <w:rStyle w:val="Hyperlink"/>
                </w:rPr>
                <w:t>stnourse@aep.com</w:t>
              </w:r>
            </w:hyperlink>
          </w:p>
          <w:p w14:paraId="4F9F8835" w14:textId="77777777" w:rsidR="002D302C" w:rsidRPr="00602B93" w:rsidRDefault="00E31384" w:rsidP="0016296C">
            <w:pPr>
              <w:autoSpaceDE w:val="0"/>
              <w:autoSpaceDN w:val="0"/>
              <w:adjustRightInd w:val="0"/>
            </w:pPr>
            <w:hyperlink r:id="rId66" w:history="1">
              <w:r w:rsidR="002D302C" w:rsidRPr="00602B93">
                <w:rPr>
                  <w:rStyle w:val="Hyperlink"/>
                </w:rPr>
                <w:t>tammy.turkenton@puc.state.oh.us</w:t>
              </w:r>
            </w:hyperlink>
          </w:p>
          <w:p w14:paraId="363948F9" w14:textId="77777777" w:rsidR="002D302C" w:rsidRPr="00602B93" w:rsidRDefault="00E31384" w:rsidP="0016296C">
            <w:pPr>
              <w:autoSpaceDE w:val="0"/>
              <w:autoSpaceDN w:val="0"/>
              <w:adjustRightInd w:val="0"/>
            </w:pPr>
            <w:hyperlink r:id="rId67" w:history="1">
              <w:r w:rsidR="002D302C" w:rsidRPr="00602B93">
                <w:rPr>
                  <w:rStyle w:val="Hyperlink"/>
                </w:rPr>
                <w:t>tshadick@spilmanlaw.com</w:t>
              </w:r>
            </w:hyperlink>
          </w:p>
          <w:p w14:paraId="4EB14BA0" w14:textId="77777777" w:rsidR="002D302C" w:rsidRPr="00602B93" w:rsidRDefault="00E31384" w:rsidP="0016296C">
            <w:pPr>
              <w:autoSpaceDE w:val="0"/>
              <w:autoSpaceDN w:val="0"/>
              <w:adjustRightInd w:val="0"/>
            </w:pPr>
            <w:hyperlink r:id="rId68" w:history="1">
              <w:r w:rsidR="002D302C" w:rsidRPr="00602B93">
                <w:rPr>
                  <w:rStyle w:val="Hyperlink"/>
                </w:rPr>
                <w:t>tobrien@bricker.com</w:t>
              </w:r>
            </w:hyperlink>
          </w:p>
          <w:p w14:paraId="02AF2ACC" w14:textId="77777777" w:rsidR="002D302C" w:rsidRPr="00602B93" w:rsidRDefault="00E31384" w:rsidP="0016296C">
            <w:pPr>
              <w:autoSpaceDE w:val="0"/>
              <w:autoSpaceDN w:val="0"/>
              <w:adjustRightInd w:val="0"/>
            </w:pPr>
            <w:hyperlink r:id="rId69" w:history="1">
              <w:r w:rsidR="002D302C" w:rsidRPr="00602B93">
                <w:rPr>
                  <w:rStyle w:val="Hyperlink"/>
                </w:rPr>
                <w:t>tdougherty@theOEC.org</w:t>
              </w:r>
            </w:hyperlink>
          </w:p>
          <w:p w14:paraId="15097648" w14:textId="77777777" w:rsidR="002D302C" w:rsidRPr="00602B93" w:rsidRDefault="00E31384" w:rsidP="0016296C">
            <w:pPr>
              <w:autoSpaceDE w:val="0"/>
              <w:autoSpaceDN w:val="0"/>
              <w:adjustRightInd w:val="0"/>
            </w:pPr>
            <w:hyperlink r:id="rId70" w:history="1">
              <w:r w:rsidR="002D302C" w:rsidRPr="00602B93">
                <w:rPr>
                  <w:rStyle w:val="Hyperlink"/>
                </w:rPr>
                <w:t>vparisi@igsenergy.com</w:t>
              </w:r>
            </w:hyperlink>
          </w:p>
          <w:p w14:paraId="270B550B" w14:textId="77777777" w:rsidR="002D302C" w:rsidRPr="00602B93" w:rsidRDefault="00E31384" w:rsidP="0016296C">
            <w:pPr>
              <w:autoSpaceDE w:val="0"/>
              <w:autoSpaceDN w:val="0"/>
              <w:adjustRightInd w:val="0"/>
            </w:pPr>
            <w:hyperlink r:id="rId71" w:history="1">
              <w:r w:rsidR="002D302C" w:rsidRPr="00602B93">
                <w:rPr>
                  <w:rStyle w:val="Hyperlink"/>
                </w:rPr>
                <w:t>zkravitz@taftlaw.com</w:t>
              </w:r>
            </w:hyperlink>
          </w:p>
          <w:p w14:paraId="78CA49E7" w14:textId="77777777" w:rsidR="002D302C" w:rsidRPr="00602B93" w:rsidRDefault="00E31384" w:rsidP="0016296C">
            <w:pPr>
              <w:autoSpaceDE w:val="0"/>
              <w:autoSpaceDN w:val="0"/>
              <w:adjustRightInd w:val="0"/>
            </w:pPr>
            <w:hyperlink r:id="rId72" w:history="1">
              <w:r w:rsidR="002D302C" w:rsidRPr="00602B93">
                <w:rPr>
                  <w:rStyle w:val="Hyperlink"/>
                </w:rPr>
                <w:t>whitt@whitt-sturtevant.com</w:t>
              </w:r>
            </w:hyperlink>
          </w:p>
          <w:p w14:paraId="03822AFE" w14:textId="77777777" w:rsidR="002D302C" w:rsidRPr="00602B93" w:rsidRDefault="00E31384" w:rsidP="0016296C">
            <w:pPr>
              <w:autoSpaceDE w:val="0"/>
              <w:autoSpaceDN w:val="0"/>
              <w:adjustRightInd w:val="0"/>
            </w:pPr>
            <w:hyperlink r:id="rId73" w:history="1">
              <w:r w:rsidR="002D302C" w:rsidRPr="00602B93">
                <w:rPr>
                  <w:rStyle w:val="Hyperlink"/>
                </w:rPr>
                <w:t>myurick@taftlaw.com</w:t>
              </w:r>
            </w:hyperlink>
          </w:p>
          <w:p w14:paraId="33B8005B" w14:textId="77777777" w:rsidR="002D302C" w:rsidRPr="00602B93" w:rsidRDefault="00E31384" w:rsidP="0016296C">
            <w:pPr>
              <w:autoSpaceDE w:val="0"/>
              <w:autoSpaceDN w:val="0"/>
              <w:adjustRightInd w:val="0"/>
            </w:pPr>
            <w:hyperlink r:id="rId74" w:history="1">
              <w:r w:rsidR="002D302C" w:rsidRPr="00602B93">
                <w:rPr>
                  <w:rStyle w:val="Hyperlink"/>
                </w:rPr>
                <w:t>mpritchard@mwncmh.com</w:t>
              </w:r>
            </w:hyperlink>
          </w:p>
          <w:p w14:paraId="34F271BC" w14:textId="77777777" w:rsidR="002D302C" w:rsidRPr="00602B93" w:rsidRDefault="00E31384" w:rsidP="0016296C">
            <w:hyperlink r:id="rId75" w:history="1">
              <w:r w:rsidR="002D302C" w:rsidRPr="00602B93">
                <w:rPr>
                  <w:rStyle w:val="Hyperlink"/>
                </w:rPr>
                <w:t>schmidt@sppgrp.com</w:t>
              </w:r>
            </w:hyperlink>
          </w:p>
        </w:tc>
      </w:tr>
    </w:tbl>
    <w:p w14:paraId="690FA2D9" w14:textId="77777777" w:rsidR="00A87CFE" w:rsidRDefault="00A87CFE" w:rsidP="00345639">
      <w:pPr>
        <w:pStyle w:val="question"/>
        <w:ind w:firstLine="0"/>
        <w:jc w:val="center"/>
        <w:rPr>
          <w:b/>
          <w:sz w:val="28"/>
          <w:szCs w:val="28"/>
        </w:rPr>
        <w:sectPr w:rsidR="00A87CFE" w:rsidSect="00E83C72">
          <w:headerReference w:type="default" r:id="rId76"/>
          <w:footerReference w:type="default" r:id="rId77"/>
          <w:headerReference w:type="first" r:id="rId78"/>
          <w:footerReference w:type="first" r:id="rId79"/>
          <w:pgSz w:w="12240" w:h="15840"/>
          <w:pgMar w:top="1440" w:right="1440" w:bottom="1440" w:left="1440" w:header="720" w:footer="720" w:gutter="0"/>
          <w:cols w:space="720"/>
          <w:titlePg/>
          <w:docGrid w:linePitch="360"/>
        </w:sectPr>
      </w:pPr>
    </w:p>
    <w:p w14:paraId="53733DD7" w14:textId="2873444A" w:rsidR="00345639" w:rsidRPr="00345639" w:rsidRDefault="00345639" w:rsidP="00345639">
      <w:pPr>
        <w:pStyle w:val="question"/>
        <w:ind w:firstLine="0"/>
        <w:jc w:val="center"/>
        <w:rPr>
          <w:b/>
          <w:sz w:val="28"/>
          <w:szCs w:val="28"/>
        </w:rPr>
      </w:pPr>
      <w:r w:rsidRPr="00345639">
        <w:rPr>
          <w:b/>
          <w:sz w:val="28"/>
          <w:szCs w:val="28"/>
        </w:rPr>
        <w:t>Attachment 1</w:t>
      </w:r>
    </w:p>
    <w:p w14:paraId="0718304F" w14:textId="13D72255" w:rsidR="00345639" w:rsidRDefault="00345639" w:rsidP="00345639">
      <w:pPr>
        <w:pStyle w:val="question"/>
        <w:tabs>
          <w:tab w:val="clear" w:pos="720"/>
        </w:tabs>
        <w:rPr>
          <w:rFonts w:ascii="Calibri" w:hAnsi="Calibri" w:cs="Calibri"/>
          <w:sz w:val="22"/>
          <w:szCs w:val="22"/>
        </w:rPr>
      </w:pPr>
      <w:r>
        <w:rPr>
          <w:rFonts w:ascii="Calibri" w:hAnsi="Calibri" w:cs="Calibri"/>
          <w:sz w:val="22"/>
          <w:szCs w:val="22"/>
        </w:rPr>
        <w:tab/>
      </w:r>
      <w:r>
        <w:rPr>
          <w:rFonts w:ascii="Calibri" w:hAnsi="Calibri" w:cs="Calibri"/>
          <w:noProof/>
          <w:sz w:val="22"/>
          <w:szCs w:val="22"/>
        </w:rPr>
        <w:drawing>
          <wp:inline distT="0" distB="0" distL="0" distR="0" wp14:anchorId="39E9A532" wp14:editId="04DC55E0">
            <wp:extent cx="4846320" cy="400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46320" cy="4008120"/>
                    </a:xfrm>
                    <a:prstGeom prst="rect">
                      <a:avLst/>
                    </a:prstGeom>
                    <a:noFill/>
                    <a:ln>
                      <a:noFill/>
                    </a:ln>
                  </pic:spPr>
                </pic:pic>
              </a:graphicData>
            </a:graphic>
          </wp:inline>
        </w:drawing>
      </w:r>
    </w:p>
    <w:p w14:paraId="6D0CC9C0" w14:textId="77777777" w:rsidR="00C0468B" w:rsidRDefault="00C0468B" w:rsidP="00602B93"/>
    <w:sectPr w:rsidR="00C0468B" w:rsidSect="00E83C72">
      <w:footerReference w:type="first" r:id="rId8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96220" w14:textId="77777777" w:rsidR="00C55279" w:rsidRDefault="00C55279">
      <w:r>
        <w:separator/>
      </w:r>
    </w:p>
  </w:endnote>
  <w:endnote w:type="continuationSeparator" w:id="0">
    <w:p w14:paraId="4AC8F8E8" w14:textId="77777777"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 BERKLEY">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A8DA"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A20E3D">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389964"/>
      <w:docPartObj>
        <w:docPartGallery w:val="Page Numbers (Bottom of Page)"/>
        <w:docPartUnique/>
      </w:docPartObj>
    </w:sdtPr>
    <w:sdtEndPr>
      <w:rPr>
        <w:noProof/>
      </w:rPr>
    </w:sdtEndPr>
    <w:sdtContent>
      <w:p w14:paraId="6825805E" w14:textId="77777777" w:rsidR="00766EF8" w:rsidRDefault="00A20E3D" w:rsidP="00A20E3D">
        <w:pPr>
          <w:pStyle w:val="Footer"/>
          <w:jc w:val="center"/>
        </w:pPr>
        <w:r>
          <w:fldChar w:fldCharType="begin"/>
        </w:r>
        <w:r>
          <w:instrText xml:space="preserve"> PAGE   \* MERGEFORMAT </w:instrText>
        </w:r>
        <w:r>
          <w:fldChar w:fldCharType="separate"/>
        </w:r>
        <w:r w:rsidR="00E31384">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365AC" w14:textId="77777777" w:rsidR="00A20E3D" w:rsidRDefault="00A20E3D"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E31384">
      <w:rPr>
        <w:rStyle w:val="PageNumber"/>
        <w:noProof/>
      </w:rPr>
      <w:t>15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D268C" w14:textId="77777777" w:rsidR="00A20E3D" w:rsidRPr="00A20E3D" w:rsidRDefault="00A20E3D" w:rsidP="00A20E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08206"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A87CFE">
      <w:rPr>
        <w:rStyle w:val="PageNumber"/>
        <w:noProof/>
      </w:rPr>
      <w:t>17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ED54"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E31384">
      <w:rPr>
        <w:rStyle w:val="PageNumber"/>
        <w:noProof/>
      </w:rPr>
      <w:t>16</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18F1D" w14:textId="563C1B8F" w:rsidR="00A87CFE" w:rsidRPr="00A87CFE" w:rsidRDefault="00A87CFE" w:rsidP="00A87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5C2A2" w14:textId="77777777" w:rsidR="00C55279" w:rsidRDefault="00C55279">
      <w:r>
        <w:separator/>
      </w:r>
    </w:p>
  </w:footnote>
  <w:footnote w:type="continuationSeparator" w:id="0">
    <w:p w14:paraId="0A3B62CF" w14:textId="77777777" w:rsidR="00C55279" w:rsidRDefault="00C55279">
      <w:r>
        <w:continuationSeparator/>
      </w:r>
    </w:p>
  </w:footnote>
  <w:footnote w:id="1">
    <w:p w14:paraId="64AC3818" w14:textId="77777777" w:rsidR="00283025" w:rsidRPr="00283025" w:rsidRDefault="00283025" w:rsidP="00283025">
      <w:pPr>
        <w:pStyle w:val="FootnoteText"/>
      </w:pPr>
      <w:r>
        <w:rPr>
          <w:rStyle w:val="FootnoteReference"/>
        </w:rPr>
        <w:footnoteRef/>
      </w:r>
      <w:r>
        <w:t xml:space="preserve"> </w:t>
      </w:r>
      <w:r>
        <w:tab/>
      </w:r>
      <w:r w:rsidRPr="00283025">
        <w:tab/>
      </w:r>
      <w:r w:rsidRPr="00283025">
        <w:rPr>
          <w:i/>
        </w:rPr>
        <w:t>In the Matter of the Commission’s Investigation of Ohio’s Retail Electric Service Market</w:t>
      </w:r>
      <w:r w:rsidRPr="00283025">
        <w:t xml:space="preserve">, Case No. 12-3151-EL-COI (Finding and Order at 21) (Mar. 26, 2014). </w:t>
      </w:r>
    </w:p>
  </w:footnote>
  <w:footnote w:id="2">
    <w:p w14:paraId="21D9792A" w14:textId="77777777" w:rsidR="00283025" w:rsidRDefault="00283025" w:rsidP="00283025">
      <w:pPr>
        <w:pStyle w:val="FootnoteText"/>
      </w:pPr>
      <w:r>
        <w:rPr>
          <w:rStyle w:val="FootnoteReference"/>
        </w:rPr>
        <w:footnoteRef/>
      </w:r>
      <w:r>
        <w:t xml:space="preserve"> </w:t>
      </w:r>
      <w:r>
        <w:tab/>
      </w:r>
      <w:r>
        <w:tab/>
        <w:t xml:space="preserve">AEP Ohio witness Stacey Gabbard testimony at 9.  </w:t>
      </w:r>
    </w:p>
  </w:footnote>
  <w:footnote w:id="3">
    <w:p w14:paraId="2F0A0844" w14:textId="77777777" w:rsidR="00283025" w:rsidRDefault="00283025" w:rsidP="00283025">
      <w:pPr>
        <w:pStyle w:val="FootnoteText"/>
      </w:pPr>
      <w:r>
        <w:rPr>
          <w:rStyle w:val="FootnoteReference"/>
        </w:rPr>
        <w:footnoteRef/>
      </w:r>
      <w:r>
        <w:t xml:space="preserve"> </w:t>
      </w:r>
      <w:r>
        <w:tab/>
      </w:r>
      <w:r>
        <w:tab/>
      </w:r>
      <w:r>
        <w:rPr>
          <w:i/>
        </w:rPr>
        <w:t xml:space="preserve">In the Matter of the Application of Duke Energy Ohio, Inc. for Authority to Establish a Standard Service Offer Pursuant to Section 4928.143, Revised Code, in the Form of an Electric Security Plan, Accounting Modifications, and Tariffs for Generation Service, </w:t>
      </w:r>
      <w:r w:rsidRPr="00283025">
        <w:t>Case</w:t>
      </w:r>
      <w:r>
        <w:t xml:space="preserve"> No. 11-3549-EL-SSO.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333C" w14:textId="05D20D49" w:rsidR="00A20E3D" w:rsidRDefault="00A20E3D" w:rsidP="00A20E3D">
    <w:pPr>
      <w:pStyle w:val="Header"/>
      <w:jc w:val="center"/>
      <w:rPr>
        <w:b/>
        <w:sz w:val="28"/>
        <w:szCs w:val="28"/>
      </w:rPr>
    </w:pPr>
    <w:r>
      <w:rPr>
        <w:b/>
        <w:sz w:val="28"/>
        <w:szCs w:val="28"/>
      </w:rPr>
      <w:t>TABLE OF CONTENTS</w:t>
    </w:r>
  </w:p>
  <w:p w14:paraId="77FB7C07" w14:textId="4D80744F" w:rsidR="00A20E3D" w:rsidRDefault="00A20E3D" w:rsidP="00A20E3D">
    <w:pPr>
      <w:pStyle w:val="Header"/>
      <w:jc w:val="right"/>
      <w:rPr>
        <w:b/>
        <w:sz w:val="28"/>
        <w:szCs w:val="28"/>
      </w:rPr>
    </w:pPr>
    <w:r>
      <w:rPr>
        <w:b/>
        <w:sz w:val="28"/>
        <w:szCs w:val="28"/>
      </w:rPr>
      <w:t>Page</w:t>
    </w:r>
  </w:p>
  <w:p w14:paraId="66545CFE" w14:textId="77777777" w:rsidR="00A20E3D" w:rsidRPr="00A20E3D" w:rsidRDefault="00A20E3D" w:rsidP="00A20E3D">
    <w:pPr>
      <w:pStyle w:val="Header"/>
      <w:jc w:val="right"/>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8C28D" w14:textId="77777777" w:rsidR="00766EF8" w:rsidRDefault="00766E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2D913" w14:textId="77777777" w:rsidR="00A20E3D" w:rsidRDefault="00A20E3D" w:rsidP="00A20E3D">
    <w:pPr>
      <w:pStyle w:val="Header"/>
      <w:jc w:val="center"/>
      <w:rPr>
        <w:b/>
        <w:sz w:val="28"/>
        <w:szCs w:val="28"/>
      </w:rPr>
    </w:pPr>
    <w:r>
      <w:rPr>
        <w:b/>
        <w:sz w:val="28"/>
        <w:szCs w:val="28"/>
      </w:rPr>
      <w:t>TABLE OF CONTENTS</w:t>
    </w:r>
  </w:p>
  <w:p w14:paraId="208EACC2" w14:textId="77777777" w:rsidR="00A20E3D" w:rsidRDefault="00A20E3D" w:rsidP="00A20E3D">
    <w:pPr>
      <w:pStyle w:val="Header"/>
      <w:jc w:val="right"/>
      <w:rPr>
        <w:b/>
        <w:sz w:val="28"/>
        <w:szCs w:val="28"/>
      </w:rPr>
    </w:pPr>
    <w:r>
      <w:rPr>
        <w:b/>
        <w:sz w:val="28"/>
        <w:szCs w:val="28"/>
      </w:rPr>
      <w:t>Page</w:t>
    </w:r>
  </w:p>
  <w:p w14:paraId="1C8655E3" w14:textId="77777777" w:rsidR="00A20E3D" w:rsidRPr="00A20E3D" w:rsidRDefault="00A20E3D" w:rsidP="00A20E3D">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ED26" w14:textId="2C48C475" w:rsidR="00A20E3D" w:rsidRPr="00A87CFE" w:rsidRDefault="00A20E3D" w:rsidP="00A87C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4508" w14:textId="49BC27AA" w:rsidR="00A20E3D" w:rsidRPr="00A87CFE" w:rsidRDefault="00A20E3D" w:rsidP="00A87C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CEF26" w14:textId="77777777" w:rsidR="00766EF8" w:rsidRDefault="00766E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D4772" w14:textId="744A0C57" w:rsidR="00766EF8" w:rsidRPr="00A87CFE" w:rsidRDefault="00766EF8" w:rsidP="00A87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70605"/>
    <w:multiLevelType w:val="hybridMultilevel"/>
    <w:tmpl w:val="216EEE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C22C0D"/>
    <w:multiLevelType w:val="hybridMultilevel"/>
    <w:tmpl w:val="6D50F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4"/>
  </w:num>
  <w:num w:numId="5">
    <w:abstractNumId w:val="8"/>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37A6D"/>
    <w:rsid w:val="00040428"/>
    <w:rsid w:val="000404ED"/>
    <w:rsid w:val="00040D38"/>
    <w:rsid w:val="00041996"/>
    <w:rsid w:val="00041E34"/>
    <w:rsid w:val="00041F64"/>
    <w:rsid w:val="000421C2"/>
    <w:rsid w:val="0004228B"/>
    <w:rsid w:val="00042783"/>
    <w:rsid w:val="00042E9F"/>
    <w:rsid w:val="00043027"/>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6EDE"/>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52A6"/>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88C"/>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683E"/>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3025"/>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C8"/>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639"/>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10C"/>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328"/>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5014"/>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1D3"/>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894"/>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51E5"/>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1AC8"/>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B93"/>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4AD"/>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0E3D"/>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B05"/>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BB8"/>
    <w:rsid w:val="00A83ED8"/>
    <w:rsid w:val="00A84000"/>
    <w:rsid w:val="00A845FA"/>
    <w:rsid w:val="00A847B1"/>
    <w:rsid w:val="00A84ABD"/>
    <w:rsid w:val="00A85850"/>
    <w:rsid w:val="00A86681"/>
    <w:rsid w:val="00A873A6"/>
    <w:rsid w:val="00A87762"/>
    <w:rsid w:val="00A87763"/>
    <w:rsid w:val="00A87832"/>
    <w:rsid w:val="00A87CFE"/>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0E5F"/>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292E"/>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0B78"/>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B7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367"/>
    <w:rsid w:val="00CD7690"/>
    <w:rsid w:val="00CE015E"/>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9EF"/>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1384"/>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75E"/>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70"/>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497"/>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4CF64D2"/>
  <w15:docId w15:val="{898228D5-E7F4-4E08-9049-E95628F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39210C"/>
    <w:pPr>
      <w:keepNext/>
      <w:spacing w:before="360" w:after="240"/>
      <w:jc w:val="center"/>
      <w:outlineLvl w:val="0"/>
    </w:pPr>
    <w:rPr>
      <w:rFonts w:cs="Arial"/>
      <w:b/>
      <w:bCs/>
      <w:kern w:val="3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link w:val="FooterChar"/>
    <w:uiPriority w:val="99"/>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uiPriority w:val="99"/>
    <w:semiHidden/>
    <w:rsid w:val="00F1228D"/>
    <w:rPr>
      <w:sz w:val="16"/>
      <w:szCs w:val="16"/>
    </w:rPr>
  </w:style>
  <w:style w:type="paragraph" w:styleId="CommentText">
    <w:name w:val="annotation text"/>
    <w:basedOn w:val="Normal"/>
    <w:link w:val="CommentTextChar"/>
    <w:uiPriority w:val="99"/>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 w:type="character" w:customStyle="1" w:styleId="CommentTextChar">
    <w:name w:val="Comment Text Char"/>
    <w:basedOn w:val="DefaultParagraphFont"/>
    <w:link w:val="CommentText"/>
    <w:uiPriority w:val="99"/>
    <w:semiHidden/>
    <w:rsid w:val="00283025"/>
  </w:style>
  <w:style w:type="paragraph" w:styleId="FootnoteText">
    <w:name w:val="footnote text"/>
    <w:basedOn w:val="Normal"/>
    <w:link w:val="FootnoteTextChar"/>
    <w:autoRedefine/>
    <w:uiPriority w:val="99"/>
    <w:semiHidden/>
    <w:unhideWhenUsed/>
    <w:rsid w:val="00283025"/>
    <w:pPr>
      <w:spacing w:before="240" w:after="240"/>
      <w:ind w:left="720" w:hanging="720"/>
    </w:pPr>
    <w:rPr>
      <w:rFonts w:eastAsiaTheme="minorHAnsi" w:cstheme="minorBidi"/>
      <w:szCs w:val="20"/>
    </w:rPr>
  </w:style>
  <w:style w:type="character" w:customStyle="1" w:styleId="FootnoteTextChar">
    <w:name w:val="Footnote Text Char"/>
    <w:basedOn w:val="DefaultParagraphFont"/>
    <w:link w:val="FootnoteText"/>
    <w:uiPriority w:val="99"/>
    <w:semiHidden/>
    <w:rsid w:val="00283025"/>
    <w:rPr>
      <w:rFonts w:eastAsiaTheme="minorHAnsi" w:cstheme="minorBidi"/>
      <w:sz w:val="24"/>
    </w:rPr>
  </w:style>
  <w:style w:type="character" w:styleId="FootnoteReference">
    <w:name w:val="footnote reference"/>
    <w:basedOn w:val="DefaultParagraphFont"/>
    <w:uiPriority w:val="99"/>
    <w:unhideWhenUsed/>
    <w:rsid w:val="00283025"/>
    <w:rPr>
      <w:vertAlign w:val="superscript"/>
    </w:rPr>
  </w:style>
  <w:style w:type="character" w:customStyle="1" w:styleId="FooterChar">
    <w:name w:val="Footer Char"/>
    <w:basedOn w:val="DefaultParagraphFont"/>
    <w:link w:val="Footer"/>
    <w:uiPriority w:val="99"/>
    <w:rsid w:val="00A20E3D"/>
    <w:rPr>
      <w:sz w:val="24"/>
      <w:szCs w:val="24"/>
    </w:rPr>
  </w:style>
  <w:style w:type="paragraph" w:styleId="TOCHeading">
    <w:name w:val="TOC Heading"/>
    <w:basedOn w:val="Heading1"/>
    <w:next w:val="Normal"/>
    <w:uiPriority w:val="39"/>
    <w:unhideWhenUsed/>
    <w:qFormat/>
    <w:rsid w:val="00A20E3D"/>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u w:val="none"/>
    </w:rPr>
  </w:style>
  <w:style w:type="paragraph" w:styleId="TOC1">
    <w:name w:val="toc 1"/>
    <w:basedOn w:val="Normal"/>
    <w:next w:val="Normal"/>
    <w:autoRedefine/>
    <w:uiPriority w:val="39"/>
    <w:unhideWhenUsed/>
    <w:rsid w:val="00A20E3D"/>
    <w:pPr>
      <w:tabs>
        <w:tab w:val="right" w:leader="dot" w:pos="9350"/>
      </w:tabs>
      <w:spacing w:before="240" w:after="240"/>
    </w:pPr>
    <w:rPr>
      <w:noProo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footer" Target="footer3.xml"/><Relationship Id="rId26" Type="http://schemas.openxmlformats.org/officeDocument/2006/relationships/hyperlink" Target="mailto:dboehm@bkllawfirm.com" TargetMode="External"/><Relationship Id="rId39" Type="http://schemas.openxmlformats.org/officeDocument/2006/relationships/hyperlink" Target="mailto:jfinnigan@edf.org" TargetMode="External"/><Relationship Id="rId21" Type="http://schemas.openxmlformats.org/officeDocument/2006/relationships/hyperlink" Target="mailto:campbell@whitt-sturtevant.com" TargetMode="External"/><Relationship Id="rId34" Type="http://schemas.openxmlformats.org/officeDocument/2006/relationships/hyperlink" Target="mailto:mhpetricoff@vorys.com" TargetMode="External"/><Relationship Id="rId42" Type="http://schemas.openxmlformats.org/officeDocument/2006/relationships/hyperlink" Target="mailto:joseph.serio@occ.ohio.gov" TargetMode="External"/><Relationship Id="rId47" Type="http://schemas.openxmlformats.org/officeDocument/2006/relationships/hyperlink" Target="mailto:mohler@carpenterlipps.com" TargetMode="External"/><Relationship Id="rId50" Type="http://schemas.openxmlformats.org/officeDocument/2006/relationships/hyperlink" Target="mailto:mswhite@igsenergy.com" TargetMode="External"/><Relationship Id="rId55" Type="http://schemas.openxmlformats.org/officeDocument/2006/relationships/hyperlink" Target="mailto:plee@oslsa.org" TargetMode="External"/><Relationship Id="rId63" Type="http://schemas.openxmlformats.org/officeDocument/2006/relationships/hyperlink" Target="mailto:stephanie.chmiel@thompsonhine.com" TargetMode="External"/><Relationship Id="rId68" Type="http://schemas.openxmlformats.org/officeDocument/2006/relationships/hyperlink" Target="mailto:tobrien@bricker.com" TargetMode="External"/><Relationship Id="rId76"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mailto:zkravitz@taftlaw.com" TargetMode="Externa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hyperlink" Target="mailto:fdarr@mwncmh.com" TargetMode="External"/><Relationship Id="rId11" Type="http://schemas.openxmlformats.org/officeDocument/2006/relationships/header" Target="header3.xml"/><Relationship Id="rId24" Type="http://schemas.openxmlformats.org/officeDocument/2006/relationships/hyperlink" Target="mailto:cmooney@ohiopartners.org" TargetMode="External"/><Relationship Id="rId32" Type="http://schemas.openxmlformats.org/officeDocument/2006/relationships/hyperlink" Target="mailto:williams@whitt-sturtevant.com" TargetMode="External"/><Relationship Id="rId37" Type="http://schemas.openxmlformats.org/officeDocument/2006/relationships/hyperlink" Target="mailto:jfinnigan@edf.org" TargetMode="External"/><Relationship Id="rId40" Type="http://schemas.openxmlformats.org/officeDocument/2006/relationships/hyperlink" Target="mailto:joseph.clark@directenergy.com" TargetMode="External"/><Relationship Id="rId45" Type="http://schemas.openxmlformats.org/officeDocument/2006/relationships/hyperlink" Target="mailto:lfriedeman@igsenergy.com" TargetMode="External"/><Relationship Id="rId53" Type="http://schemas.openxmlformats.org/officeDocument/2006/relationships/hyperlink" Target="mailto:msmalz@ohiopovertylaw.org" TargetMode="External"/><Relationship Id="rId58" Type="http://schemas.openxmlformats.org/officeDocument/2006/relationships/hyperlink" Target="mailto:rocco.dascenzo@duke-energy.com" TargetMode="External"/><Relationship Id="rId66" Type="http://schemas.openxmlformats.org/officeDocument/2006/relationships/hyperlink" Target="mailto:tammy.turkenton@puc.state.oh.us" TargetMode="External"/><Relationship Id="rId74" Type="http://schemas.openxmlformats.org/officeDocument/2006/relationships/hyperlink" Target="mailto:mpritchard@mwncmh.com" TargetMode="External"/><Relationship Id="rId79"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mailto:casto@firstenergycorp.com"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mailto:gpoulos@enernoc.com" TargetMode="External"/><Relationship Id="rId44" Type="http://schemas.openxmlformats.org/officeDocument/2006/relationships/hyperlink" Target="mailto:bojko@carpenterlipps.com" TargetMode="External"/><Relationship Id="rId52" Type="http://schemas.openxmlformats.org/officeDocument/2006/relationships/hyperlink" Target="mailto:mkurtz@bkllawfirm.com" TargetMode="External"/><Relationship Id="rId60" Type="http://schemas.openxmlformats.org/officeDocument/2006/relationships/hyperlink" Target="mailto:swilliams@nrdc.org" TargetMode="External"/><Relationship Id="rId65" Type="http://schemas.openxmlformats.org/officeDocument/2006/relationships/hyperlink" Target="mailto:stnourse@aep.com" TargetMode="External"/><Relationship Id="rId73" Type="http://schemas.openxmlformats.org/officeDocument/2006/relationships/hyperlink" Target="mailto:myurick@taftlaw.com" TargetMode="External"/><Relationship Id="rId78" Type="http://schemas.openxmlformats.org/officeDocument/2006/relationships/header" Target="header7.xml"/><Relationship Id="rId8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yperlink" Target="mailto:barthroyer@aol.com" TargetMode="External"/><Relationship Id="rId27" Type="http://schemas.openxmlformats.org/officeDocument/2006/relationships/hyperlink" Target="mailto:dborchers@bricker.com" TargetMode="External"/><Relationship Id="rId30" Type="http://schemas.openxmlformats.org/officeDocument/2006/relationships/hyperlink" Target="mailto:gary.a.jeffries@dom.com" TargetMode="External"/><Relationship Id="rId35" Type="http://schemas.openxmlformats.org/officeDocument/2006/relationships/hyperlink" Target="mailto:tsiwo@bricker.com" TargetMode="External"/><Relationship Id="rId43" Type="http://schemas.openxmlformats.org/officeDocument/2006/relationships/hyperlink" Target="mailto:judi.sobecki@aes.com" TargetMode="External"/><Relationship Id="rId48" Type="http://schemas.openxmlformats.org/officeDocument/2006/relationships/hyperlink" Target="mailto:haydenm@firstenergycorp.com" TargetMode="External"/><Relationship Id="rId56" Type="http://schemas.openxmlformats.org/officeDocument/2006/relationships/hyperlink" Target="mailto:philip.sineneng@thompsonhine.com" TargetMode="External"/><Relationship Id="rId64" Type="http://schemas.openxmlformats.org/officeDocument/2006/relationships/hyperlink" Target="mailto:stephen.chriss@walmart.com" TargetMode="External"/><Relationship Id="rId69" Type="http://schemas.openxmlformats.org/officeDocument/2006/relationships/hyperlink" Target="mailto:tdougherty@theOEC.org" TargetMode="External"/><Relationship Id="rId77"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mailto:maureen.grady@occ.ohio.gov" TargetMode="External"/><Relationship Id="rId72" Type="http://schemas.openxmlformats.org/officeDocument/2006/relationships/hyperlink" Target="mailto:whitt@whitt-sturtevant.com" TargetMode="External"/><Relationship Id="rId80" Type="http://schemas.openxmlformats.org/officeDocument/2006/relationships/image" Target="media/image5.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mailto:dconway@porterwright.com" TargetMode="External"/><Relationship Id="rId33" Type="http://schemas.openxmlformats.org/officeDocument/2006/relationships/hyperlink" Target="mailto:glpetrucci@vorys.com" TargetMode="External"/><Relationship Id="rId38" Type="http://schemas.openxmlformats.org/officeDocument/2006/relationships/hyperlink" Target="mailto:jkylercohn@bkllawfirm.com" TargetMode="External"/><Relationship Id="rId46" Type="http://schemas.openxmlformats.org/officeDocument/2006/relationships/hyperlink" Target="mailto:lhawrot@spilmanlaw.com" TargetMode="External"/><Relationship Id="rId59" Type="http://schemas.openxmlformats.org/officeDocument/2006/relationships/hyperlink" Target="mailto:sam@mwncmh.com" TargetMode="External"/><Relationship Id="rId67" Type="http://schemas.openxmlformats.org/officeDocument/2006/relationships/hyperlink" Target="mailto:tshadick@spilmanlaw.com" TargetMode="External"/><Relationship Id="rId20" Type="http://schemas.openxmlformats.org/officeDocument/2006/relationships/footer" Target="footer4.xml"/><Relationship Id="rId41" Type="http://schemas.openxmlformats.org/officeDocument/2006/relationships/hyperlink" Target="mailto:joliker@mwncmh.com" TargetMode="External"/><Relationship Id="rId54" Type="http://schemas.openxmlformats.org/officeDocument/2006/relationships/hyperlink" Target="mailto:nmcdaniel@elpc.org" TargetMode="External"/><Relationship Id="rId62" Type="http://schemas.openxmlformats.org/officeDocument/2006/relationships/hyperlink" Target="mailto:sasloan@aep.com" TargetMode="External"/><Relationship Id="rId70" Type="http://schemas.openxmlformats.org/officeDocument/2006/relationships/hyperlink" Target="mailto:vparisi@igsenergy.com" TargetMode="External"/><Relationship Id="rId75" Type="http://schemas.openxmlformats.org/officeDocument/2006/relationships/hyperlink" Target="mailto:schmidt@sppgrp.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mailto:cloucas@ohiopartners.org" TargetMode="External"/><Relationship Id="rId28" Type="http://schemas.openxmlformats.org/officeDocument/2006/relationships/hyperlink" Target="mailto:edmund.berger@occ.ohio.gov" TargetMode="External"/><Relationship Id="rId36" Type="http://schemas.openxmlformats.org/officeDocument/2006/relationships/hyperlink" Target="mailto:jmcdermott@firstenergycorp.com" TargetMode="External"/><Relationship Id="rId49" Type="http://schemas.openxmlformats.org/officeDocument/2006/relationships/hyperlink" Target="mailto:mjsatterwhite@aep.com" TargetMode="External"/><Relationship Id="rId57" Type="http://schemas.openxmlformats.org/officeDocument/2006/relationships/hyperlink" Target="mailto:ricks@ohane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EF5C1-B971-4F2D-8F4A-D4DBC674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Testimony</Template>
  <TotalTime>23</TotalTime>
  <Pages>19</Pages>
  <Words>2743</Words>
  <Characters>18112</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20814</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19</cp:revision>
  <cp:lastPrinted>2014-05-20T17:28:00Z</cp:lastPrinted>
  <dcterms:created xsi:type="dcterms:W3CDTF">2014-05-13T16:31:00Z</dcterms:created>
  <dcterms:modified xsi:type="dcterms:W3CDTF">2014-05-20T17:28:00Z</dcterms:modified>
</cp:coreProperties>
</file>