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64DA7" w:rsidRPr="00AA1654" w14:paraId="457F08B5" w14:textId="4C73B2F8">
      <w:pPr>
        <w:pStyle w:val="HTMLPreformatted"/>
        <w:tabs>
          <w:tab w:val="clear" w:pos="4580"/>
        </w:tabs>
        <w:jc w:val="center"/>
        <w:rPr>
          <w:rFonts w:ascii="Times New Roman" w:hAnsi="Times New Roman" w:cs="Times New Roman"/>
          <w:b/>
          <w:bCs/>
          <w:sz w:val="24"/>
          <w:szCs w:val="24"/>
        </w:rPr>
      </w:pPr>
      <w:r w:rsidRPr="00AA1654">
        <w:rPr>
          <w:rFonts w:ascii="Times New Roman" w:hAnsi="Times New Roman" w:cs="Times New Roman"/>
          <w:b/>
          <w:bCs/>
          <w:sz w:val="24"/>
          <w:szCs w:val="24"/>
        </w:rPr>
        <w:t>BEFORE</w:t>
      </w:r>
    </w:p>
    <w:p w:rsidR="00964DA7" w:rsidRPr="00AA1654" w14:paraId="357DEC89" w14:textId="77777777">
      <w:pPr>
        <w:pStyle w:val="HTMLPreformatted"/>
        <w:jc w:val="center"/>
        <w:rPr>
          <w:rFonts w:ascii="Times New Roman" w:hAnsi="Times New Roman" w:cs="Times New Roman"/>
          <w:sz w:val="24"/>
          <w:szCs w:val="24"/>
        </w:rPr>
      </w:pPr>
      <w:r w:rsidRPr="00AA1654">
        <w:rPr>
          <w:rFonts w:ascii="Times New Roman" w:hAnsi="Times New Roman" w:cs="Times New Roman"/>
          <w:b/>
          <w:bCs/>
          <w:sz w:val="24"/>
          <w:szCs w:val="24"/>
        </w:rPr>
        <w:t>THE PUBLIC UTILITIES COMMISSION OF OHIO</w:t>
      </w:r>
    </w:p>
    <w:p w:rsidR="00964DA7" w:rsidRPr="00AA1654" w14:paraId="3AE80302" w14:textId="77777777">
      <w:pPr>
        <w:pStyle w:val="HTMLPreformatted"/>
        <w:rPr>
          <w:rFonts w:ascii="Times New Roman" w:hAnsi="Times New Roman" w:cs="Times New Roman"/>
          <w:sz w:val="24"/>
          <w:szCs w:val="24"/>
        </w:rPr>
      </w:pPr>
      <w:r w:rsidRPr="00AA1654">
        <w:rPr>
          <w:rFonts w:ascii="Times New Roman" w:hAnsi="Times New Roman" w:cs="Times New Roman"/>
          <w:sz w:val="24"/>
          <w:szCs w:val="24"/>
        </w:rPr>
        <w:tab/>
      </w:r>
    </w:p>
    <w:tbl>
      <w:tblPr>
        <w:tblW w:w="8946" w:type="dxa"/>
        <w:tblInd w:w="0" w:type="dxa"/>
        <w:tblCellMar>
          <w:top w:w="0" w:type="dxa"/>
          <w:left w:w="108" w:type="dxa"/>
          <w:bottom w:w="0" w:type="dxa"/>
          <w:right w:w="108" w:type="dxa"/>
        </w:tblCellMar>
        <w:tblLook w:val="01E0"/>
      </w:tblPr>
      <w:tblGrid>
        <w:gridCol w:w="8946"/>
      </w:tblGrid>
      <w:tr w14:paraId="3CFD05DA" w14:textId="77777777" w:rsidTr="00306174">
        <w:tblPrEx>
          <w:tblW w:w="8946" w:type="dxa"/>
          <w:tblInd w:w="0" w:type="dxa"/>
          <w:tblCellMar>
            <w:top w:w="0" w:type="dxa"/>
            <w:left w:w="108" w:type="dxa"/>
            <w:bottom w:w="0" w:type="dxa"/>
            <w:right w:w="108" w:type="dxa"/>
          </w:tblCellMar>
          <w:tblLook w:val="01E0"/>
        </w:tblPrEx>
        <w:trPr>
          <w:trHeight w:val="807"/>
        </w:trPr>
        <w:tc>
          <w:tcPr>
            <w:tcW w:w="8946" w:type="dxa"/>
            <w:shd w:val="clear" w:color="auto" w:fill="auto"/>
          </w:tcPr>
          <w:tbl>
            <w:tblPr>
              <w:tblW w:w="8730" w:type="dxa"/>
              <w:tblInd w:w="0" w:type="dxa"/>
              <w:tblCellMar>
                <w:top w:w="0" w:type="dxa"/>
                <w:left w:w="108" w:type="dxa"/>
                <w:bottom w:w="0" w:type="dxa"/>
                <w:right w:w="108" w:type="dxa"/>
              </w:tblCellMar>
              <w:tblLook w:val="01E0"/>
            </w:tblPr>
            <w:tblGrid>
              <w:gridCol w:w="4122"/>
              <w:gridCol w:w="576"/>
              <w:gridCol w:w="4032"/>
            </w:tblGrid>
            <w:tr w14:paraId="53D1EC99" w14:textId="77777777" w:rsidTr="00964DA7">
              <w:tblPrEx>
                <w:tblW w:w="8730" w:type="dxa"/>
                <w:tblInd w:w="0" w:type="dxa"/>
                <w:tblCellMar>
                  <w:top w:w="0" w:type="dxa"/>
                  <w:left w:w="108" w:type="dxa"/>
                  <w:bottom w:w="0" w:type="dxa"/>
                  <w:right w:w="108" w:type="dxa"/>
                </w:tblCellMar>
                <w:tblLook w:val="01E0"/>
              </w:tblPrEx>
              <w:trPr>
                <w:trHeight w:val="807"/>
              </w:trPr>
              <w:tc>
                <w:tcPr>
                  <w:tcW w:w="4122" w:type="dxa"/>
                </w:tcPr>
                <w:p w:rsidR="00306174" w:rsidRPr="00AA1654" w:rsidP="001C4904" w14:paraId="2BAF212D" w14:textId="488C1683">
                  <w:pPr>
                    <w:tabs>
                      <w:tab w:val="left" w:pos="8730"/>
                    </w:tabs>
                    <w:adjustRightInd w:val="0"/>
                    <w:rPr>
                      <w:sz w:val="24"/>
                      <w:szCs w:val="24"/>
                      <w:lang w:val="en-US" w:eastAsia="en-US" w:bidi="ar-SA"/>
                    </w:rPr>
                  </w:pPr>
                  <w:r w:rsidRPr="00AA1654">
                    <w:rPr>
                      <w:rFonts w:eastAsia="Calibri"/>
                      <w:sz w:val="24"/>
                      <w:szCs w:val="24"/>
                      <w:lang w:val="en-US" w:eastAsia="en-US" w:bidi="ar-SA"/>
                    </w:rPr>
                    <w:t>In the Matter of the Direct Energy Services, LLC</w:t>
                  </w:r>
                </w:p>
                <w:p w:rsidR="00306174" w:rsidRPr="00AA1654" w:rsidP="00F76094" w14:paraId="789877D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576" w:type="dxa"/>
                </w:tcPr>
                <w:p w:rsidR="00306174" w:rsidRPr="00AA1654" w:rsidP="00F76094" w14:paraId="0C3956C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AA1654">
                    <w:rPr>
                      <w:rFonts w:ascii="Times New Roman" w:eastAsia="Courier New" w:hAnsi="Times New Roman" w:cs="Times New Roman"/>
                      <w:sz w:val="24"/>
                      <w:szCs w:val="24"/>
                      <w:lang w:val="en-US" w:eastAsia="en-US" w:bidi="ar-SA"/>
                    </w:rPr>
                    <w:t>)</w:t>
                  </w:r>
                </w:p>
                <w:p w:rsidR="00306174" w:rsidRPr="00AA1654" w:rsidP="00F76094" w14:paraId="50CF7F86" w14:textId="4D3950A1">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AA1654">
                    <w:rPr>
                      <w:rFonts w:ascii="Times New Roman" w:eastAsia="Courier New" w:hAnsi="Times New Roman" w:cs="Times New Roman"/>
                      <w:sz w:val="24"/>
                      <w:szCs w:val="24"/>
                      <w:lang w:val="en-US" w:eastAsia="en-US" w:bidi="ar-SA"/>
                    </w:rPr>
                    <w:t>)</w:t>
                  </w:r>
                </w:p>
              </w:tc>
              <w:tc>
                <w:tcPr>
                  <w:tcW w:w="4032" w:type="dxa"/>
                </w:tcPr>
                <w:p w:rsidR="00306174" w:rsidRPr="00AA1654" w:rsidP="00F76094" w14:paraId="597AB72C" w14:textId="769B5555">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AA1654">
                    <w:rPr>
                      <w:rFonts w:ascii="Times New Roman" w:eastAsia="Courier New" w:hAnsi="Times New Roman" w:cs="Times New Roman"/>
                      <w:sz w:val="24"/>
                      <w:szCs w:val="24"/>
                      <w:lang w:val="en-US" w:eastAsia="en-US" w:bidi="ar-SA"/>
                    </w:rPr>
                    <w:t>Case No. 22-583-GE-UNC</w:t>
                  </w:r>
                </w:p>
              </w:tc>
            </w:tr>
          </w:tbl>
          <w:p w:rsidR="00306174" w:rsidRPr="00AA1654" w14:paraId="376E8CB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964DA7" w:rsidRPr="00AA1654" w14:paraId="51D65FA0" w14:textId="77777777">
      <w:pPr>
        <w:pStyle w:val="HTMLPreformatted"/>
        <w:pBdr>
          <w:top w:val="single" w:sz="12" w:space="1" w:color="auto"/>
        </w:pBdr>
        <w:rPr>
          <w:rFonts w:ascii="Times New Roman" w:hAnsi="Times New Roman" w:cs="Times New Roman"/>
          <w:sz w:val="24"/>
          <w:szCs w:val="24"/>
        </w:rPr>
      </w:pPr>
    </w:p>
    <w:p w:rsidR="00F76094" w:rsidRPr="00AA1654" w:rsidP="00AB5460" w14:paraId="558EB0F2" w14:textId="3150F478">
      <w:pPr>
        <w:jc w:val="center"/>
        <w:rPr>
          <w:b/>
          <w:bCs/>
          <w:szCs w:val="24"/>
        </w:rPr>
      </w:pPr>
      <w:r w:rsidRPr="00AA1654">
        <w:rPr>
          <w:b/>
          <w:bCs/>
          <w:szCs w:val="24"/>
        </w:rPr>
        <w:t xml:space="preserve">REPLY COMMENTS </w:t>
      </w:r>
    </w:p>
    <w:p w:rsidR="00F76094" w:rsidRPr="00AA1654" w:rsidP="00F76094" w14:paraId="5E270BBA" w14:textId="77777777">
      <w:pPr>
        <w:jc w:val="center"/>
        <w:rPr>
          <w:b/>
          <w:bCs/>
          <w:szCs w:val="24"/>
        </w:rPr>
      </w:pPr>
      <w:r w:rsidRPr="00AA1654">
        <w:rPr>
          <w:b/>
          <w:bCs/>
          <w:szCs w:val="24"/>
        </w:rPr>
        <w:t>BY</w:t>
      </w:r>
    </w:p>
    <w:p w:rsidR="00F76094" w:rsidRPr="00AA1654" w:rsidP="00F76094" w14:paraId="1AF9DA48" w14:textId="176054CE">
      <w:pPr>
        <w:jc w:val="center"/>
        <w:rPr>
          <w:b/>
          <w:bCs/>
          <w:szCs w:val="24"/>
        </w:rPr>
      </w:pPr>
      <w:r w:rsidRPr="00AA1654">
        <w:rPr>
          <w:b/>
          <w:bCs/>
          <w:szCs w:val="24"/>
        </w:rPr>
        <w:t>OFFICE OF THE OHIO CONSUMERS’ COUNSEL</w:t>
      </w:r>
    </w:p>
    <w:p w:rsidR="00964DA7" w:rsidRPr="00AA1654" w14:paraId="7E37AB5C" w14:textId="77777777">
      <w:pPr>
        <w:pBdr>
          <w:bottom w:val="single" w:sz="12" w:space="1" w:color="auto"/>
        </w:pBdr>
        <w:tabs>
          <w:tab w:val="left" w:pos="4320"/>
        </w:tabs>
        <w:rPr>
          <w:szCs w:val="24"/>
        </w:rPr>
      </w:pPr>
    </w:p>
    <w:p w:rsidR="00964DA7" w:rsidRPr="00AA1654" w14:paraId="38B5D2E5" w14:textId="77777777">
      <w:pPr>
        <w:tabs>
          <w:tab w:val="left" w:pos="4320"/>
        </w:tabs>
        <w:rPr>
          <w:szCs w:val="24"/>
        </w:rPr>
      </w:pPr>
    </w:p>
    <w:p w:rsidR="00964DA7" w:rsidRPr="00AA1654" w:rsidP="006A6DF7" w14:paraId="32687961" w14:textId="124D48D1">
      <w:pPr>
        <w:pStyle w:val="Heading1"/>
        <w:rPr>
          <w:rFonts w:ascii="Times New Roman" w:hAnsi="Times New Roman"/>
        </w:rPr>
      </w:pPr>
      <w:bookmarkStart w:id="0" w:name="_Toc104905064"/>
      <w:r w:rsidRPr="00AA1654">
        <w:rPr>
          <w:rFonts w:ascii="Times New Roman" w:hAnsi="Times New Roman"/>
        </w:rPr>
        <w:t>I.</w:t>
      </w:r>
      <w:r w:rsidRPr="00AA1654">
        <w:rPr>
          <w:rFonts w:ascii="Times New Roman" w:hAnsi="Times New Roman"/>
        </w:rPr>
        <w:tab/>
        <w:t>INTRODUCTION</w:t>
      </w:r>
      <w:bookmarkEnd w:id="0"/>
      <w:r w:rsidRPr="00AA1654" w:rsidR="00DC6A55">
        <w:rPr>
          <w:rFonts w:ascii="Times New Roman" w:hAnsi="Times New Roman"/>
        </w:rPr>
        <w:t xml:space="preserve"> </w:t>
      </w:r>
    </w:p>
    <w:p w:rsidR="00306174" w:rsidRPr="00AA1654" w:rsidP="00306174" w14:paraId="31B9262C" w14:textId="695F1183">
      <w:pPr>
        <w:spacing w:line="480" w:lineRule="auto"/>
        <w:ind w:firstLine="720"/>
        <w:rPr>
          <w:szCs w:val="24"/>
        </w:rPr>
      </w:pPr>
      <w:r w:rsidRPr="00AA1654">
        <w:rPr>
          <w:szCs w:val="24"/>
        </w:rPr>
        <w:t xml:space="preserve">On June 10, 2022, </w:t>
      </w:r>
      <w:r w:rsidRPr="00AA1654" w:rsidR="00E51E82">
        <w:rPr>
          <w:szCs w:val="24"/>
        </w:rPr>
        <w:t>the PUCO Staff and energy marketer Direct Energy submitted a</w:t>
      </w:r>
      <w:r w:rsidRPr="00AA1654">
        <w:rPr>
          <w:szCs w:val="24"/>
        </w:rPr>
        <w:t xml:space="preserve"> Settlement to resolve the PUCO Staff</w:t>
      </w:r>
      <w:r w:rsidRPr="00AA1654" w:rsidR="00E51E82">
        <w:rPr>
          <w:szCs w:val="24"/>
        </w:rPr>
        <w:t xml:space="preserve">’s findings that Direct Energy had engaged in improper marketing to consumers. The Staff findings included </w:t>
      </w:r>
      <w:r w:rsidRPr="00AA1654">
        <w:rPr>
          <w:szCs w:val="24"/>
        </w:rPr>
        <w:t>misleading and deceptive marketing, failure to maintain accurate records, and incomplete enrollment information.</w:t>
      </w:r>
      <w:r>
        <w:rPr>
          <w:rStyle w:val="FootnoteReference"/>
          <w:szCs w:val="24"/>
        </w:rPr>
        <w:footnoteReference w:id="2"/>
      </w:r>
      <w:r w:rsidRPr="00AA1654">
        <w:rPr>
          <w:szCs w:val="24"/>
        </w:rPr>
        <w:t xml:space="preserve"> </w:t>
      </w:r>
    </w:p>
    <w:p w:rsidR="00306174" w:rsidRPr="00AA1654" w:rsidP="00306174" w14:paraId="26FA2F7E" w14:textId="77777777">
      <w:pPr>
        <w:spacing w:line="480" w:lineRule="auto"/>
        <w:ind w:firstLine="720"/>
        <w:rPr>
          <w:szCs w:val="24"/>
        </w:rPr>
      </w:pPr>
      <w:r w:rsidRPr="00AA1654">
        <w:rPr>
          <w:szCs w:val="24"/>
        </w:rPr>
        <w:t>Direct Energy has agreed to implement the following actions if the PUCO approves the Settlement</w:t>
      </w:r>
      <w:r>
        <w:rPr>
          <w:rStyle w:val="FootnoteReference"/>
          <w:szCs w:val="24"/>
        </w:rPr>
        <w:footnoteReference w:id="3"/>
      </w:r>
      <w:r w:rsidRPr="00AA1654">
        <w:rPr>
          <w:szCs w:val="24"/>
        </w:rPr>
        <w:t xml:space="preserve">: </w:t>
      </w:r>
    </w:p>
    <w:p w:rsidR="00306174" w:rsidRPr="00AA1654" w:rsidP="00306174" w14:paraId="66FCAF84" w14:textId="77777777">
      <w:pPr>
        <w:pStyle w:val="ListParagraph"/>
        <w:numPr>
          <w:ilvl w:val="0"/>
          <w:numId w:val="25"/>
        </w:numPr>
        <w:ind w:hanging="720"/>
        <w:contextualSpacing/>
        <w:rPr>
          <w:szCs w:val="24"/>
        </w:rPr>
      </w:pPr>
      <w:r w:rsidRPr="00AA1654">
        <w:rPr>
          <w:szCs w:val="24"/>
        </w:rPr>
        <w:t>Provide the PUCO Staff with a plan to come into compliance with Commission rules. The plan should address, at least, enrollment practices, an auditing process for enrollments, and any corrective actions to be implemented by Direct Energy.</w:t>
      </w:r>
    </w:p>
    <w:p w:rsidR="00306174" w:rsidRPr="00AA1654" w:rsidP="00306174" w14:paraId="06E64462" w14:textId="77777777">
      <w:pPr>
        <w:pStyle w:val="ListParagraph"/>
        <w:ind w:left="1440" w:hanging="720"/>
        <w:rPr>
          <w:szCs w:val="24"/>
        </w:rPr>
      </w:pPr>
    </w:p>
    <w:p w:rsidR="00306174" w:rsidRPr="00AA1654" w:rsidP="00306174" w14:paraId="4ADA0685" w14:textId="77777777">
      <w:pPr>
        <w:pStyle w:val="ListParagraph"/>
        <w:numPr>
          <w:ilvl w:val="0"/>
          <w:numId w:val="25"/>
        </w:numPr>
        <w:ind w:hanging="720"/>
        <w:contextualSpacing/>
        <w:rPr>
          <w:szCs w:val="24"/>
        </w:rPr>
      </w:pPr>
      <w:r w:rsidRPr="00AA1654">
        <w:rPr>
          <w:szCs w:val="24"/>
        </w:rPr>
        <w:t>Submit to the PUCO Staff a list of all vendors, contact information, and agents that have marketed on behalf of Direct Energy for the period of December 1, 2020, through May 31, 2021. Also include the number of attempted enrollments for the identified agents along with the number of successful enrollments.</w:t>
      </w:r>
    </w:p>
    <w:p w:rsidR="00306174" w:rsidRPr="00AA1654" w:rsidP="00306174" w14:paraId="2938E885" w14:textId="77777777">
      <w:pPr>
        <w:ind w:hanging="720"/>
        <w:rPr>
          <w:szCs w:val="24"/>
        </w:rPr>
      </w:pPr>
    </w:p>
    <w:p w:rsidR="00306174" w:rsidRPr="00AA1654" w:rsidP="00306174" w14:paraId="073D05BF" w14:textId="029570A6">
      <w:pPr>
        <w:pStyle w:val="ListParagraph"/>
        <w:numPr>
          <w:ilvl w:val="0"/>
          <w:numId w:val="25"/>
        </w:numPr>
        <w:ind w:hanging="720"/>
        <w:contextualSpacing/>
        <w:rPr>
          <w:szCs w:val="24"/>
        </w:rPr>
      </w:pPr>
      <w:r w:rsidRPr="00AA1654">
        <w:rPr>
          <w:szCs w:val="24"/>
        </w:rPr>
        <w:t>Review all door-to-door enrollments completed within the 3 months preceding the Notice Letter,</w:t>
      </w:r>
      <w:r w:rsidR="00AA1654">
        <w:rPr>
          <w:szCs w:val="24"/>
        </w:rPr>
        <w:t xml:space="preserve"> </w:t>
      </w:r>
      <w:r w:rsidRPr="00AA1654">
        <w:rPr>
          <w:szCs w:val="24"/>
        </w:rPr>
        <w:t>and has taken/will take the following actions:</w:t>
      </w:r>
    </w:p>
    <w:p w:rsidR="00306174" w:rsidRPr="00AA1654" w:rsidP="00306174" w14:paraId="4B12122E" w14:textId="77777777">
      <w:pPr>
        <w:rPr>
          <w:szCs w:val="24"/>
        </w:rPr>
      </w:pPr>
    </w:p>
    <w:p w:rsidR="00306174" w:rsidRPr="00AA1654" w:rsidP="00306174" w14:paraId="0F50457B" w14:textId="77777777">
      <w:pPr>
        <w:pStyle w:val="ListParagraph"/>
        <w:numPr>
          <w:ilvl w:val="1"/>
          <w:numId w:val="25"/>
        </w:numPr>
        <w:ind w:hanging="720"/>
        <w:contextualSpacing/>
        <w:rPr>
          <w:szCs w:val="24"/>
        </w:rPr>
      </w:pPr>
      <w:r w:rsidRPr="00AA1654">
        <w:rPr>
          <w:szCs w:val="24"/>
        </w:rPr>
        <w:t>Review each contract, third-party verification, and other enrollment documentation for completeness, accuracy, and customer consent.</w:t>
      </w:r>
    </w:p>
    <w:p w:rsidR="00306174" w:rsidRPr="00AA1654" w:rsidP="00306174" w14:paraId="5A59A710" w14:textId="3D9F5860">
      <w:pPr>
        <w:pStyle w:val="ListParagraph"/>
        <w:numPr>
          <w:ilvl w:val="1"/>
          <w:numId w:val="25"/>
        </w:numPr>
        <w:ind w:hanging="720"/>
        <w:contextualSpacing/>
        <w:rPr>
          <w:szCs w:val="24"/>
        </w:rPr>
      </w:pPr>
      <w:r w:rsidRPr="00AA1654">
        <w:rPr>
          <w:szCs w:val="24"/>
        </w:rPr>
        <w:t xml:space="preserve">Contact each customer where enrollment documents are not </w:t>
      </w:r>
      <w:r w:rsidRPr="00AA1654" w:rsidR="00094754">
        <w:rPr>
          <w:szCs w:val="24"/>
        </w:rPr>
        <w:t>complete,</w:t>
      </w:r>
      <w:r w:rsidRPr="00AA1654">
        <w:rPr>
          <w:szCs w:val="24"/>
        </w:rPr>
        <w:t xml:space="preserve"> or the customer’s consent is not certain.</w:t>
      </w:r>
    </w:p>
    <w:p w:rsidR="00306174" w:rsidRPr="00AA1654" w:rsidP="00306174" w14:paraId="3C6AF60B" w14:textId="77777777">
      <w:pPr>
        <w:ind w:hanging="720"/>
        <w:rPr>
          <w:szCs w:val="24"/>
        </w:rPr>
      </w:pPr>
    </w:p>
    <w:p w:rsidR="00306174" w:rsidRPr="00AA1654" w:rsidP="00306174" w14:paraId="6E6DC6AE" w14:textId="77777777">
      <w:pPr>
        <w:pStyle w:val="ListParagraph"/>
        <w:numPr>
          <w:ilvl w:val="1"/>
          <w:numId w:val="25"/>
        </w:numPr>
        <w:ind w:hanging="720"/>
        <w:contextualSpacing/>
        <w:rPr>
          <w:szCs w:val="24"/>
        </w:rPr>
      </w:pPr>
      <w:r w:rsidRPr="00AA1654">
        <w:rPr>
          <w:szCs w:val="24"/>
        </w:rPr>
        <w:t>Give each customer contacted in 3.b. above, the option to cancel without any penalties or to re-enroll with Direct Energy, in which case, new enrollment and consent must be obtained in accordance with Ohio Adm.Code 4901:1-21-06 and/or 4901:1-29-06.</w:t>
      </w:r>
    </w:p>
    <w:p w:rsidR="00306174" w:rsidRPr="00AA1654" w:rsidP="00306174" w14:paraId="046BF461" w14:textId="77777777">
      <w:pPr>
        <w:ind w:hanging="720"/>
        <w:rPr>
          <w:szCs w:val="24"/>
        </w:rPr>
      </w:pPr>
    </w:p>
    <w:p w:rsidR="00306174" w:rsidRPr="00AA1654" w:rsidP="00306174" w14:paraId="3C8AE7C2" w14:textId="77777777">
      <w:pPr>
        <w:pStyle w:val="ListParagraph"/>
        <w:numPr>
          <w:ilvl w:val="1"/>
          <w:numId w:val="25"/>
        </w:numPr>
        <w:ind w:hanging="720"/>
        <w:contextualSpacing/>
        <w:rPr>
          <w:szCs w:val="24"/>
        </w:rPr>
      </w:pPr>
      <w:r w:rsidRPr="00AA1654">
        <w:rPr>
          <w:szCs w:val="24"/>
        </w:rPr>
        <w:t>Review all customer complaints that noted similar issues with the sales representatives to determine patterns of misleading and deceptive practices.</w:t>
      </w:r>
    </w:p>
    <w:p w:rsidR="00306174" w:rsidRPr="00AA1654" w:rsidP="00306174" w14:paraId="174EA19E" w14:textId="77777777">
      <w:pPr>
        <w:pStyle w:val="ListParagraph"/>
        <w:ind w:left="2160"/>
        <w:contextualSpacing/>
        <w:rPr>
          <w:szCs w:val="24"/>
        </w:rPr>
      </w:pPr>
    </w:p>
    <w:p w:rsidR="00306174" w:rsidRPr="00AA1654" w:rsidP="00306174" w14:paraId="37E9D1FF" w14:textId="77777777">
      <w:pPr>
        <w:pStyle w:val="ListParagraph"/>
        <w:numPr>
          <w:ilvl w:val="0"/>
          <w:numId w:val="25"/>
        </w:numPr>
        <w:ind w:hanging="720"/>
        <w:contextualSpacing/>
        <w:rPr>
          <w:szCs w:val="24"/>
        </w:rPr>
      </w:pPr>
      <w:r w:rsidRPr="00AA1654">
        <w:rPr>
          <w:szCs w:val="24"/>
        </w:rPr>
        <w:t>Provide the PUCO Staff with telemarketing calls for the period of January 31, 2021 through February 6, 2021, 3 including a listing of all vendors.</w:t>
      </w:r>
    </w:p>
    <w:p w:rsidR="00306174" w:rsidRPr="00AA1654" w:rsidP="00306174" w14:paraId="2029F948" w14:textId="77777777">
      <w:pPr>
        <w:pStyle w:val="ListParagraph"/>
        <w:ind w:left="1440" w:hanging="720"/>
        <w:rPr>
          <w:szCs w:val="24"/>
        </w:rPr>
      </w:pPr>
    </w:p>
    <w:p w:rsidR="00306174" w:rsidRPr="00AA1654" w:rsidP="00306174" w14:paraId="054D0A3D" w14:textId="77777777">
      <w:pPr>
        <w:pStyle w:val="ListParagraph"/>
        <w:numPr>
          <w:ilvl w:val="0"/>
          <w:numId w:val="25"/>
        </w:numPr>
        <w:ind w:hanging="720"/>
        <w:contextualSpacing/>
        <w:rPr>
          <w:i/>
          <w:iCs/>
          <w:szCs w:val="24"/>
        </w:rPr>
      </w:pPr>
      <w:r w:rsidRPr="00AA1654">
        <w:rPr>
          <w:szCs w:val="24"/>
        </w:rPr>
        <w:t>Review all marketing and sales scripts for compliance with rules and has submitted updated versions of these documents to the PUCO Staff for review. If Direct Energy modifies its scripts in the six months following the PUCO’s approval of the Settlement, Direct Energy will submit the updated scripts to the PUCO Staff.</w:t>
      </w:r>
      <w:r>
        <w:rPr>
          <w:rStyle w:val="FootnoteReference"/>
          <w:szCs w:val="24"/>
        </w:rPr>
        <w:footnoteReference w:id="4"/>
      </w:r>
    </w:p>
    <w:p w:rsidR="00306174" w:rsidRPr="00AA1654" w:rsidP="00306174" w14:paraId="778E79C8" w14:textId="77777777">
      <w:pPr>
        <w:pStyle w:val="ListParagraph"/>
        <w:ind w:left="1440"/>
        <w:rPr>
          <w:i/>
          <w:iCs/>
          <w:szCs w:val="24"/>
        </w:rPr>
      </w:pPr>
    </w:p>
    <w:p w:rsidR="00306174" w:rsidRPr="00AA1654" w:rsidP="00306174" w14:paraId="2FE2F3A1" w14:textId="77777777">
      <w:pPr>
        <w:spacing w:line="480" w:lineRule="auto"/>
        <w:rPr>
          <w:szCs w:val="24"/>
        </w:rPr>
      </w:pPr>
      <w:r w:rsidRPr="00AA1654">
        <w:rPr>
          <w:szCs w:val="24"/>
        </w:rPr>
        <w:t>In addition, Direct Energy has agreed to pay a forfeiture of $275,000.</w:t>
      </w:r>
      <w:r>
        <w:rPr>
          <w:rStyle w:val="FootnoteReference"/>
          <w:szCs w:val="24"/>
        </w:rPr>
        <w:footnoteReference w:id="5"/>
      </w:r>
    </w:p>
    <w:p w:rsidR="00AD02BB" w:rsidP="00306174" w14:paraId="30A938A3" w14:textId="1D7E17EC">
      <w:pPr>
        <w:spacing w:line="480" w:lineRule="auto"/>
        <w:ind w:firstLine="720"/>
        <w:rPr>
          <w:szCs w:val="24"/>
        </w:rPr>
      </w:pPr>
      <w:r w:rsidRPr="00AA1654">
        <w:rPr>
          <w:szCs w:val="24"/>
        </w:rPr>
        <w:t>OCC appreciate</w:t>
      </w:r>
      <w:r w:rsidRPr="00AA1654" w:rsidR="00431C8B">
        <w:rPr>
          <w:szCs w:val="24"/>
        </w:rPr>
        <w:t>s</w:t>
      </w:r>
      <w:r w:rsidRPr="00AA1654">
        <w:rPr>
          <w:szCs w:val="24"/>
        </w:rPr>
        <w:t xml:space="preserve"> the PUCO Staff’s issuance of </w:t>
      </w:r>
      <w:r w:rsidRPr="00AA1654" w:rsidR="00E51E82">
        <w:rPr>
          <w:szCs w:val="24"/>
        </w:rPr>
        <w:t xml:space="preserve">its </w:t>
      </w:r>
      <w:r w:rsidRPr="00AA1654">
        <w:rPr>
          <w:szCs w:val="24"/>
        </w:rPr>
        <w:t xml:space="preserve">notice of probable non-compliance to Direct Energy in response to </w:t>
      </w:r>
      <w:r w:rsidRPr="00AA1654" w:rsidR="00E51E82">
        <w:rPr>
          <w:szCs w:val="24"/>
        </w:rPr>
        <w:t xml:space="preserve">consumer </w:t>
      </w:r>
      <w:r w:rsidRPr="00AA1654">
        <w:rPr>
          <w:szCs w:val="24"/>
        </w:rPr>
        <w:t>complaints filed through the PUCO Call Center. Direct Energy has filed comments supporting the Settlement.</w:t>
      </w:r>
      <w:r>
        <w:rPr>
          <w:rStyle w:val="FootnoteReference"/>
          <w:szCs w:val="24"/>
        </w:rPr>
        <w:footnoteReference w:id="6"/>
      </w:r>
      <w:r w:rsidRPr="00AA1654">
        <w:rPr>
          <w:szCs w:val="24"/>
        </w:rPr>
        <w:t xml:space="preserve"> </w:t>
      </w:r>
      <w:r w:rsidRPr="00AA1654" w:rsidR="00E51E82">
        <w:rPr>
          <w:szCs w:val="24"/>
        </w:rPr>
        <w:t xml:space="preserve">However, the PUCO should modify the Settlement to achieve adequate protection for Ohio consumers, as described </w:t>
      </w:r>
      <w:r w:rsidRPr="00AA1654">
        <w:rPr>
          <w:szCs w:val="24"/>
        </w:rPr>
        <w:t>below.</w:t>
      </w:r>
    </w:p>
    <w:p w:rsidR="00AD02BB" w14:paraId="0968817E" w14:textId="77777777">
      <w:pPr>
        <w:rPr>
          <w:szCs w:val="24"/>
        </w:rPr>
      </w:pPr>
      <w:r>
        <w:rPr>
          <w:szCs w:val="24"/>
        </w:rPr>
        <w:br w:type="page"/>
      </w:r>
    </w:p>
    <w:p w:rsidR="00306174" w:rsidRPr="00AA1654" w:rsidP="00EB5E4C" w14:paraId="66EE9430" w14:textId="26671F51">
      <w:pPr>
        <w:pStyle w:val="Heading1"/>
      </w:pPr>
      <w:r>
        <w:t>II.</w:t>
      </w:r>
      <w:r>
        <w:tab/>
      </w:r>
      <w:r w:rsidRPr="00AA1654">
        <w:t>CONSUMER PROTECTION RECOMMENDATIONS</w:t>
      </w:r>
    </w:p>
    <w:p w:rsidR="00306174" w:rsidRPr="00F82660" w:rsidP="00F82660" w14:paraId="4E2CCAB8" w14:textId="6EE1FEDE">
      <w:pPr>
        <w:pStyle w:val="Heading2"/>
      </w:pPr>
      <w:r>
        <w:t>A.</w:t>
      </w:r>
      <w:r>
        <w:tab/>
      </w:r>
      <w:r w:rsidRPr="00AA1654">
        <w:t xml:space="preserve">To protect consumers, the Settlement should be modified to revoke </w:t>
      </w:r>
      <w:r w:rsidRPr="00AA1654" w:rsidR="00EB4645">
        <w:t xml:space="preserve">the </w:t>
      </w:r>
      <w:r w:rsidRPr="00AA1654">
        <w:t>waiver</w:t>
      </w:r>
      <w:r w:rsidRPr="00AA1654" w:rsidR="00EB4645">
        <w:t xml:space="preserve"> that the PUCO granted Direct Energy regarding</w:t>
      </w:r>
      <w:r w:rsidRPr="00AA1654">
        <w:t xml:space="preserve"> third-party verification rules</w:t>
      </w:r>
      <w:r w:rsidRPr="00AA1654" w:rsidR="00EB4645">
        <w:t xml:space="preserve"> in the Ohio Administrative Code for enrolling consumers</w:t>
      </w:r>
      <w:r w:rsidRPr="00AA1654">
        <w:t>.</w:t>
      </w:r>
    </w:p>
    <w:p w:rsidR="00306174" w:rsidRPr="00AA1654" w:rsidP="00306174" w14:paraId="2769D979" w14:textId="24459896">
      <w:pPr>
        <w:spacing w:line="480" w:lineRule="auto"/>
        <w:rPr>
          <w:szCs w:val="24"/>
        </w:rPr>
      </w:pPr>
      <w:r w:rsidRPr="00AA1654">
        <w:rPr>
          <w:szCs w:val="24"/>
        </w:rPr>
        <w:tab/>
        <w:t xml:space="preserve">On September 26, 2019, the PUCO </w:t>
      </w:r>
      <w:r w:rsidRPr="00AA1654" w:rsidR="00DA359B">
        <w:rPr>
          <w:szCs w:val="24"/>
        </w:rPr>
        <w:t xml:space="preserve">unfortunately </w:t>
      </w:r>
      <w:r w:rsidRPr="00AA1654">
        <w:rPr>
          <w:szCs w:val="24"/>
        </w:rPr>
        <w:t>granted Direct Energy’s request for a temporary waiver of third-party verification (TPV) rules (O.A.C. 4901:1-21-06(D)(1)(h), 4901(D)(2)(a), 4901:1-29-06(D)(6)(b), 4901:1-29-06(E)(1))</w:t>
      </w:r>
      <w:r w:rsidRPr="00AA1654">
        <w:rPr>
          <w:b/>
          <w:bCs/>
          <w:szCs w:val="24"/>
        </w:rPr>
        <w:t xml:space="preserve"> </w:t>
      </w:r>
      <w:r w:rsidRPr="00AA1654">
        <w:rPr>
          <w:szCs w:val="24"/>
        </w:rPr>
        <w:t>for electric and natural gas.</w:t>
      </w:r>
      <w:r>
        <w:rPr>
          <w:rStyle w:val="FootnoteReference"/>
          <w:szCs w:val="24"/>
        </w:rPr>
        <w:footnoteReference w:id="7"/>
      </w:r>
      <w:r w:rsidRPr="00AA1654">
        <w:rPr>
          <w:szCs w:val="24"/>
        </w:rPr>
        <w:t xml:space="preserve"> The waiver allowed Direct Energy to offer consumers a choice to complete the TPV digitally or </w:t>
      </w:r>
      <w:r w:rsidRPr="00AA1654" w:rsidR="00DA359B">
        <w:rPr>
          <w:szCs w:val="24"/>
        </w:rPr>
        <w:t xml:space="preserve">orally </w:t>
      </w:r>
      <w:r w:rsidRPr="00AA1654">
        <w:rPr>
          <w:szCs w:val="24"/>
        </w:rPr>
        <w:t>(telephone) after the completion of a telephone or door-to-door sale.</w:t>
      </w:r>
      <w:r>
        <w:rPr>
          <w:rStyle w:val="FootnoteReference"/>
          <w:szCs w:val="24"/>
        </w:rPr>
        <w:footnoteReference w:id="8"/>
      </w:r>
      <w:r w:rsidRPr="00AA1654">
        <w:rPr>
          <w:szCs w:val="24"/>
        </w:rPr>
        <w:t xml:space="preserve"> In the Entry approving the waiver, the PUCO stated that Direct Energy has shown “good cause” to offer an optional digital TPV.</w:t>
      </w:r>
      <w:r>
        <w:rPr>
          <w:rStyle w:val="FootnoteReference"/>
          <w:szCs w:val="24"/>
        </w:rPr>
        <w:footnoteReference w:id="9"/>
      </w:r>
      <w:r w:rsidRPr="00AA1654">
        <w:rPr>
          <w:szCs w:val="24"/>
        </w:rPr>
        <w:t xml:space="preserve"> </w:t>
      </w:r>
    </w:p>
    <w:p w:rsidR="000954EB" w:rsidRPr="00AA1654" w:rsidP="00306174" w14:paraId="6EB76404" w14:textId="253C3011">
      <w:pPr>
        <w:spacing w:line="480" w:lineRule="auto"/>
        <w:ind w:firstLine="720"/>
        <w:rPr>
          <w:szCs w:val="24"/>
        </w:rPr>
      </w:pPr>
      <w:r w:rsidRPr="00AA1654">
        <w:rPr>
          <w:szCs w:val="24"/>
        </w:rPr>
        <w:t>The PUCO Staff’s notice of probable non-compliance</w:t>
      </w:r>
      <w:r w:rsidRPr="00AA1654" w:rsidR="00261982">
        <w:rPr>
          <w:szCs w:val="24"/>
        </w:rPr>
        <w:t xml:space="preserve"> came after the waiver.</w:t>
      </w:r>
      <w:r w:rsidRPr="00AA1654">
        <w:rPr>
          <w:szCs w:val="24"/>
        </w:rPr>
        <w:t xml:space="preserve"> </w:t>
      </w:r>
      <w:r w:rsidRPr="00AA1654" w:rsidR="00261982">
        <w:rPr>
          <w:szCs w:val="24"/>
        </w:rPr>
        <w:t xml:space="preserve">It </w:t>
      </w:r>
      <w:r w:rsidRPr="00AA1654">
        <w:rPr>
          <w:szCs w:val="24"/>
        </w:rPr>
        <w:t>included complaints from consumers who were provided misleading information</w:t>
      </w:r>
      <w:r w:rsidRPr="00AA1654" w:rsidR="00DA359B">
        <w:rPr>
          <w:szCs w:val="24"/>
        </w:rPr>
        <w:t xml:space="preserve"> by Direct Energy.</w:t>
      </w:r>
      <w:r>
        <w:rPr>
          <w:rStyle w:val="FootnoteReference"/>
          <w:szCs w:val="24"/>
        </w:rPr>
        <w:footnoteReference w:id="10"/>
      </w:r>
      <w:r w:rsidRPr="00AA1654">
        <w:rPr>
          <w:szCs w:val="24"/>
        </w:rPr>
        <w:t xml:space="preserve"> </w:t>
      </w:r>
      <w:r w:rsidRPr="00AA1654" w:rsidR="00DA359B">
        <w:rPr>
          <w:szCs w:val="24"/>
        </w:rPr>
        <w:t xml:space="preserve">The consumer complaints </w:t>
      </w:r>
      <w:r w:rsidRPr="00AA1654">
        <w:rPr>
          <w:szCs w:val="24"/>
        </w:rPr>
        <w:t>demonstrat</w:t>
      </w:r>
      <w:r w:rsidRPr="00AA1654" w:rsidR="00DA359B">
        <w:rPr>
          <w:szCs w:val="24"/>
        </w:rPr>
        <w:t>ed</w:t>
      </w:r>
      <w:r w:rsidRPr="00AA1654">
        <w:rPr>
          <w:szCs w:val="24"/>
        </w:rPr>
        <w:t xml:space="preserve"> that Direct Energy should be required to comply with the TPV rules. In the notice of probable non-compliance, the PUCO Staff references a complaint where the consumer received a robocall opening with this is “an apology from the utility.”</w:t>
      </w:r>
      <w:r>
        <w:rPr>
          <w:rStyle w:val="FootnoteReference"/>
          <w:szCs w:val="24"/>
        </w:rPr>
        <w:footnoteReference w:id="11"/>
      </w:r>
      <w:r w:rsidRPr="00AA1654">
        <w:rPr>
          <w:szCs w:val="24"/>
        </w:rPr>
        <w:t>After the robocall, the consumer was transferred to an agent (“Steve”) claiming to be with the “supply department.”</w:t>
      </w:r>
      <w:r>
        <w:rPr>
          <w:rStyle w:val="FootnoteReference"/>
          <w:szCs w:val="24"/>
        </w:rPr>
        <w:footnoteReference w:id="12"/>
      </w:r>
      <w:r w:rsidRPr="00AA1654">
        <w:rPr>
          <w:szCs w:val="24"/>
        </w:rPr>
        <w:t xml:space="preserve"> </w:t>
      </w:r>
    </w:p>
    <w:p w:rsidR="001221B6" w:rsidRPr="00AA1654" w:rsidP="00306174" w14:paraId="22CA5A2C" w14:textId="752F9245">
      <w:pPr>
        <w:spacing w:line="480" w:lineRule="auto"/>
        <w:ind w:firstLine="720"/>
        <w:rPr>
          <w:szCs w:val="24"/>
        </w:rPr>
      </w:pPr>
      <w:r w:rsidRPr="00AA1654">
        <w:rPr>
          <w:szCs w:val="24"/>
        </w:rPr>
        <w:t xml:space="preserve">Given </w:t>
      </w:r>
      <w:r w:rsidRPr="00AA1654" w:rsidR="000954EB">
        <w:rPr>
          <w:szCs w:val="24"/>
        </w:rPr>
        <w:t xml:space="preserve">there is evidence that </w:t>
      </w:r>
      <w:r w:rsidRPr="00AA1654">
        <w:rPr>
          <w:szCs w:val="24"/>
        </w:rPr>
        <w:t xml:space="preserve">Direct Energy sales agents provided misleading information during </w:t>
      </w:r>
      <w:r w:rsidRPr="00AA1654" w:rsidR="000954EB">
        <w:rPr>
          <w:szCs w:val="24"/>
        </w:rPr>
        <w:t xml:space="preserve">at least one </w:t>
      </w:r>
      <w:r w:rsidRPr="00AA1654">
        <w:rPr>
          <w:szCs w:val="24"/>
        </w:rPr>
        <w:t xml:space="preserve">sales interaction, there is a good chance it is occurring </w:t>
      </w:r>
      <w:r w:rsidRPr="00AA1654" w:rsidR="000954EB">
        <w:rPr>
          <w:szCs w:val="24"/>
        </w:rPr>
        <w:t>more often</w:t>
      </w:r>
      <w:r w:rsidRPr="00AA1654" w:rsidR="00DA359B">
        <w:rPr>
          <w:szCs w:val="24"/>
        </w:rPr>
        <w:t>. In particular, the use of a robocall is an indicator of wider mismarketing.</w:t>
      </w:r>
      <w:r w:rsidR="00AA1654">
        <w:rPr>
          <w:szCs w:val="24"/>
        </w:rPr>
        <w:t xml:space="preserve"> </w:t>
      </w:r>
      <w:r w:rsidRPr="00AA1654" w:rsidR="00777568">
        <w:rPr>
          <w:szCs w:val="24"/>
        </w:rPr>
        <w:t>Further, the mismarketing may be occurring</w:t>
      </w:r>
      <w:r w:rsidRPr="00AA1654" w:rsidR="000954EB">
        <w:rPr>
          <w:szCs w:val="24"/>
        </w:rPr>
        <w:t xml:space="preserve"> </w:t>
      </w:r>
      <w:r w:rsidRPr="00AA1654">
        <w:rPr>
          <w:szCs w:val="24"/>
        </w:rPr>
        <w:t xml:space="preserve">during the TPV process (including potentially not providing the consumer a choice on how to complete the TPV). </w:t>
      </w:r>
    </w:p>
    <w:p w:rsidR="00306174" w:rsidRPr="00AA1654" w:rsidP="00306174" w14:paraId="22C8CEA0" w14:textId="0808757E">
      <w:pPr>
        <w:spacing w:line="480" w:lineRule="auto"/>
        <w:ind w:firstLine="720"/>
        <w:rPr>
          <w:szCs w:val="24"/>
        </w:rPr>
      </w:pPr>
      <w:r w:rsidRPr="00AA1654">
        <w:rPr>
          <w:szCs w:val="24"/>
        </w:rPr>
        <w:t xml:space="preserve">Any marketer that, after seeking and obtaining a waiver of the state’s TPV rules, then violates those rules, should be subject to the strictest scrutiny and the least leniency by the PUCO. </w:t>
      </w:r>
      <w:r w:rsidRPr="00AA1654" w:rsidR="004B20F5">
        <w:rPr>
          <w:szCs w:val="24"/>
        </w:rPr>
        <w:t xml:space="preserve">Any marketer that obtained a waiver of </w:t>
      </w:r>
      <w:r w:rsidRPr="00AA1654" w:rsidR="00D67232">
        <w:rPr>
          <w:szCs w:val="24"/>
        </w:rPr>
        <w:t>third-party</w:t>
      </w:r>
      <w:r w:rsidRPr="00AA1654" w:rsidR="004B20F5">
        <w:rPr>
          <w:szCs w:val="24"/>
        </w:rPr>
        <w:t xml:space="preserve"> verification (or any waiver for that matter) and then violates the PUCO’s waiver should have the waiver automatically revoked. </w:t>
      </w:r>
      <w:r w:rsidRPr="00AA1654">
        <w:rPr>
          <w:szCs w:val="24"/>
        </w:rPr>
        <w:t>The PUCO should modify the Settlement by revoking Direct Energy’s waiver of TPV rules.</w:t>
      </w:r>
      <w:r>
        <w:rPr>
          <w:rStyle w:val="FootnoteReference"/>
          <w:szCs w:val="24"/>
        </w:rPr>
        <w:footnoteReference w:id="13"/>
      </w:r>
    </w:p>
    <w:p w:rsidR="00306174" w:rsidRPr="00D67232" w:rsidP="00D67232" w14:paraId="2DE11A38" w14:textId="5D3363D1">
      <w:pPr>
        <w:pStyle w:val="Heading2"/>
      </w:pPr>
      <w:r>
        <w:t>B.</w:t>
      </w:r>
      <w:r>
        <w:tab/>
      </w:r>
      <w:r w:rsidRPr="00AA1654">
        <w:t>To protect consumers, the Settlement should be modified to require more review of Direct Energy’s marketing and sales scripts.</w:t>
      </w:r>
    </w:p>
    <w:p w:rsidR="00306174" w:rsidRPr="00AA1654" w:rsidP="00306174" w14:paraId="2FB799B5" w14:textId="77777777">
      <w:pPr>
        <w:spacing w:line="480" w:lineRule="auto"/>
        <w:rPr>
          <w:szCs w:val="24"/>
        </w:rPr>
      </w:pPr>
      <w:r w:rsidRPr="00AA1654">
        <w:rPr>
          <w:b/>
          <w:bCs/>
          <w:szCs w:val="24"/>
        </w:rPr>
        <w:tab/>
      </w:r>
      <w:r w:rsidRPr="00AA1654">
        <w:rPr>
          <w:szCs w:val="24"/>
        </w:rPr>
        <w:t>Direct Energy states that it would continue to provide the PUCO Staff updated sales scripts up to 6-months after the Settlement is approved.</w:t>
      </w:r>
      <w:r>
        <w:rPr>
          <w:rStyle w:val="FootnoteReference"/>
          <w:szCs w:val="24"/>
        </w:rPr>
        <w:footnoteReference w:id="14"/>
      </w:r>
      <w:r w:rsidRPr="00AA1654">
        <w:rPr>
          <w:szCs w:val="24"/>
        </w:rPr>
        <w:t xml:space="preserve"> This does not go far enough to prevent Direct Energy from going back to its old ways of not complying with PUCO rules governing sales interactions with the public. </w:t>
      </w:r>
    </w:p>
    <w:p w:rsidR="001221B6" w:rsidRPr="00AA1654" w:rsidP="00881AE1" w14:paraId="4B44874A" w14:textId="28C65F43">
      <w:pPr>
        <w:pStyle w:val="NormalWeb"/>
        <w:spacing w:before="0" w:beforeAutospacing="0" w:after="0" w:afterAutospacing="0" w:line="480" w:lineRule="auto"/>
        <w:ind w:firstLine="720"/>
        <w:textAlignment w:val="baseline"/>
      </w:pPr>
      <w:r w:rsidRPr="00AA1654">
        <w:t xml:space="preserve">The PUCO should modify the Settlement to require Direct Energy to provide any updated versions of all marketing and sales scripts for review for </w:t>
      </w:r>
      <w:r w:rsidRPr="00AA1654">
        <w:t xml:space="preserve">two </w:t>
      </w:r>
      <w:r w:rsidRPr="00AA1654">
        <w:t>years.</w:t>
      </w:r>
      <w:r>
        <w:rPr>
          <w:rStyle w:val="FootnoteReference"/>
        </w:rPr>
        <w:footnoteReference w:id="15"/>
      </w:r>
      <w:r w:rsidRPr="00AA1654">
        <w:t xml:space="preserve"> This would be a</w:t>
      </w:r>
      <w:r w:rsidRPr="00AA1654">
        <w:t xml:space="preserve">n appropriate protection </w:t>
      </w:r>
      <w:r w:rsidRPr="00AA1654">
        <w:t>for Ohio consumers</w:t>
      </w:r>
      <w:r w:rsidRPr="00AA1654">
        <w:t>. And it would impose little effort upon</w:t>
      </w:r>
      <w:r w:rsidRPr="00AA1654">
        <w:t xml:space="preserve"> Direct Energy</w:t>
      </w:r>
      <w:r w:rsidRPr="00AA1654">
        <w:t xml:space="preserve"> to provide its scripts</w:t>
      </w:r>
      <w:r w:rsidRPr="00AA1654">
        <w:t xml:space="preserve">. </w:t>
      </w:r>
    </w:p>
    <w:p w:rsidR="00306174" w:rsidRPr="00AA1654" w:rsidP="00881AE1" w14:paraId="3190738C" w14:textId="13A0FC42">
      <w:pPr>
        <w:pStyle w:val="NormalWeb"/>
        <w:spacing w:before="0" w:beforeAutospacing="0" w:after="0" w:afterAutospacing="0" w:line="480" w:lineRule="auto"/>
        <w:ind w:firstLine="720"/>
        <w:textAlignment w:val="baseline"/>
        <w:rPr>
          <w:color w:val="000000" w:themeColor="text1"/>
        </w:rPr>
      </w:pPr>
      <w:r w:rsidRPr="00AA1654">
        <w:t xml:space="preserve">Ohio consumers </w:t>
      </w:r>
      <w:r w:rsidRPr="00AA1654" w:rsidR="001221B6">
        <w:t>sh</w:t>
      </w:r>
      <w:r w:rsidRPr="00AA1654">
        <w:t xml:space="preserve">ould be </w:t>
      </w:r>
      <w:r w:rsidRPr="00AA1654" w:rsidR="001221B6">
        <w:t xml:space="preserve">given the </w:t>
      </w:r>
      <w:r w:rsidRPr="00AA1654">
        <w:t>protect</w:t>
      </w:r>
      <w:r w:rsidRPr="00AA1654" w:rsidR="001221B6">
        <w:t>ion</w:t>
      </w:r>
      <w:r w:rsidRPr="00AA1654">
        <w:t xml:space="preserve"> that</w:t>
      </w:r>
      <w:r w:rsidRPr="00AA1654" w:rsidR="000954EB">
        <w:t>, for the next two years,</w:t>
      </w:r>
      <w:r w:rsidRPr="00AA1654">
        <w:t xml:space="preserve"> all updated marketing and sales scripts have been reviewed for compliance by the PUCO Staff. </w:t>
      </w:r>
      <w:r w:rsidRPr="00AA1654" w:rsidR="001221B6">
        <w:t xml:space="preserve">The </w:t>
      </w:r>
      <w:r w:rsidRPr="00AA1654" w:rsidR="00777568">
        <w:t xml:space="preserve">PUCO has </w:t>
      </w:r>
      <w:r w:rsidRPr="00AA1654" w:rsidR="001221B6">
        <w:t xml:space="preserve">previously stated that its </w:t>
      </w:r>
      <w:r w:rsidRPr="00AA1654" w:rsidR="00DA022E">
        <w:rPr>
          <w:color w:val="000000" w:themeColor="text1"/>
        </w:rPr>
        <w:t>“Staff…is well-versed in</w:t>
      </w:r>
      <w:r w:rsidRPr="00AA1654" w:rsidR="00DA022E">
        <w:rPr>
          <w:rStyle w:val="apple-converted-space"/>
          <w:color w:val="000000" w:themeColor="text1"/>
        </w:rPr>
        <w:t> </w:t>
      </w:r>
      <w:r w:rsidRPr="00AA1654" w:rsidR="00DA022E">
        <w:rPr>
          <w:rStyle w:val="sssh"/>
          <w:color w:val="000000" w:themeColor="text1"/>
          <w:bdr w:val="none" w:sz="0" w:space="0" w:color="auto" w:frame="1"/>
        </w:rPr>
        <w:t>reviewing</w:t>
      </w:r>
      <w:r w:rsidRPr="00AA1654" w:rsidR="00DA022E">
        <w:rPr>
          <w:rStyle w:val="apple-converted-space"/>
          <w:color w:val="000000" w:themeColor="text1"/>
        </w:rPr>
        <w:t> </w:t>
      </w:r>
      <w:r w:rsidRPr="00AA1654" w:rsidR="00DA022E">
        <w:rPr>
          <w:color w:val="000000" w:themeColor="text1"/>
        </w:rPr>
        <w:t>action plans within the context of investigatory actions . . . including examining third-party verification</w:t>
      </w:r>
      <w:r w:rsidRPr="00AA1654" w:rsidR="00DA022E">
        <w:rPr>
          <w:rStyle w:val="apple-converted-space"/>
          <w:color w:val="000000" w:themeColor="text1"/>
        </w:rPr>
        <w:t> </w:t>
      </w:r>
      <w:r w:rsidRPr="00AA1654" w:rsidR="00DA022E">
        <w:rPr>
          <w:rStyle w:val="sssh"/>
          <w:color w:val="000000" w:themeColor="text1"/>
          <w:bdr w:val="none" w:sz="0" w:space="0" w:color="auto" w:frame="1"/>
        </w:rPr>
        <w:t>scripts</w:t>
      </w:r>
      <w:r w:rsidRPr="00AA1654" w:rsidR="00DA022E">
        <w:rPr>
          <w:color w:val="000000" w:themeColor="text1"/>
        </w:rPr>
        <w:t>, sales</w:t>
      </w:r>
      <w:r w:rsidRPr="00AA1654" w:rsidR="00DA022E">
        <w:rPr>
          <w:rStyle w:val="apple-converted-space"/>
          <w:color w:val="000000" w:themeColor="text1"/>
        </w:rPr>
        <w:t> </w:t>
      </w:r>
      <w:r w:rsidRPr="00AA1654" w:rsidR="00DA022E">
        <w:rPr>
          <w:rStyle w:val="sssh"/>
          <w:color w:val="000000" w:themeColor="text1"/>
          <w:bdr w:val="none" w:sz="0" w:space="0" w:color="auto" w:frame="1"/>
        </w:rPr>
        <w:t>scripts</w:t>
      </w:r>
      <w:r w:rsidRPr="00AA1654" w:rsidR="00DA022E">
        <w:rPr>
          <w:color w:val="000000" w:themeColor="text1"/>
        </w:rPr>
        <w:t>, and contracts; monitoring of third-party vendors; and</w:t>
      </w:r>
      <w:r w:rsidRPr="00AA1654" w:rsidR="00DA022E">
        <w:rPr>
          <w:rStyle w:val="apple-converted-space"/>
          <w:color w:val="000000" w:themeColor="text1"/>
        </w:rPr>
        <w:t> </w:t>
      </w:r>
      <w:r w:rsidRPr="00AA1654" w:rsidR="00DA022E">
        <w:rPr>
          <w:rStyle w:val="sssh"/>
          <w:color w:val="000000" w:themeColor="text1"/>
          <w:bdr w:val="none" w:sz="0" w:space="0" w:color="auto" w:frame="1"/>
        </w:rPr>
        <w:t>reviewing</w:t>
      </w:r>
      <w:r w:rsidRPr="00AA1654" w:rsidR="00DA022E">
        <w:rPr>
          <w:rStyle w:val="apple-converted-space"/>
          <w:color w:val="000000" w:themeColor="text1"/>
        </w:rPr>
        <w:t>…</w:t>
      </w:r>
      <w:r w:rsidRPr="00AA1654" w:rsidR="00DA022E">
        <w:rPr>
          <w:color w:val="000000" w:themeColor="text1"/>
        </w:rPr>
        <w:t>internal complaint resolutions process.”</w:t>
      </w:r>
      <w:r>
        <w:rPr>
          <w:rStyle w:val="FootnoteReference"/>
          <w:color w:val="000000" w:themeColor="text1"/>
        </w:rPr>
        <w:footnoteReference w:id="16"/>
      </w:r>
      <w:r w:rsidRPr="00AA1654" w:rsidR="00DA022E">
        <w:rPr>
          <w:color w:val="000000" w:themeColor="text1"/>
        </w:rPr>
        <w:t xml:space="preserve"> </w:t>
      </w:r>
    </w:p>
    <w:p w:rsidR="00306174" w:rsidRPr="006B65F3" w:rsidP="006B65F3" w14:paraId="53B767B0" w14:textId="22D69456">
      <w:pPr>
        <w:pStyle w:val="Heading2"/>
      </w:pPr>
      <w:r>
        <w:t>C.</w:t>
      </w:r>
      <w:r>
        <w:tab/>
      </w:r>
      <w:r w:rsidRPr="00AA1654">
        <w:t>To protect consumers, the PUCO should modify the Settlement to require monitoring of call center complaints involving Direct Energy.</w:t>
      </w:r>
    </w:p>
    <w:p w:rsidR="00306174" w:rsidRPr="00AA1654" w:rsidP="00306174" w14:paraId="3E11AB5F" w14:textId="21FA36C9">
      <w:pPr>
        <w:spacing w:line="480" w:lineRule="auto"/>
        <w:rPr>
          <w:szCs w:val="24"/>
        </w:rPr>
      </w:pPr>
      <w:r w:rsidRPr="00AA1654">
        <w:rPr>
          <w:szCs w:val="24"/>
        </w:rPr>
        <w:tab/>
        <w:t>Direct Energy asserts that its compliance plan would prevent non-compliance during the enrollment process.</w:t>
      </w:r>
      <w:r>
        <w:rPr>
          <w:rStyle w:val="FootnoteReference"/>
          <w:szCs w:val="24"/>
        </w:rPr>
        <w:footnoteReference w:id="17"/>
      </w:r>
      <w:r w:rsidRPr="00AA1654">
        <w:rPr>
          <w:szCs w:val="24"/>
        </w:rPr>
        <w:t xml:space="preserve"> The compliance plan is a first step in remedying enrollment non-compliance that the PUCO Staff outlined in the notice of probable non-compliance. But it does not go far enough to protect consumers.</w:t>
      </w:r>
    </w:p>
    <w:p w:rsidR="00104111" w:rsidP="00306174" w14:paraId="46E82C96" w14:textId="3BF2C7F0">
      <w:pPr>
        <w:spacing w:line="480" w:lineRule="auto"/>
        <w:rPr>
          <w:szCs w:val="24"/>
        </w:rPr>
      </w:pPr>
      <w:r w:rsidRPr="00AA1654">
        <w:rPr>
          <w:szCs w:val="24"/>
        </w:rPr>
        <w:tab/>
        <w:t>The PUCO should modify the Settlement to require the PUCO Staff to</w:t>
      </w:r>
      <w:r w:rsidRPr="00AA1654" w:rsidR="00721862">
        <w:rPr>
          <w:szCs w:val="24"/>
        </w:rPr>
        <w:t xml:space="preserve"> give stricter scrutiny to</w:t>
      </w:r>
      <w:r w:rsidRPr="00AA1654">
        <w:rPr>
          <w:szCs w:val="24"/>
        </w:rPr>
        <w:t xml:space="preserve"> monitor</w:t>
      </w:r>
      <w:r w:rsidRPr="00AA1654" w:rsidR="00721862">
        <w:rPr>
          <w:szCs w:val="24"/>
        </w:rPr>
        <w:t>ing</w:t>
      </w:r>
      <w:r w:rsidRPr="00AA1654">
        <w:rPr>
          <w:szCs w:val="24"/>
        </w:rPr>
        <w:t xml:space="preserve"> PUCO call center complaints against Direct Energy for two years after the Settlement is approved.</w:t>
      </w:r>
      <w:r>
        <w:rPr>
          <w:rStyle w:val="FootnoteReference"/>
          <w:szCs w:val="24"/>
        </w:rPr>
        <w:footnoteReference w:id="18"/>
      </w:r>
      <w:r w:rsidRPr="00AA1654">
        <w:rPr>
          <w:szCs w:val="24"/>
        </w:rPr>
        <w:t xml:space="preserve"> The PUCO Staff should be required to </w:t>
      </w:r>
      <w:r w:rsidRPr="00AA1654" w:rsidR="000954EB">
        <w:rPr>
          <w:szCs w:val="24"/>
        </w:rPr>
        <w:t xml:space="preserve">publicly </w:t>
      </w:r>
      <w:r w:rsidRPr="00AA1654">
        <w:rPr>
          <w:szCs w:val="24"/>
        </w:rPr>
        <w:t>report</w:t>
      </w:r>
      <w:r w:rsidRPr="00AA1654" w:rsidR="00881AE1">
        <w:rPr>
          <w:szCs w:val="24"/>
        </w:rPr>
        <w:t xml:space="preserve"> </w:t>
      </w:r>
      <w:r w:rsidRPr="00AA1654" w:rsidR="000954EB">
        <w:rPr>
          <w:szCs w:val="24"/>
        </w:rPr>
        <w:t>its</w:t>
      </w:r>
      <w:r w:rsidRPr="00AA1654" w:rsidR="00881AE1">
        <w:rPr>
          <w:szCs w:val="24"/>
        </w:rPr>
        <w:t xml:space="preserve"> </w:t>
      </w:r>
      <w:r w:rsidRPr="00AA1654">
        <w:rPr>
          <w:szCs w:val="24"/>
        </w:rPr>
        <w:t xml:space="preserve">findings in years one and two. </w:t>
      </w:r>
    </w:p>
    <w:p w:rsidR="00104111" w14:paraId="6BED247E" w14:textId="77777777">
      <w:pPr>
        <w:rPr>
          <w:szCs w:val="24"/>
        </w:rPr>
      </w:pPr>
      <w:r>
        <w:rPr>
          <w:szCs w:val="24"/>
        </w:rPr>
        <w:br w:type="page"/>
      </w:r>
    </w:p>
    <w:p w:rsidR="004B20F5" w:rsidRPr="00104111" w:rsidP="00104111" w14:paraId="1144F247" w14:textId="5ED60D47">
      <w:pPr>
        <w:pStyle w:val="Heading2"/>
      </w:pPr>
      <w:r>
        <w:t>D.</w:t>
      </w:r>
      <w:r>
        <w:tab/>
      </w:r>
      <w:r w:rsidRPr="00AA1654">
        <w:t xml:space="preserve">To protect consumers, the PUCO should modify the Settlement to prohibit Direct Energy from marketing door-to-door. </w:t>
      </w:r>
    </w:p>
    <w:p w:rsidR="004B20F5" w:rsidRPr="00AA1654" w:rsidP="004B20F5" w14:paraId="2581F928" w14:textId="7F10A37E">
      <w:pPr>
        <w:ind w:left="720"/>
        <w:rPr>
          <w:szCs w:val="24"/>
        </w:rPr>
      </w:pPr>
      <w:r w:rsidRPr="00AA1654">
        <w:rPr>
          <w:szCs w:val="24"/>
        </w:rPr>
        <w:t>In its notice of probable non-compliance, the PUCO Staff found:</w:t>
      </w:r>
    </w:p>
    <w:p w:rsidR="001C3640" w:rsidRPr="00AA1654" w:rsidP="004B20F5" w14:paraId="3C5D1F45" w14:textId="4D498638">
      <w:pPr>
        <w:ind w:left="720"/>
        <w:rPr>
          <w:szCs w:val="24"/>
        </w:rPr>
      </w:pPr>
    </w:p>
    <w:p w:rsidR="001C3640" w:rsidRPr="00AA1654" w:rsidP="00A8692F" w14:paraId="18AEF926" w14:textId="170FE37A">
      <w:pPr>
        <w:ind w:left="1440" w:right="1440"/>
        <w:rPr>
          <w:szCs w:val="24"/>
        </w:rPr>
      </w:pPr>
      <w:r w:rsidRPr="00AA1654">
        <w:rPr>
          <w:szCs w:val="24"/>
        </w:rPr>
        <w:t>instances of door-to-door agents providing misleading and deceptive information to consumers. Multiple consumers complained that agents were being untruthful, including agents stating they needed to see the utility bill to verify that everything was correct, implying the agent was with the utility, and that the customer’s contract needs to be renewed even though the customer was not currently with Direct Energy. Finally, Staff found that the acknowledgment form required as part of door-to-door natural gas enrollments was not completed.</w:t>
      </w:r>
      <w:r>
        <w:rPr>
          <w:rStyle w:val="FootnoteReference"/>
          <w:szCs w:val="24"/>
        </w:rPr>
        <w:footnoteReference w:id="19"/>
      </w:r>
    </w:p>
    <w:p w:rsidR="001C3640" w:rsidRPr="00AA1654" w:rsidP="001C3640" w14:paraId="67E4F54E" w14:textId="5EF2F7FA">
      <w:pPr>
        <w:rPr>
          <w:szCs w:val="24"/>
        </w:rPr>
      </w:pPr>
    </w:p>
    <w:p w:rsidR="001C3640" w:rsidRPr="00AA1654" w:rsidP="00EA0E42" w14:paraId="2A201900" w14:textId="696EC1C4">
      <w:pPr>
        <w:spacing w:line="480" w:lineRule="auto"/>
        <w:rPr>
          <w:szCs w:val="24"/>
        </w:rPr>
      </w:pPr>
      <w:r w:rsidRPr="00AA1654">
        <w:rPr>
          <w:szCs w:val="24"/>
        </w:rPr>
        <w:t>Direct Energy asserts that it has conducted the review of the door-to-door enrollments, consistent with the Settlement and taken remedial action.</w:t>
      </w:r>
      <w:r>
        <w:rPr>
          <w:rStyle w:val="FootnoteReference"/>
          <w:szCs w:val="24"/>
        </w:rPr>
        <w:footnoteReference w:id="20"/>
      </w:r>
      <w:r w:rsidRPr="00AA1654">
        <w:rPr>
          <w:szCs w:val="24"/>
        </w:rPr>
        <w:t xml:space="preserve"> More consumer protection is necessary.</w:t>
      </w:r>
    </w:p>
    <w:p w:rsidR="00D62A82" w:rsidP="00AB7F8A" w14:paraId="590C67B9" w14:textId="14E71D83">
      <w:pPr>
        <w:spacing w:line="480" w:lineRule="auto"/>
        <w:rPr>
          <w:color w:val="212529"/>
          <w:szCs w:val="24"/>
          <w:shd w:val="clear" w:color="auto" w:fill="FFFFFF"/>
        </w:rPr>
      </w:pPr>
      <w:r w:rsidRPr="00AA1654">
        <w:rPr>
          <w:szCs w:val="24"/>
        </w:rPr>
        <w:tab/>
        <w:t>The PUCO should modify the Settlement to prohibit Direct Energy from marketing door-to-door for one year</w:t>
      </w:r>
      <w:r w:rsidRPr="00AA1654" w:rsidR="00AB7F8A">
        <w:rPr>
          <w:szCs w:val="24"/>
        </w:rPr>
        <w:t xml:space="preserve"> after the Settlement is approved. </w:t>
      </w:r>
      <w:r w:rsidRPr="00AA1654" w:rsidR="0069447D">
        <w:rPr>
          <w:szCs w:val="24"/>
        </w:rPr>
        <w:t>But</w:t>
      </w:r>
      <w:r w:rsidRPr="00AA1654" w:rsidR="00AB7F8A">
        <w:rPr>
          <w:szCs w:val="24"/>
        </w:rPr>
        <w:t xml:space="preserve"> what is really needed for consumer protection is a ban on </w:t>
      </w:r>
      <w:r w:rsidRPr="00AA1654" w:rsidR="00AB7F8A">
        <w:rPr>
          <w:i/>
          <w:iCs/>
          <w:szCs w:val="24"/>
        </w:rPr>
        <w:t xml:space="preserve">all </w:t>
      </w:r>
      <w:r w:rsidRPr="00AA1654" w:rsidR="00AB7F8A">
        <w:rPr>
          <w:szCs w:val="24"/>
        </w:rPr>
        <w:t>marketer door-to-door sales.</w:t>
      </w:r>
      <w:r w:rsidRPr="00AA1654" w:rsidR="00AB7F8A">
        <w:rPr>
          <w:color w:val="212529"/>
          <w:szCs w:val="24"/>
          <w:shd w:val="clear" w:color="auto" w:fill="FFFFFF"/>
        </w:rPr>
        <w:t xml:space="preserve"> Decisions about buying energy are complex and best made after careful research of information not immediately available </w:t>
      </w:r>
      <w:r w:rsidRPr="00AA1654" w:rsidR="0069447D">
        <w:rPr>
          <w:color w:val="212529"/>
          <w:szCs w:val="24"/>
          <w:shd w:val="clear" w:color="auto" w:fill="FFFFFF"/>
        </w:rPr>
        <w:t>on a consumer’s doorstep</w:t>
      </w:r>
      <w:r w:rsidRPr="00AA1654" w:rsidR="00AB7F8A">
        <w:rPr>
          <w:color w:val="212529"/>
          <w:szCs w:val="24"/>
          <w:shd w:val="clear" w:color="auto" w:fill="FFFFFF"/>
        </w:rPr>
        <w:t xml:space="preserve">. </w:t>
      </w:r>
      <w:r w:rsidRPr="00AA1654" w:rsidR="0069447D">
        <w:rPr>
          <w:color w:val="212529"/>
          <w:szCs w:val="24"/>
          <w:shd w:val="clear" w:color="auto" w:fill="FFFFFF"/>
        </w:rPr>
        <w:t>A consumer’s</w:t>
      </w:r>
      <w:r w:rsidRPr="00AA1654" w:rsidR="00AB7F8A">
        <w:rPr>
          <w:color w:val="212529"/>
          <w:szCs w:val="24"/>
          <w:shd w:val="clear" w:color="auto" w:fill="FFFFFF"/>
        </w:rPr>
        <w:t xml:space="preserve"> doorstep is not the place where </w:t>
      </w:r>
      <w:r w:rsidRPr="00AA1654" w:rsidR="0069447D">
        <w:rPr>
          <w:color w:val="212529"/>
          <w:szCs w:val="24"/>
          <w:shd w:val="clear" w:color="auto" w:fill="FFFFFF"/>
        </w:rPr>
        <w:t>a consumer</w:t>
      </w:r>
      <w:r w:rsidRPr="00AA1654" w:rsidR="00AB7F8A">
        <w:rPr>
          <w:color w:val="212529"/>
          <w:szCs w:val="24"/>
          <w:shd w:val="clear" w:color="auto" w:fill="FFFFFF"/>
        </w:rPr>
        <w:t xml:space="preserve"> can make well-informed decisions about buying energy. </w:t>
      </w:r>
    </w:p>
    <w:p w:rsidR="00D62A82" w14:paraId="0163F17A" w14:textId="77777777">
      <w:pPr>
        <w:rPr>
          <w:color w:val="212529"/>
          <w:szCs w:val="24"/>
          <w:shd w:val="clear" w:color="auto" w:fill="FFFFFF"/>
        </w:rPr>
      </w:pPr>
      <w:r>
        <w:rPr>
          <w:color w:val="212529"/>
          <w:szCs w:val="24"/>
          <w:shd w:val="clear" w:color="auto" w:fill="FFFFFF"/>
        </w:rPr>
        <w:br w:type="page"/>
      </w:r>
    </w:p>
    <w:p w:rsidR="00306174" w:rsidRPr="00AA1654" w:rsidP="00D62A82" w14:paraId="54033E7F" w14:textId="0C02A606">
      <w:pPr>
        <w:pStyle w:val="Heading1"/>
      </w:pPr>
      <w:r>
        <w:t>III.</w:t>
      </w:r>
      <w:r>
        <w:tab/>
      </w:r>
      <w:r w:rsidRPr="00AA1654">
        <w:t>CONCLUSION</w:t>
      </w:r>
    </w:p>
    <w:p w:rsidR="00881AE1" w:rsidRPr="00AA1654" w:rsidP="0054458E" w14:paraId="213D8DE3" w14:textId="68742353">
      <w:pPr>
        <w:spacing w:line="480" w:lineRule="auto"/>
        <w:rPr>
          <w:szCs w:val="24"/>
        </w:rPr>
      </w:pPr>
      <w:r w:rsidRPr="00AA1654">
        <w:rPr>
          <w:szCs w:val="24"/>
        </w:rPr>
        <w:tab/>
        <w:t xml:space="preserve">The Settlement does not go far enough to protect </w:t>
      </w:r>
      <w:r w:rsidRPr="00AA1654" w:rsidR="00721862">
        <w:rPr>
          <w:szCs w:val="24"/>
        </w:rPr>
        <w:t xml:space="preserve">Ohio </w:t>
      </w:r>
      <w:r w:rsidRPr="00AA1654">
        <w:rPr>
          <w:szCs w:val="24"/>
        </w:rPr>
        <w:t>consumers</w:t>
      </w:r>
      <w:r w:rsidRPr="00AA1654" w:rsidR="00721862">
        <w:rPr>
          <w:szCs w:val="24"/>
        </w:rPr>
        <w:t xml:space="preserve"> from Direct Energy</w:t>
      </w:r>
      <w:r w:rsidRPr="00AA1654">
        <w:rPr>
          <w:szCs w:val="24"/>
        </w:rPr>
        <w:t xml:space="preserve">. To protect consumers, the PUCO should modify the Settlement as recommended herein. </w:t>
      </w:r>
    </w:p>
    <w:p w:rsidR="00535C4D" w:rsidRPr="00AA1654" w:rsidP="00535C4D" w14:paraId="6FCACC66" w14:textId="2CD923C2">
      <w:pPr>
        <w:tabs>
          <w:tab w:val="left" w:pos="8730"/>
        </w:tabs>
        <w:ind w:left="4320"/>
        <w:rPr>
          <w:szCs w:val="24"/>
        </w:rPr>
      </w:pPr>
      <w:r w:rsidRPr="00AA1654">
        <w:rPr>
          <w:szCs w:val="24"/>
        </w:rPr>
        <w:t>Respectfully submitted,</w:t>
      </w:r>
    </w:p>
    <w:p w:rsidR="00535C4D" w:rsidRPr="00AA1654" w:rsidP="00535C4D" w14:paraId="52104842" w14:textId="77777777">
      <w:pPr>
        <w:tabs>
          <w:tab w:val="left" w:pos="8730"/>
        </w:tabs>
        <w:ind w:left="4320"/>
        <w:rPr>
          <w:szCs w:val="24"/>
        </w:rPr>
      </w:pPr>
    </w:p>
    <w:p w:rsidR="00535C4D" w:rsidRPr="00AA1654" w:rsidP="00535C4D" w14:paraId="55B0F8B2" w14:textId="77777777">
      <w:pPr>
        <w:tabs>
          <w:tab w:val="left" w:pos="8730"/>
        </w:tabs>
        <w:ind w:left="4320"/>
        <w:rPr>
          <w:szCs w:val="24"/>
        </w:rPr>
      </w:pPr>
      <w:r w:rsidRPr="00AA1654">
        <w:rPr>
          <w:szCs w:val="24"/>
        </w:rPr>
        <w:t xml:space="preserve">Bruce Weston (0016973) </w:t>
      </w:r>
    </w:p>
    <w:p w:rsidR="00535C4D" w:rsidRPr="00AA1654" w:rsidP="00535C4D" w14:paraId="0141B403" w14:textId="77777777">
      <w:pPr>
        <w:tabs>
          <w:tab w:val="left" w:pos="8730"/>
        </w:tabs>
        <w:ind w:left="4320"/>
        <w:rPr>
          <w:szCs w:val="24"/>
        </w:rPr>
      </w:pPr>
      <w:r w:rsidRPr="00AA1654">
        <w:rPr>
          <w:szCs w:val="24"/>
        </w:rPr>
        <w:t>Ohio Consumers’ Counsel</w:t>
      </w:r>
    </w:p>
    <w:p w:rsidR="00535C4D" w:rsidRPr="00AA1654" w:rsidP="00535C4D" w14:paraId="50A3876B" w14:textId="77777777">
      <w:pPr>
        <w:tabs>
          <w:tab w:val="left" w:pos="8730"/>
        </w:tabs>
        <w:ind w:left="4320"/>
        <w:rPr>
          <w:szCs w:val="24"/>
        </w:rPr>
      </w:pPr>
    </w:p>
    <w:p w:rsidR="00535C4D" w:rsidRPr="00AA1654" w:rsidP="00535C4D" w14:paraId="2C8EF3C8" w14:textId="4662FEF7">
      <w:pPr>
        <w:tabs>
          <w:tab w:val="left" w:pos="8730"/>
        </w:tabs>
        <w:ind w:left="4320"/>
        <w:rPr>
          <w:szCs w:val="24"/>
        </w:rPr>
      </w:pPr>
      <w:r w:rsidRPr="00AA1654">
        <w:rPr>
          <w:i/>
          <w:szCs w:val="24"/>
          <w:u w:val="single"/>
        </w:rPr>
        <w:t xml:space="preserve">/s/ </w:t>
      </w:r>
      <w:r w:rsidRPr="00AA1654" w:rsidR="001D52FC">
        <w:rPr>
          <w:i/>
          <w:szCs w:val="24"/>
          <w:u w:val="single"/>
        </w:rPr>
        <w:t>William J. Michael</w:t>
      </w:r>
      <w:r w:rsidRPr="00AA1654">
        <w:rPr>
          <w:i/>
          <w:szCs w:val="24"/>
        </w:rPr>
        <w:br/>
      </w:r>
      <w:r w:rsidRPr="00AA1654" w:rsidR="001D52FC">
        <w:rPr>
          <w:szCs w:val="24"/>
        </w:rPr>
        <w:t xml:space="preserve">William J. Michael </w:t>
      </w:r>
      <w:r w:rsidRPr="00AA1654">
        <w:rPr>
          <w:szCs w:val="24"/>
        </w:rPr>
        <w:t>(00</w:t>
      </w:r>
      <w:r w:rsidRPr="00AA1654" w:rsidR="001D52FC">
        <w:rPr>
          <w:szCs w:val="24"/>
        </w:rPr>
        <w:t>70921</w:t>
      </w:r>
      <w:r w:rsidRPr="00AA1654">
        <w:rPr>
          <w:szCs w:val="24"/>
        </w:rPr>
        <w:t xml:space="preserve">) </w:t>
      </w:r>
      <w:r w:rsidRPr="00AA1654">
        <w:rPr>
          <w:szCs w:val="24"/>
        </w:rPr>
        <w:br/>
        <w:t>Counsel of Record</w:t>
      </w:r>
    </w:p>
    <w:p w:rsidR="00535C4D" w:rsidRPr="00AA1654" w:rsidP="00535C4D" w14:paraId="032B11C8" w14:textId="6821FCBA">
      <w:pPr>
        <w:tabs>
          <w:tab w:val="left" w:pos="8730"/>
        </w:tabs>
        <w:ind w:left="4320"/>
        <w:rPr>
          <w:szCs w:val="24"/>
        </w:rPr>
      </w:pPr>
      <w:r w:rsidRPr="00AA1654">
        <w:rPr>
          <w:szCs w:val="24"/>
        </w:rPr>
        <w:t>Connor D. Semple (0101102)</w:t>
      </w:r>
      <w:r w:rsidRPr="00AA1654">
        <w:rPr>
          <w:szCs w:val="24"/>
        </w:rPr>
        <w:br/>
        <w:t>Assistant Consumers’ Counsel</w:t>
      </w:r>
    </w:p>
    <w:p w:rsidR="00535C4D" w:rsidRPr="00AA1654" w:rsidP="00535C4D" w14:paraId="2655DC22" w14:textId="77777777">
      <w:pPr>
        <w:tabs>
          <w:tab w:val="left" w:pos="8730"/>
        </w:tabs>
        <w:ind w:left="4320"/>
        <w:rPr>
          <w:szCs w:val="24"/>
        </w:rPr>
      </w:pPr>
    </w:p>
    <w:p w:rsidR="00535C4D" w:rsidRPr="00AA1654" w:rsidP="00535C4D" w14:paraId="46EAB9DA" w14:textId="77777777">
      <w:pPr>
        <w:tabs>
          <w:tab w:val="left" w:pos="8730"/>
        </w:tabs>
        <w:ind w:left="4320"/>
        <w:rPr>
          <w:b/>
          <w:bCs/>
          <w:szCs w:val="24"/>
        </w:rPr>
      </w:pPr>
      <w:r w:rsidRPr="00AA1654">
        <w:rPr>
          <w:b/>
          <w:bCs/>
          <w:szCs w:val="24"/>
        </w:rPr>
        <w:t>Office of the Ohio Consumers' Counsel</w:t>
      </w:r>
    </w:p>
    <w:p w:rsidR="00535C4D" w:rsidRPr="00AA1654" w:rsidP="00535C4D" w14:paraId="35E8C533" w14:textId="77777777">
      <w:pPr>
        <w:tabs>
          <w:tab w:val="left" w:pos="8730"/>
        </w:tabs>
        <w:ind w:left="4320"/>
        <w:rPr>
          <w:szCs w:val="24"/>
        </w:rPr>
      </w:pPr>
      <w:r w:rsidRPr="00AA1654">
        <w:rPr>
          <w:szCs w:val="24"/>
        </w:rPr>
        <w:t>65 East State Street, Suite 700</w:t>
      </w:r>
    </w:p>
    <w:p w:rsidR="00535C4D" w:rsidRPr="00AA1654" w:rsidP="00535C4D" w14:paraId="3DE209AC" w14:textId="77777777">
      <w:pPr>
        <w:tabs>
          <w:tab w:val="left" w:pos="8730"/>
        </w:tabs>
        <w:ind w:left="4320"/>
        <w:rPr>
          <w:szCs w:val="24"/>
        </w:rPr>
      </w:pPr>
      <w:r w:rsidRPr="00AA1654">
        <w:rPr>
          <w:szCs w:val="24"/>
        </w:rPr>
        <w:t>Columbus, Ohio 43215</w:t>
      </w:r>
    </w:p>
    <w:p w:rsidR="00535C4D" w:rsidRPr="00AA1654" w:rsidP="00535C4D" w14:paraId="2399E4A7" w14:textId="64005AEF">
      <w:pPr>
        <w:tabs>
          <w:tab w:val="left" w:pos="8730"/>
        </w:tabs>
        <w:ind w:left="4320"/>
        <w:rPr>
          <w:szCs w:val="24"/>
        </w:rPr>
      </w:pPr>
      <w:r w:rsidRPr="00AA1654">
        <w:rPr>
          <w:szCs w:val="24"/>
        </w:rPr>
        <w:t>Telephone: [</w:t>
      </w:r>
      <w:r w:rsidRPr="00AA1654" w:rsidR="001D52FC">
        <w:rPr>
          <w:szCs w:val="24"/>
        </w:rPr>
        <w:t>Michael]: (614) 466-1291</w:t>
      </w:r>
    </w:p>
    <w:p w:rsidR="001D52FC" w:rsidRPr="00AA1654" w:rsidP="00535C4D" w14:paraId="1C34EF87" w14:textId="681266C8">
      <w:pPr>
        <w:tabs>
          <w:tab w:val="left" w:pos="8730"/>
        </w:tabs>
        <w:ind w:left="4320"/>
        <w:rPr>
          <w:szCs w:val="24"/>
        </w:rPr>
      </w:pPr>
      <w:r w:rsidRPr="00AA1654">
        <w:rPr>
          <w:szCs w:val="24"/>
        </w:rPr>
        <w:t>Telephone [Semple]: (614) 466-9565</w:t>
      </w:r>
    </w:p>
    <w:p w:rsidR="00535C4D" w:rsidRPr="00AA1654" w:rsidP="00535C4D" w14:paraId="61E593FD" w14:textId="2EE618DA">
      <w:pPr>
        <w:tabs>
          <w:tab w:val="left" w:pos="8730"/>
        </w:tabs>
        <w:ind w:left="4320"/>
        <w:rPr>
          <w:color w:val="0000FF"/>
          <w:szCs w:val="24"/>
        </w:rPr>
      </w:pPr>
      <w:hyperlink r:id="rId6" w:history="1">
        <w:r w:rsidRPr="00AA1654" w:rsidR="00232377">
          <w:rPr>
            <w:rStyle w:val="Hyperlink"/>
            <w:szCs w:val="24"/>
          </w:rPr>
          <w:t>william.michael@occ.ohio.gov</w:t>
        </w:r>
      </w:hyperlink>
      <w:r w:rsidRPr="00AA1654" w:rsidR="00232377">
        <w:rPr>
          <w:color w:val="0000FF"/>
          <w:szCs w:val="24"/>
        </w:rPr>
        <w:t xml:space="preserve"> </w:t>
      </w:r>
    </w:p>
    <w:p w:rsidR="00232377" w:rsidRPr="00AA1654" w:rsidP="00232377" w14:paraId="24BE4538" w14:textId="77777777">
      <w:pPr>
        <w:tabs>
          <w:tab w:val="left" w:pos="8730"/>
        </w:tabs>
        <w:ind w:left="4320"/>
        <w:rPr>
          <w:color w:val="0000FF"/>
          <w:szCs w:val="24"/>
        </w:rPr>
      </w:pPr>
      <w:hyperlink r:id="rId7" w:history="1">
        <w:r w:rsidRPr="00AA1654" w:rsidR="00BB4E2B">
          <w:rPr>
            <w:rStyle w:val="Hyperlink"/>
            <w:szCs w:val="24"/>
          </w:rPr>
          <w:t>connor.semple@occ.ohio.gov</w:t>
        </w:r>
      </w:hyperlink>
    </w:p>
    <w:p w:rsidR="00535C4D" w:rsidRPr="00AA1654" w:rsidP="00232377" w14:paraId="3F6B2907" w14:textId="51D99F3A">
      <w:pPr>
        <w:tabs>
          <w:tab w:val="left" w:pos="8730"/>
        </w:tabs>
        <w:ind w:left="4320"/>
        <w:rPr>
          <w:color w:val="0000FF"/>
          <w:szCs w:val="24"/>
        </w:rPr>
      </w:pPr>
      <w:r w:rsidRPr="00AA1654">
        <w:rPr>
          <w:szCs w:val="24"/>
        </w:rPr>
        <w:t>(willing to accept service by e-mail)</w:t>
      </w:r>
    </w:p>
    <w:p w:rsidR="00964DA7" w:rsidRPr="00AA1654" w:rsidP="007744C6" w14:paraId="7C755A23" w14:textId="493C2FEA">
      <w:pPr>
        <w:jc w:val="center"/>
        <w:rPr>
          <w:b/>
          <w:bCs/>
          <w:szCs w:val="24"/>
          <w:u w:val="single"/>
        </w:rPr>
      </w:pPr>
      <w:r w:rsidRPr="00AA1654">
        <w:rPr>
          <w:szCs w:val="24"/>
        </w:rPr>
        <w:br w:type="page"/>
      </w:r>
      <w:r w:rsidRPr="00AA1654">
        <w:rPr>
          <w:b/>
          <w:bCs/>
          <w:szCs w:val="24"/>
          <w:u w:val="single"/>
        </w:rPr>
        <w:t>CERTIFICATE OF SERVICE</w:t>
      </w:r>
    </w:p>
    <w:p w:rsidR="007744C6" w:rsidRPr="00AA1654" w:rsidP="007744C6" w14:paraId="7C69256F" w14:textId="77777777">
      <w:pPr>
        <w:rPr>
          <w:szCs w:val="24"/>
        </w:rPr>
      </w:pPr>
    </w:p>
    <w:p w:rsidR="007744C6" w:rsidRPr="00AA1654" w:rsidP="00446E8B" w14:paraId="34F1B3F9" w14:textId="7991F406">
      <w:pPr>
        <w:spacing w:line="480" w:lineRule="auto"/>
        <w:ind w:firstLine="720"/>
        <w:rPr>
          <w:szCs w:val="24"/>
        </w:rPr>
      </w:pPr>
      <w:r w:rsidRPr="00AA1654">
        <w:rPr>
          <w:szCs w:val="24"/>
        </w:rPr>
        <w:t>I hereby certify that a copy of th</w:t>
      </w:r>
      <w:r w:rsidRPr="00AA1654" w:rsidR="00073421">
        <w:rPr>
          <w:szCs w:val="24"/>
        </w:rPr>
        <w:t>ese</w:t>
      </w:r>
      <w:r w:rsidRPr="00AA1654">
        <w:rPr>
          <w:szCs w:val="24"/>
        </w:rPr>
        <w:t xml:space="preserve"> </w:t>
      </w:r>
      <w:r w:rsidRPr="00AA1654" w:rsidR="00073421">
        <w:rPr>
          <w:szCs w:val="24"/>
        </w:rPr>
        <w:t>Reply Comments</w:t>
      </w:r>
      <w:r w:rsidRPr="00AA1654">
        <w:rPr>
          <w:szCs w:val="24"/>
        </w:rPr>
        <w:t xml:space="preserve"> was served on the persons stated below via electronic transmission, this </w:t>
      </w:r>
      <w:r w:rsidRPr="00AA1654" w:rsidR="00825496">
        <w:rPr>
          <w:szCs w:val="24"/>
        </w:rPr>
        <w:t>26</w:t>
      </w:r>
      <w:r w:rsidRPr="00AA1654" w:rsidR="00D2773C">
        <w:rPr>
          <w:szCs w:val="24"/>
          <w:vertAlign w:val="superscript"/>
        </w:rPr>
        <w:t>th</w:t>
      </w:r>
      <w:r w:rsidRPr="00AA1654">
        <w:rPr>
          <w:szCs w:val="24"/>
        </w:rPr>
        <w:t xml:space="preserve"> day of </w:t>
      </w:r>
      <w:r w:rsidRPr="00AA1654" w:rsidR="00073421">
        <w:rPr>
          <w:szCs w:val="24"/>
        </w:rPr>
        <w:t xml:space="preserve">July </w:t>
      </w:r>
      <w:r w:rsidRPr="00AA1654">
        <w:rPr>
          <w:szCs w:val="24"/>
        </w:rPr>
        <w:t>202</w:t>
      </w:r>
      <w:r w:rsidRPr="00AA1654" w:rsidR="00073421">
        <w:rPr>
          <w:szCs w:val="24"/>
        </w:rPr>
        <w:t>3</w:t>
      </w:r>
      <w:r w:rsidRPr="00AA1654">
        <w:rPr>
          <w:szCs w:val="24"/>
        </w:rPr>
        <w:t>.</w:t>
      </w:r>
    </w:p>
    <w:p w:rsidR="007744C6" w:rsidRPr="00AA1654" w:rsidP="007744C6" w14:paraId="37922635" w14:textId="7D5B72D7">
      <w:pPr>
        <w:tabs>
          <w:tab w:val="left" w:pos="4320"/>
        </w:tabs>
        <w:rPr>
          <w:i/>
          <w:iCs/>
          <w:szCs w:val="24"/>
          <w:u w:val="single"/>
        </w:rPr>
      </w:pPr>
      <w:r w:rsidRPr="00AA1654">
        <w:rPr>
          <w:szCs w:val="24"/>
        </w:rPr>
        <w:tab/>
      </w:r>
      <w:r w:rsidRPr="00AA1654">
        <w:rPr>
          <w:i/>
          <w:iCs/>
          <w:szCs w:val="24"/>
          <w:u w:val="single"/>
        </w:rPr>
        <w:t xml:space="preserve">/s/ </w:t>
      </w:r>
      <w:r w:rsidRPr="00AA1654" w:rsidR="00232377">
        <w:rPr>
          <w:i/>
          <w:iCs/>
          <w:szCs w:val="24"/>
          <w:u w:val="single"/>
        </w:rPr>
        <w:t>William J. Michael</w:t>
      </w:r>
      <w:r w:rsidRPr="00AA1654">
        <w:rPr>
          <w:i/>
          <w:iCs/>
          <w:szCs w:val="24"/>
          <w:u w:val="single"/>
        </w:rPr>
        <w:tab/>
      </w:r>
    </w:p>
    <w:p w:rsidR="007744C6" w:rsidRPr="00AA1654" w:rsidP="007744C6" w14:paraId="7CD0956B" w14:textId="18A91752">
      <w:pPr>
        <w:tabs>
          <w:tab w:val="left" w:pos="4320"/>
        </w:tabs>
        <w:rPr>
          <w:szCs w:val="24"/>
        </w:rPr>
      </w:pPr>
      <w:r w:rsidRPr="00AA1654">
        <w:rPr>
          <w:szCs w:val="24"/>
        </w:rPr>
        <w:tab/>
      </w:r>
      <w:r w:rsidRPr="00AA1654" w:rsidR="00232377">
        <w:rPr>
          <w:szCs w:val="24"/>
        </w:rPr>
        <w:t>William J. Michael</w:t>
      </w:r>
    </w:p>
    <w:p w:rsidR="007744C6" w:rsidRPr="00AA1654" w:rsidP="007744C6" w14:paraId="690125BA" w14:textId="77777777">
      <w:pPr>
        <w:tabs>
          <w:tab w:val="left" w:pos="4320"/>
        </w:tabs>
        <w:rPr>
          <w:szCs w:val="24"/>
        </w:rPr>
      </w:pPr>
      <w:r w:rsidRPr="00AA1654">
        <w:rPr>
          <w:szCs w:val="24"/>
        </w:rPr>
        <w:tab/>
        <w:t>Assistant Consumers’ Counsel</w:t>
      </w:r>
    </w:p>
    <w:p w:rsidR="007744C6" w:rsidRPr="00AA1654" w:rsidP="007744C6" w14:paraId="6C113426" w14:textId="77777777">
      <w:pPr>
        <w:pStyle w:val="CommentSubject"/>
        <w:rPr>
          <w:szCs w:val="24"/>
        </w:rPr>
      </w:pPr>
    </w:p>
    <w:p w:rsidR="007744C6" w:rsidRPr="00AA1654" w:rsidP="007744C6" w14:paraId="6B0A7F00" w14:textId="77777777">
      <w:pPr>
        <w:pStyle w:val="CommentText"/>
      </w:pPr>
      <w:r w:rsidRPr="00AA1654">
        <w:t>The PUCO’s e-filing system will electronically serve notice of the filing of this document on the following parties:</w:t>
      </w:r>
    </w:p>
    <w:p w:rsidR="007744C6" w:rsidRPr="00AA1654" w:rsidP="007744C6" w14:paraId="0CB7241B" w14:textId="77777777">
      <w:pPr>
        <w:pStyle w:val="CommentText"/>
      </w:pPr>
    </w:p>
    <w:p w:rsidR="007744C6" w:rsidRPr="00AA1654" w:rsidP="007744C6" w14:paraId="68F0D215" w14:textId="77777777">
      <w:pPr>
        <w:pStyle w:val="CommentText"/>
        <w:jc w:val="center"/>
        <w:rPr>
          <w:b/>
          <w:u w:val="single"/>
        </w:rPr>
      </w:pPr>
      <w:r w:rsidRPr="00AA1654">
        <w:rPr>
          <w:b/>
          <w:u w:val="single"/>
        </w:rPr>
        <w:t>SERVICE LIST</w:t>
      </w:r>
    </w:p>
    <w:p w:rsidR="007744C6" w:rsidRPr="00AA1654" w:rsidP="009F14BC" w14:paraId="79B86B42" w14:textId="77777777">
      <w:pPr>
        <w:pStyle w:val="BodyText"/>
        <w:jc w:val="left"/>
        <w:rPr>
          <w:b/>
          <w:bCs/>
          <w:szCs w:val="24"/>
        </w:rPr>
      </w:pPr>
    </w:p>
    <w:tbl>
      <w:tblPr>
        <w:tblW w:w="0" w:type="auto"/>
        <w:tblInd w:w="0" w:type="dxa"/>
        <w:tblCellMar>
          <w:top w:w="0" w:type="dxa"/>
          <w:left w:w="108" w:type="dxa"/>
          <w:bottom w:w="0" w:type="dxa"/>
          <w:right w:w="108" w:type="dxa"/>
        </w:tblCellMar>
        <w:tblLook w:val="04A0"/>
      </w:tblPr>
      <w:tblGrid>
        <w:gridCol w:w="4860"/>
        <w:gridCol w:w="3780"/>
      </w:tblGrid>
      <w:tr w14:paraId="5F2AC9A8" w14:textId="77777777" w:rsidTr="00031D5A">
        <w:tblPrEx>
          <w:tblW w:w="0" w:type="auto"/>
          <w:tblInd w:w="0" w:type="dxa"/>
          <w:tblCellMar>
            <w:top w:w="0" w:type="dxa"/>
            <w:left w:w="108" w:type="dxa"/>
            <w:bottom w:w="0" w:type="dxa"/>
            <w:right w:w="108" w:type="dxa"/>
          </w:tblCellMar>
          <w:tblLook w:val="04A0"/>
        </w:tblPrEx>
        <w:trPr>
          <w:trHeight w:val="1521"/>
        </w:trPr>
        <w:tc>
          <w:tcPr>
            <w:tcW w:w="4860" w:type="dxa"/>
            <w:shd w:val="clear" w:color="auto" w:fill="auto"/>
          </w:tcPr>
          <w:p w:rsidR="00825496" w:rsidRPr="00AA1654" w:rsidP="00031D5A" w14:paraId="38FCB433" w14:textId="77777777">
            <w:pPr>
              <w:rPr>
                <w:color w:val="0000FF"/>
                <w:sz w:val="24"/>
                <w:szCs w:val="24"/>
                <w:u w:val="single"/>
                <w:lang w:val="en-US" w:eastAsia="en-US" w:bidi="ar-SA"/>
              </w:rPr>
            </w:pPr>
            <w:hyperlink r:id="rId8" w:history="1">
              <w:r w:rsidRPr="00AA1654" w:rsidR="00BB4E2B">
                <w:rPr>
                  <w:bCs/>
                  <w:color w:val="0000FF"/>
                  <w:sz w:val="24"/>
                  <w:szCs w:val="24"/>
                  <w:u w:val="single"/>
                  <w:lang w:val="en-US" w:eastAsia="en-US" w:bidi="ar-SA"/>
                </w:rPr>
                <w:t>thomas.lindgren@OhioAGO.gov</w:t>
              </w:r>
            </w:hyperlink>
          </w:p>
          <w:p w:rsidR="00825496" w:rsidRPr="00AA1654" w:rsidP="00031D5A" w14:paraId="5199D5ED" w14:textId="77777777">
            <w:pPr>
              <w:rPr>
                <w:color w:val="0000FF"/>
                <w:sz w:val="24"/>
                <w:szCs w:val="24"/>
                <w:u w:val="single"/>
                <w:lang w:val="en-US" w:eastAsia="en-US" w:bidi="ar-SA"/>
              </w:rPr>
            </w:pPr>
          </w:p>
          <w:p w:rsidR="00825496" w:rsidRPr="00AA1654" w:rsidP="00031D5A" w14:paraId="15B0D74B" w14:textId="77777777">
            <w:pPr>
              <w:rPr>
                <w:color w:val="000000"/>
                <w:sz w:val="24"/>
                <w:szCs w:val="24"/>
                <w:lang w:val="en-US" w:eastAsia="en-US" w:bidi="ar-SA"/>
              </w:rPr>
            </w:pPr>
            <w:r w:rsidRPr="00AA1654">
              <w:rPr>
                <w:bCs/>
                <w:color w:val="000000"/>
                <w:sz w:val="24"/>
                <w:szCs w:val="24"/>
                <w:lang w:val="en-US" w:eastAsia="en-US" w:bidi="ar-SA"/>
              </w:rPr>
              <w:t>Attorney Examiner:</w:t>
            </w:r>
          </w:p>
          <w:p w:rsidR="00825496" w:rsidRPr="00AA1654" w:rsidP="00031D5A" w14:paraId="3C4004D4" w14:textId="77777777">
            <w:pPr>
              <w:rPr>
                <w:color w:val="0000FF"/>
                <w:sz w:val="24"/>
                <w:szCs w:val="24"/>
                <w:u w:val="single"/>
                <w:lang w:val="en-US" w:eastAsia="en-US" w:bidi="ar-SA"/>
              </w:rPr>
            </w:pPr>
            <w:hyperlink r:id="rId9" w:history="1">
              <w:r w:rsidRPr="00AA1654" w:rsidR="00BB4E2B">
                <w:rPr>
                  <w:bCs/>
                  <w:color w:val="0000FF"/>
                  <w:sz w:val="24"/>
                  <w:szCs w:val="24"/>
                  <w:u w:val="single"/>
                  <w:lang w:val="en-US" w:eastAsia="en-US" w:bidi="ar-SA"/>
                </w:rPr>
                <w:t>jesse.davis@puco.ohio.gov</w:t>
              </w:r>
            </w:hyperlink>
          </w:p>
        </w:tc>
        <w:tc>
          <w:tcPr>
            <w:tcW w:w="3780" w:type="dxa"/>
            <w:shd w:val="clear" w:color="auto" w:fill="auto"/>
          </w:tcPr>
          <w:p w:rsidR="00825496" w:rsidRPr="00AA1654" w:rsidP="00031D5A" w14:paraId="7F0615C6" w14:textId="77777777">
            <w:pPr>
              <w:rPr>
                <w:color w:val="0000FF"/>
                <w:sz w:val="24"/>
                <w:szCs w:val="24"/>
                <w:u w:val="single"/>
                <w:lang w:val="en-US" w:eastAsia="en-US" w:bidi="ar-SA"/>
              </w:rPr>
            </w:pPr>
            <w:hyperlink r:id="rId10" w:history="1">
              <w:r w:rsidRPr="00AA1654" w:rsidR="00BB4E2B">
                <w:rPr>
                  <w:color w:val="0000FF"/>
                  <w:sz w:val="24"/>
                  <w:szCs w:val="24"/>
                  <w:u w:val="single"/>
                  <w:lang w:val="en-US" w:eastAsia="en-US" w:bidi="ar-SA"/>
                </w:rPr>
                <w:t>mjsettineri@vorys.com</w:t>
              </w:r>
            </w:hyperlink>
          </w:p>
          <w:p w:rsidR="00825496" w:rsidRPr="00AA1654" w:rsidP="00031D5A" w14:paraId="277E4830" w14:textId="77777777">
            <w:pPr>
              <w:rPr>
                <w:color w:val="0000FF"/>
                <w:sz w:val="24"/>
                <w:szCs w:val="24"/>
                <w:u w:val="single"/>
                <w:lang w:val="en-US" w:eastAsia="en-US" w:bidi="ar-SA"/>
              </w:rPr>
            </w:pPr>
            <w:r w:rsidRPr="00AA1654">
              <w:rPr>
                <w:color w:val="0000FF"/>
                <w:sz w:val="24"/>
                <w:szCs w:val="24"/>
                <w:u w:val="single"/>
                <w:lang w:val="en-US" w:eastAsia="en-US" w:bidi="ar-SA"/>
              </w:rPr>
              <w:t>glpetrucci@vorys.com</w:t>
            </w:r>
          </w:p>
          <w:p w:rsidR="00825496" w:rsidRPr="00AA1654" w:rsidP="00031D5A" w14:paraId="32A42BA3" w14:textId="77777777">
            <w:pPr>
              <w:rPr>
                <w:color w:val="0000FF"/>
                <w:sz w:val="24"/>
                <w:szCs w:val="24"/>
                <w:u w:val="single"/>
                <w:lang w:val="en-US" w:eastAsia="en-US" w:bidi="ar-SA"/>
              </w:rPr>
            </w:pPr>
          </w:p>
        </w:tc>
      </w:tr>
    </w:tbl>
    <w:p w:rsidR="007744C6" w:rsidRPr="00AA1654" w14:paraId="19A2E5AE" w14:textId="19520CAB">
      <w:pPr>
        <w:rPr>
          <w:szCs w:val="24"/>
        </w:rPr>
      </w:pPr>
    </w:p>
    <w:sectPr w:rsidSect="00562F7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BBA" w14:paraId="36F05F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3532893"/>
      <w:docPartObj>
        <w:docPartGallery w:val="Page Numbers (Bottom of Page)"/>
        <w:docPartUnique/>
      </w:docPartObj>
    </w:sdtPr>
    <w:sdtEndPr>
      <w:rPr>
        <w:noProof/>
        <w:sz w:val="24"/>
        <w:szCs w:val="24"/>
      </w:rPr>
    </w:sdtEndPr>
    <w:sdtContent>
      <w:p w:rsidR="00562F78" w:rsidRPr="00562F78" w14:paraId="372FC0B3" w14:textId="7F681C0A">
        <w:pPr>
          <w:pStyle w:val="Footer"/>
          <w:jc w:val="center"/>
          <w:rPr>
            <w:sz w:val="24"/>
            <w:szCs w:val="24"/>
          </w:rPr>
        </w:pPr>
        <w:r w:rsidRPr="00562F78">
          <w:rPr>
            <w:sz w:val="24"/>
            <w:szCs w:val="24"/>
          </w:rPr>
          <w:fldChar w:fldCharType="begin"/>
        </w:r>
        <w:r w:rsidRPr="00562F78">
          <w:rPr>
            <w:sz w:val="24"/>
            <w:szCs w:val="24"/>
          </w:rPr>
          <w:instrText xml:space="preserve"> PAGE   \* MERGEFORMAT </w:instrText>
        </w:r>
        <w:r w:rsidRPr="00562F78">
          <w:rPr>
            <w:sz w:val="24"/>
            <w:szCs w:val="24"/>
          </w:rPr>
          <w:fldChar w:fldCharType="separate"/>
        </w:r>
        <w:r w:rsidRPr="00562F78">
          <w:rPr>
            <w:noProof/>
            <w:sz w:val="24"/>
            <w:szCs w:val="24"/>
          </w:rPr>
          <w:t>2</w:t>
        </w:r>
        <w:r w:rsidRPr="00562F78">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631" w:rsidRPr="00943631" w14:paraId="445C279B" w14:textId="35A6CE0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D66" w14:paraId="7EC1C288" w14:textId="77777777">
      <w:r>
        <w:separator/>
      </w:r>
    </w:p>
  </w:footnote>
  <w:footnote w:type="continuationSeparator" w:id="1">
    <w:p w:rsidR="00307D66" w14:paraId="3CAF2E47" w14:textId="77777777">
      <w:r>
        <w:continuationSeparator/>
      </w:r>
    </w:p>
  </w:footnote>
  <w:footnote w:id="2">
    <w:p w:rsidR="00306174" w:rsidRPr="00B45A61" w:rsidP="003503AA" w14:paraId="221A3DDF" w14:textId="77777777">
      <w:pPr>
        <w:pStyle w:val="FootnoteText"/>
        <w:spacing w:after="120"/>
      </w:pPr>
      <w:r>
        <w:rPr>
          <w:rStyle w:val="FootnoteReference"/>
        </w:rPr>
        <w:footnoteRef/>
      </w:r>
      <w:r>
        <w:t xml:space="preserve"> </w:t>
      </w:r>
      <w:r>
        <w:rPr>
          <w:i/>
          <w:iCs/>
        </w:rPr>
        <w:t xml:space="preserve">See </w:t>
      </w:r>
      <w:r>
        <w:t>Settlement.</w:t>
      </w:r>
    </w:p>
  </w:footnote>
  <w:footnote w:id="3">
    <w:p w:rsidR="00306174" w:rsidP="003503AA" w14:paraId="63C456EC" w14:textId="77777777">
      <w:pPr>
        <w:pStyle w:val="FootnoteText"/>
        <w:spacing w:after="120"/>
      </w:pPr>
      <w:r>
        <w:rPr>
          <w:rStyle w:val="FootnoteReference"/>
        </w:rPr>
        <w:footnoteRef/>
      </w:r>
      <w:r>
        <w:t xml:space="preserve"> </w:t>
      </w:r>
      <w:r w:rsidRPr="00B45A61">
        <w:rPr>
          <w:i/>
          <w:iCs/>
        </w:rPr>
        <w:t>Id</w:t>
      </w:r>
      <w:r>
        <w:t>.</w:t>
      </w:r>
    </w:p>
  </w:footnote>
  <w:footnote w:id="4">
    <w:p w:rsidR="00306174" w:rsidP="003503AA" w14:paraId="7E477D70" w14:textId="77777777">
      <w:pPr>
        <w:pStyle w:val="FootnoteText"/>
        <w:spacing w:after="120"/>
      </w:pPr>
      <w:r>
        <w:rPr>
          <w:rStyle w:val="FootnoteReference"/>
        </w:rPr>
        <w:footnoteRef/>
      </w:r>
      <w:r>
        <w:t xml:space="preserve"> </w:t>
      </w:r>
      <w:r w:rsidRPr="00B45A61">
        <w:rPr>
          <w:i/>
          <w:iCs/>
        </w:rPr>
        <w:t>Id</w:t>
      </w:r>
      <w:r>
        <w:t>.</w:t>
      </w:r>
    </w:p>
  </w:footnote>
  <w:footnote w:id="5">
    <w:p w:rsidR="00306174" w:rsidP="003503AA" w14:paraId="17A42C7F" w14:textId="77777777">
      <w:pPr>
        <w:pStyle w:val="FootnoteText"/>
        <w:spacing w:after="120"/>
      </w:pPr>
      <w:r>
        <w:rPr>
          <w:rStyle w:val="FootnoteReference"/>
        </w:rPr>
        <w:footnoteRef/>
      </w:r>
      <w:r>
        <w:t xml:space="preserve"> </w:t>
      </w:r>
      <w:r w:rsidRPr="00B45A61">
        <w:rPr>
          <w:i/>
          <w:iCs/>
        </w:rPr>
        <w:t>Id</w:t>
      </w:r>
      <w:r>
        <w:t>.</w:t>
      </w:r>
    </w:p>
  </w:footnote>
  <w:footnote w:id="6">
    <w:p w:rsidR="00306174" w:rsidP="003503AA" w14:paraId="104BD2E4" w14:textId="6B3DDCA5">
      <w:pPr>
        <w:pStyle w:val="FootnoteText"/>
        <w:spacing w:after="120"/>
      </w:pPr>
      <w:r>
        <w:rPr>
          <w:rStyle w:val="FootnoteReference"/>
        </w:rPr>
        <w:footnoteRef/>
      </w:r>
      <w:r>
        <w:t xml:space="preserve"> Initial Comments of Direct Energy Services, LLC </w:t>
      </w:r>
      <w:r w:rsidR="00202C25">
        <w:t>i</w:t>
      </w:r>
      <w:r>
        <w:t>n Support of the Joint Stipulation and Recommendation (July 12, 2023).</w:t>
      </w:r>
    </w:p>
  </w:footnote>
  <w:footnote w:id="7">
    <w:p w:rsidR="00306174" w:rsidP="003503AA" w14:paraId="47E624A2" w14:textId="77777777">
      <w:pPr>
        <w:pStyle w:val="FootnoteText"/>
        <w:spacing w:after="120"/>
      </w:pPr>
      <w:r>
        <w:rPr>
          <w:rStyle w:val="FootnoteReference"/>
        </w:rPr>
        <w:footnoteRef/>
      </w:r>
      <w:r>
        <w:t xml:space="preserve"> Case No. 18-382-GE-WVR, Entry (September 26, 2019).</w:t>
      </w:r>
    </w:p>
  </w:footnote>
  <w:footnote w:id="8">
    <w:p w:rsidR="00306174" w:rsidP="003503AA" w14:paraId="63183058" w14:textId="77777777">
      <w:pPr>
        <w:pStyle w:val="FootnoteText"/>
        <w:spacing w:after="120"/>
      </w:pPr>
      <w:r>
        <w:rPr>
          <w:rStyle w:val="FootnoteReference"/>
        </w:rPr>
        <w:footnoteRef/>
      </w:r>
      <w:r>
        <w:t xml:space="preserve"> </w:t>
      </w:r>
      <w:r w:rsidRPr="00B45A61">
        <w:rPr>
          <w:i/>
          <w:iCs/>
        </w:rPr>
        <w:t>Id</w:t>
      </w:r>
      <w:r>
        <w:t>.</w:t>
      </w:r>
    </w:p>
  </w:footnote>
  <w:footnote w:id="9">
    <w:p w:rsidR="00306174" w:rsidP="003503AA" w14:paraId="3203837A" w14:textId="77777777">
      <w:pPr>
        <w:pStyle w:val="FootnoteText"/>
        <w:spacing w:after="120"/>
      </w:pPr>
      <w:r>
        <w:rPr>
          <w:rStyle w:val="FootnoteReference"/>
        </w:rPr>
        <w:footnoteRef/>
      </w:r>
      <w:r>
        <w:t xml:space="preserve"> </w:t>
      </w:r>
      <w:r w:rsidRPr="00B45A61">
        <w:rPr>
          <w:i/>
          <w:iCs/>
        </w:rPr>
        <w:t>Id</w:t>
      </w:r>
      <w:r>
        <w:t>.</w:t>
      </w:r>
    </w:p>
  </w:footnote>
  <w:footnote w:id="10">
    <w:p w:rsidR="00306174" w:rsidRPr="00B45A61" w:rsidP="003503AA" w14:paraId="4BD79B30" w14:textId="661A7AE8">
      <w:pPr>
        <w:pStyle w:val="FootnoteText"/>
        <w:spacing w:after="120"/>
      </w:pPr>
      <w:r>
        <w:rPr>
          <w:rStyle w:val="FootnoteReference"/>
        </w:rPr>
        <w:footnoteRef/>
      </w:r>
      <w:r>
        <w:t xml:space="preserve"> </w:t>
      </w:r>
      <w:r>
        <w:rPr>
          <w:i/>
          <w:iCs/>
        </w:rPr>
        <w:t xml:space="preserve">See </w:t>
      </w:r>
      <w:r>
        <w:t>Settlement</w:t>
      </w:r>
      <w:r w:rsidR="00261982">
        <w:t>, Exhibit A</w:t>
      </w:r>
      <w:r>
        <w:t>.</w:t>
      </w:r>
    </w:p>
  </w:footnote>
  <w:footnote w:id="11">
    <w:p w:rsidR="00306174" w:rsidP="003503AA" w14:paraId="29695F4C" w14:textId="07DF6543">
      <w:pPr>
        <w:pStyle w:val="FootnoteText"/>
        <w:spacing w:after="120"/>
      </w:pPr>
      <w:r>
        <w:rPr>
          <w:rStyle w:val="FootnoteReference"/>
        </w:rPr>
        <w:footnoteRef/>
      </w:r>
      <w:r>
        <w:t xml:space="preserve"> </w:t>
      </w:r>
      <w:r w:rsidR="00DA022E">
        <w:rPr>
          <w:i/>
          <w:iCs/>
        </w:rPr>
        <w:t xml:space="preserve">See </w:t>
      </w:r>
      <w:r w:rsidR="00DA022E">
        <w:t>Settlement</w:t>
      </w:r>
      <w:r>
        <w:t>.</w:t>
      </w:r>
    </w:p>
  </w:footnote>
  <w:footnote w:id="12">
    <w:p w:rsidR="00306174" w:rsidP="003503AA" w14:paraId="4A79BECD" w14:textId="6D7C4EF0">
      <w:pPr>
        <w:pStyle w:val="FootnoteText"/>
        <w:spacing w:after="120"/>
      </w:pPr>
      <w:r>
        <w:rPr>
          <w:rStyle w:val="FootnoteReference"/>
        </w:rPr>
        <w:footnoteRef/>
      </w:r>
      <w:r>
        <w:t xml:space="preserve"> </w:t>
      </w:r>
      <w:r w:rsidRPr="00B45A61">
        <w:rPr>
          <w:i/>
          <w:iCs/>
        </w:rPr>
        <w:t>Id</w:t>
      </w:r>
      <w:r w:rsidR="00073421">
        <w:rPr>
          <w:i/>
          <w:iCs/>
        </w:rPr>
        <w:t>.</w:t>
      </w:r>
    </w:p>
  </w:footnote>
  <w:footnote w:id="13">
    <w:p w:rsidR="00DA022E" w:rsidRPr="00EA0E42" w:rsidP="003503AA" w14:paraId="404AA652" w14:textId="59EB86F2">
      <w:pPr>
        <w:pStyle w:val="FootnoteText"/>
        <w:spacing w:after="120"/>
        <w:rPr>
          <w:i/>
          <w:iCs/>
        </w:rPr>
      </w:pPr>
      <w:r>
        <w:rPr>
          <w:rStyle w:val="FootnoteReference"/>
        </w:rPr>
        <w:footnoteRef/>
      </w:r>
      <w:r>
        <w:t xml:space="preserve"> </w:t>
      </w:r>
      <w:r>
        <w:rPr>
          <w:i/>
          <w:iCs/>
        </w:rPr>
        <w:t xml:space="preserve">See </w:t>
      </w:r>
      <w:r w:rsidRPr="008E4E63">
        <w:rPr>
          <w:i/>
          <w:iCs/>
          <w:color w:val="000000" w:themeColor="text1"/>
        </w:rPr>
        <w:t>In the Matter of the Application of Inspire Energy Holdings, LLC for Waivers of Certain Provisions of Chapters 4901:1-21 and 4901:1-29, O.A.C., to Permit Third-Party Verification by Digital Confirmation</w:t>
      </w:r>
      <w:r>
        <w:rPr>
          <w:i/>
          <w:iCs/>
          <w:color w:val="000000" w:themeColor="text1"/>
        </w:rPr>
        <w:t xml:space="preserve">, </w:t>
      </w:r>
      <w:r w:rsidRPr="008E4E63">
        <w:rPr>
          <w:color w:val="000000" w:themeColor="text1"/>
        </w:rPr>
        <w:t>Case No. 22-29-GE-WVR, PUCO Staff’s Amended Comments (June 10, 2022), at 9</w:t>
      </w:r>
      <w:r>
        <w:rPr>
          <w:color w:val="000000" w:themeColor="text1"/>
        </w:rPr>
        <w:t xml:space="preserve"> (recommending against waiver)</w:t>
      </w:r>
      <w:r w:rsidR="00202C25">
        <w:rPr>
          <w:color w:val="000000" w:themeColor="text1"/>
        </w:rPr>
        <w:t>.</w:t>
      </w:r>
    </w:p>
  </w:footnote>
  <w:footnote w:id="14">
    <w:p w:rsidR="00306174" w:rsidP="003503AA" w14:paraId="3B99904C" w14:textId="203C666D">
      <w:pPr>
        <w:pStyle w:val="FootnoteText"/>
        <w:spacing w:after="120"/>
      </w:pPr>
      <w:r>
        <w:rPr>
          <w:rStyle w:val="FootnoteReference"/>
        </w:rPr>
        <w:footnoteRef/>
      </w:r>
      <w:r>
        <w:t xml:space="preserve"> </w:t>
      </w:r>
      <w:r w:rsidR="00DA022E">
        <w:rPr>
          <w:i/>
          <w:iCs/>
        </w:rPr>
        <w:t xml:space="preserve">See </w:t>
      </w:r>
      <w:r w:rsidR="00DA022E">
        <w:t>Settlement</w:t>
      </w:r>
      <w:r>
        <w:t>.</w:t>
      </w:r>
    </w:p>
  </w:footnote>
  <w:footnote w:id="15">
    <w:p w:rsidR="00306174" w:rsidRPr="001F6652" w:rsidP="003503AA" w14:paraId="0D417493" w14:textId="38081F63">
      <w:pPr>
        <w:pStyle w:val="FootnoteText"/>
        <w:spacing w:after="120"/>
        <w:rPr>
          <w:color w:val="000000" w:themeColor="text1"/>
        </w:rPr>
      </w:pPr>
      <w:r>
        <w:rPr>
          <w:rStyle w:val="FootnoteReference"/>
        </w:rPr>
        <w:footnoteRef/>
      </w:r>
      <w:r>
        <w:t xml:space="preserve"> </w:t>
      </w:r>
      <w:r w:rsidRPr="004B6EA5" w:rsidR="00DA022E">
        <w:rPr>
          <w:i/>
          <w:iCs/>
          <w:color w:val="000000" w:themeColor="text1"/>
        </w:rPr>
        <w:t>In the Matter of the Commission’s Consideration of a Settlement Agreement between Josco Energy USA, LLC and the Commission’s Staff</w:t>
      </w:r>
      <w:r w:rsidRPr="004B6EA5" w:rsidR="00DA022E">
        <w:rPr>
          <w:color w:val="000000" w:themeColor="text1"/>
        </w:rPr>
        <w:t xml:space="preserve">, </w:t>
      </w:r>
      <w:r w:rsidR="00DA022E">
        <w:rPr>
          <w:color w:val="000000" w:themeColor="text1"/>
        </w:rPr>
        <w:t xml:space="preserve">Case No. </w:t>
      </w:r>
      <w:r w:rsidRPr="004B6EA5" w:rsidR="00DA022E">
        <w:rPr>
          <w:color w:val="000000" w:themeColor="text1"/>
        </w:rPr>
        <w:t>22-170-GE-UNC, Finding and Order (May 18, 2022) at ¶</w:t>
      </w:r>
      <w:r w:rsidR="001F6652">
        <w:rPr>
          <w:color w:val="000000" w:themeColor="text1"/>
        </w:rPr>
        <w:t xml:space="preserve"> </w:t>
      </w:r>
      <w:r w:rsidRPr="004B6EA5" w:rsidR="00DA022E">
        <w:rPr>
          <w:color w:val="000000" w:themeColor="text1"/>
        </w:rPr>
        <w:t>5.</w:t>
      </w:r>
    </w:p>
  </w:footnote>
  <w:footnote w:id="16">
    <w:p w:rsidR="00DA022E" w:rsidRPr="00280D51" w:rsidP="003503AA" w14:paraId="2D2001F2" w14:textId="4E198E49">
      <w:pPr>
        <w:pStyle w:val="FootnoteText"/>
        <w:spacing w:after="120"/>
      </w:pPr>
      <w:r w:rsidRPr="004B6EA5">
        <w:rPr>
          <w:rStyle w:val="FootnoteReference"/>
        </w:rPr>
        <w:footnoteRef/>
      </w:r>
      <w:r w:rsidRPr="004B6EA5">
        <w:t xml:space="preserve"> </w:t>
      </w:r>
      <w:r w:rsidRPr="004B6EA5">
        <w:rPr>
          <w:i/>
          <w:iCs/>
        </w:rPr>
        <w:t>In the Matter of the Commission’s Investigation into Verde Energy USA Ohio, LLC’s Compliance with the Ohio Administrative Code and Potential Remedial Actions for Non-Compliance</w:t>
      </w:r>
      <w:r>
        <w:t xml:space="preserve">, Case No. 19-958-GE-COI, Opinion &amp; Order (February 26, 2020) at </w:t>
      </w:r>
      <w:r w:rsidRPr="004B6EA5">
        <w:rPr>
          <w:color w:val="000000" w:themeColor="text1"/>
        </w:rPr>
        <w:t>¶</w:t>
      </w:r>
      <w:r w:rsidR="00BD1D6B">
        <w:rPr>
          <w:color w:val="000000" w:themeColor="text1"/>
        </w:rPr>
        <w:t xml:space="preserve"> </w:t>
      </w:r>
      <w:r>
        <w:rPr>
          <w:color w:val="000000" w:themeColor="text1"/>
        </w:rPr>
        <w:t>68.</w:t>
      </w:r>
    </w:p>
  </w:footnote>
  <w:footnote w:id="17">
    <w:p w:rsidR="00306174" w:rsidP="003503AA" w14:paraId="2321F163" w14:textId="47388838">
      <w:pPr>
        <w:pStyle w:val="FootnoteText"/>
        <w:spacing w:after="120"/>
      </w:pPr>
      <w:r>
        <w:rPr>
          <w:rStyle w:val="FootnoteReference"/>
        </w:rPr>
        <w:footnoteRef/>
      </w:r>
      <w:r>
        <w:t xml:space="preserve"> </w:t>
      </w:r>
      <w:r w:rsidR="00DA022E">
        <w:rPr>
          <w:i/>
          <w:iCs/>
        </w:rPr>
        <w:t xml:space="preserve">See </w:t>
      </w:r>
      <w:r w:rsidR="00DA022E">
        <w:t>Settlement</w:t>
      </w:r>
      <w:r>
        <w:t>.</w:t>
      </w:r>
    </w:p>
  </w:footnote>
  <w:footnote w:id="18">
    <w:p w:rsidR="00DA022E" w:rsidP="003503AA" w14:paraId="3B58542E" w14:textId="1BA8E8AD">
      <w:pPr>
        <w:pStyle w:val="FootnoteText"/>
        <w:spacing w:after="120"/>
      </w:pPr>
      <w:r>
        <w:rPr>
          <w:rStyle w:val="FootnoteReference"/>
        </w:rPr>
        <w:footnoteRef/>
      </w:r>
      <w:r>
        <w:t xml:space="preserve"> </w:t>
      </w:r>
      <w:r>
        <w:rPr>
          <w:i/>
          <w:iCs/>
        </w:rPr>
        <w:t xml:space="preserve">See In the Matter of the Commission’s Investigation into SFE Energy Ohio, Inc. and Statewise Energy Ohio, LLC’s Compliance with the Ohio Revised Code and Ohio Administrative Code and Potential Remedial Action, </w:t>
      </w:r>
      <w:r>
        <w:t>Case No. 20-1216-GE-COI, Opinion and Order (December 21, 2020) at 8.</w:t>
      </w:r>
    </w:p>
  </w:footnote>
  <w:footnote w:id="19">
    <w:p w:rsidR="001C3640" w:rsidRPr="001C3640" w:rsidP="003503AA" w14:paraId="752F6C04" w14:textId="6610AE7B">
      <w:pPr>
        <w:pStyle w:val="FootnoteText"/>
        <w:spacing w:after="120"/>
      </w:pPr>
      <w:r>
        <w:rPr>
          <w:rStyle w:val="FootnoteReference"/>
        </w:rPr>
        <w:footnoteRef/>
      </w:r>
      <w:r>
        <w:t xml:space="preserve"> </w:t>
      </w:r>
      <w:r>
        <w:rPr>
          <w:i/>
          <w:iCs/>
        </w:rPr>
        <w:t xml:space="preserve">See </w:t>
      </w:r>
      <w:r>
        <w:t>Settlement, Exhibit A.</w:t>
      </w:r>
    </w:p>
  </w:footnote>
  <w:footnote w:id="20">
    <w:p w:rsidR="001C3640" w:rsidP="003503AA" w14:paraId="7BD1AD6B" w14:textId="1A07693F">
      <w:pPr>
        <w:pStyle w:val="FootnoteText"/>
        <w:spacing w:after="120"/>
      </w:pPr>
      <w:r>
        <w:rPr>
          <w:rStyle w:val="FootnoteReference"/>
        </w:rPr>
        <w:footnoteRef/>
      </w:r>
      <w:r>
        <w:t xml:space="preserve"> Initial Comments of Direct Energy Services, LLC In Support of the Joint Stipulation and Recommendation (July 12, 2023) at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BBA" w14:paraId="6E1627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BBA" w14:paraId="262E19A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BBA" w14:paraId="23B8D5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226E49"/>
    <w:multiLevelType w:val="hybridMultilevel"/>
    <w:tmpl w:val="232A80D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B373427"/>
    <w:multiLevelType w:val="hybridMultilevel"/>
    <w:tmpl w:val="50821DF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085FA3"/>
    <w:multiLevelType w:val="hybridMultilevel"/>
    <w:tmpl w:val="BE789CC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76233BC"/>
    <w:multiLevelType w:val="hybridMultilevel"/>
    <w:tmpl w:val="EE560094"/>
    <w:lvl w:ilvl="0">
      <w:start w:val="1"/>
      <w:numFmt w:val="decimal"/>
      <w:lvlText w:val="%1."/>
      <w:lvlJc w:val="left"/>
      <w:pPr>
        <w:ind w:left="1440" w:hanging="360"/>
      </w:pPr>
      <w:rPr>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FEB2EB0"/>
    <w:multiLevelType w:val="hybridMultilevel"/>
    <w:tmpl w:val="E216E582"/>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num>
  <w:num w:numId="3">
    <w:abstractNumId w:val="20"/>
  </w:num>
  <w:num w:numId="4">
    <w:abstractNumId w:val="19"/>
  </w:num>
  <w:num w:numId="5">
    <w:abstractNumId w:val="11"/>
  </w:num>
  <w:num w:numId="6">
    <w:abstractNumId w:val="25"/>
  </w:num>
  <w:num w:numId="7">
    <w:abstractNumId w:val="22"/>
  </w:num>
  <w:num w:numId="8">
    <w:abstractNumId w:val="26"/>
  </w:num>
  <w:num w:numId="9">
    <w:abstractNumId w:val="23"/>
  </w:num>
  <w:num w:numId="10">
    <w:abstractNumId w:val="18"/>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27"/>
  </w:num>
  <w:num w:numId="25">
    <w:abstractNumId w:val="24"/>
  </w:num>
  <w:num w:numId="26">
    <w:abstractNumId w:val="1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06165"/>
    <w:rsid w:val="00007687"/>
    <w:rsid w:val="00010B59"/>
    <w:rsid w:val="0001103E"/>
    <w:rsid w:val="0001128B"/>
    <w:rsid w:val="00024614"/>
    <w:rsid w:val="00025833"/>
    <w:rsid w:val="00027C64"/>
    <w:rsid w:val="00031D5A"/>
    <w:rsid w:val="00032949"/>
    <w:rsid w:val="00032DA0"/>
    <w:rsid w:val="0004130B"/>
    <w:rsid w:val="00042402"/>
    <w:rsid w:val="00053936"/>
    <w:rsid w:val="000637AC"/>
    <w:rsid w:val="0007139E"/>
    <w:rsid w:val="00073421"/>
    <w:rsid w:val="00077174"/>
    <w:rsid w:val="0008241A"/>
    <w:rsid w:val="00082F86"/>
    <w:rsid w:val="00094754"/>
    <w:rsid w:val="000954EB"/>
    <w:rsid w:val="00096109"/>
    <w:rsid w:val="00096BBA"/>
    <w:rsid w:val="000A1E61"/>
    <w:rsid w:val="000B1CB4"/>
    <w:rsid w:val="000B2735"/>
    <w:rsid w:val="000B565F"/>
    <w:rsid w:val="000C4C02"/>
    <w:rsid w:val="000C5C18"/>
    <w:rsid w:val="000D5DC2"/>
    <w:rsid w:val="000E0326"/>
    <w:rsid w:val="000E0AE1"/>
    <w:rsid w:val="000E0E31"/>
    <w:rsid w:val="000E28E8"/>
    <w:rsid w:val="000E55B1"/>
    <w:rsid w:val="000E6BBD"/>
    <w:rsid w:val="000F0633"/>
    <w:rsid w:val="000F7329"/>
    <w:rsid w:val="00101244"/>
    <w:rsid w:val="00104111"/>
    <w:rsid w:val="00112549"/>
    <w:rsid w:val="001133CC"/>
    <w:rsid w:val="001161B5"/>
    <w:rsid w:val="001179CC"/>
    <w:rsid w:val="00120D8D"/>
    <w:rsid w:val="00121A2E"/>
    <w:rsid w:val="001221B6"/>
    <w:rsid w:val="001232D9"/>
    <w:rsid w:val="00124D1C"/>
    <w:rsid w:val="00137BF3"/>
    <w:rsid w:val="0016048E"/>
    <w:rsid w:val="0018182B"/>
    <w:rsid w:val="00197C3D"/>
    <w:rsid w:val="001A073F"/>
    <w:rsid w:val="001A0C05"/>
    <w:rsid w:val="001A10D2"/>
    <w:rsid w:val="001B01F0"/>
    <w:rsid w:val="001B17ED"/>
    <w:rsid w:val="001C0724"/>
    <w:rsid w:val="001C3640"/>
    <w:rsid w:val="001C4904"/>
    <w:rsid w:val="001D52FC"/>
    <w:rsid w:val="001D535F"/>
    <w:rsid w:val="001E33AF"/>
    <w:rsid w:val="001E7837"/>
    <w:rsid w:val="001F5F3C"/>
    <w:rsid w:val="001F6652"/>
    <w:rsid w:val="001F73CA"/>
    <w:rsid w:val="00202C25"/>
    <w:rsid w:val="00203E7A"/>
    <w:rsid w:val="0020461B"/>
    <w:rsid w:val="00206E19"/>
    <w:rsid w:val="002177FA"/>
    <w:rsid w:val="00220822"/>
    <w:rsid w:val="00224A4F"/>
    <w:rsid w:val="00225924"/>
    <w:rsid w:val="00232377"/>
    <w:rsid w:val="002434B2"/>
    <w:rsid w:val="00244ED5"/>
    <w:rsid w:val="00254036"/>
    <w:rsid w:val="00261982"/>
    <w:rsid w:val="00262B52"/>
    <w:rsid w:val="002673F2"/>
    <w:rsid w:val="00275D11"/>
    <w:rsid w:val="00280D51"/>
    <w:rsid w:val="002A1D69"/>
    <w:rsid w:val="002A2A08"/>
    <w:rsid w:val="002A57A7"/>
    <w:rsid w:val="002A5E15"/>
    <w:rsid w:val="002B7E2B"/>
    <w:rsid w:val="002C431E"/>
    <w:rsid w:val="002E0376"/>
    <w:rsid w:val="002E1D26"/>
    <w:rsid w:val="002F0C0D"/>
    <w:rsid w:val="002F0D09"/>
    <w:rsid w:val="002F4A32"/>
    <w:rsid w:val="00300539"/>
    <w:rsid w:val="0030435B"/>
    <w:rsid w:val="003044B1"/>
    <w:rsid w:val="003056EB"/>
    <w:rsid w:val="00306174"/>
    <w:rsid w:val="00307D66"/>
    <w:rsid w:val="003108BB"/>
    <w:rsid w:val="0031477A"/>
    <w:rsid w:val="00325D1C"/>
    <w:rsid w:val="00326A10"/>
    <w:rsid w:val="00341930"/>
    <w:rsid w:val="003503AA"/>
    <w:rsid w:val="0035186B"/>
    <w:rsid w:val="00361D3E"/>
    <w:rsid w:val="00362518"/>
    <w:rsid w:val="00366501"/>
    <w:rsid w:val="003764D5"/>
    <w:rsid w:val="00382CF9"/>
    <w:rsid w:val="00384F51"/>
    <w:rsid w:val="003856FD"/>
    <w:rsid w:val="003A235F"/>
    <w:rsid w:val="003A2F1E"/>
    <w:rsid w:val="003A3655"/>
    <w:rsid w:val="003A4F34"/>
    <w:rsid w:val="003B5088"/>
    <w:rsid w:val="003C1E3B"/>
    <w:rsid w:val="003C5F17"/>
    <w:rsid w:val="003D06E1"/>
    <w:rsid w:val="003D58FD"/>
    <w:rsid w:val="003D64C5"/>
    <w:rsid w:val="003E1BBB"/>
    <w:rsid w:val="003E4519"/>
    <w:rsid w:val="003E5BC5"/>
    <w:rsid w:val="003E5D45"/>
    <w:rsid w:val="00431C8B"/>
    <w:rsid w:val="004347E5"/>
    <w:rsid w:val="00434DAB"/>
    <w:rsid w:val="00445EE2"/>
    <w:rsid w:val="00446E8B"/>
    <w:rsid w:val="004561A3"/>
    <w:rsid w:val="004664A0"/>
    <w:rsid w:val="00471D2C"/>
    <w:rsid w:val="00485A92"/>
    <w:rsid w:val="00486361"/>
    <w:rsid w:val="004A2AEA"/>
    <w:rsid w:val="004A3F72"/>
    <w:rsid w:val="004A6D3F"/>
    <w:rsid w:val="004A757B"/>
    <w:rsid w:val="004B20F5"/>
    <w:rsid w:val="004B6EA5"/>
    <w:rsid w:val="004D034F"/>
    <w:rsid w:val="004D0A73"/>
    <w:rsid w:val="004D5869"/>
    <w:rsid w:val="004E4001"/>
    <w:rsid w:val="004E4FE5"/>
    <w:rsid w:val="00512125"/>
    <w:rsid w:val="0051409B"/>
    <w:rsid w:val="00517BC7"/>
    <w:rsid w:val="00517CA3"/>
    <w:rsid w:val="005211B7"/>
    <w:rsid w:val="00524FD4"/>
    <w:rsid w:val="005321D9"/>
    <w:rsid w:val="00532502"/>
    <w:rsid w:val="00535351"/>
    <w:rsid w:val="00535C4D"/>
    <w:rsid w:val="0054458E"/>
    <w:rsid w:val="00555082"/>
    <w:rsid w:val="00562C23"/>
    <w:rsid w:val="00562F78"/>
    <w:rsid w:val="00564ECC"/>
    <w:rsid w:val="00566DB1"/>
    <w:rsid w:val="0057090F"/>
    <w:rsid w:val="005828C5"/>
    <w:rsid w:val="00583B06"/>
    <w:rsid w:val="00585170"/>
    <w:rsid w:val="00591EFB"/>
    <w:rsid w:val="00594356"/>
    <w:rsid w:val="00594A1E"/>
    <w:rsid w:val="005A7640"/>
    <w:rsid w:val="005B0250"/>
    <w:rsid w:val="005B2388"/>
    <w:rsid w:val="005C27C3"/>
    <w:rsid w:val="005C370A"/>
    <w:rsid w:val="005C49D4"/>
    <w:rsid w:val="005D08A4"/>
    <w:rsid w:val="005D1F26"/>
    <w:rsid w:val="005E60FC"/>
    <w:rsid w:val="005F12CD"/>
    <w:rsid w:val="005F7921"/>
    <w:rsid w:val="00605A93"/>
    <w:rsid w:val="00606168"/>
    <w:rsid w:val="00607F89"/>
    <w:rsid w:val="00610F07"/>
    <w:rsid w:val="006113C4"/>
    <w:rsid w:val="00613F3E"/>
    <w:rsid w:val="006227A7"/>
    <w:rsid w:val="006259FD"/>
    <w:rsid w:val="0062762F"/>
    <w:rsid w:val="00644057"/>
    <w:rsid w:val="006568FC"/>
    <w:rsid w:val="006611C6"/>
    <w:rsid w:val="006720BF"/>
    <w:rsid w:val="006818D8"/>
    <w:rsid w:val="00687B04"/>
    <w:rsid w:val="0069101B"/>
    <w:rsid w:val="00693299"/>
    <w:rsid w:val="0069447D"/>
    <w:rsid w:val="006947B3"/>
    <w:rsid w:val="006A6DF7"/>
    <w:rsid w:val="006B1257"/>
    <w:rsid w:val="006B3D30"/>
    <w:rsid w:val="006B6324"/>
    <w:rsid w:val="006B6461"/>
    <w:rsid w:val="006B65F3"/>
    <w:rsid w:val="006C1B77"/>
    <w:rsid w:val="006C3E37"/>
    <w:rsid w:val="006C4413"/>
    <w:rsid w:val="006C6603"/>
    <w:rsid w:val="006C6D5F"/>
    <w:rsid w:val="006D1915"/>
    <w:rsid w:val="006F4B02"/>
    <w:rsid w:val="007009B3"/>
    <w:rsid w:val="00721862"/>
    <w:rsid w:val="00722DD3"/>
    <w:rsid w:val="00735276"/>
    <w:rsid w:val="007369C8"/>
    <w:rsid w:val="007371F3"/>
    <w:rsid w:val="0075079C"/>
    <w:rsid w:val="007529B7"/>
    <w:rsid w:val="00753193"/>
    <w:rsid w:val="00754107"/>
    <w:rsid w:val="007613E8"/>
    <w:rsid w:val="0076216C"/>
    <w:rsid w:val="00762C8B"/>
    <w:rsid w:val="00763ACF"/>
    <w:rsid w:val="00767BFD"/>
    <w:rsid w:val="00770FBA"/>
    <w:rsid w:val="007727DB"/>
    <w:rsid w:val="007744C6"/>
    <w:rsid w:val="0077599C"/>
    <w:rsid w:val="00777568"/>
    <w:rsid w:val="00785CEC"/>
    <w:rsid w:val="0078755F"/>
    <w:rsid w:val="00791369"/>
    <w:rsid w:val="007974F8"/>
    <w:rsid w:val="007A34E9"/>
    <w:rsid w:val="007B0711"/>
    <w:rsid w:val="007B1491"/>
    <w:rsid w:val="007B55DE"/>
    <w:rsid w:val="007C11A8"/>
    <w:rsid w:val="007C1D25"/>
    <w:rsid w:val="007E2309"/>
    <w:rsid w:val="007E699A"/>
    <w:rsid w:val="007E6B07"/>
    <w:rsid w:val="007F0B05"/>
    <w:rsid w:val="007F1157"/>
    <w:rsid w:val="007F2BE5"/>
    <w:rsid w:val="007F5CA4"/>
    <w:rsid w:val="007F73A1"/>
    <w:rsid w:val="008102A3"/>
    <w:rsid w:val="00814BC0"/>
    <w:rsid w:val="00815079"/>
    <w:rsid w:val="00817035"/>
    <w:rsid w:val="008221EE"/>
    <w:rsid w:val="00825496"/>
    <w:rsid w:val="00827287"/>
    <w:rsid w:val="00844334"/>
    <w:rsid w:val="0084570A"/>
    <w:rsid w:val="0085271B"/>
    <w:rsid w:val="0085576C"/>
    <w:rsid w:val="008562D9"/>
    <w:rsid w:val="008658CE"/>
    <w:rsid w:val="00867177"/>
    <w:rsid w:val="00876080"/>
    <w:rsid w:val="00881AE1"/>
    <w:rsid w:val="00892793"/>
    <w:rsid w:val="00895776"/>
    <w:rsid w:val="008966FF"/>
    <w:rsid w:val="008A6D14"/>
    <w:rsid w:val="008B2315"/>
    <w:rsid w:val="008C3969"/>
    <w:rsid w:val="008D4814"/>
    <w:rsid w:val="008E4E63"/>
    <w:rsid w:val="008F1DDE"/>
    <w:rsid w:val="008F3D5C"/>
    <w:rsid w:val="008F7530"/>
    <w:rsid w:val="009005FE"/>
    <w:rsid w:val="00903EF9"/>
    <w:rsid w:val="0090577F"/>
    <w:rsid w:val="00915BA7"/>
    <w:rsid w:val="00915E0E"/>
    <w:rsid w:val="00916BAF"/>
    <w:rsid w:val="00917A6E"/>
    <w:rsid w:val="00920F61"/>
    <w:rsid w:val="009213C3"/>
    <w:rsid w:val="00921BEA"/>
    <w:rsid w:val="00942778"/>
    <w:rsid w:val="00943631"/>
    <w:rsid w:val="00954F23"/>
    <w:rsid w:val="009626AF"/>
    <w:rsid w:val="00964DA7"/>
    <w:rsid w:val="009663F7"/>
    <w:rsid w:val="009730E4"/>
    <w:rsid w:val="00985645"/>
    <w:rsid w:val="009875C3"/>
    <w:rsid w:val="0099500D"/>
    <w:rsid w:val="0099550D"/>
    <w:rsid w:val="00997AB3"/>
    <w:rsid w:val="009A3B33"/>
    <w:rsid w:val="009A4265"/>
    <w:rsid w:val="009B6724"/>
    <w:rsid w:val="009B7423"/>
    <w:rsid w:val="009C1E0C"/>
    <w:rsid w:val="009C2A91"/>
    <w:rsid w:val="009C6EA7"/>
    <w:rsid w:val="009D2763"/>
    <w:rsid w:val="009D5AFF"/>
    <w:rsid w:val="009D6788"/>
    <w:rsid w:val="009E2EF0"/>
    <w:rsid w:val="009E48DF"/>
    <w:rsid w:val="009F11C4"/>
    <w:rsid w:val="009F14BC"/>
    <w:rsid w:val="009F5033"/>
    <w:rsid w:val="009F5D6A"/>
    <w:rsid w:val="009F7064"/>
    <w:rsid w:val="00A05643"/>
    <w:rsid w:val="00A057D4"/>
    <w:rsid w:val="00A076C0"/>
    <w:rsid w:val="00A22FE8"/>
    <w:rsid w:val="00A3235E"/>
    <w:rsid w:val="00A34191"/>
    <w:rsid w:val="00A37646"/>
    <w:rsid w:val="00A51B0B"/>
    <w:rsid w:val="00A6060A"/>
    <w:rsid w:val="00A81003"/>
    <w:rsid w:val="00A81BEE"/>
    <w:rsid w:val="00A83132"/>
    <w:rsid w:val="00A8692F"/>
    <w:rsid w:val="00A96992"/>
    <w:rsid w:val="00AA14FD"/>
    <w:rsid w:val="00AA1654"/>
    <w:rsid w:val="00AB5460"/>
    <w:rsid w:val="00AB5B08"/>
    <w:rsid w:val="00AB7F8A"/>
    <w:rsid w:val="00AC4F77"/>
    <w:rsid w:val="00AC7371"/>
    <w:rsid w:val="00AD02BB"/>
    <w:rsid w:val="00AE1D72"/>
    <w:rsid w:val="00AE227B"/>
    <w:rsid w:val="00AE306B"/>
    <w:rsid w:val="00AF15DE"/>
    <w:rsid w:val="00AF3CCB"/>
    <w:rsid w:val="00B05638"/>
    <w:rsid w:val="00B07055"/>
    <w:rsid w:val="00B13B24"/>
    <w:rsid w:val="00B20DA8"/>
    <w:rsid w:val="00B25679"/>
    <w:rsid w:val="00B34637"/>
    <w:rsid w:val="00B4498F"/>
    <w:rsid w:val="00B45A61"/>
    <w:rsid w:val="00B51A30"/>
    <w:rsid w:val="00B52CA7"/>
    <w:rsid w:val="00B608F4"/>
    <w:rsid w:val="00B65BF1"/>
    <w:rsid w:val="00B72C0B"/>
    <w:rsid w:val="00B7356F"/>
    <w:rsid w:val="00B8069F"/>
    <w:rsid w:val="00B8129F"/>
    <w:rsid w:val="00B93177"/>
    <w:rsid w:val="00BB0F44"/>
    <w:rsid w:val="00BB4E2B"/>
    <w:rsid w:val="00BB582F"/>
    <w:rsid w:val="00BC25D6"/>
    <w:rsid w:val="00BD1D6B"/>
    <w:rsid w:val="00BD48C1"/>
    <w:rsid w:val="00BE04D4"/>
    <w:rsid w:val="00BE650F"/>
    <w:rsid w:val="00BF0EB2"/>
    <w:rsid w:val="00BF7CB4"/>
    <w:rsid w:val="00C16468"/>
    <w:rsid w:val="00C16470"/>
    <w:rsid w:val="00C2766A"/>
    <w:rsid w:val="00C306DF"/>
    <w:rsid w:val="00C34FD5"/>
    <w:rsid w:val="00C355AA"/>
    <w:rsid w:val="00C3731E"/>
    <w:rsid w:val="00C43CA2"/>
    <w:rsid w:val="00C44644"/>
    <w:rsid w:val="00C559F5"/>
    <w:rsid w:val="00C55D23"/>
    <w:rsid w:val="00C6655A"/>
    <w:rsid w:val="00C66EF5"/>
    <w:rsid w:val="00C768C7"/>
    <w:rsid w:val="00C77822"/>
    <w:rsid w:val="00C800CA"/>
    <w:rsid w:val="00C85653"/>
    <w:rsid w:val="00C96DF2"/>
    <w:rsid w:val="00CA0188"/>
    <w:rsid w:val="00CA2E2F"/>
    <w:rsid w:val="00CA35A1"/>
    <w:rsid w:val="00CA37C5"/>
    <w:rsid w:val="00CA4472"/>
    <w:rsid w:val="00CA669E"/>
    <w:rsid w:val="00CB613E"/>
    <w:rsid w:val="00CB64C6"/>
    <w:rsid w:val="00CD3C1D"/>
    <w:rsid w:val="00CD6248"/>
    <w:rsid w:val="00CE2969"/>
    <w:rsid w:val="00CF1EFC"/>
    <w:rsid w:val="00D01424"/>
    <w:rsid w:val="00D032B4"/>
    <w:rsid w:val="00D045E7"/>
    <w:rsid w:val="00D04759"/>
    <w:rsid w:val="00D055FC"/>
    <w:rsid w:val="00D05D46"/>
    <w:rsid w:val="00D13E4A"/>
    <w:rsid w:val="00D149D3"/>
    <w:rsid w:val="00D15376"/>
    <w:rsid w:val="00D215D2"/>
    <w:rsid w:val="00D2773C"/>
    <w:rsid w:val="00D31887"/>
    <w:rsid w:val="00D33226"/>
    <w:rsid w:val="00D35CE2"/>
    <w:rsid w:val="00D421A0"/>
    <w:rsid w:val="00D4409D"/>
    <w:rsid w:val="00D466A8"/>
    <w:rsid w:val="00D500DA"/>
    <w:rsid w:val="00D55B8A"/>
    <w:rsid w:val="00D62A82"/>
    <w:rsid w:val="00D67232"/>
    <w:rsid w:val="00D70870"/>
    <w:rsid w:val="00D81F4E"/>
    <w:rsid w:val="00D90781"/>
    <w:rsid w:val="00D943FE"/>
    <w:rsid w:val="00DA022E"/>
    <w:rsid w:val="00DA359B"/>
    <w:rsid w:val="00DB1F71"/>
    <w:rsid w:val="00DC6A55"/>
    <w:rsid w:val="00DD4DDF"/>
    <w:rsid w:val="00DD5028"/>
    <w:rsid w:val="00DE46DA"/>
    <w:rsid w:val="00DF4EDA"/>
    <w:rsid w:val="00E02A22"/>
    <w:rsid w:val="00E02B6E"/>
    <w:rsid w:val="00E0447F"/>
    <w:rsid w:val="00E04518"/>
    <w:rsid w:val="00E04F2C"/>
    <w:rsid w:val="00E06719"/>
    <w:rsid w:val="00E10C28"/>
    <w:rsid w:val="00E15626"/>
    <w:rsid w:val="00E15628"/>
    <w:rsid w:val="00E17744"/>
    <w:rsid w:val="00E276B3"/>
    <w:rsid w:val="00E40CA9"/>
    <w:rsid w:val="00E460BA"/>
    <w:rsid w:val="00E46DB6"/>
    <w:rsid w:val="00E51266"/>
    <w:rsid w:val="00E51E82"/>
    <w:rsid w:val="00E54A05"/>
    <w:rsid w:val="00E66042"/>
    <w:rsid w:val="00E8476B"/>
    <w:rsid w:val="00E86CE0"/>
    <w:rsid w:val="00E93EDA"/>
    <w:rsid w:val="00E94851"/>
    <w:rsid w:val="00E95A13"/>
    <w:rsid w:val="00E96311"/>
    <w:rsid w:val="00E975AC"/>
    <w:rsid w:val="00EA0E42"/>
    <w:rsid w:val="00EA1791"/>
    <w:rsid w:val="00EA3E20"/>
    <w:rsid w:val="00EB3ED1"/>
    <w:rsid w:val="00EB4645"/>
    <w:rsid w:val="00EB5E4C"/>
    <w:rsid w:val="00EC58ED"/>
    <w:rsid w:val="00ED13DE"/>
    <w:rsid w:val="00ED41FE"/>
    <w:rsid w:val="00ED7B62"/>
    <w:rsid w:val="00EE10A0"/>
    <w:rsid w:val="00EE471A"/>
    <w:rsid w:val="00EF23FE"/>
    <w:rsid w:val="00EF5955"/>
    <w:rsid w:val="00EF7DB2"/>
    <w:rsid w:val="00F00582"/>
    <w:rsid w:val="00F0065E"/>
    <w:rsid w:val="00F01E13"/>
    <w:rsid w:val="00F02C9A"/>
    <w:rsid w:val="00F10D13"/>
    <w:rsid w:val="00F13BA9"/>
    <w:rsid w:val="00F15F5C"/>
    <w:rsid w:val="00F17826"/>
    <w:rsid w:val="00F20CA6"/>
    <w:rsid w:val="00F211FD"/>
    <w:rsid w:val="00F25B74"/>
    <w:rsid w:val="00F322DF"/>
    <w:rsid w:val="00F36FD9"/>
    <w:rsid w:val="00F43817"/>
    <w:rsid w:val="00F50D5E"/>
    <w:rsid w:val="00F55683"/>
    <w:rsid w:val="00F657CC"/>
    <w:rsid w:val="00F7444B"/>
    <w:rsid w:val="00F76094"/>
    <w:rsid w:val="00F82660"/>
    <w:rsid w:val="00F8522E"/>
    <w:rsid w:val="00F90686"/>
    <w:rsid w:val="00F9095C"/>
    <w:rsid w:val="00F92058"/>
    <w:rsid w:val="00F9782B"/>
    <w:rsid w:val="00FA0304"/>
    <w:rsid w:val="00FA07E8"/>
    <w:rsid w:val="00FA3655"/>
    <w:rsid w:val="00FA39AA"/>
    <w:rsid w:val="00FA3AFE"/>
    <w:rsid w:val="00FA58F9"/>
    <w:rsid w:val="00FA7E49"/>
    <w:rsid w:val="00FB1592"/>
    <w:rsid w:val="00FB1E99"/>
    <w:rsid w:val="00FB3E40"/>
    <w:rsid w:val="00FB57AC"/>
    <w:rsid w:val="00FD51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0C3747"/>
  <w15:chartTrackingRefBased/>
  <w15:docId w15:val="{814A02B4-0263-4641-8042-7101283C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6A6DF7"/>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9D6788"/>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paragraph" w:styleId="NormalWeb">
    <w:name w:val="Normal (Web)"/>
    <w:basedOn w:val="Normal"/>
    <w:uiPriority w:val="99"/>
    <w:unhideWhenUsed/>
    <w:rsid w:val="00DA022E"/>
    <w:pPr>
      <w:spacing w:before="100" w:beforeAutospacing="1" w:after="100" w:afterAutospacing="1"/>
    </w:pPr>
    <w:rPr>
      <w:szCs w:val="24"/>
    </w:rPr>
  </w:style>
  <w:style w:type="character" w:customStyle="1" w:styleId="apple-converted-space">
    <w:name w:val="apple-converted-space"/>
    <w:basedOn w:val="DefaultParagraphFont"/>
    <w:rsid w:val="00DA022E"/>
  </w:style>
  <w:style w:type="character" w:customStyle="1" w:styleId="sssh">
    <w:name w:val="ss_sh"/>
    <w:basedOn w:val="DefaultParagraphFont"/>
    <w:rsid w:val="00DA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jsettineri@vorys.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jesse.davis@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2023-07-26T19:14:57Z</dcterms:created>
  <dcterms:modified xsi:type="dcterms:W3CDTF">2023-07-26T19:14:57Z</dcterms:modified>
</cp:coreProperties>
</file>