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276E65" w:rsidP="006F1EA1" w14:paraId="6046AECF" w14:textId="77777777">
      <w:pPr>
        <w:pStyle w:val="HTMLPreformatted"/>
        <w:jc w:val="center"/>
        <w:rPr>
          <w:rFonts w:ascii="Times New Roman" w:hAnsi="Times New Roman" w:cs="Times New Roman"/>
          <w:b/>
          <w:bCs/>
          <w:sz w:val="24"/>
          <w:szCs w:val="24"/>
        </w:rPr>
      </w:pPr>
      <w:bookmarkStart w:id="0" w:name="_Toc512326203"/>
      <w:r w:rsidRPr="00276E65">
        <w:rPr>
          <w:rFonts w:ascii="Times New Roman" w:hAnsi="Times New Roman" w:cs="Times New Roman"/>
          <w:b/>
          <w:bCs/>
          <w:sz w:val="24"/>
          <w:szCs w:val="24"/>
        </w:rPr>
        <w:t>BEFORE</w:t>
      </w:r>
    </w:p>
    <w:p w:rsidR="006F1EA1" w:rsidRPr="00276E65" w:rsidP="006F1EA1" w14:paraId="12AD253A" w14:textId="791270C9">
      <w:pPr>
        <w:pStyle w:val="HTMLPreformatted"/>
        <w:jc w:val="center"/>
        <w:rPr>
          <w:rFonts w:ascii="Times New Roman" w:hAnsi="Times New Roman" w:cs="Times New Roman"/>
          <w:b/>
          <w:bCs/>
          <w:sz w:val="24"/>
          <w:szCs w:val="24"/>
        </w:rPr>
      </w:pPr>
      <w:r w:rsidRPr="00276E65">
        <w:rPr>
          <w:rFonts w:ascii="Times New Roman" w:hAnsi="Times New Roman" w:cs="Times New Roman"/>
          <w:b/>
          <w:bCs/>
          <w:sz w:val="24"/>
          <w:szCs w:val="24"/>
        </w:rPr>
        <w:t>THE PUBLIC UTILITIES COMMISSION OF OHIO</w:t>
      </w:r>
    </w:p>
    <w:p w:rsidR="00F901AD" w:rsidRPr="00276E65" w:rsidP="006F1EA1" w14:paraId="537DC9D3" w14:textId="1BB498C5">
      <w:pPr>
        <w:pStyle w:val="HTMLPreformatted"/>
        <w:jc w:val="center"/>
        <w:rPr>
          <w:rFonts w:ascii="Times New Roman" w:hAnsi="Times New Roman" w:cs="Times New Roman"/>
          <w:b/>
          <w:bCs/>
          <w:sz w:val="24"/>
          <w:szCs w:val="24"/>
        </w:rPr>
      </w:pPr>
    </w:p>
    <w:tbl>
      <w:tblPr>
        <w:tblW w:w="8838" w:type="dxa"/>
        <w:tblInd w:w="-108" w:type="dxa"/>
        <w:tblLook w:val="01E0"/>
      </w:tblPr>
      <w:tblGrid>
        <w:gridCol w:w="4237"/>
        <w:gridCol w:w="296"/>
        <w:gridCol w:w="4305"/>
      </w:tblGrid>
      <w:tr w14:paraId="30A9B0A0" w14:textId="77777777" w:rsidTr="00637F42">
        <w:tblPrEx>
          <w:tblW w:w="8838" w:type="dxa"/>
          <w:tblInd w:w="-108" w:type="dxa"/>
          <w:tblLook w:val="01E0"/>
        </w:tblPrEx>
        <w:trPr>
          <w:trHeight w:val="807"/>
        </w:trPr>
        <w:tc>
          <w:tcPr>
            <w:tcW w:w="4237" w:type="dxa"/>
            <w:shd w:val="clear" w:color="auto" w:fill="auto"/>
          </w:tcPr>
          <w:p w:rsidR="00AE4CF9" w:rsidRPr="00276E65" w:rsidP="00E77E54" w14:paraId="6D2354D5" w14:textId="77777777">
            <w:pPr>
              <w:autoSpaceDE w:val="0"/>
              <w:autoSpaceDN w:val="0"/>
              <w:adjustRightInd w:val="0"/>
              <w:rPr>
                <w:szCs w:val="24"/>
              </w:rPr>
            </w:pPr>
            <w:r w:rsidRPr="00276E65">
              <w:rPr>
                <w:szCs w:val="24"/>
              </w:rPr>
              <w:t xml:space="preserve">In the Matter of the 2020 Review of The Delivery Capital Recovery Rider of Ohio Edison Company, The Cleveland Electric Illuminating Company, and The Toledo Edison Company. </w:t>
            </w:r>
          </w:p>
        </w:tc>
        <w:tc>
          <w:tcPr>
            <w:tcW w:w="296" w:type="dxa"/>
            <w:shd w:val="clear" w:color="auto" w:fill="auto"/>
          </w:tcPr>
          <w:p w:rsidR="00AE4CF9" w:rsidRPr="00276E65" w:rsidP="00E77E54" w14:paraId="7F7A56B4" w14:textId="77777777">
            <w:pPr>
              <w:pStyle w:val="HTMLPreformatted"/>
              <w:jc w:val="center"/>
              <w:rPr>
                <w:rFonts w:ascii="Times New Roman" w:hAnsi="Times New Roman" w:cs="Times New Roman"/>
                <w:sz w:val="24"/>
                <w:szCs w:val="24"/>
              </w:rPr>
            </w:pPr>
            <w:r w:rsidRPr="00276E65">
              <w:rPr>
                <w:rFonts w:ascii="Times New Roman" w:hAnsi="Times New Roman" w:cs="Times New Roman"/>
                <w:sz w:val="24"/>
                <w:szCs w:val="24"/>
              </w:rPr>
              <w:t>)</w:t>
            </w:r>
          </w:p>
          <w:p w:rsidR="00AE4CF9" w:rsidRPr="00276E65" w:rsidP="00E77E54" w14:paraId="135D23D1" w14:textId="77777777">
            <w:pPr>
              <w:pStyle w:val="HTMLPreformatted"/>
              <w:jc w:val="center"/>
              <w:rPr>
                <w:rFonts w:ascii="Times New Roman" w:hAnsi="Times New Roman" w:cs="Times New Roman"/>
                <w:sz w:val="24"/>
                <w:szCs w:val="24"/>
              </w:rPr>
            </w:pPr>
            <w:r w:rsidRPr="00276E65">
              <w:rPr>
                <w:rFonts w:ascii="Times New Roman" w:hAnsi="Times New Roman" w:cs="Times New Roman"/>
                <w:sz w:val="24"/>
                <w:szCs w:val="24"/>
              </w:rPr>
              <w:t>)</w:t>
            </w:r>
          </w:p>
          <w:p w:rsidR="00AE4CF9" w:rsidRPr="00276E65" w:rsidP="00E77E54" w14:paraId="7733B61B" w14:textId="77777777">
            <w:pPr>
              <w:pStyle w:val="HTMLPreformatted"/>
              <w:jc w:val="center"/>
              <w:rPr>
                <w:rFonts w:ascii="Times New Roman" w:hAnsi="Times New Roman" w:cs="Times New Roman"/>
                <w:sz w:val="24"/>
                <w:szCs w:val="24"/>
              </w:rPr>
            </w:pPr>
            <w:r w:rsidRPr="00276E65">
              <w:rPr>
                <w:rFonts w:ascii="Times New Roman" w:hAnsi="Times New Roman" w:cs="Times New Roman"/>
                <w:sz w:val="24"/>
                <w:szCs w:val="24"/>
              </w:rPr>
              <w:t>)</w:t>
            </w:r>
          </w:p>
          <w:p w:rsidR="00AE4CF9" w:rsidRPr="00276E65" w:rsidP="00E77E54" w14:paraId="15DE17F5" w14:textId="77777777">
            <w:pPr>
              <w:pStyle w:val="HTMLPreformatted"/>
              <w:jc w:val="center"/>
              <w:rPr>
                <w:rFonts w:ascii="Times New Roman" w:hAnsi="Times New Roman" w:cs="Times New Roman"/>
                <w:sz w:val="24"/>
                <w:szCs w:val="24"/>
              </w:rPr>
            </w:pPr>
            <w:r w:rsidRPr="00276E65">
              <w:rPr>
                <w:rFonts w:ascii="Times New Roman" w:hAnsi="Times New Roman" w:cs="Times New Roman"/>
                <w:sz w:val="24"/>
                <w:szCs w:val="24"/>
              </w:rPr>
              <w:t>)</w:t>
            </w:r>
          </w:p>
          <w:p w:rsidR="00AE4CF9" w:rsidRPr="00276E65" w:rsidP="00E77E54" w14:paraId="66FA997F" w14:textId="77777777">
            <w:pPr>
              <w:pStyle w:val="HTMLPreformatted"/>
              <w:jc w:val="center"/>
              <w:rPr>
                <w:rFonts w:ascii="Times New Roman" w:hAnsi="Times New Roman" w:cs="Times New Roman"/>
                <w:sz w:val="24"/>
                <w:szCs w:val="24"/>
              </w:rPr>
            </w:pPr>
            <w:r w:rsidRPr="00276E65">
              <w:rPr>
                <w:rFonts w:ascii="Times New Roman" w:hAnsi="Times New Roman" w:cs="Times New Roman"/>
                <w:sz w:val="24"/>
                <w:szCs w:val="24"/>
              </w:rPr>
              <w:t>)</w:t>
            </w:r>
          </w:p>
          <w:p w:rsidR="00637F42" w:rsidRPr="00276E65" w:rsidP="00E77E54" w14:paraId="0449C615" w14:textId="6DF18EA7">
            <w:pPr>
              <w:pStyle w:val="HTMLPreformatted"/>
              <w:jc w:val="center"/>
              <w:rPr>
                <w:rFonts w:ascii="Times New Roman" w:hAnsi="Times New Roman" w:cs="Times New Roman"/>
                <w:sz w:val="24"/>
                <w:szCs w:val="24"/>
              </w:rPr>
            </w:pPr>
          </w:p>
        </w:tc>
        <w:tc>
          <w:tcPr>
            <w:tcW w:w="4305" w:type="dxa"/>
            <w:shd w:val="clear" w:color="auto" w:fill="auto"/>
          </w:tcPr>
          <w:p w:rsidR="00AE4CF9" w:rsidRPr="00276E65" w:rsidP="00E77E54" w14:paraId="1D40D053" w14:textId="77777777">
            <w:pPr>
              <w:pStyle w:val="HTMLPreformatted"/>
              <w:rPr>
                <w:rFonts w:ascii="Times New Roman" w:hAnsi="Times New Roman" w:cs="Times New Roman"/>
                <w:sz w:val="24"/>
                <w:szCs w:val="24"/>
              </w:rPr>
            </w:pPr>
          </w:p>
          <w:p w:rsidR="00AE4CF9" w:rsidRPr="00276E65" w:rsidP="00E77E54" w14:paraId="5A84B892" w14:textId="77777777">
            <w:pPr>
              <w:pStyle w:val="HTMLPreformatted"/>
              <w:rPr>
                <w:rFonts w:ascii="Times New Roman" w:hAnsi="Times New Roman" w:cs="Times New Roman"/>
                <w:sz w:val="24"/>
                <w:szCs w:val="24"/>
              </w:rPr>
            </w:pPr>
            <w:r w:rsidRPr="00276E65">
              <w:rPr>
                <w:rFonts w:ascii="Times New Roman" w:hAnsi="Times New Roman" w:cs="Times New Roman"/>
                <w:sz w:val="24"/>
                <w:szCs w:val="24"/>
              </w:rPr>
              <w:t>Case No. 20-1629-EL-RDR</w:t>
            </w:r>
          </w:p>
        </w:tc>
      </w:tr>
    </w:tbl>
    <w:p w:rsidR="006F1EA1" w:rsidRPr="00276E65" w:rsidP="006F1EA1" w14:paraId="12749314" w14:textId="77777777">
      <w:pPr>
        <w:pStyle w:val="HTMLPreformatted"/>
        <w:pBdr>
          <w:top w:val="single" w:sz="12" w:space="1" w:color="auto"/>
        </w:pBdr>
        <w:rPr>
          <w:rFonts w:ascii="Times New Roman" w:hAnsi="Times New Roman" w:cs="Times New Roman"/>
          <w:sz w:val="24"/>
          <w:szCs w:val="24"/>
        </w:rPr>
      </w:pPr>
    </w:p>
    <w:p w:rsidR="006F1EA1" w:rsidRPr="00276E65" w:rsidP="006F1EA1" w14:paraId="1D3B2176" w14:textId="20780BB5">
      <w:pPr>
        <w:jc w:val="center"/>
        <w:rPr>
          <w:b/>
          <w:bCs/>
          <w:szCs w:val="24"/>
        </w:rPr>
      </w:pPr>
      <w:r w:rsidRPr="00276E65">
        <w:rPr>
          <w:b/>
          <w:bCs/>
          <w:szCs w:val="24"/>
        </w:rPr>
        <w:t xml:space="preserve">CONSUMER PROTECTION </w:t>
      </w:r>
      <w:r w:rsidRPr="00276E65" w:rsidR="00534D33">
        <w:rPr>
          <w:b/>
          <w:bCs/>
          <w:szCs w:val="24"/>
        </w:rPr>
        <w:t xml:space="preserve">REPLY </w:t>
      </w:r>
      <w:r w:rsidRPr="00276E65">
        <w:rPr>
          <w:b/>
          <w:bCs/>
          <w:szCs w:val="24"/>
        </w:rPr>
        <w:t>COMMENTS REGARDING FIRSTENERGY</w:t>
      </w:r>
      <w:r w:rsidRPr="00276E65" w:rsidR="008527DE">
        <w:rPr>
          <w:b/>
          <w:bCs/>
          <w:szCs w:val="24"/>
        </w:rPr>
        <w:t xml:space="preserve"> UTILITIES’</w:t>
      </w:r>
      <w:r w:rsidRPr="00276E65">
        <w:rPr>
          <w:b/>
          <w:bCs/>
          <w:szCs w:val="24"/>
        </w:rPr>
        <w:t xml:space="preserve"> CHARGES TO CONSUMERS UNDER THE DELIVERY CAPITAL RECOVERY RIDER</w:t>
      </w:r>
    </w:p>
    <w:p w:rsidR="006F1EA1" w:rsidRPr="00276E65" w:rsidP="006F1EA1" w14:paraId="007F7261" w14:textId="77777777">
      <w:pPr>
        <w:jc w:val="center"/>
        <w:rPr>
          <w:b/>
          <w:bCs/>
          <w:szCs w:val="24"/>
        </w:rPr>
      </w:pPr>
      <w:r w:rsidRPr="00276E65">
        <w:rPr>
          <w:b/>
          <w:bCs/>
          <w:szCs w:val="24"/>
        </w:rPr>
        <w:t>BY</w:t>
      </w:r>
    </w:p>
    <w:p w:rsidR="006F1EA1" w:rsidRPr="00276E65" w:rsidP="006F1EA1" w14:paraId="3453A3CB" w14:textId="36DF8EA7">
      <w:pPr>
        <w:jc w:val="center"/>
        <w:rPr>
          <w:b/>
          <w:bCs/>
          <w:szCs w:val="24"/>
        </w:rPr>
      </w:pPr>
      <w:r w:rsidRPr="00276E65">
        <w:rPr>
          <w:b/>
          <w:bCs/>
          <w:szCs w:val="24"/>
        </w:rPr>
        <w:t>OFFICE OF THE OHIO CONSUMERS’ COUNSEL</w:t>
      </w:r>
    </w:p>
    <w:p w:rsidR="006F1EA1" w:rsidRPr="00276E65" w:rsidP="006F1EA1" w14:paraId="07BF7133" w14:textId="77777777">
      <w:pPr>
        <w:pBdr>
          <w:bottom w:val="single" w:sz="12" w:space="1" w:color="auto"/>
        </w:pBdr>
        <w:tabs>
          <w:tab w:val="left" w:pos="4320"/>
        </w:tabs>
        <w:rPr>
          <w:szCs w:val="24"/>
        </w:rPr>
      </w:pPr>
    </w:p>
    <w:p w:rsidR="006F1EA1" w:rsidRPr="00276E65" w:rsidP="004165E7" w14:paraId="33FC796A" w14:textId="16167F19">
      <w:pPr>
        <w:pStyle w:val="Heading1"/>
        <w:rPr>
          <w:rFonts w:ascii="Times New Roman" w:hAnsi="Times New Roman"/>
        </w:rPr>
      </w:pPr>
      <w:bookmarkStart w:id="1" w:name="_Hlk7793395"/>
      <w:r w:rsidRPr="00276E65">
        <w:rPr>
          <w:rFonts w:ascii="Times New Roman" w:hAnsi="Times New Roman"/>
        </w:rPr>
        <w:t>I.</w:t>
      </w:r>
      <w:r w:rsidRPr="00276E65">
        <w:rPr>
          <w:rFonts w:ascii="Times New Roman" w:hAnsi="Times New Roman"/>
        </w:rPr>
        <w:tab/>
        <w:t>INTRODUCTION</w:t>
      </w:r>
      <w:bookmarkEnd w:id="0"/>
    </w:p>
    <w:bookmarkEnd w:id="1"/>
    <w:p w:rsidR="001B6487" w:rsidRPr="00276E65" w:rsidP="006C7EAA" w14:paraId="3A142211" w14:textId="3B02B5AC">
      <w:pPr>
        <w:spacing w:line="480" w:lineRule="auto"/>
        <w:ind w:firstLine="720"/>
        <w:rPr>
          <w:szCs w:val="24"/>
        </w:rPr>
      </w:pPr>
      <w:r w:rsidRPr="00276E65">
        <w:rPr>
          <w:szCs w:val="24"/>
        </w:rPr>
        <w:t xml:space="preserve">The Office of the Ohio Consumers’ Counsel (“OCC”) </w:t>
      </w:r>
      <w:r w:rsidRPr="00276E65" w:rsidR="00F901AD">
        <w:rPr>
          <w:szCs w:val="24"/>
        </w:rPr>
        <w:t xml:space="preserve">supports the comments and recommendations filed by The Ohio Cable Telecommunications Association, The Ohio Hospital Association, and The Ohio Manufacturer’s Association Energy Group on October 4, 2021.  </w:t>
      </w:r>
      <w:r w:rsidRPr="00276E65">
        <w:rPr>
          <w:szCs w:val="24"/>
        </w:rPr>
        <w:t>To protect consumers, i</w:t>
      </w:r>
      <w:r w:rsidRPr="00276E65" w:rsidR="00F901AD">
        <w:rPr>
          <w:szCs w:val="24"/>
        </w:rPr>
        <w:t xml:space="preserve">t is clear </w:t>
      </w:r>
      <w:r w:rsidRPr="00276E65" w:rsidR="0071278E">
        <w:rPr>
          <w:szCs w:val="24"/>
        </w:rPr>
        <w:t xml:space="preserve">from </w:t>
      </w:r>
      <w:r w:rsidRPr="00276E65">
        <w:rPr>
          <w:szCs w:val="24"/>
        </w:rPr>
        <w:t>parties’</w:t>
      </w:r>
      <w:r w:rsidRPr="00276E65" w:rsidR="0071278E">
        <w:rPr>
          <w:szCs w:val="24"/>
        </w:rPr>
        <w:t xml:space="preserve"> comments</w:t>
      </w:r>
      <w:r w:rsidRPr="00276E65">
        <w:rPr>
          <w:szCs w:val="24"/>
        </w:rPr>
        <w:t xml:space="preserve"> and</w:t>
      </w:r>
      <w:r w:rsidRPr="00276E65" w:rsidR="0071278E">
        <w:rPr>
          <w:szCs w:val="24"/>
        </w:rPr>
        <w:t xml:space="preserve"> the Audit Report </w:t>
      </w:r>
      <w:r w:rsidRPr="00276E65" w:rsidR="00F901AD">
        <w:rPr>
          <w:szCs w:val="24"/>
        </w:rPr>
        <w:t xml:space="preserve">that the </w:t>
      </w:r>
      <w:r w:rsidRPr="00276E65">
        <w:rPr>
          <w:szCs w:val="24"/>
        </w:rPr>
        <w:t>Public Utilities Commission of Ohio (“PUCO”)</w:t>
      </w:r>
      <w:r w:rsidRPr="00276E65" w:rsidR="00F901AD">
        <w:rPr>
          <w:szCs w:val="24"/>
        </w:rPr>
        <w:t xml:space="preserve"> should conduct additional investigation</w:t>
      </w:r>
      <w:r w:rsidRPr="00276E65">
        <w:rPr>
          <w:szCs w:val="24"/>
        </w:rPr>
        <w:t xml:space="preserve">, </w:t>
      </w:r>
      <w:r w:rsidRPr="00276E65" w:rsidR="00FA481B">
        <w:rPr>
          <w:szCs w:val="24"/>
        </w:rPr>
        <w:t xml:space="preserve">and </w:t>
      </w:r>
      <w:r w:rsidRPr="00276E65">
        <w:rPr>
          <w:szCs w:val="24"/>
        </w:rPr>
        <w:t>require management reform</w:t>
      </w:r>
      <w:r w:rsidRPr="00276E65" w:rsidR="002A757C">
        <w:rPr>
          <w:szCs w:val="24"/>
        </w:rPr>
        <w:t xml:space="preserve"> </w:t>
      </w:r>
      <w:r w:rsidRPr="00276E65" w:rsidR="00F10E4E">
        <w:rPr>
          <w:szCs w:val="24"/>
        </w:rPr>
        <w:t>at</w:t>
      </w:r>
      <w:r w:rsidRPr="00276E65">
        <w:rPr>
          <w:szCs w:val="24"/>
        </w:rPr>
        <w:t xml:space="preserve"> the Fi</w:t>
      </w:r>
      <w:r w:rsidRPr="00276E65" w:rsidR="002A757C">
        <w:rPr>
          <w:szCs w:val="24"/>
        </w:rPr>
        <w:t>rstEnergy</w:t>
      </w:r>
      <w:r w:rsidRPr="00276E65">
        <w:rPr>
          <w:szCs w:val="24"/>
        </w:rPr>
        <w:t xml:space="preserve"> U</w:t>
      </w:r>
      <w:r w:rsidRPr="00276E65" w:rsidR="002A757C">
        <w:rPr>
          <w:szCs w:val="24"/>
        </w:rPr>
        <w:t>tilities.</w:t>
      </w:r>
      <w:r>
        <w:rPr>
          <w:rStyle w:val="FootnoteReference"/>
          <w:szCs w:val="24"/>
        </w:rPr>
        <w:footnoteReference w:id="2"/>
      </w:r>
      <w:r w:rsidRPr="00276E65" w:rsidR="002A757C">
        <w:rPr>
          <w:szCs w:val="24"/>
        </w:rPr>
        <w:t xml:space="preserve"> </w:t>
      </w:r>
    </w:p>
    <w:p w:rsidR="001B6487" w:rsidRPr="00276E65" w:rsidP="006C7EAA" w14:paraId="3CB00C49" w14:textId="23F6E8E5">
      <w:pPr>
        <w:spacing w:line="480" w:lineRule="auto"/>
        <w:ind w:firstLine="720"/>
        <w:rPr>
          <w:szCs w:val="24"/>
        </w:rPr>
      </w:pPr>
      <w:r w:rsidRPr="00276E65">
        <w:rPr>
          <w:szCs w:val="24"/>
        </w:rPr>
        <w:t>OCC appreciates the opportunity to reply to the Comments filed by the</w:t>
      </w:r>
      <w:r w:rsidRPr="00276E65" w:rsidR="00F10E4E">
        <w:rPr>
          <w:szCs w:val="24"/>
        </w:rPr>
        <w:t xml:space="preserve"> parties, including the</w:t>
      </w:r>
      <w:r w:rsidRPr="00276E65">
        <w:rPr>
          <w:szCs w:val="24"/>
        </w:rPr>
        <w:t xml:space="preserve"> FirstEnergy Utilities, in the interest of consumer protection.</w:t>
      </w:r>
    </w:p>
    <w:p w:rsidR="00402E75" w:rsidRPr="00276E65" w:rsidP="00402E75" w14:paraId="23032D14" w14:textId="77777777">
      <w:pPr>
        <w:pStyle w:val="Heading1"/>
        <w:rPr>
          <w:rFonts w:ascii="Times New Roman" w:hAnsi="Times New Roman"/>
        </w:rPr>
      </w:pPr>
      <w:bookmarkStart w:id="2" w:name="_Toc8388096"/>
      <w:r w:rsidRPr="00276E65">
        <w:rPr>
          <w:rFonts w:ascii="Times New Roman" w:hAnsi="Times New Roman"/>
        </w:rPr>
        <w:t xml:space="preserve">Ii. </w:t>
      </w:r>
      <w:r w:rsidRPr="00276E65">
        <w:rPr>
          <w:rFonts w:ascii="Times New Roman" w:hAnsi="Times New Roman"/>
        </w:rPr>
        <w:tab/>
      </w:r>
      <w:bookmarkEnd w:id="2"/>
      <w:r w:rsidRPr="00276E65">
        <w:rPr>
          <w:rFonts w:ascii="Times New Roman" w:hAnsi="Times New Roman"/>
        </w:rPr>
        <w:t xml:space="preserve">CONSUMER PROTECTION REPLY Comments </w:t>
      </w:r>
    </w:p>
    <w:p w:rsidR="00402E75" w:rsidRPr="00276E65" w:rsidP="00402E75" w14:paraId="4BE50EE3" w14:textId="77777777">
      <w:pPr>
        <w:pStyle w:val="Heading2"/>
        <w:numPr>
          <w:ilvl w:val="0"/>
          <w:numId w:val="36"/>
        </w:numPr>
        <w:rPr>
          <w:rFonts w:ascii="Times New Roman" w:hAnsi="Times New Roman"/>
        </w:rPr>
      </w:pPr>
      <w:r w:rsidRPr="00276E65">
        <w:rPr>
          <w:rFonts w:ascii="Times New Roman" w:hAnsi="Times New Roman"/>
        </w:rPr>
        <w:t>Parties’ comments confirm that consumer protections from the PUCO are necessary, consistent with OCC’s recommendations.</w:t>
      </w:r>
    </w:p>
    <w:p w:rsidR="00402E75" w:rsidRPr="00276E65" w:rsidP="00402E75" w14:paraId="1E119162" w14:textId="2D790444">
      <w:pPr>
        <w:spacing w:line="480" w:lineRule="auto"/>
        <w:ind w:firstLine="720"/>
        <w:rPr>
          <w:szCs w:val="24"/>
        </w:rPr>
      </w:pPr>
      <w:r w:rsidRPr="00276E65">
        <w:rPr>
          <w:szCs w:val="24"/>
        </w:rPr>
        <w:t>In its comments, OCC raised substantial consumer protection concerns with the FirstEnergy Utilities’ DCR charge and made necessary consumer protection</w:t>
      </w:r>
    </w:p>
    <w:p w:rsidR="00DD4911" w:rsidRPr="00276E65" w:rsidP="00F10E4E" w14:paraId="259C0EA6" w14:textId="25829818">
      <w:pPr>
        <w:spacing w:line="480" w:lineRule="auto"/>
        <w:rPr>
          <w:szCs w:val="24"/>
        </w:rPr>
      </w:pPr>
      <w:r w:rsidRPr="00276E65">
        <w:rPr>
          <w:szCs w:val="24"/>
        </w:rPr>
        <w:t>recommendations.  Comments filed by other parties confirm that OCC is not the only consumer group with such concerns and making such recommendations.</w:t>
      </w:r>
    </w:p>
    <w:p w:rsidR="00DD4911" w:rsidRPr="00276E65" w:rsidP="00402E75" w14:paraId="6B4D1E29" w14:textId="02A70618">
      <w:pPr>
        <w:spacing w:line="480" w:lineRule="auto"/>
        <w:ind w:firstLine="720"/>
        <w:rPr>
          <w:szCs w:val="24"/>
        </w:rPr>
      </w:pPr>
      <w:r w:rsidRPr="00276E65">
        <w:rPr>
          <w:szCs w:val="24"/>
        </w:rPr>
        <w:t xml:space="preserve">The Ohio Cable Telecommunications Association </w:t>
      </w:r>
      <w:r w:rsidRPr="00276E65" w:rsidR="00E22A70">
        <w:rPr>
          <w:szCs w:val="24"/>
        </w:rPr>
        <w:t xml:space="preserve">(“OCTA”) </w:t>
      </w:r>
      <w:r w:rsidRPr="00276E65">
        <w:rPr>
          <w:szCs w:val="24"/>
        </w:rPr>
        <w:t>pointed out that inappropriately including charges in pole attachment charges</w:t>
      </w:r>
      <w:r w:rsidRPr="00276E65" w:rsidR="00E22A70">
        <w:rPr>
          <w:szCs w:val="24"/>
        </w:rPr>
        <w:t>, as the FirstEnergy Utilities have done,</w:t>
      </w:r>
      <w:r w:rsidRPr="00276E65">
        <w:rPr>
          <w:szCs w:val="24"/>
        </w:rPr>
        <w:t xml:space="preserve"> “rank among the largest barriers to rural broadband deployment.</w:t>
      </w:r>
      <w:r w:rsidRPr="00276E65" w:rsidR="00E22A70">
        <w:rPr>
          <w:szCs w:val="24"/>
        </w:rPr>
        <w:t>”</w:t>
      </w:r>
      <w:r>
        <w:rPr>
          <w:rStyle w:val="FootnoteReference"/>
          <w:szCs w:val="24"/>
        </w:rPr>
        <w:footnoteReference w:id="3"/>
      </w:r>
      <w:r w:rsidRPr="00276E65" w:rsidR="00E22A70">
        <w:rPr>
          <w:szCs w:val="24"/>
        </w:rPr>
        <w:t xml:space="preserve">  As OCTA explained, the inappropriate charges resulted from the FirstEnergy Utilities “recording costs associated with unrelated and questionable transactions to accounts used in calculating pole attachment rates.”</w:t>
      </w:r>
      <w:r>
        <w:rPr>
          <w:rStyle w:val="FootnoteReference"/>
          <w:szCs w:val="24"/>
        </w:rPr>
        <w:footnoteReference w:id="4"/>
      </w:r>
      <w:r w:rsidRPr="00276E65" w:rsidR="00E22A70">
        <w:rPr>
          <w:szCs w:val="24"/>
        </w:rPr>
        <w:t xml:space="preserve">  OCTA made various recommendations to the PUCO to prevent including inappropriate charges in pole attachment charges.</w:t>
      </w:r>
      <w:r>
        <w:rPr>
          <w:rStyle w:val="FootnoteReference"/>
          <w:szCs w:val="24"/>
        </w:rPr>
        <w:footnoteReference w:id="5"/>
      </w:r>
    </w:p>
    <w:p w:rsidR="00E22A70" w:rsidRPr="00276E65" w:rsidP="00402E75" w14:paraId="5CA17E8A" w14:textId="3258530E">
      <w:pPr>
        <w:spacing w:line="480" w:lineRule="auto"/>
        <w:ind w:firstLine="720"/>
        <w:rPr>
          <w:szCs w:val="24"/>
        </w:rPr>
      </w:pPr>
      <w:r w:rsidRPr="00276E65">
        <w:rPr>
          <w:szCs w:val="24"/>
        </w:rPr>
        <w:t>Similar to OCC, the Ohio Hospital Association (“OHA”) points out that “this year’s DCR audit has a new level of importance because of the troubling information contained in the report addressing payments allegedly made to former PUCO Chair Sam Randazzo.”</w:t>
      </w:r>
      <w:r>
        <w:rPr>
          <w:rStyle w:val="FootnoteReference"/>
          <w:szCs w:val="24"/>
        </w:rPr>
        <w:footnoteReference w:id="6"/>
      </w:r>
      <w:r w:rsidRPr="00276E65">
        <w:rPr>
          <w:szCs w:val="24"/>
        </w:rPr>
        <w:t xml:space="preserve">  OHA explains that “it appears that FirstEnergy may have made payments to entities that have or had a relationship with Mr. Randazzo amounting to $14,441,982[,]” and that “it appears that $6,487,604 of these payments may have been passed on to </w:t>
      </w:r>
      <w:r w:rsidRPr="00276E65">
        <w:rPr>
          <w:szCs w:val="24"/>
        </w:rPr>
        <w:t>customers through the DCR Rider.”</w:t>
      </w:r>
      <w:r>
        <w:rPr>
          <w:rStyle w:val="FootnoteReference"/>
          <w:szCs w:val="24"/>
        </w:rPr>
        <w:footnoteReference w:id="7"/>
      </w:r>
      <w:r w:rsidRPr="00276E65">
        <w:rPr>
          <w:szCs w:val="24"/>
        </w:rPr>
        <w:t xml:space="preserve">  Like OCC, OHA “is concerned the auditor has not gone far enough to fully investigate the actions of FirstEnergy[]” and “implores the Commission: (1) to investigate the basis for payments made to Mr. Randazzo; and (2) expand the scope of this investigation as necessary to determine any inappropriate funding by FirstEnergy through the DCR Rider.”</w:t>
      </w:r>
      <w:r>
        <w:rPr>
          <w:rStyle w:val="FootnoteReference"/>
          <w:szCs w:val="24"/>
        </w:rPr>
        <w:footnoteReference w:id="8"/>
      </w:r>
      <w:r w:rsidRPr="00276E65">
        <w:rPr>
          <w:szCs w:val="24"/>
        </w:rPr>
        <w:t xml:space="preserve">  </w:t>
      </w:r>
    </w:p>
    <w:p w:rsidR="00EE4F02" w:rsidRPr="00276E65" w:rsidP="007E3B4B" w14:paraId="01770D1E" w14:textId="16051621">
      <w:pPr>
        <w:spacing w:line="480" w:lineRule="auto"/>
        <w:ind w:firstLine="720"/>
        <w:rPr>
          <w:szCs w:val="24"/>
        </w:rPr>
      </w:pPr>
      <w:r w:rsidRPr="00276E65">
        <w:rPr>
          <w:szCs w:val="24"/>
        </w:rPr>
        <w:t xml:space="preserve">The Ohio Manufacturers’ Association Energy Group (“OMA”) asserts that over the last ten years, the FirstEnergy Utilities </w:t>
      </w:r>
      <w:r w:rsidRPr="00276E65" w:rsidR="007E3B4B">
        <w:rPr>
          <w:szCs w:val="24"/>
        </w:rPr>
        <w:t>“have unlawfully used customer dollars to enrich themselves and buy influence in Ohio.”</w:t>
      </w:r>
      <w:r>
        <w:rPr>
          <w:rStyle w:val="FootnoteReference"/>
          <w:szCs w:val="24"/>
        </w:rPr>
        <w:footnoteReference w:id="9"/>
      </w:r>
      <w:r w:rsidRPr="00276E65" w:rsidR="007E3B4B">
        <w:rPr>
          <w:szCs w:val="24"/>
        </w:rPr>
        <w:t xml:space="preserve">  In fact, according to OMA, “[t]he Audit Report and other documents produced in th[is] proceeding uncover a scheme where the FirstEnergy entities have abused their corporate structure and accounting systems to use customer dollars from Commission-approved rates to wield power in Ohio at the expense of their customers.”</w:t>
      </w:r>
      <w:r>
        <w:rPr>
          <w:rStyle w:val="FootnoteReference"/>
          <w:szCs w:val="24"/>
        </w:rPr>
        <w:footnoteReference w:id="10"/>
      </w:r>
      <w:r w:rsidRPr="00276E65" w:rsidR="007E3B4B">
        <w:rPr>
          <w:szCs w:val="24"/>
        </w:rPr>
        <w:t xml:space="preserve">  OMA is in agreement with OCC that consumers are entitled to a refund of all inappropriate dollars spent by the FirstEnergy </w:t>
      </w:r>
      <w:r w:rsidRPr="00276E65" w:rsidR="00F10E4E">
        <w:rPr>
          <w:szCs w:val="24"/>
        </w:rPr>
        <w:t>U</w:t>
      </w:r>
      <w:r w:rsidRPr="00276E65" w:rsidR="007E3B4B">
        <w:rPr>
          <w:szCs w:val="24"/>
        </w:rPr>
        <w:t>tilities and the need for an expanded PUCO investigation.</w:t>
      </w:r>
      <w:r>
        <w:rPr>
          <w:rStyle w:val="FootnoteReference"/>
          <w:szCs w:val="24"/>
        </w:rPr>
        <w:footnoteReference w:id="11"/>
      </w:r>
      <w:r w:rsidRPr="00276E65" w:rsidR="007E3B4B">
        <w:rPr>
          <w:szCs w:val="24"/>
        </w:rPr>
        <w:t xml:space="preserve"> “The Commission should take a deeper dive into the FirstEnergy Utilities’ books and do a thorough investigation of all costs paid for by customers and included in base rates, including such things as costs associated with the naming rights for FirstEnergy Stadium.”</w:t>
      </w:r>
      <w:r>
        <w:rPr>
          <w:rStyle w:val="FootnoteReference"/>
          <w:szCs w:val="24"/>
        </w:rPr>
        <w:footnoteReference w:id="12"/>
      </w:r>
      <w:r w:rsidRPr="00276E65" w:rsidR="007E3B4B">
        <w:rPr>
          <w:szCs w:val="24"/>
        </w:rPr>
        <w:t xml:space="preserve"> </w:t>
      </w:r>
    </w:p>
    <w:p w:rsidR="00291EBE" w:rsidRPr="00276E65" w:rsidP="00402E75" w14:paraId="047F9989" w14:textId="6AA30090">
      <w:pPr>
        <w:spacing w:line="480" w:lineRule="auto"/>
        <w:ind w:firstLine="720"/>
        <w:rPr>
          <w:szCs w:val="24"/>
        </w:rPr>
      </w:pPr>
      <w:r w:rsidRPr="00276E65">
        <w:rPr>
          <w:szCs w:val="24"/>
        </w:rPr>
        <w:t>To protect consumers, it is clear from parties’ comments that the PUCO should conduct additional investigation and require management reform at the FirstEnergy Utilities.</w:t>
      </w:r>
    </w:p>
    <w:p w:rsidR="00EC0C48" w:rsidRPr="00276E65" w:rsidP="00637F42" w14:paraId="69E156CA" w14:textId="5E08523A">
      <w:pPr>
        <w:pStyle w:val="Heading2"/>
        <w:rPr>
          <w:rFonts w:ascii="Times New Roman" w:hAnsi="Times New Roman"/>
        </w:rPr>
      </w:pPr>
      <w:r w:rsidRPr="00276E65">
        <w:rPr>
          <w:rFonts w:ascii="Times New Roman" w:hAnsi="Times New Roman"/>
        </w:rPr>
        <w:t>B.</w:t>
      </w:r>
      <w:r w:rsidRPr="00276E65">
        <w:rPr>
          <w:rFonts w:ascii="Times New Roman" w:hAnsi="Times New Roman"/>
        </w:rPr>
        <w:tab/>
      </w:r>
      <w:r w:rsidRPr="00276E65" w:rsidR="00535593">
        <w:rPr>
          <w:rFonts w:ascii="Times New Roman" w:hAnsi="Times New Roman"/>
        </w:rPr>
        <w:t>T</w:t>
      </w:r>
      <w:r w:rsidRPr="00276E65" w:rsidR="00F86C53">
        <w:rPr>
          <w:rFonts w:ascii="Times New Roman" w:hAnsi="Times New Roman"/>
        </w:rPr>
        <w:t>o protect consumers, t</w:t>
      </w:r>
      <w:r w:rsidRPr="00276E65" w:rsidR="00535593">
        <w:rPr>
          <w:rFonts w:ascii="Times New Roman" w:hAnsi="Times New Roman"/>
        </w:rPr>
        <w:t xml:space="preserve">he PUCO should prohibit </w:t>
      </w:r>
      <w:r w:rsidRPr="00276E65" w:rsidR="001B6487">
        <w:rPr>
          <w:rFonts w:ascii="Times New Roman" w:hAnsi="Times New Roman"/>
        </w:rPr>
        <w:t xml:space="preserve">the </w:t>
      </w:r>
      <w:r w:rsidRPr="00276E65" w:rsidR="00535593">
        <w:rPr>
          <w:rFonts w:ascii="Times New Roman" w:hAnsi="Times New Roman"/>
        </w:rPr>
        <w:t xml:space="preserve">FirstEnergy </w:t>
      </w:r>
      <w:r w:rsidRPr="00276E65" w:rsidR="001B6487">
        <w:rPr>
          <w:rFonts w:ascii="Times New Roman" w:hAnsi="Times New Roman"/>
        </w:rPr>
        <w:t xml:space="preserve">Utilities </w:t>
      </w:r>
      <w:r w:rsidRPr="00276E65" w:rsidR="00535593">
        <w:rPr>
          <w:rFonts w:ascii="Times New Roman" w:hAnsi="Times New Roman"/>
        </w:rPr>
        <w:t xml:space="preserve">from charging </w:t>
      </w:r>
      <w:r w:rsidRPr="00276E65" w:rsidR="008527DE">
        <w:rPr>
          <w:rFonts w:ascii="Times New Roman" w:hAnsi="Times New Roman"/>
        </w:rPr>
        <w:t>consumers</w:t>
      </w:r>
      <w:r w:rsidRPr="00276E65" w:rsidR="00535593">
        <w:rPr>
          <w:rFonts w:ascii="Times New Roman" w:hAnsi="Times New Roman"/>
        </w:rPr>
        <w:t xml:space="preserve"> for capitalized vegetation management expenditures</w:t>
      </w:r>
      <w:r w:rsidRPr="00276E65" w:rsidR="00A41F65">
        <w:rPr>
          <w:rFonts w:ascii="Times New Roman" w:hAnsi="Times New Roman"/>
        </w:rPr>
        <w:t xml:space="preserve"> that do not comply with FERC accounting requirements</w:t>
      </w:r>
      <w:r w:rsidRPr="00276E65" w:rsidR="00910BAF">
        <w:rPr>
          <w:rFonts w:ascii="Times New Roman" w:hAnsi="Times New Roman"/>
        </w:rPr>
        <w:t xml:space="preserve">. </w:t>
      </w:r>
    </w:p>
    <w:p w:rsidR="00F86C53" w:rsidRPr="00276E65" w:rsidP="00910BAF" w14:paraId="5F9859C3" w14:textId="3384098C">
      <w:pPr>
        <w:spacing w:line="480" w:lineRule="auto"/>
        <w:ind w:firstLine="720"/>
        <w:rPr>
          <w:szCs w:val="24"/>
        </w:rPr>
      </w:pPr>
      <w:r w:rsidRPr="00276E65">
        <w:rPr>
          <w:szCs w:val="24"/>
        </w:rPr>
        <w:t>The Audit Report recommended excluding</w:t>
      </w:r>
      <w:r w:rsidRPr="00276E65" w:rsidR="001B6487">
        <w:rPr>
          <w:szCs w:val="24"/>
        </w:rPr>
        <w:t xml:space="preserve"> certain vegetation management capitalization costs ($3,114,129)</w:t>
      </w:r>
      <w:r w:rsidRPr="00276E65">
        <w:rPr>
          <w:szCs w:val="24"/>
        </w:rPr>
        <w:t>.</w:t>
      </w:r>
      <w:r>
        <w:rPr>
          <w:rStyle w:val="FootnoteReference"/>
          <w:szCs w:val="24"/>
        </w:rPr>
        <w:footnoteReference w:id="13"/>
      </w:r>
      <w:r w:rsidRPr="00276E65">
        <w:rPr>
          <w:szCs w:val="24"/>
        </w:rPr>
        <w:t xml:space="preserve">  That recommendation </w:t>
      </w:r>
      <w:r w:rsidRPr="00276E65" w:rsidR="001B6487">
        <w:rPr>
          <w:szCs w:val="24"/>
        </w:rPr>
        <w:t>should be adopted</w:t>
      </w:r>
      <w:r w:rsidRPr="00276E65">
        <w:rPr>
          <w:szCs w:val="24"/>
        </w:rPr>
        <w:t xml:space="preserve"> to protect consumers</w:t>
      </w:r>
      <w:r w:rsidRPr="00276E65" w:rsidR="001B6487">
        <w:rPr>
          <w:szCs w:val="24"/>
        </w:rPr>
        <w:t xml:space="preserve">.  </w:t>
      </w:r>
      <w:r w:rsidRPr="00276E65" w:rsidR="006F7C5E">
        <w:rPr>
          <w:szCs w:val="24"/>
        </w:rPr>
        <w:t>As the Audit Report found, including certain vegetation management capitalization costs is in conflict with the Federal Energy Regulatory Commission’s Uniform System of Accounts.</w:t>
      </w:r>
      <w:r>
        <w:rPr>
          <w:rStyle w:val="FootnoteReference"/>
          <w:szCs w:val="24"/>
        </w:rPr>
        <w:footnoteReference w:id="14"/>
      </w:r>
      <w:r w:rsidRPr="00276E65" w:rsidR="006F7C5E">
        <w:rPr>
          <w:szCs w:val="24"/>
        </w:rPr>
        <w:t xml:space="preserve">  </w:t>
      </w:r>
      <w:r w:rsidRPr="00276E65" w:rsidR="00DD4911">
        <w:rPr>
          <w:szCs w:val="24"/>
        </w:rPr>
        <w:t xml:space="preserve">This results in consumers paying more under the DCR charge.  </w:t>
      </w:r>
      <w:r w:rsidRPr="00276E65" w:rsidR="001B6487">
        <w:rPr>
          <w:szCs w:val="24"/>
        </w:rPr>
        <w:t>FirstEnergy’s assertion that this issue has been resolved in prior PUCO order</w:t>
      </w:r>
      <w:r w:rsidRPr="00276E65" w:rsidR="008527DE">
        <w:rPr>
          <w:szCs w:val="24"/>
        </w:rPr>
        <w:t>s</w:t>
      </w:r>
      <w:r w:rsidRPr="00276E65" w:rsidR="001B6487">
        <w:rPr>
          <w:szCs w:val="24"/>
        </w:rPr>
        <w:t xml:space="preserve"> is baseless and wrong.</w:t>
      </w:r>
      <w:r>
        <w:rPr>
          <w:rStyle w:val="FootnoteReference"/>
          <w:szCs w:val="24"/>
        </w:rPr>
        <w:footnoteReference w:id="15"/>
      </w:r>
      <w:r w:rsidRPr="00276E65" w:rsidR="001B6487">
        <w:rPr>
          <w:szCs w:val="24"/>
        </w:rPr>
        <w:t xml:space="preserve">  This issue has been identified by the Auditor repeatedly and not resolved up to now.</w:t>
      </w:r>
      <w:r>
        <w:rPr>
          <w:rStyle w:val="FootnoteReference"/>
          <w:szCs w:val="24"/>
        </w:rPr>
        <w:footnoteReference w:id="16"/>
      </w:r>
      <w:r w:rsidRPr="00276E65">
        <w:rPr>
          <w:szCs w:val="24"/>
        </w:rPr>
        <w:t xml:space="preserve">  </w:t>
      </w:r>
    </w:p>
    <w:p w:rsidR="009A1C76" w:rsidRPr="00276E65" w:rsidP="00910BAF" w14:paraId="6E693144" w14:textId="5EC11204">
      <w:pPr>
        <w:spacing w:line="480" w:lineRule="auto"/>
        <w:ind w:firstLine="720"/>
        <w:rPr>
          <w:szCs w:val="24"/>
        </w:rPr>
      </w:pPr>
      <w:r w:rsidRPr="00276E65">
        <w:rPr>
          <w:szCs w:val="24"/>
        </w:rPr>
        <w:t xml:space="preserve">The Auditor has identified and made </w:t>
      </w:r>
      <w:r w:rsidRPr="00276E65" w:rsidR="008527DE">
        <w:rPr>
          <w:szCs w:val="24"/>
        </w:rPr>
        <w:t xml:space="preserve">similar </w:t>
      </w:r>
      <w:r w:rsidRPr="00276E65">
        <w:rPr>
          <w:szCs w:val="24"/>
        </w:rPr>
        <w:t>recommendations in the 2017, 2018, 2019, and 2020 Audit Reports.</w:t>
      </w:r>
      <w:r>
        <w:rPr>
          <w:rStyle w:val="FootnoteReference"/>
          <w:szCs w:val="24"/>
        </w:rPr>
        <w:footnoteReference w:id="17"/>
      </w:r>
      <w:r w:rsidRPr="00276E65">
        <w:rPr>
          <w:szCs w:val="24"/>
        </w:rPr>
        <w:t xml:space="preserve">  </w:t>
      </w:r>
      <w:r w:rsidRPr="00276E65" w:rsidR="00EB2C98">
        <w:rPr>
          <w:szCs w:val="24"/>
        </w:rPr>
        <w:t>The Auditor identified several cost categories that should not be charged to capital.</w:t>
      </w:r>
      <w:r>
        <w:rPr>
          <w:rStyle w:val="FootnoteReference"/>
          <w:szCs w:val="24"/>
        </w:rPr>
        <w:footnoteReference w:id="18"/>
      </w:r>
      <w:r w:rsidRPr="00276E65" w:rsidR="00EB2C98">
        <w:rPr>
          <w:szCs w:val="24"/>
        </w:rPr>
        <w:t xml:space="preserve"> </w:t>
      </w:r>
      <w:r w:rsidRPr="00276E65" w:rsidR="00910BAF">
        <w:rPr>
          <w:szCs w:val="24"/>
        </w:rPr>
        <w:t xml:space="preserve">In capitalizing these expenses, </w:t>
      </w:r>
      <w:r w:rsidRPr="00276E65" w:rsidR="00F86C53">
        <w:rPr>
          <w:szCs w:val="24"/>
        </w:rPr>
        <w:t xml:space="preserve">the </w:t>
      </w:r>
      <w:r w:rsidRPr="00276E65" w:rsidR="00910BAF">
        <w:rPr>
          <w:szCs w:val="24"/>
        </w:rPr>
        <w:t xml:space="preserve">FirstEnergy </w:t>
      </w:r>
      <w:r w:rsidRPr="00276E65" w:rsidR="00F86C53">
        <w:rPr>
          <w:szCs w:val="24"/>
        </w:rPr>
        <w:t>Utilities are</w:t>
      </w:r>
      <w:r w:rsidRPr="00276E65" w:rsidR="00910BAF">
        <w:rPr>
          <w:szCs w:val="24"/>
        </w:rPr>
        <w:t xml:space="preserve"> able to charge </w:t>
      </w:r>
      <w:r w:rsidRPr="00276E65" w:rsidR="008527DE">
        <w:rPr>
          <w:szCs w:val="24"/>
        </w:rPr>
        <w:t>consumers</w:t>
      </w:r>
      <w:r w:rsidRPr="00276E65" w:rsidR="00910BAF">
        <w:rPr>
          <w:szCs w:val="24"/>
        </w:rPr>
        <w:t xml:space="preserve"> a return on and of the expenses, as though the expenses were </w:t>
      </w:r>
      <w:r w:rsidRPr="00276E65" w:rsidR="00EB2C98">
        <w:rPr>
          <w:szCs w:val="24"/>
        </w:rPr>
        <w:t xml:space="preserve">capitalized as </w:t>
      </w:r>
      <w:r w:rsidRPr="00276E65" w:rsidR="00910BAF">
        <w:rPr>
          <w:szCs w:val="24"/>
        </w:rPr>
        <w:t>a rate base item.  Th</w:t>
      </w:r>
      <w:r w:rsidRPr="00276E65">
        <w:rPr>
          <w:szCs w:val="24"/>
        </w:rPr>
        <w:t xml:space="preserve">is improper capitalization of tree-trimming expenses </w:t>
      </w:r>
      <w:r w:rsidRPr="00276E65" w:rsidR="008527DE">
        <w:rPr>
          <w:szCs w:val="24"/>
        </w:rPr>
        <w:t>harms consumers by increasing t</w:t>
      </w:r>
      <w:r w:rsidRPr="00276E65" w:rsidR="00910BAF">
        <w:rPr>
          <w:szCs w:val="24"/>
        </w:rPr>
        <w:t xml:space="preserve">he </w:t>
      </w:r>
      <w:r w:rsidRPr="00276E65" w:rsidR="00F86C53">
        <w:rPr>
          <w:szCs w:val="24"/>
        </w:rPr>
        <w:t>charges</w:t>
      </w:r>
      <w:r w:rsidRPr="00276E65" w:rsidR="00910BAF">
        <w:rPr>
          <w:szCs w:val="24"/>
        </w:rPr>
        <w:t xml:space="preserve"> </w:t>
      </w:r>
      <w:r w:rsidRPr="00276E65" w:rsidR="008527DE">
        <w:rPr>
          <w:szCs w:val="24"/>
        </w:rPr>
        <w:t>they</w:t>
      </w:r>
      <w:r w:rsidRPr="00276E65" w:rsidR="00910BAF">
        <w:rPr>
          <w:szCs w:val="24"/>
        </w:rPr>
        <w:t xml:space="preserve"> pay.  </w:t>
      </w:r>
    </w:p>
    <w:p w:rsidR="005A6A3C" w:rsidRPr="00276E65" w:rsidP="00910BAF" w14:paraId="7538F9BE" w14:textId="12CF6B7E">
      <w:pPr>
        <w:spacing w:line="480" w:lineRule="auto"/>
        <w:ind w:firstLine="720"/>
        <w:rPr>
          <w:szCs w:val="24"/>
        </w:rPr>
      </w:pPr>
      <w:r w:rsidRPr="00276E65">
        <w:rPr>
          <w:szCs w:val="24"/>
        </w:rPr>
        <w:t xml:space="preserve">The Auditor is fully aware of the PUCO decision in Case No. 17-2009-EL-RDR.  </w:t>
      </w:r>
      <w:r w:rsidRPr="00276E65" w:rsidR="00F86C53">
        <w:rPr>
          <w:szCs w:val="24"/>
        </w:rPr>
        <w:t xml:space="preserve">But as the </w:t>
      </w:r>
      <w:r w:rsidRPr="00276E65">
        <w:rPr>
          <w:szCs w:val="24"/>
        </w:rPr>
        <w:t xml:space="preserve">Auditor </w:t>
      </w:r>
      <w:r w:rsidRPr="00276E65" w:rsidR="00F86C53">
        <w:rPr>
          <w:szCs w:val="24"/>
        </w:rPr>
        <w:t xml:space="preserve">specifically </w:t>
      </w:r>
      <w:r w:rsidRPr="00276E65">
        <w:rPr>
          <w:szCs w:val="24"/>
        </w:rPr>
        <w:t>states:</w:t>
      </w:r>
    </w:p>
    <w:p w:rsidR="00910BAF" w:rsidRPr="00276E65" w:rsidP="00910BAF" w14:paraId="3944FD0D" w14:textId="7D79B141">
      <w:pPr>
        <w:ind w:left="1440"/>
        <w:rPr>
          <w:szCs w:val="24"/>
        </w:rPr>
      </w:pPr>
      <w:r w:rsidRPr="00276E65">
        <w:rPr>
          <w:szCs w:val="24"/>
        </w:rPr>
        <w:t>In accordance with the ruling in Case No. 17-2009-EL-RDR, Blue Ridge continues to believe that the Companies’ vegetation management policies and processes are in conflict with FERC Uniform System of Accounts. As ordered in that case, the Companies were instructed to implement the recommendations set forth in the 2017 Audit Report, which includes adjusting its current accounting policy regarding the capitalization of certain clearing activities. Therefore, Blue Ridge continues to recommend that the Companies revise their VM Accounting Policy to be consistent with the FERC Uniform System of Accounts.</w:t>
      </w:r>
      <w:r>
        <w:rPr>
          <w:rStyle w:val="FootnoteReference"/>
          <w:szCs w:val="24"/>
        </w:rPr>
        <w:footnoteReference w:id="19"/>
      </w:r>
    </w:p>
    <w:p w:rsidR="00910BAF" w:rsidRPr="00276E65" w:rsidP="0053549E" w14:paraId="6AFEDC88" w14:textId="3A386ADF">
      <w:pPr>
        <w:ind w:left="1440"/>
        <w:rPr>
          <w:szCs w:val="24"/>
        </w:rPr>
      </w:pPr>
      <w:r w:rsidRPr="00276E65">
        <w:rPr>
          <w:szCs w:val="24"/>
        </w:rPr>
        <w:tab/>
      </w:r>
    </w:p>
    <w:p w:rsidR="00E8008D" w:rsidRPr="00276E65" w:rsidP="00F86C53" w14:paraId="28400A63" w14:textId="66599608">
      <w:pPr>
        <w:spacing w:line="480" w:lineRule="auto"/>
        <w:ind w:firstLine="630"/>
        <w:rPr>
          <w:szCs w:val="24"/>
        </w:rPr>
      </w:pPr>
      <w:r w:rsidRPr="00276E65">
        <w:rPr>
          <w:szCs w:val="24"/>
        </w:rPr>
        <w:t xml:space="preserve">The PUCO Staff also filed </w:t>
      </w:r>
      <w:r w:rsidRPr="00276E65" w:rsidR="005743DF">
        <w:rPr>
          <w:szCs w:val="24"/>
        </w:rPr>
        <w:t xml:space="preserve">reply </w:t>
      </w:r>
      <w:r w:rsidRPr="00276E65">
        <w:rPr>
          <w:szCs w:val="24"/>
        </w:rPr>
        <w:t>comments in the 2019 DCR Audit case (still pending) supporting the recommendation of the Auditor.  Specifically, the PUCO staff states:</w:t>
      </w:r>
    </w:p>
    <w:p w:rsidR="00E8008D" w:rsidRPr="00276E65" w:rsidP="00402E75" w14:paraId="6496C345" w14:textId="7B6EB087">
      <w:pPr>
        <w:ind w:left="1350"/>
        <w:rPr>
          <w:szCs w:val="24"/>
        </w:rPr>
      </w:pPr>
      <w:r w:rsidRPr="00276E65">
        <w:rPr>
          <w:szCs w:val="24"/>
        </w:rPr>
        <w:t>Staff has reviewed the comments filed by the Companies and finds no compelling reason or evidence why the recommended vegetation management accounting exclusions made by Blue Ridge should not be implemented. Notably, the Companies continue to not provide any evidence that their accounting policy is in accordance with the Federal Energy Regulatory Commission Uniform System of Accounts (USoA), but rather rely on the argument that the Commission does not have to follow the USoA. For the reasons stated by the Auditor in its Audit Report, and in two other DCR Compliance Audits, any vegetation costs that are not associated with the establishment of an initial right-of-way (ROW) or official expansion of a utility’s right-of-way should be expensed. Using the Companies’ vegetation accounting policy, what would normally be accounted for as a maintenance expense would become eligible to be capitalized simply because the Companies did not conduct vegetation management inside its right-of-way for an extended period of time, allowing the tree inside the right-of-way to grow taller than a certain height (above the height zone which the Companies define as the boundary of their right-of-way corridor).</w:t>
      </w:r>
      <w:r>
        <w:rPr>
          <w:rStyle w:val="FootnoteReference"/>
          <w:szCs w:val="24"/>
        </w:rPr>
        <w:footnoteReference w:id="20"/>
      </w:r>
    </w:p>
    <w:p w:rsidR="000E20E0" w:rsidRPr="00276E65" w:rsidP="00F86C53" w14:paraId="24D5FDF7" w14:textId="74D255E8">
      <w:pPr>
        <w:spacing w:line="480" w:lineRule="auto"/>
        <w:ind w:firstLine="630"/>
        <w:rPr>
          <w:szCs w:val="24"/>
        </w:rPr>
      </w:pPr>
      <w:r w:rsidRPr="00276E65">
        <w:rPr>
          <w:szCs w:val="24"/>
        </w:rPr>
        <w:t xml:space="preserve">There is simply no basis for </w:t>
      </w:r>
      <w:r w:rsidRPr="00276E65" w:rsidR="00F86C53">
        <w:rPr>
          <w:szCs w:val="24"/>
        </w:rPr>
        <w:t xml:space="preserve">the </w:t>
      </w:r>
      <w:r w:rsidRPr="00276E65">
        <w:rPr>
          <w:szCs w:val="24"/>
        </w:rPr>
        <w:t xml:space="preserve">FirstEnergy </w:t>
      </w:r>
      <w:r w:rsidRPr="00276E65" w:rsidR="00F86C53">
        <w:rPr>
          <w:szCs w:val="24"/>
        </w:rPr>
        <w:t xml:space="preserve">Utilities </w:t>
      </w:r>
      <w:r w:rsidRPr="00276E65">
        <w:rPr>
          <w:szCs w:val="24"/>
        </w:rPr>
        <w:t xml:space="preserve">to conclude that this issue has been resolved.  </w:t>
      </w:r>
      <w:r w:rsidRPr="00276E65" w:rsidR="00F86C53">
        <w:rPr>
          <w:szCs w:val="24"/>
        </w:rPr>
        <w:t>It has not been</w:t>
      </w:r>
      <w:r w:rsidRPr="00276E65">
        <w:rPr>
          <w:szCs w:val="24"/>
        </w:rPr>
        <w:t>.</w:t>
      </w:r>
      <w:r w:rsidRPr="00276E65" w:rsidR="00F86C53">
        <w:rPr>
          <w:szCs w:val="24"/>
        </w:rPr>
        <w:t xml:space="preserve">  It should be here.  To protect consumers, the PUCO should adopt the Auditor’s recommendation excluding certain vegetation management capitalization costs ($3,114,129).</w:t>
      </w:r>
      <w:r w:rsidRPr="00276E65">
        <w:rPr>
          <w:szCs w:val="24"/>
        </w:rPr>
        <w:t xml:space="preserve">  </w:t>
      </w:r>
    </w:p>
    <w:p w:rsidR="009A1C76" w:rsidRPr="00276E65" w:rsidP="00637F42" w14:paraId="509922A9" w14:textId="2FDD08E8">
      <w:pPr>
        <w:pStyle w:val="Heading2"/>
        <w:rPr>
          <w:rFonts w:ascii="Times New Roman" w:hAnsi="Times New Roman"/>
        </w:rPr>
      </w:pPr>
      <w:r w:rsidRPr="00276E65">
        <w:rPr>
          <w:rFonts w:ascii="Times New Roman" w:hAnsi="Times New Roman"/>
        </w:rPr>
        <w:t>C</w:t>
      </w:r>
      <w:r w:rsidRPr="00276E65" w:rsidR="00637F42">
        <w:rPr>
          <w:rFonts w:ascii="Times New Roman" w:hAnsi="Times New Roman"/>
        </w:rPr>
        <w:t>.</w:t>
      </w:r>
      <w:r w:rsidRPr="00276E65" w:rsidR="00637F42">
        <w:rPr>
          <w:rFonts w:ascii="Times New Roman" w:hAnsi="Times New Roman"/>
        </w:rPr>
        <w:tab/>
      </w:r>
      <w:r w:rsidRPr="00276E65">
        <w:rPr>
          <w:rFonts w:ascii="Times New Roman" w:hAnsi="Times New Roman"/>
        </w:rPr>
        <w:t>T</w:t>
      </w:r>
      <w:r w:rsidRPr="00276E65" w:rsidR="00F86C53">
        <w:rPr>
          <w:rFonts w:ascii="Times New Roman" w:hAnsi="Times New Roman"/>
        </w:rPr>
        <w:t>o protect consumers, t</w:t>
      </w:r>
      <w:r w:rsidRPr="00276E65">
        <w:rPr>
          <w:rFonts w:ascii="Times New Roman" w:hAnsi="Times New Roman"/>
        </w:rPr>
        <w:t xml:space="preserve">he PUCO should prohibit </w:t>
      </w:r>
      <w:r w:rsidRPr="00276E65" w:rsidR="00F86C53">
        <w:rPr>
          <w:rFonts w:ascii="Times New Roman" w:hAnsi="Times New Roman"/>
        </w:rPr>
        <w:t xml:space="preserve">the </w:t>
      </w:r>
      <w:r w:rsidRPr="00276E65">
        <w:rPr>
          <w:rFonts w:ascii="Times New Roman" w:hAnsi="Times New Roman"/>
        </w:rPr>
        <w:t xml:space="preserve">FirstEnergy </w:t>
      </w:r>
      <w:r w:rsidRPr="00276E65" w:rsidR="00F86C53">
        <w:rPr>
          <w:rFonts w:ascii="Times New Roman" w:hAnsi="Times New Roman"/>
        </w:rPr>
        <w:t xml:space="preserve">Utilities </w:t>
      </w:r>
      <w:r w:rsidRPr="00276E65">
        <w:rPr>
          <w:rFonts w:ascii="Times New Roman" w:hAnsi="Times New Roman"/>
        </w:rPr>
        <w:t xml:space="preserve">from charging </w:t>
      </w:r>
      <w:r w:rsidRPr="00276E65" w:rsidR="008527DE">
        <w:rPr>
          <w:rFonts w:ascii="Times New Roman" w:hAnsi="Times New Roman"/>
        </w:rPr>
        <w:t>consumers</w:t>
      </w:r>
      <w:r w:rsidRPr="00276E65">
        <w:rPr>
          <w:rFonts w:ascii="Times New Roman" w:hAnsi="Times New Roman"/>
        </w:rPr>
        <w:t xml:space="preserve"> for </w:t>
      </w:r>
      <w:r w:rsidRPr="00276E65" w:rsidR="00DF20EC">
        <w:rPr>
          <w:rFonts w:ascii="Times New Roman" w:hAnsi="Times New Roman"/>
        </w:rPr>
        <w:t xml:space="preserve">using EDIT balances that differ from those approved in </w:t>
      </w:r>
      <w:r w:rsidRPr="00276E65" w:rsidR="00F86C53">
        <w:rPr>
          <w:rFonts w:ascii="Times New Roman" w:hAnsi="Times New Roman"/>
        </w:rPr>
        <w:t xml:space="preserve">the </w:t>
      </w:r>
      <w:r w:rsidRPr="00276E65" w:rsidR="00DF20EC">
        <w:rPr>
          <w:rFonts w:ascii="Times New Roman" w:hAnsi="Times New Roman"/>
        </w:rPr>
        <w:t xml:space="preserve">prior </w:t>
      </w:r>
      <w:r w:rsidRPr="00276E65" w:rsidR="00F86C53">
        <w:rPr>
          <w:rFonts w:ascii="Times New Roman" w:hAnsi="Times New Roman"/>
        </w:rPr>
        <w:t>settlement</w:t>
      </w:r>
      <w:r w:rsidRPr="00276E65" w:rsidR="00DF20EC">
        <w:rPr>
          <w:rFonts w:ascii="Times New Roman" w:hAnsi="Times New Roman"/>
        </w:rPr>
        <w:t xml:space="preserve"> related to the Tax Cuts and Jobs Act of 2017.  </w:t>
      </w:r>
      <w:r w:rsidRPr="00276E65">
        <w:rPr>
          <w:rFonts w:ascii="Times New Roman" w:hAnsi="Times New Roman"/>
        </w:rPr>
        <w:t xml:space="preserve"> </w:t>
      </w:r>
    </w:p>
    <w:p w:rsidR="00F86C53" w:rsidRPr="00276E65" w:rsidP="00F86C53" w14:paraId="154E2BA3" w14:textId="6428D8C7">
      <w:pPr>
        <w:spacing w:line="480" w:lineRule="auto"/>
        <w:ind w:firstLine="630"/>
        <w:rPr>
          <w:szCs w:val="24"/>
        </w:rPr>
      </w:pPr>
      <w:r w:rsidRPr="00276E65">
        <w:rPr>
          <w:szCs w:val="24"/>
        </w:rPr>
        <w:t>To protect consumers, the PUCO should adopt the Auditor’s recommendation of reducing the DCR revenue requirement of $2,285,896 from the Excess Deferred Income Taxes (“EDIT”) balance adjustments.</w:t>
      </w:r>
      <w:r>
        <w:rPr>
          <w:rStyle w:val="FootnoteReference"/>
          <w:szCs w:val="24"/>
        </w:rPr>
        <w:footnoteReference w:id="21"/>
      </w:r>
      <w:r w:rsidRPr="00276E65">
        <w:rPr>
          <w:szCs w:val="24"/>
        </w:rPr>
        <w:t xml:space="preserve">  </w:t>
      </w:r>
      <w:r w:rsidRPr="00276E65" w:rsidR="008527DE">
        <w:rPr>
          <w:szCs w:val="24"/>
        </w:rPr>
        <w:t xml:space="preserve">The </w:t>
      </w:r>
      <w:r w:rsidRPr="00276E65">
        <w:rPr>
          <w:szCs w:val="24"/>
        </w:rPr>
        <w:t>FirstEnergy</w:t>
      </w:r>
      <w:r w:rsidRPr="00276E65" w:rsidR="008527DE">
        <w:rPr>
          <w:szCs w:val="24"/>
        </w:rPr>
        <w:t xml:space="preserve"> Utilities’</w:t>
      </w:r>
      <w:r w:rsidRPr="00276E65">
        <w:rPr>
          <w:szCs w:val="24"/>
        </w:rPr>
        <w:t xml:space="preserve"> continued insistence on using the EDIT balances different from those included in the settlement in Case No. 18-1604-EL-UNC is without merit and should be rejected.</w:t>
      </w:r>
      <w:r>
        <w:rPr>
          <w:rStyle w:val="FootnoteReference"/>
          <w:szCs w:val="24"/>
        </w:rPr>
        <w:footnoteReference w:id="22"/>
      </w:r>
      <w:r w:rsidRPr="00276E65">
        <w:rPr>
          <w:szCs w:val="24"/>
        </w:rPr>
        <w:t xml:space="preserve"> </w:t>
      </w:r>
      <w:bookmarkStart w:id="3" w:name="_Hlk10020805"/>
    </w:p>
    <w:bookmarkEnd w:id="3"/>
    <w:p w:rsidR="00B90695" w:rsidRPr="00276E65" w:rsidP="009A1C76" w14:paraId="53AAD2E7" w14:textId="6B72CDD3">
      <w:pPr>
        <w:spacing w:line="480" w:lineRule="auto"/>
        <w:ind w:firstLine="720"/>
        <w:rPr>
          <w:szCs w:val="24"/>
        </w:rPr>
      </w:pPr>
      <w:r w:rsidRPr="00276E65">
        <w:rPr>
          <w:szCs w:val="24"/>
        </w:rPr>
        <w:t xml:space="preserve">This is </w:t>
      </w:r>
      <w:r w:rsidRPr="00276E65" w:rsidR="00DF20EC">
        <w:rPr>
          <w:szCs w:val="24"/>
        </w:rPr>
        <w:t xml:space="preserve">also </w:t>
      </w:r>
      <w:r w:rsidRPr="00276E65">
        <w:rPr>
          <w:szCs w:val="24"/>
        </w:rPr>
        <w:t xml:space="preserve">not a new issue.  </w:t>
      </w:r>
      <w:r w:rsidRPr="00276E65" w:rsidR="00DF20EC">
        <w:rPr>
          <w:szCs w:val="24"/>
        </w:rPr>
        <w:t>It was addressed in the 2019 DCR Audit Report</w:t>
      </w:r>
      <w:r>
        <w:rPr>
          <w:rStyle w:val="FootnoteReference"/>
          <w:szCs w:val="24"/>
        </w:rPr>
        <w:footnoteReference w:id="23"/>
      </w:r>
      <w:r w:rsidRPr="00276E65" w:rsidR="00DF20EC">
        <w:rPr>
          <w:szCs w:val="24"/>
        </w:rPr>
        <w:t xml:space="preserve"> and in this Audit Report.</w:t>
      </w:r>
      <w:r>
        <w:rPr>
          <w:rStyle w:val="FootnoteReference"/>
          <w:szCs w:val="24"/>
        </w:rPr>
        <w:footnoteReference w:id="24"/>
      </w:r>
      <w:r w:rsidRPr="00276E65" w:rsidR="00DF20EC">
        <w:rPr>
          <w:szCs w:val="24"/>
        </w:rPr>
        <w:t xml:space="preserve"> </w:t>
      </w:r>
      <w:r w:rsidRPr="00276E65">
        <w:rPr>
          <w:szCs w:val="24"/>
        </w:rPr>
        <w:t xml:space="preserve"> Specifically, the Auditor recommends reductions in </w:t>
      </w:r>
      <w:r w:rsidRPr="00276E65" w:rsidR="00F86C53">
        <w:rPr>
          <w:szCs w:val="24"/>
        </w:rPr>
        <w:t xml:space="preserve">the </w:t>
      </w:r>
      <w:r w:rsidRPr="00276E65">
        <w:rPr>
          <w:szCs w:val="24"/>
        </w:rPr>
        <w:t>DCR revenue requirements of $795,662 for CEI, $1,331,512 for Ohio Edison, and $158,722 for Toledo Edison, respectively</w:t>
      </w:r>
      <w:r w:rsidRPr="00276E65" w:rsidR="00F86C53">
        <w:rPr>
          <w:szCs w:val="24"/>
        </w:rPr>
        <w:t>,</w:t>
      </w:r>
      <w:r w:rsidRPr="00276E65" w:rsidR="00C84C5F">
        <w:rPr>
          <w:szCs w:val="24"/>
        </w:rPr>
        <w:t xml:space="preserve"> to account for the use of EDIT balances </w:t>
      </w:r>
      <w:r w:rsidRPr="00276E65" w:rsidR="00030401">
        <w:rPr>
          <w:szCs w:val="24"/>
        </w:rPr>
        <w:t xml:space="preserve">that are different from those agreed in the prior </w:t>
      </w:r>
      <w:r w:rsidRPr="00276E65" w:rsidR="00AB16A7">
        <w:rPr>
          <w:szCs w:val="24"/>
        </w:rPr>
        <w:t>settlement</w:t>
      </w:r>
      <w:r w:rsidRPr="00276E65" w:rsidR="00030401">
        <w:rPr>
          <w:szCs w:val="24"/>
        </w:rPr>
        <w:t xml:space="preserve"> </w:t>
      </w:r>
      <w:r w:rsidRPr="00276E65" w:rsidR="00C84C5F">
        <w:rPr>
          <w:szCs w:val="24"/>
        </w:rPr>
        <w:t>for calculating DCR charges</w:t>
      </w:r>
      <w:r w:rsidRPr="00276E65">
        <w:rPr>
          <w:szCs w:val="24"/>
        </w:rPr>
        <w:t>.</w:t>
      </w:r>
      <w:r>
        <w:rPr>
          <w:rStyle w:val="FootnoteReference"/>
          <w:szCs w:val="24"/>
        </w:rPr>
        <w:footnoteReference w:id="25"/>
      </w:r>
      <w:r w:rsidRPr="00276E65">
        <w:rPr>
          <w:szCs w:val="24"/>
        </w:rPr>
        <w:t xml:space="preserve"> </w:t>
      </w:r>
    </w:p>
    <w:p w:rsidR="00B90695" w:rsidRPr="00276E65" w:rsidP="009A1C76" w14:paraId="753BE12B" w14:textId="3A9AD03E">
      <w:pPr>
        <w:spacing w:line="480" w:lineRule="auto"/>
        <w:ind w:firstLine="720"/>
        <w:rPr>
          <w:szCs w:val="24"/>
        </w:rPr>
      </w:pPr>
      <w:r w:rsidRPr="00276E65">
        <w:rPr>
          <w:szCs w:val="24"/>
        </w:rPr>
        <w:t>The Auditor states:</w:t>
      </w:r>
    </w:p>
    <w:p w:rsidR="00B90695" w:rsidRPr="00276E65" w:rsidP="00B90695" w14:paraId="77C0442E" w14:textId="3EC42089">
      <w:pPr>
        <w:ind w:left="720"/>
        <w:rPr>
          <w:szCs w:val="24"/>
        </w:rPr>
      </w:pPr>
      <w:r w:rsidRPr="00276E65">
        <w:rPr>
          <w:szCs w:val="24"/>
        </w:rPr>
        <w:t xml:space="preserve">Blue Ridge found the Companies' response to lack clarity, casting doubt on the actual meaning of “final, audited balances.” PricewaterhouseCoopers performed the external audit of the December 31, 2017, financial statements, and they issued an unqualified opinion on February 20, 2018— months prior to the Stipulation, filed on November 9, 2018, as well as the Supplemental Stipulation, filed on January 25, 2019. Since no specific true-up provisions exist in the Stipulation to adjust to the 2017 filed tax returns and other later known variables, Blue Ridge recommends restoring the EDIT balances to reflect those agreed to within the settlement and allowing parties to consider the Company’s changes, such as the assertion that there is no EDIT associated with AFUDC equity, within the next Rider TSA annual filing. With respect to the reclass adjustments, Blue Ridge is neutral on their adoption since they have no impact on the total agreed upon liability to be refunded to customers. The EDIT categories with varying amortization periods are judgmental to some extent and an audit opinion would not render such definitional determinations official or correct. </w:t>
      </w:r>
    </w:p>
    <w:p w:rsidR="00B90695" w:rsidRPr="00276E65" w:rsidP="00B90695" w14:paraId="168B3BDD" w14:textId="77777777">
      <w:pPr>
        <w:ind w:left="720"/>
        <w:rPr>
          <w:szCs w:val="24"/>
        </w:rPr>
      </w:pPr>
    </w:p>
    <w:p w:rsidR="00B90695" w:rsidRPr="00276E65" w:rsidP="00C84C5F" w14:paraId="732631C7" w14:textId="6033BA0E">
      <w:pPr>
        <w:ind w:left="720"/>
        <w:rPr>
          <w:szCs w:val="24"/>
        </w:rPr>
      </w:pPr>
      <w:r w:rsidRPr="00276E65">
        <w:rPr>
          <w:szCs w:val="24"/>
        </w:rPr>
        <w:t>Blue Ridge recommends reversing all EDIT adjustments, except for reclasses between normalized and non-normalized property, so that the Total Property EDIT reflected in Rider DCR matches the Total Property EDIT as of December 31, 2017, in the Stipulation. The scope of Blue Ridge’s current investigation is limited to the property related EDIT balances in Rider DCR. Blue Ridge therefore has not and cannot validate the reclass from property to non-property was appropriately reflected in the new credit mechanism. The following table presents the result of Blue Ridge’s recommendation.</w:t>
      </w:r>
      <w:r>
        <w:rPr>
          <w:rStyle w:val="FootnoteReference"/>
          <w:szCs w:val="24"/>
        </w:rPr>
        <w:footnoteReference w:id="26"/>
      </w:r>
    </w:p>
    <w:p w:rsidR="00B90695" w:rsidRPr="00276E65" w:rsidP="00402E75" w14:paraId="6B46D2C7" w14:textId="77777777">
      <w:pPr>
        <w:ind w:firstLine="720"/>
        <w:rPr>
          <w:szCs w:val="24"/>
        </w:rPr>
      </w:pPr>
    </w:p>
    <w:p w:rsidR="00A476B5" w:rsidRPr="00276E65" w:rsidP="0048234B" w14:paraId="5007AAA3" w14:textId="717C0DAE">
      <w:pPr>
        <w:spacing w:line="480" w:lineRule="auto"/>
        <w:ind w:firstLine="720"/>
        <w:rPr>
          <w:szCs w:val="24"/>
        </w:rPr>
      </w:pPr>
      <w:r w:rsidRPr="00276E65">
        <w:rPr>
          <w:szCs w:val="24"/>
        </w:rPr>
        <w:t>T</w:t>
      </w:r>
      <w:r w:rsidRPr="00276E65" w:rsidR="00B90695">
        <w:rPr>
          <w:szCs w:val="24"/>
        </w:rPr>
        <w:t xml:space="preserve">here is no basis for </w:t>
      </w:r>
      <w:r w:rsidRPr="00276E65">
        <w:rPr>
          <w:szCs w:val="24"/>
        </w:rPr>
        <w:t xml:space="preserve">the </w:t>
      </w:r>
      <w:r w:rsidRPr="00276E65" w:rsidR="00B90695">
        <w:rPr>
          <w:szCs w:val="24"/>
        </w:rPr>
        <w:t xml:space="preserve">FirstEnergy </w:t>
      </w:r>
      <w:r w:rsidRPr="00276E65">
        <w:rPr>
          <w:szCs w:val="24"/>
        </w:rPr>
        <w:t xml:space="preserve">Utilities </w:t>
      </w:r>
      <w:r w:rsidRPr="00276E65" w:rsidR="00B90695">
        <w:rPr>
          <w:szCs w:val="24"/>
        </w:rPr>
        <w:t xml:space="preserve">to continue using the EDIT balances that are different from those approved in the </w:t>
      </w:r>
      <w:r w:rsidRPr="00276E65">
        <w:rPr>
          <w:szCs w:val="24"/>
        </w:rPr>
        <w:t>settlement</w:t>
      </w:r>
      <w:r w:rsidRPr="00276E65" w:rsidR="00B90695">
        <w:rPr>
          <w:szCs w:val="24"/>
        </w:rPr>
        <w:t xml:space="preserve"> </w:t>
      </w:r>
      <w:r w:rsidRPr="00276E65" w:rsidR="00C84C5F">
        <w:rPr>
          <w:szCs w:val="24"/>
        </w:rPr>
        <w:t xml:space="preserve">in Case No. 18-1656-EL-ATA. </w:t>
      </w:r>
      <w:r w:rsidRPr="00276E65" w:rsidR="00030401">
        <w:rPr>
          <w:szCs w:val="24"/>
        </w:rPr>
        <w:t xml:space="preserve"> OCC has filed comments </w:t>
      </w:r>
      <w:r w:rsidRPr="00276E65">
        <w:rPr>
          <w:szCs w:val="24"/>
        </w:rPr>
        <w:t xml:space="preserve">in the 2019 DCR Audit case </w:t>
      </w:r>
      <w:r w:rsidRPr="00276E65" w:rsidR="00F10E4E">
        <w:rPr>
          <w:szCs w:val="24"/>
        </w:rPr>
        <w:t>explaining</w:t>
      </w:r>
      <w:r w:rsidRPr="00276E65" w:rsidR="008B2E66">
        <w:rPr>
          <w:szCs w:val="24"/>
        </w:rPr>
        <w:t xml:space="preserve"> </w:t>
      </w:r>
      <w:r w:rsidRPr="00276E65">
        <w:rPr>
          <w:szCs w:val="24"/>
        </w:rPr>
        <w:t>that:</w:t>
      </w:r>
    </w:p>
    <w:p w:rsidR="00A476B5" w:rsidRPr="00276E65" w:rsidP="00A476B5" w14:paraId="5608DFFB" w14:textId="24A03A5A">
      <w:pPr>
        <w:ind w:left="720"/>
        <w:rPr>
          <w:szCs w:val="24"/>
        </w:rPr>
      </w:pPr>
      <w:r w:rsidRPr="00276E65">
        <w:rPr>
          <w:szCs w:val="24"/>
        </w:rPr>
        <w:t>FirstEnergy’s unilateral adjustment of the agreed-upon EDIT balance has two harmful effects to consumers. One is to reduce the amount owed to customers under the approved Settlement by approximately $28.3 million. The second harmful effect of FirstEnergy’s unilateral EDIT balance adjustment is to increase the rate base used in the calculation 2019 Rider DCR revenue requirement by $2.5 million. EDIT balance is considered a customer-supplied source of funding and should be treated as a reduction to rate base. However, FirstEnergy’s unilateral and unreasonable reduction of the EDIT balance as of December 31, 2017 will instead increase the rate base used in calculating the 2019 DCR revenue requirement. The PUCO should not allow that to happen.</w:t>
      </w:r>
      <w:r>
        <w:rPr>
          <w:rStyle w:val="FootnoteReference"/>
          <w:szCs w:val="24"/>
        </w:rPr>
        <w:footnoteReference w:id="27"/>
      </w:r>
      <w:r w:rsidRPr="00276E65">
        <w:rPr>
          <w:szCs w:val="24"/>
        </w:rPr>
        <w:t xml:space="preserve"> </w:t>
      </w:r>
    </w:p>
    <w:p w:rsidR="00A476B5" w:rsidRPr="00276E65" w:rsidP="00A476B5" w14:paraId="31EB4804" w14:textId="4DA61CCD">
      <w:pPr>
        <w:rPr>
          <w:szCs w:val="24"/>
        </w:rPr>
      </w:pPr>
    </w:p>
    <w:p w:rsidR="00A476B5" w:rsidRPr="00276E65" w:rsidP="00A476B5" w14:paraId="7E1F78FD" w14:textId="77777777">
      <w:pPr>
        <w:rPr>
          <w:szCs w:val="24"/>
        </w:rPr>
      </w:pPr>
    </w:p>
    <w:p w:rsidR="00B90695" w:rsidRPr="00276E65" w:rsidP="00E8008D" w14:paraId="014F01A3" w14:textId="58AB44D2">
      <w:pPr>
        <w:spacing w:line="480" w:lineRule="auto"/>
        <w:rPr>
          <w:szCs w:val="24"/>
        </w:rPr>
      </w:pPr>
      <w:r w:rsidRPr="00276E65">
        <w:rPr>
          <w:szCs w:val="24"/>
        </w:rPr>
        <w:t xml:space="preserve">These comments are equally applicable in the current 2020 DCR Audit case. </w:t>
      </w:r>
      <w:r w:rsidRPr="00276E65" w:rsidR="004D2C9D">
        <w:rPr>
          <w:szCs w:val="24"/>
        </w:rPr>
        <w:t>To protect consumers, t</w:t>
      </w:r>
      <w:r w:rsidRPr="00276E65" w:rsidR="00C84C5F">
        <w:rPr>
          <w:szCs w:val="24"/>
        </w:rPr>
        <w:t xml:space="preserve">he PUCO should adopt the adjustments and recommendations proposed in the Audit Report regarding this issue. </w:t>
      </w:r>
      <w:r w:rsidRPr="00276E65" w:rsidR="004D2C9D">
        <w:rPr>
          <w:szCs w:val="24"/>
        </w:rPr>
        <w:t xml:space="preserve"> It should reduce the DCR revenue requirements in the amounts of $795,662 for CEI, $1,331,512 for Ohio Edison, and $158,722 for Toledo Edison, respectively,</w:t>
      </w:r>
      <w:r w:rsidRPr="00276E65" w:rsidR="003D440C">
        <w:rPr>
          <w:szCs w:val="24"/>
        </w:rPr>
        <w:t xml:space="preserve"> so that consumers do not pay unreasonable and unjust DCR charges.</w:t>
      </w:r>
      <w:r w:rsidRPr="00276E65">
        <w:rPr>
          <w:szCs w:val="24"/>
        </w:rPr>
        <w:t xml:space="preserve">  The EDIT balances agreed in the prior </w:t>
      </w:r>
      <w:r w:rsidRPr="00276E65" w:rsidR="00F10E4E">
        <w:rPr>
          <w:szCs w:val="24"/>
        </w:rPr>
        <w:t>settlement</w:t>
      </w:r>
      <w:r w:rsidRPr="00276E65">
        <w:rPr>
          <w:szCs w:val="24"/>
        </w:rPr>
        <w:t xml:space="preserve"> should also be used, on a going-forward basis, in calculating future DCR charges.  </w:t>
      </w:r>
    </w:p>
    <w:p w:rsidR="003D1256" w:rsidRPr="00276E65" w:rsidP="0048234B" w14:paraId="09AA70F4" w14:textId="77777777">
      <w:pPr>
        <w:pStyle w:val="Heading1"/>
        <w:spacing w:before="0"/>
        <w:rPr>
          <w:rFonts w:ascii="Times New Roman" w:hAnsi="Times New Roman"/>
        </w:rPr>
      </w:pPr>
      <w:bookmarkStart w:id="4" w:name="_Toc8388100"/>
      <w:r w:rsidRPr="00276E65">
        <w:rPr>
          <w:rFonts w:ascii="Times New Roman" w:hAnsi="Times New Roman"/>
        </w:rPr>
        <w:t>I</w:t>
      </w:r>
      <w:r w:rsidRPr="00276E65" w:rsidR="00223652">
        <w:rPr>
          <w:rFonts w:ascii="Times New Roman" w:hAnsi="Times New Roman"/>
        </w:rPr>
        <w:t>II</w:t>
      </w:r>
      <w:r w:rsidRPr="00276E65">
        <w:rPr>
          <w:rFonts w:ascii="Times New Roman" w:hAnsi="Times New Roman"/>
        </w:rPr>
        <w:t>.</w:t>
      </w:r>
      <w:r w:rsidRPr="00276E65">
        <w:rPr>
          <w:rFonts w:ascii="Times New Roman" w:hAnsi="Times New Roman"/>
        </w:rPr>
        <w:tab/>
        <w:t>CONCLUSION</w:t>
      </w:r>
      <w:bookmarkEnd w:id="4"/>
    </w:p>
    <w:p w:rsidR="005722BC" w:rsidRPr="00276E65" w:rsidP="0006364B" w14:paraId="329700CD" w14:textId="3D7C0D06">
      <w:pPr>
        <w:widowControl w:val="0"/>
        <w:spacing w:line="480" w:lineRule="auto"/>
        <w:ind w:firstLine="720"/>
        <w:rPr>
          <w:szCs w:val="24"/>
        </w:rPr>
      </w:pPr>
      <w:r w:rsidRPr="00276E65">
        <w:rPr>
          <w:szCs w:val="24"/>
        </w:rPr>
        <w:t xml:space="preserve">The </w:t>
      </w:r>
      <w:r w:rsidRPr="00276E65" w:rsidR="00C31066">
        <w:rPr>
          <w:szCs w:val="24"/>
        </w:rPr>
        <w:t>FirstEnergy</w:t>
      </w:r>
      <w:r w:rsidRPr="00276E65">
        <w:rPr>
          <w:szCs w:val="24"/>
        </w:rPr>
        <w:t xml:space="preserve"> Utilities</w:t>
      </w:r>
      <w:r w:rsidRPr="00276E65" w:rsidR="00C31066">
        <w:rPr>
          <w:szCs w:val="24"/>
        </w:rPr>
        <w:t xml:space="preserve"> arguments opposing the Auditor’s findings are unpersuasive. </w:t>
      </w:r>
      <w:r w:rsidRPr="00276E65" w:rsidR="00616004">
        <w:rPr>
          <w:szCs w:val="24"/>
        </w:rPr>
        <w:t>The</w:t>
      </w:r>
      <w:r w:rsidRPr="00276E65" w:rsidR="00535593">
        <w:rPr>
          <w:szCs w:val="24"/>
        </w:rPr>
        <w:t xml:space="preserve"> PUCO should take decisive steps regarding </w:t>
      </w:r>
      <w:r w:rsidRPr="00276E65">
        <w:rPr>
          <w:szCs w:val="24"/>
        </w:rPr>
        <w:t xml:space="preserve">the </w:t>
      </w:r>
      <w:r w:rsidRPr="00276E65" w:rsidR="00616004">
        <w:rPr>
          <w:szCs w:val="24"/>
        </w:rPr>
        <w:t>FirstEnergy</w:t>
      </w:r>
      <w:r w:rsidRPr="00276E65">
        <w:rPr>
          <w:szCs w:val="24"/>
        </w:rPr>
        <w:t xml:space="preserve"> Utilities’</w:t>
      </w:r>
      <w:r w:rsidRPr="00276E65" w:rsidR="00535593">
        <w:rPr>
          <w:szCs w:val="24"/>
        </w:rPr>
        <w:t xml:space="preserve"> policy, process</w:t>
      </w:r>
      <w:r w:rsidRPr="00276E65" w:rsidR="00DC4DE4">
        <w:rPr>
          <w:szCs w:val="24"/>
        </w:rPr>
        <w:t>,</w:t>
      </w:r>
      <w:r w:rsidRPr="00276E65" w:rsidR="00535593">
        <w:rPr>
          <w:szCs w:val="24"/>
        </w:rPr>
        <w:t xml:space="preserve"> and accounting of vegetation management programs</w:t>
      </w:r>
      <w:r w:rsidRPr="00276E65">
        <w:rPr>
          <w:szCs w:val="24"/>
        </w:rPr>
        <w:t xml:space="preserve"> – </w:t>
      </w:r>
      <w:r w:rsidRPr="00276E65" w:rsidR="00C31066">
        <w:rPr>
          <w:szCs w:val="24"/>
        </w:rPr>
        <w:t xml:space="preserve">as the Auditor </w:t>
      </w:r>
      <w:r w:rsidRPr="00276E65" w:rsidR="007D4853">
        <w:rPr>
          <w:szCs w:val="24"/>
        </w:rPr>
        <w:t xml:space="preserve">and OCC </w:t>
      </w:r>
      <w:r w:rsidRPr="00276E65" w:rsidR="00C31066">
        <w:rPr>
          <w:szCs w:val="24"/>
        </w:rPr>
        <w:t>recommend</w:t>
      </w:r>
      <w:r w:rsidRPr="00276E65" w:rsidR="00535593">
        <w:rPr>
          <w:szCs w:val="24"/>
        </w:rPr>
        <w:t>. The improperly</w:t>
      </w:r>
      <w:r w:rsidRPr="00276E65" w:rsidR="00D05E62">
        <w:rPr>
          <w:szCs w:val="24"/>
        </w:rPr>
        <w:t xml:space="preserve"> </w:t>
      </w:r>
      <w:r w:rsidRPr="00276E65" w:rsidR="00C84C5F">
        <w:rPr>
          <w:szCs w:val="24"/>
        </w:rPr>
        <w:t xml:space="preserve">recorded EDIT balances used by </w:t>
      </w:r>
      <w:r w:rsidRPr="00276E65">
        <w:rPr>
          <w:szCs w:val="24"/>
        </w:rPr>
        <w:t xml:space="preserve">the </w:t>
      </w:r>
      <w:r w:rsidRPr="00276E65" w:rsidR="00C84C5F">
        <w:rPr>
          <w:szCs w:val="24"/>
        </w:rPr>
        <w:t>FirstEnergy</w:t>
      </w:r>
      <w:r w:rsidRPr="00276E65">
        <w:rPr>
          <w:szCs w:val="24"/>
        </w:rPr>
        <w:t xml:space="preserve"> Utilities</w:t>
      </w:r>
      <w:r w:rsidRPr="00276E65" w:rsidR="00C84C5F">
        <w:rPr>
          <w:szCs w:val="24"/>
        </w:rPr>
        <w:t xml:space="preserve"> in calculating the DCR charges should also be adjusted based </w:t>
      </w:r>
      <w:r w:rsidRPr="00276E65">
        <w:rPr>
          <w:szCs w:val="24"/>
        </w:rPr>
        <w:t xml:space="preserve">on </w:t>
      </w:r>
      <w:r w:rsidRPr="00276E65" w:rsidR="00C84C5F">
        <w:rPr>
          <w:szCs w:val="24"/>
        </w:rPr>
        <w:t xml:space="preserve">those approved in </w:t>
      </w:r>
      <w:r w:rsidRPr="00276E65">
        <w:rPr>
          <w:szCs w:val="24"/>
        </w:rPr>
        <w:t>the prior settlement – as the Auditor and OCC recommend.</w:t>
      </w:r>
      <w:r w:rsidRPr="00276E65" w:rsidR="00C84C5F">
        <w:rPr>
          <w:szCs w:val="24"/>
        </w:rPr>
        <w:t xml:space="preserve"> </w:t>
      </w:r>
    </w:p>
    <w:p w:rsidR="00402E75" w:rsidRPr="00276E65" w14:paraId="0C991A1C" w14:textId="10D2F848">
      <w:pPr>
        <w:rPr>
          <w:szCs w:val="24"/>
        </w:rPr>
      </w:pPr>
    </w:p>
    <w:p w:rsidR="003D1256" w:rsidRPr="00276E65" w:rsidP="00475E9C" w14:paraId="1CFD5D43" w14:textId="7CF98CBD">
      <w:pPr>
        <w:widowControl w:val="0"/>
        <w:spacing w:line="480" w:lineRule="auto"/>
        <w:ind w:left="3600"/>
        <w:rPr>
          <w:szCs w:val="24"/>
        </w:rPr>
      </w:pPr>
      <w:r w:rsidRPr="00276E65">
        <w:rPr>
          <w:szCs w:val="24"/>
        </w:rPr>
        <w:t>Respectfully submitted,</w:t>
      </w:r>
    </w:p>
    <w:p w:rsidR="003D1256" w:rsidRPr="00276E65" w:rsidP="00475E9C" w14:paraId="3EEF8611" w14:textId="5391BDB3">
      <w:pPr>
        <w:pStyle w:val="Footer"/>
        <w:tabs>
          <w:tab w:val="clear" w:pos="4320"/>
          <w:tab w:val="clear" w:pos="8640"/>
        </w:tabs>
        <w:ind w:left="3600"/>
        <w:rPr>
          <w:sz w:val="24"/>
          <w:szCs w:val="24"/>
        </w:rPr>
      </w:pPr>
      <w:r w:rsidRPr="00276E65">
        <w:rPr>
          <w:sz w:val="24"/>
          <w:szCs w:val="24"/>
        </w:rPr>
        <w:t>Bruce Weston (0016973)</w:t>
      </w:r>
    </w:p>
    <w:p w:rsidR="003D1256" w:rsidRPr="00276E65" w:rsidP="00475E9C" w14:paraId="05F712E5" w14:textId="77777777">
      <w:pPr>
        <w:ind w:left="3600"/>
        <w:rPr>
          <w:szCs w:val="24"/>
        </w:rPr>
      </w:pPr>
      <w:r w:rsidRPr="00276E65">
        <w:rPr>
          <w:szCs w:val="24"/>
        </w:rPr>
        <w:t>Ohio Consumers’ Counsel</w:t>
      </w:r>
    </w:p>
    <w:p w:rsidR="003D1256" w:rsidRPr="00276E65" w:rsidP="00475E9C" w14:paraId="729C9110" w14:textId="77777777">
      <w:pPr>
        <w:tabs>
          <w:tab w:val="left" w:pos="4320"/>
        </w:tabs>
        <w:ind w:left="3600"/>
        <w:rPr>
          <w:i/>
          <w:szCs w:val="24"/>
          <w:u w:val="single"/>
        </w:rPr>
      </w:pPr>
    </w:p>
    <w:p w:rsidR="00041DF9" w:rsidRPr="00276E65" w:rsidP="00475E9C" w14:paraId="7B7603A7" w14:textId="241B8A0F">
      <w:pPr>
        <w:ind w:left="3600"/>
        <w:rPr>
          <w:bCs/>
          <w:i/>
          <w:iCs/>
          <w:szCs w:val="24"/>
          <w:u w:val="single"/>
        </w:rPr>
      </w:pPr>
      <w:r w:rsidRPr="00276E65">
        <w:rPr>
          <w:bCs/>
          <w:i/>
          <w:iCs/>
          <w:szCs w:val="24"/>
          <w:u w:val="single"/>
        </w:rPr>
        <w:t>/s/ William J. Michael</w:t>
      </w:r>
    </w:p>
    <w:p w:rsidR="00475E9C" w:rsidRPr="00276E65" w:rsidP="00475E9C" w14:paraId="2B4F38FD" w14:textId="77777777">
      <w:pPr>
        <w:ind w:left="3600"/>
        <w:rPr>
          <w:szCs w:val="24"/>
        </w:rPr>
      </w:pPr>
      <w:r w:rsidRPr="00276E65">
        <w:rPr>
          <w:szCs w:val="24"/>
        </w:rPr>
        <w:t>William J. Michael (0070921)</w:t>
      </w:r>
    </w:p>
    <w:p w:rsidR="00475E9C" w:rsidRPr="00276E65" w:rsidP="00475E9C" w14:paraId="194A1815" w14:textId="77777777">
      <w:pPr>
        <w:ind w:left="3600"/>
        <w:rPr>
          <w:szCs w:val="24"/>
        </w:rPr>
      </w:pPr>
      <w:r w:rsidRPr="00276E65">
        <w:rPr>
          <w:szCs w:val="24"/>
        </w:rPr>
        <w:t xml:space="preserve">Counsel of Record </w:t>
      </w:r>
    </w:p>
    <w:p w:rsidR="00475E9C" w:rsidRPr="00276E65" w:rsidP="00475E9C" w14:paraId="4A8A8CC2" w14:textId="77777777">
      <w:pPr>
        <w:ind w:left="3600"/>
        <w:rPr>
          <w:szCs w:val="24"/>
        </w:rPr>
      </w:pPr>
      <w:r w:rsidRPr="00276E65">
        <w:rPr>
          <w:szCs w:val="24"/>
        </w:rPr>
        <w:t>Ambrosia E. Wilson (0096598)</w:t>
      </w:r>
    </w:p>
    <w:p w:rsidR="00475E9C" w:rsidRPr="00276E65" w:rsidP="00475E9C" w14:paraId="4046D1FB" w14:textId="77777777">
      <w:pPr>
        <w:ind w:left="3600"/>
        <w:rPr>
          <w:szCs w:val="24"/>
        </w:rPr>
      </w:pPr>
      <w:r w:rsidRPr="00276E65">
        <w:rPr>
          <w:szCs w:val="24"/>
        </w:rPr>
        <w:t>Assistant Consumers’ Counsel</w:t>
      </w:r>
    </w:p>
    <w:p w:rsidR="00475E9C" w:rsidRPr="00276E65" w:rsidP="00475E9C" w14:paraId="77F26C69" w14:textId="77777777">
      <w:pPr>
        <w:ind w:left="3600"/>
        <w:rPr>
          <w:szCs w:val="24"/>
        </w:rPr>
      </w:pPr>
      <w:r w:rsidRPr="00276E65">
        <w:rPr>
          <w:szCs w:val="24"/>
        </w:rPr>
        <w:tab/>
      </w:r>
    </w:p>
    <w:p w:rsidR="00475E9C" w:rsidRPr="00276E65" w:rsidP="00475E9C" w14:paraId="2A35FD5E" w14:textId="77777777">
      <w:pPr>
        <w:ind w:left="3600"/>
        <w:rPr>
          <w:b/>
          <w:bCs/>
          <w:szCs w:val="24"/>
        </w:rPr>
      </w:pPr>
      <w:r w:rsidRPr="00276E65">
        <w:rPr>
          <w:b/>
          <w:bCs/>
          <w:szCs w:val="24"/>
        </w:rPr>
        <w:t>Office of the Ohio Consumers’ Counsel</w:t>
      </w:r>
    </w:p>
    <w:p w:rsidR="00475E9C" w:rsidRPr="00276E65" w:rsidP="00475E9C" w14:paraId="7445D77C" w14:textId="77777777">
      <w:pPr>
        <w:ind w:left="3600"/>
        <w:rPr>
          <w:b/>
          <w:szCs w:val="24"/>
        </w:rPr>
      </w:pPr>
      <w:r w:rsidRPr="00276E65">
        <w:rPr>
          <w:szCs w:val="24"/>
        </w:rPr>
        <w:t>65 East State Street, 7th Floor</w:t>
      </w:r>
    </w:p>
    <w:p w:rsidR="00475E9C" w:rsidRPr="00276E65" w:rsidP="00475E9C" w14:paraId="3668B62B" w14:textId="77777777">
      <w:pPr>
        <w:ind w:left="3600"/>
        <w:rPr>
          <w:b/>
          <w:szCs w:val="24"/>
        </w:rPr>
      </w:pPr>
      <w:r w:rsidRPr="00276E65">
        <w:rPr>
          <w:szCs w:val="24"/>
        </w:rPr>
        <w:t>Columbus, Ohio 43215-4213</w:t>
      </w:r>
    </w:p>
    <w:p w:rsidR="00475E9C" w:rsidRPr="00276E65" w:rsidP="00475E9C" w14:paraId="6A216EDA" w14:textId="77777777">
      <w:pPr>
        <w:autoSpaceDE w:val="0"/>
        <w:autoSpaceDN w:val="0"/>
        <w:adjustRightInd w:val="0"/>
        <w:ind w:left="3600"/>
        <w:rPr>
          <w:szCs w:val="24"/>
        </w:rPr>
      </w:pPr>
      <w:r w:rsidRPr="00276E65">
        <w:rPr>
          <w:szCs w:val="24"/>
        </w:rPr>
        <w:t>Telephone [Michael]: (614) 466-1291</w:t>
      </w:r>
    </w:p>
    <w:p w:rsidR="00475E9C" w:rsidRPr="00276E65" w:rsidP="00475E9C" w14:paraId="1FA69C3B" w14:textId="77777777">
      <w:pPr>
        <w:autoSpaceDE w:val="0"/>
        <w:autoSpaceDN w:val="0"/>
        <w:adjustRightInd w:val="0"/>
        <w:ind w:left="3600"/>
        <w:rPr>
          <w:szCs w:val="24"/>
        </w:rPr>
      </w:pPr>
      <w:r w:rsidRPr="00276E65">
        <w:rPr>
          <w:szCs w:val="24"/>
        </w:rPr>
        <w:t>Telephone [Wilson]: (614) 466-1292</w:t>
      </w:r>
    </w:p>
    <w:p w:rsidR="00475E9C" w:rsidRPr="00276E65" w:rsidP="00475E9C" w14:paraId="55C440A6" w14:textId="77777777">
      <w:pPr>
        <w:autoSpaceDE w:val="0"/>
        <w:autoSpaceDN w:val="0"/>
        <w:adjustRightInd w:val="0"/>
        <w:ind w:left="3600"/>
        <w:rPr>
          <w:szCs w:val="24"/>
        </w:rPr>
      </w:pPr>
      <w:hyperlink r:id="rId6" w:history="1">
        <w:r w:rsidRPr="00276E65" w:rsidR="0071168A">
          <w:rPr>
            <w:rStyle w:val="Hyperlink"/>
            <w:szCs w:val="24"/>
          </w:rPr>
          <w:t>William.Michael@occ.ohio.gov</w:t>
        </w:r>
      </w:hyperlink>
    </w:p>
    <w:p w:rsidR="00475E9C" w:rsidRPr="00276E65" w:rsidP="00475E9C" w14:paraId="64F10981" w14:textId="77777777">
      <w:pPr>
        <w:autoSpaceDE w:val="0"/>
        <w:autoSpaceDN w:val="0"/>
        <w:adjustRightInd w:val="0"/>
        <w:ind w:left="3600"/>
        <w:rPr>
          <w:szCs w:val="24"/>
        </w:rPr>
      </w:pPr>
      <w:hyperlink r:id="rId7" w:history="1">
        <w:r w:rsidRPr="00276E65" w:rsidR="0071168A">
          <w:rPr>
            <w:rStyle w:val="Hyperlink"/>
            <w:szCs w:val="24"/>
          </w:rPr>
          <w:t>Ambrosia.Wilson@occ.ohio.gov</w:t>
        </w:r>
      </w:hyperlink>
    </w:p>
    <w:p w:rsidR="00475E9C" w:rsidRPr="00276E65" w:rsidP="00475E9C" w14:paraId="0E06749B" w14:textId="77777777">
      <w:pPr>
        <w:ind w:left="3600"/>
        <w:rPr>
          <w:szCs w:val="24"/>
        </w:rPr>
      </w:pPr>
      <w:r w:rsidRPr="00276E65">
        <w:rPr>
          <w:szCs w:val="24"/>
        </w:rPr>
        <w:t>(willing to accept service by e-mail)</w:t>
      </w:r>
    </w:p>
    <w:p w:rsidR="003D1256" w:rsidRPr="00276E65" w:rsidP="00475E9C" w14:paraId="70A5AAE0" w14:textId="77777777">
      <w:pPr>
        <w:autoSpaceDE w:val="0"/>
        <w:autoSpaceDN w:val="0"/>
        <w:adjustRightInd w:val="0"/>
        <w:ind w:left="4320"/>
        <w:rPr>
          <w:szCs w:val="24"/>
        </w:rPr>
      </w:pPr>
    </w:p>
    <w:p w:rsidR="003D1256" w:rsidRPr="00276E65" w:rsidP="003D1256" w14:paraId="1E993BC1" w14:textId="77777777">
      <w:pPr>
        <w:autoSpaceDE w:val="0"/>
        <w:autoSpaceDN w:val="0"/>
        <w:adjustRightInd w:val="0"/>
        <w:ind w:left="3960"/>
        <w:rPr>
          <w:szCs w:val="24"/>
        </w:rPr>
      </w:pPr>
    </w:p>
    <w:p w:rsidR="003D1256" w:rsidRPr="00276E65" w:rsidP="003D1256" w14:paraId="77960FA3" w14:textId="77777777">
      <w:pPr>
        <w:autoSpaceDE w:val="0"/>
        <w:autoSpaceDN w:val="0"/>
        <w:adjustRightInd w:val="0"/>
        <w:rPr>
          <w:szCs w:val="24"/>
        </w:rPr>
        <w:sectPr w:rsidSect="001E7D34">
          <w:footerReference w:type="default" r:id="rId8"/>
          <w:pgSz w:w="12240" w:h="15840"/>
          <w:pgMar w:top="1440" w:right="1800" w:bottom="1440" w:left="1800" w:header="720" w:footer="720" w:gutter="0"/>
          <w:cols w:space="720"/>
          <w:titlePg/>
          <w:docGrid w:linePitch="326"/>
        </w:sectPr>
      </w:pPr>
    </w:p>
    <w:p w:rsidR="003D1256" w:rsidRPr="00276E65" w:rsidP="003D1256" w14:paraId="52E2C6B7" w14:textId="77777777">
      <w:pPr>
        <w:pStyle w:val="BodyTextIndent3"/>
        <w:widowControl w:val="0"/>
        <w:spacing w:line="480" w:lineRule="auto"/>
        <w:ind w:right="-672" w:firstLine="0"/>
        <w:jc w:val="center"/>
        <w:rPr>
          <w:b/>
          <w:bCs/>
          <w:szCs w:val="24"/>
          <w:u w:val="single"/>
        </w:rPr>
      </w:pPr>
      <w:r w:rsidRPr="00276E65">
        <w:rPr>
          <w:b/>
          <w:bCs/>
          <w:szCs w:val="24"/>
          <w:u w:val="single"/>
        </w:rPr>
        <w:t>CERTIFICATE OF SERVICE</w:t>
      </w:r>
    </w:p>
    <w:p w:rsidR="003D1256" w:rsidRPr="00276E65" w:rsidP="003D1256" w14:paraId="60EE46E6" w14:textId="02CAEBCF">
      <w:pPr>
        <w:spacing w:line="480" w:lineRule="atLeast"/>
        <w:ind w:firstLine="720"/>
        <w:rPr>
          <w:szCs w:val="24"/>
        </w:rPr>
      </w:pPr>
      <w:r w:rsidRPr="00276E65">
        <w:rPr>
          <w:szCs w:val="24"/>
        </w:rPr>
        <w:t xml:space="preserve">I hereby certify that a copy of these </w:t>
      </w:r>
      <w:r w:rsidRPr="00276E65" w:rsidR="00652332">
        <w:rPr>
          <w:szCs w:val="24"/>
        </w:rPr>
        <w:t xml:space="preserve">Reply </w:t>
      </w:r>
      <w:r w:rsidRPr="00276E65">
        <w:rPr>
          <w:szCs w:val="24"/>
        </w:rPr>
        <w:t>Comments w</w:t>
      </w:r>
      <w:r w:rsidRPr="00276E65" w:rsidR="00A934D0">
        <w:rPr>
          <w:szCs w:val="24"/>
        </w:rPr>
        <w:t>as</w:t>
      </w:r>
      <w:r w:rsidRPr="00276E65">
        <w:rPr>
          <w:szCs w:val="24"/>
        </w:rPr>
        <w:t xml:space="preserve"> served on the persons stated below via electronic transmission this </w:t>
      </w:r>
      <w:r w:rsidRPr="00276E65" w:rsidR="00637F42">
        <w:rPr>
          <w:szCs w:val="24"/>
        </w:rPr>
        <w:t>14th</w:t>
      </w:r>
      <w:r w:rsidRPr="00276E65" w:rsidR="00160250">
        <w:rPr>
          <w:szCs w:val="24"/>
        </w:rPr>
        <w:t xml:space="preserve"> </w:t>
      </w:r>
      <w:r w:rsidRPr="00276E65">
        <w:rPr>
          <w:szCs w:val="24"/>
        </w:rPr>
        <w:t xml:space="preserve">day of </w:t>
      </w:r>
      <w:r w:rsidRPr="00276E65" w:rsidR="00637F42">
        <w:rPr>
          <w:szCs w:val="24"/>
        </w:rPr>
        <w:t>October 202</w:t>
      </w:r>
      <w:r w:rsidRPr="00276E65">
        <w:rPr>
          <w:szCs w:val="24"/>
        </w:rPr>
        <w:t>1.</w:t>
      </w:r>
    </w:p>
    <w:p w:rsidR="003D1256" w:rsidRPr="00276E65" w:rsidP="003D1256" w14:paraId="3022DF64" w14:textId="77777777">
      <w:pPr>
        <w:spacing w:line="480" w:lineRule="atLeast"/>
        <w:rPr>
          <w:szCs w:val="24"/>
        </w:rPr>
      </w:pPr>
    </w:p>
    <w:p w:rsidR="003D1256" w:rsidRPr="00276E65" w:rsidP="003D1256" w14:paraId="44E0C024" w14:textId="10E82E3A">
      <w:pPr>
        <w:rPr>
          <w:i/>
          <w:iCs/>
          <w:szCs w:val="24"/>
          <w:u w:val="single"/>
        </w:rPr>
      </w:pPr>
      <w:r w:rsidRPr="00276E65">
        <w:rPr>
          <w:szCs w:val="24"/>
        </w:rPr>
        <w:tab/>
      </w:r>
      <w:r w:rsidRPr="00276E65">
        <w:rPr>
          <w:szCs w:val="24"/>
        </w:rPr>
        <w:tab/>
      </w:r>
      <w:r w:rsidRPr="00276E65">
        <w:rPr>
          <w:szCs w:val="24"/>
        </w:rPr>
        <w:tab/>
      </w:r>
      <w:r w:rsidRPr="00276E65">
        <w:rPr>
          <w:szCs w:val="24"/>
        </w:rPr>
        <w:tab/>
      </w:r>
      <w:r w:rsidRPr="00276E65">
        <w:rPr>
          <w:szCs w:val="24"/>
        </w:rPr>
        <w:tab/>
      </w:r>
      <w:r w:rsidRPr="00276E65">
        <w:rPr>
          <w:szCs w:val="24"/>
        </w:rPr>
        <w:tab/>
      </w:r>
      <w:r w:rsidRPr="00276E65">
        <w:rPr>
          <w:i/>
          <w:iCs/>
          <w:szCs w:val="24"/>
          <w:u w:val="single"/>
        </w:rPr>
        <w:t>/s/ William J. Michael</w:t>
      </w:r>
      <w:r w:rsidRPr="00276E65" w:rsidR="0021152F">
        <w:rPr>
          <w:i/>
          <w:iCs/>
          <w:szCs w:val="24"/>
          <w:u w:val="single"/>
        </w:rPr>
        <w:t xml:space="preserve"> </w:t>
      </w:r>
    </w:p>
    <w:p w:rsidR="004B6AD4" w:rsidRPr="00276E65" w:rsidP="003D1256" w14:paraId="7D38037C" w14:textId="24DC3206">
      <w:pPr>
        <w:rPr>
          <w:szCs w:val="24"/>
        </w:rPr>
      </w:pPr>
      <w:r w:rsidRPr="00276E65">
        <w:rPr>
          <w:szCs w:val="24"/>
        </w:rPr>
        <w:tab/>
      </w:r>
      <w:r w:rsidRPr="00276E65">
        <w:rPr>
          <w:szCs w:val="24"/>
        </w:rPr>
        <w:tab/>
      </w:r>
      <w:r w:rsidRPr="00276E65">
        <w:rPr>
          <w:szCs w:val="24"/>
        </w:rPr>
        <w:tab/>
      </w:r>
      <w:r w:rsidRPr="00276E65">
        <w:rPr>
          <w:szCs w:val="24"/>
        </w:rPr>
        <w:tab/>
      </w:r>
      <w:r w:rsidRPr="00276E65">
        <w:rPr>
          <w:szCs w:val="24"/>
        </w:rPr>
        <w:tab/>
      </w:r>
      <w:r w:rsidRPr="00276E65">
        <w:rPr>
          <w:szCs w:val="24"/>
        </w:rPr>
        <w:tab/>
        <w:t>William J. Michael</w:t>
      </w:r>
    </w:p>
    <w:p w:rsidR="003D1256" w:rsidRPr="00276E65" w:rsidP="004B6AD4" w14:paraId="68EAA727" w14:textId="77777777">
      <w:pPr>
        <w:ind w:left="3600" w:firstLine="720"/>
        <w:rPr>
          <w:szCs w:val="24"/>
        </w:rPr>
      </w:pPr>
      <w:r w:rsidRPr="00276E65">
        <w:rPr>
          <w:szCs w:val="24"/>
        </w:rPr>
        <w:t>Assistant Consumers’ Counsel</w:t>
      </w:r>
    </w:p>
    <w:p w:rsidR="00652332" w:rsidRPr="00276E65" w:rsidP="004B6AD4" w14:paraId="0D1B6DCB" w14:textId="77777777">
      <w:pPr>
        <w:ind w:left="3600" w:firstLine="720"/>
        <w:rPr>
          <w:szCs w:val="24"/>
        </w:rPr>
      </w:pPr>
    </w:p>
    <w:p w:rsidR="00652332" w:rsidRPr="00276E65" w:rsidP="00652332" w14:paraId="704FCA6D" w14:textId="77777777">
      <w:pPr>
        <w:pStyle w:val="CommentText"/>
      </w:pPr>
      <w:r w:rsidRPr="00276E65">
        <w:t>The PUCO’s e-filing system will electronically serve notice of the filing of this document on the following parties:</w:t>
      </w:r>
    </w:p>
    <w:p w:rsidR="00652332" w:rsidRPr="00276E65" w:rsidP="004B6AD4" w14:paraId="4015B4F4" w14:textId="77777777">
      <w:pPr>
        <w:ind w:left="3600" w:firstLine="720"/>
        <w:rPr>
          <w:szCs w:val="24"/>
        </w:rPr>
      </w:pPr>
    </w:p>
    <w:p w:rsidR="003D1256" w:rsidRPr="00276E65" w:rsidP="003D1256" w14:paraId="74165DDA" w14:textId="77777777">
      <w:pPr>
        <w:pStyle w:val="CommentText"/>
        <w:jc w:val="center"/>
        <w:rPr>
          <w:b/>
          <w:u w:val="single"/>
        </w:rPr>
      </w:pPr>
    </w:p>
    <w:p w:rsidR="003D1256" w:rsidRPr="00276E65" w:rsidP="003D1256" w14:paraId="191B7CCB" w14:textId="54C8F868">
      <w:pPr>
        <w:pStyle w:val="CommentText"/>
        <w:jc w:val="center"/>
        <w:rPr>
          <w:b/>
          <w:u w:val="single"/>
        </w:rPr>
      </w:pPr>
      <w:r w:rsidRPr="00276E65">
        <w:rPr>
          <w:b/>
          <w:u w:val="single"/>
        </w:rPr>
        <w:t>SERVICE LIST</w:t>
      </w:r>
    </w:p>
    <w:p w:rsidR="00637F42" w:rsidRPr="00276E65" w:rsidP="003D1256" w14:paraId="3CEE8C0B" w14:textId="267F48CE">
      <w:pPr>
        <w:pStyle w:val="CommentText"/>
        <w:jc w:val="center"/>
        <w:rPr>
          <w:b/>
          <w:u w:val="single"/>
        </w:rPr>
      </w:pPr>
    </w:p>
    <w:p w:rsidR="00637F42" w:rsidRPr="00276E65" w:rsidP="003D1256" w14:paraId="7C18D342"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5"/>
        <w:gridCol w:w="4415"/>
      </w:tblGrid>
      <w:tr w14:paraId="2AFECDE4" w14:textId="77777777" w:rsidTr="00B5322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637"/>
        </w:trPr>
        <w:tc>
          <w:tcPr>
            <w:tcW w:w="4225" w:type="dxa"/>
          </w:tcPr>
          <w:p w:rsidR="00637F42" w:rsidRPr="00276E65" w:rsidP="00B53226" w14:paraId="0D05591E" w14:textId="77777777">
            <w:pPr>
              <w:pStyle w:val="CommentText"/>
              <w:rPr>
                <w:rStyle w:val="Hyperlink"/>
                <w:bCs/>
              </w:rPr>
            </w:pPr>
            <w:hyperlink r:id="rId9" w:history="1">
              <w:r w:rsidRPr="00276E65" w:rsidR="008B083B">
                <w:rPr>
                  <w:rStyle w:val="Hyperlink"/>
                  <w:bCs/>
                </w:rPr>
                <w:t>werner.margard@ohioAGO.gov</w:t>
              </w:r>
            </w:hyperlink>
          </w:p>
          <w:p w:rsidR="00637F42" w:rsidRPr="00276E65" w:rsidP="00B53226" w14:paraId="213881C2" w14:textId="77777777">
            <w:pPr>
              <w:pStyle w:val="CommentText"/>
              <w:rPr>
                <w:rStyle w:val="Hyperlink"/>
                <w:bCs/>
              </w:rPr>
            </w:pPr>
            <w:hyperlink r:id="rId10" w:history="1">
              <w:r w:rsidRPr="00276E65" w:rsidR="008B083B">
                <w:rPr>
                  <w:rStyle w:val="Hyperlink"/>
                  <w:bCs/>
                </w:rPr>
                <w:t>Thomas.lindgren@ohioAGO.gov</w:t>
              </w:r>
            </w:hyperlink>
          </w:p>
          <w:p w:rsidR="00637F42" w:rsidRPr="00276E65" w:rsidP="00B53226" w14:paraId="0FD6A940" w14:textId="77777777">
            <w:pPr>
              <w:autoSpaceDE w:val="0"/>
              <w:autoSpaceDN w:val="0"/>
              <w:adjustRightInd w:val="0"/>
              <w:rPr>
                <w:color w:val="0000FF"/>
                <w:szCs w:val="24"/>
              </w:rPr>
            </w:pPr>
            <w:hyperlink r:id="rId11" w:history="1">
              <w:r w:rsidRPr="00276E65" w:rsidR="008B083B">
                <w:rPr>
                  <w:rStyle w:val="Hyperlink"/>
                  <w:szCs w:val="24"/>
                </w:rPr>
                <w:t>Bojko@carpenterlipps.com</w:t>
              </w:r>
            </w:hyperlink>
          </w:p>
          <w:p w:rsidR="00637F42" w:rsidRPr="00276E65" w:rsidP="00B53226" w14:paraId="3927B173" w14:textId="77777777">
            <w:pPr>
              <w:pStyle w:val="CommentText"/>
              <w:rPr>
                <w:rStyle w:val="Hyperlink"/>
              </w:rPr>
            </w:pPr>
            <w:hyperlink r:id="rId12" w:history="1">
              <w:r w:rsidRPr="00276E65" w:rsidR="008B083B">
                <w:rPr>
                  <w:rStyle w:val="Hyperlink"/>
                </w:rPr>
                <w:t>Donadio@carpenterlipps.com</w:t>
              </w:r>
            </w:hyperlink>
          </w:p>
          <w:p w:rsidR="00637F42" w:rsidRPr="00276E65" w:rsidP="00B53226" w14:paraId="42CF6145" w14:textId="77777777">
            <w:pPr>
              <w:pStyle w:val="CommentText"/>
              <w:rPr>
                <w:rStyle w:val="Hyperlink"/>
              </w:rPr>
            </w:pPr>
            <w:hyperlink r:id="rId13" w:history="1">
              <w:r w:rsidRPr="00276E65" w:rsidR="008B083B">
                <w:rPr>
                  <w:rStyle w:val="Hyperlink"/>
                </w:rPr>
                <w:t>rlazer@elpc.org</w:t>
              </w:r>
            </w:hyperlink>
          </w:p>
          <w:p w:rsidR="00637F42" w:rsidRPr="00276E65" w:rsidP="00B53226" w14:paraId="28D35B66" w14:textId="77777777">
            <w:pPr>
              <w:autoSpaceDE w:val="0"/>
              <w:autoSpaceDN w:val="0"/>
              <w:adjustRightInd w:val="0"/>
              <w:rPr>
                <w:color w:val="3C79D9"/>
                <w:szCs w:val="24"/>
              </w:rPr>
            </w:pPr>
            <w:hyperlink r:id="rId14" w:history="1">
              <w:r w:rsidRPr="00276E65" w:rsidR="008B083B">
                <w:rPr>
                  <w:rStyle w:val="Hyperlink"/>
                  <w:szCs w:val="24"/>
                </w:rPr>
                <w:t>mleppla@theOEC.org</w:t>
              </w:r>
            </w:hyperlink>
          </w:p>
          <w:p w:rsidR="00637F42" w:rsidRPr="00276E65" w:rsidP="00B53226" w14:paraId="1E21F50A" w14:textId="77777777">
            <w:pPr>
              <w:pStyle w:val="CommentText"/>
              <w:rPr>
                <w:rStyle w:val="Hyperlink"/>
              </w:rPr>
            </w:pPr>
            <w:hyperlink r:id="rId15" w:history="1">
              <w:r w:rsidRPr="00276E65" w:rsidR="008B083B">
                <w:rPr>
                  <w:rStyle w:val="Hyperlink"/>
                </w:rPr>
                <w:t>ctavenor@theOEC.org</w:t>
              </w:r>
            </w:hyperlink>
          </w:p>
          <w:p w:rsidR="00637F42" w:rsidRPr="00276E65" w:rsidP="00B53226" w14:paraId="17C23F0D" w14:textId="14BE0A90">
            <w:pPr>
              <w:pStyle w:val="CommentText"/>
              <w:rPr>
                <w:rStyle w:val="Hyperlink"/>
              </w:rPr>
            </w:pPr>
            <w:hyperlink r:id="rId16" w:history="1">
              <w:r w:rsidRPr="00276E65" w:rsidR="008B083B">
                <w:rPr>
                  <w:rStyle w:val="Hyperlink"/>
                </w:rPr>
                <w:t>glpetrucci@vorys.com</w:t>
              </w:r>
            </w:hyperlink>
          </w:p>
          <w:p w:rsidR="00402E75" w:rsidRPr="00276E65" w:rsidP="00402E75" w14:paraId="1DA34F4F" w14:textId="77777777">
            <w:pPr>
              <w:autoSpaceDE w:val="0"/>
              <w:autoSpaceDN w:val="0"/>
              <w:adjustRightInd w:val="0"/>
              <w:ind w:left="-18"/>
              <w:rPr>
                <w:color w:val="0000FF"/>
                <w:szCs w:val="24"/>
              </w:rPr>
            </w:pPr>
            <w:hyperlink r:id="rId17" w:history="1">
              <w:r w:rsidRPr="00276E65" w:rsidR="008B083B">
                <w:rPr>
                  <w:rStyle w:val="Hyperlink"/>
                  <w:szCs w:val="24"/>
                </w:rPr>
                <w:t>bethany.allen@igs.com</w:t>
              </w:r>
            </w:hyperlink>
          </w:p>
          <w:p w:rsidR="00402E75" w:rsidRPr="00276E65" w:rsidP="00402E75" w14:paraId="1D265CA6" w14:textId="77777777">
            <w:pPr>
              <w:autoSpaceDE w:val="0"/>
              <w:autoSpaceDN w:val="0"/>
              <w:adjustRightInd w:val="0"/>
              <w:ind w:left="-18"/>
              <w:rPr>
                <w:color w:val="0000FF"/>
                <w:szCs w:val="24"/>
              </w:rPr>
            </w:pPr>
            <w:hyperlink r:id="rId18" w:history="1">
              <w:r w:rsidRPr="00276E65" w:rsidR="008B083B">
                <w:rPr>
                  <w:rStyle w:val="Hyperlink"/>
                  <w:szCs w:val="24"/>
                </w:rPr>
                <w:t>joe.oliker@igs.com</w:t>
              </w:r>
            </w:hyperlink>
          </w:p>
          <w:p w:rsidR="00402E75" w:rsidRPr="00276E65" w:rsidP="00402E75" w14:paraId="59A803B6" w14:textId="63BD02B3">
            <w:pPr>
              <w:pStyle w:val="CommentText"/>
              <w:rPr>
                <w:color w:val="0000FF"/>
              </w:rPr>
            </w:pPr>
            <w:hyperlink r:id="rId19" w:history="1">
              <w:r w:rsidRPr="00276E65" w:rsidR="008B083B">
                <w:rPr>
                  <w:rStyle w:val="Hyperlink"/>
                </w:rPr>
                <w:t>evan.betterton@igs.com</w:t>
              </w:r>
            </w:hyperlink>
          </w:p>
          <w:p w:rsidR="00637F42" w:rsidRPr="00276E65" w:rsidP="00B53226" w14:paraId="11F994F7" w14:textId="77777777">
            <w:pPr>
              <w:pStyle w:val="CommentText"/>
              <w:rPr>
                <w:rStyle w:val="Hyperlink"/>
              </w:rPr>
            </w:pPr>
          </w:p>
          <w:p w:rsidR="00637F42" w:rsidRPr="00276E65" w:rsidP="00B53226" w14:paraId="2ED486E5" w14:textId="77777777">
            <w:pPr>
              <w:pStyle w:val="CommentText"/>
              <w:rPr>
                <w:rStyle w:val="Hyperlink"/>
              </w:rPr>
            </w:pPr>
          </w:p>
          <w:p w:rsidR="00637F42" w:rsidRPr="00276E65" w:rsidP="00B53226" w14:paraId="2A47DDC1" w14:textId="77777777">
            <w:pPr>
              <w:pStyle w:val="CommentText"/>
              <w:rPr>
                <w:bCs/>
              </w:rPr>
            </w:pPr>
            <w:r w:rsidRPr="00276E65">
              <w:rPr>
                <w:bCs/>
              </w:rPr>
              <w:t>Attorney Examiners:</w:t>
            </w:r>
          </w:p>
          <w:p w:rsidR="00637F42" w:rsidRPr="00276E65" w:rsidP="00B53226" w14:paraId="2212F16F" w14:textId="77777777">
            <w:pPr>
              <w:pStyle w:val="CommentText"/>
              <w:rPr>
                <w:bCs/>
              </w:rPr>
            </w:pPr>
            <w:hyperlink r:id="rId20" w:history="1">
              <w:r w:rsidRPr="00276E65" w:rsidR="008B083B">
                <w:rPr>
                  <w:rStyle w:val="Hyperlink"/>
                  <w:bCs/>
                </w:rPr>
                <w:t>Megan.addison@puco.ohio.gov</w:t>
              </w:r>
            </w:hyperlink>
          </w:p>
          <w:p w:rsidR="00637F42" w:rsidRPr="00276E65" w:rsidP="00B53226" w14:paraId="4BC4EB44" w14:textId="77777777">
            <w:pPr>
              <w:pStyle w:val="CommentText"/>
              <w:rPr>
                <w:bCs/>
              </w:rPr>
            </w:pPr>
            <w:hyperlink r:id="rId21" w:history="1">
              <w:r w:rsidRPr="00276E65" w:rsidR="008B083B">
                <w:rPr>
                  <w:rStyle w:val="Hyperlink"/>
                  <w:bCs/>
                </w:rPr>
                <w:t>Gregory.price@puco.ohio.gov</w:t>
              </w:r>
            </w:hyperlink>
          </w:p>
          <w:p w:rsidR="00637F42" w:rsidRPr="00276E65" w:rsidP="00B53226" w14:paraId="5C827587" w14:textId="77777777">
            <w:pPr>
              <w:pStyle w:val="CommentText"/>
              <w:rPr>
                <w:bCs/>
              </w:rPr>
            </w:pPr>
            <w:hyperlink r:id="rId22" w:history="1">
              <w:r w:rsidRPr="00276E65" w:rsidR="008B083B">
                <w:rPr>
                  <w:rStyle w:val="Hyperlink"/>
                  <w:bCs/>
                </w:rPr>
                <w:t>Jacqueline.st.john@puco.ohio.gov</w:t>
              </w:r>
            </w:hyperlink>
          </w:p>
          <w:p w:rsidR="00637F42" w:rsidRPr="00276E65" w:rsidP="00B53226" w14:paraId="13E3B67B" w14:textId="77777777">
            <w:pPr>
              <w:pStyle w:val="CommentText"/>
              <w:rPr>
                <w:bCs/>
              </w:rPr>
            </w:pPr>
          </w:p>
        </w:tc>
        <w:tc>
          <w:tcPr>
            <w:tcW w:w="4415" w:type="dxa"/>
          </w:tcPr>
          <w:p w:rsidR="00637F42" w:rsidRPr="00276E65" w:rsidP="00B53226" w14:paraId="21DC3885" w14:textId="77777777">
            <w:pPr>
              <w:pStyle w:val="CommentText"/>
              <w:ind w:left="798"/>
              <w:rPr>
                <w:rStyle w:val="Hyperlink"/>
              </w:rPr>
            </w:pPr>
            <w:hyperlink r:id="rId23" w:history="1">
              <w:r w:rsidRPr="00276E65" w:rsidR="008B083B">
                <w:rPr>
                  <w:rStyle w:val="Hyperlink"/>
                </w:rPr>
                <w:t>bknipe@firstenergycorp.com</w:t>
              </w:r>
            </w:hyperlink>
          </w:p>
          <w:p w:rsidR="00637F42" w:rsidRPr="00276E65" w:rsidP="00B53226" w14:paraId="187103C3" w14:textId="77777777">
            <w:pPr>
              <w:autoSpaceDE w:val="0"/>
              <w:autoSpaceDN w:val="0"/>
              <w:adjustRightInd w:val="0"/>
              <w:ind w:left="798"/>
              <w:rPr>
                <w:szCs w:val="24"/>
              </w:rPr>
            </w:pPr>
            <w:hyperlink r:id="rId24" w:history="1">
              <w:r w:rsidRPr="00276E65" w:rsidR="008B083B">
                <w:rPr>
                  <w:rStyle w:val="Hyperlink"/>
                  <w:szCs w:val="24"/>
                </w:rPr>
                <w:t>mrgladman@jonesday.com</w:t>
              </w:r>
            </w:hyperlink>
          </w:p>
          <w:p w:rsidR="00637F42" w:rsidRPr="00276E65" w:rsidP="00B53226" w14:paraId="42AA0138" w14:textId="77777777">
            <w:pPr>
              <w:pStyle w:val="CommentText"/>
              <w:ind w:left="798"/>
            </w:pPr>
            <w:hyperlink r:id="rId25" w:history="1">
              <w:r w:rsidRPr="00276E65" w:rsidR="008B083B">
                <w:rPr>
                  <w:rStyle w:val="Hyperlink"/>
                </w:rPr>
                <w:t>mdengler@jonesday.com</w:t>
              </w:r>
            </w:hyperlink>
          </w:p>
          <w:p w:rsidR="00637F42" w:rsidRPr="00276E65" w:rsidP="00B53226" w14:paraId="0EFD8FB9" w14:textId="77777777">
            <w:pPr>
              <w:pStyle w:val="CommentText"/>
              <w:ind w:left="798"/>
              <w:rPr>
                <w:rStyle w:val="Hyperlink"/>
              </w:rPr>
            </w:pPr>
            <w:hyperlink r:id="rId26" w:history="1">
              <w:r w:rsidRPr="00276E65" w:rsidR="008B083B">
                <w:rPr>
                  <w:rStyle w:val="Hyperlink"/>
                </w:rPr>
                <w:t>radoringo@jonesday.com</w:t>
              </w:r>
            </w:hyperlink>
          </w:p>
          <w:p w:rsidR="00637F42" w:rsidRPr="00276E65" w:rsidP="00B53226" w14:paraId="307F5F89" w14:textId="77777777">
            <w:pPr>
              <w:pStyle w:val="CommentText"/>
              <w:ind w:left="798"/>
              <w:rPr>
                <w:rStyle w:val="Hyperlink"/>
              </w:rPr>
            </w:pPr>
            <w:hyperlink r:id="rId27" w:history="1">
              <w:r w:rsidRPr="00276E65" w:rsidR="008B083B">
                <w:rPr>
                  <w:rStyle w:val="Hyperlink"/>
                </w:rPr>
                <w:t>calee@jonesday.com</w:t>
              </w:r>
            </w:hyperlink>
          </w:p>
          <w:p w:rsidR="00637F42" w:rsidRPr="00276E65" w:rsidP="00B53226" w14:paraId="2180CE82" w14:textId="77777777">
            <w:pPr>
              <w:pStyle w:val="CommentText"/>
              <w:ind w:left="798"/>
            </w:pPr>
            <w:hyperlink r:id="rId28" w:history="1">
              <w:r w:rsidRPr="00276E65" w:rsidR="008B083B">
                <w:rPr>
                  <w:rStyle w:val="Hyperlink"/>
                </w:rPr>
                <w:t>sgoyal@jonesday.com</w:t>
              </w:r>
            </w:hyperlink>
          </w:p>
          <w:p w:rsidR="00637F42" w:rsidRPr="00276E65" w:rsidP="00B53226" w14:paraId="657F0C7E" w14:textId="77777777">
            <w:pPr>
              <w:pStyle w:val="CommentText"/>
              <w:ind w:left="798"/>
            </w:pPr>
            <w:hyperlink r:id="rId29" w:history="1">
              <w:r w:rsidRPr="00276E65" w:rsidR="008B083B">
                <w:rPr>
                  <w:rStyle w:val="Hyperlink"/>
                </w:rPr>
                <w:t>rdove@keglerbrown.com</w:t>
              </w:r>
            </w:hyperlink>
          </w:p>
          <w:p w:rsidR="00637F42" w:rsidRPr="00276E65" w:rsidP="00B53226" w14:paraId="560F319D" w14:textId="77777777">
            <w:pPr>
              <w:autoSpaceDE w:val="0"/>
              <w:autoSpaceDN w:val="0"/>
              <w:adjustRightInd w:val="0"/>
              <w:ind w:left="798"/>
              <w:rPr>
                <w:color w:val="0000FF"/>
                <w:szCs w:val="24"/>
              </w:rPr>
            </w:pPr>
            <w:hyperlink r:id="rId30" w:history="1">
              <w:r w:rsidRPr="00276E65" w:rsidR="008B083B">
                <w:rPr>
                  <w:rStyle w:val="Hyperlink"/>
                  <w:szCs w:val="24"/>
                </w:rPr>
                <w:t>dparram@bricker.com</w:t>
              </w:r>
            </w:hyperlink>
          </w:p>
          <w:p w:rsidR="00637F42" w:rsidRPr="00276E65" w:rsidP="00B53226" w14:paraId="1FEF26D5" w14:textId="77777777">
            <w:pPr>
              <w:pStyle w:val="CommentText"/>
              <w:ind w:left="798"/>
              <w:rPr>
                <w:rStyle w:val="Hyperlink"/>
              </w:rPr>
            </w:pPr>
            <w:hyperlink r:id="rId31" w:history="1">
              <w:r w:rsidRPr="00276E65" w:rsidR="008B083B">
                <w:rPr>
                  <w:rStyle w:val="Hyperlink"/>
                </w:rPr>
                <w:t>rmains@bricker.com</w:t>
              </w:r>
            </w:hyperlink>
          </w:p>
          <w:p w:rsidR="00637F42" w:rsidRPr="00276E65" w:rsidP="00B53226" w14:paraId="6B4AADEA" w14:textId="145E2F9E">
            <w:pPr>
              <w:pStyle w:val="CommentText"/>
              <w:ind w:left="798"/>
              <w:rPr>
                <w:b/>
                <w:u w:val="single"/>
              </w:rPr>
            </w:pPr>
          </w:p>
        </w:tc>
      </w:tr>
    </w:tbl>
    <w:p w:rsidR="003D1256" w:rsidRPr="00276E65" w:rsidP="003D1256" w14:paraId="4E8F3051" w14:textId="7AA43EBA">
      <w:pPr>
        <w:pStyle w:val="CommentText"/>
        <w:jc w:val="center"/>
        <w:rPr>
          <w:b/>
          <w:u w:val="single"/>
        </w:rPr>
      </w:pPr>
    </w:p>
    <w:p w:rsidR="003D1256" w:rsidRPr="00276E65" w:rsidP="006F1EA1" w14:paraId="5D6C435B" w14:textId="77777777">
      <w:pPr>
        <w:pStyle w:val="BodyTextIndent3"/>
        <w:widowControl w:val="0"/>
        <w:spacing w:line="480" w:lineRule="auto"/>
        <w:ind w:right="-672" w:firstLine="0"/>
        <w:jc w:val="center"/>
        <w:rPr>
          <w:b/>
          <w:bCs/>
          <w:szCs w:val="24"/>
          <w:u w:val="single"/>
        </w:rPr>
      </w:pPr>
    </w:p>
    <w:sectPr w:rsidSect="006F1EA1">
      <w:footerReference w:type="first" r:id="rId32"/>
      <w:pgSz w:w="12240" w:h="15840"/>
      <w:pgMar w:top="1440" w:right="1800" w:bottom="1440" w:left="180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4338" w:rsidRPr="007F2D96" w14:paraId="4A456C68" w14:textId="77777777">
    <w:pPr>
      <w:pStyle w:val="Footer"/>
      <w:jc w:val="center"/>
      <w:rPr>
        <w:sz w:val="24"/>
        <w:szCs w:val="24"/>
      </w:rPr>
    </w:pPr>
    <w:r w:rsidRPr="007F2D96">
      <w:rPr>
        <w:sz w:val="24"/>
        <w:szCs w:val="24"/>
      </w:rPr>
      <w:fldChar w:fldCharType="begin"/>
    </w:r>
    <w:r w:rsidRPr="007F2D96">
      <w:rPr>
        <w:sz w:val="24"/>
        <w:szCs w:val="24"/>
      </w:rPr>
      <w:instrText xml:space="preserve"> PAGE   \* MERGEFORMAT </w:instrText>
    </w:r>
    <w:r w:rsidRPr="007F2D96">
      <w:rPr>
        <w:sz w:val="24"/>
        <w:szCs w:val="24"/>
      </w:rPr>
      <w:fldChar w:fldCharType="separate"/>
    </w:r>
    <w:r w:rsidR="00DA170E">
      <w:rPr>
        <w:noProof/>
        <w:sz w:val="24"/>
        <w:szCs w:val="24"/>
      </w:rPr>
      <w:t>13</w:t>
    </w:r>
    <w:r w:rsidRPr="007F2D96">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1DF9" w:rsidRPr="00041DF9" w14:paraId="4E1418A7"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DA170E">
      <w:rPr>
        <w:noProof/>
        <w:sz w:val="24"/>
        <w:szCs w:val="24"/>
      </w:rPr>
      <w:t>14</w:t>
    </w:r>
    <w:r w:rsidRPr="00041DF9">
      <w:rPr>
        <w:noProof/>
        <w:sz w:val="24"/>
        <w:szCs w:val="24"/>
      </w:rPr>
      <w:fldChar w:fldCharType="end"/>
    </w:r>
  </w:p>
  <w:p w:rsidR="006F1EA1" w:rsidRPr="00C00B86" w:rsidP="006F1EA1" w14:paraId="740295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168A" w14:paraId="558B7792" w14:textId="77777777">
      <w:r>
        <w:separator/>
      </w:r>
    </w:p>
  </w:footnote>
  <w:footnote w:type="continuationSeparator" w:id="1">
    <w:p w:rsidR="0071168A" w14:paraId="0C1F03BF" w14:textId="77777777">
      <w:r>
        <w:continuationSeparator/>
      </w:r>
    </w:p>
  </w:footnote>
  <w:footnote w:id="2">
    <w:p w:rsidR="001B6487" w14:paraId="645EFC61" w14:textId="3F88E70A">
      <w:pPr>
        <w:pStyle w:val="FootnoteText"/>
      </w:pPr>
      <w:r>
        <w:rPr>
          <w:rStyle w:val="FootnoteReference"/>
        </w:rPr>
        <w:footnoteRef/>
      </w:r>
      <w:r>
        <w:t xml:space="preserve"> The Ohio Edison Company, The Cleveland Electric Illuminating Company, and The Toledo Edison Company.</w:t>
      </w:r>
    </w:p>
  </w:footnote>
  <w:footnote w:id="3">
    <w:p w:rsidR="00DD4911" w14:paraId="04AD5C29" w14:textId="096DDD7E">
      <w:pPr>
        <w:pStyle w:val="FootnoteText"/>
      </w:pPr>
      <w:r>
        <w:rPr>
          <w:rStyle w:val="FootnoteReference"/>
        </w:rPr>
        <w:footnoteRef/>
      </w:r>
      <w:r>
        <w:t xml:space="preserve"> </w:t>
      </w:r>
      <w:r w:rsidR="00EE4F02">
        <w:t>OCTA’s</w:t>
      </w:r>
      <w:r>
        <w:t xml:space="preserve"> Comments (filed </w:t>
      </w:r>
      <w:r w:rsidR="00E22A70">
        <w:t>October 4, 2021) at 1.</w:t>
      </w:r>
    </w:p>
  </w:footnote>
  <w:footnote w:id="4">
    <w:p w:rsidR="00E22A70" w:rsidRPr="00E22A70" w14:paraId="4A7FA24F" w14:textId="76C51989">
      <w:pPr>
        <w:pStyle w:val="FootnoteText"/>
      </w:pPr>
      <w:r>
        <w:rPr>
          <w:rStyle w:val="FootnoteReference"/>
        </w:rPr>
        <w:footnoteRef/>
      </w:r>
      <w:r>
        <w:t xml:space="preserve"> </w:t>
      </w:r>
      <w:r>
        <w:rPr>
          <w:i/>
          <w:iCs/>
        </w:rPr>
        <w:t>Id</w:t>
      </w:r>
      <w:r>
        <w:t>. at 2.</w:t>
      </w:r>
    </w:p>
  </w:footnote>
  <w:footnote w:id="5">
    <w:p w:rsidR="00E22A70" w:rsidRPr="00E22A70" w14:paraId="11A4CBCF" w14:textId="6ECB91C9">
      <w:pPr>
        <w:pStyle w:val="FootnoteText"/>
      </w:pPr>
      <w:r>
        <w:rPr>
          <w:rStyle w:val="FootnoteReference"/>
        </w:rPr>
        <w:footnoteRef/>
      </w:r>
      <w:r>
        <w:t xml:space="preserve"> </w:t>
      </w:r>
      <w:r>
        <w:rPr>
          <w:i/>
          <w:iCs/>
        </w:rPr>
        <w:t xml:space="preserve">Id. </w:t>
      </w:r>
      <w:r>
        <w:t>at 3-4.</w:t>
      </w:r>
    </w:p>
  </w:footnote>
  <w:footnote w:id="6">
    <w:p w:rsidR="00EE4F02" w14:paraId="358DEA98" w14:textId="5C25E487">
      <w:pPr>
        <w:pStyle w:val="FootnoteText"/>
      </w:pPr>
      <w:r>
        <w:rPr>
          <w:rStyle w:val="FootnoteReference"/>
        </w:rPr>
        <w:footnoteRef/>
      </w:r>
      <w:r>
        <w:t xml:space="preserve"> OHA’s Comments (filed October 4, 2021) at 1.</w:t>
      </w:r>
    </w:p>
  </w:footnote>
  <w:footnote w:id="7">
    <w:p w:rsidR="00EE4F02" w:rsidRPr="00402E75" w14:paraId="396D1104" w14:textId="2A9AD249">
      <w:pPr>
        <w:pStyle w:val="FootnoteText"/>
        <w:rPr>
          <w:i/>
        </w:rPr>
      </w:pPr>
      <w:r>
        <w:rPr>
          <w:rStyle w:val="FootnoteReference"/>
        </w:rPr>
        <w:footnoteRef/>
      </w:r>
      <w:r>
        <w:t xml:space="preserve"> </w:t>
      </w:r>
      <w:r>
        <w:rPr>
          <w:i/>
          <w:iCs/>
        </w:rPr>
        <w:t>I</w:t>
      </w:r>
      <w:r>
        <w:rPr>
          <w:i/>
        </w:rPr>
        <w:t>d.</w:t>
      </w:r>
    </w:p>
  </w:footnote>
  <w:footnote w:id="8">
    <w:p w:rsidR="00EE4F02" w:rsidRPr="00EE4F02" w14:paraId="25D7A94B" w14:textId="4D0E22C2">
      <w:pPr>
        <w:pStyle w:val="FootnoteText"/>
        <w:rPr>
          <w:iCs/>
        </w:rPr>
      </w:pPr>
      <w:r>
        <w:rPr>
          <w:rStyle w:val="FootnoteReference"/>
        </w:rPr>
        <w:footnoteRef/>
      </w:r>
      <w:r>
        <w:t xml:space="preserve"> </w:t>
      </w:r>
      <w:r>
        <w:rPr>
          <w:i/>
          <w:iCs/>
        </w:rPr>
        <w:t>I</w:t>
      </w:r>
      <w:r>
        <w:rPr>
          <w:i/>
        </w:rPr>
        <w:t xml:space="preserve">d. </w:t>
      </w:r>
      <w:r>
        <w:rPr>
          <w:iCs/>
        </w:rPr>
        <w:t>at 2.</w:t>
      </w:r>
    </w:p>
  </w:footnote>
  <w:footnote w:id="9">
    <w:p w:rsidR="007E3B4B" w14:paraId="442EE6AD" w14:textId="53E688D5">
      <w:pPr>
        <w:pStyle w:val="FootnoteText"/>
      </w:pPr>
      <w:r>
        <w:rPr>
          <w:rStyle w:val="FootnoteReference"/>
        </w:rPr>
        <w:footnoteRef/>
      </w:r>
      <w:r>
        <w:t xml:space="preserve"> OMA’s Comments (filed October 4, 2021) at 1.</w:t>
      </w:r>
    </w:p>
  </w:footnote>
  <w:footnote w:id="10">
    <w:p w:rsidR="007E3B4B" w:rsidRPr="007E3B4B" w14:paraId="3C251D79" w14:textId="116FFB73">
      <w:pPr>
        <w:pStyle w:val="FootnoteText"/>
      </w:pPr>
      <w:r>
        <w:rPr>
          <w:rStyle w:val="FootnoteReference"/>
        </w:rPr>
        <w:footnoteRef/>
      </w:r>
      <w:r>
        <w:t xml:space="preserve"> </w:t>
      </w:r>
      <w:r>
        <w:rPr>
          <w:i/>
          <w:iCs/>
        </w:rPr>
        <w:t xml:space="preserve">Id. </w:t>
      </w:r>
      <w:r>
        <w:t>at 2.</w:t>
      </w:r>
    </w:p>
  </w:footnote>
  <w:footnote w:id="11">
    <w:p w:rsidR="007E3B4B" w:rsidRPr="007E3B4B" w14:paraId="03307D4F" w14:textId="40860AE8">
      <w:pPr>
        <w:pStyle w:val="FootnoteText"/>
      </w:pPr>
      <w:r>
        <w:rPr>
          <w:rStyle w:val="FootnoteReference"/>
        </w:rPr>
        <w:footnoteRef/>
      </w:r>
      <w:r>
        <w:t xml:space="preserve"> </w:t>
      </w:r>
      <w:r>
        <w:rPr>
          <w:i/>
          <w:iCs/>
        </w:rPr>
        <w:t xml:space="preserve">Id. </w:t>
      </w:r>
      <w:r>
        <w:t>at 2-3.</w:t>
      </w:r>
    </w:p>
  </w:footnote>
  <w:footnote w:id="12">
    <w:p w:rsidR="007E3B4B" w:rsidRPr="007E3B4B" w14:paraId="06589A1B" w14:textId="77BBD8CD">
      <w:pPr>
        <w:pStyle w:val="FootnoteText"/>
      </w:pPr>
      <w:r>
        <w:rPr>
          <w:rStyle w:val="FootnoteReference"/>
        </w:rPr>
        <w:footnoteRef/>
      </w:r>
      <w:r>
        <w:t xml:space="preserve"> </w:t>
      </w:r>
      <w:r>
        <w:rPr>
          <w:i/>
          <w:iCs/>
        </w:rPr>
        <w:t xml:space="preserve">Id. </w:t>
      </w:r>
      <w:r>
        <w:t>at 3.</w:t>
      </w:r>
    </w:p>
  </w:footnote>
  <w:footnote w:id="13">
    <w:p w:rsidR="00F86C53" w:rsidP="00F86C53" w14:paraId="535763C2" w14:textId="77777777">
      <w:pPr>
        <w:pStyle w:val="FootnoteText"/>
      </w:pPr>
      <w:r>
        <w:rPr>
          <w:rStyle w:val="FootnoteReference"/>
        </w:rPr>
        <w:footnoteRef/>
      </w:r>
      <w:r>
        <w:t xml:space="preserve"> OCC Comments at 4.</w:t>
      </w:r>
    </w:p>
  </w:footnote>
  <w:footnote w:id="14">
    <w:p w:rsidR="006F7C5E" w14:paraId="17EAC8D1" w14:textId="2E482FB7">
      <w:pPr>
        <w:pStyle w:val="FootnoteText"/>
      </w:pPr>
      <w:r>
        <w:rPr>
          <w:rStyle w:val="FootnoteReference"/>
        </w:rPr>
        <w:footnoteRef/>
      </w:r>
      <w:r>
        <w:t xml:space="preserve"> Audit Report at 27-28.</w:t>
      </w:r>
    </w:p>
  </w:footnote>
  <w:footnote w:id="15">
    <w:p w:rsidR="001B6487" w:rsidP="001B6487" w14:paraId="2F02C6F7" w14:textId="77777777">
      <w:pPr>
        <w:pStyle w:val="FootnoteText"/>
      </w:pPr>
      <w:r>
        <w:rPr>
          <w:rStyle w:val="FootnoteReference"/>
        </w:rPr>
        <w:footnoteRef/>
      </w:r>
      <w:r>
        <w:t xml:space="preserve"> FirstEnergy Comments at 2-3.</w:t>
      </w:r>
    </w:p>
  </w:footnote>
  <w:footnote w:id="16">
    <w:p w:rsidR="001B6487" w:rsidP="001B6487" w14:paraId="1897B0E6" w14:textId="77777777">
      <w:pPr>
        <w:pStyle w:val="FootnoteText"/>
      </w:pPr>
      <w:r>
        <w:rPr>
          <w:rStyle w:val="FootnoteReference"/>
        </w:rPr>
        <w:footnoteRef/>
      </w:r>
      <w:r>
        <w:t xml:space="preserve"> </w:t>
      </w:r>
      <w:r w:rsidRPr="00F86C53">
        <w:rPr>
          <w:i/>
          <w:iCs/>
        </w:rPr>
        <w:t>See</w:t>
      </w:r>
      <w:r>
        <w:t xml:space="preserve"> Audit Report at 27-28.</w:t>
      </w:r>
    </w:p>
  </w:footnote>
  <w:footnote w:id="17">
    <w:p w:rsidR="005A6A3C" w14:paraId="73031A03" w14:textId="2F20B8E2">
      <w:pPr>
        <w:pStyle w:val="FootnoteText"/>
      </w:pPr>
      <w:r>
        <w:rPr>
          <w:rStyle w:val="FootnoteReference"/>
        </w:rPr>
        <w:footnoteRef/>
      </w:r>
      <w:r>
        <w:t xml:space="preserve"> </w:t>
      </w:r>
      <w:r w:rsidR="00F86C53">
        <w:rPr>
          <w:i/>
          <w:iCs/>
        </w:rPr>
        <w:t xml:space="preserve">See </w:t>
      </w:r>
      <w:r>
        <w:t xml:space="preserve">Audit Report at 27-28. </w:t>
      </w:r>
    </w:p>
  </w:footnote>
  <w:footnote w:id="18">
    <w:p w:rsidR="00EB2C98" w14:paraId="6794CDCE" w14:textId="7D8D35E4">
      <w:pPr>
        <w:pStyle w:val="FootnoteText"/>
      </w:pPr>
      <w:r>
        <w:rPr>
          <w:rStyle w:val="FootnoteReference"/>
        </w:rPr>
        <w:footnoteRef/>
      </w:r>
      <w:r>
        <w:t xml:space="preserve"> Audit Report at 59.</w:t>
      </w:r>
    </w:p>
  </w:footnote>
  <w:footnote w:id="19">
    <w:p w:rsidR="00910BAF" w14:paraId="6C0BF0A5" w14:textId="0C2A10CC">
      <w:pPr>
        <w:pStyle w:val="FootnoteText"/>
      </w:pPr>
      <w:r>
        <w:rPr>
          <w:rStyle w:val="FootnoteReference"/>
        </w:rPr>
        <w:footnoteRef/>
      </w:r>
      <w:r>
        <w:t xml:space="preserve"> Audit Report at 28. </w:t>
      </w:r>
    </w:p>
  </w:footnote>
  <w:footnote w:id="20">
    <w:p w:rsidR="005743DF" w:rsidP="005743DF" w14:paraId="69F7D23F" w14:textId="52FD0D16">
      <w:pPr>
        <w:pStyle w:val="FootnoteText"/>
      </w:pPr>
      <w:r>
        <w:rPr>
          <w:rStyle w:val="FootnoteReference"/>
        </w:rPr>
        <w:footnoteRef/>
      </w:r>
      <w:r>
        <w:t xml:space="preserve"> PUCO Case No. 19-1887-EL-RDR, Staff Reply Comments at 1-2 (November 16, 2020).</w:t>
      </w:r>
    </w:p>
    <w:p w:rsidR="005743DF" w14:paraId="7D2A4DB1" w14:textId="63499852">
      <w:pPr>
        <w:pStyle w:val="FootnoteText"/>
      </w:pPr>
    </w:p>
  </w:footnote>
  <w:footnote w:id="21">
    <w:p w:rsidR="00F86C53" w:rsidP="00F86C53" w14:paraId="72ECC190" w14:textId="77777777">
      <w:pPr>
        <w:pStyle w:val="FootnoteText"/>
      </w:pPr>
      <w:r>
        <w:rPr>
          <w:rStyle w:val="FootnoteReference"/>
        </w:rPr>
        <w:footnoteRef/>
      </w:r>
      <w:r>
        <w:t xml:space="preserve"> OCC Comments at 4.</w:t>
      </w:r>
    </w:p>
  </w:footnote>
  <w:footnote w:id="22">
    <w:p w:rsidR="00F86C53" w:rsidP="00F86C53" w14:paraId="7FCAA33D" w14:textId="77777777">
      <w:pPr>
        <w:pStyle w:val="FootnoteText"/>
      </w:pPr>
      <w:r>
        <w:rPr>
          <w:rStyle w:val="FootnoteReference"/>
        </w:rPr>
        <w:footnoteRef/>
      </w:r>
      <w:r>
        <w:t xml:space="preserve"> FirstEnergy Comments at 3-5.</w:t>
      </w:r>
    </w:p>
  </w:footnote>
  <w:footnote w:id="23">
    <w:p w:rsidR="00DF20EC" w14:paraId="73B63DC6" w14:textId="5AD62139">
      <w:pPr>
        <w:pStyle w:val="FootnoteText"/>
      </w:pPr>
      <w:r>
        <w:rPr>
          <w:rStyle w:val="FootnoteReference"/>
        </w:rPr>
        <w:footnoteRef/>
      </w:r>
      <w:r>
        <w:t xml:space="preserve"> Audit Report at 31</w:t>
      </w:r>
      <w:r w:rsidR="0048234B">
        <w:t>.</w:t>
      </w:r>
    </w:p>
  </w:footnote>
  <w:footnote w:id="24">
    <w:p w:rsidR="00DF20EC" w14:paraId="2359A6FA" w14:textId="63C57C12">
      <w:pPr>
        <w:pStyle w:val="FootnoteText"/>
      </w:pPr>
      <w:r>
        <w:rPr>
          <w:rStyle w:val="FootnoteReference"/>
        </w:rPr>
        <w:footnoteRef/>
      </w:r>
      <w:r>
        <w:t xml:space="preserve"> Audit Report at 104-109</w:t>
      </w:r>
      <w:r w:rsidR="0048234B">
        <w:t>.</w:t>
      </w:r>
      <w:r>
        <w:t xml:space="preserve"> </w:t>
      </w:r>
    </w:p>
  </w:footnote>
  <w:footnote w:id="25">
    <w:p w:rsidR="00B90695" w14:paraId="340A7AF3" w14:textId="417D42EE">
      <w:pPr>
        <w:pStyle w:val="FootnoteText"/>
      </w:pPr>
      <w:r>
        <w:rPr>
          <w:rStyle w:val="FootnoteReference"/>
        </w:rPr>
        <w:footnoteRef/>
      </w:r>
      <w:r>
        <w:t xml:space="preserve"> Audit Report at 20-21.</w:t>
      </w:r>
    </w:p>
  </w:footnote>
  <w:footnote w:id="26">
    <w:p w:rsidR="00B90695" w14:paraId="2A029C5B" w14:textId="31398888">
      <w:pPr>
        <w:pStyle w:val="FootnoteText"/>
      </w:pPr>
      <w:r>
        <w:rPr>
          <w:rStyle w:val="FootnoteReference"/>
        </w:rPr>
        <w:footnoteRef/>
      </w:r>
      <w:r>
        <w:t xml:space="preserve"> Audit Report at 107.</w:t>
      </w:r>
    </w:p>
  </w:footnote>
  <w:footnote w:id="27">
    <w:p w:rsidR="00A476B5" w14:paraId="4AEBE537" w14:textId="5B56E0E5">
      <w:pPr>
        <w:pStyle w:val="FootnoteText"/>
      </w:pPr>
      <w:r>
        <w:rPr>
          <w:rStyle w:val="FootnoteReference"/>
        </w:rPr>
        <w:footnoteRef/>
      </w:r>
      <w:r>
        <w:t xml:space="preserve"> PUCO Case No. 19-1887-EL-RDR, OCC Comments at 7 (July 27, 202</w:t>
      </w:r>
      <w:r w:rsidR="005743DF">
        <w:t>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015E32"/>
    <w:multiLevelType w:val="hybridMultilevel"/>
    <w:tmpl w:val="01A6744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6">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0762537"/>
    <w:multiLevelType w:val="hybridMultilevel"/>
    <w:tmpl w:val="C548FB9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9">
    <w:nsid w:val="45C0295A"/>
    <w:multiLevelType w:val="hybridMultilevel"/>
    <w:tmpl w:val="2D96459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4">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577C0916"/>
    <w:multiLevelType w:val="hybridMultilevel"/>
    <w:tmpl w:val="6BFAEE6A"/>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6">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5">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6"/>
  </w:num>
  <w:num w:numId="2">
    <w:abstractNumId w:val="22"/>
  </w:num>
  <w:num w:numId="3">
    <w:abstractNumId w:val="30"/>
  </w:num>
  <w:num w:numId="4">
    <w:abstractNumId w:val="28"/>
  </w:num>
  <w:num w:numId="5">
    <w:abstractNumId w:val="11"/>
  </w:num>
  <w:num w:numId="6">
    <w:abstractNumId w:val="34"/>
  </w:num>
  <w:num w:numId="7">
    <w:abstractNumId w:val="0"/>
  </w:num>
  <w:num w:numId="8">
    <w:abstractNumId w:val="29"/>
  </w:num>
  <w:num w:numId="9">
    <w:abstractNumId w:val="27"/>
  </w:num>
  <w:num w:numId="10">
    <w:abstractNumId w:val="16"/>
  </w:num>
  <w:num w:numId="11">
    <w:abstractNumId w:val="31"/>
  </w:num>
  <w:num w:numId="12">
    <w:abstractNumId w:val="35"/>
  </w:num>
  <w:num w:numId="13">
    <w:abstractNumId w:val="33"/>
  </w:num>
  <w:num w:numId="14">
    <w:abstractNumId w:val="1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0"/>
  </w:num>
  <w:num w:numId="18">
    <w:abstractNumId w:val="12"/>
  </w:num>
  <w:num w:numId="19">
    <w:abstractNumId w:val="18"/>
  </w:num>
  <w:num w:numId="20">
    <w:abstractNumId w:val="24"/>
  </w:num>
  <w:num w:numId="21">
    <w:abstractNumId w:val="14"/>
  </w:num>
  <w:num w:numId="22">
    <w:abstractNumId w:val="23"/>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3"/>
  </w:num>
  <w:num w:numId="34">
    <w:abstractNumId w:val="19"/>
  </w:num>
  <w:num w:numId="35">
    <w:abstractNumId w:val="2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7A7"/>
    <w:rsid w:val="0000453D"/>
    <w:rsid w:val="0001460D"/>
    <w:rsid w:val="00017F7B"/>
    <w:rsid w:val="00030401"/>
    <w:rsid w:val="00032EBD"/>
    <w:rsid w:val="00033902"/>
    <w:rsid w:val="00034F9B"/>
    <w:rsid w:val="00035A02"/>
    <w:rsid w:val="00036A2D"/>
    <w:rsid w:val="00037AE5"/>
    <w:rsid w:val="00041DF9"/>
    <w:rsid w:val="000521F7"/>
    <w:rsid w:val="0006364B"/>
    <w:rsid w:val="000724D9"/>
    <w:rsid w:val="000902C6"/>
    <w:rsid w:val="00093F06"/>
    <w:rsid w:val="00094794"/>
    <w:rsid w:val="00094A42"/>
    <w:rsid w:val="00094BA3"/>
    <w:rsid w:val="000D20A6"/>
    <w:rsid w:val="000E12D9"/>
    <w:rsid w:val="000E15D9"/>
    <w:rsid w:val="000E20E0"/>
    <w:rsid w:val="000E2DFC"/>
    <w:rsid w:val="000E4FD3"/>
    <w:rsid w:val="000F2414"/>
    <w:rsid w:val="000F5791"/>
    <w:rsid w:val="000F63B6"/>
    <w:rsid w:val="001038C3"/>
    <w:rsid w:val="001038D1"/>
    <w:rsid w:val="0011015B"/>
    <w:rsid w:val="001132A6"/>
    <w:rsid w:val="00115531"/>
    <w:rsid w:val="0011612E"/>
    <w:rsid w:val="0012103C"/>
    <w:rsid w:val="00122E1A"/>
    <w:rsid w:val="00123A9C"/>
    <w:rsid w:val="0013623A"/>
    <w:rsid w:val="001378AF"/>
    <w:rsid w:val="00141627"/>
    <w:rsid w:val="00142E11"/>
    <w:rsid w:val="00146805"/>
    <w:rsid w:val="0015341F"/>
    <w:rsid w:val="00155E3D"/>
    <w:rsid w:val="00160250"/>
    <w:rsid w:val="00160486"/>
    <w:rsid w:val="00164A05"/>
    <w:rsid w:val="00165C1D"/>
    <w:rsid w:val="00177EDE"/>
    <w:rsid w:val="00191389"/>
    <w:rsid w:val="0019194F"/>
    <w:rsid w:val="001931BC"/>
    <w:rsid w:val="00193C12"/>
    <w:rsid w:val="001B2426"/>
    <w:rsid w:val="001B5083"/>
    <w:rsid w:val="001B6487"/>
    <w:rsid w:val="001C3E46"/>
    <w:rsid w:val="001D10D7"/>
    <w:rsid w:val="001D3ACE"/>
    <w:rsid w:val="001D3C2B"/>
    <w:rsid w:val="001D4CCB"/>
    <w:rsid w:val="001E7D34"/>
    <w:rsid w:val="001F0E63"/>
    <w:rsid w:val="001F3186"/>
    <w:rsid w:val="001F3EAA"/>
    <w:rsid w:val="001F6A32"/>
    <w:rsid w:val="00200A42"/>
    <w:rsid w:val="0021152F"/>
    <w:rsid w:val="0021246A"/>
    <w:rsid w:val="00222D54"/>
    <w:rsid w:val="00223652"/>
    <w:rsid w:val="0022420A"/>
    <w:rsid w:val="00230A73"/>
    <w:rsid w:val="00240587"/>
    <w:rsid w:val="00246FA3"/>
    <w:rsid w:val="0024733C"/>
    <w:rsid w:val="00250C9B"/>
    <w:rsid w:val="00275542"/>
    <w:rsid w:val="00276E65"/>
    <w:rsid w:val="00277334"/>
    <w:rsid w:val="00280B7B"/>
    <w:rsid w:val="002828A1"/>
    <w:rsid w:val="00291EBE"/>
    <w:rsid w:val="00292C0B"/>
    <w:rsid w:val="00293FD7"/>
    <w:rsid w:val="002A10E4"/>
    <w:rsid w:val="002A1B58"/>
    <w:rsid w:val="002A2263"/>
    <w:rsid w:val="002A30EB"/>
    <w:rsid w:val="002A757C"/>
    <w:rsid w:val="002B0138"/>
    <w:rsid w:val="002B36C3"/>
    <w:rsid w:val="002B4CA0"/>
    <w:rsid w:val="002B7A53"/>
    <w:rsid w:val="002C27CE"/>
    <w:rsid w:val="002C7096"/>
    <w:rsid w:val="002D02F6"/>
    <w:rsid w:val="002D2840"/>
    <w:rsid w:val="002D3A79"/>
    <w:rsid w:val="002D4626"/>
    <w:rsid w:val="002E0751"/>
    <w:rsid w:val="002E21AE"/>
    <w:rsid w:val="002F08CF"/>
    <w:rsid w:val="002F237A"/>
    <w:rsid w:val="002F7B02"/>
    <w:rsid w:val="002F7B4B"/>
    <w:rsid w:val="003066AE"/>
    <w:rsid w:val="003103C9"/>
    <w:rsid w:val="00311558"/>
    <w:rsid w:val="0031295F"/>
    <w:rsid w:val="00314BAE"/>
    <w:rsid w:val="00317F41"/>
    <w:rsid w:val="003234CC"/>
    <w:rsid w:val="00325407"/>
    <w:rsid w:val="00327100"/>
    <w:rsid w:val="00330638"/>
    <w:rsid w:val="00333540"/>
    <w:rsid w:val="003339A6"/>
    <w:rsid w:val="00343C44"/>
    <w:rsid w:val="00352AB2"/>
    <w:rsid w:val="00353C9D"/>
    <w:rsid w:val="00364CB6"/>
    <w:rsid w:val="003676A0"/>
    <w:rsid w:val="00372B1A"/>
    <w:rsid w:val="00374D8D"/>
    <w:rsid w:val="00375428"/>
    <w:rsid w:val="00381DFE"/>
    <w:rsid w:val="00384C3E"/>
    <w:rsid w:val="00390706"/>
    <w:rsid w:val="00391727"/>
    <w:rsid w:val="00393037"/>
    <w:rsid w:val="0039694D"/>
    <w:rsid w:val="00397B50"/>
    <w:rsid w:val="003B1E3B"/>
    <w:rsid w:val="003C1C51"/>
    <w:rsid w:val="003D1256"/>
    <w:rsid w:val="003D440C"/>
    <w:rsid w:val="003D51E0"/>
    <w:rsid w:val="003D5411"/>
    <w:rsid w:val="003E6D92"/>
    <w:rsid w:val="003F268B"/>
    <w:rsid w:val="003F37A7"/>
    <w:rsid w:val="003F4BC9"/>
    <w:rsid w:val="003F54F9"/>
    <w:rsid w:val="003F59E5"/>
    <w:rsid w:val="003F6F55"/>
    <w:rsid w:val="00402E75"/>
    <w:rsid w:val="004035D0"/>
    <w:rsid w:val="004055B9"/>
    <w:rsid w:val="00406BE8"/>
    <w:rsid w:val="00407B30"/>
    <w:rsid w:val="00412358"/>
    <w:rsid w:val="004163D6"/>
    <w:rsid w:val="004165E7"/>
    <w:rsid w:val="00417A1A"/>
    <w:rsid w:val="00427C6F"/>
    <w:rsid w:val="004317CA"/>
    <w:rsid w:val="0043301F"/>
    <w:rsid w:val="00445090"/>
    <w:rsid w:val="004478A7"/>
    <w:rsid w:val="00450B37"/>
    <w:rsid w:val="00453BD9"/>
    <w:rsid w:val="00462E30"/>
    <w:rsid w:val="00464A4E"/>
    <w:rsid w:val="004672CB"/>
    <w:rsid w:val="00475E9C"/>
    <w:rsid w:val="0048234B"/>
    <w:rsid w:val="004859FD"/>
    <w:rsid w:val="00487B54"/>
    <w:rsid w:val="004968B7"/>
    <w:rsid w:val="004B6AD4"/>
    <w:rsid w:val="004C1B86"/>
    <w:rsid w:val="004C5D11"/>
    <w:rsid w:val="004D2048"/>
    <w:rsid w:val="004D2C9D"/>
    <w:rsid w:val="004D620D"/>
    <w:rsid w:val="004E447B"/>
    <w:rsid w:val="004E5030"/>
    <w:rsid w:val="004E73A3"/>
    <w:rsid w:val="00504069"/>
    <w:rsid w:val="00507751"/>
    <w:rsid w:val="00512BE4"/>
    <w:rsid w:val="00515D2D"/>
    <w:rsid w:val="00520E9C"/>
    <w:rsid w:val="005247EC"/>
    <w:rsid w:val="0052706A"/>
    <w:rsid w:val="00527C71"/>
    <w:rsid w:val="00534D33"/>
    <w:rsid w:val="0053549E"/>
    <w:rsid w:val="00535593"/>
    <w:rsid w:val="00535E7F"/>
    <w:rsid w:val="00540478"/>
    <w:rsid w:val="0054744F"/>
    <w:rsid w:val="00547E04"/>
    <w:rsid w:val="005508A7"/>
    <w:rsid w:val="00550D6A"/>
    <w:rsid w:val="00553C0B"/>
    <w:rsid w:val="00562507"/>
    <w:rsid w:val="005722BC"/>
    <w:rsid w:val="00573B42"/>
    <w:rsid w:val="005743DF"/>
    <w:rsid w:val="0058341F"/>
    <w:rsid w:val="00583770"/>
    <w:rsid w:val="005838E1"/>
    <w:rsid w:val="00594405"/>
    <w:rsid w:val="005A1955"/>
    <w:rsid w:val="005A4A93"/>
    <w:rsid w:val="005A6A3C"/>
    <w:rsid w:val="005B2A0D"/>
    <w:rsid w:val="005D1E7D"/>
    <w:rsid w:val="005E12FA"/>
    <w:rsid w:val="005E1458"/>
    <w:rsid w:val="005E39E9"/>
    <w:rsid w:val="005E4311"/>
    <w:rsid w:val="005E5D64"/>
    <w:rsid w:val="005F0803"/>
    <w:rsid w:val="005F7164"/>
    <w:rsid w:val="00603479"/>
    <w:rsid w:val="00610BDA"/>
    <w:rsid w:val="00612902"/>
    <w:rsid w:val="00615293"/>
    <w:rsid w:val="00616004"/>
    <w:rsid w:val="0061694A"/>
    <w:rsid w:val="00623914"/>
    <w:rsid w:val="00637F23"/>
    <w:rsid w:val="00637F42"/>
    <w:rsid w:val="00645B01"/>
    <w:rsid w:val="00650368"/>
    <w:rsid w:val="00652332"/>
    <w:rsid w:val="00676B81"/>
    <w:rsid w:val="00691DD1"/>
    <w:rsid w:val="00693C9F"/>
    <w:rsid w:val="0069481D"/>
    <w:rsid w:val="006A72C7"/>
    <w:rsid w:val="006B386A"/>
    <w:rsid w:val="006B536B"/>
    <w:rsid w:val="006C123E"/>
    <w:rsid w:val="006C1A40"/>
    <w:rsid w:val="006C7EAA"/>
    <w:rsid w:val="006D0802"/>
    <w:rsid w:val="006D7CD7"/>
    <w:rsid w:val="006E0633"/>
    <w:rsid w:val="006E0878"/>
    <w:rsid w:val="006E1630"/>
    <w:rsid w:val="006E3D78"/>
    <w:rsid w:val="006F0E76"/>
    <w:rsid w:val="006F1BBB"/>
    <w:rsid w:val="006F1EA1"/>
    <w:rsid w:val="006F29D7"/>
    <w:rsid w:val="006F7C5E"/>
    <w:rsid w:val="007062EC"/>
    <w:rsid w:val="0071168A"/>
    <w:rsid w:val="0071278E"/>
    <w:rsid w:val="00717D01"/>
    <w:rsid w:val="00721D91"/>
    <w:rsid w:val="007255B3"/>
    <w:rsid w:val="0073445E"/>
    <w:rsid w:val="00734AB2"/>
    <w:rsid w:val="00735343"/>
    <w:rsid w:val="0074194E"/>
    <w:rsid w:val="00741D6C"/>
    <w:rsid w:val="00753FC3"/>
    <w:rsid w:val="007671FA"/>
    <w:rsid w:val="00770B9A"/>
    <w:rsid w:val="00790D23"/>
    <w:rsid w:val="007916C9"/>
    <w:rsid w:val="00791C31"/>
    <w:rsid w:val="007A2F3C"/>
    <w:rsid w:val="007B17F5"/>
    <w:rsid w:val="007B1945"/>
    <w:rsid w:val="007B46D8"/>
    <w:rsid w:val="007D3710"/>
    <w:rsid w:val="007D4853"/>
    <w:rsid w:val="007D4B90"/>
    <w:rsid w:val="007D6CA8"/>
    <w:rsid w:val="007E36F1"/>
    <w:rsid w:val="007E3B4B"/>
    <w:rsid w:val="007F20D6"/>
    <w:rsid w:val="007F24BB"/>
    <w:rsid w:val="007F2D96"/>
    <w:rsid w:val="007F405D"/>
    <w:rsid w:val="00800268"/>
    <w:rsid w:val="0080120F"/>
    <w:rsid w:val="0082402E"/>
    <w:rsid w:val="00825D47"/>
    <w:rsid w:val="00827995"/>
    <w:rsid w:val="00831C54"/>
    <w:rsid w:val="00841EC0"/>
    <w:rsid w:val="00845247"/>
    <w:rsid w:val="0084690C"/>
    <w:rsid w:val="00846C2C"/>
    <w:rsid w:val="00850EE2"/>
    <w:rsid w:val="008527DE"/>
    <w:rsid w:val="0085316B"/>
    <w:rsid w:val="008545E3"/>
    <w:rsid w:val="00861A34"/>
    <w:rsid w:val="00862923"/>
    <w:rsid w:val="00864E73"/>
    <w:rsid w:val="0087002A"/>
    <w:rsid w:val="0087128E"/>
    <w:rsid w:val="0087468F"/>
    <w:rsid w:val="00877656"/>
    <w:rsid w:val="008832F9"/>
    <w:rsid w:val="00885A62"/>
    <w:rsid w:val="008936A1"/>
    <w:rsid w:val="008940FB"/>
    <w:rsid w:val="008A7243"/>
    <w:rsid w:val="008B083B"/>
    <w:rsid w:val="008B2E66"/>
    <w:rsid w:val="008B3371"/>
    <w:rsid w:val="008B6982"/>
    <w:rsid w:val="008B7304"/>
    <w:rsid w:val="008B77EF"/>
    <w:rsid w:val="008D1801"/>
    <w:rsid w:val="008D2269"/>
    <w:rsid w:val="008D230D"/>
    <w:rsid w:val="008D3FEA"/>
    <w:rsid w:val="008F0B97"/>
    <w:rsid w:val="008F7553"/>
    <w:rsid w:val="0091073A"/>
    <w:rsid w:val="00910BAF"/>
    <w:rsid w:val="009113FA"/>
    <w:rsid w:val="00914059"/>
    <w:rsid w:val="00915A5D"/>
    <w:rsid w:val="00916EF8"/>
    <w:rsid w:val="00920425"/>
    <w:rsid w:val="009358D0"/>
    <w:rsid w:val="009366B1"/>
    <w:rsid w:val="009512FF"/>
    <w:rsid w:val="00953FF8"/>
    <w:rsid w:val="009613A5"/>
    <w:rsid w:val="00980D4F"/>
    <w:rsid w:val="00984D03"/>
    <w:rsid w:val="00997948"/>
    <w:rsid w:val="009A061B"/>
    <w:rsid w:val="009A1C76"/>
    <w:rsid w:val="009A42FB"/>
    <w:rsid w:val="009A4584"/>
    <w:rsid w:val="009A6593"/>
    <w:rsid w:val="009B5C33"/>
    <w:rsid w:val="009B6850"/>
    <w:rsid w:val="009B7ADF"/>
    <w:rsid w:val="009D43B2"/>
    <w:rsid w:val="009E2278"/>
    <w:rsid w:val="009E612C"/>
    <w:rsid w:val="009F1566"/>
    <w:rsid w:val="009F1A69"/>
    <w:rsid w:val="009F4278"/>
    <w:rsid w:val="009F4338"/>
    <w:rsid w:val="009F4F97"/>
    <w:rsid w:val="00A00BDC"/>
    <w:rsid w:val="00A014B6"/>
    <w:rsid w:val="00A0657C"/>
    <w:rsid w:val="00A1060B"/>
    <w:rsid w:val="00A11A57"/>
    <w:rsid w:val="00A15C5E"/>
    <w:rsid w:val="00A15D1B"/>
    <w:rsid w:val="00A16FB7"/>
    <w:rsid w:val="00A17575"/>
    <w:rsid w:val="00A225BF"/>
    <w:rsid w:val="00A30A49"/>
    <w:rsid w:val="00A30EAF"/>
    <w:rsid w:val="00A41F65"/>
    <w:rsid w:val="00A476B5"/>
    <w:rsid w:val="00A51B97"/>
    <w:rsid w:val="00A555E2"/>
    <w:rsid w:val="00A57D21"/>
    <w:rsid w:val="00A6242D"/>
    <w:rsid w:val="00A6283F"/>
    <w:rsid w:val="00A646DC"/>
    <w:rsid w:val="00A656E5"/>
    <w:rsid w:val="00A66DDE"/>
    <w:rsid w:val="00A716C4"/>
    <w:rsid w:val="00A92E57"/>
    <w:rsid w:val="00A934D0"/>
    <w:rsid w:val="00A94F1D"/>
    <w:rsid w:val="00A96464"/>
    <w:rsid w:val="00A97604"/>
    <w:rsid w:val="00AA06FE"/>
    <w:rsid w:val="00AA1135"/>
    <w:rsid w:val="00AA3DA6"/>
    <w:rsid w:val="00AB13BE"/>
    <w:rsid w:val="00AB16A7"/>
    <w:rsid w:val="00AC14FA"/>
    <w:rsid w:val="00AC2DC7"/>
    <w:rsid w:val="00AD386B"/>
    <w:rsid w:val="00AD537A"/>
    <w:rsid w:val="00AD5CB4"/>
    <w:rsid w:val="00AE4CF9"/>
    <w:rsid w:val="00AE5FE0"/>
    <w:rsid w:val="00AF13C1"/>
    <w:rsid w:val="00AF4112"/>
    <w:rsid w:val="00AF6EAE"/>
    <w:rsid w:val="00B00AD0"/>
    <w:rsid w:val="00B04C4C"/>
    <w:rsid w:val="00B06E8F"/>
    <w:rsid w:val="00B12B63"/>
    <w:rsid w:val="00B13A59"/>
    <w:rsid w:val="00B14E60"/>
    <w:rsid w:val="00B169CA"/>
    <w:rsid w:val="00B24ACF"/>
    <w:rsid w:val="00B25BED"/>
    <w:rsid w:val="00B325AE"/>
    <w:rsid w:val="00B37206"/>
    <w:rsid w:val="00B37DFA"/>
    <w:rsid w:val="00B41A61"/>
    <w:rsid w:val="00B440B8"/>
    <w:rsid w:val="00B45543"/>
    <w:rsid w:val="00B4736A"/>
    <w:rsid w:val="00B53226"/>
    <w:rsid w:val="00B54427"/>
    <w:rsid w:val="00B54D5C"/>
    <w:rsid w:val="00B56C2B"/>
    <w:rsid w:val="00B758A7"/>
    <w:rsid w:val="00B86F64"/>
    <w:rsid w:val="00B90695"/>
    <w:rsid w:val="00B92DFF"/>
    <w:rsid w:val="00B955DC"/>
    <w:rsid w:val="00B95FAB"/>
    <w:rsid w:val="00BB0A2F"/>
    <w:rsid w:val="00BB3412"/>
    <w:rsid w:val="00BB4C3F"/>
    <w:rsid w:val="00BB59EB"/>
    <w:rsid w:val="00BC22F3"/>
    <w:rsid w:val="00BC7A6F"/>
    <w:rsid w:val="00BD08CA"/>
    <w:rsid w:val="00BD21D3"/>
    <w:rsid w:val="00BE187D"/>
    <w:rsid w:val="00BE273A"/>
    <w:rsid w:val="00BE4805"/>
    <w:rsid w:val="00BE4FAC"/>
    <w:rsid w:val="00BF1782"/>
    <w:rsid w:val="00BF5B34"/>
    <w:rsid w:val="00BF760C"/>
    <w:rsid w:val="00C00B86"/>
    <w:rsid w:val="00C04535"/>
    <w:rsid w:val="00C17339"/>
    <w:rsid w:val="00C22230"/>
    <w:rsid w:val="00C22D55"/>
    <w:rsid w:val="00C278F4"/>
    <w:rsid w:val="00C31066"/>
    <w:rsid w:val="00C32AED"/>
    <w:rsid w:val="00C33808"/>
    <w:rsid w:val="00C34175"/>
    <w:rsid w:val="00C36FA8"/>
    <w:rsid w:val="00C46346"/>
    <w:rsid w:val="00C475E6"/>
    <w:rsid w:val="00C47FFC"/>
    <w:rsid w:val="00C53581"/>
    <w:rsid w:val="00C5798A"/>
    <w:rsid w:val="00C60D9A"/>
    <w:rsid w:val="00C817D6"/>
    <w:rsid w:val="00C84370"/>
    <w:rsid w:val="00C84C5F"/>
    <w:rsid w:val="00C850B6"/>
    <w:rsid w:val="00C859D5"/>
    <w:rsid w:val="00C908EA"/>
    <w:rsid w:val="00CA1190"/>
    <w:rsid w:val="00CA271E"/>
    <w:rsid w:val="00CA37E3"/>
    <w:rsid w:val="00CB585F"/>
    <w:rsid w:val="00CB74DB"/>
    <w:rsid w:val="00CC5645"/>
    <w:rsid w:val="00CD0857"/>
    <w:rsid w:val="00CD4B59"/>
    <w:rsid w:val="00CE392A"/>
    <w:rsid w:val="00CF03AB"/>
    <w:rsid w:val="00CF0817"/>
    <w:rsid w:val="00CF155C"/>
    <w:rsid w:val="00CF3635"/>
    <w:rsid w:val="00CF4562"/>
    <w:rsid w:val="00D05E62"/>
    <w:rsid w:val="00D10DDE"/>
    <w:rsid w:val="00D1131D"/>
    <w:rsid w:val="00D227D7"/>
    <w:rsid w:val="00D31247"/>
    <w:rsid w:val="00D31A90"/>
    <w:rsid w:val="00D32791"/>
    <w:rsid w:val="00D365C0"/>
    <w:rsid w:val="00D421AF"/>
    <w:rsid w:val="00D44108"/>
    <w:rsid w:val="00D448E3"/>
    <w:rsid w:val="00D578C8"/>
    <w:rsid w:val="00D62020"/>
    <w:rsid w:val="00D65F0A"/>
    <w:rsid w:val="00D72F7B"/>
    <w:rsid w:val="00D7482D"/>
    <w:rsid w:val="00D814D6"/>
    <w:rsid w:val="00D83A99"/>
    <w:rsid w:val="00D84D4F"/>
    <w:rsid w:val="00D84F83"/>
    <w:rsid w:val="00D9390D"/>
    <w:rsid w:val="00D966EA"/>
    <w:rsid w:val="00DA170E"/>
    <w:rsid w:val="00DA3B63"/>
    <w:rsid w:val="00DA79BE"/>
    <w:rsid w:val="00DA7AA0"/>
    <w:rsid w:val="00DB68E3"/>
    <w:rsid w:val="00DC06C4"/>
    <w:rsid w:val="00DC08B9"/>
    <w:rsid w:val="00DC4DE4"/>
    <w:rsid w:val="00DC5318"/>
    <w:rsid w:val="00DC6CAB"/>
    <w:rsid w:val="00DD4911"/>
    <w:rsid w:val="00DE1639"/>
    <w:rsid w:val="00DE1EB7"/>
    <w:rsid w:val="00DE3E60"/>
    <w:rsid w:val="00DE5B43"/>
    <w:rsid w:val="00DF0721"/>
    <w:rsid w:val="00DF20EC"/>
    <w:rsid w:val="00DF4741"/>
    <w:rsid w:val="00E0108B"/>
    <w:rsid w:val="00E039D0"/>
    <w:rsid w:val="00E04958"/>
    <w:rsid w:val="00E130BB"/>
    <w:rsid w:val="00E16A77"/>
    <w:rsid w:val="00E17EBC"/>
    <w:rsid w:val="00E21BE4"/>
    <w:rsid w:val="00E22A70"/>
    <w:rsid w:val="00E30827"/>
    <w:rsid w:val="00E35F0C"/>
    <w:rsid w:val="00E40B8F"/>
    <w:rsid w:val="00E40D00"/>
    <w:rsid w:val="00E411FA"/>
    <w:rsid w:val="00E45229"/>
    <w:rsid w:val="00E45F3E"/>
    <w:rsid w:val="00E475F7"/>
    <w:rsid w:val="00E5138B"/>
    <w:rsid w:val="00E53129"/>
    <w:rsid w:val="00E5744C"/>
    <w:rsid w:val="00E60226"/>
    <w:rsid w:val="00E605CC"/>
    <w:rsid w:val="00E60910"/>
    <w:rsid w:val="00E60C56"/>
    <w:rsid w:val="00E6103D"/>
    <w:rsid w:val="00E61D62"/>
    <w:rsid w:val="00E73201"/>
    <w:rsid w:val="00E77E54"/>
    <w:rsid w:val="00E8008D"/>
    <w:rsid w:val="00E82A6C"/>
    <w:rsid w:val="00E849C8"/>
    <w:rsid w:val="00E909C2"/>
    <w:rsid w:val="00E949B1"/>
    <w:rsid w:val="00E94D36"/>
    <w:rsid w:val="00E96FD3"/>
    <w:rsid w:val="00EA7BF5"/>
    <w:rsid w:val="00EA7D6F"/>
    <w:rsid w:val="00EB1577"/>
    <w:rsid w:val="00EB2C98"/>
    <w:rsid w:val="00EB5C3F"/>
    <w:rsid w:val="00EB6875"/>
    <w:rsid w:val="00EC08DD"/>
    <w:rsid w:val="00EC0C48"/>
    <w:rsid w:val="00EC6B8A"/>
    <w:rsid w:val="00ED05E2"/>
    <w:rsid w:val="00ED4F10"/>
    <w:rsid w:val="00ED5ED7"/>
    <w:rsid w:val="00EE0F17"/>
    <w:rsid w:val="00EE0FC9"/>
    <w:rsid w:val="00EE1996"/>
    <w:rsid w:val="00EE4F02"/>
    <w:rsid w:val="00EE5B8E"/>
    <w:rsid w:val="00EF0235"/>
    <w:rsid w:val="00F01AB7"/>
    <w:rsid w:val="00F04B2E"/>
    <w:rsid w:val="00F073BD"/>
    <w:rsid w:val="00F10E4E"/>
    <w:rsid w:val="00F11CC6"/>
    <w:rsid w:val="00F13336"/>
    <w:rsid w:val="00F140AA"/>
    <w:rsid w:val="00F163A7"/>
    <w:rsid w:val="00F22268"/>
    <w:rsid w:val="00F328F5"/>
    <w:rsid w:val="00F36C49"/>
    <w:rsid w:val="00F40567"/>
    <w:rsid w:val="00F428C6"/>
    <w:rsid w:val="00F46768"/>
    <w:rsid w:val="00F5129B"/>
    <w:rsid w:val="00F56AB0"/>
    <w:rsid w:val="00F5791B"/>
    <w:rsid w:val="00F6047C"/>
    <w:rsid w:val="00F62403"/>
    <w:rsid w:val="00F629EF"/>
    <w:rsid w:val="00F6534A"/>
    <w:rsid w:val="00F677B1"/>
    <w:rsid w:val="00F67CCD"/>
    <w:rsid w:val="00F73E15"/>
    <w:rsid w:val="00F748D2"/>
    <w:rsid w:val="00F7719B"/>
    <w:rsid w:val="00F83CF1"/>
    <w:rsid w:val="00F86C53"/>
    <w:rsid w:val="00F901AD"/>
    <w:rsid w:val="00F928D9"/>
    <w:rsid w:val="00F94B7A"/>
    <w:rsid w:val="00F94D73"/>
    <w:rsid w:val="00FA05F8"/>
    <w:rsid w:val="00FA29A5"/>
    <w:rsid w:val="00FA481B"/>
    <w:rsid w:val="00FA4B65"/>
    <w:rsid w:val="00FA5AB2"/>
    <w:rsid w:val="00FA7ADC"/>
    <w:rsid w:val="00FB6CE5"/>
    <w:rsid w:val="00FB7772"/>
    <w:rsid w:val="00FD0BB8"/>
    <w:rsid w:val="00FD41DF"/>
    <w:rsid w:val="00FE0025"/>
    <w:rsid w:val="00FE6644"/>
    <w:rsid w:val="00FE6A60"/>
    <w:rsid w:val="00FF6AE1"/>
    <w:rsid w:val="00FF76C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footnote text" w:uiPriority="99" w:qFormat="1"/>
    <w:lsdException w:name="footer" w:uiPriority="99"/>
    <w:lsdException w:name="caption" w:uiPriority="35"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4165E7"/>
    <w:pPr>
      <w:keepNext/>
      <w:tabs>
        <w:tab w:val="decimal" w:leader="dot" w:pos="8640"/>
      </w:tabs>
      <w:spacing w:before="240" w:line="480" w:lineRule="auto"/>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637F42"/>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qFormat/>
    <w:rsid w:val="00575D25"/>
    <w:pPr>
      <w:spacing w:after="120"/>
    </w:pPr>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rsid w:val="0021152F"/>
    <w:rPr>
      <w:color w:val="605E5C"/>
      <w:shd w:val="clear" w:color="auto" w:fill="E1DFDD"/>
    </w:rPr>
  </w:style>
  <w:style w:type="character" w:customStyle="1" w:styleId="sssh">
    <w:name w:val="ss_sh"/>
    <w:basedOn w:val="DefaultParagraphFont"/>
    <w:rsid w:val="000521F7"/>
  </w:style>
  <w:style w:type="character" w:customStyle="1" w:styleId="ssrfcsection">
    <w:name w:val="ss_rfcsection"/>
    <w:basedOn w:val="DefaultParagraphFont"/>
    <w:rsid w:val="00DC6CAB"/>
  </w:style>
  <w:style w:type="character" w:customStyle="1" w:styleId="ssit">
    <w:name w:val="ss_it"/>
    <w:basedOn w:val="DefaultParagraphFont"/>
    <w:rsid w:val="00DC6CAB"/>
  </w:style>
  <w:style w:type="character" w:customStyle="1" w:styleId="HTMLPreformattedChar">
    <w:name w:val="HTML Preformatted Char"/>
    <w:link w:val="HTMLPreformatted"/>
    <w:rsid w:val="00AE4CF9"/>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Thomas.lindgren@ohioAGO.gov" TargetMode="External" /><Relationship Id="rId11" Type="http://schemas.openxmlformats.org/officeDocument/2006/relationships/hyperlink" Target="mailto:Bojko@carpenterlipps.com" TargetMode="External" /><Relationship Id="rId12" Type="http://schemas.openxmlformats.org/officeDocument/2006/relationships/hyperlink" Target="mailto:Donadio@carpenterlipps.com" TargetMode="External" /><Relationship Id="rId13" Type="http://schemas.openxmlformats.org/officeDocument/2006/relationships/hyperlink" Target="mailto:rlazer@elpc.org" TargetMode="External" /><Relationship Id="rId14" Type="http://schemas.openxmlformats.org/officeDocument/2006/relationships/hyperlink" Target="mailto:mleppla@theOEC.org" TargetMode="External" /><Relationship Id="rId15" Type="http://schemas.openxmlformats.org/officeDocument/2006/relationships/hyperlink" Target="mailto:ctavenor@theOEC.org" TargetMode="External" /><Relationship Id="rId16" Type="http://schemas.openxmlformats.org/officeDocument/2006/relationships/hyperlink" Target="mailto:glpetrucci@vorys.com" TargetMode="External" /><Relationship Id="rId17" Type="http://schemas.openxmlformats.org/officeDocument/2006/relationships/hyperlink" Target="mailto:bethany.allen@igs.com" TargetMode="External" /><Relationship Id="rId18" Type="http://schemas.openxmlformats.org/officeDocument/2006/relationships/hyperlink" Target="mailto:joe.oliker@igs.com" TargetMode="External" /><Relationship Id="rId19" Type="http://schemas.openxmlformats.org/officeDocument/2006/relationships/hyperlink" Target="mailto:evan.betterton@igs.com" TargetMode="External" /><Relationship Id="rId2" Type="http://schemas.openxmlformats.org/officeDocument/2006/relationships/settings" Target="settings.xml" /><Relationship Id="rId20" Type="http://schemas.openxmlformats.org/officeDocument/2006/relationships/hyperlink" Target="mailto:Megan.addison@puco.ohio.gov" TargetMode="External" /><Relationship Id="rId21" Type="http://schemas.openxmlformats.org/officeDocument/2006/relationships/hyperlink" Target="mailto:Gregory.price@puco.ohio.gov" TargetMode="External" /><Relationship Id="rId22" Type="http://schemas.openxmlformats.org/officeDocument/2006/relationships/hyperlink" Target="mailto:Jacqueline.st.john@puco.ohio.gov" TargetMode="External" /><Relationship Id="rId23" Type="http://schemas.openxmlformats.org/officeDocument/2006/relationships/hyperlink" Target="mailto:bknipe@firstenergycorp.com" TargetMode="External" /><Relationship Id="rId24" Type="http://schemas.openxmlformats.org/officeDocument/2006/relationships/hyperlink" Target="mailto:mrgladman@jonesday.com" TargetMode="External" /><Relationship Id="rId25" Type="http://schemas.openxmlformats.org/officeDocument/2006/relationships/hyperlink" Target="mailto:mdengler@jonesday.com" TargetMode="External" /><Relationship Id="rId26" Type="http://schemas.openxmlformats.org/officeDocument/2006/relationships/hyperlink" Target="mailto:radoringo@jonesday.com" TargetMode="External" /><Relationship Id="rId27" Type="http://schemas.openxmlformats.org/officeDocument/2006/relationships/hyperlink" Target="mailto:calee@jonesday.com" TargetMode="External" /><Relationship Id="rId28" Type="http://schemas.openxmlformats.org/officeDocument/2006/relationships/hyperlink" Target="mailto:sgoyal@jonesday.com" TargetMode="External" /><Relationship Id="rId29" Type="http://schemas.openxmlformats.org/officeDocument/2006/relationships/hyperlink" Target="mailto:rdove@keglerbrown.com" TargetMode="External" /><Relationship Id="rId3" Type="http://schemas.openxmlformats.org/officeDocument/2006/relationships/webSettings" Target="webSettings.xml" /><Relationship Id="rId30" Type="http://schemas.openxmlformats.org/officeDocument/2006/relationships/hyperlink" Target="mailto:dparram@bricker.com" TargetMode="External" /><Relationship Id="rId31" Type="http://schemas.openxmlformats.org/officeDocument/2006/relationships/hyperlink" Target="mailto:rmains@bricker.com" TargetMode="External" /><Relationship Id="rId32" Type="http://schemas.openxmlformats.org/officeDocument/2006/relationships/footer" Target="footer2.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footer" Target="footer1.xml" /><Relationship Id="rId9" Type="http://schemas.openxmlformats.org/officeDocument/2006/relationships/hyperlink" Target="mailto:werner.margard@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D5FA3-329A-470D-9E63-B6A447F18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2021-10-14T16:30:05Z</dcterms:created>
  <dcterms:modified xsi:type="dcterms:W3CDTF">2021-10-14T16:30:05Z</dcterms:modified>
</cp:coreProperties>
</file>