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E56E0" w:rsidRPr="0009183C" w:rsidP="000E56E0">
      <w:pPr>
        <w:pStyle w:val="HTMLPreformatted"/>
        <w:jc w:val="center"/>
        <w:rPr>
          <w:rFonts w:ascii="Times New Roman" w:hAnsi="Times New Roman" w:cs="Times New Roman"/>
          <w:b/>
          <w:bCs/>
          <w:sz w:val="24"/>
          <w:szCs w:val="24"/>
        </w:rPr>
      </w:pPr>
      <w:bookmarkStart w:id="0" w:name="_GoBack"/>
      <w:bookmarkEnd w:id="0"/>
      <w:r w:rsidRPr="0009183C">
        <w:rPr>
          <w:rFonts w:ascii="Times New Roman" w:hAnsi="Times New Roman" w:cs="Times New Roman"/>
          <w:b/>
          <w:bCs/>
          <w:sz w:val="24"/>
          <w:szCs w:val="24"/>
        </w:rPr>
        <w:t>BEFORE</w:t>
      </w:r>
    </w:p>
    <w:p w:rsidR="000E56E0" w:rsidRPr="0009183C" w:rsidP="000E56E0">
      <w:pPr>
        <w:pStyle w:val="HTMLPreformatted"/>
        <w:jc w:val="center"/>
        <w:rPr>
          <w:rFonts w:ascii="Times New Roman" w:hAnsi="Times New Roman" w:cs="Times New Roman"/>
          <w:sz w:val="24"/>
          <w:szCs w:val="24"/>
        </w:rPr>
      </w:pPr>
      <w:r w:rsidRPr="0009183C">
        <w:rPr>
          <w:rFonts w:ascii="Times New Roman" w:hAnsi="Times New Roman" w:cs="Times New Roman"/>
          <w:b/>
          <w:bCs/>
          <w:sz w:val="24"/>
          <w:szCs w:val="24"/>
        </w:rPr>
        <w:t>THE PUBLIC UTILITIES COMMISSION OF OHIO</w:t>
      </w:r>
    </w:p>
    <w:p w:rsidR="000E56E0" w:rsidRPr="0009183C" w:rsidP="000E56E0">
      <w:pPr>
        <w:pStyle w:val="HTMLPreformatted"/>
        <w:rPr>
          <w:rFonts w:ascii="Times New Roman" w:hAnsi="Times New Roman" w:cs="Times New Roman"/>
          <w:sz w:val="24"/>
          <w:szCs w:val="24"/>
        </w:rPr>
      </w:pPr>
    </w:p>
    <w:tbl>
      <w:tblPr>
        <w:tblW w:w="9166" w:type="dxa"/>
        <w:tblInd w:w="0" w:type="dxa"/>
        <w:tblCellMar>
          <w:top w:w="0" w:type="dxa"/>
          <w:left w:w="108" w:type="dxa"/>
          <w:bottom w:w="0" w:type="dxa"/>
          <w:right w:w="108" w:type="dxa"/>
        </w:tblCellMar>
        <w:tblLook w:val="01E0"/>
      </w:tblPr>
      <w:tblGrid>
        <w:gridCol w:w="4432"/>
        <w:gridCol w:w="298"/>
        <w:gridCol w:w="4436"/>
      </w:tblGrid>
      <w:tr w:rsidTr="00CE00CF">
        <w:tblPrEx>
          <w:tblW w:w="9166" w:type="dxa"/>
          <w:tblInd w:w="0" w:type="dxa"/>
          <w:tblCellMar>
            <w:top w:w="0" w:type="dxa"/>
            <w:left w:w="108" w:type="dxa"/>
            <w:bottom w:w="0" w:type="dxa"/>
            <w:right w:w="108" w:type="dxa"/>
          </w:tblCellMar>
          <w:tblLook w:val="01E0"/>
        </w:tblPrEx>
        <w:trPr>
          <w:trHeight w:val="2995"/>
        </w:trPr>
        <w:tc>
          <w:tcPr>
            <w:tcW w:w="4432" w:type="dxa"/>
          </w:tcPr>
          <w:p w:rsidR="000E56E0" w:rsidRPr="0009183C" w:rsidP="00CE00CF">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an Increase in Electric Distribution Rates</w:t>
            </w:r>
          </w:p>
          <w:p w:rsidR="000E56E0" w:rsidRPr="0009183C" w:rsidP="00CE00CF">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Tariff Approval</w:t>
            </w:r>
            <w:r w:rsidRPr="0009183C">
              <w:rPr>
                <w:rFonts w:ascii="Times New Roman" w:hAnsi="Times New Roman" w:eastAsiaTheme="minorHAnsi" w:cs="Times New Roman"/>
                <w:sz w:val="24"/>
                <w:szCs w:val="24"/>
                <w:lang w:val="en-US" w:eastAsia="en-US" w:bidi="ar-SA"/>
              </w:rPr>
              <w:t>.</w:t>
            </w:r>
          </w:p>
          <w:p w:rsidR="000E56E0" w:rsidRPr="0009183C" w:rsidP="00CE00CF">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Approval to Change Accounting Methods</w:t>
            </w:r>
          </w:p>
        </w:tc>
        <w:tc>
          <w:tcPr>
            <w:tcW w:w="298" w:type="dxa"/>
          </w:tcPr>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tc>
        <w:tc>
          <w:tcPr>
            <w:tcW w:w="4436" w:type="dxa"/>
          </w:tcPr>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17-32-EL-AIR</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17-33-EL-ATA</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17-34-EL-AAM</w:t>
            </w:r>
          </w:p>
          <w:p w:rsidR="000E56E0" w:rsidRPr="0009183C" w:rsidP="00CE00C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0E56E0" w:rsidRPr="0009183C" w:rsidP="000E56E0">
      <w:pPr>
        <w:pStyle w:val="HTMLPreformatted"/>
        <w:pBdr>
          <w:bottom w:val="single" w:sz="12" w:space="1" w:color="auto"/>
        </w:pBdr>
        <w:rPr>
          <w:rFonts w:ascii="Times New Roman" w:hAnsi="Times New Roman" w:cs="Times New Roman"/>
          <w:b/>
          <w:bCs/>
          <w:sz w:val="24"/>
          <w:szCs w:val="24"/>
        </w:rPr>
      </w:pPr>
    </w:p>
    <w:p w:rsidR="000E56E0" w:rsidP="000E56E0">
      <w:pPr>
        <w:pStyle w:val="HTMLPreformatted"/>
        <w:rPr>
          <w:rFonts w:ascii="Times New Roman" w:hAnsi="Times New Roman" w:cs="Times New Roman"/>
          <w:b/>
          <w:bCs/>
          <w:i/>
          <w:sz w:val="24"/>
          <w:szCs w:val="24"/>
        </w:rPr>
      </w:pPr>
    </w:p>
    <w:p w:rsidR="000E56E0" w:rsidRPr="0009183C" w:rsidP="000E56E0">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REPLY IN SUPPORT OF </w:t>
      </w:r>
      <w:r>
        <w:rPr>
          <w:rFonts w:ascii="Times New Roman" w:hAnsi="Times New Roman" w:cs="Times New Roman"/>
          <w:b/>
          <w:bCs/>
          <w:sz w:val="24"/>
          <w:szCs w:val="24"/>
        </w:rPr>
        <w:br/>
      </w:r>
      <w:r w:rsidRPr="0009183C">
        <w:rPr>
          <w:rFonts w:ascii="Times New Roman" w:hAnsi="Times New Roman" w:cs="Times New Roman"/>
          <w:b/>
          <w:bCs/>
          <w:sz w:val="24"/>
          <w:szCs w:val="24"/>
        </w:rPr>
        <w:t>MOTION TO COMPEL RESPONSES TO DISCOVERY</w:t>
      </w:r>
    </w:p>
    <w:p w:rsidR="000E56E0" w:rsidRPr="0009183C" w:rsidP="000E56E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0E56E0" w:rsidRPr="0009183C" w:rsidP="000E56E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0E56E0" w:rsidRPr="0009183C" w:rsidP="000E56E0">
      <w:pPr>
        <w:pStyle w:val="HTMLPreformatted"/>
        <w:pBdr>
          <w:bottom w:val="single" w:sz="12" w:space="1" w:color="auto"/>
        </w:pBdr>
        <w:jc w:val="center"/>
        <w:rPr>
          <w:rFonts w:ascii="Times New Roman" w:hAnsi="Times New Roman" w:cs="Times New Roman"/>
          <w:b/>
          <w:bCs/>
          <w:sz w:val="24"/>
          <w:szCs w:val="24"/>
        </w:rPr>
      </w:pPr>
    </w:p>
    <w:p w:rsidR="000E56E0">
      <w:pPr>
        <w:rPr>
          <w:rFonts w:eastAsia="Courier New" w:cs="Times New Roman"/>
          <w:b/>
          <w:bCs/>
          <w:szCs w:val="24"/>
        </w:rPr>
      </w:pPr>
    </w:p>
    <w:p w:rsidR="000E56E0" w:rsidP="006F040C">
      <w:pPr>
        <w:pStyle w:val="HTMLPreformatted"/>
        <w:jc w:val="center"/>
        <w:rPr>
          <w:rFonts w:ascii="Times New Roman" w:hAnsi="Times New Roman" w:cs="Times New Roman"/>
          <w:b/>
          <w:bCs/>
          <w:sz w:val="24"/>
          <w:szCs w:val="24"/>
        </w:rPr>
      </w:pPr>
    </w:p>
    <w:p w:rsidR="000E56E0" w:rsidP="006F040C">
      <w:pPr>
        <w:pStyle w:val="HTMLPreformatted"/>
        <w:jc w:val="center"/>
        <w:rPr>
          <w:rFonts w:ascii="Times New Roman" w:hAnsi="Times New Roman" w:cs="Times New Roman"/>
          <w:b/>
          <w:bCs/>
          <w:sz w:val="24"/>
          <w:szCs w:val="24"/>
        </w:rPr>
      </w:pPr>
    </w:p>
    <w:p w:rsidR="000E56E0" w:rsidP="006F040C">
      <w:pPr>
        <w:pStyle w:val="HTMLPreformatted"/>
        <w:jc w:val="center"/>
        <w:rPr>
          <w:rFonts w:ascii="Times New Roman" w:hAnsi="Times New Roman" w:cs="Times New Roman"/>
          <w:b/>
          <w:bCs/>
          <w:sz w:val="24"/>
          <w:szCs w:val="24"/>
        </w:rPr>
      </w:pPr>
    </w:p>
    <w:p w:rsidR="000E56E0" w:rsidP="000E56E0">
      <w:pPr>
        <w:spacing w:after="0" w:line="240" w:lineRule="auto"/>
        <w:ind w:left="3600" w:firstLine="720"/>
        <w:rPr>
          <w:rFonts w:eastAsiaTheme="minorEastAsia" w:cs="Times New Roman"/>
          <w:szCs w:val="24"/>
        </w:rPr>
      </w:pPr>
    </w:p>
    <w:p w:rsidR="000E56E0" w:rsidP="000E56E0">
      <w:pPr>
        <w:spacing w:after="0" w:line="240" w:lineRule="auto"/>
        <w:ind w:left="3600" w:firstLine="720"/>
        <w:rPr>
          <w:rFonts w:eastAsiaTheme="minorEastAsia" w:cs="Times New Roman"/>
          <w:szCs w:val="24"/>
        </w:rPr>
      </w:pPr>
    </w:p>
    <w:p w:rsidR="000E56E0" w:rsidP="000E56E0">
      <w:pPr>
        <w:spacing w:after="0" w:line="240" w:lineRule="auto"/>
        <w:ind w:left="3600" w:firstLine="720"/>
        <w:rPr>
          <w:rFonts w:eastAsiaTheme="minorEastAsia" w:cs="Times New Roman"/>
          <w:szCs w:val="24"/>
        </w:rPr>
      </w:pPr>
    </w:p>
    <w:p w:rsidR="000E56E0" w:rsidP="000E56E0">
      <w:pPr>
        <w:spacing w:after="0" w:line="240" w:lineRule="auto"/>
        <w:ind w:left="3600" w:firstLine="720"/>
        <w:rPr>
          <w:rFonts w:eastAsiaTheme="minorEastAsia" w:cs="Times New Roman"/>
          <w:szCs w:val="24"/>
        </w:rPr>
      </w:pPr>
    </w:p>
    <w:p w:rsidR="000E56E0" w:rsidP="000E56E0">
      <w:pPr>
        <w:spacing w:after="0" w:line="240" w:lineRule="auto"/>
        <w:ind w:left="3600" w:firstLine="720"/>
        <w:rPr>
          <w:rFonts w:eastAsiaTheme="minorEastAsia" w:cs="Times New Roman"/>
          <w:szCs w:val="24"/>
        </w:rPr>
      </w:pPr>
    </w:p>
    <w:p w:rsidR="000E56E0" w:rsidRPr="0009183C" w:rsidP="000E56E0">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09183C">
        <w:rPr>
          <w:rFonts w:eastAsiaTheme="minorEastAsia" w:cs="Times New Roman"/>
          <w:szCs w:val="24"/>
        </w:rPr>
        <w:t>WESTON (0016973)</w:t>
      </w:r>
    </w:p>
    <w:p w:rsidR="000E56E0" w:rsidP="000E56E0">
      <w:pPr>
        <w:spacing w:after="0" w:line="240" w:lineRule="auto"/>
        <w:ind w:firstLine="4320"/>
        <w:rPr>
          <w:rFonts w:eastAsiaTheme="minorEastAsia" w:cs="Times New Roman"/>
          <w:szCs w:val="24"/>
        </w:rPr>
      </w:pPr>
      <w:r w:rsidRPr="0009183C">
        <w:rPr>
          <w:rFonts w:eastAsiaTheme="minorEastAsia" w:cs="Times New Roman"/>
          <w:szCs w:val="24"/>
        </w:rPr>
        <w:t>OHIO CONSUMERS</w:t>
      </w:r>
      <w:r>
        <w:rPr>
          <w:rFonts w:eastAsiaTheme="minorEastAsia" w:cs="Times New Roman"/>
          <w:szCs w:val="24"/>
        </w:rPr>
        <w:t>'</w:t>
      </w:r>
      <w:r w:rsidRPr="0009183C">
        <w:rPr>
          <w:rFonts w:eastAsiaTheme="minorEastAsia" w:cs="Times New Roman"/>
          <w:szCs w:val="24"/>
        </w:rPr>
        <w:t xml:space="preserve"> COUNSEL</w:t>
      </w:r>
    </w:p>
    <w:p w:rsidR="000E56E0" w:rsidP="000E56E0">
      <w:pPr>
        <w:spacing w:after="0" w:line="240" w:lineRule="auto"/>
        <w:ind w:firstLine="4320"/>
        <w:rPr>
          <w:rFonts w:eastAsiaTheme="minorEastAsia" w:cs="Times New Roman"/>
          <w:szCs w:val="24"/>
        </w:rPr>
      </w:pPr>
    </w:p>
    <w:p w:rsidR="000E56E0" w:rsidRPr="0009183C" w:rsidP="000E56E0">
      <w:pPr>
        <w:spacing w:after="0" w:line="240" w:lineRule="auto"/>
        <w:ind w:firstLine="4320"/>
        <w:rPr>
          <w:rFonts w:eastAsiaTheme="minorEastAsia" w:cs="Times New Roman"/>
          <w:szCs w:val="24"/>
        </w:rPr>
      </w:pPr>
      <w:r>
        <w:rPr>
          <w:rFonts w:eastAsiaTheme="minorEastAsia" w:cs="Times New Roman"/>
          <w:szCs w:val="24"/>
        </w:rPr>
        <w:t>William J. Michael (0070921)</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Counsel of Record</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Christopher Healey (0086027)</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Assistant Consumers</w:t>
      </w:r>
      <w:r>
        <w:rPr>
          <w:rFonts w:eastAsiaTheme="minorEastAsia" w:cs="Times New Roman"/>
          <w:szCs w:val="24"/>
        </w:rPr>
        <w:t>'</w:t>
      </w:r>
      <w:r w:rsidRPr="0009183C">
        <w:rPr>
          <w:rFonts w:eastAsiaTheme="minorEastAsia" w:cs="Times New Roman"/>
          <w:szCs w:val="24"/>
        </w:rPr>
        <w:t xml:space="preserve"> Counsel</w:t>
      </w:r>
    </w:p>
    <w:p w:rsidR="000E56E0" w:rsidRPr="0009183C" w:rsidP="000E56E0">
      <w:pPr>
        <w:spacing w:after="0" w:line="240" w:lineRule="auto"/>
        <w:ind w:firstLine="4320"/>
        <w:rPr>
          <w:rFonts w:eastAsiaTheme="minorEastAsia" w:cs="Times New Roman"/>
          <w:szCs w:val="24"/>
        </w:rPr>
      </w:pPr>
    </w:p>
    <w:p w:rsidR="000E56E0" w:rsidRPr="0009183C" w:rsidP="000E56E0">
      <w:pPr>
        <w:spacing w:after="0" w:line="240" w:lineRule="auto"/>
        <w:ind w:firstLine="4320"/>
        <w:rPr>
          <w:rFonts w:eastAsiaTheme="minorEastAsia" w:cs="Times New Roman"/>
          <w:b/>
          <w:szCs w:val="24"/>
        </w:rPr>
      </w:pPr>
      <w:r w:rsidRPr="0009183C">
        <w:rPr>
          <w:rFonts w:eastAsiaTheme="minorEastAsia" w:cs="Times New Roman"/>
          <w:b/>
          <w:szCs w:val="24"/>
        </w:rPr>
        <w:t>Office of the Ohio Consumers</w:t>
      </w:r>
      <w:r>
        <w:rPr>
          <w:rFonts w:eastAsiaTheme="minorEastAsia" w:cs="Times New Roman"/>
          <w:b/>
          <w:szCs w:val="24"/>
        </w:rPr>
        <w:t>'</w:t>
      </w:r>
      <w:r w:rsidRPr="0009183C">
        <w:rPr>
          <w:rFonts w:eastAsiaTheme="minorEastAsia" w:cs="Times New Roman"/>
          <w:b/>
          <w:szCs w:val="24"/>
        </w:rPr>
        <w:t xml:space="preserve"> Counsel</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10 W. Broad Street, Suite 1800</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Columbus, Ohio 43215-3485</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Telephone [</w:t>
      </w:r>
      <w:r>
        <w:rPr>
          <w:rFonts w:eastAsiaTheme="minorEastAsia" w:cs="Times New Roman"/>
          <w:szCs w:val="24"/>
        </w:rPr>
        <w:t>Michael</w:t>
      </w:r>
      <w:r w:rsidRPr="0009183C">
        <w:rPr>
          <w:rFonts w:eastAsiaTheme="minorEastAsia" w:cs="Times New Roman"/>
          <w:szCs w:val="24"/>
        </w:rPr>
        <w:t>]: 614-466-</w:t>
      </w:r>
      <w:r>
        <w:rPr>
          <w:rFonts w:eastAsiaTheme="minorEastAsia" w:cs="Times New Roman"/>
          <w:szCs w:val="24"/>
        </w:rPr>
        <w:t>1291</w:t>
      </w:r>
    </w:p>
    <w:p w:rsidR="000E56E0" w:rsidRPr="0009183C" w:rsidP="000E56E0">
      <w:pPr>
        <w:spacing w:after="0" w:line="240" w:lineRule="auto"/>
        <w:ind w:firstLine="4320"/>
        <w:rPr>
          <w:rFonts w:eastAsiaTheme="minorEastAsia" w:cs="Times New Roman"/>
          <w:szCs w:val="24"/>
        </w:rPr>
      </w:pPr>
      <w:r w:rsidRPr="0009183C">
        <w:rPr>
          <w:rFonts w:eastAsiaTheme="minorEastAsia" w:cs="Times New Roman"/>
          <w:szCs w:val="24"/>
        </w:rPr>
        <w:t>Telephone [Healey]: 614-466-9571</w:t>
      </w:r>
    </w:p>
    <w:p w:rsidR="000E56E0" w:rsidP="000E56E0">
      <w:pPr>
        <w:spacing w:after="0" w:line="240" w:lineRule="auto"/>
        <w:ind w:firstLine="4320"/>
        <w:rPr>
          <w:rStyle w:val="Hyperlink"/>
          <w:rFonts w:eastAsiaTheme="minorEastAsia" w:cs="Times New Roman"/>
          <w:szCs w:val="24"/>
        </w:rPr>
      </w:pPr>
      <w:r>
        <w:fldChar w:fldCharType="begin"/>
      </w:r>
      <w:r>
        <w:instrText xml:space="preserve"> HYPERLINK "mailto:william.michael@occ.ohio.gov" </w:instrText>
      </w:r>
      <w:r>
        <w:fldChar w:fldCharType="separate"/>
      </w:r>
      <w:r w:rsidRPr="004E18B6">
        <w:rPr>
          <w:rStyle w:val="Hyperlink"/>
        </w:rPr>
        <w:t>william.michael@occ.ohio.gov</w:t>
      </w:r>
      <w:r>
        <w:fldChar w:fldCharType="end"/>
      </w:r>
    </w:p>
    <w:p w:rsidR="000E56E0" w:rsidRPr="0009183C" w:rsidP="000E56E0">
      <w:pPr>
        <w:spacing w:after="0" w:line="240" w:lineRule="auto"/>
        <w:ind w:firstLine="4320"/>
        <w:rPr>
          <w:rFonts w:eastAsiaTheme="minorEastAsia" w:cs="Times New Roman"/>
          <w:szCs w:val="24"/>
        </w:rPr>
      </w:pPr>
      <w:r>
        <w:fldChar w:fldCharType="begin"/>
      </w:r>
      <w:r>
        <w:instrText xml:space="preserve"> HYPERLINK "mailto:christopher.healey@occ.ohio.gov" </w:instrText>
      </w:r>
      <w:r>
        <w:fldChar w:fldCharType="separate"/>
      </w:r>
      <w:r w:rsidRPr="0009183C">
        <w:rPr>
          <w:rStyle w:val="Hyperlink"/>
          <w:rFonts w:eastAsiaTheme="minorEastAsia" w:cs="Times New Roman"/>
          <w:szCs w:val="24"/>
        </w:rPr>
        <w:t>christopher.healey@occ.ohio.gov</w:t>
      </w:r>
      <w:r>
        <w:fldChar w:fldCharType="end"/>
      </w:r>
    </w:p>
    <w:p w:rsidR="000E56E0" w:rsidP="006F040C">
      <w:pPr>
        <w:pStyle w:val="HTMLPreformatted"/>
        <w:jc w:val="center"/>
        <w:rPr>
          <w:rFonts w:ascii="Times New Roman" w:hAnsi="Times New Roman" w:cs="Times New Roman"/>
          <w:b/>
          <w:bCs/>
          <w:sz w:val="24"/>
          <w:szCs w:val="24"/>
        </w:rPr>
        <w:sectPr w:rsidSect="00DB29D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0E56E0" w:rsidP="000E56E0">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0E56E0" w:rsidP="000E56E0">
      <w:pPr>
        <w:pStyle w:val="HTMLPreformatted"/>
        <w:jc w:val="center"/>
        <w:rPr>
          <w:rFonts w:ascii="Times New Roman" w:hAnsi="Times New Roman" w:cs="Times New Roman"/>
          <w:b/>
          <w:bCs/>
          <w:sz w:val="24"/>
          <w:szCs w:val="24"/>
        </w:rPr>
      </w:pPr>
    </w:p>
    <w:p w:rsidR="000E56E0" w:rsidP="000E56E0">
      <w:pPr>
        <w:pStyle w:val="HTMLPreformatted"/>
        <w:jc w:val="center"/>
        <w:rPr>
          <w:rFonts w:ascii="Times New Roman" w:hAnsi="Times New Roman" w:cs="Times New Roman"/>
          <w:b/>
          <w:bCs/>
          <w:sz w:val="24"/>
          <w:szCs w:val="24"/>
        </w:rPr>
      </w:pPr>
    </w:p>
    <w:p w:rsidR="000E56E0" w:rsidP="000E56E0">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PAGE</w:t>
      </w:r>
    </w:p>
    <w:p w:rsidR="000E56E0" w:rsidP="000E56E0">
      <w:pPr>
        <w:pStyle w:val="HTMLPreformatted"/>
        <w:jc w:val="center"/>
        <w:rPr>
          <w:rFonts w:ascii="Times New Roman" w:hAnsi="Times New Roman" w:cs="Times New Roman"/>
          <w:b/>
          <w:bCs/>
          <w:sz w:val="24"/>
          <w:szCs w:val="24"/>
        </w:rPr>
      </w:pPr>
    </w:p>
    <w:p w:rsidR="000E56E0">
      <w:pPr>
        <w:pStyle w:val="TOC2"/>
        <w:tabs>
          <w:tab w:val="left" w:pos="1440"/>
        </w:tabs>
        <w:rPr>
          <w:rFonts w:asciiTheme="minorHAnsi" w:eastAsiaTheme="minorEastAsia" w:hAnsiTheme="minorHAnsi"/>
          <w:noProof/>
          <w:sz w:val="22"/>
        </w:rPr>
      </w:pPr>
      <w:r>
        <w:rPr>
          <w:rFonts w:cs="Times New Roman"/>
          <w:b/>
          <w:bCs/>
          <w:szCs w:val="24"/>
        </w:rPr>
        <w:fldChar w:fldCharType="begin"/>
      </w:r>
      <w:r>
        <w:rPr>
          <w:rFonts w:cs="Times New Roman"/>
          <w:b/>
          <w:bCs/>
          <w:szCs w:val="24"/>
        </w:rPr>
        <w:instrText xml:space="preserve"> TOC \o "1-4" \h \z \u </w:instrText>
      </w:r>
      <w:r>
        <w:rPr>
          <w:rFonts w:cs="Times New Roman"/>
          <w:b/>
          <w:bCs/>
          <w:szCs w:val="24"/>
        </w:rPr>
        <w:fldChar w:fldCharType="separate"/>
      </w:r>
      <w:r>
        <w:fldChar w:fldCharType="begin"/>
      </w:r>
      <w:r>
        <w:instrText xml:space="preserve"> HYPERLINK \l "_Toc494102395" </w:instrText>
      </w:r>
      <w:r>
        <w:fldChar w:fldCharType="separate"/>
      </w:r>
      <w:r w:rsidRPr="00422C3F">
        <w:rPr>
          <w:rStyle w:val="Hyperlink"/>
          <w:noProof/>
        </w:rPr>
        <w:t>A.</w:t>
      </w:r>
      <w:r>
        <w:rPr>
          <w:rFonts w:asciiTheme="minorHAnsi" w:eastAsiaTheme="minorEastAsia" w:hAnsiTheme="minorHAnsi"/>
          <w:noProof/>
          <w:sz w:val="22"/>
        </w:rPr>
        <w:tab/>
      </w:r>
      <w:r w:rsidRPr="00422C3F">
        <w:rPr>
          <w:rStyle w:val="Hyperlink"/>
          <w:noProof/>
        </w:rPr>
        <w:t>The discovery rules are liberally interpreted in favor of requiring the utility to respond in full to parties' discovery requests.</w:t>
      </w:r>
      <w:r>
        <w:rPr>
          <w:noProof/>
          <w:webHidden/>
        </w:rPr>
        <w:tab/>
      </w:r>
      <w:r>
        <w:rPr>
          <w:noProof/>
          <w:webHidden/>
        </w:rPr>
        <w:fldChar w:fldCharType="begin"/>
      </w:r>
      <w:r>
        <w:rPr>
          <w:noProof/>
          <w:webHidden/>
        </w:rPr>
        <w:instrText xml:space="preserve"> PAGEREF _Toc494102395 \h </w:instrText>
      </w:r>
      <w:r>
        <w:rPr>
          <w:noProof/>
          <w:webHidden/>
        </w:rPr>
        <w:fldChar w:fldCharType="separate"/>
      </w:r>
      <w:r>
        <w:rPr>
          <w:noProof/>
          <w:webHidden/>
        </w:rPr>
        <w:t>2</w:t>
      </w:r>
      <w:r>
        <w:rPr>
          <w:noProof/>
          <w:webHidden/>
        </w:rPr>
        <w:fldChar w:fldCharType="end"/>
      </w:r>
      <w:r>
        <w:fldChar w:fldCharType="end"/>
      </w:r>
    </w:p>
    <w:p w:rsidR="000E56E0">
      <w:pPr>
        <w:pStyle w:val="TOC2"/>
        <w:tabs>
          <w:tab w:val="left" w:pos="1440"/>
        </w:tabs>
        <w:rPr>
          <w:rFonts w:asciiTheme="minorHAnsi" w:eastAsiaTheme="minorEastAsia" w:hAnsiTheme="minorHAnsi"/>
          <w:noProof/>
          <w:sz w:val="22"/>
        </w:rPr>
      </w:pPr>
      <w:r>
        <w:fldChar w:fldCharType="begin"/>
      </w:r>
      <w:r>
        <w:instrText xml:space="preserve"> HYPERLINK \l "_Toc494102396" </w:instrText>
      </w:r>
      <w:r>
        <w:fldChar w:fldCharType="separate"/>
      </w:r>
      <w:r w:rsidRPr="00422C3F">
        <w:rPr>
          <w:rStyle w:val="Hyperlink"/>
          <w:noProof/>
        </w:rPr>
        <w:t>B.</w:t>
      </w:r>
      <w:r>
        <w:rPr>
          <w:rFonts w:asciiTheme="minorHAnsi" w:eastAsiaTheme="minorEastAsia" w:hAnsiTheme="minorHAnsi"/>
          <w:noProof/>
          <w:sz w:val="22"/>
        </w:rPr>
        <w:tab/>
      </w:r>
      <w:r w:rsidRPr="00422C3F">
        <w:rPr>
          <w:rStyle w:val="Hyperlink"/>
          <w:noProof/>
        </w:rPr>
        <w:t>OCC's discovery requests seek relevant information.</w:t>
      </w:r>
      <w:r>
        <w:rPr>
          <w:noProof/>
          <w:webHidden/>
        </w:rPr>
        <w:tab/>
      </w:r>
      <w:r>
        <w:rPr>
          <w:noProof/>
          <w:webHidden/>
        </w:rPr>
        <w:fldChar w:fldCharType="begin"/>
      </w:r>
      <w:r>
        <w:rPr>
          <w:noProof/>
          <w:webHidden/>
        </w:rPr>
        <w:instrText xml:space="preserve"> PAGEREF _Toc494102396 \h </w:instrText>
      </w:r>
      <w:r>
        <w:rPr>
          <w:noProof/>
          <w:webHidden/>
        </w:rPr>
        <w:fldChar w:fldCharType="separate"/>
      </w:r>
      <w:r>
        <w:rPr>
          <w:noProof/>
          <w:webHidden/>
        </w:rPr>
        <w:t>3</w:t>
      </w:r>
      <w:r>
        <w:rPr>
          <w:noProof/>
          <w:webHidden/>
        </w:rPr>
        <w:fldChar w:fldCharType="end"/>
      </w:r>
      <w:r>
        <w:fldChar w:fldCharType="end"/>
      </w:r>
    </w:p>
    <w:p w:rsidR="000E56E0">
      <w:pPr>
        <w:pStyle w:val="TOC3"/>
        <w:tabs>
          <w:tab w:val="left" w:pos="2160"/>
        </w:tabs>
        <w:rPr>
          <w:rFonts w:asciiTheme="minorHAnsi" w:eastAsiaTheme="minorEastAsia" w:hAnsiTheme="minorHAnsi"/>
          <w:noProof/>
          <w:sz w:val="22"/>
        </w:rPr>
      </w:pPr>
      <w:r>
        <w:fldChar w:fldCharType="begin"/>
      </w:r>
      <w:r>
        <w:instrText xml:space="preserve"> HYPERLINK \l "_Toc494102397" </w:instrText>
      </w:r>
      <w:r>
        <w:fldChar w:fldCharType="separate"/>
      </w:r>
      <w:r w:rsidRPr="00422C3F">
        <w:rPr>
          <w:rStyle w:val="Hyperlink"/>
          <w:noProof/>
        </w:rPr>
        <w:t>1.</w:t>
      </w:r>
      <w:r>
        <w:rPr>
          <w:rFonts w:asciiTheme="minorHAnsi" w:eastAsiaTheme="minorEastAsia" w:hAnsiTheme="minorHAnsi"/>
          <w:noProof/>
          <w:sz w:val="22"/>
        </w:rPr>
        <w:tab/>
      </w:r>
      <w:r w:rsidRPr="00422C3F">
        <w:rPr>
          <w:rStyle w:val="Hyperlink"/>
          <w:noProof/>
        </w:rPr>
        <w:t>Duke's claim that its smart grid proposal in this case is "entirely forward-looking" is both false and irrelevant.</w:t>
      </w:r>
      <w:r>
        <w:rPr>
          <w:noProof/>
          <w:webHidden/>
        </w:rPr>
        <w:tab/>
      </w:r>
      <w:r>
        <w:rPr>
          <w:noProof/>
          <w:webHidden/>
        </w:rPr>
        <w:fldChar w:fldCharType="begin"/>
      </w:r>
      <w:r>
        <w:rPr>
          <w:noProof/>
          <w:webHidden/>
        </w:rPr>
        <w:instrText xml:space="preserve"> PAGEREF _Toc494102397 \h </w:instrText>
      </w:r>
      <w:r>
        <w:rPr>
          <w:noProof/>
          <w:webHidden/>
        </w:rPr>
        <w:fldChar w:fldCharType="separate"/>
      </w:r>
      <w:r>
        <w:rPr>
          <w:noProof/>
          <w:webHidden/>
        </w:rPr>
        <w:t>3</w:t>
      </w:r>
      <w:r>
        <w:rPr>
          <w:noProof/>
          <w:webHidden/>
        </w:rPr>
        <w:fldChar w:fldCharType="end"/>
      </w:r>
      <w:r>
        <w:fldChar w:fldCharType="end"/>
      </w:r>
    </w:p>
    <w:p w:rsidR="000E56E0">
      <w:pPr>
        <w:pStyle w:val="TOC4"/>
        <w:tabs>
          <w:tab w:val="left" w:pos="2880"/>
        </w:tabs>
        <w:rPr>
          <w:rFonts w:asciiTheme="minorHAnsi" w:eastAsiaTheme="minorEastAsia" w:hAnsiTheme="minorHAnsi"/>
          <w:noProof/>
          <w:sz w:val="22"/>
        </w:rPr>
      </w:pPr>
      <w:r>
        <w:fldChar w:fldCharType="begin"/>
      </w:r>
      <w:r>
        <w:instrText xml:space="preserve"> HYPERLINK \l "_Toc494102398" </w:instrText>
      </w:r>
      <w:r>
        <w:fldChar w:fldCharType="separate"/>
      </w:r>
      <w:r w:rsidRPr="00422C3F">
        <w:rPr>
          <w:rStyle w:val="Hyperlink"/>
          <w:noProof/>
        </w:rPr>
        <w:t>a.</w:t>
      </w:r>
      <w:r>
        <w:rPr>
          <w:rFonts w:asciiTheme="minorHAnsi" w:eastAsiaTheme="minorEastAsia" w:hAnsiTheme="minorHAnsi"/>
          <w:noProof/>
          <w:sz w:val="22"/>
        </w:rPr>
        <w:tab/>
      </w:r>
      <w:r w:rsidRPr="00422C3F">
        <w:rPr>
          <w:rStyle w:val="Hyperlink"/>
          <w:noProof/>
        </w:rPr>
        <w:t>OCC's discovery requests are relevant in determining whether Duke's current smart grid infrastructure is used and useful under R.C. 4909.15(A)(1).</w:t>
      </w:r>
      <w:r>
        <w:rPr>
          <w:noProof/>
          <w:webHidden/>
        </w:rPr>
        <w:tab/>
      </w:r>
      <w:r>
        <w:rPr>
          <w:noProof/>
          <w:webHidden/>
        </w:rPr>
        <w:fldChar w:fldCharType="begin"/>
      </w:r>
      <w:r>
        <w:rPr>
          <w:noProof/>
          <w:webHidden/>
        </w:rPr>
        <w:instrText xml:space="preserve"> PAGEREF _Toc494102398 \h </w:instrText>
      </w:r>
      <w:r>
        <w:rPr>
          <w:noProof/>
          <w:webHidden/>
        </w:rPr>
        <w:fldChar w:fldCharType="separate"/>
      </w:r>
      <w:r>
        <w:rPr>
          <w:noProof/>
          <w:webHidden/>
        </w:rPr>
        <w:t>3</w:t>
      </w:r>
      <w:r>
        <w:rPr>
          <w:noProof/>
          <w:webHidden/>
        </w:rPr>
        <w:fldChar w:fldCharType="end"/>
      </w:r>
      <w:r>
        <w:fldChar w:fldCharType="end"/>
      </w:r>
    </w:p>
    <w:p w:rsidR="000E56E0">
      <w:pPr>
        <w:pStyle w:val="TOC4"/>
        <w:tabs>
          <w:tab w:val="left" w:pos="2880"/>
        </w:tabs>
        <w:rPr>
          <w:rFonts w:asciiTheme="minorHAnsi" w:eastAsiaTheme="minorEastAsia" w:hAnsiTheme="minorHAnsi"/>
          <w:noProof/>
          <w:sz w:val="22"/>
        </w:rPr>
      </w:pPr>
      <w:r>
        <w:fldChar w:fldCharType="begin"/>
      </w:r>
      <w:r>
        <w:instrText xml:space="preserve"> HYPERLINK \l "_Toc494102399" </w:instrText>
      </w:r>
      <w:r>
        <w:fldChar w:fldCharType="separate"/>
      </w:r>
      <w:r w:rsidRPr="00422C3F">
        <w:rPr>
          <w:rStyle w:val="Hyperlink"/>
          <w:noProof/>
        </w:rPr>
        <w:t>b.</w:t>
      </w:r>
      <w:r>
        <w:rPr>
          <w:rFonts w:asciiTheme="minorHAnsi" w:eastAsiaTheme="minorEastAsia" w:hAnsiTheme="minorHAnsi"/>
          <w:noProof/>
          <w:sz w:val="22"/>
        </w:rPr>
        <w:tab/>
      </w:r>
      <w:r w:rsidRPr="00422C3F">
        <w:rPr>
          <w:rStyle w:val="Hyperlink"/>
          <w:noProof/>
        </w:rPr>
        <w:t>Information responsive to OCC's discovery requests on the current capabilities of Duke's smart grid is relevant because it informs analysis of Duke's proposal to replace it with new infrastructure.</w:t>
      </w:r>
      <w:r>
        <w:rPr>
          <w:noProof/>
          <w:webHidden/>
        </w:rPr>
        <w:tab/>
      </w:r>
      <w:r>
        <w:rPr>
          <w:noProof/>
          <w:webHidden/>
        </w:rPr>
        <w:fldChar w:fldCharType="begin"/>
      </w:r>
      <w:r>
        <w:rPr>
          <w:noProof/>
          <w:webHidden/>
        </w:rPr>
        <w:instrText xml:space="preserve"> PAGEREF _Toc494102399 \h </w:instrText>
      </w:r>
      <w:r>
        <w:rPr>
          <w:noProof/>
          <w:webHidden/>
        </w:rPr>
        <w:fldChar w:fldCharType="separate"/>
      </w:r>
      <w:r>
        <w:rPr>
          <w:noProof/>
          <w:webHidden/>
        </w:rPr>
        <w:t>4</w:t>
      </w:r>
      <w:r>
        <w:rPr>
          <w:noProof/>
          <w:webHidden/>
        </w:rPr>
        <w:fldChar w:fldCharType="end"/>
      </w:r>
      <w:r>
        <w:fldChar w:fldCharType="end"/>
      </w:r>
    </w:p>
    <w:p w:rsidR="000E56E0">
      <w:pPr>
        <w:pStyle w:val="TOC3"/>
        <w:tabs>
          <w:tab w:val="left" w:pos="2160"/>
        </w:tabs>
        <w:rPr>
          <w:rFonts w:asciiTheme="minorHAnsi" w:eastAsiaTheme="minorEastAsia" w:hAnsiTheme="minorHAnsi"/>
          <w:noProof/>
          <w:sz w:val="22"/>
        </w:rPr>
      </w:pPr>
      <w:r>
        <w:fldChar w:fldCharType="begin"/>
      </w:r>
      <w:r>
        <w:instrText xml:space="preserve"> HYPERLINK \l "_Toc494102400" </w:instrText>
      </w:r>
      <w:r>
        <w:fldChar w:fldCharType="separate"/>
      </w:r>
      <w:r w:rsidRPr="00422C3F">
        <w:rPr>
          <w:rStyle w:val="Hyperlink"/>
          <w:noProof/>
        </w:rPr>
        <w:t>2.</w:t>
      </w:r>
      <w:r>
        <w:rPr>
          <w:rFonts w:asciiTheme="minorHAnsi" w:eastAsiaTheme="minorEastAsia" w:hAnsiTheme="minorHAnsi"/>
          <w:noProof/>
          <w:sz w:val="22"/>
        </w:rPr>
        <w:tab/>
      </w:r>
      <w:r w:rsidRPr="00422C3F">
        <w:rPr>
          <w:rStyle w:val="Hyperlink"/>
          <w:noProof/>
        </w:rPr>
        <w:t>OCC seeks to understand the savings that customers may have achieved from Duke's current smart grid infrastructure, and a previous settlement specifically contemplated that this analysis would take place in this rate case.</w:t>
      </w:r>
      <w:r>
        <w:rPr>
          <w:noProof/>
          <w:webHidden/>
        </w:rPr>
        <w:tab/>
      </w:r>
      <w:r>
        <w:rPr>
          <w:noProof/>
          <w:webHidden/>
        </w:rPr>
        <w:fldChar w:fldCharType="begin"/>
      </w:r>
      <w:r>
        <w:rPr>
          <w:noProof/>
          <w:webHidden/>
        </w:rPr>
        <w:instrText xml:space="preserve"> PAGEREF _Toc494102400 \h </w:instrText>
      </w:r>
      <w:r>
        <w:rPr>
          <w:noProof/>
          <w:webHidden/>
        </w:rPr>
        <w:fldChar w:fldCharType="separate"/>
      </w:r>
      <w:r>
        <w:rPr>
          <w:noProof/>
          <w:webHidden/>
        </w:rPr>
        <w:t>6</w:t>
      </w:r>
      <w:r>
        <w:rPr>
          <w:noProof/>
          <w:webHidden/>
        </w:rPr>
        <w:fldChar w:fldCharType="end"/>
      </w:r>
      <w:r>
        <w:fldChar w:fldCharType="end"/>
      </w:r>
    </w:p>
    <w:p w:rsidR="000E56E0">
      <w:pPr>
        <w:pStyle w:val="TOC2"/>
        <w:tabs>
          <w:tab w:val="left" w:pos="1440"/>
        </w:tabs>
        <w:rPr>
          <w:rFonts w:asciiTheme="minorHAnsi" w:eastAsiaTheme="minorEastAsia" w:hAnsiTheme="minorHAnsi"/>
          <w:noProof/>
          <w:sz w:val="22"/>
        </w:rPr>
      </w:pPr>
      <w:r>
        <w:fldChar w:fldCharType="begin"/>
      </w:r>
      <w:r>
        <w:instrText xml:space="preserve"> HYPERLINK \l "_Toc494102401" </w:instrText>
      </w:r>
      <w:r>
        <w:fldChar w:fldCharType="separate"/>
      </w:r>
      <w:r w:rsidRPr="00422C3F">
        <w:rPr>
          <w:rStyle w:val="Hyperlink"/>
          <w:noProof/>
        </w:rPr>
        <w:t>C.</w:t>
      </w:r>
      <w:r>
        <w:rPr>
          <w:rFonts w:asciiTheme="minorHAnsi" w:eastAsiaTheme="minorEastAsia" w:hAnsiTheme="minorHAnsi"/>
          <w:noProof/>
          <w:sz w:val="22"/>
        </w:rPr>
        <w:tab/>
      </w:r>
      <w:r w:rsidRPr="00422C3F">
        <w:rPr>
          <w:rStyle w:val="Hyperlink"/>
          <w:noProof/>
        </w:rPr>
        <w:t>Duke's reliance on discovery rules regarding business records is misplaced.</w:t>
      </w:r>
      <w:r>
        <w:rPr>
          <w:noProof/>
          <w:webHidden/>
        </w:rPr>
        <w:tab/>
      </w:r>
      <w:r>
        <w:rPr>
          <w:noProof/>
          <w:webHidden/>
        </w:rPr>
        <w:fldChar w:fldCharType="begin"/>
      </w:r>
      <w:r>
        <w:rPr>
          <w:noProof/>
          <w:webHidden/>
        </w:rPr>
        <w:instrText xml:space="preserve"> PAGEREF _Toc494102401 \h </w:instrText>
      </w:r>
      <w:r>
        <w:rPr>
          <w:noProof/>
          <w:webHidden/>
        </w:rPr>
        <w:fldChar w:fldCharType="separate"/>
      </w:r>
      <w:r>
        <w:rPr>
          <w:noProof/>
          <w:webHidden/>
        </w:rPr>
        <w:t>7</w:t>
      </w:r>
      <w:r>
        <w:rPr>
          <w:noProof/>
          <w:webHidden/>
        </w:rPr>
        <w:fldChar w:fldCharType="end"/>
      </w:r>
      <w:r>
        <w:fldChar w:fldCharType="end"/>
      </w:r>
    </w:p>
    <w:p w:rsidR="000E56E0">
      <w:pPr>
        <w:pStyle w:val="TOC2"/>
        <w:tabs>
          <w:tab w:val="left" w:pos="1440"/>
        </w:tabs>
        <w:rPr>
          <w:rFonts w:asciiTheme="minorHAnsi" w:eastAsiaTheme="minorEastAsia" w:hAnsiTheme="minorHAnsi"/>
          <w:noProof/>
          <w:sz w:val="22"/>
        </w:rPr>
      </w:pPr>
      <w:r>
        <w:fldChar w:fldCharType="begin"/>
      </w:r>
      <w:r>
        <w:instrText xml:space="preserve"> HYPERLINK \l "_Toc494102402" </w:instrText>
      </w:r>
      <w:r>
        <w:fldChar w:fldCharType="separate"/>
      </w:r>
      <w:r w:rsidRPr="00422C3F">
        <w:rPr>
          <w:rStyle w:val="Hyperlink"/>
          <w:noProof/>
        </w:rPr>
        <w:t>D.</w:t>
      </w:r>
      <w:r>
        <w:rPr>
          <w:rFonts w:asciiTheme="minorHAnsi" w:eastAsiaTheme="minorEastAsia" w:hAnsiTheme="minorHAnsi"/>
          <w:noProof/>
          <w:sz w:val="22"/>
        </w:rPr>
        <w:tab/>
      </w:r>
      <w:r w:rsidRPr="00422C3F">
        <w:rPr>
          <w:rStyle w:val="Hyperlink"/>
          <w:noProof/>
        </w:rPr>
        <w:t>Duke's response to OCC INT 2-31 is incomplete.</w:t>
      </w:r>
      <w:r>
        <w:rPr>
          <w:noProof/>
          <w:webHidden/>
        </w:rPr>
        <w:tab/>
      </w:r>
      <w:r>
        <w:rPr>
          <w:noProof/>
          <w:webHidden/>
        </w:rPr>
        <w:fldChar w:fldCharType="begin"/>
      </w:r>
      <w:r>
        <w:rPr>
          <w:noProof/>
          <w:webHidden/>
        </w:rPr>
        <w:instrText xml:space="preserve"> PAGEREF _Toc494102402 \h </w:instrText>
      </w:r>
      <w:r>
        <w:rPr>
          <w:noProof/>
          <w:webHidden/>
        </w:rPr>
        <w:fldChar w:fldCharType="separate"/>
      </w:r>
      <w:r>
        <w:rPr>
          <w:noProof/>
          <w:webHidden/>
        </w:rPr>
        <w:t>10</w:t>
      </w:r>
      <w:r>
        <w:rPr>
          <w:noProof/>
          <w:webHidden/>
        </w:rPr>
        <w:fldChar w:fldCharType="end"/>
      </w:r>
      <w:r>
        <w:fldChar w:fldCharType="end"/>
      </w:r>
    </w:p>
    <w:p w:rsidR="000E56E0">
      <w:pPr>
        <w:pStyle w:val="TOC2"/>
        <w:tabs>
          <w:tab w:val="left" w:pos="1440"/>
        </w:tabs>
        <w:rPr>
          <w:rFonts w:asciiTheme="minorHAnsi" w:eastAsiaTheme="minorEastAsia" w:hAnsiTheme="minorHAnsi"/>
          <w:noProof/>
          <w:sz w:val="22"/>
        </w:rPr>
      </w:pPr>
      <w:r>
        <w:fldChar w:fldCharType="begin"/>
      </w:r>
      <w:r>
        <w:instrText xml:space="preserve"> HYPERLINK \l "_Toc494102403" </w:instrText>
      </w:r>
      <w:r>
        <w:fldChar w:fldCharType="separate"/>
      </w:r>
      <w:r w:rsidRPr="00422C3F">
        <w:rPr>
          <w:rStyle w:val="Hyperlink"/>
          <w:noProof/>
        </w:rPr>
        <w:t>E.</w:t>
      </w:r>
      <w:r>
        <w:rPr>
          <w:rFonts w:asciiTheme="minorHAnsi" w:eastAsiaTheme="minorEastAsia" w:hAnsiTheme="minorHAnsi"/>
          <w:noProof/>
          <w:sz w:val="22"/>
        </w:rPr>
        <w:tab/>
      </w:r>
      <w:r w:rsidRPr="00422C3F">
        <w:rPr>
          <w:rStyle w:val="Hyperlink"/>
          <w:noProof/>
        </w:rPr>
        <w:t>Duke's response to OCC INT 4-103 is incomplete.</w:t>
      </w:r>
      <w:r>
        <w:rPr>
          <w:noProof/>
          <w:webHidden/>
        </w:rPr>
        <w:tab/>
      </w:r>
      <w:r>
        <w:rPr>
          <w:noProof/>
          <w:webHidden/>
        </w:rPr>
        <w:fldChar w:fldCharType="begin"/>
      </w:r>
      <w:r>
        <w:rPr>
          <w:noProof/>
          <w:webHidden/>
        </w:rPr>
        <w:instrText xml:space="preserve"> PAGEREF _Toc494102403 \h </w:instrText>
      </w:r>
      <w:r>
        <w:rPr>
          <w:noProof/>
          <w:webHidden/>
        </w:rPr>
        <w:fldChar w:fldCharType="separate"/>
      </w:r>
      <w:r>
        <w:rPr>
          <w:noProof/>
          <w:webHidden/>
        </w:rPr>
        <w:t>10</w:t>
      </w:r>
      <w:r>
        <w:rPr>
          <w:noProof/>
          <w:webHidden/>
        </w:rPr>
        <w:fldChar w:fldCharType="end"/>
      </w:r>
      <w:r>
        <w:fldChar w:fldCharType="end"/>
      </w:r>
    </w:p>
    <w:p w:rsidR="000E56E0">
      <w:pPr>
        <w:pStyle w:val="TOC2"/>
        <w:tabs>
          <w:tab w:val="left" w:pos="1440"/>
        </w:tabs>
        <w:rPr>
          <w:rFonts w:asciiTheme="minorHAnsi" w:eastAsiaTheme="minorEastAsia" w:hAnsiTheme="minorHAnsi"/>
          <w:noProof/>
          <w:sz w:val="22"/>
        </w:rPr>
      </w:pPr>
      <w:r>
        <w:fldChar w:fldCharType="begin"/>
      </w:r>
      <w:r>
        <w:instrText xml:space="preserve"> HYPERLINK \l "_Toc494102404" </w:instrText>
      </w:r>
      <w:r>
        <w:fldChar w:fldCharType="separate"/>
      </w:r>
      <w:r w:rsidRPr="00422C3F">
        <w:rPr>
          <w:rStyle w:val="Hyperlink"/>
          <w:noProof/>
        </w:rPr>
        <w:t>F.</w:t>
      </w:r>
      <w:r>
        <w:rPr>
          <w:rFonts w:asciiTheme="minorHAnsi" w:eastAsiaTheme="minorEastAsia" w:hAnsiTheme="minorHAnsi"/>
          <w:noProof/>
          <w:sz w:val="22"/>
        </w:rPr>
        <w:tab/>
      </w:r>
      <w:r w:rsidRPr="00422C3F">
        <w:rPr>
          <w:rStyle w:val="Hyperlink"/>
          <w:noProof/>
        </w:rPr>
        <w:t>Conclusion</w:t>
      </w:r>
      <w:r>
        <w:rPr>
          <w:noProof/>
          <w:webHidden/>
        </w:rPr>
        <w:tab/>
      </w:r>
      <w:r>
        <w:rPr>
          <w:noProof/>
          <w:webHidden/>
        </w:rPr>
        <w:fldChar w:fldCharType="begin"/>
      </w:r>
      <w:r>
        <w:rPr>
          <w:noProof/>
          <w:webHidden/>
        </w:rPr>
        <w:instrText xml:space="preserve"> PAGEREF _Toc494102404 \h </w:instrText>
      </w:r>
      <w:r>
        <w:rPr>
          <w:noProof/>
          <w:webHidden/>
        </w:rPr>
        <w:fldChar w:fldCharType="separate"/>
      </w:r>
      <w:r>
        <w:rPr>
          <w:noProof/>
          <w:webHidden/>
        </w:rPr>
        <w:t>11</w:t>
      </w:r>
      <w:r>
        <w:rPr>
          <w:noProof/>
          <w:webHidden/>
        </w:rPr>
        <w:fldChar w:fldCharType="end"/>
      </w:r>
      <w:r>
        <w:fldChar w:fldCharType="end"/>
      </w:r>
    </w:p>
    <w:p w:rsidR="000E56E0" w:rsidP="000E56E0">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fldChar w:fldCharType="end"/>
      </w:r>
    </w:p>
    <w:p w:rsidR="00806865" w:rsidP="000E56E0">
      <w:pPr>
        <w:pStyle w:val="HTMLPreformatted"/>
        <w:jc w:val="center"/>
        <w:rPr>
          <w:rFonts w:ascii="Times New Roman" w:hAnsi="Times New Roman" w:cs="Times New Roman"/>
          <w:b/>
          <w:bCs/>
          <w:sz w:val="24"/>
          <w:szCs w:val="24"/>
        </w:rPr>
        <w:sectPr w:rsidSect="00806865">
          <w:headerReference w:type="default" r:id="rId11"/>
          <w:footerReference w:type="default" r:id="rId12"/>
          <w:pgSz w:w="12240" w:h="15840"/>
          <w:pgMar w:top="1440" w:right="1800" w:bottom="1440" w:left="1800" w:header="720" w:footer="720" w:gutter="0"/>
          <w:pgNumType w:fmt="lowerRoman" w:start="1"/>
          <w:cols w:space="720"/>
          <w:docGrid w:linePitch="360"/>
        </w:sectPr>
      </w:pPr>
    </w:p>
    <w:p w:rsidR="006F040C" w:rsidRPr="0009183C" w:rsidP="006F040C">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BEFORE</w:t>
      </w:r>
    </w:p>
    <w:p w:rsidR="006F040C" w:rsidRPr="0009183C" w:rsidP="006F040C">
      <w:pPr>
        <w:pStyle w:val="HTMLPreformatted"/>
        <w:jc w:val="center"/>
        <w:rPr>
          <w:rFonts w:ascii="Times New Roman" w:hAnsi="Times New Roman" w:cs="Times New Roman"/>
          <w:sz w:val="24"/>
          <w:szCs w:val="24"/>
        </w:rPr>
      </w:pPr>
      <w:r w:rsidRPr="0009183C">
        <w:rPr>
          <w:rFonts w:ascii="Times New Roman" w:hAnsi="Times New Roman" w:cs="Times New Roman"/>
          <w:b/>
          <w:bCs/>
          <w:sz w:val="24"/>
          <w:szCs w:val="24"/>
        </w:rPr>
        <w:t>THE PUBLIC UTILITIES COMMISSION OF OHIO</w:t>
      </w:r>
    </w:p>
    <w:p w:rsidR="006F040C" w:rsidRPr="0009183C" w:rsidP="006F040C">
      <w:pPr>
        <w:pStyle w:val="HTMLPreformatted"/>
        <w:rPr>
          <w:rFonts w:ascii="Times New Roman" w:hAnsi="Times New Roman" w:cs="Times New Roman"/>
          <w:sz w:val="24"/>
          <w:szCs w:val="24"/>
        </w:rPr>
      </w:pPr>
    </w:p>
    <w:tbl>
      <w:tblPr>
        <w:tblW w:w="9166" w:type="dxa"/>
        <w:tblInd w:w="0" w:type="dxa"/>
        <w:tblCellMar>
          <w:top w:w="0" w:type="dxa"/>
          <w:left w:w="108" w:type="dxa"/>
          <w:bottom w:w="0" w:type="dxa"/>
          <w:right w:w="108" w:type="dxa"/>
        </w:tblCellMar>
        <w:tblLook w:val="01E0"/>
      </w:tblPr>
      <w:tblGrid>
        <w:gridCol w:w="4432"/>
        <w:gridCol w:w="298"/>
        <w:gridCol w:w="4436"/>
      </w:tblGrid>
      <w:tr w:rsidTr="00844114">
        <w:tblPrEx>
          <w:tblW w:w="9166" w:type="dxa"/>
          <w:tblInd w:w="0" w:type="dxa"/>
          <w:tblCellMar>
            <w:top w:w="0" w:type="dxa"/>
            <w:left w:w="108" w:type="dxa"/>
            <w:bottom w:w="0" w:type="dxa"/>
            <w:right w:w="108" w:type="dxa"/>
          </w:tblCellMar>
          <w:tblLook w:val="01E0"/>
        </w:tblPrEx>
        <w:trPr>
          <w:trHeight w:val="2995"/>
        </w:trPr>
        <w:tc>
          <w:tcPr>
            <w:tcW w:w="4432" w:type="dxa"/>
          </w:tcPr>
          <w:p w:rsidR="006F040C" w:rsidRPr="0009183C" w:rsidP="0023143B">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sidR="00B8396D">
              <w:rPr>
                <w:rFonts w:ascii="Times New Roman" w:hAnsi="Times New Roman" w:eastAsiaTheme="minorHAnsi" w:cs="Times New Roman"/>
                <w:sz w:val="24"/>
                <w:szCs w:val="24"/>
                <w:lang w:val="en-US" w:eastAsia="en-US" w:bidi="ar-SA"/>
              </w:rPr>
              <w:t>Duke Energy Ohio, Inc. for an Increase in Electric Distribution Rates</w:t>
            </w:r>
          </w:p>
          <w:p w:rsidR="006F040C" w:rsidRPr="0009183C" w:rsidP="007C1CFE">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sidR="00B8396D">
              <w:rPr>
                <w:rFonts w:ascii="Times New Roman" w:hAnsi="Times New Roman" w:eastAsiaTheme="minorHAnsi" w:cs="Times New Roman"/>
                <w:sz w:val="24"/>
                <w:szCs w:val="24"/>
                <w:lang w:val="en-US" w:eastAsia="en-US" w:bidi="ar-SA"/>
              </w:rPr>
              <w:t>Duke Energy Ohio, Inc. for Tariff Approval</w:t>
            </w:r>
            <w:r w:rsidRPr="0009183C">
              <w:rPr>
                <w:rFonts w:ascii="Times New Roman" w:hAnsi="Times New Roman" w:eastAsiaTheme="minorHAnsi" w:cs="Times New Roman"/>
                <w:sz w:val="24"/>
                <w:szCs w:val="24"/>
                <w:lang w:val="en-US" w:eastAsia="en-US" w:bidi="ar-SA"/>
              </w:rPr>
              <w:t>.</w:t>
            </w:r>
          </w:p>
          <w:p w:rsidR="006F040C" w:rsidRPr="0009183C" w:rsidP="00F704E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sidR="00F704E3">
              <w:rPr>
                <w:rFonts w:ascii="Times New Roman" w:hAnsi="Times New Roman" w:eastAsiaTheme="minorHAnsi" w:cs="Times New Roman"/>
                <w:sz w:val="24"/>
                <w:szCs w:val="24"/>
                <w:lang w:val="en-US" w:eastAsia="en-US" w:bidi="ar-SA"/>
              </w:rPr>
              <w:t>Duke Energy Ohio, Inc. for Approval to Change Accounting Methods</w:t>
            </w:r>
          </w:p>
        </w:tc>
        <w:tc>
          <w:tcPr>
            <w:tcW w:w="298" w:type="dxa"/>
          </w:tcPr>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tc>
        <w:tc>
          <w:tcPr>
            <w:tcW w:w="4436" w:type="dxa"/>
          </w:tcPr>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sidR="00F704E3">
              <w:rPr>
                <w:rFonts w:ascii="Times New Roman" w:eastAsia="Courier New" w:hAnsi="Times New Roman" w:cs="Times New Roman"/>
                <w:sz w:val="24"/>
                <w:szCs w:val="24"/>
                <w:lang w:val="en-US" w:eastAsia="en-US" w:bidi="ar-SA"/>
              </w:rPr>
              <w:t>17-32-</w:t>
            </w:r>
            <w:r w:rsidR="00844114">
              <w:rPr>
                <w:rFonts w:ascii="Times New Roman" w:eastAsia="Courier New" w:hAnsi="Times New Roman" w:cs="Times New Roman"/>
                <w:sz w:val="24"/>
                <w:szCs w:val="24"/>
                <w:lang w:val="en-US" w:eastAsia="en-US" w:bidi="ar-SA"/>
              </w:rPr>
              <w:t>EL-AIR</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sidR="00844114">
              <w:rPr>
                <w:rFonts w:ascii="Times New Roman" w:eastAsia="Courier New" w:hAnsi="Times New Roman" w:cs="Times New Roman"/>
                <w:sz w:val="24"/>
                <w:szCs w:val="24"/>
                <w:lang w:val="en-US" w:eastAsia="en-US" w:bidi="ar-SA"/>
              </w:rPr>
              <w:t>17-33-EL-ATA</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sidR="00844114">
              <w:rPr>
                <w:rFonts w:ascii="Times New Roman" w:eastAsia="Courier New" w:hAnsi="Times New Roman" w:cs="Times New Roman"/>
                <w:sz w:val="24"/>
                <w:szCs w:val="24"/>
                <w:lang w:val="en-US" w:eastAsia="en-US" w:bidi="ar-SA"/>
              </w:rPr>
              <w:t>17-34-EL-AAM</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6F040C" w:rsidRPr="0009183C" w:rsidP="006F040C">
      <w:pPr>
        <w:pStyle w:val="HTMLPreformatted"/>
        <w:pBdr>
          <w:bottom w:val="single" w:sz="12" w:space="1" w:color="auto"/>
        </w:pBdr>
        <w:rPr>
          <w:rFonts w:ascii="Times New Roman" w:hAnsi="Times New Roman" w:cs="Times New Roman"/>
          <w:b/>
          <w:bCs/>
          <w:sz w:val="24"/>
          <w:szCs w:val="24"/>
        </w:rPr>
      </w:pPr>
    </w:p>
    <w:p w:rsidR="006F040C" w:rsidP="006F040C">
      <w:pPr>
        <w:pStyle w:val="HTMLPreformatted"/>
        <w:rPr>
          <w:rFonts w:ascii="Times New Roman" w:hAnsi="Times New Roman" w:cs="Times New Roman"/>
          <w:b/>
          <w:bCs/>
          <w:i/>
          <w:sz w:val="24"/>
          <w:szCs w:val="24"/>
        </w:rPr>
      </w:pP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REPLY IN SUPPORT OF </w:t>
      </w:r>
      <w:r>
        <w:rPr>
          <w:rFonts w:ascii="Times New Roman" w:hAnsi="Times New Roman" w:cs="Times New Roman"/>
          <w:b/>
          <w:bCs/>
          <w:sz w:val="24"/>
          <w:szCs w:val="24"/>
        </w:rPr>
        <w:br/>
      </w:r>
      <w:r w:rsidRPr="0009183C">
        <w:rPr>
          <w:rFonts w:ascii="Times New Roman" w:hAnsi="Times New Roman" w:cs="Times New Roman"/>
          <w:b/>
          <w:bCs/>
          <w:sz w:val="24"/>
          <w:szCs w:val="24"/>
        </w:rPr>
        <w:t xml:space="preserve">MOTION TO COMPEL </w:t>
      </w:r>
      <w:r w:rsidRPr="0009183C" w:rsidR="004525D1">
        <w:rPr>
          <w:rFonts w:ascii="Times New Roman" w:hAnsi="Times New Roman" w:cs="Times New Roman"/>
          <w:b/>
          <w:bCs/>
          <w:sz w:val="24"/>
          <w:szCs w:val="24"/>
        </w:rPr>
        <w:t>RESPONSES TO DISCOVERY</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sidR="00204BF5">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0E56E0" w:rsidP="0023143B">
      <w:pPr>
        <w:spacing w:before="240" w:after="0" w:line="480" w:lineRule="auto"/>
        <w:ind w:firstLine="720"/>
        <w:rPr>
          <w:rFonts w:cs="Times New Roman"/>
          <w:szCs w:val="24"/>
        </w:rPr>
        <w:sectPr w:rsidSect="00806865">
          <w:headerReference w:type="default" r:id="rId13"/>
          <w:pgSz w:w="12240" w:h="15840"/>
          <w:pgMar w:top="1440" w:right="1800" w:bottom="1440" w:left="1800" w:header="720" w:footer="720" w:gutter="0"/>
          <w:pgNumType w:start="1"/>
          <w:cols w:space="720"/>
          <w:docGrid w:linePitch="360"/>
        </w:sectPr>
      </w:pPr>
      <w:r w:rsidRPr="00425F2F">
        <w:rPr>
          <w:rFonts w:eastAsia="Times New Roman"/>
          <w:szCs w:val="24"/>
        </w:rPr>
        <w:t>Duke Energy</w:t>
      </w:r>
      <w:r w:rsidR="00204BF5">
        <w:rPr>
          <w:rFonts w:eastAsia="Times New Roman"/>
          <w:szCs w:val="24"/>
        </w:rPr>
        <w:t>'</w:t>
      </w:r>
      <w:r w:rsidRPr="00425F2F">
        <w:rPr>
          <w:rFonts w:eastAsia="Times New Roman"/>
          <w:szCs w:val="24"/>
        </w:rPr>
        <w:t>s memorandum contra the Ohio Consumers</w:t>
      </w:r>
      <w:r w:rsidR="00204BF5">
        <w:rPr>
          <w:rFonts w:eastAsia="Times New Roman"/>
          <w:szCs w:val="24"/>
        </w:rPr>
        <w:t>'</w:t>
      </w:r>
      <w:r w:rsidRPr="00425F2F">
        <w:rPr>
          <w:rFonts w:eastAsia="Times New Roman"/>
          <w:szCs w:val="24"/>
        </w:rPr>
        <w:t xml:space="preserve"> Counsel</w:t>
      </w:r>
      <w:r w:rsidR="00204BF5">
        <w:rPr>
          <w:rFonts w:eastAsia="Times New Roman"/>
          <w:szCs w:val="24"/>
        </w:rPr>
        <w:t>'</w:t>
      </w:r>
      <w:r w:rsidRPr="00425F2F">
        <w:rPr>
          <w:rFonts w:eastAsia="Times New Roman"/>
          <w:szCs w:val="24"/>
        </w:rPr>
        <w:t>s motion to compel relies almost exclusively on the Utility</w:t>
      </w:r>
      <w:r w:rsidR="00204BF5">
        <w:rPr>
          <w:rFonts w:eastAsia="Times New Roman"/>
          <w:szCs w:val="24"/>
        </w:rPr>
        <w:t>'</w:t>
      </w:r>
      <w:r w:rsidRPr="00425F2F">
        <w:rPr>
          <w:rFonts w:eastAsia="Times New Roman"/>
          <w:szCs w:val="24"/>
        </w:rPr>
        <w:t xml:space="preserve">s assertion that inquiries about $143 million in charges to its consumers are irrelevant. But the </w:t>
      </w:r>
      <w:r w:rsidRPr="00425F2F" w:rsidR="00064401">
        <w:rPr>
          <w:rFonts w:eastAsia="Times New Roman"/>
          <w:szCs w:val="24"/>
        </w:rPr>
        <w:t xml:space="preserve">Ohio Supreme Court </w:t>
      </w:r>
      <w:r w:rsidRPr="00425F2F">
        <w:rPr>
          <w:rFonts w:eastAsia="Times New Roman"/>
          <w:szCs w:val="24"/>
        </w:rPr>
        <w:t xml:space="preserve">determined that the discovery rules are to be </w:t>
      </w:r>
      <w:r w:rsidR="00204BF5">
        <w:rPr>
          <w:rFonts w:eastAsia="Times New Roman"/>
          <w:szCs w:val="24"/>
        </w:rPr>
        <w:t>"</w:t>
      </w:r>
      <w:r w:rsidRPr="00425F2F">
        <w:rPr>
          <w:rFonts w:eastAsia="Times New Roman"/>
          <w:szCs w:val="24"/>
        </w:rPr>
        <w:t>liberally construed</w:t>
      </w:r>
      <w:r w:rsidRPr="00425F2F" w:rsidR="00064401">
        <w:rPr>
          <w:rFonts w:eastAsia="Times New Roman"/>
          <w:szCs w:val="24"/>
        </w:rPr>
        <w:t xml:space="preserve"> to allow for broad discovery,</w:t>
      </w:r>
      <w:r w:rsidR="00204BF5">
        <w:rPr>
          <w:rFonts w:eastAsia="Times New Roman"/>
          <w:szCs w:val="24"/>
        </w:rPr>
        <w:t>"</w:t>
      </w:r>
      <w:r>
        <w:rPr>
          <w:rStyle w:val="FootnoteReference"/>
          <w:rFonts w:eastAsia="Times New Roman"/>
          <w:szCs w:val="24"/>
        </w:rPr>
        <w:footnoteReference w:id="2"/>
      </w:r>
      <w:r w:rsidRPr="00425F2F">
        <w:rPr>
          <w:rFonts w:cs="Times New Roman"/>
          <w:szCs w:val="24"/>
        </w:rPr>
        <w:t xml:space="preserve"> </w:t>
      </w:r>
      <w:r w:rsidRPr="00425F2F" w:rsidR="00964774">
        <w:rPr>
          <w:rFonts w:cs="Times New Roman"/>
          <w:szCs w:val="24"/>
        </w:rPr>
        <w:t xml:space="preserve">thereby </w:t>
      </w:r>
      <w:r w:rsidR="00964774">
        <w:rPr>
          <w:rFonts w:cs="Times New Roman"/>
          <w:szCs w:val="24"/>
        </w:rPr>
        <w:t>setting a</w:t>
      </w:r>
      <w:r w:rsidR="00372B7C">
        <w:rPr>
          <w:rFonts w:cs="Times New Roman"/>
          <w:szCs w:val="24"/>
        </w:rPr>
        <w:t>n expansive</w:t>
      </w:r>
      <w:r w:rsidR="00964774">
        <w:rPr>
          <w:rFonts w:cs="Times New Roman"/>
          <w:szCs w:val="24"/>
        </w:rPr>
        <w:t xml:space="preserve"> </w:t>
      </w:r>
      <w:r w:rsidR="00B87A08">
        <w:rPr>
          <w:rFonts w:cs="Times New Roman"/>
          <w:szCs w:val="24"/>
        </w:rPr>
        <w:t>standard</w:t>
      </w:r>
      <w:r w:rsidR="00964774">
        <w:rPr>
          <w:rFonts w:cs="Times New Roman"/>
          <w:szCs w:val="24"/>
        </w:rPr>
        <w:t xml:space="preserve"> for relevance. </w:t>
      </w:r>
      <w:r w:rsidR="00810FC2">
        <w:rPr>
          <w:rFonts w:cs="Times New Roman"/>
          <w:szCs w:val="24"/>
        </w:rPr>
        <w:t>OCC</w:t>
      </w:r>
      <w:r w:rsidR="009316B9">
        <w:rPr>
          <w:rFonts w:cs="Times New Roman"/>
          <w:szCs w:val="24"/>
        </w:rPr>
        <w:t xml:space="preserve"> easily </w:t>
      </w:r>
      <w:r w:rsidR="000F27F9">
        <w:rPr>
          <w:rFonts w:cs="Times New Roman"/>
          <w:szCs w:val="24"/>
        </w:rPr>
        <w:t>meets</w:t>
      </w:r>
      <w:r w:rsidR="009316B9">
        <w:rPr>
          <w:rFonts w:cs="Times New Roman"/>
          <w:szCs w:val="24"/>
        </w:rPr>
        <w:t xml:space="preserve"> that </w:t>
      </w:r>
      <w:r w:rsidR="001F680F">
        <w:rPr>
          <w:rFonts w:cs="Times New Roman"/>
          <w:szCs w:val="24"/>
        </w:rPr>
        <w:t>standard</w:t>
      </w:r>
      <w:r w:rsidR="00964774">
        <w:rPr>
          <w:rFonts w:cs="Times New Roman"/>
          <w:szCs w:val="24"/>
        </w:rPr>
        <w:t xml:space="preserve">. </w:t>
      </w:r>
      <w:r w:rsidR="00496537">
        <w:rPr>
          <w:rFonts w:cs="Times New Roman"/>
          <w:szCs w:val="24"/>
        </w:rPr>
        <w:t>OCC</w:t>
      </w:r>
      <w:r w:rsidR="00204BF5">
        <w:rPr>
          <w:rFonts w:cs="Times New Roman"/>
          <w:szCs w:val="24"/>
        </w:rPr>
        <w:t>'</w:t>
      </w:r>
      <w:r w:rsidR="00496537">
        <w:rPr>
          <w:rFonts w:cs="Times New Roman"/>
          <w:szCs w:val="24"/>
        </w:rPr>
        <w:t>s</w:t>
      </w:r>
      <w:r w:rsidR="009316B9">
        <w:rPr>
          <w:rFonts w:cs="Times New Roman"/>
          <w:szCs w:val="24"/>
        </w:rPr>
        <w:t xml:space="preserve"> discovery requests are not just relevant but go to the heart of essential matters to be determined in this case</w:t>
      </w:r>
      <w:r w:rsidR="00964774">
        <w:rPr>
          <w:rFonts w:cs="Times New Roman"/>
          <w:szCs w:val="24"/>
        </w:rPr>
        <w:t>—namely, whether Duke</w:t>
      </w:r>
      <w:r w:rsidR="00204BF5">
        <w:rPr>
          <w:rFonts w:cs="Times New Roman"/>
          <w:szCs w:val="24"/>
        </w:rPr>
        <w:t>'</w:t>
      </w:r>
      <w:r w:rsidR="00964774">
        <w:rPr>
          <w:rFonts w:cs="Times New Roman"/>
          <w:szCs w:val="24"/>
        </w:rPr>
        <w:t xml:space="preserve">s current property is used and useful </w:t>
      </w:r>
      <w:r w:rsidR="00AD0024">
        <w:rPr>
          <w:rFonts w:cs="Times New Roman"/>
          <w:szCs w:val="24"/>
        </w:rPr>
        <w:t xml:space="preserve">for consumers </w:t>
      </w:r>
      <w:r w:rsidR="00964774">
        <w:rPr>
          <w:rFonts w:cs="Times New Roman"/>
          <w:szCs w:val="24"/>
        </w:rPr>
        <w:t>and whether Duke should replace current infrastructure with new infrastructure</w:t>
      </w:r>
      <w:r w:rsidR="00496537">
        <w:rPr>
          <w:rFonts w:cs="Times New Roman"/>
          <w:szCs w:val="24"/>
        </w:rPr>
        <w:t xml:space="preserve"> that will </w:t>
      </w:r>
      <w:r w:rsidR="00964774">
        <w:rPr>
          <w:rFonts w:cs="Times New Roman"/>
          <w:szCs w:val="24"/>
        </w:rPr>
        <w:t>cost consumers $143 million</w:t>
      </w:r>
      <w:r w:rsidR="009316B9">
        <w:rPr>
          <w:rFonts w:cs="Times New Roman"/>
          <w:szCs w:val="24"/>
        </w:rPr>
        <w:t>. The PUCO should reject Duke</w:t>
      </w:r>
      <w:r w:rsidR="00204BF5">
        <w:rPr>
          <w:rFonts w:cs="Times New Roman"/>
          <w:szCs w:val="24"/>
        </w:rPr>
        <w:t>'</w:t>
      </w:r>
      <w:r w:rsidR="009316B9">
        <w:rPr>
          <w:rFonts w:cs="Times New Roman"/>
          <w:szCs w:val="24"/>
        </w:rPr>
        <w:t xml:space="preserve">s efforts to withhold information and should require Duke to respond in full to each of </w:t>
      </w:r>
    </w:p>
    <w:p w:rsidR="00DB29DA" w:rsidP="000E56E0">
      <w:pPr>
        <w:spacing w:before="240" w:after="0" w:line="480" w:lineRule="auto"/>
        <w:rPr>
          <w:rFonts w:cs="Times New Roman"/>
          <w:szCs w:val="24"/>
        </w:rPr>
      </w:pPr>
      <w:r>
        <w:rPr>
          <w:rFonts w:cs="Times New Roman"/>
          <w:szCs w:val="24"/>
        </w:rPr>
        <w:t>OCC</w:t>
      </w:r>
      <w:r w:rsidR="00204BF5">
        <w:rPr>
          <w:rFonts w:cs="Times New Roman"/>
          <w:szCs w:val="24"/>
        </w:rPr>
        <w:t>'</w:t>
      </w:r>
      <w:r>
        <w:rPr>
          <w:rFonts w:cs="Times New Roman"/>
          <w:szCs w:val="24"/>
        </w:rPr>
        <w:t>s</w:t>
      </w:r>
      <w:r w:rsidR="009316B9">
        <w:rPr>
          <w:rFonts w:cs="Times New Roman"/>
          <w:szCs w:val="24"/>
        </w:rPr>
        <w:t xml:space="preserve"> discovery requests. </w:t>
      </w:r>
      <w:r w:rsidR="003D2250">
        <w:rPr>
          <w:rFonts w:cs="Times New Roman"/>
          <w:szCs w:val="24"/>
        </w:rPr>
        <w:t>To protect consumers from possible unwarranted charges, t</w:t>
      </w:r>
      <w:r w:rsidR="009316B9">
        <w:rPr>
          <w:rFonts w:cs="Times New Roman"/>
          <w:szCs w:val="24"/>
        </w:rPr>
        <w:t xml:space="preserve">he PUCO should grant </w:t>
      </w:r>
      <w:r w:rsidR="003D2250">
        <w:rPr>
          <w:rFonts w:cs="Times New Roman"/>
          <w:szCs w:val="24"/>
        </w:rPr>
        <w:t>OCC</w:t>
      </w:r>
      <w:r w:rsidR="00204BF5">
        <w:rPr>
          <w:rFonts w:cs="Times New Roman"/>
          <w:szCs w:val="24"/>
        </w:rPr>
        <w:t>'</w:t>
      </w:r>
      <w:r w:rsidR="003D2250">
        <w:rPr>
          <w:rFonts w:cs="Times New Roman"/>
          <w:szCs w:val="24"/>
        </w:rPr>
        <w:t xml:space="preserve">s </w:t>
      </w:r>
      <w:r w:rsidR="009316B9">
        <w:rPr>
          <w:rFonts w:cs="Times New Roman"/>
          <w:szCs w:val="24"/>
        </w:rPr>
        <w:t>Motion to Compel.</w:t>
      </w:r>
    </w:p>
    <w:p w:rsidR="005E6A51" w:rsidRPr="005E6A51" w:rsidP="000E56E0">
      <w:pPr>
        <w:pStyle w:val="Heading2"/>
      </w:pPr>
      <w:bookmarkStart w:id="1" w:name="_Toc494102395"/>
      <w:r>
        <w:t>A.</w:t>
      </w:r>
      <w:r>
        <w:tab/>
        <w:t xml:space="preserve">The discovery rules are liberally interpreted in favor of </w:t>
      </w:r>
      <w:r w:rsidR="00964774">
        <w:t xml:space="preserve">requiring </w:t>
      </w:r>
      <w:r>
        <w:t xml:space="preserve">the utility </w:t>
      </w:r>
      <w:r w:rsidR="00964774">
        <w:t xml:space="preserve">to </w:t>
      </w:r>
      <w:r>
        <w:t>respond in full to parties</w:t>
      </w:r>
      <w:r w:rsidR="00204BF5">
        <w:t>'</w:t>
      </w:r>
      <w:r>
        <w:t xml:space="preserve"> discovery requests.</w:t>
      </w:r>
      <w:bookmarkEnd w:id="1"/>
    </w:p>
    <w:p w:rsidR="00A96971" w:rsidP="00F33D8D">
      <w:pPr>
        <w:spacing w:after="0" w:line="480" w:lineRule="auto"/>
        <w:ind w:firstLine="720"/>
        <w:rPr>
          <w:rFonts w:cs="Times New Roman"/>
          <w:szCs w:val="24"/>
        </w:rPr>
      </w:pPr>
      <w:r>
        <w:rPr>
          <w:rFonts w:cs="Times New Roman"/>
          <w:szCs w:val="24"/>
        </w:rPr>
        <w:t xml:space="preserve">In its Memo Contra, Duke misstates the legal standard and cites a PUCO case that was superseded by </w:t>
      </w:r>
      <w:r w:rsidR="00F6735D">
        <w:rPr>
          <w:rFonts w:cs="Times New Roman"/>
          <w:szCs w:val="24"/>
        </w:rPr>
        <w:t xml:space="preserve">the </w:t>
      </w:r>
      <w:r>
        <w:rPr>
          <w:rFonts w:cs="Times New Roman"/>
          <w:szCs w:val="24"/>
        </w:rPr>
        <w:t xml:space="preserve">Ohio Supreme Court. Duke argues—wrongly—that </w:t>
      </w:r>
      <w:r w:rsidR="00204BF5">
        <w:rPr>
          <w:rFonts w:cs="Times New Roman"/>
          <w:szCs w:val="24"/>
        </w:rPr>
        <w:t>"</w:t>
      </w:r>
      <w:r>
        <w:rPr>
          <w:rFonts w:cs="Times New Roman"/>
          <w:szCs w:val="24"/>
        </w:rPr>
        <w:t>the rules applicable to discovery will not be liberally interpreted.</w:t>
      </w:r>
      <w:r w:rsidR="00204BF5">
        <w:rPr>
          <w:rFonts w:cs="Times New Roman"/>
          <w:szCs w:val="24"/>
        </w:rPr>
        <w:t>"</w:t>
      </w:r>
      <w:r>
        <w:rPr>
          <w:rStyle w:val="FootnoteReference"/>
          <w:rFonts w:cs="Times New Roman"/>
          <w:szCs w:val="24"/>
        </w:rPr>
        <w:footnoteReference w:id="3"/>
      </w:r>
      <w:r w:rsidR="00F6735D">
        <w:rPr>
          <w:rFonts w:cs="Times New Roman"/>
          <w:szCs w:val="24"/>
        </w:rPr>
        <w:t xml:space="preserve"> In support</w:t>
      </w:r>
      <w:r>
        <w:rPr>
          <w:rFonts w:cs="Times New Roman"/>
          <w:szCs w:val="24"/>
        </w:rPr>
        <w:t>, Duke cites a 2002 PUCO complaint case</w:t>
      </w:r>
      <w:r w:rsidR="00260A6C">
        <w:rPr>
          <w:rFonts w:cs="Times New Roman"/>
          <w:szCs w:val="24"/>
        </w:rPr>
        <w:t xml:space="preserve">, </w:t>
      </w:r>
      <w:r w:rsidR="00260A6C">
        <w:rPr>
          <w:rFonts w:cs="Times New Roman"/>
          <w:i/>
          <w:szCs w:val="24"/>
        </w:rPr>
        <w:t>In re Complaint of David Wellman</w:t>
      </w:r>
      <w:r w:rsidR="00260A6C">
        <w:rPr>
          <w:rFonts w:cs="Times New Roman"/>
          <w:szCs w:val="24"/>
        </w:rPr>
        <w:t>,</w:t>
      </w:r>
      <w:r>
        <w:rPr>
          <w:rStyle w:val="FootnoteReference"/>
          <w:rFonts w:cs="Times New Roman"/>
          <w:szCs w:val="24"/>
        </w:rPr>
        <w:footnoteReference w:id="4"/>
      </w:r>
      <w:r w:rsidR="00F6735D">
        <w:rPr>
          <w:rFonts w:cs="Times New Roman"/>
          <w:szCs w:val="24"/>
        </w:rPr>
        <w:t xml:space="preserve"> in which the complainants </w:t>
      </w:r>
      <w:r>
        <w:rPr>
          <w:rFonts w:cs="Times New Roman"/>
          <w:szCs w:val="24"/>
        </w:rPr>
        <w:t xml:space="preserve">sought more lenient treatment from the PUCO </w:t>
      </w:r>
      <w:r w:rsidR="00F6735D">
        <w:rPr>
          <w:rFonts w:cs="Times New Roman"/>
          <w:szCs w:val="24"/>
        </w:rPr>
        <w:t>regarding discovery because they were</w:t>
      </w:r>
      <w:r>
        <w:rPr>
          <w:rFonts w:cs="Times New Roman"/>
          <w:szCs w:val="24"/>
        </w:rPr>
        <w:t xml:space="preserve"> representing </w:t>
      </w:r>
      <w:r w:rsidR="00F6735D">
        <w:rPr>
          <w:rFonts w:cs="Times New Roman"/>
          <w:szCs w:val="24"/>
        </w:rPr>
        <w:t>themselves</w:t>
      </w:r>
      <w:r>
        <w:rPr>
          <w:rFonts w:cs="Times New Roman"/>
          <w:szCs w:val="24"/>
        </w:rPr>
        <w:t xml:space="preserve"> </w:t>
      </w:r>
      <w:r>
        <w:rPr>
          <w:rFonts w:cs="Times New Roman"/>
          <w:i/>
          <w:szCs w:val="24"/>
        </w:rPr>
        <w:t>pro se</w:t>
      </w:r>
      <w:r>
        <w:rPr>
          <w:rFonts w:cs="Times New Roman"/>
          <w:szCs w:val="24"/>
        </w:rPr>
        <w:t>.</w:t>
      </w:r>
    </w:p>
    <w:p w:rsidR="005E6A51" w:rsidRPr="00A96971" w:rsidP="00F33D8D">
      <w:pPr>
        <w:spacing w:after="0" w:line="480" w:lineRule="auto"/>
        <w:ind w:firstLine="720"/>
        <w:rPr>
          <w:rFonts w:cs="Times New Roman"/>
          <w:i/>
          <w:szCs w:val="24"/>
        </w:rPr>
      </w:pPr>
      <w:r>
        <w:rPr>
          <w:rFonts w:cs="Times New Roman"/>
          <w:szCs w:val="24"/>
        </w:rPr>
        <w:t xml:space="preserve">But this case is inapplicable for at least two reasons. First, OCC is not a </w:t>
      </w:r>
      <w:r>
        <w:rPr>
          <w:rFonts w:cs="Times New Roman"/>
          <w:i/>
          <w:szCs w:val="24"/>
        </w:rPr>
        <w:t>pro se</w:t>
      </w:r>
      <w:r>
        <w:rPr>
          <w:rFonts w:cs="Times New Roman"/>
          <w:szCs w:val="24"/>
        </w:rPr>
        <w:t xml:space="preserve"> litigant in a complaint case and is not seeking special treatment under the discovery rules. OCC is represented by counsel and asks only that the discovery rules be followed as written and as interpreted by controlling legal precedent. Second, Duke</w:t>
      </w:r>
      <w:r w:rsidR="00204BF5">
        <w:rPr>
          <w:rFonts w:cs="Times New Roman"/>
          <w:szCs w:val="24"/>
        </w:rPr>
        <w:t>'</w:t>
      </w:r>
      <w:r>
        <w:rPr>
          <w:rFonts w:cs="Times New Roman"/>
          <w:szCs w:val="24"/>
        </w:rPr>
        <w:t xml:space="preserve">s citation to this PUCO case is improper because more than four years after </w:t>
      </w:r>
      <w:r w:rsidR="00F6735D">
        <w:rPr>
          <w:rFonts w:cs="Times New Roman"/>
          <w:i/>
          <w:szCs w:val="24"/>
        </w:rPr>
        <w:t>Wellman</w:t>
      </w:r>
      <w:r>
        <w:rPr>
          <w:rFonts w:cs="Times New Roman"/>
          <w:szCs w:val="24"/>
        </w:rPr>
        <w:t xml:space="preserve"> was decided, the Ohio Supreme Court came to the opposite conclusion in </w:t>
      </w:r>
      <w:r>
        <w:rPr>
          <w:rFonts w:cs="Times New Roman"/>
          <w:i/>
          <w:szCs w:val="24"/>
        </w:rPr>
        <w:t>Ohio Consumers</w:t>
      </w:r>
      <w:r w:rsidR="00204BF5">
        <w:rPr>
          <w:rFonts w:cs="Times New Roman"/>
          <w:i/>
          <w:szCs w:val="24"/>
        </w:rPr>
        <w:t>'</w:t>
      </w:r>
      <w:r>
        <w:rPr>
          <w:rFonts w:cs="Times New Roman"/>
          <w:i/>
          <w:szCs w:val="24"/>
        </w:rPr>
        <w:t xml:space="preserve"> Counsel v. PUC</w:t>
      </w:r>
      <w:r>
        <w:rPr>
          <w:rFonts w:cs="Times New Roman"/>
          <w:szCs w:val="24"/>
        </w:rPr>
        <w:t>.</w:t>
      </w:r>
      <w:r>
        <w:rPr>
          <w:rStyle w:val="FootnoteReference"/>
          <w:rFonts w:cs="Times New Roman"/>
          <w:szCs w:val="24"/>
        </w:rPr>
        <w:footnoteReference w:id="5"/>
      </w:r>
      <w:r>
        <w:rPr>
          <w:rFonts w:cs="Times New Roman"/>
          <w:szCs w:val="24"/>
        </w:rPr>
        <w:t xml:space="preserve"> In </w:t>
      </w:r>
      <w:r>
        <w:rPr>
          <w:rFonts w:cs="Times New Roman"/>
          <w:i/>
          <w:szCs w:val="24"/>
        </w:rPr>
        <w:t>Ohio Consumers</w:t>
      </w:r>
      <w:r w:rsidR="00204BF5">
        <w:rPr>
          <w:rFonts w:cs="Times New Roman"/>
          <w:i/>
          <w:szCs w:val="24"/>
        </w:rPr>
        <w:t>'</w:t>
      </w:r>
      <w:r>
        <w:rPr>
          <w:rFonts w:cs="Times New Roman"/>
          <w:i/>
          <w:szCs w:val="24"/>
        </w:rPr>
        <w:t xml:space="preserve"> Counsel</w:t>
      </w:r>
      <w:r>
        <w:rPr>
          <w:rFonts w:cs="Times New Roman"/>
          <w:szCs w:val="24"/>
        </w:rPr>
        <w:t xml:space="preserve">, the </w:t>
      </w:r>
      <w:r w:rsidR="00372B7C">
        <w:rPr>
          <w:rFonts w:cs="Times New Roman"/>
          <w:szCs w:val="24"/>
        </w:rPr>
        <w:t>c</w:t>
      </w:r>
      <w:r>
        <w:rPr>
          <w:rFonts w:cs="Times New Roman"/>
          <w:szCs w:val="24"/>
        </w:rPr>
        <w:t xml:space="preserve">ourt found that the discovery rules are in fact </w:t>
      </w:r>
      <w:r w:rsidR="00204BF5">
        <w:rPr>
          <w:rFonts w:cs="Times New Roman"/>
          <w:szCs w:val="24"/>
        </w:rPr>
        <w:t>"</w:t>
      </w:r>
      <w:r>
        <w:rPr>
          <w:rFonts w:cs="Times New Roman"/>
          <w:szCs w:val="24"/>
        </w:rPr>
        <w:t>liberally construed.</w:t>
      </w:r>
      <w:r w:rsidR="00204BF5">
        <w:rPr>
          <w:rFonts w:cs="Times New Roman"/>
          <w:szCs w:val="24"/>
        </w:rPr>
        <w:t>"</w:t>
      </w:r>
      <w:r>
        <w:rPr>
          <w:rStyle w:val="FootnoteReference"/>
          <w:rFonts w:cs="Times New Roman"/>
          <w:szCs w:val="24"/>
        </w:rPr>
        <w:footnoteReference w:id="6"/>
      </w:r>
      <w:r>
        <w:rPr>
          <w:rFonts w:cs="Times New Roman"/>
          <w:szCs w:val="24"/>
        </w:rPr>
        <w:t xml:space="preserve"> OCC cited this case in its </w:t>
      </w:r>
      <w:r w:rsidR="00810FC2">
        <w:rPr>
          <w:rFonts w:cs="Times New Roman"/>
          <w:szCs w:val="24"/>
        </w:rPr>
        <w:t>M</w:t>
      </w:r>
      <w:r>
        <w:rPr>
          <w:rFonts w:cs="Times New Roman"/>
          <w:szCs w:val="24"/>
        </w:rPr>
        <w:t xml:space="preserve">otion to </w:t>
      </w:r>
      <w:r w:rsidR="00810FC2">
        <w:rPr>
          <w:rFonts w:cs="Times New Roman"/>
          <w:szCs w:val="24"/>
        </w:rPr>
        <w:t>C</w:t>
      </w:r>
      <w:r>
        <w:rPr>
          <w:rFonts w:cs="Times New Roman"/>
          <w:szCs w:val="24"/>
        </w:rPr>
        <w:t>ompel,</w:t>
      </w:r>
      <w:r>
        <w:rPr>
          <w:rStyle w:val="FootnoteReference"/>
          <w:rFonts w:cs="Times New Roman"/>
          <w:szCs w:val="24"/>
        </w:rPr>
        <w:footnoteReference w:id="7"/>
      </w:r>
      <w:r>
        <w:rPr>
          <w:rFonts w:cs="Times New Roman"/>
          <w:szCs w:val="24"/>
        </w:rPr>
        <w:t xml:space="preserve"> so Duke should have known that its </w:t>
      </w:r>
      <w:r w:rsidR="00F6735D">
        <w:rPr>
          <w:rFonts w:cs="Times New Roman"/>
          <w:szCs w:val="24"/>
        </w:rPr>
        <w:t>reliance on</w:t>
      </w:r>
      <w:r>
        <w:rPr>
          <w:rFonts w:cs="Times New Roman"/>
          <w:szCs w:val="24"/>
        </w:rPr>
        <w:t xml:space="preserve"> </w:t>
      </w:r>
      <w:r>
        <w:rPr>
          <w:rFonts w:cs="Times New Roman"/>
          <w:i/>
          <w:szCs w:val="24"/>
        </w:rPr>
        <w:t>Wellman</w:t>
      </w:r>
      <w:r>
        <w:rPr>
          <w:rFonts w:cs="Times New Roman"/>
          <w:szCs w:val="24"/>
        </w:rPr>
        <w:t xml:space="preserve"> </w:t>
      </w:r>
      <w:r w:rsidR="00F6735D">
        <w:rPr>
          <w:rFonts w:cs="Times New Roman"/>
          <w:szCs w:val="24"/>
        </w:rPr>
        <w:t>is</w:t>
      </w:r>
      <w:r>
        <w:rPr>
          <w:rFonts w:cs="Times New Roman"/>
          <w:szCs w:val="24"/>
        </w:rPr>
        <w:t xml:space="preserve"> improper. </w:t>
      </w:r>
      <w:r>
        <w:rPr>
          <w:rFonts w:cs="Times New Roman"/>
          <w:i/>
          <w:szCs w:val="24"/>
        </w:rPr>
        <w:t>Ohio Consumers</w:t>
      </w:r>
      <w:r w:rsidR="00204BF5">
        <w:rPr>
          <w:rFonts w:cs="Times New Roman"/>
          <w:i/>
          <w:szCs w:val="24"/>
        </w:rPr>
        <w:t>'</w:t>
      </w:r>
      <w:r>
        <w:rPr>
          <w:rFonts w:cs="Times New Roman"/>
          <w:i/>
          <w:szCs w:val="24"/>
        </w:rPr>
        <w:t xml:space="preserve"> Counsel</w:t>
      </w:r>
      <w:r>
        <w:rPr>
          <w:rFonts w:cs="Times New Roman"/>
          <w:szCs w:val="24"/>
        </w:rPr>
        <w:t xml:space="preserve"> is Supreme Court precedent that the PUCO must follow. The PUCO must liberally construe the discovery rules in favor of requiring the utility to respond in full to OCC</w:t>
      </w:r>
      <w:r w:rsidR="00204BF5">
        <w:rPr>
          <w:rFonts w:cs="Times New Roman"/>
          <w:szCs w:val="24"/>
        </w:rPr>
        <w:t>'</w:t>
      </w:r>
      <w:r>
        <w:rPr>
          <w:rFonts w:cs="Times New Roman"/>
          <w:szCs w:val="24"/>
        </w:rPr>
        <w:t>s relevant discovery requests.</w:t>
      </w:r>
    </w:p>
    <w:p w:rsidR="005E6A51" w:rsidP="000E56E0">
      <w:pPr>
        <w:pStyle w:val="Heading2"/>
      </w:pPr>
      <w:bookmarkStart w:id="2" w:name="_Toc494102396"/>
      <w:r>
        <w:t>B</w:t>
      </w:r>
      <w:r>
        <w:t>.</w:t>
      </w:r>
      <w:r>
        <w:tab/>
        <w:t>OCC</w:t>
      </w:r>
      <w:r w:rsidR="00204BF5">
        <w:t>'</w:t>
      </w:r>
      <w:r>
        <w:t>s discovery requests seek relevant information.</w:t>
      </w:r>
      <w:bookmarkEnd w:id="2"/>
    </w:p>
    <w:p w:rsidR="00AA0DCA" w:rsidRPr="00AA0DCA" w:rsidP="000E56E0">
      <w:pPr>
        <w:pStyle w:val="Heading3"/>
      </w:pPr>
      <w:bookmarkStart w:id="3" w:name="_Toc494102397"/>
      <w:r>
        <w:t>1.</w:t>
      </w:r>
      <w:r>
        <w:tab/>
        <w:t>Duke</w:t>
      </w:r>
      <w:r w:rsidR="00204BF5">
        <w:t>'</w:t>
      </w:r>
      <w:r>
        <w:t>s claim that i</w:t>
      </w:r>
      <w:r w:rsidR="00260A6C">
        <w:t>t</w:t>
      </w:r>
      <w:r>
        <w:t xml:space="preserve">s smart grid proposal in this case is </w:t>
      </w:r>
      <w:r w:rsidR="00204BF5">
        <w:t>"</w:t>
      </w:r>
      <w:r>
        <w:t>entirely forward</w:t>
      </w:r>
      <w:r w:rsidR="00260A6C">
        <w:t>-</w:t>
      </w:r>
      <w:r>
        <w:t>looking</w:t>
      </w:r>
      <w:r w:rsidR="00204BF5">
        <w:t>"</w:t>
      </w:r>
      <w:r>
        <w:t xml:space="preserve"> is both false and irrelevant.</w:t>
      </w:r>
      <w:bookmarkEnd w:id="3"/>
    </w:p>
    <w:p w:rsidR="00AA0DCA" w:rsidP="00AA0DCA">
      <w:pPr>
        <w:spacing w:after="0" w:line="480" w:lineRule="auto"/>
        <w:ind w:firstLine="720"/>
        <w:rPr>
          <w:rFonts w:cs="Times New Roman"/>
          <w:szCs w:val="24"/>
        </w:rPr>
      </w:pPr>
      <w:r>
        <w:rPr>
          <w:rFonts w:cs="Times New Roman"/>
          <w:szCs w:val="24"/>
        </w:rPr>
        <w:t>Duke claims that it does not need to respond to OCC</w:t>
      </w:r>
      <w:r w:rsidR="00204BF5">
        <w:rPr>
          <w:rFonts w:cs="Times New Roman"/>
          <w:szCs w:val="24"/>
        </w:rPr>
        <w:t>'</w:t>
      </w:r>
      <w:r>
        <w:rPr>
          <w:rFonts w:cs="Times New Roman"/>
          <w:szCs w:val="24"/>
        </w:rPr>
        <w:t xml:space="preserve">s discovery requests because its smart grid proposal in this case </w:t>
      </w:r>
      <w:r w:rsidR="00204BF5">
        <w:rPr>
          <w:rFonts w:cs="Times New Roman"/>
          <w:szCs w:val="24"/>
        </w:rPr>
        <w:t>"</w:t>
      </w:r>
      <w:r>
        <w:rPr>
          <w:rFonts w:cs="Times New Roman"/>
          <w:szCs w:val="24"/>
        </w:rPr>
        <w:t>is entirely forward-looking.</w:t>
      </w:r>
      <w:r w:rsidR="00204BF5">
        <w:rPr>
          <w:rFonts w:cs="Times New Roman"/>
          <w:szCs w:val="24"/>
        </w:rPr>
        <w:t>"</w:t>
      </w:r>
      <w:r>
        <w:rPr>
          <w:rStyle w:val="FootnoteReference"/>
          <w:rFonts w:cs="Times New Roman"/>
          <w:szCs w:val="24"/>
        </w:rPr>
        <w:footnoteReference w:id="8"/>
      </w:r>
      <w:r>
        <w:rPr>
          <w:rFonts w:cs="Times New Roman"/>
          <w:szCs w:val="24"/>
        </w:rPr>
        <w:t xml:space="preserve"> </w:t>
      </w:r>
      <w:r w:rsidR="00F91FAF">
        <w:rPr>
          <w:rFonts w:cs="Times New Roman"/>
          <w:szCs w:val="24"/>
        </w:rPr>
        <w:t>T</w:t>
      </w:r>
      <w:r>
        <w:rPr>
          <w:rFonts w:cs="Times New Roman"/>
          <w:szCs w:val="24"/>
        </w:rPr>
        <w:t>his is false because Duke proposes to include its current smart grid infrast</w:t>
      </w:r>
      <w:r w:rsidR="00F71E92">
        <w:rPr>
          <w:rFonts w:cs="Times New Roman"/>
          <w:szCs w:val="24"/>
        </w:rPr>
        <w:t>ructure in rate base, which is</w:t>
      </w:r>
      <w:r>
        <w:rPr>
          <w:rFonts w:cs="Times New Roman"/>
          <w:szCs w:val="24"/>
        </w:rPr>
        <w:t xml:space="preserve"> backward-looking.</w:t>
      </w:r>
      <w:r>
        <w:rPr>
          <w:rStyle w:val="FootnoteReference"/>
          <w:rFonts w:cs="Times New Roman"/>
          <w:szCs w:val="24"/>
        </w:rPr>
        <w:footnoteReference w:id="9"/>
      </w:r>
      <w:r>
        <w:rPr>
          <w:rFonts w:cs="Times New Roman"/>
          <w:szCs w:val="24"/>
        </w:rPr>
        <w:t xml:space="preserve"> </w:t>
      </w:r>
      <w:r w:rsidR="000F0451">
        <w:rPr>
          <w:rFonts w:cs="Times New Roman"/>
          <w:szCs w:val="24"/>
        </w:rPr>
        <w:t xml:space="preserve">It is also irrelevant. </w:t>
      </w:r>
      <w:r w:rsidR="00204BF5">
        <w:rPr>
          <w:rFonts w:cs="Times New Roman"/>
          <w:szCs w:val="24"/>
        </w:rPr>
        <w:t>E</w:t>
      </w:r>
      <w:r w:rsidR="00466F92">
        <w:rPr>
          <w:rFonts w:cs="Times New Roman"/>
          <w:szCs w:val="24"/>
        </w:rPr>
        <w:t xml:space="preserve">ven if </w:t>
      </w:r>
      <w:r w:rsidR="000F0451">
        <w:rPr>
          <w:rFonts w:cs="Times New Roman"/>
          <w:szCs w:val="24"/>
        </w:rPr>
        <w:t>part of Duke</w:t>
      </w:r>
      <w:r w:rsidR="00204BF5">
        <w:rPr>
          <w:rFonts w:cs="Times New Roman"/>
          <w:szCs w:val="24"/>
        </w:rPr>
        <w:t>'</w:t>
      </w:r>
      <w:r w:rsidR="000F0451">
        <w:rPr>
          <w:rFonts w:cs="Times New Roman"/>
          <w:szCs w:val="24"/>
        </w:rPr>
        <w:t xml:space="preserve">s smart grid proposal </w:t>
      </w:r>
      <w:r w:rsidR="00204BF5">
        <w:rPr>
          <w:rFonts w:cs="Times New Roman"/>
          <w:szCs w:val="24"/>
        </w:rPr>
        <w:t>is</w:t>
      </w:r>
      <w:r w:rsidR="00466F92">
        <w:rPr>
          <w:rFonts w:cs="Times New Roman"/>
          <w:szCs w:val="24"/>
        </w:rPr>
        <w:t xml:space="preserve"> </w:t>
      </w:r>
      <w:r w:rsidR="000F0451">
        <w:rPr>
          <w:rFonts w:cs="Times New Roman"/>
          <w:szCs w:val="24"/>
        </w:rPr>
        <w:t>forward-looking</w:t>
      </w:r>
      <w:r w:rsidR="00810FC2">
        <w:rPr>
          <w:rFonts w:cs="Times New Roman"/>
          <w:szCs w:val="24"/>
        </w:rPr>
        <w:t>,</w:t>
      </w:r>
      <w:r w:rsidR="000F0451">
        <w:rPr>
          <w:rFonts w:cs="Times New Roman"/>
          <w:szCs w:val="24"/>
        </w:rPr>
        <w:t xml:space="preserve"> OCC </w:t>
      </w:r>
      <w:r w:rsidR="00466F92">
        <w:rPr>
          <w:rFonts w:cs="Times New Roman"/>
          <w:szCs w:val="24"/>
        </w:rPr>
        <w:t xml:space="preserve">is not prohibited </w:t>
      </w:r>
      <w:r w:rsidR="000F0451">
        <w:rPr>
          <w:rFonts w:cs="Times New Roman"/>
          <w:szCs w:val="24"/>
        </w:rPr>
        <w:t>from discovering information about Duke</w:t>
      </w:r>
      <w:r w:rsidR="00204BF5">
        <w:rPr>
          <w:rFonts w:cs="Times New Roman"/>
          <w:szCs w:val="24"/>
        </w:rPr>
        <w:t>'</w:t>
      </w:r>
      <w:r w:rsidR="000F0451">
        <w:rPr>
          <w:rFonts w:cs="Times New Roman"/>
          <w:szCs w:val="24"/>
        </w:rPr>
        <w:t>s current system</w:t>
      </w:r>
      <w:r w:rsidR="00466F92">
        <w:rPr>
          <w:rFonts w:cs="Times New Roman"/>
          <w:szCs w:val="24"/>
        </w:rPr>
        <w:t xml:space="preserve"> and capabilities</w:t>
      </w:r>
      <w:r w:rsidR="00810FC2">
        <w:rPr>
          <w:rFonts w:cs="Times New Roman"/>
          <w:szCs w:val="24"/>
        </w:rPr>
        <w:t xml:space="preserve">. </w:t>
      </w:r>
      <w:r w:rsidR="00466F92">
        <w:rPr>
          <w:rFonts w:cs="Times New Roman"/>
          <w:szCs w:val="24"/>
        </w:rPr>
        <w:t xml:space="preserve">Duke disclosed in this case that </w:t>
      </w:r>
      <w:r w:rsidR="00496537">
        <w:rPr>
          <w:rFonts w:cs="Times New Roman"/>
          <w:szCs w:val="24"/>
        </w:rPr>
        <w:t>it</w:t>
      </w:r>
      <w:r w:rsidR="00466F92">
        <w:rPr>
          <w:rFonts w:cs="Times New Roman"/>
          <w:szCs w:val="24"/>
        </w:rPr>
        <w:t xml:space="preserve"> is currently replacing approximately 23,700 obsolescent communication nodes, 80,000 Echelon smart meters, and 48,800 Badger natural gas communication modules.</w:t>
      </w:r>
      <w:r>
        <w:rPr>
          <w:rStyle w:val="FootnoteReference"/>
          <w:rFonts w:cs="Times New Roman"/>
          <w:szCs w:val="24"/>
        </w:rPr>
        <w:footnoteReference w:id="10"/>
      </w:r>
    </w:p>
    <w:p w:rsidR="00D0679C" w:rsidRPr="00D0679C" w:rsidP="000E56E0">
      <w:pPr>
        <w:pStyle w:val="Heading4"/>
        <w:ind w:right="720"/>
      </w:pPr>
      <w:bookmarkStart w:id="4" w:name="_Toc494102398"/>
      <w:r>
        <w:t>a</w:t>
      </w:r>
      <w:r>
        <w:t>.</w:t>
      </w:r>
      <w:r>
        <w:tab/>
        <w:t>OCC</w:t>
      </w:r>
      <w:r w:rsidR="00204BF5">
        <w:t>'</w:t>
      </w:r>
      <w:r>
        <w:t>s discovery requests are relevant in determining whether Duke</w:t>
      </w:r>
      <w:r w:rsidR="00204BF5">
        <w:t>'</w:t>
      </w:r>
      <w:r>
        <w:t xml:space="preserve">s </w:t>
      </w:r>
      <w:r w:rsidR="004307AF">
        <w:t xml:space="preserve">current </w:t>
      </w:r>
      <w:r w:rsidR="007B339A">
        <w:t xml:space="preserve">smart grid infrastructure is </w:t>
      </w:r>
      <w:r>
        <w:t>used and useful under R.C. 4909.15(A)(1).</w:t>
      </w:r>
      <w:bookmarkEnd w:id="4"/>
    </w:p>
    <w:p w:rsidR="005E6A51" w:rsidP="00F33D8D">
      <w:pPr>
        <w:spacing w:after="0" w:line="480" w:lineRule="auto"/>
        <w:ind w:firstLine="720"/>
        <w:rPr>
          <w:rFonts w:cs="Times New Roman"/>
          <w:szCs w:val="24"/>
        </w:rPr>
      </w:pPr>
      <w:r>
        <w:rPr>
          <w:rFonts w:cs="Times New Roman"/>
          <w:szCs w:val="24"/>
        </w:rPr>
        <w:t xml:space="preserve">By law, Duke may only include in its rate base property that is </w:t>
      </w:r>
      <w:r w:rsidR="00204BF5">
        <w:rPr>
          <w:rFonts w:cs="Times New Roman"/>
          <w:szCs w:val="24"/>
        </w:rPr>
        <w:t>"</w:t>
      </w:r>
      <w:r>
        <w:rPr>
          <w:rFonts w:cs="Times New Roman"/>
          <w:szCs w:val="24"/>
        </w:rPr>
        <w:t>used and useful.</w:t>
      </w:r>
      <w:r w:rsidR="00204BF5">
        <w:rPr>
          <w:rFonts w:cs="Times New Roman"/>
          <w:szCs w:val="24"/>
        </w:rPr>
        <w:t>"</w:t>
      </w:r>
      <w:r>
        <w:rPr>
          <w:rStyle w:val="FootnoteReference"/>
          <w:rFonts w:cs="Times New Roman"/>
          <w:szCs w:val="24"/>
        </w:rPr>
        <w:footnoteReference w:id="11"/>
      </w:r>
      <w:r w:rsidR="004D21C4">
        <w:rPr>
          <w:rFonts w:cs="Times New Roman"/>
          <w:szCs w:val="24"/>
        </w:rPr>
        <w:t xml:space="preserve"> In this case, Duke seeks to include its current smart grid infrastructure in its rate base.</w:t>
      </w:r>
      <w:r>
        <w:rPr>
          <w:rStyle w:val="FootnoteReference"/>
          <w:rFonts w:cs="Times New Roman"/>
          <w:szCs w:val="24"/>
        </w:rPr>
        <w:footnoteReference w:id="12"/>
      </w:r>
      <w:r w:rsidR="004D21C4">
        <w:rPr>
          <w:rFonts w:cs="Times New Roman"/>
          <w:szCs w:val="24"/>
        </w:rPr>
        <w:t xml:space="preserve"> Thus, Duke has the burden of proving that its cur</w:t>
      </w:r>
      <w:r w:rsidR="003148DA">
        <w:rPr>
          <w:rFonts w:cs="Times New Roman"/>
          <w:szCs w:val="24"/>
        </w:rPr>
        <w:t>rent smart grid infrastructure is</w:t>
      </w:r>
      <w:r w:rsidR="004D21C4">
        <w:rPr>
          <w:rFonts w:cs="Times New Roman"/>
          <w:szCs w:val="24"/>
        </w:rPr>
        <w:t xml:space="preserve"> used and useful.</w:t>
      </w:r>
    </w:p>
    <w:p w:rsidR="00964774" w:rsidP="00F33D8D">
      <w:pPr>
        <w:spacing w:after="0" w:line="480" w:lineRule="auto"/>
        <w:ind w:firstLine="720"/>
        <w:rPr>
          <w:rFonts w:cs="Times New Roman"/>
          <w:szCs w:val="24"/>
        </w:rPr>
      </w:pPr>
      <w:r>
        <w:rPr>
          <w:rFonts w:cs="Times New Roman"/>
          <w:szCs w:val="24"/>
        </w:rPr>
        <w:t>OCC</w:t>
      </w:r>
      <w:r w:rsidR="00204BF5">
        <w:rPr>
          <w:rFonts w:cs="Times New Roman"/>
          <w:szCs w:val="24"/>
        </w:rPr>
        <w:t>'</w:t>
      </w:r>
      <w:r>
        <w:rPr>
          <w:rFonts w:cs="Times New Roman"/>
          <w:szCs w:val="24"/>
        </w:rPr>
        <w:t>s discovery requests are related to Duke</w:t>
      </w:r>
      <w:r w:rsidR="00204BF5">
        <w:rPr>
          <w:rFonts w:cs="Times New Roman"/>
          <w:szCs w:val="24"/>
        </w:rPr>
        <w:t>'</w:t>
      </w:r>
      <w:r>
        <w:rPr>
          <w:rFonts w:cs="Times New Roman"/>
          <w:szCs w:val="24"/>
        </w:rPr>
        <w:t xml:space="preserve">s current smart grid infrastructure, including </w:t>
      </w:r>
      <w:r>
        <w:rPr>
          <w:rFonts w:cs="Times New Roman"/>
          <w:szCs w:val="24"/>
        </w:rPr>
        <w:t>(i) questions about the types of meters that Duke has installed and their capabilities,</w:t>
      </w:r>
      <w:r>
        <w:rPr>
          <w:rStyle w:val="FootnoteReference"/>
          <w:rFonts w:cs="Times New Roman"/>
          <w:szCs w:val="24"/>
        </w:rPr>
        <w:footnoteReference w:id="13"/>
      </w:r>
      <w:r>
        <w:rPr>
          <w:rFonts w:cs="Times New Roman"/>
          <w:szCs w:val="24"/>
        </w:rPr>
        <w:t xml:space="preserve"> (ii) the costs that Duke incurred to install various parts of its smart grid distribution system,</w:t>
      </w:r>
      <w:r>
        <w:rPr>
          <w:rStyle w:val="FootnoteReference"/>
          <w:rFonts w:cs="Times New Roman"/>
          <w:szCs w:val="24"/>
        </w:rPr>
        <w:footnoteReference w:id="14"/>
      </w:r>
      <w:r>
        <w:rPr>
          <w:rFonts w:cs="Times New Roman"/>
          <w:szCs w:val="24"/>
        </w:rPr>
        <w:t xml:space="preserve"> (iii) the type of data that Duke</w:t>
      </w:r>
      <w:r w:rsidR="00204BF5">
        <w:rPr>
          <w:rFonts w:cs="Times New Roman"/>
          <w:szCs w:val="24"/>
        </w:rPr>
        <w:t>'</w:t>
      </w:r>
      <w:r>
        <w:rPr>
          <w:rFonts w:cs="Times New Roman"/>
          <w:szCs w:val="24"/>
        </w:rPr>
        <w:t>s current system provides to Duke and to customers,</w:t>
      </w:r>
      <w:r>
        <w:rPr>
          <w:rStyle w:val="FootnoteReference"/>
          <w:rFonts w:cs="Times New Roman"/>
          <w:szCs w:val="24"/>
        </w:rPr>
        <w:footnoteReference w:id="15"/>
      </w:r>
      <w:r>
        <w:rPr>
          <w:rFonts w:cs="Times New Roman"/>
          <w:szCs w:val="24"/>
        </w:rPr>
        <w:t xml:space="preserve"> (iv) Duke</w:t>
      </w:r>
      <w:r w:rsidR="00204BF5">
        <w:rPr>
          <w:rFonts w:cs="Times New Roman"/>
          <w:szCs w:val="24"/>
        </w:rPr>
        <w:t>'</w:t>
      </w:r>
      <w:r>
        <w:rPr>
          <w:rFonts w:cs="Times New Roman"/>
          <w:szCs w:val="24"/>
        </w:rPr>
        <w:t>s deployment of smart meters using, in part, U.S. Department of Energy Investment Grant funds,</w:t>
      </w:r>
      <w:r>
        <w:rPr>
          <w:rStyle w:val="FootnoteReference"/>
          <w:rFonts w:cs="Times New Roman"/>
          <w:szCs w:val="24"/>
        </w:rPr>
        <w:footnoteReference w:id="16"/>
      </w:r>
      <w:r>
        <w:rPr>
          <w:rFonts w:cs="Times New Roman"/>
          <w:szCs w:val="24"/>
        </w:rPr>
        <w:t xml:space="preserve"> and (v) the effect that Duke</w:t>
      </w:r>
      <w:r w:rsidR="00204BF5">
        <w:rPr>
          <w:rFonts w:cs="Times New Roman"/>
          <w:szCs w:val="24"/>
        </w:rPr>
        <w:t>'</w:t>
      </w:r>
      <w:r>
        <w:rPr>
          <w:rFonts w:cs="Times New Roman"/>
          <w:szCs w:val="24"/>
        </w:rPr>
        <w:t>s current system has had on reliability.</w:t>
      </w:r>
      <w:r>
        <w:rPr>
          <w:rStyle w:val="FootnoteReference"/>
          <w:rFonts w:cs="Times New Roman"/>
          <w:szCs w:val="24"/>
        </w:rPr>
        <w:footnoteReference w:id="17"/>
      </w:r>
    </w:p>
    <w:p w:rsidR="00EF4B81" w:rsidP="00F33D8D">
      <w:pPr>
        <w:spacing w:after="0" w:line="480" w:lineRule="auto"/>
        <w:ind w:firstLine="720"/>
        <w:rPr>
          <w:rFonts w:cs="Times New Roman"/>
          <w:szCs w:val="24"/>
        </w:rPr>
      </w:pPr>
      <w:r>
        <w:rPr>
          <w:rFonts w:cs="Times New Roman"/>
          <w:szCs w:val="24"/>
        </w:rPr>
        <w:t>This information is relevant in determining whether Duke</w:t>
      </w:r>
      <w:r w:rsidR="00204BF5">
        <w:rPr>
          <w:rFonts w:cs="Times New Roman"/>
          <w:szCs w:val="24"/>
        </w:rPr>
        <w:t>'</w:t>
      </w:r>
      <w:r>
        <w:rPr>
          <w:rFonts w:cs="Times New Roman"/>
          <w:szCs w:val="24"/>
        </w:rPr>
        <w:t>s current smart grid infrastructure</w:t>
      </w:r>
      <w:r w:rsidR="00260A6C">
        <w:rPr>
          <w:rFonts w:cs="Times New Roman"/>
          <w:szCs w:val="24"/>
        </w:rPr>
        <w:t xml:space="preserve"> </w:t>
      </w:r>
      <w:r>
        <w:rPr>
          <w:rFonts w:cs="Times New Roman"/>
          <w:szCs w:val="24"/>
        </w:rPr>
        <w:t xml:space="preserve">is used and useful, as required by law. OCC has a right to discovery regarding </w:t>
      </w:r>
      <w:r w:rsidR="00496537">
        <w:rPr>
          <w:rFonts w:cs="Times New Roman"/>
          <w:szCs w:val="24"/>
        </w:rPr>
        <w:t xml:space="preserve">whether property is used and useful. </w:t>
      </w:r>
      <w:r>
        <w:rPr>
          <w:rFonts w:cs="Times New Roman"/>
          <w:szCs w:val="24"/>
        </w:rPr>
        <w:t>The PUCO should reject Duke</w:t>
      </w:r>
      <w:r w:rsidR="00204BF5">
        <w:rPr>
          <w:rFonts w:cs="Times New Roman"/>
          <w:szCs w:val="24"/>
        </w:rPr>
        <w:t>'</w:t>
      </w:r>
      <w:r>
        <w:rPr>
          <w:rFonts w:cs="Times New Roman"/>
          <w:szCs w:val="24"/>
        </w:rPr>
        <w:t>s claim that this information is irrelevant.</w:t>
      </w:r>
    </w:p>
    <w:p w:rsidR="00810FC2" w:rsidP="000E56E0">
      <w:pPr>
        <w:pStyle w:val="Heading4"/>
        <w:ind w:right="720"/>
      </w:pPr>
      <w:bookmarkStart w:id="5" w:name="_Toc494102399"/>
      <w:r>
        <w:t>b</w:t>
      </w:r>
      <w:r w:rsidR="003950A3">
        <w:t>.</w:t>
      </w:r>
      <w:r w:rsidR="003950A3">
        <w:tab/>
      </w:r>
      <w:r w:rsidR="00F91FAF">
        <w:t xml:space="preserve">Information </w:t>
      </w:r>
      <w:r>
        <w:t>responsive to OCC</w:t>
      </w:r>
      <w:r w:rsidR="00204BF5">
        <w:t>'</w:t>
      </w:r>
      <w:r>
        <w:t>s discovery requests on the current capabilities of Duke</w:t>
      </w:r>
      <w:r w:rsidR="00204BF5">
        <w:t>'</w:t>
      </w:r>
      <w:r>
        <w:t>s smart grid is relevant because it informs analysis of Duke</w:t>
      </w:r>
      <w:r w:rsidR="00204BF5">
        <w:t>'</w:t>
      </w:r>
      <w:r>
        <w:t>s proposal to replace it with new infrastructure.</w:t>
      </w:r>
      <w:bookmarkEnd w:id="5"/>
    </w:p>
    <w:p w:rsidR="005E6A51" w:rsidP="00F33D8D">
      <w:pPr>
        <w:spacing w:after="0" w:line="480" w:lineRule="auto"/>
        <w:ind w:firstLine="720"/>
        <w:rPr>
          <w:rFonts w:cs="Times New Roman"/>
          <w:szCs w:val="24"/>
        </w:rPr>
      </w:pPr>
      <w:r>
        <w:rPr>
          <w:rFonts w:cs="Times New Roman"/>
          <w:szCs w:val="24"/>
        </w:rPr>
        <w:t>As explained above, Duke</w:t>
      </w:r>
      <w:r w:rsidR="00204BF5">
        <w:rPr>
          <w:rFonts w:cs="Times New Roman"/>
          <w:szCs w:val="24"/>
        </w:rPr>
        <w:t>'</w:t>
      </w:r>
      <w:r>
        <w:rPr>
          <w:rFonts w:cs="Times New Roman"/>
          <w:szCs w:val="24"/>
        </w:rPr>
        <w:t xml:space="preserve">s smart grid proposal in this case is </w:t>
      </w:r>
      <w:r w:rsidR="00466F92">
        <w:rPr>
          <w:rFonts w:cs="Times New Roman"/>
          <w:szCs w:val="24"/>
        </w:rPr>
        <w:t xml:space="preserve">hardly </w:t>
      </w:r>
      <w:r>
        <w:rPr>
          <w:rFonts w:cs="Times New Roman"/>
          <w:szCs w:val="24"/>
        </w:rPr>
        <w:t>forward looking because Duke seeks to include smart grid infrastructure in its rate base</w:t>
      </w:r>
      <w:r w:rsidR="00810FC2">
        <w:rPr>
          <w:rFonts w:cs="Times New Roman"/>
          <w:szCs w:val="24"/>
        </w:rPr>
        <w:t xml:space="preserve">. </w:t>
      </w:r>
      <w:r>
        <w:rPr>
          <w:rFonts w:cs="Times New Roman"/>
          <w:szCs w:val="24"/>
        </w:rPr>
        <w:t xml:space="preserve">But </w:t>
      </w:r>
      <w:r w:rsidR="00832E8A">
        <w:rPr>
          <w:rFonts w:cs="Times New Roman"/>
          <w:szCs w:val="24"/>
        </w:rPr>
        <w:t>OCC</w:t>
      </w:r>
      <w:r w:rsidR="00204BF5">
        <w:rPr>
          <w:rFonts w:cs="Times New Roman"/>
          <w:szCs w:val="24"/>
        </w:rPr>
        <w:t>'</w:t>
      </w:r>
      <w:r w:rsidR="00832E8A">
        <w:rPr>
          <w:rFonts w:cs="Times New Roman"/>
          <w:szCs w:val="24"/>
        </w:rPr>
        <w:t>s discovery requests are also relevant and related to Duke</w:t>
      </w:r>
      <w:r w:rsidR="00204BF5">
        <w:rPr>
          <w:rFonts w:cs="Times New Roman"/>
          <w:szCs w:val="24"/>
        </w:rPr>
        <w:t>'</w:t>
      </w:r>
      <w:r w:rsidR="00832E8A">
        <w:rPr>
          <w:rFonts w:cs="Times New Roman"/>
          <w:szCs w:val="24"/>
        </w:rPr>
        <w:t>s proposal to install new smart meters and other distribution infrastructure</w:t>
      </w:r>
      <w:r>
        <w:rPr>
          <w:rFonts w:cs="Times New Roman"/>
          <w:szCs w:val="24"/>
        </w:rPr>
        <w:t>.</w:t>
      </w:r>
    </w:p>
    <w:p w:rsidR="003148DA" w:rsidP="00F33D8D">
      <w:pPr>
        <w:spacing w:after="0" w:line="480" w:lineRule="auto"/>
        <w:ind w:firstLine="720"/>
        <w:rPr>
          <w:rFonts w:cs="Times New Roman"/>
          <w:szCs w:val="24"/>
        </w:rPr>
      </w:pPr>
      <w:r>
        <w:rPr>
          <w:rFonts w:cs="Times New Roman"/>
          <w:szCs w:val="24"/>
        </w:rPr>
        <w:t>Duke proposes that customers be charged $143 million for new smart grid infrastructure, including replacing substantially all recently-installed residential electric smart meters, communications infrastructure, and gas meter reading equipment.</w:t>
      </w:r>
      <w:r>
        <w:rPr>
          <w:rStyle w:val="FootnoteReference"/>
          <w:rFonts w:cs="Times New Roman"/>
          <w:szCs w:val="24"/>
        </w:rPr>
        <w:footnoteReference w:id="18"/>
      </w:r>
      <w:r>
        <w:rPr>
          <w:rFonts w:cs="Times New Roman"/>
          <w:szCs w:val="24"/>
        </w:rPr>
        <w:t xml:space="preserve"> </w:t>
      </w:r>
      <w:r>
        <w:rPr>
          <w:rFonts w:cs="Times New Roman"/>
          <w:szCs w:val="24"/>
        </w:rPr>
        <w:t xml:space="preserve">For parties to analyze this proposal, it is essential to understand the capabilities of the current smart grid infrastructure. For example, in its Memo Contra, Duke states that its forward-looking proposal </w:t>
      </w:r>
      <w:r w:rsidR="00204BF5">
        <w:rPr>
          <w:rFonts w:cs="Times New Roman"/>
          <w:szCs w:val="24"/>
        </w:rPr>
        <w:t>"</w:t>
      </w:r>
      <w:r>
        <w:rPr>
          <w:rFonts w:cs="Times New Roman"/>
          <w:szCs w:val="24"/>
        </w:rPr>
        <w:t>will ultimately save customers</w:t>
      </w:r>
      <w:r w:rsidR="00204BF5">
        <w:rPr>
          <w:rFonts w:cs="Times New Roman"/>
          <w:szCs w:val="24"/>
        </w:rPr>
        <w:t>'</w:t>
      </w:r>
      <w:r>
        <w:rPr>
          <w:rFonts w:cs="Times New Roman"/>
          <w:szCs w:val="24"/>
        </w:rPr>
        <w:t xml:space="preserve"> money.</w:t>
      </w:r>
      <w:r w:rsidR="00204BF5">
        <w:rPr>
          <w:rFonts w:cs="Times New Roman"/>
          <w:szCs w:val="24"/>
        </w:rPr>
        <w:t>"</w:t>
      </w:r>
      <w:r>
        <w:rPr>
          <w:rStyle w:val="FootnoteReference"/>
          <w:rFonts w:cs="Times New Roman"/>
          <w:szCs w:val="24"/>
        </w:rPr>
        <w:footnoteReference w:id="19"/>
      </w:r>
      <w:r>
        <w:rPr>
          <w:rFonts w:cs="Times New Roman"/>
          <w:szCs w:val="24"/>
        </w:rPr>
        <w:t xml:space="preserve"> It is impossible to know whether the new distribution system will save customers</w:t>
      </w:r>
      <w:r w:rsidR="00204BF5">
        <w:rPr>
          <w:rFonts w:cs="Times New Roman"/>
          <w:szCs w:val="24"/>
        </w:rPr>
        <w:t>'</w:t>
      </w:r>
      <w:r>
        <w:rPr>
          <w:rFonts w:cs="Times New Roman"/>
          <w:szCs w:val="24"/>
        </w:rPr>
        <w:t xml:space="preserve"> money without knowing how the proposed system compares to the current system, both in terms of cost and functionality. In its Memo Contra, Duke similarly claims that its proposal for new smart meter infrastructure will </w:t>
      </w:r>
      <w:r w:rsidR="00204BF5">
        <w:rPr>
          <w:rFonts w:cs="Times New Roman"/>
          <w:szCs w:val="24"/>
        </w:rPr>
        <w:t>"</w:t>
      </w:r>
      <w:r>
        <w:rPr>
          <w:rFonts w:cs="Times New Roman"/>
          <w:szCs w:val="24"/>
        </w:rPr>
        <w:t>enable customers to have more control over their own data.</w:t>
      </w:r>
      <w:r w:rsidR="00204BF5">
        <w:rPr>
          <w:rFonts w:cs="Times New Roman"/>
          <w:szCs w:val="24"/>
        </w:rPr>
        <w:t>"</w:t>
      </w:r>
      <w:r>
        <w:rPr>
          <w:rStyle w:val="FootnoteReference"/>
          <w:rFonts w:cs="Times New Roman"/>
          <w:szCs w:val="24"/>
        </w:rPr>
        <w:footnoteReference w:id="20"/>
      </w:r>
      <w:r>
        <w:rPr>
          <w:rFonts w:cs="Times New Roman"/>
          <w:szCs w:val="24"/>
        </w:rPr>
        <w:t xml:space="preserve"> But again, there is no way to know if customers will have </w:t>
      </w:r>
      <w:r w:rsidRPr="003148DA">
        <w:rPr>
          <w:rFonts w:cs="Times New Roman"/>
          <w:szCs w:val="24"/>
        </w:rPr>
        <w:t>more</w:t>
      </w:r>
      <w:r>
        <w:rPr>
          <w:rFonts w:cs="Times New Roman"/>
          <w:szCs w:val="24"/>
        </w:rPr>
        <w:t xml:space="preserve"> control in the future without knowing how much control they have now.</w:t>
      </w:r>
    </w:p>
    <w:p w:rsidR="007A6A06" w:rsidP="00F33D8D">
      <w:pPr>
        <w:spacing w:after="0" w:line="480" w:lineRule="auto"/>
        <w:ind w:firstLine="720"/>
        <w:rPr>
          <w:rFonts w:cs="Times New Roman"/>
          <w:szCs w:val="24"/>
        </w:rPr>
      </w:pPr>
      <w:r>
        <w:rPr>
          <w:rFonts w:cs="Times New Roman"/>
          <w:szCs w:val="24"/>
        </w:rPr>
        <w:t>The fundamental question regarding Duke</w:t>
      </w:r>
      <w:r w:rsidR="00204BF5">
        <w:rPr>
          <w:rFonts w:cs="Times New Roman"/>
          <w:szCs w:val="24"/>
        </w:rPr>
        <w:t>'</w:t>
      </w:r>
      <w:r>
        <w:rPr>
          <w:rFonts w:cs="Times New Roman"/>
          <w:szCs w:val="24"/>
        </w:rPr>
        <w:t xml:space="preserve">s smart grid proposal is: should Duke replace its current smart grid system with a new system at a cost of $143 million to customers? It is impossible to answer this question without detailed information about the </w:t>
      </w:r>
      <w:r w:rsidR="005E011E">
        <w:rPr>
          <w:rFonts w:cs="Times New Roman"/>
          <w:szCs w:val="24"/>
        </w:rPr>
        <w:t xml:space="preserve">state of the </w:t>
      </w:r>
      <w:r>
        <w:rPr>
          <w:rFonts w:cs="Times New Roman"/>
          <w:szCs w:val="24"/>
        </w:rPr>
        <w:t xml:space="preserve">current system. </w:t>
      </w:r>
    </w:p>
    <w:p w:rsidR="003C44C6" w:rsidP="00F33D8D">
      <w:pPr>
        <w:spacing w:after="0" w:line="480" w:lineRule="auto"/>
        <w:ind w:firstLine="720"/>
        <w:rPr>
          <w:rFonts w:cs="Times New Roman"/>
          <w:szCs w:val="24"/>
        </w:rPr>
      </w:pPr>
      <w:r>
        <w:rPr>
          <w:rFonts w:cs="Times New Roman"/>
          <w:szCs w:val="24"/>
        </w:rPr>
        <w:t xml:space="preserve">Neither OCC nor the PUCO can determine whether </w:t>
      </w:r>
      <w:r w:rsidR="00496537">
        <w:rPr>
          <w:rFonts w:cs="Times New Roman"/>
          <w:szCs w:val="24"/>
        </w:rPr>
        <w:t xml:space="preserve">it is prudent for </w:t>
      </w:r>
      <w:r>
        <w:rPr>
          <w:rFonts w:cs="Times New Roman"/>
          <w:szCs w:val="24"/>
        </w:rPr>
        <w:t xml:space="preserve">Duke </w:t>
      </w:r>
      <w:r w:rsidR="00496537">
        <w:rPr>
          <w:rFonts w:cs="Times New Roman"/>
          <w:szCs w:val="24"/>
        </w:rPr>
        <w:t xml:space="preserve">to </w:t>
      </w:r>
      <w:r>
        <w:rPr>
          <w:rFonts w:cs="Times New Roman"/>
          <w:szCs w:val="24"/>
        </w:rPr>
        <w:t>replace its current smart grid infrastructure with new infrastructure unless they can meaningfully compare and contrast the costs and capabilities of both the old and new systems. This is what OCC is aiming to do through discovery</w:t>
      </w:r>
      <w:r w:rsidR="00496537">
        <w:rPr>
          <w:rFonts w:cs="Times New Roman"/>
          <w:szCs w:val="24"/>
        </w:rPr>
        <w:t>.</w:t>
      </w:r>
      <w:r>
        <w:rPr>
          <w:rFonts w:cs="Times New Roman"/>
          <w:szCs w:val="24"/>
        </w:rPr>
        <w:t xml:space="preserve"> And in fact, when OCC attempted to address this issue in another case, Duke argued that OCC should be prohibited from doing so because the issue is being address here in the rate case, and the Attorney Examiner in that case agreed.</w:t>
      </w:r>
      <w:r>
        <w:rPr>
          <w:rStyle w:val="FootnoteReference"/>
          <w:rFonts w:cs="Times New Roman"/>
          <w:szCs w:val="24"/>
        </w:rPr>
        <w:footnoteReference w:id="21"/>
      </w:r>
    </w:p>
    <w:p w:rsidR="00F91FAF" w:rsidRPr="003148DA" w:rsidP="00F33D8D">
      <w:pPr>
        <w:spacing w:after="0" w:line="480" w:lineRule="auto"/>
        <w:ind w:firstLine="720"/>
        <w:rPr>
          <w:rFonts w:cs="Times New Roman"/>
          <w:i/>
          <w:szCs w:val="24"/>
          <w:u w:val="single"/>
        </w:rPr>
      </w:pPr>
      <w:r>
        <w:rPr>
          <w:rFonts w:cs="Times New Roman"/>
          <w:szCs w:val="24"/>
        </w:rPr>
        <w:t>Duke is impeding OCC</w:t>
      </w:r>
      <w:r w:rsidR="00204BF5">
        <w:rPr>
          <w:rFonts w:cs="Times New Roman"/>
          <w:szCs w:val="24"/>
        </w:rPr>
        <w:t>'</w:t>
      </w:r>
      <w:r>
        <w:rPr>
          <w:rFonts w:cs="Times New Roman"/>
          <w:szCs w:val="24"/>
        </w:rPr>
        <w:t>s investigation by repeatedly contending that information related to Duke</w:t>
      </w:r>
      <w:r w:rsidR="00204BF5">
        <w:rPr>
          <w:rFonts w:cs="Times New Roman"/>
          <w:szCs w:val="24"/>
        </w:rPr>
        <w:t>'</w:t>
      </w:r>
      <w:r>
        <w:rPr>
          <w:rFonts w:cs="Times New Roman"/>
          <w:szCs w:val="24"/>
        </w:rPr>
        <w:t>s current distribution system is irrelevant. Information about Duke</w:t>
      </w:r>
      <w:r w:rsidR="00204BF5">
        <w:rPr>
          <w:rFonts w:cs="Times New Roman"/>
          <w:szCs w:val="24"/>
        </w:rPr>
        <w:t>'</w:t>
      </w:r>
      <w:r>
        <w:rPr>
          <w:rFonts w:cs="Times New Roman"/>
          <w:szCs w:val="24"/>
        </w:rPr>
        <w:t>s current smart grid system, its costs, and its capabilities is directly related to any evaluation of Duke</w:t>
      </w:r>
      <w:r w:rsidR="00204BF5">
        <w:rPr>
          <w:rFonts w:cs="Times New Roman"/>
          <w:szCs w:val="24"/>
        </w:rPr>
        <w:t>'</w:t>
      </w:r>
      <w:r>
        <w:rPr>
          <w:rFonts w:cs="Times New Roman"/>
          <w:szCs w:val="24"/>
        </w:rPr>
        <w:t>s proposal to replace that system. It is therefore relevant and discoverable.</w:t>
      </w:r>
    </w:p>
    <w:p w:rsidR="005E6A51" w:rsidRPr="00EF4B81" w:rsidP="000E56E0">
      <w:pPr>
        <w:pStyle w:val="Heading3"/>
      </w:pPr>
      <w:bookmarkStart w:id="6" w:name="_Toc494102400"/>
      <w:r>
        <w:t>2</w:t>
      </w:r>
      <w:r w:rsidR="00EF4B81">
        <w:t>.</w:t>
      </w:r>
      <w:r w:rsidR="00EF4B81">
        <w:tab/>
      </w:r>
      <w:r w:rsidR="000A5C68">
        <w:t>OCC seeks to understand the savings that customers may have achieved from Duke</w:t>
      </w:r>
      <w:r w:rsidR="00204BF5">
        <w:t>'</w:t>
      </w:r>
      <w:r w:rsidR="000A5C68">
        <w:t>s current smart grid infrastructure, and a previous settlement specifically contemplated that this analysis would take place in this rate case.</w:t>
      </w:r>
      <w:bookmarkEnd w:id="6"/>
    </w:p>
    <w:p w:rsidR="000E56E0" w:rsidP="00F33D8D">
      <w:pPr>
        <w:spacing w:after="0" w:line="480" w:lineRule="auto"/>
        <w:ind w:firstLine="720"/>
        <w:rPr>
          <w:rFonts w:cs="Times New Roman"/>
          <w:szCs w:val="24"/>
        </w:rPr>
      </w:pPr>
      <w:r>
        <w:rPr>
          <w:rFonts w:cs="Times New Roman"/>
          <w:szCs w:val="24"/>
        </w:rPr>
        <w:t>As Duke</w:t>
      </w:r>
      <w:r w:rsidR="00204BF5">
        <w:rPr>
          <w:rFonts w:cs="Times New Roman"/>
          <w:szCs w:val="24"/>
        </w:rPr>
        <w:t>'</w:t>
      </w:r>
      <w:r>
        <w:rPr>
          <w:rFonts w:cs="Times New Roman"/>
          <w:szCs w:val="24"/>
        </w:rPr>
        <w:t xml:space="preserve">s witnesses </w:t>
      </w:r>
      <w:r w:rsidR="00260A6C">
        <w:rPr>
          <w:rFonts w:cs="Times New Roman"/>
          <w:szCs w:val="24"/>
        </w:rPr>
        <w:t>acknowledge</w:t>
      </w:r>
      <w:r>
        <w:rPr>
          <w:rFonts w:cs="Times New Roman"/>
          <w:szCs w:val="24"/>
        </w:rPr>
        <w:t>, Duke filed this rate case primarily because it was required to under the terms of an approved settlement in a recent rider case (Case No. 10-2326-GE-RDR).</w:t>
      </w:r>
      <w:r>
        <w:rPr>
          <w:rStyle w:val="FootnoteReference"/>
          <w:rFonts w:cs="Times New Roman"/>
          <w:szCs w:val="24"/>
        </w:rPr>
        <w:footnoteReference w:id="22"/>
      </w:r>
      <w:r>
        <w:rPr>
          <w:rFonts w:cs="Times New Roman"/>
          <w:szCs w:val="24"/>
        </w:rPr>
        <w:t xml:space="preserve"> </w:t>
      </w:r>
      <w:r w:rsidR="00260A6C">
        <w:rPr>
          <w:rFonts w:cs="Times New Roman"/>
          <w:szCs w:val="24"/>
        </w:rPr>
        <w:t xml:space="preserve">In that case, Duke and other parties, including OCC, signed a </w:t>
      </w:r>
    </w:p>
    <w:p w:rsidR="000E56E0">
      <w:pPr>
        <w:rPr>
          <w:rFonts w:cs="Times New Roman"/>
          <w:szCs w:val="24"/>
        </w:rPr>
      </w:pPr>
      <w:r>
        <w:rPr>
          <w:rFonts w:cs="Times New Roman"/>
          <w:szCs w:val="24"/>
        </w:rPr>
        <w:br w:type="page"/>
      </w:r>
    </w:p>
    <w:p w:rsidR="00496537" w:rsidP="000E56E0">
      <w:pPr>
        <w:spacing w:after="0" w:line="480" w:lineRule="auto"/>
        <w:rPr>
          <w:rFonts w:cs="Times New Roman"/>
          <w:szCs w:val="24"/>
        </w:rPr>
      </w:pPr>
      <w:r>
        <w:rPr>
          <w:rFonts w:cs="Times New Roman"/>
          <w:szCs w:val="24"/>
        </w:rPr>
        <w:t>settlement addressing certain issues related to Duke</w:t>
      </w:r>
      <w:r w:rsidR="00204BF5">
        <w:rPr>
          <w:rFonts w:cs="Times New Roman"/>
          <w:szCs w:val="24"/>
        </w:rPr>
        <w:t>'</w:t>
      </w:r>
      <w:r>
        <w:rPr>
          <w:rFonts w:cs="Times New Roman"/>
          <w:szCs w:val="24"/>
        </w:rPr>
        <w:t>s smart grid deployment.</w:t>
      </w:r>
      <w:r>
        <w:rPr>
          <w:rStyle w:val="FootnoteReference"/>
          <w:rFonts w:cs="Times New Roman"/>
          <w:szCs w:val="24"/>
        </w:rPr>
        <w:footnoteReference w:id="23"/>
      </w:r>
      <w:r>
        <w:rPr>
          <w:rFonts w:cs="Times New Roman"/>
          <w:szCs w:val="24"/>
        </w:rPr>
        <w:t xml:space="preserve"> </w:t>
      </w:r>
      <w:r>
        <w:rPr>
          <w:rFonts w:cs="Times New Roman"/>
          <w:szCs w:val="24"/>
        </w:rPr>
        <w:t xml:space="preserve">The PUCO approved that </w:t>
      </w:r>
      <w:r w:rsidR="00204BF5">
        <w:rPr>
          <w:rFonts w:cs="Times New Roman"/>
          <w:szCs w:val="24"/>
        </w:rPr>
        <w:t>s</w:t>
      </w:r>
      <w:r>
        <w:rPr>
          <w:rFonts w:cs="Times New Roman"/>
          <w:szCs w:val="24"/>
        </w:rPr>
        <w:t>ettlement.</w:t>
      </w:r>
      <w:r>
        <w:rPr>
          <w:rStyle w:val="FootnoteReference"/>
          <w:rFonts w:cs="Times New Roman"/>
          <w:szCs w:val="24"/>
        </w:rPr>
        <w:footnoteReference w:id="24"/>
      </w:r>
    </w:p>
    <w:p w:rsidR="00260A6C" w:rsidP="00F33D8D">
      <w:pPr>
        <w:spacing w:after="0" w:line="480" w:lineRule="auto"/>
        <w:ind w:firstLine="720"/>
        <w:rPr>
          <w:rFonts w:cs="Times New Roman"/>
          <w:szCs w:val="24"/>
        </w:rPr>
      </w:pPr>
      <w:r>
        <w:rPr>
          <w:rFonts w:cs="Times New Roman"/>
          <w:szCs w:val="24"/>
        </w:rPr>
        <w:t xml:space="preserve">Under the </w:t>
      </w:r>
      <w:r w:rsidR="00810FC2">
        <w:rPr>
          <w:rFonts w:cs="Times New Roman"/>
          <w:szCs w:val="24"/>
        </w:rPr>
        <w:t>2012 S</w:t>
      </w:r>
      <w:r>
        <w:rPr>
          <w:rFonts w:cs="Times New Roman"/>
          <w:szCs w:val="24"/>
        </w:rPr>
        <w:t>ettlement, Duke would recover smart grid costs through Rider DR-IM and customers would receive a reduction in the revenue requirement to reflect operational savings from the smart grid deployment.</w:t>
      </w:r>
      <w:r>
        <w:rPr>
          <w:rStyle w:val="FootnoteReference"/>
          <w:rFonts w:cs="Times New Roman"/>
          <w:szCs w:val="24"/>
        </w:rPr>
        <w:footnoteReference w:id="25"/>
      </w:r>
      <w:r w:rsidR="00FB4F57">
        <w:rPr>
          <w:rFonts w:cs="Times New Roman"/>
          <w:szCs w:val="24"/>
        </w:rPr>
        <w:t xml:space="preserve"> Duke agreed that after full deployment of the new smart grid infrastructure, it would file a base rate case, and </w:t>
      </w:r>
      <w:r w:rsidR="00204BF5">
        <w:rPr>
          <w:rFonts w:cs="Times New Roman"/>
          <w:szCs w:val="24"/>
        </w:rPr>
        <w:t>"</w:t>
      </w:r>
      <w:r w:rsidR="00FB4F57">
        <w:rPr>
          <w:rFonts w:cs="Times New Roman"/>
          <w:szCs w:val="24"/>
        </w:rPr>
        <w:t>the revenue requirement requested in that case will reflect actual level of benefits attributable to SmartGrid achieved to date.</w:t>
      </w:r>
      <w:r w:rsidR="00204BF5">
        <w:rPr>
          <w:rFonts w:cs="Times New Roman"/>
          <w:szCs w:val="24"/>
        </w:rPr>
        <w:t>"</w:t>
      </w:r>
      <w:r>
        <w:rPr>
          <w:rStyle w:val="FootnoteReference"/>
          <w:rFonts w:cs="Times New Roman"/>
          <w:szCs w:val="24"/>
        </w:rPr>
        <w:footnoteReference w:id="26"/>
      </w:r>
      <w:r w:rsidR="00FB4F57">
        <w:rPr>
          <w:rFonts w:cs="Times New Roman"/>
          <w:szCs w:val="24"/>
        </w:rPr>
        <w:t xml:space="preserve"> This is the base rate case, and OCC is attempting, through discovery, to determine the </w:t>
      </w:r>
      <w:r w:rsidR="00204BF5">
        <w:rPr>
          <w:rFonts w:cs="Times New Roman"/>
          <w:szCs w:val="24"/>
        </w:rPr>
        <w:t>"</w:t>
      </w:r>
      <w:r w:rsidR="00FB4F57">
        <w:rPr>
          <w:rFonts w:cs="Times New Roman"/>
          <w:szCs w:val="24"/>
        </w:rPr>
        <w:t>actual level of benefits attributable to SmartGrid achieved to date.</w:t>
      </w:r>
      <w:r w:rsidR="00204BF5">
        <w:rPr>
          <w:rFonts w:cs="Times New Roman"/>
          <w:szCs w:val="24"/>
        </w:rPr>
        <w:t>"</w:t>
      </w:r>
    </w:p>
    <w:p w:rsidR="00FB4F57" w:rsidP="00F33D8D">
      <w:pPr>
        <w:spacing w:after="0" w:line="480" w:lineRule="auto"/>
        <w:ind w:firstLine="720"/>
        <w:rPr>
          <w:rFonts w:cs="Times New Roman"/>
          <w:szCs w:val="24"/>
        </w:rPr>
      </w:pPr>
      <w:r>
        <w:rPr>
          <w:rFonts w:cs="Times New Roman"/>
          <w:szCs w:val="24"/>
        </w:rPr>
        <w:t xml:space="preserve">But despite the plain language of the 2012 Settlement, Duke now claims that information about its current smart grid system and the benefits it may or may not provide to customers is irrelevant and not subject to discovery. </w:t>
      </w:r>
      <w:r w:rsidR="006A7A47">
        <w:rPr>
          <w:rFonts w:cs="Times New Roman"/>
          <w:szCs w:val="24"/>
        </w:rPr>
        <w:t xml:space="preserve">Duke is wrong. </w:t>
      </w:r>
      <w:r>
        <w:rPr>
          <w:rFonts w:cs="Times New Roman"/>
          <w:szCs w:val="24"/>
        </w:rPr>
        <w:t xml:space="preserve">The PUCO should enforce the </w:t>
      </w:r>
      <w:r w:rsidR="00204BF5">
        <w:rPr>
          <w:rFonts w:cs="Times New Roman"/>
          <w:szCs w:val="24"/>
        </w:rPr>
        <w:t xml:space="preserve">approved </w:t>
      </w:r>
      <w:r>
        <w:rPr>
          <w:rFonts w:cs="Times New Roman"/>
          <w:szCs w:val="24"/>
        </w:rPr>
        <w:t>2012 Settlement and should require Duke to respond to OCC</w:t>
      </w:r>
      <w:r w:rsidR="00204BF5">
        <w:rPr>
          <w:rFonts w:cs="Times New Roman"/>
          <w:szCs w:val="24"/>
        </w:rPr>
        <w:t>'</w:t>
      </w:r>
      <w:r>
        <w:rPr>
          <w:rFonts w:cs="Times New Roman"/>
          <w:szCs w:val="24"/>
        </w:rPr>
        <w:t>s discovery requests regarding Duke</w:t>
      </w:r>
      <w:r w:rsidR="00204BF5">
        <w:rPr>
          <w:rFonts w:cs="Times New Roman"/>
          <w:szCs w:val="24"/>
        </w:rPr>
        <w:t>'</w:t>
      </w:r>
      <w:r>
        <w:rPr>
          <w:rFonts w:cs="Times New Roman"/>
          <w:szCs w:val="24"/>
        </w:rPr>
        <w:t>s current smart grid infrastructure.</w:t>
      </w:r>
    </w:p>
    <w:p w:rsidR="007D1913" w:rsidRPr="00F13842" w:rsidP="000E56E0">
      <w:pPr>
        <w:pStyle w:val="Heading2"/>
      </w:pPr>
      <w:bookmarkStart w:id="7" w:name="_Toc494102401"/>
      <w:r>
        <w:t>C</w:t>
      </w:r>
      <w:r w:rsidR="00F13842">
        <w:t>.</w:t>
      </w:r>
      <w:r w:rsidR="00F13842">
        <w:tab/>
        <w:t>Duke</w:t>
      </w:r>
      <w:r w:rsidR="00204BF5">
        <w:t>'</w:t>
      </w:r>
      <w:r w:rsidR="00F13842">
        <w:t>s reliance on discovery rules regarding business records is misplaced.</w:t>
      </w:r>
      <w:bookmarkEnd w:id="7"/>
    </w:p>
    <w:p w:rsidR="007D1913" w:rsidP="00F33D8D">
      <w:pPr>
        <w:spacing w:after="0" w:line="480" w:lineRule="auto"/>
        <w:ind w:firstLine="720"/>
        <w:rPr>
          <w:rFonts w:cs="Times New Roman"/>
          <w:szCs w:val="24"/>
        </w:rPr>
      </w:pPr>
      <w:r>
        <w:rPr>
          <w:rFonts w:cs="Times New Roman"/>
          <w:szCs w:val="24"/>
        </w:rPr>
        <w:t>Duke suggests that it need not respond to OCC</w:t>
      </w:r>
      <w:r w:rsidR="00204BF5">
        <w:rPr>
          <w:rFonts w:cs="Times New Roman"/>
          <w:szCs w:val="24"/>
        </w:rPr>
        <w:t>'</w:t>
      </w:r>
      <w:r>
        <w:rPr>
          <w:rFonts w:cs="Times New Roman"/>
          <w:szCs w:val="24"/>
        </w:rPr>
        <w:t xml:space="preserve">s discovery requests because OCC </w:t>
      </w:r>
      <w:r w:rsidR="00204BF5">
        <w:rPr>
          <w:rFonts w:cs="Times New Roman"/>
          <w:szCs w:val="24"/>
        </w:rPr>
        <w:t>"</w:t>
      </w:r>
      <w:r>
        <w:rPr>
          <w:rFonts w:cs="Times New Roman"/>
          <w:szCs w:val="24"/>
        </w:rPr>
        <w:t>has the same access to the same information that [Duke] has.</w:t>
      </w:r>
      <w:r w:rsidR="00204BF5">
        <w:rPr>
          <w:rFonts w:cs="Times New Roman"/>
          <w:szCs w:val="24"/>
        </w:rPr>
        <w:t>"</w:t>
      </w:r>
      <w:r>
        <w:rPr>
          <w:rStyle w:val="FootnoteReference"/>
          <w:rFonts w:cs="Times New Roman"/>
          <w:szCs w:val="24"/>
        </w:rPr>
        <w:footnoteReference w:id="27"/>
      </w:r>
      <w:r>
        <w:rPr>
          <w:rFonts w:cs="Times New Roman"/>
          <w:szCs w:val="24"/>
        </w:rPr>
        <w:t xml:space="preserve"> This is false. In </w:t>
      </w:r>
      <w:r w:rsidR="00A7295D">
        <w:rPr>
          <w:rFonts w:cs="Times New Roman"/>
          <w:szCs w:val="24"/>
        </w:rPr>
        <w:t>several</w:t>
      </w:r>
      <w:r>
        <w:rPr>
          <w:rFonts w:cs="Times New Roman"/>
          <w:szCs w:val="24"/>
        </w:rPr>
        <w:t xml:space="preserve"> instances, Duke responded to OCC</w:t>
      </w:r>
      <w:r w:rsidR="00204BF5">
        <w:rPr>
          <w:rFonts w:cs="Times New Roman"/>
          <w:szCs w:val="24"/>
        </w:rPr>
        <w:t>'</w:t>
      </w:r>
      <w:r>
        <w:rPr>
          <w:rFonts w:cs="Times New Roman"/>
          <w:szCs w:val="24"/>
        </w:rPr>
        <w:t>s discovery requests with citations to public PUCO documents or other discovery requests, and upon inspection by OCC, it was determined that these documents were nonresponsive.</w:t>
      </w:r>
      <w:r>
        <w:rPr>
          <w:rStyle w:val="FootnoteReference"/>
          <w:rFonts w:cs="Times New Roman"/>
          <w:szCs w:val="24"/>
        </w:rPr>
        <w:footnoteReference w:id="28"/>
      </w:r>
    </w:p>
    <w:p w:rsidR="001E1989" w:rsidP="00F33D8D">
      <w:pPr>
        <w:spacing w:after="0" w:line="480" w:lineRule="auto"/>
        <w:ind w:firstLine="720"/>
        <w:rPr>
          <w:rFonts w:cs="Times New Roman"/>
          <w:szCs w:val="24"/>
        </w:rPr>
      </w:pPr>
      <w:r>
        <w:rPr>
          <w:rFonts w:cs="Times New Roman"/>
          <w:szCs w:val="24"/>
        </w:rPr>
        <w:t>Moreover, in support of this contention, Duke cites Ohio Administrative Code 4901-1-19(D), which does not apply. Rule 4901-1-19(D) provides that a party responding to a discovery request may, in lieu of providing a response, offer the asking party an opportunity to examine the responding party</w:t>
      </w:r>
      <w:r w:rsidR="00204BF5">
        <w:rPr>
          <w:rFonts w:cs="Times New Roman"/>
          <w:szCs w:val="24"/>
        </w:rPr>
        <w:t>'</w:t>
      </w:r>
      <w:r>
        <w:rPr>
          <w:rFonts w:cs="Times New Roman"/>
          <w:szCs w:val="24"/>
        </w:rPr>
        <w:t>s business records. But Duke cannot rely on this rule for at least two reasons.</w:t>
      </w:r>
    </w:p>
    <w:p w:rsidR="001E1989" w:rsidP="00F33D8D">
      <w:pPr>
        <w:spacing w:after="0" w:line="480" w:lineRule="auto"/>
        <w:ind w:firstLine="720"/>
        <w:rPr>
          <w:rFonts w:cs="Times New Roman"/>
          <w:szCs w:val="24"/>
        </w:rPr>
      </w:pPr>
      <w:r>
        <w:rPr>
          <w:rFonts w:cs="Times New Roman"/>
          <w:szCs w:val="24"/>
        </w:rPr>
        <w:t>First, by its plain language, Rule 4901-1-19(D) only applies to interrogatories.</w:t>
      </w:r>
      <w:r>
        <w:rPr>
          <w:rStyle w:val="FootnoteReference"/>
          <w:rFonts w:cs="Times New Roman"/>
          <w:szCs w:val="24"/>
        </w:rPr>
        <w:footnoteReference w:id="29"/>
      </w:r>
      <w:r>
        <w:rPr>
          <w:rFonts w:cs="Times New Roman"/>
          <w:szCs w:val="24"/>
        </w:rPr>
        <w:t xml:space="preserve"> This rule does not apply to requests for production of documents, and many of the OCC discovery requests that Duke failed to respond to are such requests.</w:t>
      </w:r>
      <w:r w:rsidR="004F6104">
        <w:rPr>
          <w:rFonts w:cs="Times New Roman"/>
          <w:szCs w:val="24"/>
        </w:rPr>
        <w:t xml:space="preserve"> The corresponding rule regarding production of documents (4901-1-20) does not include a business records provision.</w:t>
      </w:r>
      <w:r>
        <w:rPr>
          <w:rStyle w:val="FootnoteReference"/>
          <w:rFonts w:cs="Times New Roman"/>
          <w:szCs w:val="24"/>
        </w:rPr>
        <w:footnoteReference w:id="30"/>
      </w:r>
    </w:p>
    <w:p w:rsidR="001E1989" w:rsidP="00F33D8D">
      <w:pPr>
        <w:spacing w:after="0" w:line="480" w:lineRule="auto"/>
        <w:ind w:firstLine="720"/>
        <w:rPr>
          <w:rFonts w:cs="Times New Roman"/>
          <w:szCs w:val="24"/>
        </w:rPr>
      </w:pPr>
      <w:r>
        <w:rPr>
          <w:rFonts w:cs="Times New Roman"/>
          <w:szCs w:val="24"/>
        </w:rPr>
        <w:t xml:space="preserve">Second, and again by its plain language, Rule 4901-1-19(D) only applies when the party responding to the interrogatory (Duke) contends that the information in question can be found in </w:t>
      </w:r>
      <w:r w:rsidR="00964774">
        <w:rPr>
          <w:rFonts w:cs="Times New Roman"/>
          <w:szCs w:val="24"/>
        </w:rPr>
        <w:t>its</w:t>
      </w:r>
      <w:r>
        <w:rPr>
          <w:rFonts w:cs="Times New Roman"/>
          <w:szCs w:val="24"/>
        </w:rPr>
        <w:t xml:space="preserve"> business records.</w:t>
      </w:r>
      <w:r>
        <w:rPr>
          <w:rStyle w:val="FootnoteReference"/>
          <w:rFonts w:cs="Times New Roman"/>
          <w:szCs w:val="24"/>
        </w:rPr>
        <w:footnoteReference w:id="31"/>
      </w:r>
      <w:r w:rsidR="00B5501D">
        <w:rPr>
          <w:rFonts w:cs="Times New Roman"/>
          <w:szCs w:val="24"/>
        </w:rPr>
        <w:t xml:space="preserve"> But in its Memo Contra, Duke states that OCC has equal access to publicly-available documents in PUCO dockets and information provided in discovery in past cases—not documents that are found in Duke</w:t>
      </w:r>
      <w:r w:rsidR="00204BF5">
        <w:rPr>
          <w:rFonts w:cs="Times New Roman"/>
          <w:szCs w:val="24"/>
        </w:rPr>
        <w:t>'</w:t>
      </w:r>
      <w:r w:rsidR="00B5501D">
        <w:rPr>
          <w:rFonts w:cs="Times New Roman"/>
          <w:szCs w:val="24"/>
        </w:rPr>
        <w:t>s business records.</w:t>
      </w:r>
      <w:r>
        <w:rPr>
          <w:rStyle w:val="FootnoteReference"/>
          <w:rFonts w:cs="Times New Roman"/>
          <w:szCs w:val="24"/>
        </w:rPr>
        <w:footnoteReference w:id="32"/>
      </w:r>
    </w:p>
    <w:p w:rsidR="00DB29DA" w:rsidP="00DB29DA">
      <w:pPr>
        <w:spacing w:after="0" w:line="480" w:lineRule="auto"/>
        <w:ind w:firstLine="720"/>
        <w:rPr>
          <w:rFonts w:cs="Times New Roman"/>
          <w:szCs w:val="24"/>
        </w:rPr>
      </w:pPr>
      <w:r>
        <w:rPr>
          <w:rFonts w:cs="Times New Roman"/>
          <w:szCs w:val="24"/>
        </w:rPr>
        <w:t>The applicable rule</w:t>
      </w:r>
      <w:r w:rsidR="004F6104">
        <w:rPr>
          <w:rFonts w:cs="Times New Roman"/>
          <w:szCs w:val="24"/>
        </w:rPr>
        <w:t>s</w:t>
      </w:r>
      <w:r>
        <w:rPr>
          <w:rFonts w:cs="Times New Roman"/>
          <w:szCs w:val="24"/>
        </w:rPr>
        <w:t xml:space="preserve"> for publicly-available documents and previously-produced discovery responses </w:t>
      </w:r>
      <w:r w:rsidR="004F6104">
        <w:rPr>
          <w:rFonts w:cs="Times New Roman"/>
          <w:szCs w:val="24"/>
        </w:rPr>
        <w:t>are</w:t>
      </w:r>
      <w:r>
        <w:rPr>
          <w:rFonts w:cs="Times New Roman"/>
          <w:szCs w:val="24"/>
        </w:rPr>
        <w:t xml:space="preserve"> Ohio Administrative Code 4901-1-19(C)</w:t>
      </w:r>
      <w:r w:rsidR="004F6104">
        <w:rPr>
          <w:rFonts w:cs="Times New Roman"/>
          <w:szCs w:val="24"/>
        </w:rPr>
        <w:t xml:space="preserve"> and 4901-1-20(D)</w:t>
      </w:r>
      <w:r>
        <w:rPr>
          <w:rFonts w:cs="Times New Roman"/>
          <w:szCs w:val="24"/>
        </w:rPr>
        <w:t>. As OCC explained in its Motion to Compel,</w:t>
      </w:r>
      <w:r>
        <w:rPr>
          <w:rStyle w:val="FootnoteReference"/>
          <w:rFonts w:cs="Times New Roman"/>
          <w:szCs w:val="24"/>
        </w:rPr>
        <w:footnoteReference w:id="33"/>
      </w:r>
      <w:r>
        <w:rPr>
          <w:rFonts w:cs="Times New Roman"/>
          <w:szCs w:val="24"/>
        </w:rPr>
        <w:t xml:space="preserve"> if Duke contends that responsive information can be found in a publicly-filed document, Duke must </w:t>
      </w:r>
      <w:r w:rsidR="00204BF5">
        <w:rPr>
          <w:rFonts w:cs="Times New Roman"/>
          <w:szCs w:val="24"/>
        </w:rPr>
        <w:t>"</w:t>
      </w:r>
      <w:r>
        <w:rPr>
          <w:rFonts w:cs="Times New Roman"/>
          <w:szCs w:val="24"/>
        </w:rPr>
        <w:t>specify the title of the document, the location of the document ..., and the page or pages from which the answer may be derived or ascertained.</w:t>
      </w:r>
      <w:r w:rsidR="00204BF5">
        <w:rPr>
          <w:rFonts w:cs="Times New Roman"/>
          <w:szCs w:val="24"/>
        </w:rPr>
        <w:t>"</w:t>
      </w:r>
      <w:r>
        <w:rPr>
          <w:rStyle w:val="FootnoteReference"/>
          <w:rFonts w:cs="Times New Roman"/>
          <w:szCs w:val="24"/>
        </w:rPr>
        <w:footnoteReference w:id="34"/>
      </w:r>
      <w:r>
        <w:rPr>
          <w:rFonts w:cs="Times New Roman"/>
          <w:szCs w:val="24"/>
        </w:rPr>
        <w:t xml:space="preserve"> Duke has either (i) completely failed to do so</w:t>
      </w:r>
      <w:r>
        <w:rPr>
          <w:rStyle w:val="FootnoteReference"/>
          <w:rFonts w:cs="Times New Roman"/>
          <w:szCs w:val="24"/>
        </w:rPr>
        <w:footnoteReference w:id="35"/>
      </w:r>
      <w:r>
        <w:rPr>
          <w:rFonts w:cs="Times New Roman"/>
          <w:szCs w:val="24"/>
        </w:rPr>
        <w:t xml:space="preserve"> or (ii) pointed OCC to publicly-filed documents that do not respond to OCC</w:t>
      </w:r>
      <w:r w:rsidR="00204BF5">
        <w:rPr>
          <w:rFonts w:cs="Times New Roman"/>
          <w:szCs w:val="24"/>
        </w:rPr>
        <w:t>'</w:t>
      </w:r>
      <w:r>
        <w:rPr>
          <w:rFonts w:cs="Times New Roman"/>
          <w:szCs w:val="24"/>
        </w:rPr>
        <w:t>s discovery requests.</w:t>
      </w:r>
      <w:r>
        <w:rPr>
          <w:rStyle w:val="FootnoteReference"/>
          <w:rFonts w:cs="Times New Roman"/>
          <w:szCs w:val="24"/>
        </w:rPr>
        <w:footnoteReference w:id="36"/>
      </w:r>
    </w:p>
    <w:p w:rsidR="00B5501D" w:rsidRPr="001E1989" w:rsidP="00F33D8D">
      <w:pPr>
        <w:spacing w:after="0" w:line="480" w:lineRule="auto"/>
        <w:ind w:firstLine="720"/>
        <w:rPr>
          <w:rFonts w:cs="Times New Roman"/>
          <w:szCs w:val="24"/>
        </w:rPr>
      </w:pPr>
      <w:r>
        <w:rPr>
          <w:rFonts w:cs="Times New Roman"/>
          <w:szCs w:val="24"/>
        </w:rPr>
        <w:t xml:space="preserve">Likewise, </w:t>
      </w:r>
      <w:r w:rsidR="00810FC2">
        <w:rPr>
          <w:rFonts w:cs="Times New Roman"/>
          <w:szCs w:val="24"/>
        </w:rPr>
        <w:t>if</w:t>
      </w:r>
      <w:r>
        <w:rPr>
          <w:rFonts w:cs="Times New Roman"/>
          <w:szCs w:val="24"/>
        </w:rPr>
        <w:t xml:space="preserve"> Duke wants to direct OCC to discovery responses provided in other cases, </w:t>
      </w:r>
      <w:r w:rsidR="00810FC2">
        <w:rPr>
          <w:rFonts w:cs="Times New Roman"/>
          <w:szCs w:val="24"/>
        </w:rPr>
        <w:t>it</w:t>
      </w:r>
      <w:r>
        <w:rPr>
          <w:rFonts w:cs="Times New Roman"/>
          <w:szCs w:val="24"/>
        </w:rPr>
        <w:t xml:space="preserve"> can only do so if those responses were provided in the past 12 months.</w:t>
      </w:r>
      <w:r>
        <w:rPr>
          <w:rStyle w:val="FootnoteReference"/>
          <w:rFonts w:cs="Times New Roman"/>
          <w:szCs w:val="24"/>
        </w:rPr>
        <w:footnoteReference w:id="37"/>
      </w:r>
      <w:r>
        <w:rPr>
          <w:rFonts w:cs="Times New Roman"/>
          <w:szCs w:val="24"/>
        </w:rPr>
        <w:t xml:space="preserve"> If responses to OCC discovery requests in this case can be found in discovery responses from another case that are over a year old, Rule</w:t>
      </w:r>
      <w:r w:rsidR="00204BF5">
        <w:rPr>
          <w:rFonts w:cs="Times New Roman"/>
          <w:szCs w:val="24"/>
        </w:rPr>
        <w:t>s</w:t>
      </w:r>
      <w:r>
        <w:rPr>
          <w:rFonts w:cs="Times New Roman"/>
          <w:szCs w:val="24"/>
        </w:rPr>
        <w:t xml:space="preserve"> 4901-1-19(C) </w:t>
      </w:r>
      <w:r w:rsidR="00204BF5">
        <w:rPr>
          <w:rFonts w:cs="Times New Roman"/>
          <w:szCs w:val="24"/>
        </w:rPr>
        <w:t xml:space="preserve">and 4901-1-20(D) </w:t>
      </w:r>
      <w:r>
        <w:rPr>
          <w:rFonts w:cs="Times New Roman"/>
          <w:szCs w:val="24"/>
        </w:rPr>
        <w:t xml:space="preserve">require Duke to reproduce them now in this case. </w:t>
      </w:r>
      <w:r w:rsidR="00B764E0">
        <w:rPr>
          <w:rFonts w:cs="Times New Roman"/>
          <w:szCs w:val="24"/>
        </w:rPr>
        <w:t>Duke has not done so, and instead has told OCC, effectively, look at every piece of discovery you</w:t>
      </w:r>
      <w:r w:rsidR="00204BF5">
        <w:rPr>
          <w:rFonts w:cs="Times New Roman"/>
          <w:szCs w:val="24"/>
        </w:rPr>
        <w:t>'</w:t>
      </w:r>
      <w:r w:rsidR="00B764E0">
        <w:rPr>
          <w:rFonts w:cs="Times New Roman"/>
          <w:szCs w:val="24"/>
        </w:rPr>
        <w:t xml:space="preserve">ve received from Duke in the last </w:t>
      </w:r>
      <w:r w:rsidR="003D2250">
        <w:rPr>
          <w:rFonts w:cs="Times New Roman"/>
          <w:szCs w:val="24"/>
        </w:rPr>
        <w:t xml:space="preserve">nine </w:t>
      </w:r>
      <w:r w:rsidR="00B764E0">
        <w:rPr>
          <w:rFonts w:cs="Times New Roman"/>
          <w:szCs w:val="24"/>
        </w:rPr>
        <w:t xml:space="preserve">years in every case related to smart grid, and you might find it somewhere. This type of response </w:t>
      </w:r>
      <w:r w:rsidR="00204BF5">
        <w:rPr>
          <w:rFonts w:cs="Times New Roman"/>
          <w:szCs w:val="24"/>
        </w:rPr>
        <w:t>is not permitted under</w:t>
      </w:r>
      <w:r w:rsidR="00B764E0">
        <w:rPr>
          <w:rFonts w:cs="Times New Roman"/>
          <w:szCs w:val="24"/>
        </w:rPr>
        <w:t xml:space="preserve"> the PUCO</w:t>
      </w:r>
      <w:r w:rsidR="00204BF5">
        <w:rPr>
          <w:rFonts w:cs="Times New Roman"/>
          <w:szCs w:val="24"/>
        </w:rPr>
        <w:t>'</w:t>
      </w:r>
      <w:r w:rsidR="00B764E0">
        <w:rPr>
          <w:rFonts w:cs="Times New Roman"/>
          <w:szCs w:val="24"/>
        </w:rPr>
        <w:t>s discovery rules.</w:t>
      </w:r>
    </w:p>
    <w:p w:rsidR="000E56E0">
      <w:pPr>
        <w:rPr>
          <w:rFonts w:cs="Times New Roman"/>
          <w:b/>
          <w:szCs w:val="24"/>
        </w:rPr>
      </w:pPr>
      <w:r>
        <w:rPr>
          <w:rFonts w:cs="Times New Roman"/>
          <w:b/>
          <w:szCs w:val="24"/>
        </w:rPr>
        <w:br w:type="page"/>
      </w:r>
    </w:p>
    <w:p w:rsidR="007D1913" w:rsidRPr="00B512C1" w:rsidP="000E56E0">
      <w:pPr>
        <w:pStyle w:val="Heading2"/>
      </w:pPr>
      <w:bookmarkStart w:id="8" w:name="_Toc494102402"/>
      <w:r>
        <w:t>D.</w:t>
      </w:r>
      <w:r>
        <w:tab/>
        <w:t>Duke</w:t>
      </w:r>
      <w:r w:rsidR="00204BF5">
        <w:t>'</w:t>
      </w:r>
      <w:r w:rsidR="006A7A47">
        <w:t>s</w:t>
      </w:r>
      <w:r>
        <w:t xml:space="preserve"> response to OCC INT 2-31</w:t>
      </w:r>
      <w:r w:rsidR="006A7A47">
        <w:t xml:space="preserve"> is incomplete</w:t>
      </w:r>
      <w:r w:rsidR="00B512C1">
        <w:t>.</w:t>
      </w:r>
      <w:bookmarkEnd w:id="8"/>
    </w:p>
    <w:p w:rsidR="00DB29DA" w:rsidP="00DB29DA">
      <w:pPr>
        <w:spacing w:after="0" w:line="480" w:lineRule="auto"/>
        <w:ind w:firstLine="720"/>
        <w:rPr>
          <w:rFonts w:cs="Times New Roman"/>
          <w:b/>
          <w:szCs w:val="24"/>
        </w:rPr>
      </w:pPr>
      <w:r>
        <w:rPr>
          <w:rFonts w:cs="Times New Roman"/>
          <w:szCs w:val="24"/>
        </w:rPr>
        <w:t>Duke states that it has responded in full to OCC INT 2-31.</w:t>
      </w:r>
      <w:r>
        <w:rPr>
          <w:rStyle w:val="FootnoteReference"/>
          <w:rFonts w:cs="Times New Roman"/>
          <w:szCs w:val="24"/>
        </w:rPr>
        <w:footnoteReference w:id="38"/>
      </w:r>
      <w:r>
        <w:rPr>
          <w:rFonts w:cs="Times New Roman"/>
          <w:szCs w:val="24"/>
        </w:rPr>
        <w:t xml:space="preserve"> It has not. In this interrogatory, OCC asks Duke whether Echelon and Itron meters provide billing quality interval data.</w:t>
      </w:r>
      <w:r>
        <w:rPr>
          <w:rStyle w:val="FootnoteReference"/>
          <w:rFonts w:cs="Times New Roman"/>
          <w:szCs w:val="24"/>
        </w:rPr>
        <w:footnoteReference w:id="39"/>
      </w:r>
      <w:r>
        <w:rPr>
          <w:rFonts w:cs="Times New Roman"/>
          <w:szCs w:val="24"/>
        </w:rPr>
        <w:t xml:space="preserve"> Duke responded by citing the testimony of Scott B. Nicholson, which states: </w:t>
      </w:r>
      <w:r w:rsidR="00204BF5">
        <w:rPr>
          <w:rFonts w:cs="Times New Roman"/>
          <w:szCs w:val="24"/>
        </w:rPr>
        <w:t>"</w:t>
      </w:r>
      <w:r>
        <w:rPr>
          <w:rFonts w:cs="Times New Roman"/>
          <w:szCs w:val="24"/>
        </w:rPr>
        <w:t>Each hourly interval indicates whether the data in that interval is of billing quality or not.</w:t>
      </w:r>
      <w:r w:rsidR="00204BF5">
        <w:rPr>
          <w:rFonts w:cs="Times New Roman"/>
          <w:szCs w:val="24"/>
        </w:rPr>
        <w:t>"</w:t>
      </w:r>
      <w:r>
        <w:rPr>
          <w:rStyle w:val="FootnoteReference"/>
          <w:rFonts w:cs="Times New Roman"/>
          <w:szCs w:val="24"/>
        </w:rPr>
        <w:footnoteReference w:id="40"/>
      </w:r>
      <w:r>
        <w:rPr>
          <w:rFonts w:cs="Times New Roman"/>
          <w:szCs w:val="24"/>
        </w:rPr>
        <w:t xml:space="preserve"> OCC wants to know whether the interval data is in fact billing quality. Duke</w:t>
      </w:r>
      <w:r w:rsidR="00204BF5">
        <w:rPr>
          <w:rFonts w:cs="Times New Roman"/>
          <w:szCs w:val="24"/>
        </w:rPr>
        <w:t>'</w:t>
      </w:r>
      <w:r>
        <w:rPr>
          <w:rFonts w:cs="Times New Roman"/>
          <w:szCs w:val="24"/>
        </w:rPr>
        <w:t xml:space="preserve">s response simply tells OCC that the meters are capable of providing that information. </w:t>
      </w:r>
      <w:r w:rsidR="00AC61D2">
        <w:rPr>
          <w:rFonts w:cs="Times New Roman"/>
          <w:szCs w:val="24"/>
        </w:rPr>
        <w:t xml:space="preserve">This response </w:t>
      </w:r>
      <w:r w:rsidR="00372B7C">
        <w:rPr>
          <w:rFonts w:cs="Times New Roman"/>
          <w:szCs w:val="24"/>
        </w:rPr>
        <w:t>is incomplete</w:t>
      </w:r>
      <w:r w:rsidR="00AC61D2">
        <w:rPr>
          <w:rFonts w:cs="Times New Roman"/>
          <w:szCs w:val="24"/>
        </w:rPr>
        <w:t xml:space="preserve"> and therefore constitutes a failure to answer under the PUCO</w:t>
      </w:r>
      <w:r w:rsidR="00204BF5">
        <w:rPr>
          <w:rFonts w:cs="Times New Roman"/>
          <w:szCs w:val="24"/>
        </w:rPr>
        <w:t>'</w:t>
      </w:r>
      <w:r w:rsidR="00AC61D2">
        <w:rPr>
          <w:rFonts w:cs="Times New Roman"/>
          <w:szCs w:val="24"/>
        </w:rPr>
        <w:t>s rules.</w:t>
      </w:r>
      <w:r>
        <w:rPr>
          <w:rStyle w:val="FootnoteReference"/>
          <w:rFonts w:cs="Times New Roman"/>
          <w:szCs w:val="24"/>
        </w:rPr>
        <w:footnoteReference w:id="41"/>
      </w:r>
      <w:r w:rsidR="00AC61D2">
        <w:rPr>
          <w:rFonts w:cs="Times New Roman"/>
          <w:szCs w:val="24"/>
        </w:rPr>
        <w:t xml:space="preserve"> </w:t>
      </w:r>
      <w:r>
        <w:rPr>
          <w:rFonts w:cs="Times New Roman"/>
          <w:szCs w:val="24"/>
        </w:rPr>
        <w:t>The PUCO should order Duke to answer OCC</w:t>
      </w:r>
      <w:r w:rsidR="00204BF5">
        <w:rPr>
          <w:rFonts w:cs="Times New Roman"/>
          <w:szCs w:val="24"/>
        </w:rPr>
        <w:t>'</w:t>
      </w:r>
      <w:r>
        <w:rPr>
          <w:rFonts w:cs="Times New Roman"/>
          <w:szCs w:val="24"/>
        </w:rPr>
        <w:t>s actual interrogatory and explain whether and to what extent Echelon and Itron meters provide billing quality data.</w:t>
      </w:r>
    </w:p>
    <w:p w:rsidR="00941F87" w:rsidP="000E56E0">
      <w:pPr>
        <w:pStyle w:val="Heading2"/>
      </w:pPr>
      <w:bookmarkStart w:id="9" w:name="_Toc494102403"/>
      <w:r>
        <w:t>E.</w:t>
      </w:r>
      <w:r>
        <w:tab/>
        <w:t>Duke</w:t>
      </w:r>
      <w:r w:rsidR="00204BF5">
        <w:t>'</w:t>
      </w:r>
      <w:r w:rsidR="006A7A47">
        <w:t>s</w:t>
      </w:r>
      <w:r>
        <w:t xml:space="preserve"> response to OCC INT 4-103</w:t>
      </w:r>
      <w:r w:rsidR="006A7A47">
        <w:t xml:space="preserve"> is incomplete</w:t>
      </w:r>
      <w:r>
        <w:t>.</w:t>
      </w:r>
      <w:bookmarkEnd w:id="9"/>
    </w:p>
    <w:p w:rsidR="00941F87" w:rsidP="001F2F30">
      <w:pPr>
        <w:spacing w:after="0" w:line="480" w:lineRule="auto"/>
        <w:ind w:firstLine="720"/>
        <w:rPr>
          <w:rFonts w:cs="Times New Roman"/>
          <w:szCs w:val="24"/>
        </w:rPr>
      </w:pPr>
      <w:r>
        <w:rPr>
          <w:rFonts w:cs="Times New Roman"/>
          <w:szCs w:val="24"/>
        </w:rPr>
        <w:t>Duke states that it has responded in full to OCC INT 4-103.</w:t>
      </w:r>
      <w:r>
        <w:rPr>
          <w:rStyle w:val="FootnoteReference"/>
          <w:rFonts w:cs="Times New Roman"/>
          <w:szCs w:val="24"/>
        </w:rPr>
        <w:footnoteReference w:id="42"/>
      </w:r>
      <w:r>
        <w:rPr>
          <w:rFonts w:cs="Times New Roman"/>
          <w:szCs w:val="24"/>
        </w:rPr>
        <w:t xml:space="preserve"> It has not. In this interrogatory, OCC asks Duke whether it has implemented any self-optimizing grid pilot programs.</w:t>
      </w:r>
      <w:r>
        <w:rPr>
          <w:rStyle w:val="FootnoteReference"/>
          <w:rFonts w:cs="Times New Roman"/>
          <w:szCs w:val="24"/>
        </w:rPr>
        <w:footnoteReference w:id="43"/>
      </w:r>
      <w:r>
        <w:rPr>
          <w:rFonts w:cs="Times New Roman"/>
          <w:szCs w:val="24"/>
        </w:rPr>
        <w:t xml:space="preserve"> Duke responded by providing general information on its self-healing teams and on self-optimizing grids.</w:t>
      </w:r>
      <w:r>
        <w:rPr>
          <w:rStyle w:val="FootnoteReference"/>
          <w:rFonts w:cs="Times New Roman"/>
          <w:szCs w:val="24"/>
        </w:rPr>
        <w:footnoteReference w:id="44"/>
      </w:r>
      <w:r>
        <w:rPr>
          <w:rFonts w:cs="Times New Roman"/>
          <w:szCs w:val="24"/>
        </w:rPr>
        <w:t xml:space="preserve"> Duke</w:t>
      </w:r>
      <w:r w:rsidR="00204BF5">
        <w:rPr>
          <w:rFonts w:cs="Times New Roman"/>
          <w:szCs w:val="24"/>
        </w:rPr>
        <w:t>'</w:t>
      </w:r>
      <w:r>
        <w:rPr>
          <w:rFonts w:cs="Times New Roman"/>
          <w:szCs w:val="24"/>
        </w:rPr>
        <w:t xml:space="preserve">s response does not mention pilot programs. Has Duke implemented self-optimizing grid </w:t>
      </w:r>
      <w:r w:rsidRPr="004A5F5E">
        <w:rPr>
          <w:rFonts w:cs="Times New Roman"/>
          <w:i/>
          <w:szCs w:val="24"/>
        </w:rPr>
        <w:t>pilot programs</w:t>
      </w:r>
      <w:r>
        <w:rPr>
          <w:rFonts w:cs="Times New Roman"/>
          <w:szCs w:val="24"/>
        </w:rPr>
        <w:t xml:space="preserve"> or not? Duke</w:t>
      </w:r>
      <w:r w:rsidR="00204BF5">
        <w:rPr>
          <w:rFonts w:cs="Times New Roman"/>
          <w:szCs w:val="24"/>
        </w:rPr>
        <w:t>'</w:t>
      </w:r>
      <w:r>
        <w:rPr>
          <w:rFonts w:cs="Times New Roman"/>
          <w:szCs w:val="24"/>
        </w:rPr>
        <w:t>s response should either be</w:t>
      </w:r>
      <w:r w:rsidR="001166F5">
        <w:rPr>
          <w:rFonts w:cs="Times New Roman"/>
          <w:szCs w:val="24"/>
        </w:rPr>
        <w:t>,</w:t>
      </w:r>
      <w:r>
        <w:rPr>
          <w:rFonts w:cs="Times New Roman"/>
          <w:szCs w:val="24"/>
        </w:rPr>
        <w:t xml:space="preserve"> </w:t>
      </w:r>
      <w:r w:rsidR="00204BF5">
        <w:rPr>
          <w:rFonts w:cs="Times New Roman"/>
          <w:szCs w:val="24"/>
        </w:rPr>
        <w:t>"</w:t>
      </w:r>
      <w:r>
        <w:rPr>
          <w:rFonts w:cs="Times New Roman"/>
          <w:szCs w:val="24"/>
        </w:rPr>
        <w:t>Yes, Duke has implemented self-optimizing grid pilot programs</w:t>
      </w:r>
      <w:r w:rsidR="00204BF5">
        <w:rPr>
          <w:rFonts w:cs="Times New Roman"/>
          <w:szCs w:val="24"/>
        </w:rPr>
        <w:t>"</w:t>
      </w:r>
      <w:r>
        <w:rPr>
          <w:rFonts w:cs="Times New Roman"/>
          <w:szCs w:val="24"/>
        </w:rPr>
        <w:t xml:space="preserve"> or</w:t>
      </w:r>
      <w:r w:rsidR="001166F5">
        <w:rPr>
          <w:rFonts w:cs="Times New Roman"/>
          <w:szCs w:val="24"/>
        </w:rPr>
        <w:t>,</w:t>
      </w:r>
      <w:r>
        <w:rPr>
          <w:rFonts w:cs="Times New Roman"/>
          <w:szCs w:val="24"/>
        </w:rPr>
        <w:t xml:space="preserve"> </w:t>
      </w:r>
      <w:r w:rsidR="00204BF5">
        <w:rPr>
          <w:rFonts w:cs="Times New Roman"/>
          <w:szCs w:val="24"/>
        </w:rPr>
        <w:t>"</w:t>
      </w:r>
      <w:r>
        <w:rPr>
          <w:rFonts w:cs="Times New Roman"/>
          <w:szCs w:val="24"/>
        </w:rPr>
        <w:t>No, Duke has not implemented self-optimizing grid pilot programs.</w:t>
      </w:r>
      <w:r w:rsidR="00204BF5">
        <w:rPr>
          <w:rFonts w:cs="Times New Roman"/>
          <w:szCs w:val="24"/>
        </w:rPr>
        <w:t>"</w:t>
      </w:r>
      <w:r>
        <w:rPr>
          <w:rFonts w:cs="Times New Roman"/>
          <w:szCs w:val="24"/>
        </w:rPr>
        <w:t xml:space="preserve"> Duke</w:t>
      </w:r>
      <w:r w:rsidR="00204BF5">
        <w:rPr>
          <w:rFonts w:cs="Times New Roman"/>
          <w:szCs w:val="24"/>
        </w:rPr>
        <w:t>'</w:t>
      </w:r>
      <w:r>
        <w:rPr>
          <w:rFonts w:cs="Times New Roman"/>
          <w:szCs w:val="24"/>
        </w:rPr>
        <w:t xml:space="preserve">s current response does not include either of these statements (or any similar statements conveying the same information) and therefore it is </w:t>
      </w:r>
      <w:r w:rsidR="003C44C6">
        <w:rPr>
          <w:rFonts w:cs="Times New Roman"/>
          <w:szCs w:val="24"/>
        </w:rPr>
        <w:t>a failure to answer under the PUCO</w:t>
      </w:r>
      <w:r w:rsidR="00204BF5">
        <w:rPr>
          <w:rFonts w:cs="Times New Roman"/>
          <w:szCs w:val="24"/>
        </w:rPr>
        <w:t>'</w:t>
      </w:r>
      <w:r w:rsidR="003C44C6">
        <w:rPr>
          <w:rFonts w:cs="Times New Roman"/>
          <w:szCs w:val="24"/>
        </w:rPr>
        <w:t>s rules</w:t>
      </w:r>
      <w:r>
        <w:rPr>
          <w:rFonts w:cs="Times New Roman"/>
          <w:szCs w:val="24"/>
        </w:rPr>
        <w:t>.</w:t>
      </w:r>
      <w:r>
        <w:rPr>
          <w:rStyle w:val="FootnoteReference"/>
          <w:rFonts w:cs="Times New Roman"/>
          <w:szCs w:val="24"/>
        </w:rPr>
        <w:footnoteReference w:id="45"/>
      </w:r>
    </w:p>
    <w:p w:rsidR="00B512C1" w:rsidRPr="009316B9" w:rsidP="000E56E0">
      <w:pPr>
        <w:pStyle w:val="Heading2"/>
      </w:pPr>
      <w:bookmarkStart w:id="10" w:name="_Toc494102404"/>
      <w:r>
        <w:t>F.</w:t>
      </w:r>
      <w:r>
        <w:tab/>
        <w:t>Conclusion</w:t>
      </w:r>
      <w:bookmarkEnd w:id="10"/>
    </w:p>
    <w:p w:rsidR="009316B9" w:rsidP="00F33D8D">
      <w:pPr>
        <w:spacing w:after="0" w:line="480" w:lineRule="auto"/>
        <w:ind w:firstLine="720"/>
        <w:rPr>
          <w:rFonts w:cs="Times New Roman"/>
          <w:szCs w:val="24"/>
        </w:rPr>
      </w:pPr>
      <w:r>
        <w:rPr>
          <w:rFonts w:cs="Times New Roman"/>
          <w:szCs w:val="24"/>
        </w:rPr>
        <w:t>In this case, Duke seeks to include its current smart grid infrastructure in its rate base and to charge customers a return thereon. Duke also seeks authority to replace a substantial portion of that same infrastructure and to charge customers an additional $143 million for new smart meters and related technology. OCC has a right to discover information about Duke</w:t>
      </w:r>
      <w:r w:rsidR="00204BF5">
        <w:rPr>
          <w:rFonts w:cs="Times New Roman"/>
          <w:szCs w:val="24"/>
        </w:rPr>
        <w:t>'</w:t>
      </w:r>
      <w:r>
        <w:rPr>
          <w:rFonts w:cs="Times New Roman"/>
          <w:szCs w:val="24"/>
        </w:rPr>
        <w:t>s property to determine whether it is used and useful. And OCC has a right to discover information about Duke</w:t>
      </w:r>
      <w:r w:rsidR="00204BF5">
        <w:rPr>
          <w:rFonts w:cs="Times New Roman"/>
          <w:szCs w:val="24"/>
        </w:rPr>
        <w:t>'</w:t>
      </w:r>
      <w:r>
        <w:rPr>
          <w:rFonts w:cs="Times New Roman"/>
          <w:szCs w:val="24"/>
        </w:rPr>
        <w:t>s property to determine whether that property should be discarded and replaced by new property at customer</w:t>
      </w:r>
      <w:r w:rsidR="00810FC2">
        <w:rPr>
          <w:rFonts w:cs="Times New Roman"/>
          <w:szCs w:val="24"/>
        </w:rPr>
        <w:t>s</w:t>
      </w:r>
      <w:r w:rsidR="00204BF5">
        <w:rPr>
          <w:rFonts w:cs="Times New Roman"/>
          <w:szCs w:val="24"/>
        </w:rPr>
        <w:t>'</w:t>
      </w:r>
      <w:r>
        <w:rPr>
          <w:rFonts w:cs="Times New Roman"/>
          <w:szCs w:val="24"/>
        </w:rPr>
        <w:t xml:space="preserve"> cost</w:t>
      </w:r>
      <w:r w:rsidR="00964774">
        <w:rPr>
          <w:rFonts w:cs="Times New Roman"/>
          <w:szCs w:val="24"/>
        </w:rPr>
        <w:t>, as Duke proposes</w:t>
      </w:r>
      <w:r>
        <w:rPr>
          <w:rFonts w:cs="Times New Roman"/>
          <w:szCs w:val="24"/>
        </w:rPr>
        <w:t>. OCC</w:t>
      </w:r>
      <w:r w:rsidR="00204BF5">
        <w:rPr>
          <w:rFonts w:cs="Times New Roman"/>
          <w:szCs w:val="24"/>
        </w:rPr>
        <w:t>'</w:t>
      </w:r>
      <w:r>
        <w:rPr>
          <w:rFonts w:cs="Times New Roman"/>
          <w:szCs w:val="24"/>
        </w:rPr>
        <w:t>s discovery requests are relevant. The PUCO should grant OCC</w:t>
      </w:r>
      <w:r w:rsidR="00204BF5">
        <w:rPr>
          <w:rFonts w:cs="Times New Roman"/>
          <w:szCs w:val="24"/>
        </w:rPr>
        <w:t>'</w:t>
      </w:r>
      <w:r>
        <w:rPr>
          <w:rFonts w:cs="Times New Roman"/>
          <w:szCs w:val="24"/>
        </w:rPr>
        <w:t>s Motion to Compel.</w:t>
      </w:r>
    </w:p>
    <w:p w:rsidR="000E56E0">
      <w:pPr>
        <w:rPr>
          <w:rFonts w:cs="Times New Roman"/>
          <w:szCs w:val="24"/>
        </w:rPr>
      </w:pPr>
      <w:r>
        <w:rPr>
          <w:rFonts w:cs="Times New Roman"/>
          <w:szCs w:val="24"/>
        </w:rPr>
        <w:br w:type="page"/>
      </w:r>
    </w:p>
    <w:p w:rsidR="00FC64DB" w:rsidRPr="0009183C" w:rsidP="00576752">
      <w:pPr>
        <w:spacing w:after="0" w:line="480" w:lineRule="auto"/>
        <w:ind w:firstLine="4320"/>
        <w:rPr>
          <w:rFonts w:cs="Times New Roman"/>
          <w:szCs w:val="24"/>
        </w:rPr>
      </w:pPr>
      <w:r w:rsidRPr="0009183C">
        <w:rPr>
          <w:rFonts w:cs="Times New Roman"/>
          <w:szCs w:val="24"/>
        </w:rPr>
        <w:t>Respectfully submitted,</w:t>
      </w:r>
    </w:p>
    <w:p w:rsidR="00F17368" w:rsidRPr="0009183C" w:rsidP="00F17368">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09183C">
        <w:rPr>
          <w:rFonts w:eastAsiaTheme="minorEastAsia" w:cs="Times New Roman"/>
          <w:szCs w:val="24"/>
        </w:rPr>
        <w:t xml:space="preserve">WESTON </w:t>
      </w:r>
      <w:r w:rsidRPr="0009183C">
        <w:rPr>
          <w:rFonts w:eastAsiaTheme="minorEastAsia" w:cs="Times New Roman"/>
          <w:szCs w:val="24"/>
        </w:rPr>
        <w:t>(0016973)</w:t>
      </w:r>
    </w:p>
    <w:p w:rsidR="00FC64DB" w:rsidP="00526060">
      <w:pPr>
        <w:spacing w:after="0" w:line="240" w:lineRule="auto"/>
        <w:ind w:firstLine="4320"/>
        <w:rPr>
          <w:rFonts w:eastAsiaTheme="minorEastAsia" w:cs="Times New Roman"/>
          <w:szCs w:val="24"/>
        </w:rPr>
      </w:pPr>
      <w:r w:rsidRPr="0009183C">
        <w:rPr>
          <w:rFonts w:eastAsiaTheme="minorEastAsia" w:cs="Times New Roman"/>
          <w:szCs w:val="24"/>
        </w:rPr>
        <w:t>OHIO CONSUMERS</w:t>
      </w:r>
      <w:r w:rsidR="00204BF5">
        <w:rPr>
          <w:rFonts w:eastAsiaTheme="minorEastAsia" w:cs="Times New Roman"/>
          <w:szCs w:val="24"/>
        </w:rPr>
        <w:t>'</w:t>
      </w:r>
      <w:r w:rsidRPr="0009183C">
        <w:rPr>
          <w:rFonts w:eastAsiaTheme="minorEastAsia" w:cs="Times New Roman"/>
          <w:szCs w:val="24"/>
        </w:rPr>
        <w:t xml:space="preserve"> COUNSEL</w:t>
      </w:r>
    </w:p>
    <w:p w:rsidR="000E56E0" w:rsidP="00526060">
      <w:pPr>
        <w:spacing w:after="0" w:line="240" w:lineRule="auto"/>
        <w:ind w:firstLine="4320"/>
        <w:rPr>
          <w:rFonts w:eastAsiaTheme="minorEastAsia" w:cs="Times New Roman"/>
          <w:szCs w:val="24"/>
        </w:rPr>
      </w:pPr>
    </w:p>
    <w:p w:rsidR="00FC64DB" w:rsidRPr="0009183C" w:rsidP="00526060">
      <w:pPr>
        <w:spacing w:after="0" w:line="240" w:lineRule="auto"/>
        <w:ind w:firstLine="4320"/>
        <w:rPr>
          <w:rFonts w:eastAsiaTheme="minorEastAsia" w:cs="Times New Roman"/>
          <w:szCs w:val="24"/>
        </w:rPr>
      </w:pPr>
      <w:r>
        <w:rPr>
          <w:rFonts w:eastAsiaTheme="minorEastAsia" w:cs="Times New Roman"/>
          <w:i/>
          <w:szCs w:val="24"/>
          <w:u w:val="single"/>
        </w:rPr>
        <w:t xml:space="preserve">/s/ </w:t>
      </w:r>
      <w:r w:rsidR="00A7295D">
        <w:rPr>
          <w:rFonts w:eastAsiaTheme="minorEastAsia" w:cs="Times New Roman"/>
          <w:i/>
          <w:szCs w:val="24"/>
          <w:u w:val="single"/>
        </w:rPr>
        <w:t>Christopher Healey</w:t>
      </w:r>
      <w:r w:rsidR="00FD4172">
        <w:rPr>
          <w:rFonts w:eastAsiaTheme="minorEastAsia" w:cs="Times New Roman"/>
          <w:szCs w:val="24"/>
        </w:rPr>
        <w:t>________________</w:t>
      </w:r>
      <w:r w:rsidRPr="0009183C" w:rsidR="00F17368">
        <w:rPr>
          <w:rFonts w:eastAsiaTheme="minorEastAsia" w:cs="Times New Roman"/>
          <w:szCs w:val="24"/>
        </w:rPr>
        <w:tab/>
      </w:r>
    </w:p>
    <w:p w:rsidR="00FC64DB" w:rsidRPr="0009183C" w:rsidP="00526060">
      <w:pPr>
        <w:spacing w:after="0" w:line="240" w:lineRule="auto"/>
        <w:ind w:firstLine="4320"/>
        <w:rPr>
          <w:rFonts w:eastAsiaTheme="minorEastAsia" w:cs="Times New Roman"/>
          <w:szCs w:val="24"/>
        </w:rPr>
      </w:pPr>
      <w:r>
        <w:rPr>
          <w:rFonts w:eastAsiaTheme="minorEastAsia" w:cs="Times New Roman"/>
          <w:szCs w:val="24"/>
        </w:rPr>
        <w:t>William J. Michael (0070921)</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Counsel of Record</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Christopher Healey (0086027)</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Assistant Consumers</w:t>
      </w:r>
      <w:r w:rsidR="00204BF5">
        <w:rPr>
          <w:rFonts w:eastAsiaTheme="minorEastAsia" w:cs="Times New Roman"/>
          <w:szCs w:val="24"/>
        </w:rPr>
        <w:t>'</w:t>
      </w:r>
      <w:r w:rsidRPr="0009183C">
        <w:rPr>
          <w:rFonts w:eastAsiaTheme="minorEastAsia" w:cs="Times New Roman"/>
          <w:szCs w:val="24"/>
        </w:rPr>
        <w:t xml:space="preserve"> Counsel</w:t>
      </w:r>
    </w:p>
    <w:p w:rsidR="00FC64DB" w:rsidRPr="0009183C" w:rsidP="000E56E0">
      <w:pPr>
        <w:spacing w:after="0" w:line="240" w:lineRule="auto"/>
        <w:ind w:firstLine="4320"/>
        <w:rPr>
          <w:rFonts w:eastAsiaTheme="minorEastAsia" w:cs="Times New Roman"/>
          <w:szCs w:val="24"/>
        </w:rPr>
      </w:pPr>
    </w:p>
    <w:p w:rsidR="00FC64DB" w:rsidRPr="0009183C" w:rsidP="00526060">
      <w:pPr>
        <w:spacing w:after="0" w:line="240" w:lineRule="auto"/>
        <w:ind w:firstLine="4320"/>
        <w:rPr>
          <w:rFonts w:eastAsiaTheme="minorEastAsia" w:cs="Times New Roman"/>
          <w:b/>
          <w:szCs w:val="24"/>
        </w:rPr>
      </w:pPr>
      <w:r w:rsidRPr="0009183C">
        <w:rPr>
          <w:rFonts w:eastAsiaTheme="minorEastAsia" w:cs="Times New Roman"/>
          <w:b/>
          <w:szCs w:val="24"/>
        </w:rPr>
        <w:t>Office of the Ohio Consumers</w:t>
      </w:r>
      <w:r w:rsidR="00204BF5">
        <w:rPr>
          <w:rFonts w:eastAsiaTheme="minorEastAsia" w:cs="Times New Roman"/>
          <w:b/>
          <w:szCs w:val="24"/>
        </w:rPr>
        <w:t>'</w:t>
      </w:r>
      <w:r w:rsidRPr="0009183C">
        <w:rPr>
          <w:rFonts w:eastAsiaTheme="minorEastAsia" w:cs="Times New Roman"/>
          <w:b/>
          <w:szCs w:val="24"/>
        </w:rPr>
        <w:t xml:space="preserve"> Counsel</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10 W. Broad Street, Suite 1800</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Columbus, Ohio 43215-3485</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Telephone [</w:t>
      </w:r>
      <w:r w:rsidR="00844114">
        <w:rPr>
          <w:rFonts w:eastAsiaTheme="minorEastAsia" w:cs="Times New Roman"/>
          <w:szCs w:val="24"/>
        </w:rPr>
        <w:t>Michael</w:t>
      </w:r>
      <w:r w:rsidRPr="0009183C">
        <w:rPr>
          <w:rFonts w:eastAsiaTheme="minorEastAsia" w:cs="Times New Roman"/>
          <w:szCs w:val="24"/>
        </w:rPr>
        <w:t>]: 614-466-</w:t>
      </w:r>
      <w:r w:rsidR="00844114">
        <w:rPr>
          <w:rFonts w:eastAsiaTheme="minorEastAsia" w:cs="Times New Roman"/>
          <w:szCs w:val="24"/>
        </w:rPr>
        <w:t>1291</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Telephone [Healey]: 614-466-9571</w:t>
      </w:r>
    </w:p>
    <w:p w:rsidR="00FC64DB" w:rsidP="00526060">
      <w:pPr>
        <w:spacing w:after="0" w:line="240" w:lineRule="auto"/>
        <w:ind w:firstLine="4320"/>
        <w:rPr>
          <w:rStyle w:val="Hyperlink"/>
          <w:rFonts w:eastAsiaTheme="minorEastAsia" w:cs="Times New Roman"/>
          <w:szCs w:val="24"/>
        </w:rPr>
      </w:pPr>
      <w:r>
        <w:fldChar w:fldCharType="begin"/>
      </w:r>
      <w:r>
        <w:instrText xml:space="preserve"> HYPERLINK "mailto:william.michael@occ.ohio.gov" </w:instrText>
      </w:r>
      <w:r>
        <w:fldChar w:fldCharType="separate"/>
      </w:r>
      <w:r w:rsidRPr="004E18B6" w:rsidR="009C01BE">
        <w:rPr>
          <w:rStyle w:val="Hyperlink"/>
        </w:rPr>
        <w:t>william.michael@occ.ohio.gov</w:t>
      </w:r>
      <w:r>
        <w:fldChar w:fldCharType="end"/>
      </w:r>
    </w:p>
    <w:p w:rsidR="00FC64DB" w:rsidRPr="0009183C" w:rsidP="00526060">
      <w:pPr>
        <w:spacing w:after="0" w:line="240" w:lineRule="auto"/>
        <w:ind w:firstLine="4320"/>
        <w:rPr>
          <w:rFonts w:eastAsiaTheme="minorEastAsia" w:cs="Times New Roman"/>
          <w:szCs w:val="24"/>
        </w:rPr>
      </w:pPr>
      <w:r>
        <w:fldChar w:fldCharType="begin"/>
      </w:r>
      <w:r>
        <w:instrText xml:space="preserve"> HYPERLINK "mailto:christopher.healey@occ.ohio.gov" </w:instrText>
      </w:r>
      <w:r>
        <w:fldChar w:fldCharType="separate"/>
      </w:r>
      <w:r w:rsidRPr="0009183C" w:rsidR="00F17368">
        <w:rPr>
          <w:rStyle w:val="Hyperlink"/>
          <w:rFonts w:eastAsiaTheme="minorEastAsia" w:cs="Times New Roman"/>
          <w:szCs w:val="24"/>
        </w:rPr>
        <w:t>christopher.healey@occ.ohio.gov</w:t>
      </w:r>
      <w:r>
        <w:fldChar w:fldCharType="end"/>
      </w:r>
    </w:p>
    <w:p w:rsidR="00FC64DB" w:rsidRPr="0009183C" w:rsidP="00526060">
      <w:pPr>
        <w:ind w:firstLine="4320"/>
        <w:rPr>
          <w:rFonts w:eastAsiaTheme="minorEastAsia" w:cs="Times New Roman"/>
          <w:szCs w:val="24"/>
        </w:rPr>
      </w:pPr>
      <w:r w:rsidRPr="0009183C">
        <w:rPr>
          <w:rFonts w:eastAsiaTheme="minorEastAsia" w:cs="Times New Roman"/>
          <w:szCs w:val="24"/>
        </w:rPr>
        <w:t>(</w:t>
      </w:r>
      <w:r w:rsidR="00F33D8D">
        <w:rPr>
          <w:rFonts w:eastAsiaTheme="minorEastAsia" w:cs="Times New Roman"/>
          <w:szCs w:val="24"/>
        </w:rPr>
        <w:t>Both</w:t>
      </w:r>
      <w:r w:rsidR="00762F8A">
        <w:rPr>
          <w:rFonts w:eastAsiaTheme="minorEastAsia" w:cs="Times New Roman"/>
          <w:szCs w:val="24"/>
        </w:rPr>
        <w:t xml:space="preserve"> </w:t>
      </w:r>
      <w:r w:rsidRPr="0009183C">
        <w:rPr>
          <w:rFonts w:eastAsiaTheme="minorEastAsia" w:cs="Times New Roman"/>
          <w:szCs w:val="24"/>
        </w:rPr>
        <w:t>will accept service via email)</w:t>
      </w:r>
    </w:p>
    <w:p w:rsidR="00AA4EEE" w:rsidRPr="0009183C" w:rsidP="00F17368">
      <w:pPr>
        <w:rPr>
          <w:rFonts w:eastAsiaTheme="minorEastAsia" w:cs="Times New Roman"/>
          <w:szCs w:val="24"/>
        </w:rPr>
      </w:pPr>
    </w:p>
    <w:p w:rsidR="00832DA4">
      <w:pPr>
        <w:rPr>
          <w:rFonts w:eastAsiaTheme="minorEastAsia" w:cs="Times New Roman"/>
          <w:b/>
          <w:szCs w:val="24"/>
          <w:u w:val="single"/>
        </w:rPr>
      </w:pPr>
      <w:r>
        <w:rPr>
          <w:rFonts w:eastAsiaTheme="minorEastAsia" w:cs="Times New Roman"/>
          <w:b/>
          <w:szCs w:val="24"/>
          <w:u w:val="single"/>
        </w:rPr>
        <w:br w:type="page"/>
      </w:r>
    </w:p>
    <w:p w:rsidR="00076C62" w:rsidRPr="0009183C" w:rsidP="00076C62">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076C62" w:rsidRPr="0009183C" w:rsidP="00076C62">
      <w:pPr>
        <w:spacing w:after="0" w:line="480" w:lineRule="auto"/>
        <w:ind w:firstLine="720"/>
        <w:rPr>
          <w:rFonts w:eastAsiaTheme="minorEastAsia" w:cs="Times New Roman"/>
          <w:szCs w:val="24"/>
        </w:rPr>
      </w:pPr>
      <w:r w:rsidRPr="0009183C">
        <w:rPr>
          <w:rFonts w:eastAsiaTheme="minorEastAsia" w:cs="Times New Roman"/>
          <w:szCs w:val="24"/>
        </w:rPr>
        <w:t xml:space="preserve">I hereby certify that a copy of this </w:t>
      </w:r>
      <w:r w:rsidR="00832DA4">
        <w:rPr>
          <w:rFonts w:eastAsiaTheme="minorEastAsia" w:cs="Times New Roman"/>
          <w:szCs w:val="24"/>
        </w:rPr>
        <w:t xml:space="preserve">Reply in Support of </w:t>
      </w:r>
      <w:r w:rsidRPr="0009183C">
        <w:rPr>
          <w:rFonts w:eastAsiaTheme="minorEastAsia" w:cs="Times New Roman"/>
          <w:szCs w:val="24"/>
        </w:rPr>
        <w:t xml:space="preserve">Motion to Compel was served on the persons stated below via electronic transmission, this </w:t>
      </w:r>
      <w:r w:rsidR="00810FC2">
        <w:rPr>
          <w:rFonts w:eastAsiaTheme="minorEastAsia" w:cs="Times New Roman"/>
          <w:szCs w:val="24"/>
        </w:rPr>
        <w:t>25th</w:t>
      </w:r>
      <w:r w:rsidRPr="0009183C">
        <w:rPr>
          <w:rFonts w:eastAsiaTheme="minorEastAsia" w:cs="Times New Roman"/>
          <w:szCs w:val="24"/>
        </w:rPr>
        <w:t xml:space="preserve"> day of </w:t>
      </w:r>
      <w:r w:rsidR="00832DA4">
        <w:rPr>
          <w:rFonts w:eastAsiaTheme="minorEastAsia" w:cs="Times New Roman"/>
          <w:szCs w:val="24"/>
        </w:rPr>
        <w:t xml:space="preserve">September </w:t>
      </w:r>
      <w:r w:rsidR="00A30F9F">
        <w:rPr>
          <w:rFonts w:eastAsiaTheme="minorEastAsia" w:cs="Times New Roman"/>
          <w:szCs w:val="24"/>
        </w:rPr>
        <w:t>2017</w:t>
      </w:r>
      <w:r w:rsidRPr="0009183C">
        <w:rPr>
          <w:rFonts w:eastAsiaTheme="minorEastAsia" w:cs="Times New Roman"/>
          <w:szCs w:val="24"/>
        </w:rPr>
        <w:t>.</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00BF2F08">
        <w:rPr>
          <w:rFonts w:eastAsiaTheme="minorEastAsia" w:cs="Times New Roman"/>
          <w:szCs w:val="24"/>
          <w:u w:val="single"/>
        </w:rPr>
        <w:t xml:space="preserve">/s/ </w:t>
      </w:r>
      <w:r w:rsidR="00A30F9F">
        <w:rPr>
          <w:rFonts w:eastAsiaTheme="minorEastAsia" w:cs="Times New Roman"/>
          <w:i/>
          <w:szCs w:val="24"/>
          <w:u w:val="single"/>
        </w:rPr>
        <w:t>Christopher Healey</w:t>
      </w:r>
      <w:r w:rsidR="00303AE0">
        <w:rPr>
          <w:rFonts w:eastAsiaTheme="minorEastAsia" w:cs="Times New Roman"/>
          <w:szCs w:val="24"/>
        </w:rPr>
        <w:t>__________</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00A30F9F">
        <w:rPr>
          <w:rFonts w:eastAsiaTheme="minorEastAsia" w:cs="Times New Roman"/>
          <w:szCs w:val="24"/>
        </w:rPr>
        <w:t>Christopher Healey</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t>Assistant Consumers</w:t>
      </w:r>
      <w:r w:rsidR="00204BF5">
        <w:rPr>
          <w:rFonts w:eastAsiaTheme="minorEastAsia" w:cs="Times New Roman"/>
          <w:szCs w:val="24"/>
        </w:rPr>
        <w:t>'</w:t>
      </w:r>
      <w:r w:rsidRPr="0009183C">
        <w:rPr>
          <w:rFonts w:eastAsiaTheme="minorEastAsia" w:cs="Times New Roman"/>
          <w:szCs w:val="24"/>
        </w:rPr>
        <w:t xml:space="preserve"> Counsel</w:t>
      </w:r>
    </w:p>
    <w:p w:rsidR="00076C62" w:rsidP="00576752">
      <w:pPr>
        <w:spacing w:after="0" w:line="480" w:lineRule="auto"/>
        <w:ind w:firstLine="720"/>
        <w:jc w:val="center"/>
        <w:rPr>
          <w:rFonts w:eastAsiaTheme="minorEastAsia" w:cs="Times New Roman"/>
          <w:szCs w:val="24"/>
        </w:rPr>
      </w:pPr>
    </w:p>
    <w:p w:rsidR="00303AE0" w:rsidP="00576752">
      <w:pPr>
        <w:spacing w:after="0" w:line="480" w:lineRule="auto"/>
        <w:ind w:firstLine="720"/>
        <w:jc w:val="center"/>
        <w:rPr>
          <w:rFonts w:eastAsiaTheme="minorEastAsia" w:cs="Times New Roman"/>
          <w:b/>
          <w:szCs w:val="24"/>
        </w:rPr>
      </w:pPr>
      <w:r w:rsidRPr="00BF2F08">
        <w:rPr>
          <w:rFonts w:eastAsiaTheme="minorEastAsia" w:cs="Times New Roman"/>
          <w:b/>
          <w:szCs w:val="24"/>
        </w:rPr>
        <w:t>SERVICE LIST</w:t>
      </w:r>
    </w:p>
    <w:tbl>
      <w:tblPr>
        <w:tblW w:w="0" w:type="auto"/>
        <w:tblInd w:w="0" w:type="dxa"/>
        <w:tblCellMar>
          <w:top w:w="0" w:type="dxa"/>
          <w:left w:w="108" w:type="dxa"/>
          <w:bottom w:w="0" w:type="dxa"/>
          <w:right w:w="108" w:type="dxa"/>
        </w:tblCellMar>
        <w:tblLook w:val="04A0"/>
      </w:tblPr>
      <w:tblGrid>
        <w:gridCol w:w="4428"/>
        <w:gridCol w:w="4428"/>
      </w:tblGrid>
      <w:tr w:rsidTr="007A6A06">
        <w:tblPrEx>
          <w:tblW w:w="0" w:type="auto"/>
          <w:tblInd w:w="0" w:type="dxa"/>
          <w:tblCellMar>
            <w:top w:w="0" w:type="dxa"/>
            <w:left w:w="108" w:type="dxa"/>
            <w:bottom w:w="0" w:type="dxa"/>
            <w:right w:w="108" w:type="dxa"/>
          </w:tblCellMar>
          <w:tblLook w:val="04A0"/>
        </w:tblPrEx>
        <w:tc>
          <w:tcPr>
            <w:tcW w:w="4428" w:type="dxa"/>
            <w:shd w:val="clear" w:color="auto" w:fill="auto"/>
          </w:tcPr>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"mailto:Steven.beeler@ohioattorneygeneral.gov" </w:instrText>
            </w:r>
            <w:r>
              <w:fldChar w:fldCharType="separate"/>
            </w:r>
            <w:r w:rsidRPr="00C5099D">
              <w:rPr>
                <w:rFonts w:ascii="Times New Roman" w:hAnsi="Times New Roman" w:eastAsiaTheme="minorHAnsi" w:cstheme="minorBidi"/>
                <w:color w:val="0000FF"/>
                <w:sz w:val="24"/>
                <w:szCs w:val="24"/>
                <w:u w:val="single"/>
                <w:lang w:val="en-US" w:eastAsia="en-US" w:bidi="ar-SA"/>
              </w:rPr>
              <w:t>Steven.beeler@ohioattorneygeneral.gov</w:t>
            </w:r>
            <w:r>
              <w:fldChar w:fldCharType="end"/>
            </w:r>
            <w:r w:rsidRPr="00C5099D">
              <w:rPr>
                <w:rFonts w:ascii="Times New Roman" w:hAnsi="Times New Roman" w:eastAsiaTheme="minorHAnsi" w:cstheme="minorBidi"/>
                <w:sz w:val="24"/>
                <w:szCs w:val="24"/>
                <w:lang w:val="en-US" w:eastAsia="en-US" w:bidi="ar-SA"/>
              </w:rPr>
              <w:t xml:space="preserve"> </w:t>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"mailto:Robert.eubanks@ohioattorneygeneral.gov" </w:instrText>
            </w:r>
            <w:r>
              <w:fldChar w:fldCharType="separate"/>
            </w:r>
            <w:r w:rsidRPr="00C5099D">
              <w:rPr>
                <w:rFonts w:ascii="Times New Roman" w:hAnsi="Times New Roman" w:eastAsiaTheme="minorHAnsi" w:cstheme="minorBidi"/>
                <w:color w:val="0000FF"/>
                <w:sz w:val="24"/>
                <w:szCs w:val="24"/>
                <w:u w:val="single"/>
                <w:lang w:val="en-US" w:eastAsia="en-US" w:bidi="ar-SA"/>
              </w:rPr>
              <w:t>Robert.eubanks@ohioattorneygeneral.gov</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C5099D">
              <w:rPr>
                <w:rFonts w:ascii="Times New Roman" w:eastAsia="Calibri" w:hAnsi="Times New Roman" w:cstheme="minorBidi"/>
                <w:color w:val="0000FF"/>
                <w:sz w:val="24"/>
                <w:szCs w:val="24"/>
                <w:u w:val="single"/>
                <w:lang w:val="en-US" w:eastAsia="en-US" w:bidi="ar-SA"/>
              </w:rPr>
              <w:t>cmooney@ohiopartners.org</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C5099D">
              <w:rPr>
                <w:rFonts w:ascii="Times New Roman" w:eastAsia="Calibri" w:hAnsi="Times New Roman" w:cstheme="minorBidi"/>
                <w:color w:val="0000FF"/>
                <w:sz w:val="24"/>
                <w:szCs w:val="24"/>
                <w:u w:val="single"/>
                <w:lang w:val="en-US" w:eastAsia="en-US" w:bidi="ar-SA"/>
              </w:rPr>
              <w:t>mfleisher@elpc.org</w:t>
            </w:r>
            <w:r>
              <w:fldChar w:fldCharType="end"/>
            </w:r>
          </w:p>
          <w:p w:rsidR="002332BA" w:rsidRPr="00C5099D" w:rsidP="002332BA">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sidRPr="00C5099D">
              <w:rPr>
                <w:rFonts w:ascii="Times New Roman" w:eastAsia="Calibri" w:hAnsi="Times New Roman" w:cstheme="minorBidi"/>
                <w:color w:val="0000FF"/>
                <w:sz w:val="24"/>
                <w:szCs w:val="24"/>
                <w:u w:val="single"/>
                <w:lang w:val="en-US" w:eastAsia="en-US" w:bidi="ar-SA"/>
              </w:rPr>
              <w:t>fdarr@mwncmh.com</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sidRPr="00C5099D">
              <w:rPr>
                <w:rFonts w:ascii="Times New Roman" w:eastAsia="Calibri" w:hAnsi="Times New Roman" w:cstheme="minorBidi"/>
                <w:color w:val="0000FF"/>
                <w:sz w:val="24"/>
                <w:szCs w:val="24"/>
                <w:u w:val="single"/>
                <w:lang w:val="en-US" w:eastAsia="en-US" w:bidi="ar-SA"/>
              </w:rPr>
              <w:t>mpritchard@mwncmh.com</w:t>
            </w:r>
            <w:r>
              <w:fldChar w:fldCharType="end"/>
            </w:r>
          </w:p>
          <w:p w:rsidR="002332BA" w:rsidRPr="00C5099D" w:rsidP="002332BA">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sidRPr="00C5099D">
              <w:rPr>
                <w:rFonts w:ascii="Times New Roman" w:eastAsia="Calibri" w:hAnsi="Times New Roman" w:cstheme="minorBidi"/>
                <w:color w:val="0000FF"/>
                <w:sz w:val="24"/>
                <w:szCs w:val="24"/>
                <w:u w:val="single"/>
                <w:lang w:val="en-US" w:eastAsia="en-US" w:bidi="ar-SA"/>
              </w:rPr>
              <w:t>paul@carpenterlipps.com</w:t>
            </w:r>
            <w:r>
              <w:fldChar w:fldCharType="end"/>
            </w:r>
          </w:p>
          <w:p w:rsidR="002332BA" w:rsidRPr="00C5099D" w:rsidP="002332BA">
            <w:pPr>
              <w:autoSpaceDE w:val="0"/>
              <w:autoSpaceDN w:val="0"/>
              <w:adjustRightInd w:val="0"/>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sidRPr="00C5099D">
              <w:rPr>
                <w:rFonts w:ascii="Times New Roman" w:eastAsia="Calibri" w:hAnsi="Times New Roman" w:cstheme="minorBidi"/>
                <w:color w:val="0000FF"/>
                <w:sz w:val="24"/>
                <w:szCs w:val="24"/>
                <w:u w:val="single"/>
                <w:lang w:val="en-US" w:eastAsia="en-US" w:bidi="ar-SA"/>
              </w:rPr>
              <w:t>mleppla@theOEC.org</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sidRPr="00C5099D">
              <w:rPr>
                <w:rFonts w:ascii="Times New Roman" w:eastAsia="Calibri" w:hAnsi="Times New Roman" w:cstheme="minorBidi"/>
                <w:color w:val="0000FF"/>
                <w:sz w:val="24"/>
                <w:szCs w:val="24"/>
                <w:u w:val="single"/>
                <w:lang w:val="en-US" w:eastAsia="en-US" w:bidi="ar-SA"/>
              </w:rPr>
              <w:t>tdougherty@theOEC.org</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"mailto:rick.sites@ohiohospitals.org" </w:instrText>
            </w:r>
            <w:r>
              <w:fldChar w:fldCharType="separate"/>
            </w:r>
            <w:r w:rsidRPr="00C5099D">
              <w:rPr>
                <w:rFonts w:ascii="Times New Roman" w:eastAsia="Calibri" w:hAnsi="Times New Roman" w:cstheme="minorBidi"/>
                <w:color w:val="0000FF"/>
                <w:sz w:val="24"/>
                <w:szCs w:val="24"/>
                <w:u w:val="single"/>
                <w:lang w:val="en-US" w:eastAsia="en-US" w:bidi="ar-SA"/>
              </w:rPr>
              <w:t>rick.sites@ohiohospitals.org</w:t>
            </w:r>
            <w:r>
              <w:fldChar w:fldCharType="end"/>
            </w:r>
          </w:p>
          <w:p w:rsidR="002332BA" w:rsidRPr="00C5099D" w:rsidP="002332BA">
            <w:pPr>
              <w:autoSpaceDE w:val="0"/>
              <w:autoSpaceDN w:val="0"/>
              <w:adjustRightInd w:val="0"/>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sidRPr="00C5099D">
              <w:rPr>
                <w:rFonts w:ascii="Times New Roman" w:eastAsia="Calibri" w:hAnsi="Times New Roman" w:cstheme="minorBidi"/>
                <w:color w:val="0000FF"/>
                <w:sz w:val="24"/>
                <w:szCs w:val="24"/>
                <w:u w:val="single"/>
                <w:lang w:val="en-US" w:eastAsia="en-US" w:bidi="ar-SA"/>
              </w:rPr>
              <w:t>dborchers@bricker.com</w:t>
            </w:r>
            <w:r>
              <w:fldChar w:fldCharType="end"/>
            </w:r>
          </w:p>
          <w:p w:rsidR="002332BA" w:rsidRPr="00C5099D" w:rsidP="002332BA">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sidRPr="00C5099D">
              <w:rPr>
                <w:rFonts w:ascii="Times New Roman" w:eastAsia="Calibri" w:hAnsi="Times New Roman" w:cstheme="minorBidi"/>
                <w:color w:val="0000FF"/>
                <w:sz w:val="24"/>
                <w:szCs w:val="24"/>
                <w:u w:val="single"/>
                <w:lang w:val="en-US" w:eastAsia="en-US" w:bidi="ar-SA"/>
              </w:rPr>
              <w:t>dparram@bricker.com</w:t>
            </w:r>
            <w:r>
              <w:fldChar w:fldCharType="end"/>
            </w:r>
          </w:p>
          <w:p w:rsidR="002332BA" w:rsidRPr="00C5099D" w:rsidP="002332BA">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"mailto:whitt@whitt-sturtevant.com" </w:instrText>
            </w:r>
            <w:r>
              <w:fldChar w:fldCharType="separate"/>
            </w:r>
            <w:r w:rsidRPr="00C5099D">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2332BA" w:rsidRPr="00C5099D" w:rsidP="002332BA">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"mailto:campbell@whitt-sturtevant.com" </w:instrText>
            </w:r>
            <w:r>
              <w:fldChar w:fldCharType="separate"/>
            </w:r>
            <w:r w:rsidRPr="00C5099D">
              <w:rPr>
                <w:rStyle w:val="Hyperlink"/>
                <w:rFonts w:ascii="Times New Roman" w:eastAsia="Calibri" w:hAnsi="Times New Roman" w:cs="Times New Roman"/>
                <w:color w:val="0000FF"/>
                <w:sz w:val="24"/>
                <w:szCs w:val="24"/>
                <w:u w:val="single"/>
                <w:lang w:val="en-US" w:eastAsia="en-US" w:bidi="ar-SA"/>
              </w:rPr>
              <w:t>campbell@whitt-sturtevant.com</w:t>
            </w:r>
            <w:r>
              <w:fldChar w:fldCharType="end"/>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"mailto:glover@whitt-sturtevant.com" </w:instrText>
            </w:r>
            <w:r>
              <w:fldChar w:fldCharType="separate"/>
            </w:r>
            <w:r w:rsidRPr="00C5099D">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r w:rsidRPr="00C5099D">
              <w:rPr>
                <w:rFonts w:ascii="Times New Roman" w:hAnsi="Times New Roman" w:eastAsiaTheme="minorHAnsi" w:cstheme="minorBidi"/>
                <w:sz w:val="24"/>
                <w:szCs w:val="24"/>
                <w:lang w:val="en-US" w:eastAsia="en-US" w:bidi="ar-SA"/>
              </w:rPr>
              <w:t xml:space="preserve"> </w:t>
            </w:r>
          </w:p>
        </w:tc>
        <w:tc>
          <w:tcPr>
            <w:tcW w:w="4428" w:type="dxa"/>
            <w:shd w:val="clear" w:color="auto" w:fill="auto"/>
          </w:tcPr>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"mailto:Amy.spiller@duke-energy.com" </w:instrText>
            </w:r>
            <w:r>
              <w:fldChar w:fldCharType="separate"/>
            </w:r>
            <w:r w:rsidRPr="00C5099D">
              <w:rPr>
                <w:rFonts w:ascii="Times New Roman" w:hAnsi="Times New Roman" w:eastAsiaTheme="minorHAnsi" w:cstheme="minorBidi"/>
                <w:color w:val="0000FF"/>
                <w:sz w:val="24"/>
                <w:szCs w:val="24"/>
                <w:u w:val="single"/>
                <w:lang w:val="en-US" w:eastAsia="en-US" w:bidi="ar-SA"/>
              </w:rPr>
              <w:t>Amy.spiller@duke-energy.com</w:t>
            </w:r>
            <w:r>
              <w:fldChar w:fldCharType="end"/>
            </w:r>
            <w:r w:rsidRPr="00C5099D">
              <w:rPr>
                <w:rFonts w:ascii="Times New Roman" w:hAnsi="Times New Roman" w:eastAsiaTheme="minorHAnsi" w:cstheme="minorBidi"/>
                <w:sz w:val="24"/>
                <w:szCs w:val="24"/>
                <w:lang w:val="en-US" w:eastAsia="en-US" w:bidi="ar-SA"/>
              </w:rPr>
              <w:t xml:space="preserve"> </w:t>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Pr="00C5099D">
              <w:rPr>
                <w:rFonts w:ascii="Times New Roman" w:hAnsi="Times New Roman" w:eastAsiaTheme="minorHAnsi" w:cstheme="minorBidi"/>
                <w:color w:val="0000FF"/>
                <w:sz w:val="24"/>
                <w:szCs w:val="24"/>
                <w:u w:val="single"/>
                <w:lang w:val="en-US" w:eastAsia="en-US" w:bidi="ar-SA"/>
              </w:rPr>
              <w:t>Jeanne.kingery@duke-energy.com</w:t>
            </w:r>
            <w:r>
              <w:fldChar w:fldCharType="end"/>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C5099D">
              <w:rPr>
                <w:rFonts w:ascii="Times New Roman" w:hAnsi="Times New Roman" w:eastAsiaTheme="minorHAnsi" w:cstheme="minorBidi"/>
                <w:color w:val="0000FF"/>
                <w:sz w:val="24"/>
                <w:szCs w:val="24"/>
                <w:u w:val="single"/>
                <w:lang w:val="en-US" w:eastAsia="en-US" w:bidi="ar-SA"/>
              </w:rPr>
              <w:t>Elizabeth.watts@duke-energy.com</w:t>
            </w:r>
            <w:r>
              <w:fldChar w:fldCharType="end"/>
            </w:r>
            <w:r w:rsidRPr="00C5099D">
              <w:rPr>
                <w:rFonts w:ascii="Times New Roman" w:hAnsi="Times New Roman" w:eastAsiaTheme="minorHAnsi" w:cstheme="minorBidi"/>
                <w:sz w:val="24"/>
                <w:szCs w:val="24"/>
                <w:lang w:val="en-US" w:eastAsia="en-US" w:bidi="ar-SA"/>
              </w:rPr>
              <w:t xml:space="preserve"> </w:t>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"mailto:Rocco.dascenzo@duke-energy.com" </w:instrText>
            </w:r>
            <w:r>
              <w:fldChar w:fldCharType="separate"/>
            </w:r>
            <w:r w:rsidRPr="00C5099D">
              <w:rPr>
                <w:rFonts w:ascii="Times New Roman" w:hAnsi="Times New Roman" w:eastAsiaTheme="minorHAnsi" w:cstheme="minorBidi"/>
                <w:color w:val="0000FF"/>
                <w:sz w:val="24"/>
                <w:szCs w:val="24"/>
                <w:u w:val="single"/>
                <w:lang w:val="en-US" w:eastAsia="en-US" w:bidi="ar-SA"/>
              </w:rPr>
              <w:t>Rocco.dascenzo@duke-energy.com</w:t>
            </w:r>
            <w:r>
              <w:fldChar w:fldCharType="end"/>
            </w:r>
            <w:r w:rsidRPr="00C5099D">
              <w:rPr>
                <w:rFonts w:ascii="Times New Roman" w:hAnsi="Times New Roman" w:eastAsiaTheme="minorHAnsi" w:cstheme="minorBidi"/>
                <w:sz w:val="24"/>
                <w:szCs w:val="24"/>
                <w:lang w:val="en-US" w:eastAsia="en-US" w:bidi="ar-SA"/>
              </w:rPr>
              <w:t xml:space="preserve">  </w:t>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Pr="00C5099D">
              <w:rPr>
                <w:rFonts w:ascii="Times New Roman" w:hAnsi="Times New Roman" w:eastAsiaTheme="minorHAnsi" w:cstheme="minorBidi"/>
                <w:color w:val="0000FF"/>
                <w:sz w:val="24"/>
                <w:szCs w:val="24"/>
                <w:u w:val="single"/>
                <w:lang w:val="en-US" w:eastAsia="en-US" w:bidi="ar-SA"/>
              </w:rPr>
              <w:t>mkurtz@BKLlawfirm.com</w:t>
            </w:r>
            <w:r>
              <w:fldChar w:fldCharType="end"/>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Pr="00C5099D">
              <w:rPr>
                <w:rFonts w:ascii="Times New Roman" w:hAnsi="Times New Roman" w:eastAsiaTheme="minorHAnsi" w:cstheme="minorBidi"/>
                <w:color w:val="0000FF"/>
                <w:sz w:val="24"/>
                <w:szCs w:val="24"/>
                <w:u w:val="single"/>
                <w:lang w:val="en-US" w:eastAsia="en-US" w:bidi="ar-SA"/>
              </w:rPr>
              <w:t>kboehm@BKLlawfirm.com</w:t>
            </w:r>
            <w:r>
              <w:fldChar w:fldCharType="end"/>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Pr="00C5099D">
              <w:rPr>
                <w:rFonts w:ascii="Times New Roman" w:hAnsi="Times New Roman" w:eastAsiaTheme="minorHAnsi" w:cstheme="minorBidi"/>
                <w:color w:val="0000FF"/>
                <w:sz w:val="24"/>
                <w:szCs w:val="24"/>
                <w:u w:val="single"/>
                <w:lang w:val="en-US" w:eastAsia="en-US" w:bidi="ar-SA"/>
              </w:rPr>
              <w:t>jkylercohn@BKLlawfirm.com</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C5099D">
              <w:rPr>
                <w:rFonts w:ascii="Times New Roman" w:eastAsia="Calibri" w:hAnsi="Times New Roman" w:cstheme="minorBidi"/>
                <w:color w:val="0000FF"/>
                <w:sz w:val="24"/>
                <w:szCs w:val="24"/>
                <w:u w:val="single"/>
                <w:lang w:val="en-US" w:eastAsia="en-US" w:bidi="ar-SA"/>
              </w:rPr>
              <w:t>joliker@igsenergy.com</w:t>
            </w:r>
            <w:r>
              <w:fldChar w:fldCharType="end"/>
            </w:r>
          </w:p>
          <w:p w:rsidR="002332BA" w:rsidRPr="00C5099D" w:rsidP="002332BA">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"mailto:eakhbari@bricker.com" </w:instrText>
            </w:r>
            <w:r>
              <w:fldChar w:fldCharType="separate"/>
            </w:r>
            <w:r w:rsidRPr="00C5099D">
              <w:rPr>
                <w:rFonts w:ascii="Times New Roman" w:eastAsia="Calibri" w:hAnsi="Times New Roman" w:cstheme="minorBidi"/>
                <w:color w:val="0000FF"/>
                <w:sz w:val="24"/>
                <w:szCs w:val="24"/>
                <w:u w:val="single"/>
                <w:lang w:val="en-US" w:eastAsia="en-US" w:bidi="ar-SA"/>
              </w:rPr>
              <w:t>eakhbari@bricker.com</w:t>
            </w:r>
            <w:r>
              <w:fldChar w:fldCharType="end"/>
            </w:r>
          </w:p>
          <w:p w:rsidR="002332BA" w:rsidRPr="00C5099D" w:rsidP="002332BA">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Pr="00C5099D">
              <w:rPr>
                <w:rFonts w:ascii="Times New Roman" w:eastAsia="Calibri" w:hAnsi="Times New Roman" w:cstheme="minorBidi"/>
                <w:color w:val="0000FF"/>
                <w:sz w:val="24"/>
                <w:szCs w:val="24"/>
                <w:u w:val="single"/>
                <w:lang w:val="en-US" w:eastAsia="en-US" w:bidi="ar-SA"/>
              </w:rPr>
              <w:t>mdortch@kravitzllc.com</w:t>
            </w:r>
            <w:r>
              <w:fldChar w:fldCharType="end"/>
            </w:r>
          </w:p>
          <w:p w:rsidR="002332BA" w:rsidRPr="00C5099D" w:rsidP="002332BA">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Pr="00C5099D">
              <w:rPr>
                <w:rFonts w:ascii="Times New Roman" w:eastAsia="Calibri" w:hAnsi="Times New Roman" w:cstheme="minorBidi"/>
                <w:color w:val="0000FF"/>
                <w:sz w:val="24"/>
                <w:szCs w:val="24"/>
                <w:u w:val="single"/>
                <w:lang w:val="en-US" w:eastAsia="en-US" w:bidi="ar-SA"/>
              </w:rPr>
              <w:t>Bojko@carpenterlipps.com</w:t>
            </w:r>
            <w:r>
              <w:fldChar w:fldCharType="end"/>
            </w:r>
          </w:p>
          <w:p w:rsidR="002332BA" w:rsidP="002332BA">
            <w:pPr>
              <w:spacing w:after="0" w:line="240" w:lineRule="auto"/>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Pr="00C5099D">
              <w:rPr>
                <w:rFonts w:ascii="Times New Roman" w:eastAsia="Calibri" w:hAnsi="Times New Roman" w:cstheme="minorBidi"/>
                <w:color w:val="0000FF"/>
                <w:sz w:val="24"/>
                <w:szCs w:val="24"/>
                <w:u w:val="single"/>
                <w:lang w:val="en-US" w:eastAsia="en-US" w:bidi="ar-SA"/>
              </w:rPr>
              <w:t>Perko@carpenterlipps.com</w:t>
            </w:r>
            <w:r>
              <w:fldChar w:fldCharType="end"/>
            </w:r>
          </w:p>
          <w:p w:rsidR="002332BA" w:rsidP="002332BA">
            <w:pPr>
              <w:spacing w:after="0" w:line="240" w:lineRule="auto"/>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"mailto:mnugent@igsenergy.com" </w:instrText>
            </w:r>
            <w:r>
              <w:fldChar w:fldCharType="separate"/>
            </w:r>
            <w:r w:rsidRPr="0051706F">
              <w:rPr>
                <w:rStyle w:val="Hyperlink"/>
                <w:rFonts w:ascii="Times New Roman" w:eastAsia="Calibri" w:hAnsi="Times New Roman" w:cstheme="minorBidi"/>
                <w:color w:val="0000FF"/>
                <w:sz w:val="24"/>
                <w:szCs w:val="22"/>
                <w:u w:val="single"/>
                <w:lang w:val="en-US" w:eastAsia="en-US" w:bidi="ar-SA"/>
              </w:rPr>
              <w:t>mnugent@igsenergy.com</w:t>
            </w:r>
            <w:r>
              <w:fldChar w:fldCharType="end"/>
            </w:r>
          </w:p>
          <w:p w:rsidR="002332BA" w:rsidP="002332BA">
            <w:pPr>
              <w:spacing w:after="0" w:line="240" w:lineRule="auto"/>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"mailto:swilliams@nrdc.org" </w:instrText>
            </w:r>
            <w:r>
              <w:fldChar w:fldCharType="separate"/>
            </w:r>
            <w:r w:rsidRPr="0051706F">
              <w:rPr>
                <w:rStyle w:val="Hyperlink"/>
                <w:rFonts w:ascii="Times New Roman" w:eastAsia="Calibri" w:hAnsi="Times New Roman" w:cstheme="minorBidi"/>
                <w:color w:val="0000FF"/>
                <w:sz w:val="24"/>
                <w:szCs w:val="22"/>
                <w:u w:val="single"/>
                <w:lang w:val="en-US" w:eastAsia="en-US" w:bidi="ar-SA"/>
              </w:rPr>
              <w:t>swilliams@nrdc.org</w:t>
            </w:r>
            <w:r>
              <w:fldChar w:fldCharType="end"/>
            </w:r>
          </w:p>
          <w:p w:rsidR="002332BA" w:rsidP="002332BA">
            <w:pPr>
              <w:autoSpaceDE w:val="0"/>
              <w:autoSpaceDN w:val="0"/>
              <w:adjustRightInd w:val="0"/>
              <w:spacing w:after="0" w:line="240" w:lineRule="auto"/>
              <w:rPr>
                <w:rStyle w:val="DefaultParagraphFont"/>
                <w:rFonts w:ascii="PalatinoLinotype-Roman" w:hAnsi="PalatinoLinotype-Roman" w:eastAsiaTheme="minorHAnsi" w:cs="PalatinoLinotype-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"mailto:daltman@environlaw.com" </w:instrText>
            </w:r>
            <w:r>
              <w:fldChar w:fldCharType="separate"/>
            </w:r>
            <w:r w:rsidRPr="0051706F">
              <w:rPr>
                <w:rStyle w:val="Hyperlink"/>
                <w:rFonts w:ascii="PalatinoLinotype-Roman" w:hAnsi="PalatinoLinotype-Roman" w:eastAsiaTheme="minorHAnsi" w:cs="PalatinoLinotype-Roman"/>
                <w:color w:val="0000FF"/>
                <w:sz w:val="24"/>
                <w:szCs w:val="24"/>
                <w:u w:val="single"/>
                <w:lang w:val="en-US" w:eastAsia="en-US" w:bidi="ar-SA"/>
              </w:rPr>
              <w:t>daltman@environlaw.com</w:t>
            </w:r>
            <w:r>
              <w:fldChar w:fldCharType="end"/>
            </w:r>
          </w:p>
          <w:p w:rsidR="002332BA" w:rsidP="002332BA">
            <w:pPr>
              <w:autoSpaceDE w:val="0"/>
              <w:autoSpaceDN w:val="0"/>
              <w:adjustRightInd w:val="0"/>
              <w:spacing w:after="0" w:line="240" w:lineRule="auto"/>
              <w:rPr>
                <w:rStyle w:val="DefaultParagraphFont"/>
                <w:rFonts w:ascii="PalatinoLinotype-Roman" w:hAnsi="PalatinoLinotype-Roman" w:eastAsiaTheme="minorHAnsi" w:cs="PalatinoLinotype-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"mailto:jnewman@environlaw.com" </w:instrText>
            </w:r>
            <w:r>
              <w:fldChar w:fldCharType="separate"/>
            </w:r>
            <w:r w:rsidRPr="0051706F">
              <w:rPr>
                <w:rStyle w:val="Hyperlink"/>
                <w:rFonts w:ascii="PalatinoLinotype-Roman" w:hAnsi="PalatinoLinotype-Roman" w:eastAsiaTheme="minorHAnsi" w:cs="PalatinoLinotype-Roman"/>
                <w:color w:val="0000FF"/>
                <w:sz w:val="24"/>
                <w:szCs w:val="24"/>
                <w:u w:val="single"/>
                <w:lang w:val="en-US" w:eastAsia="en-US" w:bidi="ar-SA"/>
              </w:rPr>
              <w:t>jnewman@environlaw.com</w:t>
            </w:r>
            <w:r>
              <w:fldChar w:fldCharType="end"/>
            </w:r>
          </w:p>
          <w:p w:rsidR="002332BA" w:rsidRPr="00C5099D" w:rsidP="002332BA">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"mailto:jweber@environlaw.com" </w:instrText>
            </w:r>
            <w:r>
              <w:fldChar w:fldCharType="separate"/>
            </w:r>
            <w:r w:rsidRPr="0051706F">
              <w:rPr>
                <w:rStyle w:val="Hyperlink"/>
                <w:rFonts w:ascii="PalatinoLinotype-Roman" w:hAnsi="PalatinoLinotype-Roman" w:eastAsiaTheme="minorHAnsi" w:cs="PalatinoLinotype-Roman"/>
                <w:color w:val="0000FF"/>
                <w:sz w:val="24"/>
                <w:szCs w:val="24"/>
                <w:u w:val="single"/>
                <w:lang w:val="en-US" w:eastAsia="en-US" w:bidi="ar-SA"/>
              </w:rPr>
              <w:t>jweber@environlaw.com</w:t>
            </w:r>
            <w:r>
              <w:fldChar w:fldCharType="end"/>
            </w:r>
          </w:p>
        </w:tc>
      </w:tr>
    </w:tbl>
    <w:p w:rsidR="002332BA" w:rsidP="002332BA">
      <w:pPr>
        <w:spacing w:after="0" w:line="480" w:lineRule="auto"/>
        <w:rPr>
          <w:rFonts w:eastAsiaTheme="minorEastAsia" w:cs="Times New Roman"/>
          <w:b/>
          <w:szCs w:val="24"/>
        </w:rPr>
      </w:pPr>
    </w:p>
    <w:p w:rsidR="002332BA" w:rsidRPr="000D39C7" w:rsidP="002332BA">
      <w:pPr>
        <w:pStyle w:val="CommentText"/>
      </w:pPr>
      <w:r w:rsidRPr="000D39C7">
        <w:t>Attorney Examiner:</w:t>
      </w:r>
    </w:p>
    <w:p w:rsidR="002332BA" w:rsidRPr="000D39C7" w:rsidP="002332BA">
      <w:pPr>
        <w:pStyle w:val="CommentText"/>
      </w:pPr>
    </w:p>
    <w:p w:rsidR="002332BA" w:rsidRPr="00BF2F08" w:rsidP="002332BA">
      <w:pPr>
        <w:spacing w:after="0" w:line="480" w:lineRule="auto"/>
        <w:rPr>
          <w:rFonts w:eastAsiaTheme="minorEastAsia" w:cs="Times New Roman"/>
          <w:b/>
          <w:szCs w:val="24"/>
        </w:rPr>
      </w:pPr>
      <w:r>
        <w:fldChar w:fldCharType="begin"/>
      </w:r>
      <w:r>
        <w:instrText xml:space="preserve"> HYPERLINK "mailto:Nicholas.walstra@puc.state.oh.us" </w:instrText>
      </w:r>
      <w:r>
        <w:fldChar w:fldCharType="separate"/>
      </w:r>
      <w:r w:rsidRPr="000D39C7">
        <w:rPr>
          <w:rStyle w:val="Hyperlink"/>
        </w:rPr>
        <w:t>Nicholas.walstra@puc.state.oh.us</w:t>
      </w:r>
      <w:r>
        <w:fldChar w:fldCharType="end"/>
      </w:r>
    </w:p>
    <w:sectPr w:rsidSect="00DB29DA">
      <w:headerReference w:type="default" r:id="rId14"/>
      <w:footerReference w:type="defaul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865">
    <w:pPr>
      <w:pStyle w:val="Footer"/>
      <w:jc w:val="center"/>
    </w:pPr>
  </w:p>
  <w:p w:rsidR="00DB2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0239102"/>
      <w:docPartObj>
        <w:docPartGallery w:val="Page Numbers (Bottom of Page)"/>
        <w:docPartUnique/>
      </w:docPartObj>
    </w:sdtPr>
    <w:sdtEndPr>
      <w:rPr>
        <w:noProof/>
      </w:rPr>
    </w:sdtEndPr>
    <w:sdtContent>
      <w:p w:rsidR="008068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068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0399018"/>
      <w:docPartObj>
        <w:docPartGallery w:val="Page Numbers (Bottom of Page)"/>
        <w:docPartUnique/>
      </w:docPartObj>
    </w:sdtPr>
    <w:sdtEndPr>
      <w:rPr>
        <w:noProof/>
      </w:rPr>
    </w:sdtEndPr>
    <w:sdtContent>
      <w:p w:rsidR="000E56E0">
        <w:pPr>
          <w:pStyle w:val="Footer"/>
          <w:jc w:val="center"/>
        </w:pPr>
        <w:r>
          <w:fldChar w:fldCharType="begin"/>
        </w:r>
        <w:r>
          <w:instrText xml:space="preserve"> PAGE   \* MERGEFORMAT </w:instrText>
        </w:r>
        <w:r>
          <w:fldChar w:fldCharType="separate"/>
        </w:r>
        <w:r w:rsidR="00806865">
          <w:rPr>
            <w:noProof/>
          </w:rPr>
          <w:t>13</w:t>
        </w:r>
        <w:r>
          <w:rPr>
            <w:noProof/>
          </w:rPr>
          <w:fldChar w:fldCharType="end"/>
        </w:r>
      </w:p>
    </w:sdtContent>
  </w:sdt>
  <w:p w:rsidR="000E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6A06" w:rsidP="00076C62">
      <w:pPr>
        <w:spacing w:after="0" w:line="240" w:lineRule="auto"/>
      </w:pPr>
      <w:r>
        <w:separator/>
      </w:r>
    </w:p>
  </w:footnote>
  <w:footnote w:type="continuationSeparator" w:id="1">
    <w:p w:rsidR="007A6A06" w:rsidP="00076C62">
      <w:pPr>
        <w:spacing w:after="0" w:line="240" w:lineRule="auto"/>
      </w:pPr>
      <w:r>
        <w:continuationSeparator/>
      </w:r>
    </w:p>
  </w:footnote>
  <w:footnote w:id="2">
    <w:p w:rsidR="00064401"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Ohio Consumers' Counsel v. PUC</w:t>
      </w:r>
      <w:r w:rsidRPr="00372B7C">
        <w:rPr>
          <w:rFonts w:ascii="Times New Roman" w:hAnsi="Times New Roman" w:cs="Times New Roman"/>
        </w:rPr>
        <w:t>, 111 Ohio St.3d 300 (2006).</w:t>
      </w:r>
    </w:p>
  </w:footnote>
  <w:footnote w:id="3">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6.</w:t>
      </w:r>
    </w:p>
  </w:footnote>
  <w:footnote w:id="4">
    <w:p w:rsidR="00260A6C"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In re Complaint of David Wellman v. Ameritech Ohio</w:t>
      </w:r>
      <w:r w:rsidRPr="00372B7C">
        <w:rPr>
          <w:rFonts w:ascii="Times New Roman" w:hAnsi="Times New Roman" w:cs="Times New Roman"/>
        </w:rPr>
        <w:t>, Case No. 99-768-TP-CSS, 2002 Ohio PUC LEXIS 634, at *2, *5 (July 17, 2002).</w:t>
      </w:r>
    </w:p>
  </w:footnote>
  <w:footnote w:id="5">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111 Ohio St. 3d 300.</w:t>
      </w:r>
    </w:p>
  </w:footnote>
  <w:footnote w:id="6">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Id.</w:t>
      </w:r>
      <w:r w:rsidRPr="00372B7C">
        <w:rPr>
          <w:rFonts w:ascii="Times New Roman" w:hAnsi="Times New Roman" w:cs="Times New Roman"/>
        </w:rPr>
        <w:t xml:space="preserve"> at 320.</w:t>
      </w:r>
    </w:p>
  </w:footnote>
  <w:footnote w:id="7">
    <w:p w:rsidR="0096477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Motion to Compel at 4.</w:t>
      </w:r>
    </w:p>
  </w:footnote>
  <w:footnote w:id="8">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6. </w:t>
      </w:r>
      <w:r w:rsidRPr="00372B7C">
        <w:rPr>
          <w:rFonts w:ascii="Times New Roman" w:hAnsi="Times New Roman" w:cs="Times New Roman"/>
          <w:i/>
        </w:rPr>
        <w:t>See also</w:t>
      </w:r>
      <w:r w:rsidRPr="00372B7C">
        <w:rPr>
          <w:rFonts w:ascii="Times New Roman" w:hAnsi="Times New Roman" w:cs="Times New Roman"/>
        </w:rPr>
        <w:t xml:space="preserve"> Memo Contra at 3 ("The plan is forward-looking.").</w:t>
      </w:r>
    </w:p>
  </w:footnote>
  <w:footnote w:id="9">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See</w:t>
      </w:r>
      <w:r w:rsidRPr="00372B7C">
        <w:rPr>
          <w:rFonts w:ascii="Times New Roman" w:hAnsi="Times New Roman" w:cs="Times New Roman"/>
        </w:rPr>
        <w:t xml:space="preserve"> R.C. 4909.15(A)(1) (providing for valuation of property used and useful as of the date certain, which in this case is June 30, 2016).</w:t>
      </w:r>
    </w:p>
  </w:footnote>
  <w:footnote w:id="10">
    <w:p w:rsidR="00466F92"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Direct Testimony of Donald Schneider </w:t>
      </w:r>
      <w:r w:rsidRPr="00372B7C" w:rsidR="00810FC2">
        <w:rPr>
          <w:rFonts w:ascii="Times New Roman" w:hAnsi="Times New Roman" w:cs="Times New Roman"/>
        </w:rPr>
        <w:t xml:space="preserve">on Behalf of Duke Energy Ohio, Inc. </w:t>
      </w:r>
      <w:r w:rsidRPr="00372B7C">
        <w:rPr>
          <w:rFonts w:ascii="Times New Roman" w:hAnsi="Times New Roman" w:cs="Times New Roman"/>
        </w:rPr>
        <w:t>at 10</w:t>
      </w:r>
      <w:r w:rsidRPr="00372B7C" w:rsidR="00810FC2">
        <w:rPr>
          <w:rFonts w:ascii="Times New Roman" w:hAnsi="Times New Roman" w:cs="Times New Roman"/>
        </w:rPr>
        <w:t xml:space="preserve"> (Mar. 16, 2017)</w:t>
      </w:r>
      <w:r w:rsidRPr="00372B7C">
        <w:rPr>
          <w:rFonts w:ascii="Times New Roman" w:hAnsi="Times New Roman" w:cs="Times New Roman"/>
        </w:rPr>
        <w:t>.</w:t>
      </w:r>
    </w:p>
  </w:footnote>
  <w:footnote w:id="11">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R.C. 4909.15(A)(1). </w:t>
      </w:r>
      <w:r w:rsidRPr="00372B7C">
        <w:rPr>
          <w:rFonts w:ascii="Times New Roman" w:hAnsi="Times New Roman" w:cs="Times New Roman"/>
          <w:i/>
        </w:rPr>
        <w:t>See also Indus. Energy Users-Ohio v. PUC</w:t>
      </w:r>
      <w:r w:rsidRPr="00372B7C">
        <w:rPr>
          <w:rFonts w:ascii="Times New Roman" w:hAnsi="Times New Roman" w:cs="Times New Roman"/>
        </w:rPr>
        <w:t>, 117 Ohio St. 3d 486, 492 (2008) ("R.C. 4909.15 provides that any property sought to be included in the calculation of utility rates must be used and useful in rendering the public-utility service ...").</w:t>
      </w:r>
    </w:p>
  </w:footnote>
  <w:footnote w:id="12">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See</w:t>
      </w:r>
      <w:r w:rsidRPr="00372B7C">
        <w:rPr>
          <w:rFonts w:ascii="Times New Roman" w:hAnsi="Times New Roman" w:cs="Times New Roman"/>
        </w:rPr>
        <w:t xml:space="preserve"> </w:t>
      </w:r>
      <w:r w:rsidRPr="00372B7C" w:rsidR="000A5C68">
        <w:rPr>
          <w:rFonts w:ascii="Times New Roman" w:hAnsi="Times New Roman" w:cs="Times New Roman"/>
        </w:rPr>
        <w:t xml:space="preserve">Direct Testimony of James P. Henning on Behalf of Duke Energy Ohio, Inc. at 7 (Mar. 16, 2017) ("the revenue requirement for SmartGrid would be incorporated into base rates via this anticipated rate case"); </w:t>
      </w:r>
      <w:r w:rsidRPr="00372B7C">
        <w:rPr>
          <w:rFonts w:ascii="Times New Roman" w:hAnsi="Times New Roman" w:cs="Times New Roman"/>
        </w:rPr>
        <w:t>Direct Testimony of William Don Wathen Jr. on Behalf of Duke Energy Ohio, Inc. at 5 (Mar. 16, 2017) ("the Company requests, as part of this case, that the revenue requirement for its SmartGrid investment be 'rolled into' base rates").</w:t>
      </w:r>
    </w:p>
  </w:footnote>
  <w:footnote w:id="13">
    <w:p w:rsidR="0096477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OCC RPD 02-007; OCC INT 06-146.</w:t>
      </w:r>
    </w:p>
  </w:footnote>
  <w:footnote w:id="14">
    <w:p w:rsidR="0096477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OCC INT 02-011; OCC INT 02-045.</w:t>
      </w:r>
    </w:p>
  </w:footnote>
  <w:footnote w:id="15">
    <w:p w:rsidR="0096477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OCC INT 02-031; OCC INT 06-129.</w:t>
      </w:r>
    </w:p>
  </w:footnote>
  <w:footnote w:id="16">
    <w:p w:rsidR="0096477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OCC RPD 02-006.</w:t>
      </w:r>
    </w:p>
  </w:footnote>
  <w:footnote w:id="17">
    <w:p w:rsidR="0096477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OCC INT-04-099.</w:t>
      </w:r>
    </w:p>
  </w:footnote>
  <w:footnote w:id="18">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See</w:t>
      </w:r>
      <w:r w:rsidRPr="00372B7C">
        <w:rPr>
          <w:rFonts w:ascii="Times New Roman" w:hAnsi="Times New Roman" w:cs="Times New Roman"/>
        </w:rPr>
        <w:t xml:space="preserve"> Direct Testimony of Donald L. Schneider, Jr. on Behalf of Duke Energy Ohio, Inc. at 9, 13 (Mar. 16, 2017).</w:t>
      </w:r>
    </w:p>
  </w:footnote>
  <w:footnote w:id="19">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3.</w:t>
      </w:r>
    </w:p>
  </w:footnote>
  <w:footnote w:id="20">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3.</w:t>
      </w:r>
    </w:p>
  </w:footnote>
  <w:footnote w:id="21">
    <w:p w:rsidR="003C44C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In re Application of Duke Energy Ohio, Inc. for Authority to Adjust Rider AU for 2016 Grid Modernization Costs</w:t>
      </w:r>
      <w:r w:rsidRPr="00372B7C">
        <w:rPr>
          <w:rFonts w:ascii="Times New Roman" w:hAnsi="Times New Roman" w:cs="Times New Roman"/>
        </w:rPr>
        <w:t>, Case No. 17-690-GA-RDR, Entry (Sept. 14, 2017) (finding that this rate case "is the proper venue for the discussion of issues relating to Duke's proposal to implement new or updated AMI technology").</w:t>
      </w:r>
    </w:p>
  </w:footnote>
  <w:footnote w:id="22">
    <w:p w:rsidR="000A5C68"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Direct Testimony of William Don Wathen Jr. on Behalf of Duke Energy Ohio, Inc. at 3 (Mar. 16, 2017) ("the primary reason for filing the case, at this time ... is to fulfill a requirement in Case No. 10-2326-GE-RDR"); Direct Testimony of James P. Henning on Behalf of Duke Energy Ohio, Inc. at 7 (Mar. 16, 2017) ("Duke Energy Ohio agreed, as part of a prior stipulation, that it would file a base electric distribution rate case within one year of the Commission Staff finding that the Company had completed its SmartGrid deployment.") (citing Case No. 10-2326-GE-RDR).</w:t>
      </w:r>
    </w:p>
  </w:footnote>
  <w:footnote w:id="23">
    <w:p w:rsidR="00260A6C"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In re Application of Duke Energy Ohio, Inc. to Adjust &amp; Set its Gas &amp; Elec. Recovery Rate for 2010 SmartGrid Costs Under Riders AU &amp; Rider DR-IM &amp; Mid-deployment Review of AMI/SmartGrid Program</w:t>
      </w:r>
      <w:r w:rsidRPr="00372B7C">
        <w:rPr>
          <w:rFonts w:ascii="Times New Roman" w:hAnsi="Times New Roman" w:cs="Times New Roman"/>
        </w:rPr>
        <w:t>, Case No. 10-2326-GE-RDR, Stipulation &amp; Recommendation (Feb. 24, 2012) (the "2012 Settlement").</w:t>
      </w:r>
    </w:p>
  </w:footnote>
  <w:footnote w:id="24">
    <w:p w:rsidR="00496537"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sidR="00AC61D2">
        <w:rPr>
          <w:rFonts w:ascii="Times New Roman" w:hAnsi="Times New Roman" w:cs="Times New Roman"/>
          <w:i/>
        </w:rPr>
        <w:t>Id.</w:t>
      </w:r>
      <w:r w:rsidRPr="00372B7C" w:rsidR="00AC61D2">
        <w:rPr>
          <w:rFonts w:ascii="Times New Roman" w:hAnsi="Times New Roman" w:cs="Times New Roman"/>
        </w:rPr>
        <w:t>, Opinion &amp; Order (June 13, 2012).</w:t>
      </w:r>
    </w:p>
  </w:footnote>
  <w:footnote w:id="25">
    <w:p w:rsidR="00260A6C"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See</w:t>
      </w:r>
      <w:r w:rsidRPr="00372B7C">
        <w:rPr>
          <w:rFonts w:ascii="Times New Roman" w:hAnsi="Times New Roman" w:cs="Times New Roman"/>
        </w:rPr>
        <w:t xml:space="preserve"> 2012 Settlement § II</w:t>
      </w:r>
      <w:r w:rsidRPr="00372B7C" w:rsidR="00FB4F57">
        <w:rPr>
          <w:rFonts w:ascii="Times New Roman" w:hAnsi="Times New Roman" w:cs="Times New Roman"/>
        </w:rPr>
        <w:t>.</w:t>
      </w:r>
    </w:p>
  </w:footnote>
  <w:footnote w:id="26">
    <w:p w:rsidR="00FB4F57"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2012 Settlement § II.d, e.</w:t>
      </w:r>
    </w:p>
  </w:footnote>
  <w:footnote w:id="27">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7.</w:t>
      </w:r>
    </w:p>
  </w:footnote>
  <w:footnote w:id="28">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sidR="00A7295D">
        <w:rPr>
          <w:rFonts w:ascii="Times New Roman" w:hAnsi="Times New Roman" w:cs="Times New Roman"/>
          <w:i/>
        </w:rPr>
        <w:t>See, e.g.</w:t>
      </w:r>
      <w:r w:rsidRPr="00372B7C" w:rsidR="00A7295D">
        <w:rPr>
          <w:rFonts w:ascii="Times New Roman" w:hAnsi="Times New Roman" w:cs="Times New Roman"/>
        </w:rPr>
        <w:t>, Duke's response to OCC INT 2-31 (reference to publicly-filed testimony that is non-responsive); Duke's response to OCC INT 2-45 (same).</w:t>
      </w:r>
    </w:p>
  </w:footnote>
  <w:footnote w:id="29">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Ohio Adm. Code 4901-1-19(D) ("Where the answer to </w:t>
      </w:r>
      <w:r w:rsidRPr="00372B7C">
        <w:rPr>
          <w:rFonts w:ascii="Times New Roman" w:hAnsi="Times New Roman" w:cs="Times New Roman"/>
          <w:u w:val="single"/>
        </w:rPr>
        <w:t>an interrogatory</w:t>
      </w:r>
      <w:r w:rsidRPr="00372B7C">
        <w:rPr>
          <w:rFonts w:ascii="Times New Roman" w:hAnsi="Times New Roman" w:cs="Times New Roman"/>
        </w:rPr>
        <w:t xml:space="preserve"> may be derived or ascertained from the business records of the party upon whom the interrogatory has been served ...") (emphasis added).</w:t>
      </w:r>
    </w:p>
  </w:footnote>
  <w:footnote w:id="30">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Ohio Adm. Code 4901-1-20.</w:t>
      </w:r>
    </w:p>
  </w:footnote>
  <w:footnote w:id="31">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 xml:space="preserve">Id. </w:t>
      </w:r>
      <w:r w:rsidRPr="00372B7C">
        <w:rPr>
          <w:rFonts w:ascii="Times New Roman" w:hAnsi="Times New Roman" w:cs="Times New Roman"/>
        </w:rPr>
        <w:t xml:space="preserve">("Where the answer to an interrogatory </w:t>
      </w:r>
      <w:r w:rsidRPr="00372B7C">
        <w:rPr>
          <w:rFonts w:ascii="Times New Roman" w:hAnsi="Times New Roman" w:cs="Times New Roman"/>
          <w:u w:val="single"/>
        </w:rPr>
        <w:t>may be derived or ascertained from the business records of the party upon whom the interrogatory has been served</w:t>
      </w:r>
      <w:r w:rsidRPr="00372B7C">
        <w:rPr>
          <w:rFonts w:ascii="Times New Roman" w:hAnsi="Times New Roman" w:cs="Times New Roman"/>
        </w:rPr>
        <w:t xml:space="preserve"> ...") (emphasis added).</w:t>
      </w:r>
    </w:p>
  </w:footnote>
  <w:footnote w:id="32">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7-8.</w:t>
      </w:r>
    </w:p>
  </w:footnote>
  <w:footnote w:id="33">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sidR="00826644">
        <w:rPr>
          <w:rFonts w:ascii="Times New Roman" w:hAnsi="Times New Roman" w:cs="Times New Roman"/>
        </w:rPr>
        <w:t>Motion to Compel at 7-8.</w:t>
      </w:r>
    </w:p>
  </w:footnote>
  <w:footnote w:id="34">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Ohio Adm. Code 4901-1-19(C). </w:t>
      </w:r>
      <w:r w:rsidRPr="00372B7C">
        <w:rPr>
          <w:rFonts w:ascii="Times New Roman" w:hAnsi="Times New Roman" w:cs="Times New Roman"/>
          <w:i/>
        </w:rPr>
        <w:t>See also</w:t>
      </w:r>
      <w:r w:rsidRPr="00372B7C">
        <w:rPr>
          <w:rFonts w:ascii="Times New Roman" w:hAnsi="Times New Roman" w:cs="Times New Roman"/>
        </w:rPr>
        <w:t xml:space="preserve"> Ohio Adm. Code 4901-1-20(D) (party responding must "specify the location of the document").</w:t>
      </w:r>
    </w:p>
  </w:footnote>
  <w:footnote w:id="35">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sidR="00A7295D">
        <w:rPr>
          <w:rFonts w:ascii="Times New Roman" w:hAnsi="Times New Roman" w:cs="Times New Roman"/>
          <w:i/>
        </w:rPr>
        <w:t xml:space="preserve">See, e.g., </w:t>
      </w:r>
      <w:r w:rsidRPr="00372B7C" w:rsidR="00A7295D">
        <w:rPr>
          <w:rFonts w:ascii="Times New Roman" w:hAnsi="Times New Roman" w:cs="Times New Roman"/>
        </w:rPr>
        <w:t>Duke's response to OCC INT 2-45 (Duke providing wholesale references to testimony from six previous cases without any additional details).</w:t>
      </w:r>
    </w:p>
  </w:footnote>
  <w:footnote w:id="36">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sidR="00A7295D">
        <w:rPr>
          <w:rFonts w:ascii="Times New Roman" w:hAnsi="Times New Roman" w:cs="Times New Roman"/>
          <w:i/>
        </w:rPr>
        <w:t xml:space="preserve">See, e.g., </w:t>
      </w:r>
      <w:r w:rsidRPr="00372B7C" w:rsidR="00A7295D">
        <w:rPr>
          <w:rFonts w:ascii="Times New Roman" w:hAnsi="Times New Roman" w:cs="Times New Roman"/>
        </w:rPr>
        <w:t>Duke's response to OCC INT 2-31 (Duke responding by citing testimony that is non-responsive).</w:t>
      </w:r>
    </w:p>
  </w:footnote>
  <w:footnote w:id="37">
    <w:p w:rsidR="007A6A0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Ohio Adm. Code 4901-1-19(C) ("Where the answer to an interrogatory may be derived or ascertained ... from documents which the party served with the interrogatory has furnished to the party submitting the interrogatory within the preceding twelve months ..."). Ohio Adm. Code 4901-1-20(D) ("Where a request calls for the production of ... a document which the party upon whom the request is served has furnished to the party submitting the request within the preceding twelve months ...").</w:t>
      </w:r>
    </w:p>
  </w:footnote>
  <w:footnote w:id="38">
    <w:p w:rsidR="001F2F30"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Exhibit.</w:t>
      </w:r>
    </w:p>
  </w:footnote>
  <w:footnote w:id="39">
    <w:p w:rsidR="001F2F30"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See</w:t>
      </w:r>
      <w:r w:rsidRPr="00372B7C">
        <w:rPr>
          <w:rFonts w:ascii="Times New Roman" w:hAnsi="Times New Roman" w:cs="Times New Roman"/>
        </w:rPr>
        <w:t xml:space="preserve"> Motion to Compel Exhibit 2 at 7.</w:t>
      </w:r>
    </w:p>
  </w:footnote>
  <w:footnote w:id="40">
    <w:p w:rsidR="001F2F30"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Direct Testimony of Scott B. Nicholson on Behalf of Duke Energy Ohio, Inc. at 4:4-5 (Mar. 16, 2017).</w:t>
      </w:r>
    </w:p>
  </w:footnote>
  <w:footnote w:id="41">
    <w:p w:rsidR="00AC61D2"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Ohio Adm. Code 4901-1-23(B) (for purposes of a motion to compel, "an evasive or incomplete answer shall be treated as a failure to answer").</w:t>
      </w:r>
    </w:p>
  </w:footnote>
  <w:footnote w:id="42">
    <w:p w:rsidR="0082664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Memo Contra at Exhibit.</w:t>
      </w:r>
    </w:p>
  </w:footnote>
  <w:footnote w:id="43">
    <w:p w:rsidR="0082664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See</w:t>
      </w:r>
      <w:r w:rsidRPr="00372B7C">
        <w:rPr>
          <w:rFonts w:ascii="Times New Roman" w:hAnsi="Times New Roman" w:cs="Times New Roman"/>
        </w:rPr>
        <w:t xml:space="preserve"> Motion to Compel Exhibit 2 at 13.</w:t>
      </w:r>
    </w:p>
  </w:footnote>
  <w:footnote w:id="44">
    <w:p w:rsidR="00826644"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w:t>
      </w:r>
      <w:r w:rsidRPr="00372B7C">
        <w:rPr>
          <w:rFonts w:ascii="Times New Roman" w:hAnsi="Times New Roman" w:cs="Times New Roman"/>
          <w:i/>
        </w:rPr>
        <w:t>Id.</w:t>
      </w:r>
      <w:r w:rsidRPr="00372B7C" w:rsidR="00810FC2">
        <w:rPr>
          <w:rFonts w:ascii="Times New Roman" w:hAnsi="Times New Roman" w:cs="Times New Roman"/>
        </w:rPr>
        <w:t xml:space="preserve"> </w:t>
      </w:r>
      <w:r w:rsidRPr="00372B7C" w:rsidR="00810FC2">
        <w:rPr>
          <w:rFonts w:ascii="Times New Roman" w:hAnsi="Times New Roman" w:cs="Times New Roman"/>
          <w:szCs w:val="24"/>
        </w:rPr>
        <w:t xml:space="preserve">The performance level of self-healing teams has been an issue that has been raised in Ohio, and Duke’s experience in implementing these types of technologies is crucial in evaluating the effectiveness of proposals made by Duke. </w:t>
      </w:r>
      <w:r w:rsidRPr="00372B7C" w:rsidR="00810FC2">
        <w:rPr>
          <w:rFonts w:ascii="Times New Roman" w:hAnsi="Times New Roman" w:cs="Times New Roman"/>
          <w:i/>
          <w:szCs w:val="24"/>
        </w:rPr>
        <w:t xml:space="preserve">See </w:t>
      </w:r>
      <w:r w:rsidRPr="00372B7C" w:rsidR="00810FC2">
        <w:rPr>
          <w:rFonts w:ascii="Times New Roman" w:hAnsi="Times New Roman" w:cs="Times New Roman"/>
          <w:i/>
        </w:rPr>
        <w:t>In re Application of Duke Energy Ohio, Inc. to Adjust Rider DR-IM &amp; Rider AU for 2013 SmartGrid Costs</w:t>
      </w:r>
      <w:r w:rsidRPr="00372B7C" w:rsidR="00810FC2">
        <w:rPr>
          <w:rFonts w:ascii="Times New Roman" w:hAnsi="Times New Roman" w:cs="Times New Roman"/>
        </w:rPr>
        <w:t>, Case No. 14-1051-GE-RDR, Opinion and Order at 7-8 (Apr. 8, 2015).</w:t>
      </w:r>
    </w:p>
  </w:footnote>
  <w:footnote w:id="45">
    <w:p w:rsidR="003C44C6" w:rsidRPr="00372B7C" w:rsidP="00372B7C">
      <w:pPr>
        <w:pStyle w:val="FootnoteText"/>
        <w:spacing w:after="120"/>
        <w:rPr>
          <w:rFonts w:ascii="Times New Roman" w:hAnsi="Times New Roman" w:cs="Times New Roman"/>
        </w:rPr>
      </w:pPr>
      <w:r w:rsidRPr="00372B7C">
        <w:rPr>
          <w:rStyle w:val="FootnoteReference"/>
          <w:rFonts w:ascii="Times New Roman" w:hAnsi="Times New Roman" w:cs="Times New Roman"/>
        </w:rPr>
        <w:footnoteRef/>
      </w:r>
      <w:r w:rsidRPr="00372B7C">
        <w:rPr>
          <w:rFonts w:ascii="Times New Roman" w:hAnsi="Times New Roman" w:cs="Times New Roman"/>
        </w:rPr>
        <w:t xml:space="preserve"> Ohio Adm. Code 4901-1-23(B).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8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8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5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F33D8D"/>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F33D8D"/>
    <w:pPr>
      <w:spacing w:after="240" w:line="240" w:lineRule="auto"/>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F33D8D"/>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F33D8D"/>
    <w:rPr>
      <w:rFonts w:ascii="Times New Roman Bold" w:hAnsi="Times New Roman Bold"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4EEE"/>
    <w:pPr>
      <w:tabs>
        <w:tab w:val="left" w:pos="720"/>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Duke 17-32 - Reply ISO Motion to Compel Discovery  (00047901.DOCX;4)</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2017-09-25T16:13:44Z</dcterms:created>
  <dcterms:modified xsi:type="dcterms:W3CDTF">2017-09-25T16:13:44Z</dcterms:modified>
</cp:coreProperties>
</file>