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8C" w:rsidRPr="005A799D"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bookmarkStart w:id="0" w:name="_GoBack"/>
      <w:bookmarkEnd w:id="0"/>
      <w:r w:rsidRPr="005A799D">
        <w:rPr>
          <w:rFonts w:ascii="Times New Roman" w:eastAsia="Times New Roman" w:hAnsi="Times New Roman" w:cs="Times New Roman"/>
          <w:b/>
          <w:sz w:val="24"/>
          <w:szCs w:val="24"/>
        </w:rPr>
        <w:t>BEFORE</w:t>
      </w:r>
    </w:p>
    <w:p w:rsidR="00EE448C" w:rsidRPr="005A799D"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r w:rsidRPr="005A799D">
        <w:rPr>
          <w:rFonts w:ascii="Times New Roman" w:eastAsia="Times New Roman" w:hAnsi="Times New Roman" w:cs="Times New Roman"/>
          <w:b/>
          <w:sz w:val="24"/>
          <w:szCs w:val="24"/>
        </w:rPr>
        <w:t>THE PUBLIC UTILITIES COMMISSION OF OHIO</w:t>
      </w:r>
    </w:p>
    <w:p w:rsidR="00EE448C"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p>
    <w:p w:rsidR="00EE448C" w:rsidRPr="005A799D"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p>
    <w:tbl>
      <w:tblPr>
        <w:tblW w:w="9844" w:type="dxa"/>
        <w:tblLook w:val="04A0" w:firstRow="1" w:lastRow="0" w:firstColumn="1" w:lastColumn="0" w:noHBand="0" w:noVBand="1"/>
      </w:tblPr>
      <w:tblGrid>
        <w:gridCol w:w="4788"/>
        <w:gridCol w:w="455"/>
        <w:gridCol w:w="4601"/>
      </w:tblGrid>
      <w:tr w:rsidR="00EE448C" w:rsidRPr="005A799D" w:rsidTr="0059406D">
        <w:trPr>
          <w:trHeight w:val="1252"/>
        </w:trPr>
        <w:tc>
          <w:tcPr>
            <w:tcW w:w="4788" w:type="dxa"/>
            <w:shd w:val="clear" w:color="auto" w:fill="auto"/>
          </w:tcPr>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The Office of the Ohio Consumers’ Counsel,</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ind w:firstLine="7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Complainant,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v.</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Ohio Power Company,</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ind w:firstLine="7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Respondent.</w:t>
            </w:r>
          </w:p>
        </w:tc>
        <w:tc>
          <w:tcPr>
            <w:tcW w:w="455" w:type="dxa"/>
            <w:shd w:val="clear" w:color="auto" w:fill="auto"/>
          </w:tcPr>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  )</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tc>
        <w:tc>
          <w:tcPr>
            <w:tcW w:w="4601" w:type="dxa"/>
            <w:shd w:val="clear" w:color="auto" w:fill="auto"/>
          </w:tcPr>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105AB">
              <w:rPr>
                <w:rFonts w:ascii="Times New Roman" w:eastAsia="Times New Roman" w:hAnsi="Times New Roman" w:cs="Times New Roman"/>
                <w:sz w:val="24"/>
                <w:szCs w:val="24"/>
              </w:rPr>
              <w:t>Case No. 16-0782</w:t>
            </w:r>
            <w:r w:rsidRPr="005A799D">
              <w:rPr>
                <w:rFonts w:ascii="Times New Roman" w:eastAsia="Times New Roman" w:hAnsi="Times New Roman" w:cs="Times New Roman"/>
                <w:sz w:val="24"/>
                <w:szCs w:val="24"/>
              </w:rPr>
              <w:t>-EL-CSS</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tc>
      </w:tr>
    </w:tbl>
    <w:p w:rsidR="00EE448C" w:rsidRPr="005A799D" w:rsidRDefault="00EE448C" w:rsidP="00EE448C">
      <w:pPr>
        <w:pBdr>
          <w:bottom w:val="single" w:sz="12" w:space="0" w:color="auto"/>
        </w:pBdr>
        <w:tabs>
          <w:tab w:val="left" w:pos="0"/>
          <w:tab w:val="left" w:pos="720"/>
        </w:tabs>
        <w:spacing w:after="0" w:line="240" w:lineRule="auto"/>
        <w:rPr>
          <w:rFonts w:ascii="Times New Roman" w:eastAsia="Times New Roman" w:hAnsi="Times New Roman" w:cs="Times New Roman"/>
          <w:b/>
          <w:sz w:val="24"/>
          <w:szCs w:val="24"/>
        </w:rPr>
      </w:pPr>
    </w:p>
    <w:p w:rsidR="00EE448C" w:rsidRPr="005A799D" w:rsidRDefault="00EE448C" w:rsidP="00EE448C">
      <w:pPr>
        <w:tabs>
          <w:tab w:val="left" w:pos="0"/>
          <w:tab w:val="left" w:pos="720"/>
        </w:tabs>
        <w:spacing w:after="0" w:line="240" w:lineRule="auto"/>
        <w:rPr>
          <w:rFonts w:ascii="Times New Roman" w:eastAsia="Times New Roman" w:hAnsi="Times New Roman" w:cs="Times New Roman"/>
          <w:b/>
          <w:sz w:val="24"/>
          <w:szCs w:val="24"/>
        </w:rPr>
      </w:pPr>
    </w:p>
    <w:p w:rsidR="00EE448C" w:rsidRDefault="00EE448C" w:rsidP="00EE44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REPLY TO MEMORANDUM CONTRA OF </w:t>
      </w:r>
    </w:p>
    <w:p w:rsidR="00EE448C" w:rsidRPr="005A799D" w:rsidRDefault="00EE448C" w:rsidP="00EE44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NATIONWIDE ENERGY PARTNERS, LLC</w:t>
      </w:r>
    </w:p>
    <w:p w:rsidR="00EE448C" w:rsidRPr="005A799D" w:rsidRDefault="00EE448C" w:rsidP="00EE448C">
      <w:pPr>
        <w:spacing w:after="0" w:line="240" w:lineRule="auto"/>
        <w:jc w:val="center"/>
        <w:rPr>
          <w:rFonts w:ascii="Times New Roman" w:eastAsia="Times New Roman" w:hAnsi="Times New Roman" w:cs="Times New Roman"/>
          <w:b/>
          <w:sz w:val="24"/>
          <w:szCs w:val="24"/>
        </w:rPr>
      </w:pPr>
      <w:r w:rsidRPr="005A799D">
        <w:rPr>
          <w:rFonts w:ascii="Times New Roman" w:eastAsia="Times New Roman" w:hAnsi="Times New Roman" w:cs="Times New Roman"/>
          <w:b/>
          <w:sz w:val="24"/>
          <w:szCs w:val="24"/>
        </w:rPr>
        <w:t>BY</w:t>
      </w:r>
    </w:p>
    <w:p w:rsidR="00EE448C" w:rsidRPr="005A799D" w:rsidRDefault="00EE448C" w:rsidP="00EE448C">
      <w:pPr>
        <w:pBdr>
          <w:bottom w:val="single" w:sz="12" w:space="1" w:color="auto"/>
        </w:pBdr>
        <w:spacing w:after="0" w:line="240" w:lineRule="auto"/>
        <w:jc w:val="center"/>
        <w:rPr>
          <w:rFonts w:ascii="Times New Roman" w:eastAsia="Times New Roman" w:hAnsi="Times New Roman" w:cs="Times New Roman"/>
          <w:b/>
          <w:sz w:val="24"/>
          <w:szCs w:val="24"/>
        </w:rPr>
      </w:pPr>
      <w:r w:rsidRPr="005A799D">
        <w:rPr>
          <w:rFonts w:ascii="Times New Roman" w:eastAsia="Times New Roman" w:hAnsi="Times New Roman" w:cs="Times New Roman"/>
          <w:b/>
          <w:sz w:val="24"/>
          <w:szCs w:val="24"/>
        </w:rPr>
        <w:t>THE OFFICE OF THE OHIO CONSUMERS’ COUNSEL</w:t>
      </w:r>
      <w:r w:rsidRPr="005A799D">
        <w:rPr>
          <w:rFonts w:ascii="Times New Roman" w:eastAsia="Times New Roman" w:hAnsi="Times New Roman" w:cs="Times New Roman"/>
          <w:b/>
          <w:sz w:val="24"/>
          <w:szCs w:val="24"/>
        </w:rPr>
        <w:br/>
      </w:r>
    </w:p>
    <w:p w:rsidR="00EE448C" w:rsidRPr="005A799D" w:rsidRDefault="00EE448C" w:rsidP="00EE448C">
      <w:pPr>
        <w:autoSpaceDE w:val="0"/>
        <w:autoSpaceDN w:val="0"/>
        <w:adjustRightInd w:val="0"/>
        <w:spacing w:after="0" w:line="240" w:lineRule="auto"/>
        <w:ind w:firstLine="720"/>
        <w:rPr>
          <w:rFonts w:ascii="Times New Roman" w:eastAsia="Times New Roman" w:hAnsi="Times New Roman" w:cs="Times New Roman"/>
          <w:sz w:val="24"/>
          <w:szCs w:val="24"/>
        </w:rPr>
      </w:pPr>
    </w:p>
    <w:p w:rsidR="00F238C3" w:rsidRPr="00F238C3" w:rsidRDefault="00F238C3" w:rsidP="00B72E77">
      <w:pPr>
        <w:pStyle w:val="ListParagraph"/>
        <w:numPr>
          <w:ilvl w:val="0"/>
          <w:numId w:val="1"/>
        </w:numPr>
        <w:autoSpaceDE w:val="0"/>
        <w:autoSpaceDN w:val="0"/>
        <w:spacing w:after="0" w:line="480" w:lineRule="auto"/>
        <w:ind w:left="720" w:hanging="540"/>
        <w:rPr>
          <w:rFonts w:ascii="Times New Roman" w:eastAsia="Times New Roman" w:hAnsi="Times New Roman" w:cs="Times New Roman"/>
          <w:b/>
          <w:caps/>
          <w:sz w:val="24"/>
          <w:szCs w:val="24"/>
        </w:rPr>
      </w:pPr>
      <w:r w:rsidRPr="00F238C3">
        <w:rPr>
          <w:rFonts w:ascii="Times New Roman" w:eastAsia="Times New Roman" w:hAnsi="Times New Roman" w:cs="Times New Roman"/>
          <w:b/>
          <w:caps/>
          <w:sz w:val="24"/>
          <w:szCs w:val="24"/>
        </w:rPr>
        <w:t>Introduction</w:t>
      </w:r>
    </w:p>
    <w:p w:rsidR="00C13E2F" w:rsidRDefault="00EE448C" w:rsidP="008129E1">
      <w:pPr>
        <w:autoSpaceDE w:val="0"/>
        <w:autoSpaceDN w:val="0"/>
        <w:spacing w:after="0" w:line="480" w:lineRule="auto"/>
        <w:ind w:firstLine="720"/>
        <w:rPr>
          <w:rFonts w:ascii="Times New Roman" w:eastAsia="Times New Roman" w:hAnsi="Times New Roman" w:cs="Times New Roman"/>
          <w:sz w:val="24"/>
          <w:szCs w:val="24"/>
        </w:rPr>
        <w:sectPr w:rsidR="00C13E2F" w:rsidSect="003B1EC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rFonts w:ascii="Times New Roman" w:eastAsia="Times New Roman" w:hAnsi="Times New Roman" w:cs="Times New Roman"/>
          <w:sz w:val="24"/>
          <w:szCs w:val="24"/>
        </w:rPr>
        <w:t>On April 12, 2016, the Office of the Ohio Consumers’ Counsel (“OCC”) filed a complaint against Ohio Power Company (“AEP Ohio”) to protect submetered residential consumers in its service territory. The complaint would protect Ohioans who have been billed unreasonably high rates and denied the significant consumer protections and market-based pricing that other Ohioans receive.</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Simultaneously with its complaint, OCC filed a motion for a moratorium on all new AEP Ohio sales </w:t>
      </w:r>
      <w:r w:rsidRPr="00773111">
        <w:rPr>
          <w:rFonts w:ascii="Times New Roman" w:eastAsia="Times New Roman" w:hAnsi="Times New Roman" w:cs="Times New Roman"/>
          <w:sz w:val="24"/>
          <w:szCs w:val="24"/>
        </w:rPr>
        <w:t>to submeterers who resell service to submetered residential consumers.</w:t>
      </w:r>
      <w:r w:rsidRPr="00773111">
        <w:rPr>
          <w:rStyle w:val="FootnoteReference"/>
          <w:rFonts w:ascii="Times New Roman" w:eastAsia="Times New Roman" w:hAnsi="Times New Roman" w:cs="Times New Roman"/>
          <w:sz w:val="24"/>
          <w:szCs w:val="24"/>
        </w:rPr>
        <w:footnoteReference w:id="2"/>
      </w:r>
    </w:p>
    <w:p w:rsidR="00EE448C" w:rsidRDefault="00EE448C" w:rsidP="00EE448C">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April 27, 2016, AEP Ohio filed an answer to the OCC complaint, a memorandum contra the OCC’s motion for a moratorium, and its own motion to amend</w:t>
      </w:r>
      <w:r w:rsidR="006F6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tariffs.</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r w:rsidR="006F6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its motion to amend, AEP Ohio agreed with OCC that “the practice of ‘submetering’ has proliferated in recent years and has caused substantial harm to customers in AEP Ohio’s territory.”</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As a means to prevent further harm to consumers from submeterers, AEP Ohio proposed to revise its tariff “to limit the harm caused by submetering.”</w:t>
      </w:r>
      <w:r>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Specifically, AEP Ohio requested approval of tariff modifications so that AEP Ohio will “not provide electric service to any submetered premises where a landlord, condominium association, ‘submetering company,’ or any other entity is assessing a markup or separate charge to individual tenants or occupants.”</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AEP Ohio explained that its tariff modification would prohibit electrical service from being provided to any premise served by AEP Ohio where any markup or additional charge is assessed to all end-use customers for electric service.</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AEP Ohio’s request appears to be a blanket prohibition of reselling electric service,</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applying to anyone who assesses a charge or markup to AEP Ohio’s charges</w:t>
      </w:r>
      <w:r w:rsidR="00820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820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submetered customers, including non-residential customers.</w:t>
      </w:r>
    </w:p>
    <w:p w:rsidR="00ED4E24" w:rsidRDefault="00F238C3" w:rsidP="00F238C3">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OCC filed </w:t>
      </w:r>
      <w:r w:rsidR="00A36B5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memorandum contra AEP Ohio’s motion to amend on May 12, 2016.</w:t>
      </w:r>
      <w:r>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The Industrial Energy Users-Ohio (IEU) and Nationwide Energy Partners, LLC (NEP) also filed m</w:t>
      </w:r>
      <w:r w:rsidR="00EE47DF">
        <w:rPr>
          <w:rFonts w:ascii="Times New Roman" w:eastAsia="Times New Roman" w:hAnsi="Times New Roman" w:cs="Times New Roman"/>
          <w:sz w:val="24"/>
          <w:szCs w:val="24"/>
        </w:rPr>
        <w:t>emoranda</w:t>
      </w:r>
      <w:r w:rsidR="0070115E">
        <w:rPr>
          <w:rFonts w:ascii="Times New Roman" w:eastAsia="Times New Roman" w:hAnsi="Times New Roman" w:cs="Times New Roman"/>
          <w:sz w:val="24"/>
          <w:szCs w:val="24"/>
        </w:rPr>
        <w:t xml:space="preserve"> contra AEP Ohio’s motion</w:t>
      </w:r>
      <w:r>
        <w:rPr>
          <w:rFonts w:ascii="Times New Roman" w:eastAsia="Times New Roman" w:hAnsi="Times New Roman" w:cs="Times New Roman"/>
          <w:sz w:val="24"/>
          <w:szCs w:val="24"/>
        </w:rPr>
        <w:t xml:space="preserve"> to amend</w:t>
      </w:r>
      <w:r w:rsidR="0059406D">
        <w:rPr>
          <w:rFonts w:ascii="Times New Roman" w:eastAsia="Times New Roman" w:hAnsi="Times New Roman" w:cs="Times New Roman"/>
          <w:sz w:val="24"/>
          <w:szCs w:val="24"/>
        </w:rPr>
        <w:t>.</w:t>
      </w:r>
      <w:r w:rsidR="0070115E">
        <w:rPr>
          <w:rStyle w:val="FootnoteReference"/>
          <w:rFonts w:ascii="Times New Roman" w:eastAsia="Times New Roman" w:hAnsi="Times New Roman" w:cs="Times New Roman"/>
          <w:sz w:val="24"/>
          <w:szCs w:val="24"/>
        </w:rPr>
        <w:footnoteReference w:id="10"/>
      </w:r>
      <w:r w:rsidR="006F6FBF">
        <w:rPr>
          <w:rFonts w:ascii="Times New Roman" w:eastAsia="Times New Roman" w:hAnsi="Times New Roman" w:cs="Times New Roman"/>
          <w:sz w:val="24"/>
          <w:szCs w:val="24"/>
        </w:rPr>
        <w:t xml:space="preserve">  </w:t>
      </w:r>
      <w:r w:rsidR="0059406D">
        <w:rPr>
          <w:rFonts w:ascii="Times New Roman" w:eastAsia="Times New Roman" w:hAnsi="Times New Roman" w:cs="Times New Roman"/>
          <w:sz w:val="24"/>
          <w:szCs w:val="24"/>
        </w:rPr>
        <w:t xml:space="preserve">IEU, NEP, and the Ohio Apartment Association and the International Council of Shopping </w:t>
      </w:r>
      <w:r w:rsidR="00ED4E24">
        <w:rPr>
          <w:rFonts w:ascii="Times New Roman" w:eastAsia="Times New Roman" w:hAnsi="Times New Roman" w:cs="Times New Roman"/>
          <w:sz w:val="24"/>
          <w:szCs w:val="24"/>
        </w:rPr>
        <w:t>Centers</w:t>
      </w:r>
      <w:r w:rsidR="00C13E2F">
        <w:rPr>
          <w:rFonts w:ascii="Times New Roman" w:eastAsia="Times New Roman" w:hAnsi="Times New Roman" w:cs="Times New Roman"/>
          <w:sz w:val="24"/>
          <w:szCs w:val="24"/>
        </w:rPr>
        <w:t xml:space="preserve"> </w:t>
      </w:r>
      <w:r w:rsidR="00ED4E24">
        <w:rPr>
          <w:rFonts w:ascii="Times New Roman" w:eastAsia="Times New Roman" w:hAnsi="Times New Roman" w:cs="Times New Roman"/>
          <w:sz w:val="24"/>
          <w:szCs w:val="24"/>
        </w:rPr>
        <w:t xml:space="preserve">(OAA/ICSC) </w:t>
      </w:r>
      <w:r>
        <w:rPr>
          <w:rFonts w:ascii="Times New Roman" w:eastAsia="Times New Roman" w:hAnsi="Times New Roman" w:cs="Times New Roman"/>
          <w:sz w:val="24"/>
          <w:szCs w:val="24"/>
        </w:rPr>
        <w:t>moved to intervene in this proceeding.</w:t>
      </w:r>
      <w:r>
        <w:rPr>
          <w:rStyle w:val="FootnoteReference"/>
          <w:rFonts w:ascii="Times New Roman" w:eastAsia="Times New Roman" w:hAnsi="Times New Roman" w:cs="Times New Roman"/>
          <w:sz w:val="24"/>
          <w:szCs w:val="24"/>
        </w:rPr>
        <w:footnoteReference w:id="11"/>
      </w:r>
    </w:p>
    <w:p w:rsidR="00F238C3" w:rsidRDefault="0070115E" w:rsidP="00F238C3">
      <w:pPr>
        <w:autoSpaceDE w:val="0"/>
        <w:autoSpaceDN w:val="0"/>
        <w:spacing w:after="0" w:line="480" w:lineRule="auto"/>
        <w:ind w:firstLine="720"/>
        <w:rPr>
          <w:rFonts w:ascii="Times New Roman" w:hAnsi="Times New Roman"/>
          <w:sz w:val="24"/>
          <w:szCs w:val="24"/>
        </w:rPr>
      </w:pPr>
      <w:r>
        <w:rPr>
          <w:rFonts w:ascii="Times New Roman" w:eastAsia="Times New Roman" w:hAnsi="Times New Roman" w:cs="Times New Roman"/>
          <w:sz w:val="24"/>
          <w:szCs w:val="24"/>
        </w:rPr>
        <w:t xml:space="preserve">In </w:t>
      </w:r>
      <w:r w:rsidR="00F238C3">
        <w:rPr>
          <w:rFonts w:ascii="Times New Roman" w:eastAsia="Times New Roman" w:hAnsi="Times New Roman" w:cs="Times New Roman"/>
          <w:sz w:val="24"/>
          <w:szCs w:val="24"/>
        </w:rPr>
        <w:t>OCC</w:t>
      </w:r>
      <w:r>
        <w:rPr>
          <w:rFonts w:ascii="Times New Roman" w:eastAsia="Times New Roman" w:hAnsi="Times New Roman" w:cs="Times New Roman"/>
          <w:sz w:val="24"/>
          <w:szCs w:val="24"/>
        </w:rPr>
        <w:t>’s memorandum contra AEP Ohio’s motion to amend,</w:t>
      </w:r>
      <w:r w:rsidR="006F6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OCC </w:t>
      </w:r>
      <w:r w:rsidR="00ED4E24">
        <w:rPr>
          <w:rFonts w:ascii="Times New Roman" w:eastAsia="Times New Roman" w:hAnsi="Times New Roman" w:cs="Times New Roman"/>
          <w:sz w:val="24"/>
          <w:szCs w:val="24"/>
        </w:rPr>
        <w:t xml:space="preserve">stated that it appreciated AEP Ohio’s proposal to not provide electric service </w:t>
      </w:r>
      <w:r w:rsidR="00ED4E24" w:rsidRPr="00ED4E24">
        <w:rPr>
          <w:rFonts w:ascii="Times New Roman" w:eastAsia="Calibri" w:hAnsi="Times New Roman" w:cs="Times New Roman"/>
          <w:sz w:val="24"/>
          <w:szCs w:val="24"/>
        </w:rPr>
        <w:t>to apartment communities, condominium complexes, and other types of housing that submeter to residential customers.</w:t>
      </w:r>
      <w:r w:rsidR="00ED4E24">
        <w:rPr>
          <w:rStyle w:val="FootnoteReference"/>
          <w:rFonts w:ascii="Times New Roman" w:eastAsia="Calibri" w:hAnsi="Times New Roman" w:cs="Times New Roman"/>
          <w:sz w:val="24"/>
          <w:szCs w:val="24"/>
        </w:rPr>
        <w:footnoteReference w:id="12"/>
      </w:r>
      <w:r w:rsidR="00ED4E24">
        <w:rPr>
          <w:rFonts w:ascii="Times New Roman" w:eastAsia="Calibri" w:hAnsi="Times New Roman" w:cs="Times New Roman"/>
          <w:sz w:val="24"/>
          <w:szCs w:val="24"/>
        </w:rPr>
        <w:t xml:space="preserve">  However, OCC </w:t>
      </w:r>
      <w:r>
        <w:rPr>
          <w:rFonts w:ascii="Times New Roman" w:eastAsia="Times New Roman" w:hAnsi="Times New Roman" w:cs="Times New Roman"/>
          <w:sz w:val="24"/>
          <w:szCs w:val="24"/>
        </w:rPr>
        <w:t xml:space="preserve">explained that </w:t>
      </w:r>
      <w:r w:rsidR="00F238C3">
        <w:rPr>
          <w:rFonts w:ascii="Times New Roman" w:hAnsi="Times New Roman"/>
          <w:sz w:val="24"/>
          <w:szCs w:val="24"/>
        </w:rPr>
        <w:t>AEP</w:t>
      </w:r>
      <w:r>
        <w:rPr>
          <w:rFonts w:ascii="Times New Roman" w:hAnsi="Times New Roman"/>
          <w:sz w:val="24"/>
          <w:szCs w:val="24"/>
        </w:rPr>
        <w:t xml:space="preserve"> Ohio’s </w:t>
      </w:r>
      <w:r w:rsidR="00F238C3">
        <w:rPr>
          <w:rFonts w:ascii="Times New Roman" w:hAnsi="Times New Roman"/>
          <w:sz w:val="24"/>
          <w:szCs w:val="24"/>
        </w:rPr>
        <w:t>desire to alter its tariff to address non-residential issues goes beyond the scope of OCC’s complaint, which is to</w:t>
      </w:r>
      <w:r w:rsidR="00820DE2">
        <w:rPr>
          <w:rFonts w:ascii="Times New Roman" w:hAnsi="Times New Roman"/>
          <w:sz w:val="24"/>
          <w:szCs w:val="24"/>
        </w:rPr>
        <w:t xml:space="preserve"> </w:t>
      </w:r>
      <w:r w:rsidR="00F238C3">
        <w:rPr>
          <w:rFonts w:ascii="Times New Roman" w:hAnsi="Times New Roman"/>
          <w:sz w:val="24"/>
          <w:szCs w:val="24"/>
        </w:rPr>
        <w:t xml:space="preserve">ban submetering to </w:t>
      </w:r>
      <w:r>
        <w:rPr>
          <w:rFonts w:ascii="Times New Roman" w:hAnsi="Times New Roman"/>
          <w:i/>
          <w:sz w:val="24"/>
          <w:szCs w:val="24"/>
        </w:rPr>
        <w:t>residential</w:t>
      </w:r>
      <w:r>
        <w:rPr>
          <w:rFonts w:ascii="Times New Roman" w:hAnsi="Times New Roman"/>
          <w:sz w:val="24"/>
          <w:szCs w:val="24"/>
        </w:rPr>
        <w:t xml:space="preserve"> c</w:t>
      </w:r>
      <w:r w:rsidR="00F238C3">
        <w:rPr>
          <w:rFonts w:ascii="Times New Roman" w:hAnsi="Times New Roman"/>
          <w:sz w:val="24"/>
          <w:szCs w:val="24"/>
        </w:rPr>
        <w:t>ustomers</w:t>
      </w:r>
      <w:r w:rsidR="00FD47B4">
        <w:rPr>
          <w:rFonts w:ascii="Times New Roman" w:hAnsi="Times New Roman"/>
          <w:sz w:val="24"/>
          <w:szCs w:val="24"/>
        </w:rPr>
        <w:t>.</w:t>
      </w:r>
      <w:r w:rsidR="00F238C3">
        <w:rPr>
          <w:rStyle w:val="FootnoteReference"/>
          <w:rFonts w:ascii="Times New Roman" w:eastAsia="Times New Roman" w:hAnsi="Times New Roman" w:cs="Times New Roman"/>
          <w:sz w:val="24"/>
          <w:szCs w:val="24"/>
        </w:rPr>
        <w:footnoteReference w:id="13"/>
      </w:r>
      <w:r w:rsidR="00820DE2">
        <w:rPr>
          <w:rFonts w:ascii="Times New Roman" w:hAnsi="Times New Roman"/>
          <w:sz w:val="24"/>
          <w:szCs w:val="24"/>
        </w:rPr>
        <w:t xml:space="preserve">  </w:t>
      </w:r>
      <w:r>
        <w:rPr>
          <w:rFonts w:ascii="Times New Roman" w:hAnsi="Times New Roman"/>
          <w:sz w:val="24"/>
          <w:szCs w:val="24"/>
        </w:rPr>
        <w:t xml:space="preserve">OCC also </w:t>
      </w:r>
      <w:r w:rsidR="00FD47B4">
        <w:rPr>
          <w:rFonts w:ascii="Times New Roman" w:hAnsi="Times New Roman"/>
          <w:sz w:val="24"/>
          <w:szCs w:val="24"/>
        </w:rPr>
        <w:t>argued</w:t>
      </w:r>
      <w:r>
        <w:rPr>
          <w:rFonts w:ascii="Times New Roman" w:hAnsi="Times New Roman"/>
          <w:sz w:val="24"/>
          <w:szCs w:val="24"/>
        </w:rPr>
        <w:t xml:space="preserve"> that </w:t>
      </w:r>
      <w:r w:rsidR="00F238C3">
        <w:rPr>
          <w:rFonts w:ascii="Times New Roman" w:hAnsi="Times New Roman"/>
          <w:sz w:val="24"/>
          <w:szCs w:val="24"/>
        </w:rPr>
        <w:t>AEP Ohio’s proposed expansion raises additional issues not raised in OCC's complaint to protect residential consumers</w:t>
      </w:r>
      <w:r w:rsidR="00FD47B4">
        <w:rPr>
          <w:rFonts w:ascii="Times New Roman" w:hAnsi="Times New Roman"/>
          <w:sz w:val="24"/>
          <w:szCs w:val="24"/>
        </w:rPr>
        <w:t xml:space="preserve"> that</w:t>
      </w:r>
      <w:r w:rsidR="006F6FBF">
        <w:rPr>
          <w:rFonts w:ascii="Times New Roman" w:hAnsi="Times New Roman"/>
          <w:sz w:val="24"/>
          <w:szCs w:val="24"/>
        </w:rPr>
        <w:t xml:space="preserve"> </w:t>
      </w:r>
      <w:r w:rsidR="00F238C3">
        <w:rPr>
          <w:rFonts w:ascii="Times New Roman" w:hAnsi="Times New Roman"/>
          <w:sz w:val="24"/>
          <w:szCs w:val="24"/>
        </w:rPr>
        <w:t>will unduly prolong and delay needed relief to protect residential customers.</w:t>
      </w:r>
      <w:r>
        <w:rPr>
          <w:rStyle w:val="FootnoteReference"/>
          <w:rFonts w:ascii="Times New Roman" w:hAnsi="Times New Roman"/>
          <w:sz w:val="24"/>
          <w:szCs w:val="24"/>
        </w:rPr>
        <w:footnoteReference w:id="14"/>
      </w:r>
      <w:r w:rsidR="00820DE2">
        <w:rPr>
          <w:rFonts w:ascii="Times New Roman" w:hAnsi="Times New Roman"/>
          <w:sz w:val="24"/>
          <w:szCs w:val="24"/>
        </w:rPr>
        <w:t xml:space="preserve">  </w:t>
      </w:r>
      <w:r w:rsidR="00FD47B4">
        <w:rPr>
          <w:rFonts w:ascii="Times New Roman" w:hAnsi="Times New Roman"/>
          <w:sz w:val="24"/>
          <w:szCs w:val="24"/>
        </w:rPr>
        <w:t xml:space="preserve">IEU agreed that the complaint should be limited to address “legitimate concerns of residential customers,” asserting that AEP Ohio failed “to </w:t>
      </w:r>
      <w:r w:rsidR="00FD47B4">
        <w:rPr>
          <w:rFonts w:ascii="Times New Roman" w:hAnsi="Times New Roman"/>
          <w:sz w:val="24"/>
          <w:szCs w:val="24"/>
        </w:rPr>
        <w:lastRenderedPageBreak/>
        <w:t>demonstrate any factual basis for expanding the remedy sought by OCC for the alleged injuries suffered by residential customers.”</w:t>
      </w:r>
      <w:r w:rsidR="00FD47B4">
        <w:rPr>
          <w:rStyle w:val="FootnoteReference"/>
          <w:rFonts w:ascii="Times New Roman" w:hAnsi="Times New Roman"/>
          <w:sz w:val="24"/>
          <w:szCs w:val="24"/>
        </w:rPr>
        <w:footnoteReference w:id="15"/>
      </w:r>
    </w:p>
    <w:p w:rsidR="00FD47B4" w:rsidRDefault="00FD47B4" w:rsidP="00F238C3">
      <w:pPr>
        <w:autoSpaceDE w:val="0"/>
        <w:autoSpaceDN w:val="0"/>
        <w:spacing w:after="0" w:line="480" w:lineRule="auto"/>
        <w:ind w:firstLine="720"/>
        <w:rPr>
          <w:rFonts w:ascii="Times New Roman" w:hAnsi="Times New Roman"/>
          <w:sz w:val="24"/>
          <w:szCs w:val="24"/>
        </w:rPr>
      </w:pPr>
      <w:r>
        <w:rPr>
          <w:rFonts w:ascii="Times New Roman" w:hAnsi="Times New Roman"/>
          <w:sz w:val="24"/>
          <w:szCs w:val="24"/>
        </w:rPr>
        <w:t>OCC hereby files its</w:t>
      </w:r>
      <w:r w:rsidR="0059406D">
        <w:rPr>
          <w:rFonts w:ascii="Times New Roman" w:hAnsi="Times New Roman"/>
          <w:sz w:val="24"/>
          <w:szCs w:val="24"/>
        </w:rPr>
        <w:t xml:space="preserve"> reply to NEP’s memorandum contra AEP Ohio’s motion to amend.</w:t>
      </w:r>
    </w:p>
    <w:p w:rsidR="00933D54" w:rsidRPr="00897BE1" w:rsidRDefault="00933D54" w:rsidP="00933D54">
      <w:pPr>
        <w:autoSpaceDE w:val="0"/>
        <w:autoSpaceDN w:val="0"/>
        <w:spacing w:after="0" w:line="240" w:lineRule="auto"/>
        <w:ind w:firstLine="720"/>
        <w:rPr>
          <w:rFonts w:ascii="Times New Roman" w:eastAsia="Calibri" w:hAnsi="Times New Roman" w:cs="Times New Roman"/>
          <w:sz w:val="24"/>
          <w:szCs w:val="24"/>
        </w:rPr>
      </w:pPr>
    </w:p>
    <w:p w:rsidR="00F238C3" w:rsidRPr="0059406D" w:rsidRDefault="0059406D" w:rsidP="005119EF">
      <w:pPr>
        <w:pStyle w:val="ListParagraph"/>
        <w:numPr>
          <w:ilvl w:val="0"/>
          <w:numId w:val="1"/>
        </w:numPr>
        <w:autoSpaceDE w:val="0"/>
        <w:autoSpaceDN w:val="0"/>
        <w:spacing w:after="0" w:line="480" w:lineRule="auto"/>
        <w:ind w:left="720" w:hanging="450"/>
        <w:rPr>
          <w:rFonts w:ascii="Times New Roman" w:eastAsia="Times New Roman" w:hAnsi="Times New Roman" w:cs="Times New Roman"/>
          <w:b/>
          <w:sz w:val="24"/>
          <w:szCs w:val="24"/>
        </w:rPr>
      </w:pPr>
      <w:r w:rsidRPr="0059406D">
        <w:rPr>
          <w:rFonts w:ascii="Times New Roman" w:eastAsia="Times New Roman" w:hAnsi="Times New Roman" w:cs="Times New Roman"/>
          <w:b/>
          <w:sz w:val="24"/>
          <w:szCs w:val="24"/>
        </w:rPr>
        <w:t>ARGUMENT</w:t>
      </w:r>
    </w:p>
    <w:p w:rsidR="00EE448C" w:rsidRDefault="00241500" w:rsidP="00C13E2F">
      <w:pPr>
        <w:pStyle w:val="ListParagraph"/>
        <w:numPr>
          <w:ilvl w:val="0"/>
          <w:numId w:val="2"/>
        </w:numPr>
        <w:autoSpaceDE w:val="0"/>
        <w:autoSpaceDN w:val="0"/>
        <w:spacing w:after="0" w:line="240" w:lineRule="auto"/>
        <w:ind w:left="1440" w:right="720" w:hanging="720"/>
        <w:rPr>
          <w:rFonts w:ascii="Times New Roman" w:eastAsia="Times New Roman" w:hAnsi="Times New Roman" w:cs="Times New Roman"/>
          <w:b/>
          <w:sz w:val="24"/>
          <w:szCs w:val="24"/>
        </w:rPr>
      </w:pPr>
      <w:r w:rsidRPr="00241500">
        <w:rPr>
          <w:rFonts w:ascii="Times New Roman" w:eastAsia="Times New Roman" w:hAnsi="Times New Roman" w:cs="Times New Roman"/>
          <w:b/>
          <w:sz w:val="24"/>
          <w:szCs w:val="24"/>
        </w:rPr>
        <w:t>The PUCO has jurisdiction to amend AEP Ohio’s tariff to limit submetering.</w:t>
      </w:r>
    </w:p>
    <w:p w:rsidR="00C13E2F" w:rsidRPr="00241500" w:rsidRDefault="00C13E2F" w:rsidP="00C13E2F">
      <w:pPr>
        <w:pStyle w:val="ListParagraph"/>
        <w:autoSpaceDE w:val="0"/>
        <w:autoSpaceDN w:val="0"/>
        <w:spacing w:after="0" w:line="240" w:lineRule="auto"/>
        <w:ind w:left="1440" w:right="720"/>
        <w:rPr>
          <w:rFonts w:ascii="Times New Roman" w:eastAsia="Times New Roman" w:hAnsi="Times New Roman" w:cs="Times New Roman"/>
          <w:b/>
          <w:sz w:val="24"/>
          <w:szCs w:val="24"/>
        </w:rPr>
      </w:pPr>
    </w:p>
    <w:p w:rsidR="00EE47DF" w:rsidRDefault="00241500" w:rsidP="00EE47DF">
      <w:pPr>
        <w:widowControl w:val="0"/>
        <w:autoSpaceDE w:val="0"/>
        <w:autoSpaceDN w:val="0"/>
        <w:adjustRightInd w:val="0"/>
        <w:spacing w:after="0" w:line="480" w:lineRule="auto"/>
        <w:ind w:firstLine="720"/>
        <w:rPr>
          <w:rFonts w:ascii="Times New Roman" w:hAnsi="Times New Roman"/>
          <w:bCs/>
          <w:color w:val="000000"/>
          <w:sz w:val="24"/>
          <w:szCs w:val="24"/>
        </w:rPr>
      </w:pPr>
      <w:r>
        <w:rPr>
          <w:rFonts w:ascii="Times New Roman" w:eastAsia="Times New Roman" w:hAnsi="Times New Roman" w:cs="Times New Roman"/>
          <w:sz w:val="24"/>
          <w:szCs w:val="24"/>
        </w:rPr>
        <w:t>Contrary to the arguments of NEP, the PUCO does have jurisdiction to amend AEP Ohio’s tariffs to limit</w:t>
      </w:r>
      <w:r w:rsidR="00CB6F90">
        <w:rPr>
          <w:rFonts w:ascii="Times New Roman" w:eastAsia="Times New Roman" w:hAnsi="Times New Roman" w:cs="Times New Roman"/>
          <w:sz w:val="24"/>
          <w:szCs w:val="24"/>
        </w:rPr>
        <w:t xml:space="preserve"> AEP</w:t>
      </w:r>
      <w:r w:rsidR="008235FD">
        <w:rPr>
          <w:rFonts w:ascii="Times New Roman" w:eastAsia="Times New Roman" w:hAnsi="Times New Roman" w:cs="Times New Roman"/>
          <w:sz w:val="24"/>
          <w:szCs w:val="24"/>
        </w:rPr>
        <w:t xml:space="preserve"> Ohio</w:t>
      </w:r>
      <w:r w:rsidR="00CB6F90">
        <w:rPr>
          <w:rFonts w:ascii="Times New Roman" w:eastAsia="Times New Roman" w:hAnsi="Times New Roman" w:cs="Times New Roman"/>
          <w:sz w:val="24"/>
          <w:szCs w:val="24"/>
        </w:rPr>
        <w:t>’s authority to resell its service, including to</w:t>
      </w:r>
      <w:r w:rsidR="00820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submetering</w:t>
      </w:r>
      <w:r w:rsidR="00820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entities such as NEP.</w:t>
      </w:r>
      <w:r w:rsidR="00A61F8A">
        <w:rPr>
          <w:rStyle w:val="FootnoteReference"/>
          <w:rFonts w:ascii="Times New Roman" w:eastAsia="Times New Roman" w:hAnsi="Times New Roman" w:cs="Times New Roman"/>
          <w:sz w:val="24"/>
          <w:szCs w:val="24"/>
        </w:rPr>
        <w:footnoteReference w:id="16"/>
      </w:r>
      <w:r w:rsidR="003B2048">
        <w:rPr>
          <w:rFonts w:ascii="Times New Roman" w:eastAsia="Times New Roman" w:hAnsi="Times New Roman" w:cs="Times New Roman"/>
          <w:sz w:val="24"/>
          <w:szCs w:val="24"/>
        </w:rPr>
        <w:t xml:space="preserve">  As noted by AEP</w:t>
      </w:r>
      <w:r w:rsidR="006F6FBF">
        <w:rPr>
          <w:rFonts w:ascii="Times New Roman" w:eastAsia="Times New Roman" w:hAnsi="Times New Roman" w:cs="Times New Roman"/>
          <w:sz w:val="24"/>
          <w:szCs w:val="24"/>
        </w:rPr>
        <w:t xml:space="preserve"> Ohio</w:t>
      </w:r>
      <w:r w:rsidR="003B2048">
        <w:rPr>
          <w:rFonts w:ascii="Times New Roman" w:eastAsia="Times New Roman" w:hAnsi="Times New Roman" w:cs="Times New Roman"/>
          <w:sz w:val="24"/>
          <w:szCs w:val="24"/>
        </w:rPr>
        <w:t xml:space="preserve">, the PUCO has jurisdiction over the service </w:t>
      </w:r>
      <w:r w:rsidR="00CB6F90">
        <w:rPr>
          <w:rFonts w:ascii="Times New Roman" w:eastAsia="Times New Roman" w:hAnsi="Times New Roman" w:cs="Times New Roman"/>
          <w:sz w:val="24"/>
          <w:szCs w:val="24"/>
        </w:rPr>
        <w:t xml:space="preserve">it </w:t>
      </w:r>
      <w:r w:rsidR="003B2048">
        <w:rPr>
          <w:rFonts w:ascii="Times New Roman" w:eastAsia="Times New Roman" w:hAnsi="Times New Roman" w:cs="Times New Roman"/>
          <w:sz w:val="24"/>
          <w:szCs w:val="24"/>
        </w:rPr>
        <w:t>provide</w:t>
      </w:r>
      <w:r w:rsidR="00CB6F90">
        <w:rPr>
          <w:rFonts w:ascii="Times New Roman" w:eastAsia="Times New Roman" w:hAnsi="Times New Roman" w:cs="Times New Roman"/>
          <w:sz w:val="24"/>
          <w:szCs w:val="24"/>
        </w:rPr>
        <w:t>s,</w:t>
      </w:r>
      <w:r w:rsidR="00820DE2">
        <w:rPr>
          <w:rFonts w:ascii="Times New Roman" w:eastAsia="Times New Roman" w:hAnsi="Times New Roman" w:cs="Times New Roman"/>
          <w:sz w:val="24"/>
          <w:szCs w:val="24"/>
        </w:rPr>
        <w:t xml:space="preserve"> </w:t>
      </w:r>
      <w:r w:rsidR="00CB6F90">
        <w:rPr>
          <w:rFonts w:ascii="Times New Roman" w:eastAsia="Times New Roman" w:hAnsi="Times New Roman" w:cs="Times New Roman"/>
          <w:sz w:val="24"/>
          <w:szCs w:val="24"/>
        </w:rPr>
        <w:t xml:space="preserve">as </w:t>
      </w:r>
      <w:r w:rsidR="003B2048">
        <w:rPr>
          <w:rFonts w:ascii="Times New Roman" w:eastAsia="Times New Roman" w:hAnsi="Times New Roman" w:cs="Times New Roman"/>
          <w:sz w:val="24"/>
          <w:szCs w:val="24"/>
        </w:rPr>
        <w:t>a public utility</w:t>
      </w:r>
      <w:r w:rsidR="00CB6F90">
        <w:rPr>
          <w:rFonts w:ascii="Times New Roman" w:eastAsia="Times New Roman" w:hAnsi="Times New Roman" w:cs="Times New Roman"/>
          <w:sz w:val="24"/>
          <w:szCs w:val="24"/>
        </w:rPr>
        <w:t>,</w:t>
      </w:r>
      <w:r w:rsidR="003B2048">
        <w:rPr>
          <w:rFonts w:ascii="Times New Roman" w:eastAsia="Times New Roman" w:hAnsi="Times New Roman" w:cs="Times New Roman"/>
          <w:sz w:val="24"/>
          <w:szCs w:val="24"/>
        </w:rPr>
        <w:t xml:space="preserve"> to a submetered premise.</w:t>
      </w:r>
      <w:r w:rsidR="003B2048">
        <w:rPr>
          <w:rStyle w:val="FootnoteReference"/>
          <w:rFonts w:ascii="Times New Roman" w:eastAsia="Times New Roman" w:hAnsi="Times New Roman" w:cs="Times New Roman"/>
          <w:sz w:val="24"/>
          <w:szCs w:val="24"/>
        </w:rPr>
        <w:footnoteReference w:id="17"/>
      </w:r>
      <w:r w:rsidR="00EE47DF">
        <w:rPr>
          <w:rFonts w:ascii="Times New Roman" w:hAnsi="Times New Roman"/>
          <w:bCs/>
          <w:color w:val="000000"/>
          <w:sz w:val="24"/>
          <w:szCs w:val="24"/>
        </w:rPr>
        <w:t xml:space="preserve">  Therefore, the PUCO has</w:t>
      </w:r>
      <w:r w:rsidR="006F6FBF">
        <w:rPr>
          <w:rFonts w:ascii="Times New Roman" w:hAnsi="Times New Roman"/>
          <w:bCs/>
          <w:color w:val="000000"/>
          <w:sz w:val="24"/>
          <w:szCs w:val="24"/>
        </w:rPr>
        <w:t xml:space="preserve"> </w:t>
      </w:r>
      <w:r w:rsidR="006F17C7">
        <w:rPr>
          <w:rFonts w:ascii="Times New Roman" w:hAnsi="Times New Roman"/>
          <w:bCs/>
          <w:color w:val="000000"/>
          <w:sz w:val="24"/>
          <w:szCs w:val="24"/>
        </w:rPr>
        <w:t>all the</w:t>
      </w:r>
      <w:r w:rsidR="00EE47DF">
        <w:rPr>
          <w:rFonts w:ascii="Times New Roman" w:hAnsi="Times New Roman"/>
          <w:bCs/>
          <w:color w:val="000000"/>
          <w:sz w:val="24"/>
          <w:szCs w:val="24"/>
        </w:rPr>
        <w:t xml:space="preserve"> jurisdiction</w:t>
      </w:r>
      <w:r w:rsidR="006F17C7">
        <w:rPr>
          <w:rFonts w:ascii="Times New Roman" w:hAnsi="Times New Roman"/>
          <w:bCs/>
          <w:color w:val="000000"/>
          <w:sz w:val="24"/>
          <w:szCs w:val="24"/>
        </w:rPr>
        <w:t xml:space="preserve"> it needs</w:t>
      </w:r>
      <w:r w:rsidR="00EE47DF">
        <w:rPr>
          <w:rFonts w:ascii="Times New Roman" w:hAnsi="Times New Roman"/>
          <w:bCs/>
          <w:color w:val="000000"/>
          <w:sz w:val="24"/>
          <w:szCs w:val="24"/>
        </w:rPr>
        <w:t xml:space="preserve"> to revise AEP Ohio’s tariffs to prevent abusive practices.</w:t>
      </w:r>
    </w:p>
    <w:p w:rsidR="00C13E2F" w:rsidRDefault="00EE47DF" w:rsidP="00820DE2">
      <w:pPr>
        <w:widowControl w:val="0"/>
        <w:autoSpaceDE w:val="0"/>
        <w:autoSpaceDN w:val="0"/>
        <w:adjustRightInd w:val="0"/>
        <w:spacing w:after="0" w:line="480" w:lineRule="auto"/>
        <w:ind w:firstLine="720"/>
        <w:rPr>
          <w:rFonts w:ascii="Times New Roman" w:hAnsi="Times New Roman"/>
          <w:sz w:val="24"/>
          <w:szCs w:val="24"/>
        </w:rPr>
      </w:pPr>
      <w:r>
        <w:rPr>
          <w:rFonts w:ascii="Times New Roman" w:hAnsi="Times New Roman"/>
          <w:bCs/>
          <w:color w:val="000000"/>
          <w:sz w:val="24"/>
          <w:szCs w:val="24"/>
        </w:rPr>
        <w:t xml:space="preserve">Additionally, </w:t>
      </w:r>
      <w:r w:rsidR="003849AB">
        <w:rPr>
          <w:rFonts w:ascii="Times New Roman" w:hAnsi="Times New Roman"/>
          <w:sz w:val="24"/>
          <w:szCs w:val="24"/>
        </w:rPr>
        <w:t>NEP</w:t>
      </w:r>
      <w:r w:rsidR="00820DE2">
        <w:rPr>
          <w:rFonts w:ascii="Times New Roman" w:hAnsi="Times New Roman"/>
          <w:sz w:val="24"/>
          <w:szCs w:val="24"/>
        </w:rPr>
        <w:t>’s</w:t>
      </w:r>
      <w:r w:rsidR="003849AB">
        <w:rPr>
          <w:rFonts w:ascii="Times New Roman" w:hAnsi="Times New Roman"/>
          <w:sz w:val="24"/>
          <w:szCs w:val="24"/>
        </w:rPr>
        <w:t xml:space="preserve"> attempt to rely on </w:t>
      </w:r>
      <w:r w:rsidR="00F03BFF">
        <w:rPr>
          <w:rFonts w:ascii="Times New Roman" w:hAnsi="Times New Roman"/>
          <w:sz w:val="24"/>
          <w:szCs w:val="24"/>
        </w:rPr>
        <w:t xml:space="preserve">cases such as </w:t>
      </w:r>
      <w:r w:rsidR="003849AB" w:rsidRPr="003849AB">
        <w:rPr>
          <w:rFonts w:ascii="Times New Roman" w:hAnsi="Times New Roman"/>
          <w:i/>
          <w:sz w:val="24"/>
          <w:szCs w:val="24"/>
        </w:rPr>
        <w:t>Brooks</w:t>
      </w:r>
      <w:r w:rsidR="00820DE2">
        <w:rPr>
          <w:rFonts w:ascii="Times New Roman" w:hAnsi="Times New Roman"/>
          <w:i/>
          <w:sz w:val="24"/>
          <w:szCs w:val="24"/>
        </w:rPr>
        <w:t xml:space="preserve"> </w:t>
      </w:r>
      <w:r w:rsidR="003526F5">
        <w:rPr>
          <w:rFonts w:ascii="Times New Roman" w:hAnsi="Times New Roman"/>
          <w:sz w:val="24"/>
          <w:szCs w:val="24"/>
        </w:rPr>
        <w:t xml:space="preserve">in its </w:t>
      </w:r>
      <w:r w:rsidR="003849AB">
        <w:rPr>
          <w:rFonts w:ascii="Times New Roman" w:hAnsi="Times New Roman"/>
          <w:sz w:val="24"/>
          <w:szCs w:val="24"/>
        </w:rPr>
        <w:t>memorandum contra to assert that AEP Ohio</w:t>
      </w:r>
      <w:r w:rsidR="00F03BFF">
        <w:rPr>
          <w:rFonts w:ascii="Times New Roman" w:hAnsi="Times New Roman"/>
          <w:sz w:val="24"/>
          <w:szCs w:val="24"/>
        </w:rPr>
        <w:t xml:space="preserve"> cannot amend </w:t>
      </w:r>
      <w:r w:rsidR="003849AB">
        <w:rPr>
          <w:rFonts w:ascii="Times New Roman" w:hAnsi="Times New Roman"/>
          <w:sz w:val="24"/>
          <w:szCs w:val="24"/>
        </w:rPr>
        <w:t>i</w:t>
      </w:r>
      <w:r w:rsidR="00F03BFF">
        <w:rPr>
          <w:rFonts w:ascii="Times New Roman" w:hAnsi="Times New Roman"/>
          <w:sz w:val="24"/>
          <w:szCs w:val="24"/>
        </w:rPr>
        <w:t>t</w:t>
      </w:r>
      <w:r w:rsidR="003849AB">
        <w:rPr>
          <w:rFonts w:ascii="Times New Roman" w:hAnsi="Times New Roman"/>
          <w:sz w:val="24"/>
          <w:szCs w:val="24"/>
        </w:rPr>
        <w:t xml:space="preserve">s </w:t>
      </w:r>
      <w:r w:rsidR="00F03BFF">
        <w:rPr>
          <w:rFonts w:ascii="Times New Roman" w:hAnsi="Times New Roman"/>
          <w:sz w:val="24"/>
          <w:szCs w:val="24"/>
        </w:rPr>
        <w:t xml:space="preserve">tariff is </w:t>
      </w:r>
      <w:r w:rsidR="003849AB">
        <w:rPr>
          <w:rFonts w:ascii="Times New Roman" w:hAnsi="Times New Roman"/>
          <w:sz w:val="24"/>
          <w:szCs w:val="24"/>
        </w:rPr>
        <w:t>misplaced.</w:t>
      </w:r>
      <w:r w:rsidR="003849AB">
        <w:rPr>
          <w:rStyle w:val="FootnoteReference"/>
          <w:rFonts w:ascii="Times New Roman" w:hAnsi="Times New Roman"/>
          <w:sz w:val="24"/>
          <w:szCs w:val="24"/>
        </w:rPr>
        <w:footnoteReference w:id="18"/>
      </w:r>
      <w:r w:rsidR="003849AB">
        <w:rPr>
          <w:rFonts w:ascii="Times New Roman" w:hAnsi="Times New Roman"/>
          <w:sz w:val="24"/>
          <w:szCs w:val="24"/>
        </w:rPr>
        <w:t xml:space="preserve">  The PUCO has adopted other public utilities’ tariffs that ban reselling.</w:t>
      </w:r>
      <w:r w:rsidR="003849AB">
        <w:rPr>
          <w:rStyle w:val="FootnoteReference"/>
          <w:rFonts w:ascii="Times New Roman" w:hAnsi="Times New Roman"/>
          <w:sz w:val="24"/>
          <w:szCs w:val="24"/>
        </w:rPr>
        <w:footnoteReference w:id="19"/>
      </w:r>
      <w:r w:rsidR="00E1242B">
        <w:rPr>
          <w:rFonts w:ascii="Times New Roman" w:hAnsi="Times New Roman"/>
          <w:sz w:val="24"/>
          <w:szCs w:val="24"/>
        </w:rPr>
        <w:t xml:space="preserve">   AEP Ohio’s</w:t>
      </w:r>
      <w:r w:rsidR="006F17C7">
        <w:rPr>
          <w:rFonts w:ascii="Times New Roman" w:hAnsi="Times New Roman"/>
          <w:sz w:val="24"/>
          <w:szCs w:val="24"/>
        </w:rPr>
        <w:t xml:space="preserve"> current</w:t>
      </w:r>
      <w:r w:rsidR="00E1242B">
        <w:rPr>
          <w:rFonts w:ascii="Times New Roman" w:hAnsi="Times New Roman"/>
          <w:sz w:val="24"/>
          <w:szCs w:val="24"/>
        </w:rPr>
        <w:t xml:space="preserve"> tariffs, however, are not as restrictive and are being construed</w:t>
      </w:r>
      <w:r w:rsidR="006F17C7">
        <w:rPr>
          <w:rFonts w:ascii="Times New Roman" w:hAnsi="Times New Roman"/>
          <w:sz w:val="24"/>
          <w:szCs w:val="24"/>
        </w:rPr>
        <w:t xml:space="preserve"> as allowing reselling</w:t>
      </w:r>
      <w:r w:rsidR="00820DE2">
        <w:rPr>
          <w:rFonts w:ascii="Times New Roman" w:hAnsi="Times New Roman"/>
          <w:sz w:val="24"/>
          <w:szCs w:val="24"/>
        </w:rPr>
        <w:t xml:space="preserve"> </w:t>
      </w:r>
      <w:r w:rsidR="006F17C7">
        <w:rPr>
          <w:rFonts w:ascii="Times New Roman" w:hAnsi="Times New Roman"/>
          <w:sz w:val="24"/>
          <w:szCs w:val="24"/>
        </w:rPr>
        <w:t xml:space="preserve">that </w:t>
      </w:r>
      <w:r w:rsidR="00E1242B">
        <w:rPr>
          <w:rFonts w:ascii="Times New Roman" w:hAnsi="Times New Roman"/>
          <w:sz w:val="24"/>
          <w:szCs w:val="24"/>
        </w:rPr>
        <w:t>permit</w:t>
      </w:r>
      <w:r w:rsidR="006F17C7">
        <w:rPr>
          <w:rFonts w:ascii="Times New Roman" w:hAnsi="Times New Roman"/>
          <w:sz w:val="24"/>
          <w:szCs w:val="24"/>
        </w:rPr>
        <w:t>s</w:t>
      </w:r>
      <w:r w:rsidR="00E1242B">
        <w:rPr>
          <w:rFonts w:ascii="Times New Roman" w:hAnsi="Times New Roman"/>
          <w:sz w:val="24"/>
          <w:szCs w:val="24"/>
        </w:rPr>
        <w:t xml:space="preserve"> broader submetering arrangements than that contemplated by other public utilities’ </w:t>
      </w:r>
    </w:p>
    <w:p w:rsidR="00C13E2F" w:rsidRDefault="00C13E2F">
      <w:pPr>
        <w:rPr>
          <w:rFonts w:ascii="Times New Roman" w:hAnsi="Times New Roman"/>
          <w:sz w:val="24"/>
          <w:szCs w:val="24"/>
        </w:rPr>
      </w:pPr>
      <w:r>
        <w:rPr>
          <w:rFonts w:ascii="Times New Roman" w:hAnsi="Times New Roman"/>
          <w:sz w:val="24"/>
          <w:szCs w:val="24"/>
        </w:rPr>
        <w:br w:type="page"/>
      </w:r>
    </w:p>
    <w:p w:rsidR="00122AEB" w:rsidRPr="00EE47DF" w:rsidRDefault="00E1242B" w:rsidP="00C13E2F">
      <w:pPr>
        <w:widowControl w:val="0"/>
        <w:autoSpaceDE w:val="0"/>
        <w:autoSpaceDN w:val="0"/>
        <w:adjustRightInd w:val="0"/>
        <w:spacing w:after="0" w:line="480" w:lineRule="auto"/>
        <w:rPr>
          <w:rFonts w:ascii="Times New Roman" w:hAnsi="Times New Roman"/>
          <w:bCs/>
          <w:color w:val="000000"/>
          <w:sz w:val="24"/>
          <w:szCs w:val="24"/>
        </w:rPr>
      </w:pPr>
      <w:r>
        <w:rPr>
          <w:rFonts w:ascii="Times New Roman" w:hAnsi="Times New Roman"/>
          <w:sz w:val="24"/>
          <w:szCs w:val="24"/>
        </w:rPr>
        <w:t>tariffs.</w:t>
      </w:r>
      <w:r>
        <w:rPr>
          <w:rStyle w:val="FootnoteReference"/>
          <w:rFonts w:ascii="Times New Roman" w:hAnsi="Times New Roman"/>
          <w:sz w:val="24"/>
          <w:szCs w:val="24"/>
        </w:rPr>
        <w:footnoteReference w:id="20"/>
      </w:r>
      <w:r w:rsidR="00793E0A">
        <w:rPr>
          <w:rFonts w:ascii="Times New Roman" w:hAnsi="Times New Roman"/>
          <w:sz w:val="24"/>
          <w:szCs w:val="24"/>
        </w:rPr>
        <w:t xml:space="preserve"> </w:t>
      </w:r>
      <w:r w:rsidR="00820DE2">
        <w:rPr>
          <w:rFonts w:ascii="Times New Roman" w:hAnsi="Times New Roman"/>
          <w:sz w:val="24"/>
          <w:szCs w:val="24"/>
        </w:rPr>
        <w:t xml:space="preserve"> </w:t>
      </w:r>
      <w:r w:rsidR="00793E0A">
        <w:rPr>
          <w:rFonts w:ascii="Times New Roman" w:hAnsi="Times New Roman"/>
          <w:sz w:val="24"/>
          <w:szCs w:val="24"/>
        </w:rPr>
        <w:t>However, AEP Ohio’s tariffs may be revised to restrict reselling,</w:t>
      </w:r>
      <w:r w:rsidR="00793E0A">
        <w:rPr>
          <w:rStyle w:val="FootnoteReference"/>
          <w:rFonts w:ascii="Times New Roman" w:hAnsi="Times New Roman"/>
          <w:sz w:val="24"/>
          <w:szCs w:val="24"/>
        </w:rPr>
        <w:footnoteReference w:id="21"/>
      </w:r>
      <w:r w:rsidR="00793E0A">
        <w:rPr>
          <w:rFonts w:ascii="Times New Roman" w:hAnsi="Times New Roman"/>
          <w:sz w:val="24"/>
          <w:szCs w:val="24"/>
        </w:rPr>
        <w:t xml:space="preserve"> and the PUCO may approve such revised tariffs.</w:t>
      </w:r>
    </w:p>
    <w:p w:rsidR="003849AB" w:rsidRPr="003849AB" w:rsidRDefault="00CC3BE9" w:rsidP="00E1242B">
      <w:pPr>
        <w:autoSpaceDE w:val="0"/>
        <w:autoSpaceDN w:val="0"/>
        <w:adjustRightInd w:val="0"/>
        <w:spacing w:after="0" w:line="480" w:lineRule="auto"/>
        <w:ind w:firstLine="720"/>
        <w:rPr>
          <w:rFonts w:ascii="Times New Roman" w:hAnsi="Times New Roman"/>
          <w:sz w:val="24"/>
          <w:szCs w:val="24"/>
        </w:rPr>
      </w:pPr>
      <w:r w:rsidRPr="00CC3BE9">
        <w:rPr>
          <w:rFonts w:ascii="Times New Roman" w:hAnsi="Times New Roman"/>
          <w:i/>
          <w:sz w:val="24"/>
          <w:szCs w:val="24"/>
        </w:rPr>
        <w:t>Brooks</w:t>
      </w:r>
      <w:r w:rsidR="003D1CAB">
        <w:rPr>
          <w:rFonts w:ascii="Times New Roman" w:hAnsi="Times New Roman"/>
          <w:sz w:val="24"/>
          <w:szCs w:val="24"/>
        </w:rPr>
        <w:t xml:space="preserve"> allowed resale or redistribution of electric service from a landlord to a tenant where the landlord was not operating as a public utility, and the landlord owned the property</w:t>
      </w:r>
      <w:r w:rsidR="006F17C7">
        <w:rPr>
          <w:rFonts w:ascii="Times New Roman" w:hAnsi="Times New Roman"/>
          <w:sz w:val="24"/>
          <w:szCs w:val="24"/>
        </w:rPr>
        <w:t xml:space="preserve"> </w:t>
      </w:r>
      <w:r w:rsidR="003D1CAB">
        <w:rPr>
          <w:rFonts w:ascii="Times New Roman" w:hAnsi="Times New Roman"/>
          <w:sz w:val="24"/>
          <w:szCs w:val="24"/>
        </w:rPr>
        <w:t>upon which resale or redistribution took place.</w:t>
      </w:r>
      <w:r w:rsidR="003D1CAB">
        <w:rPr>
          <w:rStyle w:val="FootnoteReference"/>
          <w:rFonts w:ascii="Times New Roman" w:hAnsi="Times New Roman"/>
          <w:sz w:val="24"/>
          <w:szCs w:val="24"/>
        </w:rPr>
        <w:footnoteReference w:id="22"/>
      </w:r>
      <w:r w:rsidR="003D1CAB">
        <w:rPr>
          <w:rFonts w:ascii="Times New Roman" w:hAnsi="Times New Roman"/>
          <w:sz w:val="24"/>
          <w:szCs w:val="24"/>
        </w:rPr>
        <w:t xml:space="preserve">  </w:t>
      </w:r>
      <w:r w:rsidR="00B643BC">
        <w:rPr>
          <w:rFonts w:ascii="Times New Roman" w:hAnsi="Times New Roman"/>
          <w:sz w:val="24"/>
          <w:szCs w:val="24"/>
        </w:rPr>
        <w:t xml:space="preserve">The facts showed that commercial landlords owned the property at issue and were not functioning as public utilities.  </w:t>
      </w:r>
      <w:r>
        <w:rPr>
          <w:rFonts w:ascii="Times New Roman" w:hAnsi="Times New Roman"/>
          <w:sz w:val="24"/>
          <w:szCs w:val="24"/>
        </w:rPr>
        <w:t>NEP derive</w:t>
      </w:r>
      <w:r w:rsidR="00820DE2">
        <w:rPr>
          <w:rFonts w:ascii="Times New Roman" w:hAnsi="Times New Roman"/>
          <w:sz w:val="24"/>
          <w:szCs w:val="24"/>
        </w:rPr>
        <w:t xml:space="preserve">s no support from </w:t>
      </w:r>
      <w:r w:rsidR="00B643BC" w:rsidRPr="00B643BC">
        <w:rPr>
          <w:rFonts w:ascii="Times New Roman" w:hAnsi="Times New Roman"/>
          <w:i/>
          <w:sz w:val="24"/>
          <w:szCs w:val="24"/>
        </w:rPr>
        <w:t>Brooks</w:t>
      </w:r>
      <w:r>
        <w:rPr>
          <w:rFonts w:ascii="Times New Roman" w:hAnsi="Times New Roman"/>
          <w:sz w:val="24"/>
          <w:szCs w:val="24"/>
        </w:rPr>
        <w:t>.</w:t>
      </w:r>
    </w:p>
    <w:p w:rsidR="00620152" w:rsidRDefault="00766CEA" w:rsidP="00EE47DF">
      <w:pPr>
        <w:widowControl w:val="0"/>
        <w:autoSpaceDE w:val="0"/>
        <w:autoSpaceDN w:val="0"/>
        <w:adjustRightInd w:val="0"/>
        <w:spacing w:after="0" w:line="480" w:lineRule="auto"/>
        <w:ind w:firstLine="720"/>
        <w:rPr>
          <w:rFonts w:ascii="Times New Roman" w:hAnsi="Times New Roman" w:cs="Times New Roman"/>
          <w:sz w:val="24"/>
          <w:szCs w:val="24"/>
        </w:rPr>
      </w:pPr>
      <w:r w:rsidRPr="00766CEA">
        <w:rPr>
          <w:rFonts w:ascii="Times New Roman" w:hAnsi="Times New Roman"/>
          <w:bCs/>
          <w:i/>
          <w:color w:val="000000"/>
          <w:sz w:val="24"/>
          <w:szCs w:val="24"/>
        </w:rPr>
        <w:t>Brooks</w:t>
      </w:r>
      <w:r w:rsidR="00820DE2">
        <w:rPr>
          <w:rFonts w:ascii="Times New Roman" w:hAnsi="Times New Roman"/>
          <w:bCs/>
          <w:i/>
          <w:color w:val="000000"/>
          <w:sz w:val="24"/>
          <w:szCs w:val="24"/>
        </w:rPr>
        <w:t xml:space="preserve"> </w:t>
      </w:r>
      <w:r w:rsidR="003D7563">
        <w:rPr>
          <w:rFonts w:ascii="Times New Roman" w:hAnsi="Times New Roman"/>
          <w:bCs/>
          <w:color w:val="000000"/>
          <w:sz w:val="24"/>
          <w:szCs w:val="24"/>
        </w:rPr>
        <w:t>should not be understood to interfere with the ability of</w:t>
      </w:r>
      <w:r w:rsidR="003D7563">
        <w:rPr>
          <w:rFonts w:ascii="Times New Roman" w:hAnsi="Times New Roman"/>
          <w:bCs/>
          <w:sz w:val="24"/>
          <w:szCs w:val="24"/>
        </w:rPr>
        <w:t xml:space="preserve"> AEP Ohio to</w:t>
      </w:r>
      <w:r w:rsidRPr="003526F5">
        <w:rPr>
          <w:rFonts w:ascii="Times New Roman" w:hAnsi="Times New Roman"/>
          <w:bCs/>
          <w:sz w:val="24"/>
          <w:szCs w:val="24"/>
        </w:rPr>
        <w:t xml:space="preserve"> take responsible steps to curb </w:t>
      </w:r>
      <w:r w:rsidR="00794367" w:rsidRPr="003526F5">
        <w:rPr>
          <w:rFonts w:ascii="Times New Roman" w:hAnsi="Times New Roman"/>
          <w:bCs/>
          <w:sz w:val="24"/>
          <w:szCs w:val="24"/>
        </w:rPr>
        <w:t>the pernicious</w:t>
      </w:r>
      <w:r w:rsidRPr="003526F5">
        <w:rPr>
          <w:rFonts w:ascii="Times New Roman" w:hAnsi="Times New Roman"/>
          <w:bCs/>
          <w:sz w:val="24"/>
          <w:szCs w:val="24"/>
        </w:rPr>
        <w:t xml:space="preserve"> abuses caused by </w:t>
      </w:r>
      <w:r w:rsidR="00794367" w:rsidRPr="003526F5">
        <w:rPr>
          <w:rFonts w:ascii="Times New Roman" w:hAnsi="Times New Roman"/>
          <w:bCs/>
          <w:sz w:val="24"/>
          <w:szCs w:val="24"/>
        </w:rPr>
        <w:t xml:space="preserve">certain </w:t>
      </w:r>
      <w:r w:rsidRPr="003526F5">
        <w:rPr>
          <w:rFonts w:ascii="Times New Roman" w:hAnsi="Times New Roman"/>
          <w:bCs/>
          <w:sz w:val="24"/>
          <w:szCs w:val="24"/>
        </w:rPr>
        <w:t>submetering arrangements</w:t>
      </w:r>
      <w:r w:rsidR="000373E5">
        <w:rPr>
          <w:rFonts w:ascii="Times New Roman" w:hAnsi="Times New Roman"/>
          <w:bCs/>
          <w:sz w:val="24"/>
          <w:szCs w:val="24"/>
        </w:rPr>
        <w:t xml:space="preserve"> in the residential context</w:t>
      </w:r>
      <w:r w:rsidR="00A37946">
        <w:rPr>
          <w:rFonts w:ascii="Times New Roman" w:hAnsi="Times New Roman"/>
          <w:bCs/>
          <w:sz w:val="24"/>
          <w:szCs w:val="24"/>
        </w:rPr>
        <w:t xml:space="preserve"> that were not landlord-tenant situations</w:t>
      </w:r>
      <w:r w:rsidRPr="003526F5">
        <w:rPr>
          <w:rFonts w:ascii="Times New Roman" w:hAnsi="Times New Roman"/>
          <w:bCs/>
          <w:sz w:val="24"/>
          <w:szCs w:val="24"/>
        </w:rPr>
        <w:t xml:space="preserve">. </w:t>
      </w:r>
      <w:r w:rsidR="000373E5">
        <w:rPr>
          <w:rFonts w:ascii="Times New Roman" w:hAnsi="Times New Roman"/>
          <w:bCs/>
          <w:sz w:val="24"/>
          <w:szCs w:val="24"/>
        </w:rPr>
        <w:t xml:space="preserve"> First, </w:t>
      </w:r>
      <w:r w:rsidR="000373E5" w:rsidRPr="000373E5">
        <w:rPr>
          <w:rFonts w:ascii="Times New Roman" w:hAnsi="Times New Roman"/>
          <w:bCs/>
          <w:i/>
          <w:sz w:val="24"/>
          <w:szCs w:val="24"/>
        </w:rPr>
        <w:t>Brooks</w:t>
      </w:r>
      <w:r w:rsidR="000373E5">
        <w:rPr>
          <w:rFonts w:ascii="Times New Roman" w:hAnsi="Times New Roman"/>
          <w:bCs/>
          <w:sz w:val="24"/>
          <w:szCs w:val="24"/>
        </w:rPr>
        <w:t xml:space="preserve"> arose in the commercial context; thus, the interests of residential customers were not presented for the Commission’s consideration.  Second,</w:t>
      </w:r>
      <w:r w:rsidR="003D1CAB">
        <w:rPr>
          <w:rFonts w:ascii="Times New Roman" w:hAnsi="Times New Roman"/>
          <w:bCs/>
          <w:sz w:val="24"/>
          <w:szCs w:val="24"/>
        </w:rPr>
        <w:t xml:space="preserve"> </w:t>
      </w:r>
      <w:r w:rsidRPr="003526F5">
        <w:rPr>
          <w:rFonts w:ascii="Times New Roman" w:hAnsi="Times New Roman"/>
          <w:bCs/>
          <w:i/>
          <w:sz w:val="24"/>
          <w:szCs w:val="24"/>
        </w:rPr>
        <w:t>Brooks</w:t>
      </w:r>
      <w:r w:rsidRPr="003526F5">
        <w:rPr>
          <w:rFonts w:ascii="Times New Roman" w:hAnsi="Times New Roman"/>
          <w:bCs/>
          <w:sz w:val="24"/>
          <w:szCs w:val="24"/>
        </w:rPr>
        <w:t xml:space="preserve"> pre-dated </w:t>
      </w:r>
      <w:r w:rsidR="00794367" w:rsidRPr="003526F5">
        <w:rPr>
          <w:rFonts w:ascii="Times New Roman" w:hAnsi="Times New Roman"/>
          <w:bCs/>
          <w:sz w:val="24"/>
          <w:szCs w:val="24"/>
        </w:rPr>
        <w:t xml:space="preserve">the </w:t>
      </w:r>
      <w:r w:rsidR="000373E5">
        <w:rPr>
          <w:rFonts w:ascii="Times New Roman" w:hAnsi="Times New Roman"/>
          <w:bCs/>
          <w:sz w:val="24"/>
          <w:szCs w:val="24"/>
        </w:rPr>
        <w:t>increased growth</w:t>
      </w:r>
      <w:r w:rsidR="00794367" w:rsidRPr="003526F5">
        <w:rPr>
          <w:rFonts w:ascii="Times New Roman" w:hAnsi="Times New Roman"/>
          <w:bCs/>
          <w:sz w:val="24"/>
          <w:szCs w:val="24"/>
        </w:rPr>
        <w:t xml:space="preserve"> of submetering and the harms engendered by it.  Its analysis therefore was not informed by this new and </w:t>
      </w:r>
      <w:r w:rsidR="000373E5">
        <w:rPr>
          <w:rFonts w:ascii="Times New Roman" w:hAnsi="Times New Roman"/>
          <w:bCs/>
          <w:sz w:val="24"/>
          <w:szCs w:val="24"/>
        </w:rPr>
        <w:t>harmful</w:t>
      </w:r>
      <w:r w:rsidR="00794367" w:rsidRPr="003526F5">
        <w:rPr>
          <w:rFonts w:ascii="Times New Roman" w:hAnsi="Times New Roman"/>
          <w:bCs/>
          <w:sz w:val="24"/>
          <w:szCs w:val="24"/>
        </w:rPr>
        <w:t xml:space="preserve"> phenomenon.  A case must be understood based on the contex</w:t>
      </w:r>
      <w:r w:rsidR="00794367" w:rsidRPr="003526F5">
        <w:rPr>
          <w:rFonts w:ascii="Times New Roman" w:hAnsi="Times New Roman" w:cs="Times New Roman"/>
          <w:bCs/>
          <w:sz w:val="24"/>
          <w:szCs w:val="24"/>
        </w:rPr>
        <w:t xml:space="preserve">t in which it arose, not </w:t>
      </w:r>
      <w:r w:rsidR="00C83479">
        <w:rPr>
          <w:rFonts w:ascii="Times New Roman" w:hAnsi="Times New Roman" w:cs="Times New Roman"/>
          <w:bCs/>
          <w:sz w:val="24"/>
          <w:szCs w:val="24"/>
        </w:rPr>
        <w:t>reflexively</w:t>
      </w:r>
      <w:r w:rsidR="00794367" w:rsidRPr="003526F5">
        <w:rPr>
          <w:rFonts w:ascii="Times New Roman" w:hAnsi="Times New Roman" w:cs="Times New Roman"/>
          <w:bCs/>
          <w:sz w:val="24"/>
          <w:szCs w:val="24"/>
        </w:rPr>
        <w:t xml:space="preserve"> applied to a </w:t>
      </w:r>
      <w:r w:rsidR="003D7563">
        <w:rPr>
          <w:rFonts w:ascii="Times New Roman" w:hAnsi="Times New Roman" w:cs="Times New Roman"/>
          <w:bCs/>
          <w:sz w:val="24"/>
          <w:szCs w:val="24"/>
        </w:rPr>
        <w:t>different set of circumstances.</w:t>
      </w:r>
      <w:r w:rsidR="00B643BC">
        <w:rPr>
          <w:rFonts w:ascii="Times New Roman" w:hAnsi="Times New Roman" w:cs="Times New Roman"/>
          <w:bCs/>
          <w:sz w:val="24"/>
          <w:szCs w:val="24"/>
        </w:rPr>
        <w:t xml:space="preserve">  </w:t>
      </w:r>
      <w:r w:rsidR="00794367" w:rsidRPr="003526F5">
        <w:rPr>
          <w:rFonts w:ascii="Times New Roman" w:hAnsi="Times New Roman" w:cs="Times New Roman"/>
          <w:bCs/>
          <w:sz w:val="24"/>
          <w:szCs w:val="24"/>
        </w:rPr>
        <w:t>“Context matters” when it comes to the act of interpretation.</w:t>
      </w:r>
      <w:r w:rsidR="00794367" w:rsidRPr="003526F5">
        <w:rPr>
          <w:rStyle w:val="FootnoteReference"/>
          <w:rFonts w:ascii="Times New Roman" w:hAnsi="Times New Roman" w:cs="Times New Roman"/>
          <w:bCs/>
          <w:sz w:val="24"/>
          <w:szCs w:val="24"/>
        </w:rPr>
        <w:footnoteReference w:id="23"/>
      </w:r>
      <w:r w:rsidR="00B643BC">
        <w:rPr>
          <w:rFonts w:ascii="Times New Roman" w:hAnsi="Times New Roman" w:cs="Times New Roman"/>
          <w:bCs/>
          <w:sz w:val="24"/>
          <w:szCs w:val="24"/>
        </w:rPr>
        <w:t xml:space="preserve">  </w:t>
      </w:r>
      <w:r w:rsidR="003526F5">
        <w:rPr>
          <w:rFonts w:ascii="Times New Roman" w:hAnsi="Times New Roman" w:cs="Times New Roman"/>
          <w:sz w:val="24"/>
          <w:szCs w:val="24"/>
        </w:rPr>
        <w:t xml:space="preserve">The context faced by the Commission in </w:t>
      </w:r>
      <w:r w:rsidR="003526F5" w:rsidRPr="003526F5">
        <w:rPr>
          <w:rFonts w:ascii="Times New Roman" w:hAnsi="Times New Roman" w:cs="Times New Roman"/>
          <w:i/>
          <w:sz w:val="24"/>
          <w:szCs w:val="24"/>
        </w:rPr>
        <w:t>Brooks</w:t>
      </w:r>
      <w:r w:rsidR="003526F5">
        <w:rPr>
          <w:rFonts w:ascii="Times New Roman" w:hAnsi="Times New Roman" w:cs="Times New Roman"/>
          <w:sz w:val="24"/>
          <w:szCs w:val="24"/>
        </w:rPr>
        <w:t xml:space="preserve"> was radically different than it is today</w:t>
      </w:r>
      <w:r w:rsidR="00A37946">
        <w:rPr>
          <w:rFonts w:ascii="Times New Roman" w:hAnsi="Times New Roman" w:cs="Times New Roman"/>
          <w:sz w:val="24"/>
          <w:szCs w:val="24"/>
        </w:rPr>
        <w:t xml:space="preserve"> as s</w:t>
      </w:r>
      <w:r w:rsidR="003526F5">
        <w:rPr>
          <w:rFonts w:ascii="Times New Roman" w:hAnsi="Times New Roman" w:cs="Times New Roman"/>
          <w:sz w:val="24"/>
          <w:szCs w:val="24"/>
        </w:rPr>
        <w:t xml:space="preserve">ubmetering was not </w:t>
      </w:r>
      <w:r w:rsidR="00A37946">
        <w:rPr>
          <w:rFonts w:ascii="Times New Roman" w:hAnsi="Times New Roman" w:cs="Times New Roman"/>
          <w:sz w:val="24"/>
          <w:szCs w:val="24"/>
        </w:rPr>
        <w:t>a</w:t>
      </w:r>
      <w:r w:rsidR="003526F5">
        <w:rPr>
          <w:rFonts w:ascii="Times New Roman" w:hAnsi="Times New Roman" w:cs="Times New Roman"/>
          <w:sz w:val="24"/>
          <w:szCs w:val="24"/>
        </w:rPr>
        <w:t xml:space="preserve">s pervasive and residential customers were not being victimized by pernicious submetering arrangements like today.  </w:t>
      </w:r>
      <w:r w:rsidR="00620152">
        <w:rPr>
          <w:rFonts w:ascii="Times New Roman" w:hAnsi="Times New Roman" w:cs="Times New Roman"/>
          <w:sz w:val="24"/>
          <w:szCs w:val="24"/>
        </w:rPr>
        <w:t xml:space="preserve">Third, NEP is not a landlord as envisioned by </w:t>
      </w:r>
      <w:r w:rsidR="00620152" w:rsidRPr="00620152">
        <w:rPr>
          <w:rFonts w:ascii="Times New Roman" w:hAnsi="Times New Roman" w:cs="Times New Roman"/>
          <w:i/>
          <w:sz w:val="24"/>
          <w:szCs w:val="24"/>
        </w:rPr>
        <w:t>Brooks</w:t>
      </w:r>
      <w:r w:rsidR="00620152">
        <w:rPr>
          <w:rFonts w:ascii="Times New Roman" w:hAnsi="Times New Roman" w:cs="Times New Roman"/>
          <w:i/>
          <w:sz w:val="24"/>
          <w:szCs w:val="24"/>
        </w:rPr>
        <w:t xml:space="preserve">. </w:t>
      </w:r>
      <w:r w:rsidR="00620152">
        <w:rPr>
          <w:rFonts w:ascii="Times New Roman" w:hAnsi="Times New Roman" w:cs="Times New Roman"/>
          <w:sz w:val="24"/>
          <w:szCs w:val="24"/>
        </w:rPr>
        <w:t xml:space="preserve">Whatever </w:t>
      </w:r>
      <w:r w:rsidR="00C83479">
        <w:rPr>
          <w:rFonts w:ascii="Times New Roman" w:hAnsi="Times New Roman" w:cs="Times New Roman"/>
          <w:sz w:val="24"/>
          <w:szCs w:val="24"/>
        </w:rPr>
        <w:t xml:space="preserve">may have motivated the decision in </w:t>
      </w:r>
      <w:r w:rsidR="00C83479" w:rsidRPr="00C83479">
        <w:rPr>
          <w:rFonts w:ascii="Times New Roman" w:hAnsi="Times New Roman" w:cs="Times New Roman"/>
          <w:i/>
          <w:sz w:val="24"/>
          <w:szCs w:val="24"/>
        </w:rPr>
        <w:t>Brooks</w:t>
      </w:r>
      <w:r w:rsidR="00C83479">
        <w:rPr>
          <w:rFonts w:ascii="Times New Roman" w:hAnsi="Times New Roman" w:cs="Times New Roman"/>
          <w:sz w:val="24"/>
          <w:szCs w:val="24"/>
        </w:rPr>
        <w:t xml:space="preserve">, no one can reasonably dispute that </w:t>
      </w:r>
      <w:r w:rsidR="003D7563">
        <w:rPr>
          <w:rFonts w:ascii="Times New Roman" w:hAnsi="Times New Roman" w:cs="Times New Roman"/>
          <w:sz w:val="24"/>
          <w:szCs w:val="24"/>
        </w:rPr>
        <w:t>the harms associated with</w:t>
      </w:r>
      <w:r w:rsidR="00820DE2">
        <w:rPr>
          <w:rFonts w:ascii="Times New Roman" w:hAnsi="Times New Roman" w:cs="Times New Roman"/>
          <w:sz w:val="24"/>
          <w:szCs w:val="24"/>
        </w:rPr>
        <w:t xml:space="preserve"> </w:t>
      </w:r>
      <w:r w:rsidR="00C83479">
        <w:rPr>
          <w:rFonts w:ascii="Times New Roman" w:hAnsi="Times New Roman" w:cs="Times New Roman"/>
          <w:sz w:val="24"/>
          <w:szCs w:val="24"/>
        </w:rPr>
        <w:t>submetering</w:t>
      </w:r>
      <w:r w:rsidR="00820DE2">
        <w:rPr>
          <w:rFonts w:ascii="Times New Roman" w:hAnsi="Times New Roman" w:cs="Times New Roman"/>
          <w:sz w:val="24"/>
          <w:szCs w:val="24"/>
        </w:rPr>
        <w:t xml:space="preserve"> </w:t>
      </w:r>
      <w:r w:rsidR="003D7563">
        <w:rPr>
          <w:rFonts w:ascii="Times New Roman" w:hAnsi="Times New Roman" w:cs="Times New Roman"/>
          <w:sz w:val="24"/>
          <w:szCs w:val="24"/>
        </w:rPr>
        <w:t>and the alarm caused b</w:t>
      </w:r>
      <w:r w:rsidR="00033449">
        <w:rPr>
          <w:rFonts w:ascii="Times New Roman" w:hAnsi="Times New Roman" w:cs="Times New Roman"/>
          <w:sz w:val="24"/>
          <w:szCs w:val="24"/>
        </w:rPr>
        <w:t xml:space="preserve">y the submetering industry are more </w:t>
      </w:r>
      <w:r w:rsidR="003D7563">
        <w:rPr>
          <w:rFonts w:ascii="Times New Roman" w:hAnsi="Times New Roman" w:cs="Times New Roman"/>
          <w:sz w:val="24"/>
          <w:szCs w:val="24"/>
        </w:rPr>
        <w:t>acute</w:t>
      </w:r>
      <w:r w:rsidR="00033449">
        <w:rPr>
          <w:rFonts w:ascii="Times New Roman" w:hAnsi="Times New Roman" w:cs="Times New Roman"/>
          <w:sz w:val="24"/>
          <w:szCs w:val="24"/>
        </w:rPr>
        <w:t xml:space="preserve"> now</w:t>
      </w:r>
      <w:r w:rsidR="00C83479">
        <w:rPr>
          <w:rFonts w:ascii="Times New Roman" w:hAnsi="Times New Roman" w:cs="Times New Roman"/>
          <w:sz w:val="24"/>
          <w:szCs w:val="24"/>
        </w:rPr>
        <w:t xml:space="preserve">.  While the Commission can certainly account for the rationales articulated in </w:t>
      </w:r>
      <w:r w:rsidR="00C83479" w:rsidRPr="00C83479">
        <w:rPr>
          <w:rFonts w:ascii="Times New Roman" w:hAnsi="Times New Roman" w:cs="Times New Roman"/>
          <w:i/>
          <w:sz w:val="24"/>
          <w:szCs w:val="24"/>
        </w:rPr>
        <w:t>Brooks</w:t>
      </w:r>
      <w:r w:rsidR="00C83479">
        <w:rPr>
          <w:rFonts w:ascii="Times New Roman" w:hAnsi="Times New Roman" w:cs="Times New Roman"/>
          <w:sz w:val="24"/>
          <w:szCs w:val="24"/>
        </w:rPr>
        <w:t xml:space="preserve">, NEP’s argument ignores the contextual </w:t>
      </w:r>
      <w:r w:rsidR="00C83479" w:rsidRPr="00C83479">
        <w:rPr>
          <w:rFonts w:ascii="Times New Roman" w:hAnsi="Times New Roman" w:cs="Times New Roman"/>
          <w:sz w:val="24"/>
          <w:szCs w:val="24"/>
        </w:rPr>
        <w:t xml:space="preserve">differences between that case </w:t>
      </w:r>
      <w:r w:rsidR="00A37946">
        <w:rPr>
          <w:rFonts w:ascii="Times New Roman" w:hAnsi="Times New Roman" w:cs="Times New Roman"/>
          <w:sz w:val="24"/>
          <w:szCs w:val="24"/>
        </w:rPr>
        <w:t>and the circumstances surrounding the activities of NEP</w:t>
      </w:r>
      <w:r w:rsidR="00C83479" w:rsidRPr="00C83479">
        <w:rPr>
          <w:rFonts w:ascii="Times New Roman" w:hAnsi="Times New Roman" w:cs="Times New Roman"/>
          <w:sz w:val="24"/>
          <w:szCs w:val="24"/>
        </w:rPr>
        <w:t xml:space="preserve">.  Contrary to NEP, </w:t>
      </w:r>
      <w:r w:rsidR="00C83479" w:rsidRPr="00C83479">
        <w:rPr>
          <w:rFonts w:ascii="Times New Roman" w:hAnsi="Times New Roman" w:cs="Times New Roman"/>
          <w:i/>
          <w:sz w:val="24"/>
          <w:szCs w:val="24"/>
        </w:rPr>
        <w:t>Brooks</w:t>
      </w:r>
      <w:r w:rsidR="00C83479" w:rsidRPr="00C83479">
        <w:rPr>
          <w:rFonts w:ascii="Times New Roman" w:hAnsi="Times New Roman" w:cs="Times New Roman"/>
          <w:sz w:val="24"/>
          <w:szCs w:val="24"/>
        </w:rPr>
        <w:t xml:space="preserve"> does not control here.</w:t>
      </w:r>
    </w:p>
    <w:p w:rsidR="000A71A1" w:rsidRPr="00C83479" w:rsidRDefault="00933D54" w:rsidP="00C13E2F">
      <w:pPr>
        <w:pStyle w:val="ListParagraph"/>
        <w:widowControl w:val="0"/>
        <w:numPr>
          <w:ilvl w:val="0"/>
          <w:numId w:val="2"/>
        </w:numPr>
        <w:autoSpaceDE w:val="0"/>
        <w:autoSpaceDN w:val="0"/>
        <w:adjustRightInd w:val="0"/>
        <w:spacing w:after="0" w:line="240" w:lineRule="auto"/>
        <w:ind w:left="1440" w:right="720" w:hanging="720"/>
        <w:rPr>
          <w:rFonts w:ascii="Times New Roman" w:hAnsi="Times New Roman"/>
          <w:b/>
          <w:bCs/>
          <w:color w:val="000000"/>
          <w:sz w:val="24"/>
          <w:szCs w:val="24"/>
        </w:rPr>
      </w:pPr>
      <w:r>
        <w:rPr>
          <w:rFonts w:ascii="Times New Roman" w:hAnsi="Times New Roman"/>
          <w:b/>
          <w:bCs/>
          <w:color w:val="000000"/>
          <w:sz w:val="24"/>
          <w:szCs w:val="24"/>
        </w:rPr>
        <w:t>T</w:t>
      </w:r>
      <w:r w:rsidRPr="00C83479">
        <w:rPr>
          <w:rFonts w:ascii="Times New Roman" w:hAnsi="Times New Roman"/>
          <w:b/>
          <w:bCs/>
          <w:color w:val="000000"/>
          <w:sz w:val="24"/>
          <w:szCs w:val="24"/>
        </w:rPr>
        <w:t>his complaint</w:t>
      </w:r>
      <w:r>
        <w:rPr>
          <w:rFonts w:ascii="Times New Roman" w:hAnsi="Times New Roman"/>
          <w:b/>
          <w:bCs/>
          <w:color w:val="000000"/>
          <w:sz w:val="24"/>
          <w:szCs w:val="24"/>
        </w:rPr>
        <w:t xml:space="preserve"> and the accompanying consumer protections it requests </w:t>
      </w:r>
      <w:r w:rsidRPr="00C83479">
        <w:rPr>
          <w:rFonts w:ascii="Times New Roman" w:hAnsi="Times New Roman"/>
          <w:b/>
          <w:bCs/>
          <w:color w:val="000000"/>
          <w:sz w:val="24"/>
          <w:szCs w:val="24"/>
        </w:rPr>
        <w:t>should move forward without delay.</w:t>
      </w:r>
    </w:p>
    <w:p w:rsidR="00C13E2F" w:rsidRDefault="00C13E2F" w:rsidP="00C13E2F">
      <w:pPr>
        <w:autoSpaceDE w:val="0"/>
        <w:autoSpaceDN w:val="0"/>
        <w:spacing w:after="0" w:line="240" w:lineRule="auto"/>
        <w:ind w:firstLine="720"/>
        <w:rPr>
          <w:rFonts w:ascii="Times New Roman" w:eastAsia="Times New Roman" w:hAnsi="Times New Roman" w:cs="Times New Roman"/>
          <w:sz w:val="24"/>
          <w:szCs w:val="24"/>
        </w:rPr>
      </w:pPr>
    </w:p>
    <w:p w:rsidR="00CD46EC" w:rsidRPr="00CD46EC" w:rsidRDefault="00CD46EC" w:rsidP="00CD46EC">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NEP’s request to unnecessarily stall this case to the detriment of residential customers is meritless.  </w:t>
      </w:r>
      <w:r w:rsidRPr="00CD46EC">
        <w:rPr>
          <w:rFonts w:ascii="Times New Roman" w:eastAsia="Times New Roman" w:hAnsi="Times New Roman" w:cs="Times New Roman"/>
          <w:sz w:val="24"/>
          <w:szCs w:val="24"/>
        </w:rPr>
        <w:t>R.C. 4905.26 authorizes a complaint alleging, inter alia,  “</w:t>
      </w:r>
      <w:r w:rsidRPr="00CD46EC">
        <w:rPr>
          <w:rFonts w:ascii="Times New Roman" w:hAnsi="Times New Roman" w:cs="Times New Roman"/>
          <w:sz w:val="24"/>
          <w:szCs w:val="24"/>
          <w:shd w:val="clear" w:color="auto" w:fill="FFFFFF"/>
        </w:rPr>
        <w:t>that any rate, fare, charge, toll, rental, schedule, classification, or service, or any joint rate, fare, charge, toll, rental, schedule, classification, or service rendered, charged, demanded, exacted, or proposed to be rendered, charged, demanded, or exacted, is in any respect unjust, unreasonable, unjustly discriminatory, unjustly preferential, or in violation of law * * * .”  OCC availed itself of th</w:t>
      </w:r>
      <w:r w:rsidR="00A37946">
        <w:rPr>
          <w:rFonts w:ascii="Times New Roman" w:hAnsi="Times New Roman" w:cs="Times New Roman"/>
          <w:sz w:val="24"/>
          <w:szCs w:val="24"/>
          <w:shd w:val="clear" w:color="auto" w:fill="FFFFFF"/>
        </w:rPr>
        <w:t xml:space="preserve">e </w:t>
      </w:r>
      <w:r w:rsidRPr="00CD46EC">
        <w:rPr>
          <w:rFonts w:ascii="Times New Roman" w:hAnsi="Times New Roman" w:cs="Times New Roman"/>
          <w:sz w:val="24"/>
          <w:szCs w:val="24"/>
          <w:shd w:val="clear" w:color="auto" w:fill="FFFFFF"/>
        </w:rPr>
        <w:t xml:space="preserve">statutory </w:t>
      </w:r>
      <w:r w:rsidR="00A37946">
        <w:rPr>
          <w:rFonts w:ascii="Times New Roman" w:hAnsi="Times New Roman" w:cs="Times New Roman"/>
          <w:sz w:val="24"/>
          <w:szCs w:val="24"/>
          <w:shd w:val="clear" w:color="auto" w:fill="FFFFFF"/>
        </w:rPr>
        <w:t>right</w:t>
      </w:r>
      <w:r w:rsidR="00820DE2">
        <w:rPr>
          <w:rFonts w:ascii="Times New Roman" w:hAnsi="Times New Roman" w:cs="Times New Roman"/>
          <w:sz w:val="24"/>
          <w:szCs w:val="24"/>
          <w:shd w:val="clear" w:color="auto" w:fill="FFFFFF"/>
        </w:rPr>
        <w:t xml:space="preserve"> </w:t>
      </w:r>
      <w:r w:rsidR="00A37946">
        <w:rPr>
          <w:rFonts w:ascii="Times New Roman" w:hAnsi="Times New Roman" w:cs="Times New Roman"/>
          <w:sz w:val="24"/>
          <w:szCs w:val="24"/>
          <w:shd w:val="clear" w:color="auto" w:fill="FFFFFF"/>
        </w:rPr>
        <w:t>to protect residential customers</w:t>
      </w:r>
      <w:r w:rsidR="00510F82">
        <w:rPr>
          <w:rFonts w:ascii="Times New Roman" w:hAnsi="Times New Roman" w:cs="Times New Roman"/>
          <w:sz w:val="24"/>
          <w:szCs w:val="24"/>
          <w:shd w:val="clear" w:color="auto" w:fill="FFFFFF"/>
        </w:rPr>
        <w:t>.</w:t>
      </w:r>
      <w:r w:rsidR="00820DE2">
        <w:rPr>
          <w:rFonts w:ascii="Times New Roman" w:hAnsi="Times New Roman" w:cs="Times New Roman"/>
          <w:sz w:val="24"/>
          <w:szCs w:val="24"/>
          <w:shd w:val="clear" w:color="auto" w:fill="FFFFFF"/>
        </w:rPr>
        <w:t xml:space="preserve">  </w:t>
      </w:r>
      <w:r w:rsidR="00510F82">
        <w:rPr>
          <w:rFonts w:ascii="Times New Roman" w:hAnsi="Times New Roman" w:cs="Times New Roman"/>
          <w:sz w:val="24"/>
          <w:szCs w:val="24"/>
          <w:shd w:val="clear" w:color="auto" w:fill="FFFFFF"/>
        </w:rPr>
        <w:t xml:space="preserve">And </w:t>
      </w:r>
      <w:r w:rsidR="00793E0A">
        <w:rPr>
          <w:rFonts w:ascii="Times New Roman" w:hAnsi="Times New Roman" w:cs="Times New Roman"/>
          <w:sz w:val="24"/>
          <w:szCs w:val="24"/>
          <w:shd w:val="clear" w:color="auto" w:fill="FFFFFF"/>
        </w:rPr>
        <w:t xml:space="preserve">incidentally, </w:t>
      </w:r>
      <w:r w:rsidR="00510F82">
        <w:rPr>
          <w:rFonts w:ascii="Times New Roman" w:hAnsi="Times New Roman" w:cs="Times New Roman"/>
          <w:sz w:val="24"/>
          <w:szCs w:val="24"/>
          <w:shd w:val="clear" w:color="auto" w:fill="FFFFFF"/>
        </w:rPr>
        <w:t>OCC</w:t>
      </w:r>
      <w:r w:rsidRPr="00CD46EC">
        <w:rPr>
          <w:rFonts w:ascii="Times New Roman" w:hAnsi="Times New Roman" w:cs="Times New Roman"/>
          <w:sz w:val="24"/>
          <w:szCs w:val="24"/>
          <w:shd w:val="clear" w:color="auto" w:fill="FFFFFF"/>
        </w:rPr>
        <w:t xml:space="preserve"> was precluded from</w:t>
      </w:r>
      <w:r w:rsidR="00A37946">
        <w:rPr>
          <w:rFonts w:ascii="Times New Roman" w:hAnsi="Times New Roman" w:cs="Times New Roman"/>
          <w:sz w:val="24"/>
          <w:szCs w:val="24"/>
          <w:shd w:val="clear" w:color="auto" w:fill="FFFFFF"/>
        </w:rPr>
        <w:t xml:space="preserve"> protecting residential customers through</w:t>
      </w:r>
      <w:r w:rsidRPr="00CD46EC">
        <w:rPr>
          <w:rFonts w:ascii="Times New Roman" w:hAnsi="Times New Roman" w:cs="Times New Roman"/>
          <w:sz w:val="24"/>
          <w:szCs w:val="24"/>
          <w:shd w:val="clear" w:color="auto" w:fill="FFFFFF"/>
        </w:rPr>
        <w:t xml:space="preserve"> another submetering complaint case.</w:t>
      </w:r>
      <w:r>
        <w:rPr>
          <w:rStyle w:val="FootnoteReference"/>
          <w:rFonts w:ascii="Times New Roman" w:hAnsi="Times New Roman" w:cs="Times New Roman"/>
          <w:sz w:val="24"/>
          <w:szCs w:val="24"/>
          <w:shd w:val="clear" w:color="auto" w:fill="FFFFFF"/>
        </w:rPr>
        <w:footnoteReference w:id="24"/>
      </w:r>
      <w:r w:rsidR="00820DE2">
        <w:rPr>
          <w:rFonts w:ascii="Times New Roman" w:hAnsi="Times New Roman" w:cs="Times New Roman"/>
          <w:sz w:val="24"/>
          <w:szCs w:val="24"/>
          <w:shd w:val="clear" w:color="auto" w:fill="FFFFFF"/>
        </w:rPr>
        <w:t xml:space="preserve">  </w:t>
      </w:r>
      <w:r w:rsidRPr="00CD46EC">
        <w:rPr>
          <w:rFonts w:ascii="Times New Roman" w:hAnsi="Times New Roman" w:cs="Times New Roman"/>
          <w:sz w:val="24"/>
          <w:szCs w:val="24"/>
          <w:shd w:val="clear" w:color="auto" w:fill="FFFFFF"/>
        </w:rPr>
        <w:t xml:space="preserve">OCC initiated this complaint to </w:t>
      </w:r>
      <w:r w:rsidR="00A37946">
        <w:rPr>
          <w:rFonts w:ascii="Times New Roman" w:hAnsi="Times New Roman" w:cs="Times New Roman"/>
          <w:sz w:val="24"/>
          <w:szCs w:val="24"/>
          <w:shd w:val="clear" w:color="auto" w:fill="FFFFFF"/>
        </w:rPr>
        <w:t>protect</w:t>
      </w:r>
      <w:r w:rsidRPr="00CD46EC">
        <w:rPr>
          <w:rFonts w:ascii="Times New Roman" w:hAnsi="Times New Roman" w:cs="Times New Roman"/>
          <w:sz w:val="24"/>
          <w:szCs w:val="24"/>
          <w:shd w:val="clear" w:color="auto" w:fill="FFFFFF"/>
        </w:rPr>
        <w:t xml:space="preserve"> residential customers in AEP Ohio’s service territory</w:t>
      </w:r>
      <w:r w:rsidR="00A37946">
        <w:rPr>
          <w:rFonts w:ascii="Times New Roman" w:hAnsi="Times New Roman" w:cs="Times New Roman"/>
          <w:sz w:val="24"/>
          <w:szCs w:val="24"/>
          <w:shd w:val="clear" w:color="auto" w:fill="FFFFFF"/>
        </w:rPr>
        <w:t xml:space="preserve"> from the harm that is occurring and to prevent future submetering si</w:t>
      </w:r>
      <w:r w:rsidR="00B643BC">
        <w:rPr>
          <w:rFonts w:ascii="Times New Roman" w:hAnsi="Times New Roman" w:cs="Times New Roman"/>
          <w:sz w:val="24"/>
          <w:szCs w:val="24"/>
          <w:shd w:val="clear" w:color="auto" w:fill="FFFFFF"/>
        </w:rPr>
        <w:t>tuations from being implemented</w:t>
      </w:r>
      <w:r w:rsidR="00A37946">
        <w:rPr>
          <w:rFonts w:ascii="Times New Roman" w:hAnsi="Times New Roman" w:cs="Times New Roman"/>
          <w:sz w:val="24"/>
          <w:szCs w:val="24"/>
          <w:shd w:val="clear" w:color="auto" w:fill="FFFFFF"/>
        </w:rPr>
        <w:t>.</w:t>
      </w:r>
      <w:r w:rsidR="00B643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As detailed in the complaint, t</w:t>
      </w:r>
      <w:r w:rsidRPr="00CD46EC">
        <w:rPr>
          <w:rFonts w:ascii="Times New Roman" w:hAnsi="Times New Roman" w:cs="Times New Roman"/>
          <w:sz w:val="24"/>
          <w:szCs w:val="24"/>
          <w:shd w:val="clear" w:color="auto" w:fill="FFFFFF"/>
        </w:rPr>
        <w:t>hese customers are not afforded the same set of protections afforded to AEP Ohio’s distribution customers.</w:t>
      </w:r>
      <w:r w:rsidR="000373E5">
        <w:rPr>
          <w:rStyle w:val="FootnoteReference"/>
          <w:rFonts w:ascii="Times New Roman" w:hAnsi="Times New Roman" w:cs="Times New Roman"/>
          <w:sz w:val="24"/>
          <w:szCs w:val="24"/>
          <w:shd w:val="clear" w:color="auto" w:fill="FFFFFF"/>
        </w:rPr>
        <w:footnoteReference w:id="25"/>
      </w:r>
    </w:p>
    <w:p w:rsidR="00A70629" w:rsidRDefault="00503F76" w:rsidP="00820DE2">
      <w:pPr>
        <w:autoSpaceDE w:val="0"/>
        <w:autoSpaceDN w:val="0"/>
        <w:spacing w:after="0" w:line="480" w:lineRule="auto"/>
        <w:ind w:firstLine="720"/>
        <w:rPr>
          <w:rFonts w:ascii="Times New Roman" w:eastAsia="Times New Roman" w:hAnsi="Times New Roman" w:cs="Times New Roman"/>
          <w:sz w:val="24"/>
          <w:szCs w:val="24"/>
        </w:rPr>
      </w:pPr>
      <w:r w:rsidRPr="00C83479">
        <w:rPr>
          <w:rFonts w:ascii="Times New Roman" w:hAnsi="Times New Roman"/>
          <w:sz w:val="24"/>
          <w:szCs w:val="24"/>
        </w:rPr>
        <w:t>All residential customers, including those who are submetered or subject to reselling</w:t>
      </w:r>
      <w:r w:rsidR="00510F82">
        <w:rPr>
          <w:rFonts w:ascii="Times New Roman" w:hAnsi="Times New Roman"/>
          <w:sz w:val="24"/>
          <w:szCs w:val="24"/>
        </w:rPr>
        <w:t xml:space="preserve"> of utility service</w:t>
      </w:r>
      <w:r w:rsidRPr="00C83479">
        <w:rPr>
          <w:rFonts w:ascii="Times New Roman" w:hAnsi="Times New Roman"/>
          <w:sz w:val="24"/>
          <w:szCs w:val="24"/>
        </w:rPr>
        <w:t>, are deserving of all protections afforded to customers that have direct relationships with public utilities.</w:t>
      </w:r>
      <w:r w:rsidR="00B643BC">
        <w:rPr>
          <w:rFonts w:ascii="Times New Roman" w:hAnsi="Times New Roman"/>
          <w:sz w:val="24"/>
          <w:szCs w:val="24"/>
        </w:rPr>
        <w:t xml:space="preserve">  </w:t>
      </w:r>
      <w:r w:rsidR="00510F82">
        <w:rPr>
          <w:rFonts w:ascii="Times New Roman" w:hAnsi="Times New Roman"/>
          <w:sz w:val="24"/>
          <w:szCs w:val="24"/>
        </w:rPr>
        <w:t xml:space="preserve">The practice of reselling, especially in the context of </w:t>
      </w:r>
      <w:r w:rsidR="00510F82">
        <w:rPr>
          <w:rFonts w:ascii="Times New Roman" w:eastAsia="Times New Roman" w:hAnsi="Times New Roman" w:cs="Times New Roman"/>
          <w:sz w:val="24"/>
          <w:szCs w:val="24"/>
        </w:rPr>
        <w:t>s</w:t>
      </w:r>
      <w:r w:rsidR="00EE448C" w:rsidRPr="00C83479">
        <w:rPr>
          <w:rFonts w:ascii="Times New Roman" w:eastAsia="Times New Roman" w:hAnsi="Times New Roman" w:cs="Times New Roman"/>
          <w:sz w:val="24"/>
          <w:szCs w:val="24"/>
        </w:rPr>
        <w:t>ubmetering</w:t>
      </w:r>
      <w:r w:rsidR="00510F82">
        <w:rPr>
          <w:rFonts w:ascii="Times New Roman" w:eastAsia="Times New Roman" w:hAnsi="Times New Roman" w:cs="Times New Roman"/>
          <w:sz w:val="24"/>
          <w:szCs w:val="24"/>
        </w:rPr>
        <w:t xml:space="preserve">, </w:t>
      </w:r>
      <w:r w:rsidR="006F6FBF">
        <w:rPr>
          <w:rFonts w:ascii="Times New Roman" w:eastAsia="Times New Roman" w:hAnsi="Times New Roman" w:cs="Times New Roman"/>
          <w:sz w:val="24"/>
          <w:szCs w:val="24"/>
        </w:rPr>
        <w:t>denies</w:t>
      </w:r>
      <w:r w:rsidR="00EE448C" w:rsidRPr="00C83479">
        <w:rPr>
          <w:rFonts w:ascii="Times New Roman" w:eastAsia="Times New Roman" w:hAnsi="Times New Roman" w:cs="Times New Roman"/>
          <w:sz w:val="24"/>
          <w:szCs w:val="24"/>
        </w:rPr>
        <w:t xml:space="preserve"> residential customers the ability to shop for competitive generation supply, denies customers critical consumer protections of rate regulation, subjects customers to higher and unknown rates, denies customers other consumer protections embedded in the PUCO’s rules and Ohio law, and could raise reliability concerns.</w:t>
      </w:r>
      <w:r w:rsidR="00EE448C" w:rsidRPr="00C83479">
        <w:rPr>
          <w:rStyle w:val="FootnoteReference"/>
          <w:rFonts w:ascii="Times New Roman" w:eastAsia="Times New Roman" w:hAnsi="Times New Roman" w:cs="Times New Roman"/>
          <w:sz w:val="24"/>
          <w:szCs w:val="24"/>
        </w:rPr>
        <w:footnoteReference w:id="26"/>
      </w:r>
      <w:r w:rsidR="00B643BC">
        <w:rPr>
          <w:rFonts w:ascii="Times New Roman" w:eastAsia="Times New Roman" w:hAnsi="Times New Roman" w:cs="Times New Roman"/>
          <w:sz w:val="24"/>
          <w:szCs w:val="24"/>
        </w:rPr>
        <w:t xml:space="preserve">  </w:t>
      </w:r>
      <w:r w:rsidR="0085469A">
        <w:rPr>
          <w:rFonts w:ascii="Times New Roman" w:eastAsia="Times New Roman" w:hAnsi="Times New Roman" w:cs="Times New Roman"/>
          <w:sz w:val="24"/>
          <w:szCs w:val="24"/>
        </w:rPr>
        <w:t xml:space="preserve">For all these reasons, </w:t>
      </w:r>
      <w:r w:rsidR="00D62371">
        <w:rPr>
          <w:rFonts w:ascii="Times New Roman" w:eastAsia="Times New Roman" w:hAnsi="Times New Roman" w:cs="Times New Roman"/>
          <w:sz w:val="24"/>
          <w:szCs w:val="24"/>
        </w:rPr>
        <w:t xml:space="preserve">this complaint case should </w:t>
      </w:r>
      <w:r w:rsidR="00D62371" w:rsidRPr="003D7563">
        <w:rPr>
          <w:rFonts w:ascii="Times New Roman" w:eastAsia="Times New Roman" w:hAnsi="Times New Roman" w:cs="Times New Roman"/>
          <w:sz w:val="24"/>
          <w:szCs w:val="24"/>
        </w:rPr>
        <w:t>move forward without delay.</w:t>
      </w:r>
      <w:r w:rsidR="00480539" w:rsidRPr="003D7563">
        <w:rPr>
          <w:rFonts w:ascii="Times New Roman" w:eastAsia="Times New Roman" w:hAnsi="Times New Roman" w:cs="Times New Roman"/>
          <w:sz w:val="24"/>
          <w:szCs w:val="24"/>
        </w:rPr>
        <w:t xml:space="preserve">  If at all, delaying this case </w:t>
      </w:r>
      <w:r w:rsidR="0085469A" w:rsidRPr="003D7563">
        <w:rPr>
          <w:rFonts w:ascii="Times New Roman" w:eastAsia="Times New Roman" w:hAnsi="Times New Roman" w:cs="Times New Roman"/>
          <w:sz w:val="24"/>
          <w:szCs w:val="24"/>
        </w:rPr>
        <w:t xml:space="preserve">as requested by NEP </w:t>
      </w:r>
      <w:r w:rsidR="00480539" w:rsidRPr="003D7563">
        <w:rPr>
          <w:rFonts w:ascii="Times New Roman" w:eastAsia="Times New Roman" w:hAnsi="Times New Roman" w:cs="Times New Roman"/>
          <w:sz w:val="24"/>
          <w:szCs w:val="24"/>
        </w:rPr>
        <w:t xml:space="preserve">will </w:t>
      </w:r>
      <w:r w:rsidR="0085469A" w:rsidRPr="003D7563">
        <w:rPr>
          <w:rFonts w:ascii="Times New Roman" w:eastAsia="Times New Roman" w:hAnsi="Times New Roman" w:cs="Times New Roman"/>
          <w:sz w:val="24"/>
          <w:szCs w:val="24"/>
        </w:rPr>
        <w:t xml:space="preserve">only </w:t>
      </w:r>
      <w:r w:rsidR="00480539" w:rsidRPr="003D7563">
        <w:rPr>
          <w:rFonts w:ascii="Times New Roman" w:eastAsia="Times New Roman" w:hAnsi="Times New Roman" w:cs="Times New Roman"/>
          <w:sz w:val="24"/>
          <w:szCs w:val="24"/>
        </w:rPr>
        <w:t>perpetuate the harms inflicted on residents subject to</w:t>
      </w:r>
      <w:r w:rsidR="00510F82">
        <w:rPr>
          <w:rFonts w:ascii="Times New Roman" w:eastAsia="Times New Roman" w:hAnsi="Times New Roman" w:cs="Times New Roman"/>
          <w:sz w:val="24"/>
          <w:szCs w:val="24"/>
        </w:rPr>
        <w:t xml:space="preserve"> reselling of utility service, particularly</w:t>
      </w:r>
      <w:r w:rsidR="00820DE2">
        <w:rPr>
          <w:rFonts w:ascii="Times New Roman" w:eastAsia="Times New Roman" w:hAnsi="Times New Roman" w:cs="Times New Roman"/>
          <w:sz w:val="24"/>
          <w:szCs w:val="24"/>
        </w:rPr>
        <w:t xml:space="preserve"> </w:t>
      </w:r>
      <w:r w:rsidR="00480539" w:rsidRPr="003D7563">
        <w:rPr>
          <w:rFonts w:ascii="Times New Roman" w:eastAsia="Times New Roman" w:hAnsi="Times New Roman" w:cs="Times New Roman"/>
          <w:sz w:val="24"/>
          <w:szCs w:val="24"/>
        </w:rPr>
        <w:t>submetering arrangements.</w:t>
      </w:r>
    </w:p>
    <w:p w:rsidR="00F11B90" w:rsidRDefault="00F11B90" w:rsidP="00F11B90">
      <w:pPr>
        <w:autoSpaceDE w:val="0"/>
        <w:autoSpaceDN w:val="0"/>
        <w:spacing w:after="0" w:line="240" w:lineRule="auto"/>
        <w:ind w:firstLine="720"/>
        <w:rPr>
          <w:rFonts w:ascii="Times New Roman" w:eastAsia="Times New Roman" w:hAnsi="Times New Roman" w:cs="Times New Roman"/>
          <w:sz w:val="24"/>
          <w:szCs w:val="24"/>
        </w:rPr>
      </w:pPr>
    </w:p>
    <w:p w:rsidR="00A70629" w:rsidRPr="00A70629" w:rsidRDefault="00A70629" w:rsidP="0074077D">
      <w:pPr>
        <w:pStyle w:val="ListParagraph"/>
        <w:numPr>
          <w:ilvl w:val="0"/>
          <w:numId w:val="1"/>
        </w:numPr>
        <w:autoSpaceDE w:val="0"/>
        <w:autoSpaceDN w:val="0"/>
        <w:spacing w:after="0" w:line="480" w:lineRule="auto"/>
        <w:ind w:left="720"/>
        <w:rPr>
          <w:rFonts w:ascii="Times New Roman" w:eastAsia="Times New Roman" w:hAnsi="Times New Roman" w:cs="Times New Roman"/>
          <w:b/>
          <w:sz w:val="24"/>
          <w:szCs w:val="24"/>
        </w:rPr>
      </w:pPr>
      <w:r w:rsidRPr="00A70629">
        <w:rPr>
          <w:rFonts w:ascii="Times New Roman" w:eastAsia="Times New Roman" w:hAnsi="Times New Roman" w:cs="Times New Roman"/>
          <w:b/>
          <w:sz w:val="24"/>
          <w:szCs w:val="24"/>
        </w:rPr>
        <w:t>CONCLUSION</w:t>
      </w:r>
    </w:p>
    <w:p w:rsidR="00A70629" w:rsidRPr="00A70629" w:rsidRDefault="00A70629" w:rsidP="00A70629">
      <w:pPr>
        <w:autoSpaceDE w:val="0"/>
        <w:autoSpaceDN w:val="0"/>
        <w:adjustRightInd w:val="0"/>
        <w:spacing w:after="0" w:line="480" w:lineRule="auto"/>
        <w:ind w:firstLine="720"/>
        <w:rPr>
          <w:rFonts w:ascii="Times New Roman" w:hAnsi="Times New Roman"/>
          <w:bCs/>
          <w:color w:val="000000"/>
          <w:sz w:val="24"/>
          <w:szCs w:val="24"/>
        </w:rPr>
      </w:pPr>
      <w:r w:rsidRPr="00A70629">
        <w:rPr>
          <w:rFonts w:ascii="Times New Roman" w:hAnsi="Times New Roman"/>
          <w:bCs/>
          <w:sz w:val="24"/>
          <w:szCs w:val="24"/>
        </w:rPr>
        <w:t xml:space="preserve">The PUCO should </w:t>
      </w:r>
      <w:r>
        <w:rPr>
          <w:rFonts w:ascii="Times New Roman" w:hAnsi="Times New Roman"/>
          <w:bCs/>
          <w:sz w:val="24"/>
          <w:szCs w:val="24"/>
        </w:rPr>
        <w:t xml:space="preserve">reject NEP’s claims and </w:t>
      </w:r>
      <w:r w:rsidRPr="00A70629">
        <w:rPr>
          <w:rFonts w:ascii="Times New Roman" w:hAnsi="Times New Roman"/>
          <w:bCs/>
          <w:sz w:val="24"/>
          <w:szCs w:val="24"/>
        </w:rPr>
        <w:t>protect Ohioans by (1) immediately imposing a moratorium on new submetering arrangements with residential customers that involve the abusive practices described herein and (2) using its regulatory authority over public utility tariffs to ban existing and future reselling of residentia</w:t>
      </w:r>
      <w:r>
        <w:rPr>
          <w:rFonts w:ascii="Times New Roman" w:hAnsi="Times New Roman"/>
          <w:bCs/>
          <w:sz w:val="24"/>
          <w:szCs w:val="24"/>
        </w:rPr>
        <w:t xml:space="preserve">l customers’ utility </w:t>
      </w:r>
      <w:r w:rsidR="006F6FBF">
        <w:rPr>
          <w:rFonts w:ascii="Times New Roman" w:hAnsi="Times New Roman"/>
          <w:bCs/>
          <w:sz w:val="24"/>
          <w:szCs w:val="24"/>
        </w:rPr>
        <w:t>service</w:t>
      </w:r>
      <w:r w:rsidRPr="00A70629">
        <w:rPr>
          <w:rFonts w:ascii="Times New Roman" w:hAnsi="Times New Roman"/>
          <w:bCs/>
          <w:sz w:val="24"/>
          <w:szCs w:val="24"/>
        </w:rPr>
        <w:t xml:space="preserve">s.  </w:t>
      </w:r>
    </w:p>
    <w:p w:rsidR="00A70629" w:rsidRPr="00A70629" w:rsidRDefault="00A70629" w:rsidP="00A70629">
      <w:pPr>
        <w:autoSpaceDE w:val="0"/>
        <w:autoSpaceDN w:val="0"/>
        <w:spacing w:after="0" w:line="480" w:lineRule="auto"/>
        <w:rPr>
          <w:rFonts w:ascii="Times New Roman" w:eastAsia="Times New Roman" w:hAnsi="Times New Roman" w:cs="Times New Roman"/>
          <w:sz w:val="24"/>
          <w:szCs w:val="24"/>
        </w:rPr>
      </w:pPr>
    </w:p>
    <w:p w:rsidR="00933D54" w:rsidRDefault="00620152" w:rsidP="00CD46EC">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13E2F">
        <w:rPr>
          <w:rFonts w:ascii="Times New Roman" w:eastAsia="Times New Roman" w:hAnsi="Times New Roman" w:cs="Times New Roman"/>
          <w:sz w:val="24"/>
          <w:szCs w:val="24"/>
        </w:rPr>
        <w:tab/>
      </w:r>
      <w:r w:rsidR="00C13E2F">
        <w:rPr>
          <w:rFonts w:ascii="Times New Roman" w:eastAsia="Times New Roman" w:hAnsi="Times New Roman" w:cs="Times New Roman"/>
          <w:sz w:val="24"/>
          <w:szCs w:val="24"/>
        </w:rPr>
        <w:tab/>
      </w:r>
      <w:r w:rsidR="00C13E2F">
        <w:rPr>
          <w:rFonts w:ascii="Times New Roman" w:eastAsia="Times New Roman" w:hAnsi="Times New Roman" w:cs="Times New Roman"/>
          <w:sz w:val="24"/>
          <w:szCs w:val="24"/>
        </w:rPr>
        <w:tab/>
      </w:r>
    </w:p>
    <w:p w:rsidR="00933D54" w:rsidRDefault="00933D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33D54" w:rsidRPr="005A799D" w:rsidRDefault="00933D54" w:rsidP="00933D54">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Respectfully submitted,</w:t>
      </w:r>
    </w:p>
    <w:p w:rsidR="00933D54" w:rsidRPr="005A799D" w:rsidRDefault="00933D54" w:rsidP="00933D54">
      <w:pPr>
        <w:tabs>
          <w:tab w:val="left" w:pos="0"/>
          <w:tab w:val="left" w:pos="720"/>
          <w:tab w:val="left" w:pos="4320"/>
          <w:tab w:val="right" w:pos="864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BRUCE J. WESTON (0016973)</w:t>
      </w:r>
    </w:p>
    <w:p w:rsidR="00933D54" w:rsidRPr="005A799D" w:rsidRDefault="00933D54" w:rsidP="00933D54">
      <w:pPr>
        <w:tabs>
          <w:tab w:val="left" w:pos="0"/>
          <w:tab w:val="left" w:pos="720"/>
          <w:tab w:val="left" w:pos="4320"/>
          <w:tab w:val="right" w:pos="8640"/>
        </w:tabs>
        <w:spacing w:after="12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OHIO CONSUMERS’ COUNSEL</w:t>
      </w:r>
    </w:p>
    <w:p w:rsidR="00933D54" w:rsidRPr="005A799D" w:rsidRDefault="00933D54" w:rsidP="00933D54">
      <w:pPr>
        <w:autoSpaceDE w:val="0"/>
        <w:autoSpaceDN w:val="0"/>
        <w:adjustRightInd w:val="0"/>
        <w:spacing w:after="0" w:line="240" w:lineRule="auto"/>
        <w:ind w:firstLine="720"/>
        <w:contextualSpacing/>
        <w:rPr>
          <w:rFonts w:ascii="Times New Roman" w:eastAsia="Times New Roman" w:hAnsi="Times New Roman" w:cs="Times New Roman"/>
          <w:sz w:val="24"/>
          <w:szCs w:val="24"/>
          <w:u w:val="single"/>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p>
    <w:p w:rsidR="00933D54" w:rsidRPr="005A799D" w:rsidRDefault="00933D54" w:rsidP="00933D54">
      <w:pPr>
        <w:spacing w:after="0" w:line="240" w:lineRule="auto"/>
        <w:ind w:left="3600" w:firstLine="720"/>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Kyle L. Kern, Counsel of Record (0084199)</w:t>
      </w:r>
    </w:p>
    <w:p w:rsidR="00933D54" w:rsidRDefault="00933D54" w:rsidP="00933D54">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Assistant Consumers’ Counsel</w:t>
      </w:r>
    </w:p>
    <w:p w:rsidR="00D17AF9" w:rsidRPr="005A799D" w:rsidRDefault="00D17AF9" w:rsidP="00933D54">
      <w:pPr>
        <w:spacing w:after="0" w:line="240" w:lineRule="auto"/>
        <w:contextualSpacing/>
        <w:rPr>
          <w:rFonts w:ascii="Times New Roman" w:eastAsia="Times New Roman" w:hAnsi="Times New Roman" w:cs="Times New Roman"/>
          <w:sz w:val="24"/>
          <w:szCs w:val="24"/>
        </w:rPr>
      </w:pPr>
    </w:p>
    <w:p w:rsidR="00933D54" w:rsidRPr="005A799D" w:rsidRDefault="00933D54" w:rsidP="00933D54">
      <w:pPr>
        <w:spacing w:after="0" w:line="240" w:lineRule="auto"/>
        <w:contextualSpacing/>
        <w:rPr>
          <w:rFonts w:ascii="Times New Roman" w:eastAsia="Times New Roman" w:hAnsi="Times New Roman" w:cs="Times New Roman"/>
          <w:b/>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b/>
          <w:sz w:val="24"/>
          <w:szCs w:val="24"/>
        </w:rPr>
        <w:t>Office of the Ohio Consumers’ Counsel</w:t>
      </w:r>
    </w:p>
    <w:p w:rsidR="00933D54" w:rsidRPr="005A799D" w:rsidRDefault="00933D54" w:rsidP="00933D54">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10 West Broad Street, Suite 1800</w:t>
      </w:r>
    </w:p>
    <w:p w:rsidR="00933D54" w:rsidRPr="005A799D" w:rsidRDefault="00933D54" w:rsidP="00933D54">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Columbus, Ohio 43215</w:t>
      </w:r>
    </w:p>
    <w:p w:rsidR="00933D54" w:rsidRPr="005A799D" w:rsidRDefault="00933D54" w:rsidP="00933D54">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Telephone (Kern Direct): 614-466-9585</w:t>
      </w:r>
    </w:p>
    <w:p w:rsidR="00933D54" w:rsidRPr="005A799D" w:rsidRDefault="00933D54" w:rsidP="00933D54">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hyperlink r:id="rId14" w:history="1">
        <w:r w:rsidRPr="002C1E7F">
          <w:rPr>
            <w:rFonts w:ascii="Times New Roman" w:eastAsia="Times New Roman" w:hAnsi="Times New Roman" w:cs="Times New Roman"/>
            <w:color w:val="0000FF"/>
            <w:sz w:val="24"/>
            <w:szCs w:val="24"/>
            <w:u w:val="single"/>
          </w:rPr>
          <w:t>kyle.kern@occ.ohio.gov</w:t>
        </w:r>
      </w:hyperlink>
    </w:p>
    <w:p w:rsidR="00933D54" w:rsidRPr="005A799D" w:rsidRDefault="00933D54" w:rsidP="00933D54">
      <w:pPr>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(Will accept service via email)</w:t>
      </w:r>
    </w:p>
    <w:p w:rsidR="00933D54" w:rsidRPr="005A799D" w:rsidRDefault="00933D54" w:rsidP="00933D54">
      <w:pPr>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p>
    <w:p w:rsidR="00933D54" w:rsidRPr="005A799D" w:rsidRDefault="00933D54" w:rsidP="00933D54">
      <w:pPr>
        <w:autoSpaceDE w:val="0"/>
        <w:autoSpaceDN w:val="0"/>
        <w:adjustRightInd w:val="0"/>
        <w:spacing w:after="0" w:line="240" w:lineRule="auto"/>
        <w:ind w:firstLine="720"/>
        <w:contextualSpacing/>
        <w:rPr>
          <w:rFonts w:ascii="Times New Roman" w:eastAsia="Times New Roman" w:hAnsi="Times New Roman" w:cs="Times New Roman"/>
          <w:sz w:val="24"/>
          <w:szCs w:val="24"/>
          <w:u w:val="single"/>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i/>
          <w:sz w:val="24"/>
          <w:szCs w:val="24"/>
          <w:u w:val="single"/>
        </w:rPr>
        <w:t>/s/ Kimberly W. Bojko</w:t>
      </w:r>
      <w:r w:rsidRPr="005A799D">
        <w:rPr>
          <w:rFonts w:ascii="Times New Roman" w:eastAsia="Times New Roman" w:hAnsi="Times New Roman" w:cs="Times New Roman"/>
          <w:sz w:val="24"/>
          <w:szCs w:val="24"/>
          <w:u w:val="single"/>
        </w:rPr>
        <w:tab/>
      </w:r>
      <w:r w:rsidRPr="005A799D">
        <w:rPr>
          <w:rFonts w:ascii="Times New Roman" w:eastAsia="Times New Roman" w:hAnsi="Times New Roman" w:cs="Times New Roman"/>
          <w:sz w:val="24"/>
          <w:szCs w:val="24"/>
          <w:u w:val="single"/>
        </w:rPr>
        <w:tab/>
      </w:r>
      <w:r w:rsidRPr="005A799D">
        <w:rPr>
          <w:rFonts w:ascii="Times New Roman" w:eastAsia="Times New Roman" w:hAnsi="Times New Roman" w:cs="Times New Roman"/>
          <w:sz w:val="24"/>
          <w:szCs w:val="24"/>
          <w:u w:val="single"/>
        </w:rPr>
        <w:tab/>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Kimberly W. Bojko (0069402)</w:t>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Carpenter Lipps</w:t>
      </w:r>
      <w:r>
        <w:rPr>
          <w:rFonts w:ascii="Times New Roman" w:eastAsia="Times New Roman" w:hAnsi="Times New Roman" w:cs="Times New Roman"/>
          <w:sz w:val="24"/>
          <w:szCs w:val="24"/>
        </w:rPr>
        <w:t xml:space="preserve"> </w:t>
      </w:r>
      <w:r w:rsidRPr="005A799D">
        <w:rPr>
          <w:rFonts w:ascii="Times New Roman" w:eastAsia="Times New Roman" w:hAnsi="Times New Roman" w:cs="Times New Roman"/>
          <w:sz w:val="24"/>
          <w:szCs w:val="24"/>
        </w:rPr>
        <w:t>&amp; Leland LLP</w:t>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280 North High Street, Suite 1300</w:t>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Columbus, Ohio 43215</w:t>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Telephone: (614) 365-4100</w:t>
      </w:r>
    </w:p>
    <w:p w:rsidR="00933D54" w:rsidRPr="005A799D" w:rsidRDefault="001A7653"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hyperlink r:id="rId15" w:history="1">
        <w:r w:rsidR="00933D54" w:rsidRPr="002C1E7F">
          <w:rPr>
            <w:rFonts w:ascii="Times New Roman" w:eastAsia="Times New Roman" w:hAnsi="Times New Roman" w:cs="Times New Roman"/>
            <w:color w:val="0000FF"/>
            <w:sz w:val="24"/>
            <w:szCs w:val="24"/>
            <w:u w:val="single"/>
          </w:rPr>
          <w:t>bojko@carpenterlipps.com</w:t>
        </w:r>
      </w:hyperlink>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(Will accept service via email)</w:t>
      </w:r>
    </w:p>
    <w:p w:rsidR="00933D54" w:rsidRPr="005A799D" w:rsidRDefault="00933D54" w:rsidP="00933D54">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p>
    <w:p w:rsidR="00933D54" w:rsidRPr="005A799D" w:rsidRDefault="00933D54" w:rsidP="00933D54">
      <w:pPr>
        <w:widowControl w:val="0"/>
        <w:tabs>
          <w:tab w:val="center" w:pos="4680"/>
          <w:tab w:val="right" w:pos="9360"/>
        </w:tabs>
        <w:spacing w:after="0" w:line="240" w:lineRule="auto"/>
        <w:ind w:firstLine="4320"/>
        <w:rPr>
          <w:rFonts w:ascii="Times New Roman" w:eastAsia="Times New Roman" w:hAnsi="Times New Roman" w:cs="Times New Roman"/>
          <w:i/>
          <w:sz w:val="24"/>
          <w:szCs w:val="24"/>
        </w:rPr>
      </w:pPr>
      <w:r w:rsidRPr="005A799D">
        <w:rPr>
          <w:rFonts w:ascii="Times New Roman" w:eastAsia="Times New Roman" w:hAnsi="Times New Roman" w:cs="Times New Roman"/>
          <w:i/>
          <w:sz w:val="24"/>
          <w:szCs w:val="24"/>
        </w:rPr>
        <w:t>Outside Counsel for the</w:t>
      </w:r>
    </w:p>
    <w:p w:rsidR="00933D54" w:rsidRDefault="00933D54" w:rsidP="00933D54">
      <w:pPr>
        <w:widowControl w:val="0"/>
        <w:tabs>
          <w:tab w:val="center" w:pos="4680"/>
          <w:tab w:val="right" w:pos="9360"/>
        </w:tabs>
        <w:spacing w:after="0" w:line="240" w:lineRule="auto"/>
        <w:ind w:firstLine="4320"/>
        <w:rPr>
          <w:rFonts w:ascii="Times New Roman" w:eastAsia="Times New Roman" w:hAnsi="Times New Roman" w:cs="Times New Roman"/>
          <w:i/>
          <w:sz w:val="24"/>
          <w:szCs w:val="24"/>
        </w:rPr>
      </w:pPr>
      <w:r w:rsidRPr="005A799D">
        <w:rPr>
          <w:rFonts w:ascii="Times New Roman" w:eastAsia="Times New Roman" w:hAnsi="Times New Roman" w:cs="Times New Roman"/>
          <w:i/>
          <w:sz w:val="24"/>
          <w:szCs w:val="24"/>
        </w:rPr>
        <w:t>Office of the Ohio Consumers’ Counsel</w:t>
      </w:r>
    </w:p>
    <w:p w:rsidR="00933D54" w:rsidRDefault="00933D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33D54" w:rsidRDefault="00933D54" w:rsidP="00933D54">
      <w:pPr>
        <w:spacing w:after="0" w:line="480" w:lineRule="auto"/>
        <w:ind w:left="3600" w:hanging="36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CERTIFICATE OF SERVICE</w:t>
      </w:r>
    </w:p>
    <w:p w:rsidR="00933D54" w:rsidRDefault="00933D54" w:rsidP="00933D5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hereby certify that a copy of the foregoing Reply was served by electronic mail to the persons listed below, on this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May 2016. </w:t>
      </w:r>
    </w:p>
    <w:p w:rsidR="00933D54" w:rsidRDefault="00933D54" w:rsidP="00933D54">
      <w:pPr>
        <w:tabs>
          <w:tab w:val="left" w:pos="1440"/>
          <w:tab w:val="left" w:pos="2016"/>
        </w:tabs>
        <w:spacing w:after="0" w:line="480" w:lineRule="atLeast"/>
        <w:rPr>
          <w:rFonts w:ascii="Times New Roman" w:eastAsia="Times New Roman" w:hAnsi="Times New Roman" w:cs="Times New Roman"/>
          <w:sz w:val="24"/>
          <w:szCs w:val="24"/>
        </w:rPr>
      </w:pPr>
    </w:p>
    <w:p w:rsidR="00933D54" w:rsidRDefault="00933D54" w:rsidP="00933D54">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/s/ Kimberly W. Bojko</w:t>
      </w:r>
      <w:r>
        <w:rPr>
          <w:rFonts w:ascii="Times New Roman" w:eastAsia="Times New Roman" w:hAnsi="Times New Roman" w:cs="Times New Roman"/>
          <w:sz w:val="24"/>
          <w:szCs w:val="24"/>
        </w:rPr>
        <w:t>______________</w:t>
      </w:r>
    </w:p>
    <w:p w:rsidR="00933D54" w:rsidRDefault="00933D54" w:rsidP="00933D54">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Kimberly W. Bojko</w:t>
      </w:r>
    </w:p>
    <w:p w:rsidR="00933D54" w:rsidRDefault="00933D54" w:rsidP="00933D54">
      <w:pPr>
        <w:tabs>
          <w:tab w:val="left" w:pos="432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Outside Counsel for the</w:t>
      </w:r>
    </w:p>
    <w:p w:rsidR="00933D54" w:rsidRDefault="00933D54" w:rsidP="00933D54">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Office of the Ohio Consumers’ Counsel</w:t>
      </w:r>
    </w:p>
    <w:p w:rsidR="00933D54" w:rsidRDefault="00933D54" w:rsidP="00933D54">
      <w:pPr>
        <w:tabs>
          <w:tab w:val="left" w:pos="4320"/>
        </w:tabs>
        <w:spacing w:after="0" w:line="240" w:lineRule="auto"/>
        <w:rPr>
          <w:rFonts w:ascii="Times New Roman" w:eastAsia="Times New Roman" w:hAnsi="Times New Roman" w:cs="Times New Roman"/>
          <w:sz w:val="24"/>
          <w:szCs w:val="24"/>
        </w:rPr>
      </w:pPr>
    </w:p>
    <w:p w:rsidR="00933D54" w:rsidRDefault="00933D54" w:rsidP="00933D54">
      <w:pPr>
        <w:tabs>
          <w:tab w:val="left" w:pos="0"/>
          <w:tab w:val="left" w:pos="720"/>
          <w:tab w:val="left" w:pos="4320"/>
        </w:tabs>
        <w:spacing w:after="0" w:line="480" w:lineRule="auto"/>
        <w:jc w:val="center"/>
        <w:rPr>
          <w:rFonts w:ascii="Times New Roman" w:eastAsia="Times New Roman" w:hAnsi="Times New Roman" w:cs="Times New Roman"/>
          <w:b/>
          <w:sz w:val="24"/>
          <w:szCs w:val="24"/>
        </w:rPr>
      </w:pPr>
    </w:p>
    <w:p w:rsidR="00933D54" w:rsidRDefault="00933D54" w:rsidP="00933D54">
      <w:pPr>
        <w:tabs>
          <w:tab w:val="left" w:pos="0"/>
          <w:tab w:val="left" w:pos="720"/>
          <w:tab w:val="left" w:pos="4320"/>
        </w:tab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 LIST</w:t>
      </w:r>
    </w:p>
    <w:p w:rsidR="00933D54" w:rsidRDefault="00933D54" w:rsidP="00933D54">
      <w:pPr>
        <w:tabs>
          <w:tab w:val="left" w:pos="0"/>
          <w:tab w:val="left" w:pos="720"/>
          <w:tab w:val="left" w:pos="4320"/>
        </w:tabs>
        <w:spacing w:after="0" w:line="240" w:lineRule="auto"/>
        <w:jc w:val="center"/>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933D54" w:rsidTr="00933D54">
        <w:tc>
          <w:tcPr>
            <w:tcW w:w="4428" w:type="dxa"/>
          </w:tcPr>
          <w:p w:rsidR="00933D54" w:rsidRPr="00933D54" w:rsidRDefault="001A7653" w:rsidP="00933D54">
            <w:pPr>
              <w:tabs>
                <w:tab w:val="left" w:pos="0"/>
                <w:tab w:val="left" w:pos="720"/>
                <w:tab w:val="left" w:pos="4320"/>
              </w:tabs>
              <w:rPr>
                <w:rStyle w:val="Hyperlink"/>
                <w:rFonts w:ascii="Times New Roman" w:eastAsia="Times New Roman" w:hAnsi="Times New Roman" w:cs="Times New Roman"/>
                <w:sz w:val="24"/>
                <w:szCs w:val="24"/>
              </w:rPr>
            </w:pPr>
            <w:hyperlink r:id="rId16" w:history="1">
              <w:r w:rsidR="00933D54" w:rsidRPr="00933D54">
                <w:rPr>
                  <w:rStyle w:val="Hyperlink"/>
                  <w:rFonts w:ascii="Times New Roman" w:eastAsia="Times New Roman" w:hAnsi="Times New Roman" w:cs="Times New Roman"/>
                  <w:sz w:val="24"/>
                  <w:szCs w:val="24"/>
                </w:rPr>
                <w:t>William.wright@ohioattorneygeneral.gov</w:t>
              </w:r>
            </w:hyperlink>
          </w:p>
          <w:p w:rsidR="00933D54" w:rsidRPr="00933D54" w:rsidRDefault="001A7653" w:rsidP="00933D54">
            <w:pPr>
              <w:autoSpaceDE w:val="0"/>
              <w:autoSpaceDN w:val="0"/>
              <w:adjustRightInd w:val="0"/>
              <w:rPr>
                <w:rStyle w:val="Hyperlink"/>
                <w:rFonts w:ascii="Times New Roman" w:hAnsi="Times New Roman" w:cs="Times New Roman"/>
                <w:sz w:val="24"/>
                <w:szCs w:val="24"/>
              </w:rPr>
            </w:pPr>
            <w:hyperlink r:id="rId17" w:history="1">
              <w:r w:rsidR="00933D54" w:rsidRPr="00933D54">
                <w:rPr>
                  <w:rStyle w:val="Hyperlink"/>
                  <w:rFonts w:ascii="Times New Roman" w:hAnsi="Times New Roman" w:cs="Times New Roman"/>
                  <w:sz w:val="24"/>
                  <w:szCs w:val="24"/>
                </w:rPr>
                <w:t>fdarr@mwncmh.com</w:t>
              </w:r>
            </w:hyperlink>
          </w:p>
          <w:p w:rsidR="00933D54" w:rsidRPr="00933D54" w:rsidRDefault="001A7653" w:rsidP="00933D54">
            <w:pPr>
              <w:autoSpaceDE w:val="0"/>
              <w:autoSpaceDN w:val="0"/>
              <w:adjustRightInd w:val="0"/>
              <w:rPr>
                <w:rFonts w:ascii="Times New Roman" w:eastAsia="Times New Roman" w:hAnsi="Times New Roman" w:cs="Times New Roman"/>
                <w:b/>
                <w:sz w:val="24"/>
                <w:szCs w:val="24"/>
              </w:rPr>
            </w:pPr>
            <w:hyperlink r:id="rId18" w:history="1">
              <w:r w:rsidR="00933D54" w:rsidRPr="00933D54">
                <w:rPr>
                  <w:rStyle w:val="Hyperlink"/>
                  <w:rFonts w:ascii="Times New Roman" w:hAnsi="Times New Roman" w:cs="Times New Roman"/>
                  <w:sz w:val="24"/>
                  <w:szCs w:val="24"/>
                </w:rPr>
                <w:t>mjsettineri@vorys.com</w:t>
              </w:r>
            </w:hyperlink>
          </w:p>
        </w:tc>
        <w:tc>
          <w:tcPr>
            <w:tcW w:w="4428" w:type="dxa"/>
          </w:tcPr>
          <w:p w:rsidR="00933D54" w:rsidRPr="00933D54" w:rsidRDefault="001A7653" w:rsidP="00933D54">
            <w:pPr>
              <w:tabs>
                <w:tab w:val="left" w:pos="4320"/>
                <w:tab w:val="right" w:pos="8640"/>
              </w:tabs>
              <w:jc w:val="both"/>
              <w:rPr>
                <w:rStyle w:val="Hyperlink"/>
                <w:rFonts w:ascii="Times New Roman" w:eastAsia="Times New Roman" w:hAnsi="Times New Roman" w:cs="Times New Roman"/>
                <w:sz w:val="24"/>
                <w:szCs w:val="24"/>
              </w:rPr>
            </w:pPr>
            <w:hyperlink r:id="rId19" w:history="1">
              <w:r w:rsidR="00933D54" w:rsidRPr="00933D54">
                <w:rPr>
                  <w:rStyle w:val="Hyperlink"/>
                  <w:rFonts w:ascii="Times New Roman" w:eastAsia="Times New Roman" w:hAnsi="Times New Roman" w:cs="Times New Roman"/>
                  <w:sz w:val="24"/>
                  <w:szCs w:val="24"/>
                </w:rPr>
                <w:t>stnourse@aep.com</w:t>
              </w:r>
            </w:hyperlink>
          </w:p>
          <w:p w:rsidR="00933D54" w:rsidRPr="00933D54" w:rsidRDefault="001A7653" w:rsidP="00933D54">
            <w:pPr>
              <w:autoSpaceDE w:val="0"/>
              <w:autoSpaceDN w:val="0"/>
              <w:adjustRightInd w:val="0"/>
              <w:rPr>
                <w:rFonts w:ascii="Times New Roman" w:eastAsia="Times New Roman" w:hAnsi="Times New Roman" w:cs="Times New Roman"/>
                <w:sz w:val="24"/>
                <w:szCs w:val="24"/>
              </w:rPr>
            </w:pPr>
            <w:hyperlink r:id="rId20" w:history="1">
              <w:r w:rsidR="00933D54" w:rsidRPr="00933D54">
                <w:rPr>
                  <w:rStyle w:val="Hyperlink"/>
                  <w:rFonts w:ascii="Times New Roman" w:hAnsi="Times New Roman" w:cs="Times New Roman"/>
                  <w:sz w:val="24"/>
                  <w:szCs w:val="24"/>
                </w:rPr>
                <w:t>mkeaney@calfee.com</w:t>
              </w:r>
            </w:hyperlink>
          </w:p>
          <w:p w:rsidR="00933D54" w:rsidRPr="00933D54" w:rsidRDefault="00933D54" w:rsidP="00933D54">
            <w:pPr>
              <w:tabs>
                <w:tab w:val="left" w:pos="0"/>
                <w:tab w:val="left" w:pos="720"/>
                <w:tab w:val="left" w:pos="4320"/>
              </w:tabs>
              <w:spacing w:line="480" w:lineRule="auto"/>
              <w:jc w:val="center"/>
              <w:rPr>
                <w:rFonts w:ascii="Times New Roman" w:eastAsia="Times New Roman" w:hAnsi="Times New Roman" w:cs="Times New Roman"/>
                <w:b/>
                <w:sz w:val="24"/>
                <w:szCs w:val="24"/>
              </w:rPr>
            </w:pPr>
          </w:p>
        </w:tc>
      </w:tr>
    </w:tbl>
    <w:p w:rsidR="00933D54" w:rsidRDefault="00933D54" w:rsidP="00933D54">
      <w:pPr>
        <w:tabs>
          <w:tab w:val="left" w:pos="0"/>
          <w:tab w:val="left" w:pos="720"/>
          <w:tab w:val="left" w:pos="4320"/>
        </w:tabs>
        <w:spacing w:after="0" w:line="480" w:lineRule="auto"/>
        <w:jc w:val="center"/>
        <w:rPr>
          <w:rFonts w:ascii="Times New Roman" w:eastAsia="Times New Roman" w:hAnsi="Times New Roman" w:cs="Times New Roman"/>
          <w:b/>
          <w:sz w:val="24"/>
          <w:szCs w:val="24"/>
        </w:rPr>
      </w:pPr>
    </w:p>
    <w:tbl>
      <w:tblPr>
        <w:tblW w:w="8898" w:type="dxa"/>
        <w:tblLook w:val="04A0" w:firstRow="1" w:lastRow="0" w:firstColumn="1" w:lastColumn="0" w:noHBand="0" w:noVBand="1"/>
      </w:tblPr>
      <w:tblGrid>
        <w:gridCol w:w="4449"/>
        <w:gridCol w:w="4449"/>
      </w:tblGrid>
      <w:tr w:rsidR="00933D54" w:rsidTr="004D4C68">
        <w:trPr>
          <w:trHeight w:val="1887"/>
        </w:trPr>
        <w:tc>
          <w:tcPr>
            <w:tcW w:w="4449" w:type="dxa"/>
          </w:tcPr>
          <w:p w:rsidR="00933D54" w:rsidRDefault="00933D54" w:rsidP="00933D54">
            <w:pPr>
              <w:tabs>
                <w:tab w:val="left" w:pos="0"/>
                <w:tab w:val="left" w:pos="720"/>
                <w:tab w:val="left" w:pos="4320"/>
              </w:tabs>
              <w:spacing w:after="0" w:line="240" w:lineRule="auto"/>
              <w:rPr>
                <w:rFonts w:ascii="Times New Roman" w:eastAsia="Times New Roman" w:hAnsi="Times New Roman" w:cs="Times New Roman"/>
                <w:sz w:val="24"/>
                <w:szCs w:val="24"/>
              </w:rPr>
            </w:pPr>
          </w:p>
        </w:tc>
        <w:tc>
          <w:tcPr>
            <w:tcW w:w="4449" w:type="dxa"/>
          </w:tcPr>
          <w:p w:rsidR="00933D54" w:rsidRDefault="00933D54" w:rsidP="00933D54">
            <w:pPr>
              <w:tabs>
                <w:tab w:val="left" w:pos="0"/>
                <w:tab w:val="left" w:pos="720"/>
                <w:tab w:val="left" w:pos="4320"/>
                <w:tab w:val="right" w:pos="8640"/>
              </w:tabs>
              <w:spacing w:after="0" w:line="240" w:lineRule="auto"/>
              <w:rPr>
                <w:rFonts w:ascii="Times New Roman" w:eastAsia="Times New Roman" w:hAnsi="Times New Roman" w:cs="Times New Roman"/>
                <w:sz w:val="24"/>
                <w:szCs w:val="24"/>
              </w:rPr>
            </w:pPr>
          </w:p>
        </w:tc>
      </w:tr>
    </w:tbl>
    <w:p w:rsidR="00933D54" w:rsidRPr="00697648" w:rsidRDefault="00933D54" w:rsidP="00933D54">
      <w:pPr>
        <w:autoSpaceDE w:val="0"/>
        <w:autoSpaceDN w:val="0"/>
        <w:adjustRightInd w:val="0"/>
        <w:spacing w:after="0" w:line="240" w:lineRule="auto"/>
        <w:rPr>
          <w:rFonts w:ascii="Times New Roman" w:hAnsi="Times New Roman" w:cs="Times New Roman"/>
          <w:i/>
          <w:sz w:val="24"/>
          <w:szCs w:val="24"/>
        </w:rPr>
      </w:pPr>
    </w:p>
    <w:p w:rsidR="00933D54" w:rsidRPr="00707D89" w:rsidRDefault="00933D54" w:rsidP="00933D54">
      <w:pPr>
        <w:autoSpaceDE w:val="0"/>
        <w:autoSpaceDN w:val="0"/>
        <w:adjustRightInd w:val="0"/>
        <w:spacing w:after="0" w:line="240" w:lineRule="auto"/>
        <w:rPr>
          <w:rFonts w:ascii="Times New Roman" w:hAnsi="Times New Roman" w:cs="Times New Roman"/>
          <w:sz w:val="24"/>
          <w:szCs w:val="24"/>
        </w:rPr>
      </w:pPr>
    </w:p>
    <w:sectPr w:rsidR="00933D54" w:rsidRPr="00707D89" w:rsidSect="003B1EC8">
      <w:headerReference w:type="default" r:id="rId21"/>
      <w:footerReference w:type="default" r:id="rId2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C85F6" w15:done="0"/>
  <w15:commentEx w15:paraId="4AA02EDB" w15:done="0"/>
  <w15:commentEx w15:paraId="267E6D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3BC" w:rsidRDefault="00B643BC" w:rsidP="00EE448C">
      <w:pPr>
        <w:spacing w:after="0" w:line="240" w:lineRule="auto"/>
      </w:pPr>
      <w:r>
        <w:separator/>
      </w:r>
    </w:p>
  </w:endnote>
  <w:endnote w:type="continuationSeparator" w:id="0">
    <w:p w:rsidR="00B643BC" w:rsidRDefault="00B643BC" w:rsidP="00EE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F4" w:rsidRDefault="00272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Footer"/>
      <w:jc w:val="center"/>
    </w:pPr>
  </w:p>
  <w:p w:rsidR="00B643BC" w:rsidRDefault="00B643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F4" w:rsidRDefault="00272B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249090"/>
      <w:docPartObj>
        <w:docPartGallery w:val="Page Numbers (Bottom of Page)"/>
        <w:docPartUnique/>
      </w:docPartObj>
    </w:sdtPr>
    <w:sdtEndPr>
      <w:rPr>
        <w:rFonts w:ascii="Times New Roman" w:hAnsi="Times New Roman" w:cs="Times New Roman"/>
        <w:noProof/>
        <w:sz w:val="24"/>
        <w:szCs w:val="24"/>
      </w:rPr>
    </w:sdtEndPr>
    <w:sdtContent>
      <w:p w:rsidR="00C13E2F" w:rsidRPr="00C13E2F" w:rsidRDefault="00C13E2F">
        <w:pPr>
          <w:pStyle w:val="Footer"/>
          <w:jc w:val="center"/>
          <w:rPr>
            <w:rFonts w:ascii="Times New Roman" w:hAnsi="Times New Roman" w:cs="Times New Roman"/>
            <w:sz w:val="24"/>
            <w:szCs w:val="24"/>
          </w:rPr>
        </w:pPr>
        <w:r w:rsidRPr="00C13E2F">
          <w:rPr>
            <w:rFonts w:ascii="Times New Roman" w:hAnsi="Times New Roman" w:cs="Times New Roman"/>
            <w:sz w:val="24"/>
            <w:szCs w:val="24"/>
          </w:rPr>
          <w:fldChar w:fldCharType="begin"/>
        </w:r>
        <w:r w:rsidRPr="00C13E2F">
          <w:rPr>
            <w:rFonts w:ascii="Times New Roman" w:hAnsi="Times New Roman" w:cs="Times New Roman"/>
            <w:sz w:val="24"/>
            <w:szCs w:val="24"/>
          </w:rPr>
          <w:instrText xml:space="preserve"> PAGE   \* MERGEFORMAT </w:instrText>
        </w:r>
        <w:r w:rsidRPr="00C13E2F">
          <w:rPr>
            <w:rFonts w:ascii="Times New Roman" w:hAnsi="Times New Roman" w:cs="Times New Roman"/>
            <w:sz w:val="24"/>
            <w:szCs w:val="24"/>
          </w:rPr>
          <w:fldChar w:fldCharType="separate"/>
        </w:r>
        <w:r w:rsidR="001A7653">
          <w:rPr>
            <w:rFonts w:ascii="Times New Roman" w:hAnsi="Times New Roman" w:cs="Times New Roman"/>
            <w:noProof/>
            <w:sz w:val="24"/>
            <w:szCs w:val="24"/>
          </w:rPr>
          <w:t>2</w:t>
        </w:r>
        <w:r w:rsidRPr="00C13E2F">
          <w:rPr>
            <w:rFonts w:ascii="Times New Roman" w:hAnsi="Times New Roman" w:cs="Times New Roman"/>
            <w:noProof/>
            <w:sz w:val="24"/>
            <w:szCs w:val="24"/>
          </w:rPr>
          <w:fldChar w:fldCharType="end"/>
        </w:r>
      </w:p>
    </w:sdtContent>
  </w:sdt>
  <w:p w:rsidR="00C13E2F" w:rsidRDefault="00C13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3BC" w:rsidRDefault="00B643BC" w:rsidP="00EE448C">
      <w:pPr>
        <w:spacing w:after="0" w:line="240" w:lineRule="auto"/>
      </w:pPr>
      <w:r>
        <w:separator/>
      </w:r>
    </w:p>
  </w:footnote>
  <w:footnote w:type="continuationSeparator" w:id="0">
    <w:p w:rsidR="00B643BC" w:rsidRDefault="00B643BC" w:rsidP="00EE448C">
      <w:pPr>
        <w:spacing w:after="0" w:line="240" w:lineRule="auto"/>
      </w:pPr>
      <w:r>
        <w:continuationSeparator/>
      </w:r>
    </w:p>
  </w:footnote>
  <w:footnote w:id="1">
    <w:p w:rsidR="00B643BC" w:rsidRPr="00FD21DA" w:rsidRDefault="00B643BC" w:rsidP="00EE448C">
      <w:pPr>
        <w:pStyle w:val="FootnoteText"/>
        <w:rPr>
          <w:rFonts w:cs="Times New Roman"/>
        </w:rPr>
      </w:pPr>
      <w:r w:rsidRPr="00FD21DA">
        <w:rPr>
          <w:rStyle w:val="FootnoteReference"/>
          <w:rFonts w:cs="Times New Roman"/>
        </w:rPr>
        <w:footnoteRef/>
      </w:r>
      <w:r w:rsidR="00C13E2F">
        <w:rPr>
          <w:rFonts w:cs="Times New Roman"/>
        </w:rPr>
        <w:t xml:space="preserve"> </w:t>
      </w:r>
      <w:r w:rsidRPr="00FD21DA">
        <w:rPr>
          <w:rFonts w:cs="Times New Roman"/>
        </w:rPr>
        <w:t xml:space="preserve">See </w:t>
      </w:r>
      <w:r w:rsidRPr="00FD21DA">
        <w:rPr>
          <w:rFonts w:cs="Times New Roman"/>
          <w:i/>
        </w:rPr>
        <w:t>In the Matter of the Complaint and Request for Relief for Consumers by the Office of the Ohio Consumers’ Counsel</w:t>
      </w:r>
      <w:r w:rsidRPr="00FD21DA">
        <w:rPr>
          <w:rFonts w:cs="Times New Roman"/>
        </w:rPr>
        <w:t>, Case No. 16-0782-EL-CSS (Apr. 12, 2016)</w:t>
      </w:r>
      <w:r>
        <w:rPr>
          <w:rFonts w:cs="Times New Roman"/>
        </w:rPr>
        <w:t xml:space="preserve"> (OCC Complaint)</w:t>
      </w:r>
      <w:r w:rsidRPr="00FD21DA">
        <w:rPr>
          <w:rFonts w:cs="Times New Roman"/>
        </w:rPr>
        <w:t xml:space="preserve">. </w:t>
      </w:r>
    </w:p>
  </w:footnote>
  <w:footnote w:id="2">
    <w:p w:rsidR="00B643BC" w:rsidRPr="00FD21DA" w:rsidRDefault="00B643BC" w:rsidP="00EE448C">
      <w:pPr>
        <w:pStyle w:val="FootnoteText"/>
        <w:rPr>
          <w:rFonts w:cs="Times New Roman"/>
        </w:rPr>
      </w:pPr>
      <w:r w:rsidRPr="00FD21DA">
        <w:rPr>
          <w:rStyle w:val="FootnoteReference"/>
          <w:rFonts w:cs="Times New Roman"/>
        </w:rPr>
        <w:footnoteRef/>
      </w:r>
      <w:r w:rsidR="00C13E2F">
        <w:rPr>
          <w:rFonts w:cs="Times New Roman"/>
        </w:rPr>
        <w:t xml:space="preserve"> </w:t>
      </w:r>
      <w:r w:rsidRPr="00FD21DA">
        <w:rPr>
          <w:rFonts w:cs="Times New Roman"/>
        </w:rPr>
        <w:t xml:space="preserve">See </w:t>
      </w:r>
      <w:r w:rsidRPr="00FD21DA">
        <w:rPr>
          <w:rFonts w:cs="Times New Roman"/>
          <w:i/>
        </w:rPr>
        <w:t>Motion for a Moratorium to Stop AEP Ohio From Providing New Service to Those who Resell Service to Submetered Residential Consumers by the Office of the Ohio Consumers’ Counsel</w:t>
      </w:r>
      <w:r w:rsidRPr="00FD21DA">
        <w:rPr>
          <w:rFonts w:cs="Times New Roman"/>
        </w:rPr>
        <w:t>, Case No 16-0782-EL-CSS (Apr. 12, 2016).</w:t>
      </w:r>
    </w:p>
  </w:footnote>
  <w:footnote w:id="3">
    <w:p w:rsidR="00B643BC" w:rsidRPr="00FD21DA" w:rsidRDefault="00B643BC" w:rsidP="00EE448C">
      <w:pPr>
        <w:pStyle w:val="FootnoteText"/>
        <w:rPr>
          <w:rFonts w:cs="Times New Roman"/>
        </w:rPr>
      </w:pPr>
      <w:r w:rsidRPr="00FD21DA">
        <w:rPr>
          <w:rStyle w:val="FootnoteReference"/>
          <w:rFonts w:cs="Times New Roman"/>
        </w:rPr>
        <w:footnoteRef/>
      </w:r>
      <w:r w:rsidR="00C13E2F">
        <w:rPr>
          <w:rFonts w:cs="Times New Roman"/>
        </w:rPr>
        <w:t xml:space="preserve"> </w:t>
      </w:r>
      <w:r w:rsidRPr="00FD21DA">
        <w:rPr>
          <w:rFonts w:cs="Times New Roman"/>
        </w:rPr>
        <w:t xml:space="preserve">See </w:t>
      </w:r>
      <w:r w:rsidRPr="00FD21DA">
        <w:rPr>
          <w:rFonts w:cs="Times New Roman"/>
          <w:i/>
        </w:rPr>
        <w:t>Answer of Ohio Power Company</w:t>
      </w:r>
      <w:r w:rsidRPr="00FD21DA">
        <w:rPr>
          <w:rFonts w:cs="Times New Roman"/>
        </w:rPr>
        <w:t xml:space="preserve">, Case No. 16-0782-EL CSS (Apr. 27, 2016) (AEP Ohio Answer); </w:t>
      </w:r>
      <w:r w:rsidRPr="00FD21DA">
        <w:rPr>
          <w:rFonts w:cs="Times New Roman"/>
          <w:i/>
        </w:rPr>
        <w:t>Ohio Power Company’s Memorandum Contra OCC’s Motion for a Moratorium</w:t>
      </w:r>
      <w:r w:rsidRPr="00FD21DA">
        <w:rPr>
          <w:rFonts w:cs="Times New Roman"/>
        </w:rPr>
        <w:t xml:space="preserve">, Case No. 16-0782-EL-CSS (Apr. 27, 2016) (AEP Ohio Memo Contra Moratorium); </w:t>
      </w:r>
      <w:r w:rsidRPr="00FD21DA">
        <w:rPr>
          <w:rFonts w:cs="Times New Roman"/>
          <w:i/>
        </w:rPr>
        <w:t>Ohio Power Company’s Motion for Tariff Amendment and Memorandum in Support</w:t>
      </w:r>
      <w:r w:rsidRPr="00FD21DA">
        <w:rPr>
          <w:rFonts w:cs="Times New Roman"/>
        </w:rPr>
        <w:t>, Case No. 16-0782-EL-CSS (Apr. 27, 2016) (AEP Ohio Motion to Amend).</w:t>
      </w:r>
    </w:p>
  </w:footnote>
  <w:footnote w:id="4">
    <w:p w:rsidR="00B643BC" w:rsidRDefault="00B643BC" w:rsidP="00EE448C">
      <w:pPr>
        <w:pStyle w:val="FootnoteText"/>
      </w:pPr>
      <w:r>
        <w:rPr>
          <w:rStyle w:val="FootnoteReference"/>
        </w:rPr>
        <w:footnoteRef/>
      </w:r>
      <w:r w:rsidR="00C13E2F">
        <w:rPr>
          <w:rFonts w:cs="Times New Roman"/>
        </w:rPr>
        <w:t xml:space="preserve"> </w:t>
      </w:r>
      <w:r w:rsidRPr="00FD21DA">
        <w:rPr>
          <w:rFonts w:cs="Times New Roman"/>
        </w:rPr>
        <w:t xml:space="preserve">AEP Ohio Motion to Amend at 1, 3. </w:t>
      </w:r>
    </w:p>
  </w:footnote>
  <w:footnote w:id="5">
    <w:p w:rsidR="00B643BC" w:rsidRPr="00FD21DA" w:rsidRDefault="00B643BC" w:rsidP="00EE448C">
      <w:pPr>
        <w:pStyle w:val="FootnoteText"/>
        <w:rPr>
          <w:rFonts w:cs="Times New Roman"/>
        </w:rPr>
      </w:pPr>
      <w:r w:rsidRPr="00FD21DA">
        <w:rPr>
          <w:rStyle w:val="FootnoteReference"/>
          <w:rFonts w:cs="Times New Roman"/>
        </w:rPr>
        <w:footnoteRef/>
      </w:r>
      <w:r w:rsidRPr="00FD21DA">
        <w:rPr>
          <w:rFonts w:cs="Times New Roman"/>
        </w:rPr>
        <w:t xml:space="preserve"> </w:t>
      </w:r>
      <w:r w:rsidR="006F6FBF">
        <w:rPr>
          <w:rFonts w:cs="Times New Roman"/>
        </w:rPr>
        <w:t>Id.</w:t>
      </w:r>
      <w:r w:rsidRPr="00FD21DA">
        <w:rPr>
          <w:rFonts w:cs="Times New Roman"/>
        </w:rPr>
        <w:t xml:space="preserve"> </w:t>
      </w:r>
    </w:p>
  </w:footnote>
  <w:footnote w:id="6">
    <w:p w:rsidR="00B643BC" w:rsidRPr="00FD21DA" w:rsidRDefault="00B643BC" w:rsidP="00EE448C">
      <w:pPr>
        <w:pStyle w:val="FootnoteText"/>
        <w:rPr>
          <w:rFonts w:cs="Times New Roman"/>
        </w:rPr>
      </w:pPr>
      <w:r w:rsidRPr="00FD21DA">
        <w:rPr>
          <w:rStyle w:val="FootnoteReference"/>
          <w:rFonts w:cs="Times New Roman"/>
        </w:rPr>
        <w:footnoteRef/>
      </w:r>
      <w:r w:rsidRPr="00FD21DA">
        <w:rPr>
          <w:rFonts w:cs="Times New Roman"/>
        </w:rPr>
        <w:t xml:space="preserve"> Id. at 1.</w:t>
      </w:r>
    </w:p>
  </w:footnote>
  <w:footnote w:id="7">
    <w:p w:rsidR="00B643BC" w:rsidRPr="00FD21DA" w:rsidRDefault="00B643BC" w:rsidP="00EE448C">
      <w:pPr>
        <w:pStyle w:val="FootnoteText"/>
        <w:rPr>
          <w:rFonts w:cs="Times New Roman"/>
        </w:rPr>
      </w:pPr>
      <w:r w:rsidRPr="00FD21DA">
        <w:rPr>
          <w:rStyle w:val="FootnoteReference"/>
          <w:rFonts w:cs="Times New Roman"/>
        </w:rPr>
        <w:footnoteRef/>
      </w:r>
      <w:r w:rsidRPr="00FD21DA">
        <w:rPr>
          <w:rFonts w:cs="Times New Roman"/>
        </w:rPr>
        <w:t xml:space="preserve"> Id. at 7-8.</w:t>
      </w:r>
    </w:p>
  </w:footnote>
  <w:footnote w:id="8">
    <w:p w:rsidR="00B643BC" w:rsidRPr="00FD21DA" w:rsidRDefault="00B643BC" w:rsidP="00EE448C">
      <w:pPr>
        <w:pStyle w:val="FootnoteText"/>
        <w:rPr>
          <w:rFonts w:cs="Times New Roman"/>
        </w:rPr>
      </w:pPr>
      <w:r w:rsidRPr="00FD21DA">
        <w:rPr>
          <w:rStyle w:val="FootnoteReference"/>
          <w:rFonts w:cs="Times New Roman"/>
        </w:rPr>
        <w:footnoteRef/>
      </w:r>
      <w:r w:rsidRPr="00FD21DA">
        <w:rPr>
          <w:rFonts w:cs="Times New Roman"/>
        </w:rPr>
        <w:t xml:space="preserve"> </w:t>
      </w:r>
      <w:r w:rsidRPr="006F6FBF">
        <w:rPr>
          <w:rFonts w:cs="Times New Roman"/>
        </w:rPr>
        <w:t>As that term is defined and used in Section 17 of AEP Ohio’s tariffs. See Section 17 of AEP Ohio’s Open Access Distribution Service Tariff, P.U.C.O. No. 20, 2</w:t>
      </w:r>
      <w:r w:rsidRPr="006F6FBF">
        <w:rPr>
          <w:rFonts w:cs="Times New Roman"/>
          <w:vertAlign w:val="superscript"/>
        </w:rPr>
        <w:t>nd</w:t>
      </w:r>
      <w:r w:rsidRPr="006F6FBF">
        <w:rPr>
          <w:rFonts w:cs="Times New Roman"/>
        </w:rPr>
        <w:t xml:space="preserve"> Revised Sheet No. 103-13D and Section 17 of AEP Ohio’s Standard Service Tariff, P.U.C.O. No. 20, 1</w:t>
      </w:r>
      <w:r w:rsidRPr="006F6FBF">
        <w:rPr>
          <w:rFonts w:cs="Times New Roman"/>
          <w:vertAlign w:val="superscript"/>
        </w:rPr>
        <w:t>st</w:t>
      </w:r>
      <w:r w:rsidRPr="006F6FBF">
        <w:rPr>
          <w:rFonts w:cs="Times New Roman"/>
        </w:rPr>
        <w:t xml:space="preserve"> Revised Sheet No. 103-13.</w:t>
      </w:r>
    </w:p>
  </w:footnote>
  <w:footnote w:id="9">
    <w:p w:rsidR="00B643BC" w:rsidRDefault="00B643BC">
      <w:pPr>
        <w:pStyle w:val="FootnoteText"/>
      </w:pPr>
      <w:r w:rsidRPr="00E53C7D">
        <w:rPr>
          <w:rStyle w:val="FootnoteReference"/>
        </w:rPr>
        <w:footnoteRef/>
      </w:r>
      <w:r w:rsidR="00933D54">
        <w:rPr>
          <w:i/>
        </w:rPr>
        <w:t xml:space="preserve"> </w:t>
      </w:r>
      <w:r w:rsidRPr="00E53C7D">
        <w:rPr>
          <w:i/>
        </w:rPr>
        <w:t>Memorandum Contra Ohio Power Company’s Motion for Tariff Amendment by the Office of Ohio Consumers’ Counsel</w:t>
      </w:r>
      <w:r>
        <w:t>, Case No. 16-0782-EL-CSS (April 27, 2016) (OCC Memo Contra AEP Ohio Motion to Amend).</w:t>
      </w:r>
    </w:p>
  </w:footnote>
  <w:footnote w:id="10">
    <w:p w:rsidR="00B643BC" w:rsidRPr="0070115E" w:rsidRDefault="00B643BC" w:rsidP="0070115E">
      <w:pPr>
        <w:pStyle w:val="FootnoteText"/>
        <w:rPr>
          <w:rFonts w:cs="Times New Roman"/>
        </w:rPr>
      </w:pPr>
      <w:r w:rsidRPr="00E53C7D">
        <w:rPr>
          <w:rStyle w:val="FootnoteReference"/>
          <w:rFonts w:cs="Times New Roman"/>
        </w:rPr>
        <w:footnoteRef/>
      </w:r>
      <w:r w:rsidR="00933D54">
        <w:rPr>
          <w:rFonts w:cs="Times New Roman"/>
          <w:i/>
        </w:rPr>
        <w:t xml:space="preserve"> </w:t>
      </w:r>
      <w:r w:rsidRPr="00E53C7D">
        <w:rPr>
          <w:rFonts w:cs="Times New Roman"/>
          <w:i/>
        </w:rPr>
        <w:t>Memorandum Opposing Ohio Power Company’s Motion for Tariff Amendment by Industrial Energy Users-Ohio</w:t>
      </w:r>
      <w:r>
        <w:rPr>
          <w:rFonts w:cs="Times New Roman"/>
        </w:rPr>
        <w:t>, Case No. 16-0782-EL-CSS (May 10, 2016) (IEU Memo Contra AEP Ohio Motion to Amend);</w:t>
      </w:r>
      <w:r w:rsidRPr="00E53C7D">
        <w:rPr>
          <w:rFonts w:cs="Times New Roman"/>
          <w:i/>
        </w:rPr>
        <w:t>Memorandum Contra of Nationwide Energy Partners, LLC</w:t>
      </w:r>
      <w:r>
        <w:rPr>
          <w:rFonts w:cs="Times New Roman"/>
        </w:rPr>
        <w:t>, Case No. 16-0782-EL-CSS (May 12, 2016).</w:t>
      </w:r>
    </w:p>
  </w:footnote>
  <w:footnote w:id="11">
    <w:p w:rsidR="00B643BC" w:rsidRPr="0070115E" w:rsidRDefault="00B643BC" w:rsidP="0070115E">
      <w:pPr>
        <w:pStyle w:val="FootnoteText"/>
        <w:rPr>
          <w:rFonts w:cs="Times New Roman"/>
        </w:rPr>
      </w:pPr>
      <w:r w:rsidRPr="00E53C7D">
        <w:rPr>
          <w:rStyle w:val="FootnoteReference"/>
          <w:rFonts w:cs="Times New Roman"/>
        </w:rPr>
        <w:footnoteRef/>
      </w:r>
      <w:r w:rsidR="00933D54">
        <w:rPr>
          <w:rFonts w:cs="Times New Roman"/>
          <w:i/>
        </w:rPr>
        <w:t xml:space="preserve"> </w:t>
      </w:r>
      <w:r w:rsidRPr="00F5584D">
        <w:rPr>
          <w:rFonts w:cs="Times New Roman"/>
          <w:i/>
        </w:rPr>
        <w:t>Motion to Intervene of Industrial Energy Users-Ohio</w:t>
      </w:r>
      <w:r>
        <w:rPr>
          <w:rFonts w:cs="Times New Roman"/>
        </w:rPr>
        <w:t>, Case No. 16-0782-EL-CSS (May 10, 2016); Motion for Limited Intervention of Nationwide Energy Partners, LLC, 16-0782-EL-CSS (May 12, 2016); Motion to Intervene of Ohio Apartment Assn and the International Council of Shopping Centers, Case No. 16-0782-EL-CSS (May 12, 2016)</w:t>
      </w:r>
      <w:r w:rsidRPr="0070115E">
        <w:rPr>
          <w:rFonts w:cs="Times New Roman"/>
        </w:rPr>
        <w:t>.  OCC will address the</w:t>
      </w:r>
      <w:r w:rsidRPr="0070115E">
        <w:rPr>
          <w:rFonts w:eastAsia="Times New Roman" w:cs="Times New Roman"/>
        </w:rPr>
        <w:t xml:space="preserve"> interventions of IEU</w:t>
      </w:r>
      <w:r>
        <w:rPr>
          <w:rFonts w:eastAsia="Times New Roman" w:cs="Times New Roman"/>
        </w:rPr>
        <w:t xml:space="preserve">, </w:t>
      </w:r>
      <w:r w:rsidRPr="0070115E">
        <w:rPr>
          <w:rFonts w:eastAsia="Times New Roman" w:cs="Times New Roman"/>
        </w:rPr>
        <w:t>NEP</w:t>
      </w:r>
      <w:r>
        <w:rPr>
          <w:rFonts w:eastAsia="Times New Roman" w:cs="Times New Roman"/>
        </w:rPr>
        <w:t>, and OAA/ICSC</w:t>
      </w:r>
      <w:r w:rsidRPr="0070115E">
        <w:rPr>
          <w:rFonts w:eastAsia="Times New Roman" w:cs="Times New Roman"/>
        </w:rPr>
        <w:t xml:space="preserve"> in separate filings as set forth in the PUCO’s rules</w:t>
      </w:r>
      <w:r>
        <w:rPr>
          <w:rFonts w:eastAsia="Times New Roman" w:cs="Times New Roman"/>
        </w:rPr>
        <w:t>.</w:t>
      </w:r>
    </w:p>
  </w:footnote>
  <w:footnote w:id="12">
    <w:p w:rsidR="00B643BC" w:rsidRDefault="00B643BC" w:rsidP="00ED4E24">
      <w:pPr>
        <w:pStyle w:val="FootnoteText"/>
      </w:pPr>
      <w:r w:rsidRPr="00F5584D">
        <w:rPr>
          <w:rStyle w:val="FootnoteReference"/>
        </w:rPr>
        <w:footnoteRef/>
      </w:r>
      <w:r w:rsidR="00C13E2F">
        <w:t xml:space="preserve"> </w:t>
      </w:r>
      <w:r>
        <w:t xml:space="preserve">OCC Memo Contra AEP Ohio Motion to Amend at 3. </w:t>
      </w:r>
    </w:p>
  </w:footnote>
  <w:footnote w:id="13">
    <w:p w:rsidR="00B643BC" w:rsidRPr="00FD21DA" w:rsidRDefault="00B643BC" w:rsidP="0070115E">
      <w:pPr>
        <w:pStyle w:val="FootnoteText"/>
        <w:rPr>
          <w:rFonts w:cs="Times New Roman"/>
        </w:rPr>
      </w:pPr>
      <w:r w:rsidRPr="00FD21DA">
        <w:rPr>
          <w:rStyle w:val="FootnoteReference"/>
          <w:rFonts w:cs="Times New Roman"/>
        </w:rPr>
        <w:footnoteRef/>
      </w:r>
      <w:r w:rsidRPr="00FD21DA">
        <w:rPr>
          <w:rFonts w:cs="Times New Roman"/>
        </w:rPr>
        <w:t xml:space="preserve"> AEP Ohio Motion to Amend at 1, 3. </w:t>
      </w:r>
    </w:p>
  </w:footnote>
  <w:footnote w:id="14">
    <w:p w:rsidR="00B643BC" w:rsidRDefault="00B643BC">
      <w:pPr>
        <w:pStyle w:val="FootnoteText"/>
      </w:pPr>
      <w:r w:rsidRPr="00F5584D">
        <w:rPr>
          <w:rStyle w:val="FootnoteReference"/>
        </w:rPr>
        <w:footnoteRef/>
      </w:r>
      <w:r w:rsidR="00C13E2F">
        <w:t xml:space="preserve"> </w:t>
      </w:r>
      <w:r>
        <w:t>OCC Memo Contra AEP Ohio Motion to Amend at 3.</w:t>
      </w:r>
    </w:p>
  </w:footnote>
  <w:footnote w:id="15">
    <w:p w:rsidR="00B643BC" w:rsidRDefault="00B643BC">
      <w:pPr>
        <w:pStyle w:val="FootnoteText"/>
      </w:pPr>
      <w:r w:rsidRPr="00F5584D">
        <w:rPr>
          <w:rStyle w:val="FootnoteReference"/>
        </w:rPr>
        <w:footnoteRef/>
      </w:r>
      <w:r w:rsidR="00C13E2F">
        <w:t xml:space="preserve"> </w:t>
      </w:r>
      <w:r>
        <w:t>IEU Memo Contra AEP Ohio Motion to Amend at 6, 8.</w:t>
      </w:r>
    </w:p>
  </w:footnote>
  <w:footnote w:id="16">
    <w:p w:rsidR="00B643BC" w:rsidRDefault="00B643BC">
      <w:pPr>
        <w:pStyle w:val="FootnoteText"/>
      </w:pPr>
      <w:r>
        <w:rPr>
          <w:rStyle w:val="FootnoteReference"/>
        </w:rPr>
        <w:footnoteRef/>
      </w:r>
      <w:r>
        <w:t xml:space="preserve"> OCC Complaint at 2-4, 8, 14-15; also see </w:t>
      </w:r>
      <w:r w:rsidRPr="00A61F8A">
        <w:rPr>
          <w:rFonts w:cs="Times New Roman"/>
        </w:rPr>
        <w:t>AEP Ohio Motion to Amend at</w:t>
      </w:r>
      <w:r>
        <w:rPr>
          <w:rFonts w:cs="Times New Roman"/>
        </w:rPr>
        <w:t xml:space="preserve"> 5-</w:t>
      </w:r>
      <w:r w:rsidRPr="00A61F8A">
        <w:rPr>
          <w:rFonts w:cs="Times New Roman"/>
        </w:rPr>
        <w:t xml:space="preserve"> 6</w:t>
      </w:r>
      <w:r>
        <w:rPr>
          <w:rFonts w:cs="Times New Roman"/>
        </w:rPr>
        <w:t>.</w:t>
      </w:r>
    </w:p>
  </w:footnote>
  <w:footnote w:id="17">
    <w:p w:rsidR="00B643BC" w:rsidRPr="00A61F8A" w:rsidRDefault="00B643BC" w:rsidP="003B2048">
      <w:pPr>
        <w:pStyle w:val="FootnoteText"/>
        <w:rPr>
          <w:rFonts w:cs="Times New Roman"/>
        </w:rPr>
      </w:pPr>
      <w:r>
        <w:rPr>
          <w:rStyle w:val="FootnoteReference"/>
        </w:rPr>
        <w:footnoteRef/>
      </w:r>
      <w:r>
        <w:t xml:space="preserve"> See </w:t>
      </w:r>
      <w:r w:rsidRPr="00A61F8A">
        <w:rPr>
          <w:rFonts w:cs="Times New Roman"/>
        </w:rPr>
        <w:t>AEP Ohio Motion to Amend at</w:t>
      </w:r>
      <w:r w:rsidR="006F6FBF">
        <w:rPr>
          <w:rFonts w:cs="Times New Roman"/>
        </w:rPr>
        <w:t xml:space="preserve"> </w:t>
      </w:r>
      <w:r w:rsidRPr="00A61F8A">
        <w:rPr>
          <w:rFonts w:cs="Times New Roman"/>
        </w:rPr>
        <w:t xml:space="preserve">6 (citing </w:t>
      </w:r>
      <w:r w:rsidRPr="00A61F8A">
        <w:rPr>
          <w:rFonts w:cs="Times New Roman"/>
          <w:i/>
        </w:rPr>
        <w:t>Shopping Centers Assoc. v. PUCO</w:t>
      </w:r>
      <w:r w:rsidRPr="00A61F8A">
        <w:rPr>
          <w:rFonts w:cs="Times New Roman"/>
        </w:rPr>
        <w:t>, 3 Ohio St.2d 1 (1965).</w:t>
      </w:r>
    </w:p>
  </w:footnote>
  <w:footnote w:id="18">
    <w:p w:rsidR="00B643BC" w:rsidRPr="000B5FFC" w:rsidRDefault="00B643BC" w:rsidP="00E1242B">
      <w:pPr>
        <w:pStyle w:val="FootnoteText"/>
      </w:pPr>
      <w:r>
        <w:rPr>
          <w:rStyle w:val="FootnoteReference"/>
        </w:rPr>
        <w:footnoteRef/>
      </w:r>
      <w:r w:rsidR="00C13E2F">
        <w:rPr>
          <w:i/>
        </w:rPr>
        <w:t xml:space="preserve"> </w:t>
      </w:r>
      <w:r w:rsidRPr="00B22AE1">
        <w:rPr>
          <w:i/>
        </w:rPr>
        <w:t>Brooks v. Toledo Edison Co.</w:t>
      </w:r>
      <w:r>
        <w:t>, Case No. 94-1987-EL-CSS, 1996 WL 331201 (May 8, 1996).</w:t>
      </w:r>
    </w:p>
  </w:footnote>
  <w:footnote w:id="19">
    <w:p w:rsidR="00B643BC" w:rsidRDefault="00B643BC" w:rsidP="00E1242B">
      <w:pPr>
        <w:pStyle w:val="FootnoteText"/>
      </w:pPr>
      <w:r>
        <w:rPr>
          <w:rStyle w:val="FootnoteReference"/>
        </w:rPr>
        <w:footnoteRef/>
      </w:r>
      <w:r>
        <w:t xml:space="preserve"> See, e.g, The Toledo Edison Company, P.U.C.O. No. 8, Original Sheet 4, Page 10 of 24, Effective January 23, 2009.  See OCC/OPLC Attachment 5.</w:t>
      </w:r>
    </w:p>
  </w:footnote>
  <w:footnote w:id="20">
    <w:p w:rsidR="00B643BC" w:rsidRPr="0085469A" w:rsidRDefault="00B643BC" w:rsidP="00E1242B">
      <w:pPr>
        <w:pStyle w:val="FootnoteText"/>
      </w:pPr>
      <w:r w:rsidRPr="0085469A">
        <w:rPr>
          <w:rStyle w:val="FootnoteReference"/>
        </w:rPr>
        <w:footnoteRef/>
      </w:r>
      <w:r w:rsidR="00C13E2F">
        <w:rPr>
          <w:rFonts w:cs="Times New Roman"/>
        </w:rPr>
        <w:t xml:space="preserve"> </w:t>
      </w:r>
      <w:r>
        <w:rPr>
          <w:rFonts w:cs="Times New Roman"/>
        </w:rPr>
        <w:t>OCC Complaint at 10-11.</w:t>
      </w:r>
    </w:p>
  </w:footnote>
  <w:footnote w:id="21">
    <w:p w:rsidR="00B643BC" w:rsidRDefault="00B643BC" w:rsidP="00793E0A">
      <w:pPr>
        <w:pStyle w:val="FootnoteText"/>
      </w:pPr>
      <w:r>
        <w:rPr>
          <w:rStyle w:val="FootnoteReference"/>
        </w:rPr>
        <w:footnoteRef/>
      </w:r>
      <w:r w:rsidR="00C13E2F">
        <w:rPr>
          <w:i/>
        </w:rPr>
        <w:t xml:space="preserve"> </w:t>
      </w:r>
      <w:r>
        <w:rPr>
          <w:i/>
        </w:rPr>
        <w:t xml:space="preserve">See </w:t>
      </w:r>
      <w:r>
        <w:rPr>
          <w:rFonts w:cs="Times New Roman"/>
        </w:rPr>
        <w:t>AEP Ohio Motion to Amend</w:t>
      </w:r>
      <w:r w:rsidRPr="00FD21DA">
        <w:rPr>
          <w:rFonts w:cs="Times New Roman"/>
        </w:rPr>
        <w:t xml:space="preserve">. </w:t>
      </w:r>
    </w:p>
  </w:footnote>
  <w:footnote w:id="22">
    <w:p w:rsidR="00B643BC" w:rsidRDefault="00B643BC">
      <w:pPr>
        <w:pStyle w:val="FootnoteText"/>
      </w:pPr>
      <w:r>
        <w:rPr>
          <w:rStyle w:val="FootnoteReference"/>
        </w:rPr>
        <w:footnoteRef/>
      </w:r>
      <w:r>
        <w:t xml:space="preserve"> </w:t>
      </w:r>
      <w:r w:rsidRPr="00CC3BE9">
        <w:rPr>
          <w:i/>
        </w:rPr>
        <w:t>Brooks</w:t>
      </w:r>
      <w:r>
        <w:t>, 1996 WL 331201, *12.</w:t>
      </w:r>
    </w:p>
  </w:footnote>
  <w:footnote w:id="23">
    <w:p w:rsidR="00B643BC" w:rsidRDefault="00B643BC">
      <w:pPr>
        <w:pStyle w:val="FootnoteText"/>
      </w:pPr>
      <w:r>
        <w:rPr>
          <w:rStyle w:val="FootnoteReference"/>
        </w:rPr>
        <w:footnoteRef/>
      </w:r>
      <w:r w:rsidR="00C13E2F">
        <w:rPr>
          <w:i/>
        </w:rPr>
        <w:t xml:space="preserve"> </w:t>
      </w:r>
      <w:r w:rsidRPr="00794367">
        <w:rPr>
          <w:i/>
        </w:rPr>
        <w:t>In re Application of Ohio Power Co.</w:t>
      </w:r>
      <w:r>
        <w:t>, 140 Ohio St.3d 509, 2014-Ohio-4271, ¶ 26.</w:t>
      </w:r>
    </w:p>
  </w:footnote>
  <w:footnote w:id="24">
    <w:p w:rsidR="00B643BC" w:rsidRDefault="00B643BC" w:rsidP="00CD46EC">
      <w:pPr>
        <w:pStyle w:val="FootnoteText"/>
      </w:pPr>
      <w:r>
        <w:rPr>
          <w:rStyle w:val="FootnoteReference"/>
        </w:rPr>
        <w:footnoteRef/>
      </w:r>
      <w:r w:rsidR="00C13E2F">
        <w:rPr>
          <w:i/>
        </w:rPr>
        <w:t xml:space="preserve"> </w:t>
      </w:r>
      <w:r w:rsidRPr="00CD46EC">
        <w:rPr>
          <w:i/>
        </w:rPr>
        <w:t>Whitt v. Nationwide Energy Partners LLC</w:t>
      </w:r>
      <w:r>
        <w:t xml:space="preserve">, Case No. 15-697-EL-CSS, Entry at 5 (November 18, 2015) (denying OCC’s motion to intervene). </w:t>
      </w:r>
    </w:p>
  </w:footnote>
  <w:footnote w:id="25">
    <w:p w:rsidR="00B643BC" w:rsidRDefault="00B643BC">
      <w:pPr>
        <w:pStyle w:val="FootnoteText"/>
      </w:pPr>
      <w:r>
        <w:rPr>
          <w:rStyle w:val="FootnoteReference"/>
        </w:rPr>
        <w:footnoteRef/>
      </w:r>
      <w:r>
        <w:t xml:space="preserve"> OCC Complaint at 1-2, 12-13.</w:t>
      </w:r>
    </w:p>
  </w:footnote>
  <w:footnote w:id="26">
    <w:p w:rsidR="00B643BC" w:rsidRPr="00A61F8A" w:rsidRDefault="00B643BC" w:rsidP="00A61F8A">
      <w:pPr>
        <w:pStyle w:val="FootnoteText"/>
        <w:rPr>
          <w:rFonts w:cs="Times New Roman"/>
        </w:rPr>
      </w:pPr>
      <w:r w:rsidRPr="00A61F8A">
        <w:rPr>
          <w:rStyle w:val="FootnoteReference"/>
          <w:rFonts w:cs="Times New Roman"/>
        </w:rPr>
        <w:footnoteRef/>
      </w:r>
      <w:r w:rsidRPr="00A61F8A">
        <w:rPr>
          <w:rFonts w:cs="Times New Roman"/>
        </w:rPr>
        <w:t xml:space="preserve"> AEP Ohio Motion to Amend at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F4" w:rsidRDefault="00272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F4" w:rsidRDefault="00272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F4" w:rsidRDefault="00272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E6CEC"/>
    <w:multiLevelType w:val="hybridMultilevel"/>
    <w:tmpl w:val="87044E68"/>
    <w:lvl w:ilvl="0" w:tplc="7CBE0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FB2B92"/>
    <w:multiLevelType w:val="hybridMultilevel"/>
    <w:tmpl w:val="23C23D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448C"/>
    <w:rsid w:val="00033449"/>
    <w:rsid w:val="000373E5"/>
    <w:rsid w:val="000A71A1"/>
    <w:rsid w:val="000B1EC7"/>
    <w:rsid w:val="00122AEB"/>
    <w:rsid w:val="001A25FB"/>
    <w:rsid w:val="001A7653"/>
    <w:rsid w:val="0021528E"/>
    <w:rsid w:val="00241500"/>
    <w:rsid w:val="00242E3F"/>
    <w:rsid w:val="00272BF4"/>
    <w:rsid w:val="00295C2B"/>
    <w:rsid w:val="003526F5"/>
    <w:rsid w:val="003660D7"/>
    <w:rsid w:val="00377CB8"/>
    <w:rsid w:val="003849AB"/>
    <w:rsid w:val="003B18D1"/>
    <w:rsid w:val="003B1EC8"/>
    <w:rsid w:val="003B2048"/>
    <w:rsid w:val="003D1CAB"/>
    <w:rsid w:val="003D7563"/>
    <w:rsid w:val="00431E03"/>
    <w:rsid w:val="00442456"/>
    <w:rsid w:val="00480539"/>
    <w:rsid w:val="004B6818"/>
    <w:rsid w:val="004F40C3"/>
    <w:rsid w:val="004F7E87"/>
    <w:rsid w:val="00503F76"/>
    <w:rsid w:val="00510F82"/>
    <w:rsid w:val="005119EF"/>
    <w:rsid w:val="00544D2E"/>
    <w:rsid w:val="0059406D"/>
    <w:rsid w:val="00620152"/>
    <w:rsid w:val="00660EB9"/>
    <w:rsid w:val="00691FD4"/>
    <w:rsid w:val="006F17C7"/>
    <w:rsid w:val="006F6FBF"/>
    <w:rsid w:val="0070115E"/>
    <w:rsid w:val="0074077D"/>
    <w:rsid w:val="00766CEA"/>
    <w:rsid w:val="007931AA"/>
    <w:rsid w:val="00793E0A"/>
    <w:rsid w:val="00794367"/>
    <w:rsid w:val="007B4686"/>
    <w:rsid w:val="007E43C0"/>
    <w:rsid w:val="008129E1"/>
    <w:rsid w:val="00820DE2"/>
    <w:rsid w:val="008235FD"/>
    <w:rsid w:val="0085469A"/>
    <w:rsid w:val="009337AC"/>
    <w:rsid w:val="00933D54"/>
    <w:rsid w:val="00943161"/>
    <w:rsid w:val="00991ACE"/>
    <w:rsid w:val="00A26EFC"/>
    <w:rsid w:val="00A36B5D"/>
    <w:rsid w:val="00A37946"/>
    <w:rsid w:val="00A61F8A"/>
    <w:rsid w:val="00A70629"/>
    <w:rsid w:val="00A9625F"/>
    <w:rsid w:val="00AD54C4"/>
    <w:rsid w:val="00B00ECB"/>
    <w:rsid w:val="00B06B00"/>
    <w:rsid w:val="00B643BC"/>
    <w:rsid w:val="00B72E77"/>
    <w:rsid w:val="00C13E2F"/>
    <w:rsid w:val="00C15DEE"/>
    <w:rsid w:val="00C56D6D"/>
    <w:rsid w:val="00C83479"/>
    <w:rsid w:val="00CB6F90"/>
    <w:rsid w:val="00CC3BE9"/>
    <w:rsid w:val="00CD2906"/>
    <w:rsid w:val="00CD46EC"/>
    <w:rsid w:val="00D11015"/>
    <w:rsid w:val="00D17AF9"/>
    <w:rsid w:val="00D62371"/>
    <w:rsid w:val="00D85B20"/>
    <w:rsid w:val="00DD2AC5"/>
    <w:rsid w:val="00DE4064"/>
    <w:rsid w:val="00E1242B"/>
    <w:rsid w:val="00E51BE9"/>
    <w:rsid w:val="00E53C7D"/>
    <w:rsid w:val="00E8786C"/>
    <w:rsid w:val="00ED4E24"/>
    <w:rsid w:val="00EE448C"/>
    <w:rsid w:val="00EE47DF"/>
    <w:rsid w:val="00EF6239"/>
    <w:rsid w:val="00F03BFF"/>
    <w:rsid w:val="00F05364"/>
    <w:rsid w:val="00F11B90"/>
    <w:rsid w:val="00F238C3"/>
    <w:rsid w:val="00F53E3A"/>
    <w:rsid w:val="00F5584D"/>
    <w:rsid w:val="00F66FB3"/>
    <w:rsid w:val="00FC44AE"/>
    <w:rsid w:val="00FD254A"/>
    <w:rsid w:val="00FD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iPriority w:val="99"/>
    <w:unhideWhenUsed/>
    <w:rsid w:val="00E53C7D"/>
    <w:pPr>
      <w:spacing w:after="120" w:line="240" w:lineRule="auto"/>
    </w:pPr>
    <w:rPr>
      <w:rFonts w:ascii="Times New Roman" w:hAnsi="Times New Roman"/>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rsid w:val="00E53C7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EE448C"/>
    <w:rPr>
      <w:vertAlign w:val="superscript"/>
    </w:rPr>
  </w:style>
  <w:style w:type="paragraph" w:styleId="Footer">
    <w:name w:val="footer"/>
    <w:basedOn w:val="Normal"/>
    <w:link w:val="FooterChar"/>
    <w:uiPriority w:val="99"/>
    <w:unhideWhenUsed/>
    <w:rsid w:val="00EE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8C"/>
    <w:rPr>
      <w:rFonts w:eastAsiaTheme="minorEastAsia"/>
    </w:rPr>
  </w:style>
  <w:style w:type="paragraph" w:styleId="ListParagraph">
    <w:name w:val="List Paragraph"/>
    <w:basedOn w:val="Normal"/>
    <w:uiPriority w:val="34"/>
    <w:qFormat/>
    <w:rsid w:val="00F238C3"/>
    <w:pPr>
      <w:ind w:left="720"/>
      <w:contextualSpacing/>
    </w:pPr>
  </w:style>
  <w:style w:type="paragraph" w:styleId="Header">
    <w:name w:val="header"/>
    <w:basedOn w:val="Normal"/>
    <w:link w:val="HeaderChar"/>
    <w:uiPriority w:val="99"/>
    <w:unhideWhenUsed/>
    <w:rsid w:val="00F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8C3"/>
    <w:rPr>
      <w:rFonts w:eastAsiaTheme="minorEastAsia"/>
    </w:rPr>
  </w:style>
  <w:style w:type="character" w:styleId="Hyperlink">
    <w:name w:val="Hyperlink"/>
    <w:uiPriority w:val="99"/>
    <w:unhideWhenUsed/>
    <w:rsid w:val="00F53E3A"/>
    <w:rPr>
      <w:color w:val="0000FF"/>
      <w:u w:val="single"/>
    </w:rPr>
  </w:style>
  <w:style w:type="paragraph" w:styleId="BalloonText">
    <w:name w:val="Balloon Text"/>
    <w:basedOn w:val="Normal"/>
    <w:link w:val="BalloonTextChar"/>
    <w:uiPriority w:val="99"/>
    <w:semiHidden/>
    <w:unhideWhenUsed/>
    <w:rsid w:val="00CB6F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6F90"/>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CB6F90"/>
    <w:rPr>
      <w:sz w:val="18"/>
      <w:szCs w:val="18"/>
    </w:rPr>
  </w:style>
  <w:style w:type="paragraph" w:styleId="CommentText">
    <w:name w:val="annotation text"/>
    <w:basedOn w:val="Normal"/>
    <w:link w:val="CommentTextChar"/>
    <w:uiPriority w:val="99"/>
    <w:semiHidden/>
    <w:unhideWhenUsed/>
    <w:rsid w:val="00CB6F90"/>
    <w:pPr>
      <w:spacing w:line="240" w:lineRule="auto"/>
    </w:pPr>
    <w:rPr>
      <w:sz w:val="24"/>
      <w:szCs w:val="24"/>
    </w:rPr>
  </w:style>
  <w:style w:type="character" w:customStyle="1" w:styleId="CommentTextChar">
    <w:name w:val="Comment Text Char"/>
    <w:basedOn w:val="DefaultParagraphFont"/>
    <w:link w:val="CommentText"/>
    <w:uiPriority w:val="99"/>
    <w:semiHidden/>
    <w:rsid w:val="00CB6F90"/>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B6F90"/>
    <w:rPr>
      <w:b/>
      <w:bCs/>
      <w:sz w:val="20"/>
      <w:szCs w:val="20"/>
    </w:rPr>
  </w:style>
  <w:style w:type="character" w:customStyle="1" w:styleId="CommentSubjectChar">
    <w:name w:val="Comment Subject Char"/>
    <w:basedOn w:val="CommentTextChar"/>
    <w:link w:val="CommentSubject"/>
    <w:uiPriority w:val="99"/>
    <w:semiHidden/>
    <w:rsid w:val="00CB6F90"/>
    <w:rPr>
      <w:rFonts w:eastAsiaTheme="minorEastAsia"/>
      <w:b/>
      <w:bCs/>
      <w:sz w:val="20"/>
      <w:szCs w:val="20"/>
    </w:rPr>
  </w:style>
  <w:style w:type="table" w:styleId="TableGrid">
    <w:name w:val="Table Grid"/>
    <w:basedOn w:val="TableNormal"/>
    <w:uiPriority w:val="59"/>
    <w:rsid w:val="00933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iPriority w:val="99"/>
    <w:unhideWhenUsed/>
    <w:rsid w:val="00E53C7D"/>
    <w:pPr>
      <w:spacing w:after="120" w:line="240" w:lineRule="auto"/>
    </w:pPr>
    <w:rPr>
      <w:rFonts w:ascii="Times New Roman" w:hAnsi="Times New Roman"/>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rsid w:val="00E53C7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EE448C"/>
    <w:rPr>
      <w:vertAlign w:val="superscript"/>
    </w:rPr>
  </w:style>
  <w:style w:type="paragraph" w:styleId="Footer">
    <w:name w:val="footer"/>
    <w:basedOn w:val="Normal"/>
    <w:link w:val="FooterChar"/>
    <w:uiPriority w:val="99"/>
    <w:unhideWhenUsed/>
    <w:rsid w:val="00EE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8C"/>
    <w:rPr>
      <w:rFonts w:eastAsiaTheme="minorEastAsia"/>
    </w:rPr>
  </w:style>
  <w:style w:type="paragraph" w:styleId="ListParagraph">
    <w:name w:val="List Paragraph"/>
    <w:basedOn w:val="Normal"/>
    <w:uiPriority w:val="34"/>
    <w:qFormat/>
    <w:rsid w:val="00F238C3"/>
    <w:pPr>
      <w:ind w:left="720"/>
      <w:contextualSpacing/>
    </w:pPr>
  </w:style>
  <w:style w:type="paragraph" w:styleId="Header">
    <w:name w:val="header"/>
    <w:basedOn w:val="Normal"/>
    <w:link w:val="HeaderChar"/>
    <w:uiPriority w:val="99"/>
    <w:unhideWhenUsed/>
    <w:rsid w:val="00F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8C3"/>
    <w:rPr>
      <w:rFonts w:eastAsiaTheme="minorEastAsia"/>
    </w:rPr>
  </w:style>
  <w:style w:type="character" w:styleId="Hyperlink">
    <w:name w:val="Hyperlink"/>
    <w:uiPriority w:val="99"/>
    <w:unhideWhenUsed/>
    <w:rsid w:val="00F53E3A"/>
    <w:rPr>
      <w:color w:val="0000FF"/>
      <w:u w:val="single"/>
    </w:rPr>
  </w:style>
  <w:style w:type="paragraph" w:styleId="BalloonText">
    <w:name w:val="Balloon Text"/>
    <w:basedOn w:val="Normal"/>
    <w:link w:val="BalloonTextChar"/>
    <w:uiPriority w:val="99"/>
    <w:semiHidden/>
    <w:unhideWhenUsed/>
    <w:rsid w:val="00CB6F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6F90"/>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CB6F90"/>
    <w:rPr>
      <w:sz w:val="18"/>
      <w:szCs w:val="18"/>
    </w:rPr>
  </w:style>
  <w:style w:type="paragraph" w:styleId="CommentText">
    <w:name w:val="annotation text"/>
    <w:basedOn w:val="Normal"/>
    <w:link w:val="CommentTextChar"/>
    <w:uiPriority w:val="99"/>
    <w:semiHidden/>
    <w:unhideWhenUsed/>
    <w:rsid w:val="00CB6F90"/>
    <w:pPr>
      <w:spacing w:line="240" w:lineRule="auto"/>
    </w:pPr>
    <w:rPr>
      <w:sz w:val="24"/>
      <w:szCs w:val="24"/>
    </w:rPr>
  </w:style>
  <w:style w:type="character" w:customStyle="1" w:styleId="CommentTextChar">
    <w:name w:val="Comment Text Char"/>
    <w:basedOn w:val="DefaultParagraphFont"/>
    <w:link w:val="CommentText"/>
    <w:uiPriority w:val="99"/>
    <w:semiHidden/>
    <w:rsid w:val="00CB6F90"/>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B6F90"/>
    <w:rPr>
      <w:b/>
      <w:bCs/>
      <w:sz w:val="20"/>
      <w:szCs w:val="20"/>
    </w:rPr>
  </w:style>
  <w:style w:type="character" w:customStyle="1" w:styleId="CommentSubjectChar">
    <w:name w:val="Comment Subject Char"/>
    <w:basedOn w:val="CommentTextChar"/>
    <w:link w:val="CommentSubject"/>
    <w:uiPriority w:val="99"/>
    <w:semiHidden/>
    <w:rsid w:val="00CB6F9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jsettineri@vorys.com"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darr@mwncmh.com"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mailto:William.wright@ohioattorneygeneral.gov" TargetMode="External"/><Relationship Id="rId20" Type="http://schemas.openxmlformats.org/officeDocument/2006/relationships/hyperlink" Target="mailto:mkeaney@calfe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ojko@carpenterlipps.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stnourse@aep.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yle.kern@occ.ohio.go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8410</Characters>
  <Application>Microsoft Office Word</Application>
  <DocSecurity>0</DocSecurity>
  <PresentationFormat/>
  <Lines>210</Lines>
  <Paragraphs>71</Paragraphs>
  <ScaleCrop>false</ScaleCrop>
  <HeadingPairs>
    <vt:vector size="2" baseType="variant">
      <vt:variant>
        <vt:lpstr>Title</vt:lpstr>
      </vt:variant>
      <vt:variant>
        <vt:i4>1</vt:i4>
      </vt:variant>
    </vt:vector>
  </HeadingPairs>
  <TitlesOfParts>
    <vt:vector size="1" baseType="lpstr">
      <vt:lpstr>Reply to NEP's Memo Contra AEP Tariff Modifications (RPO) (661091).DOCX</vt:lpstr>
    </vt:vector>
  </TitlesOfParts>
  <Manager/>
  <Company/>
  <LinksUpToDate>false</LinksUpToDate>
  <CharactersWithSpaces>9922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2016-05-19T20:20:00Z</cp:lastPrinted>
  <dcterms:created xsi:type="dcterms:W3CDTF">2016-05-19T20:55:00Z</dcterms:created>
  <dcterms:modified xsi:type="dcterms:W3CDTF">2016-05-19T20:55:00Z</dcterms:modified>
  <cp:category> </cp:category>
  <cp:contentStatus> </cp:contentStatus>
</cp:coreProperties>
</file>