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D51A7D" w:rsidRPr="001D7812" w:rsidP="00D51A7D" w14:paraId="755105D1" w14:textId="205CC29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1D7812">
        <w:rPr>
          <w:rFonts w:ascii="Times New Roman" w:hAnsi="Times New Roman" w:cs="Times New Roman"/>
          <w:b/>
          <w:bCs/>
          <w:sz w:val="24"/>
          <w:szCs w:val="24"/>
        </w:rPr>
        <w:t>BEFORE</w:t>
      </w:r>
    </w:p>
    <w:p w:rsidR="00D51A7D" w:rsidRPr="001D7812" w:rsidP="00D51A7D" w14:paraId="40591BA3" w14:textId="77777777">
      <w:pPr>
        <w:pStyle w:val="HTMLPreformatted"/>
        <w:jc w:val="center"/>
        <w:rPr>
          <w:rFonts w:ascii="Times New Roman" w:hAnsi="Times New Roman" w:cs="Times New Roman"/>
          <w:b/>
          <w:bCs/>
          <w:sz w:val="24"/>
          <w:szCs w:val="24"/>
        </w:rPr>
      </w:pPr>
      <w:r w:rsidRPr="001D7812">
        <w:rPr>
          <w:rFonts w:ascii="Times New Roman" w:hAnsi="Times New Roman" w:cs="Times New Roman"/>
          <w:b/>
          <w:bCs/>
          <w:sz w:val="24"/>
          <w:szCs w:val="24"/>
        </w:rPr>
        <w:t>THE PUBLIC UTILITIES COMMISSION OF OHIO</w:t>
      </w:r>
    </w:p>
    <w:p w:rsidR="00D51A7D" w:rsidRPr="001D7812" w:rsidP="00D51A7D" w14:paraId="35861E99" w14:textId="77777777">
      <w:pPr>
        <w:pStyle w:val="HTMLPreformatted"/>
        <w:jc w:val="center"/>
        <w:rPr>
          <w:rFonts w:ascii="Times New Roman" w:hAnsi="Times New Roman" w:cs="Times New Roman"/>
          <w:b/>
          <w:bCs/>
          <w:sz w:val="24"/>
          <w:szCs w:val="24"/>
        </w:rPr>
      </w:pPr>
    </w:p>
    <w:tbl>
      <w:tblPr>
        <w:tblW w:w="8748" w:type="dxa"/>
        <w:tblInd w:w="-90" w:type="dxa"/>
        <w:tblCellMar>
          <w:top w:w="0" w:type="dxa"/>
          <w:left w:w="108" w:type="dxa"/>
          <w:bottom w:w="0" w:type="dxa"/>
          <w:right w:w="108" w:type="dxa"/>
        </w:tblCellMar>
        <w:tblLook w:val="01E0"/>
      </w:tblPr>
      <w:tblGrid>
        <w:gridCol w:w="4332"/>
        <w:gridCol w:w="360"/>
        <w:gridCol w:w="4056"/>
      </w:tblGrid>
      <w:tr w14:paraId="2699B441" w14:textId="77777777" w:rsidTr="001F6180">
        <w:tblPrEx>
          <w:tblW w:w="8748" w:type="dxa"/>
          <w:tblInd w:w="-90" w:type="dxa"/>
          <w:tblCellMar>
            <w:top w:w="0" w:type="dxa"/>
            <w:left w:w="108" w:type="dxa"/>
            <w:bottom w:w="0" w:type="dxa"/>
            <w:right w:w="108" w:type="dxa"/>
          </w:tblCellMar>
          <w:tblLook w:val="01E0"/>
        </w:tblPrEx>
        <w:trPr>
          <w:trHeight w:val="807"/>
        </w:trPr>
        <w:tc>
          <w:tcPr>
            <w:tcW w:w="4332" w:type="dxa"/>
            <w:shd w:val="clear" w:color="auto" w:fill="auto"/>
          </w:tcPr>
          <w:p w:rsidR="006268AC" w:rsidRPr="001D7812" w:rsidP="001F6180" w14:paraId="6AC594B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1D7812">
              <w:rPr>
                <w:rFonts w:ascii="Times New Roman" w:eastAsia="Courier New" w:hAnsi="Times New Roman" w:cs="Times New Roman"/>
                <w:sz w:val="24"/>
                <w:szCs w:val="24"/>
                <w:lang w:val="en-US" w:eastAsia="en-US" w:bidi="ar-SA"/>
              </w:rPr>
              <w:t>In the Matter of the Application of Ohio Edison Company, the Cleveland Electric Illuminating Company, and the Toledo Edison Company for Authority to Establish a Standard Service Offer Pursuant to R.C. 4928.143 in the Form of an Electric Security Plan.</w:t>
            </w:r>
          </w:p>
        </w:tc>
        <w:tc>
          <w:tcPr>
            <w:tcW w:w="360" w:type="dxa"/>
            <w:shd w:val="clear" w:color="auto" w:fill="auto"/>
          </w:tcPr>
          <w:p w:rsidR="006268AC" w:rsidRPr="001D7812" w:rsidP="001F6180" w14:paraId="38E8034F"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1D7812">
              <w:rPr>
                <w:rFonts w:ascii="Times New Roman" w:eastAsia="Courier New" w:hAnsi="Times New Roman" w:cs="Times New Roman"/>
                <w:sz w:val="24"/>
                <w:szCs w:val="24"/>
                <w:lang w:val="en-US" w:eastAsia="en-US" w:bidi="ar-SA"/>
              </w:rPr>
              <w:t>)</w:t>
            </w:r>
          </w:p>
          <w:p w:rsidR="006268AC" w:rsidRPr="001D7812" w:rsidP="001F6180" w14:paraId="37D3AFD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1D7812">
              <w:rPr>
                <w:rFonts w:ascii="Times New Roman" w:eastAsia="Courier New" w:hAnsi="Times New Roman" w:cs="Times New Roman"/>
                <w:sz w:val="24"/>
                <w:szCs w:val="24"/>
                <w:lang w:val="en-US" w:eastAsia="en-US" w:bidi="ar-SA"/>
              </w:rPr>
              <w:t>)</w:t>
            </w:r>
          </w:p>
          <w:p w:rsidR="006268AC" w:rsidRPr="001D7812" w:rsidP="001F6180" w14:paraId="4F0E73AC"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1D7812">
              <w:rPr>
                <w:rFonts w:ascii="Times New Roman" w:eastAsia="Courier New" w:hAnsi="Times New Roman" w:cs="Times New Roman"/>
                <w:sz w:val="24"/>
                <w:szCs w:val="24"/>
                <w:lang w:val="en-US" w:eastAsia="en-US" w:bidi="ar-SA"/>
              </w:rPr>
              <w:t>)</w:t>
            </w:r>
          </w:p>
          <w:p w:rsidR="006268AC" w:rsidRPr="001D7812" w:rsidP="001F6180" w14:paraId="787864C6"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1D7812">
              <w:rPr>
                <w:rFonts w:ascii="Times New Roman" w:eastAsia="Courier New" w:hAnsi="Times New Roman" w:cs="Times New Roman"/>
                <w:sz w:val="24"/>
                <w:szCs w:val="24"/>
                <w:lang w:val="en-US" w:eastAsia="en-US" w:bidi="ar-SA"/>
              </w:rPr>
              <w:t>)</w:t>
            </w:r>
          </w:p>
          <w:p w:rsidR="006268AC" w:rsidRPr="001D7812" w:rsidP="001F6180" w14:paraId="3DBEF13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1D7812">
              <w:rPr>
                <w:rFonts w:ascii="Times New Roman" w:eastAsia="Courier New" w:hAnsi="Times New Roman" w:cs="Times New Roman"/>
                <w:sz w:val="24"/>
                <w:szCs w:val="24"/>
                <w:lang w:val="en-US" w:eastAsia="en-US" w:bidi="ar-SA"/>
              </w:rPr>
              <w:t>)</w:t>
            </w:r>
          </w:p>
          <w:p w:rsidR="006268AC" w:rsidRPr="001D7812" w:rsidP="001F6180" w14:paraId="6138E3C2"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1D7812">
              <w:rPr>
                <w:rFonts w:ascii="Times New Roman" w:eastAsia="Courier New" w:hAnsi="Times New Roman" w:cs="Times New Roman"/>
                <w:sz w:val="24"/>
                <w:szCs w:val="24"/>
                <w:lang w:val="en-US" w:eastAsia="en-US" w:bidi="ar-SA"/>
              </w:rPr>
              <w:t>)</w:t>
            </w:r>
          </w:p>
          <w:p w:rsidR="006268AC" w:rsidRPr="001D7812" w:rsidP="001F6180" w14:paraId="5E86715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1D7812">
              <w:rPr>
                <w:rFonts w:ascii="Times New Roman" w:eastAsia="Courier New" w:hAnsi="Times New Roman" w:cs="Times New Roman"/>
                <w:sz w:val="24"/>
                <w:szCs w:val="24"/>
                <w:lang w:val="en-US" w:eastAsia="en-US" w:bidi="ar-SA"/>
              </w:rPr>
              <w:t>)</w:t>
            </w:r>
          </w:p>
        </w:tc>
        <w:tc>
          <w:tcPr>
            <w:tcW w:w="4056" w:type="dxa"/>
            <w:shd w:val="clear" w:color="auto" w:fill="auto"/>
          </w:tcPr>
          <w:p w:rsidR="006268AC" w:rsidRPr="001D7812" w:rsidP="001F6180" w14:paraId="66B673E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p w:rsidR="006268AC" w:rsidRPr="001D7812" w:rsidP="001F6180" w14:paraId="0089AE0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p w:rsidR="006268AC" w:rsidRPr="001D7812" w:rsidP="001F6180" w14:paraId="3CE60A1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36"/>
              <w:rPr>
                <w:rFonts w:ascii="Times New Roman" w:eastAsia="Courier New" w:hAnsi="Times New Roman" w:cs="Times New Roman"/>
                <w:sz w:val="24"/>
                <w:szCs w:val="24"/>
                <w:lang w:val="en-US" w:eastAsia="en-US" w:bidi="ar-SA"/>
              </w:rPr>
            </w:pPr>
            <w:r w:rsidRPr="001D7812">
              <w:rPr>
                <w:rFonts w:ascii="Times New Roman" w:eastAsia="Courier New" w:hAnsi="Times New Roman" w:cs="Times New Roman"/>
                <w:sz w:val="24"/>
                <w:szCs w:val="24"/>
                <w:lang w:val="en-US" w:eastAsia="en-US" w:bidi="ar-SA"/>
              </w:rPr>
              <w:t>Case No. 23-301-EL-SSO</w:t>
            </w:r>
          </w:p>
          <w:p w:rsidR="006268AC" w:rsidRPr="001D7812" w:rsidP="001F6180" w14:paraId="601E4CD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p w:rsidR="006268AC" w:rsidRPr="001D7812" w:rsidP="001F6180" w14:paraId="05764DF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tc>
      </w:tr>
    </w:tbl>
    <w:p w:rsidR="00D51A7D" w:rsidRPr="001D7812" w:rsidP="00D51A7D" w14:paraId="50A2A5EA" w14:textId="77777777">
      <w:pPr>
        <w:pStyle w:val="HTMLPreformatted"/>
        <w:jc w:val="center"/>
        <w:rPr>
          <w:rFonts w:ascii="Times New Roman" w:hAnsi="Times New Roman" w:cs="Times New Roman"/>
          <w:b/>
          <w:bCs/>
          <w:sz w:val="24"/>
          <w:szCs w:val="24"/>
        </w:rPr>
      </w:pPr>
    </w:p>
    <w:p w:rsidR="00D51A7D" w:rsidRPr="001D7812" w:rsidP="00D51A7D" w14:paraId="0AC3EDAF" w14:textId="77777777">
      <w:pPr>
        <w:pStyle w:val="HTMLPreformatted"/>
        <w:pBdr>
          <w:top w:val="single" w:sz="12" w:space="1" w:color="auto"/>
        </w:pBdr>
        <w:rPr>
          <w:rFonts w:ascii="Times New Roman" w:hAnsi="Times New Roman" w:cs="Times New Roman"/>
          <w:sz w:val="24"/>
          <w:szCs w:val="24"/>
        </w:rPr>
      </w:pPr>
    </w:p>
    <w:p w:rsidR="00307AEB" w:rsidRPr="001D7812" w:rsidP="00307AEB" w14:paraId="5634006E" w14:textId="77777777">
      <w:pPr>
        <w:tabs>
          <w:tab w:val="left" w:pos="4770"/>
          <w:tab w:val="left" w:pos="6480"/>
        </w:tabs>
        <w:jc w:val="center"/>
        <w:rPr>
          <w:rFonts w:cs="Times New Roman"/>
          <w:b/>
          <w:szCs w:val="24"/>
          <w:lang w:bidi="en-US"/>
        </w:rPr>
      </w:pPr>
      <w:r w:rsidRPr="001D7812">
        <w:rPr>
          <w:rFonts w:cs="Times New Roman"/>
          <w:b/>
          <w:szCs w:val="24"/>
          <w:lang w:bidi="en-US"/>
        </w:rPr>
        <w:t>INITIAL BRIEF FOR CONSUMER PROTECTION</w:t>
      </w:r>
    </w:p>
    <w:p w:rsidR="00307AEB" w:rsidRPr="001D7812" w:rsidP="00307AEB" w14:paraId="2622320B" w14:textId="10A46FBB">
      <w:pPr>
        <w:tabs>
          <w:tab w:val="left" w:pos="4770"/>
          <w:tab w:val="left" w:pos="6480"/>
        </w:tabs>
        <w:jc w:val="center"/>
        <w:rPr>
          <w:rFonts w:cs="Times New Roman"/>
          <w:b/>
          <w:szCs w:val="24"/>
          <w:lang w:bidi="en-US"/>
        </w:rPr>
      </w:pPr>
      <w:r w:rsidRPr="001D7812">
        <w:rPr>
          <w:rFonts w:cs="Times New Roman"/>
          <w:b/>
          <w:szCs w:val="24"/>
          <w:lang w:bidi="en-US"/>
        </w:rPr>
        <w:t>BY</w:t>
      </w:r>
    </w:p>
    <w:p w:rsidR="00D51A7D" w:rsidRPr="001D7812" w:rsidP="00D51A7D" w14:paraId="008F9F1A" w14:textId="6C2DFF51">
      <w:pPr>
        <w:jc w:val="center"/>
        <w:rPr>
          <w:rFonts w:cs="Times New Roman"/>
          <w:b/>
          <w:szCs w:val="24"/>
        </w:rPr>
      </w:pPr>
      <w:r w:rsidRPr="001D7812">
        <w:rPr>
          <w:rFonts w:cs="Times New Roman"/>
          <w:b/>
          <w:szCs w:val="24"/>
        </w:rPr>
        <w:t>OFFICE OF THE OHIO CONSUMERS</w:t>
      </w:r>
      <w:r w:rsidR="009F1383">
        <w:rPr>
          <w:rFonts w:cs="Times New Roman"/>
          <w:b/>
          <w:szCs w:val="24"/>
        </w:rPr>
        <w:t>’</w:t>
      </w:r>
      <w:r w:rsidRPr="001D7812">
        <w:rPr>
          <w:rFonts w:cs="Times New Roman"/>
          <w:b/>
          <w:szCs w:val="24"/>
        </w:rPr>
        <w:t xml:space="preserve"> COUNSEL</w:t>
      </w:r>
    </w:p>
    <w:p w:rsidR="00D51A7D" w:rsidRPr="001D7812" w:rsidP="00D51A7D" w14:paraId="20D753AE" w14:textId="77777777">
      <w:pPr>
        <w:pBdr>
          <w:bottom w:val="single" w:sz="12" w:space="1" w:color="auto"/>
        </w:pBdr>
        <w:autoSpaceDE w:val="0"/>
        <w:autoSpaceDN w:val="0"/>
        <w:adjustRightInd w:val="0"/>
        <w:jc w:val="center"/>
        <w:rPr>
          <w:rFonts w:eastAsia="Calibri" w:cs="Times New Roman"/>
          <w:b/>
          <w:bCs/>
          <w:szCs w:val="24"/>
        </w:rPr>
      </w:pPr>
    </w:p>
    <w:p w:rsidR="00104F2D" w:rsidRPr="001D7812" w:rsidP="00104F2D" w14:paraId="3A338BB7" w14:textId="77777777">
      <w:pPr>
        <w:tabs>
          <w:tab w:val="left" w:pos="4836"/>
        </w:tabs>
        <w:rPr>
          <w:rFonts w:eastAsia="Calibri" w:cs="Times New Roman"/>
          <w:b/>
          <w:bCs/>
          <w:szCs w:val="24"/>
        </w:rPr>
      </w:pPr>
    </w:p>
    <w:p w:rsidR="00307AEB" w:rsidRPr="001D7812" w:rsidP="00307AEB" w14:paraId="695DBF23" w14:textId="77777777">
      <w:pPr>
        <w:rPr>
          <w:rFonts w:cs="Times New Roman"/>
          <w:szCs w:val="24"/>
        </w:rPr>
      </w:pPr>
    </w:p>
    <w:p w:rsidR="00307AEB" w:rsidRPr="001D7812" w:rsidP="00307AEB" w14:paraId="2F90F311" w14:textId="3102764A">
      <w:pPr>
        <w:tabs>
          <w:tab w:val="left" w:pos="2776"/>
        </w:tabs>
        <w:ind w:left="4140" w:right="339"/>
        <w:rPr>
          <w:rFonts w:cs="Times New Roman"/>
          <w:szCs w:val="24"/>
        </w:rPr>
      </w:pPr>
      <w:r w:rsidRPr="001D7812">
        <w:rPr>
          <w:rFonts w:eastAsia="Times New Roman" w:cs="Times New Roman"/>
          <w:szCs w:val="24"/>
        </w:rPr>
        <w:t>Maureen R. Willis (0020847)</w:t>
      </w:r>
    </w:p>
    <w:p w:rsidR="00307AEB" w:rsidRPr="001D7812" w:rsidP="00307AEB" w14:paraId="66C99410" w14:textId="52469DED">
      <w:pPr>
        <w:tabs>
          <w:tab w:val="left" w:pos="2776"/>
        </w:tabs>
        <w:ind w:left="4140" w:right="339"/>
        <w:rPr>
          <w:rFonts w:cs="Times New Roman"/>
          <w:szCs w:val="24"/>
        </w:rPr>
      </w:pPr>
      <w:r w:rsidRPr="001D7812">
        <w:rPr>
          <w:rFonts w:eastAsia="Times New Roman" w:cs="Times New Roman"/>
          <w:szCs w:val="24"/>
        </w:rPr>
        <w:t>Ohio Consumers</w:t>
      </w:r>
      <w:r w:rsidR="009F1383">
        <w:rPr>
          <w:rFonts w:eastAsia="Times New Roman" w:cs="Times New Roman"/>
          <w:szCs w:val="24"/>
        </w:rPr>
        <w:t>’</w:t>
      </w:r>
      <w:r w:rsidRPr="001D7812">
        <w:rPr>
          <w:rFonts w:eastAsia="Times New Roman" w:cs="Times New Roman"/>
          <w:szCs w:val="24"/>
        </w:rPr>
        <w:t xml:space="preserve"> Counsel</w:t>
      </w:r>
    </w:p>
    <w:p w:rsidR="00307AEB" w:rsidRPr="001D7812" w:rsidP="00307AEB" w14:paraId="5E420F30" w14:textId="77777777">
      <w:pPr>
        <w:tabs>
          <w:tab w:val="left" w:pos="2776"/>
        </w:tabs>
        <w:ind w:left="4140" w:right="339"/>
        <w:rPr>
          <w:rFonts w:cs="Times New Roman"/>
          <w:szCs w:val="24"/>
        </w:rPr>
      </w:pPr>
      <w:r w:rsidRPr="001D7812">
        <w:rPr>
          <w:rFonts w:eastAsia="Times New Roman" w:cs="Times New Roman"/>
          <w:szCs w:val="24"/>
        </w:rPr>
        <w:t xml:space="preserve"> </w:t>
      </w:r>
    </w:p>
    <w:p w:rsidR="00307AEB" w:rsidRPr="001D7812" w:rsidP="00307AEB" w14:paraId="274D9B6D" w14:textId="77777777">
      <w:pPr>
        <w:tabs>
          <w:tab w:val="left" w:pos="2776"/>
        </w:tabs>
        <w:ind w:left="4140" w:right="339"/>
        <w:rPr>
          <w:rFonts w:cs="Times New Roman"/>
          <w:szCs w:val="24"/>
        </w:rPr>
      </w:pPr>
      <w:r w:rsidRPr="001D7812">
        <w:rPr>
          <w:rFonts w:eastAsia="Times New Roman" w:cs="Times New Roman"/>
          <w:szCs w:val="24"/>
        </w:rPr>
        <w:t>John Finnigan (0018689)</w:t>
      </w:r>
    </w:p>
    <w:p w:rsidR="00307AEB" w:rsidRPr="001D7812" w:rsidP="00307AEB" w14:paraId="67506928" w14:textId="77777777">
      <w:pPr>
        <w:tabs>
          <w:tab w:val="left" w:pos="2776"/>
        </w:tabs>
        <w:ind w:left="4140" w:right="339"/>
        <w:rPr>
          <w:rFonts w:cs="Times New Roman"/>
          <w:szCs w:val="24"/>
        </w:rPr>
      </w:pPr>
      <w:r w:rsidRPr="001D7812">
        <w:rPr>
          <w:rFonts w:eastAsia="Times New Roman" w:cs="Times New Roman"/>
          <w:szCs w:val="24"/>
        </w:rPr>
        <w:t>Counsel of Record</w:t>
      </w:r>
    </w:p>
    <w:p w:rsidR="00307AEB" w:rsidRPr="001D7812" w:rsidP="00307AEB" w14:paraId="12DF0517" w14:textId="77777777">
      <w:pPr>
        <w:tabs>
          <w:tab w:val="left" w:pos="2776"/>
        </w:tabs>
        <w:ind w:left="4140" w:right="339"/>
        <w:rPr>
          <w:rFonts w:cs="Times New Roman"/>
          <w:szCs w:val="24"/>
        </w:rPr>
      </w:pPr>
      <w:r w:rsidRPr="001D7812">
        <w:rPr>
          <w:rFonts w:eastAsia="Times New Roman" w:cs="Times New Roman"/>
          <w:szCs w:val="24"/>
        </w:rPr>
        <w:t>Robert Eubanks (0073386)</w:t>
      </w:r>
    </w:p>
    <w:p w:rsidR="00307AEB" w:rsidRPr="001D7812" w:rsidP="00307AEB" w14:paraId="10D309DE" w14:textId="77777777">
      <w:pPr>
        <w:tabs>
          <w:tab w:val="left" w:pos="2776"/>
        </w:tabs>
        <w:ind w:left="4140" w:right="339"/>
        <w:rPr>
          <w:rFonts w:cs="Times New Roman"/>
          <w:szCs w:val="24"/>
        </w:rPr>
      </w:pPr>
      <w:r w:rsidRPr="001D7812">
        <w:rPr>
          <w:rFonts w:eastAsia="Times New Roman" w:cs="Times New Roman"/>
          <w:szCs w:val="24"/>
        </w:rPr>
        <w:t>William J. Michael (0070921)</w:t>
      </w:r>
    </w:p>
    <w:p w:rsidR="00307AEB" w:rsidRPr="001D7812" w:rsidP="00307AEB" w14:paraId="0B2E3A35" w14:textId="07A2FA19">
      <w:pPr>
        <w:tabs>
          <w:tab w:val="left" w:pos="2776"/>
        </w:tabs>
        <w:ind w:left="4140" w:right="339"/>
        <w:rPr>
          <w:rFonts w:cs="Times New Roman"/>
          <w:szCs w:val="24"/>
        </w:rPr>
      </w:pPr>
      <w:r w:rsidRPr="001D7812">
        <w:rPr>
          <w:rFonts w:eastAsia="Times New Roman" w:cs="Times New Roman"/>
          <w:szCs w:val="24"/>
        </w:rPr>
        <w:t>Assistant Consumers</w:t>
      </w:r>
      <w:r w:rsidR="009F1383">
        <w:rPr>
          <w:rFonts w:eastAsia="Times New Roman" w:cs="Times New Roman"/>
          <w:szCs w:val="24"/>
        </w:rPr>
        <w:t>’</w:t>
      </w:r>
      <w:r w:rsidRPr="001D7812">
        <w:rPr>
          <w:rFonts w:eastAsia="Times New Roman" w:cs="Times New Roman"/>
          <w:szCs w:val="24"/>
        </w:rPr>
        <w:t xml:space="preserve"> Counsel</w:t>
      </w:r>
    </w:p>
    <w:p w:rsidR="00307AEB" w:rsidRPr="001D7812" w:rsidP="00307AEB" w14:paraId="077BAB58" w14:textId="77777777">
      <w:pPr>
        <w:tabs>
          <w:tab w:val="left" w:pos="2776"/>
        </w:tabs>
        <w:ind w:left="4140" w:right="339"/>
        <w:rPr>
          <w:rFonts w:cs="Times New Roman"/>
          <w:szCs w:val="24"/>
        </w:rPr>
      </w:pPr>
      <w:r w:rsidRPr="001D7812">
        <w:rPr>
          <w:rFonts w:eastAsia="Times New Roman" w:cs="Times New Roman"/>
          <w:szCs w:val="24"/>
        </w:rPr>
        <w:t>Alex Hickey</w:t>
      </w:r>
    </w:p>
    <w:p w:rsidR="00307AEB" w:rsidRPr="001D7812" w:rsidP="00307AEB" w14:paraId="2E690944" w14:textId="77777777">
      <w:pPr>
        <w:tabs>
          <w:tab w:val="left" w:pos="2776"/>
        </w:tabs>
        <w:ind w:left="4140" w:right="339"/>
        <w:rPr>
          <w:rFonts w:cs="Times New Roman"/>
          <w:szCs w:val="24"/>
        </w:rPr>
      </w:pPr>
      <w:r w:rsidRPr="001D7812">
        <w:rPr>
          <w:rFonts w:eastAsia="Times New Roman" w:cs="Times New Roman"/>
          <w:szCs w:val="24"/>
        </w:rPr>
        <w:t>Thomas Zuehlke</w:t>
      </w:r>
    </w:p>
    <w:p w:rsidR="00307AEB" w:rsidRPr="001D7812" w:rsidP="00307AEB" w14:paraId="0E953552" w14:textId="77777777">
      <w:pPr>
        <w:tabs>
          <w:tab w:val="left" w:pos="2776"/>
        </w:tabs>
        <w:ind w:left="4140" w:right="339"/>
        <w:rPr>
          <w:rFonts w:cs="Times New Roman"/>
          <w:szCs w:val="24"/>
        </w:rPr>
      </w:pPr>
      <w:r w:rsidRPr="001D7812">
        <w:rPr>
          <w:rFonts w:eastAsia="Times New Roman" w:cs="Times New Roman"/>
          <w:szCs w:val="24"/>
        </w:rPr>
        <w:t>Certified Legal Interns</w:t>
      </w:r>
    </w:p>
    <w:p w:rsidR="00307AEB" w:rsidRPr="001D7812" w:rsidP="00307AEB" w14:paraId="0D2B466F" w14:textId="77777777">
      <w:pPr>
        <w:tabs>
          <w:tab w:val="left" w:pos="2776"/>
        </w:tabs>
        <w:ind w:left="4140" w:right="339"/>
        <w:rPr>
          <w:rFonts w:cs="Times New Roman"/>
          <w:szCs w:val="24"/>
        </w:rPr>
      </w:pPr>
    </w:p>
    <w:p w:rsidR="00307AEB" w:rsidRPr="001D7812" w:rsidP="00307AEB" w14:paraId="5039DA47" w14:textId="36B2C917">
      <w:pPr>
        <w:tabs>
          <w:tab w:val="left" w:pos="2776"/>
        </w:tabs>
        <w:ind w:left="4140" w:right="339"/>
        <w:rPr>
          <w:rFonts w:cs="Times New Roman"/>
          <w:b/>
          <w:bCs/>
          <w:szCs w:val="24"/>
        </w:rPr>
      </w:pPr>
      <w:r w:rsidRPr="001D7812">
        <w:rPr>
          <w:rFonts w:eastAsia="Times New Roman" w:cs="Times New Roman"/>
          <w:b/>
          <w:bCs/>
          <w:szCs w:val="24"/>
        </w:rPr>
        <w:t>Office of the Ohio Consumers</w:t>
      </w:r>
      <w:r w:rsidR="009F1383">
        <w:rPr>
          <w:rFonts w:eastAsia="Times New Roman" w:cs="Times New Roman"/>
          <w:b/>
          <w:bCs/>
          <w:szCs w:val="24"/>
        </w:rPr>
        <w:t>’</w:t>
      </w:r>
      <w:r w:rsidRPr="001D7812">
        <w:rPr>
          <w:rFonts w:eastAsia="Times New Roman" w:cs="Times New Roman"/>
          <w:b/>
          <w:bCs/>
          <w:szCs w:val="24"/>
        </w:rPr>
        <w:t xml:space="preserve"> Counsel</w:t>
      </w:r>
    </w:p>
    <w:p w:rsidR="00307AEB" w:rsidRPr="001D7812" w:rsidP="00307AEB" w14:paraId="5677BA58" w14:textId="77777777">
      <w:pPr>
        <w:tabs>
          <w:tab w:val="left" w:pos="2776"/>
        </w:tabs>
        <w:ind w:left="4140" w:right="339"/>
        <w:rPr>
          <w:rFonts w:cs="Times New Roman"/>
          <w:szCs w:val="24"/>
        </w:rPr>
      </w:pPr>
      <w:r w:rsidRPr="001D7812">
        <w:rPr>
          <w:rFonts w:eastAsia="Times New Roman" w:cs="Times New Roman"/>
          <w:szCs w:val="24"/>
        </w:rPr>
        <w:t>65 East State Street, Suite 700</w:t>
      </w:r>
    </w:p>
    <w:p w:rsidR="00307AEB" w:rsidRPr="001D7812" w:rsidP="00307AEB" w14:paraId="4A34B908" w14:textId="77777777">
      <w:pPr>
        <w:tabs>
          <w:tab w:val="left" w:pos="2776"/>
        </w:tabs>
        <w:ind w:left="4140" w:right="339"/>
        <w:rPr>
          <w:rFonts w:cs="Times New Roman"/>
          <w:szCs w:val="24"/>
        </w:rPr>
      </w:pPr>
      <w:r w:rsidRPr="001D7812">
        <w:rPr>
          <w:rFonts w:eastAsia="Times New Roman" w:cs="Times New Roman"/>
          <w:szCs w:val="24"/>
        </w:rPr>
        <w:t>Columbus, Ohio 43215</w:t>
      </w:r>
    </w:p>
    <w:p w:rsidR="00307AEB" w:rsidRPr="001D7812" w:rsidP="00307AEB" w14:paraId="63AB336F" w14:textId="77777777">
      <w:pPr>
        <w:tabs>
          <w:tab w:val="left" w:pos="2776"/>
        </w:tabs>
        <w:ind w:left="4140" w:right="339"/>
        <w:rPr>
          <w:rFonts w:cs="Times New Roman"/>
          <w:szCs w:val="24"/>
        </w:rPr>
      </w:pPr>
      <w:r w:rsidRPr="001D7812">
        <w:rPr>
          <w:rFonts w:eastAsia="Times New Roman" w:cs="Times New Roman"/>
          <w:szCs w:val="24"/>
        </w:rPr>
        <w:t>Telephone [Finnigan]: (614) 466-9585</w:t>
      </w:r>
    </w:p>
    <w:p w:rsidR="00307AEB" w:rsidRPr="001D7812" w:rsidP="00307AEB" w14:paraId="39E106C3" w14:textId="77777777">
      <w:pPr>
        <w:tabs>
          <w:tab w:val="left" w:pos="2776"/>
        </w:tabs>
        <w:ind w:left="4140" w:right="339"/>
        <w:rPr>
          <w:rFonts w:cs="Times New Roman"/>
          <w:szCs w:val="24"/>
        </w:rPr>
      </w:pPr>
      <w:r w:rsidRPr="001D7812">
        <w:rPr>
          <w:rFonts w:eastAsia="Times New Roman" w:cs="Times New Roman"/>
          <w:szCs w:val="24"/>
        </w:rPr>
        <w:t>Telephone [Eubanks]: (614) 466-1292</w:t>
      </w:r>
    </w:p>
    <w:p w:rsidR="00307AEB" w:rsidRPr="001D7812" w:rsidP="00307AEB" w14:paraId="08CD2DBA" w14:textId="77777777">
      <w:pPr>
        <w:tabs>
          <w:tab w:val="left" w:pos="2776"/>
        </w:tabs>
        <w:ind w:left="4140" w:right="339"/>
        <w:rPr>
          <w:rFonts w:cs="Times New Roman"/>
          <w:szCs w:val="24"/>
        </w:rPr>
      </w:pPr>
      <w:r w:rsidRPr="001D7812">
        <w:rPr>
          <w:rFonts w:eastAsia="Times New Roman" w:cs="Times New Roman"/>
          <w:szCs w:val="24"/>
        </w:rPr>
        <w:t>Telephone [Michael]: (614) 466-1291</w:t>
      </w:r>
    </w:p>
    <w:p w:rsidR="00307AEB" w:rsidRPr="001D7812" w:rsidP="00307AEB" w14:paraId="425FE59A" w14:textId="77777777">
      <w:pPr>
        <w:tabs>
          <w:tab w:val="left" w:pos="2776"/>
        </w:tabs>
        <w:ind w:left="4140" w:right="339"/>
        <w:rPr>
          <w:rFonts w:cs="Times New Roman"/>
          <w:szCs w:val="24"/>
        </w:rPr>
      </w:pPr>
      <w:r w:rsidRPr="001D7812">
        <w:rPr>
          <w:rFonts w:eastAsia="Times New Roman" w:cs="Times New Roman"/>
          <w:szCs w:val="24"/>
        </w:rPr>
        <w:t>Telephone [Hickey]: (614) 466-9549</w:t>
      </w:r>
    </w:p>
    <w:p w:rsidR="00307AEB" w:rsidRPr="001D7812" w:rsidP="00307AEB" w14:paraId="73F82527" w14:textId="77777777">
      <w:pPr>
        <w:tabs>
          <w:tab w:val="left" w:pos="2776"/>
        </w:tabs>
        <w:ind w:left="4140" w:right="339"/>
        <w:rPr>
          <w:rFonts w:cs="Times New Roman"/>
          <w:szCs w:val="24"/>
        </w:rPr>
      </w:pPr>
      <w:r w:rsidRPr="001D7812">
        <w:rPr>
          <w:rFonts w:eastAsia="Times New Roman" w:cs="Times New Roman"/>
          <w:szCs w:val="24"/>
        </w:rPr>
        <w:t>Telephone [Zuehlke]: (614) 466-9569</w:t>
      </w:r>
    </w:p>
    <w:p w:rsidR="00307AEB" w:rsidRPr="001D7812" w:rsidP="00307AEB" w14:paraId="11B62BB4" w14:textId="77777777">
      <w:pPr>
        <w:tabs>
          <w:tab w:val="left" w:pos="2776"/>
        </w:tabs>
        <w:ind w:left="4140" w:right="339"/>
        <w:rPr>
          <w:rFonts w:cs="Times New Roman"/>
          <w:color w:val="0000FF"/>
          <w:szCs w:val="24"/>
        </w:rPr>
      </w:pPr>
      <w:hyperlink r:id="rId6" w:history="1">
        <w:r w:rsidRPr="001D7812">
          <w:rPr>
            <w:rStyle w:val="Hyperlink"/>
            <w:rFonts w:eastAsia="Times New Roman" w:cs="Times New Roman"/>
            <w:szCs w:val="24"/>
          </w:rPr>
          <w:t>john.finnigan@occ.ohio.gov</w:t>
        </w:r>
      </w:hyperlink>
    </w:p>
    <w:p w:rsidR="00307AEB" w:rsidRPr="001D7812" w:rsidP="00307AEB" w14:paraId="14B74679" w14:textId="77777777">
      <w:pPr>
        <w:tabs>
          <w:tab w:val="left" w:pos="2776"/>
        </w:tabs>
        <w:ind w:left="4140" w:right="339"/>
        <w:rPr>
          <w:rFonts w:cs="Times New Roman"/>
          <w:color w:val="0000FF"/>
          <w:szCs w:val="24"/>
        </w:rPr>
      </w:pPr>
      <w:hyperlink r:id="rId7" w:history="1">
        <w:r w:rsidRPr="001D7812">
          <w:rPr>
            <w:rStyle w:val="Hyperlink"/>
            <w:rFonts w:eastAsia="Times New Roman" w:cs="Times New Roman"/>
            <w:szCs w:val="24"/>
          </w:rPr>
          <w:t>robert.eubanks@occ.ohio.gov</w:t>
        </w:r>
      </w:hyperlink>
    </w:p>
    <w:p w:rsidR="00307AEB" w:rsidRPr="001D7812" w:rsidP="00307AEB" w14:paraId="56175EA1" w14:textId="77777777">
      <w:pPr>
        <w:tabs>
          <w:tab w:val="left" w:pos="2776"/>
        </w:tabs>
        <w:ind w:left="4140" w:right="339"/>
        <w:rPr>
          <w:rFonts w:cs="Times New Roman"/>
          <w:color w:val="0000FF"/>
          <w:szCs w:val="24"/>
        </w:rPr>
      </w:pPr>
      <w:hyperlink r:id="rId8" w:history="1">
        <w:r w:rsidRPr="001D7812">
          <w:rPr>
            <w:rStyle w:val="Hyperlink"/>
            <w:rFonts w:eastAsia="Times New Roman" w:cs="Times New Roman"/>
            <w:szCs w:val="24"/>
          </w:rPr>
          <w:t>william.michael@occ.ohio.gov</w:t>
        </w:r>
      </w:hyperlink>
    </w:p>
    <w:p w:rsidR="00307AEB" w:rsidRPr="001D7812" w:rsidP="00307AEB" w14:paraId="59963C0D" w14:textId="77777777">
      <w:pPr>
        <w:tabs>
          <w:tab w:val="left" w:pos="2776"/>
        </w:tabs>
        <w:ind w:left="4140" w:right="339"/>
        <w:rPr>
          <w:rFonts w:cs="Times New Roman"/>
          <w:color w:val="0000FF"/>
          <w:szCs w:val="24"/>
        </w:rPr>
      </w:pPr>
      <w:hyperlink r:id="rId9" w:history="1">
        <w:r w:rsidRPr="001D7812">
          <w:rPr>
            <w:rStyle w:val="Hyperlink"/>
            <w:rFonts w:eastAsia="Times New Roman" w:cs="Times New Roman"/>
            <w:szCs w:val="24"/>
          </w:rPr>
          <w:t>alex.hickey@occ.ohio.gov</w:t>
        </w:r>
      </w:hyperlink>
    </w:p>
    <w:p w:rsidR="00307AEB" w:rsidRPr="001D7812" w:rsidP="00307AEB" w14:paraId="738A9856" w14:textId="77777777">
      <w:pPr>
        <w:tabs>
          <w:tab w:val="left" w:pos="2776"/>
        </w:tabs>
        <w:ind w:left="4140" w:right="339"/>
        <w:rPr>
          <w:rFonts w:cs="Times New Roman"/>
          <w:color w:val="0000FF"/>
          <w:szCs w:val="24"/>
        </w:rPr>
      </w:pPr>
      <w:hyperlink r:id="rId10" w:history="1">
        <w:r w:rsidRPr="001D7812">
          <w:rPr>
            <w:rStyle w:val="Hyperlink"/>
            <w:rFonts w:eastAsia="Times New Roman" w:cs="Times New Roman"/>
            <w:szCs w:val="24"/>
          </w:rPr>
          <w:t>thomas.zuehlke@occ.ohio.gov</w:t>
        </w:r>
      </w:hyperlink>
    </w:p>
    <w:p w:rsidR="00307AEB" w:rsidRPr="001D7812" w:rsidP="00881738" w14:paraId="17326B17" w14:textId="1BDDEEFC">
      <w:pPr>
        <w:tabs>
          <w:tab w:val="left" w:pos="1182"/>
        </w:tabs>
        <w:ind w:left="4140" w:hanging="4140"/>
        <w:rPr>
          <w:rFonts w:eastAsia="Calibri" w:cs="Times New Roman"/>
          <w:b/>
          <w:bCs/>
          <w:szCs w:val="24"/>
        </w:rPr>
      </w:pPr>
      <w:r w:rsidRPr="001D7812">
        <w:rPr>
          <w:rFonts w:eastAsia="Times New Roman" w:cs="Times New Roman"/>
          <w:szCs w:val="24"/>
        </w:rPr>
        <w:t>January 19, 2024</w:t>
      </w:r>
      <w:r w:rsidRPr="001D7812">
        <w:rPr>
          <w:rFonts w:eastAsia="Times New Roman" w:cs="Times New Roman"/>
          <w:szCs w:val="24"/>
        </w:rPr>
        <w:tab/>
      </w:r>
      <w:r w:rsidRPr="001D7812">
        <w:rPr>
          <w:rFonts w:eastAsia="Times New Roman" w:cs="Times New Roman"/>
          <w:szCs w:val="24"/>
        </w:rPr>
        <w:t>(willing to accept service by e-mail)</w:t>
      </w:r>
    </w:p>
    <w:p w:rsidR="00307AEB" w:rsidRPr="001D7812" w:rsidP="00307AEB" w14:paraId="024A3E9F" w14:textId="6BBF340C">
      <w:pPr>
        <w:tabs>
          <w:tab w:val="left" w:pos="1182"/>
        </w:tabs>
        <w:rPr>
          <w:rFonts w:cs="Times New Roman"/>
          <w:szCs w:val="24"/>
        </w:rPr>
        <w:sectPr w:rsidSect="00D63EEA">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pgNumType w:start="1"/>
          <w:cols w:space="720"/>
          <w:titlePg/>
          <w:docGrid w:linePitch="360"/>
        </w:sectPr>
      </w:pPr>
      <w:r w:rsidRPr="001D7812">
        <w:rPr>
          <w:rFonts w:cs="Times New Roman"/>
          <w:szCs w:val="24"/>
        </w:rPr>
        <w:tab/>
      </w:r>
    </w:p>
    <w:p w:rsidR="00D841A1" w:rsidRPr="001D7812" w:rsidP="00D841A1" w14:paraId="3440131A" w14:textId="77777777">
      <w:pPr>
        <w:jc w:val="center"/>
        <w:rPr>
          <w:rFonts w:eastAsia="Times New Roman" w:cs="Times New Roman"/>
          <w:b/>
          <w:bCs/>
          <w:szCs w:val="24"/>
          <w:u w:val="single"/>
        </w:rPr>
      </w:pPr>
      <w:bookmarkStart w:id="0" w:name="_Toc128394973"/>
      <w:r w:rsidRPr="001D7812">
        <w:rPr>
          <w:rFonts w:eastAsia="Times New Roman" w:cs="Times New Roman"/>
          <w:b/>
          <w:bCs/>
          <w:szCs w:val="24"/>
          <w:u w:val="single"/>
        </w:rPr>
        <w:t>TABLE OF CONTENTS</w:t>
      </w:r>
    </w:p>
    <w:p w:rsidR="00D841A1" w:rsidRPr="001D7812" w:rsidP="00D841A1" w14:paraId="19299B7F" w14:textId="77777777">
      <w:pPr>
        <w:jc w:val="right"/>
        <w:rPr>
          <w:rFonts w:eastAsia="Times New Roman" w:cs="Times New Roman"/>
          <w:b/>
          <w:bCs/>
          <w:szCs w:val="24"/>
        </w:rPr>
      </w:pPr>
      <w:r w:rsidRPr="001D7812">
        <w:rPr>
          <w:rFonts w:eastAsia="Times New Roman" w:cs="Times New Roman"/>
          <w:szCs w:val="24"/>
        </w:rPr>
        <w:tab/>
      </w:r>
      <w:r w:rsidRPr="001D7812">
        <w:rPr>
          <w:rFonts w:eastAsia="Times New Roman" w:cs="Times New Roman"/>
          <w:szCs w:val="24"/>
        </w:rPr>
        <w:tab/>
      </w:r>
      <w:r w:rsidRPr="001D7812">
        <w:rPr>
          <w:rFonts w:eastAsia="Times New Roman" w:cs="Times New Roman"/>
          <w:szCs w:val="24"/>
        </w:rPr>
        <w:tab/>
      </w:r>
      <w:r w:rsidRPr="001D7812">
        <w:rPr>
          <w:rFonts w:eastAsia="Times New Roman" w:cs="Times New Roman"/>
          <w:szCs w:val="24"/>
        </w:rPr>
        <w:tab/>
      </w:r>
      <w:r w:rsidRPr="001D7812">
        <w:rPr>
          <w:rFonts w:eastAsia="Times New Roman" w:cs="Times New Roman"/>
          <w:szCs w:val="24"/>
        </w:rPr>
        <w:tab/>
      </w:r>
      <w:r w:rsidRPr="001D7812">
        <w:rPr>
          <w:rFonts w:eastAsia="Times New Roman" w:cs="Times New Roman"/>
          <w:szCs w:val="24"/>
        </w:rPr>
        <w:tab/>
      </w:r>
      <w:r w:rsidRPr="001D7812">
        <w:rPr>
          <w:rFonts w:eastAsia="Times New Roman" w:cs="Times New Roman"/>
          <w:szCs w:val="24"/>
        </w:rPr>
        <w:tab/>
      </w:r>
      <w:r w:rsidRPr="001D7812">
        <w:rPr>
          <w:rFonts w:eastAsia="Times New Roman" w:cs="Times New Roman"/>
          <w:szCs w:val="24"/>
        </w:rPr>
        <w:tab/>
      </w:r>
      <w:r w:rsidRPr="001D7812">
        <w:rPr>
          <w:rFonts w:eastAsia="Times New Roman" w:cs="Times New Roman"/>
          <w:szCs w:val="24"/>
        </w:rPr>
        <w:tab/>
      </w:r>
      <w:r w:rsidRPr="001D7812">
        <w:rPr>
          <w:rFonts w:eastAsia="Times New Roman" w:cs="Times New Roman"/>
          <w:szCs w:val="24"/>
        </w:rPr>
        <w:tab/>
      </w:r>
      <w:r w:rsidRPr="001D7812">
        <w:rPr>
          <w:rFonts w:eastAsia="Times New Roman" w:cs="Times New Roman"/>
          <w:szCs w:val="24"/>
        </w:rPr>
        <w:tab/>
      </w:r>
      <w:r w:rsidRPr="001D7812">
        <w:rPr>
          <w:rFonts w:eastAsia="Times New Roman" w:cs="Times New Roman"/>
          <w:szCs w:val="24"/>
        </w:rPr>
        <w:tab/>
      </w:r>
      <w:r w:rsidRPr="001D7812">
        <w:rPr>
          <w:rFonts w:eastAsia="Times New Roman" w:cs="Times New Roman"/>
          <w:b/>
          <w:bCs/>
          <w:szCs w:val="24"/>
        </w:rPr>
        <w:t>PAGE</w:t>
      </w:r>
    </w:p>
    <w:p w:rsidR="00D841A1" w:rsidRPr="001D7812" w:rsidP="00D841A1" w14:paraId="6C3F22D0" w14:textId="77777777">
      <w:pPr>
        <w:jc w:val="center"/>
        <w:rPr>
          <w:rFonts w:eastAsia="Times New Roman" w:cs="Times New Roman"/>
          <w:b/>
          <w:bCs/>
          <w:szCs w:val="24"/>
        </w:rPr>
      </w:pPr>
    </w:p>
    <w:p w:rsidR="00390D00" w14:paraId="385580BD" w14:textId="556FC343">
      <w:pPr>
        <w:pStyle w:val="TOC1"/>
        <w:rPr>
          <w:rFonts w:asciiTheme="minorHAnsi" w:eastAsiaTheme="minorEastAsia" w:hAnsiTheme="minorHAnsi"/>
          <w:caps w:val="0"/>
          <w:noProof/>
          <w:kern w:val="2"/>
          <w:szCs w:val="24"/>
          <w14:ligatures w14:val="standardContextual"/>
        </w:rPr>
      </w:pPr>
      <w:r w:rsidRPr="001D7812">
        <w:rPr>
          <w:rFonts w:cs="Times New Roman"/>
          <w:b/>
          <w:bCs/>
          <w:szCs w:val="24"/>
        </w:rPr>
        <w:fldChar w:fldCharType="begin"/>
      </w:r>
      <w:r w:rsidRPr="001D7812">
        <w:rPr>
          <w:rFonts w:cs="Times New Roman"/>
          <w:b/>
          <w:bCs/>
          <w:szCs w:val="24"/>
        </w:rPr>
        <w:instrText xml:space="preserve"> TOC \o "1-3" \h \z \u </w:instrText>
      </w:r>
      <w:r w:rsidRPr="001D7812">
        <w:rPr>
          <w:rFonts w:cs="Times New Roman"/>
          <w:b/>
          <w:bCs/>
          <w:szCs w:val="24"/>
        </w:rPr>
        <w:fldChar w:fldCharType="separate"/>
      </w:r>
      <w:hyperlink w:anchor="_Toc156567917" w:history="1">
        <w:r w:rsidRPr="00DA24C9">
          <w:rPr>
            <w:rStyle w:val="Hyperlink"/>
            <w:noProof/>
          </w:rPr>
          <w:t>I.</w:t>
        </w:r>
        <w:r>
          <w:rPr>
            <w:rFonts w:asciiTheme="minorHAnsi" w:eastAsiaTheme="minorEastAsia" w:hAnsiTheme="minorHAnsi"/>
            <w:caps w:val="0"/>
            <w:noProof/>
            <w:kern w:val="2"/>
            <w:szCs w:val="24"/>
            <w14:ligatures w14:val="standardContextual"/>
          </w:rPr>
          <w:tab/>
        </w:r>
        <w:r w:rsidRPr="00DA24C9">
          <w:rPr>
            <w:rStyle w:val="Hyperlink"/>
            <w:noProof/>
          </w:rPr>
          <w:t>INTRODUCTION</w:t>
        </w:r>
        <w:r>
          <w:rPr>
            <w:noProof/>
            <w:webHidden/>
          </w:rPr>
          <w:tab/>
        </w:r>
        <w:r>
          <w:rPr>
            <w:noProof/>
            <w:webHidden/>
          </w:rPr>
          <w:fldChar w:fldCharType="begin"/>
        </w:r>
        <w:r>
          <w:rPr>
            <w:noProof/>
            <w:webHidden/>
          </w:rPr>
          <w:instrText xml:space="preserve"> PAGEREF _Toc156567917 \h </w:instrText>
        </w:r>
        <w:r>
          <w:rPr>
            <w:noProof/>
            <w:webHidden/>
          </w:rPr>
          <w:fldChar w:fldCharType="separate"/>
        </w:r>
        <w:r>
          <w:rPr>
            <w:noProof/>
            <w:webHidden/>
          </w:rPr>
          <w:t>1</w:t>
        </w:r>
        <w:r>
          <w:rPr>
            <w:noProof/>
            <w:webHidden/>
          </w:rPr>
          <w:fldChar w:fldCharType="end"/>
        </w:r>
      </w:hyperlink>
    </w:p>
    <w:p w:rsidR="00390D00" w14:paraId="4338A289" w14:textId="5F54B1C1">
      <w:pPr>
        <w:pStyle w:val="TOC1"/>
        <w:rPr>
          <w:rFonts w:asciiTheme="minorHAnsi" w:eastAsiaTheme="minorEastAsia" w:hAnsiTheme="minorHAnsi"/>
          <w:caps w:val="0"/>
          <w:noProof/>
          <w:kern w:val="2"/>
          <w:szCs w:val="24"/>
          <w14:ligatures w14:val="standardContextual"/>
        </w:rPr>
      </w:pPr>
      <w:hyperlink w:anchor="_Toc156567918" w:history="1">
        <w:r w:rsidRPr="00DA24C9">
          <w:rPr>
            <w:rStyle w:val="Hyperlink"/>
            <w:noProof/>
          </w:rPr>
          <w:t>II.</w:t>
        </w:r>
        <w:r>
          <w:rPr>
            <w:rFonts w:asciiTheme="minorHAnsi" w:eastAsiaTheme="minorEastAsia" w:hAnsiTheme="minorHAnsi"/>
            <w:caps w:val="0"/>
            <w:noProof/>
            <w:kern w:val="2"/>
            <w:szCs w:val="24"/>
            <w14:ligatures w14:val="standardContextual"/>
          </w:rPr>
          <w:tab/>
        </w:r>
        <w:r w:rsidRPr="00DA24C9">
          <w:rPr>
            <w:rStyle w:val="Hyperlink"/>
            <w:noProof/>
          </w:rPr>
          <w:t>STANDARD OF REVIEW</w:t>
        </w:r>
        <w:r>
          <w:rPr>
            <w:noProof/>
            <w:webHidden/>
          </w:rPr>
          <w:tab/>
        </w:r>
        <w:r>
          <w:rPr>
            <w:noProof/>
            <w:webHidden/>
          </w:rPr>
          <w:fldChar w:fldCharType="begin"/>
        </w:r>
        <w:r>
          <w:rPr>
            <w:noProof/>
            <w:webHidden/>
          </w:rPr>
          <w:instrText xml:space="preserve"> PAGEREF _Toc156567918 \h </w:instrText>
        </w:r>
        <w:r>
          <w:rPr>
            <w:noProof/>
            <w:webHidden/>
          </w:rPr>
          <w:fldChar w:fldCharType="separate"/>
        </w:r>
        <w:r>
          <w:rPr>
            <w:noProof/>
            <w:webHidden/>
          </w:rPr>
          <w:t>3</w:t>
        </w:r>
        <w:r>
          <w:rPr>
            <w:noProof/>
            <w:webHidden/>
          </w:rPr>
          <w:fldChar w:fldCharType="end"/>
        </w:r>
      </w:hyperlink>
    </w:p>
    <w:p w:rsidR="00390D00" w14:paraId="6EC02D5F" w14:textId="7D039E0C">
      <w:pPr>
        <w:pStyle w:val="TOC1"/>
        <w:rPr>
          <w:rFonts w:asciiTheme="minorHAnsi" w:eastAsiaTheme="minorEastAsia" w:hAnsiTheme="minorHAnsi"/>
          <w:caps w:val="0"/>
          <w:noProof/>
          <w:kern w:val="2"/>
          <w:szCs w:val="24"/>
          <w14:ligatures w14:val="standardContextual"/>
        </w:rPr>
      </w:pPr>
      <w:hyperlink w:anchor="_Toc156567919" w:history="1">
        <w:r w:rsidRPr="00DA24C9">
          <w:rPr>
            <w:rStyle w:val="Hyperlink"/>
            <w:noProof/>
          </w:rPr>
          <w:t>III.</w:t>
        </w:r>
        <w:r>
          <w:rPr>
            <w:rFonts w:asciiTheme="minorHAnsi" w:eastAsiaTheme="minorEastAsia" w:hAnsiTheme="minorHAnsi"/>
            <w:caps w:val="0"/>
            <w:noProof/>
            <w:kern w:val="2"/>
            <w:szCs w:val="24"/>
            <w14:ligatures w14:val="standardContextual"/>
          </w:rPr>
          <w:tab/>
        </w:r>
        <w:r w:rsidRPr="00DA24C9">
          <w:rPr>
            <w:rStyle w:val="Hyperlink"/>
            <w:noProof/>
          </w:rPr>
          <w:t>RECOMMENDATIONS</w:t>
        </w:r>
        <w:r>
          <w:rPr>
            <w:noProof/>
            <w:webHidden/>
          </w:rPr>
          <w:tab/>
        </w:r>
        <w:r>
          <w:rPr>
            <w:noProof/>
            <w:webHidden/>
          </w:rPr>
          <w:fldChar w:fldCharType="begin"/>
        </w:r>
        <w:r>
          <w:rPr>
            <w:noProof/>
            <w:webHidden/>
          </w:rPr>
          <w:instrText xml:space="preserve"> PAGEREF _Toc156567919 \h </w:instrText>
        </w:r>
        <w:r>
          <w:rPr>
            <w:noProof/>
            <w:webHidden/>
          </w:rPr>
          <w:fldChar w:fldCharType="separate"/>
        </w:r>
        <w:r>
          <w:rPr>
            <w:noProof/>
            <w:webHidden/>
          </w:rPr>
          <w:t>5</w:t>
        </w:r>
        <w:r>
          <w:rPr>
            <w:noProof/>
            <w:webHidden/>
          </w:rPr>
          <w:fldChar w:fldCharType="end"/>
        </w:r>
      </w:hyperlink>
    </w:p>
    <w:p w:rsidR="00390D00" w14:paraId="5D9979EA" w14:textId="3045A49B">
      <w:pPr>
        <w:pStyle w:val="TOC2"/>
        <w:rPr>
          <w:rFonts w:asciiTheme="minorHAnsi" w:eastAsiaTheme="minorEastAsia" w:hAnsiTheme="minorHAnsi"/>
          <w:noProof/>
          <w:kern w:val="2"/>
          <w:szCs w:val="24"/>
          <w14:ligatures w14:val="standardContextual"/>
        </w:rPr>
      </w:pPr>
      <w:hyperlink w:anchor="_Toc156567920" w:history="1">
        <w:r w:rsidRPr="00DA24C9">
          <w:rPr>
            <w:rStyle w:val="Hyperlink"/>
            <w:noProof/>
          </w:rPr>
          <w:t>A.</w:t>
        </w:r>
        <w:r>
          <w:rPr>
            <w:rFonts w:asciiTheme="minorHAnsi" w:eastAsiaTheme="minorEastAsia" w:hAnsiTheme="minorHAnsi"/>
            <w:noProof/>
            <w:kern w:val="2"/>
            <w:szCs w:val="24"/>
            <w14:ligatures w14:val="standardContextual"/>
          </w:rPr>
          <w:tab/>
        </w:r>
        <w:r w:rsidRPr="00DA24C9">
          <w:rPr>
            <w:rStyle w:val="Hyperlink"/>
            <w:noProof/>
          </w:rPr>
          <w:t>The PUCO should grant the Motion for Limited Stay by OCC, OMAEG and NOAC.</w:t>
        </w:r>
        <w:r>
          <w:rPr>
            <w:noProof/>
            <w:webHidden/>
          </w:rPr>
          <w:tab/>
        </w:r>
        <w:r>
          <w:rPr>
            <w:noProof/>
            <w:webHidden/>
          </w:rPr>
          <w:fldChar w:fldCharType="begin"/>
        </w:r>
        <w:r>
          <w:rPr>
            <w:noProof/>
            <w:webHidden/>
          </w:rPr>
          <w:instrText xml:space="preserve"> PAGEREF _Toc156567920 \h </w:instrText>
        </w:r>
        <w:r>
          <w:rPr>
            <w:noProof/>
            <w:webHidden/>
          </w:rPr>
          <w:fldChar w:fldCharType="separate"/>
        </w:r>
        <w:r>
          <w:rPr>
            <w:noProof/>
            <w:webHidden/>
          </w:rPr>
          <w:t>5</w:t>
        </w:r>
        <w:r>
          <w:rPr>
            <w:noProof/>
            <w:webHidden/>
          </w:rPr>
          <w:fldChar w:fldCharType="end"/>
        </w:r>
      </w:hyperlink>
    </w:p>
    <w:p w:rsidR="00390D00" w14:paraId="63E6EF21" w14:textId="244CE44B">
      <w:pPr>
        <w:pStyle w:val="TOC2"/>
        <w:rPr>
          <w:rFonts w:asciiTheme="minorHAnsi" w:eastAsiaTheme="minorEastAsia" w:hAnsiTheme="minorHAnsi"/>
          <w:noProof/>
          <w:kern w:val="2"/>
          <w:szCs w:val="24"/>
          <w14:ligatures w14:val="standardContextual"/>
        </w:rPr>
      </w:pPr>
      <w:hyperlink w:anchor="_Toc156567921" w:history="1">
        <w:r w:rsidRPr="00DA24C9">
          <w:rPr>
            <w:rStyle w:val="Hyperlink"/>
            <w:noProof/>
          </w:rPr>
          <w:t xml:space="preserve">B. </w:t>
        </w:r>
        <w:r>
          <w:rPr>
            <w:rFonts w:asciiTheme="minorHAnsi" w:eastAsiaTheme="minorEastAsia" w:hAnsiTheme="minorHAnsi"/>
            <w:noProof/>
            <w:kern w:val="2"/>
            <w:szCs w:val="24"/>
            <w14:ligatures w14:val="standardContextual"/>
          </w:rPr>
          <w:tab/>
        </w:r>
        <w:r w:rsidRPr="00DA24C9">
          <w:rPr>
            <w:rStyle w:val="Hyperlink"/>
            <w:noProof/>
          </w:rPr>
          <w:t>FirstEnergy’s proposal to implement ESP V for eight years is unjust and unreasonable and would harm consumers. An eight-year length is inconsistent with PUCO precedent for recent electric security plans for other utilities. If the PUCO approves an electric security plan, the duration should be limited to no longer than four years and FirstEnergy should be required to file a new base distribution rate case at the end of that term.</w:t>
        </w:r>
        <w:r>
          <w:rPr>
            <w:noProof/>
            <w:webHidden/>
          </w:rPr>
          <w:tab/>
        </w:r>
        <w:r>
          <w:rPr>
            <w:noProof/>
            <w:webHidden/>
          </w:rPr>
          <w:fldChar w:fldCharType="begin"/>
        </w:r>
        <w:r>
          <w:rPr>
            <w:noProof/>
            <w:webHidden/>
          </w:rPr>
          <w:instrText xml:space="preserve"> PAGEREF _Toc156567921 \h </w:instrText>
        </w:r>
        <w:r>
          <w:rPr>
            <w:noProof/>
            <w:webHidden/>
          </w:rPr>
          <w:fldChar w:fldCharType="separate"/>
        </w:r>
        <w:r>
          <w:rPr>
            <w:noProof/>
            <w:webHidden/>
          </w:rPr>
          <w:t>7</w:t>
        </w:r>
        <w:r>
          <w:rPr>
            <w:noProof/>
            <w:webHidden/>
          </w:rPr>
          <w:fldChar w:fldCharType="end"/>
        </w:r>
      </w:hyperlink>
    </w:p>
    <w:p w:rsidR="00390D00" w14:paraId="2D70BF1F" w14:textId="621B55F1">
      <w:pPr>
        <w:pStyle w:val="TOC2"/>
        <w:rPr>
          <w:rFonts w:asciiTheme="minorHAnsi" w:eastAsiaTheme="minorEastAsia" w:hAnsiTheme="minorHAnsi"/>
          <w:noProof/>
          <w:kern w:val="2"/>
          <w:szCs w:val="24"/>
          <w14:ligatures w14:val="standardContextual"/>
        </w:rPr>
      </w:pPr>
      <w:hyperlink w:anchor="_Toc156567922" w:history="1">
        <w:r w:rsidRPr="00DA24C9">
          <w:rPr>
            <w:rStyle w:val="Hyperlink"/>
            <w:noProof/>
          </w:rPr>
          <w:t>C.</w:t>
        </w:r>
        <w:r>
          <w:rPr>
            <w:rFonts w:asciiTheme="minorHAnsi" w:eastAsiaTheme="minorEastAsia" w:hAnsiTheme="minorHAnsi"/>
            <w:noProof/>
            <w:kern w:val="2"/>
            <w:szCs w:val="24"/>
            <w14:ligatures w14:val="standardContextual"/>
          </w:rPr>
          <w:tab/>
        </w:r>
        <w:r w:rsidRPr="00DA24C9">
          <w:rPr>
            <w:rStyle w:val="Hyperlink"/>
            <w:noProof/>
          </w:rPr>
          <w:t>FirstEnergy’s SSO auction proposal is unjust and unreasonable because it does not provide for separate SSO auctions for residential consumers.</w:t>
        </w:r>
        <w:r>
          <w:rPr>
            <w:noProof/>
            <w:webHidden/>
          </w:rPr>
          <w:tab/>
        </w:r>
        <w:r>
          <w:rPr>
            <w:noProof/>
            <w:webHidden/>
          </w:rPr>
          <w:fldChar w:fldCharType="begin"/>
        </w:r>
        <w:r>
          <w:rPr>
            <w:noProof/>
            <w:webHidden/>
          </w:rPr>
          <w:instrText xml:space="preserve"> PAGEREF _Toc156567922 \h </w:instrText>
        </w:r>
        <w:r>
          <w:rPr>
            <w:noProof/>
            <w:webHidden/>
          </w:rPr>
          <w:fldChar w:fldCharType="separate"/>
        </w:r>
        <w:r>
          <w:rPr>
            <w:noProof/>
            <w:webHidden/>
          </w:rPr>
          <w:t>8</w:t>
        </w:r>
        <w:r>
          <w:rPr>
            <w:noProof/>
            <w:webHidden/>
          </w:rPr>
          <w:fldChar w:fldCharType="end"/>
        </w:r>
      </w:hyperlink>
    </w:p>
    <w:p w:rsidR="00390D00" w14:paraId="5960E4F2" w14:textId="585BE46A">
      <w:pPr>
        <w:pStyle w:val="TOC2"/>
        <w:rPr>
          <w:rFonts w:asciiTheme="minorHAnsi" w:eastAsiaTheme="minorEastAsia" w:hAnsiTheme="minorHAnsi"/>
          <w:noProof/>
          <w:kern w:val="2"/>
          <w:szCs w:val="24"/>
          <w14:ligatures w14:val="standardContextual"/>
        </w:rPr>
      </w:pPr>
      <w:hyperlink w:anchor="_Toc156567923" w:history="1">
        <w:r w:rsidRPr="00DA24C9">
          <w:rPr>
            <w:rStyle w:val="Hyperlink"/>
            <w:noProof/>
          </w:rPr>
          <w:t>D.</w:t>
        </w:r>
        <w:r>
          <w:rPr>
            <w:rFonts w:asciiTheme="minorHAnsi" w:eastAsiaTheme="minorEastAsia" w:hAnsiTheme="minorHAnsi"/>
            <w:noProof/>
            <w:kern w:val="2"/>
            <w:szCs w:val="24"/>
            <w14:ligatures w14:val="standardContextual"/>
          </w:rPr>
          <w:tab/>
        </w:r>
        <w:r w:rsidRPr="00DA24C9">
          <w:rPr>
            <w:rStyle w:val="Hyperlink"/>
            <w:noProof/>
          </w:rPr>
          <w:t>FirstEnergy’s SSO auction proposal is unjust and unreasonable for failing to include a capacity pass-through mechanism.</w:t>
        </w:r>
        <w:r>
          <w:rPr>
            <w:noProof/>
            <w:webHidden/>
          </w:rPr>
          <w:tab/>
        </w:r>
        <w:r>
          <w:rPr>
            <w:noProof/>
            <w:webHidden/>
          </w:rPr>
          <w:fldChar w:fldCharType="begin"/>
        </w:r>
        <w:r>
          <w:rPr>
            <w:noProof/>
            <w:webHidden/>
          </w:rPr>
          <w:instrText xml:space="preserve"> PAGEREF _Toc156567923 \h </w:instrText>
        </w:r>
        <w:r>
          <w:rPr>
            <w:noProof/>
            <w:webHidden/>
          </w:rPr>
          <w:fldChar w:fldCharType="separate"/>
        </w:r>
        <w:r>
          <w:rPr>
            <w:noProof/>
            <w:webHidden/>
          </w:rPr>
          <w:t>11</w:t>
        </w:r>
        <w:r>
          <w:rPr>
            <w:noProof/>
            <w:webHidden/>
          </w:rPr>
          <w:fldChar w:fldCharType="end"/>
        </w:r>
      </w:hyperlink>
    </w:p>
    <w:p w:rsidR="00390D00" w14:paraId="753C0C33" w14:textId="6DECFBC9">
      <w:pPr>
        <w:pStyle w:val="TOC2"/>
        <w:rPr>
          <w:rFonts w:asciiTheme="minorHAnsi" w:eastAsiaTheme="minorEastAsia" w:hAnsiTheme="minorHAnsi"/>
          <w:noProof/>
          <w:kern w:val="2"/>
          <w:szCs w:val="24"/>
          <w14:ligatures w14:val="standardContextual"/>
        </w:rPr>
      </w:pPr>
      <w:hyperlink w:anchor="_Toc156567924" w:history="1">
        <w:r w:rsidRPr="00DA24C9">
          <w:rPr>
            <w:rStyle w:val="Hyperlink"/>
            <w:noProof/>
          </w:rPr>
          <w:t>E.</w:t>
        </w:r>
        <w:r>
          <w:rPr>
            <w:rFonts w:asciiTheme="minorHAnsi" w:eastAsiaTheme="minorEastAsia" w:hAnsiTheme="minorHAnsi"/>
            <w:noProof/>
            <w:kern w:val="2"/>
            <w:szCs w:val="24"/>
            <w14:ligatures w14:val="standardContextual"/>
          </w:rPr>
          <w:tab/>
        </w:r>
        <w:r w:rsidRPr="00DA24C9">
          <w:rPr>
            <w:rStyle w:val="Hyperlink"/>
            <w:noProof/>
          </w:rPr>
          <w:t>FirstEnergy’s electric security plan proposal is unjust and unreasonable because it includes an unreasonably high return on equity, which would require consumers to pay unfair rates and allow FirstEnergy to earn excessive profits until a new return on equity is decided in the 2024 base distribution rate case.</w:t>
        </w:r>
        <w:r>
          <w:rPr>
            <w:noProof/>
            <w:webHidden/>
          </w:rPr>
          <w:tab/>
        </w:r>
        <w:r>
          <w:rPr>
            <w:noProof/>
            <w:webHidden/>
          </w:rPr>
          <w:fldChar w:fldCharType="begin"/>
        </w:r>
        <w:r>
          <w:rPr>
            <w:noProof/>
            <w:webHidden/>
          </w:rPr>
          <w:instrText xml:space="preserve"> PAGEREF _Toc156567924 \h </w:instrText>
        </w:r>
        <w:r>
          <w:rPr>
            <w:noProof/>
            <w:webHidden/>
          </w:rPr>
          <w:fldChar w:fldCharType="separate"/>
        </w:r>
        <w:r>
          <w:rPr>
            <w:noProof/>
            <w:webHidden/>
          </w:rPr>
          <w:t>12</w:t>
        </w:r>
        <w:r>
          <w:rPr>
            <w:noProof/>
            <w:webHidden/>
          </w:rPr>
          <w:fldChar w:fldCharType="end"/>
        </w:r>
      </w:hyperlink>
    </w:p>
    <w:p w:rsidR="00390D00" w14:paraId="1BACFD23" w14:textId="3756DB7B">
      <w:pPr>
        <w:pStyle w:val="TOC2"/>
        <w:rPr>
          <w:rFonts w:asciiTheme="minorHAnsi" w:eastAsiaTheme="minorEastAsia" w:hAnsiTheme="minorHAnsi"/>
          <w:noProof/>
          <w:kern w:val="2"/>
          <w:szCs w:val="24"/>
          <w14:ligatures w14:val="standardContextual"/>
        </w:rPr>
      </w:pPr>
      <w:hyperlink w:anchor="_Toc156567925" w:history="1">
        <w:r w:rsidRPr="00DA24C9">
          <w:rPr>
            <w:rStyle w:val="Hyperlink"/>
            <w:noProof/>
          </w:rPr>
          <w:t>F.</w:t>
        </w:r>
        <w:r>
          <w:rPr>
            <w:rFonts w:asciiTheme="minorHAnsi" w:eastAsiaTheme="minorEastAsia" w:hAnsiTheme="minorHAnsi"/>
            <w:noProof/>
            <w:kern w:val="2"/>
            <w:szCs w:val="24"/>
            <w14:ligatures w14:val="standardContextual"/>
          </w:rPr>
          <w:tab/>
        </w:r>
        <w:r w:rsidRPr="00DA24C9">
          <w:rPr>
            <w:rStyle w:val="Hyperlink"/>
            <w:noProof/>
          </w:rPr>
          <w:t>FirstEnergy’s electric security plan proposal is unjust and unreasonable because it allows FirstEnergy to earn an unreasonably high return on equity for grid modernization spending. In addition, the plan is unjust and unreasonable because the return on equity for grid modernization spending would remain in effect for the entire duration of Advanced Metering Infrastructure Rider (“Rider AMI”), regardless of any changes in FirstEnergy’s return on equity to be decided in the 2024 base distribution rate case. This would result in an unreasonably higher return on equity for Rider AMI spending, which would require consumers to pay unfair rates and would allow FirstEnergy to earn excessive profits for Rider AMI spending.</w:t>
        </w:r>
        <w:r>
          <w:rPr>
            <w:noProof/>
            <w:webHidden/>
          </w:rPr>
          <w:tab/>
        </w:r>
        <w:r>
          <w:rPr>
            <w:noProof/>
            <w:webHidden/>
          </w:rPr>
          <w:fldChar w:fldCharType="begin"/>
        </w:r>
        <w:r>
          <w:rPr>
            <w:noProof/>
            <w:webHidden/>
          </w:rPr>
          <w:instrText xml:space="preserve"> PAGEREF _Toc156567925 \h </w:instrText>
        </w:r>
        <w:r>
          <w:rPr>
            <w:noProof/>
            <w:webHidden/>
          </w:rPr>
          <w:fldChar w:fldCharType="separate"/>
        </w:r>
        <w:r>
          <w:rPr>
            <w:noProof/>
            <w:webHidden/>
          </w:rPr>
          <w:t>18</w:t>
        </w:r>
        <w:r>
          <w:rPr>
            <w:noProof/>
            <w:webHidden/>
          </w:rPr>
          <w:fldChar w:fldCharType="end"/>
        </w:r>
      </w:hyperlink>
    </w:p>
    <w:p w:rsidR="00390D00" w14:paraId="5677DDE3" w14:textId="6E74619E">
      <w:pPr>
        <w:pStyle w:val="TOC2"/>
        <w:rPr>
          <w:rFonts w:asciiTheme="minorHAnsi" w:eastAsiaTheme="minorEastAsia" w:hAnsiTheme="minorHAnsi"/>
          <w:noProof/>
          <w:kern w:val="2"/>
          <w:szCs w:val="24"/>
          <w14:ligatures w14:val="standardContextual"/>
        </w:rPr>
      </w:pPr>
      <w:hyperlink w:anchor="_Toc156567926" w:history="1">
        <w:r w:rsidRPr="00DA24C9">
          <w:rPr>
            <w:rStyle w:val="Hyperlink"/>
            <w:noProof/>
          </w:rPr>
          <w:t>G.</w:t>
        </w:r>
        <w:r>
          <w:rPr>
            <w:rFonts w:asciiTheme="minorHAnsi" w:eastAsiaTheme="minorEastAsia" w:hAnsiTheme="minorHAnsi"/>
            <w:noProof/>
            <w:kern w:val="2"/>
            <w:szCs w:val="24"/>
            <w14:ligatures w14:val="standardContextual"/>
          </w:rPr>
          <w:tab/>
        </w:r>
        <w:r w:rsidRPr="00DA24C9">
          <w:rPr>
            <w:rStyle w:val="Hyperlink"/>
            <w:noProof/>
          </w:rPr>
          <w:t>FirstEnergy’s proposal to increase Delivery Capital Recovery Rider (“Rider DCR”) spending by $21 million annually is unjust and unreasonable because the additional spending is excessive, the annual increases are tied to achieving reliability scores which FirstEnergy is already required to meet under the PUCO’s rules and because FirstEnergy failed to prove that any improved reliability performance would be attributable to Rider DCR spending.</w:t>
        </w:r>
        <w:r>
          <w:rPr>
            <w:noProof/>
            <w:webHidden/>
          </w:rPr>
          <w:tab/>
        </w:r>
        <w:r>
          <w:rPr>
            <w:noProof/>
            <w:webHidden/>
          </w:rPr>
          <w:fldChar w:fldCharType="begin"/>
        </w:r>
        <w:r>
          <w:rPr>
            <w:noProof/>
            <w:webHidden/>
          </w:rPr>
          <w:instrText xml:space="preserve"> PAGEREF _Toc156567926 \h </w:instrText>
        </w:r>
        <w:r>
          <w:rPr>
            <w:noProof/>
            <w:webHidden/>
          </w:rPr>
          <w:fldChar w:fldCharType="separate"/>
        </w:r>
        <w:r>
          <w:rPr>
            <w:noProof/>
            <w:webHidden/>
          </w:rPr>
          <w:t>20</w:t>
        </w:r>
        <w:r>
          <w:rPr>
            <w:noProof/>
            <w:webHidden/>
          </w:rPr>
          <w:fldChar w:fldCharType="end"/>
        </w:r>
      </w:hyperlink>
    </w:p>
    <w:p w:rsidR="00390D00" w14:paraId="4F8833D1" w14:textId="2812B520">
      <w:pPr>
        <w:pStyle w:val="TOC2"/>
        <w:rPr>
          <w:rFonts w:asciiTheme="minorHAnsi" w:eastAsiaTheme="minorEastAsia" w:hAnsiTheme="minorHAnsi"/>
          <w:noProof/>
          <w:kern w:val="2"/>
          <w:szCs w:val="24"/>
          <w14:ligatures w14:val="standardContextual"/>
        </w:rPr>
      </w:pPr>
      <w:hyperlink w:anchor="_Toc156567927" w:history="1">
        <w:r w:rsidRPr="00DA24C9">
          <w:rPr>
            <w:rStyle w:val="Hyperlink"/>
            <w:noProof/>
          </w:rPr>
          <w:t>H.</w:t>
        </w:r>
        <w:r>
          <w:rPr>
            <w:rFonts w:asciiTheme="minorHAnsi" w:eastAsiaTheme="minorEastAsia" w:hAnsiTheme="minorHAnsi"/>
            <w:noProof/>
            <w:kern w:val="2"/>
            <w:szCs w:val="24"/>
            <w14:ligatures w14:val="standardContextual"/>
          </w:rPr>
          <w:tab/>
        </w:r>
        <w:r w:rsidRPr="00DA24C9">
          <w:rPr>
            <w:rStyle w:val="Hyperlink"/>
            <w:noProof/>
          </w:rPr>
          <w:t>FirstEnergy’s electric security plan is unjust and unreasonable in that Rider DCR purportedly contains annual revenue “caps,” but the caps are ineffective in controlling Rider DCR spending because FirstEnergy can collect any excess revenues during the following year or during the next rate case.</w:t>
        </w:r>
        <w:r>
          <w:rPr>
            <w:noProof/>
            <w:webHidden/>
          </w:rPr>
          <w:tab/>
        </w:r>
        <w:r>
          <w:rPr>
            <w:noProof/>
            <w:webHidden/>
          </w:rPr>
          <w:fldChar w:fldCharType="begin"/>
        </w:r>
        <w:r>
          <w:rPr>
            <w:noProof/>
            <w:webHidden/>
          </w:rPr>
          <w:instrText xml:space="preserve"> PAGEREF _Toc156567927 \h </w:instrText>
        </w:r>
        <w:r>
          <w:rPr>
            <w:noProof/>
            <w:webHidden/>
          </w:rPr>
          <w:fldChar w:fldCharType="separate"/>
        </w:r>
        <w:r>
          <w:rPr>
            <w:noProof/>
            <w:webHidden/>
          </w:rPr>
          <w:t>22</w:t>
        </w:r>
        <w:r>
          <w:rPr>
            <w:noProof/>
            <w:webHidden/>
          </w:rPr>
          <w:fldChar w:fldCharType="end"/>
        </w:r>
      </w:hyperlink>
    </w:p>
    <w:p w:rsidR="00390D00" w14:paraId="3738B769" w14:textId="20C6ECD7">
      <w:pPr>
        <w:pStyle w:val="TOC2"/>
        <w:rPr>
          <w:rFonts w:asciiTheme="minorHAnsi" w:eastAsiaTheme="minorEastAsia" w:hAnsiTheme="minorHAnsi"/>
          <w:noProof/>
          <w:kern w:val="2"/>
          <w:szCs w:val="24"/>
          <w14:ligatures w14:val="standardContextual"/>
        </w:rPr>
      </w:pPr>
      <w:hyperlink w:anchor="_Toc156567928" w:history="1">
        <w:r w:rsidRPr="00DA24C9">
          <w:rPr>
            <w:rStyle w:val="Hyperlink"/>
            <w:noProof/>
          </w:rPr>
          <w:t>I.</w:t>
        </w:r>
        <w:r>
          <w:rPr>
            <w:rFonts w:asciiTheme="minorHAnsi" w:eastAsiaTheme="minorEastAsia" w:hAnsiTheme="minorHAnsi"/>
            <w:noProof/>
            <w:kern w:val="2"/>
            <w:szCs w:val="24"/>
            <w14:ligatures w14:val="standardContextual"/>
          </w:rPr>
          <w:tab/>
        </w:r>
        <w:r w:rsidRPr="00DA24C9">
          <w:rPr>
            <w:rStyle w:val="Hyperlink"/>
            <w:noProof/>
          </w:rPr>
          <w:t>FirstEnergy’s electric security plan is unjust and unreasonable because it allows FirstEnergy to use Rider DCR to collect costs for both transmission-related and distribution-related FERC accounts, even though the capital expense riders for other Ohio electric distribution utilities are limited to distribution-related FERC accounts.</w:t>
        </w:r>
        <w:r>
          <w:rPr>
            <w:noProof/>
            <w:webHidden/>
          </w:rPr>
          <w:tab/>
        </w:r>
        <w:r>
          <w:rPr>
            <w:noProof/>
            <w:webHidden/>
          </w:rPr>
          <w:fldChar w:fldCharType="begin"/>
        </w:r>
        <w:r>
          <w:rPr>
            <w:noProof/>
            <w:webHidden/>
          </w:rPr>
          <w:instrText xml:space="preserve"> PAGEREF _Toc156567928 \h </w:instrText>
        </w:r>
        <w:r>
          <w:rPr>
            <w:noProof/>
            <w:webHidden/>
          </w:rPr>
          <w:fldChar w:fldCharType="separate"/>
        </w:r>
        <w:r>
          <w:rPr>
            <w:noProof/>
            <w:webHidden/>
          </w:rPr>
          <w:t>23</w:t>
        </w:r>
        <w:r>
          <w:rPr>
            <w:noProof/>
            <w:webHidden/>
          </w:rPr>
          <w:fldChar w:fldCharType="end"/>
        </w:r>
      </w:hyperlink>
    </w:p>
    <w:p w:rsidR="00390D00" w14:paraId="15E112DC" w14:textId="2346D3E9">
      <w:pPr>
        <w:pStyle w:val="TOC2"/>
        <w:rPr>
          <w:rFonts w:asciiTheme="minorHAnsi" w:eastAsiaTheme="minorEastAsia" w:hAnsiTheme="minorHAnsi"/>
          <w:noProof/>
          <w:kern w:val="2"/>
          <w:szCs w:val="24"/>
          <w14:ligatures w14:val="standardContextual"/>
        </w:rPr>
      </w:pPr>
      <w:hyperlink w:anchor="_Toc156567929" w:history="1">
        <w:r w:rsidRPr="00DA24C9">
          <w:rPr>
            <w:rStyle w:val="Hyperlink"/>
            <w:noProof/>
          </w:rPr>
          <w:t>J.</w:t>
        </w:r>
        <w:r>
          <w:rPr>
            <w:rFonts w:asciiTheme="minorHAnsi" w:eastAsiaTheme="minorEastAsia" w:hAnsiTheme="minorHAnsi"/>
            <w:noProof/>
            <w:kern w:val="2"/>
            <w:szCs w:val="24"/>
            <w14:ligatures w14:val="standardContextual"/>
          </w:rPr>
          <w:tab/>
        </w:r>
        <w:r w:rsidRPr="00DA24C9">
          <w:rPr>
            <w:rStyle w:val="Hyperlink"/>
            <w:noProof/>
          </w:rPr>
          <w:t>FirstEnergy’s Rider DCR and Rider AMI proposals are unjust and unreasonable because they allow FirstEnergy to charge consumers rates based on projected plant-in-service balances, even though a traditional base distribution rate case, as well as existing distribution riders for other utility companies, calculate the revenue requirement based on the utility’s historic plant-in-service balances.</w:t>
        </w:r>
        <w:r>
          <w:rPr>
            <w:noProof/>
            <w:webHidden/>
          </w:rPr>
          <w:tab/>
        </w:r>
        <w:r>
          <w:rPr>
            <w:noProof/>
            <w:webHidden/>
          </w:rPr>
          <w:fldChar w:fldCharType="begin"/>
        </w:r>
        <w:r>
          <w:rPr>
            <w:noProof/>
            <w:webHidden/>
          </w:rPr>
          <w:instrText xml:space="preserve"> PAGEREF _Toc156567929 \h </w:instrText>
        </w:r>
        <w:r>
          <w:rPr>
            <w:noProof/>
            <w:webHidden/>
          </w:rPr>
          <w:fldChar w:fldCharType="separate"/>
        </w:r>
        <w:r>
          <w:rPr>
            <w:noProof/>
            <w:webHidden/>
          </w:rPr>
          <w:t>25</w:t>
        </w:r>
        <w:r>
          <w:rPr>
            <w:noProof/>
            <w:webHidden/>
          </w:rPr>
          <w:fldChar w:fldCharType="end"/>
        </w:r>
      </w:hyperlink>
    </w:p>
    <w:p w:rsidR="00390D00" w14:paraId="769D41FC" w14:textId="6F9EDA8E">
      <w:pPr>
        <w:pStyle w:val="TOC2"/>
        <w:rPr>
          <w:rFonts w:asciiTheme="minorHAnsi" w:eastAsiaTheme="minorEastAsia" w:hAnsiTheme="minorHAnsi"/>
          <w:noProof/>
          <w:kern w:val="2"/>
          <w:szCs w:val="24"/>
          <w14:ligatures w14:val="standardContextual"/>
        </w:rPr>
      </w:pPr>
      <w:hyperlink w:anchor="_Toc156567930" w:history="1">
        <w:r w:rsidRPr="00DA24C9">
          <w:rPr>
            <w:rStyle w:val="Hyperlink"/>
            <w:noProof/>
          </w:rPr>
          <w:t>K.</w:t>
        </w:r>
        <w:r>
          <w:rPr>
            <w:rFonts w:asciiTheme="minorHAnsi" w:eastAsiaTheme="minorEastAsia" w:hAnsiTheme="minorHAnsi"/>
            <w:noProof/>
            <w:kern w:val="2"/>
            <w:szCs w:val="24"/>
            <w14:ligatures w14:val="standardContextual"/>
          </w:rPr>
          <w:tab/>
        </w:r>
        <w:r w:rsidRPr="00DA24C9">
          <w:rPr>
            <w:rStyle w:val="Hyperlink"/>
            <w:noProof/>
          </w:rPr>
          <w:t>FirstEnergy’s electric security plan is unjust and unreasonable because FirstEnergy’s failure to include a depreciation offset for Rider DCR forces consumers to pay higher rates as compared to a base rate case.</w:t>
        </w:r>
        <w:r>
          <w:rPr>
            <w:noProof/>
            <w:webHidden/>
          </w:rPr>
          <w:tab/>
        </w:r>
        <w:r>
          <w:rPr>
            <w:noProof/>
            <w:webHidden/>
          </w:rPr>
          <w:fldChar w:fldCharType="begin"/>
        </w:r>
        <w:r>
          <w:rPr>
            <w:noProof/>
            <w:webHidden/>
          </w:rPr>
          <w:instrText xml:space="preserve"> PAGEREF _Toc156567930 \h </w:instrText>
        </w:r>
        <w:r>
          <w:rPr>
            <w:noProof/>
            <w:webHidden/>
          </w:rPr>
          <w:fldChar w:fldCharType="separate"/>
        </w:r>
        <w:r>
          <w:rPr>
            <w:noProof/>
            <w:webHidden/>
          </w:rPr>
          <w:t>26</w:t>
        </w:r>
        <w:r>
          <w:rPr>
            <w:noProof/>
            <w:webHidden/>
          </w:rPr>
          <w:fldChar w:fldCharType="end"/>
        </w:r>
      </w:hyperlink>
    </w:p>
    <w:p w:rsidR="00390D00" w14:paraId="09F94601" w14:textId="0E9394C8">
      <w:pPr>
        <w:pStyle w:val="TOC2"/>
        <w:rPr>
          <w:rFonts w:asciiTheme="minorHAnsi" w:eastAsiaTheme="minorEastAsia" w:hAnsiTheme="minorHAnsi"/>
          <w:noProof/>
          <w:kern w:val="2"/>
          <w:szCs w:val="24"/>
          <w14:ligatures w14:val="standardContextual"/>
        </w:rPr>
      </w:pPr>
      <w:hyperlink w:anchor="_Toc156567931" w:history="1">
        <w:r w:rsidRPr="00DA24C9">
          <w:rPr>
            <w:rStyle w:val="Hyperlink"/>
            <w:noProof/>
          </w:rPr>
          <w:t>L.</w:t>
        </w:r>
        <w:r>
          <w:rPr>
            <w:rFonts w:asciiTheme="minorHAnsi" w:eastAsiaTheme="minorEastAsia" w:hAnsiTheme="minorHAnsi"/>
            <w:noProof/>
            <w:kern w:val="2"/>
            <w:szCs w:val="24"/>
            <w14:ligatures w14:val="standardContextual"/>
          </w:rPr>
          <w:tab/>
        </w:r>
        <w:r w:rsidRPr="00DA24C9">
          <w:rPr>
            <w:rStyle w:val="Hyperlink"/>
            <w:noProof/>
          </w:rPr>
          <w:t>FirstEnergy’s Advanced Metering Infrastructure Rider (“Rider AMI”) proposal is unjust and unreasonable because the failure to include revenue caps for Rider AMI could lead to excessive rate increases and is inconsistent with PUCO precedent.</w:t>
        </w:r>
        <w:r>
          <w:rPr>
            <w:noProof/>
            <w:webHidden/>
          </w:rPr>
          <w:tab/>
        </w:r>
        <w:r>
          <w:rPr>
            <w:noProof/>
            <w:webHidden/>
          </w:rPr>
          <w:fldChar w:fldCharType="begin"/>
        </w:r>
        <w:r>
          <w:rPr>
            <w:noProof/>
            <w:webHidden/>
          </w:rPr>
          <w:instrText xml:space="preserve"> PAGEREF _Toc156567931 \h </w:instrText>
        </w:r>
        <w:r>
          <w:rPr>
            <w:noProof/>
            <w:webHidden/>
          </w:rPr>
          <w:fldChar w:fldCharType="separate"/>
        </w:r>
        <w:r>
          <w:rPr>
            <w:noProof/>
            <w:webHidden/>
          </w:rPr>
          <w:t>28</w:t>
        </w:r>
        <w:r>
          <w:rPr>
            <w:noProof/>
            <w:webHidden/>
          </w:rPr>
          <w:fldChar w:fldCharType="end"/>
        </w:r>
      </w:hyperlink>
    </w:p>
    <w:p w:rsidR="00390D00" w14:paraId="3AFF45BE" w14:textId="29A664BC">
      <w:pPr>
        <w:pStyle w:val="TOC2"/>
        <w:rPr>
          <w:rFonts w:asciiTheme="minorHAnsi" w:eastAsiaTheme="minorEastAsia" w:hAnsiTheme="minorHAnsi"/>
          <w:noProof/>
          <w:kern w:val="2"/>
          <w:szCs w:val="24"/>
          <w14:ligatures w14:val="standardContextual"/>
        </w:rPr>
      </w:pPr>
      <w:hyperlink w:anchor="_Toc156567932" w:history="1">
        <w:r w:rsidRPr="00DA24C9">
          <w:rPr>
            <w:rStyle w:val="Hyperlink"/>
            <w:noProof/>
          </w:rPr>
          <w:t>M.</w:t>
        </w:r>
        <w:r>
          <w:rPr>
            <w:rFonts w:asciiTheme="minorHAnsi" w:eastAsiaTheme="minorEastAsia" w:hAnsiTheme="minorHAnsi"/>
            <w:noProof/>
            <w:kern w:val="2"/>
            <w:szCs w:val="24"/>
            <w14:ligatures w14:val="standardContextual"/>
          </w:rPr>
          <w:tab/>
        </w:r>
        <w:r w:rsidRPr="00DA24C9">
          <w:rPr>
            <w:rStyle w:val="Hyperlink"/>
            <w:noProof/>
          </w:rPr>
          <w:t>FirstEnergy’s Rider AMI proposal is unjust and unreasonable and in conflict with R.C. 4909.15(A) because it improperly allows FirstEnergy to collect a return on and of the stranded grid modernization equipment which is taken out of service.</w:t>
        </w:r>
        <w:r>
          <w:rPr>
            <w:noProof/>
            <w:webHidden/>
          </w:rPr>
          <w:tab/>
        </w:r>
        <w:r>
          <w:rPr>
            <w:noProof/>
            <w:webHidden/>
          </w:rPr>
          <w:fldChar w:fldCharType="begin"/>
        </w:r>
        <w:r>
          <w:rPr>
            <w:noProof/>
            <w:webHidden/>
          </w:rPr>
          <w:instrText xml:space="preserve"> PAGEREF _Toc156567932 \h </w:instrText>
        </w:r>
        <w:r>
          <w:rPr>
            <w:noProof/>
            <w:webHidden/>
          </w:rPr>
          <w:fldChar w:fldCharType="separate"/>
        </w:r>
        <w:r>
          <w:rPr>
            <w:noProof/>
            <w:webHidden/>
          </w:rPr>
          <w:t>29</w:t>
        </w:r>
        <w:r>
          <w:rPr>
            <w:noProof/>
            <w:webHidden/>
          </w:rPr>
          <w:fldChar w:fldCharType="end"/>
        </w:r>
      </w:hyperlink>
    </w:p>
    <w:p w:rsidR="00390D00" w14:paraId="6E235865" w14:textId="418FFC26">
      <w:pPr>
        <w:pStyle w:val="TOC2"/>
        <w:rPr>
          <w:rFonts w:asciiTheme="minorHAnsi" w:eastAsiaTheme="minorEastAsia" w:hAnsiTheme="minorHAnsi"/>
          <w:noProof/>
          <w:kern w:val="2"/>
          <w:szCs w:val="24"/>
          <w14:ligatures w14:val="standardContextual"/>
        </w:rPr>
      </w:pPr>
      <w:hyperlink w:anchor="_Toc156567933" w:history="1">
        <w:r w:rsidRPr="00DA24C9">
          <w:rPr>
            <w:rStyle w:val="Hyperlink"/>
            <w:noProof/>
          </w:rPr>
          <w:t>N.</w:t>
        </w:r>
        <w:r>
          <w:rPr>
            <w:rFonts w:asciiTheme="minorHAnsi" w:eastAsiaTheme="minorEastAsia" w:hAnsiTheme="minorHAnsi"/>
            <w:noProof/>
            <w:kern w:val="2"/>
            <w:szCs w:val="24"/>
            <w14:ligatures w14:val="standardContextual"/>
          </w:rPr>
          <w:tab/>
        </w:r>
        <w:r w:rsidRPr="00DA24C9">
          <w:rPr>
            <w:rStyle w:val="Hyperlink"/>
            <w:noProof/>
          </w:rPr>
          <w:t>The sheer number of riders proposed by FirstEnergy is excessive, which weakens consumer protection by reducing the incentive for FirstEnergy to control costs. The PUCO should therefore reject FirstEnergy’s proposal to establish new riders for storm restoration costs (Rider SCR) and for vegetation management costs (Rider VMC).</w:t>
        </w:r>
        <w:r>
          <w:rPr>
            <w:noProof/>
            <w:webHidden/>
          </w:rPr>
          <w:tab/>
        </w:r>
        <w:r>
          <w:rPr>
            <w:noProof/>
            <w:webHidden/>
          </w:rPr>
          <w:fldChar w:fldCharType="begin"/>
        </w:r>
        <w:r>
          <w:rPr>
            <w:noProof/>
            <w:webHidden/>
          </w:rPr>
          <w:instrText xml:space="preserve"> PAGEREF _Toc156567933 \h </w:instrText>
        </w:r>
        <w:r>
          <w:rPr>
            <w:noProof/>
            <w:webHidden/>
          </w:rPr>
          <w:fldChar w:fldCharType="separate"/>
        </w:r>
        <w:r>
          <w:rPr>
            <w:noProof/>
            <w:webHidden/>
          </w:rPr>
          <w:t>30</w:t>
        </w:r>
        <w:r>
          <w:rPr>
            <w:noProof/>
            <w:webHidden/>
          </w:rPr>
          <w:fldChar w:fldCharType="end"/>
        </w:r>
      </w:hyperlink>
    </w:p>
    <w:p w:rsidR="00390D00" w14:paraId="5D031ABE" w14:textId="400D86E0">
      <w:pPr>
        <w:pStyle w:val="TOC2"/>
        <w:rPr>
          <w:rFonts w:asciiTheme="minorHAnsi" w:eastAsiaTheme="minorEastAsia" w:hAnsiTheme="minorHAnsi"/>
          <w:noProof/>
          <w:kern w:val="2"/>
          <w:szCs w:val="24"/>
          <w14:ligatures w14:val="standardContextual"/>
        </w:rPr>
      </w:pPr>
      <w:hyperlink w:anchor="_Toc156567934" w:history="1">
        <w:r w:rsidRPr="00DA24C9">
          <w:rPr>
            <w:rStyle w:val="Hyperlink"/>
            <w:noProof/>
          </w:rPr>
          <w:t>O.</w:t>
        </w:r>
        <w:r>
          <w:rPr>
            <w:rFonts w:asciiTheme="minorHAnsi" w:eastAsiaTheme="minorEastAsia" w:hAnsiTheme="minorHAnsi"/>
            <w:noProof/>
            <w:kern w:val="2"/>
            <w:szCs w:val="24"/>
            <w14:ligatures w14:val="standardContextual"/>
          </w:rPr>
          <w:tab/>
        </w:r>
        <w:r w:rsidRPr="00DA24C9">
          <w:rPr>
            <w:rStyle w:val="Hyperlink"/>
            <w:noProof/>
          </w:rPr>
          <w:t>FirstEnergy’s Storm Cost Recovery Rider (“Rider SCR”) proposal is unjust and unreasonable because FirstEnergy failed to demonstrate any need for Rider SCR. FirstEnergy’s failure to limit the rider to major storms would result in excessive rates and conflicts with PUCO precedent for other Ohio utilities’ storm cost restoration cost riders.</w:t>
        </w:r>
        <w:r>
          <w:rPr>
            <w:noProof/>
            <w:webHidden/>
          </w:rPr>
          <w:tab/>
        </w:r>
        <w:r>
          <w:rPr>
            <w:noProof/>
            <w:webHidden/>
          </w:rPr>
          <w:fldChar w:fldCharType="begin"/>
        </w:r>
        <w:r>
          <w:rPr>
            <w:noProof/>
            <w:webHidden/>
          </w:rPr>
          <w:instrText xml:space="preserve"> PAGEREF _Toc156567934 \h </w:instrText>
        </w:r>
        <w:r>
          <w:rPr>
            <w:noProof/>
            <w:webHidden/>
          </w:rPr>
          <w:fldChar w:fldCharType="separate"/>
        </w:r>
        <w:r>
          <w:rPr>
            <w:noProof/>
            <w:webHidden/>
          </w:rPr>
          <w:t>32</w:t>
        </w:r>
        <w:r>
          <w:rPr>
            <w:noProof/>
            <w:webHidden/>
          </w:rPr>
          <w:fldChar w:fldCharType="end"/>
        </w:r>
      </w:hyperlink>
    </w:p>
    <w:p w:rsidR="00390D00" w14:paraId="5B25D532" w14:textId="58056D0F">
      <w:pPr>
        <w:pStyle w:val="TOC2"/>
        <w:rPr>
          <w:rFonts w:asciiTheme="minorHAnsi" w:eastAsiaTheme="minorEastAsia" w:hAnsiTheme="minorHAnsi"/>
          <w:noProof/>
          <w:kern w:val="2"/>
          <w:szCs w:val="24"/>
          <w14:ligatures w14:val="standardContextual"/>
        </w:rPr>
      </w:pPr>
      <w:hyperlink w:anchor="_Toc156567935" w:history="1">
        <w:r w:rsidRPr="00DA24C9">
          <w:rPr>
            <w:rStyle w:val="Hyperlink"/>
            <w:noProof/>
          </w:rPr>
          <w:t>P.</w:t>
        </w:r>
        <w:r>
          <w:rPr>
            <w:rFonts w:asciiTheme="minorHAnsi" w:eastAsiaTheme="minorEastAsia" w:hAnsiTheme="minorHAnsi"/>
            <w:noProof/>
            <w:kern w:val="2"/>
            <w:szCs w:val="24"/>
            <w14:ligatures w14:val="standardContextual"/>
          </w:rPr>
          <w:tab/>
        </w:r>
        <w:r w:rsidRPr="00DA24C9">
          <w:rPr>
            <w:rStyle w:val="Hyperlink"/>
            <w:noProof/>
          </w:rPr>
          <w:t>FirstEnergy’s Vegetation Management Cost Rider (“Rider VMC”) proposal is unjust and unreasonable because FirstEnergy failed to demonstrate any need for the rider and the rider does not pass cost savings through to consumers.</w:t>
        </w:r>
        <w:r>
          <w:rPr>
            <w:noProof/>
            <w:webHidden/>
          </w:rPr>
          <w:tab/>
        </w:r>
        <w:r>
          <w:rPr>
            <w:noProof/>
            <w:webHidden/>
          </w:rPr>
          <w:fldChar w:fldCharType="begin"/>
        </w:r>
        <w:r>
          <w:rPr>
            <w:noProof/>
            <w:webHidden/>
          </w:rPr>
          <w:instrText xml:space="preserve"> PAGEREF _Toc156567935 \h </w:instrText>
        </w:r>
        <w:r>
          <w:rPr>
            <w:noProof/>
            <w:webHidden/>
          </w:rPr>
          <w:fldChar w:fldCharType="separate"/>
        </w:r>
        <w:r>
          <w:rPr>
            <w:noProof/>
            <w:webHidden/>
          </w:rPr>
          <w:t>35</w:t>
        </w:r>
        <w:r>
          <w:rPr>
            <w:noProof/>
            <w:webHidden/>
          </w:rPr>
          <w:fldChar w:fldCharType="end"/>
        </w:r>
      </w:hyperlink>
    </w:p>
    <w:p w:rsidR="00390D00" w14:paraId="5570C7C3" w14:textId="6A366AEF">
      <w:pPr>
        <w:pStyle w:val="TOC2"/>
        <w:rPr>
          <w:rFonts w:asciiTheme="minorHAnsi" w:eastAsiaTheme="minorEastAsia" w:hAnsiTheme="minorHAnsi"/>
          <w:noProof/>
          <w:kern w:val="2"/>
          <w:szCs w:val="24"/>
          <w14:ligatures w14:val="standardContextual"/>
        </w:rPr>
      </w:pPr>
      <w:hyperlink w:anchor="_Toc156567936" w:history="1">
        <w:r w:rsidRPr="00DA24C9">
          <w:rPr>
            <w:rStyle w:val="Hyperlink"/>
            <w:noProof/>
          </w:rPr>
          <w:t>Q.</w:t>
        </w:r>
        <w:r>
          <w:rPr>
            <w:rFonts w:asciiTheme="minorHAnsi" w:eastAsiaTheme="minorEastAsia" w:hAnsiTheme="minorHAnsi"/>
            <w:noProof/>
            <w:kern w:val="2"/>
            <w:szCs w:val="24"/>
            <w14:ligatures w14:val="standardContextual"/>
          </w:rPr>
          <w:tab/>
        </w:r>
        <w:r w:rsidRPr="00DA24C9">
          <w:rPr>
            <w:rStyle w:val="Hyperlink"/>
            <w:noProof/>
          </w:rPr>
          <w:t>FirstEnergy’s Economic Load Response Program (“Rider ELR”) proposal requires consumers to pay massive subsidies to 24 large industrial customers for interruptible service in the event of electric emergencies. This proposal is unjust and unreasonable. PJM, not FirstEnergy, decides whether to curtail electric service in the event of an emergency. FirstEnergy consumers should not be required to subsidize these large industrial customers. Duke and AES Ohio consumers, who are similarly situated, are not required to pay these subsidies and neither should FirstEnergy consumers.</w:t>
        </w:r>
        <w:r>
          <w:rPr>
            <w:noProof/>
            <w:webHidden/>
          </w:rPr>
          <w:tab/>
        </w:r>
        <w:r>
          <w:rPr>
            <w:noProof/>
            <w:webHidden/>
          </w:rPr>
          <w:fldChar w:fldCharType="begin"/>
        </w:r>
        <w:r>
          <w:rPr>
            <w:noProof/>
            <w:webHidden/>
          </w:rPr>
          <w:instrText xml:space="preserve"> PAGEREF _Toc156567936 \h </w:instrText>
        </w:r>
        <w:r>
          <w:rPr>
            <w:noProof/>
            <w:webHidden/>
          </w:rPr>
          <w:fldChar w:fldCharType="separate"/>
        </w:r>
        <w:r>
          <w:rPr>
            <w:noProof/>
            <w:webHidden/>
          </w:rPr>
          <w:t>37</w:t>
        </w:r>
        <w:r>
          <w:rPr>
            <w:noProof/>
            <w:webHidden/>
          </w:rPr>
          <w:fldChar w:fldCharType="end"/>
        </w:r>
      </w:hyperlink>
    </w:p>
    <w:p w:rsidR="00390D00" w14:paraId="62AC738E" w14:textId="47357B13">
      <w:pPr>
        <w:pStyle w:val="TOC2"/>
        <w:rPr>
          <w:rFonts w:asciiTheme="minorHAnsi" w:eastAsiaTheme="minorEastAsia" w:hAnsiTheme="minorHAnsi"/>
          <w:noProof/>
          <w:kern w:val="2"/>
          <w:szCs w:val="24"/>
          <w14:ligatures w14:val="standardContextual"/>
        </w:rPr>
      </w:pPr>
      <w:hyperlink w:anchor="_Toc156567937" w:history="1">
        <w:r w:rsidRPr="00DA24C9">
          <w:rPr>
            <w:rStyle w:val="Hyperlink"/>
            <w:noProof/>
          </w:rPr>
          <w:t>R.</w:t>
        </w:r>
        <w:r>
          <w:rPr>
            <w:rFonts w:asciiTheme="minorHAnsi" w:eastAsiaTheme="minorEastAsia" w:hAnsiTheme="minorHAnsi"/>
            <w:noProof/>
            <w:kern w:val="2"/>
            <w:szCs w:val="24"/>
            <w14:ligatures w14:val="standardContextual"/>
          </w:rPr>
          <w:tab/>
        </w:r>
        <w:r w:rsidRPr="00DA24C9">
          <w:rPr>
            <w:rStyle w:val="Hyperlink"/>
            <w:noProof/>
          </w:rPr>
          <w:t>FirstEnergy’s Rider NMB proposal is unjust and unreasonable because it would improperly shift costs to the residential class and is contrary to the PUCO-appointed auditor’s recommendation to eliminate the program.</w:t>
        </w:r>
        <w:r>
          <w:rPr>
            <w:noProof/>
            <w:webHidden/>
          </w:rPr>
          <w:tab/>
        </w:r>
        <w:r>
          <w:rPr>
            <w:noProof/>
            <w:webHidden/>
          </w:rPr>
          <w:fldChar w:fldCharType="begin"/>
        </w:r>
        <w:r>
          <w:rPr>
            <w:noProof/>
            <w:webHidden/>
          </w:rPr>
          <w:instrText xml:space="preserve"> PAGEREF _Toc156567937 \h </w:instrText>
        </w:r>
        <w:r>
          <w:rPr>
            <w:noProof/>
            <w:webHidden/>
          </w:rPr>
          <w:fldChar w:fldCharType="separate"/>
        </w:r>
        <w:r>
          <w:rPr>
            <w:noProof/>
            <w:webHidden/>
          </w:rPr>
          <w:t>46</w:t>
        </w:r>
        <w:r>
          <w:rPr>
            <w:noProof/>
            <w:webHidden/>
          </w:rPr>
          <w:fldChar w:fldCharType="end"/>
        </w:r>
      </w:hyperlink>
    </w:p>
    <w:p w:rsidR="00390D00" w14:paraId="0CDA0820" w14:textId="46D8719B">
      <w:pPr>
        <w:pStyle w:val="TOC2"/>
        <w:rPr>
          <w:rFonts w:asciiTheme="minorHAnsi" w:eastAsiaTheme="minorEastAsia" w:hAnsiTheme="minorHAnsi"/>
          <w:noProof/>
          <w:kern w:val="2"/>
          <w:szCs w:val="24"/>
          <w14:ligatures w14:val="standardContextual"/>
        </w:rPr>
      </w:pPr>
      <w:hyperlink w:anchor="_Toc156567938" w:history="1">
        <w:r w:rsidRPr="00DA24C9">
          <w:rPr>
            <w:rStyle w:val="Hyperlink"/>
            <w:noProof/>
          </w:rPr>
          <w:t>S.</w:t>
        </w:r>
        <w:r>
          <w:rPr>
            <w:rFonts w:asciiTheme="minorHAnsi" w:eastAsiaTheme="minorEastAsia" w:hAnsiTheme="minorHAnsi"/>
            <w:noProof/>
            <w:kern w:val="2"/>
            <w:szCs w:val="24"/>
            <w14:ligatures w14:val="standardContextual"/>
          </w:rPr>
          <w:tab/>
        </w:r>
        <w:r w:rsidRPr="00DA24C9">
          <w:rPr>
            <w:rStyle w:val="Hyperlink"/>
            <w:noProof/>
          </w:rPr>
          <w:t>FirstEnergy’s Energy Efficiency Cost Recovery Rider (“Rider EEC”) proposal is unjust and unreasonable and inconsistent with Ohio statutes and Supreme Court precedent because consumers who receive service during the last four years of the eight-year plan must pay for the programs even though they had no opportunity to enroll in or receive services under the programs. The programs are also unjust and unreasonable and contrary to PUCO precedent by allowing FirstEnergy to charge consumers for non-low-income energy efficiency and demand response programs which are widely available through the competitive market.</w:t>
        </w:r>
        <w:r>
          <w:rPr>
            <w:noProof/>
            <w:webHidden/>
          </w:rPr>
          <w:tab/>
        </w:r>
        <w:r>
          <w:rPr>
            <w:noProof/>
            <w:webHidden/>
          </w:rPr>
          <w:fldChar w:fldCharType="begin"/>
        </w:r>
        <w:r>
          <w:rPr>
            <w:noProof/>
            <w:webHidden/>
          </w:rPr>
          <w:instrText xml:space="preserve"> PAGEREF _Toc156567938 \h </w:instrText>
        </w:r>
        <w:r>
          <w:rPr>
            <w:noProof/>
            <w:webHidden/>
          </w:rPr>
          <w:fldChar w:fldCharType="separate"/>
        </w:r>
        <w:r>
          <w:rPr>
            <w:noProof/>
            <w:webHidden/>
          </w:rPr>
          <w:t>48</w:t>
        </w:r>
        <w:r>
          <w:rPr>
            <w:noProof/>
            <w:webHidden/>
          </w:rPr>
          <w:fldChar w:fldCharType="end"/>
        </w:r>
      </w:hyperlink>
    </w:p>
    <w:p w:rsidR="00390D00" w14:paraId="23765891" w14:textId="45971F8C">
      <w:pPr>
        <w:pStyle w:val="TOC2"/>
        <w:rPr>
          <w:rFonts w:asciiTheme="minorHAnsi" w:eastAsiaTheme="minorEastAsia" w:hAnsiTheme="minorHAnsi"/>
          <w:noProof/>
          <w:kern w:val="2"/>
          <w:szCs w:val="24"/>
          <w14:ligatures w14:val="standardContextual"/>
        </w:rPr>
      </w:pPr>
      <w:hyperlink w:anchor="_Toc156567939" w:history="1">
        <w:r w:rsidRPr="00DA24C9">
          <w:rPr>
            <w:rStyle w:val="Hyperlink"/>
            <w:noProof/>
          </w:rPr>
          <w:t>T.</w:t>
        </w:r>
        <w:r>
          <w:rPr>
            <w:rFonts w:asciiTheme="minorHAnsi" w:eastAsiaTheme="minorEastAsia" w:hAnsiTheme="minorHAnsi"/>
            <w:noProof/>
            <w:kern w:val="2"/>
            <w:szCs w:val="24"/>
            <w14:ligatures w14:val="standardContextual"/>
          </w:rPr>
          <w:tab/>
        </w:r>
        <w:r w:rsidRPr="00DA24C9">
          <w:rPr>
            <w:rStyle w:val="Hyperlink"/>
            <w:noProof/>
          </w:rPr>
          <w:t>FirstEnergy should modify its proposed low-income programs to optimize program benefits.</w:t>
        </w:r>
        <w:r>
          <w:rPr>
            <w:noProof/>
            <w:webHidden/>
          </w:rPr>
          <w:tab/>
        </w:r>
        <w:r>
          <w:rPr>
            <w:noProof/>
            <w:webHidden/>
          </w:rPr>
          <w:fldChar w:fldCharType="begin"/>
        </w:r>
        <w:r>
          <w:rPr>
            <w:noProof/>
            <w:webHidden/>
          </w:rPr>
          <w:instrText xml:space="preserve"> PAGEREF _Toc156567939 \h </w:instrText>
        </w:r>
        <w:r>
          <w:rPr>
            <w:noProof/>
            <w:webHidden/>
          </w:rPr>
          <w:fldChar w:fldCharType="separate"/>
        </w:r>
        <w:r>
          <w:rPr>
            <w:noProof/>
            <w:webHidden/>
          </w:rPr>
          <w:t>53</w:t>
        </w:r>
        <w:r>
          <w:rPr>
            <w:noProof/>
            <w:webHidden/>
          </w:rPr>
          <w:fldChar w:fldCharType="end"/>
        </w:r>
      </w:hyperlink>
    </w:p>
    <w:p w:rsidR="00390D00" w14:paraId="0E307B36" w14:textId="22289675">
      <w:pPr>
        <w:pStyle w:val="TOC2"/>
        <w:rPr>
          <w:rFonts w:asciiTheme="minorHAnsi" w:eastAsiaTheme="minorEastAsia" w:hAnsiTheme="minorHAnsi"/>
          <w:noProof/>
          <w:kern w:val="2"/>
          <w:szCs w:val="24"/>
          <w14:ligatures w14:val="standardContextual"/>
        </w:rPr>
      </w:pPr>
      <w:hyperlink w:anchor="_Toc156567940" w:history="1">
        <w:r w:rsidRPr="00DA24C9">
          <w:rPr>
            <w:rStyle w:val="Hyperlink"/>
            <w:noProof/>
          </w:rPr>
          <w:t>U.</w:t>
        </w:r>
        <w:r>
          <w:rPr>
            <w:rFonts w:asciiTheme="minorHAnsi" w:eastAsiaTheme="minorEastAsia" w:hAnsiTheme="minorHAnsi"/>
            <w:noProof/>
            <w:kern w:val="2"/>
            <w:szCs w:val="24"/>
            <w14:ligatures w14:val="standardContextual"/>
          </w:rPr>
          <w:tab/>
        </w:r>
        <w:r w:rsidRPr="00DA24C9">
          <w:rPr>
            <w:rStyle w:val="Hyperlink"/>
            <w:noProof/>
          </w:rPr>
          <w:t>The PUCO should reject FirstEnergy’s proposed electric security plan and approve a market rate option because the electric security plan fails to meet the “more favorable in the aggregate” standard.</w:t>
        </w:r>
        <w:r>
          <w:rPr>
            <w:noProof/>
            <w:webHidden/>
          </w:rPr>
          <w:tab/>
        </w:r>
        <w:r>
          <w:rPr>
            <w:noProof/>
            <w:webHidden/>
          </w:rPr>
          <w:fldChar w:fldCharType="begin"/>
        </w:r>
        <w:r>
          <w:rPr>
            <w:noProof/>
            <w:webHidden/>
          </w:rPr>
          <w:instrText xml:space="preserve"> PAGEREF _Toc156567940 \h </w:instrText>
        </w:r>
        <w:r>
          <w:rPr>
            <w:noProof/>
            <w:webHidden/>
          </w:rPr>
          <w:fldChar w:fldCharType="separate"/>
        </w:r>
        <w:r>
          <w:rPr>
            <w:noProof/>
            <w:webHidden/>
          </w:rPr>
          <w:t>54</w:t>
        </w:r>
        <w:r>
          <w:rPr>
            <w:noProof/>
            <w:webHidden/>
          </w:rPr>
          <w:fldChar w:fldCharType="end"/>
        </w:r>
      </w:hyperlink>
    </w:p>
    <w:p w:rsidR="00390D00" w14:paraId="74F3737F" w14:textId="45038025">
      <w:pPr>
        <w:pStyle w:val="TOC1"/>
        <w:rPr>
          <w:rFonts w:asciiTheme="minorHAnsi" w:eastAsiaTheme="minorEastAsia" w:hAnsiTheme="minorHAnsi"/>
          <w:caps w:val="0"/>
          <w:noProof/>
          <w:kern w:val="2"/>
          <w:szCs w:val="24"/>
          <w14:ligatures w14:val="standardContextual"/>
        </w:rPr>
      </w:pPr>
      <w:hyperlink w:anchor="_Toc156567941" w:history="1">
        <w:r w:rsidRPr="00DA24C9">
          <w:rPr>
            <w:rStyle w:val="Hyperlink"/>
            <w:noProof/>
          </w:rPr>
          <w:t>IV.</w:t>
        </w:r>
        <w:r>
          <w:rPr>
            <w:rFonts w:asciiTheme="minorHAnsi" w:eastAsiaTheme="minorEastAsia" w:hAnsiTheme="minorHAnsi"/>
            <w:caps w:val="0"/>
            <w:noProof/>
            <w:kern w:val="2"/>
            <w:szCs w:val="24"/>
            <w14:ligatures w14:val="standardContextual"/>
          </w:rPr>
          <w:tab/>
        </w:r>
        <w:r w:rsidRPr="00DA24C9">
          <w:rPr>
            <w:rStyle w:val="Hyperlink"/>
            <w:noProof/>
          </w:rPr>
          <w:t>CONCLUSION</w:t>
        </w:r>
        <w:r>
          <w:rPr>
            <w:noProof/>
            <w:webHidden/>
          </w:rPr>
          <w:tab/>
        </w:r>
        <w:r>
          <w:rPr>
            <w:noProof/>
            <w:webHidden/>
          </w:rPr>
          <w:fldChar w:fldCharType="begin"/>
        </w:r>
        <w:r>
          <w:rPr>
            <w:noProof/>
            <w:webHidden/>
          </w:rPr>
          <w:instrText xml:space="preserve"> PAGEREF _Toc156567941 \h </w:instrText>
        </w:r>
        <w:r>
          <w:rPr>
            <w:noProof/>
            <w:webHidden/>
          </w:rPr>
          <w:fldChar w:fldCharType="separate"/>
        </w:r>
        <w:r>
          <w:rPr>
            <w:noProof/>
            <w:webHidden/>
          </w:rPr>
          <w:t>58</w:t>
        </w:r>
        <w:r>
          <w:rPr>
            <w:noProof/>
            <w:webHidden/>
          </w:rPr>
          <w:fldChar w:fldCharType="end"/>
        </w:r>
      </w:hyperlink>
    </w:p>
    <w:p w:rsidR="00D841A1" w:rsidRPr="001D7812" w:rsidP="00D841A1" w14:paraId="2834F9CB" w14:textId="3AA2C7C6">
      <w:pPr>
        <w:pStyle w:val="BodyTextIndent3"/>
        <w:spacing w:line="480" w:lineRule="auto"/>
        <w:rPr>
          <w:b/>
          <w:bCs/>
          <w:szCs w:val="24"/>
        </w:rPr>
        <w:sectPr w:rsidSect="00D63EEA">
          <w:footerReference w:type="default" r:id="rId17"/>
          <w:pgSz w:w="12240" w:h="15840"/>
          <w:pgMar w:top="1440" w:right="1800" w:bottom="1440" w:left="1800" w:header="720" w:footer="720" w:gutter="0"/>
          <w:pgNumType w:fmt="lowerRoman" w:start="1"/>
          <w:cols w:space="720"/>
          <w:docGrid w:linePitch="360"/>
        </w:sectPr>
      </w:pPr>
      <w:r w:rsidRPr="001D7812">
        <w:rPr>
          <w:rFonts w:eastAsiaTheme="minorHAnsi"/>
          <w:b/>
          <w:bCs/>
          <w:caps/>
          <w:szCs w:val="24"/>
        </w:rPr>
        <w:fldChar w:fldCharType="end"/>
      </w:r>
    </w:p>
    <w:p w:rsidR="00EA521C" w:rsidRPr="001D7812" w:rsidP="00EA521C" w14:paraId="0168221B"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1D7812">
        <w:rPr>
          <w:rFonts w:ascii="Times New Roman" w:hAnsi="Times New Roman" w:cs="Times New Roman"/>
          <w:b/>
          <w:bCs/>
          <w:sz w:val="24"/>
          <w:szCs w:val="24"/>
        </w:rPr>
        <w:t>BEFORE</w:t>
      </w:r>
    </w:p>
    <w:p w:rsidR="00EA521C" w:rsidRPr="001D7812" w:rsidP="00EA521C" w14:paraId="12F1188A" w14:textId="77777777">
      <w:pPr>
        <w:pStyle w:val="HTMLPreformatted"/>
        <w:jc w:val="center"/>
        <w:rPr>
          <w:rFonts w:ascii="Times New Roman" w:hAnsi="Times New Roman" w:cs="Times New Roman"/>
          <w:b/>
          <w:bCs/>
          <w:sz w:val="24"/>
          <w:szCs w:val="24"/>
        </w:rPr>
      </w:pPr>
      <w:r w:rsidRPr="001D7812">
        <w:rPr>
          <w:rFonts w:ascii="Times New Roman" w:hAnsi="Times New Roman" w:cs="Times New Roman"/>
          <w:b/>
          <w:bCs/>
          <w:sz w:val="24"/>
          <w:szCs w:val="24"/>
        </w:rPr>
        <w:t>THE PUBLIC UTILITIES COMMISSION OF OHIO</w:t>
      </w:r>
    </w:p>
    <w:p w:rsidR="00EA521C" w:rsidRPr="001D7812" w:rsidP="00EA521C" w14:paraId="4647187C" w14:textId="77777777">
      <w:pPr>
        <w:pStyle w:val="HTMLPreformatted"/>
        <w:jc w:val="center"/>
        <w:rPr>
          <w:rFonts w:ascii="Times New Roman" w:hAnsi="Times New Roman" w:cs="Times New Roman"/>
          <w:b/>
          <w:bCs/>
          <w:sz w:val="24"/>
          <w:szCs w:val="24"/>
        </w:rPr>
      </w:pPr>
    </w:p>
    <w:tbl>
      <w:tblPr>
        <w:tblW w:w="8748" w:type="dxa"/>
        <w:tblInd w:w="-90" w:type="dxa"/>
        <w:tblCellMar>
          <w:top w:w="0" w:type="dxa"/>
          <w:left w:w="108" w:type="dxa"/>
          <w:bottom w:w="0" w:type="dxa"/>
          <w:right w:w="108" w:type="dxa"/>
        </w:tblCellMar>
        <w:tblLook w:val="01E0"/>
      </w:tblPr>
      <w:tblGrid>
        <w:gridCol w:w="4332"/>
        <w:gridCol w:w="360"/>
        <w:gridCol w:w="4056"/>
      </w:tblGrid>
      <w:tr w14:paraId="5B47AD80" w14:textId="77777777" w:rsidTr="001F6180">
        <w:tblPrEx>
          <w:tblW w:w="8748" w:type="dxa"/>
          <w:tblInd w:w="-90" w:type="dxa"/>
          <w:tblCellMar>
            <w:top w:w="0" w:type="dxa"/>
            <w:left w:w="108" w:type="dxa"/>
            <w:bottom w:w="0" w:type="dxa"/>
            <w:right w:w="108" w:type="dxa"/>
          </w:tblCellMar>
          <w:tblLook w:val="01E0"/>
        </w:tblPrEx>
        <w:trPr>
          <w:trHeight w:val="807"/>
        </w:trPr>
        <w:tc>
          <w:tcPr>
            <w:tcW w:w="4332" w:type="dxa"/>
            <w:shd w:val="clear" w:color="auto" w:fill="auto"/>
          </w:tcPr>
          <w:p w:rsidR="00F87BD8" w:rsidRPr="001D7812" w:rsidP="001F6180" w14:paraId="66CC38F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1D7812">
              <w:rPr>
                <w:rFonts w:ascii="Times New Roman" w:eastAsia="Courier New" w:hAnsi="Times New Roman" w:cs="Times New Roman"/>
                <w:sz w:val="24"/>
                <w:szCs w:val="24"/>
                <w:lang w:val="en-US" w:eastAsia="en-US" w:bidi="ar-SA"/>
              </w:rPr>
              <w:t>In the Matter of the Application of Ohio Edison Company, the Cleveland Electric Illuminating Company, and the Toledo Edison Company for Authority to Establish a Standard Service Offer Pursuant to R.C. 4928.143 in the Form of an Electric Security Plan.</w:t>
            </w:r>
          </w:p>
        </w:tc>
        <w:tc>
          <w:tcPr>
            <w:tcW w:w="360" w:type="dxa"/>
            <w:shd w:val="clear" w:color="auto" w:fill="auto"/>
          </w:tcPr>
          <w:p w:rsidR="00F87BD8" w:rsidRPr="001D7812" w:rsidP="001F6180" w14:paraId="43B28F7C"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1D7812">
              <w:rPr>
                <w:rFonts w:ascii="Times New Roman" w:eastAsia="Courier New" w:hAnsi="Times New Roman" w:cs="Times New Roman"/>
                <w:sz w:val="24"/>
                <w:szCs w:val="24"/>
                <w:lang w:val="en-US" w:eastAsia="en-US" w:bidi="ar-SA"/>
              </w:rPr>
              <w:t>)</w:t>
            </w:r>
          </w:p>
          <w:p w:rsidR="00F87BD8" w:rsidRPr="001D7812" w:rsidP="001F6180" w14:paraId="3437588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1D7812">
              <w:rPr>
                <w:rFonts w:ascii="Times New Roman" w:eastAsia="Courier New" w:hAnsi="Times New Roman" w:cs="Times New Roman"/>
                <w:sz w:val="24"/>
                <w:szCs w:val="24"/>
                <w:lang w:val="en-US" w:eastAsia="en-US" w:bidi="ar-SA"/>
              </w:rPr>
              <w:t>)</w:t>
            </w:r>
          </w:p>
          <w:p w:rsidR="00F87BD8" w:rsidRPr="001D7812" w:rsidP="001F6180" w14:paraId="4A4BC34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1D7812">
              <w:rPr>
                <w:rFonts w:ascii="Times New Roman" w:eastAsia="Courier New" w:hAnsi="Times New Roman" w:cs="Times New Roman"/>
                <w:sz w:val="24"/>
                <w:szCs w:val="24"/>
                <w:lang w:val="en-US" w:eastAsia="en-US" w:bidi="ar-SA"/>
              </w:rPr>
              <w:t>)</w:t>
            </w:r>
          </w:p>
          <w:p w:rsidR="00F87BD8" w:rsidRPr="001D7812" w:rsidP="001F6180" w14:paraId="57904AC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1D7812">
              <w:rPr>
                <w:rFonts w:ascii="Times New Roman" w:eastAsia="Courier New" w:hAnsi="Times New Roman" w:cs="Times New Roman"/>
                <w:sz w:val="24"/>
                <w:szCs w:val="24"/>
                <w:lang w:val="en-US" w:eastAsia="en-US" w:bidi="ar-SA"/>
              </w:rPr>
              <w:t>)</w:t>
            </w:r>
          </w:p>
          <w:p w:rsidR="00F87BD8" w:rsidRPr="001D7812" w:rsidP="001F6180" w14:paraId="559153B0"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1D7812">
              <w:rPr>
                <w:rFonts w:ascii="Times New Roman" w:eastAsia="Courier New" w:hAnsi="Times New Roman" w:cs="Times New Roman"/>
                <w:sz w:val="24"/>
                <w:szCs w:val="24"/>
                <w:lang w:val="en-US" w:eastAsia="en-US" w:bidi="ar-SA"/>
              </w:rPr>
              <w:t>)</w:t>
            </w:r>
          </w:p>
          <w:p w:rsidR="00F87BD8" w:rsidRPr="001D7812" w:rsidP="001F6180" w14:paraId="434464E6"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1D7812">
              <w:rPr>
                <w:rFonts w:ascii="Times New Roman" w:eastAsia="Courier New" w:hAnsi="Times New Roman" w:cs="Times New Roman"/>
                <w:sz w:val="24"/>
                <w:szCs w:val="24"/>
                <w:lang w:val="en-US" w:eastAsia="en-US" w:bidi="ar-SA"/>
              </w:rPr>
              <w:t>)</w:t>
            </w:r>
          </w:p>
          <w:p w:rsidR="00F87BD8" w:rsidRPr="001D7812" w:rsidP="001F6180" w14:paraId="31DF9CD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1D7812">
              <w:rPr>
                <w:rFonts w:ascii="Times New Roman" w:eastAsia="Courier New" w:hAnsi="Times New Roman" w:cs="Times New Roman"/>
                <w:sz w:val="24"/>
                <w:szCs w:val="24"/>
                <w:lang w:val="en-US" w:eastAsia="en-US" w:bidi="ar-SA"/>
              </w:rPr>
              <w:t>)</w:t>
            </w:r>
          </w:p>
        </w:tc>
        <w:tc>
          <w:tcPr>
            <w:tcW w:w="4056" w:type="dxa"/>
            <w:shd w:val="clear" w:color="auto" w:fill="auto"/>
          </w:tcPr>
          <w:p w:rsidR="00F87BD8" w:rsidRPr="001D7812" w:rsidP="001F6180" w14:paraId="6A91341B"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p w:rsidR="00F87BD8" w:rsidRPr="001D7812" w:rsidP="001F6180" w14:paraId="5F88D2A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p w:rsidR="00F87BD8" w:rsidRPr="001D7812" w:rsidP="001F6180" w14:paraId="1F05A776"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36"/>
              <w:rPr>
                <w:rFonts w:ascii="Times New Roman" w:eastAsia="Courier New" w:hAnsi="Times New Roman" w:cs="Times New Roman"/>
                <w:sz w:val="24"/>
                <w:szCs w:val="24"/>
                <w:lang w:val="en-US" w:eastAsia="en-US" w:bidi="ar-SA"/>
              </w:rPr>
            </w:pPr>
            <w:r w:rsidRPr="001D7812">
              <w:rPr>
                <w:rFonts w:ascii="Times New Roman" w:eastAsia="Courier New" w:hAnsi="Times New Roman" w:cs="Times New Roman"/>
                <w:sz w:val="24"/>
                <w:szCs w:val="24"/>
                <w:lang w:val="en-US" w:eastAsia="en-US" w:bidi="ar-SA"/>
              </w:rPr>
              <w:t>Case No. 23-301-EL-SSO</w:t>
            </w:r>
          </w:p>
          <w:p w:rsidR="00F87BD8" w:rsidRPr="001D7812" w:rsidP="001F6180" w14:paraId="36F6111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p w:rsidR="00F87BD8" w:rsidRPr="001D7812" w:rsidP="001F6180" w14:paraId="18FA742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tc>
      </w:tr>
    </w:tbl>
    <w:p w:rsidR="00EA521C" w:rsidRPr="001D7812" w:rsidP="00EA521C" w14:paraId="36E7877F" w14:textId="77777777">
      <w:pPr>
        <w:pStyle w:val="HTMLPreformatted"/>
        <w:jc w:val="center"/>
        <w:rPr>
          <w:rFonts w:ascii="Times New Roman" w:hAnsi="Times New Roman" w:cs="Times New Roman"/>
          <w:b/>
          <w:bCs/>
          <w:sz w:val="24"/>
          <w:szCs w:val="24"/>
        </w:rPr>
      </w:pPr>
    </w:p>
    <w:p w:rsidR="00EA521C" w:rsidRPr="001D7812" w:rsidP="00EA521C" w14:paraId="6B45E149" w14:textId="77777777">
      <w:pPr>
        <w:pStyle w:val="HTMLPreformatted"/>
        <w:pBdr>
          <w:top w:val="single" w:sz="12" w:space="1" w:color="auto"/>
        </w:pBdr>
        <w:rPr>
          <w:rFonts w:ascii="Times New Roman" w:hAnsi="Times New Roman" w:cs="Times New Roman"/>
          <w:sz w:val="24"/>
          <w:szCs w:val="24"/>
        </w:rPr>
      </w:pPr>
    </w:p>
    <w:p w:rsidR="00AE3570" w:rsidRPr="001D7812" w:rsidP="00AE3570" w14:paraId="0F9B5D99" w14:textId="77777777">
      <w:pPr>
        <w:tabs>
          <w:tab w:val="left" w:pos="4770"/>
          <w:tab w:val="left" w:pos="6480"/>
        </w:tabs>
        <w:jc w:val="center"/>
        <w:rPr>
          <w:rFonts w:cs="Times New Roman"/>
          <w:b/>
          <w:szCs w:val="24"/>
          <w:lang w:bidi="en-US"/>
        </w:rPr>
      </w:pPr>
      <w:r w:rsidRPr="001D7812">
        <w:rPr>
          <w:rFonts w:cs="Times New Roman"/>
          <w:b/>
          <w:szCs w:val="24"/>
          <w:lang w:bidi="en-US"/>
        </w:rPr>
        <w:t>INITIAL BRIEF FOR CONSUMER PROTECTION</w:t>
      </w:r>
    </w:p>
    <w:p w:rsidR="00AE3570" w:rsidRPr="001D7812" w:rsidP="00AE3570" w14:paraId="56626CFB" w14:textId="77777777">
      <w:pPr>
        <w:tabs>
          <w:tab w:val="left" w:pos="4770"/>
          <w:tab w:val="left" w:pos="6480"/>
        </w:tabs>
        <w:jc w:val="center"/>
        <w:rPr>
          <w:rFonts w:cs="Times New Roman"/>
          <w:b/>
          <w:szCs w:val="24"/>
          <w:lang w:bidi="en-US"/>
        </w:rPr>
      </w:pPr>
      <w:r w:rsidRPr="001D7812">
        <w:rPr>
          <w:rFonts w:cs="Times New Roman"/>
          <w:b/>
          <w:szCs w:val="24"/>
          <w:lang w:bidi="en-US"/>
        </w:rPr>
        <w:t>BY</w:t>
      </w:r>
    </w:p>
    <w:p w:rsidR="00EA521C" w:rsidRPr="001D7812" w:rsidP="00EA521C" w14:paraId="72E098AA" w14:textId="0C774822">
      <w:pPr>
        <w:jc w:val="center"/>
        <w:rPr>
          <w:rFonts w:cs="Times New Roman"/>
          <w:b/>
          <w:szCs w:val="24"/>
        </w:rPr>
      </w:pPr>
      <w:r w:rsidRPr="001D7812">
        <w:rPr>
          <w:rFonts w:cs="Times New Roman"/>
          <w:b/>
          <w:szCs w:val="24"/>
        </w:rPr>
        <w:t>OFFICE OF THE OHIO CONSUMERS</w:t>
      </w:r>
      <w:r w:rsidR="009F1383">
        <w:rPr>
          <w:rFonts w:cs="Times New Roman"/>
          <w:b/>
          <w:szCs w:val="24"/>
        </w:rPr>
        <w:t>’</w:t>
      </w:r>
      <w:r w:rsidRPr="001D7812">
        <w:rPr>
          <w:rFonts w:cs="Times New Roman"/>
          <w:b/>
          <w:szCs w:val="24"/>
        </w:rPr>
        <w:t xml:space="preserve"> COUNSEL</w:t>
      </w:r>
    </w:p>
    <w:p w:rsidR="00EA521C" w:rsidRPr="001D7812" w:rsidP="00EA521C" w14:paraId="2D4DA85F" w14:textId="77777777">
      <w:pPr>
        <w:pBdr>
          <w:bottom w:val="single" w:sz="12" w:space="1" w:color="auto"/>
        </w:pBdr>
        <w:autoSpaceDE w:val="0"/>
        <w:autoSpaceDN w:val="0"/>
        <w:adjustRightInd w:val="0"/>
        <w:jc w:val="center"/>
        <w:rPr>
          <w:rFonts w:eastAsia="Calibri" w:cs="Times New Roman"/>
          <w:b/>
          <w:bCs/>
          <w:szCs w:val="24"/>
        </w:rPr>
      </w:pPr>
    </w:p>
    <w:p w:rsidR="00EA521C" w:rsidRPr="001D7812" w:rsidP="00EA521C" w14:paraId="699A3557" w14:textId="77777777">
      <w:pPr>
        <w:ind w:left="2880" w:firstLine="720"/>
        <w:rPr>
          <w:rFonts w:cs="Times New Roman"/>
          <w:szCs w:val="24"/>
        </w:rPr>
      </w:pPr>
    </w:p>
    <w:p w:rsidR="00DC0C60" w:rsidRPr="001D7812" w:rsidP="002926CE" w14:paraId="187069BF" w14:textId="3314DE05">
      <w:pPr>
        <w:pStyle w:val="Heading1"/>
      </w:pPr>
      <w:bookmarkStart w:id="1" w:name="_Toc147415794"/>
      <w:bookmarkStart w:id="2" w:name="_Toc151468345"/>
      <w:bookmarkStart w:id="3" w:name="_Toc156567917"/>
      <w:r w:rsidRPr="001D7812">
        <w:t>I.</w:t>
      </w:r>
      <w:r w:rsidRPr="001D7812">
        <w:tab/>
      </w:r>
      <w:r w:rsidRPr="001D7812" w:rsidR="0070053B">
        <w:t>INTRODUCTION</w:t>
      </w:r>
      <w:bookmarkEnd w:id="0"/>
      <w:bookmarkEnd w:id="1"/>
      <w:bookmarkEnd w:id="2"/>
      <w:bookmarkEnd w:id="3"/>
    </w:p>
    <w:p w:rsidR="004A6651" w:rsidRPr="001D7812" w:rsidP="00AD7570" w14:paraId="48BAB7D7" w14:textId="1A5E62CF">
      <w:pPr>
        <w:spacing w:line="480" w:lineRule="auto"/>
        <w:rPr>
          <w:rFonts w:cs="Times New Roman"/>
          <w:szCs w:val="24"/>
        </w:rPr>
      </w:pPr>
      <w:r w:rsidRPr="001D7812">
        <w:rPr>
          <w:rFonts w:cs="Times New Roman"/>
          <w:szCs w:val="24"/>
        </w:rPr>
        <w:tab/>
        <w:t>FirstEnerg</w:t>
      </w:r>
      <w:r w:rsidRPr="001D7812" w:rsidR="00C2484E">
        <w:rPr>
          <w:rFonts w:cs="Times New Roman"/>
          <w:szCs w:val="24"/>
        </w:rPr>
        <w:t>y</w:t>
      </w:r>
      <w:r w:rsidRPr="001D7812" w:rsidR="0098291B">
        <w:rPr>
          <w:rFonts w:cs="Times New Roman"/>
          <w:szCs w:val="24"/>
        </w:rPr>
        <w:t xml:space="preserve"> seeks approval of an eight-year</w:t>
      </w:r>
      <w:r w:rsidRPr="001D7812" w:rsidR="006936AD">
        <w:rPr>
          <w:rFonts w:cs="Times New Roman"/>
          <w:szCs w:val="24"/>
        </w:rPr>
        <w:t xml:space="preserve"> so-called</w:t>
      </w:r>
      <w:r w:rsidRPr="001D7812" w:rsidR="0098291B">
        <w:rPr>
          <w:rFonts w:cs="Times New Roman"/>
          <w:szCs w:val="24"/>
        </w:rPr>
        <w:t xml:space="preserve"> </w:t>
      </w:r>
      <w:r w:rsidRPr="001D7812" w:rsidR="008A1B6B">
        <w:rPr>
          <w:rFonts w:cs="Times New Roman"/>
          <w:szCs w:val="24"/>
        </w:rPr>
        <w:t>electric security plan</w:t>
      </w:r>
      <w:r w:rsidRPr="001D7812">
        <w:rPr>
          <w:rFonts w:cs="Times New Roman"/>
          <w:szCs w:val="24"/>
        </w:rPr>
        <w:t xml:space="preserve"> (</w:t>
      </w:r>
      <w:r w:rsidR="009F1383">
        <w:rPr>
          <w:rFonts w:cs="Times New Roman"/>
          <w:szCs w:val="24"/>
        </w:rPr>
        <w:t>“</w:t>
      </w:r>
      <w:r w:rsidRPr="001D7812">
        <w:rPr>
          <w:rFonts w:cs="Times New Roman"/>
          <w:szCs w:val="24"/>
        </w:rPr>
        <w:t>ESP</w:t>
      </w:r>
      <w:r w:rsidRPr="001D7812" w:rsidR="0098291B">
        <w:rPr>
          <w:rFonts w:cs="Times New Roman"/>
          <w:szCs w:val="24"/>
        </w:rPr>
        <w:t xml:space="preserve"> V</w:t>
      </w:r>
      <w:r w:rsidR="009F1383">
        <w:rPr>
          <w:rFonts w:cs="Times New Roman"/>
          <w:szCs w:val="24"/>
        </w:rPr>
        <w:t>”</w:t>
      </w:r>
      <w:r w:rsidRPr="001D7812">
        <w:rPr>
          <w:rFonts w:cs="Times New Roman"/>
          <w:szCs w:val="24"/>
        </w:rPr>
        <w:t xml:space="preserve">) </w:t>
      </w:r>
      <w:r w:rsidRPr="001D7812" w:rsidR="006936AD">
        <w:rPr>
          <w:rFonts w:cs="Times New Roman"/>
          <w:szCs w:val="24"/>
        </w:rPr>
        <w:t xml:space="preserve">that </w:t>
      </w:r>
      <w:r w:rsidRPr="001D7812">
        <w:rPr>
          <w:rFonts w:cs="Times New Roman"/>
          <w:szCs w:val="24"/>
        </w:rPr>
        <w:t>will cost consumers</w:t>
      </w:r>
      <w:r w:rsidRPr="001D7812" w:rsidR="00602720">
        <w:rPr>
          <w:rFonts w:cs="Times New Roman"/>
          <w:szCs w:val="24"/>
        </w:rPr>
        <w:t xml:space="preserve"> </w:t>
      </w:r>
      <w:r w:rsidRPr="001D7812" w:rsidR="0098291B">
        <w:rPr>
          <w:rFonts w:cs="Times New Roman"/>
          <w:szCs w:val="24"/>
        </w:rPr>
        <w:t xml:space="preserve">approximately </w:t>
      </w:r>
      <w:r w:rsidRPr="001D7812" w:rsidR="00602720">
        <w:rPr>
          <w:rFonts w:cs="Times New Roman"/>
          <w:b/>
          <w:bCs/>
          <w:i/>
          <w:iCs/>
          <w:szCs w:val="24"/>
        </w:rPr>
        <w:t>$1.4 billion</w:t>
      </w:r>
      <w:r w:rsidRPr="001D7812" w:rsidR="008A1B6B">
        <w:rPr>
          <w:rFonts w:cs="Times New Roman"/>
          <w:szCs w:val="24"/>
        </w:rPr>
        <w:t>.</w:t>
      </w:r>
      <w:r>
        <w:rPr>
          <w:rStyle w:val="FootnoteReference"/>
          <w:rFonts w:cs="Times New Roman"/>
          <w:szCs w:val="24"/>
        </w:rPr>
        <w:footnoteReference w:id="2"/>
      </w:r>
      <w:r w:rsidRPr="001D7812" w:rsidR="0098291B">
        <w:rPr>
          <w:rFonts w:cs="Times New Roman"/>
          <w:szCs w:val="24"/>
        </w:rPr>
        <w:t xml:space="preserve"> If approved by the PUCO, FirstEnergy</w:t>
      </w:r>
      <w:r w:rsidR="009F1383">
        <w:rPr>
          <w:rFonts w:cs="Times New Roman"/>
          <w:szCs w:val="24"/>
        </w:rPr>
        <w:t>’</w:t>
      </w:r>
      <w:r w:rsidRPr="001D7812" w:rsidR="0098291B">
        <w:rPr>
          <w:rFonts w:cs="Times New Roman"/>
          <w:szCs w:val="24"/>
        </w:rPr>
        <w:t xml:space="preserve">s proposed ESP V would deal a tough blow to many FirstEnergy electric consumers who have already been </w:t>
      </w:r>
      <w:r w:rsidRPr="001D7812" w:rsidR="008933A9">
        <w:rPr>
          <w:rFonts w:cs="Times New Roman"/>
          <w:szCs w:val="24"/>
        </w:rPr>
        <w:t xml:space="preserve">slammed </w:t>
      </w:r>
      <w:r w:rsidRPr="001D7812" w:rsidR="0098291B">
        <w:rPr>
          <w:rFonts w:cs="Times New Roman"/>
          <w:szCs w:val="24"/>
        </w:rPr>
        <w:t xml:space="preserve">by inflation, the financial fallout from the coronavirus pandemic, and rising charges for other utility services. </w:t>
      </w:r>
      <w:r w:rsidRPr="001D7812" w:rsidR="006936AD">
        <w:rPr>
          <w:rFonts w:cs="Times New Roman"/>
          <w:szCs w:val="24"/>
        </w:rPr>
        <w:t>FirstEnergy</w:t>
      </w:r>
      <w:r w:rsidR="009F1383">
        <w:rPr>
          <w:rFonts w:cs="Times New Roman"/>
          <w:szCs w:val="24"/>
        </w:rPr>
        <w:t>’</w:t>
      </w:r>
      <w:r w:rsidRPr="001D7812" w:rsidR="006936AD">
        <w:rPr>
          <w:rFonts w:cs="Times New Roman"/>
          <w:szCs w:val="24"/>
        </w:rPr>
        <w:t xml:space="preserve">s ESP V </w:t>
      </w:r>
      <w:r w:rsidRPr="001D7812" w:rsidR="000C0F43">
        <w:rPr>
          <w:rFonts w:cs="Times New Roman"/>
          <w:szCs w:val="24"/>
        </w:rPr>
        <w:t>plan should be rejected</w:t>
      </w:r>
      <w:r w:rsidRPr="001D7812" w:rsidR="006936AD">
        <w:rPr>
          <w:rFonts w:cs="Times New Roman"/>
          <w:szCs w:val="24"/>
        </w:rPr>
        <w:t>.</w:t>
      </w:r>
    </w:p>
    <w:p w:rsidR="00CB14A6" w:rsidRPr="001D7812" w:rsidP="00F05BE9" w14:paraId="57EDE281" w14:textId="7A133F2B">
      <w:pPr>
        <w:spacing w:line="480" w:lineRule="auto"/>
        <w:ind w:firstLine="720"/>
        <w:rPr>
          <w:rFonts w:cs="Times New Roman"/>
          <w:szCs w:val="24"/>
        </w:rPr>
      </w:pPr>
      <w:r w:rsidRPr="001D7812">
        <w:rPr>
          <w:rFonts w:cs="Times New Roman"/>
          <w:szCs w:val="24"/>
        </w:rPr>
        <w:t>FirstEnergy</w:t>
      </w:r>
      <w:r w:rsidR="009F1383">
        <w:rPr>
          <w:rFonts w:cs="Times New Roman"/>
          <w:szCs w:val="24"/>
        </w:rPr>
        <w:t>’</w:t>
      </w:r>
      <w:r w:rsidRPr="001D7812" w:rsidR="006936AD">
        <w:rPr>
          <w:rFonts w:cs="Times New Roman"/>
          <w:szCs w:val="24"/>
        </w:rPr>
        <w:t xml:space="preserve">s request for </w:t>
      </w:r>
      <w:r w:rsidRPr="001D7812">
        <w:rPr>
          <w:rFonts w:cs="Times New Roman"/>
          <w:szCs w:val="24"/>
        </w:rPr>
        <w:t xml:space="preserve">approval of ESP V </w:t>
      </w:r>
      <w:r w:rsidRPr="001D7812" w:rsidR="006936AD">
        <w:rPr>
          <w:rFonts w:cs="Times New Roman"/>
          <w:szCs w:val="24"/>
        </w:rPr>
        <w:t>comes after it</w:t>
      </w:r>
      <w:r w:rsidRPr="001D7812" w:rsidR="008933A9">
        <w:rPr>
          <w:rFonts w:cs="Times New Roman"/>
          <w:szCs w:val="24"/>
        </w:rPr>
        <w:t xml:space="preserve"> admitted to the U.S. Department of Justice</w:t>
      </w:r>
      <w:r w:rsidRPr="001D7812">
        <w:rPr>
          <w:rFonts w:cs="Times New Roman"/>
          <w:szCs w:val="24"/>
        </w:rPr>
        <w:t xml:space="preserve"> to</w:t>
      </w:r>
      <w:r w:rsidRPr="001D7812" w:rsidR="008933A9">
        <w:rPr>
          <w:rFonts w:cs="Times New Roman"/>
          <w:szCs w:val="24"/>
        </w:rPr>
        <w:t xml:space="preserve"> committing</w:t>
      </w:r>
      <w:r w:rsidRPr="001D7812">
        <w:rPr>
          <w:rFonts w:cs="Times New Roman"/>
          <w:szCs w:val="24"/>
        </w:rPr>
        <w:t xml:space="preserve"> honest services wire fraud </w:t>
      </w:r>
      <w:r w:rsidRPr="001D7812" w:rsidR="006936AD">
        <w:rPr>
          <w:rFonts w:cs="Times New Roman"/>
          <w:szCs w:val="24"/>
        </w:rPr>
        <w:t>and brib</w:t>
      </w:r>
      <w:r w:rsidRPr="001D7812" w:rsidR="008933A9">
        <w:rPr>
          <w:rFonts w:cs="Times New Roman"/>
          <w:szCs w:val="24"/>
        </w:rPr>
        <w:t>ing</w:t>
      </w:r>
      <w:r w:rsidRPr="001D7812" w:rsidR="006936AD">
        <w:rPr>
          <w:rFonts w:cs="Times New Roman"/>
          <w:szCs w:val="24"/>
        </w:rPr>
        <w:t xml:space="preserve"> </w:t>
      </w:r>
      <w:r w:rsidRPr="001D7812" w:rsidR="008933A9">
        <w:rPr>
          <w:rFonts w:cs="Times New Roman"/>
          <w:szCs w:val="24"/>
        </w:rPr>
        <w:t>the former PUCO chair as part of</w:t>
      </w:r>
      <w:r w:rsidRPr="001D7812" w:rsidR="009045B3">
        <w:rPr>
          <w:rFonts w:cs="Times New Roman"/>
          <w:szCs w:val="24"/>
        </w:rPr>
        <w:t xml:space="preserve"> the H.B. 6 scandal</w:t>
      </w:r>
      <w:r w:rsidRPr="001D7812" w:rsidR="00F05BE9">
        <w:rPr>
          <w:rFonts w:cs="Times New Roman"/>
          <w:szCs w:val="24"/>
        </w:rPr>
        <w:t xml:space="preserve"> (</w:t>
      </w:r>
      <w:r w:rsidRPr="001D7812" w:rsidR="008933A9">
        <w:rPr>
          <w:rFonts w:cs="Times New Roman"/>
          <w:szCs w:val="24"/>
        </w:rPr>
        <w:t>otherwise known as</w:t>
      </w:r>
      <w:r w:rsidRPr="001D7812" w:rsidR="009045B3">
        <w:rPr>
          <w:rFonts w:cs="Times New Roman"/>
          <w:szCs w:val="24"/>
        </w:rPr>
        <w:t xml:space="preserve"> </w:t>
      </w:r>
      <w:r w:rsidR="009F1383">
        <w:rPr>
          <w:rFonts w:cs="Times New Roman"/>
          <w:szCs w:val="24"/>
        </w:rPr>
        <w:t>“</w:t>
      </w:r>
      <w:r w:rsidRPr="001D7812" w:rsidR="009045B3">
        <w:rPr>
          <w:rFonts w:cs="Times New Roman"/>
          <w:szCs w:val="24"/>
        </w:rPr>
        <w:t>the largest bribery, money laundering scheme ever perpetrated against the people of the state of Ohio</w:t>
      </w:r>
      <w:r w:rsidR="009F1383">
        <w:rPr>
          <w:rFonts w:cs="Times New Roman"/>
          <w:szCs w:val="24"/>
        </w:rPr>
        <w:t>”</w:t>
      </w:r>
      <w:r>
        <w:rPr>
          <w:rStyle w:val="FootnoteReference"/>
          <w:rFonts w:cs="Times New Roman"/>
          <w:szCs w:val="24"/>
        </w:rPr>
        <w:footnoteReference w:id="3"/>
      </w:r>
      <w:r w:rsidRPr="001D7812" w:rsidR="00F05BE9">
        <w:rPr>
          <w:rFonts w:cs="Times New Roman"/>
          <w:szCs w:val="24"/>
        </w:rPr>
        <w:t>).</w:t>
      </w:r>
      <w:r w:rsidRPr="001D7812" w:rsidR="00052D06">
        <w:rPr>
          <w:rFonts w:cs="Times New Roman"/>
          <w:szCs w:val="24"/>
        </w:rPr>
        <w:t xml:space="preserve"> </w:t>
      </w:r>
      <w:r w:rsidRPr="001D7812" w:rsidR="009045B3">
        <w:rPr>
          <w:rFonts w:cs="Times New Roman"/>
          <w:szCs w:val="24"/>
        </w:rPr>
        <w:t xml:space="preserve">FirstEnergy admitted to bribing the former PUCO Chair </w:t>
      </w:r>
      <w:r w:rsidRPr="001D7812">
        <w:rPr>
          <w:rFonts w:cs="Times New Roman"/>
          <w:szCs w:val="24"/>
        </w:rPr>
        <w:t xml:space="preserve">Sam Randazzo, </w:t>
      </w:r>
      <w:r w:rsidRPr="001D7812" w:rsidR="009045B3">
        <w:rPr>
          <w:rFonts w:cs="Times New Roman"/>
          <w:szCs w:val="24"/>
        </w:rPr>
        <w:t xml:space="preserve">who </w:t>
      </w:r>
      <w:r w:rsidRPr="001D7812" w:rsidR="006936AD">
        <w:rPr>
          <w:rFonts w:cs="Times New Roman"/>
          <w:szCs w:val="24"/>
        </w:rPr>
        <w:t xml:space="preserve">has since been </w:t>
      </w:r>
      <w:r w:rsidRPr="001D7812" w:rsidR="009045B3">
        <w:rPr>
          <w:rFonts w:cs="Times New Roman"/>
          <w:szCs w:val="24"/>
        </w:rPr>
        <w:t>criminally</w:t>
      </w:r>
      <w:r w:rsidRPr="001D7812">
        <w:rPr>
          <w:rFonts w:cs="Times New Roman"/>
          <w:szCs w:val="24"/>
        </w:rPr>
        <w:t xml:space="preserve"> indicted</w:t>
      </w:r>
      <w:r w:rsidRPr="001D7812" w:rsidR="006936AD">
        <w:rPr>
          <w:rFonts w:cs="Times New Roman"/>
          <w:szCs w:val="24"/>
        </w:rPr>
        <w:t xml:space="preserve"> for bribery and embezzlement</w:t>
      </w:r>
      <w:r w:rsidRPr="001D7812">
        <w:rPr>
          <w:rFonts w:cs="Times New Roman"/>
          <w:szCs w:val="24"/>
        </w:rPr>
        <w:t>.</w:t>
      </w:r>
      <w:r>
        <w:rPr>
          <w:rStyle w:val="FootnoteReference"/>
          <w:rFonts w:cs="Times New Roman"/>
          <w:szCs w:val="24"/>
        </w:rPr>
        <w:footnoteReference w:id="4"/>
      </w:r>
      <w:r w:rsidRPr="001D7812" w:rsidR="009045B3">
        <w:rPr>
          <w:rFonts w:cs="Times New Roman"/>
          <w:szCs w:val="24"/>
        </w:rPr>
        <w:t xml:space="preserve"> Parts of ESP V</w:t>
      </w:r>
      <w:r w:rsidRPr="001D7812" w:rsidR="00040678">
        <w:rPr>
          <w:rFonts w:cs="Times New Roman"/>
          <w:szCs w:val="24"/>
        </w:rPr>
        <w:t>, like FirstEnergy</w:t>
      </w:r>
      <w:r w:rsidR="009F1383">
        <w:rPr>
          <w:rFonts w:cs="Times New Roman"/>
          <w:szCs w:val="24"/>
        </w:rPr>
        <w:t>’</w:t>
      </w:r>
      <w:r w:rsidRPr="001D7812" w:rsidR="00040678">
        <w:rPr>
          <w:rFonts w:cs="Times New Roman"/>
          <w:szCs w:val="24"/>
        </w:rPr>
        <w:t xml:space="preserve">s proposal to </w:t>
      </w:r>
      <w:r w:rsidRPr="001D7812" w:rsidR="009045B3">
        <w:rPr>
          <w:rFonts w:cs="Times New Roman"/>
          <w:szCs w:val="24"/>
        </w:rPr>
        <w:t>charg</w:t>
      </w:r>
      <w:r w:rsidRPr="001D7812" w:rsidR="00040678">
        <w:rPr>
          <w:rFonts w:cs="Times New Roman"/>
          <w:szCs w:val="24"/>
        </w:rPr>
        <w:t>e</w:t>
      </w:r>
      <w:r w:rsidRPr="001D7812" w:rsidR="009045B3">
        <w:rPr>
          <w:rFonts w:cs="Times New Roman"/>
          <w:szCs w:val="24"/>
        </w:rPr>
        <w:t xml:space="preserve"> consumers </w:t>
      </w:r>
      <w:r w:rsidRPr="001D7812" w:rsidR="009045B3">
        <w:rPr>
          <w:rFonts w:cs="Times New Roman"/>
          <w:i/>
          <w:iCs/>
          <w:szCs w:val="24"/>
        </w:rPr>
        <w:t>$21 million annually</w:t>
      </w:r>
      <w:r w:rsidRPr="001D7812" w:rsidR="009045B3">
        <w:rPr>
          <w:rFonts w:cs="Times New Roman"/>
          <w:szCs w:val="24"/>
        </w:rPr>
        <w:t xml:space="preserve"> through </w:t>
      </w:r>
      <w:r w:rsidRPr="001D7812" w:rsidR="00E144F8">
        <w:rPr>
          <w:rFonts w:cs="Times New Roman"/>
          <w:szCs w:val="24"/>
        </w:rPr>
        <w:t xml:space="preserve">the </w:t>
      </w:r>
      <w:r w:rsidRPr="001D7812" w:rsidR="009045B3">
        <w:rPr>
          <w:rFonts w:cs="Times New Roman"/>
          <w:szCs w:val="24"/>
        </w:rPr>
        <w:t>D</w:t>
      </w:r>
      <w:r w:rsidRPr="001D7812" w:rsidR="00E144F8">
        <w:rPr>
          <w:rFonts w:cs="Times New Roman"/>
          <w:szCs w:val="24"/>
        </w:rPr>
        <w:t xml:space="preserve">elivery </w:t>
      </w:r>
      <w:r w:rsidRPr="001D7812" w:rsidR="009045B3">
        <w:rPr>
          <w:rFonts w:cs="Times New Roman"/>
          <w:szCs w:val="24"/>
        </w:rPr>
        <w:t>C</w:t>
      </w:r>
      <w:r w:rsidRPr="001D7812" w:rsidR="00E144F8">
        <w:rPr>
          <w:rFonts w:cs="Times New Roman"/>
          <w:szCs w:val="24"/>
        </w:rPr>
        <w:t xml:space="preserve">apital </w:t>
      </w:r>
      <w:r w:rsidRPr="001D7812" w:rsidR="009045B3">
        <w:rPr>
          <w:rFonts w:cs="Times New Roman"/>
          <w:szCs w:val="24"/>
        </w:rPr>
        <w:t>R</w:t>
      </w:r>
      <w:r w:rsidRPr="001D7812" w:rsidR="00E144F8">
        <w:rPr>
          <w:rFonts w:cs="Times New Roman"/>
          <w:szCs w:val="24"/>
        </w:rPr>
        <w:t>ecovery Rider</w:t>
      </w:r>
      <w:r w:rsidRPr="001D7812" w:rsidR="009045B3">
        <w:rPr>
          <w:rFonts w:cs="Times New Roman"/>
          <w:szCs w:val="24"/>
        </w:rPr>
        <w:t xml:space="preserve">, </w:t>
      </w:r>
      <w:r w:rsidRPr="001D7812" w:rsidR="00040678">
        <w:rPr>
          <w:rFonts w:cs="Times New Roman"/>
          <w:szCs w:val="24"/>
        </w:rPr>
        <w:t xml:space="preserve">are inextricably intertwined with the H.B. 6 scandal and </w:t>
      </w:r>
      <w:r w:rsidRPr="001D7812">
        <w:rPr>
          <w:rFonts w:cs="Times New Roman"/>
          <w:szCs w:val="24"/>
        </w:rPr>
        <w:t>FirstEnergy</w:t>
      </w:r>
      <w:r w:rsidR="009F1383">
        <w:rPr>
          <w:rFonts w:cs="Times New Roman"/>
          <w:szCs w:val="24"/>
        </w:rPr>
        <w:t>’</w:t>
      </w:r>
      <w:r w:rsidRPr="001D7812">
        <w:rPr>
          <w:rFonts w:cs="Times New Roman"/>
          <w:szCs w:val="24"/>
        </w:rPr>
        <w:t xml:space="preserve">s corrupt bribery scheme. </w:t>
      </w:r>
      <w:r w:rsidRPr="001D7812" w:rsidR="00040678">
        <w:rPr>
          <w:rFonts w:cs="Times New Roman"/>
          <w:szCs w:val="24"/>
        </w:rPr>
        <w:t xml:space="preserve">Yet FirstEnergy expects the PUCO to consider </w:t>
      </w:r>
      <w:r w:rsidRPr="001D7812" w:rsidR="00F05BE9">
        <w:rPr>
          <w:rFonts w:cs="Times New Roman"/>
          <w:szCs w:val="24"/>
        </w:rPr>
        <w:t xml:space="preserve">and approve </w:t>
      </w:r>
      <w:r w:rsidRPr="001D7812" w:rsidR="00040678">
        <w:rPr>
          <w:rFonts w:cs="Times New Roman"/>
          <w:szCs w:val="24"/>
        </w:rPr>
        <w:t xml:space="preserve">ESP V while the PUCO has blocked </w:t>
      </w:r>
      <w:r w:rsidRPr="001D7812" w:rsidR="00F05BE9">
        <w:rPr>
          <w:rFonts w:cs="Times New Roman"/>
          <w:szCs w:val="24"/>
        </w:rPr>
        <w:t xml:space="preserve">moving forward with other </w:t>
      </w:r>
      <w:r w:rsidRPr="001D7812" w:rsidR="00040678">
        <w:rPr>
          <w:rFonts w:cs="Times New Roman"/>
          <w:szCs w:val="24"/>
        </w:rPr>
        <w:t xml:space="preserve">investigations </w:t>
      </w:r>
      <w:r w:rsidRPr="001D7812" w:rsidR="00F05BE9">
        <w:rPr>
          <w:rFonts w:cs="Times New Roman"/>
          <w:szCs w:val="24"/>
        </w:rPr>
        <w:t>regarding how FirstEnergy consumers have been harmed by</w:t>
      </w:r>
      <w:r w:rsidRPr="001D7812" w:rsidR="00040678">
        <w:rPr>
          <w:rFonts w:cs="Times New Roman"/>
          <w:szCs w:val="24"/>
        </w:rPr>
        <w:t xml:space="preserve"> the H.B. 6 scandal</w:t>
      </w:r>
      <w:r w:rsidRPr="001D7812" w:rsidR="00F05BE9">
        <w:rPr>
          <w:rFonts w:cs="Times New Roman"/>
          <w:szCs w:val="24"/>
        </w:rPr>
        <w:t xml:space="preserve"> and</w:t>
      </w:r>
      <w:r w:rsidRPr="001D7812" w:rsidR="00040678">
        <w:rPr>
          <w:rFonts w:cs="Times New Roman"/>
          <w:szCs w:val="24"/>
        </w:rPr>
        <w:t xml:space="preserve"> whether </w:t>
      </w:r>
      <w:r w:rsidRPr="001D7812" w:rsidR="00F05BE9">
        <w:rPr>
          <w:rFonts w:cs="Times New Roman"/>
          <w:szCs w:val="24"/>
        </w:rPr>
        <w:t>they should receive</w:t>
      </w:r>
      <w:r w:rsidRPr="001D7812" w:rsidR="00040678">
        <w:rPr>
          <w:rFonts w:cs="Times New Roman"/>
          <w:szCs w:val="24"/>
        </w:rPr>
        <w:t xml:space="preserve"> refunds. T</w:t>
      </w:r>
      <w:r w:rsidRPr="001D7812" w:rsidR="00F05BE9">
        <w:rPr>
          <w:rFonts w:cs="Times New Roman"/>
          <w:szCs w:val="24"/>
        </w:rPr>
        <w:t>hat</w:t>
      </w:r>
      <w:r w:rsidRPr="001D7812" w:rsidR="00040678">
        <w:rPr>
          <w:rFonts w:cs="Times New Roman"/>
          <w:szCs w:val="24"/>
        </w:rPr>
        <w:t xml:space="preserve"> is unfair. </w:t>
      </w:r>
      <w:r w:rsidRPr="001D7812" w:rsidR="00F05BE9">
        <w:rPr>
          <w:rFonts w:cs="Times New Roman"/>
          <w:szCs w:val="24"/>
        </w:rPr>
        <w:t>Indeed, r</w:t>
      </w:r>
      <w:r w:rsidRPr="001D7812" w:rsidR="00040678">
        <w:rPr>
          <w:rFonts w:cs="Times New Roman"/>
          <w:szCs w:val="24"/>
        </w:rPr>
        <w:t xml:space="preserve">egulators in other states </w:t>
      </w:r>
      <w:r w:rsidRPr="001D7812" w:rsidR="00F05BE9">
        <w:rPr>
          <w:rFonts w:cs="Times New Roman"/>
          <w:szCs w:val="24"/>
        </w:rPr>
        <w:t xml:space="preserve">have </w:t>
      </w:r>
      <w:r w:rsidRPr="001D7812" w:rsidR="00040678">
        <w:rPr>
          <w:rFonts w:cs="Times New Roman"/>
          <w:szCs w:val="24"/>
        </w:rPr>
        <w:t>ordered H.B. 6-related refunds to consumers.</w:t>
      </w:r>
      <w:r>
        <w:rPr>
          <w:rStyle w:val="FootnoteReference"/>
          <w:rFonts w:cs="Times New Roman"/>
          <w:szCs w:val="24"/>
        </w:rPr>
        <w:footnoteReference w:id="5"/>
      </w:r>
      <w:r w:rsidRPr="001D7812" w:rsidR="00040678">
        <w:rPr>
          <w:rFonts w:cs="Times New Roman"/>
          <w:szCs w:val="24"/>
        </w:rPr>
        <w:t xml:space="preserve"> Meanwhile, the PUCO</w:t>
      </w:r>
      <w:r w:rsidR="009F1383">
        <w:rPr>
          <w:rFonts w:cs="Times New Roman"/>
          <w:szCs w:val="24"/>
        </w:rPr>
        <w:t>’</w:t>
      </w:r>
      <w:r w:rsidRPr="001D7812" w:rsidR="00040678">
        <w:rPr>
          <w:rFonts w:cs="Times New Roman"/>
          <w:szCs w:val="24"/>
        </w:rPr>
        <w:t>s H.B. 6 investigations are operating under a third consecutive six-month stay.</w:t>
      </w:r>
      <w:r>
        <w:rPr>
          <w:rStyle w:val="FootnoteReference"/>
          <w:rFonts w:cs="Times New Roman"/>
          <w:szCs w:val="24"/>
        </w:rPr>
        <w:footnoteReference w:id="6"/>
      </w:r>
      <w:r w:rsidRPr="001D7812" w:rsidR="00052D06">
        <w:rPr>
          <w:rFonts w:cs="Times New Roman"/>
          <w:szCs w:val="24"/>
        </w:rPr>
        <w:t xml:space="preserve"> </w:t>
      </w:r>
    </w:p>
    <w:p w:rsidR="00CB14A6" w:rsidRPr="001D7812" w:rsidP="00E80F1A" w14:paraId="08782141" w14:textId="770953C6">
      <w:pPr>
        <w:spacing w:line="480" w:lineRule="auto"/>
        <w:ind w:firstLine="720"/>
        <w:rPr>
          <w:rFonts w:cs="Times New Roman"/>
          <w:szCs w:val="24"/>
        </w:rPr>
      </w:pPr>
      <w:r w:rsidRPr="001D7812">
        <w:rPr>
          <w:rFonts w:cs="Times New Roman"/>
          <w:szCs w:val="24"/>
        </w:rPr>
        <w:t>FirstEnergy</w:t>
      </w:r>
      <w:r w:rsidR="009F1383">
        <w:rPr>
          <w:rFonts w:cs="Times New Roman"/>
          <w:szCs w:val="24"/>
        </w:rPr>
        <w:t>’</w:t>
      </w:r>
      <w:r w:rsidRPr="001D7812">
        <w:rPr>
          <w:rFonts w:cs="Times New Roman"/>
          <w:szCs w:val="24"/>
        </w:rPr>
        <w:t>s c</w:t>
      </w:r>
      <w:r w:rsidRPr="001D7812" w:rsidR="009308D9">
        <w:rPr>
          <w:rFonts w:cs="Times New Roman"/>
          <w:szCs w:val="24"/>
        </w:rPr>
        <w:t>riminal</w:t>
      </w:r>
      <w:r w:rsidRPr="001D7812">
        <w:rPr>
          <w:rFonts w:cs="Times New Roman"/>
          <w:szCs w:val="24"/>
        </w:rPr>
        <w:t xml:space="preserve"> scheme </w:t>
      </w:r>
      <w:r w:rsidRPr="001D7812" w:rsidR="009308D9">
        <w:rPr>
          <w:rFonts w:cs="Times New Roman"/>
          <w:szCs w:val="24"/>
        </w:rPr>
        <w:t xml:space="preserve">corrupted </w:t>
      </w:r>
      <w:r w:rsidRPr="001D7812">
        <w:rPr>
          <w:rFonts w:cs="Times New Roman"/>
          <w:szCs w:val="24"/>
        </w:rPr>
        <w:t>the PUCO</w:t>
      </w:r>
      <w:r w:rsidR="009F1383">
        <w:rPr>
          <w:rFonts w:cs="Times New Roman"/>
          <w:szCs w:val="24"/>
        </w:rPr>
        <w:t>’</w:t>
      </w:r>
      <w:r w:rsidRPr="001D7812">
        <w:rPr>
          <w:rFonts w:cs="Times New Roman"/>
          <w:szCs w:val="24"/>
        </w:rPr>
        <w:t xml:space="preserve">s regulatory </w:t>
      </w:r>
      <w:r w:rsidRPr="001D7812" w:rsidR="009308D9">
        <w:rPr>
          <w:rFonts w:cs="Times New Roman"/>
          <w:szCs w:val="24"/>
        </w:rPr>
        <w:t>authority</w:t>
      </w:r>
      <w:r w:rsidRPr="001D7812">
        <w:rPr>
          <w:rFonts w:cs="Times New Roman"/>
          <w:szCs w:val="24"/>
        </w:rPr>
        <w:t>.</w:t>
      </w:r>
      <w:r w:rsidRPr="001D7812" w:rsidR="00CE2F18">
        <w:rPr>
          <w:rFonts w:cs="Times New Roman"/>
          <w:szCs w:val="24"/>
        </w:rPr>
        <w:t xml:space="preserve"> </w:t>
      </w:r>
      <w:r w:rsidRPr="001D7812">
        <w:rPr>
          <w:rFonts w:cs="Times New Roman"/>
          <w:szCs w:val="24"/>
        </w:rPr>
        <w:t xml:space="preserve">FirstEnergy admitted that it </w:t>
      </w:r>
      <w:r w:rsidR="009F1383">
        <w:rPr>
          <w:rFonts w:cs="Times New Roman"/>
          <w:szCs w:val="24"/>
        </w:rPr>
        <w:t>“</w:t>
      </w:r>
      <w:r w:rsidRPr="001D7812">
        <w:rPr>
          <w:rFonts w:cs="Times New Roman"/>
          <w:szCs w:val="24"/>
        </w:rPr>
        <w:t>paid $4.3 million dollars to [Randazzo] through his consulting company in return for [Randazzo] performing official action in his capacity as PUCO Chairman to further FirstEnergy Corp.</w:t>
      </w:r>
      <w:r w:rsidR="009F1383">
        <w:rPr>
          <w:rFonts w:cs="Times New Roman"/>
          <w:szCs w:val="24"/>
        </w:rPr>
        <w:t>’</w:t>
      </w:r>
      <w:r w:rsidRPr="001D7812">
        <w:rPr>
          <w:rFonts w:cs="Times New Roman"/>
          <w:szCs w:val="24"/>
        </w:rPr>
        <w:t>s interests relating to passage of nuclear legislation and other specific FirstEnergy Corp. legislative and regulatory priorities, as requested and as opportunities arose</w:t>
      </w:r>
      <w:r w:rsidRPr="001D7812" w:rsidR="0011424D">
        <w:rPr>
          <w:rFonts w:cs="Times New Roman"/>
          <w:szCs w:val="24"/>
        </w:rPr>
        <w:t>.</w:t>
      </w:r>
      <w:r w:rsidR="009F1383">
        <w:rPr>
          <w:rFonts w:cs="Times New Roman"/>
          <w:szCs w:val="24"/>
        </w:rPr>
        <w:t>”</w:t>
      </w:r>
      <w:r>
        <w:rPr>
          <w:rStyle w:val="FootnoteReference"/>
          <w:rFonts w:cs="Times New Roman"/>
          <w:szCs w:val="24"/>
        </w:rPr>
        <w:footnoteReference w:id="7"/>
      </w:r>
      <w:r w:rsidRPr="001D7812" w:rsidR="00E144F8">
        <w:rPr>
          <w:rFonts w:cs="Times New Roman"/>
          <w:szCs w:val="24"/>
        </w:rPr>
        <w:t xml:space="preserve"> The PUCO </w:t>
      </w:r>
      <w:r w:rsidRPr="001D7812" w:rsidR="000C0F43">
        <w:rPr>
          <w:rFonts w:cs="Times New Roman"/>
          <w:szCs w:val="24"/>
        </w:rPr>
        <w:t xml:space="preserve">should </w:t>
      </w:r>
      <w:r w:rsidRPr="001D7812" w:rsidR="00E144F8">
        <w:rPr>
          <w:rFonts w:cs="Times New Roman"/>
          <w:szCs w:val="24"/>
        </w:rPr>
        <w:t>consider this as it weighs whether to approve FirstEnergy</w:t>
      </w:r>
      <w:r w:rsidR="009F1383">
        <w:rPr>
          <w:rFonts w:cs="Times New Roman"/>
          <w:szCs w:val="24"/>
        </w:rPr>
        <w:t>’</w:t>
      </w:r>
      <w:r w:rsidRPr="001D7812" w:rsidR="00E144F8">
        <w:rPr>
          <w:rFonts w:cs="Times New Roman"/>
          <w:szCs w:val="24"/>
        </w:rPr>
        <w:t xml:space="preserve">s plan to charge consumers $1.4 billion over the next eight years for ESP V. </w:t>
      </w:r>
    </w:p>
    <w:p w:rsidR="008447A6" w:rsidRPr="001D7812" w:rsidP="00F05BE9" w14:paraId="613333FB" w14:textId="1436688D">
      <w:pPr>
        <w:spacing w:line="480" w:lineRule="auto"/>
        <w:ind w:firstLine="720"/>
        <w:rPr>
          <w:rFonts w:cs="Times New Roman"/>
          <w:szCs w:val="24"/>
        </w:rPr>
      </w:pPr>
      <w:r w:rsidRPr="001D7812">
        <w:rPr>
          <w:rFonts w:cs="Times New Roman"/>
          <w:szCs w:val="24"/>
        </w:rPr>
        <w:t>Apart from the H.B. 6 scandal, OCC and others presented ample evidence demonstrating how FirstEnergy</w:t>
      </w:r>
      <w:r w:rsidR="009F1383">
        <w:rPr>
          <w:rFonts w:cs="Times New Roman"/>
          <w:szCs w:val="24"/>
        </w:rPr>
        <w:t>’</w:t>
      </w:r>
      <w:r w:rsidRPr="001D7812">
        <w:rPr>
          <w:rFonts w:cs="Times New Roman"/>
          <w:szCs w:val="24"/>
        </w:rPr>
        <w:t xml:space="preserve">s proposal to increase charges to consumers is unreasonable. For the reasons </w:t>
      </w:r>
      <w:r w:rsidRPr="001D7812" w:rsidR="00E144F8">
        <w:rPr>
          <w:rFonts w:cs="Times New Roman"/>
          <w:szCs w:val="24"/>
        </w:rPr>
        <w:t xml:space="preserve">explained below, </w:t>
      </w:r>
      <w:r w:rsidRPr="001D7812">
        <w:rPr>
          <w:rFonts w:cs="Times New Roman"/>
          <w:szCs w:val="24"/>
        </w:rPr>
        <w:t xml:space="preserve">the PUCO should </w:t>
      </w:r>
      <w:r w:rsidRPr="001D7812" w:rsidR="000C0F43">
        <w:rPr>
          <w:rFonts w:cs="Times New Roman"/>
          <w:szCs w:val="24"/>
        </w:rPr>
        <w:t>reject</w:t>
      </w:r>
      <w:r w:rsidRPr="001D7812" w:rsidR="00052D06">
        <w:rPr>
          <w:rFonts w:cs="Times New Roman"/>
          <w:szCs w:val="24"/>
        </w:rPr>
        <w:t xml:space="preserve"> </w:t>
      </w:r>
      <w:r w:rsidRPr="001D7812">
        <w:rPr>
          <w:rFonts w:cs="Times New Roman"/>
          <w:szCs w:val="24"/>
        </w:rPr>
        <w:t>FirstEnergy</w:t>
      </w:r>
      <w:r w:rsidR="009F1383">
        <w:rPr>
          <w:rFonts w:cs="Times New Roman"/>
          <w:szCs w:val="24"/>
        </w:rPr>
        <w:t>’</w:t>
      </w:r>
      <w:r w:rsidRPr="001D7812">
        <w:rPr>
          <w:rFonts w:cs="Times New Roman"/>
          <w:szCs w:val="24"/>
        </w:rPr>
        <w:t>s proposed ESP V.</w:t>
      </w:r>
      <w:r w:rsidRPr="001D7812" w:rsidR="00E144F8">
        <w:rPr>
          <w:rFonts w:cs="Times New Roman"/>
          <w:szCs w:val="24"/>
        </w:rPr>
        <w:t xml:space="preserve"> </w:t>
      </w:r>
    </w:p>
    <w:p w:rsidR="00C8636E" w:rsidRPr="001D7812" w:rsidP="00C8636E" w14:paraId="4F211DEF" w14:textId="77777777">
      <w:pPr>
        <w:ind w:firstLine="720"/>
        <w:rPr>
          <w:rFonts w:cs="Times New Roman"/>
          <w:szCs w:val="24"/>
        </w:rPr>
      </w:pPr>
    </w:p>
    <w:p w:rsidR="006406A6" w:rsidRPr="001D7812" w:rsidP="002926CE" w14:paraId="43F06B86" w14:textId="3D8EA3FF">
      <w:pPr>
        <w:pStyle w:val="Heading1"/>
      </w:pPr>
      <w:bookmarkStart w:id="4" w:name="_Toc156567918"/>
      <w:r w:rsidRPr="001D7812">
        <w:t>II.</w:t>
      </w:r>
      <w:r w:rsidRPr="001D7812">
        <w:tab/>
      </w:r>
      <w:r w:rsidRPr="001D7812">
        <w:t>STANDARD OF REVIEW</w:t>
      </w:r>
      <w:bookmarkEnd w:id="4"/>
    </w:p>
    <w:p w:rsidR="006406A6" w:rsidRPr="001D7812" w:rsidP="006406A6" w14:paraId="18552C52" w14:textId="1B50591A">
      <w:pPr>
        <w:autoSpaceDE w:val="0"/>
        <w:autoSpaceDN w:val="0"/>
        <w:adjustRightInd w:val="0"/>
        <w:spacing w:line="480" w:lineRule="auto"/>
        <w:ind w:firstLine="720"/>
        <w:rPr>
          <w:rFonts w:cs="Times New Roman"/>
          <w:szCs w:val="24"/>
        </w:rPr>
      </w:pPr>
      <w:r w:rsidRPr="001D7812">
        <w:rPr>
          <w:rFonts w:cs="Times New Roman"/>
          <w:szCs w:val="24"/>
        </w:rPr>
        <w:t xml:space="preserve">The standard of review for </w:t>
      </w:r>
      <w:r w:rsidRPr="001D7812" w:rsidR="0090407C">
        <w:rPr>
          <w:rFonts w:cs="Times New Roman"/>
          <w:szCs w:val="24"/>
        </w:rPr>
        <w:t>electric security plan</w:t>
      </w:r>
      <w:r w:rsidRPr="001D7812">
        <w:rPr>
          <w:rFonts w:cs="Times New Roman"/>
          <w:szCs w:val="24"/>
        </w:rPr>
        <w:t xml:space="preserve"> cases is found in R.C. 4928.143(C)(1), which states in pertinent part:</w:t>
      </w:r>
    </w:p>
    <w:p w:rsidR="006406A6" w:rsidRPr="001D7812" w:rsidP="002D1375" w14:paraId="1691F97E" w14:textId="77777777">
      <w:pPr>
        <w:autoSpaceDE w:val="0"/>
        <w:autoSpaceDN w:val="0"/>
        <w:adjustRightInd w:val="0"/>
        <w:ind w:left="1440" w:right="1440"/>
        <w:rPr>
          <w:rFonts w:cs="Times New Roman"/>
          <w:szCs w:val="24"/>
        </w:rPr>
      </w:pPr>
      <w:r w:rsidRPr="001D7812">
        <w:rPr>
          <w:rFonts w:cs="Times New Roman"/>
          <w:szCs w:val="24"/>
        </w:rPr>
        <w:t>[T]he commission by order shall approve or modify and approve an application filed under division (A) of this section if it finds that the electric security plan so approved, including its pricing and all other terms and conditions, including any deferrals and any future recovery of deferrals, is more favorable in the aggregate as compared to the expected results that would otherwise apply under section 4928.142 of the Revised Code. Additionally, if the commission so approves an application that contains a surcharge under division (B)(2)(b) or (c) of this section, the commission shall ensure that the benefits derived for any purpose for which the surcharge is established are reserved and made available to those that bear the surcharge. Otherwise, the commission by order shall disapprove the application.</w:t>
      </w:r>
    </w:p>
    <w:p w:rsidR="006406A6" w:rsidRPr="001D7812" w:rsidP="006406A6" w14:paraId="791D16FC" w14:textId="77777777">
      <w:pPr>
        <w:autoSpaceDE w:val="0"/>
        <w:autoSpaceDN w:val="0"/>
        <w:adjustRightInd w:val="0"/>
        <w:ind w:left="1440" w:right="1440"/>
        <w:rPr>
          <w:rFonts w:cs="Times New Roman"/>
          <w:szCs w:val="24"/>
        </w:rPr>
      </w:pPr>
    </w:p>
    <w:p w:rsidR="006406A6" w:rsidRPr="001D7812" w:rsidP="006406A6" w14:paraId="6C07B4EF" w14:textId="1C7AD270">
      <w:pPr>
        <w:autoSpaceDE w:val="0"/>
        <w:autoSpaceDN w:val="0"/>
        <w:adjustRightInd w:val="0"/>
        <w:spacing w:line="480" w:lineRule="auto"/>
        <w:ind w:firstLine="720"/>
        <w:rPr>
          <w:rFonts w:cs="Times New Roman"/>
          <w:szCs w:val="24"/>
        </w:rPr>
      </w:pPr>
      <w:r w:rsidRPr="001D7812">
        <w:rPr>
          <w:rFonts w:cs="Times New Roman"/>
          <w:szCs w:val="24"/>
        </w:rPr>
        <w:t>T</w:t>
      </w:r>
      <w:r w:rsidRPr="001D7812">
        <w:rPr>
          <w:rFonts w:cs="Times New Roman"/>
          <w:szCs w:val="24"/>
        </w:rPr>
        <w:t>o determine whether a</w:t>
      </w:r>
      <w:r w:rsidRPr="001D7812" w:rsidR="0090407C">
        <w:rPr>
          <w:rFonts w:cs="Times New Roman"/>
          <w:szCs w:val="24"/>
        </w:rPr>
        <w:t>n electric security plan</w:t>
      </w:r>
      <w:r w:rsidRPr="001D7812">
        <w:rPr>
          <w:rFonts w:cs="Times New Roman"/>
          <w:szCs w:val="24"/>
        </w:rPr>
        <w:t xml:space="preserve"> passes this statutory test, the PUCO must individually examine each</w:t>
      </w:r>
      <w:r w:rsidRPr="001D7812" w:rsidR="0090407C">
        <w:rPr>
          <w:rFonts w:cs="Times New Roman"/>
          <w:szCs w:val="24"/>
        </w:rPr>
        <w:t xml:space="preserve"> electric security plan</w:t>
      </w:r>
      <w:r w:rsidRPr="001D7812">
        <w:rPr>
          <w:rFonts w:cs="Times New Roman"/>
          <w:szCs w:val="24"/>
        </w:rPr>
        <w:t xml:space="preserve"> </w:t>
      </w:r>
      <w:r w:rsidRPr="001D7812">
        <w:rPr>
          <w:rFonts w:cs="Times New Roman"/>
          <w:szCs w:val="24"/>
        </w:rPr>
        <w:t xml:space="preserve">provision, in light of the </w:t>
      </w:r>
      <w:r w:rsidRPr="001D7812">
        <w:rPr>
          <w:rFonts w:cs="Times New Roman"/>
          <w:szCs w:val="24"/>
        </w:rPr>
        <w:t>fourteen</w:t>
      </w:r>
      <w:r w:rsidRPr="001D7812">
        <w:rPr>
          <w:rFonts w:cs="Times New Roman"/>
          <w:szCs w:val="24"/>
        </w:rPr>
        <w:t xml:space="preserve"> policy objectives of R.C. 4928.02.</w:t>
      </w:r>
      <w:r w:rsidRPr="001D7812" w:rsidR="00CE2F18">
        <w:rPr>
          <w:rFonts w:cs="Times New Roman"/>
          <w:szCs w:val="24"/>
        </w:rPr>
        <w:t xml:space="preserve"> </w:t>
      </w:r>
      <w:r w:rsidRPr="001D7812">
        <w:rPr>
          <w:rFonts w:cs="Times New Roman"/>
          <w:szCs w:val="24"/>
        </w:rPr>
        <w:t>A</w:t>
      </w:r>
      <w:r w:rsidRPr="001D7812">
        <w:rPr>
          <w:rFonts w:cs="Times New Roman"/>
          <w:szCs w:val="24"/>
        </w:rPr>
        <w:t xml:space="preserve">n electric utility </w:t>
      </w:r>
      <w:r w:rsidRPr="001D7812">
        <w:rPr>
          <w:rFonts w:cs="Times New Roman"/>
          <w:szCs w:val="24"/>
        </w:rPr>
        <w:t xml:space="preserve">meets </w:t>
      </w:r>
      <w:r w:rsidRPr="001D7812">
        <w:rPr>
          <w:rFonts w:cs="Times New Roman"/>
          <w:szCs w:val="24"/>
        </w:rPr>
        <w:t xml:space="preserve">the </w:t>
      </w:r>
      <w:r w:rsidR="009F1383">
        <w:rPr>
          <w:rFonts w:cs="Times New Roman"/>
          <w:szCs w:val="24"/>
        </w:rPr>
        <w:t>“</w:t>
      </w:r>
      <w:r w:rsidRPr="001D7812">
        <w:rPr>
          <w:rFonts w:cs="Times New Roman"/>
          <w:szCs w:val="24"/>
        </w:rPr>
        <w:t>more favorable in the aggregate</w:t>
      </w:r>
      <w:r w:rsidR="009F1383">
        <w:rPr>
          <w:rFonts w:cs="Times New Roman"/>
          <w:szCs w:val="24"/>
        </w:rPr>
        <w:t>”</w:t>
      </w:r>
      <w:r w:rsidRPr="001D7812">
        <w:rPr>
          <w:rFonts w:cs="Times New Roman"/>
          <w:szCs w:val="24"/>
        </w:rPr>
        <w:t xml:space="preserve"> standard </w:t>
      </w:r>
      <w:r w:rsidR="009F1383">
        <w:rPr>
          <w:rFonts w:cs="Times New Roman"/>
          <w:szCs w:val="24"/>
        </w:rPr>
        <w:t>“</w:t>
      </w:r>
      <w:r w:rsidRPr="001D7812">
        <w:rPr>
          <w:rFonts w:cs="Times New Roman"/>
          <w:szCs w:val="24"/>
        </w:rPr>
        <w:t>only to the extent that the electric utility</w:t>
      </w:r>
      <w:r w:rsidR="009F1383">
        <w:rPr>
          <w:rFonts w:cs="Times New Roman"/>
          <w:szCs w:val="24"/>
        </w:rPr>
        <w:t>’</w:t>
      </w:r>
      <w:r w:rsidRPr="001D7812">
        <w:rPr>
          <w:rFonts w:cs="Times New Roman"/>
          <w:szCs w:val="24"/>
        </w:rPr>
        <w:t>s proposed MRO is consistent with the policies set forth in section 4928.02, Revised Code.</w:t>
      </w:r>
      <w:r w:rsidR="009F1383">
        <w:rPr>
          <w:rFonts w:cs="Times New Roman"/>
          <w:szCs w:val="24"/>
        </w:rPr>
        <w:t>”</w:t>
      </w:r>
      <w:r>
        <w:rPr>
          <w:rStyle w:val="FootnoteReference"/>
          <w:rFonts w:cs="Times New Roman"/>
          <w:szCs w:val="24"/>
        </w:rPr>
        <w:footnoteReference w:id="8"/>
      </w:r>
      <w:r w:rsidRPr="001D7812">
        <w:rPr>
          <w:rFonts w:cs="Times New Roman"/>
          <w:szCs w:val="24"/>
        </w:rPr>
        <w:t xml:space="preserve"> </w:t>
      </w:r>
      <w:r w:rsidRPr="001D7812">
        <w:rPr>
          <w:rFonts w:cs="Times New Roman"/>
          <w:szCs w:val="24"/>
        </w:rPr>
        <w:t>T</w:t>
      </w:r>
      <w:r w:rsidRPr="001D7812">
        <w:rPr>
          <w:rFonts w:cs="Times New Roman"/>
          <w:szCs w:val="24"/>
        </w:rPr>
        <w:t xml:space="preserve">he PUCO must </w:t>
      </w:r>
      <w:r w:rsidRPr="001D7812">
        <w:rPr>
          <w:rFonts w:cs="Times New Roman"/>
          <w:szCs w:val="24"/>
        </w:rPr>
        <w:t xml:space="preserve">also </w:t>
      </w:r>
      <w:r w:rsidRPr="001D7812">
        <w:rPr>
          <w:rFonts w:cs="Times New Roman"/>
          <w:szCs w:val="24"/>
        </w:rPr>
        <w:t>ensure that every public utility furnishes necessary and adequate service and facilities, and that all charges for any service must be just and reasonable.</w:t>
      </w:r>
      <w:r>
        <w:rPr>
          <w:rStyle w:val="FootnoteReference"/>
          <w:rFonts w:cs="Times New Roman"/>
          <w:szCs w:val="24"/>
        </w:rPr>
        <w:footnoteReference w:id="9"/>
      </w:r>
      <w:r w:rsidRPr="001D7812">
        <w:rPr>
          <w:rFonts w:cs="Times New Roman"/>
          <w:szCs w:val="24"/>
        </w:rPr>
        <w:t xml:space="preserve"> </w:t>
      </w:r>
    </w:p>
    <w:p w:rsidR="006406A6" w:rsidRPr="001D7812" w:rsidP="002D1375" w14:paraId="24AFC786" w14:textId="10811EB4">
      <w:pPr>
        <w:autoSpaceDE w:val="0"/>
        <w:autoSpaceDN w:val="0"/>
        <w:adjustRightInd w:val="0"/>
        <w:spacing w:line="480" w:lineRule="auto"/>
        <w:ind w:firstLine="720"/>
        <w:rPr>
          <w:rFonts w:cs="Times New Roman"/>
          <w:szCs w:val="24"/>
        </w:rPr>
      </w:pPr>
      <w:r w:rsidRPr="001D7812">
        <w:rPr>
          <w:rFonts w:cs="Times New Roman"/>
          <w:szCs w:val="24"/>
        </w:rPr>
        <w:t xml:space="preserve">The PUCO has authority to modify </w:t>
      </w:r>
      <w:r w:rsidRPr="001D7812" w:rsidR="00AA116A">
        <w:rPr>
          <w:rFonts w:cs="Times New Roman"/>
          <w:szCs w:val="24"/>
        </w:rPr>
        <w:t>FirstEnergy</w:t>
      </w:r>
      <w:r w:rsidR="009F1383">
        <w:rPr>
          <w:rFonts w:cs="Times New Roman"/>
          <w:szCs w:val="24"/>
        </w:rPr>
        <w:t>’</w:t>
      </w:r>
      <w:r w:rsidRPr="001D7812" w:rsidR="00AA116A">
        <w:rPr>
          <w:rFonts w:cs="Times New Roman"/>
          <w:szCs w:val="24"/>
        </w:rPr>
        <w:t>s</w:t>
      </w:r>
      <w:r w:rsidRPr="001D7812">
        <w:rPr>
          <w:rFonts w:cs="Times New Roman"/>
          <w:szCs w:val="24"/>
        </w:rPr>
        <w:t xml:space="preserve"> proposed </w:t>
      </w:r>
      <w:r w:rsidRPr="001D7812" w:rsidR="0090407C">
        <w:rPr>
          <w:rFonts w:cs="Times New Roman"/>
          <w:szCs w:val="24"/>
        </w:rPr>
        <w:t>electric security plan</w:t>
      </w:r>
      <w:r w:rsidRPr="001D7812">
        <w:rPr>
          <w:rFonts w:cs="Times New Roman"/>
          <w:szCs w:val="24"/>
        </w:rPr>
        <w:t xml:space="preserve"> under R.C. 4928.143. Indeed</w:t>
      </w:r>
      <w:r w:rsidRPr="001D7812" w:rsidR="002D1375">
        <w:rPr>
          <w:rFonts w:cs="Times New Roman"/>
          <w:szCs w:val="24"/>
        </w:rPr>
        <w:t>,</w:t>
      </w:r>
      <w:r w:rsidRPr="001D7812">
        <w:rPr>
          <w:rFonts w:cs="Times New Roman"/>
          <w:szCs w:val="24"/>
        </w:rPr>
        <w:t xml:space="preserve"> </w:t>
      </w:r>
      <w:r w:rsidRPr="001D7812" w:rsidR="002D1375">
        <w:rPr>
          <w:rFonts w:cs="Times New Roman"/>
          <w:szCs w:val="24"/>
        </w:rPr>
        <w:t xml:space="preserve">this authority does not depend upon any </w:t>
      </w:r>
      <w:r w:rsidRPr="001D7812">
        <w:rPr>
          <w:rFonts w:cs="Times New Roman"/>
          <w:szCs w:val="24"/>
        </w:rPr>
        <w:t xml:space="preserve">finding that the </w:t>
      </w:r>
      <w:r w:rsidRPr="001D7812" w:rsidR="0090407C">
        <w:rPr>
          <w:rFonts w:cs="Times New Roman"/>
          <w:szCs w:val="24"/>
        </w:rPr>
        <w:t>electric security plan</w:t>
      </w:r>
      <w:r w:rsidRPr="001D7812">
        <w:rPr>
          <w:rFonts w:cs="Times New Roman"/>
          <w:szCs w:val="24"/>
        </w:rPr>
        <w:t xml:space="preserve"> is not more favorable </w:t>
      </w:r>
      <w:r w:rsidRPr="001D7812" w:rsidR="002D1375">
        <w:rPr>
          <w:rFonts w:cs="Times New Roman"/>
          <w:szCs w:val="24"/>
        </w:rPr>
        <w:t xml:space="preserve">in the aggregate </w:t>
      </w:r>
      <w:r w:rsidRPr="001D7812">
        <w:rPr>
          <w:rFonts w:cs="Times New Roman"/>
          <w:szCs w:val="24"/>
        </w:rPr>
        <w:t>than the expected results of a</w:t>
      </w:r>
      <w:r w:rsidRPr="001D7812" w:rsidR="0090407C">
        <w:rPr>
          <w:rFonts w:cs="Times New Roman"/>
          <w:szCs w:val="24"/>
        </w:rPr>
        <w:t xml:space="preserve"> market-rate option</w:t>
      </w:r>
      <w:r w:rsidRPr="001D7812">
        <w:rPr>
          <w:rFonts w:cs="Times New Roman"/>
          <w:szCs w:val="24"/>
        </w:rPr>
        <w:t>.</w:t>
      </w:r>
      <w:r>
        <w:rPr>
          <w:rStyle w:val="FootnoteReference"/>
          <w:rFonts w:cs="Times New Roman"/>
          <w:szCs w:val="24"/>
        </w:rPr>
        <w:footnoteReference w:id="10"/>
      </w:r>
      <w:r w:rsidRPr="001D7812">
        <w:rPr>
          <w:rFonts w:cs="Times New Roman"/>
          <w:szCs w:val="24"/>
        </w:rPr>
        <w:t xml:space="preserve"> Rather</w:t>
      </w:r>
      <w:r w:rsidRPr="001D7812" w:rsidR="002D1375">
        <w:rPr>
          <w:rFonts w:cs="Times New Roman"/>
          <w:szCs w:val="24"/>
        </w:rPr>
        <w:t>,</w:t>
      </w:r>
      <w:r w:rsidRPr="001D7812">
        <w:rPr>
          <w:rFonts w:cs="Times New Roman"/>
          <w:szCs w:val="24"/>
        </w:rPr>
        <w:t xml:space="preserve"> the PUCO</w:t>
      </w:r>
      <w:r w:rsidRPr="001D7812" w:rsidR="002D1375">
        <w:rPr>
          <w:rFonts w:cs="Times New Roman"/>
          <w:szCs w:val="24"/>
        </w:rPr>
        <w:t xml:space="preserve"> has the inherent</w:t>
      </w:r>
      <w:r w:rsidRPr="001D7812">
        <w:rPr>
          <w:rFonts w:cs="Times New Roman"/>
          <w:szCs w:val="24"/>
        </w:rPr>
        <w:t xml:space="preserve"> statutory authority to make modifications to the </w:t>
      </w:r>
      <w:r w:rsidRPr="001D7812" w:rsidR="0090407C">
        <w:rPr>
          <w:rFonts w:cs="Times New Roman"/>
          <w:szCs w:val="24"/>
        </w:rPr>
        <w:t>electric security plan</w:t>
      </w:r>
      <w:r w:rsidRPr="001D7812">
        <w:rPr>
          <w:rFonts w:cs="Times New Roman"/>
          <w:szCs w:val="24"/>
        </w:rPr>
        <w:t xml:space="preserve"> that are supported by the record in the case.</w:t>
      </w:r>
      <w:r>
        <w:rPr>
          <w:rStyle w:val="FootnoteReference"/>
          <w:rFonts w:cs="Times New Roman"/>
          <w:szCs w:val="24"/>
        </w:rPr>
        <w:footnoteReference w:id="11"/>
      </w:r>
      <w:r w:rsidRPr="001D7812">
        <w:rPr>
          <w:rFonts w:cs="Times New Roman"/>
          <w:szCs w:val="24"/>
        </w:rPr>
        <w:t xml:space="preserve"> </w:t>
      </w:r>
    </w:p>
    <w:p w:rsidR="00AA116A" w:rsidRPr="001D7812" w:rsidP="00B231E9" w14:paraId="409991A3" w14:textId="6C750AF8">
      <w:pPr>
        <w:autoSpaceDE w:val="0"/>
        <w:autoSpaceDN w:val="0"/>
        <w:adjustRightInd w:val="0"/>
        <w:spacing w:line="480" w:lineRule="auto"/>
        <w:ind w:firstLine="720"/>
        <w:rPr>
          <w:rFonts w:cs="Times New Roman"/>
          <w:szCs w:val="24"/>
        </w:rPr>
      </w:pPr>
      <w:r w:rsidRPr="001D7812">
        <w:rPr>
          <w:rFonts w:cs="Times New Roman"/>
          <w:szCs w:val="24"/>
        </w:rPr>
        <w:t>T</w:t>
      </w:r>
      <w:r w:rsidRPr="001D7812" w:rsidR="0018496E">
        <w:rPr>
          <w:rFonts w:cs="Times New Roman"/>
          <w:szCs w:val="24"/>
        </w:rPr>
        <w:t>he electric security plan must</w:t>
      </w:r>
      <w:r w:rsidRPr="001D7812">
        <w:rPr>
          <w:rFonts w:cs="Times New Roman"/>
          <w:szCs w:val="24"/>
        </w:rPr>
        <w:t xml:space="preserve"> also</w:t>
      </w:r>
      <w:r w:rsidRPr="001D7812" w:rsidR="0018496E">
        <w:rPr>
          <w:rFonts w:cs="Times New Roman"/>
          <w:szCs w:val="24"/>
        </w:rPr>
        <w:t xml:space="preserve"> provide for FirstEnergy to furnish necessary and adequate service and facilities, and for all charges for any service to be just and reasonable.</w:t>
      </w:r>
      <w:r>
        <w:rPr>
          <w:rStyle w:val="FootnoteReference"/>
          <w:rFonts w:cs="Times New Roman"/>
          <w:szCs w:val="24"/>
        </w:rPr>
        <w:footnoteReference w:id="12"/>
      </w:r>
    </w:p>
    <w:p w:rsidR="006406A6" w:rsidRPr="001D7812" w:rsidP="003F14F3" w14:paraId="640C2F80" w14:textId="3154D48A">
      <w:pPr>
        <w:autoSpaceDE w:val="0"/>
        <w:autoSpaceDN w:val="0"/>
        <w:adjustRightInd w:val="0"/>
        <w:spacing w:line="480" w:lineRule="auto"/>
        <w:ind w:firstLine="720"/>
        <w:rPr>
          <w:rFonts w:cs="Times New Roman"/>
          <w:szCs w:val="24"/>
        </w:rPr>
      </w:pPr>
      <w:r w:rsidRPr="001D7812">
        <w:rPr>
          <w:rFonts w:cs="Times New Roman"/>
          <w:szCs w:val="24"/>
        </w:rPr>
        <w:t xml:space="preserve">R.C. 4928.143(C)(1) provides that the </w:t>
      </w:r>
      <w:r w:rsidR="009F1383">
        <w:rPr>
          <w:rFonts w:cs="Times New Roman"/>
          <w:szCs w:val="24"/>
        </w:rPr>
        <w:t>“</w:t>
      </w:r>
      <w:r w:rsidRPr="001D7812">
        <w:rPr>
          <w:rFonts w:cs="Times New Roman"/>
          <w:szCs w:val="24"/>
        </w:rPr>
        <w:t>burden of proof in the [</w:t>
      </w:r>
      <w:r w:rsidRPr="001D7812" w:rsidR="0090407C">
        <w:rPr>
          <w:rFonts w:cs="Times New Roman"/>
          <w:szCs w:val="24"/>
        </w:rPr>
        <w:t>electric security plan</w:t>
      </w:r>
      <w:r w:rsidRPr="001D7812">
        <w:rPr>
          <w:rFonts w:cs="Times New Roman"/>
          <w:szCs w:val="24"/>
        </w:rPr>
        <w:t>] proceeding shall be on the electric utility.</w:t>
      </w:r>
      <w:r w:rsidR="009F1383">
        <w:rPr>
          <w:rFonts w:cs="Times New Roman"/>
          <w:szCs w:val="24"/>
        </w:rPr>
        <w:t>”</w:t>
      </w:r>
      <w:r w:rsidRPr="001D7812">
        <w:rPr>
          <w:rFonts w:cs="Times New Roman"/>
          <w:szCs w:val="24"/>
        </w:rPr>
        <w:t xml:space="preserve"> That burden refers to not only proving th</w:t>
      </w:r>
      <w:r w:rsidRPr="001D7812" w:rsidR="0090407C">
        <w:rPr>
          <w:rFonts w:cs="Times New Roman"/>
          <w:szCs w:val="24"/>
        </w:rPr>
        <w:t>e electric security plan</w:t>
      </w:r>
      <w:r w:rsidRPr="001D7812">
        <w:rPr>
          <w:rFonts w:cs="Times New Roman"/>
          <w:szCs w:val="24"/>
        </w:rPr>
        <w:t xml:space="preserve"> meets the statutory test</w:t>
      </w:r>
      <w:r w:rsidRPr="001D7812" w:rsidR="0090407C">
        <w:rPr>
          <w:rFonts w:cs="Times New Roman"/>
          <w:szCs w:val="24"/>
        </w:rPr>
        <w:t xml:space="preserve"> of being more favorable in the aggregate than a market-rate option</w:t>
      </w:r>
      <w:r w:rsidRPr="001D7812">
        <w:rPr>
          <w:rFonts w:cs="Times New Roman"/>
          <w:szCs w:val="24"/>
        </w:rPr>
        <w:t xml:space="preserve">, but also extends to proving that </w:t>
      </w:r>
      <w:r w:rsidRPr="001D7812" w:rsidR="00AA116A">
        <w:rPr>
          <w:rFonts w:cs="Times New Roman"/>
          <w:szCs w:val="24"/>
        </w:rPr>
        <w:t>each</w:t>
      </w:r>
      <w:r w:rsidRPr="001D7812">
        <w:rPr>
          <w:rFonts w:cs="Times New Roman"/>
          <w:szCs w:val="24"/>
        </w:rPr>
        <w:t xml:space="preserve"> provision in the </w:t>
      </w:r>
      <w:r w:rsidRPr="001D7812" w:rsidR="0090407C">
        <w:rPr>
          <w:rFonts w:cs="Times New Roman"/>
          <w:szCs w:val="24"/>
        </w:rPr>
        <w:t>electric security plan</w:t>
      </w:r>
      <w:r w:rsidRPr="001D7812">
        <w:rPr>
          <w:rFonts w:cs="Times New Roman"/>
          <w:szCs w:val="24"/>
        </w:rPr>
        <w:t xml:space="preserve"> ha</w:t>
      </w:r>
      <w:r w:rsidRPr="001D7812" w:rsidR="00AA116A">
        <w:rPr>
          <w:rFonts w:cs="Times New Roman"/>
          <w:szCs w:val="24"/>
        </w:rPr>
        <w:t>s</w:t>
      </w:r>
      <w:r w:rsidRPr="001D7812">
        <w:rPr>
          <w:rFonts w:cs="Times New Roman"/>
          <w:szCs w:val="24"/>
        </w:rPr>
        <w:t xml:space="preserve"> a basis in law under R.C. 4928.143(B)(2)(b). </w:t>
      </w:r>
    </w:p>
    <w:p w:rsidR="00A11F3D" w:rsidRPr="001D7812" w:rsidP="00A11F3D" w14:paraId="24AE878E" w14:textId="77777777">
      <w:pPr>
        <w:autoSpaceDE w:val="0"/>
        <w:autoSpaceDN w:val="0"/>
        <w:adjustRightInd w:val="0"/>
        <w:ind w:firstLine="720"/>
        <w:rPr>
          <w:rFonts w:cs="Times New Roman"/>
          <w:szCs w:val="24"/>
        </w:rPr>
      </w:pPr>
    </w:p>
    <w:p w:rsidR="00023138" w:rsidRPr="001D7812" w:rsidP="00A11F3D" w14:paraId="54B8D8FD" w14:textId="396557F6">
      <w:pPr>
        <w:pStyle w:val="Heading1"/>
      </w:pPr>
      <w:bookmarkStart w:id="5" w:name="_Toc156567919"/>
      <w:r w:rsidRPr="001D7812">
        <w:t>I</w:t>
      </w:r>
      <w:r w:rsidRPr="001D7812" w:rsidR="003F14F3">
        <w:t>II</w:t>
      </w:r>
      <w:r w:rsidRPr="001D7812" w:rsidR="002A44B9">
        <w:t>.</w:t>
      </w:r>
      <w:r w:rsidRPr="001D7812" w:rsidR="002A44B9">
        <w:tab/>
      </w:r>
      <w:r w:rsidRPr="001D7812">
        <w:t>RECOMMENDATIONS</w:t>
      </w:r>
      <w:bookmarkEnd w:id="5"/>
    </w:p>
    <w:p w:rsidR="00023138" w:rsidRPr="001D7812" w:rsidP="00746A6E" w14:paraId="33A08A3B" w14:textId="43339848">
      <w:pPr>
        <w:pStyle w:val="Heading2"/>
      </w:pPr>
      <w:bookmarkStart w:id="6" w:name="_Toc156567920"/>
      <w:r w:rsidRPr="001D7812">
        <w:t>A.</w:t>
      </w:r>
      <w:r w:rsidRPr="001D7812">
        <w:tab/>
      </w:r>
      <w:r w:rsidRPr="001D7812">
        <w:t xml:space="preserve">The PUCO should grant the Motion for Limited Stay by </w:t>
      </w:r>
      <w:r w:rsidRPr="001D7812" w:rsidR="00B95D42">
        <w:t>OCC, OMAEG and NOAC.</w:t>
      </w:r>
      <w:bookmarkEnd w:id="6"/>
    </w:p>
    <w:p w:rsidR="00273257" w:rsidRPr="001D7812" w:rsidP="00E615DA" w14:paraId="1CB0AF19" w14:textId="08160FC5">
      <w:pPr>
        <w:autoSpaceDE w:val="0"/>
        <w:autoSpaceDN w:val="0"/>
        <w:adjustRightInd w:val="0"/>
        <w:spacing w:line="480" w:lineRule="auto"/>
        <w:ind w:firstLine="720"/>
        <w:rPr>
          <w:rFonts w:cs="Times New Roman"/>
          <w:szCs w:val="24"/>
        </w:rPr>
      </w:pPr>
      <w:r w:rsidRPr="001D7812">
        <w:rPr>
          <w:rFonts w:cs="Times New Roman"/>
          <w:szCs w:val="24"/>
        </w:rPr>
        <w:t xml:space="preserve">On December 6, 2023, </w:t>
      </w:r>
      <w:r w:rsidRPr="001D7812" w:rsidR="00D17ECB">
        <w:rPr>
          <w:rFonts w:cs="Times New Roman"/>
          <w:szCs w:val="24"/>
        </w:rPr>
        <w:t>OCC</w:t>
      </w:r>
      <w:r w:rsidRPr="001D7812" w:rsidR="0018769C">
        <w:rPr>
          <w:rFonts w:cs="Times New Roman"/>
          <w:szCs w:val="24"/>
        </w:rPr>
        <w:t xml:space="preserve">, </w:t>
      </w:r>
      <w:r w:rsidRPr="001D7812" w:rsidR="003F14F3">
        <w:rPr>
          <w:rFonts w:cs="Times New Roman"/>
          <w:szCs w:val="24"/>
        </w:rPr>
        <w:t xml:space="preserve">along with </w:t>
      </w:r>
      <w:r w:rsidRPr="001D7812" w:rsidR="0018769C">
        <w:rPr>
          <w:rFonts w:cs="Times New Roman"/>
          <w:szCs w:val="24"/>
        </w:rPr>
        <w:t>OMAEG and NOAC</w:t>
      </w:r>
      <w:r w:rsidRPr="001D7812" w:rsidR="003F14F3">
        <w:rPr>
          <w:rFonts w:cs="Times New Roman"/>
          <w:szCs w:val="24"/>
        </w:rPr>
        <w:t>,</w:t>
      </w:r>
      <w:r w:rsidRPr="001D7812" w:rsidR="00D17ECB">
        <w:rPr>
          <w:rFonts w:cs="Times New Roman"/>
          <w:szCs w:val="24"/>
        </w:rPr>
        <w:t xml:space="preserve"> moved for a limited stay of FirstEnergy</w:t>
      </w:r>
      <w:r w:rsidR="009F1383">
        <w:rPr>
          <w:rFonts w:cs="Times New Roman"/>
          <w:szCs w:val="24"/>
        </w:rPr>
        <w:t>’</w:t>
      </w:r>
      <w:r w:rsidRPr="001D7812" w:rsidR="00D17ECB">
        <w:rPr>
          <w:rFonts w:cs="Times New Roman"/>
          <w:szCs w:val="24"/>
        </w:rPr>
        <w:t xml:space="preserve">s ESP V Application as it pertains solely to one distribution rider, </w:t>
      </w:r>
      <w:r w:rsidRPr="001D7812" w:rsidR="003F14F3">
        <w:rPr>
          <w:rFonts w:cs="Times New Roman"/>
          <w:szCs w:val="24"/>
        </w:rPr>
        <w:t>the Delivery Capital Recovery Rider (</w:t>
      </w:r>
      <w:r w:rsidR="009F1383">
        <w:rPr>
          <w:rFonts w:cs="Times New Roman"/>
          <w:szCs w:val="24"/>
        </w:rPr>
        <w:t>“</w:t>
      </w:r>
      <w:r w:rsidRPr="001D7812" w:rsidR="00D17ECB">
        <w:rPr>
          <w:rFonts w:cs="Times New Roman"/>
          <w:szCs w:val="24"/>
        </w:rPr>
        <w:t>DCR</w:t>
      </w:r>
      <w:r w:rsidR="009F1383">
        <w:rPr>
          <w:rFonts w:cs="Times New Roman"/>
          <w:szCs w:val="24"/>
        </w:rPr>
        <w:t>”</w:t>
      </w:r>
      <w:r w:rsidRPr="001D7812" w:rsidR="003F14F3">
        <w:rPr>
          <w:rFonts w:cs="Times New Roman"/>
          <w:szCs w:val="24"/>
        </w:rPr>
        <w:t>)</w:t>
      </w:r>
      <w:r w:rsidRPr="001D7812" w:rsidR="00AA116A">
        <w:rPr>
          <w:rFonts w:cs="Times New Roman"/>
          <w:szCs w:val="24"/>
        </w:rPr>
        <w:t>.</w:t>
      </w:r>
      <w:r>
        <w:rPr>
          <w:rStyle w:val="FootnoteReference"/>
          <w:rFonts w:cs="Times New Roman"/>
          <w:szCs w:val="24"/>
        </w:rPr>
        <w:footnoteReference w:id="13"/>
      </w:r>
      <w:r w:rsidRPr="001D7812" w:rsidR="00CE2F18">
        <w:rPr>
          <w:rFonts w:cs="Times New Roman"/>
          <w:szCs w:val="24"/>
        </w:rPr>
        <w:t xml:space="preserve"> </w:t>
      </w:r>
      <w:r w:rsidRPr="001D7812" w:rsidR="00AA116A">
        <w:rPr>
          <w:rFonts w:cs="Times New Roman"/>
          <w:szCs w:val="24"/>
        </w:rPr>
        <w:t>T</w:t>
      </w:r>
      <w:r w:rsidRPr="001D7812" w:rsidR="00B93A20">
        <w:rPr>
          <w:rFonts w:cs="Times New Roman"/>
          <w:szCs w:val="24"/>
        </w:rPr>
        <w:t>he Ohio Energy Group (</w:t>
      </w:r>
      <w:r w:rsidR="009F1383">
        <w:rPr>
          <w:rFonts w:cs="Times New Roman"/>
          <w:szCs w:val="24"/>
        </w:rPr>
        <w:t>“</w:t>
      </w:r>
      <w:r w:rsidRPr="001D7812" w:rsidR="00B93A20">
        <w:rPr>
          <w:rFonts w:cs="Times New Roman"/>
          <w:szCs w:val="24"/>
        </w:rPr>
        <w:t>OEG</w:t>
      </w:r>
      <w:r w:rsidR="009F1383">
        <w:rPr>
          <w:rFonts w:cs="Times New Roman"/>
          <w:szCs w:val="24"/>
        </w:rPr>
        <w:t>”</w:t>
      </w:r>
      <w:r w:rsidRPr="001D7812" w:rsidR="00B93A20">
        <w:rPr>
          <w:rFonts w:cs="Times New Roman"/>
          <w:szCs w:val="24"/>
        </w:rPr>
        <w:t>)</w:t>
      </w:r>
      <w:r>
        <w:rPr>
          <w:rStyle w:val="FootnoteReference"/>
          <w:rFonts w:cs="Times New Roman"/>
          <w:szCs w:val="24"/>
        </w:rPr>
        <w:footnoteReference w:id="14"/>
      </w:r>
      <w:r w:rsidRPr="001D7812" w:rsidR="00B93A20">
        <w:rPr>
          <w:rFonts w:cs="Times New Roman"/>
          <w:szCs w:val="24"/>
        </w:rPr>
        <w:t xml:space="preserve"> </w:t>
      </w:r>
      <w:r w:rsidRPr="001D7812" w:rsidR="00AA116A">
        <w:rPr>
          <w:rFonts w:cs="Times New Roman"/>
          <w:szCs w:val="24"/>
        </w:rPr>
        <w:t>and FirstEnergy</w:t>
      </w:r>
      <w:r>
        <w:rPr>
          <w:rStyle w:val="FootnoteReference"/>
          <w:rFonts w:cs="Times New Roman"/>
          <w:szCs w:val="24"/>
        </w:rPr>
        <w:footnoteReference w:id="15"/>
      </w:r>
      <w:r w:rsidRPr="001D7812" w:rsidR="00AA116A">
        <w:rPr>
          <w:rFonts w:cs="Times New Roman"/>
          <w:szCs w:val="24"/>
        </w:rPr>
        <w:t xml:space="preserve"> </w:t>
      </w:r>
      <w:r w:rsidRPr="001D7812" w:rsidR="00C22EFA">
        <w:rPr>
          <w:rFonts w:cs="Times New Roman"/>
          <w:szCs w:val="24"/>
        </w:rPr>
        <w:t>filed</w:t>
      </w:r>
      <w:r w:rsidRPr="001D7812" w:rsidR="00BD006C">
        <w:rPr>
          <w:rFonts w:cs="Times New Roman"/>
          <w:szCs w:val="24"/>
        </w:rPr>
        <w:t xml:space="preserve"> </w:t>
      </w:r>
      <w:r w:rsidRPr="001D7812" w:rsidR="00B93A20">
        <w:rPr>
          <w:rFonts w:cs="Times New Roman"/>
          <w:szCs w:val="24"/>
        </w:rPr>
        <w:t>memoranda</w:t>
      </w:r>
      <w:r w:rsidRPr="001D7812" w:rsidR="00C22EFA">
        <w:rPr>
          <w:rFonts w:cs="Times New Roman"/>
          <w:szCs w:val="24"/>
        </w:rPr>
        <w:t xml:space="preserve"> in opposition to the stay</w:t>
      </w:r>
      <w:r w:rsidRPr="001D7812" w:rsidR="0018769C">
        <w:rPr>
          <w:rFonts w:cs="Times New Roman"/>
          <w:szCs w:val="24"/>
        </w:rPr>
        <w:t xml:space="preserve">. </w:t>
      </w:r>
      <w:r w:rsidRPr="001D7812" w:rsidR="00B91BDA">
        <w:rPr>
          <w:rFonts w:cs="Times New Roman"/>
          <w:szCs w:val="24"/>
        </w:rPr>
        <w:t>OCC</w:t>
      </w:r>
      <w:r w:rsidRPr="001D7812" w:rsidR="0018769C">
        <w:rPr>
          <w:rFonts w:cs="Times New Roman"/>
          <w:szCs w:val="24"/>
        </w:rPr>
        <w:t>, OMAEG and NOAC</w:t>
      </w:r>
      <w:r w:rsidRPr="001D7812" w:rsidR="00B91BDA">
        <w:rPr>
          <w:rFonts w:cs="Times New Roman"/>
          <w:szCs w:val="24"/>
        </w:rPr>
        <w:t xml:space="preserve"> re</w:t>
      </w:r>
      <w:r w:rsidRPr="001D7812" w:rsidR="0018769C">
        <w:rPr>
          <w:rFonts w:cs="Times New Roman"/>
          <w:szCs w:val="24"/>
        </w:rPr>
        <w:t>plied</w:t>
      </w:r>
      <w:r w:rsidRPr="001D7812" w:rsidR="00B91BDA">
        <w:rPr>
          <w:rFonts w:cs="Times New Roman"/>
          <w:szCs w:val="24"/>
        </w:rPr>
        <w:t xml:space="preserve"> to </w:t>
      </w:r>
      <w:r w:rsidRPr="001D7812" w:rsidR="00AF3F3D">
        <w:rPr>
          <w:rFonts w:cs="Times New Roman"/>
          <w:szCs w:val="24"/>
        </w:rPr>
        <w:t>both memoranda</w:t>
      </w:r>
      <w:r w:rsidRPr="001D7812" w:rsidR="00D056FB">
        <w:rPr>
          <w:rFonts w:cs="Times New Roman"/>
          <w:szCs w:val="24"/>
        </w:rPr>
        <w:t>.</w:t>
      </w:r>
      <w:r>
        <w:rPr>
          <w:rStyle w:val="FootnoteReference"/>
          <w:rFonts w:cs="Times New Roman"/>
          <w:szCs w:val="24"/>
        </w:rPr>
        <w:footnoteReference w:id="16"/>
      </w:r>
      <w:r w:rsidRPr="001D7812" w:rsidR="00617D94">
        <w:rPr>
          <w:rFonts w:cs="Times New Roman"/>
          <w:szCs w:val="24"/>
        </w:rPr>
        <w:t xml:space="preserve"> </w:t>
      </w:r>
    </w:p>
    <w:p w:rsidR="00023138" w:rsidRPr="001D7812" w:rsidP="00E615DA" w14:paraId="26980AE8" w14:textId="4F0B688D">
      <w:pPr>
        <w:autoSpaceDE w:val="0"/>
        <w:autoSpaceDN w:val="0"/>
        <w:adjustRightInd w:val="0"/>
        <w:spacing w:line="480" w:lineRule="auto"/>
        <w:ind w:firstLine="720"/>
        <w:rPr>
          <w:rFonts w:cs="Times New Roman"/>
          <w:b/>
          <w:bCs/>
          <w:szCs w:val="24"/>
        </w:rPr>
      </w:pPr>
      <w:r w:rsidRPr="001D7812">
        <w:rPr>
          <w:rFonts w:cs="Times New Roman"/>
          <w:szCs w:val="24"/>
        </w:rPr>
        <w:t>The stay would still allow</w:t>
      </w:r>
      <w:r w:rsidRPr="001D7812" w:rsidR="00D17ECB">
        <w:rPr>
          <w:rFonts w:cs="Times New Roman"/>
          <w:szCs w:val="24"/>
        </w:rPr>
        <w:t xml:space="preserve"> PUCO </w:t>
      </w:r>
      <w:r w:rsidRPr="001D7812">
        <w:rPr>
          <w:rFonts w:cs="Times New Roman"/>
          <w:szCs w:val="24"/>
        </w:rPr>
        <w:t>to</w:t>
      </w:r>
      <w:r w:rsidRPr="001D7812" w:rsidR="00D17ECB">
        <w:rPr>
          <w:rFonts w:cs="Times New Roman"/>
          <w:szCs w:val="24"/>
        </w:rPr>
        <w:t xml:space="preserve"> consider all other aspects of FirstEnergy</w:t>
      </w:r>
      <w:r w:rsidR="009F1383">
        <w:rPr>
          <w:rFonts w:cs="Times New Roman"/>
          <w:szCs w:val="24"/>
        </w:rPr>
        <w:t>’</w:t>
      </w:r>
      <w:r w:rsidRPr="001D7812" w:rsidR="00D17ECB">
        <w:rPr>
          <w:rFonts w:cs="Times New Roman"/>
          <w:szCs w:val="24"/>
        </w:rPr>
        <w:t>s ESP V</w:t>
      </w:r>
      <w:r w:rsidRPr="001D7812">
        <w:rPr>
          <w:rFonts w:cs="Times New Roman"/>
          <w:szCs w:val="24"/>
        </w:rPr>
        <w:t xml:space="preserve"> while considering the </w:t>
      </w:r>
      <w:r w:rsidRPr="001D7812" w:rsidR="00D17ECB">
        <w:rPr>
          <w:rFonts w:cs="Times New Roman"/>
          <w:szCs w:val="24"/>
        </w:rPr>
        <w:t>need for additional distribution revenues through Rider DCR in its upcoming rate case proceeding.</w:t>
      </w:r>
      <w:r>
        <w:rPr>
          <w:rStyle w:val="FootnoteReference"/>
          <w:rFonts w:cs="Times New Roman"/>
          <w:szCs w:val="24"/>
        </w:rPr>
        <w:footnoteReference w:id="17"/>
      </w:r>
      <w:r w:rsidRPr="001D7812" w:rsidR="00D17ECB">
        <w:rPr>
          <w:rFonts w:cs="Times New Roman"/>
          <w:szCs w:val="24"/>
        </w:rPr>
        <w:t xml:space="preserve"> Importantly, the record of FirstEnergy</w:t>
      </w:r>
      <w:r w:rsidR="009F1383">
        <w:rPr>
          <w:rFonts w:cs="Times New Roman"/>
          <w:szCs w:val="24"/>
        </w:rPr>
        <w:t>’</w:t>
      </w:r>
      <w:r w:rsidRPr="001D7812" w:rsidR="00D17ECB">
        <w:rPr>
          <w:rFonts w:cs="Times New Roman"/>
          <w:szCs w:val="24"/>
        </w:rPr>
        <w:t>s distribution rate case would remain open to allow for evidence produced under the four FirstEnergy investigations to be added and addressed by all parties</w:t>
      </w:r>
      <w:r w:rsidRPr="001D7812" w:rsidR="00F277D1">
        <w:rPr>
          <w:rFonts w:cs="Times New Roman"/>
          <w:szCs w:val="24"/>
        </w:rPr>
        <w:t>.</w:t>
      </w:r>
      <w:r>
        <w:rPr>
          <w:rStyle w:val="FootnoteReference"/>
          <w:rFonts w:cs="Times New Roman"/>
          <w:szCs w:val="24"/>
        </w:rPr>
        <w:footnoteReference w:id="18"/>
      </w:r>
    </w:p>
    <w:p w:rsidR="00226519" w:rsidRPr="001D7812" w:rsidP="008F47AE" w14:paraId="671F4E84" w14:textId="1A19B856">
      <w:pPr>
        <w:autoSpaceDE w:val="0"/>
        <w:autoSpaceDN w:val="0"/>
        <w:adjustRightInd w:val="0"/>
        <w:spacing w:line="480" w:lineRule="auto"/>
        <w:ind w:firstLine="720"/>
        <w:rPr>
          <w:rFonts w:cs="Times New Roman"/>
          <w:szCs w:val="24"/>
        </w:rPr>
      </w:pPr>
      <w:r w:rsidRPr="001D7812">
        <w:rPr>
          <w:rFonts w:cs="Times New Roman"/>
          <w:szCs w:val="24"/>
        </w:rPr>
        <w:t>T</w:t>
      </w:r>
      <w:r w:rsidRPr="001D7812" w:rsidR="00D17ECB">
        <w:rPr>
          <w:rFonts w:cs="Times New Roman"/>
          <w:szCs w:val="24"/>
        </w:rPr>
        <w:t xml:space="preserve">he new indictment and allegation of criminal behavior </w:t>
      </w:r>
      <w:r w:rsidRPr="001D7812">
        <w:rPr>
          <w:rFonts w:cs="Times New Roman"/>
          <w:szCs w:val="24"/>
        </w:rPr>
        <w:t xml:space="preserve">by </w:t>
      </w:r>
      <w:r w:rsidRPr="001D7812" w:rsidR="003F14F3">
        <w:rPr>
          <w:rFonts w:cs="Times New Roman"/>
          <w:szCs w:val="24"/>
        </w:rPr>
        <w:t xml:space="preserve">former PUCO Chair </w:t>
      </w:r>
      <w:r w:rsidRPr="001D7812">
        <w:rPr>
          <w:rFonts w:cs="Times New Roman"/>
          <w:szCs w:val="24"/>
        </w:rPr>
        <w:t xml:space="preserve">Randazzo </w:t>
      </w:r>
      <w:r w:rsidRPr="001D7812" w:rsidR="00D17ECB">
        <w:rPr>
          <w:rFonts w:cs="Times New Roman"/>
          <w:szCs w:val="24"/>
        </w:rPr>
        <w:t xml:space="preserve">have </w:t>
      </w:r>
      <w:r w:rsidRPr="001D7812">
        <w:rPr>
          <w:rFonts w:cs="Times New Roman"/>
          <w:szCs w:val="24"/>
        </w:rPr>
        <w:t>again</w:t>
      </w:r>
      <w:r w:rsidRPr="001D7812" w:rsidR="00D17ECB">
        <w:rPr>
          <w:rFonts w:cs="Times New Roman"/>
          <w:szCs w:val="24"/>
        </w:rPr>
        <w:t xml:space="preserve"> been tied to </w:t>
      </w:r>
      <w:r w:rsidRPr="001D7812">
        <w:rPr>
          <w:rFonts w:cs="Times New Roman"/>
          <w:szCs w:val="24"/>
        </w:rPr>
        <w:t>FirstEnergy</w:t>
      </w:r>
      <w:r w:rsidR="009F1383">
        <w:rPr>
          <w:rFonts w:cs="Times New Roman"/>
          <w:szCs w:val="24"/>
        </w:rPr>
        <w:t>’</w:t>
      </w:r>
      <w:r w:rsidRPr="001D7812">
        <w:rPr>
          <w:rFonts w:cs="Times New Roman"/>
          <w:szCs w:val="24"/>
        </w:rPr>
        <w:t>s</w:t>
      </w:r>
      <w:r w:rsidRPr="001D7812" w:rsidR="00D17ECB">
        <w:rPr>
          <w:rFonts w:cs="Times New Roman"/>
          <w:szCs w:val="24"/>
        </w:rPr>
        <w:t xml:space="preserve"> scheme, which </w:t>
      </w:r>
      <w:r w:rsidRPr="001D7812">
        <w:rPr>
          <w:rFonts w:cs="Times New Roman"/>
          <w:szCs w:val="24"/>
        </w:rPr>
        <w:t>apparently are</w:t>
      </w:r>
      <w:r w:rsidRPr="001D7812" w:rsidR="00D17ECB">
        <w:rPr>
          <w:rFonts w:cs="Times New Roman"/>
          <w:szCs w:val="24"/>
        </w:rPr>
        <w:t xml:space="preserve"> related to </w:t>
      </w:r>
      <w:r w:rsidR="009F1383">
        <w:rPr>
          <w:rFonts w:cs="Times New Roman"/>
          <w:szCs w:val="24"/>
        </w:rPr>
        <w:t>“</w:t>
      </w:r>
      <w:r w:rsidRPr="001D7812" w:rsidR="00D17ECB">
        <w:rPr>
          <w:rFonts w:cs="Times New Roman"/>
          <w:szCs w:val="24"/>
        </w:rPr>
        <w:t>settlement payments</w:t>
      </w:r>
      <w:r w:rsidR="009F1383">
        <w:rPr>
          <w:rFonts w:cs="Times New Roman"/>
          <w:szCs w:val="24"/>
        </w:rPr>
        <w:t>”</w:t>
      </w:r>
      <w:r w:rsidRPr="001D7812" w:rsidR="00D17ECB">
        <w:rPr>
          <w:rFonts w:cs="Times New Roman"/>
          <w:szCs w:val="24"/>
        </w:rPr>
        <w:t xml:space="preserve"> received in conjunction with FirstEnergy</w:t>
      </w:r>
      <w:r w:rsidR="009F1383">
        <w:rPr>
          <w:rFonts w:cs="Times New Roman"/>
          <w:szCs w:val="24"/>
        </w:rPr>
        <w:t>’</w:t>
      </w:r>
      <w:r w:rsidRPr="001D7812" w:rsidR="00D17ECB">
        <w:rPr>
          <w:rFonts w:cs="Times New Roman"/>
          <w:szCs w:val="24"/>
        </w:rPr>
        <w:t>s ESP proceeding pending before the PUCO in 2010.</w:t>
      </w:r>
      <w:r>
        <w:rPr>
          <w:rStyle w:val="FootnoteReference"/>
          <w:rFonts w:cs="Times New Roman"/>
          <w:szCs w:val="24"/>
        </w:rPr>
        <w:footnoteReference w:id="19"/>
      </w:r>
      <w:r w:rsidRPr="001D7812" w:rsidR="00585D50">
        <w:rPr>
          <w:rFonts w:cs="Times New Roman"/>
          <w:szCs w:val="24"/>
        </w:rPr>
        <w:t xml:space="preserve"> </w:t>
      </w:r>
      <w:r w:rsidRPr="001D7812" w:rsidR="00FF2E04">
        <w:rPr>
          <w:rFonts w:cs="Times New Roman"/>
          <w:szCs w:val="24"/>
        </w:rPr>
        <w:t>In the</w:t>
      </w:r>
      <w:r w:rsidRPr="001D7812">
        <w:rPr>
          <w:rFonts w:cs="Times New Roman"/>
          <w:szCs w:val="24"/>
        </w:rPr>
        <w:t xml:space="preserve"> H.B. 6</w:t>
      </w:r>
      <w:r w:rsidRPr="001D7812" w:rsidR="00FF2E04">
        <w:rPr>
          <w:rFonts w:cs="Times New Roman"/>
          <w:szCs w:val="24"/>
        </w:rPr>
        <w:t xml:space="preserve"> cases,</w:t>
      </w:r>
      <w:r w:rsidRPr="001D7812" w:rsidR="0097431B">
        <w:rPr>
          <w:rFonts w:cs="Times New Roman"/>
          <w:szCs w:val="24"/>
        </w:rPr>
        <w:t xml:space="preserve"> </w:t>
      </w:r>
      <w:r w:rsidRPr="001D7812">
        <w:rPr>
          <w:rFonts w:cs="Times New Roman"/>
          <w:szCs w:val="24"/>
        </w:rPr>
        <w:t xml:space="preserve">the PUCO relied on </w:t>
      </w:r>
      <w:r w:rsidRPr="001D7812">
        <w:rPr>
          <w:rFonts w:cs="Times New Roman"/>
          <w:i/>
          <w:iCs/>
          <w:szCs w:val="24"/>
        </w:rPr>
        <w:t>F.T.C. v. E.M.A. Nationwide, Inc</w:t>
      </w:r>
      <w:r w:rsidRPr="001D7812">
        <w:rPr>
          <w:rFonts w:cs="Times New Roman"/>
          <w:szCs w:val="24"/>
        </w:rPr>
        <w:t>.</w:t>
      </w:r>
      <w:r>
        <w:rPr>
          <w:rStyle w:val="FootnoteReference"/>
          <w:rFonts w:cs="Times New Roman"/>
          <w:szCs w:val="24"/>
        </w:rPr>
        <w:footnoteReference w:id="20"/>
      </w:r>
      <w:r w:rsidRPr="001D7812">
        <w:rPr>
          <w:rFonts w:cs="Times New Roman"/>
          <w:szCs w:val="24"/>
        </w:rPr>
        <w:t xml:space="preserve"> and related cases, which use a balancing test to decide whether a civil case should be stayed due to a related criminal proceeding.</w:t>
      </w:r>
      <w:r>
        <w:rPr>
          <w:rStyle w:val="FootnoteReference"/>
          <w:rFonts w:cs="Times New Roman"/>
          <w:szCs w:val="24"/>
        </w:rPr>
        <w:footnoteReference w:id="21"/>
      </w:r>
      <w:r w:rsidRPr="001D7812" w:rsidR="00CE2F18">
        <w:rPr>
          <w:rFonts w:cs="Times New Roman"/>
          <w:szCs w:val="24"/>
        </w:rPr>
        <w:t xml:space="preserve"> </w:t>
      </w:r>
      <w:r w:rsidRPr="001D7812">
        <w:rPr>
          <w:rFonts w:cs="Times New Roman"/>
          <w:szCs w:val="24"/>
        </w:rPr>
        <w:t xml:space="preserve">The same balancing test which the PUCO applied when issuing its initial Stay Entry in the H.B. 6 cases supports the </w:t>
      </w:r>
      <w:r w:rsidRPr="001D7812" w:rsidR="00324ED9">
        <w:rPr>
          <w:rFonts w:cs="Times New Roman"/>
          <w:szCs w:val="24"/>
        </w:rPr>
        <w:t>M</w:t>
      </w:r>
      <w:r w:rsidRPr="001D7812">
        <w:rPr>
          <w:rFonts w:cs="Times New Roman"/>
          <w:szCs w:val="24"/>
        </w:rPr>
        <w:t xml:space="preserve">otion for </w:t>
      </w:r>
      <w:r w:rsidRPr="001D7812" w:rsidR="00324ED9">
        <w:rPr>
          <w:rFonts w:cs="Times New Roman"/>
          <w:szCs w:val="24"/>
        </w:rPr>
        <w:t>L</w:t>
      </w:r>
      <w:r w:rsidRPr="001D7812">
        <w:rPr>
          <w:rFonts w:cs="Times New Roman"/>
          <w:szCs w:val="24"/>
        </w:rPr>
        <w:t xml:space="preserve">imited </w:t>
      </w:r>
      <w:r w:rsidRPr="001D7812" w:rsidR="00324ED9">
        <w:rPr>
          <w:rFonts w:cs="Times New Roman"/>
          <w:szCs w:val="24"/>
        </w:rPr>
        <w:t>S</w:t>
      </w:r>
      <w:r w:rsidRPr="001D7812">
        <w:rPr>
          <w:rFonts w:cs="Times New Roman"/>
          <w:szCs w:val="24"/>
        </w:rPr>
        <w:t>tay</w:t>
      </w:r>
      <w:r w:rsidRPr="001D7812" w:rsidR="00324ED9">
        <w:rPr>
          <w:rFonts w:cs="Times New Roman"/>
          <w:szCs w:val="24"/>
        </w:rPr>
        <w:t xml:space="preserve"> in the present case.</w:t>
      </w:r>
    </w:p>
    <w:p w:rsidR="00CB249A" w:rsidRPr="001D7812" w:rsidP="00106324" w14:paraId="488CA6D1" w14:textId="0328D5DD">
      <w:pPr>
        <w:tabs>
          <w:tab w:val="right" w:pos="8640"/>
        </w:tabs>
        <w:kinsoku w:val="0"/>
        <w:overflowPunct w:val="0"/>
        <w:autoSpaceDE w:val="0"/>
        <w:autoSpaceDN w:val="0"/>
        <w:adjustRightInd w:val="0"/>
        <w:spacing w:line="480" w:lineRule="auto"/>
        <w:ind w:firstLine="720"/>
        <w:rPr>
          <w:rFonts w:cs="Times New Roman"/>
          <w:szCs w:val="24"/>
        </w:rPr>
      </w:pPr>
      <w:r w:rsidRPr="001D7812">
        <w:rPr>
          <w:rFonts w:cs="Times New Roman"/>
          <w:szCs w:val="24"/>
        </w:rPr>
        <w:t>The PUCO should protect customers by determining whether harm has been perpetrated on them by FirstEnergy and Randazzo through their criminal activities,</w:t>
      </w:r>
      <w:r>
        <w:rPr>
          <w:rStyle w:val="FootnoteReference"/>
          <w:rFonts w:cs="Times New Roman"/>
          <w:szCs w:val="24"/>
        </w:rPr>
        <w:footnoteReference w:id="22"/>
      </w:r>
      <w:r w:rsidRPr="001D7812">
        <w:rPr>
          <w:rFonts w:cs="Times New Roman"/>
          <w:szCs w:val="24"/>
        </w:rPr>
        <w:t xml:space="preserve"> and assure that FirstEnergy consumers are only being charged just and reasonable rates through Rider DCR and ESP V.</w:t>
      </w:r>
      <w:r>
        <w:rPr>
          <w:rStyle w:val="FootnoteReference"/>
          <w:rFonts w:cs="Times New Roman"/>
          <w:szCs w:val="24"/>
        </w:rPr>
        <w:footnoteReference w:id="23"/>
      </w:r>
      <w:r w:rsidRPr="001D7812">
        <w:rPr>
          <w:rFonts w:cs="Times New Roman"/>
          <w:szCs w:val="24"/>
        </w:rPr>
        <w:t xml:space="preserve"> Considering and continuing Rider DCR in the ESP V proceeding is inefficient and prejudicial to consumers</w:t>
      </w:r>
      <w:r>
        <w:rPr>
          <w:rStyle w:val="FootnoteReference"/>
          <w:rFonts w:cs="Times New Roman"/>
          <w:szCs w:val="24"/>
        </w:rPr>
        <w:footnoteReference w:id="24"/>
      </w:r>
      <w:r w:rsidRPr="001D7812">
        <w:rPr>
          <w:rFonts w:cs="Times New Roman"/>
          <w:szCs w:val="24"/>
        </w:rPr>
        <w:t xml:space="preserve"> so the PUCO should ensure fairness in the PUCO</w:t>
      </w:r>
      <w:r w:rsidR="009F1383">
        <w:rPr>
          <w:rFonts w:cs="Times New Roman"/>
          <w:szCs w:val="24"/>
        </w:rPr>
        <w:t>’</w:t>
      </w:r>
      <w:r w:rsidRPr="001D7812">
        <w:rPr>
          <w:rFonts w:cs="Times New Roman"/>
          <w:szCs w:val="24"/>
        </w:rPr>
        <w:t>s regulation by granting the limited stay.</w:t>
      </w:r>
    </w:p>
    <w:p w:rsidR="00CB249A" w:rsidRPr="001D7812" w14:paraId="7D20FB29" w14:textId="77777777">
      <w:pPr>
        <w:spacing w:after="200" w:line="276" w:lineRule="auto"/>
        <w:rPr>
          <w:rFonts w:cs="Times New Roman"/>
          <w:szCs w:val="24"/>
        </w:rPr>
      </w:pPr>
      <w:r w:rsidRPr="001D7812">
        <w:rPr>
          <w:rFonts w:cs="Times New Roman"/>
          <w:szCs w:val="24"/>
        </w:rPr>
        <w:br w:type="page"/>
      </w:r>
    </w:p>
    <w:p w:rsidR="007477E2" w:rsidRPr="001D7812" w:rsidP="005B7251" w14:paraId="0F41A771" w14:textId="53D76C7F">
      <w:pPr>
        <w:pStyle w:val="Heading2"/>
      </w:pPr>
      <w:bookmarkStart w:id="7" w:name="_Toc156567921"/>
      <w:r w:rsidRPr="001D7812">
        <w:t xml:space="preserve">B. </w:t>
      </w:r>
      <w:r w:rsidRPr="001D7812">
        <w:tab/>
        <w:t>FirstEnergy</w:t>
      </w:r>
      <w:r w:rsidR="009F1383">
        <w:t>’</w:t>
      </w:r>
      <w:r w:rsidRPr="001D7812">
        <w:t>s proposal to implement ESP V for eight years is unjust and unreasonable and would harm consumers.</w:t>
      </w:r>
      <w:r w:rsidRPr="001D7812" w:rsidR="00CE2F18">
        <w:t xml:space="preserve"> </w:t>
      </w:r>
      <w:r w:rsidRPr="001D7812">
        <w:t>An eight-year length is inconsistent with PUCO precedent for recent electric security plans for other utilities.</w:t>
      </w:r>
      <w:r w:rsidRPr="001D7812" w:rsidR="00CE2F18">
        <w:t xml:space="preserve"> </w:t>
      </w:r>
      <w:r w:rsidRPr="001D7812">
        <w:t>If the PUCO approves an electric security plan, the duration should be limited to no longer than four years and FirstEnergy should be required to file a new base distribution rate case at the end of that term.</w:t>
      </w:r>
      <w:bookmarkEnd w:id="7"/>
    </w:p>
    <w:p w:rsidR="007477E2" w:rsidRPr="001D7812" w:rsidP="007477E2" w14:paraId="64C151F2" w14:textId="096380E5">
      <w:pPr>
        <w:spacing w:line="480" w:lineRule="auto"/>
        <w:rPr>
          <w:rFonts w:cs="Times New Roman"/>
          <w:szCs w:val="24"/>
        </w:rPr>
      </w:pPr>
      <w:r w:rsidRPr="001D7812">
        <w:rPr>
          <w:rFonts w:cs="Times New Roman"/>
          <w:szCs w:val="24"/>
        </w:rPr>
        <w:tab/>
        <w:t>FirstEnergy proposes to implement ESP V for eight years.</w:t>
      </w:r>
      <w:r>
        <w:rPr>
          <w:rStyle w:val="FootnoteReference"/>
          <w:rFonts w:cs="Times New Roman"/>
          <w:szCs w:val="24"/>
        </w:rPr>
        <w:footnoteReference w:id="25"/>
      </w:r>
      <w:r w:rsidRPr="001D7812" w:rsidR="00CE2F18">
        <w:rPr>
          <w:rFonts w:cs="Times New Roman"/>
          <w:szCs w:val="24"/>
        </w:rPr>
        <w:t xml:space="preserve"> </w:t>
      </w:r>
      <w:r w:rsidRPr="001D7812">
        <w:rPr>
          <w:rFonts w:cs="Times New Roman"/>
          <w:szCs w:val="24"/>
        </w:rPr>
        <w:t>An eight-year duration would be unjust and unreasonable because FirstEnergy</w:t>
      </w:r>
      <w:r w:rsidR="009F1383">
        <w:rPr>
          <w:rFonts w:cs="Times New Roman"/>
          <w:szCs w:val="24"/>
        </w:rPr>
        <w:t>’</w:t>
      </w:r>
      <w:r w:rsidRPr="001D7812">
        <w:rPr>
          <w:rFonts w:cs="Times New Roman"/>
          <w:szCs w:val="24"/>
        </w:rPr>
        <w:t xml:space="preserve">s earnings would be subject to a relaxed </w:t>
      </w:r>
      <w:r w:rsidR="009F1383">
        <w:rPr>
          <w:rFonts w:cs="Times New Roman"/>
          <w:szCs w:val="24"/>
        </w:rPr>
        <w:t>“</w:t>
      </w:r>
      <w:r w:rsidRPr="001D7812">
        <w:rPr>
          <w:rFonts w:cs="Times New Roman"/>
          <w:szCs w:val="24"/>
        </w:rPr>
        <w:t>significantly excessive earnings</w:t>
      </w:r>
      <w:r w:rsidR="009F1383">
        <w:rPr>
          <w:rFonts w:cs="Times New Roman"/>
          <w:szCs w:val="24"/>
        </w:rPr>
        <w:t>”</w:t>
      </w:r>
      <w:r w:rsidRPr="001D7812">
        <w:rPr>
          <w:rFonts w:cs="Times New Roman"/>
          <w:szCs w:val="24"/>
        </w:rPr>
        <w:t xml:space="preserve"> test during this time.</w:t>
      </w:r>
      <w:r w:rsidRPr="001D7812" w:rsidR="00CA0C86">
        <w:rPr>
          <w:rStyle w:val="FootnoteReference"/>
          <w:rFonts w:cs="Times New Roman"/>
          <w:szCs w:val="24"/>
        </w:rPr>
        <w:t xml:space="preserve"> </w:t>
      </w:r>
      <w:r>
        <w:rPr>
          <w:rStyle w:val="FootnoteReference"/>
          <w:rFonts w:cs="Times New Roman"/>
          <w:szCs w:val="24"/>
        </w:rPr>
        <w:footnoteReference w:id="26"/>
      </w:r>
      <w:r w:rsidRPr="001D7812" w:rsidR="00CE2F18">
        <w:rPr>
          <w:rFonts w:cs="Times New Roman"/>
          <w:szCs w:val="24"/>
        </w:rPr>
        <w:t xml:space="preserve"> </w:t>
      </w:r>
      <w:r w:rsidRPr="001D7812">
        <w:rPr>
          <w:rFonts w:cs="Times New Roman"/>
          <w:szCs w:val="24"/>
        </w:rPr>
        <w:t>This is also inconsistent with recent PUCO precedent approving plans of no longer than four years for other electric distribution utilities.</w:t>
      </w:r>
      <w:r w:rsidRPr="001D7812" w:rsidR="00CE2F18">
        <w:rPr>
          <w:rFonts w:cs="Times New Roman"/>
          <w:szCs w:val="24"/>
        </w:rPr>
        <w:t xml:space="preserve"> </w:t>
      </w:r>
      <w:r w:rsidRPr="001D7812">
        <w:rPr>
          <w:rFonts w:cs="Times New Roman"/>
          <w:szCs w:val="24"/>
        </w:rPr>
        <w:t>If the PUCO approves an electric security plan for FirstEnergy, the duration should be limited to no longer than four years.</w:t>
      </w:r>
      <w:r w:rsidRPr="001D7812" w:rsidR="00CE2F18">
        <w:rPr>
          <w:rFonts w:cs="Times New Roman"/>
          <w:szCs w:val="24"/>
        </w:rPr>
        <w:t xml:space="preserve"> </w:t>
      </w:r>
      <w:r w:rsidRPr="001D7812">
        <w:rPr>
          <w:rFonts w:cs="Times New Roman"/>
          <w:szCs w:val="24"/>
        </w:rPr>
        <w:t>FirstEnergy should be required to file a new base distribution rate case at the end of that term.</w:t>
      </w:r>
    </w:p>
    <w:p w:rsidR="007477E2" w:rsidRPr="001D7812" w:rsidP="007477E2" w14:paraId="67719E15" w14:textId="2EC29B88">
      <w:pPr>
        <w:spacing w:line="480" w:lineRule="auto"/>
        <w:rPr>
          <w:rFonts w:eastAsia="Calibri" w:cs="Times New Roman"/>
          <w:color w:val="1A1A1A"/>
          <w:szCs w:val="24"/>
          <w14:ligatures w14:val="standardContextual"/>
        </w:rPr>
      </w:pPr>
      <w:r w:rsidRPr="001D7812">
        <w:rPr>
          <w:rFonts w:cs="Times New Roman"/>
          <w:szCs w:val="24"/>
        </w:rPr>
        <w:tab/>
        <w:t>If no electric security plan were in effect,</w:t>
      </w:r>
      <w:r w:rsidRPr="001D7812" w:rsidR="00CA0C86">
        <w:rPr>
          <w:rFonts w:cs="Times New Roman"/>
          <w:szCs w:val="24"/>
        </w:rPr>
        <w:t xml:space="preserve"> FirstEnergy would be required to request increases in base distribution rates more frequently, which means that</w:t>
      </w:r>
      <w:r w:rsidRPr="001D7812">
        <w:rPr>
          <w:rFonts w:cs="Times New Roman"/>
          <w:szCs w:val="24"/>
        </w:rPr>
        <w:t xml:space="preserve"> FirstEnergy</w:t>
      </w:r>
      <w:r w:rsidR="009F1383">
        <w:rPr>
          <w:rFonts w:cs="Times New Roman"/>
          <w:szCs w:val="24"/>
        </w:rPr>
        <w:t>’</w:t>
      </w:r>
      <w:r w:rsidRPr="001D7812">
        <w:rPr>
          <w:rFonts w:cs="Times New Roman"/>
          <w:szCs w:val="24"/>
        </w:rPr>
        <w:t xml:space="preserve">s earnings would be subject to a more rigorous standard under </w:t>
      </w:r>
      <w:r w:rsidRPr="001D7812">
        <w:rPr>
          <w:rFonts w:eastAsia="Calibri" w:cs="Times New Roman"/>
          <w:i/>
          <w:iCs/>
          <w:szCs w:val="24"/>
          <w14:ligatures w14:val="standardContextual"/>
        </w:rPr>
        <w:t>Bluefield Water Works v. Public Service Comm</w:t>
      </w:r>
      <w:r w:rsidR="009F1383">
        <w:rPr>
          <w:rFonts w:eastAsia="Calibri" w:cs="Times New Roman"/>
          <w:i/>
          <w:iCs/>
          <w:szCs w:val="24"/>
          <w14:ligatures w14:val="standardContextual"/>
        </w:rPr>
        <w:t>’</w:t>
      </w:r>
      <w:r w:rsidRPr="001D7812">
        <w:rPr>
          <w:rFonts w:eastAsia="Calibri" w:cs="Times New Roman"/>
          <w:i/>
          <w:iCs/>
          <w:szCs w:val="24"/>
          <w14:ligatures w14:val="standardContextual"/>
        </w:rPr>
        <w:t>n</w:t>
      </w:r>
      <w:r w:rsidRPr="001D7812">
        <w:rPr>
          <w:rFonts w:eastAsia="Calibri" w:cs="Times New Roman"/>
          <w:szCs w:val="24"/>
          <w14:ligatures w14:val="standardContextual"/>
        </w:rPr>
        <w:t>, 262 U.S. 679 (1923</w:t>
      </w:r>
      <w:r w:rsidRPr="001D7812">
        <w:rPr>
          <w:rFonts w:eastAsia="Calibri" w:cs="Times New Roman"/>
          <w:color w:val="1A1A1A"/>
          <w:szCs w:val="24"/>
          <w14:ligatures w14:val="standardContextual"/>
        </w:rPr>
        <w:t>) (</w:t>
      </w:r>
      <w:r w:rsidR="009F1383">
        <w:rPr>
          <w:rFonts w:eastAsia="Calibri" w:cs="Times New Roman"/>
          <w:color w:val="1A1A1A"/>
          <w:szCs w:val="24"/>
          <w14:ligatures w14:val="standardContextual"/>
        </w:rPr>
        <w:t>“</w:t>
      </w:r>
      <w:r w:rsidRPr="001D7812">
        <w:rPr>
          <w:rFonts w:eastAsia="Calibri" w:cs="Times New Roman"/>
          <w:color w:val="1A1A1A"/>
          <w:szCs w:val="24"/>
          <w14:ligatures w14:val="standardContextual"/>
        </w:rPr>
        <w:t>Bluefield</w:t>
      </w:r>
      <w:r w:rsidR="009F1383">
        <w:rPr>
          <w:rFonts w:eastAsia="Calibri" w:cs="Times New Roman"/>
          <w:color w:val="1A1A1A"/>
          <w:szCs w:val="24"/>
          <w14:ligatures w14:val="standardContextual"/>
        </w:rPr>
        <w:t>”</w:t>
      </w:r>
      <w:r w:rsidRPr="001D7812">
        <w:rPr>
          <w:rFonts w:eastAsia="Calibri" w:cs="Times New Roman"/>
          <w:color w:val="1A1A1A"/>
          <w:szCs w:val="24"/>
          <w14:ligatures w14:val="standardContextual"/>
        </w:rPr>
        <w:t xml:space="preserve">) and </w:t>
      </w:r>
      <w:r w:rsidRPr="001D7812">
        <w:rPr>
          <w:rFonts w:eastAsia="Calibri" w:cs="Times New Roman"/>
          <w:i/>
          <w:iCs/>
          <w:color w:val="1A1A1A"/>
          <w:szCs w:val="24"/>
          <w14:ligatures w14:val="standardContextual"/>
        </w:rPr>
        <w:t>FPC v. Hope Natural Gas Co</w:t>
      </w:r>
      <w:r w:rsidRPr="001D7812">
        <w:rPr>
          <w:rFonts w:eastAsia="Calibri" w:cs="Times New Roman"/>
          <w:color w:val="1A1A1A"/>
          <w:szCs w:val="24"/>
          <w14:ligatures w14:val="standardContextual"/>
        </w:rPr>
        <w:t>., 320 U.S. 591 (1944) (</w:t>
      </w:r>
      <w:r w:rsidR="009F1383">
        <w:rPr>
          <w:rFonts w:eastAsia="Calibri" w:cs="Times New Roman"/>
          <w:color w:val="1A1A1A"/>
          <w:szCs w:val="24"/>
          <w14:ligatures w14:val="standardContextual"/>
        </w:rPr>
        <w:t>“</w:t>
      </w:r>
      <w:r w:rsidRPr="001D7812">
        <w:rPr>
          <w:rFonts w:eastAsia="Calibri" w:cs="Times New Roman"/>
          <w:color w:val="1A1A1A"/>
          <w:szCs w:val="24"/>
          <w14:ligatures w14:val="standardContextual"/>
        </w:rPr>
        <w:t>Hope</w:t>
      </w:r>
      <w:r w:rsidR="009F1383">
        <w:rPr>
          <w:rFonts w:eastAsia="Calibri" w:cs="Times New Roman"/>
          <w:color w:val="1A1A1A"/>
          <w:szCs w:val="24"/>
          <w14:ligatures w14:val="standardContextual"/>
        </w:rPr>
        <w:t>”</w:t>
      </w:r>
      <w:r w:rsidRPr="001D7812">
        <w:rPr>
          <w:rFonts w:eastAsia="Calibri" w:cs="Times New Roman"/>
          <w:color w:val="1A1A1A"/>
          <w:szCs w:val="24"/>
          <w14:ligatures w14:val="standardContextual"/>
        </w:rPr>
        <w:t xml:space="preserve">). The </w:t>
      </w:r>
      <w:r w:rsidRPr="001D7812">
        <w:rPr>
          <w:rFonts w:eastAsia="Calibri" w:cs="Times New Roman"/>
          <w:i/>
          <w:iCs/>
          <w:color w:val="1A1A1A"/>
          <w:szCs w:val="24"/>
          <w14:ligatures w14:val="standardContextual"/>
        </w:rPr>
        <w:t>Bluefield</w:t>
      </w:r>
      <w:r w:rsidRPr="001D7812">
        <w:rPr>
          <w:rFonts w:eastAsia="Calibri" w:cs="Times New Roman"/>
          <w:color w:val="1A1A1A"/>
          <w:szCs w:val="24"/>
          <w14:ligatures w14:val="standardContextual"/>
        </w:rPr>
        <w:t xml:space="preserve"> decision </w:t>
      </w:r>
      <w:r w:rsidRPr="001D7812">
        <w:rPr>
          <w:rFonts w:eastAsia="Calibri" w:cs="Times New Roman"/>
          <w:color w:val="1A1A1A"/>
          <w:szCs w:val="24"/>
        </w:rPr>
        <w:t>summarizes the standard</w:t>
      </w:r>
      <w:r w:rsidRPr="001D7812">
        <w:rPr>
          <w:rFonts w:eastAsia="Calibri" w:cs="Times New Roman"/>
          <w:color w:val="1A1A1A"/>
          <w:szCs w:val="24"/>
          <w14:ligatures w14:val="standardContextual"/>
        </w:rPr>
        <w:t xml:space="preserve"> as follows: </w:t>
      </w:r>
      <w:r w:rsidR="009F1383">
        <w:rPr>
          <w:rFonts w:eastAsia="Calibri" w:cs="Times New Roman"/>
          <w:color w:val="1A1A1A"/>
          <w:szCs w:val="24"/>
          <w14:ligatures w14:val="standardContextual"/>
        </w:rPr>
        <w:t>“</w:t>
      </w:r>
      <w:r w:rsidRPr="001D7812">
        <w:rPr>
          <w:rFonts w:eastAsia="Calibri" w:cs="Times New Roman"/>
          <w:color w:val="1A1A1A"/>
          <w:szCs w:val="24"/>
          <w14:ligatures w14:val="standardContextual"/>
        </w:rPr>
        <w:t>The return should be reasonably sufficient to assure confidence in the financial soundness of the utility and should be adequate, under efficient and economical management to maintain and support its credit to enable the utility to raise necessary capital.</w:t>
      </w:r>
      <w:r w:rsidR="009F1383">
        <w:rPr>
          <w:rFonts w:eastAsia="Calibri" w:cs="Times New Roman"/>
          <w:color w:val="1A1A1A"/>
          <w:szCs w:val="24"/>
          <w14:ligatures w14:val="standardContextual"/>
        </w:rPr>
        <w:t>”</w:t>
      </w:r>
      <w:r>
        <w:rPr>
          <w:rFonts w:eastAsia="Calibri" w:cs="Times New Roman"/>
          <w:szCs w:val="24"/>
          <w:vertAlign w:val="superscript"/>
          <w14:ligatures w14:val="standardContextual"/>
        </w:rPr>
        <w:footnoteReference w:id="27"/>
      </w:r>
      <w:r w:rsidRPr="001D7812" w:rsidR="00CE2F18">
        <w:rPr>
          <w:rFonts w:eastAsia="Calibri" w:cs="Times New Roman"/>
          <w:color w:val="1A1A1A"/>
          <w:szCs w:val="24"/>
        </w:rPr>
        <w:t xml:space="preserve"> </w:t>
      </w:r>
      <w:r w:rsidRPr="001D7812">
        <w:rPr>
          <w:rFonts w:eastAsia="Calibri" w:cs="Times New Roman"/>
          <w:color w:val="1A1A1A"/>
          <w:szCs w:val="24"/>
        </w:rPr>
        <w:t xml:space="preserve">This distinction between </w:t>
      </w:r>
      <w:r w:rsidR="009F1383">
        <w:rPr>
          <w:rFonts w:eastAsia="Calibri" w:cs="Times New Roman"/>
          <w:color w:val="1A1A1A"/>
          <w:szCs w:val="24"/>
        </w:rPr>
        <w:t>“</w:t>
      </w:r>
      <w:r w:rsidRPr="001D7812">
        <w:rPr>
          <w:rFonts w:eastAsia="Calibri" w:cs="Times New Roman"/>
          <w:color w:val="1A1A1A"/>
          <w:szCs w:val="24"/>
        </w:rPr>
        <w:t>significantly excessive earnings</w:t>
      </w:r>
      <w:r w:rsidR="009F1383">
        <w:rPr>
          <w:rFonts w:eastAsia="Calibri" w:cs="Times New Roman"/>
          <w:color w:val="1A1A1A"/>
          <w:szCs w:val="24"/>
        </w:rPr>
        <w:t>”</w:t>
      </w:r>
      <w:r w:rsidRPr="001D7812">
        <w:rPr>
          <w:rFonts w:eastAsia="Calibri" w:cs="Times New Roman"/>
          <w:color w:val="1A1A1A"/>
          <w:szCs w:val="24"/>
        </w:rPr>
        <w:t xml:space="preserve"> and </w:t>
      </w:r>
      <w:r w:rsidR="009F1383">
        <w:rPr>
          <w:rFonts w:eastAsia="Calibri" w:cs="Times New Roman"/>
          <w:color w:val="1A1A1A"/>
          <w:szCs w:val="24"/>
        </w:rPr>
        <w:t>“</w:t>
      </w:r>
      <w:r w:rsidRPr="001D7812">
        <w:rPr>
          <w:rFonts w:eastAsia="Calibri" w:cs="Times New Roman"/>
          <w:color w:val="1A1A1A"/>
          <w:szCs w:val="24"/>
        </w:rPr>
        <w:t>reasonably sufficient earnings</w:t>
      </w:r>
      <w:r w:rsidR="009F1383">
        <w:rPr>
          <w:rFonts w:eastAsia="Calibri" w:cs="Times New Roman"/>
          <w:color w:val="1A1A1A"/>
          <w:szCs w:val="24"/>
        </w:rPr>
        <w:t>”</w:t>
      </w:r>
      <w:r w:rsidRPr="001D7812">
        <w:rPr>
          <w:rFonts w:eastAsia="Calibri" w:cs="Times New Roman"/>
          <w:color w:val="1A1A1A"/>
          <w:szCs w:val="24"/>
        </w:rPr>
        <w:t xml:space="preserve"> is a meaningful difference such that, all else equal, consumers receive better protection under shorter duration electric security plans which force the utilities to file base distribution rate cases in order to implement rate increases.</w:t>
      </w:r>
    </w:p>
    <w:p w:rsidR="007477E2" w:rsidRPr="001D7812" w:rsidP="007477E2" w14:paraId="0CCA7E6C" w14:textId="0E039023">
      <w:pPr>
        <w:spacing w:line="480" w:lineRule="auto"/>
        <w:rPr>
          <w:rFonts w:cs="Times New Roman"/>
          <w:szCs w:val="24"/>
        </w:rPr>
      </w:pPr>
      <w:r w:rsidRPr="001D7812">
        <w:rPr>
          <w:rFonts w:cs="Times New Roman"/>
          <w:szCs w:val="24"/>
        </w:rPr>
        <w:tab/>
        <w:t>The PUCO has approved shorter duration electric security plans in more recent rounds of electric security plans for Ohio electric distribution utilities.</w:t>
      </w:r>
      <w:r w:rsidRPr="001D7812" w:rsidR="00CE2F18">
        <w:rPr>
          <w:rFonts w:cs="Times New Roman"/>
          <w:szCs w:val="24"/>
        </w:rPr>
        <w:t xml:space="preserve"> </w:t>
      </w:r>
      <w:r w:rsidRPr="001D7812">
        <w:rPr>
          <w:rFonts w:cs="Times New Roman"/>
          <w:szCs w:val="24"/>
        </w:rPr>
        <w:t>The PUCO has not yet decided the pending AEP electric security plan; however, PUCO Staff supports the settlement agreement which calls for a four-year electric security plan.</w:t>
      </w:r>
      <w:r>
        <w:rPr>
          <w:rStyle w:val="FootnoteReference"/>
          <w:rFonts w:cs="Times New Roman"/>
          <w:szCs w:val="24"/>
        </w:rPr>
        <w:footnoteReference w:id="28"/>
      </w:r>
      <w:r w:rsidRPr="001D7812" w:rsidR="00CE2F18">
        <w:rPr>
          <w:rFonts w:cs="Times New Roman"/>
          <w:szCs w:val="24"/>
        </w:rPr>
        <w:t xml:space="preserve"> </w:t>
      </w:r>
      <w:r w:rsidRPr="001D7812">
        <w:rPr>
          <w:rFonts w:cs="Times New Roman"/>
          <w:szCs w:val="24"/>
        </w:rPr>
        <w:t>The PUCO most recently approved a three-year electric security plan for AES Ohio.</w:t>
      </w:r>
      <w:r>
        <w:rPr>
          <w:rStyle w:val="FootnoteReference"/>
          <w:rFonts w:cs="Times New Roman"/>
          <w:szCs w:val="24"/>
        </w:rPr>
        <w:footnoteReference w:id="29"/>
      </w:r>
    </w:p>
    <w:p w:rsidR="007477E2" w:rsidRPr="001D7812" w:rsidP="007477E2" w14:paraId="4F60B333" w14:textId="2F9DC113">
      <w:pPr>
        <w:spacing w:line="480" w:lineRule="auto"/>
        <w:ind w:firstLine="720"/>
        <w:rPr>
          <w:rFonts w:cs="Times New Roman"/>
          <w:szCs w:val="24"/>
        </w:rPr>
      </w:pPr>
      <w:r w:rsidRPr="001D7812">
        <w:rPr>
          <w:rFonts w:cs="Times New Roman"/>
          <w:szCs w:val="24"/>
        </w:rPr>
        <w:t>Consistent with these cases, the PUCO should limit any electric security plan for FirstEnergy to no longer than four years.</w:t>
      </w:r>
      <w:r w:rsidRPr="001D7812" w:rsidR="00CE2F18">
        <w:rPr>
          <w:rFonts w:cs="Times New Roman"/>
          <w:szCs w:val="24"/>
        </w:rPr>
        <w:t xml:space="preserve"> </w:t>
      </w:r>
      <w:r w:rsidRPr="001D7812">
        <w:rPr>
          <w:rFonts w:cs="Times New Roman"/>
          <w:szCs w:val="24"/>
        </w:rPr>
        <w:t>FirstEnergy should also be required to file a new base distribution rate case at the end of that term.</w:t>
      </w:r>
    </w:p>
    <w:p w:rsidR="003312EB" w:rsidRPr="001D7812" w:rsidP="00E5132D" w14:paraId="2BCE762A" w14:textId="6AE67E6C">
      <w:pPr>
        <w:pStyle w:val="Heading2"/>
      </w:pPr>
      <w:bookmarkStart w:id="8" w:name="_Toc156567922"/>
      <w:r w:rsidRPr="001D7812">
        <w:t>C.</w:t>
      </w:r>
      <w:r w:rsidRPr="001D7812">
        <w:tab/>
      </w:r>
      <w:r w:rsidRPr="001D7812" w:rsidR="00DF7A9E">
        <w:t>FirstEnergy</w:t>
      </w:r>
      <w:r w:rsidR="009F1383">
        <w:t>’</w:t>
      </w:r>
      <w:r w:rsidRPr="001D7812" w:rsidR="00DF7A9E">
        <w:t xml:space="preserve">s </w:t>
      </w:r>
      <w:r w:rsidRPr="001D7812" w:rsidR="00F1471D">
        <w:t>SSO auction proposal is unjust and unreasonable because it does not provide for</w:t>
      </w:r>
      <w:r w:rsidRPr="001D7812">
        <w:t xml:space="preserve"> separate SSO auctions for residential consumer</w:t>
      </w:r>
      <w:r w:rsidRPr="001D7812" w:rsidR="00F1471D">
        <w:t>s.</w:t>
      </w:r>
      <w:bookmarkEnd w:id="8"/>
    </w:p>
    <w:p w:rsidR="003312EB" w:rsidRPr="001D7812" w:rsidP="003312EB" w14:paraId="20BBED13" w14:textId="79CC48AC">
      <w:pPr>
        <w:spacing w:line="480" w:lineRule="auto"/>
        <w:ind w:firstLine="720"/>
        <w:rPr>
          <w:rFonts w:eastAsia="Calibri" w:cs="Times New Roman"/>
          <w:szCs w:val="24"/>
        </w:rPr>
      </w:pPr>
      <w:r w:rsidRPr="001D7812">
        <w:rPr>
          <w:rFonts w:eastAsia="Calibri" w:cs="Times New Roman"/>
          <w:szCs w:val="24"/>
        </w:rPr>
        <w:t>FirstEnergy</w:t>
      </w:r>
      <w:r w:rsidR="009F1383">
        <w:rPr>
          <w:rFonts w:eastAsia="Calibri" w:cs="Times New Roman"/>
          <w:szCs w:val="24"/>
        </w:rPr>
        <w:t>’</w:t>
      </w:r>
      <w:r w:rsidRPr="001D7812">
        <w:rPr>
          <w:rFonts w:eastAsia="Calibri" w:cs="Times New Roman"/>
          <w:szCs w:val="24"/>
        </w:rPr>
        <w:t xml:space="preserve">s electric security plan </w:t>
      </w:r>
      <w:r w:rsidRPr="001D7812" w:rsidR="00083241">
        <w:rPr>
          <w:rFonts w:eastAsia="Calibri" w:cs="Times New Roman"/>
          <w:szCs w:val="24"/>
        </w:rPr>
        <w:t xml:space="preserve">should be rejected because it </w:t>
      </w:r>
      <w:r w:rsidRPr="001D7812">
        <w:rPr>
          <w:rFonts w:eastAsia="Calibri" w:cs="Times New Roman"/>
          <w:szCs w:val="24"/>
        </w:rPr>
        <w:t xml:space="preserve">does not include separate </w:t>
      </w:r>
      <w:r w:rsidRPr="001D7812" w:rsidR="00083241">
        <w:rPr>
          <w:rFonts w:eastAsia="Calibri" w:cs="Times New Roman"/>
          <w:szCs w:val="24"/>
        </w:rPr>
        <w:t>standard service offer (</w:t>
      </w:r>
      <w:r w:rsidR="009F1383">
        <w:rPr>
          <w:rFonts w:eastAsia="Calibri" w:cs="Times New Roman"/>
          <w:szCs w:val="24"/>
        </w:rPr>
        <w:t>“</w:t>
      </w:r>
      <w:r w:rsidRPr="001D7812">
        <w:rPr>
          <w:rFonts w:eastAsia="Calibri" w:cs="Times New Roman"/>
          <w:szCs w:val="24"/>
        </w:rPr>
        <w:t>SSO</w:t>
      </w:r>
      <w:r w:rsidR="009F1383">
        <w:rPr>
          <w:rFonts w:eastAsia="Calibri" w:cs="Times New Roman"/>
          <w:szCs w:val="24"/>
        </w:rPr>
        <w:t>”</w:t>
      </w:r>
      <w:r w:rsidRPr="001D7812" w:rsidR="00083241">
        <w:rPr>
          <w:rFonts w:eastAsia="Calibri" w:cs="Times New Roman"/>
          <w:szCs w:val="24"/>
        </w:rPr>
        <w:t>)</w:t>
      </w:r>
      <w:r w:rsidRPr="001D7812">
        <w:rPr>
          <w:rFonts w:eastAsia="Calibri" w:cs="Times New Roman"/>
          <w:szCs w:val="24"/>
        </w:rPr>
        <w:t xml:space="preserve"> auctions for residential consumers.</w:t>
      </w:r>
      <w:r w:rsidRPr="001D7812" w:rsidR="00CE2F18">
        <w:rPr>
          <w:rFonts w:eastAsia="Calibri" w:cs="Times New Roman"/>
          <w:szCs w:val="24"/>
        </w:rPr>
        <w:t xml:space="preserve"> </w:t>
      </w:r>
      <w:r w:rsidRPr="001D7812">
        <w:rPr>
          <w:rFonts w:eastAsia="Calibri" w:cs="Times New Roman"/>
          <w:szCs w:val="24"/>
        </w:rPr>
        <w:t>This is unjust and unreasonable because FirstEnergy</w:t>
      </w:r>
      <w:r w:rsidR="009F1383">
        <w:rPr>
          <w:rFonts w:eastAsia="Calibri" w:cs="Times New Roman"/>
          <w:szCs w:val="24"/>
        </w:rPr>
        <w:t>’</w:t>
      </w:r>
      <w:r w:rsidRPr="001D7812">
        <w:rPr>
          <w:rFonts w:eastAsia="Calibri" w:cs="Times New Roman"/>
          <w:szCs w:val="24"/>
        </w:rPr>
        <w:t>s plan for SSO auctions for all consumers as a single group involves more risk and more volatile prices than residential consumers would face in a stand-alone SSO auction.</w:t>
      </w:r>
    </w:p>
    <w:p w:rsidR="003312EB" w:rsidRPr="001D7812" w:rsidP="003312EB" w14:paraId="684E629D" w14:textId="31D84966">
      <w:pPr>
        <w:spacing w:line="480" w:lineRule="auto"/>
        <w:ind w:firstLine="720"/>
        <w:rPr>
          <w:rFonts w:eastAsia="Calibri" w:cs="Times New Roman"/>
          <w:szCs w:val="24"/>
          <w14:ligatures w14:val="standardContextual"/>
        </w:rPr>
      </w:pPr>
      <w:r w:rsidRPr="001D7812">
        <w:rPr>
          <w:rFonts w:eastAsia="Calibri" w:cs="Times New Roman"/>
          <w:szCs w:val="24"/>
        </w:rPr>
        <w:t>OCC witness James F. Wilson testified that holding separate SSO auctions for residential consumers, or perhaps residential and small commercial consumers, has the potential to lead to more efficient and lower cost SSO auction outcomes for residential consumers.</w:t>
      </w:r>
      <w:r>
        <w:rPr>
          <w:rStyle w:val="FootnoteReference"/>
          <w:rFonts w:eastAsia="Calibri" w:cs="Times New Roman"/>
          <w:szCs w:val="24"/>
        </w:rPr>
        <w:footnoteReference w:id="30"/>
      </w:r>
      <w:r w:rsidRPr="001D7812">
        <w:rPr>
          <w:rFonts w:eastAsia="Calibri" w:cs="Times New Roman"/>
          <w:szCs w:val="24"/>
        </w:rPr>
        <w:t xml:space="preserve"> </w:t>
      </w:r>
      <w:r w:rsidRPr="001D7812" w:rsidR="003751D2">
        <w:rPr>
          <w:rFonts w:eastAsia="Calibri" w:cs="Times New Roman"/>
          <w:szCs w:val="24"/>
        </w:rPr>
        <w:t xml:space="preserve">Mr. </w:t>
      </w:r>
      <w:r w:rsidRPr="001D7812">
        <w:rPr>
          <w:rFonts w:eastAsia="Calibri" w:cs="Times New Roman"/>
          <w:szCs w:val="24"/>
        </w:rPr>
        <w:t xml:space="preserve">Wilson recommended that the PUCO require </w:t>
      </w:r>
      <w:r w:rsidRPr="001D7812" w:rsidR="003751D2">
        <w:rPr>
          <w:rFonts w:eastAsia="Calibri" w:cs="Times New Roman"/>
          <w:szCs w:val="24"/>
        </w:rPr>
        <w:t xml:space="preserve">FirstEnergy </w:t>
      </w:r>
      <w:r w:rsidRPr="001D7812">
        <w:rPr>
          <w:rFonts w:eastAsia="Calibri" w:cs="Times New Roman"/>
          <w:szCs w:val="24"/>
        </w:rPr>
        <w:t>to implement separate SSO auctions for residential c</w:t>
      </w:r>
      <w:r w:rsidRPr="001D7812" w:rsidR="004E6938">
        <w:rPr>
          <w:rFonts w:eastAsia="Calibri" w:cs="Times New Roman"/>
          <w:szCs w:val="24"/>
        </w:rPr>
        <w:t>onsu</w:t>
      </w:r>
      <w:r w:rsidRPr="001D7812">
        <w:rPr>
          <w:rFonts w:eastAsia="Calibri" w:cs="Times New Roman"/>
          <w:szCs w:val="24"/>
        </w:rPr>
        <w:t>mers, perhaps also including small commercial c</w:t>
      </w:r>
      <w:r w:rsidRPr="001D7812" w:rsidR="004E6938">
        <w:rPr>
          <w:rFonts w:eastAsia="Calibri" w:cs="Times New Roman"/>
          <w:szCs w:val="24"/>
        </w:rPr>
        <w:t>onsu</w:t>
      </w:r>
      <w:r w:rsidRPr="001D7812">
        <w:rPr>
          <w:rFonts w:eastAsia="Calibri" w:cs="Times New Roman"/>
          <w:szCs w:val="24"/>
        </w:rPr>
        <w:t>mers.</w:t>
      </w:r>
      <w:r>
        <w:rPr>
          <w:rFonts w:eastAsia="Calibri" w:cs="Times New Roman"/>
          <w:szCs w:val="24"/>
          <w:vertAlign w:val="superscript"/>
        </w:rPr>
        <w:footnoteReference w:id="31"/>
      </w:r>
    </w:p>
    <w:p w:rsidR="003312EB" w:rsidRPr="001D7812" w:rsidP="003312EB" w14:paraId="222A13D4" w14:textId="77777777">
      <w:pPr>
        <w:spacing w:line="480" w:lineRule="auto"/>
        <w:ind w:firstLine="720"/>
        <w:rPr>
          <w:rFonts w:eastAsia="Calibri" w:cs="Times New Roman"/>
          <w:szCs w:val="24"/>
        </w:rPr>
      </w:pPr>
      <w:r w:rsidRPr="001D7812">
        <w:rPr>
          <w:rFonts w:eastAsia="Calibri" w:cs="Times New Roman"/>
          <w:szCs w:val="24"/>
        </w:rPr>
        <w:t>Consumer classes are different in two principal ways relevant to the cost to serve under an SSO obligation:</w:t>
      </w:r>
      <w:r>
        <w:rPr>
          <w:rStyle w:val="FootnoteReference"/>
          <w:rFonts w:eastAsia="Calibri" w:cs="Times New Roman"/>
          <w:szCs w:val="24"/>
        </w:rPr>
        <w:footnoteReference w:id="32"/>
      </w:r>
    </w:p>
    <w:p w:rsidR="003312EB" w:rsidRPr="001D7812" w:rsidP="00363960" w14:paraId="434769FB" w14:textId="77777777">
      <w:pPr>
        <w:pStyle w:val="ListParagraph"/>
        <w:numPr>
          <w:ilvl w:val="0"/>
          <w:numId w:val="1"/>
        </w:numPr>
        <w:ind w:right="1440" w:hanging="720"/>
        <w:contextualSpacing w:val="0"/>
        <w:rPr>
          <w:rFonts w:eastAsia="Calibri" w:cs="Times New Roman"/>
          <w:szCs w:val="24"/>
        </w:rPr>
      </w:pPr>
      <w:r w:rsidRPr="001D7812">
        <w:rPr>
          <w:rFonts w:eastAsia="Calibri" w:cs="Times New Roman"/>
          <w:szCs w:val="24"/>
        </w:rPr>
        <w:t>Different consumer groups have different load shapes throughout the hours of the day and on a seasonal basis; in general, more variable load shapes are more costly to serve; and</w:t>
      </w:r>
    </w:p>
    <w:p w:rsidR="003312EB" w:rsidRPr="001D7812" w:rsidP="008B0C3E" w14:paraId="25B9A457" w14:textId="77777777">
      <w:pPr>
        <w:pStyle w:val="ListParagraph"/>
        <w:ind w:left="1440" w:right="1440"/>
        <w:rPr>
          <w:rFonts w:eastAsia="Calibri" w:cs="Times New Roman"/>
          <w:szCs w:val="24"/>
        </w:rPr>
      </w:pPr>
    </w:p>
    <w:p w:rsidR="003312EB" w:rsidRPr="001D7812" w:rsidP="00363960" w14:paraId="5DE2757F" w14:textId="77777777">
      <w:pPr>
        <w:pStyle w:val="ListParagraph"/>
        <w:numPr>
          <w:ilvl w:val="0"/>
          <w:numId w:val="1"/>
        </w:numPr>
        <w:ind w:right="1440" w:hanging="720"/>
        <w:contextualSpacing w:val="0"/>
        <w:rPr>
          <w:rFonts w:eastAsia="Calibri" w:cs="Times New Roman"/>
          <w:szCs w:val="24"/>
        </w:rPr>
      </w:pPr>
      <w:r w:rsidRPr="001D7812">
        <w:rPr>
          <w:rFonts w:eastAsia="Calibri" w:cs="Times New Roman"/>
          <w:szCs w:val="24"/>
        </w:rPr>
        <w:t>The consumer groups also differ in the propensity to switch into or out of SSO service when market prices change and render a switch attractive. Generally speaking, smaller consumers with less to save by switching are less likely to switch; large consumers with more at stake are more likely to be watching the market for opportunities to save on their electricity costs.</w:t>
      </w:r>
    </w:p>
    <w:p w:rsidR="003312EB" w:rsidRPr="001D7812" w:rsidP="003312EB" w14:paraId="53C26573" w14:textId="77777777">
      <w:pPr>
        <w:pStyle w:val="ListParagraph"/>
        <w:ind w:left="1440"/>
        <w:rPr>
          <w:rFonts w:eastAsia="Calibri" w:cs="Times New Roman"/>
          <w:szCs w:val="24"/>
        </w:rPr>
      </w:pPr>
    </w:p>
    <w:p w:rsidR="003312EB" w:rsidRPr="001D7812" w:rsidP="003312EB" w14:paraId="63BABE39" w14:textId="0D7D972E">
      <w:pPr>
        <w:spacing w:line="480" w:lineRule="auto"/>
        <w:ind w:firstLine="720"/>
        <w:rPr>
          <w:rFonts w:eastAsia="Calibri" w:cs="Times New Roman"/>
          <w:szCs w:val="24"/>
        </w:rPr>
      </w:pPr>
      <w:r w:rsidRPr="001D7812">
        <w:rPr>
          <w:rFonts w:eastAsia="Calibri" w:cs="Times New Roman"/>
          <w:szCs w:val="24"/>
        </w:rPr>
        <w:t>Mr. Wilson explained that h</w:t>
      </w:r>
      <w:r w:rsidRPr="001D7812">
        <w:rPr>
          <w:rFonts w:eastAsia="Calibri" w:cs="Times New Roman"/>
          <w:szCs w:val="24"/>
        </w:rPr>
        <w:t xml:space="preserve">olding separate auctions for different consumer classes would allow SSO suppliers to tailor their bids to the particular costs and risks presented by each </w:t>
      </w:r>
      <w:r w:rsidRPr="001D7812" w:rsidR="008008BF">
        <w:rPr>
          <w:rFonts w:eastAsia="Calibri" w:cs="Times New Roman"/>
          <w:szCs w:val="24"/>
        </w:rPr>
        <w:t xml:space="preserve">customer </w:t>
      </w:r>
      <w:r w:rsidRPr="001D7812">
        <w:rPr>
          <w:rFonts w:eastAsia="Calibri" w:cs="Times New Roman"/>
          <w:szCs w:val="24"/>
        </w:rPr>
        <w:t>class.</w:t>
      </w:r>
      <w:r>
        <w:rPr>
          <w:rStyle w:val="FootnoteReference"/>
          <w:rFonts w:eastAsia="Calibri" w:cs="Times New Roman"/>
          <w:szCs w:val="24"/>
        </w:rPr>
        <w:footnoteReference w:id="33"/>
      </w:r>
      <w:r w:rsidRPr="001D7812">
        <w:rPr>
          <w:rFonts w:eastAsia="Calibri" w:cs="Times New Roman"/>
          <w:szCs w:val="24"/>
        </w:rPr>
        <w:t xml:space="preserve"> When the costs and risks differ but the classes are included in the same auction, the lower-cost consumer classes subsidize the service provided to the higher-cost consumer classes.</w:t>
      </w:r>
      <w:r>
        <w:rPr>
          <w:rStyle w:val="FootnoteReference"/>
          <w:rFonts w:eastAsia="Calibri" w:cs="Times New Roman"/>
          <w:szCs w:val="24"/>
        </w:rPr>
        <w:footnoteReference w:id="34"/>
      </w:r>
    </w:p>
    <w:p w:rsidR="003312EB" w:rsidRPr="001D7812" w:rsidP="003312EB" w14:paraId="0E207B8F" w14:textId="77777777">
      <w:pPr>
        <w:spacing w:line="480" w:lineRule="auto"/>
        <w:ind w:firstLine="720"/>
        <w:rPr>
          <w:rFonts w:eastAsia="Calibri" w:cs="Times New Roman"/>
          <w:szCs w:val="24"/>
        </w:rPr>
      </w:pPr>
      <w:r w:rsidRPr="001D7812">
        <w:rPr>
          <w:rFonts w:eastAsia="Calibri" w:cs="Times New Roman"/>
          <w:szCs w:val="24"/>
        </w:rPr>
        <w:t>It is common in other states to hold separate auctions for either residential consumers, or residential together with small commercial.</w:t>
      </w:r>
      <w:r>
        <w:rPr>
          <w:rStyle w:val="FootnoteReference"/>
          <w:rFonts w:eastAsia="Calibri" w:cs="Times New Roman"/>
          <w:szCs w:val="24"/>
        </w:rPr>
        <w:footnoteReference w:id="35"/>
      </w:r>
      <w:r w:rsidRPr="001D7812">
        <w:rPr>
          <w:rFonts w:eastAsia="Calibri" w:cs="Times New Roman"/>
          <w:szCs w:val="24"/>
        </w:rPr>
        <w:t xml:space="preserve"> In particular, New Jersey, Maryland, the District of Columbia, and Illinois hold separate auctions for residential consumers together with small commercial consumers.</w:t>
      </w:r>
      <w:r>
        <w:rPr>
          <w:rStyle w:val="FootnoteReference"/>
          <w:rFonts w:eastAsia="Calibri" w:cs="Times New Roman"/>
          <w:szCs w:val="24"/>
        </w:rPr>
        <w:footnoteReference w:id="36"/>
      </w:r>
      <w:r w:rsidRPr="001D7812">
        <w:rPr>
          <w:rFonts w:eastAsia="Calibri" w:cs="Times New Roman"/>
          <w:szCs w:val="24"/>
        </w:rPr>
        <w:t xml:space="preserve"> In Pennsylvania, Delaware and Massachusetts the auctions are by consumer class, so residential consumers have a separate auction.</w:t>
      </w:r>
      <w:r>
        <w:rPr>
          <w:rStyle w:val="FootnoteReference"/>
          <w:rFonts w:eastAsia="Calibri" w:cs="Times New Roman"/>
          <w:szCs w:val="24"/>
        </w:rPr>
        <w:footnoteReference w:id="37"/>
      </w:r>
      <w:r w:rsidRPr="001D7812">
        <w:rPr>
          <w:rFonts w:eastAsia="Calibri" w:cs="Times New Roman"/>
          <w:szCs w:val="24"/>
        </w:rPr>
        <w:t xml:space="preserve"> These approaches to standard offer service in these states have been in place for many years. </w:t>
      </w:r>
    </w:p>
    <w:p w:rsidR="00363960" w:rsidRPr="00D03522" w:rsidP="00D03522" w14:paraId="5436E8E8" w14:textId="6540CFC0">
      <w:pPr>
        <w:spacing w:line="480" w:lineRule="auto"/>
        <w:ind w:firstLine="720"/>
        <w:rPr>
          <w:rFonts w:eastAsia="Calibri" w:cs="Times New Roman"/>
          <w:szCs w:val="24"/>
        </w:rPr>
      </w:pPr>
      <w:r w:rsidRPr="001D7812">
        <w:rPr>
          <w:rFonts w:eastAsia="Calibri" w:cs="Times New Roman"/>
          <w:szCs w:val="24"/>
        </w:rPr>
        <w:t>The following paragraphs summarize early decisions to employ these approaches:</w:t>
      </w:r>
    </w:p>
    <w:p w:rsidR="00D03522" w:rsidP="004D3FA3" w14:paraId="7FFB9534" w14:textId="77777777">
      <w:pPr>
        <w:pStyle w:val="ListParagraph"/>
        <w:numPr>
          <w:ilvl w:val="0"/>
          <w:numId w:val="6"/>
        </w:numPr>
        <w:ind w:left="1440" w:right="1440"/>
        <w:rPr>
          <w:rFonts w:eastAsia="Calibri" w:cs="Times New Roman"/>
          <w:szCs w:val="24"/>
        </w:rPr>
      </w:pPr>
      <w:r w:rsidRPr="00D03522">
        <w:rPr>
          <w:rFonts w:eastAsia="Calibri" w:cs="Times New Roman"/>
          <w:szCs w:val="24"/>
        </w:rPr>
        <w:t>Massachusetts (2000), providing a six-month fixed price approach for residential and small commercial and industrial c</w:t>
      </w:r>
      <w:r w:rsidRPr="00D03522" w:rsidR="00BF0056">
        <w:rPr>
          <w:rFonts w:eastAsia="Calibri" w:cs="Times New Roman"/>
          <w:szCs w:val="24"/>
        </w:rPr>
        <w:t>onsumers</w:t>
      </w:r>
      <w:r w:rsidRPr="00D03522">
        <w:rPr>
          <w:rFonts w:eastAsia="Calibri" w:cs="Times New Roman"/>
          <w:szCs w:val="24"/>
        </w:rPr>
        <w:t>, and a variable price approach for medium and large commercial and industrial c</w:t>
      </w:r>
      <w:r w:rsidRPr="00D03522" w:rsidR="00BF0056">
        <w:rPr>
          <w:rFonts w:eastAsia="Calibri" w:cs="Times New Roman"/>
          <w:szCs w:val="24"/>
        </w:rPr>
        <w:t>onsu</w:t>
      </w:r>
      <w:r w:rsidRPr="00D03522">
        <w:rPr>
          <w:rFonts w:eastAsia="Calibri" w:cs="Times New Roman"/>
          <w:szCs w:val="24"/>
        </w:rPr>
        <w:t>mers.</w:t>
      </w:r>
      <w:r>
        <w:rPr>
          <w:vertAlign w:val="superscript"/>
        </w:rPr>
        <w:footnoteReference w:id="38"/>
      </w:r>
    </w:p>
    <w:p w:rsidR="00D03522" w:rsidP="004D3FA3" w14:paraId="6E62BC97" w14:textId="77777777">
      <w:pPr>
        <w:pStyle w:val="ListParagraph"/>
        <w:ind w:left="1440" w:right="1440"/>
        <w:rPr>
          <w:rFonts w:eastAsia="Calibri" w:cs="Times New Roman"/>
          <w:szCs w:val="24"/>
        </w:rPr>
      </w:pPr>
    </w:p>
    <w:p w:rsidR="003312EB" w:rsidRPr="00D03522" w:rsidP="004D3FA3" w14:paraId="4BC897C2" w14:textId="00560B49">
      <w:pPr>
        <w:pStyle w:val="ListParagraph"/>
        <w:numPr>
          <w:ilvl w:val="0"/>
          <w:numId w:val="6"/>
        </w:numPr>
        <w:ind w:left="1440" w:right="1440"/>
        <w:rPr>
          <w:rFonts w:eastAsia="Calibri" w:cs="Times New Roman"/>
          <w:szCs w:val="24"/>
        </w:rPr>
      </w:pPr>
      <w:r w:rsidRPr="00D03522">
        <w:rPr>
          <w:rFonts w:eastAsia="Calibri" w:cs="Times New Roman"/>
          <w:szCs w:val="24"/>
        </w:rPr>
        <w:t>New Jersey (2002), approving two auctions for Basic Generation Service, one for larger commercial and industrial c</w:t>
      </w:r>
      <w:r w:rsidRPr="00D03522" w:rsidR="00BF0056">
        <w:rPr>
          <w:rFonts w:eastAsia="Calibri" w:cs="Times New Roman"/>
          <w:szCs w:val="24"/>
        </w:rPr>
        <w:t>onsu</w:t>
      </w:r>
      <w:r w:rsidRPr="00D03522">
        <w:rPr>
          <w:rFonts w:eastAsia="Calibri" w:cs="Times New Roman"/>
          <w:szCs w:val="24"/>
        </w:rPr>
        <w:t>mers and one for all other small c</w:t>
      </w:r>
      <w:r w:rsidRPr="00D03522" w:rsidR="00BF0056">
        <w:rPr>
          <w:rFonts w:eastAsia="Calibri" w:cs="Times New Roman"/>
          <w:szCs w:val="24"/>
        </w:rPr>
        <w:t>onsu</w:t>
      </w:r>
      <w:r w:rsidRPr="00D03522">
        <w:rPr>
          <w:rFonts w:eastAsia="Calibri" w:cs="Times New Roman"/>
          <w:szCs w:val="24"/>
        </w:rPr>
        <w:t>mers.</w:t>
      </w:r>
      <w:r>
        <w:rPr>
          <w:vertAlign w:val="superscript"/>
        </w:rPr>
        <w:footnoteReference w:id="39"/>
      </w:r>
    </w:p>
    <w:p w:rsidR="0080554C" w:rsidRPr="001D7812" w:rsidP="004D3FA3" w14:paraId="41BBEDCA" w14:textId="77777777">
      <w:pPr>
        <w:ind w:left="1440" w:right="1440"/>
        <w:rPr>
          <w:rFonts w:eastAsia="Calibri" w:cs="Times New Roman"/>
          <w:szCs w:val="24"/>
        </w:rPr>
      </w:pPr>
    </w:p>
    <w:p w:rsidR="003312EB" w:rsidRPr="001D7812" w:rsidP="004D3FA3" w14:paraId="6972BC60" w14:textId="445C367F">
      <w:pPr>
        <w:numPr>
          <w:ilvl w:val="0"/>
          <w:numId w:val="6"/>
        </w:numPr>
        <w:ind w:left="1440" w:right="1440"/>
        <w:rPr>
          <w:rFonts w:eastAsia="Calibri" w:cs="Times New Roman"/>
          <w:szCs w:val="24"/>
        </w:rPr>
      </w:pPr>
      <w:r w:rsidRPr="001D7812">
        <w:rPr>
          <w:rFonts w:eastAsia="Calibri" w:cs="Times New Roman"/>
          <w:szCs w:val="24"/>
        </w:rPr>
        <w:t>Maryland (2004), providing for Residential Standard Offer Service (</w:t>
      </w:r>
      <w:r w:rsidR="009F1383">
        <w:rPr>
          <w:rFonts w:eastAsia="Calibri" w:cs="Times New Roman"/>
          <w:szCs w:val="24"/>
        </w:rPr>
        <w:t>“</w:t>
      </w:r>
      <w:r w:rsidRPr="001D7812">
        <w:rPr>
          <w:rFonts w:eastAsia="Calibri" w:cs="Times New Roman"/>
          <w:szCs w:val="24"/>
        </w:rPr>
        <w:t>SOS</w:t>
      </w:r>
      <w:r w:rsidR="009F1383">
        <w:rPr>
          <w:rFonts w:eastAsia="Calibri" w:cs="Times New Roman"/>
          <w:szCs w:val="24"/>
        </w:rPr>
        <w:t>”</w:t>
      </w:r>
      <w:r w:rsidRPr="001D7812">
        <w:rPr>
          <w:rFonts w:eastAsia="Calibri" w:cs="Times New Roman"/>
          <w:szCs w:val="24"/>
        </w:rPr>
        <w:t>) and three types of non-residential SOS.</w:t>
      </w:r>
      <w:r>
        <w:rPr>
          <w:rFonts w:eastAsia="Calibri" w:cs="Times New Roman"/>
          <w:szCs w:val="24"/>
          <w:vertAlign w:val="superscript"/>
        </w:rPr>
        <w:footnoteReference w:id="40"/>
      </w:r>
    </w:p>
    <w:p w:rsidR="003312EB" w:rsidRPr="001D7812" w:rsidP="004D3FA3" w14:paraId="71B192FA" w14:textId="77777777">
      <w:pPr>
        <w:ind w:left="1440" w:right="1440"/>
        <w:rPr>
          <w:rFonts w:eastAsia="Calibri" w:cs="Times New Roman"/>
          <w:szCs w:val="24"/>
        </w:rPr>
      </w:pPr>
    </w:p>
    <w:p w:rsidR="003312EB" w:rsidP="00A63BA9" w14:paraId="435FAAA7" w14:textId="60B445B4">
      <w:pPr>
        <w:numPr>
          <w:ilvl w:val="0"/>
          <w:numId w:val="6"/>
        </w:numPr>
        <w:ind w:left="1440" w:right="1440"/>
        <w:rPr>
          <w:rFonts w:eastAsia="Calibri" w:cs="Times New Roman"/>
          <w:szCs w:val="24"/>
        </w:rPr>
      </w:pPr>
      <w:r w:rsidRPr="000A5D42">
        <w:rPr>
          <w:rFonts w:eastAsia="Calibri" w:cs="Times New Roman"/>
          <w:szCs w:val="24"/>
        </w:rPr>
        <w:t>Delaware (2005), providing for a fixed price SOS for all but the largest c</w:t>
      </w:r>
      <w:r w:rsidRPr="000A5D42" w:rsidR="00BF0056">
        <w:rPr>
          <w:rFonts w:eastAsia="Calibri" w:cs="Times New Roman"/>
          <w:szCs w:val="24"/>
        </w:rPr>
        <w:t>onsu</w:t>
      </w:r>
      <w:r w:rsidRPr="000A5D42">
        <w:rPr>
          <w:rFonts w:eastAsia="Calibri" w:cs="Times New Roman"/>
          <w:szCs w:val="24"/>
        </w:rPr>
        <w:t>mers and an hourly priced service for the largest c</w:t>
      </w:r>
      <w:r w:rsidRPr="000A5D42" w:rsidR="00BF0056">
        <w:rPr>
          <w:rFonts w:eastAsia="Calibri" w:cs="Times New Roman"/>
          <w:szCs w:val="24"/>
        </w:rPr>
        <w:t>onsu</w:t>
      </w:r>
      <w:r w:rsidRPr="000A5D42">
        <w:rPr>
          <w:rFonts w:eastAsia="Calibri" w:cs="Times New Roman"/>
          <w:szCs w:val="24"/>
        </w:rPr>
        <w:t>mers.</w:t>
      </w:r>
      <w:r>
        <w:rPr>
          <w:rFonts w:eastAsia="Calibri" w:cs="Times New Roman"/>
          <w:szCs w:val="24"/>
          <w:vertAlign w:val="superscript"/>
        </w:rPr>
        <w:footnoteReference w:id="41"/>
      </w:r>
    </w:p>
    <w:p w:rsidR="000A5D42" w:rsidP="000A5D42" w14:paraId="0ABE5A27" w14:textId="77777777">
      <w:pPr>
        <w:pStyle w:val="ListParagraph"/>
        <w:rPr>
          <w:rFonts w:eastAsia="Calibri" w:cs="Times New Roman"/>
          <w:szCs w:val="24"/>
        </w:rPr>
      </w:pPr>
    </w:p>
    <w:p w:rsidR="003312EB" w:rsidP="000A5D42" w14:paraId="4822AAD3" w14:textId="729991C8">
      <w:pPr>
        <w:numPr>
          <w:ilvl w:val="0"/>
          <w:numId w:val="6"/>
        </w:numPr>
        <w:ind w:left="1440" w:right="1440"/>
        <w:rPr>
          <w:rFonts w:eastAsia="Calibri" w:cs="Times New Roman"/>
          <w:szCs w:val="24"/>
        </w:rPr>
      </w:pPr>
      <w:r w:rsidRPr="000A5D42">
        <w:rPr>
          <w:rFonts w:eastAsia="Calibri" w:cs="Times New Roman"/>
          <w:szCs w:val="24"/>
        </w:rPr>
        <w:t>Illinois (2006), adopting an approach with three-year contracts for serving residential and small commercial c</w:t>
      </w:r>
      <w:r w:rsidRPr="000A5D42" w:rsidR="00BF0056">
        <w:rPr>
          <w:rFonts w:eastAsia="Calibri" w:cs="Times New Roman"/>
          <w:szCs w:val="24"/>
        </w:rPr>
        <w:t>onsu</w:t>
      </w:r>
      <w:r w:rsidRPr="000A5D42">
        <w:rPr>
          <w:rFonts w:eastAsia="Calibri" w:cs="Times New Roman"/>
          <w:szCs w:val="24"/>
        </w:rPr>
        <w:t>mers.</w:t>
      </w:r>
      <w:r>
        <w:rPr>
          <w:rFonts w:eastAsia="Calibri" w:cs="Times New Roman"/>
          <w:szCs w:val="24"/>
          <w:vertAlign w:val="superscript"/>
        </w:rPr>
        <w:footnoteReference w:id="42"/>
      </w:r>
    </w:p>
    <w:p w:rsidR="000A5D42" w:rsidP="000A5D42" w14:paraId="5B3352DD" w14:textId="77777777">
      <w:pPr>
        <w:pStyle w:val="ListParagraph"/>
        <w:rPr>
          <w:rFonts w:eastAsia="Calibri" w:cs="Times New Roman"/>
          <w:szCs w:val="24"/>
        </w:rPr>
      </w:pPr>
    </w:p>
    <w:p w:rsidR="008B0C3E" w:rsidP="000A5D42" w14:paraId="55648588" w14:textId="4D7C9956">
      <w:pPr>
        <w:numPr>
          <w:ilvl w:val="0"/>
          <w:numId w:val="6"/>
        </w:numPr>
        <w:ind w:left="1440" w:right="1440"/>
        <w:rPr>
          <w:rFonts w:eastAsia="Calibri" w:cs="Times New Roman"/>
          <w:szCs w:val="24"/>
        </w:rPr>
      </w:pPr>
      <w:r w:rsidRPr="000A5D42">
        <w:rPr>
          <w:rFonts w:eastAsia="Calibri" w:cs="Times New Roman"/>
          <w:szCs w:val="24"/>
        </w:rPr>
        <w:t>Pennsylvania (2007), recommending different procurement strategies for different c</w:t>
      </w:r>
      <w:r w:rsidRPr="000A5D42" w:rsidR="00BF0056">
        <w:rPr>
          <w:rFonts w:eastAsia="Calibri" w:cs="Times New Roman"/>
          <w:szCs w:val="24"/>
        </w:rPr>
        <w:t>onsumer</w:t>
      </w:r>
      <w:r w:rsidRPr="000A5D42">
        <w:rPr>
          <w:rFonts w:eastAsia="Calibri" w:cs="Times New Roman"/>
          <w:szCs w:val="24"/>
        </w:rPr>
        <w:t xml:space="preserve"> classes, consistent with the level of energy knowledge, financial resources, and opportunity to shop associated with these groups.</w:t>
      </w:r>
      <w:r>
        <w:rPr>
          <w:rFonts w:eastAsia="Calibri" w:cs="Times New Roman"/>
          <w:szCs w:val="24"/>
          <w:vertAlign w:val="superscript"/>
        </w:rPr>
        <w:footnoteReference w:id="43"/>
      </w:r>
    </w:p>
    <w:p w:rsidR="00B032EB" w:rsidRPr="000A5D42" w:rsidP="00B032EB" w14:paraId="79BA0330" w14:textId="77777777">
      <w:pPr>
        <w:ind w:right="1440"/>
        <w:rPr>
          <w:rFonts w:eastAsia="Calibri" w:cs="Times New Roman"/>
          <w:szCs w:val="24"/>
        </w:rPr>
      </w:pPr>
    </w:p>
    <w:p w:rsidR="003312EB" w:rsidRPr="001D7812" w:rsidP="00182066" w14:paraId="213AD01B" w14:textId="6275DB8B">
      <w:pPr>
        <w:pStyle w:val="BodyText"/>
        <w:spacing w:after="0" w:line="480" w:lineRule="auto"/>
        <w:ind w:firstLine="720"/>
        <w:rPr>
          <w:rFonts w:cs="Times New Roman"/>
          <w:b/>
          <w:bCs/>
          <w:szCs w:val="24"/>
        </w:rPr>
      </w:pPr>
      <w:r w:rsidRPr="001D7812">
        <w:rPr>
          <w:rFonts w:eastAsia="Calibri" w:cs="Times New Roman"/>
          <w:szCs w:val="24"/>
        </w:rPr>
        <w:t>Holding separate SSO auctions for residential, or perhaps residential and small commercial consumers, an approach many other states have adopted, is the best option for improving the efficiency of SSO auction outcomes, thereby benefiting consumers and the public interest.</w:t>
      </w:r>
      <w:r>
        <w:rPr>
          <w:rFonts w:eastAsia="Calibri" w:cs="Times New Roman"/>
          <w:szCs w:val="24"/>
          <w:vertAlign w:val="superscript"/>
        </w:rPr>
        <w:footnoteReference w:id="44"/>
      </w:r>
      <w:r w:rsidRPr="001D7812">
        <w:rPr>
          <w:rFonts w:eastAsia="Calibri" w:cs="Times New Roman"/>
          <w:szCs w:val="24"/>
        </w:rPr>
        <w:t xml:space="preserve"> SSO suppliers are likely to find smaller consumers less likely to switch into and out of SSO service and, therefore, less risky to serve.</w:t>
      </w:r>
      <w:r>
        <w:rPr>
          <w:rStyle w:val="FootnoteReference"/>
          <w:rFonts w:eastAsia="Calibri" w:cs="Times New Roman"/>
          <w:szCs w:val="24"/>
        </w:rPr>
        <w:footnoteReference w:id="45"/>
      </w:r>
      <w:r w:rsidRPr="001D7812" w:rsidR="00CE2F18">
        <w:rPr>
          <w:rFonts w:eastAsia="Calibri" w:cs="Times New Roman"/>
          <w:szCs w:val="24"/>
        </w:rPr>
        <w:t xml:space="preserve"> </w:t>
      </w:r>
      <w:r w:rsidRPr="001D7812" w:rsidR="00C62E3E">
        <w:rPr>
          <w:rFonts w:eastAsia="Calibri" w:cs="Times New Roman"/>
          <w:szCs w:val="24"/>
        </w:rPr>
        <w:t>FirstEnergy</w:t>
      </w:r>
      <w:r w:rsidR="009F1383">
        <w:rPr>
          <w:rFonts w:eastAsia="Calibri" w:cs="Times New Roman"/>
          <w:szCs w:val="24"/>
        </w:rPr>
        <w:t>’</w:t>
      </w:r>
      <w:r w:rsidRPr="001D7812" w:rsidR="00C62E3E">
        <w:rPr>
          <w:rFonts w:eastAsia="Calibri" w:cs="Times New Roman"/>
          <w:szCs w:val="24"/>
        </w:rPr>
        <w:t>s electric security plan is unjust and unreasonable for failing to schedule stand-alone residential SSO auctions.</w:t>
      </w:r>
    </w:p>
    <w:p w:rsidR="002B10A5" w:rsidRPr="001D7812" w:rsidP="00FB09B6" w14:paraId="7AFEC780" w14:textId="30E849CC">
      <w:pPr>
        <w:pStyle w:val="Heading2"/>
      </w:pPr>
      <w:bookmarkStart w:id="9" w:name="_Toc156567923"/>
      <w:r w:rsidRPr="001D7812">
        <w:t>D.</w:t>
      </w:r>
      <w:r w:rsidRPr="001D7812">
        <w:tab/>
      </w:r>
      <w:r w:rsidRPr="001D7812">
        <w:t>FirstEnergy</w:t>
      </w:r>
      <w:r w:rsidR="009F1383">
        <w:t>’</w:t>
      </w:r>
      <w:r w:rsidRPr="001D7812">
        <w:t xml:space="preserve">s </w:t>
      </w:r>
      <w:r w:rsidRPr="001D7812" w:rsidR="00F1471D">
        <w:t>SSO auction proposal</w:t>
      </w:r>
      <w:r w:rsidRPr="001D7812">
        <w:t xml:space="preserve"> is unjust and unreasonable for failing to include a capacity pass-through mechanism.</w:t>
      </w:r>
      <w:bookmarkEnd w:id="9"/>
    </w:p>
    <w:p w:rsidR="008B0C3E" w:rsidRPr="001D7812" w:rsidP="008B0C3E" w14:paraId="5F5C595F" w14:textId="398C5B9C">
      <w:pPr>
        <w:autoSpaceDE w:val="0"/>
        <w:autoSpaceDN w:val="0"/>
        <w:adjustRightInd w:val="0"/>
        <w:spacing w:line="480" w:lineRule="auto"/>
        <w:rPr>
          <w:rFonts w:cs="Times New Roman"/>
          <w:szCs w:val="24"/>
        </w:rPr>
      </w:pPr>
      <w:r w:rsidRPr="001D7812">
        <w:rPr>
          <w:rFonts w:cs="Times New Roman"/>
          <w:szCs w:val="24"/>
        </w:rPr>
        <w:tab/>
        <w:t>FirstEnergy</w:t>
      </w:r>
      <w:r w:rsidR="009F1383">
        <w:rPr>
          <w:rFonts w:cs="Times New Roman"/>
          <w:szCs w:val="24"/>
        </w:rPr>
        <w:t>’</w:t>
      </w:r>
      <w:r w:rsidRPr="001D7812">
        <w:rPr>
          <w:rFonts w:cs="Times New Roman"/>
          <w:szCs w:val="24"/>
        </w:rPr>
        <w:t>s electric security plan is unjust and unreasonable because it did not include a capacity pass-through mechanism.</w:t>
      </w:r>
      <w:r w:rsidRPr="001D7812" w:rsidR="00CE2F18">
        <w:rPr>
          <w:rFonts w:cs="Times New Roman"/>
          <w:szCs w:val="24"/>
        </w:rPr>
        <w:t xml:space="preserve"> </w:t>
      </w:r>
      <w:r w:rsidRPr="001D7812">
        <w:rPr>
          <w:rFonts w:cs="Times New Roman"/>
          <w:szCs w:val="24"/>
        </w:rPr>
        <w:t>FirstEnergy</w:t>
      </w:r>
      <w:r w:rsidR="009F1383">
        <w:rPr>
          <w:rFonts w:cs="Times New Roman"/>
          <w:szCs w:val="24"/>
        </w:rPr>
        <w:t>’</w:t>
      </w:r>
      <w:r w:rsidRPr="001D7812">
        <w:rPr>
          <w:rFonts w:cs="Times New Roman"/>
          <w:szCs w:val="24"/>
        </w:rPr>
        <w:t>s failure to include such a mechanism increases risk for suppliers and could lead to more volatile prices for consumers.</w:t>
      </w:r>
      <w:r>
        <w:rPr>
          <w:rStyle w:val="FootnoteReference"/>
          <w:rFonts w:cs="Times New Roman"/>
          <w:szCs w:val="24"/>
        </w:rPr>
        <w:footnoteReference w:id="46"/>
      </w:r>
      <w:r w:rsidRPr="001D7812" w:rsidR="00722C20">
        <w:rPr>
          <w:rFonts w:cs="Times New Roman"/>
          <w:szCs w:val="24"/>
        </w:rPr>
        <w:t xml:space="preserve"> </w:t>
      </w:r>
      <w:r w:rsidRPr="001D7812">
        <w:rPr>
          <w:rFonts w:cs="Times New Roman"/>
          <w:szCs w:val="24"/>
        </w:rPr>
        <w:t>Mr. Wilson recommended that a capacity pass-through mechanism should be used when the PJM capacity prices are not known when the SSO auction is scheduled.</w:t>
      </w:r>
      <w:r>
        <w:rPr>
          <w:rStyle w:val="FootnoteReference"/>
          <w:rFonts w:cs="Times New Roman"/>
          <w:szCs w:val="24"/>
        </w:rPr>
        <w:footnoteReference w:id="47"/>
      </w:r>
      <w:r w:rsidRPr="001D7812" w:rsidR="00CE2F18">
        <w:rPr>
          <w:rFonts w:cs="Times New Roman"/>
          <w:szCs w:val="24"/>
        </w:rPr>
        <w:t xml:space="preserve"> </w:t>
      </w:r>
      <w:r w:rsidRPr="001D7812">
        <w:rPr>
          <w:rFonts w:cs="Times New Roman"/>
          <w:szCs w:val="24"/>
        </w:rPr>
        <w:t>In such cases, a Capacity Proxy Price</w:t>
      </w:r>
      <w:r w:rsidRPr="001D7812" w:rsidR="00FA560B">
        <w:rPr>
          <w:rFonts w:cs="Times New Roman"/>
          <w:szCs w:val="24"/>
        </w:rPr>
        <w:t xml:space="preserve"> (</w:t>
      </w:r>
      <w:r w:rsidR="009F1383">
        <w:rPr>
          <w:rFonts w:cs="Times New Roman"/>
          <w:szCs w:val="24"/>
        </w:rPr>
        <w:t>“</w:t>
      </w:r>
      <w:r w:rsidRPr="001D7812" w:rsidR="00FA560B">
        <w:rPr>
          <w:rFonts w:cs="Times New Roman"/>
          <w:szCs w:val="24"/>
        </w:rPr>
        <w:t>CPP</w:t>
      </w:r>
      <w:r w:rsidR="009F1383">
        <w:rPr>
          <w:rFonts w:cs="Times New Roman"/>
          <w:szCs w:val="24"/>
        </w:rPr>
        <w:t>”</w:t>
      </w:r>
      <w:r w:rsidRPr="001D7812" w:rsidR="00FA560B">
        <w:rPr>
          <w:rFonts w:cs="Times New Roman"/>
          <w:szCs w:val="24"/>
        </w:rPr>
        <w:t>)</w:t>
      </w:r>
      <w:r w:rsidRPr="001D7812">
        <w:rPr>
          <w:rFonts w:cs="Times New Roman"/>
          <w:szCs w:val="24"/>
        </w:rPr>
        <w:t xml:space="preserve"> could be established which would be known to bidders before the auction.</w:t>
      </w:r>
      <w:r>
        <w:rPr>
          <w:rStyle w:val="FootnoteReference"/>
          <w:rFonts w:cs="Times New Roman"/>
          <w:szCs w:val="24"/>
        </w:rPr>
        <w:footnoteReference w:id="48"/>
      </w:r>
      <w:r w:rsidRPr="001D7812" w:rsidR="00CE2F18">
        <w:rPr>
          <w:rFonts w:cs="Times New Roman"/>
          <w:szCs w:val="24"/>
        </w:rPr>
        <w:t xml:space="preserve"> </w:t>
      </w:r>
      <w:r w:rsidRPr="001D7812" w:rsidR="00373B48">
        <w:rPr>
          <w:rFonts w:cs="Times New Roman"/>
          <w:szCs w:val="24"/>
        </w:rPr>
        <w:t>When the actual PJM capacity prices become known, the CPP would be trued-up with the actual capacity prices.</w:t>
      </w:r>
      <w:r>
        <w:rPr>
          <w:rStyle w:val="FootnoteReference"/>
          <w:rFonts w:cs="Times New Roman"/>
          <w:szCs w:val="24"/>
        </w:rPr>
        <w:footnoteReference w:id="49"/>
      </w:r>
    </w:p>
    <w:p w:rsidR="002B10A5" w:rsidRPr="001D7812" w:rsidP="006E5019" w14:paraId="0B23262D" w14:textId="3545D53A">
      <w:pPr>
        <w:autoSpaceDE w:val="0"/>
        <w:autoSpaceDN w:val="0"/>
        <w:adjustRightInd w:val="0"/>
        <w:spacing w:line="480" w:lineRule="auto"/>
        <w:rPr>
          <w:rFonts w:cs="Times New Roman"/>
          <w:b/>
          <w:bCs/>
          <w:szCs w:val="24"/>
        </w:rPr>
      </w:pPr>
      <w:r w:rsidRPr="001D7812">
        <w:rPr>
          <w:rFonts w:cs="Times New Roman"/>
          <w:szCs w:val="24"/>
        </w:rPr>
        <w:tab/>
        <w:t>On December 13, 2023, the PUCO issued a Finding and Order in Case No. 23-781-EL-UNC requiring all Ohio electric distribution utilities to include a CPP in the</w:t>
      </w:r>
      <w:r w:rsidRPr="001D7812" w:rsidR="00083241">
        <w:rPr>
          <w:rFonts w:cs="Times New Roman"/>
          <w:szCs w:val="24"/>
        </w:rPr>
        <w:t>i</w:t>
      </w:r>
      <w:r w:rsidRPr="001D7812">
        <w:rPr>
          <w:rFonts w:cs="Times New Roman"/>
          <w:szCs w:val="24"/>
        </w:rPr>
        <w:t>r SSO auction tariffs.</w:t>
      </w:r>
      <w:r>
        <w:rPr>
          <w:rStyle w:val="FootnoteReference"/>
          <w:rFonts w:cs="Times New Roman"/>
          <w:szCs w:val="24"/>
        </w:rPr>
        <w:footnoteReference w:id="50"/>
      </w:r>
      <w:r w:rsidRPr="001D7812" w:rsidR="00CE2F18">
        <w:rPr>
          <w:rFonts w:cs="Times New Roman"/>
          <w:szCs w:val="24"/>
        </w:rPr>
        <w:t xml:space="preserve"> </w:t>
      </w:r>
      <w:r w:rsidRPr="001D7812">
        <w:rPr>
          <w:rFonts w:cs="Times New Roman"/>
          <w:szCs w:val="24"/>
        </w:rPr>
        <w:t>The PUCO</w:t>
      </w:r>
      <w:r w:rsidR="009F1383">
        <w:rPr>
          <w:rFonts w:cs="Times New Roman"/>
          <w:szCs w:val="24"/>
        </w:rPr>
        <w:t>’</w:t>
      </w:r>
      <w:r w:rsidRPr="001D7812">
        <w:rPr>
          <w:rFonts w:cs="Times New Roman"/>
          <w:szCs w:val="24"/>
        </w:rPr>
        <w:t>s Finding and Order validates OCC</w:t>
      </w:r>
      <w:r w:rsidR="009F1383">
        <w:rPr>
          <w:rFonts w:cs="Times New Roman"/>
          <w:szCs w:val="24"/>
        </w:rPr>
        <w:t>’</w:t>
      </w:r>
      <w:r w:rsidRPr="001D7812">
        <w:rPr>
          <w:rFonts w:cs="Times New Roman"/>
          <w:szCs w:val="24"/>
        </w:rPr>
        <w:t>s point.</w:t>
      </w:r>
      <w:r w:rsidRPr="001D7812" w:rsidR="00CE2F18">
        <w:rPr>
          <w:rFonts w:cs="Times New Roman"/>
          <w:szCs w:val="24"/>
        </w:rPr>
        <w:t xml:space="preserve"> </w:t>
      </w:r>
      <w:r w:rsidRPr="001D7812">
        <w:rPr>
          <w:rFonts w:cs="Times New Roman"/>
          <w:szCs w:val="24"/>
        </w:rPr>
        <w:t>If the Finding and Order remains in effect, then FirstEnergy will be required to use a CPP for its SSO auctions.</w:t>
      </w:r>
      <w:r w:rsidRPr="001D7812" w:rsidR="00CE2F18">
        <w:rPr>
          <w:rFonts w:cs="Times New Roman"/>
          <w:szCs w:val="24"/>
        </w:rPr>
        <w:t xml:space="preserve"> </w:t>
      </w:r>
      <w:r w:rsidRPr="001D7812" w:rsidR="00F1471D">
        <w:rPr>
          <w:rFonts w:cs="Times New Roman"/>
          <w:szCs w:val="24"/>
        </w:rPr>
        <w:t>The PUCO should order FirstEnergy in this case to establish a capacity pass-through mechanism, consistent with OCC witness Mr. Wilson</w:t>
      </w:r>
      <w:r w:rsidR="009F1383">
        <w:rPr>
          <w:rFonts w:cs="Times New Roman"/>
          <w:szCs w:val="24"/>
        </w:rPr>
        <w:t>’</w:t>
      </w:r>
      <w:r w:rsidRPr="001D7812" w:rsidR="00F1471D">
        <w:rPr>
          <w:rFonts w:cs="Times New Roman"/>
          <w:szCs w:val="24"/>
        </w:rPr>
        <w:t>s testimony and consistent with the PUCO</w:t>
      </w:r>
      <w:r w:rsidR="009F1383">
        <w:rPr>
          <w:rFonts w:cs="Times New Roman"/>
          <w:szCs w:val="24"/>
        </w:rPr>
        <w:t>’</w:t>
      </w:r>
      <w:r w:rsidRPr="001D7812" w:rsidR="00F1471D">
        <w:rPr>
          <w:rFonts w:cs="Times New Roman"/>
          <w:szCs w:val="24"/>
        </w:rPr>
        <w:t>s recent Finding and Order.</w:t>
      </w:r>
    </w:p>
    <w:p w:rsidR="00D343BE" w:rsidRPr="001D7812" w:rsidP="006C5011" w14:paraId="627F61B5" w14:textId="72DEAC71">
      <w:pPr>
        <w:pStyle w:val="Heading2"/>
      </w:pPr>
      <w:bookmarkStart w:id="10" w:name="_Toc156567924"/>
      <w:r w:rsidRPr="001D7812">
        <w:t>E.</w:t>
      </w:r>
      <w:r w:rsidRPr="001D7812">
        <w:tab/>
      </w:r>
      <w:r w:rsidRPr="001D7812">
        <w:t>FirstEnergy</w:t>
      </w:r>
      <w:r w:rsidR="009F1383">
        <w:t>’</w:t>
      </w:r>
      <w:r w:rsidRPr="001D7812">
        <w:t>s electric security plan proposal i</w:t>
      </w:r>
      <w:r w:rsidRPr="001D7812" w:rsidR="0062361A">
        <w:t>s</w:t>
      </w:r>
      <w:r w:rsidRPr="001D7812">
        <w:t xml:space="preserve"> unjust and unreasonable </w:t>
      </w:r>
      <w:r w:rsidRPr="001D7812" w:rsidR="0062361A">
        <w:t xml:space="preserve">because it includes an unreasonably high </w:t>
      </w:r>
      <w:r w:rsidRPr="001D7812" w:rsidR="008008BF">
        <w:t>r</w:t>
      </w:r>
      <w:r w:rsidRPr="001D7812">
        <w:t>eturn</w:t>
      </w:r>
      <w:r w:rsidRPr="001D7812" w:rsidR="00F1471D">
        <w:t xml:space="preserve"> on </w:t>
      </w:r>
      <w:r w:rsidRPr="001D7812" w:rsidR="008008BF">
        <w:t>e</w:t>
      </w:r>
      <w:r w:rsidRPr="001D7812" w:rsidR="00F1471D">
        <w:t>quity</w:t>
      </w:r>
      <w:r w:rsidRPr="001D7812" w:rsidR="0062361A">
        <w:t>, which would require consumers to pay unfair rates and allow FirstEnergy to earn excessive profits</w:t>
      </w:r>
      <w:r w:rsidRPr="001D7812" w:rsidR="00F1471D">
        <w:t xml:space="preserve"> until a new </w:t>
      </w:r>
      <w:r w:rsidRPr="001D7812" w:rsidR="008008BF">
        <w:t>r</w:t>
      </w:r>
      <w:r w:rsidRPr="001D7812" w:rsidR="00F1471D">
        <w:t xml:space="preserve">eturn on </w:t>
      </w:r>
      <w:r w:rsidRPr="001D7812" w:rsidR="008008BF">
        <w:t>e</w:t>
      </w:r>
      <w:r w:rsidRPr="001D7812" w:rsidR="00F1471D">
        <w:t>quity is decided in the 2024 base distribution rate case.</w:t>
      </w:r>
      <w:bookmarkEnd w:id="10"/>
    </w:p>
    <w:p w:rsidR="007644F9" w:rsidRPr="001D7812" w:rsidP="00D343BE" w14:paraId="58450138" w14:textId="6CBAF8F4">
      <w:pPr>
        <w:tabs>
          <w:tab w:val="left" w:pos="720"/>
          <w:tab w:val="left" w:pos="1440"/>
          <w:tab w:val="left" w:leader="dot" w:pos="8640"/>
        </w:tabs>
        <w:spacing w:line="480" w:lineRule="auto"/>
        <w:ind w:firstLine="720"/>
        <w:rPr>
          <w:rFonts w:cs="Times New Roman"/>
          <w:szCs w:val="24"/>
        </w:rPr>
      </w:pPr>
      <w:r w:rsidRPr="001D7812">
        <w:rPr>
          <w:rFonts w:cs="Times New Roman"/>
          <w:szCs w:val="24"/>
        </w:rPr>
        <w:t xml:space="preserve">OCC Witness Buckley testified that </w:t>
      </w:r>
      <w:r w:rsidR="009F1383">
        <w:rPr>
          <w:rFonts w:cs="Times New Roman"/>
          <w:szCs w:val="24"/>
        </w:rPr>
        <w:t>“</w:t>
      </w:r>
      <w:r w:rsidRPr="001D7812">
        <w:rPr>
          <w:rFonts w:cs="Times New Roman"/>
          <w:szCs w:val="24"/>
        </w:rPr>
        <w:t xml:space="preserve">the rate of return proposed by the FirstEnergy Utilities for the proposed ESP is not appropriate because the proposed rate of return is </w:t>
      </w:r>
      <w:r w:rsidRPr="001D7812" w:rsidR="008C59EE">
        <w:rPr>
          <w:rFonts w:cs="Times New Roman"/>
          <w:szCs w:val="24"/>
        </w:rPr>
        <w:t xml:space="preserve">not </w:t>
      </w:r>
      <w:r w:rsidRPr="001D7812">
        <w:rPr>
          <w:rFonts w:cs="Times New Roman"/>
          <w:szCs w:val="24"/>
        </w:rPr>
        <w:t>reasonable and the resulting rates charged to consumers under the ESP will be too high.</w:t>
      </w:r>
      <w:r w:rsidR="009F1383">
        <w:rPr>
          <w:rFonts w:cs="Times New Roman"/>
          <w:szCs w:val="24"/>
        </w:rPr>
        <w:t>”</w:t>
      </w:r>
      <w:r>
        <w:rPr>
          <w:rStyle w:val="FootnoteReference"/>
          <w:rFonts w:cs="Times New Roman"/>
          <w:szCs w:val="24"/>
        </w:rPr>
        <w:footnoteReference w:id="51"/>
      </w:r>
      <w:r w:rsidRPr="001D7812" w:rsidR="00CE2F18">
        <w:rPr>
          <w:rFonts w:cs="Times New Roman"/>
          <w:szCs w:val="24"/>
        </w:rPr>
        <w:t xml:space="preserve"> </w:t>
      </w:r>
      <w:r w:rsidRPr="001D7812" w:rsidR="00F1471D">
        <w:rPr>
          <w:rFonts w:cs="Times New Roman"/>
          <w:szCs w:val="24"/>
        </w:rPr>
        <w:t>The primary reason the rate of return is excessive is because the Return on Equity (</w:t>
      </w:r>
      <w:r w:rsidR="009F1383">
        <w:rPr>
          <w:rFonts w:cs="Times New Roman"/>
          <w:szCs w:val="24"/>
        </w:rPr>
        <w:t>“</w:t>
      </w:r>
      <w:r w:rsidRPr="001D7812" w:rsidR="00F1471D">
        <w:rPr>
          <w:rFonts w:cs="Times New Roman"/>
          <w:szCs w:val="24"/>
        </w:rPr>
        <w:t>ROE</w:t>
      </w:r>
      <w:r w:rsidR="009F1383">
        <w:rPr>
          <w:rFonts w:cs="Times New Roman"/>
          <w:szCs w:val="24"/>
        </w:rPr>
        <w:t>”</w:t>
      </w:r>
      <w:r w:rsidRPr="001D7812" w:rsidR="00F1471D">
        <w:rPr>
          <w:rFonts w:cs="Times New Roman"/>
          <w:szCs w:val="24"/>
        </w:rPr>
        <w:t>) is unreasonably high.</w:t>
      </w:r>
    </w:p>
    <w:p w:rsidR="008951B4" w:rsidRPr="001D7812" w:rsidP="00D343BE" w14:paraId="4E1BC9E3" w14:textId="6257B11D">
      <w:pPr>
        <w:tabs>
          <w:tab w:val="left" w:pos="720"/>
          <w:tab w:val="left" w:pos="1440"/>
          <w:tab w:val="left" w:leader="dot" w:pos="8640"/>
        </w:tabs>
        <w:spacing w:line="480" w:lineRule="auto"/>
        <w:ind w:firstLine="720"/>
        <w:rPr>
          <w:rFonts w:cs="Times New Roman"/>
          <w:szCs w:val="24"/>
        </w:rPr>
      </w:pPr>
      <w:r w:rsidRPr="001D7812">
        <w:rPr>
          <w:rFonts w:cs="Times New Roman"/>
          <w:szCs w:val="24"/>
        </w:rPr>
        <w:t>FirstEnergy</w:t>
      </w:r>
      <w:r w:rsidR="009F1383">
        <w:rPr>
          <w:rFonts w:cs="Times New Roman"/>
          <w:szCs w:val="24"/>
        </w:rPr>
        <w:t>’</w:t>
      </w:r>
      <w:r w:rsidRPr="001D7812">
        <w:rPr>
          <w:rFonts w:cs="Times New Roman"/>
          <w:szCs w:val="24"/>
        </w:rPr>
        <w:t>s electric security plan provides that the rate of return for the plan</w:t>
      </w:r>
      <w:r w:rsidR="009F1383">
        <w:rPr>
          <w:rFonts w:cs="Times New Roman"/>
          <w:szCs w:val="24"/>
        </w:rPr>
        <w:t>’</w:t>
      </w:r>
      <w:r w:rsidRPr="001D7812">
        <w:rPr>
          <w:rFonts w:cs="Times New Roman"/>
          <w:szCs w:val="24"/>
        </w:rPr>
        <w:t>s riders would be based on the rate of return from FirstEnergy</w:t>
      </w:r>
      <w:r w:rsidR="009F1383">
        <w:rPr>
          <w:rFonts w:cs="Times New Roman"/>
          <w:szCs w:val="24"/>
        </w:rPr>
        <w:t>’</w:t>
      </w:r>
      <w:r w:rsidRPr="001D7812">
        <w:rPr>
          <w:rFonts w:cs="Times New Roman"/>
          <w:szCs w:val="24"/>
        </w:rPr>
        <w:t>s last distribution base rate case.</w:t>
      </w:r>
      <w:r>
        <w:rPr>
          <w:rStyle w:val="FootnoteReference"/>
          <w:rFonts w:cs="Times New Roman"/>
          <w:szCs w:val="24"/>
        </w:rPr>
        <w:footnoteReference w:id="52"/>
      </w:r>
      <w:r w:rsidRPr="001D7812" w:rsidR="00CE2F18">
        <w:rPr>
          <w:rFonts w:cs="Times New Roman"/>
          <w:szCs w:val="24"/>
        </w:rPr>
        <w:t xml:space="preserve"> </w:t>
      </w:r>
      <w:r w:rsidRPr="001D7812" w:rsidR="00670D8D">
        <w:rPr>
          <w:rFonts w:cs="Times New Roman"/>
          <w:szCs w:val="24"/>
        </w:rPr>
        <w:t xml:space="preserve">However, </w:t>
      </w:r>
      <w:r w:rsidRPr="001D7812">
        <w:rPr>
          <w:rFonts w:cs="Times New Roman"/>
          <w:szCs w:val="24"/>
        </w:rPr>
        <w:t>FirstEnergy</w:t>
      </w:r>
      <w:r w:rsidR="009F1383">
        <w:rPr>
          <w:rFonts w:cs="Times New Roman"/>
          <w:szCs w:val="24"/>
        </w:rPr>
        <w:t>’</w:t>
      </w:r>
      <w:r w:rsidRPr="001D7812">
        <w:rPr>
          <w:rFonts w:cs="Times New Roman"/>
          <w:szCs w:val="24"/>
        </w:rPr>
        <w:t>s last rate case</w:t>
      </w:r>
      <w:r w:rsidRPr="001D7812" w:rsidR="00E768F8">
        <w:rPr>
          <w:rFonts w:cs="Times New Roman"/>
          <w:szCs w:val="24"/>
        </w:rPr>
        <w:t xml:space="preserve"> </w:t>
      </w:r>
      <w:r w:rsidRPr="001D7812">
        <w:rPr>
          <w:rFonts w:cs="Times New Roman"/>
          <w:szCs w:val="24"/>
        </w:rPr>
        <w:t>was decided nearly 15 years ago.</w:t>
      </w:r>
      <w:r>
        <w:rPr>
          <w:rStyle w:val="FootnoteReference"/>
          <w:rFonts w:cs="Times New Roman"/>
          <w:szCs w:val="24"/>
        </w:rPr>
        <w:footnoteReference w:id="53"/>
      </w:r>
      <w:r w:rsidRPr="001D7812" w:rsidR="00E768F8">
        <w:rPr>
          <w:rFonts w:cs="Times New Roman"/>
          <w:szCs w:val="24"/>
        </w:rPr>
        <w:t xml:space="preserve"> </w:t>
      </w:r>
      <w:r w:rsidRPr="001D7812" w:rsidR="00C05CA0">
        <w:rPr>
          <w:rFonts w:cs="Times New Roman"/>
          <w:szCs w:val="24"/>
        </w:rPr>
        <w:t>In that case, the PUCO decided on a rate of return of 8.48 percent, based on a</w:t>
      </w:r>
      <w:r w:rsidRPr="001D7812" w:rsidR="00CE2F18">
        <w:rPr>
          <w:rFonts w:cs="Times New Roman"/>
          <w:szCs w:val="24"/>
        </w:rPr>
        <w:t xml:space="preserve"> </w:t>
      </w:r>
      <w:r w:rsidRPr="001D7812">
        <w:rPr>
          <w:rFonts w:cs="Times New Roman"/>
          <w:szCs w:val="24"/>
        </w:rPr>
        <w:t xml:space="preserve">cost of debt </w:t>
      </w:r>
      <w:r w:rsidRPr="001D7812" w:rsidR="00C05CA0">
        <w:rPr>
          <w:rFonts w:cs="Times New Roman"/>
          <w:szCs w:val="24"/>
        </w:rPr>
        <w:t xml:space="preserve">of </w:t>
      </w:r>
      <w:r w:rsidRPr="001D7812">
        <w:rPr>
          <w:rFonts w:cs="Times New Roman"/>
          <w:szCs w:val="24"/>
        </w:rPr>
        <w:t xml:space="preserve">6.54%, return on equity </w:t>
      </w:r>
      <w:r w:rsidRPr="001D7812" w:rsidR="00C05CA0">
        <w:rPr>
          <w:rFonts w:cs="Times New Roman"/>
          <w:szCs w:val="24"/>
        </w:rPr>
        <w:t xml:space="preserve">of </w:t>
      </w:r>
      <w:r w:rsidRPr="001D7812">
        <w:rPr>
          <w:rFonts w:cs="Times New Roman"/>
          <w:szCs w:val="24"/>
        </w:rPr>
        <w:t xml:space="preserve">10.5% and capital structure </w:t>
      </w:r>
      <w:r w:rsidRPr="001D7812" w:rsidR="00C05CA0">
        <w:rPr>
          <w:rFonts w:cs="Times New Roman"/>
          <w:szCs w:val="24"/>
        </w:rPr>
        <w:t xml:space="preserve">of </w:t>
      </w:r>
      <w:r w:rsidRPr="001D7812">
        <w:rPr>
          <w:rFonts w:cs="Times New Roman"/>
          <w:szCs w:val="24"/>
        </w:rPr>
        <w:t>51% debt and 49% equity</w:t>
      </w:r>
      <w:r w:rsidRPr="001D7812" w:rsidR="001F214D">
        <w:rPr>
          <w:rFonts w:cs="Times New Roman"/>
          <w:szCs w:val="24"/>
        </w:rPr>
        <w:t>.</w:t>
      </w:r>
      <w:r>
        <w:rPr>
          <w:rStyle w:val="FootnoteReference"/>
          <w:rFonts w:cs="Times New Roman"/>
          <w:szCs w:val="24"/>
        </w:rPr>
        <w:footnoteReference w:id="54"/>
      </w:r>
      <w:r w:rsidRPr="001D7812" w:rsidR="00CE2F18">
        <w:rPr>
          <w:rFonts w:cs="Times New Roman"/>
          <w:szCs w:val="24"/>
        </w:rPr>
        <w:t xml:space="preserve"> </w:t>
      </w:r>
    </w:p>
    <w:p w:rsidR="00D343BE" w:rsidRPr="001D7812" w:rsidP="00D343BE" w14:paraId="02599940" w14:textId="39D22B8A">
      <w:pPr>
        <w:tabs>
          <w:tab w:val="left" w:pos="720"/>
          <w:tab w:val="left" w:pos="1440"/>
          <w:tab w:val="left" w:leader="dot" w:pos="8640"/>
        </w:tabs>
        <w:spacing w:line="480" w:lineRule="auto"/>
        <w:ind w:firstLine="720"/>
        <w:rPr>
          <w:rFonts w:eastAsia="Calibri" w:cs="Times New Roman"/>
          <w:szCs w:val="24"/>
          <w14:ligatures w14:val="standardContextual"/>
        </w:rPr>
      </w:pPr>
      <w:r w:rsidRPr="001D7812">
        <w:rPr>
          <w:rFonts w:cs="Times New Roman"/>
          <w:szCs w:val="24"/>
        </w:rPr>
        <w:t xml:space="preserve">The </w:t>
      </w:r>
      <w:r w:rsidRPr="001D7812">
        <w:rPr>
          <w:rFonts w:cs="Times New Roman"/>
          <w:szCs w:val="24"/>
        </w:rPr>
        <w:t>ROE is the allowed rate of profit for a regulated company. In a competitive market, a company</w:t>
      </w:r>
      <w:r w:rsidR="009F1383">
        <w:rPr>
          <w:rFonts w:cs="Times New Roman"/>
          <w:szCs w:val="24"/>
        </w:rPr>
        <w:t>’</w:t>
      </w:r>
      <w:r w:rsidRPr="001D7812">
        <w:rPr>
          <w:rFonts w:cs="Times New Roman"/>
          <w:szCs w:val="24"/>
        </w:rPr>
        <w:t>s profit level is determined by a variety of factors. These factors include the state of the economy, the degree of competition a company faces, the ease of entry into its markets, the existence of substitute or complementary products/services, the company</w:t>
      </w:r>
      <w:r w:rsidR="009F1383">
        <w:rPr>
          <w:rFonts w:cs="Times New Roman"/>
          <w:szCs w:val="24"/>
        </w:rPr>
        <w:t>’</w:t>
      </w:r>
      <w:r w:rsidRPr="001D7812">
        <w:rPr>
          <w:rFonts w:cs="Times New Roman"/>
          <w:szCs w:val="24"/>
        </w:rPr>
        <w:t>s cost structure, the impact of technological changes, and the supply and demand for its products and/or services.</w:t>
      </w:r>
      <w:r>
        <w:rPr>
          <w:rStyle w:val="FootnoteReference"/>
          <w:rFonts w:cs="Times New Roman"/>
          <w:szCs w:val="24"/>
        </w:rPr>
        <w:footnoteReference w:id="55"/>
      </w:r>
    </w:p>
    <w:p w:rsidR="00D343BE" w:rsidRPr="001D7812" w:rsidP="00D343BE" w14:paraId="4258EABE" w14:textId="12E50E60">
      <w:pPr>
        <w:tabs>
          <w:tab w:val="left" w:pos="720"/>
          <w:tab w:val="left" w:pos="1440"/>
          <w:tab w:val="left" w:leader="dot" w:pos="8640"/>
        </w:tabs>
        <w:spacing w:line="480" w:lineRule="auto"/>
        <w:ind w:firstLine="720"/>
        <w:rPr>
          <w:rFonts w:eastAsia="Calibri" w:cs="Times New Roman"/>
          <w:color w:val="1A1A1A"/>
          <w:szCs w:val="24"/>
          <w14:ligatures w14:val="standardContextual"/>
        </w:rPr>
      </w:pPr>
      <w:bookmarkStart w:id="11" w:name="_Hlk156217935"/>
      <w:r w:rsidRPr="001D7812">
        <w:rPr>
          <w:rFonts w:eastAsia="Calibri" w:cs="Times New Roman"/>
          <w:szCs w:val="24"/>
          <w14:ligatures w14:val="standardContextual"/>
        </w:rPr>
        <w:t xml:space="preserve">The judicial guidance for calculating an appropriate rate of return comes primarily from the decisions in the </w:t>
      </w:r>
      <w:r w:rsidRPr="001D7812">
        <w:rPr>
          <w:rFonts w:eastAsia="Calibri" w:cs="Times New Roman"/>
          <w:i/>
          <w:iCs/>
          <w:szCs w:val="24"/>
          <w14:ligatures w14:val="standardContextual"/>
        </w:rPr>
        <w:t>Bluefield Water Works v. Public Service Comm</w:t>
      </w:r>
      <w:r w:rsidR="009F1383">
        <w:rPr>
          <w:rFonts w:eastAsia="Calibri" w:cs="Times New Roman"/>
          <w:i/>
          <w:iCs/>
          <w:szCs w:val="24"/>
          <w14:ligatures w14:val="standardContextual"/>
        </w:rPr>
        <w:t>’</w:t>
      </w:r>
      <w:r w:rsidRPr="001D7812">
        <w:rPr>
          <w:rFonts w:eastAsia="Calibri" w:cs="Times New Roman"/>
          <w:i/>
          <w:iCs/>
          <w:szCs w:val="24"/>
          <w14:ligatures w14:val="standardContextual"/>
        </w:rPr>
        <w:t>n</w:t>
      </w:r>
      <w:r w:rsidRPr="001D7812">
        <w:rPr>
          <w:rFonts w:eastAsia="Calibri" w:cs="Times New Roman"/>
          <w:szCs w:val="24"/>
          <w14:ligatures w14:val="standardContextual"/>
        </w:rPr>
        <w:t>, 262 U.S. 679 (1923</w:t>
      </w:r>
      <w:r w:rsidRPr="001D7812">
        <w:rPr>
          <w:rFonts w:eastAsia="Calibri" w:cs="Times New Roman"/>
          <w:color w:val="1A1A1A"/>
          <w:szCs w:val="24"/>
          <w14:ligatures w14:val="standardContextual"/>
        </w:rPr>
        <w:t>) (</w:t>
      </w:r>
      <w:r w:rsidR="009F1383">
        <w:rPr>
          <w:rFonts w:eastAsia="Calibri" w:cs="Times New Roman"/>
          <w:color w:val="1A1A1A"/>
          <w:szCs w:val="24"/>
          <w14:ligatures w14:val="standardContextual"/>
        </w:rPr>
        <w:t>“</w:t>
      </w:r>
      <w:r w:rsidRPr="001D7812">
        <w:rPr>
          <w:rFonts w:eastAsia="Calibri" w:cs="Times New Roman"/>
          <w:color w:val="1A1A1A"/>
          <w:szCs w:val="24"/>
          <w14:ligatures w14:val="standardContextual"/>
        </w:rPr>
        <w:t>Bluefield</w:t>
      </w:r>
      <w:r w:rsidR="009F1383">
        <w:rPr>
          <w:rFonts w:eastAsia="Calibri" w:cs="Times New Roman"/>
          <w:color w:val="1A1A1A"/>
          <w:szCs w:val="24"/>
          <w14:ligatures w14:val="standardContextual"/>
        </w:rPr>
        <w:t>”</w:t>
      </w:r>
      <w:r w:rsidRPr="001D7812">
        <w:rPr>
          <w:rFonts w:eastAsia="Calibri" w:cs="Times New Roman"/>
          <w:color w:val="1A1A1A"/>
          <w:szCs w:val="24"/>
          <w14:ligatures w14:val="standardContextual"/>
        </w:rPr>
        <w:t xml:space="preserve">) and </w:t>
      </w:r>
      <w:r w:rsidRPr="001D7812">
        <w:rPr>
          <w:rFonts w:eastAsia="Calibri" w:cs="Times New Roman"/>
          <w:i/>
          <w:iCs/>
          <w:color w:val="1A1A1A"/>
          <w:szCs w:val="24"/>
          <w14:ligatures w14:val="standardContextual"/>
        </w:rPr>
        <w:t>FPC v. Hope Natural Gas Co</w:t>
      </w:r>
      <w:r w:rsidRPr="001D7812">
        <w:rPr>
          <w:rFonts w:eastAsia="Calibri" w:cs="Times New Roman"/>
          <w:color w:val="1A1A1A"/>
          <w:szCs w:val="24"/>
          <w14:ligatures w14:val="standardContextual"/>
        </w:rPr>
        <w:t>., 320 U.S. 591 (1944) (</w:t>
      </w:r>
      <w:r w:rsidR="009F1383">
        <w:rPr>
          <w:rFonts w:eastAsia="Calibri" w:cs="Times New Roman"/>
          <w:color w:val="1A1A1A"/>
          <w:szCs w:val="24"/>
          <w14:ligatures w14:val="standardContextual"/>
        </w:rPr>
        <w:t>“</w:t>
      </w:r>
      <w:r w:rsidRPr="001D7812">
        <w:rPr>
          <w:rFonts w:eastAsia="Calibri" w:cs="Times New Roman"/>
          <w:color w:val="1A1A1A"/>
          <w:szCs w:val="24"/>
          <w14:ligatures w14:val="standardContextual"/>
        </w:rPr>
        <w:t>Hope</w:t>
      </w:r>
      <w:r w:rsidR="009F1383">
        <w:rPr>
          <w:rFonts w:eastAsia="Calibri" w:cs="Times New Roman"/>
          <w:color w:val="1A1A1A"/>
          <w:szCs w:val="24"/>
          <w14:ligatures w14:val="standardContextual"/>
        </w:rPr>
        <w:t>”</w:t>
      </w:r>
      <w:r w:rsidRPr="001D7812">
        <w:rPr>
          <w:rFonts w:eastAsia="Calibri" w:cs="Times New Roman"/>
          <w:color w:val="1A1A1A"/>
          <w:szCs w:val="24"/>
          <w14:ligatures w14:val="standardContextual"/>
        </w:rPr>
        <w:t xml:space="preserve">). The </w:t>
      </w:r>
      <w:r w:rsidRPr="001D7812">
        <w:rPr>
          <w:rFonts w:eastAsia="Calibri" w:cs="Times New Roman"/>
          <w:i/>
          <w:iCs/>
          <w:color w:val="1A1A1A"/>
          <w:szCs w:val="24"/>
          <w14:ligatures w14:val="standardContextual"/>
        </w:rPr>
        <w:t>Bluefield</w:t>
      </w:r>
      <w:r w:rsidRPr="001D7812">
        <w:rPr>
          <w:rFonts w:eastAsia="Calibri" w:cs="Times New Roman"/>
          <w:color w:val="1A1A1A"/>
          <w:szCs w:val="24"/>
          <w14:ligatures w14:val="standardContextual"/>
        </w:rPr>
        <w:t xml:space="preserve"> decision can be summarized as follows: </w:t>
      </w:r>
      <w:r w:rsidR="009F1383">
        <w:rPr>
          <w:rFonts w:eastAsia="Calibri" w:cs="Times New Roman"/>
          <w:color w:val="1A1A1A"/>
          <w:szCs w:val="24"/>
          <w14:ligatures w14:val="standardContextual"/>
        </w:rPr>
        <w:t>“</w:t>
      </w:r>
      <w:r w:rsidRPr="001D7812">
        <w:rPr>
          <w:rFonts w:eastAsia="Calibri" w:cs="Times New Roman"/>
          <w:color w:val="1A1A1A"/>
          <w:szCs w:val="24"/>
          <w14:ligatures w14:val="standardContextual"/>
        </w:rPr>
        <w:t>The return should be reasonably sufficient to assure confidence in the financial soundness of the utility and should be adequate, under efficient and economical management to maintain and support its credit to enable the utility to raise necessary capital.</w:t>
      </w:r>
      <w:r w:rsidR="009F1383">
        <w:rPr>
          <w:rFonts w:eastAsia="Calibri" w:cs="Times New Roman"/>
          <w:color w:val="1A1A1A"/>
          <w:szCs w:val="24"/>
          <w14:ligatures w14:val="standardContextual"/>
        </w:rPr>
        <w:t>”</w:t>
      </w:r>
      <w:r>
        <w:rPr>
          <w:rFonts w:eastAsia="Calibri" w:cs="Times New Roman"/>
          <w:szCs w:val="24"/>
          <w:vertAlign w:val="superscript"/>
          <w14:ligatures w14:val="standardContextual"/>
        </w:rPr>
        <w:footnoteReference w:id="56"/>
      </w:r>
    </w:p>
    <w:bookmarkEnd w:id="11"/>
    <w:p w:rsidR="00D343BE" w:rsidRPr="001D7812" w:rsidP="00D343BE" w14:paraId="6832413B" w14:textId="77777777">
      <w:pPr>
        <w:spacing w:line="480" w:lineRule="auto"/>
        <w:ind w:firstLine="720"/>
        <w:rPr>
          <w:rFonts w:eastAsia="Calibri" w:cs="Times New Roman"/>
          <w:szCs w:val="24"/>
          <w14:ligatures w14:val="standardContextual"/>
        </w:rPr>
      </w:pPr>
      <w:r w:rsidRPr="001D7812">
        <w:rPr>
          <w:rFonts w:eastAsia="Calibri" w:cs="Times New Roman"/>
          <w:szCs w:val="24"/>
          <w14:ligatures w14:val="standardContextual"/>
        </w:rPr>
        <w:t xml:space="preserve">The </w:t>
      </w:r>
      <w:r w:rsidRPr="001D7812">
        <w:rPr>
          <w:rFonts w:eastAsia="Calibri" w:cs="Times New Roman"/>
          <w:i/>
          <w:iCs/>
          <w:szCs w:val="24"/>
          <w14:ligatures w14:val="standardContextual"/>
        </w:rPr>
        <w:t>Hope</w:t>
      </w:r>
      <w:r w:rsidRPr="001D7812">
        <w:rPr>
          <w:rFonts w:eastAsia="Calibri" w:cs="Times New Roman"/>
          <w:szCs w:val="24"/>
          <w14:ligatures w14:val="standardContextual"/>
        </w:rPr>
        <w:t xml:space="preserve"> decision can be summarized as follows: </w:t>
      </w:r>
    </w:p>
    <w:p w:rsidR="00D343BE" w:rsidRPr="001D7812" w:rsidP="00514D11" w14:paraId="6AFD6CD7" w14:textId="77777777">
      <w:pPr>
        <w:ind w:left="1440" w:right="1440"/>
        <w:rPr>
          <w:rFonts w:eastAsia="Calibri" w:cs="Times New Roman"/>
          <w:szCs w:val="24"/>
          <w14:ligatures w14:val="standardContextual"/>
        </w:rPr>
      </w:pPr>
      <w:r w:rsidRPr="001D7812">
        <w:rPr>
          <w:rFonts w:eastAsia="Calibri" w:cs="Times New Roman"/>
          <w:szCs w:val="24"/>
          <w14:ligatures w14:val="standardContextual"/>
        </w:rPr>
        <w:t xml:space="preserve">The return to the equity owner should be commensurate with returns on investments in other enterprises having corresponding risks. That return, moreover, should be sufficient to assure confidence in the financial integrity of the enterprise, so as to maintain its credit and attract capital. </w:t>
      </w:r>
      <w:r w:rsidRPr="001D7812">
        <w:rPr>
          <w:rFonts w:eastAsia="Calibri" w:cs="Times New Roman"/>
          <w:b/>
          <w:bCs/>
          <w:i/>
          <w:iCs/>
          <w:szCs w:val="24"/>
          <w14:ligatures w14:val="standardContextual"/>
        </w:rPr>
        <w:t>In addition, it is the end result that is important and not the methods used to arrive at the rates.</w:t>
      </w:r>
      <w:r>
        <w:rPr>
          <w:rFonts w:eastAsia="Calibri" w:cs="Times New Roman"/>
          <w:szCs w:val="24"/>
          <w:vertAlign w:val="superscript"/>
          <w14:ligatures w14:val="standardContextual"/>
        </w:rPr>
        <w:footnoteReference w:id="57"/>
      </w:r>
    </w:p>
    <w:p w:rsidR="00D343BE" w:rsidRPr="001D7812" w:rsidP="00D343BE" w14:paraId="17457057" w14:textId="77777777">
      <w:pPr>
        <w:spacing w:line="259" w:lineRule="auto"/>
        <w:ind w:left="720" w:right="720"/>
        <w:rPr>
          <w:rFonts w:eastAsia="Calibri" w:cs="Times New Roman"/>
          <w:szCs w:val="24"/>
          <w14:ligatures w14:val="standardContextual"/>
        </w:rPr>
      </w:pPr>
    </w:p>
    <w:p w:rsidR="00D343BE" w:rsidRPr="001D7812" w:rsidP="00D343BE" w14:paraId="5DF37360" w14:textId="77777777">
      <w:pPr>
        <w:spacing w:line="480" w:lineRule="auto"/>
        <w:ind w:firstLine="720"/>
        <w:rPr>
          <w:rFonts w:cs="Times New Roman"/>
          <w:szCs w:val="24"/>
        </w:rPr>
      </w:pPr>
      <w:r w:rsidRPr="001D7812">
        <w:rPr>
          <w:rFonts w:cs="Times New Roman"/>
          <w:szCs w:val="24"/>
        </w:rPr>
        <w:t xml:space="preserve">For a regulated monopoly, such as a public utility, the regulator determines the level of profit available to the public utility. The United States Supreme Court established the guiding principles for determining an appropriate level of profitability for regulated public utilities in </w:t>
      </w:r>
      <w:r w:rsidRPr="001D7812">
        <w:rPr>
          <w:rFonts w:cs="Times New Roman"/>
          <w:i/>
          <w:iCs/>
          <w:szCs w:val="24"/>
        </w:rPr>
        <w:t>Hope</w:t>
      </w:r>
      <w:r w:rsidRPr="001D7812">
        <w:rPr>
          <w:rFonts w:cs="Times New Roman"/>
          <w:szCs w:val="24"/>
        </w:rPr>
        <w:t xml:space="preserve"> and </w:t>
      </w:r>
      <w:r w:rsidRPr="001D7812">
        <w:rPr>
          <w:rFonts w:cs="Times New Roman"/>
          <w:i/>
          <w:iCs/>
          <w:szCs w:val="24"/>
        </w:rPr>
        <w:t>Bluefield</w:t>
      </w:r>
      <w:r w:rsidRPr="001D7812">
        <w:rPr>
          <w:rFonts w:cs="Times New Roman"/>
          <w:szCs w:val="24"/>
        </w:rPr>
        <w:t xml:space="preserve">. In those cases, the Court recognized that the fair rate of return on equity should be: </w:t>
      </w:r>
    </w:p>
    <w:p w:rsidR="00D343BE" w:rsidRPr="001D7812" w:rsidP="00181C78" w14:paraId="5F9E0570" w14:textId="77777777">
      <w:pPr>
        <w:ind w:left="1440" w:right="1440" w:hanging="720"/>
        <w:rPr>
          <w:rFonts w:cs="Times New Roman"/>
          <w:szCs w:val="24"/>
        </w:rPr>
      </w:pPr>
      <w:r w:rsidRPr="001D7812">
        <w:rPr>
          <w:rFonts w:cs="Times New Roman"/>
          <w:szCs w:val="24"/>
        </w:rPr>
        <w:t>(1)</w:t>
      </w:r>
      <w:r w:rsidRPr="001D7812">
        <w:rPr>
          <w:rFonts w:cs="Times New Roman"/>
          <w:szCs w:val="24"/>
        </w:rPr>
        <w:tab/>
        <w:t>comparable to returns investors expect to earn on other investments of similar risk;</w:t>
      </w:r>
    </w:p>
    <w:p w:rsidR="00D343BE" w:rsidRPr="001D7812" w:rsidP="00181C78" w14:paraId="4C43722D" w14:textId="77777777">
      <w:pPr>
        <w:ind w:left="1440" w:right="1440" w:hanging="720"/>
        <w:rPr>
          <w:rFonts w:cs="Times New Roman"/>
          <w:szCs w:val="24"/>
        </w:rPr>
      </w:pPr>
    </w:p>
    <w:p w:rsidR="00D343BE" w:rsidRPr="001D7812" w:rsidP="00181C78" w14:paraId="5280160B" w14:textId="78FED1F2">
      <w:pPr>
        <w:ind w:left="1440" w:right="1440" w:hanging="720"/>
        <w:rPr>
          <w:rFonts w:cs="Times New Roman"/>
          <w:szCs w:val="24"/>
        </w:rPr>
      </w:pPr>
      <w:r w:rsidRPr="001D7812">
        <w:rPr>
          <w:rFonts w:cs="Times New Roman"/>
          <w:szCs w:val="24"/>
        </w:rPr>
        <w:t>(2)</w:t>
      </w:r>
      <w:r w:rsidRPr="001D7812">
        <w:rPr>
          <w:rFonts w:cs="Times New Roman"/>
          <w:szCs w:val="24"/>
        </w:rPr>
        <w:tab/>
        <w:t>sufficient to assure confidence in the company</w:t>
      </w:r>
      <w:r w:rsidR="009F1383">
        <w:rPr>
          <w:rFonts w:cs="Times New Roman"/>
          <w:szCs w:val="24"/>
        </w:rPr>
        <w:t>’</w:t>
      </w:r>
      <w:r w:rsidRPr="001D7812">
        <w:rPr>
          <w:rFonts w:cs="Times New Roman"/>
          <w:szCs w:val="24"/>
        </w:rPr>
        <w:t xml:space="preserve">s financial integrity; and </w:t>
      </w:r>
    </w:p>
    <w:p w:rsidR="00D343BE" w:rsidRPr="001D7812" w:rsidP="00181C78" w14:paraId="16DA7AD7" w14:textId="77777777">
      <w:pPr>
        <w:ind w:left="1440" w:right="1440" w:hanging="720"/>
        <w:rPr>
          <w:rFonts w:cs="Times New Roman"/>
          <w:szCs w:val="24"/>
        </w:rPr>
      </w:pPr>
    </w:p>
    <w:p w:rsidR="00D343BE" w:rsidRPr="001D7812" w:rsidP="00181C78" w14:paraId="56A75196" w14:textId="5937D732">
      <w:pPr>
        <w:ind w:left="1440" w:right="1440" w:hanging="720"/>
        <w:rPr>
          <w:rFonts w:cs="Times New Roman"/>
          <w:szCs w:val="24"/>
        </w:rPr>
      </w:pPr>
      <w:r w:rsidRPr="001D7812">
        <w:rPr>
          <w:rFonts w:cs="Times New Roman"/>
          <w:szCs w:val="24"/>
        </w:rPr>
        <w:t>(3)</w:t>
      </w:r>
      <w:r w:rsidRPr="001D7812">
        <w:rPr>
          <w:rFonts w:cs="Times New Roman"/>
          <w:szCs w:val="24"/>
        </w:rPr>
        <w:tab/>
        <w:t>adequate to maintain and support the company</w:t>
      </w:r>
      <w:r w:rsidR="009F1383">
        <w:rPr>
          <w:rFonts w:cs="Times New Roman"/>
          <w:szCs w:val="24"/>
        </w:rPr>
        <w:t>’</w:t>
      </w:r>
      <w:r w:rsidRPr="001D7812">
        <w:rPr>
          <w:rFonts w:cs="Times New Roman"/>
          <w:szCs w:val="24"/>
        </w:rPr>
        <w:t>s credit and to attract capital.</w:t>
      </w:r>
      <w:r>
        <w:rPr>
          <w:rStyle w:val="FootnoteReference"/>
          <w:rFonts w:cs="Times New Roman"/>
          <w:szCs w:val="24"/>
        </w:rPr>
        <w:footnoteReference w:id="58"/>
      </w:r>
      <w:r w:rsidRPr="001D7812">
        <w:rPr>
          <w:rFonts w:cs="Times New Roman"/>
          <w:szCs w:val="24"/>
        </w:rPr>
        <w:t xml:space="preserve"> </w:t>
      </w:r>
    </w:p>
    <w:p w:rsidR="00D343BE" w:rsidRPr="001D7812" w:rsidP="00D343BE" w14:paraId="6BF1CC45" w14:textId="77777777">
      <w:pPr>
        <w:ind w:left="1728" w:right="720" w:hanging="720"/>
        <w:rPr>
          <w:rFonts w:cs="Times New Roman"/>
          <w:szCs w:val="24"/>
        </w:rPr>
      </w:pPr>
    </w:p>
    <w:p w:rsidR="00D343BE" w:rsidRPr="001D7812" w:rsidP="00D343BE" w14:paraId="363658AC" w14:textId="77777777">
      <w:pPr>
        <w:spacing w:line="480" w:lineRule="auto"/>
        <w:ind w:firstLine="720"/>
        <w:rPr>
          <w:rFonts w:cs="Times New Roman"/>
          <w:szCs w:val="24"/>
        </w:rPr>
      </w:pPr>
      <w:r w:rsidRPr="001D7812">
        <w:rPr>
          <w:rFonts w:cs="Times New Roman"/>
          <w:szCs w:val="24"/>
        </w:rPr>
        <w:t>Thus, the appropriate ROE for a regulated utility requires determining the market-based cost of equity. The market-based cost of equity for a regulated firm represents the return investors could expect from other investments, while assuming no more and no less risk. The purpose of all the economic models and formulas for calculating cost of capital or cost of equity for a regulated firm is to estimate, using market data for firms with similar risk, the rate of return on equity investors require for that risk class of firms.</w:t>
      </w:r>
      <w:r>
        <w:rPr>
          <w:rFonts w:cs="Times New Roman"/>
          <w:szCs w:val="24"/>
          <w:vertAlign w:val="superscript"/>
        </w:rPr>
        <w:footnoteReference w:id="59"/>
      </w:r>
    </w:p>
    <w:p w:rsidR="006E6E2B" w:rsidRPr="001D7812" w:rsidP="00D343BE" w14:paraId="006C9669" w14:textId="205672BA">
      <w:pPr>
        <w:spacing w:line="480" w:lineRule="auto"/>
        <w:ind w:firstLine="720"/>
        <w:rPr>
          <w:rFonts w:cs="Times New Roman"/>
          <w:szCs w:val="24"/>
        </w:rPr>
      </w:pPr>
      <w:r w:rsidRPr="001D7812">
        <w:rPr>
          <w:rFonts w:cs="Times New Roman"/>
          <w:szCs w:val="24"/>
        </w:rPr>
        <w:t>There are many ways to measure the risk of an entity.</w:t>
      </w:r>
      <w:r w:rsidRPr="001D7812" w:rsidR="00CE2F18">
        <w:rPr>
          <w:rFonts w:cs="Times New Roman"/>
          <w:szCs w:val="24"/>
        </w:rPr>
        <w:t xml:space="preserve"> </w:t>
      </w:r>
      <w:r w:rsidRPr="001D7812">
        <w:rPr>
          <w:rFonts w:cs="Times New Roman"/>
          <w:szCs w:val="24"/>
        </w:rPr>
        <w:t>One methodology is to evaluate the current average rate of return for electric utilities nationwide.</w:t>
      </w:r>
      <w:r w:rsidRPr="001D7812" w:rsidR="00CE2F18">
        <w:rPr>
          <w:rFonts w:cs="Times New Roman"/>
          <w:szCs w:val="24"/>
        </w:rPr>
        <w:t xml:space="preserve"> </w:t>
      </w:r>
      <w:r w:rsidRPr="001D7812">
        <w:rPr>
          <w:rFonts w:cs="Times New Roman"/>
          <w:szCs w:val="24"/>
        </w:rPr>
        <w:t>OCC witness Buckley testified that</w:t>
      </w:r>
      <w:r w:rsidRPr="001D7812">
        <w:rPr>
          <w:rFonts w:cs="Times New Roman"/>
          <w:szCs w:val="24"/>
        </w:rPr>
        <w:t xml:space="preserve"> the average rate of return for electric utilities currently being granted nationwide for the period from January 1, 2023 through June 30, 2023 was 6.82 percent based on the outcome of 19 electric rate cases.</w:t>
      </w:r>
      <w:r>
        <w:rPr>
          <w:rStyle w:val="FootnoteReference"/>
          <w:rFonts w:cs="Times New Roman"/>
          <w:szCs w:val="24"/>
        </w:rPr>
        <w:footnoteReference w:id="60"/>
      </w:r>
      <w:r w:rsidRPr="001D7812" w:rsidR="00BA68D3">
        <w:rPr>
          <w:rFonts w:cs="Times New Roman"/>
          <w:szCs w:val="24"/>
        </w:rPr>
        <w:t xml:space="preserve"> Mr. Buckley </w:t>
      </w:r>
      <w:r w:rsidRPr="001D7812" w:rsidR="00605915">
        <w:rPr>
          <w:rFonts w:cs="Times New Roman"/>
          <w:szCs w:val="24"/>
        </w:rPr>
        <w:t>testified</w:t>
      </w:r>
      <w:r w:rsidRPr="001D7812" w:rsidR="00BA68D3">
        <w:rPr>
          <w:rFonts w:cs="Times New Roman"/>
          <w:szCs w:val="24"/>
        </w:rPr>
        <w:t xml:space="preserve"> that an appropriate return on equity for FirstEnergy would be 9.22 percent, based on the average rate of return for distribution-only electric utilities for the last six months.</w:t>
      </w:r>
      <w:r>
        <w:rPr>
          <w:rStyle w:val="FootnoteReference"/>
          <w:rFonts w:cs="Times New Roman"/>
          <w:szCs w:val="24"/>
        </w:rPr>
        <w:footnoteReference w:id="61"/>
      </w:r>
      <w:r w:rsidRPr="001D7812" w:rsidR="00CE2F18">
        <w:rPr>
          <w:rFonts w:cs="Times New Roman"/>
          <w:szCs w:val="24"/>
        </w:rPr>
        <w:t xml:space="preserve"> </w:t>
      </w:r>
      <w:r w:rsidRPr="001D7812" w:rsidR="00605915">
        <w:rPr>
          <w:rFonts w:cs="Times New Roman"/>
          <w:szCs w:val="24"/>
        </w:rPr>
        <w:t>Mr. Buckley concluded that FirstEnergy did not have a much higher or lower risk profile as compared to the average overall risk profile of the distribution-only electric utilities in this comparison group.</w:t>
      </w:r>
      <w:r>
        <w:rPr>
          <w:rStyle w:val="FootnoteReference"/>
          <w:rFonts w:cs="Times New Roman"/>
          <w:szCs w:val="24"/>
        </w:rPr>
        <w:footnoteReference w:id="62"/>
      </w:r>
    </w:p>
    <w:p w:rsidR="006E6E2B" w:rsidRPr="001D7812" w:rsidP="00D343BE" w14:paraId="1554D110" w14:textId="7C03F333">
      <w:pPr>
        <w:spacing w:line="480" w:lineRule="auto"/>
        <w:ind w:firstLine="720"/>
        <w:rPr>
          <w:rFonts w:cs="Times New Roman"/>
          <w:szCs w:val="24"/>
        </w:rPr>
      </w:pPr>
      <w:r w:rsidRPr="001D7812">
        <w:rPr>
          <w:rFonts w:cs="Times New Roman"/>
          <w:szCs w:val="24"/>
        </w:rPr>
        <w:t>Mr. Buckley determined that the appropriate cost of debt for FirstEnergy was 5.36%</w:t>
      </w:r>
      <w:r w:rsidRPr="001D7812" w:rsidR="00B351D5">
        <w:rPr>
          <w:rFonts w:cs="Times New Roman"/>
          <w:szCs w:val="24"/>
        </w:rPr>
        <w:t>, based on the following calculation:</w:t>
      </w:r>
      <w:r>
        <w:rPr>
          <w:rStyle w:val="FootnoteReference"/>
          <w:rFonts w:cs="Times New Roman"/>
          <w:szCs w:val="24"/>
        </w:rPr>
        <w:footnoteReference w:id="63"/>
      </w:r>
      <w:r w:rsidRPr="001D7812" w:rsidR="00B351D5">
        <w:rPr>
          <w:rFonts w:cs="Times New Roman"/>
          <w:szCs w:val="24"/>
        </w:rPr>
        <w:t xml:space="preserve"> </w:t>
      </w:r>
    </w:p>
    <w:tbl>
      <w:tblPr>
        <w:tblW w:w="647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960"/>
        <w:gridCol w:w="2190"/>
        <w:gridCol w:w="1800"/>
        <w:gridCol w:w="1525"/>
      </w:tblGrid>
      <w:tr w14:paraId="39235475" w14:textId="77777777" w:rsidTr="00E971F0">
        <w:tblPrEx>
          <w:tblW w:w="647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00"/>
          <w:jc w:val="center"/>
        </w:trPr>
        <w:tc>
          <w:tcPr>
            <w:tcW w:w="960" w:type="dxa"/>
            <w:shd w:val="clear" w:color="auto" w:fill="auto"/>
            <w:noWrap/>
            <w:vAlign w:val="bottom"/>
            <w:hideMark/>
          </w:tcPr>
          <w:p w:rsidR="00D930AD" w:rsidRPr="001D7812" w:rsidP="00E971F0" w14:paraId="34F51F8B" w14:textId="77777777">
            <w:pPr>
              <w:spacing w:after="0" w:line="240" w:lineRule="auto"/>
              <w:jc w:val="center"/>
              <w:rPr>
                <w:rFonts w:ascii="Times New Roman" w:hAnsi="Times New Roman" w:eastAsiaTheme="minorHAnsi" w:cs="Times New Roman"/>
                <w:sz w:val="24"/>
                <w:szCs w:val="24"/>
                <w:lang w:val="en-US" w:eastAsia="en-US" w:bidi="ar-SA"/>
              </w:rPr>
            </w:pPr>
          </w:p>
        </w:tc>
        <w:tc>
          <w:tcPr>
            <w:tcW w:w="2190" w:type="dxa"/>
            <w:shd w:val="clear" w:color="auto" w:fill="auto"/>
            <w:noWrap/>
            <w:vAlign w:val="bottom"/>
            <w:hideMark/>
          </w:tcPr>
          <w:p w:rsidR="00D930AD" w:rsidRPr="001D7812" w:rsidP="00E971F0" w14:paraId="3AC7E067" w14:textId="77777777">
            <w:pPr>
              <w:spacing w:after="0" w:line="240" w:lineRule="auto"/>
              <w:jc w:val="center"/>
              <w:rPr>
                <w:rFonts w:ascii="Times New Roman" w:hAnsi="Times New Roman" w:eastAsiaTheme="minorHAnsi" w:cs="Times New Roman"/>
                <w:b/>
                <w:bCs/>
                <w:color w:val="000000"/>
                <w:sz w:val="24"/>
                <w:szCs w:val="24"/>
                <w:lang w:val="en-US" w:eastAsia="en-US" w:bidi="ar-SA"/>
              </w:rPr>
            </w:pPr>
            <w:r w:rsidRPr="001D7812">
              <w:rPr>
                <w:rFonts w:ascii="Times New Roman" w:hAnsi="Times New Roman" w:eastAsiaTheme="minorHAnsi" w:cs="Times New Roman"/>
                <w:b/>
                <w:bCs/>
                <w:color w:val="000000"/>
                <w:sz w:val="24"/>
                <w:szCs w:val="24"/>
                <w:lang w:val="en-US" w:eastAsia="en-US" w:bidi="ar-SA"/>
              </w:rPr>
              <w:t>Interest Expense</w:t>
            </w:r>
          </w:p>
        </w:tc>
        <w:tc>
          <w:tcPr>
            <w:tcW w:w="1800" w:type="dxa"/>
            <w:shd w:val="clear" w:color="auto" w:fill="auto"/>
            <w:noWrap/>
            <w:vAlign w:val="bottom"/>
            <w:hideMark/>
          </w:tcPr>
          <w:p w:rsidR="00D930AD" w:rsidRPr="001D7812" w:rsidP="00E971F0" w14:paraId="20F89F25" w14:textId="77777777">
            <w:pPr>
              <w:spacing w:after="0" w:line="240" w:lineRule="auto"/>
              <w:jc w:val="center"/>
              <w:rPr>
                <w:rFonts w:ascii="Times New Roman" w:hAnsi="Times New Roman" w:eastAsiaTheme="minorHAnsi" w:cs="Times New Roman"/>
                <w:b/>
                <w:bCs/>
                <w:color w:val="000000"/>
                <w:sz w:val="24"/>
                <w:szCs w:val="24"/>
                <w:lang w:val="en-US" w:eastAsia="en-US" w:bidi="ar-SA"/>
              </w:rPr>
            </w:pPr>
            <w:r w:rsidRPr="001D7812">
              <w:rPr>
                <w:rFonts w:ascii="Times New Roman" w:hAnsi="Times New Roman" w:eastAsiaTheme="minorHAnsi" w:cs="Times New Roman"/>
                <w:b/>
                <w:bCs/>
                <w:color w:val="000000"/>
                <w:sz w:val="24"/>
                <w:szCs w:val="24"/>
                <w:lang w:val="en-US" w:eastAsia="en-US" w:bidi="ar-SA"/>
              </w:rPr>
              <w:t>Long Term Debt</w:t>
            </w:r>
          </w:p>
        </w:tc>
        <w:tc>
          <w:tcPr>
            <w:tcW w:w="1525" w:type="dxa"/>
            <w:shd w:val="clear" w:color="auto" w:fill="auto"/>
            <w:noWrap/>
            <w:vAlign w:val="bottom"/>
            <w:hideMark/>
          </w:tcPr>
          <w:p w:rsidR="00D930AD" w:rsidRPr="001D7812" w:rsidP="00E971F0" w14:paraId="7CFE0C1B" w14:textId="77777777">
            <w:pPr>
              <w:spacing w:after="0" w:line="240" w:lineRule="auto"/>
              <w:jc w:val="center"/>
              <w:rPr>
                <w:rFonts w:ascii="Times New Roman" w:hAnsi="Times New Roman" w:eastAsiaTheme="minorHAnsi" w:cs="Times New Roman"/>
                <w:b/>
                <w:bCs/>
                <w:color w:val="000000"/>
                <w:sz w:val="24"/>
                <w:szCs w:val="24"/>
                <w:lang w:val="en-US" w:eastAsia="en-US" w:bidi="ar-SA"/>
              </w:rPr>
            </w:pPr>
            <w:r w:rsidRPr="001D7812">
              <w:rPr>
                <w:rFonts w:ascii="Times New Roman" w:hAnsi="Times New Roman" w:eastAsiaTheme="minorHAnsi" w:cs="Times New Roman"/>
                <w:b/>
                <w:bCs/>
                <w:color w:val="000000"/>
                <w:sz w:val="24"/>
                <w:szCs w:val="24"/>
                <w:lang w:val="en-US" w:eastAsia="en-US" w:bidi="ar-SA"/>
              </w:rPr>
              <w:t>Cost of Debt</w:t>
            </w:r>
          </w:p>
        </w:tc>
      </w:tr>
      <w:tr w14:paraId="758EEBF0" w14:textId="77777777" w:rsidTr="00E971F0">
        <w:tblPrEx>
          <w:tblW w:w="6475" w:type="dxa"/>
          <w:jc w:val="center"/>
          <w:tblInd w:w="0" w:type="dxa"/>
          <w:tblCellMar>
            <w:top w:w="0" w:type="dxa"/>
            <w:left w:w="108" w:type="dxa"/>
            <w:bottom w:w="0" w:type="dxa"/>
            <w:right w:w="108" w:type="dxa"/>
          </w:tblCellMar>
          <w:tblLook w:val="04A0"/>
        </w:tblPrEx>
        <w:trPr>
          <w:trHeight w:val="300"/>
          <w:jc w:val="center"/>
        </w:trPr>
        <w:tc>
          <w:tcPr>
            <w:tcW w:w="960" w:type="dxa"/>
            <w:shd w:val="clear" w:color="auto" w:fill="auto"/>
            <w:noWrap/>
            <w:vAlign w:val="bottom"/>
            <w:hideMark/>
          </w:tcPr>
          <w:p w:rsidR="00D930AD" w:rsidRPr="001D7812" w:rsidP="00E971F0" w14:paraId="1B6BCEAB" w14:textId="77777777">
            <w:pPr>
              <w:spacing w:after="0" w:line="240" w:lineRule="auto"/>
              <w:rPr>
                <w:rFonts w:ascii="Times New Roman" w:hAnsi="Times New Roman" w:eastAsiaTheme="minorHAnsi" w:cs="Times New Roman"/>
                <w:b/>
                <w:bCs/>
                <w:color w:val="000000"/>
                <w:sz w:val="24"/>
                <w:szCs w:val="24"/>
                <w:lang w:val="en-US" w:eastAsia="en-US" w:bidi="ar-SA"/>
              </w:rPr>
            </w:pPr>
            <w:r w:rsidRPr="001D7812">
              <w:rPr>
                <w:rFonts w:ascii="Times New Roman" w:hAnsi="Times New Roman" w:eastAsiaTheme="minorHAnsi" w:cs="Times New Roman"/>
                <w:b/>
                <w:bCs/>
                <w:color w:val="000000"/>
                <w:sz w:val="24"/>
                <w:szCs w:val="24"/>
                <w:lang w:val="en-US" w:eastAsia="en-US" w:bidi="ar-SA"/>
              </w:rPr>
              <w:t>CEI</w:t>
            </w:r>
          </w:p>
        </w:tc>
        <w:tc>
          <w:tcPr>
            <w:tcW w:w="2190" w:type="dxa"/>
            <w:shd w:val="clear" w:color="auto" w:fill="auto"/>
            <w:noWrap/>
            <w:vAlign w:val="bottom"/>
            <w:hideMark/>
          </w:tcPr>
          <w:p w:rsidR="00D930AD" w:rsidRPr="001D7812" w:rsidP="00E971F0" w14:paraId="11E43883" w14:textId="77777777">
            <w:pPr>
              <w:spacing w:after="0" w:line="240" w:lineRule="auto"/>
              <w:jc w:val="center"/>
              <w:rPr>
                <w:rFonts w:ascii="Times New Roman" w:hAnsi="Times New Roman" w:eastAsiaTheme="minorHAnsi" w:cs="Times New Roman"/>
                <w:color w:val="000000"/>
                <w:sz w:val="24"/>
                <w:szCs w:val="24"/>
                <w:lang w:val="en-US" w:eastAsia="en-US" w:bidi="ar-SA"/>
              </w:rPr>
            </w:pPr>
            <w:r w:rsidRPr="001D7812">
              <w:rPr>
                <w:rFonts w:ascii="Times New Roman" w:hAnsi="Times New Roman" w:eastAsiaTheme="minorHAnsi" w:cs="Times New Roman"/>
                <w:color w:val="000000"/>
                <w:sz w:val="24"/>
                <w:szCs w:val="24"/>
                <w:lang w:val="en-US" w:eastAsia="en-US" w:bidi="ar-SA"/>
              </w:rPr>
              <w:t>75,000</w:t>
            </w:r>
          </w:p>
        </w:tc>
        <w:tc>
          <w:tcPr>
            <w:tcW w:w="1800" w:type="dxa"/>
            <w:shd w:val="clear" w:color="auto" w:fill="auto"/>
            <w:noWrap/>
            <w:vAlign w:val="bottom"/>
            <w:hideMark/>
          </w:tcPr>
          <w:p w:rsidR="00D930AD" w:rsidRPr="001D7812" w:rsidP="00E971F0" w14:paraId="7B58AA84" w14:textId="77777777">
            <w:pPr>
              <w:spacing w:after="0" w:line="240" w:lineRule="auto"/>
              <w:jc w:val="center"/>
              <w:rPr>
                <w:rFonts w:ascii="Times New Roman" w:hAnsi="Times New Roman" w:eastAsiaTheme="minorHAnsi" w:cs="Times New Roman"/>
                <w:color w:val="000000"/>
                <w:sz w:val="24"/>
                <w:szCs w:val="24"/>
                <w:lang w:val="en-US" w:eastAsia="en-US" w:bidi="ar-SA"/>
              </w:rPr>
            </w:pPr>
            <w:r w:rsidRPr="001D7812">
              <w:rPr>
                <w:rFonts w:ascii="Times New Roman" w:hAnsi="Times New Roman" w:eastAsiaTheme="minorHAnsi" w:cs="Times New Roman"/>
                <w:color w:val="000000"/>
                <w:sz w:val="24"/>
                <w:szCs w:val="24"/>
                <w:lang w:val="en-US" w:eastAsia="en-US" w:bidi="ar-SA"/>
              </w:rPr>
              <w:t>1,403,000</w:t>
            </w:r>
          </w:p>
        </w:tc>
        <w:tc>
          <w:tcPr>
            <w:tcW w:w="1525" w:type="dxa"/>
            <w:shd w:val="clear" w:color="auto" w:fill="auto"/>
            <w:noWrap/>
            <w:vAlign w:val="bottom"/>
            <w:hideMark/>
          </w:tcPr>
          <w:p w:rsidR="00D930AD" w:rsidRPr="001D7812" w:rsidP="00E971F0" w14:paraId="13927B3F" w14:textId="77777777">
            <w:pPr>
              <w:spacing w:after="0" w:line="240" w:lineRule="auto"/>
              <w:jc w:val="center"/>
              <w:rPr>
                <w:rFonts w:ascii="Times New Roman" w:hAnsi="Times New Roman" w:eastAsiaTheme="minorHAnsi" w:cs="Times New Roman"/>
                <w:color w:val="000000"/>
                <w:sz w:val="24"/>
                <w:szCs w:val="24"/>
                <w:lang w:val="en-US" w:eastAsia="en-US" w:bidi="ar-SA"/>
              </w:rPr>
            </w:pPr>
            <w:r w:rsidRPr="001D7812">
              <w:rPr>
                <w:rFonts w:ascii="Times New Roman" w:hAnsi="Times New Roman" w:eastAsiaTheme="minorHAnsi" w:cs="Times New Roman"/>
                <w:color w:val="000000"/>
                <w:sz w:val="24"/>
                <w:szCs w:val="24"/>
                <w:lang w:val="en-US" w:eastAsia="en-US" w:bidi="ar-SA"/>
              </w:rPr>
              <w:t>5.35%</w:t>
            </w:r>
          </w:p>
        </w:tc>
      </w:tr>
      <w:tr w14:paraId="25A247D3" w14:textId="77777777" w:rsidTr="00E971F0">
        <w:tblPrEx>
          <w:tblW w:w="6475" w:type="dxa"/>
          <w:jc w:val="center"/>
          <w:tblInd w:w="0" w:type="dxa"/>
          <w:tblCellMar>
            <w:top w:w="0" w:type="dxa"/>
            <w:left w:w="108" w:type="dxa"/>
            <w:bottom w:w="0" w:type="dxa"/>
            <w:right w:w="108" w:type="dxa"/>
          </w:tblCellMar>
          <w:tblLook w:val="04A0"/>
        </w:tblPrEx>
        <w:trPr>
          <w:trHeight w:val="300"/>
          <w:jc w:val="center"/>
        </w:trPr>
        <w:tc>
          <w:tcPr>
            <w:tcW w:w="960" w:type="dxa"/>
            <w:shd w:val="clear" w:color="auto" w:fill="auto"/>
            <w:noWrap/>
            <w:vAlign w:val="bottom"/>
            <w:hideMark/>
          </w:tcPr>
          <w:p w:rsidR="00D930AD" w:rsidRPr="001D7812" w:rsidP="00E971F0" w14:paraId="06FE3E0B" w14:textId="77777777">
            <w:pPr>
              <w:spacing w:after="0" w:line="240" w:lineRule="auto"/>
              <w:rPr>
                <w:rFonts w:ascii="Times New Roman" w:hAnsi="Times New Roman" w:eastAsiaTheme="minorHAnsi" w:cs="Times New Roman"/>
                <w:b/>
                <w:bCs/>
                <w:color w:val="000000"/>
                <w:sz w:val="24"/>
                <w:szCs w:val="24"/>
                <w:lang w:val="en-US" w:eastAsia="en-US" w:bidi="ar-SA"/>
              </w:rPr>
            </w:pPr>
            <w:r w:rsidRPr="001D7812">
              <w:rPr>
                <w:rFonts w:ascii="Times New Roman" w:hAnsi="Times New Roman" w:eastAsiaTheme="minorHAnsi" w:cs="Times New Roman"/>
                <w:b/>
                <w:bCs/>
                <w:color w:val="000000"/>
                <w:sz w:val="24"/>
                <w:szCs w:val="24"/>
                <w:lang w:val="en-US" w:eastAsia="en-US" w:bidi="ar-SA"/>
              </w:rPr>
              <w:t>OE</w:t>
            </w:r>
          </w:p>
        </w:tc>
        <w:tc>
          <w:tcPr>
            <w:tcW w:w="2190" w:type="dxa"/>
            <w:shd w:val="clear" w:color="auto" w:fill="auto"/>
            <w:noWrap/>
            <w:vAlign w:val="bottom"/>
            <w:hideMark/>
          </w:tcPr>
          <w:p w:rsidR="00D930AD" w:rsidRPr="001D7812" w:rsidP="00E971F0" w14:paraId="629ED62E" w14:textId="77777777">
            <w:pPr>
              <w:spacing w:after="0" w:line="240" w:lineRule="auto"/>
              <w:jc w:val="center"/>
              <w:rPr>
                <w:rFonts w:ascii="Times New Roman" w:hAnsi="Times New Roman" w:eastAsiaTheme="minorHAnsi" w:cs="Times New Roman"/>
                <w:color w:val="000000"/>
                <w:sz w:val="24"/>
                <w:szCs w:val="24"/>
                <w:lang w:val="en-US" w:eastAsia="en-US" w:bidi="ar-SA"/>
              </w:rPr>
            </w:pPr>
            <w:r w:rsidRPr="001D7812">
              <w:rPr>
                <w:rFonts w:ascii="Times New Roman" w:hAnsi="Times New Roman" w:eastAsiaTheme="minorHAnsi" w:cs="Times New Roman"/>
                <w:color w:val="000000"/>
                <w:sz w:val="24"/>
                <w:szCs w:val="24"/>
                <w:lang w:val="en-US" w:eastAsia="en-US" w:bidi="ar-SA"/>
              </w:rPr>
              <w:t>67,000</w:t>
            </w:r>
          </w:p>
        </w:tc>
        <w:tc>
          <w:tcPr>
            <w:tcW w:w="1800" w:type="dxa"/>
            <w:shd w:val="clear" w:color="auto" w:fill="auto"/>
            <w:noWrap/>
            <w:vAlign w:val="bottom"/>
            <w:hideMark/>
          </w:tcPr>
          <w:p w:rsidR="00D930AD" w:rsidRPr="001D7812" w:rsidP="00E971F0" w14:paraId="028B86AB" w14:textId="77777777">
            <w:pPr>
              <w:spacing w:after="0" w:line="240" w:lineRule="auto"/>
              <w:jc w:val="center"/>
              <w:rPr>
                <w:rFonts w:ascii="Times New Roman" w:hAnsi="Times New Roman" w:eastAsiaTheme="minorHAnsi" w:cs="Times New Roman"/>
                <w:color w:val="000000"/>
                <w:sz w:val="24"/>
                <w:szCs w:val="24"/>
                <w:lang w:val="en-US" w:eastAsia="en-US" w:bidi="ar-SA"/>
              </w:rPr>
            </w:pPr>
            <w:r w:rsidRPr="001D7812">
              <w:rPr>
                <w:rFonts w:ascii="Times New Roman" w:hAnsi="Times New Roman" w:eastAsiaTheme="minorHAnsi" w:cs="Times New Roman"/>
                <w:color w:val="000000"/>
                <w:sz w:val="24"/>
                <w:szCs w:val="24"/>
                <w:lang w:val="en-US" w:eastAsia="en-US" w:bidi="ar-SA"/>
              </w:rPr>
              <w:t>1,263,000</w:t>
            </w:r>
          </w:p>
        </w:tc>
        <w:tc>
          <w:tcPr>
            <w:tcW w:w="1525" w:type="dxa"/>
            <w:shd w:val="clear" w:color="auto" w:fill="auto"/>
            <w:noWrap/>
            <w:vAlign w:val="bottom"/>
            <w:hideMark/>
          </w:tcPr>
          <w:p w:rsidR="00D930AD" w:rsidRPr="001D7812" w:rsidP="00E971F0" w14:paraId="3DBA0D70" w14:textId="77777777">
            <w:pPr>
              <w:spacing w:after="0" w:line="240" w:lineRule="auto"/>
              <w:jc w:val="center"/>
              <w:rPr>
                <w:rFonts w:ascii="Times New Roman" w:hAnsi="Times New Roman" w:eastAsiaTheme="minorHAnsi" w:cs="Times New Roman"/>
                <w:color w:val="000000"/>
                <w:sz w:val="24"/>
                <w:szCs w:val="24"/>
                <w:lang w:val="en-US" w:eastAsia="en-US" w:bidi="ar-SA"/>
              </w:rPr>
            </w:pPr>
            <w:r w:rsidRPr="001D7812">
              <w:rPr>
                <w:rFonts w:ascii="Times New Roman" w:hAnsi="Times New Roman" w:eastAsiaTheme="minorHAnsi" w:cs="Times New Roman"/>
                <w:color w:val="000000"/>
                <w:sz w:val="24"/>
                <w:szCs w:val="24"/>
                <w:lang w:val="en-US" w:eastAsia="en-US" w:bidi="ar-SA"/>
              </w:rPr>
              <w:t>5.30%</w:t>
            </w:r>
          </w:p>
        </w:tc>
      </w:tr>
      <w:tr w14:paraId="7E775EDF" w14:textId="77777777" w:rsidTr="00E971F0">
        <w:tblPrEx>
          <w:tblW w:w="6475" w:type="dxa"/>
          <w:jc w:val="center"/>
          <w:tblInd w:w="0" w:type="dxa"/>
          <w:tblCellMar>
            <w:top w:w="0" w:type="dxa"/>
            <w:left w:w="108" w:type="dxa"/>
            <w:bottom w:w="0" w:type="dxa"/>
            <w:right w:w="108" w:type="dxa"/>
          </w:tblCellMar>
          <w:tblLook w:val="04A0"/>
        </w:tblPrEx>
        <w:trPr>
          <w:trHeight w:val="300"/>
          <w:jc w:val="center"/>
        </w:trPr>
        <w:tc>
          <w:tcPr>
            <w:tcW w:w="960" w:type="dxa"/>
            <w:shd w:val="clear" w:color="auto" w:fill="auto"/>
            <w:noWrap/>
            <w:vAlign w:val="bottom"/>
            <w:hideMark/>
          </w:tcPr>
          <w:p w:rsidR="00D930AD" w:rsidRPr="001D7812" w:rsidP="00E971F0" w14:paraId="5DAA34BB" w14:textId="77777777">
            <w:pPr>
              <w:spacing w:after="0" w:line="240" w:lineRule="auto"/>
              <w:rPr>
                <w:rFonts w:ascii="Times New Roman" w:hAnsi="Times New Roman" w:eastAsiaTheme="minorHAnsi" w:cs="Times New Roman"/>
                <w:b/>
                <w:bCs/>
                <w:color w:val="000000"/>
                <w:sz w:val="24"/>
                <w:szCs w:val="24"/>
                <w:lang w:val="en-US" w:eastAsia="en-US" w:bidi="ar-SA"/>
              </w:rPr>
            </w:pPr>
            <w:r w:rsidRPr="001D7812">
              <w:rPr>
                <w:rFonts w:ascii="Times New Roman" w:hAnsi="Times New Roman" w:eastAsiaTheme="minorHAnsi" w:cs="Times New Roman"/>
                <w:b/>
                <w:bCs/>
                <w:color w:val="000000"/>
                <w:sz w:val="24"/>
                <w:szCs w:val="24"/>
                <w:lang w:val="en-US" w:eastAsia="en-US" w:bidi="ar-SA"/>
              </w:rPr>
              <w:t>TE</w:t>
            </w:r>
          </w:p>
        </w:tc>
        <w:tc>
          <w:tcPr>
            <w:tcW w:w="2190" w:type="dxa"/>
            <w:shd w:val="clear" w:color="auto" w:fill="auto"/>
            <w:noWrap/>
            <w:vAlign w:val="bottom"/>
            <w:hideMark/>
          </w:tcPr>
          <w:p w:rsidR="00D930AD" w:rsidRPr="001D7812" w:rsidP="00E971F0" w14:paraId="65B5C3EC" w14:textId="77777777">
            <w:pPr>
              <w:spacing w:after="0" w:line="240" w:lineRule="auto"/>
              <w:jc w:val="center"/>
              <w:rPr>
                <w:rFonts w:ascii="Times New Roman" w:hAnsi="Times New Roman" w:eastAsiaTheme="minorHAnsi" w:cs="Times New Roman"/>
                <w:color w:val="000000"/>
                <w:sz w:val="24"/>
                <w:szCs w:val="24"/>
                <w:u w:val="single"/>
                <w:lang w:val="en-US" w:eastAsia="en-US" w:bidi="ar-SA"/>
              </w:rPr>
            </w:pPr>
            <w:r w:rsidRPr="001D7812">
              <w:rPr>
                <w:rFonts w:ascii="Times New Roman" w:hAnsi="Times New Roman" w:eastAsiaTheme="minorHAnsi" w:cs="Times New Roman"/>
                <w:color w:val="000000"/>
                <w:sz w:val="24"/>
                <w:szCs w:val="24"/>
                <w:u w:val="single"/>
                <w:lang w:val="en-US" w:eastAsia="en-US" w:bidi="ar-SA"/>
              </w:rPr>
              <w:t>25,000</w:t>
            </w:r>
          </w:p>
        </w:tc>
        <w:tc>
          <w:tcPr>
            <w:tcW w:w="1800" w:type="dxa"/>
            <w:shd w:val="clear" w:color="auto" w:fill="auto"/>
            <w:noWrap/>
            <w:vAlign w:val="bottom"/>
            <w:hideMark/>
          </w:tcPr>
          <w:p w:rsidR="00D930AD" w:rsidRPr="001D7812" w:rsidP="00E971F0" w14:paraId="092A1459" w14:textId="77777777">
            <w:pPr>
              <w:spacing w:after="0" w:line="240" w:lineRule="auto"/>
              <w:jc w:val="center"/>
              <w:rPr>
                <w:rFonts w:ascii="Times New Roman" w:hAnsi="Times New Roman" w:eastAsiaTheme="minorHAnsi" w:cs="Times New Roman"/>
                <w:color w:val="000000"/>
                <w:sz w:val="24"/>
                <w:szCs w:val="24"/>
                <w:u w:val="single"/>
                <w:lang w:val="en-US" w:eastAsia="en-US" w:bidi="ar-SA"/>
              </w:rPr>
            </w:pPr>
            <w:r w:rsidRPr="001D7812">
              <w:rPr>
                <w:rFonts w:ascii="Times New Roman" w:hAnsi="Times New Roman" w:eastAsiaTheme="minorHAnsi" w:cs="Times New Roman"/>
                <w:color w:val="000000"/>
                <w:sz w:val="24"/>
                <w:szCs w:val="24"/>
                <w:u w:val="single"/>
                <w:lang w:val="en-US" w:eastAsia="en-US" w:bidi="ar-SA"/>
              </w:rPr>
              <w:t>450,000</w:t>
            </w:r>
          </w:p>
        </w:tc>
        <w:tc>
          <w:tcPr>
            <w:tcW w:w="1525" w:type="dxa"/>
            <w:shd w:val="clear" w:color="auto" w:fill="auto"/>
            <w:noWrap/>
            <w:vAlign w:val="bottom"/>
            <w:hideMark/>
          </w:tcPr>
          <w:p w:rsidR="00D930AD" w:rsidRPr="001D7812" w:rsidP="00E971F0" w14:paraId="2E5B451E" w14:textId="77777777">
            <w:pPr>
              <w:spacing w:after="0" w:line="240" w:lineRule="auto"/>
              <w:jc w:val="center"/>
              <w:rPr>
                <w:rFonts w:ascii="Times New Roman" w:hAnsi="Times New Roman" w:eastAsiaTheme="minorHAnsi" w:cs="Times New Roman"/>
                <w:color w:val="000000"/>
                <w:sz w:val="24"/>
                <w:szCs w:val="24"/>
                <w:lang w:val="en-US" w:eastAsia="en-US" w:bidi="ar-SA"/>
              </w:rPr>
            </w:pPr>
            <w:r w:rsidRPr="001D7812">
              <w:rPr>
                <w:rFonts w:ascii="Times New Roman" w:hAnsi="Times New Roman" w:eastAsiaTheme="minorHAnsi" w:cs="Times New Roman"/>
                <w:color w:val="000000"/>
                <w:sz w:val="24"/>
                <w:szCs w:val="24"/>
                <w:u w:val="single"/>
                <w:lang w:val="en-US" w:eastAsia="en-US" w:bidi="ar-SA"/>
              </w:rPr>
              <w:t>5.56</w:t>
            </w:r>
            <w:r w:rsidRPr="001D7812">
              <w:rPr>
                <w:rFonts w:ascii="Times New Roman" w:hAnsi="Times New Roman" w:eastAsiaTheme="minorHAnsi" w:cs="Times New Roman"/>
                <w:color w:val="000000"/>
                <w:sz w:val="24"/>
                <w:szCs w:val="24"/>
                <w:lang w:val="en-US" w:eastAsia="en-US" w:bidi="ar-SA"/>
              </w:rPr>
              <w:t>%</w:t>
            </w:r>
          </w:p>
        </w:tc>
      </w:tr>
      <w:tr w14:paraId="00660FC0" w14:textId="77777777" w:rsidTr="00E971F0">
        <w:tblPrEx>
          <w:tblW w:w="6475" w:type="dxa"/>
          <w:jc w:val="center"/>
          <w:tblInd w:w="0" w:type="dxa"/>
          <w:tblCellMar>
            <w:top w:w="0" w:type="dxa"/>
            <w:left w:w="108" w:type="dxa"/>
            <w:bottom w:w="0" w:type="dxa"/>
            <w:right w:w="108" w:type="dxa"/>
          </w:tblCellMar>
          <w:tblLook w:val="04A0"/>
        </w:tblPrEx>
        <w:trPr>
          <w:trHeight w:val="300"/>
          <w:jc w:val="center"/>
        </w:trPr>
        <w:tc>
          <w:tcPr>
            <w:tcW w:w="960" w:type="dxa"/>
            <w:shd w:val="clear" w:color="auto" w:fill="auto"/>
            <w:noWrap/>
            <w:vAlign w:val="bottom"/>
            <w:hideMark/>
          </w:tcPr>
          <w:p w:rsidR="00D930AD" w:rsidRPr="001D7812" w:rsidP="00E971F0" w14:paraId="447F7C16" w14:textId="77777777">
            <w:pPr>
              <w:spacing w:after="0" w:line="240" w:lineRule="auto"/>
              <w:rPr>
                <w:rFonts w:ascii="Times New Roman" w:hAnsi="Times New Roman" w:eastAsiaTheme="minorHAnsi" w:cs="Times New Roman"/>
                <w:b/>
                <w:bCs/>
                <w:color w:val="000000"/>
                <w:sz w:val="24"/>
                <w:szCs w:val="24"/>
                <w:lang w:val="en-US" w:eastAsia="en-US" w:bidi="ar-SA"/>
              </w:rPr>
            </w:pPr>
            <w:r w:rsidRPr="001D7812">
              <w:rPr>
                <w:rFonts w:ascii="Times New Roman" w:hAnsi="Times New Roman" w:eastAsiaTheme="minorHAnsi" w:cs="Times New Roman"/>
                <w:b/>
                <w:bCs/>
                <w:color w:val="000000"/>
                <w:sz w:val="24"/>
                <w:szCs w:val="24"/>
                <w:lang w:val="en-US" w:eastAsia="en-US" w:bidi="ar-SA"/>
              </w:rPr>
              <w:t>Total</w:t>
            </w:r>
          </w:p>
        </w:tc>
        <w:tc>
          <w:tcPr>
            <w:tcW w:w="2190" w:type="dxa"/>
            <w:shd w:val="clear" w:color="auto" w:fill="auto"/>
            <w:noWrap/>
            <w:vAlign w:val="bottom"/>
            <w:hideMark/>
          </w:tcPr>
          <w:p w:rsidR="00D930AD" w:rsidRPr="001D7812" w:rsidP="00E971F0" w14:paraId="69C82132" w14:textId="77777777">
            <w:pPr>
              <w:spacing w:after="0" w:line="240" w:lineRule="auto"/>
              <w:jc w:val="center"/>
              <w:rPr>
                <w:rFonts w:ascii="Times New Roman" w:hAnsi="Times New Roman" w:eastAsiaTheme="minorHAnsi" w:cs="Times New Roman"/>
                <w:color w:val="000000"/>
                <w:sz w:val="24"/>
                <w:szCs w:val="24"/>
                <w:lang w:val="en-US" w:eastAsia="en-US" w:bidi="ar-SA"/>
              </w:rPr>
            </w:pPr>
            <w:r w:rsidRPr="001D7812">
              <w:rPr>
                <w:rFonts w:ascii="Times New Roman" w:hAnsi="Times New Roman" w:eastAsiaTheme="minorHAnsi" w:cs="Times New Roman"/>
                <w:color w:val="000000"/>
                <w:sz w:val="24"/>
                <w:szCs w:val="24"/>
                <w:lang w:val="en-US" w:eastAsia="en-US" w:bidi="ar-SA"/>
              </w:rPr>
              <w:t>167,000</w:t>
            </w:r>
          </w:p>
        </w:tc>
        <w:tc>
          <w:tcPr>
            <w:tcW w:w="1800" w:type="dxa"/>
            <w:shd w:val="clear" w:color="auto" w:fill="auto"/>
            <w:noWrap/>
            <w:vAlign w:val="bottom"/>
            <w:hideMark/>
          </w:tcPr>
          <w:p w:rsidR="00D930AD" w:rsidRPr="001D7812" w:rsidP="00E971F0" w14:paraId="3DAE66C3" w14:textId="77777777">
            <w:pPr>
              <w:spacing w:after="0" w:line="240" w:lineRule="auto"/>
              <w:jc w:val="center"/>
              <w:rPr>
                <w:rFonts w:ascii="Times New Roman" w:hAnsi="Times New Roman" w:eastAsiaTheme="minorHAnsi" w:cs="Times New Roman"/>
                <w:color w:val="000000"/>
                <w:sz w:val="24"/>
                <w:szCs w:val="24"/>
                <w:lang w:val="en-US" w:eastAsia="en-US" w:bidi="ar-SA"/>
              </w:rPr>
            </w:pPr>
            <w:r w:rsidRPr="001D7812">
              <w:rPr>
                <w:rFonts w:ascii="Times New Roman" w:hAnsi="Times New Roman" w:eastAsiaTheme="minorHAnsi" w:cs="Times New Roman"/>
                <w:color w:val="000000"/>
                <w:sz w:val="24"/>
                <w:szCs w:val="24"/>
                <w:lang w:val="en-US" w:eastAsia="en-US" w:bidi="ar-SA"/>
              </w:rPr>
              <w:t>3,116,000</w:t>
            </w:r>
          </w:p>
        </w:tc>
        <w:tc>
          <w:tcPr>
            <w:tcW w:w="1525" w:type="dxa"/>
            <w:shd w:val="clear" w:color="auto" w:fill="auto"/>
            <w:noWrap/>
            <w:vAlign w:val="bottom"/>
            <w:hideMark/>
          </w:tcPr>
          <w:p w:rsidR="00D930AD" w:rsidRPr="001D7812" w:rsidP="00E971F0" w14:paraId="66A91A62" w14:textId="77777777">
            <w:pPr>
              <w:spacing w:after="0" w:line="240" w:lineRule="auto"/>
              <w:jc w:val="center"/>
              <w:rPr>
                <w:rFonts w:ascii="Times New Roman" w:hAnsi="Times New Roman" w:eastAsiaTheme="minorHAnsi" w:cs="Times New Roman"/>
                <w:color w:val="000000"/>
                <w:sz w:val="24"/>
                <w:szCs w:val="24"/>
                <w:lang w:val="en-US" w:eastAsia="en-US" w:bidi="ar-SA"/>
              </w:rPr>
            </w:pPr>
            <w:r w:rsidRPr="001D7812">
              <w:rPr>
                <w:rFonts w:ascii="Times New Roman" w:hAnsi="Times New Roman" w:eastAsiaTheme="minorHAnsi" w:cs="Times New Roman"/>
                <w:color w:val="000000"/>
                <w:sz w:val="24"/>
                <w:szCs w:val="24"/>
                <w:lang w:val="en-US" w:eastAsia="en-US" w:bidi="ar-SA"/>
              </w:rPr>
              <w:t>5.36%</w:t>
            </w:r>
          </w:p>
        </w:tc>
      </w:tr>
    </w:tbl>
    <w:p w:rsidR="00D930AD" w:rsidRPr="001D7812" w:rsidP="00D930AD" w14:paraId="1A0629DD" w14:textId="77777777">
      <w:pPr>
        <w:ind w:firstLine="720"/>
        <w:rPr>
          <w:rFonts w:cs="Times New Roman"/>
          <w:szCs w:val="24"/>
        </w:rPr>
      </w:pPr>
    </w:p>
    <w:p w:rsidR="00B351D5" w:rsidRPr="001D7812" w:rsidP="00D930AD" w14:paraId="4B2D3812" w14:textId="198DDA36">
      <w:pPr>
        <w:spacing w:line="480" w:lineRule="auto"/>
        <w:ind w:firstLine="720"/>
        <w:rPr>
          <w:rFonts w:cs="Times New Roman"/>
          <w:szCs w:val="24"/>
        </w:rPr>
      </w:pPr>
      <w:r w:rsidRPr="001D7812">
        <w:rPr>
          <w:rFonts w:cs="Times New Roman"/>
          <w:szCs w:val="24"/>
        </w:rPr>
        <w:t>Mr. Buckley testified that the rate of return should be 52.63% equity/ 47.37</w:t>
      </w:r>
      <w:r w:rsidRPr="001D7812" w:rsidR="0006727E">
        <w:rPr>
          <w:rFonts w:cs="Times New Roman"/>
          <w:szCs w:val="24"/>
        </w:rPr>
        <w:t xml:space="preserve">% </w:t>
      </w:r>
      <w:r w:rsidRPr="001D7812">
        <w:rPr>
          <w:rFonts w:cs="Times New Roman"/>
          <w:szCs w:val="24"/>
        </w:rPr>
        <w:t>long-term debt, based on the actual capital structure for the FirstEnergy Utilities and calculated as follows:</w:t>
      </w:r>
      <w:r>
        <w:rPr>
          <w:rStyle w:val="FootnoteReference"/>
          <w:rFonts w:cs="Times New Roman"/>
          <w:szCs w:val="24"/>
        </w:rPr>
        <w:footnoteReference w:id="64"/>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30" w:type="dxa"/>
          <w:bottom w:w="0" w:type="dxa"/>
          <w:right w:w="30" w:type="dxa"/>
        </w:tblCellMar>
        <w:tblLook w:val="0000"/>
      </w:tblPr>
      <w:tblGrid>
        <w:gridCol w:w="1241"/>
        <w:gridCol w:w="1821"/>
        <w:gridCol w:w="1805"/>
        <w:gridCol w:w="1788"/>
      </w:tblGrid>
      <w:tr w14:paraId="34BB63FC" w14:textId="77777777" w:rsidTr="00E971F0">
        <w:tblPrEx>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30" w:type="dxa"/>
            <w:bottom w:w="0" w:type="dxa"/>
            <w:right w:w="30" w:type="dxa"/>
          </w:tblCellMar>
          <w:tblLook w:val="0000"/>
        </w:tblPrEx>
        <w:trPr>
          <w:trHeight w:val="290"/>
          <w:jc w:val="center"/>
        </w:trPr>
        <w:tc>
          <w:tcPr>
            <w:tcW w:w="1241" w:type="dxa"/>
          </w:tcPr>
          <w:p w:rsidR="00D930AD" w:rsidRPr="001D7812" w:rsidP="00E971F0" w14:paraId="3E82CB32" w14:textId="77777777">
            <w:pPr>
              <w:autoSpaceDE w:val="0"/>
              <w:autoSpaceDN w:val="0"/>
              <w:adjustRightInd w:val="0"/>
              <w:spacing w:after="0" w:line="240" w:lineRule="auto"/>
              <w:jc w:val="right"/>
              <w:rPr>
                <w:rFonts w:ascii="Times New Roman" w:hAnsi="Times New Roman" w:eastAsiaTheme="minorHAnsi" w:cs="Times New Roman"/>
                <w:color w:val="000000"/>
                <w:sz w:val="24"/>
                <w:szCs w:val="24"/>
                <w:lang w:val="en-US" w:eastAsia="en-US" w:bidi="ar-SA"/>
              </w:rPr>
            </w:pPr>
          </w:p>
        </w:tc>
        <w:tc>
          <w:tcPr>
            <w:tcW w:w="1821" w:type="dxa"/>
          </w:tcPr>
          <w:p w:rsidR="00D930AD" w:rsidRPr="001D7812" w:rsidP="00E971F0" w14:paraId="3ABA1608" w14:textId="77777777">
            <w:pPr>
              <w:autoSpaceDE w:val="0"/>
              <w:autoSpaceDN w:val="0"/>
              <w:adjustRightInd w:val="0"/>
              <w:spacing w:after="0" w:line="240" w:lineRule="auto"/>
              <w:jc w:val="center"/>
              <w:rPr>
                <w:rFonts w:ascii="Times New Roman" w:hAnsi="Times New Roman" w:eastAsiaTheme="minorHAnsi" w:cs="Times New Roman"/>
                <w:b/>
                <w:bCs/>
                <w:color w:val="000000"/>
                <w:sz w:val="24"/>
                <w:szCs w:val="24"/>
                <w:lang w:val="en-US" w:eastAsia="en-US" w:bidi="ar-SA"/>
              </w:rPr>
            </w:pPr>
            <w:r w:rsidRPr="001D7812">
              <w:rPr>
                <w:rFonts w:ascii="Times New Roman" w:hAnsi="Times New Roman" w:eastAsiaTheme="minorHAnsi" w:cs="Times New Roman"/>
                <w:b/>
                <w:bCs/>
                <w:color w:val="000000"/>
                <w:sz w:val="24"/>
                <w:szCs w:val="24"/>
                <w:lang w:val="en-US" w:eastAsia="en-US" w:bidi="ar-SA"/>
              </w:rPr>
              <w:t>Total Equity</w:t>
            </w:r>
          </w:p>
        </w:tc>
        <w:tc>
          <w:tcPr>
            <w:tcW w:w="1805" w:type="dxa"/>
          </w:tcPr>
          <w:p w:rsidR="00D930AD" w:rsidRPr="001D7812" w:rsidP="00E971F0" w14:paraId="0FEBF4B8" w14:textId="77777777">
            <w:pPr>
              <w:autoSpaceDE w:val="0"/>
              <w:autoSpaceDN w:val="0"/>
              <w:adjustRightInd w:val="0"/>
              <w:spacing w:after="0" w:line="240" w:lineRule="auto"/>
              <w:jc w:val="center"/>
              <w:rPr>
                <w:rFonts w:ascii="Times New Roman" w:hAnsi="Times New Roman" w:eastAsiaTheme="minorHAnsi" w:cs="Times New Roman"/>
                <w:b/>
                <w:bCs/>
                <w:color w:val="000000"/>
                <w:sz w:val="24"/>
                <w:szCs w:val="24"/>
                <w:lang w:val="en-US" w:eastAsia="en-US" w:bidi="ar-SA"/>
              </w:rPr>
            </w:pPr>
            <w:r w:rsidRPr="001D7812">
              <w:rPr>
                <w:rFonts w:ascii="Times New Roman" w:hAnsi="Times New Roman" w:eastAsiaTheme="minorHAnsi" w:cs="Times New Roman"/>
                <w:b/>
                <w:bCs/>
                <w:color w:val="000000"/>
                <w:sz w:val="24"/>
                <w:szCs w:val="24"/>
                <w:lang w:val="en-US" w:eastAsia="en-US" w:bidi="ar-SA"/>
              </w:rPr>
              <w:t>Long Term Debt</w:t>
            </w:r>
          </w:p>
        </w:tc>
        <w:tc>
          <w:tcPr>
            <w:tcW w:w="1788" w:type="dxa"/>
          </w:tcPr>
          <w:p w:rsidR="00D930AD" w:rsidRPr="001D7812" w:rsidP="00E971F0" w14:paraId="6A17F914" w14:textId="77777777">
            <w:pPr>
              <w:autoSpaceDE w:val="0"/>
              <w:autoSpaceDN w:val="0"/>
              <w:adjustRightInd w:val="0"/>
              <w:spacing w:after="0" w:line="240" w:lineRule="auto"/>
              <w:jc w:val="center"/>
              <w:rPr>
                <w:rFonts w:ascii="Times New Roman" w:hAnsi="Times New Roman" w:eastAsiaTheme="minorHAnsi" w:cs="Times New Roman"/>
                <w:b/>
                <w:bCs/>
                <w:color w:val="000000"/>
                <w:sz w:val="24"/>
                <w:szCs w:val="24"/>
                <w:lang w:val="en-US" w:eastAsia="en-US" w:bidi="ar-SA"/>
              </w:rPr>
            </w:pPr>
            <w:r w:rsidRPr="001D7812">
              <w:rPr>
                <w:rFonts w:ascii="Times New Roman" w:hAnsi="Times New Roman" w:eastAsiaTheme="minorHAnsi" w:cs="Times New Roman"/>
                <w:b/>
                <w:bCs/>
                <w:color w:val="000000"/>
                <w:sz w:val="24"/>
                <w:szCs w:val="24"/>
                <w:lang w:val="en-US" w:eastAsia="en-US" w:bidi="ar-SA"/>
              </w:rPr>
              <w:t>Total Capital</w:t>
            </w:r>
          </w:p>
        </w:tc>
      </w:tr>
      <w:tr w14:paraId="421D68AE" w14:textId="77777777" w:rsidTr="00E971F0">
        <w:tblPrEx>
          <w:tblW w:w="0" w:type="auto"/>
          <w:jc w:val="center"/>
          <w:tblInd w:w="0" w:type="dxa"/>
          <w:tblLayout w:type="fixed"/>
          <w:tblCellMar>
            <w:top w:w="0" w:type="dxa"/>
            <w:left w:w="30" w:type="dxa"/>
            <w:bottom w:w="0" w:type="dxa"/>
            <w:right w:w="30" w:type="dxa"/>
          </w:tblCellMar>
          <w:tblLook w:val="0000"/>
        </w:tblPrEx>
        <w:trPr>
          <w:trHeight w:val="290"/>
          <w:jc w:val="center"/>
        </w:trPr>
        <w:tc>
          <w:tcPr>
            <w:tcW w:w="1241" w:type="dxa"/>
          </w:tcPr>
          <w:p w:rsidR="00D930AD" w:rsidRPr="001D7812" w:rsidP="00E971F0" w14:paraId="13F78DB8" w14:textId="77777777">
            <w:pPr>
              <w:autoSpaceDE w:val="0"/>
              <w:autoSpaceDN w:val="0"/>
              <w:adjustRightInd w:val="0"/>
              <w:spacing w:after="0" w:line="240" w:lineRule="auto"/>
              <w:rPr>
                <w:rFonts w:ascii="Times New Roman" w:hAnsi="Times New Roman" w:eastAsiaTheme="minorHAnsi" w:cs="Times New Roman"/>
                <w:b/>
                <w:bCs/>
                <w:color w:val="000000"/>
                <w:sz w:val="24"/>
                <w:szCs w:val="24"/>
                <w:lang w:val="en-US" w:eastAsia="en-US" w:bidi="ar-SA"/>
              </w:rPr>
            </w:pPr>
            <w:r w:rsidRPr="001D7812">
              <w:rPr>
                <w:rFonts w:ascii="Times New Roman" w:hAnsi="Times New Roman" w:eastAsiaTheme="minorHAnsi" w:cs="Times New Roman"/>
                <w:b/>
                <w:bCs/>
                <w:color w:val="000000"/>
                <w:sz w:val="24"/>
                <w:szCs w:val="24"/>
                <w:lang w:val="en-US" w:eastAsia="en-US" w:bidi="ar-SA"/>
              </w:rPr>
              <w:t>CEI</w:t>
            </w:r>
          </w:p>
        </w:tc>
        <w:tc>
          <w:tcPr>
            <w:tcW w:w="1821" w:type="dxa"/>
          </w:tcPr>
          <w:p w:rsidR="00D930AD" w:rsidRPr="001D7812" w:rsidP="00E971F0" w14:paraId="1B049726" w14:textId="77777777">
            <w:pPr>
              <w:autoSpaceDE w:val="0"/>
              <w:autoSpaceDN w:val="0"/>
              <w:adjustRightInd w:val="0"/>
              <w:spacing w:after="0" w:line="240" w:lineRule="auto"/>
              <w:jc w:val="center"/>
              <w:rPr>
                <w:rFonts w:ascii="Times New Roman" w:hAnsi="Times New Roman" w:eastAsiaTheme="minorHAnsi" w:cs="Times New Roman"/>
                <w:color w:val="000000"/>
                <w:sz w:val="24"/>
                <w:szCs w:val="24"/>
                <w:lang w:val="en-US" w:eastAsia="en-US" w:bidi="ar-SA"/>
              </w:rPr>
            </w:pPr>
            <w:r w:rsidRPr="001D7812">
              <w:rPr>
                <w:rFonts w:ascii="Times New Roman" w:hAnsi="Times New Roman" w:eastAsiaTheme="minorHAnsi" w:cs="Times New Roman"/>
                <w:color w:val="000000"/>
                <w:sz w:val="24"/>
                <w:szCs w:val="24"/>
                <w:lang w:val="en-US" w:eastAsia="en-US" w:bidi="ar-SA"/>
              </w:rPr>
              <w:t>1,655,000</w:t>
            </w:r>
          </w:p>
        </w:tc>
        <w:tc>
          <w:tcPr>
            <w:tcW w:w="1805" w:type="dxa"/>
          </w:tcPr>
          <w:p w:rsidR="00D930AD" w:rsidRPr="001D7812" w:rsidP="00E971F0" w14:paraId="1A275557" w14:textId="77777777">
            <w:pPr>
              <w:autoSpaceDE w:val="0"/>
              <w:autoSpaceDN w:val="0"/>
              <w:adjustRightInd w:val="0"/>
              <w:spacing w:after="0" w:line="240" w:lineRule="auto"/>
              <w:jc w:val="center"/>
              <w:rPr>
                <w:rFonts w:ascii="Times New Roman" w:hAnsi="Times New Roman" w:eastAsiaTheme="minorHAnsi" w:cs="Times New Roman"/>
                <w:color w:val="000000"/>
                <w:sz w:val="24"/>
                <w:szCs w:val="24"/>
                <w:lang w:val="en-US" w:eastAsia="en-US" w:bidi="ar-SA"/>
              </w:rPr>
            </w:pPr>
            <w:r w:rsidRPr="001D7812">
              <w:rPr>
                <w:rFonts w:ascii="Times New Roman" w:hAnsi="Times New Roman" w:eastAsiaTheme="minorHAnsi" w:cs="Times New Roman"/>
                <w:color w:val="000000"/>
                <w:sz w:val="24"/>
                <w:szCs w:val="24"/>
                <w:lang w:val="en-US" w:eastAsia="en-US" w:bidi="ar-SA"/>
              </w:rPr>
              <w:t>1,403,000</w:t>
            </w:r>
          </w:p>
        </w:tc>
        <w:tc>
          <w:tcPr>
            <w:tcW w:w="1788" w:type="dxa"/>
          </w:tcPr>
          <w:p w:rsidR="00D930AD" w:rsidRPr="001D7812" w:rsidP="00E971F0" w14:paraId="7201977C" w14:textId="77777777">
            <w:pPr>
              <w:autoSpaceDE w:val="0"/>
              <w:autoSpaceDN w:val="0"/>
              <w:adjustRightInd w:val="0"/>
              <w:spacing w:after="0" w:line="240" w:lineRule="auto"/>
              <w:jc w:val="center"/>
              <w:rPr>
                <w:rFonts w:ascii="Times New Roman" w:hAnsi="Times New Roman" w:eastAsiaTheme="minorHAnsi" w:cs="Times New Roman"/>
                <w:color w:val="000000"/>
                <w:sz w:val="24"/>
                <w:szCs w:val="24"/>
                <w:lang w:val="en-US" w:eastAsia="en-US" w:bidi="ar-SA"/>
              </w:rPr>
            </w:pPr>
            <w:r w:rsidRPr="001D7812">
              <w:rPr>
                <w:rFonts w:ascii="Times New Roman" w:hAnsi="Times New Roman" w:eastAsiaTheme="minorHAnsi" w:cs="Times New Roman"/>
                <w:color w:val="000000"/>
                <w:sz w:val="24"/>
                <w:szCs w:val="24"/>
                <w:lang w:val="en-US" w:eastAsia="en-US" w:bidi="ar-SA"/>
              </w:rPr>
              <w:t>3,058,000</w:t>
            </w:r>
          </w:p>
        </w:tc>
      </w:tr>
      <w:tr w14:paraId="1604DD19" w14:textId="77777777" w:rsidTr="00E971F0">
        <w:tblPrEx>
          <w:tblW w:w="0" w:type="auto"/>
          <w:jc w:val="center"/>
          <w:tblInd w:w="0" w:type="dxa"/>
          <w:tblLayout w:type="fixed"/>
          <w:tblCellMar>
            <w:top w:w="0" w:type="dxa"/>
            <w:left w:w="30" w:type="dxa"/>
            <w:bottom w:w="0" w:type="dxa"/>
            <w:right w:w="30" w:type="dxa"/>
          </w:tblCellMar>
          <w:tblLook w:val="0000"/>
        </w:tblPrEx>
        <w:trPr>
          <w:trHeight w:val="290"/>
          <w:jc w:val="center"/>
        </w:trPr>
        <w:tc>
          <w:tcPr>
            <w:tcW w:w="1241" w:type="dxa"/>
          </w:tcPr>
          <w:p w:rsidR="00D930AD" w:rsidRPr="001D7812" w:rsidP="00E971F0" w14:paraId="7D45C621" w14:textId="77777777">
            <w:pPr>
              <w:autoSpaceDE w:val="0"/>
              <w:autoSpaceDN w:val="0"/>
              <w:adjustRightInd w:val="0"/>
              <w:spacing w:after="0" w:line="240" w:lineRule="auto"/>
              <w:rPr>
                <w:rFonts w:ascii="Times New Roman" w:hAnsi="Times New Roman" w:eastAsiaTheme="minorHAnsi" w:cs="Times New Roman"/>
                <w:b/>
                <w:bCs/>
                <w:color w:val="000000"/>
                <w:sz w:val="24"/>
                <w:szCs w:val="24"/>
                <w:lang w:val="en-US" w:eastAsia="en-US" w:bidi="ar-SA"/>
              </w:rPr>
            </w:pPr>
            <w:r w:rsidRPr="001D7812">
              <w:rPr>
                <w:rFonts w:ascii="Times New Roman" w:hAnsi="Times New Roman" w:eastAsiaTheme="minorHAnsi" w:cs="Times New Roman"/>
                <w:b/>
                <w:bCs/>
                <w:color w:val="000000"/>
                <w:sz w:val="24"/>
                <w:szCs w:val="24"/>
                <w:lang w:val="en-US" w:eastAsia="en-US" w:bidi="ar-SA"/>
              </w:rPr>
              <w:t>OE</w:t>
            </w:r>
          </w:p>
        </w:tc>
        <w:tc>
          <w:tcPr>
            <w:tcW w:w="1821" w:type="dxa"/>
          </w:tcPr>
          <w:p w:rsidR="00D930AD" w:rsidRPr="001D7812" w:rsidP="00E971F0" w14:paraId="78CEE7E8" w14:textId="77777777">
            <w:pPr>
              <w:autoSpaceDE w:val="0"/>
              <w:autoSpaceDN w:val="0"/>
              <w:adjustRightInd w:val="0"/>
              <w:spacing w:after="0" w:line="240" w:lineRule="auto"/>
              <w:jc w:val="center"/>
              <w:rPr>
                <w:rFonts w:ascii="Times New Roman" w:hAnsi="Times New Roman" w:eastAsiaTheme="minorHAnsi" w:cs="Times New Roman"/>
                <w:color w:val="000000"/>
                <w:sz w:val="24"/>
                <w:szCs w:val="24"/>
                <w:lang w:val="en-US" w:eastAsia="en-US" w:bidi="ar-SA"/>
              </w:rPr>
            </w:pPr>
            <w:r w:rsidRPr="001D7812">
              <w:rPr>
                <w:rFonts w:ascii="Times New Roman" w:hAnsi="Times New Roman" w:eastAsiaTheme="minorHAnsi" w:cs="Times New Roman"/>
                <w:color w:val="000000"/>
                <w:sz w:val="24"/>
                <w:szCs w:val="24"/>
                <w:lang w:val="en-US" w:eastAsia="en-US" w:bidi="ar-SA"/>
              </w:rPr>
              <w:t>1,242,000</w:t>
            </w:r>
          </w:p>
        </w:tc>
        <w:tc>
          <w:tcPr>
            <w:tcW w:w="1805" w:type="dxa"/>
          </w:tcPr>
          <w:p w:rsidR="00D930AD" w:rsidRPr="001D7812" w:rsidP="00E971F0" w14:paraId="34A39C4E" w14:textId="77777777">
            <w:pPr>
              <w:autoSpaceDE w:val="0"/>
              <w:autoSpaceDN w:val="0"/>
              <w:adjustRightInd w:val="0"/>
              <w:spacing w:after="0" w:line="240" w:lineRule="auto"/>
              <w:jc w:val="center"/>
              <w:rPr>
                <w:rFonts w:ascii="Times New Roman" w:hAnsi="Times New Roman" w:eastAsiaTheme="minorHAnsi" w:cs="Times New Roman"/>
                <w:color w:val="000000"/>
                <w:sz w:val="24"/>
                <w:szCs w:val="24"/>
                <w:lang w:val="en-US" w:eastAsia="en-US" w:bidi="ar-SA"/>
              </w:rPr>
            </w:pPr>
            <w:r w:rsidRPr="001D7812">
              <w:rPr>
                <w:rFonts w:ascii="Times New Roman" w:hAnsi="Times New Roman" w:eastAsiaTheme="minorHAnsi" w:cs="Times New Roman"/>
                <w:color w:val="000000"/>
                <w:sz w:val="24"/>
                <w:szCs w:val="24"/>
                <w:lang w:val="en-US" w:eastAsia="en-US" w:bidi="ar-SA"/>
              </w:rPr>
              <w:t>1,263,000</w:t>
            </w:r>
          </w:p>
        </w:tc>
        <w:tc>
          <w:tcPr>
            <w:tcW w:w="1788" w:type="dxa"/>
          </w:tcPr>
          <w:p w:rsidR="00D930AD" w:rsidRPr="001D7812" w:rsidP="00E971F0" w14:paraId="03B01AE8" w14:textId="77777777">
            <w:pPr>
              <w:autoSpaceDE w:val="0"/>
              <w:autoSpaceDN w:val="0"/>
              <w:adjustRightInd w:val="0"/>
              <w:spacing w:after="0" w:line="240" w:lineRule="auto"/>
              <w:jc w:val="center"/>
              <w:rPr>
                <w:rFonts w:ascii="Times New Roman" w:hAnsi="Times New Roman" w:eastAsiaTheme="minorHAnsi" w:cs="Times New Roman"/>
                <w:color w:val="000000"/>
                <w:sz w:val="24"/>
                <w:szCs w:val="24"/>
                <w:lang w:val="en-US" w:eastAsia="en-US" w:bidi="ar-SA"/>
              </w:rPr>
            </w:pPr>
            <w:r w:rsidRPr="001D7812">
              <w:rPr>
                <w:rFonts w:ascii="Times New Roman" w:hAnsi="Times New Roman" w:eastAsiaTheme="minorHAnsi" w:cs="Times New Roman"/>
                <w:color w:val="000000"/>
                <w:sz w:val="24"/>
                <w:szCs w:val="24"/>
                <w:lang w:val="en-US" w:eastAsia="en-US" w:bidi="ar-SA"/>
              </w:rPr>
              <w:t>2,505,000</w:t>
            </w:r>
          </w:p>
        </w:tc>
      </w:tr>
      <w:tr w14:paraId="33ECAA6B" w14:textId="77777777" w:rsidTr="00E971F0">
        <w:tblPrEx>
          <w:tblW w:w="0" w:type="auto"/>
          <w:jc w:val="center"/>
          <w:tblInd w:w="0" w:type="dxa"/>
          <w:tblLayout w:type="fixed"/>
          <w:tblCellMar>
            <w:top w:w="0" w:type="dxa"/>
            <w:left w:w="30" w:type="dxa"/>
            <w:bottom w:w="0" w:type="dxa"/>
            <w:right w:w="30" w:type="dxa"/>
          </w:tblCellMar>
          <w:tblLook w:val="0000"/>
        </w:tblPrEx>
        <w:trPr>
          <w:trHeight w:val="290"/>
          <w:jc w:val="center"/>
        </w:trPr>
        <w:tc>
          <w:tcPr>
            <w:tcW w:w="1241" w:type="dxa"/>
          </w:tcPr>
          <w:p w:rsidR="00D930AD" w:rsidRPr="001D7812" w:rsidP="00E971F0" w14:paraId="53A2BF01" w14:textId="77777777">
            <w:pPr>
              <w:autoSpaceDE w:val="0"/>
              <w:autoSpaceDN w:val="0"/>
              <w:adjustRightInd w:val="0"/>
              <w:spacing w:after="0" w:line="240" w:lineRule="auto"/>
              <w:rPr>
                <w:rFonts w:ascii="Times New Roman" w:hAnsi="Times New Roman" w:eastAsiaTheme="minorHAnsi" w:cs="Times New Roman"/>
                <w:b/>
                <w:bCs/>
                <w:color w:val="000000"/>
                <w:sz w:val="24"/>
                <w:szCs w:val="24"/>
                <w:lang w:val="en-US" w:eastAsia="en-US" w:bidi="ar-SA"/>
              </w:rPr>
            </w:pPr>
            <w:r w:rsidRPr="001D7812">
              <w:rPr>
                <w:rFonts w:ascii="Times New Roman" w:hAnsi="Times New Roman" w:eastAsiaTheme="minorHAnsi" w:cs="Times New Roman"/>
                <w:b/>
                <w:bCs/>
                <w:color w:val="000000"/>
                <w:sz w:val="24"/>
                <w:szCs w:val="24"/>
                <w:lang w:val="en-US" w:eastAsia="en-US" w:bidi="ar-SA"/>
              </w:rPr>
              <w:t>TE</w:t>
            </w:r>
          </w:p>
        </w:tc>
        <w:tc>
          <w:tcPr>
            <w:tcW w:w="1821" w:type="dxa"/>
          </w:tcPr>
          <w:p w:rsidR="00D930AD" w:rsidRPr="001D7812" w:rsidP="00E971F0" w14:paraId="258668AD" w14:textId="77777777">
            <w:pPr>
              <w:autoSpaceDE w:val="0"/>
              <w:autoSpaceDN w:val="0"/>
              <w:adjustRightInd w:val="0"/>
              <w:spacing w:after="0" w:line="240" w:lineRule="auto"/>
              <w:jc w:val="center"/>
              <w:rPr>
                <w:rFonts w:ascii="Times New Roman" w:hAnsi="Times New Roman" w:eastAsiaTheme="minorHAnsi" w:cs="Times New Roman"/>
                <w:color w:val="000000"/>
                <w:sz w:val="24"/>
                <w:szCs w:val="24"/>
                <w:lang w:val="en-US" w:eastAsia="en-US" w:bidi="ar-SA"/>
              </w:rPr>
            </w:pPr>
            <w:r w:rsidRPr="001D7812">
              <w:rPr>
                <w:rFonts w:ascii="Times New Roman" w:hAnsi="Times New Roman" w:eastAsiaTheme="minorHAnsi" w:cs="Times New Roman"/>
                <w:color w:val="000000"/>
                <w:sz w:val="24"/>
                <w:szCs w:val="24"/>
                <w:lang w:val="en-US" w:eastAsia="en-US" w:bidi="ar-SA"/>
              </w:rPr>
              <w:t>565,000</w:t>
            </w:r>
          </w:p>
        </w:tc>
        <w:tc>
          <w:tcPr>
            <w:tcW w:w="1805" w:type="dxa"/>
          </w:tcPr>
          <w:p w:rsidR="00D930AD" w:rsidRPr="001D7812" w:rsidP="00E971F0" w14:paraId="306A6A1F" w14:textId="77777777">
            <w:pPr>
              <w:autoSpaceDE w:val="0"/>
              <w:autoSpaceDN w:val="0"/>
              <w:adjustRightInd w:val="0"/>
              <w:spacing w:after="0" w:line="240" w:lineRule="auto"/>
              <w:jc w:val="center"/>
              <w:rPr>
                <w:rFonts w:ascii="Times New Roman" w:hAnsi="Times New Roman" w:eastAsiaTheme="minorHAnsi" w:cs="Times New Roman"/>
                <w:color w:val="000000"/>
                <w:sz w:val="24"/>
                <w:szCs w:val="24"/>
                <w:lang w:val="en-US" w:eastAsia="en-US" w:bidi="ar-SA"/>
              </w:rPr>
            </w:pPr>
            <w:r w:rsidRPr="001D7812">
              <w:rPr>
                <w:rFonts w:ascii="Times New Roman" w:hAnsi="Times New Roman" w:eastAsiaTheme="minorHAnsi" w:cs="Times New Roman"/>
                <w:color w:val="000000"/>
                <w:sz w:val="24"/>
                <w:szCs w:val="24"/>
                <w:lang w:val="en-US" w:eastAsia="en-US" w:bidi="ar-SA"/>
              </w:rPr>
              <w:t>450,000</w:t>
            </w:r>
          </w:p>
        </w:tc>
        <w:tc>
          <w:tcPr>
            <w:tcW w:w="1788" w:type="dxa"/>
          </w:tcPr>
          <w:p w:rsidR="00D930AD" w:rsidRPr="001D7812" w:rsidP="00E971F0" w14:paraId="7D7606B8" w14:textId="77777777">
            <w:pPr>
              <w:autoSpaceDE w:val="0"/>
              <w:autoSpaceDN w:val="0"/>
              <w:adjustRightInd w:val="0"/>
              <w:spacing w:after="0" w:line="240" w:lineRule="auto"/>
              <w:jc w:val="center"/>
              <w:rPr>
                <w:rFonts w:ascii="Times New Roman" w:hAnsi="Times New Roman" w:eastAsiaTheme="minorHAnsi" w:cs="Times New Roman"/>
                <w:color w:val="000000"/>
                <w:sz w:val="24"/>
                <w:szCs w:val="24"/>
                <w:lang w:val="en-US" w:eastAsia="en-US" w:bidi="ar-SA"/>
              </w:rPr>
            </w:pPr>
            <w:r w:rsidRPr="001D7812">
              <w:rPr>
                <w:rFonts w:ascii="Times New Roman" w:hAnsi="Times New Roman" w:eastAsiaTheme="minorHAnsi" w:cs="Times New Roman"/>
                <w:color w:val="000000"/>
                <w:sz w:val="24"/>
                <w:szCs w:val="24"/>
                <w:lang w:val="en-US" w:eastAsia="en-US" w:bidi="ar-SA"/>
              </w:rPr>
              <w:t>1,015,000</w:t>
            </w:r>
          </w:p>
        </w:tc>
      </w:tr>
      <w:tr w14:paraId="2D7566BD" w14:textId="77777777" w:rsidTr="00E971F0">
        <w:tblPrEx>
          <w:tblW w:w="0" w:type="auto"/>
          <w:jc w:val="center"/>
          <w:tblInd w:w="0" w:type="dxa"/>
          <w:tblLayout w:type="fixed"/>
          <w:tblCellMar>
            <w:top w:w="0" w:type="dxa"/>
            <w:left w:w="30" w:type="dxa"/>
            <w:bottom w:w="0" w:type="dxa"/>
            <w:right w:w="30" w:type="dxa"/>
          </w:tblCellMar>
          <w:tblLook w:val="0000"/>
        </w:tblPrEx>
        <w:trPr>
          <w:trHeight w:val="290"/>
          <w:jc w:val="center"/>
        </w:trPr>
        <w:tc>
          <w:tcPr>
            <w:tcW w:w="1241" w:type="dxa"/>
          </w:tcPr>
          <w:p w:rsidR="00D930AD" w:rsidRPr="001D7812" w:rsidP="00E971F0" w14:paraId="1952A22A" w14:textId="77777777">
            <w:pPr>
              <w:autoSpaceDE w:val="0"/>
              <w:autoSpaceDN w:val="0"/>
              <w:adjustRightInd w:val="0"/>
              <w:spacing w:after="0" w:line="240" w:lineRule="auto"/>
              <w:rPr>
                <w:rFonts w:ascii="Times New Roman" w:hAnsi="Times New Roman" w:eastAsiaTheme="minorHAnsi" w:cs="Times New Roman"/>
                <w:b/>
                <w:bCs/>
                <w:color w:val="000000"/>
                <w:sz w:val="24"/>
                <w:szCs w:val="24"/>
                <w:lang w:val="en-US" w:eastAsia="en-US" w:bidi="ar-SA"/>
              </w:rPr>
            </w:pPr>
            <w:r w:rsidRPr="001D7812">
              <w:rPr>
                <w:rFonts w:ascii="Times New Roman" w:hAnsi="Times New Roman" w:eastAsiaTheme="minorHAnsi" w:cs="Times New Roman"/>
                <w:b/>
                <w:bCs/>
                <w:color w:val="000000"/>
                <w:sz w:val="24"/>
                <w:szCs w:val="24"/>
                <w:lang w:val="en-US" w:eastAsia="en-US" w:bidi="ar-SA"/>
              </w:rPr>
              <w:t>Total</w:t>
            </w:r>
          </w:p>
        </w:tc>
        <w:tc>
          <w:tcPr>
            <w:tcW w:w="1821" w:type="dxa"/>
          </w:tcPr>
          <w:p w:rsidR="00D930AD" w:rsidRPr="001D7812" w:rsidP="00E971F0" w14:paraId="1223F030" w14:textId="77777777">
            <w:pPr>
              <w:autoSpaceDE w:val="0"/>
              <w:autoSpaceDN w:val="0"/>
              <w:adjustRightInd w:val="0"/>
              <w:spacing w:after="0" w:line="240" w:lineRule="auto"/>
              <w:jc w:val="center"/>
              <w:rPr>
                <w:rFonts w:ascii="Times New Roman" w:hAnsi="Times New Roman" w:eastAsiaTheme="minorHAnsi" w:cs="Times New Roman"/>
                <w:color w:val="000000"/>
                <w:sz w:val="24"/>
                <w:szCs w:val="24"/>
                <w:u w:val="single"/>
                <w:lang w:val="en-US" w:eastAsia="en-US" w:bidi="ar-SA"/>
              </w:rPr>
            </w:pPr>
            <w:r w:rsidRPr="001D7812">
              <w:rPr>
                <w:rFonts w:ascii="Times New Roman" w:hAnsi="Times New Roman" w:eastAsiaTheme="minorHAnsi" w:cs="Times New Roman"/>
                <w:color w:val="000000"/>
                <w:sz w:val="24"/>
                <w:szCs w:val="24"/>
                <w:u w:val="single"/>
                <w:lang w:val="en-US" w:eastAsia="en-US" w:bidi="ar-SA"/>
              </w:rPr>
              <w:t>3,462,000</w:t>
            </w:r>
          </w:p>
        </w:tc>
        <w:tc>
          <w:tcPr>
            <w:tcW w:w="1805" w:type="dxa"/>
          </w:tcPr>
          <w:p w:rsidR="00D930AD" w:rsidRPr="001D7812" w:rsidP="00E971F0" w14:paraId="07C22D7E" w14:textId="77777777">
            <w:pPr>
              <w:autoSpaceDE w:val="0"/>
              <w:autoSpaceDN w:val="0"/>
              <w:adjustRightInd w:val="0"/>
              <w:spacing w:after="0" w:line="240" w:lineRule="auto"/>
              <w:jc w:val="center"/>
              <w:rPr>
                <w:rFonts w:ascii="Times New Roman" w:hAnsi="Times New Roman" w:eastAsiaTheme="minorHAnsi" w:cs="Times New Roman"/>
                <w:color w:val="000000"/>
                <w:sz w:val="24"/>
                <w:szCs w:val="24"/>
                <w:u w:val="single"/>
                <w:lang w:val="en-US" w:eastAsia="en-US" w:bidi="ar-SA"/>
              </w:rPr>
            </w:pPr>
            <w:r w:rsidRPr="001D7812">
              <w:rPr>
                <w:rFonts w:ascii="Times New Roman" w:hAnsi="Times New Roman" w:eastAsiaTheme="minorHAnsi" w:cs="Times New Roman"/>
                <w:color w:val="000000"/>
                <w:sz w:val="24"/>
                <w:szCs w:val="24"/>
                <w:u w:val="single"/>
                <w:lang w:val="en-US" w:eastAsia="en-US" w:bidi="ar-SA"/>
              </w:rPr>
              <w:t>3,116,000</w:t>
            </w:r>
          </w:p>
        </w:tc>
        <w:tc>
          <w:tcPr>
            <w:tcW w:w="1788" w:type="dxa"/>
          </w:tcPr>
          <w:p w:rsidR="00D930AD" w:rsidRPr="001D7812" w:rsidP="00E971F0" w14:paraId="3F57FC43" w14:textId="77777777">
            <w:pPr>
              <w:autoSpaceDE w:val="0"/>
              <w:autoSpaceDN w:val="0"/>
              <w:adjustRightInd w:val="0"/>
              <w:spacing w:after="0" w:line="240" w:lineRule="auto"/>
              <w:jc w:val="center"/>
              <w:rPr>
                <w:rFonts w:ascii="Times New Roman" w:hAnsi="Times New Roman" w:eastAsiaTheme="minorHAnsi" w:cs="Times New Roman"/>
                <w:color w:val="000000"/>
                <w:sz w:val="24"/>
                <w:szCs w:val="24"/>
                <w:u w:val="single"/>
                <w:lang w:val="en-US" w:eastAsia="en-US" w:bidi="ar-SA"/>
              </w:rPr>
            </w:pPr>
            <w:r w:rsidRPr="001D7812">
              <w:rPr>
                <w:rFonts w:ascii="Times New Roman" w:hAnsi="Times New Roman" w:eastAsiaTheme="minorHAnsi" w:cs="Times New Roman"/>
                <w:color w:val="000000"/>
                <w:sz w:val="24"/>
                <w:szCs w:val="24"/>
                <w:u w:val="single"/>
                <w:lang w:val="en-US" w:eastAsia="en-US" w:bidi="ar-SA"/>
              </w:rPr>
              <w:t>6,578,000</w:t>
            </w:r>
          </w:p>
        </w:tc>
      </w:tr>
      <w:tr w14:paraId="7C65A973" w14:textId="77777777" w:rsidTr="00E971F0">
        <w:tblPrEx>
          <w:tblW w:w="0" w:type="auto"/>
          <w:jc w:val="center"/>
          <w:tblInd w:w="0" w:type="dxa"/>
          <w:tblLayout w:type="fixed"/>
          <w:tblCellMar>
            <w:top w:w="0" w:type="dxa"/>
            <w:left w:w="30" w:type="dxa"/>
            <w:bottom w:w="0" w:type="dxa"/>
            <w:right w:w="30" w:type="dxa"/>
          </w:tblCellMar>
          <w:tblLook w:val="0000"/>
        </w:tblPrEx>
        <w:trPr>
          <w:trHeight w:val="290"/>
          <w:jc w:val="center"/>
        </w:trPr>
        <w:tc>
          <w:tcPr>
            <w:tcW w:w="1241" w:type="dxa"/>
          </w:tcPr>
          <w:p w:rsidR="00D930AD" w:rsidRPr="001D7812" w:rsidP="00E971F0" w14:paraId="0BF336AE" w14:textId="77777777">
            <w:pPr>
              <w:autoSpaceDE w:val="0"/>
              <w:autoSpaceDN w:val="0"/>
              <w:adjustRightInd w:val="0"/>
              <w:spacing w:after="0" w:line="240" w:lineRule="auto"/>
              <w:rPr>
                <w:rFonts w:ascii="Times New Roman" w:hAnsi="Times New Roman" w:eastAsiaTheme="minorHAnsi" w:cs="Times New Roman"/>
                <w:b/>
                <w:bCs/>
                <w:color w:val="000000"/>
                <w:sz w:val="24"/>
                <w:szCs w:val="24"/>
                <w:lang w:val="en-US" w:eastAsia="en-US" w:bidi="ar-SA"/>
              </w:rPr>
            </w:pPr>
            <w:r w:rsidRPr="001D7812">
              <w:rPr>
                <w:rFonts w:ascii="Times New Roman" w:hAnsi="Times New Roman" w:eastAsiaTheme="minorHAnsi" w:cs="Times New Roman"/>
                <w:b/>
                <w:bCs/>
                <w:color w:val="000000"/>
                <w:sz w:val="24"/>
                <w:szCs w:val="24"/>
                <w:lang w:val="en-US" w:eastAsia="en-US" w:bidi="ar-SA"/>
              </w:rPr>
              <w:t>Percentage</w:t>
            </w:r>
          </w:p>
        </w:tc>
        <w:tc>
          <w:tcPr>
            <w:tcW w:w="1821" w:type="dxa"/>
          </w:tcPr>
          <w:p w:rsidR="00D930AD" w:rsidRPr="001D7812" w:rsidP="00E971F0" w14:paraId="0C8578C5" w14:textId="77777777">
            <w:pPr>
              <w:autoSpaceDE w:val="0"/>
              <w:autoSpaceDN w:val="0"/>
              <w:adjustRightInd w:val="0"/>
              <w:spacing w:after="0" w:line="240" w:lineRule="auto"/>
              <w:jc w:val="center"/>
              <w:rPr>
                <w:rFonts w:ascii="Times New Roman" w:hAnsi="Times New Roman" w:eastAsiaTheme="minorHAnsi" w:cs="Times New Roman"/>
                <w:color w:val="000000"/>
                <w:sz w:val="24"/>
                <w:szCs w:val="24"/>
                <w:lang w:val="en-US" w:eastAsia="en-US" w:bidi="ar-SA"/>
              </w:rPr>
            </w:pPr>
            <w:r w:rsidRPr="001D7812">
              <w:rPr>
                <w:rFonts w:ascii="Times New Roman" w:hAnsi="Times New Roman" w:eastAsiaTheme="minorHAnsi" w:cs="Times New Roman"/>
                <w:color w:val="000000"/>
                <w:sz w:val="24"/>
                <w:szCs w:val="24"/>
                <w:lang w:val="en-US" w:eastAsia="en-US" w:bidi="ar-SA"/>
              </w:rPr>
              <w:t>52.63%</w:t>
            </w:r>
          </w:p>
        </w:tc>
        <w:tc>
          <w:tcPr>
            <w:tcW w:w="1805" w:type="dxa"/>
          </w:tcPr>
          <w:p w:rsidR="00D930AD" w:rsidRPr="001D7812" w:rsidP="00E971F0" w14:paraId="7776E2F2" w14:textId="77777777">
            <w:pPr>
              <w:autoSpaceDE w:val="0"/>
              <w:autoSpaceDN w:val="0"/>
              <w:adjustRightInd w:val="0"/>
              <w:spacing w:after="0" w:line="240" w:lineRule="auto"/>
              <w:jc w:val="center"/>
              <w:rPr>
                <w:rFonts w:ascii="Times New Roman" w:hAnsi="Times New Roman" w:eastAsiaTheme="minorHAnsi" w:cs="Times New Roman"/>
                <w:color w:val="000000"/>
                <w:sz w:val="24"/>
                <w:szCs w:val="24"/>
                <w:lang w:val="en-US" w:eastAsia="en-US" w:bidi="ar-SA"/>
              </w:rPr>
            </w:pPr>
            <w:r w:rsidRPr="001D7812">
              <w:rPr>
                <w:rFonts w:ascii="Times New Roman" w:hAnsi="Times New Roman" w:eastAsiaTheme="minorHAnsi" w:cs="Times New Roman"/>
                <w:color w:val="000000"/>
                <w:sz w:val="24"/>
                <w:szCs w:val="24"/>
                <w:lang w:val="en-US" w:eastAsia="en-US" w:bidi="ar-SA"/>
              </w:rPr>
              <w:t>47.37%</w:t>
            </w:r>
          </w:p>
        </w:tc>
        <w:tc>
          <w:tcPr>
            <w:tcW w:w="1788" w:type="dxa"/>
          </w:tcPr>
          <w:p w:rsidR="00D930AD" w:rsidRPr="001D7812" w:rsidP="00E971F0" w14:paraId="26ED65C3" w14:textId="77777777">
            <w:pPr>
              <w:autoSpaceDE w:val="0"/>
              <w:autoSpaceDN w:val="0"/>
              <w:adjustRightInd w:val="0"/>
              <w:spacing w:after="0" w:line="240" w:lineRule="auto"/>
              <w:jc w:val="center"/>
              <w:rPr>
                <w:rFonts w:ascii="Times New Roman" w:hAnsi="Times New Roman" w:eastAsiaTheme="minorHAnsi" w:cs="Times New Roman"/>
                <w:color w:val="000000"/>
                <w:sz w:val="24"/>
                <w:szCs w:val="24"/>
                <w:lang w:val="en-US" w:eastAsia="en-US" w:bidi="ar-SA"/>
              </w:rPr>
            </w:pPr>
            <w:r w:rsidRPr="001D7812">
              <w:rPr>
                <w:rFonts w:ascii="Times New Roman" w:hAnsi="Times New Roman" w:eastAsiaTheme="minorHAnsi" w:cs="Times New Roman"/>
                <w:color w:val="000000"/>
                <w:sz w:val="24"/>
                <w:szCs w:val="24"/>
                <w:lang w:val="en-US" w:eastAsia="en-US" w:bidi="ar-SA"/>
              </w:rPr>
              <w:t>100%</w:t>
            </w:r>
          </w:p>
        </w:tc>
      </w:tr>
    </w:tbl>
    <w:p w:rsidR="00D930AD" w:rsidRPr="001D7812" w:rsidP="00D930AD" w14:paraId="12F0E4B6" w14:textId="77777777">
      <w:pPr>
        <w:jc w:val="center"/>
        <w:rPr>
          <w:rFonts w:cs="Times New Roman"/>
          <w:szCs w:val="24"/>
        </w:rPr>
      </w:pPr>
    </w:p>
    <w:p w:rsidR="00D343BE" w:rsidRPr="001D7812" w:rsidP="00D343BE" w14:paraId="00C9BDCD" w14:textId="727E40AE">
      <w:pPr>
        <w:spacing w:line="480" w:lineRule="auto"/>
        <w:ind w:firstLine="720"/>
        <w:rPr>
          <w:rFonts w:cs="Times New Roman"/>
          <w:szCs w:val="24"/>
        </w:rPr>
      </w:pPr>
      <w:r w:rsidRPr="001D7812">
        <w:rPr>
          <w:rFonts w:cs="Times New Roman"/>
          <w:szCs w:val="24"/>
        </w:rPr>
        <w:t xml:space="preserve">Uing the above methods, </w:t>
      </w:r>
      <w:r w:rsidRPr="001D7812" w:rsidR="007403F0">
        <w:rPr>
          <w:rFonts w:cs="Times New Roman"/>
          <w:szCs w:val="24"/>
        </w:rPr>
        <w:t xml:space="preserve">Mr. </w:t>
      </w:r>
      <w:r w:rsidRPr="001D7812">
        <w:rPr>
          <w:rFonts w:cs="Times New Roman"/>
          <w:szCs w:val="24"/>
        </w:rPr>
        <w:t>Buckley calculated the resulting Rate of Return as follows:</w:t>
      </w:r>
      <w:r>
        <w:rPr>
          <w:rStyle w:val="FootnoteReference"/>
          <w:rFonts w:cs="Times New Roman"/>
          <w:szCs w:val="24"/>
        </w:rPr>
        <w:footnoteReference w:id="65"/>
      </w:r>
    </w:p>
    <w:tbl>
      <w:tblPr>
        <w:tblW w:w="782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2196"/>
        <w:gridCol w:w="2022"/>
        <w:gridCol w:w="1204"/>
        <w:gridCol w:w="1036"/>
        <w:gridCol w:w="1363"/>
      </w:tblGrid>
      <w:tr w14:paraId="7DE71E86" w14:textId="77777777" w:rsidTr="00EA7849">
        <w:tblPrEx>
          <w:tblW w:w="782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00"/>
          <w:jc w:val="center"/>
        </w:trPr>
        <w:tc>
          <w:tcPr>
            <w:tcW w:w="7821" w:type="dxa"/>
            <w:gridSpan w:val="5"/>
            <w:shd w:val="clear" w:color="auto" w:fill="auto"/>
            <w:noWrap/>
            <w:vAlign w:val="bottom"/>
            <w:hideMark/>
          </w:tcPr>
          <w:p w:rsidR="00D343BE" w:rsidRPr="001D7812" w:rsidP="0097662D" w14:paraId="568315C6" w14:textId="77777777">
            <w:pPr>
              <w:spacing w:after="0" w:line="240" w:lineRule="auto"/>
              <w:jc w:val="center"/>
              <w:rPr>
                <w:rFonts w:ascii="Times New Roman" w:hAnsi="Times New Roman" w:eastAsiaTheme="minorHAnsi" w:cs="Times New Roman"/>
                <w:sz w:val="24"/>
                <w:szCs w:val="24"/>
                <w:lang w:val="en-US" w:eastAsia="en-US" w:bidi="ar-SA"/>
              </w:rPr>
            </w:pPr>
            <w:r w:rsidRPr="001D7812">
              <w:rPr>
                <w:rFonts w:ascii="Times New Roman" w:hAnsi="Times New Roman" w:eastAsiaTheme="minorHAnsi" w:cs="Times New Roman"/>
                <w:sz w:val="24"/>
                <w:szCs w:val="24"/>
                <w:lang w:val="en-US" w:eastAsia="en-US" w:bidi="ar-SA"/>
              </w:rPr>
              <w:t>Rate of Return Summary</w:t>
            </w:r>
          </w:p>
        </w:tc>
      </w:tr>
      <w:tr w14:paraId="3D62BADD" w14:textId="77777777" w:rsidTr="00EA7849">
        <w:tblPrEx>
          <w:tblW w:w="7821" w:type="dxa"/>
          <w:jc w:val="center"/>
          <w:tblInd w:w="0" w:type="dxa"/>
          <w:tblCellMar>
            <w:top w:w="0" w:type="dxa"/>
            <w:left w:w="108" w:type="dxa"/>
            <w:bottom w:w="0" w:type="dxa"/>
            <w:right w:w="108" w:type="dxa"/>
          </w:tblCellMar>
          <w:tblLook w:val="04A0"/>
        </w:tblPrEx>
        <w:trPr>
          <w:trHeight w:val="300"/>
          <w:jc w:val="center"/>
        </w:trPr>
        <w:tc>
          <w:tcPr>
            <w:tcW w:w="7821" w:type="dxa"/>
            <w:gridSpan w:val="5"/>
            <w:shd w:val="clear" w:color="auto" w:fill="auto"/>
            <w:noWrap/>
            <w:vAlign w:val="bottom"/>
            <w:hideMark/>
          </w:tcPr>
          <w:p w:rsidR="00D343BE" w:rsidRPr="001D7812" w:rsidP="0097662D" w14:paraId="268AFEEE" w14:textId="08B01A1B">
            <w:pPr>
              <w:spacing w:after="0" w:line="240" w:lineRule="auto"/>
              <w:jc w:val="center"/>
              <w:rPr>
                <w:rFonts w:ascii="Times New Roman" w:hAnsi="Times New Roman" w:eastAsiaTheme="minorHAnsi" w:cs="Times New Roman"/>
                <w:sz w:val="24"/>
                <w:szCs w:val="24"/>
                <w:lang w:val="en-US" w:eastAsia="en-US" w:bidi="ar-SA"/>
              </w:rPr>
            </w:pPr>
            <w:r w:rsidRPr="001D7812">
              <w:rPr>
                <w:rFonts w:ascii="Times New Roman" w:hAnsi="Times New Roman" w:eastAsiaTheme="minorHAnsi" w:cs="Times New Roman"/>
                <w:sz w:val="24"/>
                <w:szCs w:val="24"/>
                <w:lang w:val="en-US" w:eastAsia="en-US" w:bidi="ar-SA"/>
              </w:rPr>
              <w:t xml:space="preserve">The </w:t>
            </w:r>
            <w:r w:rsidRPr="001D7812" w:rsidR="009A3229">
              <w:rPr>
                <w:rFonts w:ascii="Times New Roman" w:hAnsi="Times New Roman" w:eastAsiaTheme="minorHAnsi" w:cs="Times New Roman"/>
                <w:sz w:val="24"/>
                <w:szCs w:val="24"/>
                <w:lang w:val="en-US" w:eastAsia="en-US" w:bidi="ar-SA"/>
              </w:rPr>
              <w:t>FirstEnergy Utilities</w:t>
            </w:r>
          </w:p>
        </w:tc>
      </w:tr>
      <w:tr w14:paraId="2B8A06DB" w14:textId="77777777" w:rsidTr="00EA7849">
        <w:tblPrEx>
          <w:tblW w:w="7821" w:type="dxa"/>
          <w:jc w:val="center"/>
          <w:tblInd w:w="0" w:type="dxa"/>
          <w:tblCellMar>
            <w:top w:w="0" w:type="dxa"/>
            <w:left w:w="108" w:type="dxa"/>
            <w:bottom w:w="0" w:type="dxa"/>
            <w:right w:w="108" w:type="dxa"/>
          </w:tblCellMar>
          <w:tblLook w:val="04A0"/>
        </w:tblPrEx>
        <w:trPr>
          <w:trHeight w:val="300"/>
          <w:jc w:val="center"/>
        </w:trPr>
        <w:tc>
          <w:tcPr>
            <w:tcW w:w="7821" w:type="dxa"/>
            <w:gridSpan w:val="5"/>
            <w:shd w:val="clear" w:color="auto" w:fill="auto"/>
            <w:noWrap/>
            <w:vAlign w:val="bottom"/>
            <w:hideMark/>
          </w:tcPr>
          <w:p w:rsidR="00D343BE" w:rsidRPr="001D7812" w:rsidP="0097662D" w14:paraId="0FA7984A" w14:textId="77777777">
            <w:pPr>
              <w:spacing w:after="0" w:line="240" w:lineRule="auto"/>
              <w:jc w:val="center"/>
              <w:rPr>
                <w:rFonts w:ascii="Times New Roman" w:hAnsi="Times New Roman" w:eastAsiaTheme="minorHAnsi" w:cs="Times New Roman"/>
                <w:sz w:val="24"/>
                <w:szCs w:val="24"/>
                <w:u w:val="single"/>
                <w:lang w:val="en-US" w:eastAsia="en-US" w:bidi="ar-SA"/>
              </w:rPr>
            </w:pPr>
            <w:r w:rsidRPr="001D7812">
              <w:rPr>
                <w:rFonts w:ascii="Times New Roman" w:hAnsi="Times New Roman" w:eastAsiaTheme="minorHAnsi" w:cs="Times New Roman"/>
                <w:sz w:val="24"/>
                <w:szCs w:val="24"/>
                <w:u w:val="single"/>
                <w:lang w:val="en-US" w:eastAsia="en-US" w:bidi="ar-SA"/>
              </w:rPr>
              <w:t>Capital Structure as 2022 end of Fiscal Year (Per S&amp;P)</w:t>
            </w:r>
            <w:r>
              <w:rPr>
                <w:rFonts w:cs="Times New Roman"/>
                <w:szCs w:val="24"/>
                <w:u w:val="single"/>
                <w:vertAlign w:val="superscript"/>
              </w:rPr>
              <w:footnoteReference w:id="66"/>
            </w:r>
          </w:p>
        </w:tc>
      </w:tr>
      <w:tr w14:paraId="70E10C7F" w14:textId="77777777" w:rsidTr="00EA7849">
        <w:tblPrEx>
          <w:tblW w:w="7821" w:type="dxa"/>
          <w:jc w:val="center"/>
          <w:tblInd w:w="0" w:type="dxa"/>
          <w:tblCellMar>
            <w:top w:w="0" w:type="dxa"/>
            <w:left w:w="108" w:type="dxa"/>
            <w:bottom w:w="0" w:type="dxa"/>
            <w:right w:w="108" w:type="dxa"/>
          </w:tblCellMar>
          <w:tblLook w:val="04A0"/>
        </w:tblPrEx>
        <w:trPr>
          <w:trHeight w:val="300"/>
          <w:jc w:val="center"/>
        </w:trPr>
        <w:tc>
          <w:tcPr>
            <w:tcW w:w="2196" w:type="dxa"/>
            <w:shd w:val="clear" w:color="auto" w:fill="auto"/>
            <w:noWrap/>
            <w:vAlign w:val="bottom"/>
            <w:hideMark/>
          </w:tcPr>
          <w:p w:rsidR="00D343BE" w:rsidRPr="001D7812" w:rsidP="0097662D" w14:paraId="6935CD55" w14:textId="77777777">
            <w:pPr>
              <w:spacing w:after="0" w:line="240" w:lineRule="auto"/>
              <w:jc w:val="center"/>
              <w:rPr>
                <w:rFonts w:ascii="Times New Roman" w:hAnsi="Times New Roman" w:eastAsiaTheme="minorHAnsi" w:cs="Times New Roman"/>
                <w:sz w:val="24"/>
                <w:szCs w:val="24"/>
                <w:u w:val="single"/>
                <w:lang w:val="en-US" w:eastAsia="en-US" w:bidi="ar-SA"/>
              </w:rPr>
            </w:pPr>
          </w:p>
        </w:tc>
        <w:tc>
          <w:tcPr>
            <w:tcW w:w="2022" w:type="dxa"/>
            <w:shd w:val="clear" w:color="auto" w:fill="auto"/>
            <w:noWrap/>
            <w:vAlign w:val="bottom"/>
            <w:hideMark/>
          </w:tcPr>
          <w:p w:rsidR="00D343BE" w:rsidRPr="001D7812" w:rsidP="0097662D" w14:paraId="5013248C" w14:textId="77777777">
            <w:pPr>
              <w:spacing w:after="0" w:line="240" w:lineRule="auto"/>
              <w:rPr>
                <w:rFonts w:ascii="Times New Roman" w:hAnsi="Times New Roman" w:eastAsiaTheme="minorHAnsi" w:cs="Times New Roman"/>
                <w:sz w:val="24"/>
                <w:szCs w:val="24"/>
                <w:lang w:val="en-US" w:eastAsia="en-US" w:bidi="ar-SA"/>
              </w:rPr>
            </w:pPr>
          </w:p>
        </w:tc>
        <w:tc>
          <w:tcPr>
            <w:tcW w:w="1204" w:type="dxa"/>
            <w:shd w:val="clear" w:color="auto" w:fill="auto"/>
            <w:noWrap/>
            <w:vAlign w:val="bottom"/>
            <w:hideMark/>
          </w:tcPr>
          <w:p w:rsidR="00D343BE" w:rsidRPr="001D7812" w:rsidP="0097662D" w14:paraId="096DF391" w14:textId="77777777">
            <w:pPr>
              <w:spacing w:after="0" w:line="240" w:lineRule="auto"/>
              <w:rPr>
                <w:rFonts w:ascii="Times New Roman" w:hAnsi="Times New Roman" w:eastAsiaTheme="minorHAnsi" w:cs="Times New Roman"/>
                <w:sz w:val="24"/>
                <w:szCs w:val="24"/>
                <w:lang w:val="en-US" w:eastAsia="en-US" w:bidi="ar-SA"/>
              </w:rPr>
            </w:pPr>
          </w:p>
        </w:tc>
        <w:tc>
          <w:tcPr>
            <w:tcW w:w="1036" w:type="dxa"/>
            <w:shd w:val="clear" w:color="auto" w:fill="auto"/>
            <w:noWrap/>
            <w:vAlign w:val="bottom"/>
            <w:hideMark/>
          </w:tcPr>
          <w:p w:rsidR="00D343BE" w:rsidRPr="001D7812" w:rsidP="0097662D" w14:paraId="5A25B9F2" w14:textId="77777777">
            <w:pPr>
              <w:spacing w:after="0" w:line="240" w:lineRule="auto"/>
              <w:rPr>
                <w:rFonts w:ascii="Times New Roman" w:hAnsi="Times New Roman" w:eastAsiaTheme="minorHAnsi" w:cs="Times New Roman"/>
                <w:sz w:val="24"/>
                <w:szCs w:val="24"/>
                <w:lang w:val="en-US" w:eastAsia="en-US" w:bidi="ar-SA"/>
              </w:rPr>
            </w:pPr>
          </w:p>
        </w:tc>
        <w:tc>
          <w:tcPr>
            <w:tcW w:w="1363" w:type="dxa"/>
            <w:shd w:val="clear" w:color="auto" w:fill="auto"/>
            <w:noWrap/>
            <w:vAlign w:val="bottom"/>
            <w:hideMark/>
          </w:tcPr>
          <w:p w:rsidR="00D343BE" w:rsidRPr="001D7812" w:rsidP="0097662D" w14:paraId="745B628F" w14:textId="77777777">
            <w:pPr>
              <w:spacing w:after="0" w:line="240" w:lineRule="auto"/>
              <w:rPr>
                <w:rFonts w:ascii="Times New Roman" w:hAnsi="Times New Roman" w:eastAsiaTheme="minorHAnsi" w:cs="Times New Roman"/>
                <w:sz w:val="24"/>
                <w:szCs w:val="24"/>
                <w:lang w:val="en-US" w:eastAsia="en-US" w:bidi="ar-SA"/>
              </w:rPr>
            </w:pPr>
          </w:p>
        </w:tc>
      </w:tr>
      <w:tr w14:paraId="0A6A274B" w14:textId="77777777" w:rsidTr="00EA7849">
        <w:tblPrEx>
          <w:tblW w:w="7821" w:type="dxa"/>
          <w:jc w:val="center"/>
          <w:tblInd w:w="0" w:type="dxa"/>
          <w:tblCellMar>
            <w:top w:w="0" w:type="dxa"/>
            <w:left w:w="108" w:type="dxa"/>
            <w:bottom w:w="0" w:type="dxa"/>
            <w:right w:w="108" w:type="dxa"/>
          </w:tblCellMar>
          <w:tblLook w:val="04A0"/>
        </w:tblPrEx>
        <w:trPr>
          <w:trHeight w:val="300"/>
          <w:jc w:val="center"/>
        </w:trPr>
        <w:tc>
          <w:tcPr>
            <w:tcW w:w="2196" w:type="dxa"/>
            <w:shd w:val="clear" w:color="auto" w:fill="auto"/>
            <w:noWrap/>
            <w:vAlign w:val="bottom"/>
            <w:hideMark/>
          </w:tcPr>
          <w:p w:rsidR="00D343BE" w:rsidRPr="001D7812" w:rsidP="0097662D" w14:paraId="04A94A6B" w14:textId="77777777">
            <w:pPr>
              <w:spacing w:after="0" w:line="240" w:lineRule="auto"/>
              <w:rPr>
                <w:rFonts w:ascii="Times New Roman" w:hAnsi="Times New Roman" w:eastAsiaTheme="minorHAnsi" w:cs="Times New Roman"/>
                <w:sz w:val="24"/>
                <w:szCs w:val="24"/>
                <w:lang w:val="en-US" w:eastAsia="en-US" w:bidi="ar-SA"/>
              </w:rPr>
            </w:pPr>
          </w:p>
        </w:tc>
        <w:tc>
          <w:tcPr>
            <w:tcW w:w="2022" w:type="dxa"/>
            <w:shd w:val="clear" w:color="auto" w:fill="auto"/>
            <w:noWrap/>
            <w:vAlign w:val="bottom"/>
            <w:hideMark/>
          </w:tcPr>
          <w:p w:rsidR="00D343BE" w:rsidRPr="001D7812" w:rsidP="0097662D" w14:paraId="6D989C19" w14:textId="77777777">
            <w:pPr>
              <w:spacing w:after="0" w:line="240" w:lineRule="auto"/>
              <w:jc w:val="center"/>
              <w:rPr>
                <w:rFonts w:ascii="Times New Roman" w:hAnsi="Times New Roman" w:eastAsiaTheme="minorHAnsi" w:cs="Times New Roman"/>
                <w:sz w:val="24"/>
                <w:szCs w:val="24"/>
                <w:lang w:val="en-US" w:eastAsia="en-US" w:bidi="ar-SA"/>
              </w:rPr>
            </w:pPr>
            <w:r w:rsidRPr="001D7812">
              <w:rPr>
                <w:rFonts w:ascii="Times New Roman" w:hAnsi="Times New Roman" w:eastAsiaTheme="minorHAnsi" w:cs="Times New Roman"/>
                <w:sz w:val="24"/>
                <w:szCs w:val="24"/>
                <w:lang w:val="en-US" w:eastAsia="en-US" w:bidi="ar-SA"/>
              </w:rPr>
              <w:t>Amount</w:t>
            </w:r>
          </w:p>
        </w:tc>
        <w:tc>
          <w:tcPr>
            <w:tcW w:w="1204" w:type="dxa"/>
            <w:shd w:val="clear" w:color="auto" w:fill="auto"/>
            <w:noWrap/>
            <w:vAlign w:val="bottom"/>
            <w:hideMark/>
          </w:tcPr>
          <w:p w:rsidR="00D343BE" w:rsidRPr="001D7812" w:rsidP="0097662D" w14:paraId="12A951E3" w14:textId="77777777">
            <w:pPr>
              <w:spacing w:after="0" w:line="240" w:lineRule="auto"/>
              <w:jc w:val="center"/>
              <w:rPr>
                <w:rFonts w:ascii="Times New Roman" w:hAnsi="Times New Roman" w:eastAsiaTheme="minorHAnsi" w:cs="Times New Roman"/>
                <w:sz w:val="24"/>
                <w:szCs w:val="24"/>
                <w:lang w:val="en-US" w:eastAsia="en-US" w:bidi="ar-SA"/>
              </w:rPr>
            </w:pPr>
            <w:r w:rsidRPr="001D7812">
              <w:rPr>
                <w:rFonts w:ascii="Times New Roman" w:hAnsi="Times New Roman" w:eastAsiaTheme="minorHAnsi" w:cs="Times New Roman"/>
                <w:sz w:val="24"/>
                <w:szCs w:val="24"/>
                <w:lang w:val="en-US" w:eastAsia="en-US" w:bidi="ar-SA"/>
              </w:rPr>
              <w:t>% of</w:t>
            </w:r>
          </w:p>
        </w:tc>
        <w:tc>
          <w:tcPr>
            <w:tcW w:w="1036" w:type="dxa"/>
            <w:shd w:val="clear" w:color="auto" w:fill="auto"/>
            <w:noWrap/>
            <w:vAlign w:val="bottom"/>
            <w:hideMark/>
          </w:tcPr>
          <w:p w:rsidR="00D343BE" w:rsidRPr="001D7812" w:rsidP="0097662D" w14:paraId="04B72D09" w14:textId="77777777">
            <w:pPr>
              <w:spacing w:after="0" w:line="240" w:lineRule="auto"/>
              <w:jc w:val="center"/>
              <w:rPr>
                <w:rFonts w:ascii="Times New Roman" w:hAnsi="Times New Roman" w:eastAsiaTheme="minorHAnsi" w:cs="Times New Roman"/>
                <w:sz w:val="24"/>
                <w:szCs w:val="24"/>
                <w:lang w:val="en-US" w:eastAsia="en-US" w:bidi="ar-SA"/>
              </w:rPr>
            </w:pPr>
            <w:r w:rsidRPr="001D7812">
              <w:rPr>
                <w:rFonts w:ascii="Times New Roman" w:hAnsi="Times New Roman" w:eastAsiaTheme="minorHAnsi" w:cs="Times New Roman"/>
                <w:sz w:val="24"/>
                <w:szCs w:val="24"/>
                <w:lang w:val="en-US" w:eastAsia="en-US" w:bidi="ar-SA"/>
              </w:rPr>
              <w:t>%</w:t>
            </w:r>
          </w:p>
        </w:tc>
        <w:tc>
          <w:tcPr>
            <w:tcW w:w="1363" w:type="dxa"/>
            <w:shd w:val="clear" w:color="auto" w:fill="auto"/>
            <w:noWrap/>
            <w:vAlign w:val="bottom"/>
            <w:hideMark/>
          </w:tcPr>
          <w:p w:rsidR="00D343BE" w:rsidRPr="001D7812" w:rsidP="0097662D" w14:paraId="02477542" w14:textId="77777777">
            <w:pPr>
              <w:spacing w:after="0" w:line="240" w:lineRule="auto"/>
              <w:jc w:val="center"/>
              <w:rPr>
                <w:rFonts w:ascii="Times New Roman" w:hAnsi="Times New Roman" w:eastAsiaTheme="minorHAnsi" w:cs="Times New Roman"/>
                <w:sz w:val="24"/>
                <w:szCs w:val="24"/>
                <w:lang w:val="en-US" w:eastAsia="en-US" w:bidi="ar-SA"/>
              </w:rPr>
            </w:pPr>
            <w:r w:rsidRPr="001D7812">
              <w:rPr>
                <w:rFonts w:ascii="Times New Roman" w:hAnsi="Times New Roman" w:eastAsiaTheme="minorHAnsi" w:cs="Times New Roman"/>
                <w:sz w:val="24"/>
                <w:szCs w:val="24"/>
                <w:lang w:val="en-US" w:eastAsia="en-US" w:bidi="ar-SA"/>
              </w:rPr>
              <w:t>Weighted</w:t>
            </w:r>
          </w:p>
        </w:tc>
      </w:tr>
      <w:tr w14:paraId="1CD5FF82" w14:textId="77777777" w:rsidTr="00EA7849">
        <w:tblPrEx>
          <w:tblW w:w="7821" w:type="dxa"/>
          <w:jc w:val="center"/>
          <w:tblInd w:w="0" w:type="dxa"/>
          <w:tblCellMar>
            <w:top w:w="0" w:type="dxa"/>
            <w:left w:w="108" w:type="dxa"/>
            <w:bottom w:w="0" w:type="dxa"/>
            <w:right w:w="108" w:type="dxa"/>
          </w:tblCellMar>
          <w:tblLook w:val="04A0"/>
        </w:tblPrEx>
        <w:trPr>
          <w:trHeight w:val="300"/>
          <w:jc w:val="center"/>
        </w:trPr>
        <w:tc>
          <w:tcPr>
            <w:tcW w:w="2196" w:type="dxa"/>
            <w:shd w:val="clear" w:color="auto" w:fill="auto"/>
            <w:noWrap/>
            <w:vAlign w:val="bottom"/>
            <w:hideMark/>
          </w:tcPr>
          <w:p w:rsidR="00D343BE" w:rsidRPr="001D7812" w:rsidP="0097662D" w14:paraId="25721236" w14:textId="77777777">
            <w:pPr>
              <w:spacing w:after="0" w:line="240" w:lineRule="auto"/>
              <w:jc w:val="center"/>
              <w:rPr>
                <w:rFonts w:ascii="Times New Roman" w:hAnsi="Times New Roman" w:eastAsiaTheme="minorHAnsi" w:cs="Times New Roman"/>
                <w:sz w:val="24"/>
                <w:szCs w:val="24"/>
                <w:lang w:val="en-US" w:eastAsia="en-US" w:bidi="ar-SA"/>
              </w:rPr>
            </w:pPr>
          </w:p>
        </w:tc>
        <w:tc>
          <w:tcPr>
            <w:tcW w:w="2022" w:type="dxa"/>
            <w:shd w:val="clear" w:color="auto" w:fill="auto"/>
            <w:noWrap/>
            <w:vAlign w:val="bottom"/>
            <w:hideMark/>
          </w:tcPr>
          <w:p w:rsidR="00D343BE" w:rsidRPr="001D7812" w:rsidP="0097662D" w14:paraId="2431614D" w14:textId="77777777">
            <w:pPr>
              <w:spacing w:after="0" w:line="240" w:lineRule="auto"/>
              <w:jc w:val="center"/>
              <w:rPr>
                <w:rFonts w:ascii="Times New Roman" w:hAnsi="Times New Roman" w:eastAsiaTheme="minorHAnsi" w:cs="Times New Roman"/>
                <w:sz w:val="24"/>
                <w:szCs w:val="24"/>
                <w:lang w:val="en-US" w:eastAsia="en-US" w:bidi="ar-SA"/>
              </w:rPr>
            </w:pPr>
            <w:r w:rsidRPr="001D7812">
              <w:rPr>
                <w:rFonts w:ascii="Times New Roman" w:hAnsi="Times New Roman" w:eastAsiaTheme="minorHAnsi" w:cs="Times New Roman"/>
                <w:sz w:val="24"/>
                <w:szCs w:val="24"/>
                <w:lang w:val="en-US" w:eastAsia="en-US" w:bidi="ar-SA"/>
              </w:rPr>
              <w:t xml:space="preserve">$ </w:t>
            </w:r>
          </w:p>
        </w:tc>
        <w:tc>
          <w:tcPr>
            <w:tcW w:w="1204" w:type="dxa"/>
            <w:shd w:val="clear" w:color="auto" w:fill="auto"/>
            <w:noWrap/>
            <w:vAlign w:val="bottom"/>
            <w:hideMark/>
          </w:tcPr>
          <w:p w:rsidR="00D343BE" w:rsidRPr="001D7812" w:rsidP="0097662D" w14:paraId="156E7A57" w14:textId="77777777">
            <w:pPr>
              <w:spacing w:after="0" w:line="240" w:lineRule="auto"/>
              <w:jc w:val="center"/>
              <w:rPr>
                <w:rFonts w:ascii="Times New Roman" w:hAnsi="Times New Roman" w:eastAsiaTheme="minorHAnsi" w:cs="Times New Roman"/>
                <w:sz w:val="24"/>
                <w:szCs w:val="24"/>
                <w:lang w:val="en-US" w:eastAsia="en-US" w:bidi="ar-SA"/>
              </w:rPr>
            </w:pPr>
            <w:r w:rsidRPr="001D7812">
              <w:rPr>
                <w:rFonts w:ascii="Times New Roman" w:hAnsi="Times New Roman" w:eastAsiaTheme="minorHAnsi" w:cs="Times New Roman"/>
                <w:sz w:val="24"/>
                <w:szCs w:val="24"/>
                <w:lang w:val="en-US" w:eastAsia="en-US" w:bidi="ar-SA"/>
              </w:rPr>
              <w:t>Total</w:t>
            </w:r>
          </w:p>
        </w:tc>
        <w:tc>
          <w:tcPr>
            <w:tcW w:w="1036" w:type="dxa"/>
            <w:shd w:val="clear" w:color="auto" w:fill="auto"/>
            <w:noWrap/>
            <w:vAlign w:val="bottom"/>
            <w:hideMark/>
          </w:tcPr>
          <w:p w:rsidR="00D343BE" w:rsidRPr="001D7812" w:rsidP="0097662D" w14:paraId="4A580FA5" w14:textId="77777777">
            <w:pPr>
              <w:spacing w:after="0" w:line="240" w:lineRule="auto"/>
              <w:jc w:val="center"/>
              <w:rPr>
                <w:rFonts w:ascii="Times New Roman" w:hAnsi="Times New Roman" w:eastAsiaTheme="minorHAnsi" w:cs="Times New Roman"/>
                <w:sz w:val="24"/>
                <w:szCs w:val="24"/>
                <w:lang w:val="en-US" w:eastAsia="en-US" w:bidi="ar-SA"/>
              </w:rPr>
            </w:pPr>
            <w:r w:rsidRPr="001D7812">
              <w:rPr>
                <w:rFonts w:ascii="Times New Roman" w:hAnsi="Times New Roman" w:eastAsiaTheme="minorHAnsi" w:cs="Times New Roman"/>
                <w:sz w:val="24"/>
                <w:szCs w:val="24"/>
                <w:lang w:val="en-US" w:eastAsia="en-US" w:bidi="ar-SA"/>
              </w:rPr>
              <w:t>Cost</w:t>
            </w:r>
          </w:p>
        </w:tc>
        <w:tc>
          <w:tcPr>
            <w:tcW w:w="1363" w:type="dxa"/>
            <w:shd w:val="clear" w:color="auto" w:fill="auto"/>
            <w:noWrap/>
            <w:vAlign w:val="bottom"/>
            <w:hideMark/>
          </w:tcPr>
          <w:p w:rsidR="00D343BE" w:rsidRPr="001D7812" w:rsidP="0097662D" w14:paraId="2F5CF955" w14:textId="77777777">
            <w:pPr>
              <w:spacing w:after="0" w:line="240" w:lineRule="auto"/>
              <w:jc w:val="center"/>
              <w:rPr>
                <w:rFonts w:ascii="Times New Roman" w:hAnsi="Times New Roman" w:eastAsiaTheme="minorHAnsi" w:cs="Times New Roman"/>
                <w:sz w:val="24"/>
                <w:szCs w:val="24"/>
                <w:lang w:val="en-US" w:eastAsia="en-US" w:bidi="ar-SA"/>
              </w:rPr>
            </w:pPr>
            <w:r w:rsidRPr="001D7812">
              <w:rPr>
                <w:rFonts w:ascii="Times New Roman" w:hAnsi="Times New Roman" w:eastAsiaTheme="minorHAnsi" w:cs="Times New Roman"/>
                <w:sz w:val="24"/>
                <w:szCs w:val="24"/>
                <w:lang w:val="en-US" w:eastAsia="en-US" w:bidi="ar-SA"/>
              </w:rPr>
              <w:t>Cost %</w:t>
            </w:r>
          </w:p>
        </w:tc>
      </w:tr>
      <w:tr w14:paraId="63BBEFDA" w14:textId="77777777" w:rsidTr="00EA7849">
        <w:tblPrEx>
          <w:tblW w:w="7821" w:type="dxa"/>
          <w:jc w:val="center"/>
          <w:tblInd w:w="0" w:type="dxa"/>
          <w:tblCellMar>
            <w:top w:w="0" w:type="dxa"/>
            <w:left w:w="108" w:type="dxa"/>
            <w:bottom w:w="0" w:type="dxa"/>
            <w:right w:w="108" w:type="dxa"/>
          </w:tblCellMar>
          <w:tblLook w:val="04A0"/>
        </w:tblPrEx>
        <w:trPr>
          <w:trHeight w:val="315"/>
          <w:jc w:val="center"/>
        </w:trPr>
        <w:tc>
          <w:tcPr>
            <w:tcW w:w="2196" w:type="dxa"/>
            <w:shd w:val="clear" w:color="auto" w:fill="auto"/>
            <w:noWrap/>
            <w:vAlign w:val="bottom"/>
            <w:hideMark/>
          </w:tcPr>
          <w:p w:rsidR="00D343BE" w:rsidRPr="001D7812" w:rsidP="0097662D" w14:paraId="4E21D108" w14:textId="77777777">
            <w:pPr>
              <w:spacing w:after="0" w:line="240" w:lineRule="auto"/>
              <w:jc w:val="center"/>
              <w:rPr>
                <w:rFonts w:ascii="Times New Roman" w:hAnsi="Times New Roman" w:eastAsiaTheme="minorHAnsi" w:cs="Times New Roman"/>
                <w:sz w:val="24"/>
                <w:szCs w:val="24"/>
                <w:lang w:val="en-US" w:eastAsia="en-US" w:bidi="ar-SA"/>
              </w:rPr>
            </w:pPr>
            <w:r w:rsidRPr="001D7812">
              <w:rPr>
                <w:rFonts w:ascii="Times New Roman" w:hAnsi="Times New Roman" w:eastAsiaTheme="minorHAnsi" w:cs="Times New Roman"/>
                <w:sz w:val="24"/>
                <w:szCs w:val="24"/>
                <w:lang w:val="en-US" w:eastAsia="en-US" w:bidi="ar-SA"/>
              </w:rPr>
              <w:t>Long Term Debt</w:t>
            </w:r>
          </w:p>
        </w:tc>
        <w:tc>
          <w:tcPr>
            <w:tcW w:w="2022" w:type="dxa"/>
            <w:shd w:val="clear" w:color="auto" w:fill="auto"/>
            <w:noWrap/>
            <w:vAlign w:val="bottom"/>
            <w:hideMark/>
          </w:tcPr>
          <w:p w:rsidR="00D343BE" w:rsidRPr="001D7812" w:rsidP="0097662D" w14:paraId="025D121A" w14:textId="18294EE7">
            <w:pPr>
              <w:spacing w:after="0" w:line="240" w:lineRule="auto"/>
              <w:jc w:val="center"/>
              <w:rPr>
                <w:rFonts w:ascii="Times New Roman" w:hAnsi="Times New Roman" w:eastAsiaTheme="minorHAnsi" w:cs="Times New Roman"/>
                <w:sz w:val="24"/>
                <w:szCs w:val="24"/>
                <w:lang w:val="en-US" w:eastAsia="en-US" w:bidi="ar-SA"/>
              </w:rPr>
            </w:pPr>
            <w:r w:rsidRPr="001D7812">
              <w:rPr>
                <w:rFonts w:ascii="Times New Roman" w:hAnsi="Times New Roman" w:eastAsiaTheme="minorHAnsi" w:cs="Times New Roman"/>
                <w:sz w:val="24"/>
                <w:szCs w:val="24"/>
                <w:lang w:val="en-US" w:eastAsia="en-US" w:bidi="ar-SA"/>
              </w:rPr>
              <w:t>$3,</w:t>
            </w:r>
            <w:r w:rsidRPr="001D7812" w:rsidR="009A3229">
              <w:rPr>
                <w:rFonts w:ascii="Times New Roman" w:hAnsi="Times New Roman" w:eastAsiaTheme="minorHAnsi" w:cs="Times New Roman"/>
                <w:sz w:val="24"/>
                <w:szCs w:val="24"/>
                <w:lang w:val="en-US" w:eastAsia="en-US" w:bidi="ar-SA"/>
              </w:rPr>
              <w:t>11</w:t>
            </w:r>
            <w:r w:rsidRPr="001D7812">
              <w:rPr>
                <w:rFonts w:ascii="Times New Roman" w:hAnsi="Times New Roman" w:eastAsiaTheme="minorHAnsi" w:cs="Times New Roman"/>
                <w:sz w:val="24"/>
                <w:szCs w:val="24"/>
                <w:lang w:val="en-US" w:eastAsia="en-US" w:bidi="ar-SA"/>
              </w:rPr>
              <w:t>6,</w:t>
            </w:r>
            <w:r w:rsidRPr="001D7812" w:rsidR="009A3229">
              <w:rPr>
                <w:rFonts w:ascii="Times New Roman" w:hAnsi="Times New Roman" w:eastAsiaTheme="minorHAnsi" w:cs="Times New Roman"/>
                <w:sz w:val="24"/>
                <w:szCs w:val="24"/>
                <w:lang w:val="en-US" w:eastAsia="en-US" w:bidi="ar-SA"/>
              </w:rPr>
              <w:t>0</w:t>
            </w:r>
            <w:r w:rsidRPr="001D7812">
              <w:rPr>
                <w:rFonts w:ascii="Times New Roman" w:hAnsi="Times New Roman" w:eastAsiaTheme="minorHAnsi" w:cs="Times New Roman"/>
                <w:sz w:val="24"/>
                <w:szCs w:val="24"/>
                <w:lang w:val="en-US" w:eastAsia="en-US" w:bidi="ar-SA"/>
              </w:rPr>
              <w:t>00</w:t>
            </w:r>
          </w:p>
        </w:tc>
        <w:tc>
          <w:tcPr>
            <w:tcW w:w="1204" w:type="dxa"/>
            <w:shd w:val="clear" w:color="auto" w:fill="auto"/>
            <w:noWrap/>
            <w:vAlign w:val="bottom"/>
            <w:hideMark/>
          </w:tcPr>
          <w:p w:rsidR="00D343BE" w:rsidRPr="001D7812" w:rsidP="0097662D" w14:paraId="478C1C07" w14:textId="1ACD738B">
            <w:pPr>
              <w:spacing w:after="0" w:line="240" w:lineRule="auto"/>
              <w:jc w:val="center"/>
              <w:rPr>
                <w:rFonts w:ascii="Times New Roman" w:hAnsi="Times New Roman" w:eastAsiaTheme="minorHAnsi" w:cs="Times New Roman"/>
                <w:sz w:val="24"/>
                <w:szCs w:val="24"/>
                <w:lang w:val="en-US" w:eastAsia="en-US" w:bidi="ar-SA"/>
              </w:rPr>
            </w:pPr>
            <w:r w:rsidRPr="001D7812">
              <w:rPr>
                <w:rFonts w:ascii="Times New Roman" w:hAnsi="Times New Roman" w:eastAsiaTheme="minorHAnsi" w:cs="Times New Roman"/>
                <w:sz w:val="24"/>
                <w:szCs w:val="24"/>
                <w:lang w:val="en-US" w:eastAsia="en-US" w:bidi="ar-SA"/>
              </w:rPr>
              <w:t>47</w:t>
            </w:r>
            <w:r w:rsidRPr="001D7812">
              <w:rPr>
                <w:rFonts w:ascii="Times New Roman" w:hAnsi="Times New Roman" w:eastAsiaTheme="minorHAnsi" w:cs="Times New Roman"/>
                <w:sz w:val="24"/>
                <w:szCs w:val="24"/>
                <w:lang w:val="en-US" w:eastAsia="en-US" w:bidi="ar-SA"/>
              </w:rPr>
              <w:t>.</w:t>
            </w:r>
            <w:r w:rsidRPr="001D7812">
              <w:rPr>
                <w:rFonts w:ascii="Times New Roman" w:hAnsi="Times New Roman" w:eastAsiaTheme="minorHAnsi" w:cs="Times New Roman"/>
                <w:sz w:val="24"/>
                <w:szCs w:val="24"/>
                <w:lang w:val="en-US" w:eastAsia="en-US" w:bidi="ar-SA"/>
              </w:rPr>
              <w:t>37</w:t>
            </w:r>
            <w:r w:rsidRPr="001D7812">
              <w:rPr>
                <w:rFonts w:ascii="Times New Roman" w:hAnsi="Times New Roman" w:eastAsiaTheme="minorHAnsi" w:cs="Times New Roman"/>
                <w:sz w:val="24"/>
                <w:szCs w:val="24"/>
                <w:lang w:val="en-US" w:eastAsia="en-US" w:bidi="ar-SA"/>
              </w:rPr>
              <w:t>%</w:t>
            </w:r>
          </w:p>
        </w:tc>
        <w:tc>
          <w:tcPr>
            <w:tcW w:w="1036" w:type="dxa"/>
            <w:shd w:val="clear" w:color="auto" w:fill="auto"/>
            <w:noWrap/>
            <w:vAlign w:val="bottom"/>
            <w:hideMark/>
          </w:tcPr>
          <w:p w:rsidR="00D343BE" w:rsidRPr="001D7812" w:rsidP="0097662D" w14:paraId="651C154E" w14:textId="401FAC3D">
            <w:pPr>
              <w:spacing w:after="0" w:line="240" w:lineRule="auto"/>
              <w:jc w:val="center"/>
              <w:rPr>
                <w:rFonts w:ascii="Times New Roman" w:hAnsi="Times New Roman" w:eastAsiaTheme="minorHAnsi" w:cs="Times New Roman"/>
                <w:sz w:val="24"/>
                <w:szCs w:val="24"/>
                <w:lang w:val="en-US" w:eastAsia="en-US" w:bidi="ar-SA"/>
              </w:rPr>
            </w:pPr>
            <w:r w:rsidRPr="001D7812">
              <w:rPr>
                <w:rFonts w:ascii="Times New Roman" w:hAnsi="Times New Roman" w:eastAsiaTheme="minorHAnsi" w:cs="Times New Roman"/>
                <w:sz w:val="24"/>
                <w:szCs w:val="24"/>
                <w:lang w:val="en-US" w:eastAsia="en-US" w:bidi="ar-SA"/>
              </w:rPr>
              <w:t>5</w:t>
            </w:r>
            <w:r w:rsidRPr="001D7812">
              <w:rPr>
                <w:rFonts w:ascii="Times New Roman" w:hAnsi="Times New Roman" w:eastAsiaTheme="minorHAnsi" w:cs="Times New Roman"/>
                <w:sz w:val="24"/>
                <w:szCs w:val="24"/>
                <w:lang w:val="en-US" w:eastAsia="en-US" w:bidi="ar-SA"/>
              </w:rPr>
              <w:t>.</w:t>
            </w:r>
            <w:r w:rsidRPr="001D7812">
              <w:rPr>
                <w:rFonts w:ascii="Times New Roman" w:hAnsi="Times New Roman" w:eastAsiaTheme="minorHAnsi" w:cs="Times New Roman"/>
                <w:sz w:val="24"/>
                <w:szCs w:val="24"/>
                <w:lang w:val="en-US" w:eastAsia="en-US" w:bidi="ar-SA"/>
              </w:rPr>
              <w:t>63</w:t>
            </w:r>
            <w:r w:rsidRPr="001D7812">
              <w:rPr>
                <w:rFonts w:ascii="Times New Roman" w:hAnsi="Times New Roman" w:eastAsiaTheme="minorHAnsi" w:cs="Times New Roman"/>
                <w:sz w:val="24"/>
                <w:szCs w:val="24"/>
                <w:lang w:val="en-US" w:eastAsia="en-US" w:bidi="ar-SA"/>
              </w:rPr>
              <w:t>%</w:t>
            </w:r>
          </w:p>
        </w:tc>
        <w:tc>
          <w:tcPr>
            <w:tcW w:w="1363" w:type="dxa"/>
            <w:shd w:val="clear" w:color="auto" w:fill="auto"/>
            <w:noWrap/>
            <w:vAlign w:val="bottom"/>
            <w:hideMark/>
          </w:tcPr>
          <w:p w:rsidR="00D343BE" w:rsidRPr="001D7812" w:rsidP="0097662D" w14:paraId="016A3D3D" w14:textId="5589562D">
            <w:pPr>
              <w:spacing w:after="0" w:line="240" w:lineRule="auto"/>
              <w:jc w:val="center"/>
              <w:rPr>
                <w:rFonts w:ascii="Times New Roman" w:hAnsi="Times New Roman" w:eastAsiaTheme="minorHAnsi" w:cs="Times New Roman"/>
                <w:sz w:val="24"/>
                <w:szCs w:val="24"/>
                <w:lang w:val="en-US" w:eastAsia="en-US" w:bidi="ar-SA"/>
              </w:rPr>
            </w:pPr>
            <w:r w:rsidRPr="001D7812">
              <w:rPr>
                <w:rFonts w:ascii="Times New Roman" w:hAnsi="Times New Roman" w:eastAsiaTheme="minorHAnsi" w:cs="Times New Roman"/>
                <w:sz w:val="24"/>
                <w:szCs w:val="24"/>
                <w:lang w:val="en-US" w:eastAsia="en-US" w:bidi="ar-SA"/>
              </w:rPr>
              <w:t>2.</w:t>
            </w:r>
            <w:r w:rsidRPr="001D7812" w:rsidR="009A3229">
              <w:rPr>
                <w:rFonts w:ascii="Times New Roman" w:hAnsi="Times New Roman" w:eastAsiaTheme="minorHAnsi" w:cs="Times New Roman"/>
                <w:sz w:val="24"/>
                <w:szCs w:val="24"/>
                <w:lang w:val="en-US" w:eastAsia="en-US" w:bidi="ar-SA"/>
              </w:rPr>
              <w:t>66</w:t>
            </w:r>
            <w:r w:rsidRPr="001D7812">
              <w:rPr>
                <w:rFonts w:ascii="Times New Roman" w:hAnsi="Times New Roman" w:eastAsiaTheme="minorHAnsi" w:cs="Times New Roman"/>
                <w:sz w:val="24"/>
                <w:szCs w:val="24"/>
                <w:lang w:val="en-US" w:eastAsia="en-US" w:bidi="ar-SA"/>
              </w:rPr>
              <w:t>%</w:t>
            </w:r>
          </w:p>
        </w:tc>
      </w:tr>
      <w:tr w14:paraId="25FB8CEE" w14:textId="77777777" w:rsidTr="00EA7849">
        <w:tblPrEx>
          <w:tblW w:w="7821" w:type="dxa"/>
          <w:jc w:val="center"/>
          <w:tblInd w:w="0" w:type="dxa"/>
          <w:tblCellMar>
            <w:top w:w="0" w:type="dxa"/>
            <w:left w:w="108" w:type="dxa"/>
            <w:bottom w:w="0" w:type="dxa"/>
            <w:right w:w="108" w:type="dxa"/>
          </w:tblCellMar>
          <w:tblLook w:val="04A0"/>
        </w:tblPrEx>
        <w:trPr>
          <w:trHeight w:val="300"/>
          <w:jc w:val="center"/>
        </w:trPr>
        <w:tc>
          <w:tcPr>
            <w:tcW w:w="2196" w:type="dxa"/>
            <w:shd w:val="clear" w:color="auto" w:fill="auto"/>
            <w:noWrap/>
            <w:vAlign w:val="bottom"/>
            <w:hideMark/>
          </w:tcPr>
          <w:p w:rsidR="00D343BE" w:rsidRPr="001D7812" w:rsidP="0097662D" w14:paraId="10781590" w14:textId="77777777">
            <w:pPr>
              <w:spacing w:after="0" w:line="240" w:lineRule="auto"/>
              <w:jc w:val="center"/>
              <w:rPr>
                <w:rFonts w:ascii="Times New Roman" w:hAnsi="Times New Roman" w:eastAsiaTheme="minorHAnsi" w:cs="Times New Roman"/>
                <w:sz w:val="24"/>
                <w:szCs w:val="24"/>
                <w:lang w:val="en-US" w:eastAsia="en-US" w:bidi="ar-SA"/>
              </w:rPr>
            </w:pPr>
            <w:r w:rsidRPr="001D7812">
              <w:rPr>
                <w:rFonts w:ascii="Times New Roman" w:hAnsi="Times New Roman" w:eastAsiaTheme="minorHAnsi" w:cs="Times New Roman"/>
                <w:sz w:val="24"/>
                <w:szCs w:val="24"/>
                <w:lang w:val="en-US" w:eastAsia="en-US" w:bidi="ar-SA"/>
              </w:rPr>
              <w:t>Preferred Stock</w:t>
            </w:r>
          </w:p>
        </w:tc>
        <w:tc>
          <w:tcPr>
            <w:tcW w:w="2022" w:type="dxa"/>
            <w:shd w:val="clear" w:color="auto" w:fill="auto"/>
            <w:noWrap/>
            <w:vAlign w:val="bottom"/>
            <w:hideMark/>
          </w:tcPr>
          <w:p w:rsidR="00D343BE" w:rsidRPr="001D7812" w:rsidP="0097662D" w14:paraId="69DFE1BE" w14:textId="77777777">
            <w:pPr>
              <w:spacing w:after="0" w:line="240" w:lineRule="auto"/>
              <w:jc w:val="center"/>
              <w:rPr>
                <w:rFonts w:ascii="Times New Roman" w:hAnsi="Times New Roman" w:eastAsiaTheme="minorHAnsi" w:cs="Times New Roman"/>
                <w:sz w:val="24"/>
                <w:szCs w:val="24"/>
                <w:lang w:val="en-US" w:eastAsia="en-US" w:bidi="ar-SA"/>
              </w:rPr>
            </w:pPr>
            <w:r w:rsidRPr="001D7812">
              <w:rPr>
                <w:rFonts w:ascii="Times New Roman" w:hAnsi="Times New Roman" w:eastAsiaTheme="minorHAnsi" w:cs="Times New Roman"/>
                <w:sz w:val="24"/>
                <w:szCs w:val="24"/>
                <w:lang w:val="en-US" w:eastAsia="en-US" w:bidi="ar-SA"/>
              </w:rPr>
              <w:t>$0</w:t>
            </w:r>
          </w:p>
        </w:tc>
        <w:tc>
          <w:tcPr>
            <w:tcW w:w="1204" w:type="dxa"/>
            <w:shd w:val="clear" w:color="auto" w:fill="auto"/>
            <w:noWrap/>
            <w:vAlign w:val="bottom"/>
            <w:hideMark/>
          </w:tcPr>
          <w:p w:rsidR="00D343BE" w:rsidRPr="001D7812" w:rsidP="0097662D" w14:paraId="4CE42B36" w14:textId="77777777">
            <w:pPr>
              <w:spacing w:after="0" w:line="240" w:lineRule="auto"/>
              <w:jc w:val="center"/>
              <w:rPr>
                <w:rFonts w:ascii="Times New Roman" w:hAnsi="Times New Roman" w:eastAsiaTheme="minorHAnsi" w:cs="Times New Roman"/>
                <w:sz w:val="24"/>
                <w:szCs w:val="24"/>
                <w:lang w:val="en-US" w:eastAsia="en-US" w:bidi="ar-SA"/>
              </w:rPr>
            </w:pPr>
            <w:r w:rsidRPr="001D7812">
              <w:rPr>
                <w:rFonts w:ascii="Times New Roman" w:hAnsi="Times New Roman" w:eastAsiaTheme="minorHAnsi" w:cs="Times New Roman"/>
                <w:sz w:val="24"/>
                <w:szCs w:val="24"/>
                <w:lang w:val="en-US" w:eastAsia="en-US" w:bidi="ar-SA"/>
              </w:rPr>
              <w:t>0.00%</w:t>
            </w:r>
          </w:p>
        </w:tc>
        <w:tc>
          <w:tcPr>
            <w:tcW w:w="1036" w:type="dxa"/>
            <w:shd w:val="clear" w:color="auto" w:fill="auto"/>
            <w:noWrap/>
            <w:vAlign w:val="bottom"/>
            <w:hideMark/>
          </w:tcPr>
          <w:p w:rsidR="00D343BE" w:rsidRPr="001D7812" w:rsidP="0097662D" w14:paraId="685A93C0" w14:textId="77777777">
            <w:pPr>
              <w:spacing w:after="0" w:line="240" w:lineRule="auto"/>
              <w:jc w:val="center"/>
              <w:rPr>
                <w:rFonts w:ascii="Times New Roman" w:hAnsi="Times New Roman" w:eastAsiaTheme="minorHAnsi" w:cs="Times New Roman"/>
                <w:sz w:val="24"/>
                <w:szCs w:val="24"/>
                <w:lang w:val="en-US" w:eastAsia="en-US" w:bidi="ar-SA"/>
              </w:rPr>
            </w:pPr>
            <w:r w:rsidRPr="001D7812">
              <w:rPr>
                <w:rFonts w:ascii="Times New Roman" w:hAnsi="Times New Roman" w:eastAsiaTheme="minorHAnsi" w:cs="Times New Roman"/>
                <w:sz w:val="24"/>
                <w:szCs w:val="24"/>
                <w:lang w:val="en-US" w:eastAsia="en-US" w:bidi="ar-SA"/>
              </w:rPr>
              <w:t>0.00%</w:t>
            </w:r>
          </w:p>
        </w:tc>
        <w:tc>
          <w:tcPr>
            <w:tcW w:w="1363" w:type="dxa"/>
            <w:shd w:val="clear" w:color="auto" w:fill="auto"/>
            <w:noWrap/>
            <w:vAlign w:val="bottom"/>
            <w:hideMark/>
          </w:tcPr>
          <w:p w:rsidR="00D343BE" w:rsidRPr="001D7812" w:rsidP="0097662D" w14:paraId="75E3247C" w14:textId="77777777">
            <w:pPr>
              <w:spacing w:after="0" w:line="240" w:lineRule="auto"/>
              <w:jc w:val="center"/>
              <w:rPr>
                <w:rFonts w:ascii="Times New Roman" w:hAnsi="Times New Roman" w:eastAsiaTheme="minorHAnsi" w:cs="Times New Roman"/>
                <w:sz w:val="24"/>
                <w:szCs w:val="24"/>
                <w:lang w:val="en-US" w:eastAsia="en-US" w:bidi="ar-SA"/>
              </w:rPr>
            </w:pPr>
            <w:r w:rsidRPr="001D7812">
              <w:rPr>
                <w:rFonts w:ascii="Times New Roman" w:hAnsi="Times New Roman" w:eastAsiaTheme="minorHAnsi" w:cs="Times New Roman"/>
                <w:sz w:val="24"/>
                <w:szCs w:val="24"/>
                <w:lang w:val="en-US" w:eastAsia="en-US" w:bidi="ar-SA"/>
              </w:rPr>
              <w:t>0.00%</w:t>
            </w:r>
          </w:p>
        </w:tc>
      </w:tr>
      <w:tr w14:paraId="6B3279FA" w14:textId="77777777" w:rsidTr="00EA7849">
        <w:tblPrEx>
          <w:tblW w:w="7821" w:type="dxa"/>
          <w:jc w:val="center"/>
          <w:tblInd w:w="0" w:type="dxa"/>
          <w:tblCellMar>
            <w:top w:w="0" w:type="dxa"/>
            <w:left w:w="108" w:type="dxa"/>
            <w:bottom w:w="0" w:type="dxa"/>
            <w:right w:w="108" w:type="dxa"/>
          </w:tblCellMar>
          <w:tblLook w:val="04A0"/>
        </w:tblPrEx>
        <w:trPr>
          <w:trHeight w:val="300"/>
          <w:jc w:val="center"/>
        </w:trPr>
        <w:tc>
          <w:tcPr>
            <w:tcW w:w="2196" w:type="dxa"/>
            <w:shd w:val="clear" w:color="auto" w:fill="auto"/>
            <w:noWrap/>
            <w:vAlign w:val="bottom"/>
            <w:hideMark/>
          </w:tcPr>
          <w:p w:rsidR="00D343BE" w:rsidRPr="001D7812" w:rsidP="0097662D" w14:paraId="26BF3AE1" w14:textId="77777777">
            <w:pPr>
              <w:spacing w:after="0" w:line="240" w:lineRule="auto"/>
              <w:jc w:val="center"/>
              <w:rPr>
                <w:rFonts w:ascii="Times New Roman" w:hAnsi="Times New Roman" w:eastAsiaTheme="minorHAnsi" w:cs="Times New Roman"/>
                <w:sz w:val="24"/>
                <w:szCs w:val="24"/>
                <w:lang w:val="en-US" w:eastAsia="en-US" w:bidi="ar-SA"/>
              </w:rPr>
            </w:pPr>
            <w:r w:rsidRPr="001D7812">
              <w:rPr>
                <w:rFonts w:ascii="Times New Roman" w:hAnsi="Times New Roman" w:eastAsiaTheme="minorHAnsi" w:cs="Times New Roman"/>
                <w:sz w:val="24"/>
                <w:szCs w:val="24"/>
                <w:lang w:val="en-US" w:eastAsia="en-US" w:bidi="ar-SA"/>
              </w:rPr>
              <w:t>Common Equity</w:t>
            </w:r>
          </w:p>
        </w:tc>
        <w:tc>
          <w:tcPr>
            <w:tcW w:w="2022" w:type="dxa"/>
            <w:shd w:val="clear" w:color="auto" w:fill="auto"/>
            <w:noWrap/>
            <w:vAlign w:val="bottom"/>
            <w:hideMark/>
          </w:tcPr>
          <w:p w:rsidR="00D343BE" w:rsidRPr="001D7812" w:rsidP="0097662D" w14:paraId="11429305" w14:textId="2E98B8A0">
            <w:pPr>
              <w:spacing w:after="0" w:line="240" w:lineRule="auto"/>
              <w:jc w:val="center"/>
              <w:rPr>
                <w:rFonts w:ascii="Times New Roman" w:hAnsi="Times New Roman" w:eastAsiaTheme="minorHAnsi" w:cs="Times New Roman"/>
                <w:sz w:val="24"/>
                <w:szCs w:val="24"/>
                <w:lang w:val="en-US" w:eastAsia="en-US" w:bidi="ar-SA"/>
              </w:rPr>
            </w:pPr>
            <w:r w:rsidRPr="001D7812">
              <w:rPr>
                <w:rFonts w:ascii="Times New Roman" w:hAnsi="Times New Roman" w:eastAsiaTheme="minorHAnsi" w:cs="Times New Roman"/>
                <w:sz w:val="24"/>
                <w:szCs w:val="24"/>
                <w:lang w:val="en-US" w:eastAsia="en-US" w:bidi="ar-SA"/>
              </w:rPr>
              <w:t>$3,</w:t>
            </w:r>
            <w:r w:rsidRPr="001D7812" w:rsidR="009A3229">
              <w:rPr>
                <w:rFonts w:ascii="Times New Roman" w:hAnsi="Times New Roman" w:eastAsiaTheme="minorHAnsi" w:cs="Times New Roman"/>
                <w:sz w:val="24"/>
                <w:szCs w:val="24"/>
                <w:lang w:val="en-US" w:eastAsia="en-US" w:bidi="ar-SA"/>
              </w:rPr>
              <w:t>462</w:t>
            </w:r>
            <w:r w:rsidRPr="001D7812">
              <w:rPr>
                <w:rFonts w:ascii="Times New Roman" w:hAnsi="Times New Roman" w:eastAsiaTheme="minorHAnsi" w:cs="Times New Roman"/>
                <w:sz w:val="24"/>
                <w:szCs w:val="24"/>
                <w:lang w:val="en-US" w:eastAsia="en-US" w:bidi="ar-SA"/>
              </w:rPr>
              <w:t>,</w:t>
            </w:r>
            <w:r w:rsidRPr="001D7812" w:rsidR="009A3229">
              <w:rPr>
                <w:rFonts w:ascii="Times New Roman" w:hAnsi="Times New Roman" w:eastAsiaTheme="minorHAnsi" w:cs="Times New Roman"/>
                <w:sz w:val="24"/>
                <w:szCs w:val="24"/>
                <w:lang w:val="en-US" w:eastAsia="en-US" w:bidi="ar-SA"/>
              </w:rPr>
              <w:t>0</w:t>
            </w:r>
            <w:r w:rsidRPr="001D7812">
              <w:rPr>
                <w:rFonts w:ascii="Times New Roman" w:hAnsi="Times New Roman" w:eastAsiaTheme="minorHAnsi" w:cs="Times New Roman"/>
                <w:sz w:val="24"/>
                <w:szCs w:val="24"/>
                <w:lang w:val="en-US" w:eastAsia="en-US" w:bidi="ar-SA"/>
              </w:rPr>
              <w:t>00</w:t>
            </w:r>
          </w:p>
        </w:tc>
        <w:tc>
          <w:tcPr>
            <w:tcW w:w="1204" w:type="dxa"/>
            <w:shd w:val="clear" w:color="auto" w:fill="auto"/>
            <w:noWrap/>
            <w:vAlign w:val="bottom"/>
            <w:hideMark/>
          </w:tcPr>
          <w:p w:rsidR="00D343BE" w:rsidRPr="001D7812" w:rsidP="0097662D" w14:paraId="420EF305" w14:textId="4F26EA2C">
            <w:pPr>
              <w:spacing w:after="0" w:line="240" w:lineRule="auto"/>
              <w:jc w:val="center"/>
              <w:rPr>
                <w:rFonts w:ascii="Times New Roman" w:hAnsi="Times New Roman" w:eastAsiaTheme="minorHAnsi" w:cs="Times New Roman"/>
                <w:sz w:val="24"/>
                <w:szCs w:val="24"/>
                <w:lang w:val="en-US" w:eastAsia="en-US" w:bidi="ar-SA"/>
              </w:rPr>
            </w:pPr>
            <w:r w:rsidRPr="001D7812">
              <w:rPr>
                <w:rFonts w:ascii="Times New Roman" w:hAnsi="Times New Roman" w:eastAsiaTheme="minorHAnsi" w:cs="Times New Roman"/>
                <w:sz w:val="24"/>
                <w:szCs w:val="24"/>
                <w:lang w:val="en-US" w:eastAsia="en-US" w:bidi="ar-SA"/>
              </w:rPr>
              <w:t>52</w:t>
            </w:r>
            <w:r w:rsidRPr="001D7812">
              <w:rPr>
                <w:rFonts w:ascii="Times New Roman" w:hAnsi="Times New Roman" w:eastAsiaTheme="minorHAnsi" w:cs="Times New Roman"/>
                <w:sz w:val="24"/>
                <w:szCs w:val="24"/>
                <w:lang w:val="en-US" w:eastAsia="en-US" w:bidi="ar-SA"/>
              </w:rPr>
              <w:t>.</w:t>
            </w:r>
            <w:r w:rsidRPr="001D7812">
              <w:rPr>
                <w:rFonts w:ascii="Times New Roman" w:hAnsi="Times New Roman" w:eastAsiaTheme="minorHAnsi" w:cs="Times New Roman"/>
                <w:sz w:val="24"/>
                <w:szCs w:val="24"/>
                <w:lang w:val="en-US" w:eastAsia="en-US" w:bidi="ar-SA"/>
              </w:rPr>
              <w:t>63</w:t>
            </w:r>
            <w:r w:rsidRPr="001D7812">
              <w:rPr>
                <w:rFonts w:ascii="Times New Roman" w:hAnsi="Times New Roman" w:eastAsiaTheme="minorHAnsi" w:cs="Times New Roman"/>
                <w:sz w:val="24"/>
                <w:szCs w:val="24"/>
                <w:lang w:val="en-US" w:eastAsia="en-US" w:bidi="ar-SA"/>
              </w:rPr>
              <w:t>%</w:t>
            </w:r>
          </w:p>
        </w:tc>
        <w:tc>
          <w:tcPr>
            <w:tcW w:w="1036" w:type="dxa"/>
            <w:shd w:val="clear" w:color="auto" w:fill="auto"/>
            <w:noWrap/>
            <w:vAlign w:val="bottom"/>
            <w:hideMark/>
          </w:tcPr>
          <w:p w:rsidR="00D343BE" w:rsidRPr="001D7812" w:rsidP="0097662D" w14:paraId="528DD63D" w14:textId="337FD8C1">
            <w:pPr>
              <w:spacing w:after="0" w:line="240" w:lineRule="auto"/>
              <w:jc w:val="center"/>
              <w:rPr>
                <w:rFonts w:ascii="Times New Roman" w:hAnsi="Times New Roman" w:eastAsiaTheme="minorHAnsi" w:cs="Times New Roman"/>
                <w:sz w:val="24"/>
                <w:szCs w:val="24"/>
                <w:lang w:val="en-US" w:eastAsia="en-US" w:bidi="ar-SA"/>
              </w:rPr>
            </w:pPr>
            <w:r w:rsidRPr="001D7812">
              <w:rPr>
                <w:rFonts w:ascii="Times New Roman" w:hAnsi="Times New Roman" w:eastAsiaTheme="minorHAnsi" w:cs="Times New Roman"/>
                <w:sz w:val="24"/>
                <w:szCs w:val="24"/>
                <w:lang w:val="en-US" w:eastAsia="en-US" w:bidi="ar-SA"/>
              </w:rPr>
              <w:t>9.</w:t>
            </w:r>
            <w:r w:rsidRPr="001D7812" w:rsidR="009A3229">
              <w:rPr>
                <w:rFonts w:ascii="Times New Roman" w:hAnsi="Times New Roman" w:eastAsiaTheme="minorHAnsi" w:cs="Times New Roman"/>
                <w:sz w:val="24"/>
                <w:szCs w:val="24"/>
                <w:lang w:val="en-US" w:eastAsia="en-US" w:bidi="ar-SA"/>
              </w:rPr>
              <w:t>22</w:t>
            </w:r>
            <w:r w:rsidRPr="001D7812">
              <w:rPr>
                <w:rFonts w:ascii="Times New Roman" w:hAnsi="Times New Roman" w:eastAsiaTheme="minorHAnsi" w:cs="Times New Roman"/>
                <w:sz w:val="24"/>
                <w:szCs w:val="24"/>
                <w:lang w:val="en-US" w:eastAsia="en-US" w:bidi="ar-SA"/>
              </w:rPr>
              <w:t>%</w:t>
            </w:r>
          </w:p>
        </w:tc>
        <w:tc>
          <w:tcPr>
            <w:tcW w:w="1363" w:type="dxa"/>
            <w:shd w:val="clear" w:color="auto" w:fill="auto"/>
            <w:noWrap/>
            <w:vAlign w:val="bottom"/>
            <w:hideMark/>
          </w:tcPr>
          <w:p w:rsidR="00D343BE" w:rsidRPr="001D7812" w:rsidP="0097662D" w14:paraId="2660D0AE" w14:textId="6C0FADCC">
            <w:pPr>
              <w:spacing w:after="0" w:line="240" w:lineRule="auto"/>
              <w:jc w:val="center"/>
              <w:rPr>
                <w:rFonts w:ascii="Times New Roman" w:hAnsi="Times New Roman" w:eastAsiaTheme="minorHAnsi" w:cs="Times New Roman"/>
                <w:sz w:val="24"/>
                <w:szCs w:val="24"/>
                <w:lang w:val="en-US" w:eastAsia="en-US" w:bidi="ar-SA"/>
              </w:rPr>
            </w:pPr>
            <w:r w:rsidRPr="001D7812">
              <w:rPr>
                <w:rFonts w:ascii="Times New Roman" w:hAnsi="Times New Roman" w:eastAsiaTheme="minorHAnsi" w:cs="Times New Roman"/>
                <w:sz w:val="24"/>
                <w:szCs w:val="24"/>
                <w:lang w:val="en-US" w:eastAsia="en-US" w:bidi="ar-SA"/>
              </w:rPr>
              <w:t>4.</w:t>
            </w:r>
            <w:r w:rsidRPr="001D7812" w:rsidR="009A3229">
              <w:rPr>
                <w:rFonts w:ascii="Times New Roman" w:hAnsi="Times New Roman" w:eastAsiaTheme="minorHAnsi" w:cs="Times New Roman"/>
                <w:sz w:val="24"/>
                <w:szCs w:val="24"/>
                <w:lang w:val="en-US" w:eastAsia="en-US" w:bidi="ar-SA"/>
              </w:rPr>
              <w:t>85</w:t>
            </w:r>
            <w:r w:rsidRPr="001D7812">
              <w:rPr>
                <w:rFonts w:ascii="Times New Roman" w:hAnsi="Times New Roman" w:eastAsiaTheme="minorHAnsi" w:cs="Times New Roman"/>
                <w:sz w:val="24"/>
                <w:szCs w:val="24"/>
                <w:lang w:val="en-US" w:eastAsia="en-US" w:bidi="ar-SA"/>
              </w:rPr>
              <w:t>%</w:t>
            </w:r>
          </w:p>
        </w:tc>
      </w:tr>
      <w:tr w14:paraId="09D9FDFE" w14:textId="77777777" w:rsidTr="00EA7849">
        <w:tblPrEx>
          <w:tblW w:w="7821" w:type="dxa"/>
          <w:jc w:val="center"/>
          <w:tblInd w:w="0" w:type="dxa"/>
          <w:tblCellMar>
            <w:top w:w="0" w:type="dxa"/>
            <w:left w:w="108" w:type="dxa"/>
            <w:bottom w:w="0" w:type="dxa"/>
            <w:right w:w="108" w:type="dxa"/>
          </w:tblCellMar>
          <w:tblLook w:val="04A0"/>
        </w:tblPrEx>
        <w:trPr>
          <w:trHeight w:val="300"/>
          <w:jc w:val="center"/>
        </w:trPr>
        <w:tc>
          <w:tcPr>
            <w:tcW w:w="2196" w:type="dxa"/>
            <w:shd w:val="clear" w:color="auto" w:fill="auto"/>
            <w:noWrap/>
            <w:vAlign w:val="bottom"/>
            <w:hideMark/>
          </w:tcPr>
          <w:p w:rsidR="00D343BE" w:rsidRPr="001D7812" w:rsidP="0097662D" w14:paraId="180F0389" w14:textId="77777777">
            <w:pPr>
              <w:spacing w:after="0" w:line="240" w:lineRule="auto"/>
              <w:rPr>
                <w:rFonts w:ascii="Times New Roman" w:hAnsi="Times New Roman" w:eastAsiaTheme="minorHAnsi" w:cs="Times New Roman"/>
                <w:sz w:val="24"/>
                <w:szCs w:val="24"/>
                <w:lang w:val="en-US" w:eastAsia="en-US" w:bidi="ar-SA"/>
              </w:rPr>
            </w:pPr>
          </w:p>
        </w:tc>
        <w:tc>
          <w:tcPr>
            <w:tcW w:w="2022" w:type="dxa"/>
            <w:shd w:val="clear" w:color="auto" w:fill="auto"/>
            <w:noWrap/>
            <w:vAlign w:val="bottom"/>
            <w:hideMark/>
          </w:tcPr>
          <w:p w:rsidR="00D343BE" w:rsidRPr="001D7812" w:rsidP="0097662D" w14:paraId="1307540C" w14:textId="77777777">
            <w:pPr>
              <w:spacing w:after="0" w:line="240" w:lineRule="auto"/>
              <w:jc w:val="center"/>
              <w:rPr>
                <w:rFonts w:ascii="Times New Roman" w:hAnsi="Times New Roman" w:eastAsiaTheme="minorHAnsi" w:cs="Times New Roman"/>
                <w:sz w:val="24"/>
                <w:szCs w:val="24"/>
                <w:lang w:val="en-US" w:eastAsia="en-US" w:bidi="ar-SA"/>
              </w:rPr>
            </w:pPr>
            <w:r w:rsidRPr="001D7812">
              <w:rPr>
                <w:rFonts w:ascii="Times New Roman" w:hAnsi="Times New Roman" w:eastAsiaTheme="minorHAnsi" w:cs="Times New Roman"/>
                <w:sz w:val="24"/>
                <w:szCs w:val="24"/>
                <w:lang w:val="en-US" w:eastAsia="en-US" w:bidi="ar-SA"/>
              </w:rPr>
              <w:t>____________</w:t>
            </w:r>
          </w:p>
        </w:tc>
        <w:tc>
          <w:tcPr>
            <w:tcW w:w="1204" w:type="dxa"/>
            <w:shd w:val="clear" w:color="auto" w:fill="auto"/>
            <w:noWrap/>
            <w:vAlign w:val="bottom"/>
            <w:hideMark/>
          </w:tcPr>
          <w:p w:rsidR="00D343BE" w:rsidRPr="001D7812" w:rsidP="0097662D" w14:paraId="1B300975" w14:textId="77777777">
            <w:pPr>
              <w:spacing w:after="0" w:line="240" w:lineRule="auto"/>
              <w:jc w:val="center"/>
              <w:rPr>
                <w:rFonts w:ascii="Times New Roman" w:hAnsi="Times New Roman" w:eastAsiaTheme="minorHAnsi" w:cs="Times New Roman"/>
                <w:sz w:val="24"/>
                <w:szCs w:val="24"/>
                <w:lang w:val="en-US" w:eastAsia="en-US" w:bidi="ar-SA"/>
              </w:rPr>
            </w:pPr>
            <w:r w:rsidRPr="001D7812">
              <w:rPr>
                <w:rFonts w:ascii="Times New Roman" w:hAnsi="Times New Roman" w:eastAsiaTheme="minorHAnsi" w:cs="Times New Roman"/>
                <w:sz w:val="24"/>
                <w:szCs w:val="24"/>
                <w:lang w:val="en-US" w:eastAsia="en-US" w:bidi="ar-SA"/>
              </w:rPr>
              <w:t>_______</w:t>
            </w:r>
          </w:p>
        </w:tc>
        <w:tc>
          <w:tcPr>
            <w:tcW w:w="1036" w:type="dxa"/>
            <w:shd w:val="clear" w:color="auto" w:fill="auto"/>
            <w:noWrap/>
            <w:vAlign w:val="bottom"/>
            <w:hideMark/>
          </w:tcPr>
          <w:p w:rsidR="00D343BE" w:rsidRPr="001D7812" w:rsidP="0097662D" w14:paraId="1CE790B8" w14:textId="77777777">
            <w:pPr>
              <w:spacing w:after="0" w:line="240" w:lineRule="auto"/>
              <w:jc w:val="center"/>
              <w:rPr>
                <w:rFonts w:ascii="Times New Roman" w:hAnsi="Times New Roman" w:eastAsiaTheme="minorHAnsi" w:cs="Times New Roman"/>
                <w:sz w:val="24"/>
                <w:szCs w:val="24"/>
                <w:lang w:val="en-US" w:eastAsia="en-US" w:bidi="ar-SA"/>
              </w:rPr>
            </w:pPr>
          </w:p>
        </w:tc>
        <w:tc>
          <w:tcPr>
            <w:tcW w:w="1363" w:type="dxa"/>
            <w:shd w:val="clear" w:color="auto" w:fill="auto"/>
            <w:noWrap/>
            <w:vAlign w:val="bottom"/>
            <w:hideMark/>
          </w:tcPr>
          <w:p w:rsidR="00D343BE" w:rsidRPr="001D7812" w:rsidP="0097662D" w14:paraId="7AA793B2" w14:textId="77777777">
            <w:pPr>
              <w:spacing w:after="0" w:line="240" w:lineRule="auto"/>
              <w:jc w:val="center"/>
              <w:rPr>
                <w:rFonts w:ascii="Times New Roman" w:hAnsi="Times New Roman" w:eastAsiaTheme="minorHAnsi" w:cs="Times New Roman"/>
                <w:sz w:val="24"/>
                <w:szCs w:val="24"/>
                <w:lang w:val="en-US" w:eastAsia="en-US" w:bidi="ar-SA"/>
              </w:rPr>
            </w:pPr>
            <w:r w:rsidRPr="001D7812">
              <w:rPr>
                <w:rFonts w:ascii="Times New Roman" w:hAnsi="Times New Roman" w:eastAsiaTheme="minorHAnsi" w:cs="Times New Roman"/>
                <w:sz w:val="24"/>
                <w:szCs w:val="24"/>
                <w:lang w:val="en-US" w:eastAsia="en-US" w:bidi="ar-SA"/>
              </w:rPr>
              <w:t>________</w:t>
            </w:r>
          </w:p>
        </w:tc>
      </w:tr>
      <w:tr w14:paraId="5F9AD89F" w14:textId="77777777" w:rsidTr="00EA7849">
        <w:tblPrEx>
          <w:tblW w:w="7821" w:type="dxa"/>
          <w:jc w:val="center"/>
          <w:tblInd w:w="0" w:type="dxa"/>
          <w:tblCellMar>
            <w:top w:w="0" w:type="dxa"/>
            <w:left w:w="108" w:type="dxa"/>
            <w:bottom w:w="0" w:type="dxa"/>
            <w:right w:w="108" w:type="dxa"/>
          </w:tblCellMar>
          <w:tblLook w:val="04A0"/>
        </w:tblPrEx>
        <w:trPr>
          <w:trHeight w:val="300"/>
          <w:jc w:val="center"/>
        </w:trPr>
        <w:tc>
          <w:tcPr>
            <w:tcW w:w="2196" w:type="dxa"/>
            <w:shd w:val="clear" w:color="auto" w:fill="auto"/>
            <w:noWrap/>
            <w:vAlign w:val="bottom"/>
            <w:hideMark/>
          </w:tcPr>
          <w:p w:rsidR="00D343BE" w:rsidRPr="001D7812" w:rsidP="0097662D" w14:paraId="0AF1A329" w14:textId="77777777">
            <w:pPr>
              <w:spacing w:after="0" w:line="240" w:lineRule="auto"/>
              <w:jc w:val="center"/>
              <w:rPr>
                <w:rFonts w:ascii="Times New Roman" w:hAnsi="Times New Roman" w:eastAsiaTheme="minorHAnsi" w:cs="Times New Roman"/>
                <w:sz w:val="24"/>
                <w:szCs w:val="24"/>
                <w:lang w:val="en-US" w:eastAsia="en-US" w:bidi="ar-SA"/>
              </w:rPr>
            </w:pPr>
          </w:p>
        </w:tc>
        <w:tc>
          <w:tcPr>
            <w:tcW w:w="2022" w:type="dxa"/>
            <w:shd w:val="clear" w:color="auto" w:fill="auto"/>
            <w:noWrap/>
            <w:vAlign w:val="bottom"/>
            <w:hideMark/>
          </w:tcPr>
          <w:p w:rsidR="00D343BE" w:rsidRPr="001D7812" w:rsidP="0097662D" w14:paraId="730D23F9" w14:textId="77777777">
            <w:pPr>
              <w:spacing w:after="0" w:line="240" w:lineRule="auto"/>
              <w:rPr>
                <w:rFonts w:ascii="Times New Roman" w:hAnsi="Times New Roman" w:eastAsiaTheme="minorHAnsi" w:cs="Times New Roman"/>
                <w:sz w:val="24"/>
                <w:szCs w:val="24"/>
                <w:lang w:val="en-US" w:eastAsia="en-US" w:bidi="ar-SA"/>
              </w:rPr>
            </w:pPr>
          </w:p>
        </w:tc>
        <w:tc>
          <w:tcPr>
            <w:tcW w:w="1204" w:type="dxa"/>
            <w:shd w:val="clear" w:color="auto" w:fill="auto"/>
            <w:noWrap/>
            <w:vAlign w:val="bottom"/>
            <w:hideMark/>
          </w:tcPr>
          <w:p w:rsidR="00D343BE" w:rsidRPr="001D7812" w:rsidP="0097662D" w14:paraId="5A29FD9E" w14:textId="77777777">
            <w:pPr>
              <w:spacing w:after="0" w:line="240" w:lineRule="auto"/>
              <w:rPr>
                <w:rFonts w:ascii="Times New Roman" w:hAnsi="Times New Roman" w:eastAsiaTheme="minorHAnsi" w:cs="Times New Roman"/>
                <w:sz w:val="24"/>
                <w:szCs w:val="24"/>
                <w:lang w:val="en-US" w:eastAsia="en-US" w:bidi="ar-SA"/>
              </w:rPr>
            </w:pPr>
          </w:p>
        </w:tc>
        <w:tc>
          <w:tcPr>
            <w:tcW w:w="1036" w:type="dxa"/>
            <w:shd w:val="clear" w:color="auto" w:fill="auto"/>
            <w:noWrap/>
            <w:vAlign w:val="bottom"/>
            <w:hideMark/>
          </w:tcPr>
          <w:p w:rsidR="00D343BE" w:rsidRPr="001D7812" w:rsidP="0097662D" w14:paraId="17F38179" w14:textId="77777777">
            <w:pPr>
              <w:spacing w:after="0" w:line="240" w:lineRule="auto"/>
              <w:rPr>
                <w:rFonts w:ascii="Times New Roman" w:hAnsi="Times New Roman" w:eastAsiaTheme="minorHAnsi" w:cs="Times New Roman"/>
                <w:sz w:val="24"/>
                <w:szCs w:val="24"/>
                <w:lang w:val="en-US" w:eastAsia="en-US" w:bidi="ar-SA"/>
              </w:rPr>
            </w:pPr>
          </w:p>
        </w:tc>
        <w:tc>
          <w:tcPr>
            <w:tcW w:w="1363" w:type="dxa"/>
            <w:shd w:val="clear" w:color="auto" w:fill="auto"/>
            <w:noWrap/>
            <w:vAlign w:val="bottom"/>
            <w:hideMark/>
          </w:tcPr>
          <w:p w:rsidR="00D343BE" w:rsidRPr="001D7812" w:rsidP="0097662D" w14:paraId="73BAC816" w14:textId="77777777">
            <w:pPr>
              <w:spacing w:after="0" w:line="240" w:lineRule="auto"/>
              <w:rPr>
                <w:rFonts w:ascii="Times New Roman" w:hAnsi="Times New Roman" w:eastAsiaTheme="minorHAnsi" w:cs="Times New Roman"/>
                <w:sz w:val="24"/>
                <w:szCs w:val="24"/>
                <w:lang w:val="en-US" w:eastAsia="en-US" w:bidi="ar-SA"/>
              </w:rPr>
            </w:pPr>
          </w:p>
        </w:tc>
      </w:tr>
      <w:tr w14:paraId="672FF515" w14:textId="77777777" w:rsidTr="00EA7849">
        <w:tblPrEx>
          <w:tblW w:w="7821" w:type="dxa"/>
          <w:jc w:val="center"/>
          <w:tblInd w:w="0" w:type="dxa"/>
          <w:tblCellMar>
            <w:top w:w="0" w:type="dxa"/>
            <w:left w:w="108" w:type="dxa"/>
            <w:bottom w:w="0" w:type="dxa"/>
            <w:right w:w="108" w:type="dxa"/>
          </w:tblCellMar>
          <w:tblLook w:val="04A0"/>
        </w:tblPrEx>
        <w:trPr>
          <w:trHeight w:val="300"/>
          <w:jc w:val="center"/>
        </w:trPr>
        <w:tc>
          <w:tcPr>
            <w:tcW w:w="2196" w:type="dxa"/>
            <w:shd w:val="clear" w:color="auto" w:fill="auto"/>
            <w:noWrap/>
            <w:vAlign w:val="bottom"/>
            <w:hideMark/>
          </w:tcPr>
          <w:p w:rsidR="00D343BE" w:rsidRPr="001D7812" w:rsidP="0097662D" w14:paraId="52752380" w14:textId="77777777">
            <w:pPr>
              <w:spacing w:after="0" w:line="240" w:lineRule="auto"/>
              <w:jc w:val="center"/>
              <w:rPr>
                <w:rFonts w:ascii="Times New Roman" w:hAnsi="Times New Roman" w:eastAsiaTheme="minorHAnsi" w:cs="Times New Roman"/>
                <w:sz w:val="24"/>
                <w:szCs w:val="24"/>
                <w:lang w:val="en-US" w:eastAsia="en-US" w:bidi="ar-SA"/>
              </w:rPr>
            </w:pPr>
            <w:r w:rsidRPr="001D7812">
              <w:rPr>
                <w:rFonts w:ascii="Times New Roman" w:hAnsi="Times New Roman" w:eastAsiaTheme="minorHAnsi" w:cs="Times New Roman"/>
                <w:sz w:val="24"/>
                <w:szCs w:val="24"/>
                <w:lang w:val="en-US" w:eastAsia="en-US" w:bidi="ar-SA"/>
              </w:rPr>
              <w:t>Total Capital</w:t>
            </w:r>
          </w:p>
        </w:tc>
        <w:tc>
          <w:tcPr>
            <w:tcW w:w="2022" w:type="dxa"/>
            <w:shd w:val="clear" w:color="auto" w:fill="auto"/>
            <w:noWrap/>
            <w:vAlign w:val="bottom"/>
            <w:hideMark/>
          </w:tcPr>
          <w:p w:rsidR="00D343BE" w:rsidRPr="001D7812" w:rsidP="0097662D" w14:paraId="72DFDA3C" w14:textId="77777777">
            <w:pPr>
              <w:spacing w:after="0" w:line="240" w:lineRule="auto"/>
              <w:jc w:val="center"/>
              <w:rPr>
                <w:rFonts w:ascii="Times New Roman" w:hAnsi="Times New Roman" w:eastAsiaTheme="minorHAnsi" w:cs="Times New Roman"/>
                <w:sz w:val="24"/>
                <w:szCs w:val="24"/>
                <w:lang w:val="en-US" w:eastAsia="en-US" w:bidi="ar-SA"/>
              </w:rPr>
            </w:pPr>
            <w:r w:rsidRPr="001D7812">
              <w:rPr>
                <w:rFonts w:ascii="Times New Roman" w:hAnsi="Times New Roman" w:eastAsiaTheme="minorHAnsi" w:cs="Times New Roman"/>
                <w:sz w:val="24"/>
                <w:szCs w:val="24"/>
                <w:lang w:val="en-US" w:eastAsia="en-US" w:bidi="ar-SA"/>
              </w:rPr>
              <w:t>$6,314,400</w:t>
            </w:r>
          </w:p>
        </w:tc>
        <w:tc>
          <w:tcPr>
            <w:tcW w:w="1204" w:type="dxa"/>
            <w:shd w:val="clear" w:color="auto" w:fill="auto"/>
            <w:noWrap/>
            <w:vAlign w:val="bottom"/>
            <w:hideMark/>
          </w:tcPr>
          <w:p w:rsidR="00D343BE" w:rsidRPr="001D7812" w:rsidP="0097662D" w14:paraId="10C42FDA" w14:textId="77777777">
            <w:pPr>
              <w:spacing w:after="0" w:line="240" w:lineRule="auto"/>
              <w:jc w:val="center"/>
              <w:rPr>
                <w:rFonts w:ascii="Times New Roman" w:hAnsi="Times New Roman" w:eastAsiaTheme="minorHAnsi" w:cs="Times New Roman"/>
                <w:sz w:val="24"/>
                <w:szCs w:val="24"/>
                <w:lang w:val="en-US" w:eastAsia="en-US" w:bidi="ar-SA"/>
              </w:rPr>
            </w:pPr>
            <w:r w:rsidRPr="001D7812">
              <w:rPr>
                <w:rFonts w:ascii="Times New Roman" w:hAnsi="Times New Roman" w:eastAsiaTheme="minorHAnsi" w:cs="Times New Roman"/>
                <w:sz w:val="24"/>
                <w:szCs w:val="24"/>
                <w:lang w:val="en-US" w:eastAsia="en-US" w:bidi="ar-SA"/>
              </w:rPr>
              <w:t>100.00%</w:t>
            </w:r>
          </w:p>
        </w:tc>
        <w:tc>
          <w:tcPr>
            <w:tcW w:w="1036" w:type="dxa"/>
            <w:shd w:val="clear" w:color="auto" w:fill="auto"/>
            <w:noWrap/>
            <w:vAlign w:val="bottom"/>
            <w:hideMark/>
          </w:tcPr>
          <w:p w:rsidR="00D343BE" w:rsidRPr="001D7812" w:rsidP="0097662D" w14:paraId="516C8201" w14:textId="77777777">
            <w:pPr>
              <w:spacing w:after="0" w:line="240" w:lineRule="auto"/>
              <w:jc w:val="center"/>
              <w:rPr>
                <w:rFonts w:ascii="Times New Roman" w:hAnsi="Times New Roman" w:eastAsiaTheme="minorHAnsi" w:cs="Times New Roman"/>
                <w:sz w:val="24"/>
                <w:szCs w:val="24"/>
                <w:lang w:val="en-US" w:eastAsia="en-US" w:bidi="ar-SA"/>
              </w:rPr>
            </w:pPr>
          </w:p>
        </w:tc>
        <w:tc>
          <w:tcPr>
            <w:tcW w:w="1363" w:type="dxa"/>
            <w:shd w:val="clear" w:color="auto" w:fill="auto"/>
            <w:noWrap/>
            <w:vAlign w:val="bottom"/>
            <w:hideMark/>
          </w:tcPr>
          <w:p w:rsidR="00D343BE" w:rsidRPr="001D7812" w:rsidP="0097662D" w14:paraId="4AC448F6" w14:textId="73302318">
            <w:pPr>
              <w:spacing w:after="0" w:line="240" w:lineRule="auto"/>
              <w:jc w:val="center"/>
              <w:rPr>
                <w:rFonts w:ascii="Times New Roman" w:hAnsi="Times New Roman" w:eastAsiaTheme="minorHAnsi" w:cs="Times New Roman"/>
                <w:sz w:val="24"/>
                <w:szCs w:val="24"/>
                <w:lang w:val="en-US" w:eastAsia="en-US" w:bidi="ar-SA"/>
              </w:rPr>
            </w:pPr>
            <w:r w:rsidRPr="001D7812">
              <w:rPr>
                <w:rFonts w:ascii="Times New Roman" w:hAnsi="Times New Roman" w:eastAsiaTheme="minorHAnsi" w:cs="Times New Roman"/>
                <w:sz w:val="24"/>
                <w:szCs w:val="24"/>
                <w:lang w:val="en-US" w:eastAsia="en-US" w:bidi="ar-SA"/>
              </w:rPr>
              <w:t>7.51</w:t>
            </w:r>
            <w:r w:rsidRPr="001D7812">
              <w:rPr>
                <w:rFonts w:ascii="Times New Roman" w:hAnsi="Times New Roman" w:eastAsiaTheme="minorHAnsi" w:cs="Times New Roman"/>
                <w:sz w:val="24"/>
                <w:szCs w:val="24"/>
                <w:lang w:val="en-US" w:eastAsia="en-US" w:bidi="ar-SA"/>
              </w:rPr>
              <w:t>%</w:t>
            </w:r>
          </w:p>
        </w:tc>
      </w:tr>
    </w:tbl>
    <w:p w:rsidR="00D343BE" w:rsidRPr="001D7812" w:rsidP="00E17DD2" w14:paraId="35DA202A" w14:textId="77777777">
      <w:pPr>
        <w:rPr>
          <w:rFonts w:cs="Times New Roman"/>
          <w:szCs w:val="24"/>
        </w:rPr>
      </w:pPr>
    </w:p>
    <w:p w:rsidR="00514D11" w:rsidRPr="001D7812" w:rsidP="009952CF" w14:paraId="4B6A6E91" w14:textId="68A4A7F2">
      <w:pPr>
        <w:pStyle w:val="BodyText"/>
        <w:spacing w:after="0" w:line="480" w:lineRule="auto"/>
        <w:ind w:firstLine="720"/>
        <w:rPr>
          <w:rFonts w:eastAsia="Calibri" w:cs="Times New Roman"/>
          <w:szCs w:val="24"/>
          <w14:ligatures w14:val="standardContextual"/>
        </w:rPr>
      </w:pPr>
      <w:r w:rsidRPr="001D7812">
        <w:rPr>
          <w:rFonts w:eastAsia="Calibri" w:cs="Times New Roman"/>
          <w:szCs w:val="24"/>
          <w14:ligatures w14:val="standardContextual"/>
        </w:rPr>
        <w:t>FirstEnergy</w:t>
      </w:r>
      <w:r w:rsidR="009F1383">
        <w:rPr>
          <w:rFonts w:eastAsia="Calibri" w:cs="Times New Roman"/>
          <w:szCs w:val="24"/>
          <w14:ligatures w14:val="standardContextual"/>
        </w:rPr>
        <w:t>’</w:t>
      </w:r>
      <w:r w:rsidRPr="001D7812">
        <w:rPr>
          <w:rFonts w:eastAsia="Calibri" w:cs="Times New Roman"/>
          <w:szCs w:val="24"/>
          <w14:ligatures w14:val="standardContextual"/>
        </w:rPr>
        <w:t>s electric security plan incorporates an excessive ROE of 10</w:t>
      </w:r>
      <w:r w:rsidRPr="001D7812" w:rsidR="00F34DEF">
        <w:rPr>
          <w:rFonts w:eastAsia="Calibri" w:cs="Times New Roman"/>
          <w:szCs w:val="24"/>
          <w14:ligatures w14:val="standardContextual"/>
        </w:rPr>
        <w:t>.</w:t>
      </w:r>
      <w:r w:rsidRPr="001D7812" w:rsidR="00A36913">
        <w:rPr>
          <w:rFonts w:eastAsia="Calibri" w:cs="Times New Roman"/>
          <w:szCs w:val="24"/>
          <w14:ligatures w14:val="standardContextual"/>
        </w:rPr>
        <w:t>5</w:t>
      </w:r>
      <w:r w:rsidRPr="001D7812">
        <w:rPr>
          <w:rFonts w:eastAsia="Calibri" w:cs="Times New Roman"/>
          <w:szCs w:val="24"/>
          <w14:ligatures w14:val="standardContextual"/>
        </w:rPr>
        <w:t>%.</w:t>
      </w:r>
      <w:r>
        <w:rPr>
          <w:rStyle w:val="FootnoteReference"/>
          <w:rFonts w:eastAsia="Calibri" w:cs="Times New Roman"/>
          <w:szCs w:val="24"/>
          <w14:ligatures w14:val="standardContextual"/>
        </w:rPr>
        <w:footnoteReference w:id="67"/>
      </w:r>
      <w:r w:rsidRPr="001D7812" w:rsidR="00CE2F18">
        <w:rPr>
          <w:rFonts w:eastAsia="Calibri" w:cs="Times New Roman"/>
          <w:szCs w:val="24"/>
          <w14:ligatures w14:val="standardContextual"/>
        </w:rPr>
        <w:t xml:space="preserve"> </w:t>
      </w:r>
      <w:r w:rsidRPr="001D7812" w:rsidR="00327302">
        <w:rPr>
          <w:rFonts w:eastAsia="Calibri" w:cs="Times New Roman"/>
          <w:szCs w:val="24"/>
          <w14:ligatures w14:val="standardContextual"/>
        </w:rPr>
        <w:t>For the sake of comparison, the settlement in the AEP electric security plan case proposed using the same rate of return from AEP</w:t>
      </w:r>
      <w:r w:rsidR="009F1383">
        <w:rPr>
          <w:rFonts w:eastAsia="Calibri" w:cs="Times New Roman"/>
          <w:szCs w:val="24"/>
          <w14:ligatures w14:val="standardContextual"/>
        </w:rPr>
        <w:t>’</w:t>
      </w:r>
      <w:r w:rsidRPr="001D7812" w:rsidR="00327302">
        <w:rPr>
          <w:rFonts w:eastAsia="Calibri" w:cs="Times New Roman"/>
          <w:szCs w:val="24"/>
          <w14:ligatures w14:val="standardContextual"/>
        </w:rPr>
        <w:t>s last rate case</w:t>
      </w:r>
      <w:r w:rsidRPr="001D7812" w:rsidR="00670D8D">
        <w:rPr>
          <w:rFonts w:eastAsia="Calibri" w:cs="Times New Roman"/>
          <w:szCs w:val="24"/>
          <w14:ligatures w14:val="standardContextual"/>
        </w:rPr>
        <w:t xml:space="preserve"> (approved less than three years ago)</w:t>
      </w:r>
      <w:r w:rsidRPr="001D7812" w:rsidR="00327302">
        <w:rPr>
          <w:rFonts w:eastAsia="Calibri" w:cs="Times New Roman"/>
          <w:szCs w:val="24"/>
          <w14:ligatures w14:val="standardContextual"/>
        </w:rPr>
        <w:t>, which used an ROE of 9.71 percent,</w:t>
      </w:r>
      <w:r>
        <w:rPr>
          <w:rStyle w:val="FootnoteReference"/>
          <w:rFonts w:eastAsia="Calibri" w:cs="Times New Roman"/>
          <w:szCs w:val="24"/>
          <w14:ligatures w14:val="standardContextual"/>
        </w:rPr>
        <w:footnoteReference w:id="68"/>
      </w:r>
      <w:r w:rsidRPr="001D7812" w:rsidR="00327302">
        <w:rPr>
          <w:rFonts w:eastAsia="Calibri" w:cs="Times New Roman"/>
          <w:szCs w:val="24"/>
          <w14:ligatures w14:val="standardContextual"/>
        </w:rPr>
        <w:t xml:space="preserve"> and </w:t>
      </w:r>
      <w:r w:rsidRPr="001D7812" w:rsidR="00F871FB">
        <w:rPr>
          <w:rFonts w:eastAsia="Calibri" w:cs="Times New Roman"/>
          <w:szCs w:val="24"/>
          <w14:ligatures w14:val="standardContextual"/>
        </w:rPr>
        <w:t xml:space="preserve">which </w:t>
      </w:r>
      <w:r w:rsidRPr="001D7812" w:rsidR="00327302">
        <w:rPr>
          <w:rFonts w:eastAsia="Calibri" w:cs="Times New Roman"/>
          <w:szCs w:val="24"/>
          <w14:ligatures w14:val="standardContextual"/>
        </w:rPr>
        <w:t>Mr. Buckley testified was also excessive.</w:t>
      </w:r>
      <w:r>
        <w:rPr>
          <w:rStyle w:val="FootnoteReference"/>
          <w:rFonts w:eastAsia="Calibri" w:cs="Times New Roman"/>
          <w:szCs w:val="24"/>
          <w14:ligatures w14:val="standardContextual"/>
        </w:rPr>
        <w:footnoteReference w:id="69"/>
      </w:r>
      <w:r w:rsidRPr="001D7812" w:rsidR="00CE2F18">
        <w:rPr>
          <w:rFonts w:eastAsia="Calibri" w:cs="Times New Roman"/>
          <w:szCs w:val="24"/>
          <w14:ligatures w14:val="standardContextual"/>
        </w:rPr>
        <w:t xml:space="preserve"> </w:t>
      </w:r>
    </w:p>
    <w:p w:rsidR="00126796" w:rsidRPr="001D7812" w:rsidP="009952CF" w14:paraId="54F94746" w14:textId="348BF0EE">
      <w:pPr>
        <w:spacing w:line="480" w:lineRule="auto"/>
        <w:ind w:firstLine="720"/>
        <w:rPr>
          <w:rFonts w:cs="Times New Roman"/>
          <w:szCs w:val="24"/>
        </w:rPr>
      </w:pPr>
      <w:r w:rsidRPr="001D7812">
        <w:rPr>
          <w:rFonts w:cs="Times New Roman"/>
          <w:szCs w:val="24"/>
        </w:rPr>
        <w:t xml:space="preserve">As noted earlier, </w:t>
      </w:r>
      <w:r w:rsidRPr="001D7812" w:rsidR="0058612C">
        <w:rPr>
          <w:rFonts w:cs="Times New Roman"/>
          <w:szCs w:val="24"/>
        </w:rPr>
        <w:t xml:space="preserve">Mr. </w:t>
      </w:r>
      <w:r w:rsidRPr="001D7812">
        <w:rPr>
          <w:rFonts w:cs="Times New Roman"/>
          <w:szCs w:val="24"/>
        </w:rPr>
        <w:t>Buckley testified that the average rate of return for electric utilities currently being granted nationwide for the period from January 1, 2023 through June 30, 2023 was 6.82 percent based on the outcome of 19 electric rate cases.</w:t>
      </w:r>
      <w:r>
        <w:rPr>
          <w:rStyle w:val="FootnoteReference"/>
          <w:rFonts w:cs="Times New Roman"/>
          <w:szCs w:val="24"/>
        </w:rPr>
        <w:footnoteReference w:id="70"/>
      </w:r>
      <w:r w:rsidRPr="001D7812">
        <w:rPr>
          <w:rFonts w:cs="Times New Roman"/>
          <w:szCs w:val="24"/>
        </w:rPr>
        <w:t xml:space="preserve"> Based on this finding, Mr. Buckley concluded that an appropriate </w:t>
      </w:r>
      <w:r w:rsidRPr="001D7812" w:rsidR="006058DC">
        <w:rPr>
          <w:rFonts w:cs="Times New Roman"/>
          <w:szCs w:val="24"/>
        </w:rPr>
        <w:t>R</w:t>
      </w:r>
      <w:r w:rsidRPr="001D7812">
        <w:rPr>
          <w:rFonts w:cs="Times New Roman"/>
          <w:szCs w:val="24"/>
        </w:rPr>
        <w:t xml:space="preserve">eturn on </w:t>
      </w:r>
      <w:r w:rsidRPr="001D7812" w:rsidR="006058DC">
        <w:rPr>
          <w:rFonts w:cs="Times New Roman"/>
          <w:szCs w:val="24"/>
        </w:rPr>
        <w:t>E</w:t>
      </w:r>
      <w:r w:rsidRPr="001D7812">
        <w:rPr>
          <w:rFonts w:cs="Times New Roman"/>
          <w:szCs w:val="24"/>
        </w:rPr>
        <w:t>quity for FirstEnergy would be 9.22 percent, based on the average rate of return for distribution-only electric utilities for the last six months.</w:t>
      </w:r>
      <w:r>
        <w:rPr>
          <w:rStyle w:val="FootnoteReference"/>
          <w:rFonts w:cs="Times New Roman"/>
          <w:szCs w:val="24"/>
        </w:rPr>
        <w:footnoteReference w:id="71"/>
      </w:r>
      <w:r w:rsidRPr="001D7812" w:rsidR="00CE2F18">
        <w:rPr>
          <w:rFonts w:cs="Times New Roman"/>
          <w:szCs w:val="24"/>
        </w:rPr>
        <w:t xml:space="preserve"> </w:t>
      </w:r>
      <w:r w:rsidRPr="001D7812">
        <w:rPr>
          <w:rFonts w:cs="Times New Roman"/>
          <w:szCs w:val="24"/>
        </w:rPr>
        <w:t>He also testified that FirstEnergy did not have a much higher or lower risk profile as compared to the average overall risk profile of the distribution-only electric utilities in this comparison group.</w:t>
      </w:r>
      <w:r>
        <w:rPr>
          <w:rStyle w:val="FootnoteReference"/>
          <w:rFonts w:cs="Times New Roman"/>
          <w:szCs w:val="24"/>
        </w:rPr>
        <w:footnoteReference w:id="72"/>
      </w:r>
    </w:p>
    <w:p w:rsidR="0058612C" w:rsidRPr="001D7812" w:rsidP="00126796" w14:paraId="0D66172B" w14:textId="365E6E3E">
      <w:pPr>
        <w:spacing w:line="480" w:lineRule="auto"/>
        <w:ind w:firstLine="720"/>
        <w:rPr>
          <w:rFonts w:cs="Times New Roman"/>
          <w:szCs w:val="24"/>
        </w:rPr>
      </w:pPr>
      <w:r w:rsidRPr="001D7812">
        <w:rPr>
          <w:rFonts w:cs="Times New Roman"/>
          <w:szCs w:val="24"/>
        </w:rPr>
        <w:t>Mr. Buckley</w:t>
      </w:r>
      <w:r w:rsidR="009F1383">
        <w:rPr>
          <w:rFonts w:cs="Times New Roman"/>
          <w:szCs w:val="24"/>
        </w:rPr>
        <w:t>’</w:t>
      </w:r>
      <w:r w:rsidRPr="001D7812">
        <w:rPr>
          <w:rFonts w:cs="Times New Roman"/>
          <w:szCs w:val="24"/>
        </w:rPr>
        <w:t>s testimony is persuasive on a stand-alone basis and the PUCO should adopt his recommendations</w:t>
      </w:r>
      <w:r w:rsidRPr="001D7812" w:rsidR="001B557C">
        <w:rPr>
          <w:rFonts w:cs="Times New Roman"/>
          <w:szCs w:val="24"/>
        </w:rPr>
        <w:t>.</w:t>
      </w:r>
      <w:r w:rsidRPr="001D7812" w:rsidR="00CE2F18">
        <w:rPr>
          <w:rFonts w:cs="Times New Roman"/>
          <w:szCs w:val="24"/>
        </w:rPr>
        <w:t xml:space="preserve"> </w:t>
      </w:r>
      <w:r w:rsidRPr="001D7812" w:rsidR="001B557C">
        <w:rPr>
          <w:rFonts w:cs="Times New Roman"/>
          <w:szCs w:val="24"/>
        </w:rPr>
        <w:t>There is another factor in play</w:t>
      </w:r>
      <w:r w:rsidRPr="001D7812" w:rsidR="00F8547C">
        <w:rPr>
          <w:rFonts w:cs="Times New Roman"/>
          <w:szCs w:val="24"/>
        </w:rPr>
        <w:t>,</w:t>
      </w:r>
      <w:r w:rsidRPr="001D7812" w:rsidR="001B557C">
        <w:rPr>
          <w:rFonts w:cs="Times New Roman"/>
          <w:szCs w:val="24"/>
        </w:rPr>
        <w:t xml:space="preserve"> which makes Mr. Buckley</w:t>
      </w:r>
      <w:r w:rsidR="009F1383">
        <w:rPr>
          <w:rFonts w:cs="Times New Roman"/>
          <w:szCs w:val="24"/>
        </w:rPr>
        <w:t>’</w:t>
      </w:r>
      <w:r w:rsidRPr="001D7812" w:rsidR="001B557C">
        <w:rPr>
          <w:rFonts w:cs="Times New Roman"/>
          <w:szCs w:val="24"/>
        </w:rPr>
        <w:t>s testimony even more compelling.</w:t>
      </w:r>
      <w:r w:rsidRPr="001D7812" w:rsidR="00CE2F18">
        <w:rPr>
          <w:rFonts w:cs="Times New Roman"/>
          <w:szCs w:val="24"/>
        </w:rPr>
        <w:t xml:space="preserve"> </w:t>
      </w:r>
      <w:r w:rsidRPr="001D7812" w:rsidR="001B557C">
        <w:rPr>
          <w:rFonts w:cs="Times New Roman"/>
          <w:szCs w:val="24"/>
        </w:rPr>
        <w:t>This additional factor is the sheer number of riders contained in FirstEnergy</w:t>
      </w:r>
      <w:r w:rsidR="009F1383">
        <w:rPr>
          <w:rFonts w:cs="Times New Roman"/>
          <w:szCs w:val="24"/>
        </w:rPr>
        <w:t>’</w:t>
      </w:r>
      <w:r w:rsidRPr="001D7812" w:rsidR="001B557C">
        <w:rPr>
          <w:rFonts w:cs="Times New Roman"/>
          <w:szCs w:val="24"/>
        </w:rPr>
        <w:t>s electric security plan.</w:t>
      </w:r>
      <w:r w:rsidRPr="001D7812" w:rsidR="00CE2F18">
        <w:rPr>
          <w:rFonts w:cs="Times New Roman"/>
          <w:szCs w:val="24"/>
        </w:rPr>
        <w:t xml:space="preserve"> </w:t>
      </w:r>
      <w:r w:rsidRPr="001D7812" w:rsidR="001B557C">
        <w:rPr>
          <w:rFonts w:cs="Times New Roman"/>
          <w:szCs w:val="24"/>
        </w:rPr>
        <w:t>OCC witness Brian Collins/Greg Meyer</w:t>
      </w:r>
      <w:r>
        <w:rPr>
          <w:rStyle w:val="FootnoteReference"/>
          <w:rFonts w:cs="Times New Roman"/>
          <w:szCs w:val="24"/>
        </w:rPr>
        <w:footnoteReference w:id="73"/>
      </w:r>
      <w:r w:rsidRPr="001D7812" w:rsidR="001B557C">
        <w:rPr>
          <w:rFonts w:cs="Times New Roman"/>
          <w:szCs w:val="24"/>
        </w:rPr>
        <w:t xml:space="preserve"> noted that </w:t>
      </w:r>
      <w:r w:rsidRPr="001D7812" w:rsidR="00AA766C">
        <w:rPr>
          <w:rFonts w:cs="Times New Roman"/>
          <w:szCs w:val="24"/>
        </w:rPr>
        <w:t>FirstEnergy has</w:t>
      </w:r>
      <w:r w:rsidRPr="001D7812" w:rsidR="00670D8D">
        <w:rPr>
          <w:rFonts w:cs="Times New Roman"/>
          <w:szCs w:val="24"/>
        </w:rPr>
        <w:t xml:space="preserve"> proposed</w:t>
      </w:r>
      <w:r w:rsidRPr="001D7812" w:rsidR="00AA766C">
        <w:rPr>
          <w:rFonts w:cs="Times New Roman"/>
          <w:szCs w:val="24"/>
        </w:rPr>
        <w:t xml:space="preserve"> </w:t>
      </w:r>
      <w:r w:rsidRPr="001D7812" w:rsidR="00AA766C">
        <w:rPr>
          <w:rFonts w:cs="Times New Roman"/>
          <w:i/>
          <w:iCs/>
          <w:szCs w:val="24"/>
        </w:rPr>
        <w:t>54 different riders</w:t>
      </w:r>
      <w:r w:rsidRPr="001D7812" w:rsidR="00AA766C">
        <w:rPr>
          <w:rFonts w:cs="Times New Roman"/>
          <w:szCs w:val="24"/>
        </w:rPr>
        <w:t xml:space="preserve"> – the most he has ever seen for any utility.</w:t>
      </w:r>
      <w:r>
        <w:rPr>
          <w:rStyle w:val="FootnoteReference"/>
          <w:rFonts w:cs="Times New Roman"/>
          <w:szCs w:val="24"/>
        </w:rPr>
        <w:footnoteReference w:id="74"/>
      </w:r>
      <w:r w:rsidRPr="001D7812" w:rsidR="00CE2F18">
        <w:rPr>
          <w:rFonts w:cs="Times New Roman"/>
          <w:szCs w:val="24"/>
        </w:rPr>
        <w:t xml:space="preserve"> </w:t>
      </w:r>
      <w:r w:rsidRPr="001D7812" w:rsidR="00AA766C">
        <w:rPr>
          <w:rFonts w:cs="Times New Roman"/>
          <w:szCs w:val="24"/>
        </w:rPr>
        <w:t xml:space="preserve">Mr. Meyer stated: </w:t>
      </w:r>
      <w:r w:rsidR="009F1383">
        <w:rPr>
          <w:rFonts w:cs="Times New Roman"/>
          <w:szCs w:val="24"/>
        </w:rPr>
        <w:t>“</w:t>
      </w:r>
      <w:r w:rsidRPr="001D7812" w:rsidR="00AA766C">
        <w:rPr>
          <w:rFonts w:cs="Times New Roman"/>
          <w:szCs w:val="24"/>
        </w:rPr>
        <w:t>An abundance of riders will be more beneficial to shareholders and will not provide the heightened consumer protection of utility cost control.</w:t>
      </w:r>
      <w:r w:rsidR="009F1383">
        <w:rPr>
          <w:rFonts w:cs="Times New Roman"/>
          <w:szCs w:val="24"/>
        </w:rPr>
        <w:t>”</w:t>
      </w:r>
      <w:r>
        <w:rPr>
          <w:rStyle w:val="FootnoteReference"/>
          <w:rFonts w:cs="Times New Roman"/>
          <w:szCs w:val="24"/>
        </w:rPr>
        <w:footnoteReference w:id="75"/>
      </w:r>
      <w:r w:rsidRPr="001D7812" w:rsidR="00AA766C">
        <w:rPr>
          <w:rFonts w:cs="Times New Roman"/>
          <w:szCs w:val="24"/>
        </w:rPr>
        <w:t xml:space="preserve"> Mr. Meyer recommended that the PUCO should consider </w:t>
      </w:r>
      <w:r w:rsidRPr="001D7812" w:rsidR="004E79E6">
        <w:rPr>
          <w:rFonts w:cs="Times New Roman"/>
          <w:szCs w:val="24"/>
        </w:rPr>
        <w:t>reducing FirstEnergy</w:t>
      </w:r>
      <w:r w:rsidR="009F1383">
        <w:rPr>
          <w:rFonts w:cs="Times New Roman"/>
          <w:szCs w:val="24"/>
        </w:rPr>
        <w:t>’</w:t>
      </w:r>
      <w:r w:rsidRPr="001D7812" w:rsidR="004E79E6">
        <w:rPr>
          <w:rFonts w:cs="Times New Roman"/>
          <w:szCs w:val="24"/>
        </w:rPr>
        <w:t>s return on equity merely based on the sheer number of riders, which tend to decrease FirstEnergy</w:t>
      </w:r>
      <w:r w:rsidR="009F1383">
        <w:rPr>
          <w:rFonts w:cs="Times New Roman"/>
          <w:szCs w:val="24"/>
        </w:rPr>
        <w:t>’</w:t>
      </w:r>
      <w:r w:rsidRPr="001D7812" w:rsidR="004E79E6">
        <w:rPr>
          <w:rFonts w:cs="Times New Roman"/>
          <w:szCs w:val="24"/>
        </w:rPr>
        <w:t>s risk.</w:t>
      </w:r>
      <w:r>
        <w:rPr>
          <w:rStyle w:val="FootnoteReference"/>
          <w:rFonts w:cs="Times New Roman"/>
          <w:szCs w:val="24"/>
        </w:rPr>
        <w:footnoteReference w:id="76"/>
      </w:r>
    </w:p>
    <w:p w:rsidR="006A0F36" w:rsidRPr="001D7812" w:rsidP="00DE1072" w14:paraId="0B5A798A" w14:textId="19F9C922">
      <w:pPr>
        <w:pStyle w:val="BodyText"/>
        <w:spacing w:after="0" w:line="480" w:lineRule="auto"/>
        <w:ind w:firstLine="720"/>
        <w:rPr>
          <w:rFonts w:cs="Times New Roman"/>
          <w:szCs w:val="24"/>
        </w:rPr>
      </w:pPr>
      <w:r w:rsidRPr="001D7812">
        <w:rPr>
          <w:rFonts w:cs="Times New Roman"/>
          <w:szCs w:val="24"/>
        </w:rPr>
        <w:t xml:space="preserve">In short, the ROE </w:t>
      </w:r>
      <w:r w:rsidRPr="001D7812" w:rsidR="00126796">
        <w:rPr>
          <w:rFonts w:cs="Times New Roman"/>
          <w:szCs w:val="24"/>
        </w:rPr>
        <w:t>in FirstEnergy</w:t>
      </w:r>
      <w:r w:rsidR="009F1383">
        <w:rPr>
          <w:rFonts w:cs="Times New Roman"/>
          <w:szCs w:val="24"/>
        </w:rPr>
        <w:t>’</w:t>
      </w:r>
      <w:r w:rsidRPr="001D7812" w:rsidR="00126796">
        <w:rPr>
          <w:rFonts w:cs="Times New Roman"/>
          <w:szCs w:val="24"/>
        </w:rPr>
        <w:t>s electric security plan is unjust and unreasonable because it requires consumers</w:t>
      </w:r>
      <w:r w:rsidRPr="001D7812">
        <w:rPr>
          <w:rFonts w:cs="Times New Roman"/>
          <w:szCs w:val="24"/>
        </w:rPr>
        <w:t xml:space="preserve"> to pay </w:t>
      </w:r>
      <w:r w:rsidRPr="001D7812" w:rsidR="00126796">
        <w:rPr>
          <w:rFonts w:cs="Times New Roman"/>
          <w:szCs w:val="24"/>
        </w:rPr>
        <w:t xml:space="preserve">higher rates than needed </w:t>
      </w:r>
      <w:r w:rsidR="009F1383">
        <w:rPr>
          <w:rFonts w:cs="Times New Roman"/>
          <w:szCs w:val="24"/>
        </w:rPr>
        <w:t>“</w:t>
      </w:r>
      <w:r w:rsidRPr="001D7812" w:rsidR="00126796">
        <w:rPr>
          <w:rFonts w:eastAsia="Calibri" w:cs="Times New Roman"/>
          <w:szCs w:val="24"/>
          <w14:ligatures w14:val="standardContextual"/>
        </w:rPr>
        <w:t>to assure confidence in the financial integrity of the enterprise, so as to maintain its credit and attract capital.</w:t>
      </w:r>
      <w:r w:rsidR="009F1383">
        <w:rPr>
          <w:rFonts w:eastAsia="Calibri" w:cs="Times New Roman"/>
          <w:szCs w:val="24"/>
          <w14:ligatures w14:val="standardContextual"/>
        </w:rPr>
        <w:t>”</w:t>
      </w:r>
      <w:r>
        <w:rPr>
          <w:rStyle w:val="FootnoteReference"/>
          <w:rFonts w:eastAsia="Calibri" w:cs="Times New Roman"/>
          <w:szCs w:val="24"/>
          <w14:ligatures w14:val="standardContextual"/>
        </w:rPr>
        <w:footnoteReference w:id="77"/>
      </w:r>
      <w:r w:rsidRPr="001D7812" w:rsidR="00CE2F18">
        <w:rPr>
          <w:rFonts w:eastAsia="Calibri" w:cs="Times New Roman"/>
          <w:szCs w:val="24"/>
          <w14:ligatures w14:val="standardContextual"/>
        </w:rPr>
        <w:t xml:space="preserve"> </w:t>
      </w:r>
      <w:r w:rsidRPr="001D7812" w:rsidR="00547FC6">
        <w:rPr>
          <w:rFonts w:eastAsia="Calibri" w:cs="Times New Roman"/>
          <w:szCs w:val="24"/>
          <w14:ligatures w14:val="standardContextual"/>
        </w:rPr>
        <w:t>This is an important issue because this rate of return would remain in effect until the PUCO renders its decision in FirstEnergy</w:t>
      </w:r>
      <w:r w:rsidR="009F1383">
        <w:rPr>
          <w:rFonts w:eastAsia="Calibri" w:cs="Times New Roman"/>
          <w:szCs w:val="24"/>
          <w14:ligatures w14:val="standardContextual"/>
        </w:rPr>
        <w:t>’</w:t>
      </w:r>
      <w:r w:rsidRPr="001D7812" w:rsidR="00547FC6">
        <w:rPr>
          <w:rFonts w:eastAsia="Calibri" w:cs="Times New Roman"/>
          <w:szCs w:val="24"/>
          <w14:ligatures w14:val="standardContextual"/>
        </w:rPr>
        <w:t>s next rate case, to be filed in May 2024.</w:t>
      </w:r>
      <w:r w:rsidRPr="001D7812" w:rsidR="00CE2F18">
        <w:rPr>
          <w:rFonts w:eastAsia="Calibri" w:cs="Times New Roman"/>
          <w:szCs w:val="24"/>
          <w14:ligatures w14:val="standardContextual"/>
        </w:rPr>
        <w:t xml:space="preserve"> </w:t>
      </w:r>
      <w:r w:rsidRPr="001D7812" w:rsidR="00547FC6">
        <w:rPr>
          <w:rFonts w:eastAsia="Calibri" w:cs="Times New Roman"/>
          <w:szCs w:val="24"/>
          <w14:ligatures w14:val="standardContextual"/>
        </w:rPr>
        <w:t>Using the</w:t>
      </w:r>
      <w:r w:rsidRPr="001D7812" w:rsidR="0058612C">
        <w:rPr>
          <w:rFonts w:eastAsia="Calibri" w:cs="Times New Roman"/>
          <w:szCs w:val="24"/>
          <w14:ligatures w14:val="standardContextual"/>
        </w:rPr>
        <w:t xml:space="preserve"> </w:t>
      </w:r>
      <w:r w:rsidRPr="001D7812" w:rsidR="00547FC6">
        <w:rPr>
          <w:rFonts w:eastAsia="Calibri" w:cs="Times New Roman"/>
          <w:szCs w:val="24"/>
          <w14:ligatures w14:val="standardContextual"/>
        </w:rPr>
        <w:t>10.5% would allow FirstEnergy to earn excessive profits at consumers</w:t>
      </w:r>
      <w:r w:rsidR="009F1383">
        <w:rPr>
          <w:rFonts w:eastAsia="Calibri" w:cs="Times New Roman"/>
          <w:szCs w:val="24"/>
          <w14:ligatures w14:val="standardContextual"/>
        </w:rPr>
        <w:t>’</w:t>
      </w:r>
      <w:r w:rsidRPr="001D7812" w:rsidR="00547FC6">
        <w:rPr>
          <w:rFonts w:eastAsia="Calibri" w:cs="Times New Roman"/>
          <w:szCs w:val="24"/>
          <w14:ligatures w14:val="standardContextual"/>
        </w:rPr>
        <w:t xml:space="preserve"> expense.</w:t>
      </w:r>
      <w:r w:rsidRPr="001D7812" w:rsidR="00CE2F18">
        <w:rPr>
          <w:rFonts w:eastAsia="Calibri" w:cs="Times New Roman"/>
          <w:szCs w:val="24"/>
          <w14:ligatures w14:val="standardContextual"/>
        </w:rPr>
        <w:t xml:space="preserve"> </w:t>
      </w:r>
      <w:r w:rsidRPr="001D7812" w:rsidR="00547FC6">
        <w:rPr>
          <w:rFonts w:eastAsia="Calibri" w:cs="Times New Roman"/>
          <w:szCs w:val="24"/>
          <w14:ligatures w14:val="standardContextual"/>
        </w:rPr>
        <w:t>The PUCO should not reward FirstEnergy with excessive profits</w:t>
      </w:r>
      <w:r w:rsidRPr="001D7812" w:rsidR="00FA797C">
        <w:rPr>
          <w:rFonts w:eastAsia="Calibri" w:cs="Times New Roman"/>
          <w:szCs w:val="24"/>
          <w14:ligatures w14:val="standardContextual"/>
        </w:rPr>
        <w:t>.</w:t>
      </w:r>
      <w:r w:rsidRPr="001D7812" w:rsidR="00547FC6">
        <w:rPr>
          <w:rFonts w:eastAsia="Calibri" w:cs="Times New Roman"/>
          <w:szCs w:val="24"/>
          <w14:ligatures w14:val="standardContextual"/>
        </w:rPr>
        <w:t xml:space="preserve"> </w:t>
      </w:r>
    </w:p>
    <w:p w:rsidR="0062361A" w:rsidRPr="001D7812" w:rsidP="00DE1072" w14:paraId="2A1B2C53" w14:textId="4CF7A2DB">
      <w:pPr>
        <w:pStyle w:val="Heading2"/>
      </w:pPr>
      <w:bookmarkStart w:id="12" w:name="_Toc156567925"/>
      <w:r w:rsidRPr="001D7812">
        <w:t>F.</w:t>
      </w:r>
      <w:r w:rsidRPr="001D7812">
        <w:tab/>
      </w:r>
      <w:r w:rsidRPr="001D7812">
        <w:t>FirstEnergy</w:t>
      </w:r>
      <w:r w:rsidR="009F1383">
        <w:t>’</w:t>
      </w:r>
      <w:r w:rsidRPr="001D7812">
        <w:t xml:space="preserve">s electric security plan proposal is unjust and unreasonable because it </w:t>
      </w:r>
      <w:r w:rsidRPr="001D7812" w:rsidR="00803DC5">
        <w:t xml:space="preserve">allows FirstEnergy to earn an unreasonably high </w:t>
      </w:r>
      <w:r w:rsidRPr="001D7812" w:rsidR="00FA797C">
        <w:t>r</w:t>
      </w:r>
      <w:r w:rsidRPr="001D7812" w:rsidR="00803DC5">
        <w:t xml:space="preserve">eturn on </w:t>
      </w:r>
      <w:r w:rsidRPr="001D7812" w:rsidR="00FA797C">
        <w:t>e</w:t>
      </w:r>
      <w:r w:rsidRPr="001D7812" w:rsidR="00803DC5">
        <w:t xml:space="preserve">quity for </w:t>
      </w:r>
      <w:r w:rsidRPr="001D7812">
        <w:t xml:space="preserve">grid modernization </w:t>
      </w:r>
      <w:r w:rsidRPr="001D7812" w:rsidR="00803DC5">
        <w:t>spending.</w:t>
      </w:r>
      <w:r w:rsidRPr="001D7812" w:rsidR="00CE2F18">
        <w:t xml:space="preserve"> </w:t>
      </w:r>
      <w:r w:rsidRPr="001D7812" w:rsidR="00803DC5">
        <w:t xml:space="preserve">In addition, the plan is unjust and unreasonable because the </w:t>
      </w:r>
      <w:r w:rsidRPr="001D7812" w:rsidR="00FA797C">
        <w:t>r</w:t>
      </w:r>
      <w:r w:rsidRPr="001D7812" w:rsidR="00803DC5">
        <w:t xml:space="preserve">eturn on </w:t>
      </w:r>
      <w:r w:rsidRPr="001D7812" w:rsidR="00FA797C">
        <w:t>e</w:t>
      </w:r>
      <w:r w:rsidRPr="001D7812" w:rsidR="00803DC5">
        <w:t xml:space="preserve">quity for grid modernization spending would remain in effect for the entire duration of </w:t>
      </w:r>
      <w:r w:rsidRPr="001D7812" w:rsidR="008C6EE7">
        <w:t xml:space="preserve">Advanced Metering Infrastructure </w:t>
      </w:r>
      <w:r w:rsidRPr="001D7812" w:rsidR="0006727E">
        <w:t xml:space="preserve">Rider </w:t>
      </w:r>
      <w:r w:rsidRPr="001D7812" w:rsidR="008C6EE7">
        <w:t>(</w:t>
      </w:r>
      <w:r w:rsidR="009F1383">
        <w:t>“</w:t>
      </w:r>
      <w:r w:rsidRPr="001D7812" w:rsidR="00803DC5">
        <w:t>Rider AMI</w:t>
      </w:r>
      <w:r w:rsidR="009F1383">
        <w:t>”</w:t>
      </w:r>
      <w:r w:rsidRPr="001D7812" w:rsidR="008C6EE7">
        <w:t>)</w:t>
      </w:r>
      <w:r w:rsidRPr="001D7812" w:rsidR="00803DC5">
        <w:t>, regardless of any changes in FirstEnergy</w:t>
      </w:r>
      <w:r w:rsidR="009F1383">
        <w:t>’</w:t>
      </w:r>
      <w:r w:rsidRPr="001D7812" w:rsidR="00803DC5">
        <w:t xml:space="preserve">s </w:t>
      </w:r>
      <w:r w:rsidRPr="001D7812" w:rsidR="00FA797C">
        <w:t>r</w:t>
      </w:r>
      <w:r w:rsidRPr="001D7812" w:rsidR="00803DC5">
        <w:t xml:space="preserve">eturn on </w:t>
      </w:r>
      <w:r w:rsidRPr="001D7812" w:rsidR="00FA797C">
        <w:t>e</w:t>
      </w:r>
      <w:r w:rsidRPr="001D7812" w:rsidR="00803DC5">
        <w:t>quity to be decided in the 2024 base distribution rate case.</w:t>
      </w:r>
      <w:r w:rsidRPr="001D7812" w:rsidR="00CE2F18">
        <w:t xml:space="preserve"> </w:t>
      </w:r>
      <w:r w:rsidRPr="001D7812">
        <w:t>This would result in an unreasonably high</w:t>
      </w:r>
      <w:r w:rsidRPr="001D7812" w:rsidR="008C6EE7">
        <w:t>e</w:t>
      </w:r>
      <w:r w:rsidRPr="001D7812" w:rsidR="00FA797C">
        <w:t>r</w:t>
      </w:r>
      <w:r w:rsidRPr="001D7812" w:rsidR="0006727E">
        <w:t xml:space="preserve"> </w:t>
      </w:r>
      <w:r w:rsidRPr="001D7812" w:rsidR="00FA797C">
        <w:t>r</w:t>
      </w:r>
      <w:r w:rsidRPr="001D7812">
        <w:t>eturn</w:t>
      </w:r>
      <w:r w:rsidRPr="001D7812" w:rsidR="00803DC5">
        <w:t xml:space="preserve"> on </w:t>
      </w:r>
      <w:r w:rsidRPr="001D7812" w:rsidR="00FA797C">
        <w:t>e</w:t>
      </w:r>
      <w:r w:rsidRPr="001D7812" w:rsidR="00803DC5">
        <w:t>quity</w:t>
      </w:r>
      <w:r w:rsidRPr="001D7812">
        <w:t xml:space="preserve"> for Rider AMI </w:t>
      </w:r>
      <w:r w:rsidRPr="001D7812" w:rsidR="00803DC5">
        <w:t>spending</w:t>
      </w:r>
      <w:r w:rsidRPr="001D7812">
        <w:t xml:space="preserve">, which would require consumers to pay unfair rates and </w:t>
      </w:r>
      <w:r w:rsidRPr="001D7812" w:rsidR="00803DC5">
        <w:t xml:space="preserve">would </w:t>
      </w:r>
      <w:r w:rsidRPr="001D7812">
        <w:t xml:space="preserve">allow FirstEnergy to earn excessive profits for Rider AMI </w:t>
      </w:r>
      <w:r w:rsidRPr="001D7812" w:rsidR="00B4430D">
        <w:t>spending</w:t>
      </w:r>
      <w:r w:rsidRPr="001D7812">
        <w:t>.</w:t>
      </w:r>
      <w:bookmarkEnd w:id="12"/>
    </w:p>
    <w:p w:rsidR="00B4430D" w:rsidRPr="001D7812" w:rsidP="00C647ED" w14:paraId="354A6986" w14:textId="404EB117">
      <w:pPr>
        <w:autoSpaceDE w:val="0"/>
        <w:autoSpaceDN w:val="0"/>
        <w:adjustRightInd w:val="0"/>
        <w:spacing w:line="480" w:lineRule="auto"/>
        <w:ind w:firstLine="720"/>
        <w:rPr>
          <w:rFonts w:cs="Times New Roman"/>
          <w:szCs w:val="24"/>
        </w:rPr>
      </w:pPr>
      <w:r w:rsidRPr="001D7812">
        <w:rPr>
          <w:rFonts w:cs="Times New Roman"/>
          <w:szCs w:val="24"/>
        </w:rPr>
        <w:t xml:space="preserve">FirstEnergy </w:t>
      </w:r>
      <w:r w:rsidRPr="001D7812" w:rsidR="00626D1E">
        <w:rPr>
          <w:rFonts w:cs="Times New Roman"/>
          <w:szCs w:val="24"/>
        </w:rPr>
        <w:t>W</w:t>
      </w:r>
      <w:r w:rsidRPr="001D7812">
        <w:rPr>
          <w:rFonts w:cs="Times New Roman"/>
          <w:szCs w:val="24"/>
        </w:rPr>
        <w:t xml:space="preserve">itness McMillen testified </w:t>
      </w:r>
      <w:r w:rsidRPr="001D7812" w:rsidR="001E5268">
        <w:rPr>
          <w:rFonts w:cs="Times New Roman"/>
          <w:szCs w:val="24"/>
        </w:rPr>
        <w:t xml:space="preserve">that the </w:t>
      </w:r>
      <w:r w:rsidRPr="001D7812" w:rsidR="00803DC5">
        <w:rPr>
          <w:rFonts w:cs="Times New Roman"/>
          <w:szCs w:val="24"/>
        </w:rPr>
        <w:t>ROE</w:t>
      </w:r>
      <w:r w:rsidRPr="001D7812" w:rsidR="001E5268">
        <w:rPr>
          <w:rFonts w:cs="Times New Roman"/>
          <w:szCs w:val="24"/>
        </w:rPr>
        <w:t xml:space="preserve"> currently in effect for Rider AMI is </w:t>
      </w:r>
      <w:r w:rsidRPr="001D7812" w:rsidR="0092794A">
        <w:rPr>
          <w:rFonts w:cs="Times New Roman"/>
          <w:szCs w:val="24"/>
        </w:rPr>
        <w:t>10.38</w:t>
      </w:r>
      <w:r w:rsidRPr="001D7812" w:rsidR="00626D1E">
        <w:rPr>
          <w:rFonts w:cs="Times New Roman"/>
          <w:szCs w:val="24"/>
        </w:rPr>
        <w:t xml:space="preserve"> percent</w:t>
      </w:r>
      <w:r w:rsidRPr="001D7812" w:rsidR="00FC0A4D">
        <w:rPr>
          <w:rFonts w:cs="Times New Roman"/>
          <w:szCs w:val="24"/>
        </w:rPr>
        <w:t>.</w:t>
      </w:r>
      <w:r>
        <w:rPr>
          <w:rStyle w:val="FootnoteReference"/>
          <w:rFonts w:cs="Times New Roman"/>
          <w:szCs w:val="24"/>
        </w:rPr>
        <w:footnoteReference w:id="78"/>
      </w:r>
      <w:r w:rsidRPr="001D7812" w:rsidR="00BE2634">
        <w:rPr>
          <w:rFonts w:cs="Times New Roman"/>
          <w:szCs w:val="24"/>
        </w:rPr>
        <w:t xml:space="preserve"> </w:t>
      </w:r>
      <w:r w:rsidRPr="001D7812">
        <w:rPr>
          <w:rFonts w:cs="Times New Roman"/>
          <w:szCs w:val="24"/>
        </w:rPr>
        <w:t>For Rider DCR, Mr.</w:t>
      </w:r>
      <w:r w:rsidRPr="001D7812" w:rsidR="00BE2634">
        <w:rPr>
          <w:rFonts w:cs="Times New Roman"/>
          <w:szCs w:val="24"/>
        </w:rPr>
        <w:t xml:space="preserve"> </w:t>
      </w:r>
      <w:r w:rsidRPr="001D7812" w:rsidR="006A3ECD">
        <w:rPr>
          <w:rFonts w:cs="Times New Roman"/>
          <w:szCs w:val="24"/>
        </w:rPr>
        <w:t xml:space="preserve">McMillen </w:t>
      </w:r>
      <w:r w:rsidRPr="001D7812" w:rsidR="00BE2634">
        <w:rPr>
          <w:rFonts w:cs="Times New Roman"/>
          <w:szCs w:val="24"/>
        </w:rPr>
        <w:t xml:space="preserve">stated </w:t>
      </w:r>
      <w:r w:rsidRPr="001D7812" w:rsidR="006A3ECD">
        <w:rPr>
          <w:rFonts w:cs="Times New Roman"/>
          <w:szCs w:val="24"/>
        </w:rPr>
        <w:t>that th</w:t>
      </w:r>
      <w:r w:rsidRPr="001D7812">
        <w:rPr>
          <w:rFonts w:cs="Times New Roman"/>
          <w:szCs w:val="24"/>
        </w:rPr>
        <w:t xml:space="preserve">e </w:t>
      </w:r>
      <w:r w:rsidRPr="001D7812" w:rsidR="00803DC5">
        <w:rPr>
          <w:rFonts w:cs="Times New Roman"/>
          <w:szCs w:val="24"/>
        </w:rPr>
        <w:t>ROE</w:t>
      </w:r>
      <w:r w:rsidRPr="001D7812" w:rsidR="006A3ECD">
        <w:rPr>
          <w:rFonts w:cs="Times New Roman"/>
          <w:szCs w:val="24"/>
        </w:rPr>
        <w:t xml:space="preserve"> </w:t>
      </w:r>
      <w:r w:rsidRPr="001D7812">
        <w:rPr>
          <w:rFonts w:cs="Times New Roman"/>
          <w:szCs w:val="24"/>
        </w:rPr>
        <w:t xml:space="preserve">will incorporate </w:t>
      </w:r>
      <w:r w:rsidRPr="001D7812" w:rsidR="006A3ECD">
        <w:rPr>
          <w:rFonts w:cs="Times New Roman"/>
          <w:szCs w:val="24"/>
        </w:rPr>
        <w:t xml:space="preserve">the new rate of return to be determined in the May 2024 rate </w:t>
      </w:r>
      <w:r w:rsidRPr="001D7812" w:rsidR="00BE2634">
        <w:rPr>
          <w:rFonts w:cs="Times New Roman"/>
          <w:szCs w:val="24"/>
        </w:rPr>
        <w:t>case</w:t>
      </w:r>
      <w:r w:rsidRPr="001D7812" w:rsidR="00A8674E">
        <w:rPr>
          <w:rFonts w:cs="Times New Roman"/>
          <w:szCs w:val="24"/>
        </w:rPr>
        <w:t xml:space="preserve">, including </w:t>
      </w:r>
      <w:r w:rsidR="009F1383">
        <w:rPr>
          <w:rFonts w:cs="Times New Roman"/>
          <w:szCs w:val="24"/>
        </w:rPr>
        <w:t>“</w:t>
      </w:r>
      <w:r w:rsidRPr="001D7812" w:rsidR="00880018">
        <w:rPr>
          <w:rFonts w:cs="Times New Roman"/>
          <w:szCs w:val="24"/>
        </w:rPr>
        <w:t>all applicable inputs that were approved in the base distribution case, including return on equity, cost of debt, capital structure, depreciation rates, revenue requirement allocations, and FESC allocation factors.</w:t>
      </w:r>
      <w:r w:rsidR="009F1383">
        <w:rPr>
          <w:rFonts w:cs="Times New Roman"/>
          <w:szCs w:val="24"/>
        </w:rPr>
        <w:t>”</w:t>
      </w:r>
      <w:r>
        <w:rPr>
          <w:rStyle w:val="FootnoteReference"/>
          <w:rFonts w:cs="Times New Roman"/>
          <w:szCs w:val="24"/>
        </w:rPr>
        <w:footnoteReference w:id="79"/>
      </w:r>
      <w:r w:rsidRPr="001D7812" w:rsidR="00BE2634">
        <w:rPr>
          <w:rFonts w:cs="Times New Roman"/>
          <w:szCs w:val="24"/>
        </w:rPr>
        <w:t xml:space="preserve"> </w:t>
      </w:r>
    </w:p>
    <w:p w:rsidR="000174E1" w:rsidRPr="001D7812" w:rsidP="00C647ED" w14:paraId="3CF8AE48" w14:textId="724D7D17">
      <w:pPr>
        <w:autoSpaceDE w:val="0"/>
        <w:autoSpaceDN w:val="0"/>
        <w:adjustRightInd w:val="0"/>
        <w:spacing w:line="480" w:lineRule="auto"/>
        <w:ind w:firstLine="720"/>
        <w:rPr>
          <w:rFonts w:cs="Times New Roman"/>
          <w:szCs w:val="24"/>
        </w:rPr>
      </w:pPr>
      <w:r w:rsidRPr="001D7812">
        <w:rPr>
          <w:rFonts w:cs="Times New Roman"/>
          <w:szCs w:val="24"/>
        </w:rPr>
        <w:t xml:space="preserve">Witness </w:t>
      </w:r>
      <w:r w:rsidRPr="001D7812" w:rsidR="007434AB">
        <w:rPr>
          <w:rFonts w:cs="Times New Roman"/>
          <w:szCs w:val="24"/>
        </w:rPr>
        <w:t xml:space="preserve">McMillen </w:t>
      </w:r>
      <w:r w:rsidRPr="001D7812" w:rsidR="00B4430D">
        <w:rPr>
          <w:rFonts w:cs="Times New Roman"/>
          <w:szCs w:val="24"/>
        </w:rPr>
        <w:t>did not</w:t>
      </w:r>
      <w:r w:rsidRPr="001D7812" w:rsidR="006A3ECD">
        <w:rPr>
          <w:rFonts w:cs="Times New Roman"/>
          <w:szCs w:val="24"/>
        </w:rPr>
        <w:t xml:space="preserve"> </w:t>
      </w:r>
      <w:r w:rsidRPr="001D7812" w:rsidR="00BE2634">
        <w:rPr>
          <w:rFonts w:cs="Times New Roman"/>
          <w:szCs w:val="24"/>
        </w:rPr>
        <w:t xml:space="preserve">make </w:t>
      </w:r>
      <w:r w:rsidRPr="001D7812" w:rsidR="00B4430D">
        <w:rPr>
          <w:rFonts w:cs="Times New Roman"/>
          <w:szCs w:val="24"/>
        </w:rPr>
        <w:t>a similar commitment</w:t>
      </w:r>
      <w:r w:rsidRPr="001D7812" w:rsidR="00BE2634">
        <w:rPr>
          <w:rFonts w:cs="Times New Roman"/>
          <w:szCs w:val="24"/>
        </w:rPr>
        <w:t xml:space="preserve"> regarding</w:t>
      </w:r>
      <w:r w:rsidRPr="001D7812" w:rsidR="006A3ECD">
        <w:rPr>
          <w:rFonts w:cs="Times New Roman"/>
          <w:szCs w:val="24"/>
        </w:rPr>
        <w:t xml:space="preserve"> Rider AMI</w:t>
      </w:r>
      <w:r w:rsidRPr="001D7812" w:rsidR="00704099">
        <w:rPr>
          <w:rFonts w:cs="Times New Roman"/>
          <w:szCs w:val="24"/>
        </w:rPr>
        <w:t xml:space="preserve">, </w:t>
      </w:r>
      <w:r w:rsidRPr="001D7812" w:rsidR="004D282D">
        <w:rPr>
          <w:rFonts w:cs="Times New Roman"/>
          <w:szCs w:val="24"/>
        </w:rPr>
        <w:t>so</w:t>
      </w:r>
      <w:r w:rsidRPr="001D7812" w:rsidR="006A3ECD">
        <w:rPr>
          <w:rFonts w:cs="Times New Roman"/>
          <w:szCs w:val="24"/>
        </w:rPr>
        <w:t xml:space="preserve"> FirstEnergy </w:t>
      </w:r>
      <w:r w:rsidRPr="001D7812" w:rsidR="00803DC5">
        <w:rPr>
          <w:rFonts w:cs="Times New Roman"/>
          <w:szCs w:val="24"/>
        </w:rPr>
        <w:t>will use</w:t>
      </w:r>
      <w:r w:rsidRPr="001D7812" w:rsidR="006A3ECD">
        <w:rPr>
          <w:rFonts w:cs="Times New Roman"/>
          <w:szCs w:val="24"/>
        </w:rPr>
        <w:t xml:space="preserve"> the existing </w:t>
      </w:r>
      <w:r w:rsidRPr="001D7812" w:rsidR="00B4430D">
        <w:rPr>
          <w:rFonts w:cs="Times New Roman"/>
          <w:szCs w:val="24"/>
        </w:rPr>
        <w:t xml:space="preserve">10.38% </w:t>
      </w:r>
      <w:r w:rsidRPr="001D7812" w:rsidR="00803DC5">
        <w:rPr>
          <w:rFonts w:cs="Times New Roman"/>
          <w:szCs w:val="24"/>
        </w:rPr>
        <w:t>ROE</w:t>
      </w:r>
      <w:r w:rsidRPr="001D7812" w:rsidR="006A3ECD">
        <w:rPr>
          <w:rFonts w:cs="Times New Roman"/>
          <w:szCs w:val="24"/>
        </w:rPr>
        <w:t xml:space="preserve"> </w:t>
      </w:r>
      <w:r w:rsidRPr="001D7812" w:rsidR="004D282D">
        <w:rPr>
          <w:rFonts w:cs="Times New Roman"/>
          <w:szCs w:val="24"/>
        </w:rPr>
        <w:t>for</w:t>
      </w:r>
      <w:r w:rsidRPr="001D7812" w:rsidR="006A3ECD">
        <w:rPr>
          <w:rFonts w:cs="Times New Roman"/>
          <w:szCs w:val="24"/>
        </w:rPr>
        <w:t xml:space="preserve"> Rider AMI </w:t>
      </w:r>
      <w:r w:rsidRPr="001D7812" w:rsidR="004D282D">
        <w:rPr>
          <w:rFonts w:cs="Times New Roman"/>
          <w:szCs w:val="24"/>
        </w:rPr>
        <w:t>during</w:t>
      </w:r>
      <w:r w:rsidRPr="001D7812" w:rsidR="006A3ECD">
        <w:rPr>
          <w:rFonts w:cs="Times New Roman"/>
          <w:szCs w:val="24"/>
        </w:rPr>
        <w:t xml:space="preserve"> the entire time Rider AMI is in effect.</w:t>
      </w:r>
      <w:r w:rsidRPr="001D7812" w:rsidR="00E571B2">
        <w:rPr>
          <w:rFonts w:cs="Times New Roman"/>
          <w:szCs w:val="24"/>
        </w:rPr>
        <w:t xml:space="preserve"> </w:t>
      </w:r>
      <w:r w:rsidRPr="001D7812" w:rsidR="00B4430D">
        <w:rPr>
          <w:rFonts w:cs="Times New Roman"/>
          <w:szCs w:val="24"/>
        </w:rPr>
        <w:t>Mr. McMillen</w:t>
      </w:r>
      <w:r w:rsidRPr="001D7812" w:rsidR="004D282D">
        <w:rPr>
          <w:rFonts w:cs="Times New Roman"/>
          <w:szCs w:val="24"/>
        </w:rPr>
        <w:t xml:space="preserve"> confirmed this when he testified</w:t>
      </w:r>
      <w:r w:rsidRPr="001D7812" w:rsidR="00E571B2">
        <w:rPr>
          <w:rFonts w:cs="Times New Roman"/>
          <w:szCs w:val="24"/>
        </w:rPr>
        <w:t xml:space="preserve"> that the </w:t>
      </w:r>
      <w:r w:rsidRPr="001D7812" w:rsidR="006A04DF">
        <w:rPr>
          <w:rFonts w:cs="Times New Roman"/>
          <w:szCs w:val="24"/>
        </w:rPr>
        <w:t>May 2024 distribution rate case filing</w:t>
      </w:r>
      <w:r w:rsidRPr="001D7812" w:rsidR="00E571B2">
        <w:rPr>
          <w:rFonts w:cs="Times New Roman"/>
          <w:szCs w:val="24"/>
        </w:rPr>
        <w:t xml:space="preserve"> </w:t>
      </w:r>
      <w:r w:rsidRPr="001D7812" w:rsidR="006A04DF">
        <w:rPr>
          <w:rFonts w:cs="Times New Roman"/>
          <w:szCs w:val="24"/>
        </w:rPr>
        <w:t>won</w:t>
      </w:r>
      <w:r w:rsidR="009F1383">
        <w:rPr>
          <w:rFonts w:cs="Times New Roman"/>
          <w:szCs w:val="24"/>
        </w:rPr>
        <w:t>’</w:t>
      </w:r>
      <w:r w:rsidRPr="001D7812" w:rsidR="006A04DF">
        <w:rPr>
          <w:rFonts w:cs="Times New Roman"/>
          <w:szCs w:val="24"/>
        </w:rPr>
        <w:t>t</w:t>
      </w:r>
      <w:r w:rsidRPr="001D7812" w:rsidR="00E571B2">
        <w:rPr>
          <w:rFonts w:cs="Times New Roman"/>
          <w:szCs w:val="24"/>
        </w:rPr>
        <w:t xml:space="preserve"> </w:t>
      </w:r>
      <w:r w:rsidRPr="001D7812" w:rsidR="006A04DF">
        <w:rPr>
          <w:rFonts w:cs="Times New Roman"/>
          <w:szCs w:val="24"/>
        </w:rPr>
        <w:t xml:space="preserve">have any impact on the 10.38 percent </w:t>
      </w:r>
      <w:r w:rsidRPr="001D7812" w:rsidR="004D282D">
        <w:rPr>
          <w:rFonts w:cs="Times New Roman"/>
          <w:szCs w:val="24"/>
        </w:rPr>
        <w:t>ROE for</w:t>
      </w:r>
      <w:r w:rsidRPr="001D7812" w:rsidR="006A04DF">
        <w:rPr>
          <w:rFonts w:cs="Times New Roman"/>
          <w:szCs w:val="24"/>
        </w:rPr>
        <w:t xml:space="preserve"> </w:t>
      </w:r>
      <w:r w:rsidRPr="001D7812" w:rsidR="004D282D">
        <w:rPr>
          <w:rFonts w:cs="Times New Roman"/>
          <w:szCs w:val="24"/>
        </w:rPr>
        <w:t xml:space="preserve">Rider </w:t>
      </w:r>
      <w:r w:rsidRPr="001D7812" w:rsidR="006A04DF">
        <w:rPr>
          <w:rFonts w:cs="Times New Roman"/>
          <w:szCs w:val="24"/>
        </w:rPr>
        <w:t xml:space="preserve">AMI </w:t>
      </w:r>
      <w:r w:rsidRPr="001D7812" w:rsidR="004D282D">
        <w:rPr>
          <w:rFonts w:cs="Times New Roman"/>
          <w:szCs w:val="24"/>
        </w:rPr>
        <w:t>spending</w:t>
      </w:r>
      <w:r w:rsidRPr="001D7812" w:rsidR="006A04DF">
        <w:rPr>
          <w:rFonts w:cs="Times New Roman"/>
          <w:szCs w:val="24"/>
        </w:rPr>
        <w:t xml:space="preserve"> under the Companies</w:t>
      </w:r>
      <w:r w:rsidR="009F1383">
        <w:rPr>
          <w:rFonts w:cs="Times New Roman"/>
          <w:szCs w:val="24"/>
        </w:rPr>
        <w:t>’</w:t>
      </w:r>
      <w:r w:rsidRPr="001D7812" w:rsidR="006A04DF">
        <w:rPr>
          <w:rFonts w:cs="Times New Roman"/>
          <w:szCs w:val="24"/>
        </w:rPr>
        <w:t xml:space="preserve"> proposal.</w:t>
      </w:r>
      <w:r>
        <w:rPr>
          <w:rStyle w:val="FootnoteReference"/>
          <w:rFonts w:cs="Times New Roman"/>
          <w:szCs w:val="24"/>
        </w:rPr>
        <w:footnoteReference w:id="80"/>
      </w:r>
      <w:r w:rsidRPr="001D7812" w:rsidR="00C647ED">
        <w:rPr>
          <w:rFonts w:cs="Times New Roman"/>
          <w:szCs w:val="24"/>
        </w:rPr>
        <w:t xml:space="preserve"> </w:t>
      </w:r>
      <w:r w:rsidRPr="001D7812" w:rsidR="006A3ECD">
        <w:rPr>
          <w:rFonts w:cs="Times New Roman"/>
          <w:szCs w:val="24"/>
        </w:rPr>
        <w:t xml:space="preserve">Rider AMI </w:t>
      </w:r>
      <w:r w:rsidRPr="001D7812" w:rsidR="004D282D">
        <w:rPr>
          <w:rFonts w:cs="Times New Roman"/>
          <w:szCs w:val="24"/>
        </w:rPr>
        <w:t xml:space="preserve">spending </w:t>
      </w:r>
      <w:r w:rsidRPr="001D7812" w:rsidR="00BF6208">
        <w:rPr>
          <w:rFonts w:cs="Times New Roman"/>
          <w:szCs w:val="24"/>
        </w:rPr>
        <w:t xml:space="preserve">includes costs for </w:t>
      </w:r>
      <w:r w:rsidRPr="001D7812" w:rsidR="006A3ECD">
        <w:rPr>
          <w:rFonts w:cs="Times New Roman"/>
          <w:szCs w:val="24"/>
        </w:rPr>
        <w:t xml:space="preserve">equipment </w:t>
      </w:r>
      <w:r w:rsidRPr="001D7812" w:rsidR="00BF6208">
        <w:rPr>
          <w:rFonts w:cs="Times New Roman"/>
          <w:szCs w:val="24"/>
        </w:rPr>
        <w:t>with</w:t>
      </w:r>
      <w:r w:rsidRPr="001D7812" w:rsidR="006A3ECD">
        <w:rPr>
          <w:rFonts w:cs="Times New Roman"/>
          <w:szCs w:val="24"/>
        </w:rPr>
        <w:t xml:space="preserve"> a useful life </w:t>
      </w:r>
      <w:r w:rsidRPr="001D7812" w:rsidR="00BF6208">
        <w:rPr>
          <w:rFonts w:cs="Times New Roman"/>
          <w:szCs w:val="24"/>
        </w:rPr>
        <w:t>of</w:t>
      </w:r>
      <w:r w:rsidRPr="001D7812" w:rsidR="006A3ECD">
        <w:rPr>
          <w:rFonts w:cs="Times New Roman"/>
          <w:szCs w:val="24"/>
        </w:rPr>
        <w:t xml:space="preserve"> 20 years</w:t>
      </w:r>
      <w:r w:rsidRPr="001D7812" w:rsidR="004D282D">
        <w:rPr>
          <w:rFonts w:cs="Times New Roman"/>
          <w:szCs w:val="24"/>
        </w:rPr>
        <w:t>.</w:t>
      </w:r>
      <w:r>
        <w:rPr>
          <w:rStyle w:val="FootnoteReference"/>
          <w:rFonts w:cs="Times New Roman"/>
          <w:szCs w:val="24"/>
        </w:rPr>
        <w:footnoteReference w:id="81"/>
      </w:r>
      <w:r w:rsidRPr="001D7812" w:rsidR="006A3ECD">
        <w:rPr>
          <w:rFonts w:cs="Times New Roman"/>
          <w:szCs w:val="24"/>
        </w:rPr>
        <w:t xml:space="preserve"> </w:t>
      </w:r>
      <w:r w:rsidRPr="001D7812" w:rsidR="004D282D">
        <w:rPr>
          <w:rFonts w:cs="Times New Roman"/>
          <w:szCs w:val="24"/>
        </w:rPr>
        <w:t xml:space="preserve">Per Mr. McMillen, </w:t>
      </w:r>
      <w:r w:rsidRPr="001D7812" w:rsidR="00B4430D">
        <w:rPr>
          <w:rFonts w:cs="Times New Roman"/>
          <w:szCs w:val="24"/>
        </w:rPr>
        <w:t>FirstEnergy will</w:t>
      </w:r>
      <w:r w:rsidRPr="001D7812" w:rsidR="00D8025F">
        <w:rPr>
          <w:rFonts w:cs="Times New Roman"/>
          <w:szCs w:val="24"/>
        </w:rPr>
        <w:t xml:space="preserve"> continue </w:t>
      </w:r>
      <w:r w:rsidRPr="001D7812" w:rsidR="009758D7">
        <w:rPr>
          <w:rFonts w:cs="Times New Roman"/>
          <w:szCs w:val="24"/>
        </w:rPr>
        <w:t>using</w:t>
      </w:r>
      <w:r w:rsidRPr="001D7812">
        <w:rPr>
          <w:rFonts w:cs="Times New Roman"/>
          <w:szCs w:val="24"/>
        </w:rPr>
        <w:t xml:space="preserve"> the</w:t>
      </w:r>
      <w:r w:rsidRPr="001D7812" w:rsidR="00D8025F">
        <w:rPr>
          <w:rFonts w:cs="Times New Roman"/>
          <w:szCs w:val="24"/>
        </w:rPr>
        <w:t xml:space="preserve"> </w:t>
      </w:r>
      <w:r w:rsidRPr="001D7812">
        <w:rPr>
          <w:rFonts w:cs="Times New Roman"/>
          <w:szCs w:val="24"/>
        </w:rPr>
        <w:t xml:space="preserve">10.38 percent </w:t>
      </w:r>
      <w:r w:rsidRPr="001D7812" w:rsidR="00D8025F">
        <w:rPr>
          <w:rFonts w:cs="Times New Roman"/>
          <w:szCs w:val="24"/>
        </w:rPr>
        <w:t>ROE</w:t>
      </w:r>
      <w:r w:rsidRPr="001D7812" w:rsidR="00B4430D">
        <w:rPr>
          <w:rFonts w:cs="Times New Roman"/>
          <w:szCs w:val="24"/>
        </w:rPr>
        <w:t xml:space="preserve"> for Rider AMI spending</w:t>
      </w:r>
      <w:r w:rsidRPr="001D7812" w:rsidR="004D282D">
        <w:rPr>
          <w:rFonts w:cs="Times New Roman"/>
          <w:szCs w:val="24"/>
        </w:rPr>
        <w:t xml:space="preserve"> until these costs are fully collected</w:t>
      </w:r>
      <w:r w:rsidRPr="001D7812" w:rsidR="00D8025F">
        <w:rPr>
          <w:rFonts w:cs="Times New Roman"/>
          <w:szCs w:val="24"/>
        </w:rPr>
        <w:t>.</w:t>
      </w:r>
      <w:r>
        <w:rPr>
          <w:rStyle w:val="FootnoteReference"/>
          <w:rFonts w:cs="Times New Roman"/>
          <w:szCs w:val="24"/>
        </w:rPr>
        <w:footnoteReference w:id="82"/>
      </w:r>
    </w:p>
    <w:p w:rsidR="00FC753F" w:rsidRPr="001D7812" w:rsidP="000675B6" w14:paraId="76AEA806" w14:textId="2946B7B0">
      <w:pPr>
        <w:autoSpaceDE w:val="0"/>
        <w:autoSpaceDN w:val="0"/>
        <w:adjustRightInd w:val="0"/>
        <w:spacing w:line="480" w:lineRule="auto"/>
        <w:ind w:firstLine="720"/>
        <w:rPr>
          <w:rFonts w:cs="Times New Roman"/>
          <w:szCs w:val="24"/>
        </w:rPr>
      </w:pPr>
      <w:r w:rsidRPr="001D7812">
        <w:rPr>
          <w:rFonts w:cs="Times New Roman"/>
          <w:szCs w:val="24"/>
        </w:rPr>
        <w:t>As previously discussed, OCC witness</w:t>
      </w:r>
      <w:r w:rsidRPr="001D7812" w:rsidR="00646A86">
        <w:rPr>
          <w:rFonts w:cs="Times New Roman"/>
          <w:szCs w:val="24"/>
        </w:rPr>
        <w:t xml:space="preserve"> Buckley concluded that an appropriate </w:t>
      </w:r>
      <w:r w:rsidRPr="001D7812" w:rsidR="004D282D">
        <w:rPr>
          <w:rFonts w:cs="Times New Roman"/>
          <w:szCs w:val="24"/>
        </w:rPr>
        <w:t>ROE</w:t>
      </w:r>
      <w:r w:rsidRPr="001D7812" w:rsidR="00646A86">
        <w:rPr>
          <w:rFonts w:cs="Times New Roman"/>
          <w:szCs w:val="24"/>
        </w:rPr>
        <w:t xml:space="preserve"> for FirstEnergy would be 9.22 percent, based on the average rate of return for distribution-only electric utilities for the last six months.</w:t>
      </w:r>
      <w:r>
        <w:rPr>
          <w:rFonts w:cs="Times New Roman"/>
          <w:szCs w:val="24"/>
          <w:vertAlign w:val="superscript"/>
        </w:rPr>
        <w:footnoteReference w:id="83"/>
      </w:r>
      <w:r w:rsidRPr="001D7812" w:rsidR="00CE2F18">
        <w:rPr>
          <w:rFonts w:cs="Times New Roman"/>
          <w:szCs w:val="24"/>
        </w:rPr>
        <w:t xml:space="preserve"> </w:t>
      </w:r>
      <w:r w:rsidRPr="001D7812" w:rsidR="00646A86">
        <w:rPr>
          <w:rFonts w:cs="Times New Roman"/>
          <w:szCs w:val="24"/>
        </w:rPr>
        <w:t>He also testified that FirstEnergy did not have a much higher or lower risk profile as compared to the average overall risk profile of the distribution-only electric utilities in this comparison group.</w:t>
      </w:r>
      <w:r>
        <w:rPr>
          <w:rFonts w:cs="Times New Roman"/>
          <w:szCs w:val="24"/>
          <w:vertAlign w:val="superscript"/>
        </w:rPr>
        <w:footnoteReference w:id="84"/>
      </w:r>
      <w:r w:rsidRPr="001D7812" w:rsidR="000675B6">
        <w:rPr>
          <w:rFonts w:cs="Times New Roman"/>
          <w:szCs w:val="24"/>
        </w:rPr>
        <w:t xml:space="preserve"> Thus, </w:t>
      </w:r>
      <w:r w:rsidRPr="001D7812">
        <w:rPr>
          <w:rFonts w:cs="Times New Roman"/>
          <w:szCs w:val="24"/>
        </w:rPr>
        <w:t>the ROE in FirstEnergy</w:t>
      </w:r>
      <w:r w:rsidR="009F1383">
        <w:rPr>
          <w:rFonts w:cs="Times New Roman"/>
          <w:szCs w:val="24"/>
        </w:rPr>
        <w:t>’</w:t>
      </w:r>
      <w:r w:rsidRPr="001D7812">
        <w:rPr>
          <w:rFonts w:cs="Times New Roman"/>
          <w:szCs w:val="24"/>
        </w:rPr>
        <w:t>s electric security plan is unjust and unreasonable because it requires consumers to pay higher rates than ne</w:t>
      </w:r>
      <w:r w:rsidRPr="001D7812" w:rsidR="00CA1103">
        <w:rPr>
          <w:rFonts w:cs="Times New Roman"/>
          <w:szCs w:val="24"/>
        </w:rPr>
        <w:t>cessary. The PUCO should treat Rider AMI in a manner that is consistent with</w:t>
      </w:r>
      <w:r w:rsidRPr="001D7812" w:rsidR="00EA2CBB">
        <w:rPr>
          <w:rFonts w:cs="Times New Roman"/>
          <w:szCs w:val="24"/>
        </w:rPr>
        <w:t xml:space="preserve"> FirstEnergy</w:t>
      </w:r>
      <w:r w:rsidR="009F1383">
        <w:rPr>
          <w:rFonts w:cs="Times New Roman"/>
          <w:szCs w:val="24"/>
        </w:rPr>
        <w:t>’</w:t>
      </w:r>
      <w:r w:rsidRPr="001D7812" w:rsidR="00EA2CBB">
        <w:rPr>
          <w:rFonts w:cs="Times New Roman"/>
          <w:szCs w:val="24"/>
        </w:rPr>
        <w:t>s</w:t>
      </w:r>
      <w:r w:rsidRPr="001D7812" w:rsidR="00CA1103">
        <w:rPr>
          <w:rFonts w:cs="Times New Roman"/>
          <w:szCs w:val="24"/>
        </w:rPr>
        <w:t xml:space="preserve"> Rider</w:t>
      </w:r>
      <w:r w:rsidRPr="001D7812" w:rsidR="00EA2CBB">
        <w:rPr>
          <w:rFonts w:cs="Times New Roman"/>
          <w:szCs w:val="24"/>
        </w:rPr>
        <w:t xml:space="preserve"> DCR, where the ROE will be adjusted</w:t>
      </w:r>
      <w:r w:rsidRPr="001D7812" w:rsidR="00CA1103">
        <w:rPr>
          <w:rFonts w:cs="Times New Roman"/>
          <w:szCs w:val="24"/>
        </w:rPr>
        <w:t xml:space="preserve"> </w:t>
      </w:r>
      <w:r w:rsidRPr="001D7812" w:rsidR="00EA2CBB">
        <w:rPr>
          <w:rFonts w:cs="Times New Roman"/>
          <w:szCs w:val="24"/>
        </w:rPr>
        <w:t>to reflect the ROE to be decided in the 2024 rate case.</w:t>
      </w:r>
      <w:r w:rsidRPr="001D7812" w:rsidR="00CE2F18">
        <w:rPr>
          <w:rFonts w:cs="Times New Roman"/>
          <w:szCs w:val="24"/>
        </w:rPr>
        <w:t xml:space="preserve"> </w:t>
      </w:r>
      <w:r w:rsidRPr="001D7812" w:rsidR="00EA2CBB">
        <w:rPr>
          <w:rFonts w:cs="Times New Roman"/>
          <w:szCs w:val="24"/>
        </w:rPr>
        <w:t xml:space="preserve">Furthermore, the PUCO should not reward FirstEnergy by allowing it to earn </w:t>
      </w:r>
      <w:r w:rsidRPr="001D7812" w:rsidR="004D282D">
        <w:rPr>
          <w:rFonts w:cs="Times New Roman"/>
          <w:szCs w:val="24"/>
        </w:rPr>
        <w:t>an ROE for Rider AMI spending which is higher than the ROE for FirstEnergy</w:t>
      </w:r>
      <w:r w:rsidR="009F1383">
        <w:rPr>
          <w:rFonts w:cs="Times New Roman"/>
          <w:szCs w:val="24"/>
        </w:rPr>
        <w:t>’</w:t>
      </w:r>
      <w:r w:rsidRPr="001D7812" w:rsidR="004D282D">
        <w:rPr>
          <w:rFonts w:cs="Times New Roman"/>
          <w:szCs w:val="24"/>
        </w:rPr>
        <w:t>s all other distribution spending.</w:t>
      </w:r>
    </w:p>
    <w:p w:rsidR="006A0F36" w:rsidRPr="001D7812" w:rsidP="003B0576" w14:paraId="67C627CE" w14:textId="26217DAE">
      <w:pPr>
        <w:spacing w:line="480" w:lineRule="auto"/>
        <w:ind w:firstLine="720"/>
        <w:rPr>
          <w:rFonts w:cs="Times New Roman"/>
          <w:szCs w:val="24"/>
        </w:rPr>
      </w:pPr>
      <w:r w:rsidRPr="001D7812">
        <w:rPr>
          <w:rFonts w:cs="Times New Roman"/>
          <w:szCs w:val="24"/>
        </w:rPr>
        <w:t>FirstEnergy</w:t>
      </w:r>
      <w:r w:rsidR="009F1383">
        <w:rPr>
          <w:rFonts w:cs="Times New Roman"/>
          <w:szCs w:val="24"/>
        </w:rPr>
        <w:t>’</w:t>
      </w:r>
      <w:r w:rsidRPr="001D7812">
        <w:rPr>
          <w:rFonts w:cs="Times New Roman"/>
          <w:szCs w:val="24"/>
        </w:rPr>
        <w:t xml:space="preserve">s proposal to continue using the current Rider AMI ROE after the 2024 rate case is decided </w:t>
      </w:r>
      <w:r w:rsidRPr="001D7812" w:rsidR="00FC4A53">
        <w:rPr>
          <w:rFonts w:cs="Times New Roman"/>
          <w:szCs w:val="24"/>
        </w:rPr>
        <w:t xml:space="preserve">is inconsistent </w:t>
      </w:r>
      <w:r w:rsidRPr="001D7812" w:rsidR="004D282D">
        <w:rPr>
          <w:rFonts w:cs="Times New Roman"/>
          <w:szCs w:val="24"/>
        </w:rPr>
        <w:t>with FirstEnergy</w:t>
      </w:r>
      <w:r w:rsidR="009F1383">
        <w:rPr>
          <w:rFonts w:cs="Times New Roman"/>
          <w:szCs w:val="24"/>
        </w:rPr>
        <w:t>’</w:t>
      </w:r>
      <w:r w:rsidRPr="001D7812" w:rsidR="004D282D">
        <w:rPr>
          <w:rFonts w:cs="Times New Roman"/>
          <w:szCs w:val="24"/>
        </w:rPr>
        <w:t>s proposal on the ROE for Rider DCR, as noted above.</w:t>
      </w:r>
      <w:r w:rsidRPr="001D7812" w:rsidR="00CE2F18">
        <w:rPr>
          <w:rFonts w:cs="Times New Roman"/>
          <w:szCs w:val="24"/>
        </w:rPr>
        <w:t xml:space="preserve"> </w:t>
      </w:r>
      <w:r w:rsidRPr="001D7812" w:rsidR="004D282D">
        <w:rPr>
          <w:rFonts w:cs="Times New Roman"/>
          <w:szCs w:val="24"/>
        </w:rPr>
        <w:t xml:space="preserve">It is also inconsistent </w:t>
      </w:r>
      <w:r w:rsidRPr="001D7812" w:rsidR="00FC4A53">
        <w:rPr>
          <w:rFonts w:cs="Times New Roman"/>
          <w:szCs w:val="24"/>
        </w:rPr>
        <w:t xml:space="preserve">with </w:t>
      </w:r>
      <w:r w:rsidRPr="001D7812">
        <w:rPr>
          <w:rFonts w:cs="Times New Roman"/>
          <w:szCs w:val="24"/>
        </w:rPr>
        <w:t>PUCO rulings involving</w:t>
      </w:r>
      <w:r w:rsidRPr="001D7812" w:rsidR="00FC4A53">
        <w:rPr>
          <w:rFonts w:cs="Times New Roman"/>
          <w:szCs w:val="24"/>
        </w:rPr>
        <w:t xml:space="preserve"> other utilities</w:t>
      </w:r>
      <w:r w:rsidRPr="001D7812" w:rsidR="004C6325">
        <w:rPr>
          <w:rFonts w:cs="Times New Roman"/>
          <w:szCs w:val="24"/>
        </w:rPr>
        <w:t>.</w:t>
      </w:r>
      <w:r>
        <w:rPr>
          <w:rStyle w:val="FootnoteReference"/>
          <w:rFonts w:cs="Times New Roman"/>
          <w:szCs w:val="24"/>
        </w:rPr>
        <w:footnoteReference w:id="85"/>
      </w:r>
      <w:r w:rsidRPr="001D7812" w:rsidR="00465042">
        <w:rPr>
          <w:rFonts w:cs="Times New Roman"/>
          <w:szCs w:val="24"/>
        </w:rPr>
        <w:t xml:space="preserve"> </w:t>
      </w:r>
      <w:r w:rsidRPr="001D7812">
        <w:rPr>
          <w:rFonts w:cs="Times New Roman"/>
          <w:szCs w:val="24"/>
        </w:rPr>
        <w:t>For example, the</w:t>
      </w:r>
      <w:r w:rsidRPr="001D7812" w:rsidR="00064E6A">
        <w:rPr>
          <w:rFonts w:cs="Times New Roman"/>
          <w:szCs w:val="24"/>
        </w:rPr>
        <w:t xml:space="preserve"> PUCO required </w:t>
      </w:r>
      <w:r w:rsidRPr="001D7812" w:rsidR="000870DA">
        <w:rPr>
          <w:rFonts w:cs="Times New Roman"/>
          <w:szCs w:val="24"/>
        </w:rPr>
        <w:t>Dayton Power and Light</w:t>
      </w:r>
      <w:r w:rsidRPr="001D7812" w:rsidR="00064E6A">
        <w:rPr>
          <w:rFonts w:cs="Times New Roman"/>
          <w:szCs w:val="24"/>
        </w:rPr>
        <w:t xml:space="preserve"> to file a new rate case (and establish a new ROE) for its</w:t>
      </w:r>
      <w:r w:rsidRPr="001D7812" w:rsidR="000870DA">
        <w:rPr>
          <w:rFonts w:cs="Times New Roman"/>
          <w:szCs w:val="24"/>
        </w:rPr>
        <w:t xml:space="preserve"> </w:t>
      </w:r>
      <w:r w:rsidRPr="001D7812" w:rsidR="00420D25">
        <w:rPr>
          <w:rFonts w:cs="Times New Roman"/>
          <w:szCs w:val="24"/>
        </w:rPr>
        <w:t>Distribution Investment</w:t>
      </w:r>
      <w:r w:rsidRPr="001D7812">
        <w:rPr>
          <w:rFonts w:cs="Times New Roman"/>
          <w:szCs w:val="24"/>
        </w:rPr>
        <w:t>.</w:t>
      </w:r>
      <w:r>
        <w:rPr>
          <w:rStyle w:val="FootnoteReference"/>
          <w:rFonts w:cs="Times New Roman"/>
          <w:szCs w:val="24"/>
        </w:rPr>
        <w:footnoteReference w:id="86"/>
      </w:r>
      <w:r w:rsidRPr="001D7812" w:rsidR="00420D25">
        <w:rPr>
          <w:rFonts w:cs="Times New Roman"/>
          <w:szCs w:val="24"/>
        </w:rPr>
        <w:t xml:space="preserve"> </w:t>
      </w:r>
      <w:r w:rsidRPr="001D7812">
        <w:rPr>
          <w:rFonts w:cs="Times New Roman"/>
          <w:szCs w:val="24"/>
        </w:rPr>
        <w:t>Likewise,</w:t>
      </w:r>
      <w:r w:rsidRPr="001D7812" w:rsidR="004C6325">
        <w:rPr>
          <w:rFonts w:cs="Times New Roman"/>
          <w:szCs w:val="24"/>
        </w:rPr>
        <w:t xml:space="preserve"> </w:t>
      </w:r>
      <w:r w:rsidRPr="001D7812" w:rsidR="00064E6A">
        <w:rPr>
          <w:rFonts w:cs="Times New Roman"/>
          <w:szCs w:val="24"/>
        </w:rPr>
        <w:t>the PUCO established a similar requirement for Duke Energy</w:t>
      </w:r>
      <w:r w:rsidR="009F1383">
        <w:rPr>
          <w:rFonts w:cs="Times New Roman"/>
          <w:szCs w:val="24"/>
        </w:rPr>
        <w:t>’</w:t>
      </w:r>
      <w:r w:rsidRPr="001D7812" w:rsidR="00064E6A">
        <w:rPr>
          <w:rFonts w:cs="Times New Roman"/>
          <w:szCs w:val="24"/>
        </w:rPr>
        <w:t xml:space="preserve">s </w:t>
      </w:r>
      <w:r w:rsidRPr="001D7812" w:rsidR="00F05926">
        <w:rPr>
          <w:rFonts w:cs="Times New Roman"/>
          <w:szCs w:val="24"/>
        </w:rPr>
        <w:t>Distribution Capital Investment Rider</w:t>
      </w:r>
      <w:r w:rsidRPr="001D7812" w:rsidR="00420D25">
        <w:rPr>
          <w:rFonts w:cs="Times New Roman"/>
          <w:szCs w:val="24"/>
        </w:rPr>
        <w:t>.</w:t>
      </w:r>
      <w:r>
        <w:rPr>
          <w:rStyle w:val="FootnoteReference"/>
          <w:rFonts w:cs="Times New Roman"/>
          <w:szCs w:val="24"/>
        </w:rPr>
        <w:footnoteReference w:id="87"/>
      </w:r>
      <w:r w:rsidRPr="001D7812" w:rsidR="00420D25">
        <w:rPr>
          <w:rFonts w:cs="Times New Roman"/>
          <w:szCs w:val="24"/>
        </w:rPr>
        <w:t xml:space="preserve"> </w:t>
      </w:r>
      <w:r w:rsidRPr="001D7812" w:rsidR="007E55AB">
        <w:rPr>
          <w:rFonts w:cs="Times New Roman"/>
          <w:szCs w:val="24"/>
        </w:rPr>
        <w:t>Finally, continuing the current Rider AMI beyond the date of the 2024 rate case would violate the precept that the ROE must reflect current conditions.</w:t>
      </w:r>
      <w:r>
        <w:rPr>
          <w:rStyle w:val="FootnoteReference"/>
          <w:rFonts w:cs="Times New Roman"/>
          <w:szCs w:val="24"/>
        </w:rPr>
        <w:footnoteReference w:id="88"/>
      </w:r>
      <w:r w:rsidRPr="001D7812" w:rsidR="00052D06">
        <w:rPr>
          <w:rFonts w:cs="Times New Roman"/>
          <w:szCs w:val="24"/>
        </w:rPr>
        <w:t xml:space="preserve"> </w:t>
      </w:r>
      <w:r w:rsidRPr="001D7812" w:rsidR="001B48D4">
        <w:rPr>
          <w:rFonts w:cs="Times New Roman"/>
          <w:szCs w:val="24"/>
        </w:rPr>
        <w:t>Th</w:t>
      </w:r>
      <w:r w:rsidRPr="001D7812" w:rsidR="00064E6A">
        <w:rPr>
          <w:rFonts w:cs="Times New Roman"/>
          <w:szCs w:val="24"/>
        </w:rPr>
        <w:t>e PUCO should therefore reject FirstEnergy</w:t>
      </w:r>
      <w:r w:rsidR="009F1383">
        <w:rPr>
          <w:rFonts w:cs="Times New Roman"/>
          <w:szCs w:val="24"/>
        </w:rPr>
        <w:t>’</w:t>
      </w:r>
      <w:r w:rsidRPr="001D7812" w:rsidR="00064E6A">
        <w:rPr>
          <w:rFonts w:cs="Times New Roman"/>
          <w:szCs w:val="24"/>
        </w:rPr>
        <w:t>s proposal to continue the existing 10.38% ROE for Rider AMI spending</w:t>
      </w:r>
      <w:r w:rsidRPr="001D7812" w:rsidR="006E1020">
        <w:rPr>
          <w:rFonts w:cs="Times New Roman"/>
          <w:szCs w:val="24"/>
        </w:rPr>
        <w:t xml:space="preserve"> after the 2024 rate case is decided.</w:t>
      </w:r>
      <w:r w:rsidRPr="001D7812" w:rsidR="00CE2F18">
        <w:rPr>
          <w:rFonts w:cs="Times New Roman"/>
          <w:szCs w:val="24"/>
        </w:rPr>
        <w:t xml:space="preserve"> </w:t>
      </w:r>
    </w:p>
    <w:p w:rsidR="00D31187" w:rsidRPr="001D7812" w:rsidP="001746A6" w14:paraId="0ED18EF7" w14:textId="2CC335F2">
      <w:pPr>
        <w:pStyle w:val="Heading2"/>
      </w:pPr>
      <w:bookmarkStart w:id="13" w:name="_Toc156567926"/>
      <w:r w:rsidRPr="001D7812">
        <w:t>G.</w:t>
      </w:r>
      <w:r w:rsidRPr="001D7812">
        <w:tab/>
      </w:r>
      <w:r w:rsidRPr="001D7812" w:rsidR="00C33536">
        <w:t>FirstEnergy</w:t>
      </w:r>
      <w:r w:rsidR="009F1383">
        <w:t>’</w:t>
      </w:r>
      <w:r w:rsidRPr="001D7812" w:rsidR="00C33536">
        <w:t xml:space="preserve">s </w:t>
      </w:r>
      <w:r w:rsidRPr="001D7812" w:rsidR="00986596">
        <w:t>proposal to increase</w:t>
      </w:r>
      <w:r w:rsidRPr="001D7812" w:rsidR="004504E9">
        <w:t xml:space="preserve"> D</w:t>
      </w:r>
      <w:r w:rsidRPr="001D7812" w:rsidR="00EE0EA4">
        <w:t>elivery</w:t>
      </w:r>
      <w:r w:rsidRPr="001D7812" w:rsidR="004504E9">
        <w:t xml:space="preserve"> Capital Recovery</w:t>
      </w:r>
      <w:r w:rsidRPr="001D7812" w:rsidR="00986596">
        <w:t xml:space="preserve"> Rider </w:t>
      </w:r>
      <w:r w:rsidRPr="001D7812" w:rsidR="00EE0EA4">
        <w:t>(</w:t>
      </w:r>
      <w:r w:rsidR="009F1383">
        <w:t>“</w:t>
      </w:r>
      <w:r w:rsidRPr="001D7812" w:rsidR="008C6EE7">
        <w:t xml:space="preserve">Rider </w:t>
      </w:r>
      <w:r w:rsidRPr="001D7812" w:rsidR="00986596">
        <w:t>DCR</w:t>
      </w:r>
      <w:r w:rsidR="009F1383">
        <w:t>”</w:t>
      </w:r>
      <w:r w:rsidRPr="001D7812" w:rsidR="00EE0EA4">
        <w:t>)</w:t>
      </w:r>
      <w:r w:rsidRPr="001D7812" w:rsidR="00986596">
        <w:t xml:space="preserve"> spending by </w:t>
      </w:r>
      <w:r w:rsidRPr="001D7812" w:rsidR="0091102E">
        <w:t xml:space="preserve">$21 </w:t>
      </w:r>
      <w:r w:rsidRPr="001D7812" w:rsidR="00986596">
        <w:t xml:space="preserve">million annually is unjust and unreasonable because the additional </w:t>
      </w:r>
      <w:r w:rsidRPr="001D7812" w:rsidR="00BC04F5">
        <w:t>spending is</w:t>
      </w:r>
      <w:r w:rsidRPr="001D7812" w:rsidR="0091102E">
        <w:t xml:space="preserve"> </w:t>
      </w:r>
      <w:r w:rsidRPr="001D7812">
        <w:t>excessive</w:t>
      </w:r>
      <w:r w:rsidRPr="001D7812" w:rsidR="00BC04F5">
        <w:t xml:space="preserve">, </w:t>
      </w:r>
      <w:r w:rsidRPr="001D7812" w:rsidR="00986596">
        <w:t>the annual increases are tied to achieving reliability scores which FirstEnergy is already required to meet under the PUCO</w:t>
      </w:r>
      <w:r w:rsidR="009F1383">
        <w:t>’</w:t>
      </w:r>
      <w:r w:rsidRPr="001D7812" w:rsidR="00986596">
        <w:t>s rules</w:t>
      </w:r>
      <w:r w:rsidRPr="001D7812">
        <w:t xml:space="preserve"> and </w:t>
      </w:r>
      <w:r w:rsidRPr="001D7812" w:rsidR="004D282D">
        <w:t xml:space="preserve">because </w:t>
      </w:r>
      <w:r w:rsidRPr="001D7812" w:rsidR="0091102E">
        <w:t>FirstEnergy</w:t>
      </w:r>
      <w:r w:rsidRPr="001D7812" w:rsidR="00D410BC">
        <w:t xml:space="preserve"> </w:t>
      </w:r>
      <w:r w:rsidRPr="001D7812" w:rsidR="00986596">
        <w:t xml:space="preserve">failed to prove that any </w:t>
      </w:r>
      <w:r w:rsidRPr="001D7812" w:rsidR="00BC04F5">
        <w:t>improved reliability performance</w:t>
      </w:r>
      <w:r w:rsidRPr="001D7812" w:rsidR="00986596">
        <w:t xml:space="preserve"> would be attributable to Rider DCR spending.</w:t>
      </w:r>
      <w:bookmarkEnd w:id="13"/>
    </w:p>
    <w:p w:rsidR="00D31187" w:rsidRPr="001D7812" w:rsidP="00D31187" w14:paraId="1BAB8247" w14:textId="1B4BCA92">
      <w:pPr>
        <w:spacing w:line="480" w:lineRule="auto"/>
        <w:ind w:firstLine="720"/>
        <w:rPr>
          <w:rFonts w:cs="Times New Roman"/>
          <w:szCs w:val="24"/>
        </w:rPr>
      </w:pPr>
      <w:r w:rsidRPr="001D7812">
        <w:rPr>
          <w:rFonts w:cs="Times New Roman"/>
          <w:szCs w:val="24"/>
        </w:rPr>
        <w:t>FirstEnergy</w:t>
      </w:r>
      <w:r w:rsidR="009F1383">
        <w:rPr>
          <w:rFonts w:cs="Times New Roman"/>
          <w:szCs w:val="24"/>
        </w:rPr>
        <w:t>’</w:t>
      </w:r>
      <w:r w:rsidRPr="001D7812">
        <w:rPr>
          <w:rFonts w:cs="Times New Roman"/>
          <w:szCs w:val="24"/>
        </w:rPr>
        <w:t xml:space="preserve">s electric security plan is unjust and unreasonable because the annual </w:t>
      </w:r>
      <w:r w:rsidRPr="001D7812" w:rsidR="00D410BC">
        <w:rPr>
          <w:rFonts w:cs="Times New Roman"/>
          <w:szCs w:val="24"/>
        </w:rPr>
        <w:t xml:space="preserve">$21 million in </w:t>
      </w:r>
      <w:r w:rsidRPr="001D7812">
        <w:rPr>
          <w:rFonts w:cs="Times New Roman"/>
          <w:szCs w:val="24"/>
        </w:rPr>
        <w:t xml:space="preserve">Rider DCR revenue increases </w:t>
      </w:r>
      <w:r w:rsidRPr="001D7812" w:rsidR="00700AE9">
        <w:rPr>
          <w:rFonts w:cs="Times New Roman"/>
          <w:szCs w:val="24"/>
        </w:rPr>
        <w:t xml:space="preserve">to consumers </w:t>
      </w:r>
      <w:r w:rsidRPr="001D7812">
        <w:rPr>
          <w:rFonts w:cs="Times New Roman"/>
          <w:szCs w:val="24"/>
        </w:rPr>
        <w:t>are too high.</w:t>
      </w:r>
      <w:r w:rsidRPr="001D7812" w:rsidR="00CE2F18">
        <w:rPr>
          <w:rFonts w:cs="Times New Roman"/>
          <w:szCs w:val="24"/>
        </w:rPr>
        <w:t xml:space="preserve"> </w:t>
      </w:r>
      <w:r w:rsidRPr="001D7812">
        <w:rPr>
          <w:rFonts w:cs="Times New Roman"/>
          <w:szCs w:val="24"/>
        </w:rPr>
        <w:t xml:space="preserve">Moreover, it is unjust and unreasonable to link the </w:t>
      </w:r>
      <w:r w:rsidRPr="001D7812" w:rsidR="00BC04F5">
        <w:rPr>
          <w:rFonts w:cs="Times New Roman"/>
          <w:szCs w:val="24"/>
        </w:rPr>
        <w:t xml:space="preserve">amounts of the </w:t>
      </w:r>
      <w:r w:rsidRPr="001D7812">
        <w:rPr>
          <w:rFonts w:cs="Times New Roman"/>
          <w:szCs w:val="24"/>
        </w:rPr>
        <w:t xml:space="preserve">annual revenue increases to enhanced reliability </w:t>
      </w:r>
      <w:r w:rsidRPr="001D7812" w:rsidR="00BC04F5">
        <w:rPr>
          <w:rFonts w:cs="Times New Roman"/>
          <w:szCs w:val="24"/>
        </w:rPr>
        <w:t>performance</w:t>
      </w:r>
      <w:r w:rsidRPr="001D7812">
        <w:rPr>
          <w:rFonts w:cs="Times New Roman"/>
          <w:szCs w:val="24"/>
        </w:rPr>
        <w:t xml:space="preserve"> because FirstEnergy cannot prove that any reliability improvements stem from increased Rider DCR spending.</w:t>
      </w:r>
      <w:r w:rsidRPr="001D7812" w:rsidR="00CE2F18">
        <w:rPr>
          <w:rFonts w:cs="Times New Roman"/>
          <w:szCs w:val="24"/>
        </w:rPr>
        <w:t xml:space="preserve"> </w:t>
      </w:r>
      <w:r w:rsidRPr="001D7812" w:rsidR="00986596">
        <w:rPr>
          <w:rFonts w:cs="Times New Roman"/>
          <w:szCs w:val="24"/>
        </w:rPr>
        <w:t>The proposal is also unjust and unreasonable because the annual increases are tied to meeting the reliability metrics which FirstEnergy is already required to meet under the PUCO</w:t>
      </w:r>
      <w:r w:rsidR="009F1383">
        <w:rPr>
          <w:rFonts w:cs="Times New Roman"/>
          <w:szCs w:val="24"/>
        </w:rPr>
        <w:t>’</w:t>
      </w:r>
      <w:r w:rsidRPr="001D7812" w:rsidR="00986596">
        <w:rPr>
          <w:rFonts w:cs="Times New Roman"/>
          <w:szCs w:val="24"/>
        </w:rPr>
        <w:t>s rules.</w:t>
      </w:r>
      <w:r>
        <w:rPr>
          <w:rStyle w:val="FootnoteReference"/>
          <w:rFonts w:cs="Times New Roman"/>
          <w:szCs w:val="24"/>
        </w:rPr>
        <w:footnoteReference w:id="89"/>
      </w:r>
      <w:r w:rsidRPr="001D7812" w:rsidR="00CE2F18">
        <w:rPr>
          <w:rFonts w:cs="Times New Roman"/>
          <w:szCs w:val="24"/>
        </w:rPr>
        <w:t xml:space="preserve"> </w:t>
      </w:r>
    </w:p>
    <w:p w:rsidR="00603CD2" w:rsidRPr="001D7812" w:rsidP="00603CD2" w14:paraId="1099638C" w14:textId="67FF90D4">
      <w:pPr>
        <w:spacing w:line="480" w:lineRule="auto"/>
        <w:ind w:firstLine="720"/>
        <w:rPr>
          <w:rFonts w:cs="Times New Roman"/>
          <w:szCs w:val="24"/>
        </w:rPr>
      </w:pPr>
      <w:r w:rsidRPr="001D7812">
        <w:rPr>
          <w:rFonts w:cs="Times New Roman"/>
          <w:szCs w:val="24"/>
        </w:rPr>
        <w:t>The PUCO originally approved Rider DCR in FirstEnergy</w:t>
      </w:r>
      <w:r w:rsidR="009F1383">
        <w:rPr>
          <w:rFonts w:cs="Times New Roman"/>
          <w:szCs w:val="24"/>
        </w:rPr>
        <w:t>’</w:t>
      </w:r>
      <w:r w:rsidRPr="001D7812">
        <w:rPr>
          <w:rFonts w:cs="Times New Roman"/>
          <w:szCs w:val="24"/>
        </w:rPr>
        <w:t>s ESP II.</w:t>
      </w:r>
      <w:r>
        <w:rPr>
          <w:rStyle w:val="FootnoteReference"/>
          <w:rFonts w:cs="Times New Roman"/>
          <w:szCs w:val="24"/>
        </w:rPr>
        <w:footnoteReference w:id="90"/>
      </w:r>
      <w:r w:rsidRPr="001D7812" w:rsidR="00CE2F18">
        <w:rPr>
          <w:rFonts w:cs="Times New Roman"/>
          <w:szCs w:val="24"/>
        </w:rPr>
        <w:t xml:space="preserve"> </w:t>
      </w:r>
      <w:r w:rsidRPr="001D7812">
        <w:rPr>
          <w:rFonts w:cs="Times New Roman"/>
          <w:szCs w:val="24"/>
        </w:rPr>
        <w:t>When initially approved, Rider DCR provided for $15 million annual revenue increases.</w:t>
      </w:r>
      <w:r>
        <w:rPr>
          <w:rStyle w:val="FootnoteReference"/>
          <w:rFonts w:cs="Times New Roman"/>
          <w:szCs w:val="24"/>
        </w:rPr>
        <w:footnoteReference w:id="91"/>
      </w:r>
      <w:r w:rsidRPr="001D7812" w:rsidR="00CE2F18">
        <w:rPr>
          <w:rFonts w:cs="Times New Roman"/>
          <w:szCs w:val="24"/>
        </w:rPr>
        <w:t xml:space="preserve"> </w:t>
      </w:r>
      <w:r w:rsidRPr="001D7812">
        <w:rPr>
          <w:rFonts w:cs="Times New Roman"/>
          <w:szCs w:val="24"/>
        </w:rPr>
        <w:t>The PUCO re-approved Rider DCR in FirstEnergy</w:t>
      </w:r>
      <w:r w:rsidR="009F1383">
        <w:rPr>
          <w:rFonts w:cs="Times New Roman"/>
          <w:szCs w:val="24"/>
        </w:rPr>
        <w:t>’</w:t>
      </w:r>
      <w:r w:rsidRPr="001D7812">
        <w:rPr>
          <w:rFonts w:cs="Times New Roman"/>
          <w:szCs w:val="24"/>
        </w:rPr>
        <w:t>s ESP III.</w:t>
      </w:r>
      <w:r>
        <w:rPr>
          <w:rStyle w:val="FootnoteReference"/>
          <w:rFonts w:cs="Times New Roman"/>
          <w:szCs w:val="24"/>
        </w:rPr>
        <w:footnoteReference w:id="92"/>
      </w:r>
      <w:r w:rsidRPr="001D7812" w:rsidR="00CE2F18">
        <w:rPr>
          <w:rFonts w:cs="Times New Roman"/>
          <w:szCs w:val="24"/>
        </w:rPr>
        <w:t xml:space="preserve"> </w:t>
      </w:r>
      <w:r w:rsidRPr="001D7812">
        <w:rPr>
          <w:rFonts w:cs="Times New Roman"/>
          <w:szCs w:val="24"/>
        </w:rPr>
        <w:t>When re-approved in ESP III, Rider DCR provided for $15 million annual revenue increases.</w:t>
      </w:r>
      <w:r>
        <w:rPr>
          <w:rStyle w:val="FootnoteReference"/>
          <w:rFonts w:cs="Times New Roman"/>
          <w:szCs w:val="24"/>
        </w:rPr>
        <w:footnoteReference w:id="93"/>
      </w:r>
      <w:r w:rsidRPr="001D7812" w:rsidR="00CE2F18">
        <w:rPr>
          <w:rFonts w:cs="Times New Roman"/>
          <w:szCs w:val="24"/>
        </w:rPr>
        <w:t xml:space="preserve"> </w:t>
      </w:r>
      <w:r w:rsidRPr="001D7812">
        <w:rPr>
          <w:rFonts w:cs="Times New Roman"/>
          <w:szCs w:val="24"/>
        </w:rPr>
        <w:t xml:space="preserve">The PUCO </w:t>
      </w:r>
      <w:r w:rsidRPr="001D7812" w:rsidR="00804757">
        <w:rPr>
          <w:rFonts w:cs="Times New Roman"/>
          <w:szCs w:val="24"/>
        </w:rPr>
        <w:t xml:space="preserve">again </w:t>
      </w:r>
      <w:r w:rsidRPr="001D7812">
        <w:rPr>
          <w:rFonts w:cs="Times New Roman"/>
          <w:szCs w:val="24"/>
        </w:rPr>
        <w:t>re-approved Rider DCR in FirstEnergy</w:t>
      </w:r>
      <w:r w:rsidR="009F1383">
        <w:rPr>
          <w:rFonts w:cs="Times New Roman"/>
          <w:szCs w:val="24"/>
        </w:rPr>
        <w:t>’</w:t>
      </w:r>
      <w:r w:rsidRPr="001D7812">
        <w:rPr>
          <w:rFonts w:cs="Times New Roman"/>
          <w:szCs w:val="24"/>
        </w:rPr>
        <w:t>s ESP I</w:t>
      </w:r>
      <w:r w:rsidRPr="001D7812" w:rsidR="00804757">
        <w:rPr>
          <w:rFonts w:cs="Times New Roman"/>
          <w:szCs w:val="24"/>
        </w:rPr>
        <w:t>V</w:t>
      </w:r>
      <w:r w:rsidRPr="001D7812">
        <w:rPr>
          <w:rFonts w:cs="Times New Roman"/>
          <w:szCs w:val="24"/>
        </w:rPr>
        <w:t>.</w:t>
      </w:r>
      <w:r>
        <w:rPr>
          <w:rStyle w:val="FootnoteReference"/>
          <w:rFonts w:cs="Times New Roman"/>
          <w:szCs w:val="24"/>
        </w:rPr>
        <w:footnoteReference w:id="94"/>
      </w:r>
      <w:r w:rsidRPr="001D7812" w:rsidR="00CE2F18">
        <w:rPr>
          <w:rFonts w:cs="Times New Roman"/>
          <w:szCs w:val="24"/>
        </w:rPr>
        <w:t xml:space="preserve"> </w:t>
      </w:r>
      <w:r w:rsidRPr="001D7812">
        <w:rPr>
          <w:rFonts w:cs="Times New Roman"/>
          <w:szCs w:val="24"/>
        </w:rPr>
        <w:t xml:space="preserve">The PUCO </w:t>
      </w:r>
      <w:r w:rsidRPr="001D7812" w:rsidR="00804757">
        <w:rPr>
          <w:rFonts w:cs="Times New Roman"/>
          <w:szCs w:val="24"/>
        </w:rPr>
        <w:t xml:space="preserve">approved higher </w:t>
      </w:r>
      <w:r w:rsidRPr="001D7812">
        <w:rPr>
          <w:rFonts w:cs="Times New Roman"/>
          <w:szCs w:val="24"/>
        </w:rPr>
        <w:t>Rider DCR</w:t>
      </w:r>
      <w:r w:rsidRPr="001D7812" w:rsidR="00804757">
        <w:rPr>
          <w:rFonts w:cs="Times New Roman"/>
          <w:szCs w:val="24"/>
        </w:rPr>
        <w:t xml:space="preserve"> annual increases</w:t>
      </w:r>
      <w:r w:rsidRPr="001D7812">
        <w:rPr>
          <w:rFonts w:cs="Times New Roman"/>
          <w:szCs w:val="24"/>
        </w:rPr>
        <w:t xml:space="preserve"> in </w:t>
      </w:r>
      <w:r w:rsidRPr="001D7812" w:rsidR="00804757">
        <w:rPr>
          <w:rFonts w:cs="Times New Roman"/>
          <w:szCs w:val="24"/>
        </w:rPr>
        <w:t>the init</w:t>
      </w:r>
      <w:r w:rsidRPr="001D7812" w:rsidR="00986596">
        <w:rPr>
          <w:rFonts w:cs="Times New Roman"/>
          <w:szCs w:val="24"/>
        </w:rPr>
        <w:t>i</w:t>
      </w:r>
      <w:r w:rsidRPr="001D7812" w:rsidR="00804757">
        <w:rPr>
          <w:rFonts w:cs="Times New Roman"/>
          <w:szCs w:val="24"/>
        </w:rPr>
        <w:t xml:space="preserve">al years of </w:t>
      </w:r>
      <w:r w:rsidRPr="001D7812">
        <w:rPr>
          <w:rFonts w:cs="Times New Roman"/>
          <w:szCs w:val="24"/>
        </w:rPr>
        <w:t>FirstEnergy</w:t>
      </w:r>
      <w:r w:rsidR="009F1383">
        <w:rPr>
          <w:rFonts w:cs="Times New Roman"/>
          <w:szCs w:val="24"/>
        </w:rPr>
        <w:t>’</w:t>
      </w:r>
      <w:r w:rsidRPr="001D7812">
        <w:rPr>
          <w:rFonts w:cs="Times New Roman"/>
          <w:szCs w:val="24"/>
        </w:rPr>
        <w:t xml:space="preserve">s ESP IV, </w:t>
      </w:r>
      <w:r w:rsidRPr="001D7812" w:rsidR="00804757">
        <w:rPr>
          <w:rFonts w:cs="Times New Roman"/>
          <w:szCs w:val="24"/>
        </w:rPr>
        <w:t xml:space="preserve">but then the annual increases settled back to the </w:t>
      </w:r>
      <w:r w:rsidRPr="001D7812">
        <w:rPr>
          <w:rFonts w:cs="Times New Roman"/>
          <w:szCs w:val="24"/>
        </w:rPr>
        <w:t>$15 million annual revenue increase</w:t>
      </w:r>
      <w:r w:rsidRPr="001D7812" w:rsidR="00804757">
        <w:rPr>
          <w:rFonts w:cs="Times New Roman"/>
          <w:szCs w:val="24"/>
        </w:rPr>
        <w:t xml:space="preserve"> level</w:t>
      </w:r>
      <w:r w:rsidRPr="001D7812">
        <w:rPr>
          <w:rFonts w:cs="Times New Roman"/>
          <w:szCs w:val="24"/>
        </w:rPr>
        <w:t>.</w:t>
      </w:r>
      <w:r>
        <w:rPr>
          <w:rStyle w:val="FootnoteReference"/>
          <w:rFonts w:cs="Times New Roman"/>
          <w:szCs w:val="24"/>
        </w:rPr>
        <w:footnoteReference w:id="95"/>
      </w:r>
      <w:r w:rsidRPr="001D7812" w:rsidR="00CE2F18">
        <w:rPr>
          <w:rFonts w:cs="Times New Roman"/>
          <w:szCs w:val="24"/>
        </w:rPr>
        <w:t xml:space="preserve"> </w:t>
      </w:r>
    </w:p>
    <w:p w:rsidR="00C8067F" w:rsidRPr="001D7812" w:rsidP="00C8067F" w14:paraId="0EBEF57B" w14:textId="7599122B">
      <w:pPr>
        <w:spacing w:line="480" w:lineRule="auto"/>
        <w:ind w:firstLine="720"/>
        <w:rPr>
          <w:rFonts w:cs="Times New Roman"/>
          <w:szCs w:val="24"/>
        </w:rPr>
      </w:pPr>
      <w:r w:rsidRPr="001D7812">
        <w:rPr>
          <w:rFonts w:cs="Times New Roman"/>
          <w:szCs w:val="24"/>
        </w:rPr>
        <w:t xml:space="preserve">FirstEnergy failed to prove why $21 million in annual increases </w:t>
      </w:r>
      <w:r w:rsidRPr="001D7812" w:rsidR="003D735C">
        <w:rPr>
          <w:rFonts w:cs="Times New Roman"/>
          <w:szCs w:val="24"/>
        </w:rPr>
        <w:t xml:space="preserve">are </w:t>
      </w:r>
      <w:r w:rsidRPr="001D7812">
        <w:rPr>
          <w:rFonts w:cs="Times New Roman"/>
          <w:szCs w:val="24"/>
        </w:rPr>
        <w:t>needed, when the PUCO has traditionally allowed $15 million in annual increases.</w:t>
      </w:r>
      <w:r w:rsidRPr="001D7812" w:rsidR="00CE2F18">
        <w:rPr>
          <w:rFonts w:cs="Times New Roman"/>
          <w:szCs w:val="24"/>
        </w:rPr>
        <w:t xml:space="preserve"> </w:t>
      </w:r>
      <w:r w:rsidRPr="001D7812" w:rsidR="00D62AC1">
        <w:rPr>
          <w:rFonts w:cs="Times New Roman"/>
          <w:szCs w:val="24"/>
        </w:rPr>
        <w:t>FirstEnergy</w:t>
      </w:r>
      <w:r w:rsidR="009F1383">
        <w:rPr>
          <w:rFonts w:cs="Times New Roman"/>
          <w:szCs w:val="24"/>
        </w:rPr>
        <w:t>’</w:t>
      </w:r>
      <w:r w:rsidRPr="001D7812" w:rsidR="00D62AC1">
        <w:rPr>
          <w:rFonts w:cs="Times New Roman"/>
          <w:szCs w:val="24"/>
        </w:rPr>
        <w:t>s proposed higher annual increases</w:t>
      </w:r>
      <w:r w:rsidRPr="001D7812">
        <w:rPr>
          <w:rFonts w:cs="Times New Roman"/>
          <w:szCs w:val="24"/>
        </w:rPr>
        <w:t xml:space="preserve"> contradict regulatory principles and state policy supporting the availability to consumers of adequate, reliable, safe, efficient, and reasonably priced retail electric service.</w:t>
      </w:r>
      <w:r>
        <w:rPr>
          <w:rFonts w:cs="Times New Roman"/>
          <w:szCs w:val="24"/>
          <w:vertAlign w:val="superscript"/>
        </w:rPr>
        <w:footnoteReference w:id="96"/>
      </w:r>
      <w:r w:rsidRPr="001D7812">
        <w:rPr>
          <w:rFonts w:cs="Times New Roman"/>
          <w:szCs w:val="24"/>
        </w:rPr>
        <w:t xml:space="preserve"> If the PUCO approves any annual revenue increases for Rider DCR, the level of annual increase should be the same as what the PUCO has traditionally approved in past cases - $15 million annually.</w:t>
      </w:r>
      <w:r w:rsidRPr="001D7812" w:rsidR="00CE2F18">
        <w:rPr>
          <w:rFonts w:cs="Times New Roman"/>
          <w:szCs w:val="24"/>
        </w:rPr>
        <w:t xml:space="preserve"> </w:t>
      </w:r>
      <w:r w:rsidRPr="001D7812">
        <w:rPr>
          <w:rFonts w:cs="Times New Roman"/>
          <w:szCs w:val="24"/>
        </w:rPr>
        <w:t>It would not be appropriate to reward FirstEnergy with higher annual increases.</w:t>
      </w:r>
      <w:r w:rsidRPr="001D7812" w:rsidR="00CE2F18">
        <w:rPr>
          <w:rFonts w:cs="Times New Roman"/>
          <w:szCs w:val="24"/>
        </w:rPr>
        <w:t xml:space="preserve"> </w:t>
      </w:r>
      <w:r w:rsidRPr="001D7812">
        <w:rPr>
          <w:rFonts w:cs="Times New Roman"/>
          <w:szCs w:val="24"/>
        </w:rPr>
        <w:t xml:space="preserve">Moreover, tying higher annual increases to </w:t>
      </w:r>
      <w:r w:rsidRPr="001D7812" w:rsidR="0091102E">
        <w:rPr>
          <w:rFonts w:cs="Times New Roman"/>
          <w:szCs w:val="24"/>
        </w:rPr>
        <w:t>meeting the PUCO</w:t>
      </w:r>
      <w:r w:rsidR="009F1383">
        <w:rPr>
          <w:rFonts w:cs="Times New Roman"/>
          <w:szCs w:val="24"/>
        </w:rPr>
        <w:t>’</w:t>
      </w:r>
      <w:r w:rsidRPr="001D7812" w:rsidR="0091102E">
        <w:rPr>
          <w:rFonts w:cs="Times New Roman"/>
          <w:szCs w:val="24"/>
        </w:rPr>
        <w:t>s reliability standards makes no sense.</w:t>
      </w:r>
      <w:r w:rsidRPr="001D7812" w:rsidR="00CE2F18">
        <w:rPr>
          <w:rFonts w:cs="Times New Roman"/>
          <w:szCs w:val="24"/>
        </w:rPr>
        <w:t xml:space="preserve"> </w:t>
      </w:r>
      <w:r w:rsidRPr="001D7812" w:rsidR="0091102E">
        <w:rPr>
          <w:rFonts w:cs="Times New Roman"/>
          <w:szCs w:val="24"/>
        </w:rPr>
        <w:t>Electric distribution utilities are already required to meet certain</w:t>
      </w:r>
      <w:r w:rsidRPr="001D7812" w:rsidR="008C2AAF">
        <w:rPr>
          <w:rFonts w:cs="Times New Roman"/>
          <w:szCs w:val="24"/>
        </w:rPr>
        <w:t xml:space="preserve"> reliability targets, such as</w:t>
      </w:r>
      <w:r w:rsidRPr="001D7812" w:rsidR="002F3CF0">
        <w:rPr>
          <w:rFonts w:cs="Times New Roman"/>
          <w:szCs w:val="24"/>
        </w:rPr>
        <w:t xml:space="preserve"> the </w:t>
      </w:r>
      <w:r w:rsidRPr="001D7812" w:rsidR="002F3CF0">
        <w:rPr>
          <w:rFonts w:cs="Times New Roman"/>
          <w:color w:val="333333"/>
          <w:szCs w:val="24"/>
          <w:shd w:val="clear" w:color="auto" w:fill="FFFFFF"/>
        </w:rPr>
        <w:t>customer average interruption duration index</w:t>
      </w:r>
      <w:r w:rsidRPr="001D7812" w:rsidR="0091102E">
        <w:rPr>
          <w:rFonts w:cs="Times New Roman"/>
          <w:szCs w:val="24"/>
        </w:rPr>
        <w:t xml:space="preserve"> </w:t>
      </w:r>
      <w:r w:rsidRPr="001D7812" w:rsidR="002F3CF0">
        <w:rPr>
          <w:rFonts w:cs="Times New Roman"/>
          <w:szCs w:val="24"/>
        </w:rPr>
        <w:t>(</w:t>
      </w:r>
      <w:r w:rsidR="009F1383">
        <w:rPr>
          <w:rFonts w:cs="Times New Roman"/>
          <w:szCs w:val="24"/>
        </w:rPr>
        <w:t>“</w:t>
      </w:r>
      <w:r w:rsidRPr="001D7812" w:rsidR="0091102E">
        <w:rPr>
          <w:rFonts w:cs="Times New Roman"/>
          <w:szCs w:val="24"/>
        </w:rPr>
        <w:t>CAIDI</w:t>
      </w:r>
      <w:r w:rsidR="009F1383">
        <w:rPr>
          <w:rFonts w:cs="Times New Roman"/>
          <w:szCs w:val="24"/>
        </w:rPr>
        <w:t>”</w:t>
      </w:r>
      <w:r w:rsidRPr="001D7812" w:rsidR="002F3CF0">
        <w:rPr>
          <w:rFonts w:cs="Times New Roman"/>
          <w:szCs w:val="24"/>
        </w:rPr>
        <w:t>)</w:t>
      </w:r>
      <w:r w:rsidRPr="001D7812" w:rsidR="0091102E">
        <w:rPr>
          <w:rFonts w:cs="Times New Roman"/>
          <w:szCs w:val="24"/>
        </w:rPr>
        <w:t xml:space="preserve"> and</w:t>
      </w:r>
      <w:r w:rsidRPr="001D7812" w:rsidR="002F3CF0">
        <w:rPr>
          <w:rFonts w:cs="Times New Roman"/>
          <w:szCs w:val="24"/>
        </w:rPr>
        <w:t xml:space="preserve"> the </w:t>
      </w:r>
      <w:r w:rsidRPr="001D7812" w:rsidR="002F3CF0">
        <w:rPr>
          <w:rFonts w:cs="Times New Roman"/>
          <w:color w:val="333333"/>
          <w:szCs w:val="24"/>
          <w:shd w:val="clear" w:color="auto" w:fill="FFFFFF"/>
        </w:rPr>
        <w:t>system average interruption frequency index</w:t>
      </w:r>
      <w:r w:rsidRPr="001D7812" w:rsidR="0091102E">
        <w:rPr>
          <w:rFonts w:cs="Times New Roman"/>
          <w:szCs w:val="24"/>
        </w:rPr>
        <w:t xml:space="preserve"> </w:t>
      </w:r>
      <w:r w:rsidRPr="001D7812" w:rsidR="002F3CF0">
        <w:rPr>
          <w:rFonts w:cs="Times New Roman"/>
          <w:szCs w:val="24"/>
        </w:rPr>
        <w:t>(</w:t>
      </w:r>
      <w:r w:rsidR="009F1383">
        <w:rPr>
          <w:rFonts w:cs="Times New Roman"/>
          <w:szCs w:val="24"/>
        </w:rPr>
        <w:t>“</w:t>
      </w:r>
      <w:r w:rsidRPr="001D7812" w:rsidR="0091102E">
        <w:rPr>
          <w:rFonts w:cs="Times New Roman"/>
          <w:szCs w:val="24"/>
        </w:rPr>
        <w:t>SAIFI</w:t>
      </w:r>
      <w:r w:rsidR="009F1383">
        <w:rPr>
          <w:rFonts w:cs="Times New Roman"/>
          <w:szCs w:val="24"/>
        </w:rPr>
        <w:t>”</w:t>
      </w:r>
      <w:r w:rsidRPr="001D7812" w:rsidR="002F3CF0">
        <w:rPr>
          <w:rFonts w:cs="Times New Roman"/>
          <w:szCs w:val="24"/>
        </w:rPr>
        <w:t>)</w:t>
      </w:r>
      <w:r w:rsidRPr="001D7812" w:rsidR="0091102E">
        <w:rPr>
          <w:rFonts w:cs="Times New Roman"/>
          <w:szCs w:val="24"/>
        </w:rPr>
        <w:t>.</w:t>
      </w:r>
      <w:r>
        <w:rPr>
          <w:rStyle w:val="FootnoteReference"/>
          <w:rFonts w:cs="Times New Roman"/>
          <w:szCs w:val="24"/>
        </w:rPr>
        <w:footnoteReference w:id="97"/>
      </w:r>
      <w:r w:rsidRPr="001D7812" w:rsidR="00CE2F18">
        <w:rPr>
          <w:rFonts w:cs="Times New Roman"/>
          <w:szCs w:val="24"/>
        </w:rPr>
        <w:t xml:space="preserve"> </w:t>
      </w:r>
      <w:r w:rsidRPr="001D7812" w:rsidR="0091102E">
        <w:rPr>
          <w:rFonts w:cs="Times New Roman"/>
          <w:szCs w:val="24"/>
        </w:rPr>
        <w:t>FirstEnergy should not be rewarded for doing something which the law already requires it to do.</w:t>
      </w:r>
    </w:p>
    <w:p w:rsidR="001F7A01" w:rsidRPr="001D7812" w:rsidP="00C11974" w14:paraId="55497311" w14:textId="1AA3B228">
      <w:pPr>
        <w:pStyle w:val="Heading2"/>
      </w:pPr>
      <w:bookmarkStart w:id="14" w:name="_Toc156567927"/>
      <w:r w:rsidRPr="001D7812">
        <w:t>H.</w:t>
      </w:r>
      <w:r w:rsidRPr="001D7812">
        <w:tab/>
      </w:r>
      <w:r w:rsidRPr="001D7812" w:rsidR="0091102E">
        <w:t>FirstEnergy</w:t>
      </w:r>
      <w:r w:rsidR="009F1383">
        <w:t>’</w:t>
      </w:r>
      <w:r w:rsidRPr="001D7812" w:rsidR="0091102E">
        <w:t xml:space="preserve">s electric security plan is unjust and unreasonable </w:t>
      </w:r>
      <w:r w:rsidRPr="001D7812" w:rsidR="00D62FEC">
        <w:t xml:space="preserve">in that </w:t>
      </w:r>
      <w:r w:rsidRPr="001D7812">
        <w:t>Rider DCR purportedly contains</w:t>
      </w:r>
      <w:r w:rsidRPr="001D7812" w:rsidR="0091102E">
        <w:t xml:space="preserve"> </w:t>
      </w:r>
      <w:r w:rsidRPr="001D7812">
        <w:t xml:space="preserve">annual </w:t>
      </w:r>
      <w:r w:rsidRPr="001D7812" w:rsidR="0091102E">
        <w:t xml:space="preserve">revenue </w:t>
      </w:r>
      <w:r w:rsidR="009F1383">
        <w:t>“</w:t>
      </w:r>
      <w:r w:rsidRPr="001D7812" w:rsidR="0091102E">
        <w:t>caps</w:t>
      </w:r>
      <w:r w:rsidRPr="001D7812" w:rsidR="00F8547C">
        <w:t>,</w:t>
      </w:r>
      <w:r w:rsidR="009F1383">
        <w:t>”</w:t>
      </w:r>
      <w:r w:rsidRPr="001D7812" w:rsidR="0091102E">
        <w:t xml:space="preserve"> </w:t>
      </w:r>
      <w:r w:rsidRPr="001D7812">
        <w:t xml:space="preserve">but </w:t>
      </w:r>
      <w:r w:rsidRPr="001D7812" w:rsidR="00D62AC1">
        <w:t xml:space="preserve">the caps are ineffective in controlling Rider DCR spending because FirstEnergy </w:t>
      </w:r>
      <w:r w:rsidRPr="001D7812">
        <w:t xml:space="preserve">can collect any excess </w:t>
      </w:r>
      <w:r w:rsidRPr="001D7812" w:rsidR="00F51223">
        <w:t>revenues</w:t>
      </w:r>
      <w:r w:rsidRPr="001D7812">
        <w:t xml:space="preserve"> during the following year or </w:t>
      </w:r>
      <w:r w:rsidRPr="001D7812" w:rsidR="00D62FEC">
        <w:t>during</w:t>
      </w:r>
      <w:r w:rsidRPr="001D7812">
        <w:t xml:space="preserve"> the next rate case.</w:t>
      </w:r>
      <w:bookmarkEnd w:id="14"/>
      <w:r w:rsidRPr="001D7812" w:rsidR="00CE2F18">
        <w:t xml:space="preserve"> </w:t>
      </w:r>
    </w:p>
    <w:p w:rsidR="00285E5B" w:rsidRPr="001D7812" w:rsidP="00285E5B" w14:paraId="4D7E86A4" w14:textId="5A5CB697">
      <w:pPr>
        <w:spacing w:line="480" w:lineRule="auto"/>
        <w:ind w:firstLine="720"/>
        <w:rPr>
          <w:rFonts w:eastAsia="Calibri" w:cs="Times New Roman"/>
          <w:szCs w:val="24"/>
        </w:rPr>
      </w:pPr>
      <w:r w:rsidRPr="001D7812">
        <w:rPr>
          <w:rFonts w:cs="Times New Roman"/>
          <w:szCs w:val="24"/>
        </w:rPr>
        <w:t>FirstEnergy</w:t>
      </w:r>
      <w:r w:rsidR="009F1383">
        <w:rPr>
          <w:rFonts w:cs="Times New Roman"/>
          <w:szCs w:val="24"/>
        </w:rPr>
        <w:t>’</w:t>
      </w:r>
      <w:r w:rsidRPr="001D7812">
        <w:rPr>
          <w:rFonts w:cs="Times New Roman"/>
          <w:szCs w:val="24"/>
        </w:rPr>
        <w:t xml:space="preserve">s electric security plan is unjust and unreasonable because the revenue </w:t>
      </w:r>
      <w:r w:rsidR="009F1383">
        <w:rPr>
          <w:rFonts w:cs="Times New Roman"/>
          <w:szCs w:val="24"/>
        </w:rPr>
        <w:t>“</w:t>
      </w:r>
      <w:r w:rsidRPr="001D7812">
        <w:rPr>
          <w:rFonts w:cs="Times New Roman"/>
          <w:szCs w:val="24"/>
        </w:rPr>
        <w:t>caps</w:t>
      </w:r>
      <w:r w:rsidR="009F1383">
        <w:rPr>
          <w:rFonts w:cs="Times New Roman"/>
          <w:szCs w:val="24"/>
        </w:rPr>
        <w:t>”</w:t>
      </w:r>
      <w:r w:rsidRPr="001D7812">
        <w:rPr>
          <w:rFonts w:cs="Times New Roman"/>
          <w:szCs w:val="24"/>
        </w:rPr>
        <w:t xml:space="preserve"> for Rider DCR do not function as caps </w:t>
      </w:r>
      <w:r w:rsidRPr="001D7812" w:rsidR="00652C4D">
        <w:rPr>
          <w:rFonts w:cs="Times New Roman"/>
          <w:szCs w:val="24"/>
        </w:rPr>
        <w:t>on the amount consumers must pay.</w:t>
      </w:r>
      <w:r w:rsidRPr="001D7812" w:rsidR="00CE2F18">
        <w:rPr>
          <w:rFonts w:cs="Times New Roman"/>
          <w:szCs w:val="24"/>
        </w:rPr>
        <w:t xml:space="preserve"> </w:t>
      </w:r>
      <w:r w:rsidRPr="001D7812">
        <w:rPr>
          <w:rFonts w:cs="Times New Roman"/>
          <w:szCs w:val="24"/>
        </w:rPr>
        <w:t xml:space="preserve">FirstEnergy is </w:t>
      </w:r>
      <w:r w:rsidRPr="001D7812" w:rsidR="00F51223">
        <w:rPr>
          <w:rFonts w:cs="Times New Roman"/>
          <w:szCs w:val="24"/>
        </w:rPr>
        <w:t>permitted</w:t>
      </w:r>
      <w:r w:rsidRPr="001D7812">
        <w:rPr>
          <w:rFonts w:cs="Times New Roman"/>
          <w:szCs w:val="24"/>
        </w:rPr>
        <w:t xml:space="preserve"> to carryover any excess Rider DCR spending</w:t>
      </w:r>
      <w:r w:rsidRPr="001D7812" w:rsidR="008C653A">
        <w:rPr>
          <w:rFonts w:cs="Times New Roman"/>
          <w:szCs w:val="24"/>
        </w:rPr>
        <w:t xml:space="preserve"> and collect the excess revenue</w:t>
      </w:r>
      <w:r w:rsidRPr="001D7812">
        <w:rPr>
          <w:rFonts w:cs="Times New Roman"/>
          <w:szCs w:val="24"/>
        </w:rPr>
        <w:t xml:space="preserve"> in the following year or the next rate case.</w:t>
      </w:r>
      <w:r w:rsidRPr="001D7812" w:rsidR="00CE2F18">
        <w:rPr>
          <w:rFonts w:cs="Times New Roman"/>
          <w:szCs w:val="24"/>
        </w:rPr>
        <w:t xml:space="preserve"> </w:t>
      </w:r>
      <w:r w:rsidRPr="001D7812">
        <w:rPr>
          <w:rFonts w:cs="Times New Roman"/>
          <w:szCs w:val="24"/>
        </w:rPr>
        <w:t xml:space="preserve">The PUCO approved this </w:t>
      </w:r>
      <w:r w:rsidR="009F1383">
        <w:rPr>
          <w:rFonts w:cs="Times New Roman"/>
          <w:szCs w:val="24"/>
        </w:rPr>
        <w:t>“</w:t>
      </w:r>
      <w:r w:rsidRPr="001D7812">
        <w:rPr>
          <w:rFonts w:cs="Times New Roman"/>
          <w:szCs w:val="24"/>
        </w:rPr>
        <w:t>revenue carryover</w:t>
      </w:r>
      <w:r w:rsidR="009F1383">
        <w:rPr>
          <w:rFonts w:cs="Times New Roman"/>
          <w:szCs w:val="24"/>
        </w:rPr>
        <w:t>”</w:t>
      </w:r>
      <w:r w:rsidRPr="001D7812">
        <w:rPr>
          <w:rFonts w:cs="Times New Roman"/>
          <w:szCs w:val="24"/>
        </w:rPr>
        <w:t xml:space="preserve"> provision for the Rider DCR revenue caps when FirstEnergy</w:t>
      </w:r>
      <w:r w:rsidR="009F1383">
        <w:rPr>
          <w:rFonts w:cs="Times New Roman"/>
          <w:szCs w:val="24"/>
        </w:rPr>
        <w:t>’</w:t>
      </w:r>
      <w:r w:rsidRPr="001D7812">
        <w:rPr>
          <w:rFonts w:cs="Times New Roman"/>
          <w:szCs w:val="24"/>
        </w:rPr>
        <w:t>s Rider DCR was originally approved in ESP II.</w:t>
      </w:r>
      <w:r>
        <w:rPr>
          <w:rStyle w:val="FootnoteReference"/>
          <w:rFonts w:cs="Times New Roman"/>
          <w:szCs w:val="24"/>
        </w:rPr>
        <w:footnoteReference w:id="98"/>
      </w:r>
      <w:r w:rsidRPr="001D7812" w:rsidR="00CE2F18">
        <w:rPr>
          <w:rFonts w:cs="Times New Roman"/>
          <w:szCs w:val="24"/>
        </w:rPr>
        <w:t xml:space="preserve"> </w:t>
      </w:r>
      <w:r w:rsidRPr="001D7812">
        <w:rPr>
          <w:rFonts w:eastAsia="Calibri" w:cs="Times New Roman"/>
          <w:szCs w:val="24"/>
        </w:rPr>
        <w:t xml:space="preserve">OCC Witness Meyer testified that the revenue cap is intended to mitigate the impact of rising costs in a single year so allowing this </w:t>
      </w:r>
      <w:r w:rsidR="009F1383">
        <w:rPr>
          <w:rFonts w:eastAsia="Calibri" w:cs="Times New Roman"/>
          <w:szCs w:val="24"/>
        </w:rPr>
        <w:t>“</w:t>
      </w:r>
      <w:r w:rsidRPr="001D7812">
        <w:rPr>
          <w:rFonts w:eastAsia="Calibri" w:cs="Times New Roman"/>
          <w:szCs w:val="24"/>
        </w:rPr>
        <w:t>revenue carryover</w:t>
      </w:r>
      <w:r w:rsidR="009F1383">
        <w:rPr>
          <w:rFonts w:eastAsia="Calibri" w:cs="Times New Roman"/>
          <w:szCs w:val="24"/>
        </w:rPr>
        <w:t>”</w:t>
      </w:r>
      <w:r w:rsidRPr="001D7812">
        <w:rPr>
          <w:rFonts w:eastAsia="Calibri" w:cs="Times New Roman"/>
          <w:szCs w:val="24"/>
        </w:rPr>
        <w:t xml:space="preserve"> would harm consumers by eliminating FirstEnergy</w:t>
      </w:r>
      <w:r w:rsidR="009F1383">
        <w:rPr>
          <w:rFonts w:eastAsia="Calibri" w:cs="Times New Roman"/>
          <w:szCs w:val="24"/>
        </w:rPr>
        <w:t>’</w:t>
      </w:r>
      <w:r w:rsidRPr="001D7812">
        <w:rPr>
          <w:rFonts w:eastAsia="Calibri" w:cs="Times New Roman"/>
          <w:szCs w:val="24"/>
        </w:rPr>
        <w:t>s incentive to control costs.</w:t>
      </w:r>
      <w:r>
        <w:rPr>
          <w:rFonts w:eastAsia="Calibri" w:cs="Times New Roman"/>
          <w:szCs w:val="24"/>
          <w:vertAlign w:val="superscript"/>
        </w:rPr>
        <w:footnoteReference w:id="99"/>
      </w:r>
    </w:p>
    <w:p w:rsidR="00F51223" w:rsidRPr="001D7812" w:rsidP="001F7A01" w14:paraId="0A0D08DB" w14:textId="54C93E2C">
      <w:pPr>
        <w:spacing w:line="480" w:lineRule="auto"/>
        <w:ind w:firstLine="720"/>
        <w:rPr>
          <w:rFonts w:cs="Times New Roman"/>
          <w:szCs w:val="24"/>
        </w:rPr>
      </w:pPr>
      <w:r w:rsidRPr="001D7812">
        <w:rPr>
          <w:rFonts w:cs="Times New Roman"/>
          <w:szCs w:val="24"/>
        </w:rPr>
        <w:t xml:space="preserve">The Rider DCR revenue </w:t>
      </w:r>
      <w:r w:rsidR="009F1383">
        <w:rPr>
          <w:rFonts w:cs="Times New Roman"/>
          <w:szCs w:val="24"/>
        </w:rPr>
        <w:t>“</w:t>
      </w:r>
      <w:r w:rsidRPr="001D7812">
        <w:rPr>
          <w:rFonts w:cs="Times New Roman"/>
          <w:szCs w:val="24"/>
        </w:rPr>
        <w:t>caps</w:t>
      </w:r>
      <w:r w:rsidR="009F1383">
        <w:rPr>
          <w:rFonts w:cs="Times New Roman"/>
          <w:szCs w:val="24"/>
        </w:rPr>
        <w:t>”</w:t>
      </w:r>
      <w:r w:rsidRPr="001D7812">
        <w:rPr>
          <w:rFonts w:cs="Times New Roman"/>
          <w:szCs w:val="24"/>
        </w:rPr>
        <w:t xml:space="preserve"> do not protect consumers because the caps do not limit FirstEnergy</w:t>
      </w:r>
      <w:r w:rsidR="009F1383">
        <w:rPr>
          <w:rFonts w:cs="Times New Roman"/>
          <w:szCs w:val="24"/>
        </w:rPr>
        <w:t>’</w:t>
      </w:r>
      <w:r w:rsidRPr="001D7812">
        <w:rPr>
          <w:rFonts w:cs="Times New Roman"/>
          <w:szCs w:val="24"/>
        </w:rPr>
        <w:t>s spending.</w:t>
      </w:r>
      <w:r w:rsidRPr="001D7812" w:rsidR="00CE2F18">
        <w:rPr>
          <w:rFonts w:cs="Times New Roman"/>
          <w:szCs w:val="24"/>
        </w:rPr>
        <w:t xml:space="preserve"> </w:t>
      </w:r>
      <w:r w:rsidRPr="001D7812">
        <w:rPr>
          <w:rFonts w:cs="Times New Roman"/>
          <w:szCs w:val="24"/>
        </w:rPr>
        <w:t>If FirstEnergy spends in excess of the caps</w:t>
      </w:r>
      <w:r w:rsidR="009F1383">
        <w:rPr>
          <w:rFonts w:cs="Times New Roman"/>
          <w:szCs w:val="24"/>
        </w:rPr>
        <w:t>’</w:t>
      </w:r>
      <w:r w:rsidRPr="001D7812">
        <w:rPr>
          <w:rFonts w:cs="Times New Roman"/>
          <w:szCs w:val="24"/>
        </w:rPr>
        <w:t xml:space="preserve"> revenue limits, then FirstEnergy is entitled to carryover the excess into the following year or the next rate case.</w:t>
      </w:r>
      <w:r w:rsidRPr="001D7812" w:rsidR="00CE2F18">
        <w:rPr>
          <w:rFonts w:cs="Times New Roman"/>
          <w:szCs w:val="24"/>
        </w:rPr>
        <w:t xml:space="preserve"> </w:t>
      </w:r>
      <w:r w:rsidRPr="001D7812">
        <w:rPr>
          <w:rFonts w:cs="Times New Roman"/>
          <w:szCs w:val="24"/>
        </w:rPr>
        <w:t xml:space="preserve">The PUCO has taken a more rigorous approach to revenue caps in recent years and now requires that the revenue caps must function as hard caps such that excess </w:t>
      </w:r>
      <w:r w:rsidRPr="001D7812" w:rsidR="008C653A">
        <w:rPr>
          <w:rFonts w:cs="Times New Roman"/>
          <w:szCs w:val="24"/>
        </w:rPr>
        <w:t>revenues</w:t>
      </w:r>
      <w:r w:rsidRPr="001D7812">
        <w:rPr>
          <w:rFonts w:cs="Times New Roman"/>
          <w:szCs w:val="24"/>
        </w:rPr>
        <w:t xml:space="preserve"> do not carry-</w:t>
      </w:r>
      <w:r w:rsidRPr="001D7812" w:rsidR="008C653A">
        <w:rPr>
          <w:rFonts w:cs="Times New Roman"/>
          <w:szCs w:val="24"/>
        </w:rPr>
        <w:t>over</w:t>
      </w:r>
      <w:r w:rsidRPr="001D7812">
        <w:rPr>
          <w:rFonts w:cs="Times New Roman"/>
          <w:szCs w:val="24"/>
        </w:rPr>
        <w:t xml:space="preserve"> into the following year</w:t>
      </w:r>
      <w:r w:rsidRPr="001D7812" w:rsidR="008C653A">
        <w:rPr>
          <w:rFonts w:cs="Times New Roman"/>
          <w:szCs w:val="24"/>
        </w:rPr>
        <w:t xml:space="preserve"> or the next rate case</w:t>
      </w:r>
      <w:r w:rsidRPr="001D7812">
        <w:rPr>
          <w:rFonts w:cs="Times New Roman"/>
          <w:szCs w:val="24"/>
        </w:rPr>
        <w:t>.</w:t>
      </w:r>
      <w:r>
        <w:rPr>
          <w:rStyle w:val="FootnoteReference"/>
          <w:rFonts w:cs="Times New Roman"/>
          <w:szCs w:val="24"/>
        </w:rPr>
        <w:footnoteReference w:id="100"/>
      </w:r>
      <w:r w:rsidRPr="001D7812" w:rsidR="00052D06">
        <w:rPr>
          <w:rFonts w:cs="Times New Roman"/>
          <w:szCs w:val="24"/>
        </w:rPr>
        <w:t xml:space="preserve"> </w:t>
      </w:r>
      <w:r w:rsidRPr="001D7812" w:rsidR="00652C4D">
        <w:rPr>
          <w:rFonts w:cs="Times New Roman"/>
          <w:szCs w:val="24"/>
        </w:rPr>
        <w:t>The PUCO should, consistent with its past precedent, impose hard caps for Rider DCR to protect consumers.</w:t>
      </w:r>
      <w:r w:rsidRPr="001D7812" w:rsidR="00052D06">
        <w:rPr>
          <w:rFonts w:cs="Times New Roman"/>
          <w:szCs w:val="24"/>
        </w:rPr>
        <w:t xml:space="preserve"> </w:t>
      </w:r>
    </w:p>
    <w:p w:rsidR="008C653A" w:rsidRPr="001D7812" w:rsidP="001F7A01" w14:paraId="6408482E" w14:textId="78B94650">
      <w:pPr>
        <w:spacing w:line="480" w:lineRule="auto"/>
        <w:ind w:firstLine="720"/>
        <w:rPr>
          <w:rFonts w:cs="Times New Roman"/>
          <w:szCs w:val="24"/>
        </w:rPr>
      </w:pPr>
      <w:r w:rsidRPr="001D7812">
        <w:rPr>
          <w:rFonts w:cs="Times New Roman"/>
          <w:szCs w:val="24"/>
        </w:rPr>
        <w:t>FirstEnergy</w:t>
      </w:r>
      <w:r w:rsidR="009F1383">
        <w:rPr>
          <w:rFonts w:cs="Times New Roman"/>
          <w:szCs w:val="24"/>
        </w:rPr>
        <w:t>’</w:t>
      </w:r>
      <w:r w:rsidRPr="001D7812">
        <w:rPr>
          <w:rFonts w:cs="Times New Roman"/>
          <w:szCs w:val="24"/>
        </w:rPr>
        <w:t xml:space="preserve">s electric security plan is unjust and unreasonable because, by allowing it to carry-over excess Rider DCR revenues into future periods, the total Rider DCR spending is </w:t>
      </w:r>
      <w:r w:rsidRPr="001D7812" w:rsidR="00FB1F78">
        <w:rPr>
          <w:rFonts w:cs="Times New Roman"/>
          <w:szCs w:val="24"/>
        </w:rPr>
        <w:t>unchecked,</w:t>
      </w:r>
      <w:r w:rsidRPr="001D7812">
        <w:rPr>
          <w:rFonts w:cs="Times New Roman"/>
          <w:szCs w:val="24"/>
        </w:rPr>
        <w:t xml:space="preserve"> and the purported revenue </w:t>
      </w:r>
      <w:r w:rsidR="009F1383">
        <w:rPr>
          <w:rFonts w:cs="Times New Roman"/>
          <w:szCs w:val="24"/>
        </w:rPr>
        <w:t>“</w:t>
      </w:r>
      <w:r w:rsidRPr="001D7812">
        <w:rPr>
          <w:rFonts w:cs="Times New Roman"/>
          <w:szCs w:val="24"/>
        </w:rPr>
        <w:t>caps</w:t>
      </w:r>
      <w:r w:rsidR="009F1383">
        <w:rPr>
          <w:rFonts w:cs="Times New Roman"/>
          <w:szCs w:val="24"/>
        </w:rPr>
        <w:t>”</w:t>
      </w:r>
      <w:r w:rsidRPr="001D7812">
        <w:rPr>
          <w:rFonts w:cs="Times New Roman"/>
          <w:szCs w:val="24"/>
        </w:rPr>
        <w:t xml:space="preserve"> do not limit FirstEnergy</w:t>
      </w:r>
      <w:r w:rsidR="009F1383">
        <w:rPr>
          <w:rFonts w:cs="Times New Roman"/>
          <w:szCs w:val="24"/>
        </w:rPr>
        <w:t>’</w:t>
      </w:r>
      <w:r w:rsidRPr="001D7812">
        <w:rPr>
          <w:rFonts w:cs="Times New Roman"/>
          <w:szCs w:val="24"/>
        </w:rPr>
        <w:t>s total Rider DCR spending.</w:t>
      </w:r>
    </w:p>
    <w:p w:rsidR="005408FF" w:rsidRPr="001D7812" w:rsidP="00FB1F78" w14:paraId="6F1BE199" w14:textId="74468860">
      <w:pPr>
        <w:pStyle w:val="Heading2"/>
      </w:pPr>
      <w:bookmarkStart w:id="15" w:name="_Toc156567928"/>
      <w:r w:rsidRPr="001D7812">
        <w:t>I.</w:t>
      </w:r>
      <w:r w:rsidRPr="001D7812">
        <w:tab/>
      </w:r>
      <w:r w:rsidRPr="001D7812">
        <w:t>FirstEnergy</w:t>
      </w:r>
      <w:r w:rsidR="009F1383">
        <w:t>’</w:t>
      </w:r>
      <w:r w:rsidRPr="001D7812">
        <w:t xml:space="preserve">s electric security plan is unjust and unreasonable because it allows FirstEnergy to use Rider DCR to collect </w:t>
      </w:r>
      <w:r w:rsidRPr="001D7812" w:rsidR="00D62FEC">
        <w:t>costs for</w:t>
      </w:r>
      <w:r w:rsidRPr="001D7812">
        <w:t xml:space="preserve"> </w:t>
      </w:r>
      <w:r w:rsidRPr="001D7812" w:rsidR="00D62FEC">
        <w:t xml:space="preserve">both </w:t>
      </w:r>
      <w:r w:rsidRPr="001D7812">
        <w:t xml:space="preserve">transmission-related </w:t>
      </w:r>
      <w:r w:rsidRPr="001D7812" w:rsidR="00D62FEC">
        <w:t xml:space="preserve">and distribution-related </w:t>
      </w:r>
      <w:r w:rsidRPr="001D7812">
        <w:t xml:space="preserve">FERC accounts, </w:t>
      </w:r>
      <w:r w:rsidRPr="001D7812" w:rsidR="00D62FEC">
        <w:t>even though</w:t>
      </w:r>
      <w:r w:rsidRPr="001D7812">
        <w:t xml:space="preserve"> the capital expense riders for other Ohio electric distribution utilities are limited to distribution-related FERC accounts</w:t>
      </w:r>
      <w:r w:rsidRPr="001D7812">
        <w:t>.</w:t>
      </w:r>
      <w:bookmarkEnd w:id="15"/>
    </w:p>
    <w:p w:rsidR="005408FF" w:rsidRPr="001D7812" w:rsidP="00256612" w14:paraId="1365723D" w14:textId="50B6C24B">
      <w:pPr>
        <w:spacing w:line="480" w:lineRule="auto"/>
        <w:ind w:firstLine="720"/>
        <w:rPr>
          <w:rFonts w:cs="Times New Roman"/>
          <w:szCs w:val="24"/>
        </w:rPr>
      </w:pPr>
      <w:r w:rsidRPr="001D7812">
        <w:rPr>
          <w:rFonts w:cs="Times New Roman"/>
          <w:szCs w:val="24"/>
        </w:rPr>
        <w:t>FirstEnergy</w:t>
      </w:r>
      <w:r w:rsidR="009F1383">
        <w:rPr>
          <w:rFonts w:cs="Times New Roman"/>
          <w:szCs w:val="24"/>
        </w:rPr>
        <w:t>’</w:t>
      </w:r>
      <w:r w:rsidRPr="001D7812">
        <w:rPr>
          <w:rFonts w:cs="Times New Roman"/>
          <w:szCs w:val="24"/>
        </w:rPr>
        <w:t xml:space="preserve">s electric security plan is unjust and unreasonable because Rider DCR allows </w:t>
      </w:r>
      <w:r w:rsidRPr="001D7812" w:rsidR="002811FB">
        <w:rPr>
          <w:rFonts w:cs="Times New Roman"/>
          <w:szCs w:val="24"/>
        </w:rPr>
        <w:t>FirstEnergy</w:t>
      </w:r>
      <w:r w:rsidRPr="001D7812">
        <w:rPr>
          <w:rFonts w:cs="Times New Roman"/>
          <w:szCs w:val="24"/>
        </w:rPr>
        <w:t xml:space="preserve"> to collect not only capital expenses in distribution-related FERC accounts but also </w:t>
      </w:r>
      <w:r w:rsidRPr="001D7812" w:rsidR="002F3CF0">
        <w:rPr>
          <w:rFonts w:cs="Times New Roman"/>
          <w:szCs w:val="24"/>
        </w:rPr>
        <w:t xml:space="preserve">distribution-related </w:t>
      </w:r>
      <w:r w:rsidRPr="001D7812">
        <w:rPr>
          <w:rFonts w:cs="Times New Roman"/>
          <w:szCs w:val="24"/>
        </w:rPr>
        <w:t>capital expenses in transmission-related FERC accounts.</w:t>
      </w:r>
      <w:r w:rsidRPr="001D7812" w:rsidR="00CE2F18">
        <w:rPr>
          <w:rFonts w:cs="Times New Roman"/>
          <w:szCs w:val="24"/>
        </w:rPr>
        <w:t xml:space="preserve"> </w:t>
      </w:r>
      <w:r w:rsidRPr="001D7812" w:rsidR="00256612">
        <w:rPr>
          <w:rFonts w:cs="Times New Roman"/>
          <w:szCs w:val="24"/>
        </w:rPr>
        <w:t>OCC Witness Meyer testified that a FirstEnergy subsidiary is implementing a multi-year transmission upgrade</w:t>
      </w:r>
      <w:r>
        <w:rPr>
          <w:rFonts w:cs="Times New Roman"/>
          <w:szCs w:val="24"/>
          <w:vertAlign w:val="superscript"/>
        </w:rPr>
        <w:footnoteReference w:id="101"/>
      </w:r>
      <w:r w:rsidRPr="001D7812" w:rsidR="00256612">
        <w:rPr>
          <w:rFonts w:cs="Times New Roman"/>
          <w:szCs w:val="24"/>
        </w:rPr>
        <w:t xml:space="preserve"> and Rider DCR allows the company to collect costs that support this initiative.</w:t>
      </w:r>
      <w:r>
        <w:rPr>
          <w:rFonts w:cs="Times New Roman"/>
          <w:szCs w:val="24"/>
          <w:vertAlign w:val="superscript"/>
        </w:rPr>
        <w:footnoteReference w:id="102"/>
      </w:r>
      <w:r w:rsidRPr="001D7812" w:rsidR="00256612">
        <w:rPr>
          <w:rFonts w:cs="Times New Roman"/>
          <w:szCs w:val="24"/>
        </w:rPr>
        <w:t xml:space="preserve"> </w:t>
      </w:r>
      <w:r w:rsidRPr="001D7812">
        <w:rPr>
          <w:rFonts w:cs="Times New Roman"/>
          <w:szCs w:val="24"/>
        </w:rPr>
        <w:t>This is unfair to FirstEnergy</w:t>
      </w:r>
      <w:r w:rsidR="009F1383">
        <w:rPr>
          <w:rFonts w:cs="Times New Roman"/>
          <w:szCs w:val="24"/>
        </w:rPr>
        <w:t>’</w:t>
      </w:r>
      <w:r w:rsidRPr="001D7812">
        <w:rPr>
          <w:rFonts w:cs="Times New Roman"/>
          <w:szCs w:val="24"/>
        </w:rPr>
        <w:t>s consumers because the capital expense riders for other Ohio utilities are limited to distribution-related FERC accounts.</w:t>
      </w:r>
    </w:p>
    <w:p w:rsidR="00137FF2" w:rsidRPr="001D7812" w:rsidP="00137FF2" w14:paraId="7B4B8E5F" w14:textId="7D8B4C59">
      <w:pPr>
        <w:spacing w:line="480" w:lineRule="auto"/>
        <w:ind w:firstLine="720"/>
        <w:rPr>
          <w:rFonts w:cs="Times New Roman"/>
          <w:szCs w:val="24"/>
        </w:rPr>
      </w:pPr>
      <w:r w:rsidRPr="001D7812">
        <w:rPr>
          <w:rFonts w:cs="Times New Roman"/>
          <w:szCs w:val="24"/>
        </w:rPr>
        <w:t>FirstEnergy owns American Transmission Systems, Inc., which provides transmission service for the FirstEnergy Utilities.</w:t>
      </w:r>
      <w:r w:rsidRPr="001D7812" w:rsidR="00CE2F18">
        <w:rPr>
          <w:rFonts w:cs="Times New Roman"/>
          <w:szCs w:val="24"/>
        </w:rPr>
        <w:t xml:space="preserve"> </w:t>
      </w:r>
      <w:r w:rsidRPr="001D7812" w:rsidR="00CD74AE">
        <w:rPr>
          <w:rFonts w:cs="Times New Roman"/>
          <w:szCs w:val="24"/>
        </w:rPr>
        <w:t>T</w:t>
      </w:r>
      <w:r w:rsidRPr="001D7812">
        <w:rPr>
          <w:rFonts w:cs="Times New Roman"/>
          <w:szCs w:val="24"/>
        </w:rPr>
        <w:t xml:space="preserve">he FERC Uniform System of Accounts </w:t>
      </w:r>
      <w:r w:rsidRPr="001D7812" w:rsidR="00CD74AE">
        <w:rPr>
          <w:rFonts w:cs="Times New Roman"/>
          <w:szCs w:val="24"/>
        </w:rPr>
        <w:t>classifies accounts by type of service</w:t>
      </w:r>
      <w:r w:rsidRPr="001D7812">
        <w:rPr>
          <w:rFonts w:cs="Times New Roman"/>
          <w:szCs w:val="24"/>
        </w:rPr>
        <w:t xml:space="preserve"> rendered</w:t>
      </w:r>
      <w:r w:rsidRPr="001D7812" w:rsidR="00CD74AE">
        <w:rPr>
          <w:rFonts w:cs="Times New Roman"/>
          <w:szCs w:val="24"/>
        </w:rPr>
        <w:t>.</w:t>
      </w:r>
      <w:r w:rsidRPr="001D7812" w:rsidR="00CE2F18">
        <w:rPr>
          <w:rFonts w:cs="Times New Roman"/>
          <w:szCs w:val="24"/>
        </w:rPr>
        <w:t xml:space="preserve"> </w:t>
      </w:r>
      <w:r w:rsidRPr="001D7812" w:rsidR="00CD74AE">
        <w:rPr>
          <w:rFonts w:cs="Times New Roman"/>
          <w:szCs w:val="24"/>
        </w:rPr>
        <w:t>For example, distribution-related accounts are Accounts 360-374.</w:t>
      </w:r>
      <w:r w:rsidRPr="001D7812" w:rsidR="00CE2F18">
        <w:rPr>
          <w:rFonts w:cs="Times New Roman"/>
          <w:szCs w:val="24"/>
        </w:rPr>
        <w:t xml:space="preserve"> </w:t>
      </w:r>
      <w:r w:rsidRPr="001D7812" w:rsidR="00CD74AE">
        <w:rPr>
          <w:rFonts w:cs="Times New Roman"/>
          <w:szCs w:val="24"/>
        </w:rPr>
        <w:t>Transmission-related accounts are Accounts 350-359.</w:t>
      </w:r>
      <w:r w:rsidRPr="001D7812" w:rsidR="00CE2F18">
        <w:rPr>
          <w:rFonts w:cs="Times New Roman"/>
          <w:szCs w:val="24"/>
        </w:rPr>
        <w:t xml:space="preserve"> </w:t>
      </w:r>
      <w:r w:rsidRPr="001D7812" w:rsidR="00CD74AE">
        <w:rPr>
          <w:rFonts w:cs="Times New Roman"/>
          <w:szCs w:val="24"/>
        </w:rPr>
        <w:t>In some cases, the FirstEnergy Utilities own distribution equipment, but the equipment is classified in a transmission-related account because the primary purpose of that piece of distribution equipment is to support transmission operations.</w:t>
      </w:r>
    </w:p>
    <w:p w:rsidR="00CD74AE" w:rsidRPr="001D7812" w:rsidP="00137FF2" w14:paraId="7A005408" w14:textId="4A4CAE6E">
      <w:pPr>
        <w:spacing w:line="480" w:lineRule="auto"/>
        <w:ind w:firstLine="720"/>
        <w:rPr>
          <w:rFonts w:cs="Times New Roman"/>
          <w:szCs w:val="24"/>
        </w:rPr>
      </w:pPr>
      <w:r w:rsidRPr="001D7812">
        <w:rPr>
          <w:rFonts w:cs="Times New Roman"/>
          <w:szCs w:val="24"/>
        </w:rPr>
        <w:t>FirstEnergy</w:t>
      </w:r>
      <w:r w:rsidR="009F1383">
        <w:rPr>
          <w:rFonts w:cs="Times New Roman"/>
          <w:szCs w:val="24"/>
        </w:rPr>
        <w:t>’</w:t>
      </w:r>
      <w:r w:rsidRPr="001D7812">
        <w:rPr>
          <w:rFonts w:cs="Times New Roman"/>
          <w:szCs w:val="24"/>
        </w:rPr>
        <w:t>s Rider DCR currently allows it to collect for FERC Accounts 350-359 and 360-374,</w:t>
      </w:r>
      <w:r>
        <w:rPr>
          <w:rStyle w:val="FootnoteReference"/>
          <w:rFonts w:cs="Times New Roman"/>
          <w:szCs w:val="24"/>
        </w:rPr>
        <w:footnoteReference w:id="103"/>
      </w:r>
      <w:r w:rsidRPr="001D7812">
        <w:rPr>
          <w:rFonts w:cs="Times New Roman"/>
          <w:szCs w:val="24"/>
        </w:rPr>
        <w:t xml:space="preserve"> even though the capital expense riders for </w:t>
      </w:r>
      <w:r w:rsidRPr="001D7812" w:rsidR="00417D30">
        <w:rPr>
          <w:rFonts w:cs="Times New Roman"/>
          <w:szCs w:val="24"/>
        </w:rPr>
        <w:t xml:space="preserve">other Ohio utilities are </w:t>
      </w:r>
      <w:r w:rsidRPr="001D7812">
        <w:rPr>
          <w:rFonts w:cs="Times New Roman"/>
          <w:szCs w:val="24"/>
        </w:rPr>
        <w:t>limited to FERC Accounts 360-374.</w:t>
      </w:r>
      <w:r>
        <w:rPr>
          <w:rStyle w:val="FootnoteReference"/>
          <w:rFonts w:cs="Times New Roman"/>
          <w:szCs w:val="24"/>
        </w:rPr>
        <w:footnoteReference w:id="104"/>
      </w:r>
      <w:r w:rsidRPr="001D7812" w:rsidR="00CE2F18">
        <w:rPr>
          <w:rFonts w:cs="Times New Roman"/>
          <w:szCs w:val="24"/>
        </w:rPr>
        <w:t xml:space="preserve"> </w:t>
      </w:r>
      <w:r w:rsidRPr="001D7812" w:rsidR="00BB660E">
        <w:rPr>
          <w:rFonts w:cs="Times New Roman"/>
          <w:szCs w:val="24"/>
        </w:rPr>
        <w:t>The time has come to align FirstEnergy</w:t>
      </w:r>
      <w:r w:rsidR="009F1383">
        <w:rPr>
          <w:rFonts w:cs="Times New Roman"/>
          <w:szCs w:val="24"/>
        </w:rPr>
        <w:t>’</w:t>
      </w:r>
      <w:r w:rsidRPr="001D7812" w:rsidR="00BB660E">
        <w:rPr>
          <w:rFonts w:cs="Times New Roman"/>
          <w:szCs w:val="24"/>
        </w:rPr>
        <w:t>s Rider DCR with the capital expense riders for the other Ohio electric distribution utilities.</w:t>
      </w:r>
      <w:r w:rsidRPr="001D7812" w:rsidR="00CE2F18">
        <w:rPr>
          <w:rFonts w:cs="Times New Roman"/>
          <w:szCs w:val="24"/>
        </w:rPr>
        <w:t xml:space="preserve"> </w:t>
      </w:r>
      <w:r w:rsidRPr="001D7812" w:rsidR="00BB660E">
        <w:rPr>
          <w:rFonts w:cs="Times New Roman"/>
          <w:szCs w:val="24"/>
        </w:rPr>
        <w:t>It would be unjust and unreasonable for the PUCO to continue giving FirstEnergy special treatment to allow it to collect on transmission-related FERC accounts through Rider DCR.</w:t>
      </w:r>
    </w:p>
    <w:p w:rsidR="00955ABA" w:rsidRPr="001D7812" w:rsidP="00DE25D4" w14:paraId="512396D2" w14:textId="7F8DAFED">
      <w:pPr>
        <w:pStyle w:val="Heading2"/>
      </w:pPr>
      <w:bookmarkStart w:id="16" w:name="_Toc156567929"/>
      <w:r w:rsidRPr="001D7812">
        <w:t>J.</w:t>
      </w:r>
      <w:r w:rsidRPr="001D7812">
        <w:tab/>
      </w:r>
      <w:r w:rsidRPr="001D7812">
        <w:t>FirstEnergy</w:t>
      </w:r>
      <w:r w:rsidR="009F1383">
        <w:t>’</w:t>
      </w:r>
      <w:r w:rsidRPr="001D7812">
        <w:t xml:space="preserve">s </w:t>
      </w:r>
      <w:r w:rsidRPr="001D7812" w:rsidR="001E59BD">
        <w:t xml:space="preserve">Rider DCR </w:t>
      </w:r>
      <w:r w:rsidRPr="001D7812" w:rsidR="001F0923">
        <w:t xml:space="preserve">and Rider AMI </w:t>
      </w:r>
      <w:r w:rsidRPr="001D7812" w:rsidR="001E59BD">
        <w:t>proposal</w:t>
      </w:r>
      <w:r w:rsidRPr="001D7812" w:rsidR="001F0923">
        <w:t>s</w:t>
      </w:r>
      <w:r w:rsidRPr="001D7812">
        <w:t xml:space="preserve"> </w:t>
      </w:r>
      <w:r w:rsidRPr="001D7812" w:rsidR="001F0923">
        <w:t>are</w:t>
      </w:r>
      <w:r w:rsidRPr="001D7812">
        <w:t xml:space="preserve"> unjust and unreasonable because </w:t>
      </w:r>
      <w:r w:rsidRPr="001D7812" w:rsidR="001F0923">
        <w:t>they</w:t>
      </w:r>
      <w:r w:rsidRPr="001D7812" w:rsidR="001E59BD">
        <w:t xml:space="preserve"> allow</w:t>
      </w:r>
      <w:r w:rsidRPr="001D7812" w:rsidR="00115C2B">
        <w:t xml:space="preserve"> FirstEnergy to </w:t>
      </w:r>
      <w:r w:rsidRPr="001D7812" w:rsidR="00652C4D">
        <w:t>charge consumers rates</w:t>
      </w:r>
      <w:r w:rsidRPr="001D7812" w:rsidR="001F0923">
        <w:t xml:space="preserve"> based on projected plant-in-service balances</w:t>
      </w:r>
      <w:r w:rsidRPr="001D7812" w:rsidR="001E59BD">
        <w:t>, even though a traditional base distribution rate case</w:t>
      </w:r>
      <w:r w:rsidRPr="001D7812" w:rsidR="001F0923">
        <w:t xml:space="preserve">, as well as </w:t>
      </w:r>
      <w:r w:rsidRPr="001D7812" w:rsidR="00BB43EA">
        <w:t xml:space="preserve">existing </w:t>
      </w:r>
      <w:r w:rsidRPr="001D7812" w:rsidR="001F0923">
        <w:t>distribution riders for other utility companies, calculate the revenue requirement</w:t>
      </w:r>
      <w:r w:rsidRPr="001D7812" w:rsidR="001E59BD">
        <w:t xml:space="preserve"> based on the utility</w:t>
      </w:r>
      <w:r w:rsidR="009F1383">
        <w:t>’</w:t>
      </w:r>
      <w:r w:rsidRPr="001D7812" w:rsidR="001E59BD">
        <w:t xml:space="preserve">s historic </w:t>
      </w:r>
      <w:r w:rsidRPr="001D7812" w:rsidR="001F0923">
        <w:t>plant-in-service balances.</w:t>
      </w:r>
      <w:bookmarkEnd w:id="16"/>
    </w:p>
    <w:p w:rsidR="00EF12C1" w:rsidRPr="001D7812" w:rsidP="00955ABA" w14:paraId="023197B7" w14:textId="1016F2B7">
      <w:pPr>
        <w:spacing w:line="480" w:lineRule="auto"/>
        <w:rPr>
          <w:rFonts w:cs="Times New Roman"/>
          <w:szCs w:val="24"/>
        </w:rPr>
      </w:pPr>
      <w:r w:rsidRPr="001D7812">
        <w:rPr>
          <w:rFonts w:cs="Times New Roman"/>
          <w:szCs w:val="24"/>
        </w:rPr>
        <w:tab/>
      </w:r>
      <w:r w:rsidRPr="001D7812" w:rsidR="00816FD3">
        <w:rPr>
          <w:rFonts w:cs="Times New Roman"/>
          <w:szCs w:val="24"/>
        </w:rPr>
        <w:t>FirstEnergy</w:t>
      </w:r>
      <w:r w:rsidR="009F1383">
        <w:rPr>
          <w:rFonts w:cs="Times New Roman"/>
          <w:szCs w:val="24"/>
        </w:rPr>
        <w:t>’</w:t>
      </w:r>
      <w:r w:rsidRPr="001D7812" w:rsidR="001F0923">
        <w:rPr>
          <w:rFonts w:cs="Times New Roman"/>
          <w:szCs w:val="24"/>
        </w:rPr>
        <w:t>s electric security plan will allow it to earn excess profits because the Rider DCR and Rider AMI revenue requirement calculations will be based on projected plant-in-service balances.</w:t>
      </w:r>
      <w:r w:rsidRPr="001D7812" w:rsidR="00CE2F18">
        <w:rPr>
          <w:rFonts w:cs="Times New Roman"/>
          <w:szCs w:val="24"/>
        </w:rPr>
        <w:t xml:space="preserve"> </w:t>
      </w:r>
      <w:r w:rsidRPr="001D7812" w:rsidR="001F0923">
        <w:rPr>
          <w:rFonts w:cs="Times New Roman"/>
          <w:szCs w:val="24"/>
        </w:rPr>
        <w:t xml:space="preserve">This proposal </w:t>
      </w:r>
      <w:r w:rsidRPr="001D7812" w:rsidR="00906799">
        <w:rPr>
          <w:rFonts w:cs="Times New Roman"/>
          <w:szCs w:val="24"/>
        </w:rPr>
        <w:t>is unjust and unreasonable</w:t>
      </w:r>
      <w:r w:rsidRPr="001D7812" w:rsidR="001F0923">
        <w:rPr>
          <w:rFonts w:cs="Times New Roman"/>
          <w:szCs w:val="24"/>
        </w:rPr>
        <w:t xml:space="preserve"> because in a base distribution rate case, as well as in other utility distribution riders, the revenue requirement is calculated based on historic plant-in-service balances.</w:t>
      </w:r>
    </w:p>
    <w:p w:rsidR="00D0739F" w:rsidRPr="001D7812" w:rsidP="001A01AB" w14:paraId="16E0D62B" w14:textId="650DB65A">
      <w:pPr>
        <w:spacing w:line="480" w:lineRule="auto"/>
        <w:rPr>
          <w:rFonts w:cs="Times New Roman"/>
          <w:szCs w:val="24"/>
        </w:rPr>
      </w:pPr>
      <w:r w:rsidRPr="001D7812">
        <w:rPr>
          <w:rFonts w:cs="Times New Roman"/>
          <w:szCs w:val="24"/>
        </w:rPr>
        <w:tab/>
      </w:r>
      <w:r w:rsidRPr="001D7812" w:rsidR="009F7E48">
        <w:rPr>
          <w:rFonts w:cs="Times New Roman"/>
          <w:szCs w:val="24"/>
        </w:rPr>
        <w:t>FirstEnergy</w:t>
      </w:r>
      <w:r w:rsidR="009F1383">
        <w:rPr>
          <w:rFonts w:cs="Times New Roman"/>
          <w:szCs w:val="24"/>
        </w:rPr>
        <w:t>’</w:t>
      </w:r>
      <w:r w:rsidRPr="001D7812" w:rsidR="009F7E48">
        <w:rPr>
          <w:rFonts w:cs="Times New Roman"/>
          <w:szCs w:val="24"/>
        </w:rPr>
        <w:t xml:space="preserve">s use of projected plant-in-service balances for Rider DCR and Rider AMI is problematic because, as PUCO Staff Witness Devin Mackey noted, it allows FirstEnergy to </w:t>
      </w:r>
      <w:r w:rsidR="009F1383">
        <w:rPr>
          <w:rFonts w:cs="Times New Roman"/>
          <w:szCs w:val="24"/>
        </w:rPr>
        <w:t>“</w:t>
      </w:r>
      <w:r w:rsidRPr="001D7812" w:rsidR="009F7E48">
        <w:rPr>
          <w:rFonts w:cs="Times New Roman"/>
          <w:szCs w:val="24"/>
        </w:rPr>
        <w:t>recover their capital expenditures almost immediately upon their placement in service.</w:t>
      </w:r>
      <w:r w:rsidR="009F1383">
        <w:rPr>
          <w:rFonts w:cs="Times New Roman"/>
          <w:szCs w:val="24"/>
        </w:rPr>
        <w:t>”</w:t>
      </w:r>
      <w:r>
        <w:rPr>
          <w:rStyle w:val="FootnoteReference"/>
          <w:rFonts w:cs="Times New Roman"/>
          <w:szCs w:val="24"/>
        </w:rPr>
        <w:footnoteReference w:id="105"/>
      </w:r>
      <w:r w:rsidRPr="001D7812" w:rsidR="009F7E48">
        <w:rPr>
          <w:rFonts w:cs="Times New Roman"/>
          <w:szCs w:val="24"/>
        </w:rPr>
        <w:t xml:space="preserve"> Mr. </w:t>
      </w:r>
      <w:r w:rsidRPr="001D7812">
        <w:rPr>
          <w:rFonts w:cs="Times New Roman"/>
          <w:szCs w:val="24"/>
        </w:rPr>
        <w:t xml:space="preserve">Mackey </w:t>
      </w:r>
      <w:r w:rsidRPr="001D7812" w:rsidR="001F0923">
        <w:rPr>
          <w:rFonts w:cs="Times New Roman"/>
          <w:szCs w:val="24"/>
        </w:rPr>
        <w:t>recommended</w:t>
      </w:r>
      <w:r w:rsidRPr="001D7812">
        <w:rPr>
          <w:rFonts w:cs="Times New Roman"/>
          <w:szCs w:val="24"/>
        </w:rPr>
        <w:t xml:space="preserve"> </w:t>
      </w:r>
      <w:r w:rsidRPr="001D7812" w:rsidR="00090771">
        <w:rPr>
          <w:rFonts w:cs="Times New Roman"/>
          <w:szCs w:val="24"/>
        </w:rPr>
        <w:t xml:space="preserve">against allowing FirstEnergy to </w:t>
      </w:r>
      <w:r w:rsidRPr="001D7812" w:rsidR="001F0923">
        <w:rPr>
          <w:rFonts w:cs="Times New Roman"/>
          <w:szCs w:val="24"/>
        </w:rPr>
        <w:t>collect for projected</w:t>
      </w:r>
      <w:r w:rsidRPr="001D7812" w:rsidR="00090771">
        <w:rPr>
          <w:rFonts w:cs="Times New Roman"/>
          <w:szCs w:val="24"/>
        </w:rPr>
        <w:t xml:space="preserve"> plant</w:t>
      </w:r>
      <w:r w:rsidRPr="001D7812" w:rsidR="001F0923">
        <w:rPr>
          <w:rFonts w:cs="Times New Roman"/>
          <w:szCs w:val="24"/>
        </w:rPr>
        <w:t>-in-service balances</w:t>
      </w:r>
      <w:r w:rsidRPr="001D7812" w:rsidR="00090771">
        <w:rPr>
          <w:rFonts w:cs="Times New Roman"/>
          <w:szCs w:val="24"/>
        </w:rPr>
        <w:t xml:space="preserve"> under Rider DCR </w:t>
      </w:r>
      <w:r w:rsidRPr="001D7812" w:rsidR="00645098">
        <w:rPr>
          <w:rFonts w:cs="Times New Roman"/>
          <w:szCs w:val="24"/>
        </w:rPr>
        <w:t>because</w:t>
      </w:r>
      <w:r w:rsidRPr="001D7812" w:rsidR="001F0923">
        <w:rPr>
          <w:rFonts w:cs="Times New Roman"/>
          <w:szCs w:val="24"/>
        </w:rPr>
        <w:t xml:space="preserve"> in the</w:t>
      </w:r>
      <w:r w:rsidRPr="001D7812" w:rsidR="008D5CDD">
        <w:rPr>
          <w:rFonts w:cs="Times New Roman"/>
          <w:szCs w:val="24"/>
        </w:rPr>
        <w:t xml:space="preserve"> quarterly </w:t>
      </w:r>
      <w:r w:rsidRPr="001D7812" w:rsidR="001F0923">
        <w:rPr>
          <w:rFonts w:cs="Times New Roman"/>
          <w:szCs w:val="24"/>
        </w:rPr>
        <w:t xml:space="preserve">Rider </w:t>
      </w:r>
      <w:r w:rsidRPr="001D7812" w:rsidR="008D5CDD">
        <w:rPr>
          <w:rFonts w:cs="Times New Roman"/>
          <w:szCs w:val="24"/>
        </w:rPr>
        <w:t xml:space="preserve">DCR filings </w:t>
      </w:r>
      <w:r w:rsidRPr="001D7812" w:rsidR="001F0923">
        <w:rPr>
          <w:rFonts w:cs="Times New Roman"/>
          <w:szCs w:val="24"/>
        </w:rPr>
        <w:t>from</w:t>
      </w:r>
      <w:r w:rsidRPr="001D7812" w:rsidR="008D5CDD">
        <w:rPr>
          <w:rFonts w:cs="Times New Roman"/>
          <w:szCs w:val="24"/>
        </w:rPr>
        <w:t xml:space="preserve"> October 2021 </w:t>
      </w:r>
      <w:r w:rsidRPr="001D7812" w:rsidR="001F0923">
        <w:rPr>
          <w:rFonts w:cs="Times New Roman"/>
          <w:szCs w:val="24"/>
        </w:rPr>
        <w:t>until</w:t>
      </w:r>
      <w:r w:rsidRPr="001D7812" w:rsidR="008D5CDD">
        <w:rPr>
          <w:rFonts w:cs="Times New Roman"/>
          <w:szCs w:val="24"/>
        </w:rPr>
        <w:t xml:space="preserve"> January 2023 </w:t>
      </w:r>
      <w:r w:rsidR="009F1383">
        <w:rPr>
          <w:rFonts w:cs="Times New Roman"/>
          <w:szCs w:val="24"/>
        </w:rPr>
        <w:t>“</w:t>
      </w:r>
      <w:r w:rsidRPr="001D7812" w:rsidR="00645098">
        <w:rPr>
          <w:rFonts w:cs="Times New Roman"/>
          <w:szCs w:val="24"/>
        </w:rPr>
        <w:t>the annual revenue requirement during each quarter was over-estimated by a combined $20.8 million, with all but one quarter over-estimated by at least $3 million</w:t>
      </w:r>
      <w:r w:rsidR="009F1383">
        <w:rPr>
          <w:rFonts w:cs="Times New Roman"/>
          <w:szCs w:val="24"/>
        </w:rPr>
        <w:t>”</w:t>
      </w:r>
      <w:r w:rsidRPr="001D7812" w:rsidR="003A6177">
        <w:rPr>
          <w:rFonts w:cs="Times New Roman"/>
          <w:szCs w:val="24"/>
        </w:rPr>
        <w:t xml:space="preserve"> with the following quarter</w:t>
      </w:r>
      <w:r w:rsidR="009F1383">
        <w:rPr>
          <w:rFonts w:cs="Times New Roman"/>
          <w:szCs w:val="24"/>
        </w:rPr>
        <w:t>’</w:t>
      </w:r>
      <w:r w:rsidRPr="001D7812" w:rsidR="003A6177">
        <w:rPr>
          <w:rFonts w:cs="Times New Roman"/>
          <w:szCs w:val="24"/>
        </w:rPr>
        <w:t xml:space="preserve">s error </w:t>
      </w:r>
      <w:r w:rsidRPr="001D7812" w:rsidR="00305037">
        <w:rPr>
          <w:rFonts w:cs="Times New Roman"/>
          <w:szCs w:val="24"/>
        </w:rPr>
        <w:t>being even greater at $13.3 million.</w:t>
      </w:r>
      <w:r>
        <w:rPr>
          <w:rStyle w:val="FootnoteReference"/>
          <w:rFonts w:cs="Times New Roman"/>
          <w:szCs w:val="24"/>
        </w:rPr>
        <w:footnoteReference w:id="106"/>
      </w:r>
      <w:r w:rsidRPr="001D7812" w:rsidR="00CE2F18">
        <w:rPr>
          <w:rFonts w:cs="Times New Roman"/>
          <w:szCs w:val="24"/>
        </w:rPr>
        <w:t xml:space="preserve"> </w:t>
      </w:r>
      <w:r w:rsidRPr="001D7812" w:rsidR="009F7E48">
        <w:rPr>
          <w:rFonts w:cs="Times New Roman"/>
          <w:szCs w:val="24"/>
        </w:rPr>
        <w:t>Mr. Mackey also recommended that the PUCO reject FirstEnergy</w:t>
      </w:r>
      <w:r w:rsidR="009F1383">
        <w:rPr>
          <w:rFonts w:cs="Times New Roman"/>
          <w:szCs w:val="24"/>
        </w:rPr>
        <w:t>’</w:t>
      </w:r>
      <w:r w:rsidRPr="001D7812" w:rsidR="009F7E48">
        <w:rPr>
          <w:rFonts w:cs="Times New Roman"/>
          <w:szCs w:val="24"/>
        </w:rPr>
        <w:t>s proposal to use projected plant-in-service balances in calculating the revenue requirement for Rider AMI.</w:t>
      </w:r>
      <w:r>
        <w:rPr>
          <w:rStyle w:val="FootnoteReference"/>
          <w:rFonts w:cs="Times New Roman"/>
          <w:szCs w:val="24"/>
        </w:rPr>
        <w:footnoteReference w:id="107"/>
      </w:r>
    </w:p>
    <w:p w:rsidR="0026234D" w:rsidRPr="001D7812" w:rsidP="00D0739F" w14:paraId="7370C9EA" w14:textId="788F1262">
      <w:pPr>
        <w:spacing w:line="480" w:lineRule="auto"/>
        <w:ind w:firstLine="720"/>
        <w:rPr>
          <w:rFonts w:cs="Times New Roman"/>
          <w:szCs w:val="24"/>
        </w:rPr>
      </w:pPr>
      <w:r w:rsidRPr="001D7812">
        <w:rPr>
          <w:rFonts w:cs="Times New Roman"/>
          <w:szCs w:val="24"/>
        </w:rPr>
        <w:t xml:space="preserve">Mr. Mackey </w:t>
      </w:r>
      <w:r w:rsidRPr="001D7812" w:rsidR="009F7E48">
        <w:rPr>
          <w:rFonts w:cs="Times New Roman"/>
          <w:szCs w:val="24"/>
        </w:rPr>
        <w:t>also explained how FirstEnergy</w:t>
      </w:r>
      <w:r w:rsidR="009F1383">
        <w:rPr>
          <w:rFonts w:cs="Times New Roman"/>
          <w:szCs w:val="24"/>
        </w:rPr>
        <w:t>’</w:t>
      </w:r>
      <w:r w:rsidRPr="001D7812" w:rsidR="009F7E48">
        <w:rPr>
          <w:rFonts w:cs="Times New Roman"/>
          <w:szCs w:val="24"/>
        </w:rPr>
        <w:t>s use of projected plant-in-service balances is inconsistent with PUCO precedent.</w:t>
      </w:r>
      <w:r w:rsidRPr="001D7812" w:rsidR="00CE2F18">
        <w:rPr>
          <w:rFonts w:cs="Times New Roman"/>
          <w:szCs w:val="24"/>
        </w:rPr>
        <w:t xml:space="preserve"> </w:t>
      </w:r>
      <w:r w:rsidRPr="001D7812" w:rsidR="009F7E48">
        <w:rPr>
          <w:rFonts w:cs="Times New Roman"/>
          <w:szCs w:val="24"/>
        </w:rPr>
        <w:t xml:space="preserve">He </w:t>
      </w:r>
      <w:r w:rsidRPr="001D7812">
        <w:rPr>
          <w:rFonts w:cs="Times New Roman"/>
          <w:szCs w:val="24"/>
        </w:rPr>
        <w:t>recommended that</w:t>
      </w:r>
      <w:r w:rsidRPr="001D7812" w:rsidR="009F7E48">
        <w:rPr>
          <w:rFonts w:cs="Times New Roman"/>
          <w:szCs w:val="24"/>
        </w:rPr>
        <w:t xml:space="preserve"> FirstEnergy</w:t>
      </w:r>
      <w:r w:rsidR="009F1383">
        <w:rPr>
          <w:rFonts w:cs="Times New Roman"/>
          <w:szCs w:val="24"/>
        </w:rPr>
        <w:t>’</w:t>
      </w:r>
      <w:r w:rsidRPr="001D7812" w:rsidR="009F7E48">
        <w:rPr>
          <w:rFonts w:cs="Times New Roman"/>
          <w:szCs w:val="24"/>
        </w:rPr>
        <w:t>s proposal to use</w:t>
      </w:r>
      <w:r w:rsidRPr="001D7812">
        <w:rPr>
          <w:rFonts w:cs="Times New Roman"/>
          <w:szCs w:val="24"/>
        </w:rPr>
        <w:t xml:space="preserve"> projected plant-in-service balances should be rejected in order </w:t>
      </w:r>
      <w:r w:rsidRPr="001D7812" w:rsidR="00E74B39">
        <w:rPr>
          <w:rFonts w:cs="Times New Roman"/>
          <w:szCs w:val="24"/>
        </w:rPr>
        <w:t xml:space="preserve">to </w:t>
      </w:r>
      <w:r w:rsidR="009F1383">
        <w:rPr>
          <w:rFonts w:cs="Times New Roman"/>
          <w:szCs w:val="24"/>
        </w:rPr>
        <w:t>“</w:t>
      </w:r>
      <w:r w:rsidRPr="001D7812" w:rsidR="00553E80">
        <w:rPr>
          <w:rFonts w:cs="Times New Roman"/>
          <w:szCs w:val="24"/>
        </w:rPr>
        <w:t xml:space="preserve">conform the </w:t>
      </w:r>
      <w:r w:rsidRPr="001D7812">
        <w:rPr>
          <w:rFonts w:cs="Times New Roman"/>
          <w:szCs w:val="24"/>
        </w:rPr>
        <w:t xml:space="preserve">[FirstEnergy] </w:t>
      </w:r>
      <w:r w:rsidRPr="001D7812" w:rsidR="00553E80">
        <w:rPr>
          <w:rFonts w:cs="Times New Roman"/>
          <w:szCs w:val="24"/>
        </w:rPr>
        <w:t>DCR calculation to similar distribution riders that the Commission has approved for AEP Ohio, AES Ohio, and Duke Energy Ohio, which only recover actual, not projected, plant balances in their riders.</w:t>
      </w:r>
      <w:r w:rsidR="009F1383">
        <w:rPr>
          <w:rFonts w:cs="Times New Roman"/>
          <w:szCs w:val="24"/>
        </w:rPr>
        <w:t>”</w:t>
      </w:r>
      <w:r>
        <w:rPr>
          <w:rStyle w:val="FootnoteReference"/>
          <w:rFonts w:cs="Times New Roman"/>
          <w:szCs w:val="24"/>
        </w:rPr>
        <w:footnoteReference w:id="108"/>
      </w:r>
      <w:r w:rsidRPr="001D7812" w:rsidR="00CE2F18">
        <w:rPr>
          <w:rFonts w:cs="Times New Roman"/>
          <w:szCs w:val="24"/>
        </w:rPr>
        <w:t xml:space="preserve"> </w:t>
      </w:r>
      <w:r w:rsidRPr="001D7812">
        <w:rPr>
          <w:rFonts w:cs="Times New Roman"/>
          <w:szCs w:val="24"/>
        </w:rPr>
        <w:t xml:space="preserve">Similarly, the revenue requirement in a traditional distribution base rate case </w:t>
      </w:r>
      <w:r w:rsidRPr="001D7812" w:rsidR="009F7E48">
        <w:rPr>
          <w:rFonts w:cs="Times New Roman"/>
          <w:szCs w:val="24"/>
        </w:rPr>
        <w:t>must be</w:t>
      </w:r>
      <w:r w:rsidRPr="001D7812">
        <w:rPr>
          <w:rFonts w:cs="Times New Roman"/>
          <w:szCs w:val="24"/>
        </w:rPr>
        <w:t xml:space="preserve"> calculated based on the historic plant-in-service balance which is used and useful as of the date certain.</w:t>
      </w:r>
      <w:r>
        <w:rPr>
          <w:rStyle w:val="FootnoteReference"/>
          <w:rFonts w:cs="Times New Roman"/>
          <w:szCs w:val="24"/>
        </w:rPr>
        <w:footnoteReference w:id="109"/>
      </w:r>
    </w:p>
    <w:p w:rsidR="00955ABA" w:rsidRPr="001D7812" w:rsidP="006C2468" w14:paraId="74825337" w14:textId="77367275">
      <w:pPr>
        <w:spacing w:line="480" w:lineRule="auto"/>
        <w:ind w:firstLine="720"/>
        <w:rPr>
          <w:rFonts w:cs="Times New Roman"/>
          <w:b/>
          <w:bCs/>
          <w:szCs w:val="24"/>
        </w:rPr>
      </w:pPr>
      <w:r w:rsidRPr="001D7812">
        <w:rPr>
          <w:rFonts w:cs="Times New Roman"/>
          <w:szCs w:val="24"/>
        </w:rPr>
        <w:t xml:space="preserve">OCC </w:t>
      </w:r>
      <w:r w:rsidRPr="001D7812" w:rsidR="00EA5101">
        <w:rPr>
          <w:rFonts w:cs="Times New Roman"/>
          <w:szCs w:val="24"/>
        </w:rPr>
        <w:t>supports</w:t>
      </w:r>
      <w:r w:rsidRPr="001D7812">
        <w:rPr>
          <w:rFonts w:cs="Times New Roman"/>
          <w:szCs w:val="24"/>
        </w:rPr>
        <w:t xml:space="preserve"> </w:t>
      </w:r>
      <w:r w:rsidRPr="001D7812" w:rsidR="00EA5101">
        <w:rPr>
          <w:rFonts w:cs="Times New Roman"/>
          <w:szCs w:val="24"/>
        </w:rPr>
        <w:t>Mr. Mackey</w:t>
      </w:r>
      <w:r w:rsidR="009F1383">
        <w:rPr>
          <w:rFonts w:cs="Times New Roman"/>
          <w:szCs w:val="24"/>
        </w:rPr>
        <w:t>’</w:t>
      </w:r>
      <w:r w:rsidRPr="001D7812" w:rsidR="00EA5101">
        <w:rPr>
          <w:rFonts w:cs="Times New Roman"/>
          <w:szCs w:val="24"/>
        </w:rPr>
        <w:t>s</w:t>
      </w:r>
      <w:r w:rsidRPr="001D7812">
        <w:rPr>
          <w:rFonts w:cs="Times New Roman"/>
          <w:szCs w:val="24"/>
        </w:rPr>
        <w:t xml:space="preserve"> recommendations</w:t>
      </w:r>
      <w:r w:rsidRPr="001D7812" w:rsidR="00EA5101">
        <w:rPr>
          <w:rFonts w:cs="Times New Roman"/>
          <w:szCs w:val="24"/>
        </w:rPr>
        <w:t>.</w:t>
      </w:r>
      <w:r w:rsidRPr="001D7812" w:rsidR="00CE2F18">
        <w:rPr>
          <w:rFonts w:cs="Times New Roman"/>
          <w:szCs w:val="24"/>
        </w:rPr>
        <w:t xml:space="preserve"> </w:t>
      </w:r>
      <w:r w:rsidRPr="001D7812" w:rsidR="00EA5101">
        <w:rPr>
          <w:rFonts w:cs="Times New Roman"/>
          <w:szCs w:val="24"/>
        </w:rPr>
        <w:t>FirstEnergy</w:t>
      </w:r>
      <w:r w:rsidR="009F1383">
        <w:rPr>
          <w:rFonts w:cs="Times New Roman"/>
          <w:szCs w:val="24"/>
        </w:rPr>
        <w:t>’</w:t>
      </w:r>
      <w:r w:rsidRPr="001D7812" w:rsidR="00EA5101">
        <w:rPr>
          <w:rFonts w:cs="Times New Roman"/>
          <w:szCs w:val="24"/>
        </w:rPr>
        <w:t>s proposal to use projected plant-in-service balances for Rider DCR and Rider AMI is inconsistent with PUCO precedent and is unjust and unreasonable.</w:t>
      </w:r>
      <w:r w:rsidRPr="001D7812" w:rsidR="00CE2F18">
        <w:rPr>
          <w:rFonts w:cs="Times New Roman"/>
          <w:szCs w:val="24"/>
        </w:rPr>
        <w:t xml:space="preserve"> </w:t>
      </w:r>
      <w:r w:rsidRPr="001D7812" w:rsidR="00EA5101">
        <w:rPr>
          <w:rFonts w:cs="Times New Roman"/>
          <w:szCs w:val="24"/>
        </w:rPr>
        <w:t>FirstEnergy should not be rewarded with a more favorable methodology for calculating the revenue requirement for Rider DCR and Rider AMI as compared to the methodology used for similar riders of other Ohio electric utilities.</w:t>
      </w:r>
    </w:p>
    <w:p w:rsidR="007B3D35" w:rsidRPr="001D7812" w:rsidP="000F14C6" w14:paraId="65774FBB" w14:textId="6C7E9ADD">
      <w:pPr>
        <w:pStyle w:val="Heading2"/>
      </w:pPr>
      <w:bookmarkStart w:id="17" w:name="_Toc156567930"/>
      <w:r w:rsidRPr="001D7812">
        <w:t>K.</w:t>
      </w:r>
      <w:r w:rsidRPr="001D7812">
        <w:tab/>
      </w:r>
      <w:r w:rsidRPr="001D7812">
        <w:t>FirstEnergy</w:t>
      </w:r>
      <w:r w:rsidR="009F1383">
        <w:t>’</w:t>
      </w:r>
      <w:r w:rsidRPr="001D7812">
        <w:t>s electric security plan is unjust and unreasonable because FirstEnergy</w:t>
      </w:r>
      <w:r w:rsidR="009F1383">
        <w:t>’</w:t>
      </w:r>
      <w:r w:rsidRPr="001D7812">
        <w:t>s failure to include a depreciation offset for Rider DCR forces consumers to pay higher rates as compared to a base rate case.</w:t>
      </w:r>
      <w:bookmarkEnd w:id="17"/>
    </w:p>
    <w:p w:rsidR="00744352" w:rsidRPr="001D7812" w:rsidP="00F5588A" w14:paraId="61C6CED1" w14:textId="4A6ECB41">
      <w:pPr>
        <w:spacing w:line="480" w:lineRule="auto"/>
        <w:ind w:firstLine="720"/>
        <w:rPr>
          <w:rFonts w:cs="Times New Roman"/>
          <w:szCs w:val="24"/>
        </w:rPr>
      </w:pPr>
      <w:r w:rsidRPr="001D7812">
        <w:rPr>
          <w:rFonts w:cs="Times New Roman"/>
          <w:szCs w:val="24"/>
        </w:rPr>
        <w:t>FirstEnergy</w:t>
      </w:r>
      <w:r w:rsidR="009F1383">
        <w:rPr>
          <w:rFonts w:cs="Times New Roman"/>
          <w:szCs w:val="24"/>
        </w:rPr>
        <w:t>’</w:t>
      </w:r>
      <w:r w:rsidRPr="001D7812" w:rsidR="00EA5101">
        <w:rPr>
          <w:rFonts w:cs="Times New Roman"/>
          <w:szCs w:val="24"/>
        </w:rPr>
        <w:t>s Rider DCR proposal is unjust and unreasonable because FirstEnergy</w:t>
      </w:r>
      <w:r w:rsidRPr="001D7812">
        <w:rPr>
          <w:rFonts w:cs="Times New Roman"/>
          <w:szCs w:val="24"/>
        </w:rPr>
        <w:t xml:space="preserve"> fail</w:t>
      </w:r>
      <w:r w:rsidRPr="001D7812" w:rsidR="00EA5101">
        <w:rPr>
          <w:rFonts w:cs="Times New Roman"/>
          <w:szCs w:val="24"/>
        </w:rPr>
        <w:t>ed</w:t>
      </w:r>
      <w:r w:rsidRPr="001D7812">
        <w:rPr>
          <w:rFonts w:cs="Times New Roman"/>
          <w:szCs w:val="24"/>
        </w:rPr>
        <w:t xml:space="preserve"> to include a depreciation offset</w:t>
      </w:r>
      <w:r w:rsidRPr="001D7812" w:rsidR="00EA5101">
        <w:rPr>
          <w:rFonts w:cs="Times New Roman"/>
          <w:szCs w:val="24"/>
        </w:rPr>
        <w:t>.</w:t>
      </w:r>
      <w:r w:rsidRPr="001D7812" w:rsidR="00CE2F18">
        <w:rPr>
          <w:rFonts w:cs="Times New Roman"/>
          <w:szCs w:val="24"/>
        </w:rPr>
        <w:t xml:space="preserve"> </w:t>
      </w:r>
      <w:r w:rsidRPr="001D7812" w:rsidR="00EA5101">
        <w:rPr>
          <w:rFonts w:cs="Times New Roman"/>
          <w:szCs w:val="24"/>
        </w:rPr>
        <w:t>This omission will allow FirstEnergy to earn excess profits for Rider DCR spending</w:t>
      </w:r>
      <w:r w:rsidRPr="001D7812" w:rsidR="008463B8">
        <w:rPr>
          <w:rFonts w:cs="Times New Roman"/>
          <w:szCs w:val="24"/>
        </w:rPr>
        <w:t xml:space="preserve"> based on a level of plant investment that is overstated</w:t>
      </w:r>
      <w:r w:rsidRPr="001D7812" w:rsidR="00EA5101">
        <w:rPr>
          <w:rFonts w:cs="Times New Roman"/>
          <w:szCs w:val="24"/>
        </w:rPr>
        <w:t>.</w:t>
      </w:r>
      <w:r w:rsidRPr="001D7812" w:rsidR="00CE2F18">
        <w:rPr>
          <w:rFonts w:cs="Times New Roman"/>
          <w:szCs w:val="24"/>
        </w:rPr>
        <w:t xml:space="preserve"> </w:t>
      </w:r>
      <w:r w:rsidRPr="001D7812" w:rsidR="00F5588A">
        <w:rPr>
          <w:rFonts w:cs="Times New Roman"/>
          <w:szCs w:val="24"/>
        </w:rPr>
        <w:t xml:space="preserve">OCC Witness Meyer testified that </w:t>
      </w:r>
      <w:r w:rsidRPr="001D7812" w:rsidR="00F83CAA">
        <w:rPr>
          <w:rFonts w:cs="Times New Roman"/>
          <w:szCs w:val="24"/>
        </w:rPr>
        <w:t xml:space="preserve">Rider DCR </w:t>
      </w:r>
      <w:r w:rsidR="009F1383">
        <w:rPr>
          <w:rFonts w:cs="Times New Roman"/>
          <w:szCs w:val="24"/>
        </w:rPr>
        <w:t>“</w:t>
      </w:r>
      <w:r w:rsidRPr="001D7812" w:rsidR="00F83CAA">
        <w:rPr>
          <w:rFonts w:cs="Times New Roman"/>
          <w:szCs w:val="24"/>
        </w:rPr>
        <w:t>requires FirstEnergy consumers to pay for new investment without looking at all of the relevant factors of FirstEnergy</w:t>
      </w:r>
      <w:r w:rsidR="009F1383">
        <w:rPr>
          <w:rFonts w:cs="Times New Roman"/>
          <w:szCs w:val="24"/>
        </w:rPr>
        <w:t>’</w:t>
      </w:r>
      <w:r w:rsidRPr="001D7812" w:rsidR="00F83CAA">
        <w:rPr>
          <w:rFonts w:cs="Times New Roman"/>
          <w:szCs w:val="24"/>
        </w:rPr>
        <w:t>s operations.</w:t>
      </w:r>
      <w:r w:rsidR="009F1383">
        <w:rPr>
          <w:rFonts w:cs="Times New Roman"/>
          <w:szCs w:val="24"/>
        </w:rPr>
        <w:t>”</w:t>
      </w:r>
      <w:r>
        <w:rPr>
          <w:rStyle w:val="FootnoteReference"/>
          <w:rFonts w:cs="Times New Roman"/>
          <w:szCs w:val="24"/>
        </w:rPr>
        <w:footnoteReference w:id="110"/>
      </w:r>
      <w:r w:rsidRPr="001D7812" w:rsidR="00F83CAA">
        <w:rPr>
          <w:rFonts w:cs="Times New Roman"/>
          <w:szCs w:val="24"/>
        </w:rPr>
        <w:t xml:space="preserve"> </w:t>
      </w:r>
    </w:p>
    <w:p w:rsidR="00745661" w:rsidRPr="001D7812" w:rsidP="002F3CF5" w14:paraId="23A06ECD" w14:textId="2EFF430F">
      <w:pPr>
        <w:spacing w:line="480" w:lineRule="auto"/>
        <w:ind w:firstLine="720"/>
        <w:rPr>
          <w:rFonts w:cs="Times New Roman"/>
          <w:szCs w:val="24"/>
        </w:rPr>
      </w:pPr>
      <w:r w:rsidRPr="001D7812">
        <w:rPr>
          <w:rFonts w:cs="Times New Roman"/>
          <w:szCs w:val="24"/>
        </w:rPr>
        <w:t>The depreciation offset would account for the depreciation from legacy plant that was included in FirstEnergy</w:t>
      </w:r>
      <w:r w:rsidR="009F1383">
        <w:rPr>
          <w:rFonts w:cs="Times New Roman"/>
          <w:szCs w:val="24"/>
        </w:rPr>
        <w:t>’</w:t>
      </w:r>
      <w:r w:rsidRPr="001D7812">
        <w:rPr>
          <w:rFonts w:cs="Times New Roman"/>
          <w:szCs w:val="24"/>
        </w:rPr>
        <w:t xml:space="preserve">s previous rate case </w:t>
      </w:r>
      <w:r w:rsidRPr="001D7812" w:rsidR="00A81B03">
        <w:rPr>
          <w:rFonts w:cs="Times New Roman"/>
          <w:szCs w:val="24"/>
        </w:rPr>
        <w:t>and</w:t>
      </w:r>
      <w:r w:rsidRPr="001D7812">
        <w:rPr>
          <w:rFonts w:cs="Times New Roman"/>
          <w:szCs w:val="24"/>
        </w:rPr>
        <w:t xml:space="preserve"> </w:t>
      </w:r>
      <w:r w:rsidRPr="001D7812" w:rsidR="00EA5101">
        <w:rPr>
          <w:rFonts w:cs="Times New Roman"/>
          <w:szCs w:val="24"/>
        </w:rPr>
        <w:t xml:space="preserve">would </w:t>
      </w:r>
      <w:r w:rsidRPr="001D7812">
        <w:rPr>
          <w:rFonts w:cs="Times New Roman"/>
          <w:szCs w:val="24"/>
        </w:rPr>
        <w:t xml:space="preserve">properly recognize that the </w:t>
      </w:r>
      <w:r w:rsidRPr="001D7812" w:rsidR="003F2E86">
        <w:rPr>
          <w:rFonts w:cs="Times New Roman"/>
          <w:szCs w:val="24"/>
        </w:rPr>
        <w:t xml:space="preserve">value </w:t>
      </w:r>
      <w:r w:rsidRPr="001D7812" w:rsidR="00EA5101">
        <w:rPr>
          <w:rFonts w:cs="Times New Roman"/>
          <w:szCs w:val="24"/>
        </w:rPr>
        <w:t xml:space="preserve">of </w:t>
      </w:r>
      <w:r w:rsidRPr="001D7812">
        <w:rPr>
          <w:rFonts w:cs="Times New Roman"/>
          <w:szCs w:val="24"/>
        </w:rPr>
        <w:t>FirstEnergy</w:t>
      </w:r>
      <w:r w:rsidR="009F1383">
        <w:rPr>
          <w:rFonts w:cs="Times New Roman"/>
          <w:szCs w:val="24"/>
        </w:rPr>
        <w:t>’</w:t>
      </w:r>
      <w:r w:rsidRPr="001D7812">
        <w:rPr>
          <w:rFonts w:cs="Times New Roman"/>
          <w:szCs w:val="24"/>
        </w:rPr>
        <w:t xml:space="preserve">s </w:t>
      </w:r>
      <w:r w:rsidRPr="001D7812" w:rsidR="003F2E86">
        <w:rPr>
          <w:rFonts w:cs="Times New Roman"/>
          <w:szCs w:val="24"/>
        </w:rPr>
        <w:t>legacy plant</w:t>
      </w:r>
      <w:r w:rsidRPr="001D7812" w:rsidR="00EA5101">
        <w:rPr>
          <w:rFonts w:cs="Times New Roman"/>
          <w:szCs w:val="24"/>
        </w:rPr>
        <w:t>-in-service</w:t>
      </w:r>
      <w:r w:rsidRPr="001D7812" w:rsidR="003F2E86">
        <w:rPr>
          <w:rFonts w:cs="Times New Roman"/>
          <w:szCs w:val="24"/>
        </w:rPr>
        <w:t xml:space="preserve"> </w:t>
      </w:r>
      <w:r w:rsidRPr="001D7812">
        <w:rPr>
          <w:rFonts w:cs="Times New Roman"/>
          <w:szCs w:val="24"/>
        </w:rPr>
        <w:t xml:space="preserve">has declined </w:t>
      </w:r>
      <w:r w:rsidRPr="001D7812" w:rsidR="00A77408">
        <w:rPr>
          <w:rFonts w:cs="Times New Roman"/>
          <w:szCs w:val="24"/>
        </w:rPr>
        <w:t>since</w:t>
      </w:r>
      <w:r w:rsidRPr="001D7812">
        <w:rPr>
          <w:rFonts w:cs="Times New Roman"/>
          <w:szCs w:val="24"/>
        </w:rPr>
        <w:t xml:space="preserve"> </w:t>
      </w:r>
      <w:r w:rsidRPr="001D7812" w:rsidR="00EA5101">
        <w:rPr>
          <w:rFonts w:cs="Times New Roman"/>
          <w:szCs w:val="24"/>
        </w:rPr>
        <w:t>the date when it was originally placed in service</w:t>
      </w:r>
      <w:r w:rsidRPr="001D7812">
        <w:rPr>
          <w:rFonts w:cs="Times New Roman"/>
          <w:szCs w:val="24"/>
        </w:rPr>
        <w:t>.</w:t>
      </w:r>
      <w:r>
        <w:rPr>
          <w:rStyle w:val="FootnoteReference"/>
          <w:rFonts w:cs="Times New Roman"/>
          <w:szCs w:val="24"/>
        </w:rPr>
        <w:footnoteReference w:id="111"/>
      </w:r>
      <w:r w:rsidRPr="001D7812" w:rsidR="00CE2F18">
        <w:rPr>
          <w:rFonts w:cs="Times New Roman"/>
          <w:szCs w:val="24"/>
        </w:rPr>
        <w:t xml:space="preserve"> </w:t>
      </w:r>
      <w:r w:rsidRPr="001D7812" w:rsidR="00A72127">
        <w:rPr>
          <w:rFonts w:cs="Times New Roman"/>
          <w:szCs w:val="24"/>
        </w:rPr>
        <w:t>The PUCO has approved a depreciation offset in certain capital expense rider cases.</w:t>
      </w:r>
      <w:r>
        <w:rPr>
          <w:rStyle w:val="FootnoteReference"/>
          <w:rFonts w:cs="Times New Roman"/>
          <w:szCs w:val="24"/>
        </w:rPr>
        <w:footnoteReference w:id="112"/>
      </w:r>
      <w:r w:rsidRPr="001D7812" w:rsidR="00052D06">
        <w:rPr>
          <w:rFonts w:cs="Times New Roman"/>
          <w:szCs w:val="24"/>
        </w:rPr>
        <w:t xml:space="preserve"> </w:t>
      </w:r>
      <w:r w:rsidRPr="001D7812" w:rsidR="001E0E55">
        <w:rPr>
          <w:rFonts w:cs="Times New Roman"/>
          <w:szCs w:val="24"/>
        </w:rPr>
        <w:t>This</w:t>
      </w:r>
      <w:r w:rsidRPr="001D7812">
        <w:rPr>
          <w:rFonts w:cs="Times New Roman"/>
          <w:szCs w:val="24"/>
        </w:rPr>
        <w:t xml:space="preserve"> </w:t>
      </w:r>
      <w:r w:rsidRPr="001D7812" w:rsidR="007820AA">
        <w:rPr>
          <w:rFonts w:cs="Times New Roman"/>
          <w:szCs w:val="24"/>
        </w:rPr>
        <w:t xml:space="preserve">offset would </w:t>
      </w:r>
      <w:r w:rsidRPr="001D7812" w:rsidR="00446438">
        <w:rPr>
          <w:rFonts w:cs="Times New Roman"/>
          <w:szCs w:val="24"/>
        </w:rPr>
        <w:t>protect consumers</w:t>
      </w:r>
      <w:r w:rsidRPr="001D7812" w:rsidR="00EA5101">
        <w:rPr>
          <w:rFonts w:cs="Times New Roman"/>
          <w:szCs w:val="24"/>
        </w:rPr>
        <w:t xml:space="preserve"> by calculating the revenue requirement based on the same type of approach used in a traditional distribution base rate case and would </w:t>
      </w:r>
      <w:r w:rsidRPr="001D7812" w:rsidR="002F3CF5">
        <w:rPr>
          <w:rFonts w:cs="Times New Roman"/>
          <w:szCs w:val="24"/>
        </w:rPr>
        <w:t>prevent</w:t>
      </w:r>
      <w:r w:rsidRPr="001D7812" w:rsidR="00205799">
        <w:rPr>
          <w:rFonts w:cs="Times New Roman"/>
          <w:szCs w:val="24"/>
        </w:rPr>
        <w:t xml:space="preserve"> FirstEnergy</w:t>
      </w:r>
      <w:r w:rsidR="009F1383">
        <w:rPr>
          <w:rFonts w:cs="Times New Roman"/>
          <w:szCs w:val="24"/>
        </w:rPr>
        <w:t>’</w:t>
      </w:r>
      <w:r w:rsidRPr="001D7812" w:rsidR="00205799">
        <w:rPr>
          <w:rFonts w:cs="Times New Roman"/>
          <w:szCs w:val="24"/>
        </w:rPr>
        <w:t xml:space="preserve">s shareholders from enjoying enhanced profits </w:t>
      </w:r>
      <w:r w:rsidRPr="001D7812" w:rsidR="008463B8">
        <w:rPr>
          <w:rFonts w:cs="Times New Roman"/>
          <w:szCs w:val="24"/>
        </w:rPr>
        <w:t xml:space="preserve">on overstated plant investment </w:t>
      </w:r>
      <w:r w:rsidRPr="001D7812" w:rsidR="002F3CF5">
        <w:rPr>
          <w:rFonts w:cs="Times New Roman"/>
          <w:szCs w:val="24"/>
        </w:rPr>
        <w:t>through</w:t>
      </w:r>
      <w:r w:rsidRPr="001D7812" w:rsidR="00205799">
        <w:rPr>
          <w:rFonts w:cs="Times New Roman"/>
          <w:szCs w:val="24"/>
        </w:rPr>
        <w:t xml:space="preserve"> Rider DCR.</w:t>
      </w:r>
      <w:r>
        <w:rPr>
          <w:rStyle w:val="FootnoteReference"/>
          <w:rFonts w:cs="Times New Roman"/>
          <w:szCs w:val="24"/>
        </w:rPr>
        <w:footnoteReference w:id="113"/>
      </w:r>
    </w:p>
    <w:p w:rsidR="007C000C" w:rsidRPr="001D7812" w:rsidP="002F3CF5" w14:paraId="2FD30DE2" w14:textId="02C8541B">
      <w:pPr>
        <w:spacing w:line="480" w:lineRule="auto"/>
        <w:ind w:firstLine="720"/>
        <w:rPr>
          <w:rFonts w:cs="Times New Roman"/>
          <w:szCs w:val="24"/>
        </w:rPr>
      </w:pPr>
      <w:r w:rsidRPr="001D7812">
        <w:rPr>
          <w:rFonts w:cs="Times New Roman"/>
          <w:szCs w:val="24"/>
        </w:rPr>
        <w:t>FirstEnergy</w:t>
      </w:r>
      <w:r w:rsidR="009F1383">
        <w:rPr>
          <w:rFonts w:cs="Times New Roman"/>
          <w:szCs w:val="24"/>
        </w:rPr>
        <w:t>’</w:t>
      </w:r>
      <w:r w:rsidRPr="001D7812">
        <w:rPr>
          <w:rFonts w:cs="Times New Roman"/>
          <w:szCs w:val="24"/>
        </w:rPr>
        <w:t>s failure to include a depreciation offset for Rider DCR spending is unjust and unreasonable.</w:t>
      </w:r>
      <w:r w:rsidRPr="001D7812" w:rsidR="00CE2F18">
        <w:rPr>
          <w:rFonts w:cs="Times New Roman"/>
          <w:szCs w:val="24"/>
        </w:rPr>
        <w:t xml:space="preserve"> </w:t>
      </w:r>
      <w:r w:rsidRPr="001D7812">
        <w:rPr>
          <w:rFonts w:cs="Times New Roman"/>
          <w:szCs w:val="24"/>
        </w:rPr>
        <w:t>This omission harms consumers because they would not receive the depreciation offset which would normally occur if FirstEnergy collected these costs through a regular base rate case.</w:t>
      </w:r>
      <w:r w:rsidRPr="001D7812" w:rsidR="00BA52FF">
        <w:rPr>
          <w:rFonts w:cs="Times New Roman"/>
          <w:szCs w:val="24"/>
        </w:rPr>
        <w:t xml:space="preserve"> The PUCO should deny ESP V.</w:t>
      </w:r>
      <w:r w:rsidRPr="001D7812" w:rsidR="00052D06">
        <w:rPr>
          <w:rFonts w:cs="Times New Roman"/>
          <w:szCs w:val="24"/>
        </w:rPr>
        <w:t xml:space="preserve"> </w:t>
      </w:r>
    </w:p>
    <w:p w:rsidR="007C000C" w:rsidRPr="001D7812" w14:paraId="5C073286" w14:textId="77777777">
      <w:pPr>
        <w:spacing w:after="200" w:line="276" w:lineRule="auto"/>
        <w:rPr>
          <w:rFonts w:cs="Times New Roman"/>
          <w:szCs w:val="24"/>
        </w:rPr>
      </w:pPr>
      <w:r w:rsidRPr="001D7812">
        <w:rPr>
          <w:rFonts w:cs="Times New Roman"/>
          <w:szCs w:val="24"/>
        </w:rPr>
        <w:br w:type="page"/>
      </w:r>
    </w:p>
    <w:p w:rsidR="001C64AB" w:rsidRPr="001D7812" w:rsidP="009A2B56" w14:paraId="68CF12EB" w14:textId="2D1481DC">
      <w:pPr>
        <w:pStyle w:val="Heading2"/>
      </w:pPr>
      <w:bookmarkStart w:id="18" w:name="_Toc156567931"/>
      <w:r w:rsidRPr="001D7812">
        <w:t>L.</w:t>
      </w:r>
      <w:r w:rsidRPr="001D7812">
        <w:tab/>
      </w:r>
      <w:r w:rsidRPr="001D7812" w:rsidR="007B3D35">
        <w:t>FirstEnergy</w:t>
      </w:r>
      <w:r w:rsidR="009F1383">
        <w:t>’</w:t>
      </w:r>
      <w:r w:rsidRPr="001D7812" w:rsidR="007B3D35">
        <w:t xml:space="preserve">s </w:t>
      </w:r>
      <w:r w:rsidRPr="001D7812" w:rsidR="006B1A8E">
        <w:t>Advanced Metering Infrastructure Rider (</w:t>
      </w:r>
      <w:r w:rsidR="009F1383">
        <w:t>“</w:t>
      </w:r>
      <w:r w:rsidRPr="001D7812" w:rsidR="000808D6">
        <w:t>Rider AMI</w:t>
      </w:r>
      <w:r w:rsidR="009F1383">
        <w:t>”</w:t>
      </w:r>
      <w:r w:rsidRPr="001D7812" w:rsidR="006B1A8E">
        <w:t>)</w:t>
      </w:r>
      <w:r w:rsidRPr="001D7812" w:rsidR="000808D6">
        <w:t xml:space="preserve"> proposal</w:t>
      </w:r>
      <w:r w:rsidRPr="001D7812" w:rsidR="007B3D35">
        <w:t xml:space="preserve"> is unjust and unreasonable because </w:t>
      </w:r>
      <w:r w:rsidRPr="001D7812">
        <w:t>the failure to include revenue caps for Rider AMI could lead to excessive rate increases</w:t>
      </w:r>
      <w:r w:rsidRPr="001D7812" w:rsidR="000808D6">
        <w:t xml:space="preserve"> and is inconsistent with PUCO precedent</w:t>
      </w:r>
      <w:r w:rsidRPr="001D7812">
        <w:t>.</w:t>
      </w:r>
      <w:bookmarkEnd w:id="18"/>
    </w:p>
    <w:p w:rsidR="009A5609" w:rsidRPr="001D7812" w:rsidP="00040288" w14:paraId="4F7C2852" w14:textId="05E8F69D">
      <w:pPr>
        <w:spacing w:line="480" w:lineRule="auto"/>
        <w:ind w:firstLine="720"/>
        <w:rPr>
          <w:rFonts w:cs="Times New Roman"/>
          <w:szCs w:val="24"/>
        </w:rPr>
      </w:pPr>
      <w:r w:rsidRPr="001D7812">
        <w:rPr>
          <w:rFonts w:cs="Times New Roman"/>
          <w:szCs w:val="24"/>
        </w:rPr>
        <w:t>FirstEnergy</w:t>
      </w:r>
      <w:r w:rsidR="009F1383">
        <w:rPr>
          <w:rFonts w:cs="Times New Roman"/>
          <w:szCs w:val="24"/>
        </w:rPr>
        <w:t>’</w:t>
      </w:r>
      <w:r w:rsidRPr="001D7812">
        <w:rPr>
          <w:rFonts w:cs="Times New Roman"/>
          <w:szCs w:val="24"/>
        </w:rPr>
        <w:t>s Rider AMI proposal is unjust and unreasonable because it lacks revenue caps</w:t>
      </w:r>
      <w:r w:rsidRPr="001D7812" w:rsidR="004C56D1">
        <w:rPr>
          <w:rFonts w:cs="Times New Roman"/>
          <w:szCs w:val="24"/>
        </w:rPr>
        <w:t xml:space="preserve"> for the Rider AMI spending</w:t>
      </w:r>
      <w:r w:rsidRPr="001D7812">
        <w:rPr>
          <w:rFonts w:cs="Times New Roman"/>
          <w:szCs w:val="24"/>
        </w:rPr>
        <w:t>.</w:t>
      </w:r>
      <w:r w:rsidRPr="001D7812" w:rsidR="00CE2F18">
        <w:rPr>
          <w:rFonts w:cs="Times New Roman"/>
          <w:szCs w:val="24"/>
        </w:rPr>
        <w:t xml:space="preserve"> </w:t>
      </w:r>
      <w:r w:rsidRPr="001D7812">
        <w:rPr>
          <w:rFonts w:cs="Times New Roman"/>
          <w:szCs w:val="24"/>
        </w:rPr>
        <w:t xml:space="preserve">This could lead to excessive Rider AMI spending </w:t>
      </w:r>
      <w:r w:rsidRPr="001D7812" w:rsidR="008463B8">
        <w:rPr>
          <w:rFonts w:cs="Times New Roman"/>
          <w:szCs w:val="24"/>
        </w:rPr>
        <w:t xml:space="preserve">for consumers to pay </w:t>
      </w:r>
      <w:r w:rsidRPr="001D7812">
        <w:rPr>
          <w:rFonts w:cs="Times New Roman"/>
          <w:szCs w:val="24"/>
        </w:rPr>
        <w:t>during any particular year because there is no limit on the amount of revenue FirstEnergy could collect.</w:t>
      </w:r>
      <w:r w:rsidRPr="001D7812" w:rsidR="00CE2F18">
        <w:rPr>
          <w:rFonts w:cs="Times New Roman"/>
          <w:szCs w:val="24"/>
        </w:rPr>
        <w:t xml:space="preserve"> </w:t>
      </w:r>
      <w:r w:rsidRPr="001D7812">
        <w:rPr>
          <w:rFonts w:cs="Times New Roman"/>
          <w:szCs w:val="24"/>
        </w:rPr>
        <w:t>The lack of revenue caps is inconsistent with FirstEnergy</w:t>
      </w:r>
      <w:r w:rsidR="009F1383">
        <w:rPr>
          <w:rFonts w:cs="Times New Roman"/>
          <w:szCs w:val="24"/>
        </w:rPr>
        <w:t>’</w:t>
      </w:r>
      <w:r w:rsidRPr="001D7812">
        <w:rPr>
          <w:rFonts w:cs="Times New Roman"/>
          <w:szCs w:val="24"/>
        </w:rPr>
        <w:t>s own Rider DCR proposal</w:t>
      </w:r>
      <w:r w:rsidRPr="001D7812" w:rsidR="004C56D1">
        <w:rPr>
          <w:rFonts w:cs="Times New Roman"/>
          <w:szCs w:val="24"/>
        </w:rPr>
        <w:t xml:space="preserve"> and with</w:t>
      </w:r>
      <w:r w:rsidRPr="001D7812">
        <w:rPr>
          <w:rFonts w:cs="Times New Roman"/>
          <w:szCs w:val="24"/>
        </w:rPr>
        <w:t xml:space="preserve"> PUCO precedent for other riders </w:t>
      </w:r>
      <w:r w:rsidRPr="001D7812" w:rsidR="004C56D1">
        <w:rPr>
          <w:rFonts w:cs="Times New Roman"/>
          <w:szCs w:val="24"/>
        </w:rPr>
        <w:t xml:space="preserve">for collection of </w:t>
      </w:r>
      <w:r w:rsidRPr="001D7812">
        <w:rPr>
          <w:rFonts w:cs="Times New Roman"/>
          <w:szCs w:val="24"/>
        </w:rPr>
        <w:t>capital costs.</w:t>
      </w:r>
    </w:p>
    <w:p w:rsidR="00B50C5D" w:rsidRPr="001D7812" w:rsidP="00040288" w14:paraId="6F40C537" w14:textId="2C71306A">
      <w:pPr>
        <w:spacing w:line="480" w:lineRule="auto"/>
        <w:ind w:firstLine="720"/>
        <w:rPr>
          <w:rFonts w:cs="Times New Roman"/>
          <w:szCs w:val="24"/>
        </w:rPr>
      </w:pPr>
      <w:r w:rsidRPr="001D7812">
        <w:rPr>
          <w:rFonts w:cs="Times New Roman"/>
          <w:szCs w:val="24"/>
        </w:rPr>
        <w:t xml:space="preserve">OCC witness </w:t>
      </w:r>
      <w:r w:rsidRPr="001D7812" w:rsidR="000808D6">
        <w:rPr>
          <w:rFonts w:cs="Times New Roman"/>
          <w:szCs w:val="24"/>
        </w:rPr>
        <w:t xml:space="preserve">Mr. </w:t>
      </w:r>
      <w:r w:rsidRPr="001D7812" w:rsidR="00DA3CC2">
        <w:rPr>
          <w:rFonts w:cs="Times New Roman"/>
          <w:szCs w:val="24"/>
        </w:rPr>
        <w:t>Meyer</w:t>
      </w:r>
      <w:r w:rsidRPr="001D7812" w:rsidR="004F5B2C">
        <w:rPr>
          <w:rFonts w:cs="Times New Roman"/>
          <w:szCs w:val="24"/>
        </w:rPr>
        <w:t xml:space="preserve"> </w:t>
      </w:r>
      <w:r w:rsidRPr="001D7812" w:rsidR="000808D6">
        <w:rPr>
          <w:rFonts w:cs="Times New Roman"/>
          <w:szCs w:val="24"/>
        </w:rPr>
        <w:t xml:space="preserve">testified that </w:t>
      </w:r>
      <w:r w:rsidRPr="001D7812" w:rsidR="004F5B2C">
        <w:rPr>
          <w:rFonts w:cs="Times New Roman"/>
          <w:szCs w:val="24"/>
        </w:rPr>
        <w:t xml:space="preserve">FirstEnergy </w:t>
      </w:r>
      <w:r w:rsidRPr="001D7812" w:rsidR="000808D6">
        <w:rPr>
          <w:rFonts w:cs="Times New Roman"/>
          <w:szCs w:val="24"/>
        </w:rPr>
        <w:t xml:space="preserve">failed to </w:t>
      </w:r>
      <w:r w:rsidRPr="001D7812" w:rsidR="004F5B2C">
        <w:rPr>
          <w:rFonts w:cs="Times New Roman"/>
          <w:szCs w:val="24"/>
        </w:rPr>
        <w:t xml:space="preserve">provide compelling arguments why </w:t>
      </w:r>
      <w:r w:rsidRPr="001D7812" w:rsidR="000808D6">
        <w:rPr>
          <w:rFonts w:cs="Times New Roman"/>
          <w:szCs w:val="24"/>
        </w:rPr>
        <w:t>collecting</w:t>
      </w:r>
      <w:r w:rsidRPr="001D7812" w:rsidR="0004674D">
        <w:rPr>
          <w:rFonts w:cs="Times New Roman"/>
          <w:szCs w:val="24"/>
        </w:rPr>
        <w:t xml:space="preserve"> </w:t>
      </w:r>
      <w:r w:rsidRPr="001D7812" w:rsidR="00DA3CC2">
        <w:rPr>
          <w:rFonts w:cs="Times New Roman"/>
          <w:szCs w:val="24"/>
        </w:rPr>
        <w:t>the cost of</w:t>
      </w:r>
      <w:r w:rsidRPr="001D7812" w:rsidR="004F5B2C">
        <w:rPr>
          <w:rFonts w:cs="Times New Roman"/>
          <w:szCs w:val="24"/>
        </w:rPr>
        <w:t xml:space="preserve"> </w:t>
      </w:r>
      <w:r w:rsidRPr="001D7812" w:rsidR="0004674D">
        <w:rPr>
          <w:rFonts w:cs="Times New Roman"/>
          <w:szCs w:val="24"/>
        </w:rPr>
        <w:t xml:space="preserve">replacing customer meters through </w:t>
      </w:r>
      <w:r w:rsidRPr="001D7812" w:rsidR="004F5B2C">
        <w:rPr>
          <w:rFonts w:cs="Times New Roman"/>
          <w:szCs w:val="24"/>
        </w:rPr>
        <w:t>Rider AMI is necessary</w:t>
      </w:r>
      <w:r w:rsidRPr="001D7812" w:rsidR="000808D6">
        <w:rPr>
          <w:rFonts w:cs="Times New Roman"/>
          <w:szCs w:val="24"/>
        </w:rPr>
        <w:t>.</w:t>
      </w:r>
      <w:r>
        <w:rPr>
          <w:rStyle w:val="FootnoteReference"/>
          <w:rFonts w:cs="Times New Roman"/>
          <w:szCs w:val="24"/>
        </w:rPr>
        <w:footnoteReference w:id="114"/>
      </w:r>
      <w:r w:rsidRPr="001D7812" w:rsidR="00040288">
        <w:rPr>
          <w:rFonts w:cs="Times New Roman"/>
          <w:szCs w:val="24"/>
        </w:rPr>
        <w:t xml:space="preserve"> </w:t>
      </w:r>
      <w:r w:rsidRPr="001D7812" w:rsidR="009D58FB">
        <w:rPr>
          <w:rFonts w:cs="Times New Roman"/>
          <w:szCs w:val="24"/>
        </w:rPr>
        <w:t xml:space="preserve">Mr. Meyer testified generally that a rider </w:t>
      </w:r>
      <w:r w:rsidR="009F1383">
        <w:rPr>
          <w:rFonts w:cs="Times New Roman"/>
          <w:szCs w:val="24"/>
        </w:rPr>
        <w:t>“</w:t>
      </w:r>
      <w:r w:rsidRPr="001D7812" w:rsidR="009D58FB">
        <w:rPr>
          <w:rFonts w:cs="Times New Roman"/>
          <w:szCs w:val="24"/>
        </w:rPr>
        <w:t>decreases a utility</w:t>
      </w:r>
      <w:r w:rsidR="009F1383">
        <w:rPr>
          <w:rFonts w:cs="Times New Roman"/>
          <w:szCs w:val="24"/>
        </w:rPr>
        <w:t>’</w:t>
      </w:r>
      <w:r w:rsidRPr="001D7812" w:rsidR="009D58FB">
        <w:rPr>
          <w:rFonts w:cs="Times New Roman"/>
          <w:szCs w:val="24"/>
        </w:rPr>
        <w:t>s incentive to manage all aspects of its business in a cost effective manner.</w:t>
      </w:r>
      <w:r w:rsidR="009F1383">
        <w:rPr>
          <w:rFonts w:cs="Times New Roman"/>
          <w:szCs w:val="24"/>
        </w:rPr>
        <w:t>”</w:t>
      </w:r>
      <w:r>
        <w:rPr>
          <w:rStyle w:val="FootnoteReference"/>
          <w:rFonts w:cs="Times New Roman"/>
          <w:szCs w:val="24"/>
        </w:rPr>
        <w:footnoteReference w:id="115"/>
      </w:r>
      <w:r w:rsidRPr="001D7812" w:rsidR="009D58FB">
        <w:rPr>
          <w:rFonts w:cs="Times New Roman"/>
          <w:szCs w:val="24"/>
        </w:rPr>
        <w:t xml:space="preserve"> Specifically as to Rider AMI, </w:t>
      </w:r>
      <w:r w:rsidRPr="001D7812" w:rsidR="000808D6">
        <w:rPr>
          <w:rFonts w:cs="Times New Roman"/>
          <w:szCs w:val="24"/>
        </w:rPr>
        <w:t xml:space="preserve">Mr. Meyer </w:t>
      </w:r>
      <w:r w:rsidRPr="001D7812" w:rsidR="009D58FB">
        <w:rPr>
          <w:rFonts w:cs="Times New Roman"/>
          <w:szCs w:val="24"/>
        </w:rPr>
        <w:t>testified</w:t>
      </w:r>
      <w:r w:rsidRPr="001D7812" w:rsidR="000808D6">
        <w:rPr>
          <w:rFonts w:cs="Times New Roman"/>
          <w:szCs w:val="24"/>
        </w:rPr>
        <w:t xml:space="preserve"> that consumers could be harmed through </w:t>
      </w:r>
      <w:r w:rsidRPr="001D7812" w:rsidR="006B63C1">
        <w:rPr>
          <w:rFonts w:cs="Times New Roman"/>
          <w:szCs w:val="24"/>
        </w:rPr>
        <w:t>the lack of revenue cap</w:t>
      </w:r>
      <w:r w:rsidRPr="001D7812" w:rsidR="000808D6">
        <w:rPr>
          <w:rFonts w:cs="Times New Roman"/>
          <w:szCs w:val="24"/>
        </w:rPr>
        <w:t>s</w:t>
      </w:r>
      <w:r w:rsidRPr="001D7812" w:rsidR="006B63C1">
        <w:rPr>
          <w:rFonts w:cs="Times New Roman"/>
          <w:szCs w:val="24"/>
        </w:rPr>
        <w:t xml:space="preserve"> </w:t>
      </w:r>
      <w:r w:rsidRPr="001D7812" w:rsidR="00CF4A66">
        <w:rPr>
          <w:rFonts w:cs="Times New Roman"/>
          <w:szCs w:val="24"/>
        </w:rPr>
        <w:t>for</w:t>
      </w:r>
      <w:r w:rsidRPr="001D7812" w:rsidR="00F40FBF">
        <w:rPr>
          <w:rFonts w:cs="Times New Roman"/>
          <w:szCs w:val="24"/>
        </w:rPr>
        <w:t xml:space="preserve"> Rider AMI</w:t>
      </w:r>
      <w:r w:rsidRPr="001D7812" w:rsidR="000808D6">
        <w:rPr>
          <w:rFonts w:cs="Times New Roman"/>
          <w:szCs w:val="24"/>
        </w:rPr>
        <w:t>.</w:t>
      </w:r>
      <w:r>
        <w:rPr>
          <w:rStyle w:val="FootnoteReference"/>
          <w:rFonts w:cs="Times New Roman"/>
          <w:szCs w:val="24"/>
        </w:rPr>
        <w:footnoteReference w:id="116"/>
      </w:r>
      <w:r w:rsidRPr="001D7812" w:rsidR="001D4D53">
        <w:rPr>
          <w:rFonts w:cs="Times New Roman"/>
          <w:szCs w:val="24"/>
        </w:rPr>
        <w:t xml:space="preserve"> </w:t>
      </w:r>
      <w:r w:rsidRPr="001D7812" w:rsidR="009D58FB">
        <w:rPr>
          <w:rFonts w:cs="Times New Roman"/>
          <w:szCs w:val="24"/>
        </w:rPr>
        <w:t>Mr. Meyer also testified that the lack of revenue caps for Rider AMI was inconsistent with FirstEnergy</w:t>
      </w:r>
      <w:r w:rsidR="009F1383">
        <w:rPr>
          <w:rFonts w:cs="Times New Roman"/>
          <w:szCs w:val="24"/>
        </w:rPr>
        <w:t>’</w:t>
      </w:r>
      <w:r w:rsidRPr="001D7812" w:rsidR="009D58FB">
        <w:rPr>
          <w:rFonts w:cs="Times New Roman"/>
          <w:szCs w:val="24"/>
        </w:rPr>
        <w:t>s own proposal to use revenue caps for Rider DCR.</w:t>
      </w:r>
      <w:r>
        <w:rPr>
          <w:rStyle w:val="FootnoteReference"/>
          <w:rFonts w:cs="Times New Roman"/>
          <w:szCs w:val="24"/>
        </w:rPr>
        <w:footnoteReference w:id="117"/>
      </w:r>
      <w:r w:rsidRPr="001D7812" w:rsidR="00CE2F18">
        <w:rPr>
          <w:rFonts w:cs="Times New Roman"/>
          <w:szCs w:val="24"/>
        </w:rPr>
        <w:t xml:space="preserve"> </w:t>
      </w:r>
      <w:r w:rsidRPr="001D7812" w:rsidR="004C56D1">
        <w:rPr>
          <w:rFonts w:cs="Times New Roman"/>
          <w:szCs w:val="24"/>
        </w:rPr>
        <w:t xml:space="preserve">Additionally, </w:t>
      </w:r>
      <w:r w:rsidRPr="001D7812" w:rsidR="00A72B75">
        <w:rPr>
          <w:rFonts w:cs="Times New Roman"/>
          <w:szCs w:val="24"/>
        </w:rPr>
        <w:t>FirstEnergy</w:t>
      </w:r>
      <w:r w:rsidR="009F1383">
        <w:rPr>
          <w:rFonts w:cs="Times New Roman"/>
          <w:szCs w:val="24"/>
        </w:rPr>
        <w:t>’</w:t>
      </w:r>
      <w:r w:rsidRPr="001D7812" w:rsidR="00A72B75">
        <w:rPr>
          <w:rFonts w:cs="Times New Roman"/>
          <w:szCs w:val="24"/>
        </w:rPr>
        <w:t xml:space="preserve">s lack of revenue caps for Rider AMI is inconsistent with </w:t>
      </w:r>
      <w:r w:rsidRPr="001D7812" w:rsidR="004C56D1">
        <w:rPr>
          <w:rFonts w:cs="Times New Roman"/>
          <w:szCs w:val="24"/>
        </w:rPr>
        <w:t xml:space="preserve">PUCO </w:t>
      </w:r>
      <w:r w:rsidRPr="001D7812" w:rsidR="00A72B75">
        <w:rPr>
          <w:rFonts w:cs="Times New Roman"/>
          <w:szCs w:val="24"/>
        </w:rPr>
        <w:t>approving</w:t>
      </w:r>
      <w:r w:rsidRPr="001D7812" w:rsidR="004C56D1">
        <w:rPr>
          <w:rFonts w:cs="Times New Roman"/>
          <w:szCs w:val="24"/>
        </w:rPr>
        <w:t xml:space="preserve"> revenue caps for other utilities</w:t>
      </w:r>
      <w:r w:rsidR="009F1383">
        <w:rPr>
          <w:rFonts w:cs="Times New Roman"/>
          <w:szCs w:val="24"/>
        </w:rPr>
        <w:t>’</w:t>
      </w:r>
      <w:r w:rsidRPr="001D7812" w:rsidR="004C56D1">
        <w:rPr>
          <w:rFonts w:cs="Times New Roman"/>
          <w:szCs w:val="24"/>
        </w:rPr>
        <w:t xml:space="preserve"> riders which seek collection of large amounts of capital costs</w:t>
      </w:r>
      <w:r w:rsidRPr="001D7812" w:rsidR="008463B8">
        <w:rPr>
          <w:rFonts w:cs="Times New Roman"/>
          <w:szCs w:val="24"/>
        </w:rPr>
        <w:t xml:space="preserve"> from consumers</w:t>
      </w:r>
      <w:r w:rsidRPr="001D7812" w:rsidR="004C56D1">
        <w:rPr>
          <w:rFonts w:cs="Times New Roman"/>
          <w:szCs w:val="24"/>
        </w:rPr>
        <w:t>.</w:t>
      </w:r>
      <w:r>
        <w:rPr>
          <w:rStyle w:val="FootnoteReference"/>
          <w:rFonts w:cs="Times New Roman"/>
          <w:szCs w:val="24"/>
        </w:rPr>
        <w:footnoteReference w:id="118"/>
      </w:r>
    </w:p>
    <w:p w:rsidR="009A5609" w:rsidRPr="001D7812" w:rsidP="00040288" w14:paraId="3DF7AF5F" w14:textId="7A010F32">
      <w:pPr>
        <w:spacing w:line="480" w:lineRule="auto"/>
        <w:ind w:firstLine="720"/>
        <w:rPr>
          <w:rFonts w:cs="Times New Roman"/>
          <w:szCs w:val="24"/>
        </w:rPr>
      </w:pPr>
      <w:r w:rsidRPr="001D7812">
        <w:rPr>
          <w:rFonts w:cs="Times New Roman"/>
          <w:szCs w:val="24"/>
        </w:rPr>
        <w:t>The PUCO should reject FirstEnergy</w:t>
      </w:r>
      <w:r w:rsidR="009F1383">
        <w:rPr>
          <w:rFonts w:cs="Times New Roman"/>
          <w:szCs w:val="24"/>
        </w:rPr>
        <w:t>’</w:t>
      </w:r>
      <w:r w:rsidRPr="001D7812">
        <w:rPr>
          <w:rFonts w:cs="Times New Roman"/>
          <w:szCs w:val="24"/>
        </w:rPr>
        <w:t>s Rider AMI proposal because the lack of revenue caps harms consumers, is inconsistent with PUCO precedent and is unjust and unreasonable.</w:t>
      </w:r>
    </w:p>
    <w:p w:rsidR="000A6ACF" w:rsidRPr="001D7812" w:rsidP="00B525BB" w14:paraId="46558EC7" w14:textId="3F64FDB1">
      <w:pPr>
        <w:pStyle w:val="Heading2"/>
      </w:pPr>
      <w:bookmarkStart w:id="19" w:name="_Toc156567932"/>
      <w:r w:rsidRPr="001D7812">
        <w:t>M.</w:t>
      </w:r>
      <w:r w:rsidRPr="001D7812">
        <w:tab/>
      </w:r>
      <w:r w:rsidRPr="001D7812" w:rsidR="001C64AB">
        <w:t>FirstEnergy</w:t>
      </w:r>
      <w:r w:rsidR="009F1383">
        <w:t>’</w:t>
      </w:r>
      <w:r w:rsidRPr="001D7812" w:rsidR="001C64AB">
        <w:t xml:space="preserve">s </w:t>
      </w:r>
      <w:r w:rsidRPr="001D7812" w:rsidR="00BB43EA">
        <w:t>Rider AMI proposal</w:t>
      </w:r>
      <w:r w:rsidRPr="001D7812" w:rsidR="001C64AB">
        <w:t xml:space="preserve"> is unjust and unreasonable </w:t>
      </w:r>
      <w:r w:rsidRPr="001D7812" w:rsidR="00BB43EA">
        <w:t>and in conflict with R.C. 4909.15(A)</w:t>
      </w:r>
      <w:r w:rsidRPr="001D7812" w:rsidR="00CE4CF6">
        <w:t xml:space="preserve"> </w:t>
      </w:r>
      <w:r w:rsidRPr="001D7812" w:rsidR="001C64AB">
        <w:t>beca</w:t>
      </w:r>
      <w:r w:rsidRPr="001D7812" w:rsidR="00BB43EA">
        <w:t>use it</w:t>
      </w:r>
      <w:r w:rsidRPr="001D7812" w:rsidR="001C64AB">
        <w:t xml:space="preserve"> improperly allows FirstEnergy to collect a return on and of the stranded grid modernization equipment which is taken out of service.</w:t>
      </w:r>
      <w:bookmarkEnd w:id="19"/>
    </w:p>
    <w:p w:rsidR="00CE4CF6" w:rsidRPr="001D7812" w:rsidP="00A3275B" w14:paraId="3BBF5311" w14:textId="0398BB8D">
      <w:pPr>
        <w:spacing w:line="480" w:lineRule="auto"/>
        <w:ind w:firstLine="720"/>
        <w:rPr>
          <w:rFonts w:cs="Times New Roman"/>
          <w:szCs w:val="24"/>
        </w:rPr>
      </w:pPr>
      <w:r w:rsidRPr="001D7812">
        <w:rPr>
          <w:rFonts w:cs="Times New Roman"/>
          <w:szCs w:val="24"/>
        </w:rPr>
        <w:t>FirstEnergy</w:t>
      </w:r>
      <w:r w:rsidR="009F1383">
        <w:rPr>
          <w:rFonts w:cs="Times New Roman"/>
          <w:szCs w:val="24"/>
        </w:rPr>
        <w:t>’</w:t>
      </w:r>
      <w:r w:rsidRPr="001D7812">
        <w:rPr>
          <w:rFonts w:cs="Times New Roman"/>
          <w:szCs w:val="24"/>
        </w:rPr>
        <w:t xml:space="preserve">s Rider AMI proposal is unjust and unreasonable and contrary to R.C. 4909.15(A) because it allows FirstEnergy to continue earning a return on and of the stranded grid modernization equipment even after the equipment is removed from service. </w:t>
      </w:r>
      <w:r w:rsidRPr="001D7812" w:rsidR="009E1AF7">
        <w:rPr>
          <w:rFonts w:cs="Times New Roman"/>
          <w:szCs w:val="24"/>
        </w:rPr>
        <w:t>This directly contradicts the requirement in Ohio law that investment must be used and useful before consumers are required to pay for it.</w:t>
      </w:r>
      <w:r>
        <w:rPr>
          <w:rStyle w:val="FootnoteReference"/>
          <w:rFonts w:cs="Times New Roman"/>
          <w:szCs w:val="24"/>
        </w:rPr>
        <w:footnoteReference w:id="119"/>
      </w:r>
      <w:r w:rsidRPr="001D7812" w:rsidR="00052D06">
        <w:rPr>
          <w:rFonts w:cs="Times New Roman"/>
          <w:szCs w:val="24"/>
        </w:rPr>
        <w:t xml:space="preserve"> </w:t>
      </w:r>
    </w:p>
    <w:p w:rsidR="00CE4CF6" w:rsidRPr="001D7812" w:rsidP="00A3275B" w14:paraId="5C2E6C94" w14:textId="0F8869BC">
      <w:pPr>
        <w:spacing w:line="480" w:lineRule="auto"/>
        <w:ind w:firstLine="720"/>
        <w:rPr>
          <w:rFonts w:cs="Times New Roman"/>
          <w:szCs w:val="24"/>
        </w:rPr>
      </w:pPr>
      <w:r w:rsidRPr="001D7812">
        <w:rPr>
          <w:rFonts w:cs="Times New Roman"/>
          <w:szCs w:val="24"/>
        </w:rPr>
        <w:t xml:space="preserve">FirstEnergy </w:t>
      </w:r>
      <w:r w:rsidRPr="001D7812" w:rsidR="00A3275B">
        <w:rPr>
          <w:rFonts w:cs="Times New Roman"/>
          <w:szCs w:val="24"/>
        </w:rPr>
        <w:t xml:space="preserve">should </w:t>
      </w:r>
      <w:r w:rsidRPr="001D7812">
        <w:rPr>
          <w:rFonts w:cs="Times New Roman"/>
          <w:szCs w:val="24"/>
        </w:rPr>
        <w:t>not be allowed to collect a return on and of stranded investments</w:t>
      </w:r>
      <w:r w:rsidRPr="001D7812" w:rsidR="00A3275B">
        <w:rPr>
          <w:rFonts w:cs="Times New Roman"/>
          <w:szCs w:val="24"/>
        </w:rPr>
        <w:t xml:space="preserve"> through Rider AMI</w:t>
      </w:r>
      <w:r w:rsidRPr="001D7812">
        <w:rPr>
          <w:rFonts w:cs="Times New Roman"/>
          <w:szCs w:val="24"/>
        </w:rPr>
        <w:t>.</w:t>
      </w:r>
      <w:r w:rsidRPr="001D7812" w:rsidR="00E32AAB">
        <w:rPr>
          <w:rFonts w:cs="Times New Roman"/>
          <w:szCs w:val="24"/>
        </w:rPr>
        <w:t xml:space="preserve"> </w:t>
      </w:r>
      <w:r w:rsidRPr="001D7812" w:rsidR="004E36D6">
        <w:rPr>
          <w:rFonts w:cs="Times New Roman"/>
          <w:szCs w:val="24"/>
        </w:rPr>
        <w:t xml:space="preserve">The </w:t>
      </w:r>
      <w:r w:rsidRPr="001D7812" w:rsidR="00B1097A">
        <w:rPr>
          <w:rFonts w:cs="Times New Roman"/>
          <w:szCs w:val="24"/>
        </w:rPr>
        <w:t>meters</w:t>
      </w:r>
      <w:r w:rsidRPr="001D7812">
        <w:rPr>
          <w:rFonts w:cs="Times New Roman"/>
          <w:szCs w:val="24"/>
        </w:rPr>
        <w:t xml:space="preserve"> and associated equipment</w:t>
      </w:r>
      <w:r w:rsidRPr="001D7812" w:rsidR="00B1097A">
        <w:rPr>
          <w:rFonts w:cs="Times New Roman"/>
          <w:szCs w:val="24"/>
        </w:rPr>
        <w:t xml:space="preserve"> </w:t>
      </w:r>
      <w:r w:rsidRPr="001D7812">
        <w:rPr>
          <w:rFonts w:cs="Times New Roman"/>
          <w:szCs w:val="24"/>
        </w:rPr>
        <w:t xml:space="preserve">removed from service </w:t>
      </w:r>
      <w:r w:rsidRPr="001D7812" w:rsidR="00B1097A">
        <w:rPr>
          <w:rFonts w:cs="Times New Roman"/>
          <w:szCs w:val="24"/>
        </w:rPr>
        <w:t>are not providing service because they have been replaced</w:t>
      </w:r>
      <w:r w:rsidRPr="001D7812" w:rsidR="00C463AC">
        <w:rPr>
          <w:rFonts w:cs="Times New Roman"/>
          <w:szCs w:val="24"/>
        </w:rPr>
        <w:t xml:space="preserve">, </w:t>
      </w:r>
      <w:r w:rsidRPr="001D7812" w:rsidR="00B1097A">
        <w:rPr>
          <w:rFonts w:cs="Times New Roman"/>
          <w:szCs w:val="24"/>
        </w:rPr>
        <w:t>and thus are not</w:t>
      </w:r>
      <w:r w:rsidRPr="001D7812">
        <w:rPr>
          <w:rFonts w:cs="Times New Roman"/>
          <w:szCs w:val="24"/>
        </w:rPr>
        <w:t xml:space="preserve"> </w:t>
      </w:r>
      <w:r w:rsidR="009F1383">
        <w:rPr>
          <w:rFonts w:cs="Times New Roman"/>
          <w:szCs w:val="24"/>
        </w:rPr>
        <w:t>“</w:t>
      </w:r>
      <w:r w:rsidRPr="001D7812">
        <w:rPr>
          <w:rFonts w:cs="Times New Roman"/>
          <w:szCs w:val="24"/>
        </w:rPr>
        <w:t>used and useful.</w:t>
      </w:r>
      <w:r w:rsidR="009F1383">
        <w:rPr>
          <w:rFonts w:cs="Times New Roman"/>
          <w:szCs w:val="24"/>
        </w:rPr>
        <w:t>”</w:t>
      </w:r>
      <w:r>
        <w:rPr>
          <w:rStyle w:val="FootnoteReference"/>
          <w:rFonts w:cs="Times New Roman"/>
          <w:szCs w:val="24"/>
        </w:rPr>
        <w:footnoteReference w:id="120"/>
      </w:r>
      <w:r w:rsidRPr="001D7812">
        <w:rPr>
          <w:rFonts w:cs="Times New Roman"/>
          <w:szCs w:val="24"/>
        </w:rPr>
        <w:t xml:space="preserve"> </w:t>
      </w:r>
      <w:r w:rsidRPr="001D7812" w:rsidR="009E1AF7">
        <w:rPr>
          <w:rFonts w:cs="Times New Roman"/>
          <w:szCs w:val="24"/>
        </w:rPr>
        <w:t xml:space="preserve">And there is no provision in Ohio law that allows FirstEnergy to collect stranded costs from consumers. </w:t>
      </w:r>
    </w:p>
    <w:p w:rsidR="00CE4CF6" w:rsidRPr="001D7812" w:rsidP="00A3275B" w14:paraId="07C81BC7" w14:textId="10B7D564">
      <w:pPr>
        <w:spacing w:line="480" w:lineRule="auto"/>
        <w:ind w:firstLine="720"/>
        <w:rPr>
          <w:rFonts w:cs="Times New Roman"/>
          <w:szCs w:val="24"/>
        </w:rPr>
      </w:pPr>
      <w:r w:rsidRPr="001D7812">
        <w:rPr>
          <w:rFonts w:cs="Times New Roman"/>
          <w:szCs w:val="24"/>
        </w:rPr>
        <w:t>Ohio Revised Code section 4909</w:t>
      </w:r>
      <w:r w:rsidRPr="001D7812" w:rsidR="009E1AF7">
        <w:rPr>
          <w:rFonts w:cs="Times New Roman"/>
          <w:szCs w:val="24"/>
        </w:rPr>
        <w:t>.</w:t>
      </w:r>
      <w:r w:rsidRPr="001D7812">
        <w:rPr>
          <w:rFonts w:cs="Times New Roman"/>
          <w:szCs w:val="24"/>
        </w:rPr>
        <w:t xml:space="preserve">15(A) states: </w:t>
      </w:r>
    </w:p>
    <w:p w:rsidR="00CE4CF6" w:rsidRPr="001D7812" w:rsidP="00F149B1" w14:paraId="0838A46D" w14:textId="2105CA68">
      <w:pPr>
        <w:ind w:left="1440" w:right="1440"/>
        <w:rPr>
          <w:rFonts w:cs="Times New Roman"/>
          <w:szCs w:val="24"/>
        </w:rPr>
      </w:pPr>
      <w:r w:rsidRPr="001D7812">
        <w:rPr>
          <w:rFonts w:cs="Times New Roman"/>
          <w:szCs w:val="24"/>
        </w:rPr>
        <w:t>(A) The public utilities commission, when fixing and determining just and reasonable rates, fares, tolls, rentals, and charges, shall determine: (1) The valuation as of the date certain of the property of the public utility used and useful or, with respect to a natural gas, water-works, or sewage disposal system company, projected to be used and useful as of the date certain, in rendering the public utility service for which rates are to be fixed and determined. The valuation so determined shall be the total value as set forth in division (C)(8) of section 4909.05 of the Revised Code, and a reasonable allowance for materials and supplies and cash working capital as determined by the commission.</w:t>
      </w:r>
      <w:r>
        <w:rPr>
          <w:rStyle w:val="FootnoteReference"/>
          <w:rFonts w:cs="Times New Roman"/>
          <w:szCs w:val="24"/>
        </w:rPr>
        <w:footnoteReference w:id="121"/>
      </w:r>
    </w:p>
    <w:p w:rsidR="0075526F" w:rsidRPr="001D7812" w:rsidP="00CE4CF6" w14:paraId="73FB6165" w14:textId="77777777">
      <w:pPr>
        <w:ind w:left="1440" w:right="1440" w:firstLine="720"/>
        <w:rPr>
          <w:rFonts w:cs="Times New Roman"/>
          <w:szCs w:val="24"/>
        </w:rPr>
      </w:pPr>
    </w:p>
    <w:p w:rsidR="0075526F" w:rsidRPr="001D7812" w:rsidP="00A3275B" w14:paraId="229474DE" w14:textId="72548B39">
      <w:pPr>
        <w:spacing w:line="480" w:lineRule="auto"/>
        <w:ind w:firstLine="720"/>
        <w:rPr>
          <w:rFonts w:cs="Times New Roman"/>
          <w:szCs w:val="24"/>
        </w:rPr>
      </w:pPr>
      <w:r w:rsidRPr="001D7812">
        <w:rPr>
          <w:rFonts w:cs="Times New Roman"/>
          <w:szCs w:val="24"/>
        </w:rPr>
        <w:t>Mr. Meyer testified in his capacity as a regulatory expert as follows:</w:t>
      </w:r>
    </w:p>
    <w:p w:rsidR="0075526F" w:rsidRPr="001D7812" w:rsidP="00F149B1" w14:paraId="0AE63885" w14:textId="306DF994">
      <w:pPr>
        <w:ind w:left="1440" w:right="1440"/>
        <w:rPr>
          <w:rFonts w:cs="Times New Roman"/>
          <w:szCs w:val="24"/>
        </w:rPr>
      </w:pPr>
      <w:r w:rsidRPr="001D7812">
        <w:rPr>
          <w:rFonts w:cs="Times New Roman"/>
          <w:szCs w:val="24"/>
        </w:rPr>
        <w:t>Under a plain reading of this statutory language, it appears that rates may not include any consideration of plant that is neither used nor useful as of the date certain. Given that language, my recommendation would be to exclude recovery for stranded AMI investments from any approved Rider AMI.</w:t>
      </w:r>
      <w:r>
        <w:rPr>
          <w:rStyle w:val="FootnoteReference"/>
          <w:rFonts w:cs="Times New Roman"/>
          <w:szCs w:val="24"/>
        </w:rPr>
        <w:footnoteReference w:id="122"/>
      </w:r>
    </w:p>
    <w:p w:rsidR="0075526F" w:rsidRPr="001D7812" w:rsidP="0075526F" w14:paraId="21D630ED" w14:textId="77777777">
      <w:pPr>
        <w:ind w:left="1440" w:right="1440"/>
        <w:rPr>
          <w:rFonts w:cs="Times New Roman"/>
          <w:szCs w:val="24"/>
        </w:rPr>
      </w:pPr>
    </w:p>
    <w:p w:rsidR="00BB43EA" w:rsidRPr="001D7812" w:rsidP="00A3275B" w14:paraId="0CF8ED61" w14:textId="61AC2CE1">
      <w:pPr>
        <w:spacing w:line="480" w:lineRule="auto"/>
        <w:ind w:firstLine="720"/>
        <w:rPr>
          <w:rFonts w:cs="Times New Roman"/>
          <w:szCs w:val="24"/>
        </w:rPr>
      </w:pPr>
      <w:r w:rsidRPr="001D7812">
        <w:rPr>
          <w:rFonts w:cs="Times New Roman"/>
          <w:szCs w:val="24"/>
        </w:rPr>
        <w:t xml:space="preserve">As Mr. Meyer noted, R.C. </w:t>
      </w:r>
      <w:r w:rsidRPr="001D7812" w:rsidR="0082076D">
        <w:rPr>
          <w:rFonts w:cs="Times New Roman"/>
          <w:szCs w:val="24"/>
        </w:rPr>
        <w:t>4909</w:t>
      </w:r>
      <w:r w:rsidRPr="001D7812">
        <w:rPr>
          <w:rFonts w:cs="Times New Roman"/>
          <w:szCs w:val="24"/>
        </w:rPr>
        <w:t>.</w:t>
      </w:r>
      <w:r w:rsidRPr="001D7812" w:rsidR="0082076D">
        <w:rPr>
          <w:rFonts w:cs="Times New Roman"/>
          <w:szCs w:val="24"/>
        </w:rPr>
        <w:t xml:space="preserve">15(A) prohibits utilities </w:t>
      </w:r>
      <w:r w:rsidRPr="001D7812">
        <w:rPr>
          <w:rFonts w:cs="Times New Roman"/>
          <w:szCs w:val="24"/>
        </w:rPr>
        <w:t>from collecting costs for equipment which is</w:t>
      </w:r>
      <w:r w:rsidRPr="001D7812" w:rsidR="00E32AAB">
        <w:rPr>
          <w:rFonts w:cs="Times New Roman"/>
          <w:szCs w:val="24"/>
        </w:rPr>
        <w:t xml:space="preserve"> not used and useful</w:t>
      </w:r>
      <w:r w:rsidRPr="001D7812" w:rsidR="006D0B4D">
        <w:rPr>
          <w:rFonts w:cs="Times New Roman"/>
          <w:szCs w:val="24"/>
        </w:rPr>
        <w:t xml:space="preserve"> on the date certain</w:t>
      </w:r>
      <w:r w:rsidRPr="001D7812">
        <w:rPr>
          <w:rFonts w:cs="Times New Roman"/>
          <w:szCs w:val="24"/>
        </w:rPr>
        <w:t>.</w:t>
      </w:r>
      <w:r w:rsidRPr="001D7812" w:rsidR="00CE2F18">
        <w:rPr>
          <w:rFonts w:cs="Times New Roman"/>
          <w:szCs w:val="24"/>
        </w:rPr>
        <w:t xml:space="preserve"> </w:t>
      </w:r>
      <w:r w:rsidRPr="001D7812" w:rsidR="00BB0F2E">
        <w:rPr>
          <w:rFonts w:cs="Times New Roman"/>
          <w:szCs w:val="24"/>
        </w:rPr>
        <w:t>Rider AMI</w:t>
      </w:r>
      <w:r w:rsidRPr="001D7812">
        <w:rPr>
          <w:rFonts w:cs="Times New Roman"/>
          <w:szCs w:val="24"/>
        </w:rPr>
        <w:t xml:space="preserve"> allows FirstEnergy to continue collecting a return on and of the meters and equipment taken out of service.</w:t>
      </w:r>
      <w:r w:rsidRPr="001D7812" w:rsidR="00CE2F18">
        <w:rPr>
          <w:rFonts w:cs="Times New Roman"/>
          <w:szCs w:val="24"/>
        </w:rPr>
        <w:t xml:space="preserve"> </w:t>
      </w:r>
      <w:r w:rsidRPr="001D7812">
        <w:rPr>
          <w:rFonts w:cs="Times New Roman"/>
          <w:szCs w:val="24"/>
        </w:rPr>
        <w:t>This provision of Rider AMI is therefore unjust and unreasonable and contrary to Ohio law.</w:t>
      </w:r>
    </w:p>
    <w:p w:rsidR="00FA2212" w:rsidRPr="001D7812" w:rsidP="00B30CAA" w14:paraId="17D3D761" w14:textId="132BDB00">
      <w:pPr>
        <w:pStyle w:val="Heading2"/>
      </w:pPr>
      <w:bookmarkStart w:id="20" w:name="_Toc156567933"/>
      <w:r w:rsidRPr="001D7812">
        <w:t>N.</w:t>
      </w:r>
      <w:r w:rsidRPr="001D7812">
        <w:tab/>
      </w:r>
      <w:r w:rsidRPr="001D7812">
        <w:t>The sheer number of riders proposed by FirstEnergy is excessive, which weakens consumer protection by reducing the incentive for FirstEnergy to control costs.</w:t>
      </w:r>
      <w:r w:rsidRPr="001D7812" w:rsidR="00CE2F18">
        <w:t xml:space="preserve"> </w:t>
      </w:r>
      <w:r w:rsidRPr="001D7812">
        <w:t>The PUCO should therefore reject FirstEnergy</w:t>
      </w:r>
      <w:r w:rsidR="009F1383">
        <w:t>’</w:t>
      </w:r>
      <w:r w:rsidRPr="001D7812">
        <w:t>s proposal to establish new riders for storm restoration costs (Rider SCR) and for vegetation management costs (Rider VMC).</w:t>
      </w:r>
      <w:bookmarkEnd w:id="20"/>
    </w:p>
    <w:p w:rsidR="00FA2212" w:rsidRPr="001D7812" w:rsidP="00FA2212" w14:paraId="34FA61C1" w14:textId="5C7B9297">
      <w:pPr>
        <w:spacing w:line="480" w:lineRule="auto"/>
        <w:ind w:firstLine="720"/>
        <w:rPr>
          <w:rFonts w:cs="Times New Roman"/>
          <w:szCs w:val="24"/>
        </w:rPr>
      </w:pPr>
      <w:r w:rsidRPr="001D7812">
        <w:rPr>
          <w:rFonts w:cs="Times New Roman"/>
          <w:szCs w:val="24"/>
        </w:rPr>
        <w:t xml:space="preserve">OCC witness </w:t>
      </w:r>
      <w:r w:rsidRPr="001D7812" w:rsidR="00992765">
        <w:rPr>
          <w:rFonts w:cs="Times New Roman"/>
          <w:szCs w:val="24"/>
        </w:rPr>
        <w:t xml:space="preserve">Mr. </w:t>
      </w:r>
      <w:r w:rsidRPr="001D7812">
        <w:rPr>
          <w:rFonts w:cs="Times New Roman"/>
          <w:szCs w:val="24"/>
        </w:rPr>
        <w:t>Meyer testified that riders are special regulatory mechanisms which allow for the recovery of an expense incurred during the test year to be collected over an extended period of time.</w:t>
      </w:r>
      <w:r>
        <w:rPr>
          <w:rStyle w:val="FootnoteReference"/>
          <w:rFonts w:cs="Times New Roman"/>
          <w:szCs w:val="24"/>
        </w:rPr>
        <w:footnoteReference w:id="123"/>
      </w:r>
      <w:r w:rsidRPr="001D7812">
        <w:rPr>
          <w:rFonts w:cs="Times New Roman"/>
          <w:szCs w:val="24"/>
        </w:rPr>
        <w:t xml:space="preserve"> </w:t>
      </w:r>
      <w:r w:rsidRPr="001D7812">
        <w:rPr>
          <w:rFonts w:cs="Times New Roman"/>
          <w:szCs w:val="24"/>
        </w:rPr>
        <w:t xml:space="preserve">However, as explained above </w:t>
      </w:r>
      <w:r w:rsidRPr="009939E0">
        <w:rPr>
          <w:rFonts w:cs="Times New Roman"/>
          <w:szCs w:val="24"/>
        </w:rPr>
        <w:t xml:space="preserve">in </w:t>
      </w:r>
      <w:r w:rsidRPr="00B0493A" w:rsidR="00F654F3">
        <w:rPr>
          <w:rFonts w:cs="Times New Roman"/>
          <w:b/>
          <w:bCs/>
          <w:szCs w:val="24"/>
        </w:rPr>
        <w:t>S</w:t>
      </w:r>
      <w:r w:rsidRPr="00B0493A">
        <w:rPr>
          <w:rFonts w:cs="Times New Roman"/>
          <w:b/>
          <w:bCs/>
          <w:szCs w:val="24"/>
        </w:rPr>
        <w:t xml:space="preserve">ection </w:t>
      </w:r>
      <w:r w:rsidRPr="00B0493A" w:rsidR="00D56174">
        <w:rPr>
          <w:rFonts w:cs="Times New Roman"/>
          <w:b/>
          <w:bCs/>
          <w:szCs w:val="24"/>
        </w:rPr>
        <w:t>B</w:t>
      </w:r>
      <w:r w:rsidRPr="009939E0">
        <w:rPr>
          <w:rFonts w:cs="Times New Roman"/>
          <w:szCs w:val="24"/>
        </w:rPr>
        <w:t>,</w:t>
      </w:r>
      <w:r w:rsidRPr="001D7812">
        <w:rPr>
          <w:rFonts w:cs="Times New Roman"/>
          <w:szCs w:val="24"/>
        </w:rPr>
        <w:t xml:space="preserve"> riders can harm consumers because the charges to consumers receive less regulatory scrutiny. </w:t>
      </w:r>
    </w:p>
    <w:p w:rsidR="00FA2212" w:rsidRPr="001D7812" w:rsidP="00FA2212" w14:paraId="048507D4" w14:textId="61E8E92B">
      <w:pPr>
        <w:spacing w:line="480" w:lineRule="auto"/>
        <w:ind w:firstLine="720"/>
        <w:rPr>
          <w:rFonts w:cs="Times New Roman"/>
          <w:szCs w:val="24"/>
        </w:rPr>
      </w:pPr>
      <w:r w:rsidRPr="001D7812">
        <w:rPr>
          <w:rFonts w:cs="Times New Roman"/>
          <w:szCs w:val="24"/>
        </w:rPr>
        <w:t xml:space="preserve">Mr. </w:t>
      </w:r>
      <w:r w:rsidRPr="001D7812">
        <w:rPr>
          <w:rFonts w:cs="Times New Roman"/>
          <w:szCs w:val="24"/>
        </w:rPr>
        <w:t>Meyer identified various types of special regulatory mechanisms used by utilities, such as amortizations which allow for costs to be collected over multiple years, deferrals which negate the need for an immediate rate case, riders for costs that are beyond the utility</w:t>
      </w:r>
      <w:r w:rsidR="009F1383">
        <w:rPr>
          <w:rFonts w:cs="Times New Roman"/>
          <w:szCs w:val="24"/>
        </w:rPr>
        <w:t>’</w:t>
      </w:r>
      <w:r w:rsidRPr="001D7812">
        <w:rPr>
          <w:rFonts w:cs="Times New Roman"/>
          <w:szCs w:val="24"/>
        </w:rPr>
        <w:t>s control and riders to address regulatory lag.</w:t>
      </w:r>
      <w:r>
        <w:rPr>
          <w:rStyle w:val="FootnoteReference"/>
          <w:rFonts w:cs="Times New Roman"/>
          <w:szCs w:val="24"/>
        </w:rPr>
        <w:footnoteReference w:id="124"/>
      </w:r>
      <w:r w:rsidRPr="001D7812" w:rsidR="00CE2F18">
        <w:rPr>
          <w:rFonts w:cs="Times New Roman"/>
          <w:szCs w:val="24"/>
        </w:rPr>
        <w:t xml:space="preserve"> </w:t>
      </w:r>
      <w:r w:rsidRPr="001D7812">
        <w:rPr>
          <w:rFonts w:cs="Times New Roman"/>
          <w:szCs w:val="24"/>
        </w:rPr>
        <w:t>Mr.</w:t>
      </w:r>
      <w:r w:rsidRPr="001D7812">
        <w:rPr>
          <w:rFonts w:cs="Times New Roman"/>
          <w:szCs w:val="24"/>
        </w:rPr>
        <w:t xml:space="preserve"> Meyer explained that regulatory lag is the amount of time in between when a cost is incurred by the utility and the expense is collected from the consumers, and may benefit consumers or the utility.</w:t>
      </w:r>
      <w:r>
        <w:rPr>
          <w:rStyle w:val="FootnoteReference"/>
          <w:rFonts w:cs="Times New Roman"/>
          <w:szCs w:val="24"/>
        </w:rPr>
        <w:footnoteReference w:id="125"/>
      </w:r>
      <w:r w:rsidRPr="001D7812">
        <w:rPr>
          <w:rFonts w:cs="Times New Roman"/>
          <w:szCs w:val="24"/>
        </w:rPr>
        <w:t xml:space="preserve"> According to </w:t>
      </w:r>
      <w:r w:rsidRPr="001D7812">
        <w:rPr>
          <w:rFonts w:cs="Times New Roman"/>
          <w:szCs w:val="24"/>
        </w:rPr>
        <w:t>Mr.</w:t>
      </w:r>
      <w:r w:rsidRPr="001D7812">
        <w:rPr>
          <w:rFonts w:cs="Times New Roman"/>
          <w:szCs w:val="24"/>
        </w:rPr>
        <w:t xml:space="preserve"> Meyer, utilities often benefit from the decline in legacy rate base once rates are established in a rate case, and notes that it is imperative to capture this decline in rate base if other aspects of the rate base are to be singled out for recovery outside the context of a rate case.</w:t>
      </w:r>
      <w:r>
        <w:rPr>
          <w:rStyle w:val="FootnoteReference"/>
          <w:rFonts w:cs="Times New Roman"/>
          <w:szCs w:val="24"/>
        </w:rPr>
        <w:footnoteReference w:id="126"/>
      </w:r>
      <w:r w:rsidRPr="001D7812">
        <w:rPr>
          <w:rFonts w:cs="Times New Roman"/>
          <w:szCs w:val="24"/>
        </w:rPr>
        <w:t xml:space="preserve"> If such offsets are not captured, the profits of the utility will be greatly enhanced with no corresponding benefit provided to consumers.</w:t>
      </w:r>
      <w:r>
        <w:rPr>
          <w:rStyle w:val="FootnoteReference"/>
          <w:rFonts w:cs="Times New Roman"/>
          <w:szCs w:val="24"/>
        </w:rPr>
        <w:footnoteReference w:id="127"/>
      </w:r>
    </w:p>
    <w:p w:rsidR="00FA2212" w:rsidRPr="001D7812" w:rsidP="00FA2212" w14:paraId="7E89F3E7" w14:textId="3157E6C9">
      <w:pPr>
        <w:spacing w:line="480" w:lineRule="auto"/>
        <w:ind w:firstLine="720"/>
        <w:rPr>
          <w:rFonts w:cs="Times New Roman"/>
          <w:szCs w:val="24"/>
        </w:rPr>
      </w:pPr>
      <w:r w:rsidRPr="001D7812">
        <w:rPr>
          <w:rFonts w:cs="Times New Roman"/>
          <w:szCs w:val="24"/>
        </w:rPr>
        <w:t>Mr.</w:t>
      </w:r>
      <w:r w:rsidRPr="001D7812">
        <w:rPr>
          <w:rFonts w:cs="Times New Roman"/>
          <w:szCs w:val="24"/>
        </w:rPr>
        <w:t xml:space="preserve"> Meyer cited a Missouri Public Service Commission Case No. ER-2012-0166, for the principle that </w:t>
      </w:r>
      <w:r w:rsidR="009F1383">
        <w:rPr>
          <w:rFonts w:cs="Times New Roman"/>
          <w:szCs w:val="24"/>
        </w:rPr>
        <w:t>“</w:t>
      </w:r>
      <w:r w:rsidRPr="001D7812">
        <w:rPr>
          <w:rFonts w:cs="Times New Roman"/>
          <w:szCs w:val="24"/>
        </w:rPr>
        <w:t>In general, the Commission remains skeptical of proposed tracking mechanisms. There is a legitimate concern that a tracker can reduce a company</w:t>
      </w:r>
      <w:r w:rsidR="009F1383">
        <w:rPr>
          <w:rFonts w:cs="Times New Roman"/>
          <w:szCs w:val="24"/>
        </w:rPr>
        <w:t>’</w:t>
      </w:r>
      <w:r w:rsidRPr="001D7812">
        <w:rPr>
          <w:rFonts w:cs="Times New Roman"/>
          <w:szCs w:val="24"/>
        </w:rPr>
        <w:t>s incentive to aggressively control costs.</w:t>
      </w:r>
      <w:r w:rsidR="009F1383">
        <w:rPr>
          <w:rFonts w:cs="Times New Roman"/>
          <w:szCs w:val="24"/>
        </w:rPr>
        <w:t>”</w:t>
      </w:r>
      <w:r>
        <w:rPr>
          <w:rStyle w:val="FootnoteReference"/>
          <w:rFonts w:cs="Times New Roman"/>
          <w:szCs w:val="24"/>
        </w:rPr>
        <w:footnoteReference w:id="128"/>
      </w:r>
      <w:r w:rsidRPr="001D7812" w:rsidR="00CE2F18">
        <w:rPr>
          <w:rFonts w:cs="Times New Roman"/>
          <w:szCs w:val="24"/>
        </w:rPr>
        <w:t xml:space="preserve"> </w:t>
      </w:r>
      <w:r w:rsidRPr="001D7812">
        <w:rPr>
          <w:rFonts w:cs="Times New Roman"/>
          <w:szCs w:val="24"/>
        </w:rPr>
        <w:t>Mr. Meyer explained that this principle illustrates how reliance on an excessive number of trackers, riders and other special regulatory mechanisms decreases a utility</w:t>
      </w:r>
      <w:r w:rsidR="009F1383">
        <w:rPr>
          <w:rFonts w:cs="Times New Roman"/>
          <w:szCs w:val="24"/>
        </w:rPr>
        <w:t>’</w:t>
      </w:r>
      <w:r w:rsidRPr="001D7812">
        <w:rPr>
          <w:rFonts w:cs="Times New Roman"/>
          <w:szCs w:val="24"/>
        </w:rPr>
        <w:t>s incentive to manage all aspects of its business in a cost-effective manner.</w:t>
      </w:r>
      <w:r>
        <w:rPr>
          <w:rStyle w:val="FootnoteReference"/>
          <w:rFonts w:cs="Times New Roman"/>
          <w:szCs w:val="24"/>
        </w:rPr>
        <w:footnoteReference w:id="129"/>
      </w:r>
      <w:r w:rsidRPr="001D7812">
        <w:rPr>
          <w:rFonts w:cs="Times New Roman"/>
          <w:szCs w:val="24"/>
        </w:rPr>
        <w:t xml:space="preserve"> He noted that FirstEnergy has an average of 54 riders and nine tariff provisions for each of its Ohio utilities. and </w:t>
      </w:r>
      <w:r w:rsidRPr="001D7812">
        <w:rPr>
          <w:rFonts w:cs="Times New Roman"/>
          <w:szCs w:val="24"/>
        </w:rPr>
        <w:t>proposes</w:t>
      </w:r>
      <w:r w:rsidRPr="001D7812">
        <w:rPr>
          <w:rFonts w:cs="Times New Roman"/>
          <w:szCs w:val="24"/>
        </w:rPr>
        <w:t xml:space="preserve"> to add three </w:t>
      </w:r>
      <w:r w:rsidRPr="001D7812">
        <w:rPr>
          <w:rFonts w:cs="Times New Roman"/>
          <w:szCs w:val="24"/>
        </w:rPr>
        <w:t>additional new</w:t>
      </w:r>
      <w:r w:rsidRPr="001D7812">
        <w:rPr>
          <w:rFonts w:cs="Times New Roman"/>
          <w:szCs w:val="24"/>
        </w:rPr>
        <w:t xml:space="preserve"> riders in ESP V.</w:t>
      </w:r>
      <w:r>
        <w:rPr>
          <w:rStyle w:val="FootnoteReference"/>
          <w:rFonts w:cs="Times New Roman"/>
          <w:szCs w:val="24"/>
        </w:rPr>
        <w:footnoteReference w:id="130"/>
      </w:r>
      <w:r w:rsidRPr="001D7812">
        <w:rPr>
          <w:rFonts w:cs="Times New Roman"/>
          <w:szCs w:val="24"/>
        </w:rPr>
        <w:t xml:space="preserve"> Mr. Meyer explained that </w:t>
      </w:r>
      <w:r w:rsidRPr="001D7812">
        <w:rPr>
          <w:rFonts w:cs="Times New Roman"/>
          <w:szCs w:val="24"/>
        </w:rPr>
        <w:t xml:space="preserve">such </w:t>
      </w:r>
      <w:r w:rsidRPr="001D7812">
        <w:rPr>
          <w:rFonts w:cs="Times New Roman"/>
          <w:szCs w:val="24"/>
        </w:rPr>
        <w:t xml:space="preserve">an </w:t>
      </w:r>
      <w:r w:rsidRPr="001D7812">
        <w:rPr>
          <w:rFonts w:cs="Times New Roman"/>
          <w:szCs w:val="24"/>
        </w:rPr>
        <w:t>excess</w:t>
      </w:r>
      <w:r w:rsidRPr="001D7812">
        <w:rPr>
          <w:rFonts w:cs="Times New Roman"/>
          <w:szCs w:val="24"/>
        </w:rPr>
        <w:t xml:space="preserve"> of riders </w:t>
      </w:r>
      <w:r w:rsidRPr="001D7812">
        <w:rPr>
          <w:rFonts w:cs="Times New Roman"/>
          <w:szCs w:val="24"/>
        </w:rPr>
        <w:t>is</w:t>
      </w:r>
      <w:r w:rsidRPr="001D7812">
        <w:rPr>
          <w:rFonts w:cs="Times New Roman"/>
          <w:szCs w:val="24"/>
        </w:rPr>
        <w:t xml:space="preserve"> more beneficial to shareholders </w:t>
      </w:r>
      <w:r w:rsidRPr="001D7812">
        <w:rPr>
          <w:rFonts w:cs="Times New Roman"/>
          <w:szCs w:val="24"/>
        </w:rPr>
        <w:t xml:space="preserve">than consumers </w:t>
      </w:r>
      <w:r w:rsidRPr="001D7812">
        <w:rPr>
          <w:rFonts w:cs="Times New Roman"/>
          <w:szCs w:val="24"/>
        </w:rPr>
        <w:t>because it undermine</w:t>
      </w:r>
      <w:r w:rsidRPr="001D7812">
        <w:rPr>
          <w:rFonts w:cs="Times New Roman"/>
          <w:szCs w:val="24"/>
        </w:rPr>
        <w:t>s FirstEnergy</w:t>
      </w:r>
      <w:r w:rsidR="009F1383">
        <w:rPr>
          <w:rFonts w:cs="Times New Roman"/>
          <w:szCs w:val="24"/>
        </w:rPr>
        <w:t>’</w:t>
      </w:r>
      <w:r w:rsidRPr="001D7812">
        <w:rPr>
          <w:rFonts w:cs="Times New Roman"/>
          <w:szCs w:val="24"/>
        </w:rPr>
        <w:t>s</w:t>
      </w:r>
      <w:r w:rsidRPr="001D7812">
        <w:rPr>
          <w:rFonts w:cs="Times New Roman"/>
          <w:szCs w:val="24"/>
        </w:rPr>
        <w:t xml:space="preserve"> </w:t>
      </w:r>
      <w:r w:rsidRPr="001D7812">
        <w:rPr>
          <w:rFonts w:cs="Times New Roman"/>
          <w:szCs w:val="24"/>
        </w:rPr>
        <w:t>incentive to control costs.</w:t>
      </w:r>
      <w:r>
        <w:rPr>
          <w:rStyle w:val="FootnoteReference"/>
          <w:rFonts w:cs="Times New Roman"/>
          <w:szCs w:val="24"/>
        </w:rPr>
        <w:footnoteReference w:id="131"/>
      </w:r>
      <w:r w:rsidRPr="001D7812" w:rsidR="00CE2F18">
        <w:rPr>
          <w:rFonts w:cs="Times New Roman"/>
          <w:szCs w:val="24"/>
        </w:rPr>
        <w:t xml:space="preserve"> </w:t>
      </w:r>
      <w:r w:rsidRPr="001D7812">
        <w:rPr>
          <w:rFonts w:cs="Times New Roman"/>
          <w:szCs w:val="24"/>
        </w:rPr>
        <w:t>H</w:t>
      </w:r>
      <w:r w:rsidRPr="001D7812">
        <w:rPr>
          <w:rFonts w:cs="Times New Roman"/>
          <w:szCs w:val="24"/>
        </w:rPr>
        <w:t>e observed that the number of FirstEnergy riders was the most riders he has seen for any utility he has audited in his entire career.</w:t>
      </w:r>
      <w:r>
        <w:rPr>
          <w:rStyle w:val="FootnoteReference"/>
          <w:rFonts w:cs="Times New Roman"/>
          <w:szCs w:val="24"/>
        </w:rPr>
        <w:footnoteReference w:id="132"/>
      </w:r>
    </w:p>
    <w:p w:rsidR="00FA2212" w:rsidRPr="001D7812" w:rsidP="00FA2212" w14:paraId="0D5EE559" w14:textId="56779007">
      <w:pPr>
        <w:spacing w:line="480" w:lineRule="auto"/>
        <w:ind w:firstLine="720"/>
        <w:rPr>
          <w:rFonts w:cs="Times New Roman"/>
          <w:szCs w:val="24"/>
        </w:rPr>
      </w:pPr>
      <w:r w:rsidRPr="001D7812">
        <w:rPr>
          <w:rFonts w:cs="Times New Roman"/>
          <w:szCs w:val="24"/>
        </w:rPr>
        <w:t>Given the excessive number of FirstEnergy</w:t>
      </w:r>
      <w:r w:rsidR="009F1383">
        <w:rPr>
          <w:rFonts w:cs="Times New Roman"/>
          <w:szCs w:val="24"/>
        </w:rPr>
        <w:t>’</w:t>
      </w:r>
      <w:r w:rsidRPr="001D7812">
        <w:rPr>
          <w:rFonts w:cs="Times New Roman"/>
          <w:szCs w:val="24"/>
        </w:rPr>
        <w:t>s existing riders, it would be unjust and unreasonable for the PUCO to approve FirstEnergy</w:t>
      </w:r>
      <w:r w:rsidR="009F1383">
        <w:rPr>
          <w:rFonts w:cs="Times New Roman"/>
          <w:szCs w:val="24"/>
        </w:rPr>
        <w:t>’</w:t>
      </w:r>
      <w:r w:rsidRPr="001D7812">
        <w:rPr>
          <w:rFonts w:cs="Times New Roman"/>
          <w:szCs w:val="24"/>
        </w:rPr>
        <w:t>s proposed new riders for storm restoration costs (Rider SCR) and for vegetation management costs (Rider VMC).</w:t>
      </w:r>
      <w:r w:rsidRPr="001D7812" w:rsidR="00CE2F18">
        <w:rPr>
          <w:rFonts w:cs="Times New Roman"/>
          <w:szCs w:val="24"/>
        </w:rPr>
        <w:t xml:space="preserve"> </w:t>
      </w:r>
      <w:r w:rsidRPr="001D7812">
        <w:rPr>
          <w:rFonts w:cs="Times New Roman"/>
          <w:szCs w:val="24"/>
        </w:rPr>
        <w:t>PUCO should therefore reject FirstEnergy</w:t>
      </w:r>
      <w:r w:rsidR="009F1383">
        <w:rPr>
          <w:rFonts w:cs="Times New Roman"/>
          <w:szCs w:val="24"/>
        </w:rPr>
        <w:t>’</w:t>
      </w:r>
      <w:r w:rsidRPr="001D7812">
        <w:rPr>
          <w:rFonts w:cs="Times New Roman"/>
          <w:szCs w:val="24"/>
        </w:rPr>
        <w:t>s Rider SCR and Rider VMC proposals.</w:t>
      </w:r>
    </w:p>
    <w:p w:rsidR="0033305E" w:rsidRPr="001D7812" w:rsidP="000B403C" w14:paraId="7241D4B6" w14:textId="37AD0886">
      <w:pPr>
        <w:pStyle w:val="Heading2"/>
      </w:pPr>
      <w:bookmarkStart w:id="21" w:name="_Toc156567934"/>
      <w:r w:rsidRPr="001D7812">
        <w:t>O.</w:t>
      </w:r>
      <w:r w:rsidRPr="001D7812">
        <w:tab/>
      </w:r>
      <w:r w:rsidRPr="001D7812" w:rsidR="00322243">
        <w:t>FirstEnergy</w:t>
      </w:r>
      <w:r w:rsidR="009F1383">
        <w:t>’</w:t>
      </w:r>
      <w:r w:rsidRPr="001D7812" w:rsidR="00322243">
        <w:t xml:space="preserve">s </w:t>
      </w:r>
      <w:r w:rsidRPr="001D7812" w:rsidR="001360DB">
        <w:t>Storm Cost Recovery Rider (</w:t>
      </w:r>
      <w:r w:rsidR="009F1383">
        <w:t>“</w:t>
      </w:r>
      <w:r w:rsidRPr="001D7812" w:rsidR="00182AF1">
        <w:t>Rider SCR</w:t>
      </w:r>
      <w:r w:rsidR="009F1383">
        <w:t>”</w:t>
      </w:r>
      <w:r w:rsidRPr="001D7812" w:rsidR="001360DB">
        <w:t>)</w:t>
      </w:r>
      <w:r w:rsidRPr="001D7812" w:rsidR="00182AF1">
        <w:t xml:space="preserve"> proposal</w:t>
      </w:r>
      <w:r w:rsidRPr="001D7812" w:rsidR="00322243">
        <w:t xml:space="preserve"> is unjust and unreasonable because </w:t>
      </w:r>
      <w:r w:rsidRPr="001D7812">
        <w:t>FirstEnergy failed to demonstrate any need for Rider SCR</w:t>
      </w:r>
      <w:r w:rsidRPr="001D7812" w:rsidR="00182AF1">
        <w:t>.</w:t>
      </w:r>
      <w:r w:rsidRPr="001D7812" w:rsidR="00CE2F18">
        <w:t xml:space="preserve"> </w:t>
      </w:r>
      <w:r w:rsidRPr="001D7812" w:rsidR="00182AF1">
        <w:t>FirstEnergy</w:t>
      </w:r>
      <w:r w:rsidR="009F1383">
        <w:t>’</w:t>
      </w:r>
      <w:r w:rsidRPr="001D7812" w:rsidR="00182AF1">
        <w:t>s failure</w:t>
      </w:r>
      <w:r w:rsidRPr="001D7812">
        <w:t xml:space="preserve"> to limit the rider to major storms would result in excessive rates and </w:t>
      </w:r>
      <w:r w:rsidRPr="001D7812" w:rsidR="00182AF1">
        <w:t>conflicts with</w:t>
      </w:r>
      <w:r w:rsidRPr="001D7812">
        <w:t xml:space="preserve"> PUCO precedent for other Ohio </w:t>
      </w:r>
      <w:r w:rsidRPr="001D7812" w:rsidR="00182AF1">
        <w:t>u</w:t>
      </w:r>
      <w:r w:rsidRPr="001D7812">
        <w:t>tilities</w:t>
      </w:r>
      <w:r w:rsidR="009F1383">
        <w:t>’</w:t>
      </w:r>
      <w:r w:rsidRPr="001D7812">
        <w:t xml:space="preserve"> storm cost restoration cost riders.</w:t>
      </w:r>
      <w:bookmarkEnd w:id="21"/>
    </w:p>
    <w:p w:rsidR="00182AF1" w:rsidRPr="001D7812" w:rsidP="00A82749" w14:paraId="3CE6035F" w14:textId="7C6492AB">
      <w:pPr>
        <w:spacing w:line="480" w:lineRule="auto"/>
        <w:ind w:firstLine="720"/>
        <w:rPr>
          <w:rFonts w:eastAsia="Calibri" w:cs="Times New Roman"/>
          <w:szCs w:val="24"/>
        </w:rPr>
      </w:pPr>
      <w:r w:rsidRPr="001D7812">
        <w:rPr>
          <w:rFonts w:eastAsia="Calibri" w:cs="Times New Roman"/>
          <w:szCs w:val="24"/>
        </w:rPr>
        <w:t>FirstEnergy</w:t>
      </w:r>
      <w:r w:rsidR="009F1383">
        <w:rPr>
          <w:rFonts w:eastAsia="Calibri" w:cs="Times New Roman"/>
          <w:szCs w:val="24"/>
        </w:rPr>
        <w:t>’</w:t>
      </w:r>
      <w:r w:rsidRPr="001D7812">
        <w:rPr>
          <w:rFonts w:eastAsia="Calibri" w:cs="Times New Roman"/>
          <w:szCs w:val="24"/>
        </w:rPr>
        <w:t>s Rider SCR is unjust and unreasonable and inconsistent with PUCO precedent established in the storm restoration cost riders for other Ohio utilities.</w:t>
      </w:r>
      <w:r w:rsidRPr="001D7812" w:rsidR="00CE2F18">
        <w:rPr>
          <w:rFonts w:eastAsia="Calibri" w:cs="Times New Roman"/>
          <w:szCs w:val="24"/>
        </w:rPr>
        <w:t xml:space="preserve"> </w:t>
      </w:r>
    </w:p>
    <w:p w:rsidR="00A82749" w:rsidRPr="001D7812" w:rsidP="00A82749" w14:paraId="4FB81B04" w14:textId="556AAEC1">
      <w:pPr>
        <w:spacing w:line="480" w:lineRule="auto"/>
        <w:ind w:firstLine="720"/>
        <w:rPr>
          <w:rFonts w:eastAsia="Calibri" w:cs="Times New Roman"/>
          <w:szCs w:val="24"/>
        </w:rPr>
      </w:pPr>
      <w:r w:rsidRPr="001D7812">
        <w:rPr>
          <w:rFonts w:eastAsia="Calibri" w:cs="Times New Roman"/>
          <w:szCs w:val="24"/>
        </w:rPr>
        <w:t xml:space="preserve">OCC witness </w:t>
      </w:r>
      <w:r w:rsidRPr="001D7812" w:rsidR="00182AF1">
        <w:rPr>
          <w:rFonts w:eastAsia="Calibri" w:cs="Times New Roman"/>
          <w:szCs w:val="24"/>
        </w:rPr>
        <w:t>Mr. Meyer testified that FirstEnergy failed to establish a need for this rider.</w:t>
      </w:r>
      <w:r>
        <w:rPr>
          <w:rStyle w:val="FootnoteReference"/>
          <w:rFonts w:eastAsia="Calibri" w:cs="Times New Roman"/>
          <w:szCs w:val="24"/>
        </w:rPr>
        <w:footnoteReference w:id="133"/>
      </w:r>
      <w:r w:rsidRPr="001D7812" w:rsidR="00CE2F18">
        <w:rPr>
          <w:rFonts w:eastAsia="Calibri" w:cs="Times New Roman"/>
          <w:szCs w:val="24"/>
        </w:rPr>
        <w:t xml:space="preserve"> </w:t>
      </w:r>
      <w:r w:rsidRPr="001D7812" w:rsidR="00182AF1">
        <w:rPr>
          <w:rFonts w:eastAsia="Calibri" w:cs="Times New Roman"/>
          <w:szCs w:val="24"/>
        </w:rPr>
        <w:t xml:space="preserve">He stated that </w:t>
      </w:r>
      <w:r w:rsidRPr="001D7812">
        <w:rPr>
          <w:rFonts w:eastAsia="Calibri" w:cs="Times New Roman"/>
          <w:szCs w:val="24"/>
        </w:rPr>
        <w:t xml:space="preserve">Rider SCR would allow FirstEnergy to </w:t>
      </w:r>
      <w:r w:rsidRPr="001D7812">
        <w:rPr>
          <w:rFonts w:eastAsia="Calibri" w:cs="Times New Roman"/>
          <w:szCs w:val="24"/>
        </w:rPr>
        <w:t>charge consumers for</w:t>
      </w:r>
      <w:r w:rsidRPr="001D7812" w:rsidR="00182AF1">
        <w:rPr>
          <w:rFonts w:eastAsia="Calibri" w:cs="Times New Roman"/>
          <w:szCs w:val="24"/>
        </w:rPr>
        <w:t xml:space="preserve"> </w:t>
      </w:r>
      <w:r w:rsidRPr="001D7812">
        <w:rPr>
          <w:rFonts w:eastAsia="Calibri" w:cs="Times New Roman"/>
          <w:szCs w:val="24"/>
        </w:rPr>
        <w:t xml:space="preserve">storm costs without determining the aggregate impact on operations, essentially </w:t>
      </w:r>
      <w:r w:rsidRPr="001D7812" w:rsidR="00182AF1">
        <w:rPr>
          <w:rFonts w:eastAsia="Calibri" w:cs="Times New Roman"/>
          <w:szCs w:val="24"/>
        </w:rPr>
        <w:t>serving as</w:t>
      </w:r>
      <w:r w:rsidRPr="001D7812">
        <w:rPr>
          <w:rFonts w:eastAsia="Calibri" w:cs="Times New Roman"/>
          <w:szCs w:val="24"/>
        </w:rPr>
        <w:t xml:space="preserve"> an insurance policy</w:t>
      </w:r>
      <w:r w:rsidRPr="001D7812" w:rsidR="00182AF1">
        <w:rPr>
          <w:rFonts w:eastAsia="Calibri" w:cs="Times New Roman"/>
          <w:szCs w:val="24"/>
        </w:rPr>
        <w:t>.</w:t>
      </w:r>
      <w:r>
        <w:rPr>
          <w:rStyle w:val="FootnoteReference"/>
          <w:rFonts w:eastAsia="Calibri" w:cs="Times New Roman"/>
          <w:szCs w:val="24"/>
        </w:rPr>
        <w:footnoteReference w:id="134"/>
      </w:r>
      <w:r w:rsidRPr="001D7812" w:rsidR="00CE2F18">
        <w:rPr>
          <w:rFonts w:eastAsia="Calibri" w:cs="Times New Roman"/>
          <w:szCs w:val="24"/>
        </w:rPr>
        <w:t xml:space="preserve"> </w:t>
      </w:r>
      <w:r w:rsidRPr="001D7812" w:rsidR="00182AF1">
        <w:rPr>
          <w:rFonts w:eastAsia="Calibri" w:cs="Times New Roman"/>
          <w:szCs w:val="24"/>
        </w:rPr>
        <w:t>He</w:t>
      </w:r>
      <w:r w:rsidRPr="001D7812">
        <w:rPr>
          <w:rFonts w:eastAsia="Calibri" w:cs="Times New Roman"/>
          <w:szCs w:val="24"/>
        </w:rPr>
        <w:t xml:space="preserve"> recommend</w:t>
      </w:r>
      <w:r w:rsidRPr="001D7812" w:rsidR="00182AF1">
        <w:rPr>
          <w:rFonts w:eastAsia="Calibri" w:cs="Times New Roman"/>
          <w:szCs w:val="24"/>
        </w:rPr>
        <w:t>ed</w:t>
      </w:r>
      <w:r w:rsidRPr="001D7812">
        <w:rPr>
          <w:rFonts w:eastAsia="Calibri" w:cs="Times New Roman"/>
          <w:szCs w:val="24"/>
        </w:rPr>
        <w:t xml:space="preserve"> that storm cost recovery be considered an issue in the upcoming rate case.</w:t>
      </w:r>
      <w:r>
        <w:rPr>
          <w:rFonts w:cs="Times New Roman"/>
          <w:szCs w:val="24"/>
          <w:vertAlign w:val="superscript"/>
        </w:rPr>
        <w:footnoteReference w:id="135"/>
      </w:r>
      <w:r w:rsidRPr="001D7812">
        <w:rPr>
          <w:rFonts w:eastAsia="Calibri" w:cs="Times New Roman"/>
          <w:szCs w:val="24"/>
        </w:rPr>
        <w:t xml:space="preserve"> </w:t>
      </w:r>
    </w:p>
    <w:p w:rsidR="008E02AA" w:rsidRPr="001D7812" w:rsidP="00A82749" w14:paraId="73CE55C6" w14:textId="380D358D">
      <w:pPr>
        <w:spacing w:line="480" w:lineRule="auto"/>
        <w:ind w:firstLine="720"/>
        <w:rPr>
          <w:rFonts w:cs="Times New Roman"/>
          <w:szCs w:val="24"/>
        </w:rPr>
      </w:pPr>
      <w:r w:rsidRPr="001D7812">
        <w:rPr>
          <w:rFonts w:cs="Times New Roman"/>
          <w:szCs w:val="24"/>
        </w:rPr>
        <w:t xml:space="preserve">According to FirstEnergy Witness Juliette Lawless, Rider SCR would apply to </w:t>
      </w:r>
      <w:r w:rsidR="009F1383">
        <w:rPr>
          <w:rFonts w:cs="Times New Roman"/>
          <w:szCs w:val="24"/>
        </w:rPr>
        <w:t>“</w:t>
      </w:r>
      <w:r w:rsidRPr="001D7812">
        <w:rPr>
          <w:rFonts w:cs="Times New Roman"/>
          <w:szCs w:val="24"/>
        </w:rPr>
        <w:t>major storms.</w:t>
      </w:r>
      <w:r w:rsidR="009F1383">
        <w:rPr>
          <w:rFonts w:cs="Times New Roman"/>
          <w:szCs w:val="24"/>
        </w:rPr>
        <w:t>”</w:t>
      </w:r>
      <w:r>
        <w:rPr>
          <w:rStyle w:val="FootnoteReference"/>
          <w:rFonts w:cs="Times New Roman"/>
          <w:szCs w:val="24"/>
        </w:rPr>
        <w:footnoteReference w:id="136"/>
      </w:r>
      <w:r w:rsidRPr="001D7812">
        <w:rPr>
          <w:rFonts w:cs="Times New Roman"/>
          <w:szCs w:val="24"/>
        </w:rPr>
        <w:t xml:space="preserve"> </w:t>
      </w:r>
      <w:r w:rsidRPr="001D7812" w:rsidR="00904EB0">
        <w:rPr>
          <w:rFonts w:cs="Times New Roman"/>
          <w:szCs w:val="24"/>
        </w:rPr>
        <w:t xml:space="preserve">This term is nearly indistinguishable from the O.A.C. terminology of </w:t>
      </w:r>
      <w:r w:rsidR="009F1383">
        <w:rPr>
          <w:rFonts w:cs="Times New Roman"/>
          <w:szCs w:val="24"/>
        </w:rPr>
        <w:t>“</w:t>
      </w:r>
      <w:r w:rsidRPr="001D7812" w:rsidR="00904EB0">
        <w:rPr>
          <w:rFonts w:cs="Times New Roman"/>
          <w:szCs w:val="24"/>
        </w:rPr>
        <w:t>major events.</w:t>
      </w:r>
      <w:r w:rsidR="009F1383">
        <w:rPr>
          <w:rFonts w:cs="Times New Roman"/>
          <w:szCs w:val="24"/>
        </w:rPr>
        <w:t>”</w:t>
      </w:r>
      <w:r>
        <w:rPr>
          <w:rStyle w:val="FootnoteReference"/>
          <w:rFonts w:cs="Times New Roman"/>
          <w:szCs w:val="24"/>
        </w:rPr>
        <w:footnoteReference w:id="137"/>
      </w:r>
      <w:r w:rsidRPr="001D7812" w:rsidR="00CE2F18">
        <w:rPr>
          <w:rFonts w:cs="Times New Roman"/>
          <w:szCs w:val="24"/>
        </w:rPr>
        <w:t xml:space="preserve"> </w:t>
      </w:r>
      <w:r w:rsidRPr="001D7812" w:rsidR="00904EB0">
        <w:rPr>
          <w:rFonts w:cs="Times New Roman"/>
          <w:szCs w:val="24"/>
        </w:rPr>
        <w:t>FirstEnergy</w:t>
      </w:r>
      <w:r w:rsidR="009F1383">
        <w:rPr>
          <w:rFonts w:cs="Times New Roman"/>
          <w:szCs w:val="24"/>
        </w:rPr>
        <w:t>’</w:t>
      </w:r>
      <w:r w:rsidRPr="001D7812" w:rsidR="00904EB0">
        <w:rPr>
          <w:rFonts w:cs="Times New Roman"/>
          <w:szCs w:val="24"/>
        </w:rPr>
        <w:t xml:space="preserve">s definition of </w:t>
      </w:r>
      <w:r w:rsidR="009F1383">
        <w:rPr>
          <w:rFonts w:cs="Times New Roman"/>
          <w:szCs w:val="24"/>
        </w:rPr>
        <w:t>“</w:t>
      </w:r>
      <w:r w:rsidRPr="001D7812" w:rsidR="00904EB0">
        <w:rPr>
          <w:rFonts w:cs="Times New Roman"/>
          <w:szCs w:val="24"/>
        </w:rPr>
        <w:t>major storms,</w:t>
      </w:r>
      <w:r w:rsidR="009F1383">
        <w:rPr>
          <w:rFonts w:cs="Times New Roman"/>
          <w:szCs w:val="24"/>
        </w:rPr>
        <w:t>”</w:t>
      </w:r>
      <w:r w:rsidRPr="001D7812" w:rsidR="00904EB0">
        <w:rPr>
          <w:rFonts w:cs="Times New Roman"/>
          <w:szCs w:val="24"/>
        </w:rPr>
        <w:t xml:space="preserve"> however, is much broader than the O.A.C.</w:t>
      </w:r>
      <w:r w:rsidR="009F1383">
        <w:rPr>
          <w:rFonts w:cs="Times New Roman"/>
          <w:szCs w:val="24"/>
        </w:rPr>
        <w:t>’</w:t>
      </w:r>
      <w:r w:rsidRPr="001D7812" w:rsidR="00904EB0">
        <w:rPr>
          <w:rFonts w:cs="Times New Roman"/>
          <w:szCs w:val="24"/>
        </w:rPr>
        <w:t xml:space="preserve">s definition of </w:t>
      </w:r>
      <w:r w:rsidR="009F1383">
        <w:rPr>
          <w:rFonts w:cs="Times New Roman"/>
          <w:szCs w:val="24"/>
        </w:rPr>
        <w:t>“</w:t>
      </w:r>
      <w:r w:rsidRPr="001D7812" w:rsidR="00904EB0">
        <w:rPr>
          <w:rFonts w:cs="Times New Roman"/>
          <w:szCs w:val="24"/>
        </w:rPr>
        <w:t>major events.</w:t>
      </w:r>
      <w:r w:rsidR="009F1383">
        <w:rPr>
          <w:rFonts w:cs="Times New Roman"/>
          <w:szCs w:val="24"/>
        </w:rPr>
        <w:t>”</w:t>
      </w:r>
      <w:r w:rsidRPr="001D7812" w:rsidR="00CE2F18">
        <w:rPr>
          <w:rFonts w:cs="Times New Roman"/>
          <w:szCs w:val="24"/>
        </w:rPr>
        <w:t xml:space="preserve"> </w:t>
      </w:r>
      <w:r w:rsidRPr="001D7812" w:rsidR="00904EB0">
        <w:rPr>
          <w:rFonts w:cs="Times New Roman"/>
          <w:szCs w:val="24"/>
        </w:rPr>
        <w:t xml:space="preserve">Per Ms. Lawless, the </w:t>
      </w:r>
      <w:r w:rsidR="009F1383">
        <w:rPr>
          <w:rFonts w:cs="Times New Roman"/>
          <w:szCs w:val="24"/>
        </w:rPr>
        <w:t>“</w:t>
      </w:r>
      <w:r w:rsidRPr="001D7812" w:rsidR="00904EB0">
        <w:rPr>
          <w:rFonts w:cs="Times New Roman"/>
          <w:szCs w:val="24"/>
        </w:rPr>
        <w:t>major storms</w:t>
      </w:r>
      <w:r w:rsidR="009F1383">
        <w:rPr>
          <w:rFonts w:cs="Times New Roman"/>
          <w:szCs w:val="24"/>
        </w:rPr>
        <w:t>”</w:t>
      </w:r>
      <w:r w:rsidRPr="001D7812" w:rsidR="00904EB0">
        <w:rPr>
          <w:rFonts w:cs="Times New Roman"/>
          <w:szCs w:val="24"/>
        </w:rPr>
        <w:t xml:space="preserve"> to be covered by Rider SCR would be any storms </w:t>
      </w:r>
      <w:r w:rsidR="009F1383">
        <w:rPr>
          <w:rFonts w:cs="Times New Roman"/>
          <w:szCs w:val="24"/>
        </w:rPr>
        <w:t>“</w:t>
      </w:r>
      <w:r w:rsidRPr="001D7812">
        <w:rPr>
          <w:rFonts w:cs="Times New Roman"/>
          <w:szCs w:val="24"/>
        </w:rPr>
        <w:t>anticipated to last longer than twelve (12) hours (using local only crews), including the time to pre-stage personnel for the event.</w:t>
      </w:r>
      <w:r w:rsidR="009F1383">
        <w:rPr>
          <w:rFonts w:cs="Times New Roman"/>
          <w:szCs w:val="24"/>
        </w:rPr>
        <w:t>”</w:t>
      </w:r>
      <w:r>
        <w:rPr>
          <w:rStyle w:val="FootnoteReference"/>
          <w:rFonts w:cs="Times New Roman"/>
          <w:szCs w:val="24"/>
        </w:rPr>
        <w:footnoteReference w:id="138"/>
      </w:r>
      <w:r w:rsidRPr="001D7812" w:rsidR="00CE2F18">
        <w:rPr>
          <w:rFonts w:cs="Times New Roman"/>
          <w:szCs w:val="24"/>
        </w:rPr>
        <w:t xml:space="preserve"> </w:t>
      </w:r>
      <w:r w:rsidRPr="001D7812" w:rsidR="00904EB0">
        <w:rPr>
          <w:rFonts w:cs="Times New Roman"/>
          <w:szCs w:val="24"/>
        </w:rPr>
        <w:t>By contrast, the O.A.C.</w:t>
      </w:r>
      <w:r w:rsidR="009F1383">
        <w:rPr>
          <w:rFonts w:cs="Times New Roman"/>
          <w:szCs w:val="24"/>
        </w:rPr>
        <w:t>’</w:t>
      </w:r>
      <w:r w:rsidRPr="001D7812" w:rsidR="00904EB0">
        <w:rPr>
          <w:rFonts w:cs="Times New Roman"/>
          <w:szCs w:val="24"/>
        </w:rPr>
        <w:t>s definition of major events incorporates</w:t>
      </w:r>
      <w:r w:rsidRPr="001D7812" w:rsidR="00CE2F18">
        <w:rPr>
          <w:rFonts w:cs="Times New Roman"/>
          <w:szCs w:val="24"/>
        </w:rPr>
        <w:t xml:space="preserve"> </w:t>
      </w:r>
      <w:r w:rsidRPr="001D7812" w:rsidR="00904EB0">
        <w:rPr>
          <w:rFonts w:cs="Times New Roman"/>
          <w:szCs w:val="24"/>
        </w:rPr>
        <w:t>an industry standard definition developed by the Institute of Electrical and Electronics Engineers (</w:t>
      </w:r>
      <w:r w:rsidR="009F1383">
        <w:rPr>
          <w:rFonts w:cs="Times New Roman"/>
          <w:szCs w:val="24"/>
        </w:rPr>
        <w:t>“</w:t>
      </w:r>
      <w:r w:rsidRPr="001D7812" w:rsidR="00904EB0">
        <w:rPr>
          <w:rFonts w:cs="Times New Roman"/>
          <w:szCs w:val="24"/>
        </w:rPr>
        <w:t>IEEE</w:t>
      </w:r>
      <w:r w:rsidR="009F1383">
        <w:rPr>
          <w:rFonts w:cs="Times New Roman"/>
          <w:szCs w:val="24"/>
        </w:rPr>
        <w:t>”</w:t>
      </w:r>
      <w:r w:rsidRPr="001D7812" w:rsidR="00904EB0">
        <w:rPr>
          <w:rFonts w:cs="Times New Roman"/>
          <w:szCs w:val="24"/>
        </w:rPr>
        <w:t xml:space="preserve">) in </w:t>
      </w:r>
      <w:r w:rsidR="009F1383">
        <w:rPr>
          <w:rFonts w:cs="Times New Roman"/>
          <w:szCs w:val="24"/>
        </w:rPr>
        <w:t>“</w:t>
      </w:r>
      <w:r w:rsidRPr="001D7812" w:rsidR="00904EB0">
        <w:rPr>
          <w:rFonts w:cs="Times New Roman"/>
          <w:szCs w:val="24"/>
        </w:rPr>
        <w:t>IEEE Guide for Electric Power Distribution Reliability Indices.</w:t>
      </w:r>
      <w:r>
        <w:rPr>
          <w:rStyle w:val="FootnoteReference"/>
          <w:rFonts w:cs="Times New Roman"/>
          <w:szCs w:val="24"/>
        </w:rPr>
        <w:footnoteReference w:id="139"/>
      </w:r>
    </w:p>
    <w:p w:rsidR="008E46FC" w:rsidRPr="001D7812" w:rsidP="00A82749" w14:paraId="3713953F" w14:textId="037FD224">
      <w:pPr>
        <w:spacing w:line="480" w:lineRule="auto"/>
        <w:ind w:firstLine="720"/>
        <w:rPr>
          <w:rFonts w:cs="Times New Roman"/>
          <w:szCs w:val="24"/>
        </w:rPr>
      </w:pPr>
      <w:r w:rsidRPr="001D7812">
        <w:rPr>
          <w:rFonts w:cs="Times New Roman"/>
          <w:szCs w:val="24"/>
        </w:rPr>
        <w:t>FirstEnergy</w:t>
      </w:r>
      <w:r w:rsidR="009F1383">
        <w:rPr>
          <w:rFonts w:cs="Times New Roman"/>
          <w:szCs w:val="24"/>
        </w:rPr>
        <w:t>’</w:t>
      </w:r>
      <w:r w:rsidRPr="001D7812">
        <w:rPr>
          <w:rFonts w:cs="Times New Roman"/>
          <w:szCs w:val="24"/>
        </w:rPr>
        <w:t xml:space="preserve">s definition of </w:t>
      </w:r>
      <w:r w:rsidR="009F1383">
        <w:rPr>
          <w:rFonts w:cs="Times New Roman"/>
          <w:szCs w:val="24"/>
        </w:rPr>
        <w:t>“</w:t>
      </w:r>
      <w:r w:rsidRPr="001D7812">
        <w:rPr>
          <w:rFonts w:cs="Times New Roman"/>
          <w:szCs w:val="24"/>
        </w:rPr>
        <w:t>major storms</w:t>
      </w:r>
      <w:r w:rsidR="009F1383">
        <w:rPr>
          <w:rFonts w:cs="Times New Roman"/>
          <w:szCs w:val="24"/>
        </w:rPr>
        <w:t>”</w:t>
      </w:r>
      <w:r w:rsidRPr="001D7812">
        <w:rPr>
          <w:rFonts w:cs="Times New Roman"/>
          <w:szCs w:val="24"/>
        </w:rPr>
        <w:t xml:space="preserve"> is </w:t>
      </w:r>
      <w:r w:rsidRPr="001D7812" w:rsidR="00D15B31">
        <w:rPr>
          <w:rFonts w:cs="Times New Roman"/>
          <w:szCs w:val="24"/>
        </w:rPr>
        <w:t xml:space="preserve">hopelessly </w:t>
      </w:r>
      <w:r w:rsidRPr="001D7812">
        <w:rPr>
          <w:rFonts w:cs="Times New Roman"/>
          <w:szCs w:val="24"/>
        </w:rPr>
        <w:t>vague and subject to manipulation by FirstEnergy.</w:t>
      </w:r>
      <w:r w:rsidRPr="001D7812" w:rsidR="00CE2F18">
        <w:rPr>
          <w:rFonts w:cs="Times New Roman"/>
          <w:szCs w:val="24"/>
        </w:rPr>
        <w:t xml:space="preserve"> </w:t>
      </w:r>
      <w:r w:rsidRPr="001D7812">
        <w:rPr>
          <w:rFonts w:cs="Times New Roman"/>
          <w:szCs w:val="24"/>
        </w:rPr>
        <w:t>The definition purports to apply to</w:t>
      </w:r>
      <w:r w:rsidRPr="001D7812" w:rsidR="00222937">
        <w:rPr>
          <w:rFonts w:cs="Times New Roman"/>
          <w:szCs w:val="24"/>
        </w:rPr>
        <w:t xml:space="preserve"> events</w:t>
      </w:r>
      <w:r w:rsidRPr="001D7812">
        <w:rPr>
          <w:rFonts w:cs="Times New Roman"/>
          <w:szCs w:val="24"/>
        </w:rPr>
        <w:t xml:space="preserve"> </w:t>
      </w:r>
      <w:r w:rsidR="009F1383">
        <w:rPr>
          <w:rFonts w:cs="Times New Roman"/>
          <w:szCs w:val="24"/>
        </w:rPr>
        <w:t>“</w:t>
      </w:r>
      <w:r w:rsidRPr="001D7812" w:rsidR="00D15B31">
        <w:rPr>
          <w:rFonts w:cs="Times New Roman"/>
          <w:szCs w:val="24"/>
        </w:rPr>
        <w:t>anticipated to last longer than twelve (12) hours (using local only crews), including the time to pre-stage personnel for the event.</w:t>
      </w:r>
      <w:r w:rsidR="009F1383">
        <w:rPr>
          <w:rFonts w:cs="Times New Roman"/>
          <w:szCs w:val="24"/>
        </w:rPr>
        <w:t>”</w:t>
      </w:r>
      <w:r>
        <w:rPr>
          <w:rStyle w:val="FootnoteReference"/>
          <w:rFonts w:cs="Times New Roman"/>
          <w:szCs w:val="24"/>
        </w:rPr>
        <w:footnoteReference w:id="140"/>
      </w:r>
      <w:r w:rsidRPr="001D7812" w:rsidR="00CE2F18">
        <w:rPr>
          <w:rFonts w:cs="Times New Roman"/>
          <w:szCs w:val="24"/>
        </w:rPr>
        <w:t xml:space="preserve"> </w:t>
      </w:r>
      <w:r w:rsidRPr="001D7812" w:rsidR="00222937">
        <w:rPr>
          <w:rFonts w:cs="Times New Roman"/>
          <w:szCs w:val="24"/>
        </w:rPr>
        <w:t>However, i</w:t>
      </w:r>
      <w:r w:rsidRPr="001D7812" w:rsidR="00D15B31">
        <w:rPr>
          <w:rFonts w:cs="Times New Roman"/>
          <w:szCs w:val="24"/>
        </w:rPr>
        <w:t xml:space="preserve">t is unclear whether this means that the storm would last more than twelve </w:t>
      </w:r>
      <w:r w:rsidRPr="001D7812" w:rsidR="00A50845">
        <w:rPr>
          <w:rFonts w:cs="Times New Roman"/>
          <w:szCs w:val="24"/>
        </w:rPr>
        <w:t>hours,</w:t>
      </w:r>
      <w:r w:rsidRPr="001D7812" w:rsidR="00D15B31">
        <w:rPr>
          <w:rFonts w:cs="Times New Roman"/>
          <w:szCs w:val="24"/>
        </w:rPr>
        <w:t xml:space="preserve"> or the restoration effort would last more than twelve hours.</w:t>
      </w:r>
      <w:r w:rsidRPr="001D7812" w:rsidR="00CE2F18">
        <w:rPr>
          <w:rFonts w:cs="Times New Roman"/>
          <w:szCs w:val="24"/>
        </w:rPr>
        <w:t xml:space="preserve"> </w:t>
      </w:r>
      <w:r w:rsidRPr="001D7812" w:rsidR="00222937">
        <w:rPr>
          <w:rFonts w:cs="Times New Roman"/>
          <w:szCs w:val="24"/>
        </w:rPr>
        <w:t xml:space="preserve">The term </w:t>
      </w:r>
      <w:r w:rsidR="009F1383">
        <w:rPr>
          <w:rFonts w:cs="Times New Roman"/>
          <w:szCs w:val="24"/>
        </w:rPr>
        <w:t>“</w:t>
      </w:r>
      <w:r w:rsidRPr="001D7812" w:rsidR="00222937">
        <w:rPr>
          <w:rFonts w:cs="Times New Roman"/>
          <w:szCs w:val="24"/>
        </w:rPr>
        <w:t>anticipated</w:t>
      </w:r>
      <w:r w:rsidR="009F1383">
        <w:rPr>
          <w:rFonts w:cs="Times New Roman"/>
          <w:szCs w:val="24"/>
        </w:rPr>
        <w:t>”</w:t>
      </w:r>
      <w:r w:rsidRPr="001D7812" w:rsidR="00222937">
        <w:rPr>
          <w:rFonts w:cs="Times New Roman"/>
          <w:szCs w:val="24"/>
        </w:rPr>
        <w:t xml:space="preserve"> is also unclear. </w:t>
      </w:r>
      <w:r w:rsidRPr="001D7812" w:rsidR="00D15B31">
        <w:rPr>
          <w:rFonts w:cs="Times New Roman"/>
          <w:szCs w:val="24"/>
        </w:rPr>
        <w:t>Anticipated by whom?</w:t>
      </w:r>
      <w:r w:rsidRPr="001D7812" w:rsidR="00CE2F18">
        <w:rPr>
          <w:rFonts w:cs="Times New Roman"/>
          <w:szCs w:val="24"/>
        </w:rPr>
        <w:t xml:space="preserve"> </w:t>
      </w:r>
      <w:r w:rsidRPr="001D7812" w:rsidR="00D15B31">
        <w:rPr>
          <w:rFonts w:cs="Times New Roman"/>
          <w:szCs w:val="24"/>
        </w:rPr>
        <w:t>How would this be documented?</w:t>
      </w:r>
      <w:r w:rsidRPr="001D7812" w:rsidR="00CE2F18">
        <w:rPr>
          <w:rFonts w:cs="Times New Roman"/>
          <w:szCs w:val="24"/>
        </w:rPr>
        <w:t xml:space="preserve"> </w:t>
      </w:r>
      <w:r w:rsidRPr="001D7812" w:rsidR="00D15B31">
        <w:rPr>
          <w:rFonts w:cs="Times New Roman"/>
          <w:szCs w:val="24"/>
        </w:rPr>
        <w:t>How would someone</w:t>
      </w:r>
      <w:r w:rsidR="009F1383">
        <w:rPr>
          <w:rFonts w:cs="Times New Roman"/>
          <w:szCs w:val="24"/>
        </w:rPr>
        <w:t>’</w:t>
      </w:r>
      <w:r w:rsidRPr="001D7812" w:rsidR="00D15B31">
        <w:rPr>
          <w:rFonts w:cs="Times New Roman"/>
          <w:szCs w:val="24"/>
        </w:rPr>
        <w:t xml:space="preserve">s </w:t>
      </w:r>
      <w:r w:rsidR="009F1383">
        <w:rPr>
          <w:rFonts w:cs="Times New Roman"/>
          <w:szCs w:val="24"/>
        </w:rPr>
        <w:t>“</w:t>
      </w:r>
      <w:r w:rsidRPr="001D7812" w:rsidR="00D15B31">
        <w:rPr>
          <w:rFonts w:cs="Times New Roman"/>
          <w:szCs w:val="24"/>
        </w:rPr>
        <w:t>anticipation</w:t>
      </w:r>
      <w:r w:rsidR="009F1383">
        <w:rPr>
          <w:rFonts w:cs="Times New Roman"/>
          <w:szCs w:val="24"/>
        </w:rPr>
        <w:t>”</w:t>
      </w:r>
      <w:r w:rsidRPr="001D7812" w:rsidR="00D15B31">
        <w:rPr>
          <w:rFonts w:cs="Times New Roman"/>
          <w:szCs w:val="24"/>
        </w:rPr>
        <w:t xml:space="preserve"> be audited?</w:t>
      </w:r>
      <w:r w:rsidRPr="001D7812" w:rsidR="00CE2F18">
        <w:rPr>
          <w:rFonts w:cs="Times New Roman"/>
          <w:szCs w:val="24"/>
        </w:rPr>
        <w:t xml:space="preserve"> </w:t>
      </w:r>
      <w:r w:rsidRPr="001D7812" w:rsidR="00D15B31">
        <w:rPr>
          <w:rFonts w:cs="Times New Roman"/>
          <w:szCs w:val="24"/>
        </w:rPr>
        <w:t>Moreover, the length of response time would be driven by how quickly FirstEnergy mobilizes a response and how many crews are assigned to respond – leaving the rider</w:t>
      </w:r>
      <w:r w:rsidR="009F1383">
        <w:rPr>
          <w:rFonts w:cs="Times New Roman"/>
          <w:szCs w:val="24"/>
        </w:rPr>
        <w:t>’</w:t>
      </w:r>
      <w:r w:rsidRPr="001D7812" w:rsidR="00D15B31">
        <w:rPr>
          <w:rFonts w:cs="Times New Roman"/>
          <w:szCs w:val="24"/>
        </w:rPr>
        <w:t>s applicability subject to manipulation.</w:t>
      </w:r>
      <w:r w:rsidRPr="001D7812" w:rsidR="00CE2F18">
        <w:rPr>
          <w:rFonts w:cs="Times New Roman"/>
          <w:szCs w:val="24"/>
        </w:rPr>
        <w:t xml:space="preserve"> </w:t>
      </w:r>
      <w:r w:rsidRPr="001D7812" w:rsidR="00D15B31">
        <w:rPr>
          <w:rFonts w:cs="Times New Roman"/>
          <w:szCs w:val="24"/>
        </w:rPr>
        <w:t>What if 99% of consumers have their service restored within one hour, but a single remaining consumer</w:t>
      </w:r>
      <w:r w:rsidR="009F1383">
        <w:rPr>
          <w:rFonts w:cs="Times New Roman"/>
          <w:szCs w:val="24"/>
        </w:rPr>
        <w:t>’</w:t>
      </w:r>
      <w:r w:rsidRPr="001D7812" w:rsidR="00D15B31">
        <w:rPr>
          <w:rFonts w:cs="Times New Roman"/>
          <w:szCs w:val="24"/>
        </w:rPr>
        <w:t>s service is not restored for thirteen hours – does the rider cover all these storm restoration costs?</w:t>
      </w:r>
    </w:p>
    <w:p w:rsidR="00A82749" w:rsidRPr="001D7812" w:rsidP="00A82749" w14:paraId="64F13BFF" w14:textId="50292811">
      <w:pPr>
        <w:spacing w:line="480" w:lineRule="auto"/>
        <w:ind w:firstLine="720"/>
        <w:rPr>
          <w:rFonts w:eastAsia="Calibri" w:cs="Times New Roman"/>
          <w:szCs w:val="24"/>
        </w:rPr>
      </w:pPr>
      <w:r w:rsidRPr="001D7812">
        <w:rPr>
          <w:rFonts w:eastAsia="Calibri" w:cs="Times New Roman"/>
          <w:szCs w:val="24"/>
        </w:rPr>
        <w:t xml:space="preserve">PUCO </w:t>
      </w:r>
      <w:r w:rsidRPr="001D7812" w:rsidR="00EC0EF3">
        <w:rPr>
          <w:rFonts w:eastAsia="Calibri" w:cs="Times New Roman"/>
          <w:szCs w:val="24"/>
        </w:rPr>
        <w:t xml:space="preserve">Staff </w:t>
      </w:r>
      <w:r w:rsidRPr="001D7812">
        <w:rPr>
          <w:rFonts w:eastAsia="Calibri" w:cs="Times New Roman"/>
          <w:szCs w:val="24"/>
        </w:rPr>
        <w:t xml:space="preserve">Witness Borer </w:t>
      </w:r>
      <w:r w:rsidRPr="001D7812" w:rsidR="00222937">
        <w:rPr>
          <w:rFonts w:eastAsia="Calibri" w:cs="Times New Roman"/>
          <w:szCs w:val="24"/>
        </w:rPr>
        <w:t xml:space="preserve">correctly </w:t>
      </w:r>
      <w:r w:rsidRPr="001D7812" w:rsidR="00D15B31">
        <w:rPr>
          <w:rFonts w:eastAsia="Calibri" w:cs="Times New Roman"/>
          <w:szCs w:val="24"/>
        </w:rPr>
        <w:t>recognized the problems inherent in FirstEnergy</w:t>
      </w:r>
      <w:r w:rsidR="009F1383">
        <w:rPr>
          <w:rFonts w:eastAsia="Calibri" w:cs="Times New Roman"/>
          <w:szCs w:val="24"/>
        </w:rPr>
        <w:t>’</w:t>
      </w:r>
      <w:r w:rsidRPr="001D7812" w:rsidR="00D15B31">
        <w:rPr>
          <w:rFonts w:eastAsia="Calibri" w:cs="Times New Roman"/>
          <w:szCs w:val="24"/>
        </w:rPr>
        <w:t>s Rider SCR proposal.</w:t>
      </w:r>
      <w:r w:rsidRPr="001D7812" w:rsidR="00CE2F18">
        <w:rPr>
          <w:rFonts w:eastAsia="Calibri" w:cs="Times New Roman"/>
          <w:szCs w:val="24"/>
        </w:rPr>
        <w:t xml:space="preserve"> </w:t>
      </w:r>
      <w:r w:rsidRPr="001D7812" w:rsidR="00D15B31">
        <w:rPr>
          <w:rFonts w:eastAsia="Calibri" w:cs="Times New Roman"/>
          <w:szCs w:val="24"/>
        </w:rPr>
        <w:t xml:space="preserve">He </w:t>
      </w:r>
      <w:r w:rsidRPr="001D7812">
        <w:rPr>
          <w:rFonts w:eastAsia="Calibri" w:cs="Times New Roman"/>
          <w:szCs w:val="24"/>
        </w:rPr>
        <w:t xml:space="preserve">testified </w:t>
      </w:r>
      <w:r w:rsidRPr="001D7812" w:rsidR="00222937">
        <w:rPr>
          <w:rFonts w:eastAsia="Calibri" w:cs="Times New Roman"/>
          <w:szCs w:val="24"/>
        </w:rPr>
        <w:t xml:space="preserve">that </w:t>
      </w:r>
      <w:r w:rsidRPr="001D7812">
        <w:rPr>
          <w:rFonts w:eastAsia="Calibri" w:cs="Times New Roman"/>
          <w:szCs w:val="24"/>
        </w:rPr>
        <w:t>FirstEnergy</w:t>
      </w:r>
      <w:r w:rsidR="009F1383">
        <w:rPr>
          <w:rFonts w:eastAsia="Calibri" w:cs="Times New Roman"/>
          <w:szCs w:val="24"/>
        </w:rPr>
        <w:t>’</w:t>
      </w:r>
      <w:r w:rsidRPr="001D7812">
        <w:rPr>
          <w:rFonts w:eastAsia="Calibri" w:cs="Times New Roman"/>
          <w:szCs w:val="24"/>
        </w:rPr>
        <w:t>s Rider SCR</w:t>
      </w:r>
      <w:r w:rsidRPr="001D7812" w:rsidR="00EC0EF3">
        <w:rPr>
          <w:rFonts w:eastAsia="Calibri" w:cs="Times New Roman"/>
          <w:szCs w:val="24"/>
        </w:rPr>
        <w:t xml:space="preserve"> proposal </w:t>
      </w:r>
      <w:r w:rsidRPr="001D7812" w:rsidR="00222937">
        <w:rPr>
          <w:rFonts w:eastAsia="Calibri" w:cs="Times New Roman"/>
          <w:szCs w:val="24"/>
        </w:rPr>
        <w:t>(which covers different types of storms) is</w:t>
      </w:r>
      <w:r w:rsidRPr="001D7812">
        <w:rPr>
          <w:rFonts w:eastAsia="Calibri" w:cs="Times New Roman"/>
          <w:szCs w:val="24"/>
        </w:rPr>
        <w:t xml:space="preserve"> </w:t>
      </w:r>
      <w:r w:rsidRPr="001D7812" w:rsidR="00EC0EF3">
        <w:rPr>
          <w:rFonts w:eastAsia="Calibri" w:cs="Times New Roman"/>
          <w:szCs w:val="24"/>
        </w:rPr>
        <w:t>in</w:t>
      </w:r>
      <w:r w:rsidRPr="001D7812">
        <w:rPr>
          <w:rFonts w:eastAsia="Calibri" w:cs="Times New Roman"/>
          <w:szCs w:val="24"/>
        </w:rPr>
        <w:t>consistent with the</w:t>
      </w:r>
      <w:r w:rsidRPr="001D7812" w:rsidR="00EC0EF3">
        <w:rPr>
          <w:rFonts w:eastAsia="Calibri" w:cs="Times New Roman"/>
          <w:szCs w:val="24"/>
        </w:rPr>
        <w:t xml:space="preserve"> existing</w:t>
      </w:r>
      <w:r w:rsidRPr="001D7812">
        <w:rPr>
          <w:rFonts w:eastAsia="Calibri" w:cs="Times New Roman"/>
          <w:szCs w:val="24"/>
        </w:rPr>
        <w:t xml:space="preserve"> storm riders in place for other utilities.</w:t>
      </w:r>
      <w:r>
        <w:rPr>
          <w:rFonts w:cs="Times New Roman"/>
          <w:szCs w:val="24"/>
          <w:vertAlign w:val="superscript"/>
        </w:rPr>
        <w:footnoteReference w:id="141"/>
      </w:r>
      <w:r w:rsidRPr="001D7812">
        <w:rPr>
          <w:rFonts w:eastAsia="Calibri" w:cs="Times New Roman"/>
          <w:szCs w:val="24"/>
        </w:rPr>
        <w:t xml:space="preserve"> </w:t>
      </w:r>
      <w:r w:rsidRPr="001D7812" w:rsidR="00EC0EF3">
        <w:rPr>
          <w:rFonts w:eastAsia="Calibri" w:cs="Times New Roman"/>
          <w:szCs w:val="24"/>
        </w:rPr>
        <w:t>He recommended that FirstEnergy</w:t>
      </w:r>
      <w:r w:rsidR="009F1383">
        <w:rPr>
          <w:rFonts w:eastAsia="Calibri" w:cs="Times New Roman"/>
          <w:szCs w:val="24"/>
        </w:rPr>
        <w:t>’</w:t>
      </w:r>
      <w:r w:rsidRPr="001D7812" w:rsidR="00EC0EF3">
        <w:rPr>
          <w:rFonts w:eastAsia="Calibri" w:cs="Times New Roman"/>
          <w:szCs w:val="24"/>
        </w:rPr>
        <w:t xml:space="preserve">s Rider SCR be </w:t>
      </w:r>
      <w:r w:rsidRPr="001D7812">
        <w:rPr>
          <w:rFonts w:eastAsia="Calibri" w:cs="Times New Roman"/>
          <w:szCs w:val="24"/>
        </w:rPr>
        <w:t>li</w:t>
      </w:r>
      <w:r w:rsidRPr="001D7812" w:rsidR="00EC0EF3">
        <w:rPr>
          <w:rFonts w:eastAsia="Calibri" w:cs="Times New Roman"/>
          <w:szCs w:val="24"/>
        </w:rPr>
        <w:t>mited</w:t>
      </w:r>
      <w:r w:rsidRPr="001D7812">
        <w:rPr>
          <w:rFonts w:eastAsia="Calibri" w:cs="Times New Roman"/>
          <w:szCs w:val="24"/>
        </w:rPr>
        <w:t xml:space="preserve"> to </w:t>
      </w:r>
      <w:r w:rsidR="009F1383">
        <w:rPr>
          <w:rFonts w:eastAsia="Calibri" w:cs="Times New Roman"/>
          <w:szCs w:val="24"/>
        </w:rPr>
        <w:t>“</w:t>
      </w:r>
      <w:r w:rsidRPr="001D7812">
        <w:rPr>
          <w:rFonts w:eastAsia="Calibri" w:cs="Times New Roman"/>
          <w:szCs w:val="24"/>
        </w:rPr>
        <w:t xml:space="preserve">expenses related to storms considered major events as defined by </w:t>
      </w:r>
      <w:r w:rsidRPr="001D7812" w:rsidR="00A50845">
        <w:rPr>
          <w:rFonts w:eastAsia="Calibri" w:cs="Times New Roman"/>
          <w:szCs w:val="24"/>
        </w:rPr>
        <w:t>O.A.C.</w:t>
      </w:r>
      <w:r w:rsidRPr="001D7812">
        <w:rPr>
          <w:rFonts w:eastAsia="Calibri" w:cs="Times New Roman"/>
          <w:szCs w:val="24"/>
        </w:rPr>
        <w:t xml:space="preserve"> 4901-1:1-10-01(T) (Major Events).</w:t>
      </w:r>
      <w:r w:rsidR="009F1383">
        <w:rPr>
          <w:rFonts w:eastAsia="Calibri" w:cs="Times New Roman"/>
          <w:szCs w:val="24"/>
        </w:rPr>
        <w:t>”</w:t>
      </w:r>
      <w:r>
        <w:rPr>
          <w:rFonts w:cs="Times New Roman"/>
          <w:szCs w:val="24"/>
          <w:vertAlign w:val="superscript"/>
        </w:rPr>
        <w:footnoteReference w:id="142"/>
      </w:r>
      <w:r w:rsidRPr="001D7812">
        <w:rPr>
          <w:rFonts w:eastAsia="Calibri" w:cs="Times New Roman"/>
          <w:szCs w:val="24"/>
        </w:rPr>
        <w:t xml:space="preserve"> </w:t>
      </w:r>
      <w:r w:rsidRPr="001D7812" w:rsidR="00222937">
        <w:rPr>
          <w:rFonts w:eastAsia="Calibri" w:cs="Times New Roman"/>
          <w:szCs w:val="24"/>
        </w:rPr>
        <w:t xml:space="preserve">PUCO Staff witness </w:t>
      </w:r>
      <w:r w:rsidRPr="001D7812" w:rsidR="00EC0EF3">
        <w:rPr>
          <w:rFonts w:eastAsia="Calibri" w:cs="Times New Roman"/>
          <w:szCs w:val="24"/>
        </w:rPr>
        <w:t>Mr. Borer further testified that auditing FirstEnergy</w:t>
      </w:r>
      <w:r w:rsidR="009F1383">
        <w:rPr>
          <w:rFonts w:eastAsia="Calibri" w:cs="Times New Roman"/>
          <w:szCs w:val="24"/>
        </w:rPr>
        <w:t>’</w:t>
      </w:r>
      <w:r w:rsidRPr="001D7812" w:rsidR="00EC0EF3">
        <w:rPr>
          <w:rFonts w:eastAsia="Calibri" w:cs="Times New Roman"/>
          <w:szCs w:val="24"/>
        </w:rPr>
        <w:t>s</w:t>
      </w:r>
      <w:r w:rsidRPr="001D7812" w:rsidR="00D15B31">
        <w:rPr>
          <w:rFonts w:eastAsia="Calibri" w:cs="Times New Roman"/>
          <w:szCs w:val="24"/>
        </w:rPr>
        <w:t xml:space="preserve"> </w:t>
      </w:r>
      <w:r w:rsidRPr="001D7812">
        <w:rPr>
          <w:rFonts w:eastAsia="Calibri" w:cs="Times New Roman"/>
          <w:szCs w:val="24"/>
        </w:rPr>
        <w:t>Rider SCR</w:t>
      </w:r>
      <w:r w:rsidRPr="001D7812" w:rsidR="00EC0EF3">
        <w:rPr>
          <w:rFonts w:eastAsia="Calibri" w:cs="Times New Roman"/>
          <w:szCs w:val="24"/>
        </w:rPr>
        <w:t xml:space="preserve"> with its broader coverage of storm events </w:t>
      </w:r>
      <w:r w:rsidRPr="001D7812">
        <w:rPr>
          <w:rFonts w:eastAsia="Calibri" w:cs="Times New Roman"/>
          <w:szCs w:val="24"/>
        </w:rPr>
        <w:t xml:space="preserve">would be problematic because </w:t>
      </w:r>
      <w:r w:rsidR="009F1383">
        <w:rPr>
          <w:rFonts w:eastAsia="Calibri" w:cs="Times New Roman"/>
          <w:szCs w:val="24"/>
        </w:rPr>
        <w:t>“</w:t>
      </w:r>
      <w:r w:rsidRPr="001D7812">
        <w:rPr>
          <w:rFonts w:eastAsia="Calibri" w:cs="Times New Roman"/>
          <w:szCs w:val="24"/>
        </w:rPr>
        <w:t>it would be difficult to ensure that costs are related to storms as opposed to routine maintenance that occurred around the same time as the storm</w:t>
      </w:r>
      <w:r w:rsidR="009F1383">
        <w:rPr>
          <w:rFonts w:eastAsia="Calibri" w:cs="Times New Roman"/>
          <w:szCs w:val="24"/>
        </w:rPr>
        <w:t>”</w:t>
      </w:r>
      <w:r>
        <w:rPr>
          <w:rFonts w:cs="Times New Roman"/>
          <w:szCs w:val="24"/>
          <w:vertAlign w:val="superscript"/>
        </w:rPr>
        <w:footnoteReference w:id="143"/>
      </w:r>
      <w:r w:rsidRPr="001D7812">
        <w:rPr>
          <w:rFonts w:eastAsia="Calibri" w:cs="Times New Roman"/>
          <w:szCs w:val="24"/>
        </w:rPr>
        <w:t xml:space="preserve"> Further, </w:t>
      </w:r>
      <w:r w:rsidRPr="001D7812" w:rsidR="00EC0EF3">
        <w:rPr>
          <w:rFonts w:eastAsia="Calibri" w:cs="Times New Roman"/>
          <w:szCs w:val="24"/>
        </w:rPr>
        <w:t>Mr.</w:t>
      </w:r>
      <w:r w:rsidRPr="001D7812">
        <w:rPr>
          <w:rFonts w:eastAsia="Calibri" w:cs="Times New Roman"/>
          <w:szCs w:val="24"/>
        </w:rPr>
        <w:t xml:space="preserve"> Borer testified that </w:t>
      </w:r>
      <w:r w:rsidRPr="001D7812" w:rsidR="00EC0EF3">
        <w:rPr>
          <w:rFonts w:eastAsia="Calibri" w:cs="Times New Roman"/>
          <w:szCs w:val="24"/>
        </w:rPr>
        <w:t>S</w:t>
      </w:r>
      <w:r w:rsidRPr="001D7812">
        <w:rPr>
          <w:rFonts w:eastAsia="Calibri" w:cs="Times New Roman"/>
          <w:szCs w:val="24"/>
        </w:rPr>
        <w:t>taff fundamentally believes that storm riders should only recover for</w:t>
      </w:r>
      <w:r w:rsidRPr="001D7812" w:rsidR="00052D06">
        <w:rPr>
          <w:rFonts w:eastAsia="Calibri" w:cs="Times New Roman"/>
          <w:szCs w:val="24"/>
        </w:rPr>
        <w:t xml:space="preserve"> </w:t>
      </w:r>
      <w:r w:rsidR="009F1383">
        <w:rPr>
          <w:rFonts w:eastAsia="Calibri" w:cs="Times New Roman"/>
          <w:szCs w:val="24"/>
        </w:rPr>
        <w:t>“</w:t>
      </w:r>
      <w:r w:rsidRPr="001D7812">
        <w:rPr>
          <w:rFonts w:eastAsia="Calibri" w:cs="Times New Roman"/>
          <w:szCs w:val="24"/>
        </w:rPr>
        <w:t>major events</w:t>
      </w:r>
      <w:r w:rsidRPr="001D7812" w:rsidR="00D15B31">
        <w:rPr>
          <w:rFonts w:eastAsia="Calibri" w:cs="Times New Roman"/>
          <w:szCs w:val="24"/>
        </w:rPr>
        <w:t>.</w:t>
      </w:r>
      <w:r w:rsidR="009F1383">
        <w:rPr>
          <w:rFonts w:eastAsia="Calibri" w:cs="Times New Roman"/>
          <w:szCs w:val="24"/>
        </w:rPr>
        <w:t>”</w:t>
      </w:r>
      <w:r>
        <w:rPr>
          <w:rFonts w:cs="Times New Roman"/>
          <w:szCs w:val="24"/>
          <w:vertAlign w:val="superscript"/>
        </w:rPr>
        <w:footnoteReference w:id="144"/>
      </w:r>
      <w:r w:rsidRPr="001D7812" w:rsidR="00CE2F18">
        <w:rPr>
          <w:rFonts w:eastAsia="Calibri" w:cs="Times New Roman"/>
          <w:szCs w:val="24"/>
        </w:rPr>
        <w:t xml:space="preserve"> </w:t>
      </w:r>
      <w:r w:rsidRPr="001D7812" w:rsidR="00D15B31">
        <w:rPr>
          <w:rFonts w:eastAsia="Calibri" w:cs="Times New Roman"/>
          <w:szCs w:val="24"/>
        </w:rPr>
        <w:t>He also re</w:t>
      </w:r>
      <w:r w:rsidRPr="001D7812">
        <w:rPr>
          <w:rFonts w:eastAsia="Calibri" w:cs="Times New Roman"/>
          <w:szCs w:val="24"/>
        </w:rPr>
        <w:t>commended that FirstEnergy</w:t>
      </w:r>
      <w:r w:rsidR="009F1383">
        <w:rPr>
          <w:rFonts w:eastAsia="Calibri" w:cs="Times New Roman"/>
          <w:szCs w:val="24"/>
        </w:rPr>
        <w:t>’</w:t>
      </w:r>
      <w:r w:rsidRPr="001D7812">
        <w:rPr>
          <w:rFonts w:eastAsia="Calibri" w:cs="Times New Roman"/>
          <w:szCs w:val="24"/>
        </w:rPr>
        <w:t>s current existing deferral authority cease upon implementation of ESP V</w:t>
      </w:r>
      <w:r>
        <w:rPr>
          <w:rFonts w:cs="Times New Roman"/>
          <w:szCs w:val="24"/>
          <w:vertAlign w:val="superscript"/>
        </w:rPr>
        <w:footnoteReference w:id="145"/>
      </w:r>
      <w:r w:rsidRPr="001D7812">
        <w:rPr>
          <w:rFonts w:eastAsia="Calibri" w:cs="Times New Roman"/>
          <w:szCs w:val="24"/>
        </w:rPr>
        <w:t xml:space="preserve"> because the utility included substantially more storm events than would be allowed if recovery were limited to </w:t>
      </w:r>
      <w:r w:rsidR="009F1383">
        <w:rPr>
          <w:rFonts w:eastAsia="Calibri" w:cs="Times New Roman"/>
          <w:szCs w:val="24"/>
        </w:rPr>
        <w:t>“</w:t>
      </w:r>
      <w:r w:rsidRPr="001D7812">
        <w:rPr>
          <w:rFonts w:eastAsia="Calibri" w:cs="Times New Roman"/>
          <w:szCs w:val="24"/>
        </w:rPr>
        <w:t xml:space="preserve">major </w:t>
      </w:r>
      <w:r w:rsidRPr="001D7812" w:rsidR="00D15B31">
        <w:rPr>
          <w:rFonts w:eastAsia="Calibri" w:cs="Times New Roman"/>
          <w:szCs w:val="24"/>
        </w:rPr>
        <w:t>events</w:t>
      </w:r>
      <w:r w:rsidRPr="001D7812">
        <w:rPr>
          <w:rFonts w:eastAsia="Calibri" w:cs="Times New Roman"/>
          <w:szCs w:val="24"/>
        </w:rPr>
        <w:t>.</w:t>
      </w:r>
      <w:r w:rsidR="009F1383">
        <w:rPr>
          <w:rFonts w:eastAsia="Calibri" w:cs="Times New Roman"/>
          <w:szCs w:val="24"/>
        </w:rPr>
        <w:t>”</w:t>
      </w:r>
      <w:r>
        <w:rPr>
          <w:rFonts w:cs="Times New Roman"/>
          <w:szCs w:val="24"/>
          <w:vertAlign w:val="superscript"/>
        </w:rPr>
        <w:footnoteReference w:id="146"/>
      </w:r>
      <w:r w:rsidRPr="001D7812">
        <w:rPr>
          <w:rFonts w:eastAsia="Calibri" w:cs="Times New Roman"/>
          <w:szCs w:val="24"/>
        </w:rPr>
        <w:t xml:space="preserve"> </w:t>
      </w:r>
    </w:p>
    <w:p w:rsidR="009F1AF2" w:rsidRPr="001D7812" w:rsidP="00A82749" w14:paraId="285D28A6" w14:textId="34E4B9A0">
      <w:pPr>
        <w:spacing w:line="480" w:lineRule="auto"/>
        <w:ind w:firstLine="720"/>
        <w:rPr>
          <w:rFonts w:eastAsia="Calibri" w:cs="Times New Roman"/>
          <w:szCs w:val="24"/>
        </w:rPr>
      </w:pPr>
      <w:r w:rsidRPr="001D7812">
        <w:rPr>
          <w:rFonts w:eastAsia="Calibri" w:cs="Times New Roman"/>
          <w:szCs w:val="24"/>
        </w:rPr>
        <w:t>For the foregoing reasons, FirstEnergy</w:t>
      </w:r>
      <w:r w:rsidR="009F1383">
        <w:rPr>
          <w:rFonts w:eastAsia="Calibri" w:cs="Times New Roman"/>
          <w:szCs w:val="24"/>
        </w:rPr>
        <w:t>’</w:t>
      </w:r>
      <w:r w:rsidRPr="001D7812">
        <w:rPr>
          <w:rFonts w:eastAsia="Calibri" w:cs="Times New Roman"/>
          <w:szCs w:val="24"/>
        </w:rPr>
        <w:t>s Rider SCR proposal is unjust and unreasonable and inconsistent with PUCO precedent.</w:t>
      </w:r>
      <w:r w:rsidRPr="001D7812" w:rsidR="00CE2F18">
        <w:rPr>
          <w:rFonts w:eastAsia="Calibri" w:cs="Times New Roman"/>
          <w:szCs w:val="24"/>
        </w:rPr>
        <w:t xml:space="preserve"> </w:t>
      </w:r>
      <w:r w:rsidRPr="001D7812">
        <w:rPr>
          <w:rFonts w:eastAsia="Calibri" w:cs="Times New Roman"/>
          <w:szCs w:val="24"/>
        </w:rPr>
        <w:t>The PUCO should therefore reject FirstEnergy</w:t>
      </w:r>
      <w:r w:rsidR="009F1383">
        <w:rPr>
          <w:rFonts w:eastAsia="Calibri" w:cs="Times New Roman"/>
          <w:szCs w:val="24"/>
        </w:rPr>
        <w:t>’</w:t>
      </w:r>
      <w:r w:rsidRPr="001D7812">
        <w:rPr>
          <w:rFonts w:eastAsia="Calibri" w:cs="Times New Roman"/>
          <w:szCs w:val="24"/>
        </w:rPr>
        <w:t>s Rider SCR proposal.</w:t>
      </w:r>
    </w:p>
    <w:p w:rsidR="009F1AF2" w:rsidRPr="001D7812" w14:paraId="467C17C4" w14:textId="77777777">
      <w:pPr>
        <w:spacing w:after="200" w:line="276" w:lineRule="auto"/>
        <w:rPr>
          <w:rFonts w:eastAsia="Calibri" w:cs="Times New Roman"/>
          <w:szCs w:val="24"/>
        </w:rPr>
      </w:pPr>
      <w:r w:rsidRPr="001D7812">
        <w:rPr>
          <w:rFonts w:eastAsia="Calibri" w:cs="Times New Roman"/>
          <w:szCs w:val="24"/>
        </w:rPr>
        <w:br w:type="page"/>
      </w:r>
    </w:p>
    <w:p w:rsidR="0033305E" w:rsidRPr="001D7812" w:rsidP="004D6BF2" w14:paraId="4217802B" w14:textId="5776BB47">
      <w:pPr>
        <w:pStyle w:val="Heading2"/>
      </w:pPr>
      <w:bookmarkStart w:id="22" w:name="_Toc156567935"/>
      <w:r w:rsidRPr="001D7812">
        <w:t>P.</w:t>
      </w:r>
      <w:r w:rsidRPr="001D7812">
        <w:tab/>
      </w:r>
      <w:r w:rsidRPr="001D7812">
        <w:t>FirstEnergy</w:t>
      </w:r>
      <w:r w:rsidR="009F1383">
        <w:t>’</w:t>
      </w:r>
      <w:r w:rsidRPr="001D7812">
        <w:t xml:space="preserve">s </w:t>
      </w:r>
      <w:r w:rsidRPr="001D7812" w:rsidR="00265184">
        <w:t xml:space="preserve">Vegetation Management Cost </w:t>
      </w:r>
      <w:r w:rsidRPr="001D7812" w:rsidR="008E02AA">
        <w:t xml:space="preserve">Rider </w:t>
      </w:r>
      <w:r w:rsidRPr="001D7812" w:rsidR="00265184">
        <w:t>(</w:t>
      </w:r>
      <w:r w:rsidR="009F1383">
        <w:t>“</w:t>
      </w:r>
      <w:r w:rsidRPr="001D7812" w:rsidR="00265184">
        <w:t xml:space="preserve">Rider </w:t>
      </w:r>
      <w:r w:rsidRPr="001D7812" w:rsidR="008E02AA">
        <w:t>VMC</w:t>
      </w:r>
      <w:r w:rsidR="009F1383">
        <w:t>”</w:t>
      </w:r>
      <w:r w:rsidRPr="001D7812" w:rsidR="00265184">
        <w:t>)</w:t>
      </w:r>
      <w:r w:rsidRPr="001D7812" w:rsidR="008E02AA">
        <w:t xml:space="preserve"> proposal</w:t>
      </w:r>
      <w:r w:rsidRPr="001D7812">
        <w:t xml:space="preserve"> is unjust and unreasonable because FirstEnergy failed to demonstrate any need for </w:t>
      </w:r>
      <w:r w:rsidRPr="001D7812" w:rsidR="008E02AA">
        <w:t xml:space="preserve">the rider and the rider </w:t>
      </w:r>
      <w:r w:rsidRPr="001D7812" w:rsidR="00895096">
        <w:t>does not pass</w:t>
      </w:r>
      <w:r w:rsidRPr="001D7812" w:rsidR="008E02AA">
        <w:t xml:space="preserve"> cost savings through to consumers.</w:t>
      </w:r>
      <w:bookmarkEnd w:id="22"/>
    </w:p>
    <w:p w:rsidR="00172219" w:rsidRPr="001D7812" w:rsidP="0083130D" w14:paraId="713BF5FE" w14:textId="42BD1D57">
      <w:pPr>
        <w:spacing w:line="480" w:lineRule="auto"/>
        <w:ind w:firstLine="720"/>
        <w:rPr>
          <w:rFonts w:cs="Times New Roman"/>
          <w:szCs w:val="24"/>
        </w:rPr>
      </w:pPr>
      <w:r w:rsidRPr="001D7812">
        <w:rPr>
          <w:rFonts w:cs="Times New Roman"/>
          <w:szCs w:val="24"/>
        </w:rPr>
        <w:t>FirstEnergy</w:t>
      </w:r>
      <w:r w:rsidR="009F1383">
        <w:rPr>
          <w:rFonts w:cs="Times New Roman"/>
          <w:szCs w:val="24"/>
        </w:rPr>
        <w:t>’</w:t>
      </w:r>
      <w:r w:rsidRPr="001D7812" w:rsidR="001C5862">
        <w:rPr>
          <w:rFonts w:cs="Times New Roman"/>
          <w:szCs w:val="24"/>
        </w:rPr>
        <w:t>s Rider VMC proposal is unjust and unreasonable</w:t>
      </w:r>
      <w:r w:rsidRPr="001D7812" w:rsidR="00895096">
        <w:rPr>
          <w:rFonts w:cs="Times New Roman"/>
          <w:szCs w:val="24"/>
        </w:rPr>
        <w:t xml:space="preserve"> and should be rejected.</w:t>
      </w:r>
      <w:r w:rsidRPr="001D7812" w:rsidR="001C5862">
        <w:rPr>
          <w:rFonts w:cs="Times New Roman"/>
          <w:szCs w:val="24"/>
        </w:rPr>
        <w:t xml:space="preserve"> FirstEnergy</w:t>
      </w:r>
      <w:r w:rsidRPr="001D7812">
        <w:rPr>
          <w:rFonts w:cs="Times New Roman"/>
          <w:szCs w:val="24"/>
        </w:rPr>
        <w:t xml:space="preserve"> failed to demonstrate </w:t>
      </w:r>
      <w:r w:rsidRPr="001D7812" w:rsidR="00895096">
        <w:rPr>
          <w:rFonts w:cs="Times New Roman"/>
          <w:szCs w:val="24"/>
        </w:rPr>
        <w:t>a</w:t>
      </w:r>
      <w:r w:rsidRPr="001D7812">
        <w:rPr>
          <w:rFonts w:cs="Times New Roman"/>
          <w:szCs w:val="24"/>
        </w:rPr>
        <w:t xml:space="preserve"> need for Rider VMC</w:t>
      </w:r>
      <w:r w:rsidRPr="001D7812" w:rsidR="001C5862">
        <w:rPr>
          <w:rFonts w:cs="Times New Roman"/>
          <w:szCs w:val="24"/>
        </w:rPr>
        <w:t>.</w:t>
      </w:r>
      <w:r w:rsidRPr="001D7812" w:rsidR="00CE2F18">
        <w:rPr>
          <w:rFonts w:cs="Times New Roman"/>
          <w:szCs w:val="24"/>
        </w:rPr>
        <w:t xml:space="preserve"> </w:t>
      </w:r>
      <w:r w:rsidRPr="001D7812" w:rsidR="001C5862">
        <w:rPr>
          <w:rFonts w:cs="Times New Roman"/>
          <w:szCs w:val="24"/>
        </w:rPr>
        <w:t>Rider VMC is also unreasonable because it</w:t>
      </w:r>
      <w:r w:rsidRPr="001D7812" w:rsidR="00EE581E">
        <w:rPr>
          <w:rFonts w:cs="Times New Roman"/>
          <w:szCs w:val="24"/>
        </w:rPr>
        <w:t xml:space="preserve"> results in significant savings to the </w:t>
      </w:r>
      <w:r w:rsidRPr="001D7812" w:rsidR="00DD4B1E">
        <w:rPr>
          <w:rFonts w:cs="Times New Roman"/>
          <w:szCs w:val="24"/>
        </w:rPr>
        <w:t>company,</w:t>
      </w:r>
      <w:r w:rsidRPr="001D7812" w:rsidR="001C5862">
        <w:rPr>
          <w:rFonts w:cs="Times New Roman"/>
          <w:szCs w:val="24"/>
        </w:rPr>
        <w:t xml:space="preserve"> but </w:t>
      </w:r>
      <w:r w:rsidRPr="001D7812" w:rsidR="00895096">
        <w:rPr>
          <w:rFonts w:cs="Times New Roman"/>
          <w:szCs w:val="24"/>
        </w:rPr>
        <w:t xml:space="preserve">those savings will not be passed back </w:t>
      </w:r>
      <w:r w:rsidRPr="001D7812" w:rsidR="001C5862">
        <w:rPr>
          <w:rFonts w:cs="Times New Roman"/>
          <w:szCs w:val="24"/>
        </w:rPr>
        <w:t>to consumers.</w:t>
      </w:r>
    </w:p>
    <w:p w:rsidR="009967E2" w:rsidRPr="001D7812" w:rsidP="0083130D" w14:paraId="255DDD03" w14:textId="1A557F1F">
      <w:pPr>
        <w:spacing w:line="480" w:lineRule="auto"/>
        <w:ind w:firstLine="720"/>
        <w:rPr>
          <w:rFonts w:cs="Times New Roman"/>
          <w:szCs w:val="24"/>
        </w:rPr>
      </w:pPr>
      <w:r w:rsidRPr="001D7812">
        <w:rPr>
          <w:rFonts w:cs="Times New Roman"/>
          <w:szCs w:val="24"/>
        </w:rPr>
        <w:t>Rider VMC would allow FirstEnergy to collect vegetation management costs.</w:t>
      </w:r>
      <w:r w:rsidRPr="001D7812" w:rsidR="00CE2F18">
        <w:rPr>
          <w:rFonts w:cs="Times New Roman"/>
          <w:szCs w:val="24"/>
        </w:rPr>
        <w:t xml:space="preserve"> </w:t>
      </w:r>
      <w:r w:rsidRPr="001D7812">
        <w:rPr>
          <w:rFonts w:cs="Times New Roman"/>
          <w:szCs w:val="24"/>
        </w:rPr>
        <w:t xml:space="preserve">FirstEnergy Witness Shawn Standish explained that the rider would also cover the costs of an </w:t>
      </w:r>
      <w:r w:rsidR="009F1383">
        <w:rPr>
          <w:rFonts w:cs="Times New Roman"/>
          <w:szCs w:val="24"/>
        </w:rPr>
        <w:t>“</w:t>
      </w:r>
      <w:r w:rsidRPr="001D7812">
        <w:rPr>
          <w:rFonts w:cs="Times New Roman"/>
          <w:szCs w:val="24"/>
        </w:rPr>
        <w:t>enhanced vegetation management program, which will focus on removing on- and off-corridor trees, removing overhang, and controlling brush in the distribution clearing zone in a more proactive manner.</w:t>
      </w:r>
      <w:r w:rsidR="009F1383">
        <w:rPr>
          <w:rFonts w:cs="Times New Roman"/>
          <w:szCs w:val="24"/>
        </w:rPr>
        <w:t>”</w:t>
      </w:r>
      <w:r>
        <w:rPr>
          <w:rStyle w:val="FootnoteReference"/>
          <w:rFonts w:cs="Times New Roman"/>
          <w:szCs w:val="24"/>
        </w:rPr>
        <w:footnoteReference w:id="147"/>
      </w:r>
      <w:r w:rsidRPr="001D7812" w:rsidR="00CE2F18">
        <w:rPr>
          <w:rFonts w:cs="Times New Roman"/>
          <w:szCs w:val="24"/>
        </w:rPr>
        <w:t xml:space="preserve"> </w:t>
      </w:r>
      <w:r w:rsidRPr="001D7812" w:rsidR="00895096">
        <w:rPr>
          <w:rFonts w:cs="Times New Roman"/>
          <w:szCs w:val="24"/>
        </w:rPr>
        <w:t xml:space="preserve">OCC witness </w:t>
      </w:r>
      <w:r w:rsidRPr="001D7812">
        <w:rPr>
          <w:rFonts w:cs="Times New Roman"/>
          <w:szCs w:val="24"/>
        </w:rPr>
        <w:t>Mr. Meyer testified that FirstEnergy failed to demonstrate any need for the program because it could collect the costs for any enhanced vegetation management program in the upcoming 2024 distribution base rate case.</w:t>
      </w:r>
      <w:r>
        <w:rPr>
          <w:rStyle w:val="FootnoteReference"/>
          <w:rFonts w:cs="Times New Roman"/>
          <w:szCs w:val="24"/>
        </w:rPr>
        <w:footnoteReference w:id="148"/>
      </w:r>
    </w:p>
    <w:p w:rsidR="005F5FEF" w:rsidRPr="001D7812" w:rsidP="0083130D" w14:paraId="2833D2DD" w14:textId="7338E1CA">
      <w:pPr>
        <w:spacing w:line="480" w:lineRule="auto"/>
        <w:ind w:firstLine="720"/>
        <w:rPr>
          <w:rFonts w:cs="Times New Roman"/>
          <w:szCs w:val="24"/>
        </w:rPr>
      </w:pPr>
      <w:r w:rsidRPr="001D7812">
        <w:rPr>
          <w:rFonts w:cs="Times New Roman"/>
          <w:szCs w:val="24"/>
        </w:rPr>
        <w:t>Rider VMC is also unjust and unreasonable because it does not contain any proposal to pass through to consumers the cost savings generated by Rider VMC.</w:t>
      </w:r>
      <w:r w:rsidRPr="001D7812" w:rsidR="00CE2F18">
        <w:rPr>
          <w:rFonts w:cs="Times New Roman"/>
          <w:szCs w:val="24"/>
        </w:rPr>
        <w:t xml:space="preserve"> </w:t>
      </w:r>
      <w:r w:rsidRPr="001D7812" w:rsidR="009967E2">
        <w:rPr>
          <w:rFonts w:cs="Times New Roman"/>
          <w:szCs w:val="24"/>
        </w:rPr>
        <w:t xml:space="preserve">Mr. Meyer testified that </w:t>
      </w:r>
      <w:r w:rsidRPr="001D7812" w:rsidR="001C5862">
        <w:rPr>
          <w:rFonts w:cs="Times New Roman"/>
          <w:szCs w:val="24"/>
        </w:rPr>
        <w:t>allow</w:t>
      </w:r>
      <w:r w:rsidRPr="001D7812" w:rsidR="009967E2">
        <w:rPr>
          <w:rFonts w:cs="Times New Roman"/>
          <w:szCs w:val="24"/>
        </w:rPr>
        <w:t>ing</w:t>
      </w:r>
      <w:r w:rsidRPr="001D7812" w:rsidR="001C5862">
        <w:rPr>
          <w:rFonts w:cs="Times New Roman"/>
          <w:szCs w:val="24"/>
        </w:rPr>
        <w:t xml:space="preserve"> FirstEnergy to collect</w:t>
      </w:r>
      <w:r w:rsidRPr="001D7812">
        <w:rPr>
          <w:rFonts w:cs="Times New Roman"/>
          <w:szCs w:val="24"/>
        </w:rPr>
        <w:t xml:space="preserve"> incremental vegetation management expenses</w:t>
      </w:r>
      <w:r w:rsidRPr="001D7812" w:rsidR="009967E2">
        <w:rPr>
          <w:rFonts w:cs="Times New Roman"/>
          <w:szCs w:val="24"/>
        </w:rPr>
        <w:t xml:space="preserve"> through Rider VMC</w:t>
      </w:r>
      <w:r w:rsidRPr="001D7812">
        <w:rPr>
          <w:rFonts w:cs="Times New Roman"/>
          <w:szCs w:val="24"/>
        </w:rPr>
        <w:t xml:space="preserve"> </w:t>
      </w:r>
      <w:r w:rsidRPr="001D7812" w:rsidR="001C5862">
        <w:rPr>
          <w:rFonts w:cs="Times New Roman"/>
          <w:szCs w:val="24"/>
        </w:rPr>
        <w:t xml:space="preserve">(as </w:t>
      </w:r>
      <w:r w:rsidRPr="001D7812">
        <w:rPr>
          <w:rFonts w:cs="Times New Roman"/>
          <w:szCs w:val="24"/>
        </w:rPr>
        <w:t>compared to a baseline level established in base distribution rates</w:t>
      </w:r>
      <w:r w:rsidRPr="001D7812" w:rsidR="001C5862">
        <w:rPr>
          <w:rFonts w:cs="Times New Roman"/>
          <w:szCs w:val="24"/>
        </w:rPr>
        <w:t>)</w:t>
      </w:r>
      <w:r w:rsidRPr="001D7812" w:rsidR="00A16069">
        <w:rPr>
          <w:rFonts w:cs="Times New Roman"/>
          <w:szCs w:val="24"/>
        </w:rPr>
        <w:t xml:space="preserve"> </w:t>
      </w:r>
      <w:r w:rsidRPr="001D7812" w:rsidR="001C5862">
        <w:rPr>
          <w:rFonts w:cs="Times New Roman"/>
          <w:szCs w:val="24"/>
        </w:rPr>
        <w:t xml:space="preserve">would </w:t>
      </w:r>
      <w:r w:rsidRPr="001D7812" w:rsidR="009967E2">
        <w:rPr>
          <w:rFonts w:cs="Times New Roman"/>
          <w:szCs w:val="24"/>
        </w:rPr>
        <w:t xml:space="preserve">benefit FirstEnergy by </w:t>
      </w:r>
      <w:r w:rsidRPr="001D7812">
        <w:rPr>
          <w:rFonts w:cs="Times New Roman"/>
          <w:szCs w:val="24"/>
        </w:rPr>
        <w:t>reduc</w:t>
      </w:r>
      <w:r w:rsidRPr="001D7812" w:rsidR="009967E2">
        <w:rPr>
          <w:rFonts w:cs="Times New Roman"/>
          <w:szCs w:val="24"/>
        </w:rPr>
        <w:t>ing</w:t>
      </w:r>
      <w:r w:rsidRPr="001D7812">
        <w:rPr>
          <w:rFonts w:cs="Times New Roman"/>
          <w:szCs w:val="24"/>
        </w:rPr>
        <w:t xml:space="preserve"> regulatory lag for vegetation management expenses.</w:t>
      </w:r>
      <w:r>
        <w:rPr>
          <w:rStyle w:val="FootnoteReference"/>
          <w:rFonts w:cs="Times New Roman"/>
          <w:szCs w:val="24"/>
        </w:rPr>
        <w:footnoteReference w:id="149"/>
      </w:r>
      <w:r w:rsidRPr="001D7812" w:rsidR="0083130D">
        <w:rPr>
          <w:rFonts w:cs="Times New Roman"/>
          <w:szCs w:val="24"/>
        </w:rPr>
        <w:t xml:space="preserve"> </w:t>
      </w:r>
      <w:r w:rsidRPr="001D7812" w:rsidR="007A703C">
        <w:rPr>
          <w:rFonts w:cs="Times New Roman"/>
          <w:szCs w:val="24"/>
        </w:rPr>
        <w:t xml:space="preserve">In addition, the enhanced vegetation management program would generate </w:t>
      </w:r>
      <w:r w:rsidRPr="001D7812" w:rsidR="0083130D">
        <w:rPr>
          <w:rFonts w:cs="Times New Roman"/>
          <w:szCs w:val="24"/>
        </w:rPr>
        <w:t xml:space="preserve">significant </w:t>
      </w:r>
      <w:r w:rsidRPr="001D7812" w:rsidR="007A703C">
        <w:rPr>
          <w:rFonts w:cs="Times New Roman"/>
          <w:szCs w:val="24"/>
        </w:rPr>
        <w:t xml:space="preserve">cost </w:t>
      </w:r>
      <w:r w:rsidRPr="001D7812" w:rsidR="0083130D">
        <w:rPr>
          <w:rFonts w:cs="Times New Roman"/>
          <w:szCs w:val="24"/>
        </w:rPr>
        <w:t>savings</w:t>
      </w:r>
      <w:r w:rsidRPr="001D7812" w:rsidR="007A703C">
        <w:rPr>
          <w:rFonts w:cs="Times New Roman"/>
          <w:szCs w:val="24"/>
        </w:rPr>
        <w:t xml:space="preserve"> as compared to FirstEnergy</w:t>
      </w:r>
      <w:r w:rsidR="009F1383">
        <w:rPr>
          <w:rFonts w:cs="Times New Roman"/>
          <w:szCs w:val="24"/>
        </w:rPr>
        <w:t>’</w:t>
      </w:r>
      <w:r w:rsidRPr="001D7812" w:rsidR="007A703C">
        <w:rPr>
          <w:rFonts w:cs="Times New Roman"/>
          <w:szCs w:val="24"/>
        </w:rPr>
        <w:t>s normal vegetation management costs</w:t>
      </w:r>
      <w:r w:rsidRPr="001D7812" w:rsidR="00AD0FC4">
        <w:rPr>
          <w:rFonts w:cs="Times New Roman"/>
          <w:szCs w:val="24"/>
        </w:rPr>
        <w:t>.</w:t>
      </w:r>
      <w:r>
        <w:rPr>
          <w:rStyle w:val="FootnoteReference"/>
          <w:rFonts w:cs="Times New Roman"/>
          <w:szCs w:val="24"/>
        </w:rPr>
        <w:footnoteReference w:id="150"/>
      </w:r>
      <w:r w:rsidRPr="001D7812" w:rsidR="00CE2F18">
        <w:rPr>
          <w:rFonts w:cs="Times New Roman"/>
          <w:szCs w:val="24"/>
        </w:rPr>
        <w:t xml:space="preserve"> </w:t>
      </w:r>
      <w:r w:rsidRPr="001D7812" w:rsidR="007A703C">
        <w:rPr>
          <w:rFonts w:cs="Times New Roman"/>
          <w:szCs w:val="24"/>
        </w:rPr>
        <w:t>Mr. Meyer summarized these cost savings as follows:</w:t>
      </w:r>
      <w:r>
        <w:rPr>
          <w:rStyle w:val="FootnoteReference"/>
          <w:rFonts w:cs="Times New Roman"/>
          <w:szCs w:val="24"/>
        </w:rPr>
        <w:footnoteReference w:id="151"/>
      </w:r>
    </w:p>
    <w:p w:rsidR="001F6F27" w:rsidRPr="001D7812" w:rsidP="001F6F27" w14:paraId="5F9AA140" w14:textId="4A28FC8D">
      <w:pPr>
        <w:spacing w:line="480" w:lineRule="auto"/>
        <w:jc w:val="center"/>
        <w:rPr>
          <w:rFonts w:cs="Times New Roman"/>
          <w:szCs w:val="24"/>
        </w:rPr>
      </w:pPr>
      <w:r w:rsidRPr="001D7812">
        <w:rPr>
          <w:rFonts w:cs="Times New Roman"/>
          <w:noProof/>
          <w:szCs w:val="24"/>
        </w:rPr>
        <w:drawing>
          <wp:inline distT="0" distB="0" distL="0" distR="0">
            <wp:extent cx="3843574" cy="5046453"/>
            <wp:effectExtent l="0" t="0" r="508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6"/>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0" y="0"/>
                      <a:ext cx="3849438" cy="5054152"/>
                    </a:xfrm>
                    <a:prstGeom prst="rect">
                      <a:avLst/>
                    </a:prstGeom>
                    <a:noFill/>
                    <a:ln>
                      <a:noFill/>
                    </a:ln>
                  </pic:spPr>
                </pic:pic>
              </a:graphicData>
            </a:graphic>
          </wp:inline>
        </w:drawing>
      </w:r>
    </w:p>
    <w:p w:rsidR="00674542" w:rsidRPr="001D7812" w:rsidP="007A703C" w14:paraId="5B783C6B" w14:textId="3A608BEE">
      <w:pPr>
        <w:spacing w:line="480" w:lineRule="auto"/>
        <w:rPr>
          <w:rFonts w:cs="Times New Roman"/>
          <w:szCs w:val="24"/>
        </w:rPr>
      </w:pPr>
      <w:r w:rsidRPr="001D7812">
        <w:rPr>
          <w:rFonts w:cs="Times New Roman"/>
          <w:szCs w:val="24"/>
        </w:rPr>
        <w:t xml:space="preserve">Rider VMC does not pass these savings on to consumers. </w:t>
      </w:r>
      <w:r w:rsidRPr="001D7812" w:rsidR="000F536A">
        <w:rPr>
          <w:rFonts w:cs="Times New Roman"/>
          <w:szCs w:val="24"/>
        </w:rPr>
        <w:t>The PUCO should therefore reject FirstEnergy</w:t>
      </w:r>
      <w:r w:rsidR="009F1383">
        <w:rPr>
          <w:rFonts w:cs="Times New Roman"/>
          <w:szCs w:val="24"/>
        </w:rPr>
        <w:t>’</w:t>
      </w:r>
      <w:r w:rsidRPr="001D7812" w:rsidR="000F536A">
        <w:rPr>
          <w:rFonts w:cs="Times New Roman"/>
          <w:szCs w:val="24"/>
        </w:rPr>
        <w:t xml:space="preserve">s </w:t>
      </w:r>
      <w:r w:rsidRPr="001D7812" w:rsidR="00076906">
        <w:rPr>
          <w:rFonts w:cs="Times New Roman"/>
          <w:szCs w:val="24"/>
        </w:rPr>
        <w:t xml:space="preserve">Rider VMC </w:t>
      </w:r>
      <w:r w:rsidRPr="001D7812" w:rsidR="000F536A">
        <w:rPr>
          <w:rFonts w:cs="Times New Roman"/>
          <w:szCs w:val="24"/>
        </w:rPr>
        <w:t>proposal.</w:t>
      </w:r>
    </w:p>
    <w:p w:rsidR="00674542" w:rsidRPr="001D7812" w14:paraId="61D5CCA7" w14:textId="77777777">
      <w:pPr>
        <w:spacing w:after="200" w:line="276" w:lineRule="auto"/>
        <w:rPr>
          <w:rFonts w:cs="Times New Roman"/>
          <w:szCs w:val="24"/>
        </w:rPr>
      </w:pPr>
      <w:r w:rsidRPr="001D7812">
        <w:rPr>
          <w:rFonts w:cs="Times New Roman"/>
          <w:szCs w:val="24"/>
        </w:rPr>
        <w:br w:type="page"/>
      </w:r>
    </w:p>
    <w:p w:rsidR="0044306A" w:rsidRPr="001D7812" w:rsidP="00674542" w14:paraId="75A51A81" w14:textId="00241981">
      <w:pPr>
        <w:pStyle w:val="Heading2"/>
      </w:pPr>
      <w:bookmarkStart w:id="23" w:name="_Toc156567936"/>
      <w:r w:rsidRPr="001D7812">
        <w:t>Q.</w:t>
      </w:r>
      <w:r w:rsidRPr="001D7812">
        <w:tab/>
      </w:r>
      <w:r w:rsidRPr="001D7812" w:rsidR="00955ABA">
        <w:t>FirstEnergy</w:t>
      </w:r>
      <w:r w:rsidR="009F1383">
        <w:t>’</w:t>
      </w:r>
      <w:r w:rsidRPr="001D7812" w:rsidR="00955ABA">
        <w:t>s</w:t>
      </w:r>
      <w:r w:rsidRPr="001D7812" w:rsidR="00D56174">
        <w:t xml:space="preserve"> Economic Load Response Program</w:t>
      </w:r>
      <w:r w:rsidRPr="001D7812" w:rsidR="00955ABA">
        <w:t xml:space="preserve"> </w:t>
      </w:r>
      <w:r w:rsidRPr="001D7812" w:rsidR="00D56174">
        <w:t>(</w:t>
      </w:r>
      <w:r w:rsidR="009F1383">
        <w:t>“</w:t>
      </w:r>
      <w:r w:rsidRPr="001D7812" w:rsidR="00CB1150">
        <w:t>Rider ELR</w:t>
      </w:r>
      <w:r w:rsidR="009F1383">
        <w:t>”</w:t>
      </w:r>
      <w:r w:rsidRPr="001D7812" w:rsidR="00D56174">
        <w:t>)</w:t>
      </w:r>
      <w:r w:rsidRPr="001D7812" w:rsidR="00CB1150">
        <w:t xml:space="preserve"> </w:t>
      </w:r>
      <w:r w:rsidRPr="001D7812" w:rsidR="00FD3D85">
        <w:t xml:space="preserve">proposal requires </w:t>
      </w:r>
      <w:r w:rsidRPr="001D7812" w:rsidR="00955ABA">
        <w:t xml:space="preserve">consumers to pay </w:t>
      </w:r>
      <w:r w:rsidRPr="001D7812" w:rsidR="00FD3D85">
        <w:t>massive subsidies to 24 large industrial customers for interruptible service in the event of electric emergen</w:t>
      </w:r>
      <w:r w:rsidRPr="001D7812">
        <w:t>ci</w:t>
      </w:r>
      <w:r w:rsidRPr="001D7812" w:rsidR="00FD3D85">
        <w:t>es.</w:t>
      </w:r>
      <w:r w:rsidRPr="001D7812" w:rsidR="00CE2F18">
        <w:t xml:space="preserve"> </w:t>
      </w:r>
      <w:r w:rsidRPr="001D7812" w:rsidR="00FD3D85">
        <w:t>This proposal is unjust and unreasonable</w:t>
      </w:r>
      <w:r w:rsidRPr="001D7812">
        <w:t>.</w:t>
      </w:r>
      <w:r w:rsidRPr="001D7812" w:rsidR="00FD3D85">
        <w:t xml:space="preserve"> </w:t>
      </w:r>
      <w:r w:rsidRPr="001D7812">
        <w:t>P</w:t>
      </w:r>
      <w:r w:rsidRPr="001D7812" w:rsidR="00FD3D85">
        <w:t>JM, not FirstEnergy, decide</w:t>
      </w:r>
      <w:r w:rsidRPr="001D7812">
        <w:t>s</w:t>
      </w:r>
      <w:r w:rsidRPr="001D7812" w:rsidR="00FD3D85">
        <w:t xml:space="preserve"> whether </w:t>
      </w:r>
      <w:r w:rsidRPr="001D7812">
        <w:t xml:space="preserve">to curtail </w:t>
      </w:r>
      <w:r w:rsidRPr="001D7812" w:rsidR="00FD3D85">
        <w:t xml:space="preserve">electric service </w:t>
      </w:r>
      <w:r w:rsidRPr="001D7812">
        <w:t>in the event of</w:t>
      </w:r>
      <w:r w:rsidRPr="001D7812" w:rsidR="00FD3D85">
        <w:t xml:space="preserve"> an emergency.</w:t>
      </w:r>
      <w:r w:rsidRPr="001D7812" w:rsidR="00CE2F18">
        <w:t xml:space="preserve"> </w:t>
      </w:r>
      <w:r w:rsidRPr="001D7812" w:rsidR="00FD3D85">
        <w:t xml:space="preserve">FirstEnergy consumers should not be required to subsidize these </w:t>
      </w:r>
      <w:r w:rsidRPr="001D7812">
        <w:t xml:space="preserve">large </w:t>
      </w:r>
      <w:r w:rsidRPr="001D7812" w:rsidR="00FD3D85">
        <w:t>industrial customers</w:t>
      </w:r>
      <w:r w:rsidRPr="001D7812" w:rsidR="00F83639">
        <w:t>.</w:t>
      </w:r>
      <w:r w:rsidRPr="001D7812" w:rsidR="00FD3D85">
        <w:t xml:space="preserve"> Duke and AES Ohio consumers, </w:t>
      </w:r>
      <w:r w:rsidRPr="001D7812">
        <w:t xml:space="preserve">who </w:t>
      </w:r>
      <w:r w:rsidRPr="001D7812" w:rsidR="00FD3D85">
        <w:t>are similarly situated,</w:t>
      </w:r>
      <w:r w:rsidRPr="001D7812">
        <w:t xml:space="preserve"> </w:t>
      </w:r>
      <w:r w:rsidRPr="001D7812" w:rsidR="00FD3D85">
        <w:t>are not required to</w:t>
      </w:r>
      <w:r w:rsidRPr="001D7812">
        <w:t xml:space="preserve"> pay these subsidies</w:t>
      </w:r>
      <w:r w:rsidRPr="001D7812" w:rsidR="00F83639">
        <w:t xml:space="preserve"> and neither should FirstEnergy consumers</w:t>
      </w:r>
      <w:r w:rsidRPr="001D7812">
        <w:t>.</w:t>
      </w:r>
      <w:bookmarkEnd w:id="23"/>
    </w:p>
    <w:p w:rsidR="00955ABA" w:rsidRPr="001D7812" w:rsidP="00D100EC" w14:paraId="62F975AC" w14:textId="2C84294B">
      <w:pPr>
        <w:spacing w:line="480" w:lineRule="auto"/>
        <w:ind w:firstLine="720"/>
        <w:rPr>
          <w:rFonts w:cs="Times New Roman"/>
          <w:szCs w:val="24"/>
        </w:rPr>
      </w:pPr>
      <w:r w:rsidRPr="001D7812">
        <w:rPr>
          <w:rFonts w:cs="Times New Roman"/>
          <w:szCs w:val="24"/>
        </w:rPr>
        <w:t>FirstEnergy</w:t>
      </w:r>
      <w:r w:rsidR="009F1383">
        <w:rPr>
          <w:rFonts w:cs="Times New Roman"/>
          <w:szCs w:val="24"/>
        </w:rPr>
        <w:t>’</w:t>
      </w:r>
      <w:r w:rsidRPr="001D7812">
        <w:rPr>
          <w:rFonts w:cs="Times New Roman"/>
          <w:szCs w:val="24"/>
        </w:rPr>
        <w:t xml:space="preserve">s Rider ELR proposal is unjust and unreasonable because </w:t>
      </w:r>
      <w:r w:rsidRPr="001D7812" w:rsidR="00FD3D85">
        <w:rPr>
          <w:rFonts w:cs="Times New Roman"/>
          <w:szCs w:val="24"/>
        </w:rPr>
        <w:t>it forces consumers to subsidize large industrial customers for interruptible service</w:t>
      </w:r>
      <w:r w:rsidRPr="001D7812" w:rsidR="00327254">
        <w:rPr>
          <w:rFonts w:cs="Times New Roman"/>
          <w:szCs w:val="24"/>
        </w:rPr>
        <w:t xml:space="preserve"> – even though FirstEnergy </w:t>
      </w:r>
      <w:r w:rsidRPr="001D7812" w:rsidR="005E38A3">
        <w:rPr>
          <w:rFonts w:cs="Times New Roman"/>
          <w:szCs w:val="24"/>
        </w:rPr>
        <w:t xml:space="preserve">may </w:t>
      </w:r>
      <w:r w:rsidRPr="001D7812" w:rsidR="00327254">
        <w:rPr>
          <w:rFonts w:cs="Times New Roman"/>
          <w:szCs w:val="24"/>
        </w:rPr>
        <w:t>never actually interrupt their service.</w:t>
      </w:r>
      <w:r w:rsidRPr="001D7812" w:rsidR="00CE2F18">
        <w:rPr>
          <w:rFonts w:cs="Times New Roman"/>
          <w:szCs w:val="24"/>
        </w:rPr>
        <w:t xml:space="preserve"> </w:t>
      </w:r>
      <w:r w:rsidRPr="001D7812" w:rsidR="00327254">
        <w:rPr>
          <w:rFonts w:cs="Times New Roman"/>
          <w:szCs w:val="24"/>
        </w:rPr>
        <w:t>It is the responsibility of PJM, not FirstEnergy, to curtail service in the event of electric emergencies.</w:t>
      </w:r>
      <w:r w:rsidRPr="001D7812" w:rsidR="00CE2F18">
        <w:rPr>
          <w:rFonts w:cs="Times New Roman"/>
          <w:szCs w:val="24"/>
        </w:rPr>
        <w:t xml:space="preserve"> </w:t>
      </w:r>
      <w:r w:rsidRPr="001D7812" w:rsidR="00327254">
        <w:rPr>
          <w:rFonts w:cs="Times New Roman"/>
          <w:szCs w:val="24"/>
        </w:rPr>
        <w:t xml:space="preserve">Duke and AES Ohio consumers are similarly situated to FirstEnergy consumers because all three utilities belong to PJM, but Duke and AES Ohio consumers are not required to </w:t>
      </w:r>
      <w:r w:rsidRPr="001D7812" w:rsidR="00F83639">
        <w:rPr>
          <w:rFonts w:cs="Times New Roman"/>
          <w:szCs w:val="24"/>
        </w:rPr>
        <w:t xml:space="preserve">pay </w:t>
      </w:r>
      <w:r w:rsidRPr="001D7812" w:rsidR="00327254">
        <w:rPr>
          <w:rFonts w:cs="Times New Roman"/>
          <w:szCs w:val="24"/>
        </w:rPr>
        <w:t>subsidies to large industrial customers under an interruptible service tariff.</w:t>
      </w:r>
      <w:r w:rsidRPr="001D7812" w:rsidR="00CE2F18">
        <w:rPr>
          <w:rFonts w:cs="Times New Roman"/>
          <w:szCs w:val="24"/>
        </w:rPr>
        <w:t xml:space="preserve"> </w:t>
      </w:r>
      <w:r w:rsidRPr="001D7812" w:rsidR="00327254">
        <w:rPr>
          <w:rFonts w:cs="Times New Roman"/>
          <w:szCs w:val="24"/>
        </w:rPr>
        <w:t>The PUCO should reject FirstEnergy</w:t>
      </w:r>
      <w:r w:rsidR="009F1383">
        <w:rPr>
          <w:rFonts w:cs="Times New Roman"/>
          <w:szCs w:val="24"/>
        </w:rPr>
        <w:t>’</w:t>
      </w:r>
      <w:r w:rsidRPr="001D7812" w:rsidR="00327254">
        <w:rPr>
          <w:rFonts w:cs="Times New Roman"/>
          <w:szCs w:val="24"/>
        </w:rPr>
        <w:t xml:space="preserve">s Rider ELR proposal. </w:t>
      </w:r>
    </w:p>
    <w:p w:rsidR="0067062F" w:rsidRPr="001D7812" w:rsidP="00D100EC" w14:paraId="52BB7021" w14:textId="010F6286">
      <w:pPr>
        <w:spacing w:line="480" w:lineRule="auto"/>
        <w:ind w:firstLine="720"/>
        <w:rPr>
          <w:rFonts w:cs="Times New Roman"/>
          <w:szCs w:val="24"/>
        </w:rPr>
      </w:pPr>
      <w:r w:rsidRPr="001D7812">
        <w:rPr>
          <w:rFonts w:cs="Times New Roman"/>
          <w:szCs w:val="24"/>
        </w:rPr>
        <w:t>FirstEnergy Witnesses Edward Stein and Brandon McMillen describe FirstEnergy</w:t>
      </w:r>
      <w:r w:rsidR="009F1383">
        <w:rPr>
          <w:rFonts w:cs="Times New Roman"/>
          <w:szCs w:val="24"/>
        </w:rPr>
        <w:t>’</w:t>
      </w:r>
      <w:r w:rsidRPr="001D7812">
        <w:rPr>
          <w:rFonts w:cs="Times New Roman"/>
          <w:szCs w:val="24"/>
        </w:rPr>
        <w:t>s Rider ELR proposal.</w:t>
      </w:r>
      <w:r w:rsidRPr="001D7812" w:rsidR="00CE2F18">
        <w:rPr>
          <w:rFonts w:cs="Times New Roman"/>
          <w:szCs w:val="24"/>
        </w:rPr>
        <w:t xml:space="preserve"> </w:t>
      </w:r>
      <w:r w:rsidRPr="001D7812" w:rsidR="00842817">
        <w:rPr>
          <w:rFonts w:cs="Times New Roman"/>
          <w:szCs w:val="24"/>
        </w:rPr>
        <w:t xml:space="preserve">Rider </w:t>
      </w:r>
      <w:r w:rsidRPr="001D7812">
        <w:rPr>
          <w:rFonts w:cs="Times New Roman"/>
          <w:szCs w:val="24"/>
        </w:rPr>
        <w:t>ELR is a</w:t>
      </w:r>
      <w:r w:rsidRPr="001D7812" w:rsidR="0013548E">
        <w:rPr>
          <w:rFonts w:cs="Times New Roman"/>
          <w:szCs w:val="24"/>
        </w:rPr>
        <w:t xml:space="preserve">n interruptible tariff for </w:t>
      </w:r>
      <w:r w:rsidRPr="001D7812" w:rsidR="007A6D6B">
        <w:rPr>
          <w:rFonts w:cs="Times New Roman"/>
          <w:szCs w:val="24"/>
        </w:rPr>
        <w:t xml:space="preserve">24 </w:t>
      </w:r>
      <w:r w:rsidRPr="001D7812" w:rsidR="0013548E">
        <w:rPr>
          <w:rFonts w:cs="Times New Roman"/>
          <w:szCs w:val="24"/>
        </w:rPr>
        <w:t xml:space="preserve">large industrial customers who receive </w:t>
      </w:r>
      <w:r w:rsidRPr="001D7812" w:rsidR="007A6D6B">
        <w:rPr>
          <w:rFonts w:cs="Times New Roman"/>
          <w:szCs w:val="24"/>
        </w:rPr>
        <w:t xml:space="preserve">massive </w:t>
      </w:r>
      <w:r w:rsidRPr="001D7812" w:rsidR="0013548E">
        <w:rPr>
          <w:rFonts w:cs="Times New Roman"/>
          <w:szCs w:val="24"/>
        </w:rPr>
        <w:t xml:space="preserve">rate credits </w:t>
      </w:r>
      <w:r w:rsidRPr="001D7812" w:rsidR="007A6D6B">
        <w:rPr>
          <w:rFonts w:cs="Times New Roman"/>
          <w:szCs w:val="24"/>
        </w:rPr>
        <w:t>in exchange for granting</w:t>
      </w:r>
      <w:r w:rsidRPr="001D7812" w:rsidR="0013548E">
        <w:rPr>
          <w:rFonts w:cs="Times New Roman"/>
          <w:szCs w:val="24"/>
        </w:rPr>
        <w:t xml:space="preserve"> FirstEnergy </w:t>
      </w:r>
      <w:r w:rsidRPr="001D7812" w:rsidR="007A6D6B">
        <w:rPr>
          <w:rFonts w:cs="Times New Roman"/>
          <w:szCs w:val="24"/>
        </w:rPr>
        <w:t xml:space="preserve">the right </w:t>
      </w:r>
      <w:r w:rsidRPr="001D7812" w:rsidR="0013548E">
        <w:rPr>
          <w:rFonts w:cs="Times New Roman"/>
          <w:szCs w:val="24"/>
        </w:rPr>
        <w:t>to interrupt servi</w:t>
      </w:r>
      <w:r w:rsidRPr="001D7812" w:rsidR="007A6D6B">
        <w:rPr>
          <w:rFonts w:cs="Times New Roman"/>
          <w:szCs w:val="24"/>
        </w:rPr>
        <w:t>c</w:t>
      </w:r>
      <w:r w:rsidRPr="001D7812" w:rsidR="0013548E">
        <w:rPr>
          <w:rFonts w:cs="Times New Roman"/>
          <w:szCs w:val="24"/>
        </w:rPr>
        <w:t>e in the event of an emergency</w:t>
      </w:r>
      <w:r w:rsidRPr="001D7812" w:rsidR="007A6D6B">
        <w:rPr>
          <w:rFonts w:cs="Times New Roman"/>
          <w:szCs w:val="24"/>
        </w:rPr>
        <w:t xml:space="preserve"> situation (</w:t>
      </w:r>
      <w:r w:rsidRPr="001D7812" w:rsidR="007A6D6B">
        <w:rPr>
          <w:rFonts w:cs="Times New Roman"/>
          <w:i/>
          <w:iCs/>
          <w:szCs w:val="24"/>
        </w:rPr>
        <w:t xml:space="preserve">even though FirstEnergy </w:t>
      </w:r>
      <w:r w:rsidRPr="001D7812" w:rsidR="005E38A3">
        <w:rPr>
          <w:rFonts w:cs="Times New Roman"/>
          <w:i/>
          <w:iCs/>
          <w:szCs w:val="24"/>
        </w:rPr>
        <w:t xml:space="preserve">may </w:t>
      </w:r>
      <w:r w:rsidRPr="001D7812" w:rsidR="007A6D6B">
        <w:rPr>
          <w:rFonts w:cs="Times New Roman"/>
          <w:i/>
          <w:iCs/>
          <w:szCs w:val="24"/>
        </w:rPr>
        <w:t>never actually interrupt service</w:t>
      </w:r>
      <w:r w:rsidRPr="001D7812" w:rsidR="007A6D6B">
        <w:rPr>
          <w:rFonts w:cs="Times New Roman"/>
          <w:szCs w:val="24"/>
        </w:rPr>
        <w:t>)</w:t>
      </w:r>
      <w:r w:rsidRPr="001D7812" w:rsidR="0013548E">
        <w:rPr>
          <w:rFonts w:cs="Times New Roman"/>
          <w:szCs w:val="24"/>
        </w:rPr>
        <w:t>.</w:t>
      </w:r>
      <w:r>
        <w:rPr>
          <w:rStyle w:val="FootnoteReference"/>
          <w:rFonts w:cs="Times New Roman"/>
          <w:szCs w:val="24"/>
        </w:rPr>
        <w:footnoteReference w:id="152"/>
      </w:r>
      <w:r w:rsidRPr="001D7812" w:rsidR="00CE2F18">
        <w:rPr>
          <w:rFonts w:cs="Times New Roman"/>
          <w:szCs w:val="24"/>
        </w:rPr>
        <w:t xml:space="preserve"> </w:t>
      </w:r>
      <w:r w:rsidRPr="001D7812" w:rsidR="00842817">
        <w:rPr>
          <w:rFonts w:cs="Times New Roman"/>
          <w:szCs w:val="24"/>
        </w:rPr>
        <w:t>Rider ELR has been in effect since FirstEnergy</w:t>
      </w:r>
      <w:r w:rsidR="009F1383">
        <w:rPr>
          <w:rFonts w:cs="Times New Roman"/>
          <w:szCs w:val="24"/>
        </w:rPr>
        <w:t>’</w:t>
      </w:r>
      <w:r w:rsidRPr="001D7812" w:rsidR="00842817">
        <w:rPr>
          <w:rFonts w:cs="Times New Roman"/>
          <w:szCs w:val="24"/>
        </w:rPr>
        <w:t>s ESP I but has changed over time.</w:t>
      </w:r>
      <w:r>
        <w:rPr>
          <w:rStyle w:val="FootnoteReference"/>
          <w:rFonts w:cs="Times New Roman"/>
          <w:szCs w:val="24"/>
        </w:rPr>
        <w:footnoteReference w:id="153"/>
      </w:r>
      <w:r w:rsidRPr="001D7812" w:rsidR="00CE2F18">
        <w:rPr>
          <w:rFonts w:cs="Times New Roman"/>
          <w:szCs w:val="24"/>
        </w:rPr>
        <w:t xml:space="preserve"> </w:t>
      </w:r>
      <w:r w:rsidRPr="001D7812">
        <w:rPr>
          <w:rFonts w:cs="Times New Roman"/>
          <w:szCs w:val="24"/>
        </w:rPr>
        <w:t>FirstEnergy proposes major change</w:t>
      </w:r>
      <w:r w:rsidRPr="001D7812" w:rsidR="007A6D6B">
        <w:rPr>
          <w:rFonts w:cs="Times New Roman"/>
          <w:szCs w:val="24"/>
        </w:rPr>
        <w:t>s</w:t>
      </w:r>
      <w:r w:rsidRPr="001D7812">
        <w:rPr>
          <w:rFonts w:cs="Times New Roman"/>
          <w:szCs w:val="24"/>
        </w:rPr>
        <w:t xml:space="preserve"> to Rider ELR which</w:t>
      </w:r>
      <w:r w:rsidRPr="001D7812" w:rsidR="007A6D6B">
        <w:rPr>
          <w:rFonts w:cs="Times New Roman"/>
          <w:szCs w:val="24"/>
        </w:rPr>
        <w:t xml:space="preserve"> </w:t>
      </w:r>
      <w:r w:rsidRPr="001D7812">
        <w:rPr>
          <w:rFonts w:cs="Times New Roman"/>
          <w:szCs w:val="24"/>
        </w:rPr>
        <w:t xml:space="preserve">makes </w:t>
      </w:r>
      <w:r w:rsidRPr="001D7812" w:rsidR="007A6D6B">
        <w:rPr>
          <w:rFonts w:cs="Times New Roman"/>
          <w:szCs w:val="24"/>
        </w:rPr>
        <w:t>it completely</w:t>
      </w:r>
      <w:r w:rsidRPr="001D7812">
        <w:rPr>
          <w:rFonts w:cs="Times New Roman"/>
          <w:szCs w:val="24"/>
        </w:rPr>
        <w:t xml:space="preserve"> superfluous and eliminates any possible reason for implementing the tariff</w:t>
      </w:r>
      <w:r w:rsidRPr="001D7812" w:rsidR="007A6D6B">
        <w:rPr>
          <w:rFonts w:cs="Times New Roman"/>
          <w:szCs w:val="24"/>
        </w:rPr>
        <w:t xml:space="preserve"> – other than to force consumers to</w:t>
      </w:r>
      <w:r w:rsidRPr="001D7812" w:rsidR="00440F09">
        <w:rPr>
          <w:rFonts w:cs="Times New Roman"/>
          <w:szCs w:val="24"/>
        </w:rPr>
        <w:t xml:space="preserve"> continue</w:t>
      </w:r>
      <w:r w:rsidRPr="001D7812" w:rsidR="007A6D6B">
        <w:rPr>
          <w:rFonts w:cs="Times New Roman"/>
          <w:szCs w:val="24"/>
        </w:rPr>
        <w:t xml:space="preserve"> pay</w:t>
      </w:r>
      <w:r w:rsidRPr="001D7812" w:rsidR="00440F09">
        <w:rPr>
          <w:rFonts w:cs="Times New Roman"/>
          <w:szCs w:val="24"/>
        </w:rPr>
        <w:t>ing</w:t>
      </w:r>
      <w:r w:rsidRPr="001D7812" w:rsidR="007A6D6B">
        <w:rPr>
          <w:rFonts w:cs="Times New Roman"/>
          <w:szCs w:val="24"/>
        </w:rPr>
        <w:t xml:space="preserve"> huge subsid</w:t>
      </w:r>
      <w:r w:rsidRPr="001D7812" w:rsidR="00440F09">
        <w:rPr>
          <w:rFonts w:cs="Times New Roman"/>
          <w:szCs w:val="24"/>
        </w:rPr>
        <w:t>ies</w:t>
      </w:r>
      <w:r w:rsidRPr="001D7812" w:rsidR="007A6D6B">
        <w:rPr>
          <w:rFonts w:cs="Times New Roman"/>
          <w:szCs w:val="24"/>
        </w:rPr>
        <w:t xml:space="preserve"> to 24 large industrial companies.</w:t>
      </w:r>
    </w:p>
    <w:p w:rsidR="007A6D6B" w:rsidRPr="001D7812" w:rsidP="00D100EC" w14:paraId="54211A06" w14:textId="0080A976">
      <w:pPr>
        <w:spacing w:line="480" w:lineRule="auto"/>
        <w:ind w:firstLine="720"/>
        <w:rPr>
          <w:rFonts w:cs="Times New Roman"/>
          <w:szCs w:val="24"/>
        </w:rPr>
      </w:pPr>
      <w:r w:rsidRPr="001D7812">
        <w:rPr>
          <w:rFonts w:cs="Times New Roman"/>
          <w:szCs w:val="24"/>
        </w:rPr>
        <w:t xml:space="preserve">The first proposed </w:t>
      </w:r>
      <w:r w:rsidRPr="001D7812" w:rsidR="00440F09">
        <w:rPr>
          <w:rFonts w:cs="Times New Roman"/>
          <w:szCs w:val="24"/>
        </w:rPr>
        <w:t xml:space="preserve">Rider ELR </w:t>
      </w:r>
      <w:r w:rsidRPr="001D7812">
        <w:rPr>
          <w:rFonts w:cs="Times New Roman"/>
          <w:szCs w:val="24"/>
        </w:rPr>
        <w:t xml:space="preserve">change is to </w:t>
      </w:r>
      <w:r w:rsidRPr="001D7812" w:rsidR="002C63D6">
        <w:rPr>
          <w:rFonts w:cs="Times New Roman"/>
          <w:szCs w:val="24"/>
        </w:rPr>
        <w:t>no longer require</w:t>
      </w:r>
      <w:r w:rsidRPr="001D7812">
        <w:rPr>
          <w:rFonts w:cs="Times New Roman"/>
          <w:szCs w:val="24"/>
        </w:rPr>
        <w:t xml:space="preserve"> participating industrial customers to commit their peak demand response capabilities to FirstEnergy.</w:t>
      </w:r>
      <w:r>
        <w:rPr>
          <w:rStyle w:val="FootnoteReference"/>
          <w:rFonts w:cs="Times New Roman"/>
          <w:szCs w:val="24"/>
        </w:rPr>
        <w:footnoteReference w:id="154"/>
      </w:r>
      <w:r w:rsidRPr="001D7812" w:rsidR="00CE2F18">
        <w:rPr>
          <w:rFonts w:cs="Times New Roman"/>
          <w:szCs w:val="24"/>
        </w:rPr>
        <w:t xml:space="preserve"> </w:t>
      </w:r>
      <w:r w:rsidRPr="001D7812" w:rsidR="002C63D6">
        <w:rPr>
          <w:rFonts w:cs="Times New Roman"/>
          <w:szCs w:val="24"/>
        </w:rPr>
        <w:t xml:space="preserve">This feature </w:t>
      </w:r>
      <w:r w:rsidRPr="001D7812" w:rsidR="004E7562">
        <w:rPr>
          <w:rFonts w:cs="Times New Roman"/>
          <w:szCs w:val="24"/>
        </w:rPr>
        <w:t xml:space="preserve">formerly </w:t>
      </w:r>
      <w:r w:rsidRPr="001D7812" w:rsidR="002C63D6">
        <w:rPr>
          <w:rFonts w:cs="Times New Roman"/>
          <w:szCs w:val="24"/>
        </w:rPr>
        <w:t xml:space="preserve">provided </w:t>
      </w:r>
      <w:r w:rsidRPr="001D7812">
        <w:rPr>
          <w:rFonts w:cs="Times New Roman"/>
          <w:szCs w:val="24"/>
        </w:rPr>
        <w:t xml:space="preserve">some </w:t>
      </w:r>
      <w:r w:rsidRPr="001D7812" w:rsidR="002C63D6">
        <w:rPr>
          <w:rFonts w:cs="Times New Roman"/>
          <w:szCs w:val="24"/>
        </w:rPr>
        <w:t>value to FirstEnergy consumers because Ohio law required electric utilities to meet peak demand reduction targets.</w:t>
      </w:r>
      <w:r>
        <w:rPr>
          <w:rStyle w:val="FootnoteReference"/>
          <w:rFonts w:cs="Times New Roman"/>
          <w:szCs w:val="24"/>
        </w:rPr>
        <w:footnoteReference w:id="155"/>
      </w:r>
      <w:r w:rsidRPr="001D7812" w:rsidR="00CE2F18">
        <w:rPr>
          <w:rFonts w:cs="Times New Roman"/>
          <w:szCs w:val="24"/>
        </w:rPr>
        <w:t xml:space="preserve"> </w:t>
      </w:r>
      <w:r w:rsidRPr="001D7812" w:rsidR="004E7562">
        <w:rPr>
          <w:rFonts w:cs="Times New Roman"/>
          <w:szCs w:val="24"/>
        </w:rPr>
        <w:t>This requirement, however, ended in 2020</w:t>
      </w:r>
      <w:r>
        <w:rPr>
          <w:rStyle w:val="FootnoteReference"/>
          <w:rFonts w:cs="Times New Roman"/>
          <w:szCs w:val="24"/>
        </w:rPr>
        <w:footnoteReference w:id="156"/>
      </w:r>
      <w:r w:rsidRPr="001D7812" w:rsidR="004E7562">
        <w:rPr>
          <w:rFonts w:cs="Times New Roman"/>
          <w:szCs w:val="24"/>
        </w:rPr>
        <w:t xml:space="preserve"> and the energy efficiency and peak demand reduction requirements </w:t>
      </w:r>
      <w:r w:rsidRPr="001D7812" w:rsidR="00990263">
        <w:rPr>
          <w:rFonts w:cs="Times New Roman"/>
          <w:szCs w:val="24"/>
        </w:rPr>
        <w:t>were effectively repealed by H.B. 6 in 2019.</w:t>
      </w:r>
      <w:r w:rsidRPr="001D7812" w:rsidR="00CE2F18">
        <w:rPr>
          <w:rFonts w:cs="Times New Roman"/>
          <w:szCs w:val="24"/>
        </w:rPr>
        <w:t xml:space="preserve"> </w:t>
      </w:r>
      <w:r w:rsidRPr="001D7812" w:rsidR="00D376AF">
        <w:rPr>
          <w:rFonts w:cs="Times New Roman"/>
          <w:szCs w:val="24"/>
        </w:rPr>
        <w:t>So,</w:t>
      </w:r>
      <w:r w:rsidRPr="001D7812">
        <w:rPr>
          <w:rFonts w:cs="Times New Roman"/>
          <w:szCs w:val="24"/>
        </w:rPr>
        <w:t xml:space="preserve"> this reason for having an interruptible tariff no longer exists.</w:t>
      </w:r>
    </w:p>
    <w:p w:rsidR="00F72CF0" w:rsidRPr="001D7812" w:rsidP="00F72CF0" w14:paraId="73E7A890" w14:textId="19237AA7">
      <w:pPr>
        <w:spacing w:line="480" w:lineRule="auto"/>
        <w:ind w:firstLine="720"/>
        <w:rPr>
          <w:rFonts w:cs="Times New Roman"/>
          <w:szCs w:val="24"/>
        </w:rPr>
      </w:pPr>
      <w:r w:rsidRPr="001D7812">
        <w:rPr>
          <w:rFonts w:cs="Times New Roman"/>
          <w:szCs w:val="24"/>
        </w:rPr>
        <w:t xml:space="preserve">The second proposed </w:t>
      </w:r>
      <w:r w:rsidRPr="001D7812" w:rsidR="00440F09">
        <w:rPr>
          <w:rFonts w:cs="Times New Roman"/>
          <w:szCs w:val="24"/>
        </w:rPr>
        <w:t xml:space="preserve">Rider ELR </w:t>
      </w:r>
      <w:r w:rsidRPr="001D7812">
        <w:rPr>
          <w:rFonts w:cs="Times New Roman"/>
          <w:szCs w:val="24"/>
        </w:rPr>
        <w:t>change is to eliminate FirstEnergy</w:t>
      </w:r>
      <w:r w:rsidR="009F1383">
        <w:rPr>
          <w:rFonts w:cs="Times New Roman"/>
          <w:szCs w:val="24"/>
        </w:rPr>
        <w:t>’</w:t>
      </w:r>
      <w:r w:rsidRPr="001D7812">
        <w:rPr>
          <w:rFonts w:cs="Times New Roman"/>
          <w:szCs w:val="24"/>
        </w:rPr>
        <w:t>s role as a Curtailment Service Provider.</w:t>
      </w:r>
      <w:r>
        <w:rPr>
          <w:rStyle w:val="FootnoteReference"/>
          <w:rFonts w:cs="Times New Roman"/>
          <w:szCs w:val="24"/>
        </w:rPr>
        <w:footnoteReference w:id="157"/>
      </w:r>
      <w:r w:rsidRPr="001D7812">
        <w:rPr>
          <w:rFonts w:cs="Times New Roman"/>
          <w:szCs w:val="24"/>
        </w:rPr>
        <w:t xml:space="preserve"> </w:t>
      </w:r>
      <w:r w:rsidRPr="001D7812" w:rsidR="007A6D6B">
        <w:rPr>
          <w:rFonts w:cs="Times New Roman"/>
          <w:szCs w:val="24"/>
        </w:rPr>
        <w:t>Under the current interruptible tariff, FirstEnergy acts as the Curtailment Service Provider.</w:t>
      </w:r>
      <w:r>
        <w:rPr>
          <w:rStyle w:val="FootnoteReference"/>
          <w:rFonts w:cs="Times New Roman"/>
          <w:szCs w:val="24"/>
        </w:rPr>
        <w:footnoteReference w:id="158"/>
      </w:r>
      <w:r w:rsidRPr="001D7812" w:rsidR="00CE2F18">
        <w:rPr>
          <w:rFonts w:cs="Times New Roman"/>
          <w:szCs w:val="24"/>
        </w:rPr>
        <w:t xml:space="preserve"> </w:t>
      </w:r>
      <w:r w:rsidRPr="001D7812" w:rsidR="007A6D6B">
        <w:rPr>
          <w:rFonts w:cs="Times New Roman"/>
          <w:szCs w:val="24"/>
        </w:rPr>
        <w:t>This allows FirstEnergy to bid the demand reduction capability</w:t>
      </w:r>
      <w:r w:rsidRPr="001D7812" w:rsidR="00440F09">
        <w:rPr>
          <w:rFonts w:cs="Times New Roman"/>
          <w:szCs w:val="24"/>
        </w:rPr>
        <w:t xml:space="preserve"> of the 24 large industrial companies</w:t>
      </w:r>
      <w:r w:rsidRPr="001D7812" w:rsidR="007A6D6B">
        <w:rPr>
          <w:rFonts w:cs="Times New Roman"/>
          <w:szCs w:val="24"/>
        </w:rPr>
        <w:t xml:space="preserve"> into the PJM capacity market.</w:t>
      </w:r>
      <w:r>
        <w:rPr>
          <w:rStyle w:val="FootnoteReference"/>
          <w:rFonts w:cs="Times New Roman"/>
          <w:szCs w:val="24"/>
        </w:rPr>
        <w:footnoteReference w:id="159"/>
      </w:r>
      <w:r w:rsidRPr="001D7812" w:rsidR="00CE2F18">
        <w:rPr>
          <w:rFonts w:cs="Times New Roman"/>
          <w:szCs w:val="24"/>
        </w:rPr>
        <w:t xml:space="preserve"> </w:t>
      </w:r>
      <w:r w:rsidRPr="001D7812">
        <w:rPr>
          <w:rFonts w:cs="Times New Roman"/>
          <w:szCs w:val="24"/>
        </w:rPr>
        <w:t>These PJM capacity market revenues help offset the cost for Rider ELR.</w:t>
      </w:r>
      <w:r>
        <w:rPr>
          <w:rStyle w:val="FootnoteReference"/>
          <w:rFonts w:cs="Times New Roman"/>
          <w:szCs w:val="24"/>
        </w:rPr>
        <w:footnoteReference w:id="160"/>
      </w:r>
      <w:r w:rsidRPr="001D7812" w:rsidR="00CE2F18">
        <w:rPr>
          <w:rFonts w:cs="Times New Roman"/>
          <w:szCs w:val="24"/>
        </w:rPr>
        <w:t xml:space="preserve"> </w:t>
      </w:r>
      <w:r w:rsidRPr="001D7812">
        <w:rPr>
          <w:rFonts w:cs="Times New Roman"/>
          <w:szCs w:val="24"/>
        </w:rPr>
        <w:t xml:space="preserve">By eliminating </w:t>
      </w:r>
      <w:r w:rsidRPr="001D7812">
        <w:rPr>
          <w:rFonts w:cs="Times New Roman"/>
          <w:szCs w:val="24"/>
        </w:rPr>
        <w:t>FirstEnergy</w:t>
      </w:r>
      <w:r w:rsidR="009F1383">
        <w:rPr>
          <w:rFonts w:cs="Times New Roman"/>
          <w:szCs w:val="24"/>
        </w:rPr>
        <w:t>’</w:t>
      </w:r>
      <w:r w:rsidRPr="001D7812">
        <w:rPr>
          <w:rFonts w:cs="Times New Roman"/>
          <w:szCs w:val="24"/>
        </w:rPr>
        <w:t>s</w:t>
      </w:r>
      <w:r w:rsidRPr="001D7812">
        <w:rPr>
          <w:rFonts w:cs="Times New Roman"/>
          <w:szCs w:val="24"/>
        </w:rPr>
        <w:t xml:space="preserve"> role as </w:t>
      </w:r>
      <w:r w:rsidRPr="001D7812" w:rsidR="0067062F">
        <w:rPr>
          <w:rFonts w:cs="Times New Roman"/>
          <w:szCs w:val="24"/>
        </w:rPr>
        <w:t>Curtailment Service Provider</w:t>
      </w:r>
      <w:r w:rsidRPr="001D7812">
        <w:rPr>
          <w:rFonts w:cs="Times New Roman"/>
          <w:szCs w:val="24"/>
        </w:rPr>
        <w:t>, FirstEnergy will no longer earn capacity market revenues to help offset the cost of Rider ELR</w:t>
      </w:r>
      <w:r w:rsidRPr="001D7812" w:rsidR="0067062F">
        <w:rPr>
          <w:rFonts w:cs="Times New Roman"/>
          <w:szCs w:val="24"/>
        </w:rPr>
        <w:t>.</w:t>
      </w:r>
      <w:r>
        <w:rPr>
          <w:rStyle w:val="FootnoteReference"/>
          <w:rFonts w:cs="Times New Roman"/>
          <w:szCs w:val="24"/>
        </w:rPr>
        <w:footnoteReference w:id="161"/>
      </w:r>
      <w:r w:rsidRPr="001D7812" w:rsidR="00CE2F18">
        <w:rPr>
          <w:rFonts w:cs="Times New Roman"/>
          <w:szCs w:val="24"/>
        </w:rPr>
        <w:t xml:space="preserve"> </w:t>
      </w:r>
      <w:r w:rsidRPr="001D7812">
        <w:rPr>
          <w:rFonts w:cs="Times New Roman"/>
          <w:szCs w:val="24"/>
        </w:rPr>
        <w:t>So this reason for having an interruptible tariff no longer exists.</w:t>
      </w:r>
    </w:p>
    <w:p w:rsidR="00C573CE" w:rsidRPr="001D7812" w:rsidP="00D100EC" w14:paraId="08FDF9C5" w14:textId="615EF98D">
      <w:pPr>
        <w:spacing w:line="480" w:lineRule="auto"/>
        <w:ind w:firstLine="720"/>
        <w:rPr>
          <w:rFonts w:cs="Times New Roman"/>
          <w:szCs w:val="24"/>
        </w:rPr>
      </w:pPr>
      <w:r w:rsidRPr="001D7812">
        <w:rPr>
          <w:rFonts w:cs="Times New Roman"/>
          <w:szCs w:val="24"/>
        </w:rPr>
        <w:t>Rider ELR is limited to 24 large industrial customers.</w:t>
      </w:r>
      <w:r>
        <w:rPr>
          <w:rStyle w:val="FootnoteReference"/>
          <w:rFonts w:cs="Times New Roman"/>
          <w:szCs w:val="24"/>
        </w:rPr>
        <w:footnoteReference w:id="162"/>
      </w:r>
      <w:r w:rsidRPr="001D7812" w:rsidR="00CE2F18">
        <w:rPr>
          <w:rFonts w:cs="Times New Roman"/>
          <w:szCs w:val="24"/>
        </w:rPr>
        <w:t xml:space="preserve"> </w:t>
      </w:r>
      <w:r w:rsidRPr="001D7812">
        <w:rPr>
          <w:rFonts w:cs="Times New Roman"/>
          <w:szCs w:val="24"/>
        </w:rPr>
        <w:t xml:space="preserve">During ESP IV, these 24 </w:t>
      </w:r>
      <w:r w:rsidRPr="001D7812" w:rsidR="00440F09">
        <w:rPr>
          <w:rFonts w:cs="Times New Roman"/>
          <w:szCs w:val="24"/>
        </w:rPr>
        <w:t xml:space="preserve">large </w:t>
      </w:r>
      <w:r w:rsidRPr="001D7812">
        <w:rPr>
          <w:rFonts w:cs="Times New Roman"/>
          <w:szCs w:val="24"/>
        </w:rPr>
        <w:t>industrial customers received payments between $55.1 million and $67.5 million each year, as shown below in Table CH-1 from the testimony of PUCO Staff Witness Christopher Healey:</w:t>
      </w:r>
      <w:r>
        <w:rPr>
          <w:rStyle w:val="FootnoteReference"/>
          <w:rFonts w:cs="Times New Roman"/>
          <w:szCs w:val="24"/>
        </w:rPr>
        <w:footnoteReference w:id="163"/>
      </w:r>
      <w:r w:rsidRPr="001D7812" w:rsidR="00052D06">
        <w:rPr>
          <w:rFonts w:cs="Times New Roman"/>
          <w:szCs w:val="24"/>
        </w:rPr>
        <w:t xml:space="preserve"> </w:t>
      </w:r>
      <w:r w:rsidRPr="001D7812" w:rsidR="00606BE9">
        <w:rPr>
          <w:rFonts w:cs="Times New Roman"/>
          <w:szCs w:val="24"/>
        </w:rPr>
        <w:t>The payments to these consumers were subsidized by the remaining FirstEnergy consumers.</w:t>
      </w:r>
      <w:r w:rsidRPr="001D7812" w:rsidR="00052D06">
        <w:rPr>
          <w:rFonts w:cs="Times New Roman"/>
          <w:szCs w:val="24"/>
        </w:rPr>
        <w:t xml:space="preserve"> </w:t>
      </w:r>
    </w:p>
    <w:p w:rsidR="00DC68EE" w:rsidRPr="001D7812" w:rsidP="00DC68EE" w14:paraId="59444692" w14:textId="6F605EAF">
      <w:pPr>
        <w:spacing w:line="480" w:lineRule="auto"/>
        <w:jc w:val="center"/>
        <w:rPr>
          <w:rFonts w:cs="Times New Roman"/>
          <w:b/>
          <w:bCs/>
          <w:szCs w:val="24"/>
        </w:rPr>
      </w:pPr>
      <w:r w:rsidRPr="001D7812">
        <w:rPr>
          <w:rFonts w:cs="Times New Roman"/>
          <w:b/>
          <w:bCs/>
          <w:szCs w:val="24"/>
        </w:rPr>
        <w:t>Table CH-1</w:t>
      </w:r>
    </w:p>
    <w:tbl>
      <w:tblPr>
        <w:tblStyle w:val="TableGrid"/>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2610"/>
        <w:gridCol w:w="1800"/>
      </w:tblGrid>
      <w:tr w14:paraId="3D1FA695" w14:textId="77777777" w:rsidTr="00DC68EE">
        <w:tblPrEx>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2610" w:type="dxa"/>
            <w:shd w:val="clear" w:color="auto" w:fill="F2F2F2" w:themeFill="background1" w:themeFillShade="F2"/>
          </w:tcPr>
          <w:p w:rsidR="00C573CE" w:rsidRPr="001D7812" w:rsidP="00DC68EE" w14:paraId="355A34CE" w14:textId="18E78EAB">
            <w:pPr>
              <w:spacing w:after="0" w:line="480" w:lineRule="auto"/>
              <w:jc w:val="center"/>
              <w:rPr>
                <w:rFonts w:ascii="Times New Roman" w:eastAsia="Times New Roman" w:hAnsi="Times New Roman" w:cs="Times New Roman"/>
                <w:sz w:val="24"/>
                <w:szCs w:val="24"/>
                <w:lang w:val="en-US" w:eastAsia="en-US" w:bidi="ar-SA"/>
              </w:rPr>
            </w:pPr>
            <w:r w:rsidRPr="001D7812">
              <w:rPr>
                <w:rFonts w:ascii="Times New Roman" w:eastAsia="Times New Roman" w:hAnsi="Times New Roman" w:cs="Times New Roman"/>
                <w:sz w:val="24"/>
                <w:szCs w:val="24"/>
                <w:lang w:val="en-US" w:eastAsia="en-US" w:bidi="ar-SA"/>
              </w:rPr>
              <w:t>Date</w:t>
            </w:r>
          </w:p>
        </w:tc>
        <w:tc>
          <w:tcPr>
            <w:tcW w:w="1800" w:type="dxa"/>
            <w:shd w:val="clear" w:color="auto" w:fill="F2F2F2" w:themeFill="background1" w:themeFillShade="F2"/>
          </w:tcPr>
          <w:p w:rsidR="00C573CE" w:rsidRPr="001D7812" w:rsidP="00DC68EE" w14:paraId="60A88C6A" w14:textId="0D1F3666">
            <w:pPr>
              <w:spacing w:after="0" w:line="480" w:lineRule="auto"/>
              <w:jc w:val="center"/>
              <w:rPr>
                <w:rFonts w:ascii="Times New Roman" w:eastAsia="Times New Roman" w:hAnsi="Times New Roman" w:cs="Times New Roman"/>
                <w:sz w:val="24"/>
                <w:szCs w:val="24"/>
                <w:lang w:val="en-US" w:eastAsia="en-US" w:bidi="ar-SA"/>
              </w:rPr>
            </w:pPr>
            <w:r w:rsidRPr="001D7812">
              <w:rPr>
                <w:rFonts w:ascii="Times New Roman" w:eastAsia="Times New Roman" w:hAnsi="Times New Roman" w:cs="Times New Roman"/>
                <w:sz w:val="24"/>
                <w:szCs w:val="24"/>
                <w:lang w:val="en-US" w:eastAsia="en-US" w:bidi="ar-SA"/>
              </w:rPr>
              <w:t>Credits</w:t>
            </w:r>
          </w:p>
        </w:tc>
      </w:tr>
      <w:tr w14:paraId="66CF43DD" w14:textId="77777777" w:rsidTr="00DC68EE">
        <w:tblPrEx>
          <w:tblW w:w="0" w:type="auto"/>
          <w:tblInd w:w="2155" w:type="dxa"/>
          <w:tblCellMar>
            <w:top w:w="0" w:type="dxa"/>
            <w:left w:w="108" w:type="dxa"/>
            <w:bottom w:w="0" w:type="dxa"/>
            <w:right w:w="108" w:type="dxa"/>
          </w:tblCellMar>
          <w:tblLook w:val="04A0"/>
        </w:tblPrEx>
        <w:tc>
          <w:tcPr>
            <w:tcW w:w="2610" w:type="dxa"/>
          </w:tcPr>
          <w:p w:rsidR="00C573CE" w:rsidRPr="001D7812" w:rsidP="00C573CE" w14:paraId="02468770" w14:textId="5A3B7FBF">
            <w:pPr>
              <w:spacing w:after="0" w:line="480" w:lineRule="auto"/>
              <w:rPr>
                <w:rFonts w:ascii="Times New Roman" w:eastAsia="Times New Roman" w:hAnsi="Times New Roman" w:cs="Times New Roman"/>
                <w:sz w:val="24"/>
                <w:szCs w:val="24"/>
                <w:lang w:val="en-US" w:eastAsia="en-US" w:bidi="ar-SA"/>
              </w:rPr>
            </w:pPr>
            <w:r w:rsidRPr="001D7812">
              <w:rPr>
                <w:rFonts w:ascii="Times New Roman" w:eastAsia="Times New Roman" w:hAnsi="Times New Roman" w:cs="Times New Roman"/>
                <w:sz w:val="24"/>
                <w:szCs w:val="24"/>
                <w:lang w:val="en-US" w:eastAsia="en-US" w:bidi="ar-SA"/>
              </w:rPr>
              <w:t>June 2016 - May 2017</w:t>
            </w:r>
          </w:p>
        </w:tc>
        <w:tc>
          <w:tcPr>
            <w:tcW w:w="1800" w:type="dxa"/>
          </w:tcPr>
          <w:p w:rsidR="00C573CE" w:rsidRPr="001D7812" w:rsidP="00C573CE" w14:paraId="66C676FA" w14:textId="1B128E59">
            <w:pPr>
              <w:spacing w:after="0" w:line="480" w:lineRule="auto"/>
              <w:rPr>
                <w:rFonts w:ascii="Times New Roman" w:eastAsia="Times New Roman" w:hAnsi="Times New Roman" w:cs="Times New Roman"/>
                <w:sz w:val="24"/>
                <w:szCs w:val="24"/>
                <w:lang w:val="en-US" w:eastAsia="en-US" w:bidi="ar-SA"/>
              </w:rPr>
            </w:pPr>
            <w:r w:rsidRPr="001D7812">
              <w:rPr>
                <w:rFonts w:ascii="Times New Roman" w:eastAsia="Times New Roman" w:hAnsi="Times New Roman" w:cs="Times New Roman"/>
                <w:sz w:val="24"/>
                <w:szCs w:val="24"/>
                <w:lang w:val="en-US" w:eastAsia="en-US" w:bidi="ar-SA"/>
              </w:rPr>
              <w:t>$67,483,141</w:t>
            </w:r>
          </w:p>
        </w:tc>
      </w:tr>
      <w:tr w14:paraId="79C5D2B7" w14:textId="77777777" w:rsidTr="00DC68EE">
        <w:tblPrEx>
          <w:tblW w:w="0" w:type="auto"/>
          <w:tblInd w:w="2155" w:type="dxa"/>
          <w:tblCellMar>
            <w:top w:w="0" w:type="dxa"/>
            <w:left w:w="108" w:type="dxa"/>
            <w:bottom w:w="0" w:type="dxa"/>
            <w:right w:w="108" w:type="dxa"/>
          </w:tblCellMar>
          <w:tblLook w:val="04A0"/>
        </w:tblPrEx>
        <w:tc>
          <w:tcPr>
            <w:tcW w:w="2610" w:type="dxa"/>
          </w:tcPr>
          <w:p w:rsidR="00C573CE" w:rsidRPr="001D7812" w:rsidP="00C573CE" w14:paraId="386B6D79" w14:textId="2022A91E">
            <w:pPr>
              <w:spacing w:after="0" w:line="480" w:lineRule="auto"/>
              <w:rPr>
                <w:rFonts w:ascii="Times New Roman" w:eastAsia="Times New Roman" w:hAnsi="Times New Roman" w:cs="Times New Roman"/>
                <w:sz w:val="24"/>
                <w:szCs w:val="24"/>
                <w:lang w:val="en-US" w:eastAsia="en-US" w:bidi="ar-SA"/>
              </w:rPr>
            </w:pPr>
            <w:r w:rsidRPr="001D7812">
              <w:rPr>
                <w:rFonts w:ascii="Times New Roman" w:eastAsia="Times New Roman" w:hAnsi="Times New Roman" w:cs="Times New Roman"/>
                <w:sz w:val="24"/>
                <w:szCs w:val="24"/>
                <w:lang w:val="en-US" w:eastAsia="en-US" w:bidi="ar-SA"/>
              </w:rPr>
              <w:t>June 2017 - May 2018</w:t>
            </w:r>
          </w:p>
        </w:tc>
        <w:tc>
          <w:tcPr>
            <w:tcW w:w="1800" w:type="dxa"/>
          </w:tcPr>
          <w:p w:rsidR="00C573CE" w:rsidRPr="001D7812" w:rsidP="00C573CE" w14:paraId="0C537BEC" w14:textId="07678208">
            <w:pPr>
              <w:spacing w:after="0" w:line="480" w:lineRule="auto"/>
              <w:rPr>
                <w:rFonts w:ascii="Times New Roman" w:eastAsia="Times New Roman" w:hAnsi="Times New Roman" w:cs="Times New Roman"/>
                <w:sz w:val="24"/>
                <w:szCs w:val="24"/>
                <w:lang w:val="en-US" w:eastAsia="en-US" w:bidi="ar-SA"/>
              </w:rPr>
            </w:pPr>
            <w:r w:rsidRPr="001D7812">
              <w:rPr>
                <w:rFonts w:ascii="Times New Roman" w:eastAsia="Times New Roman" w:hAnsi="Times New Roman" w:cs="Times New Roman"/>
                <w:sz w:val="24"/>
                <w:szCs w:val="24"/>
                <w:lang w:val="en-US" w:eastAsia="en-US" w:bidi="ar-SA"/>
              </w:rPr>
              <w:t>$64,726,780</w:t>
            </w:r>
          </w:p>
        </w:tc>
      </w:tr>
      <w:tr w14:paraId="585A6E9C" w14:textId="77777777" w:rsidTr="00DC68EE">
        <w:tblPrEx>
          <w:tblW w:w="0" w:type="auto"/>
          <w:tblInd w:w="2155" w:type="dxa"/>
          <w:tblCellMar>
            <w:top w:w="0" w:type="dxa"/>
            <w:left w:w="108" w:type="dxa"/>
            <w:bottom w:w="0" w:type="dxa"/>
            <w:right w:w="108" w:type="dxa"/>
          </w:tblCellMar>
          <w:tblLook w:val="04A0"/>
        </w:tblPrEx>
        <w:tc>
          <w:tcPr>
            <w:tcW w:w="2610" w:type="dxa"/>
          </w:tcPr>
          <w:p w:rsidR="00C573CE" w:rsidRPr="001D7812" w:rsidP="00C573CE" w14:paraId="3531A959" w14:textId="18E7FF5F">
            <w:pPr>
              <w:spacing w:after="0" w:line="480" w:lineRule="auto"/>
              <w:rPr>
                <w:rFonts w:ascii="Times New Roman" w:eastAsia="Times New Roman" w:hAnsi="Times New Roman" w:cs="Times New Roman"/>
                <w:sz w:val="24"/>
                <w:szCs w:val="24"/>
                <w:lang w:val="en-US" w:eastAsia="en-US" w:bidi="ar-SA"/>
              </w:rPr>
            </w:pPr>
            <w:r w:rsidRPr="001D7812">
              <w:rPr>
                <w:rFonts w:ascii="Times New Roman" w:eastAsia="Times New Roman" w:hAnsi="Times New Roman" w:cs="Times New Roman"/>
                <w:sz w:val="24"/>
                <w:szCs w:val="24"/>
                <w:lang w:val="en-US" w:eastAsia="en-US" w:bidi="ar-SA"/>
              </w:rPr>
              <w:t>June 2018 - May 2019</w:t>
            </w:r>
          </w:p>
        </w:tc>
        <w:tc>
          <w:tcPr>
            <w:tcW w:w="1800" w:type="dxa"/>
          </w:tcPr>
          <w:p w:rsidR="00C573CE" w:rsidRPr="001D7812" w:rsidP="00C573CE" w14:paraId="4D3A8057" w14:textId="295361D1">
            <w:pPr>
              <w:spacing w:after="0" w:line="480" w:lineRule="auto"/>
              <w:rPr>
                <w:rFonts w:ascii="Times New Roman" w:eastAsia="Times New Roman" w:hAnsi="Times New Roman" w:cs="Times New Roman"/>
                <w:sz w:val="24"/>
                <w:szCs w:val="24"/>
                <w:lang w:val="en-US" w:eastAsia="en-US" w:bidi="ar-SA"/>
              </w:rPr>
            </w:pPr>
            <w:r w:rsidRPr="001D7812">
              <w:rPr>
                <w:rFonts w:ascii="Times New Roman" w:eastAsia="Times New Roman" w:hAnsi="Times New Roman" w:cs="Times New Roman"/>
                <w:sz w:val="24"/>
                <w:szCs w:val="24"/>
                <w:lang w:val="en-US" w:eastAsia="en-US" w:bidi="ar-SA"/>
              </w:rPr>
              <w:t>$65,313,963</w:t>
            </w:r>
          </w:p>
        </w:tc>
      </w:tr>
      <w:tr w14:paraId="6802EB09" w14:textId="77777777" w:rsidTr="00DC68EE">
        <w:tblPrEx>
          <w:tblW w:w="0" w:type="auto"/>
          <w:tblInd w:w="2155" w:type="dxa"/>
          <w:tblCellMar>
            <w:top w:w="0" w:type="dxa"/>
            <w:left w:w="108" w:type="dxa"/>
            <w:bottom w:w="0" w:type="dxa"/>
            <w:right w:w="108" w:type="dxa"/>
          </w:tblCellMar>
          <w:tblLook w:val="04A0"/>
        </w:tblPrEx>
        <w:tc>
          <w:tcPr>
            <w:tcW w:w="2610" w:type="dxa"/>
          </w:tcPr>
          <w:p w:rsidR="00C573CE" w:rsidRPr="001D7812" w:rsidP="00C573CE" w14:paraId="20522AD2" w14:textId="139C2037">
            <w:pPr>
              <w:spacing w:after="0" w:line="480" w:lineRule="auto"/>
              <w:rPr>
                <w:rFonts w:ascii="Times New Roman" w:eastAsia="Times New Roman" w:hAnsi="Times New Roman" w:cs="Times New Roman"/>
                <w:sz w:val="24"/>
                <w:szCs w:val="24"/>
                <w:lang w:val="en-US" w:eastAsia="en-US" w:bidi="ar-SA"/>
              </w:rPr>
            </w:pPr>
            <w:r w:rsidRPr="001D7812">
              <w:rPr>
                <w:rFonts w:ascii="Times New Roman" w:eastAsia="Times New Roman" w:hAnsi="Times New Roman" w:cs="Times New Roman"/>
                <w:sz w:val="24"/>
                <w:szCs w:val="24"/>
                <w:lang w:val="en-US" w:eastAsia="en-US" w:bidi="ar-SA"/>
              </w:rPr>
              <w:t>June 2019 - May 2020</w:t>
            </w:r>
          </w:p>
        </w:tc>
        <w:tc>
          <w:tcPr>
            <w:tcW w:w="1800" w:type="dxa"/>
          </w:tcPr>
          <w:p w:rsidR="00C573CE" w:rsidRPr="001D7812" w:rsidP="00C573CE" w14:paraId="0B416D18" w14:textId="40A073C8">
            <w:pPr>
              <w:spacing w:after="0" w:line="480" w:lineRule="auto"/>
              <w:rPr>
                <w:rFonts w:ascii="Times New Roman" w:eastAsia="Times New Roman" w:hAnsi="Times New Roman" w:cs="Times New Roman"/>
                <w:sz w:val="24"/>
                <w:szCs w:val="24"/>
                <w:lang w:val="en-US" w:eastAsia="en-US" w:bidi="ar-SA"/>
              </w:rPr>
            </w:pPr>
            <w:r w:rsidRPr="001D7812">
              <w:rPr>
                <w:rFonts w:ascii="Times New Roman" w:eastAsia="Times New Roman" w:hAnsi="Times New Roman" w:cs="Times New Roman"/>
                <w:sz w:val="24"/>
                <w:szCs w:val="24"/>
                <w:lang w:val="en-US" w:eastAsia="en-US" w:bidi="ar-SA"/>
              </w:rPr>
              <w:t>$63,132,340</w:t>
            </w:r>
          </w:p>
        </w:tc>
      </w:tr>
      <w:tr w14:paraId="62C13564" w14:textId="77777777" w:rsidTr="00DC68EE">
        <w:tblPrEx>
          <w:tblW w:w="0" w:type="auto"/>
          <w:tblInd w:w="2155" w:type="dxa"/>
          <w:tblCellMar>
            <w:top w:w="0" w:type="dxa"/>
            <w:left w:w="108" w:type="dxa"/>
            <w:bottom w:w="0" w:type="dxa"/>
            <w:right w:w="108" w:type="dxa"/>
          </w:tblCellMar>
          <w:tblLook w:val="04A0"/>
        </w:tblPrEx>
        <w:tc>
          <w:tcPr>
            <w:tcW w:w="2610" w:type="dxa"/>
          </w:tcPr>
          <w:p w:rsidR="00C573CE" w:rsidRPr="001D7812" w:rsidP="00C573CE" w14:paraId="52FFB6BF" w14:textId="27D97449">
            <w:pPr>
              <w:spacing w:after="0" w:line="480" w:lineRule="auto"/>
              <w:rPr>
                <w:rFonts w:ascii="Times New Roman" w:eastAsia="Times New Roman" w:hAnsi="Times New Roman" w:cs="Times New Roman"/>
                <w:sz w:val="24"/>
                <w:szCs w:val="24"/>
                <w:lang w:val="en-US" w:eastAsia="en-US" w:bidi="ar-SA"/>
              </w:rPr>
            </w:pPr>
            <w:r w:rsidRPr="001D7812">
              <w:rPr>
                <w:rFonts w:ascii="Times New Roman" w:eastAsia="Times New Roman" w:hAnsi="Times New Roman" w:cs="Times New Roman"/>
                <w:sz w:val="24"/>
                <w:szCs w:val="24"/>
                <w:lang w:val="en-US" w:eastAsia="en-US" w:bidi="ar-SA"/>
              </w:rPr>
              <w:t>June 2020 - May 2021</w:t>
            </w:r>
          </w:p>
        </w:tc>
        <w:tc>
          <w:tcPr>
            <w:tcW w:w="1800" w:type="dxa"/>
          </w:tcPr>
          <w:p w:rsidR="00C573CE" w:rsidRPr="001D7812" w:rsidP="00C573CE" w14:paraId="3712AE9B" w14:textId="1FD13C24">
            <w:pPr>
              <w:spacing w:after="0" w:line="480" w:lineRule="auto"/>
              <w:rPr>
                <w:rFonts w:ascii="Times New Roman" w:eastAsia="Times New Roman" w:hAnsi="Times New Roman" w:cs="Times New Roman"/>
                <w:sz w:val="24"/>
                <w:szCs w:val="24"/>
                <w:lang w:val="en-US" w:eastAsia="en-US" w:bidi="ar-SA"/>
              </w:rPr>
            </w:pPr>
            <w:r w:rsidRPr="001D7812">
              <w:rPr>
                <w:rFonts w:ascii="Times New Roman" w:eastAsia="Times New Roman" w:hAnsi="Times New Roman" w:cs="Times New Roman"/>
                <w:sz w:val="24"/>
                <w:szCs w:val="24"/>
                <w:lang w:val="en-US" w:eastAsia="en-US" w:bidi="ar-SA"/>
              </w:rPr>
              <w:t>$55,138,140</w:t>
            </w:r>
          </w:p>
        </w:tc>
      </w:tr>
      <w:tr w14:paraId="19A0962E" w14:textId="77777777" w:rsidTr="00DC68EE">
        <w:tblPrEx>
          <w:tblW w:w="0" w:type="auto"/>
          <w:tblInd w:w="2155" w:type="dxa"/>
          <w:tblCellMar>
            <w:top w:w="0" w:type="dxa"/>
            <w:left w:w="108" w:type="dxa"/>
            <w:bottom w:w="0" w:type="dxa"/>
            <w:right w:w="108" w:type="dxa"/>
          </w:tblCellMar>
          <w:tblLook w:val="04A0"/>
        </w:tblPrEx>
        <w:tc>
          <w:tcPr>
            <w:tcW w:w="2610" w:type="dxa"/>
          </w:tcPr>
          <w:p w:rsidR="00C573CE" w:rsidRPr="001D7812" w:rsidP="00C573CE" w14:paraId="292A294D" w14:textId="30322568">
            <w:pPr>
              <w:spacing w:after="0" w:line="480" w:lineRule="auto"/>
              <w:rPr>
                <w:rFonts w:ascii="Times New Roman" w:eastAsia="Times New Roman" w:hAnsi="Times New Roman" w:cs="Times New Roman"/>
                <w:sz w:val="24"/>
                <w:szCs w:val="24"/>
                <w:lang w:val="en-US" w:eastAsia="en-US" w:bidi="ar-SA"/>
              </w:rPr>
            </w:pPr>
            <w:r w:rsidRPr="001D7812">
              <w:rPr>
                <w:rFonts w:ascii="Times New Roman" w:eastAsia="Times New Roman" w:hAnsi="Times New Roman" w:cs="Times New Roman"/>
                <w:sz w:val="24"/>
                <w:szCs w:val="24"/>
                <w:lang w:val="en-US" w:eastAsia="en-US" w:bidi="ar-SA"/>
              </w:rPr>
              <w:t>June 2011 - May 2012</w:t>
            </w:r>
          </w:p>
        </w:tc>
        <w:tc>
          <w:tcPr>
            <w:tcW w:w="1800" w:type="dxa"/>
          </w:tcPr>
          <w:p w:rsidR="00C573CE" w:rsidRPr="001D7812" w:rsidP="00C573CE" w14:paraId="517F3EFF" w14:textId="6394BF0F">
            <w:pPr>
              <w:spacing w:after="0" w:line="480" w:lineRule="auto"/>
              <w:rPr>
                <w:rFonts w:ascii="Times New Roman" w:eastAsia="Times New Roman" w:hAnsi="Times New Roman" w:cs="Times New Roman"/>
                <w:sz w:val="24"/>
                <w:szCs w:val="24"/>
                <w:lang w:val="en-US" w:eastAsia="en-US" w:bidi="ar-SA"/>
              </w:rPr>
            </w:pPr>
            <w:r w:rsidRPr="001D7812">
              <w:rPr>
                <w:rFonts w:ascii="Times New Roman" w:eastAsia="Times New Roman" w:hAnsi="Times New Roman" w:cs="Times New Roman"/>
                <w:sz w:val="24"/>
                <w:szCs w:val="24"/>
                <w:lang w:val="en-US" w:eastAsia="en-US" w:bidi="ar-SA"/>
              </w:rPr>
              <w:t>$60,575,415</w:t>
            </w:r>
          </w:p>
        </w:tc>
      </w:tr>
      <w:tr w14:paraId="7D3C3B2B" w14:textId="77777777" w:rsidTr="00DC68EE">
        <w:tblPrEx>
          <w:tblW w:w="0" w:type="auto"/>
          <w:tblInd w:w="2155" w:type="dxa"/>
          <w:tblCellMar>
            <w:top w:w="0" w:type="dxa"/>
            <w:left w:w="108" w:type="dxa"/>
            <w:bottom w:w="0" w:type="dxa"/>
            <w:right w:w="108" w:type="dxa"/>
          </w:tblCellMar>
          <w:tblLook w:val="04A0"/>
        </w:tblPrEx>
        <w:tc>
          <w:tcPr>
            <w:tcW w:w="2610" w:type="dxa"/>
          </w:tcPr>
          <w:p w:rsidR="00C573CE" w:rsidRPr="001D7812" w:rsidP="00C573CE" w14:paraId="40AE1882" w14:textId="3B4B7DC7">
            <w:pPr>
              <w:spacing w:after="0" w:line="480" w:lineRule="auto"/>
              <w:rPr>
                <w:rFonts w:ascii="Times New Roman" w:eastAsia="Times New Roman" w:hAnsi="Times New Roman" w:cs="Times New Roman"/>
                <w:sz w:val="24"/>
                <w:szCs w:val="24"/>
                <w:lang w:val="en-US" w:eastAsia="en-US" w:bidi="ar-SA"/>
              </w:rPr>
            </w:pPr>
            <w:r w:rsidRPr="001D7812">
              <w:rPr>
                <w:rFonts w:ascii="Times New Roman" w:eastAsia="Times New Roman" w:hAnsi="Times New Roman" w:cs="Times New Roman"/>
                <w:sz w:val="24"/>
                <w:szCs w:val="24"/>
                <w:lang w:val="en-US" w:eastAsia="en-US" w:bidi="ar-SA"/>
              </w:rPr>
              <w:t>June 2012 - May 2023</w:t>
            </w:r>
          </w:p>
        </w:tc>
        <w:tc>
          <w:tcPr>
            <w:tcW w:w="1800" w:type="dxa"/>
          </w:tcPr>
          <w:p w:rsidR="00C573CE" w:rsidRPr="001D7812" w:rsidP="00C573CE" w14:paraId="71EF1D19" w14:textId="55C46B5E">
            <w:pPr>
              <w:spacing w:after="0" w:line="480" w:lineRule="auto"/>
              <w:rPr>
                <w:rFonts w:ascii="Times New Roman" w:eastAsia="Times New Roman" w:hAnsi="Times New Roman" w:cs="Times New Roman"/>
                <w:sz w:val="24"/>
                <w:szCs w:val="24"/>
                <w:lang w:val="en-US" w:eastAsia="en-US" w:bidi="ar-SA"/>
              </w:rPr>
            </w:pPr>
            <w:r w:rsidRPr="001D7812">
              <w:rPr>
                <w:rFonts w:ascii="Times New Roman" w:eastAsia="Times New Roman" w:hAnsi="Times New Roman" w:cs="Times New Roman"/>
                <w:sz w:val="24"/>
                <w:szCs w:val="24"/>
                <w:lang w:val="en-US" w:eastAsia="en-US" w:bidi="ar-SA"/>
              </w:rPr>
              <w:t>$61,046,075</w:t>
            </w:r>
          </w:p>
        </w:tc>
      </w:tr>
    </w:tbl>
    <w:p w:rsidR="00C573CE" w:rsidRPr="001D7812" w:rsidP="00AF3AE1" w14:paraId="3100F534" w14:textId="77777777">
      <w:pPr>
        <w:rPr>
          <w:rFonts w:cs="Times New Roman"/>
          <w:szCs w:val="24"/>
        </w:rPr>
      </w:pPr>
    </w:p>
    <w:p w:rsidR="00440F09" w:rsidRPr="001D7812" w:rsidP="00D100EC" w14:paraId="22E8DDC7" w14:textId="06EDA67E">
      <w:pPr>
        <w:spacing w:line="480" w:lineRule="auto"/>
        <w:ind w:firstLine="720"/>
        <w:rPr>
          <w:rFonts w:cs="Times New Roman"/>
          <w:szCs w:val="24"/>
        </w:rPr>
      </w:pPr>
      <w:r w:rsidRPr="001D7812">
        <w:rPr>
          <w:rFonts w:cs="Times New Roman"/>
          <w:szCs w:val="24"/>
        </w:rPr>
        <w:t xml:space="preserve">The total </w:t>
      </w:r>
      <w:r w:rsidRPr="001D7812" w:rsidR="00606BE9">
        <w:rPr>
          <w:rFonts w:cs="Times New Roman"/>
          <w:szCs w:val="24"/>
        </w:rPr>
        <w:t xml:space="preserve">subsidy </w:t>
      </w:r>
      <w:r w:rsidRPr="001D7812">
        <w:rPr>
          <w:rFonts w:cs="Times New Roman"/>
          <w:szCs w:val="24"/>
        </w:rPr>
        <w:t xml:space="preserve">paid to these 24 large industrial customers during the past seven years </w:t>
      </w:r>
      <w:r w:rsidRPr="001D7812" w:rsidR="00F72CF0">
        <w:rPr>
          <w:rFonts w:cs="Times New Roman"/>
          <w:szCs w:val="24"/>
        </w:rPr>
        <w:t xml:space="preserve">of ESP IV </w:t>
      </w:r>
      <w:r w:rsidRPr="001D7812">
        <w:rPr>
          <w:rFonts w:cs="Times New Roman"/>
          <w:szCs w:val="24"/>
        </w:rPr>
        <w:t>was $437,415,</w:t>
      </w:r>
      <w:r w:rsidRPr="001D7812" w:rsidR="00F57078">
        <w:rPr>
          <w:rFonts w:cs="Times New Roman"/>
          <w:szCs w:val="24"/>
        </w:rPr>
        <w:t>854.</w:t>
      </w:r>
      <w:r>
        <w:rPr>
          <w:rStyle w:val="FootnoteReference"/>
          <w:rFonts w:cs="Times New Roman"/>
          <w:szCs w:val="24"/>
        </w:rPr>
        <w:footnoteReference w:id="164"/>
      </w:r>
      <w:r w:rsidRPr="001D7812" w:rsidR="00CE2F18">
        <w:rPr>
          <w:rFonts w:cs="Times New Roman"/>
          <w:szCs w:val="24"/>
        </w:rPr>
        <w:t xml:space="preserve"> </w:t>
      </w:r>
      <w:r w:rsidRPr="001D7812" w:rsidR="004955F5">
        <w:rPr>
          <w:rFonts w:cs="Times New Roman"/>
          <w:szCs w:val="24"/>
        </w:rPr>
        <w:t>On average, th</w:t>
      </w:r>
      <w:r w:rsidRPr="001D7812" w:rsidR="00C44F9A">
        <w:rPr>
          <w:rFonts w:cs="Times New Roman"/>
          <w:szCs w:val="24"/>
        </w:rPr>
        <w:t>is</w:t>
      </w:r>
      <w:r w:rsidRPr="001D7812" w:rsidR="004955F5">
        <w:rPr>
          <w:rFonts w:cs="Times New Roman"/>
          <w:szCs w:val="24"/>
        </w:rPr>
        <w:t xml:space="preserve"> amounts to $18,225,660 for each of the 24 large industrial customers.</w:t>
      </w:r>
      <w:r w:rsidRPr="001D7812" w:rsidR="00CE2F18">
        <w:rPr>
          <w:rFonts w:cs="Times New Roman"/>
          <w:szCs w:val="24"/>
        </w:rPr>
        <w:t xml:space="preserve"> </w:t>
      </w:r>
      <w:r w:rsidRPr="001D7812" w:rsidR="004955F5">
        <w:rPr>
          <w:rFonts w:cs="Times New Roman"/>
          <w:szCs w:val="24"/>
        </w:rPr>
        <w:t>Rider ELR might be worth</w:t>
      </w:r>
      <w:r w:rsidRPr="001D7812" w:rsidR="00514E76">
        <w:rPr>
          <w:rFonts w:cs="Times New Roman"/>
          <w:szCs w:val="24"/>
        </w:rPr>
        <w:t>while</w:t>
      </w:r>
      <w:r w:rsidRPr="001D7812" w:rsidR="004955F5">
        <w:rPr>
          <w:rFonts w:cs="Times New Roman"/>
          <w:szCs w:val="24"/>
        </w:rPr>
        <w:t xml:space="preserve"> if FirstEnergy ever needed to actually interrupt service to these 24</w:t>
      </w:r>
      <w:r w:rsidRPr="001D7812">
        <w:rPr>
          <w:rFonts w:cs="Times New Roman"/>
          <w:szCs w:val="24"/>
        </w:rPr>
        <w:t xml:space="preserve"> large</w:t>
      </w:r>
      <w:r w:rsidRPr="001D7812" w:rsidR="004955F5">
        <w:rPr>
          <w:rFonts w:cs="Times New Roman"/>
          <w:szCs w:val="24"/>
        </w:rPr>
        <w:t xml:space="preserve"> industrial customers in the event of an emergency; however, FirstEnergy never </w:t>
      </w:r>
      <w:r w:rsidRPr="001D7812">
        <w:rPr>
          <w:rFonts w:cs="Times New Roman"/>
          <w:szCs w:val="24"/>
        </w:rPr>
        <w:t xml:space="preserve">actually </w:t>
      </w:r>
      <w:r w:rsidRPr="001D7812" w:rsidR="004955F5">
        <w:rPr>
          <w:rFonts w:cs="Times New Roman"/>
          <w:szCs w:val="24"/>
        </w:rPr>
        <w:t>interrupted service during the entire term of ESP IV except once per year to comply with PJM</w:t>
      </w:r>
      <w:r w:rsidR="009F1383">
        <w:rPr>
          <w:rFonts w:cs="Times New Roman"/>
          <w:szCs w:val="24"/>
        </w:rPr>
        <w:t>’</w:t>
      </w:r>
      <w:r w:rsidRPr="001D7812" w:rsidR="004955F5">
        <w:rPr>
          <w:rFonts w:cs="Times New Roman"/>
          <w:szCs w:val="24"/>
        </w:rPr>
        <w:t xml:space="preserve">s </w:t>
      </w:r>
      <w:r w:rsidRPr="001D7812">
        <w:rPr>
          <w:rFonts w:cs="Times New Roman"/>
          <w:szCs w:val="24"/>
        </w:rPr>
        <w:t xml:space="preserve">testing </w:t>
      </w:r>
      <w:r w:rsidRPr="001D7812" w:rsidR="004955F5">
        <w:rPr>
          <w:rFonts w:cs="Times New Roman"/>
          <w:szCs w:val="24"/>
        </w:rPr>
        <w:t>requirement that interruptible customers must demonstrate they are capable of interrupting service once per year.</w:t>
      </w:r>
      <w:r w:rsidRPr="001D7812" w:rsidR="00CE2F18">
        <w:rPr>
          <w:rFonts w:cs="Times New Roman"/>
          <w:szCs w:val="24"/>
        </w:rPr>
        <w:t xml:space="preserve"> </w:t>
      </w:r>
    </w:p>
    <w:p w:rsidR="00ED5C78" w:rsidRPr="001D7812" w:rsidP="00D100EC" w14:paraId="122E8553" w14:textId="63C9DFCC">
      <w:pPr>
        <w:spacing w:line="480" w:lineRule="auto"/>
        <w:ind w:firstLine="720"/>
        <w:rPr>
          <w:rFonts w:cs="Times New Roman"/>
          <w:szCs w:val="24"/>
        </w:rPr>
      </w:pPr>
      <w:r w:rsidRPr="001D7812">
        <w:rPr>
          <w:rFonts w:cs="Times New Roman"/>
          <w:szCs w:val="24"/>
        </w:rPr>
        <w:t>FirstEnergy Witness Edward</w:t>
      </w:r>
      <w:r w:rsidRPr="001D7812" w:rsidR="00DD005E">
        <w:rPr>
          <w:rFonts w:cs="Times New Roman"/>
          <w:szCs w:val="24"/>
        </w:rPr>
        <w:t xml:space="preserve"> Stein </w:t>
      </w:r>
      <w:r w:rsidRPr="001D7812" w:rsidR="00440F09">
        <w:rPr>
          <w:rFonts w:cs="Times New Roman"/>
          <w:szCs w:val="24"/>
        </w:rPr>
        <w:t>admitted</w:t>
      </w:r>
      <w:r w:rsidRPr="001D7812" w:rsidR="00DD005E">
        <w:rPr>
          <w:rFonts w:cs="Times New Roman"/>
          <w:szCs w:val="24"/>
        </w:rPr>
        <w:t xml:space="preserve"> </w:t>
      </w:r>
      <w:r w:rsidRPr="001D7812" w:rsidR="004D1639">
        <w:rPr>
          <w:rFonts w:cs="Times New Roman"/>
          <w:szCs w:val="24"/>
        </w:rPr>
        <w:t>that FirstEnergy never declared an emergency curtailment under Rider ELR during</w:t>
      </w:r>
      <w:r w:rsidRPr="001D7812" w:rsidR="00514E76">
        <w:rPr>
          <w:rFonts w:cs="Times New Roman"/>
          <w:szCs w:val="24"/>
        </w:rPr>
        <w:t xml:space="preserve"> </w:t>
      </w:r>
      <w:r w:rsidRPr="001D7812" w:rsidR="004D1639">
        <w:rPr>
          <w:rFonts w:cs="Times New Roman"/>
          <w:szCs w:val="24"/>
        </w:rPr>
        <w:t>ESP IV:</w:t>
      </w:r>
    </w:p>
    <w:p w:rsidR="00514E76" w:rsidRPr="001D7812" w:rsidP="002E2A9D" w14:paraId="3DD759E9" w14:textId="56F9A79C">
      <w:pPr>
        <w:ind w:left="2160" w:right="1440" w:hanging="720"/>
        <w:rPr>
          <w:rFonts w:cs="Times New Roman"/>
          <w:szCs w:val="24"/>
        </w:rPr>
      </w:pPr>
      <w:r w:rsidRPr="001D7812">
        <w:rPr>
          <w:rFonts w:cs="Times New Roman"/>
          <w:szCs w:val="24"/>
        </w:rPr>
        <w:t>Q.</w:t>
      </w:r>
      <w:r w:rsidRPr="001D7812" w:rsidR="002E2A9D">
        <w:rPr>
          <w:rFonts w:cs="Times New Roman"/>
          <w:szCs w:val="24"/>
        </w:rPr>
        <w:tab/>
      </w:r>
      <w:r w:rsidRPr="001D7812">
        <w:rPr>
          <w:rFonts w:cs="Times New Roman"/>
          <w:szCs w:val="24"/>
        </w:rPr>
        <w:t>How many times has the Company initiated an emergency curtailment under Rider ELR during ESP IV?</w:t>
      </w:r>
      <w:r w:rsidRPr="001D7812" w:rsidR="00CE2F18">
        <w:rPr>
          <w:rFonts w:cs="Times New Roman"/>
          <w:szCs w:val="24"/>
        </w:rPr>
        <w:t xml:space="preserve"> </w:t>
      </w:r>
    </w:p>
    <w:p w:rsidR="004D1639" w:rsidRPr="001D7812" w:rsidP="00514E76" w14:paraId="0382F13A" w14:textId="438AC6BD">
      <w:pPr>
        <w:ind w:left="1440" w:right="1440"/>
        <w:rPr>
          <w:rFonts w:cs="Times New Roman"/>
          <w:szCs w:val="24"/>
        </w:rPr>
      </w:pPr>
      <w:r w:rsidRPr="001D7812">
        <w:rPr>
          <w:rFonts w:cs="Times New Roman"/>
          <w:szCs w:val="24"/>
        </w:rPr>
        <w:t xml:space="preserve"> </w:t>
      </w:r>
    </w:p>
    <w:p w:rsidR="00514E76" w:rsidRPr="001D7812" w:rsidP="002E2A9D" w14:paraId="56C3D8CF" w14:textId="5F641DB7">
      <w:pPr>
        <w:ind w:left="2160" w:right="1440" w:hanging="720"/>
        <w:rPr>
          <w:rFonts w:cs="Times New Roman"/>
          <w:szCs w:val="24"/>
        </w:rPr>
      </w:pPr>
      <w:r w:rsidRPr="001D7812">
        <w:rPr>
          <w:rFonts w:cs="Times New Roman"/>
          <w:szCs w:val="24"/>
        </w:rPr>
        <w:t>A.</w:t>
      </w:r>
      <w:r w:rsidRPr="001D7812" w:rsidR="002E2A9D">
        <w:rPr>
          <w:rFonts w:cs="Times New Roman"/>
          <w:szCs w:val="24"/>
        </w:rPr>
        <w:tab/>
      </w:r>
      <w:r w:rsidRPr="001D7812">
        <w:rPr>
          <w:rFonts w:cs="Times New Roman"/>
          <w:i/>
          <w:iCs/>
          <w:szCs w:val="24"/>
        </w:rPr>
        <w:t>I do not believe we called an event during ESP IV</w:t>
      </w:r>
      <w:r w:rsidRPr="001D7812">
        <w:rPr>
          <w:rFonts w:cs="Times New Roman"/>
          <w:szCs w:val="24"/>
        </w:rPr>
        <w:t>.</w:t>
      </w:r>
      <w:r>
        <w:rPr>
          <w:rStyle w:val="FootnoteReference"/>
          <w:rFonts w:cs="Times New Roman"/>
          <w:szCs w:val="24"/>
        </w:rPr>
        <w:footnoteReference w:id="165"/>
      </w:r>
    </w:p>
    <w:p w:rsidR="00316A7F" w:rsidRPr="001D7812" w:rsidP="00514E76" w14:paraId="4461F8F9" w14:textId="77777777">
      <w:pPr>
        <w:ind w:left="1440" w:right="1440"/>
        <w:rPr>
          <w:rFonts w:cs="Times New Roman"/>
          <w:szCs w:val="24"/>
        </w:rPr>
      </w:pPr>
    </w:p>
    <w:p w:rsidR="006813BC" w:rsidRPr="001D7812" w:rsidP="006813BC" w14:paraId="19669046" w14:textId="66CF8905">
      <w:pPr>
        <w:spacing w:line="480" w:lineRule="auto"/>
        <w:rPr>
          <w:rFonts w:cs="Times New Roman"/>
          <w:szCs w:val="24"/>
        </w:rPr>
      </w:pPr>
      <w:r w:rsidRPr="001D7812">
        <w:rPr>
          <w:rFonts w:cs="Times New Roman"/>
          <w:szCs w:val="24"/>
        </w:rPr>
        <w:tab/>
      </w:r>
      <w:r w:rsidRPr="001D7812">
        <w:rPr>
          <w:rFonts w:cs="Times New Roman"/>
          <w:szCs w:val="24"/>
        </w:rPr>
        <w:t xml:space="preserve">FirstEnergy never invokes the interruptible tariff because curtailing service during </w:t>
      </w:r>
      <w:r w:rsidRPr="001D7812" w:rsidR="00440F09">
        <w:rPr>
          <w:rFonts w:cs="Times New Roman"/>
          <w:szCs w:val="24"/>
        </w:rPr>
        <w:t>emergencies</w:t>
      </w:r>
      <w:r w:rsidRPr="001D7812">
        <w:rPr>
          <w:rFonts w:cs="Times New Roman"/>
          <w:szCs w:val="24"/>
        </w:rPr>
        <w:t xml:space="preserve"> falls within PJM</w:t>
      </w:r>
      <w:r w:rsidR="009F1383">
        <w:rPr>
          <w:rFonts w:cs="Times New Roman"/>
          <w:szCs w:val="24"/>
        </w:rPr>
        <w:t>’</w:t>
      </w:r>
      <w:r w:rsidRPr="001D7812">
        <w:rPr>
          <w:rFonts w:cs="Times New Roman"/>
          <w:szCs w:val="24"/>
        </w:rPr>
        <w:t xml:space="preserve">s </w:t>
      </w:r>
      <w:r w:rsidRPr="001D7812" w:rsidR="00440F09">
        <w:rPr>
          <w:rFonts w:cs="Times New Roman"/>
          <w:szCs w:val="24"/>
        </w:rPr>
        <w:t>control</w:t>
      </w:r>
      <w:r w:rsidRPr="001D7812">
        <w:rPr>
          <w:rFonts w:cs="Times New Roman"/>
          <w:szCs w:val="24"/>
        </w:rPr>
        <w:t xml:space="preserve"> as the reliability coordinator</w:t>
      </w:r>
      <w:r w:rsidRPr="001D7812" w:rsidR="00440F09">
        <w:rPr>
          <w:rFonts w:cs="Times New Roman"/>
          <w:szCs w:val="24"/>
        </w:rPr>
        <w:t>,</w:t>
      </w:r>
      <w:r w:rsidRPr="001D7812">
        <w:rPr>
          <w:rFonts w:cs="Times New Roman"/>
          <w:szCs w:val="24"/>
        </w:rPr>
        <w:t xml:space="preserve"> as Mr. Ste</w:t>
      </w:r>
      <w:r w:rsidRPr="001D7812" w:rsidR="002A45A0">
        <w:rPr>
          <w:rFonts w:cs="Times New Roman"/>
          <w:szCs w:val="24"/>
        </w:rPr>
        <w:t>i</w:t>
      </w:r>
      <w:r w:rsidRPr="001D7812">
        <w:rPr>
          <w:rFonts w:cs="Times New Roman"/>
          <w:szCs w:val="24"/>
        </w:rPr>
        <w:t>n stated:</w:t>
      </w:r>
    </w:p>
    <w:p w:rsidR="006813BC" w:rsidRPr="001D7812" w:rsidP="00F41F69" w14:paraId="0EB98E65" w14:textId="20761012">
      <w:pPr>
        <w:ind w:left="2160" w:right="1354" w:hanging="720"/>
        <w:rPr>
          <w:rFonts w:cs="Times New Roman"/>
          <w:szCs w:val="24"/>
        </w:rPr>
      </w:pPr>
      <w:r w:rsidRPr="001D7812">
        <w:rPr>
          <w:rFonts w:cs="Times New Roman"/>
          <w:szCs w:val="24"/>
        </w:rPr>
        <w:t>Q.</w:t>
      </w:r>
      <w:r w:rsidRPr="001D7812" w:rsidR="00F41F69">
        <w:rPr>
          <w:rFonts w:cs="Times New Roman"/>
          <w:szCs w:val="24"/>
        </w:rPr>
        <w:tab/>
      </w:r>
      <w:r w:rsidRPr="001D7812">
        <w:rPr>
          <w:rFonts w:cs="Times New Roman"/>
          <w:szCs w:val="24"/>
        </w:rPr>
        <w:t>Okay.</w:t>
      </w:r>
      <w:r w:rsidRPr="001D7812" w:rsidR="00CE2F18">
        <w:rPr>
          <w:rFonts w:cs="Times New Roman"/>
          <w:szCs w:val="24"/>
        </w:rPr>
        <w:t xml:space="preserve"> </w:t>
      </w:r>
      <w:r w:rsidRPr="001D7812">
        <w:rPr>
          <w:rFonts w:cs="Times New Roman"/>
          <w:szCs w:val="24"/>
        </w:rPr>
        <w:t>You -- first, under your proposal, a customer -- you would not issue any notice [to interrupt service] if there is a PJM emergency; that would be PJM</w:t>
      </w:r>
      <w:r w:rsidR="009F1383">
        <w:rPr>
          <w:rFonts w:cs="Times New Roman"/>
          <w:szCs w:val="24"/>
        </w:rPr>
        <w:t>’</w:t>
      </w:r>
      <w:r w:rsidRPr="001D7812">
        <w:rPr>
          <w:rFonts w:cs="Times New Roman"/>
          <w:szCs w:val="24"/>
        </w:rPr>
        <w:t xml:space="preserve">s responsibility, correct? </w:t>
      </w:r>
    </w:p>
    <w:p w:rsidR="006813BC" w:rsidRPr="001D7812" w:rsidP="00F41F69" w14:paraId="7F987EAC" w14:textId="77777777">
      <w:pPr>
        <w:ind w:left="2160" w:right="1354" w:hanging="720"/>
        <w:rPr>
          <w:rFonts w:cs="Times New Roman"/>
          <w:szCs w:val="24"/>
        </w:rPr>
      </w:pPr>
    </w:p>
    <w:p w:rsidR="006813BC" w:rsidRPr="001D7812" w:rsidP="00F41F69" w14:paraId="18407F5A" w14:textId="1BD3FDC0">
      <w:pPr>
        <w:ind w:left="2160" w:right="1354" w:hanging="720"/>
        <w:rPr>
          <w:rFonts w:cs="Times New Roman"/>
          <w:szCs w:val="24"/>
        </w:rPr>
      </w:pPr>
      <w:r w:rsidRPr="001D7812">
        <w:rPr>
          <w:rFonts w:cs="Times New Roman"/>
          <w:szCs w:val="24"/>
        </w:rPr>
        <w:t>A.</w:t>
      </w:r>
      <w:r w:rsidRPr="001D7812" w:rsidR="00F41F69">
        <w:rPr>
          <w:rFonts w:cs="Times New Roman"/>
          <w:szCs w:val="24"/>
        </w:rPr>
        <w:tab/>
      </w:r>
      <w:r w:rsidRPr="001D7812">
        <w:rPr>
          <w:rFonts w:cs="Times New Roman"/>
          <w:szCs w:val="24"/>
        </w:rPr>
        <w:t>Correct.</w:t>
      </w:r>
      <w:r w:rsidRPr="001D7812">
        <w:rPr>
          <w:rFonts w:cs="Times New Roman"/>
          <w:szCs w:val="24"/>
        </w:rPr>
        <w:tab/>
      </w:r>
    </w:p>
    <w:p w:rsidR="006813BC" w:rsidRPr="001D7812" w:rsidP="006813BC" w14:paraId="7D6264B3" w14:textId="77777777">
      <w:pPr>
        <w:ind w:left="1440" w:right="1354"/>
        <w:rPr>
          <w:rFonts w:cs="Times New Roman"/>
          <w:szCs w:val="24"/>
        </w:rPr>
      </w:pPr>
    </w:p>
    <w:p w:rsidR="006813BC" w:rsidRPr="001D7812" w:rsidP="006813BC" w14:paraId="42BE3265" w14:textId="50D5D768">
      <w:pPr>
        <w:spacing w:line="480" w:lineRule="auto"/>
        <w:ind w:firstLine="720"/>
        <w:rPr>
          <w:rFonts w:cs="Times New Roman"/>
          <w:szCs w:val="24"/>
        </w:rPr>
      </w:pPr>
      <w:r w:rsidRPr="001D7812">
        <w:rPr>
          <w:rFonts w:cs="Times New Roman"/>
          <w:szCs w:val="24"/>
        </w:rPr>
        <w:t>Mr. Stein further explained that FirstEnergy, as a PJM member, must follow PJM</w:t>
      </w:r>
      <w:r w:rsidR="009F1383">
        <w:rPr>
          <w:rFonts w:cs="Times New Roman"/>
          <w:szCs w:val="24"/>
        </w:rPr>
        <w:t>’</w:t>
      </w:r>
      <w:r w:rsidRPr="001D7812">
        <w:rPr>
          <w:rFonts w:cs="Times New Roman"/>
          <w:szCs w:val="24"/>
        </w:rPr>
        <w:t>s Reliability Assurance Agreement.</w:t>
      </w:r>
      <w:r>
        <w:rPr>
          <w:rStyle w:val="FootnoteReference"/>
          <w:rFonts w:cs="Times New Roman"/>
          <w:szCs w:val="24"/>
        </w:rPr>
        <w:footnoteReference w:id="166"/>
      </w:r>
      <w:r w:rsidRPr="001D7812" w:rsidR="00CE2F18">
        <w:rPr>
          <w:rFonts w:cs="Times New Roman"/>
          <w:szCs w:val="24"/>
        </w:rPr>
        <w:t xml:space="preserve"> </w:t>
      </w:r>
      <w:r w:rsidRPr="001D7812">
        <w:rPr>
          <w:rFonts w:cs="Times New Roman"/>
          <w:szCs w:val="24"/>
        </w:rPr>
        <w:t xml:space="preserve">The PJM Reliability Assurance Agreement spells out that, when an electrical emergency occurs, PJM is the entity that gives orders to individual utilities on </w:t>
      </w:r>
      <w:r w:rsidRPr="001D7812" w:rsidR="00440F09">
        <w:rPr>
          <w:rFonts w:cs="Times New Roman"/>
          <w:szCs w:val="24"/>
        </w:rPr>
        <w:t>how to respond to an</w:t>
      </w:r>
      <w:r w:rsidRPr="001D7812">
        <w:rPr>
          <w:rFonts w:cs="Times New Roman"/>
          <w:szCs w:val="24"/>
        </w:rPr>
        <w:t xml:space="preserve"> emergency, such as curtailing load:</w:t>
      </w:r>
    </w:p>
    <w:p w:rsidR="006813BC" w:rsidRPr="001D7812" w:rsidP="006813BC" w14:paraId="15A020D7" w14:textId="3B3B0A2C">
      <w:pPr>
        <w:ind w:left="1440" w:right="1440"/>
        <w:rPr>
          <w:rFonts w:cs="Times New Roman"/>
          <w:szCs w:val="24"/>
        </w:rPr>
      </w:pPr>
      <w:r w:rsidRPr="001D7812">
        <w:rPr>
          <w:rFonts w:cs="Times New Roman"/>
          <w:b/>
          <w:bCs/>
          <w:szCs w:val="24"/>
        </w:rPr>
        <w:t>9.1 Overall Coordination</w:t>
      </w:r>
      <w:r w:rsidRPr="001D7812">
        <w:rPr>
          <w:rFonts w:cs="Times New Roman"/>
          <w:szCs w:val="24"/>
        </w:rPr>
        <w:t>.</w:t>
      </w:r>
      <w:r w:rsidRPr="001D7812" w:rsidR="00CE2F18">
        <w:rPr>
          <w:rFonts w:cs="Times New Roman"/>
          <w:szCs w:val="24"/>
        </w:rPr>
        <w:t xml:space="preserve"> </w:t>
      </w:r>
    </w:p>
    <w:p w:rsidR="006813BC" w:rsidRPr="001D7812" w:rsidP="006813BC" w14:paraId="3B188AE8" w14:textId="77777777">
      <w:pPr>
        <w:ind w:left="1440" w:right="1440"/>
        <w:rPr>
          <w:rFonts w:cs="Times New Roman"/>
          <w:szCs w:val="24"/>
        </w:rPr>
      </w:pPr>
    </w:p>
    <w:p w:rsidR="006813BC" w:rsidRPr="001D7812" w:rsidP="006813BC" w14:paraId="3795C5F7" w14:textId="062DBD67">
      <w:pPr>
        <w:ind w:left="1440" w:right="1440"/>
        <w:rPr>
          <w:rFonts w:cs="Times New Roman"/>
          <w:szCs w:val="24"/>
        </w:rPr>
      </w:pPr>
      <w:r w:rsidRPr="001D7812">
        <w:rPr>
          <w:rFonts w:cs="Times New Roman"/>
          <w:szCs w:val="24"/>
        </w:rPr>
        <w:t>Each Party shall cooperate with the other Parties in the coordinated planning and operation of their owned or contracted for Capacity Resources to obtain a degree of reliability consistent with the Reliability Principles and Standards.</w:t>
      </w:r>
      <w:r w:rsidRPr="001D7812" w:rsidR="00CE2F18">
        <w:rPr>
          <w:rFonts w:cs="Times New Roman"/>
          <w:szCs w:val="24"/>
        </w:rPr>
        <w:t xml:space="preserve"> </w:t>
      </w:r>
      <w:r w:rsidRPr="001D7812">
        <w:rPr>
          <w:rFonts w:cs="Times New Roman"/>
          <w:szCs w:val="24"/>
        </w:rPr>
        <w:t>In furtherance of such cooperation each Party shall:</w:t>
      </w:r>
    </w:p>
    <w:p w:rsidR="006813BC" w:rsidRPr="001D7812" w:rsidP="006813BC" w14:paraId="07D86CDA" w14:textId="77777777">
      <w:pPr>
        <w:ind w:left="1440" w:right="1440"/>
        <w:rPr>
          <w:rFonts w:cs="Times New Roman"/>
          <w:szCs w:val="24"/>
        </w:rPr>
      </w:pPr>
    </w:p>
    <w:p w:rsidR="006813BC" w:rsidRPr="001D7812" w:rsidP="006813BC" w14:paraId="14D48BB0" w14:textId="77777777">
      <w:pPr>
        <w:ind w:left="1440" w:right="1440"/>
        <w:rPr>
          <w:rFonts w:cs="Times New Roman"/>
          <w:szCs w:val="24"/>
        </w:rPr>
      </w:pPr>
      <w:r w:rsidRPr="001D7812">
        <w:rPr>
          <w:rFonts w:cs="Times New Roman"/>
          <w:szCs w:val="24"/>
        </w:rPr>
        <w:t>* * *</w:t>
      </w:r>
    </w:p>
    <w:p w:rsidR="006813BC" w:rsidRPr="001D7812" w:rsidP="006813BC" w14:paraId="38FFA406" w14:textId="77777777">
      <w:pPr>
        <w:ind w:left="1440" w:right="1440"/>
        <w:rPr>
          <w:rFonts w:cs="Times New Roman"/>
          <w:szCs w:val="24"/>
        </w:rPr>
      </w:pPr>
    </w:p>
    <w:p w:rsidR="006813BC" w:rsidRPr="001D7812" w:rsidP="006813BC" w14:paraId="42443FCA" w14:textId="77777777">
      <w:pPr>
        <w:ind w:left="1440" w:right="1440"/>
        <w:rPr>
          <w:rFonts w:cs="Times New Roman"/>
          <w:szCs w:val="24"/>
        </w:rPr>
      </w:pPr>
      <w:r w:rsidRPr="001D7812">
        <w:rPr>
          <w:rFonts w:cs="Times New Roman"/>
          <w:szCs w:val="24"/>
        </w:rPr>
        <w:t xml:space="preserve">(e) implement emergency procedures and take such other coordination actions as may be necessary </w:t>
      </w:r>
      <w:r w:rsidRPr="001D7812">
        <w:rPr>
          <w:rFonts w:cs="Times New Roman"/>
          <w:i/>
          <w:iCs/>
          <w:szCs w:val="24"/>
        </w:rPr>
        <w:t>in accordance with the directions of the Office of the Interconnection in times of Emergencies</w:t>
      </w:r>
      <w:r w:rsidRPr="001D7812">
        <w:rPr>
          <w:rFonts w:cs="Times New Roman"/>
          <w:szCs w:val="24"/>
        </w:rPr>
        <w:t>; ….</w:t>
      </w:r>
      <w:r>
        <w:rPr>
          <w:rStyle w:val="FootnoteReference"/>
          <w:rFonts w:cs="Times New Roman"/>
          <w:szCs w:val="24"/>
        </w:rPr>
        <w:footnoteReference w:id="167"/>
      </w:r>
    </w:p>
    <w:p w:rsidR="006813BC" w:rsidRPr="001D7812" w:rsidP="006813BC" w14:paraId="4C570FB4" w14:textId="77777777">
      <w:pPr>
        <w:ind w:left="1440" w:right="1440"/>
        <w:rPr>
          <w:rFonts w:cs="Times New Roman"/>
          <w:szCs w:val="24"/>
        </w:rPr>
      </w:pPr>
    </w:p>
    <w:p w:rsidR="00ED5C78" w:rsidRPr="001D7812" w:rsidP="006813BC" w14:paraId="0BCDAC85" w14:textId="3ECE052B">
      <w:pPr>
        <w:spacing w:line="480" w:lineRule="auto"/>
        <w:ind w:firstLine="720"/>
        <w:rPr>
          <w:rFonts w:cs="Times New Roman"/>
          <w:szCs w:val="24"/>
        </w:rPr>
      </w:pPr>
      <w:r w:rsidRPr="001D7812">
        <w:rPr>
          <w:rFonts w:cs="Times New Roman"/>
          <w:szCs w:val="24"/>
        </w:rPr>
        <w:t>FirstEnergy</w:t>
      </w:r>
      <w:r w:rsidR="009F1383">
        <w:rPr>
          <w:rFonts w:cs="Times New Roman"/>
          <w:szCs w:val="24"/>
        </w:rPr>
        <w:t>’</w:t>
      </w:r>
      <w:r w:rsidRPr="001D7812">
        <w:rPr>
          <w:rFonts w:cs="Times New Roman"/>
          <w:szCs w:val="24"/>
        </w:rPr>
        <w:t>s Rider ELR payment of $437 million to 24 large industrial customers</w:t>
      </w:r>
      <w:r w:rsidRPr="001D7812" w:rsidR="00606BE9">
        <w:rPr>
          <w:rFonts w:cs="Times New Roman"/>
          <w:szCs w:val="24"/>
        </w:rPr>
        <w:t xml:space="preserve">, </w:t>
      </w:r>
      <w:r w:rsidRPr="001D7812">
        <w:rPr>
          <w:rFonts w:cs="Times New Roman"/>
          <w:szCs w:val="24"/>
        </w:rPr>
        <w:t xml:space="preserve">for an interruptible tariff </w:t>
      </w:r>
      <w:r w:rsidRPr="001D7812" w:rsidR="00606BE9">
        <w:rPr>
          <w:rFonts w:cs="Times New Roman"/>
          <w:szCs w:val="24"/>
        </w:rPr>
        <w:t>(subsidized by other FirstEnergy consumers)</w:t>
      </w:r>
      <w:r w:rsidRPr="001D7812" w:rsidR="00052D06">
        <w:rPr>
          <w:rFonts w:cs="Times New Roman"/>
          <w:szCs w:val="24"/>
        </w:rPr>
        <w:t xml:space="preserve"> </w:t>
      </w:r>
      <w:r w:rsidRPr="001D7812">
        <w:rPr>
          <w:rFonts w:cs="Times New Roman"/>
          <w:szCs w:val="24"/>
        </w:rPr>
        <w:t xml:space="preserve">where FirstEnergy never </w:t>
      </w:r>
      <w:r w:rsidRPr="001D7812" w:rsidR="00F72CF0">
        <w:rPr>
          <w:rFonts w:cs="Times New Roman"/>
          <w:szCs w:val="24"/>
        </w:rPr>
        <w:t xml:space="preserve">actually </w:t>
      </w:r>
      <w:r w:rsidRPr="001D7812">
        <w:rPr>
          <w:rFonts w:cs="Times New Roman"/>
          <w:szCs w:val="24"/>
        </w:rPr>
        <w:t>interrupts service is unjust and unreasonable.</w:t>
      </w:r>
      <w:r w:rsidRPr="001D7812" w:rsidR="00CE2F18">
        <w:rPr>
          <w:rFonts w:cs="Times New Roman"/>
          <w:szCs w:val="24"/>
        </w:rPr>
        <w:t xml:space="preserve"> </w:t>
      </w:r>
      <w:r w:rsidRPr="001D7812">
        <w:rPr>
          <w:rFonts w:cs="Times New Roman"/>
          <w:szCs w:val="24"/>
        </w:rPr>
        <w:t xml:space="preserve">Consumers receive no benefit </w:t>
      </w:r>
      <w:r w:rsidRPr="001D7812" w:rsidR="00440F09">
        <w:rPr>
          <w:rFonts w:cs="Times New Roman"/>
          <w:szCs w:val="24"/>
        </w:rPr>
        <w:t>under</w:t>
      </w:r>
      <w:r w:rsidRPr="001D7812">
        <w:rPr>
          <w:rFonts w:cs="Times New Roman"/>
          <w:szCs w:val="24"/>
        </w:rPr>
        <w:t xml:space="preserve"> the tariff</w:t>
      </w:r>
      <w:r w:rsidRPr="001D7812" w:rsidR="001A5A9D">
        <w:rPr>
          <w:rFonts w:cs="Times New Roman"/>
          <w:szCs w:val="24"/>
        </w:rPr>
        <w:t xml:space="preserve">, </w:t>
      </w:r>
      <w:r w:rsidRPr="001D7812">
        <w:rPr>
          <w:rFonts w:cs="Times New Roman"/>
          <w:szCs w:val="24"/>
        </w:rPr>
        <w:t xml:space="preserve">yet they are </w:t>
      </w:r>
      <w:r w:rsidRPr="001D7812" w:rsidR="00F72CF0">
        <w:rPr>
          <w:rFonts w:cs="Times New Roman"/>
          <w:szCs w:val="24"/>
        </w:rPr>
        <w:t>forced</w:t>
      </w:r>
      <w:r w:rsidRPr="001D7812">
        <w:rPr>
          <w:rFonts w:cs="Times New Roman"/>
          <w:szCs w:val="24"/>
        </w:rPr>
        <w:t xml:space="preserve"> to </w:t>
      </w:r>
      <w:r w:rsidRPr="001D7812" w:rsidR="00440F09">
        <w:rPr>
          <w:rFonts w:cs="Times New Roman"/>
          <w:szCs w:val="24"/>
        </w:rPr>
        <w:t>subsidize these large</w:t>
      </w:r>
      <w:r w:rsidRPr="001D7812">
        <w:rPr>
          <w:rFonts w:cs="Times New Roman"/>
          <w:szCs w:val="24"/>
        </w:rPr>
        <w:t xml:space="preserve"> industrial consumers.</w:t>
      </w:r>
      <w:r w:rsidRPr="001D7812" w:rsidR="00CE2F18">
        <w:rPr>
          <w:rFonts w:cs="Times New Roman"/>
          <w:szCs w:val="24"/>
        </w:rPr>
        <w:t xml:space="preserve"> </w:t>
      </w:r>
      <w:r w:rsidRPr="001D7812">
        <w:rPr>
          <w:rFonts w:cs="Times New Roman"/>
          <w:szCs w:val="24"/>
        </w:rPr>
        <w:t>FirstEnergy</w:t>
      </w:r>
      <w:r w:rsidR="009F1383">
        <w:rPr>
          <w:rFonts w:cs="Times New Roman"/>
          <w:szCs w:val="24"/>
        </w:rPr>
        <w:t>’</w:t>
      </w:r>
      <w:r w:rsidRPr="001D7812">
        <w:rPr>
          <w:rFonts w:cs="Times New Roman"/>
          <w:szCs w:val="24"/>
        </w:rPr>
        <w:t xml:space="preserve">s Rider ELR proposal </w:t>
      </w:r>
      <w:r w:rsidRPr="001D7812" w:rsidR="00D72C02">
        <w:rPr>
          <w:rFonts w:cs="Times New Roman"/>
          <w:szCs w:val="24"/>
        </w:rPr>
        <w:t>violates</w:t>
      </w:r>
      <w:r w:rsidRPr="001D7812">
        <w:rPr>
          <w:rFonts w:cs="Times New Roman"/>
          <w:szCs w:val="24"/>
        </w:rPr>
        <w:t xml:space="preserve"> Ohio energy policy</w:t>
      </w:r>
      <w:r w:rsidRPr="001D7812" w:rsidR="00035201">
        <w:rPr>
          <w:rFonts w:cs="Times New Roman"/>
          <w:szCs w:val="24"/>
        </w:rPr>
        <w:t xml:space="preserve"> </w:t>
      </w:r>
      <w:r w:rsidRPr="001D7812" w:rsidR="00F72CF0">
        <w:rPr>
          <w:rFonts w:cs="Times New Roman"/>
          <w:szCs w:val="24"/>
        </w:rPr>
        <w:t>as follows</w:t>
      </w:r>
      <w:r w:rsidRPr="001D7812" w:rsidR="00035201">
        <w:rPr>
          <w:rFonts w:cs="Times New Roman"/>
          <w:szCs w:val="24"/>
        </w:rPr>
        <w:t>:</w:t>
      </w:r>
    </w:p>
    <w:p w:rsidR="00035201" w:rsidRPr="001D7812" w:rsidP="00363960" w14:paraId="6FBBF48B" w14:textId="727F0EFE">
      <w:pPr>
        <w:pStyle w:val="ListParagraph"/>
        <w:numPr>
          <w:ilvl w:val="0"/>
          <w:numId w:val="2"/>
        </w:numPr>
        <w:ind w:left="1440" w:right="1440"/>
        <w:rPr>
          <w:rFonts w:cs="Times New Roman"/>
          <w:szCs w:val="24"/>
        </w:rPr>
      </w:pPr>
      <w:r w:rsidRPr="001D7812">
        <w:rPr>
          <w:rFonts w:cs="Times New Roman"/>
          <w:szCs w:val="24"/>
        </w:rPr>
        <w:t xml:space="preserve">With this unnecessary cost of $437 million, </w:t>
      </w:r>
      <w:r w:rsidRPr="001D7812">
        <w:rPr>
          <w:rFonts w:cs="Times New Roman"/>
          <w:szCs w:val="24"/>
        </w:rPr>
        <w:t>FirstEnergy</w:t>
      </w:r>
      <w:r w:rsidR="009F1383">
        <w:rPr>
          <w:rFonts w:cs="Times New Roman"/>
          <w:szCs w:val="24"/>
        </w:rPr>
        <w:t>’</w:t>
      </w:r>
      <w:r w:rsidRPr="001D7812">
        <w:rPr>
          <w:rFonts w:cs="Times New Roman"/>
          <w:szCs w:val="24"/>
        </w:rPr>
        <w:t xml:space="preserve">s retail electric service is not </w:t>
      </w:r>
      <w:r w:rsidR="009F1383">
        <w:rPr>
          <w:rFonts w:cs="Times New Roman"/>
          <w:szCs w:val="24"/>
        </w:rPr>
        <w:t>“</w:t>
      </w:r>
      <w:r w:rsidRPr="001D7812">
        <w:rPr>
          <w:rFonts w:cs="Times New Roman"/>
          <w:szCs w:val="24"/>
        </w:rPr>
        <w:t>reasonably priced,</w:t>
      </w:r>
      <w:r w:rsidR="009F1383">
        <w:rPr>
          <w:rFonts w:cs="Times New Roman"/>
          <w:szCs w:val="24"/>
        </w:rPr>
        <w:t>”</w:t>
      </w:r>
      <w:r w:rsidRPr="001D7812">
        <w:rPr>
          <w:rFonts w:cs="Times New Roman"/>
          <w:szCs w:val="24"/>
        </w:rPr>
        <w:t xml:space="preserve"> in violation of R.C. 4928.02(A);</w:t>
      </w:r>
    </w:p>
    <w:p w:rsidR="00C44F9A" w:rsidRPr="001D7812" w:rsidP="00C44F9A" w14:paraId="6AD7FAE6" w14:textId="77777777">
      <w:pPr>
        <w:pStyle w:val="ListParagraph"/>
        <w:ind w:left="1440" w:right="1440"/>
        <w:rPr>
          <w:rFonts w:cs="Times New Roman"/>
          <w:szCs w:val="24"/>
        </w:rPr>
      </w:pPr>
    </w:p>
    <w:p w:rsidR="00035201" w:rsidRPr="001D7812" w:rsidP="00363960" w14:paraId="314E1FCB" w14:textId="364F1198">
      <w:pPr>
        <w:pStyle w:val="ListParagraph"/>
        <w:numPr>
          <w:ilvl w:val="0"/>
          <w:numId w:val="2"/>
        </w:numPr>
        <w:ind w:left="1440" w:right="1440"/>
        <w:rPr>
          <w:rFonts w:cs="Times New Roman"/>
          <w:szCs w:val="24"/>
        </w:rPr>
      </w:pPr>
      <w:r w:rsidRPr="001D7812">
        <w:rPr>
          <w:rFonts w:cs="Times New Roman"/>
          <w:szCs w:val="24"/>
        </w:rPr>
        <w:t>FirstEnergy</w:t>
      </w:r>
      <w:r w:rsidR="009F1383">
        <w:rPr>
          <w:rFonts w:cs="Times New Roman"/>
          <w:szCs w:val="24"/>
        </w:rPr>
        <w:t>’</w:t>
      </w:r>
      <w:r w:rsidRPr="001D7812">
        <w:rPr>
          <w:rFonts w:cs="Times New Roman"/>
          <w:szCs w:val="24"/>
        </w:rPr>
        <w:t xml:space="preserve">s consumers do not receive </w:t>
      </w:r>
      <w:r w:rsidR="009F1383">
        <w:rPr>
          <w:rFonts w:cs="Times New Roman"/>
          <w:szCs w:val="24"/>
        </w:rPr>
        <w:t>“</w:t>
      </w:r>
      <w:r w:rsidRPr="001D7812">
        <w:rPr>
          <w:rFonts w:cs="Times New Roman"/>
          <w:szCs w:val="24"/>
        </w:rPr>
        <w:t>comparable retail electric service</w:t>
      </w:r>
      <w:r w:rsidR="009F1383">
        <w:rPr>
          <w:rFonts w:cs="Times New Roman"/>
          <w:szCs w:val="24"/>
        </w:rPr>
        <w:t>”</w:t>
      </w:r>
      <w:r w:rsidRPr="001D7812">
        <w:rPr>
          <w:rFonts w:cs="Times New Roman"/>
          <w:szCs w:val="24"/>
        </w:rPr>
        <w:t xml:space="preserve"> to service received by Duke and AES Ohio consumers in violation of R.C. 4928.02(B) because the latter two utilities do not have an</w:t>
      </w:r>
      <w:r w:rsidRPr="001D7812" w:rsidR="00F72CF0">
        <w:rPr>
          <w:rFonts w:cs="Times New Roman"/>
          <w:szCs w:val="24"/>
        </w:rPr>
        <w:t>y</w:t>
      </w:r>
      <w:r w:rsidRPr="001D7812">
        <w:rPr>
          <w:rFonts w:cs="Times New Roman"/>
          <w:szCs w:val="24"/>
        </w:rPr>
        <w:t xml:space="preserve"> interruptible tariff;</w:t>
      </w:r>
      <w:r>
        <w:rPr>
          <w:rStyle w:val="FootnoteReference"/>
          <w:rFonts w:cs="Times New Roman"/>
          <w:szCs w:val="24"/>
        </w:rPr>
        <w:footnoteReference w:id="168"/>
      </w:r>
    </w:p>
    <w:p w:rsidR="00C44F9A" w:rsidRPr="001D7812" w:rsidP="00C44F9A" w14:paraId="60A27267" w14:textId="77777777">
      <w:pPr>
        <w:ind w:left="1440" w:right="1440"/>
        <w:rPr>
          <w:rFonts w:cs="Times New Roman"/>
          <w:szCs w:val="24"/>
        </w:rPr>
      </w:pPr>
    </w:p>
    <w:p w:rsidR="00D72C02" w:rsidRPr="001D7812" w:rsidP="00363960" w14:paraId="21D4FC85" w14:textId="607802B8">
      <w:pPr>
        <w:pStyle w:val="ListParagraph"/>
        <w:numPr>
          <w:ilvl w:val="0"/>
          <w:numId w:val="2"/>
        </w:numPr>
        <w:ind w:left="1440" w:right="1440"/>
        <w:rPr>
          <w:rFonts w:cs="Times New Roman"/>
          <w:szCs w:val="24"/>
        </w:rPr>
      </w:pPr>
      <w:r w:rsidRPr="001D7812">
        <w:rPr>
          <w:rFonts w:cs="Times New Roman"/>
          <w:szCs w:val="24"/>
        </w:rPr>
        <w:t xml:space="preserve">Rider ELR allows for </w:t>
      </w:r>
      <w:r w:rsidR="009F1383">
        <w:rPr>
          <w:rFonts w:cs="Times New Roman"/>
          <w:szCs w:val="24"/>
        </w:rPr>
        <w:t>“</w:t>
      </w:r>
      <w:r w:rsidRPr="001D7812">
        <w:rPr>
          <w:rFonts w:cs="Times New Roman"/>
          <w:szCs w:val="24"/>
        </w:rPr>
        <w:t>anticompetitive subsidies</w:t>
      </w:r>
      <w:r w:rsidR="009F1383">
        <w:rPr>
          <w:rFonts w:cs="Times New Roman"/>
          <w:szCs w:val="24"/>
        </w:rPr>
        <w:t>”</w:t>
      </w:r>
      <w:r w:rsidRPr="001D7812">
        <w:rPr>
          <w:rFonts w:cs="Times New Roman"/>
          <w:szCs w:val="24"/>
        </w:rPr>
        <w:t xml:space="preserve"> to a select group of 24 industrial customers, in violation of R.C. 4928.02(H);</w:t>
      </w:r>
    </w:p>
    <w:p w:rsidR="00C44F9A" w:rsidRPr="001D7812" w:rsidP="00C44F9A" w14:paraId="192649F5" w14:textId="77777777">
      <w:pPr>
        <w:ind w:left="1440" w:right="1440"/>
        <w:rPr>
          <w:rFonts w:cs="Times New Roman"/>
          <w:szCs w:val="24"/>
        </w:rPr>
      </w:pPr>
    </w:p>
    <w:p w:rsidR="00D72C02" w:rsidRPr="001D7812" w:rsidP="00363960" w14:paraId="63ECCC2C" w14:textId="6FCAB22F">
      <w:pPr>
        <w:pStyle w:val="ListParagraph"/>
        <w:numPr>
          <w:ilvl w:val="0"/>
          <w:numId w:val="2"/>
        </w:numPr>
        <w:ind w:left="1440" w:right="1440"/>
        <w:rPr>
          <w:rFonts w:cs="Times New Roman"/>
          <w:szCs w:val="24"/>
        </w:rPr>
      </w:pPr>
      <w:r w:rsidRPr="001D7812">
        <w:rPr>
          <w:rFonts w:cs="Times New Roman"/>
          <w:szCs w:val="24"/>
        </w:rPr>
        <w:t xml:space="preserve">Rider ELR does not </w:t>
      </w:r>
      <w:r w:rsidR="009F1383">
        <w:rPr>
          <w:rFonts w:cs="Times New Roman"/>
          <w:szCs w:val="24"/>
        </w:rPr>
        <w:t>“</w:t>
      </w:r>
      <w:r w:rsidRPr="001D7812">
        <w:rPr>
          <w:rFonts w:cs="Times New Roman"/>
          <w:szCs w:val="24"/>
        </w:rPr>
        <w:t>protect consumers against FirstEnergy</w:t>
      </w:r>
      <w:r w:rsidR="009F1383">
        <w:rPr>
          <w:rFonts w:cs="Times New Roman"/>
          <w:szCs w:val="24"/>
        </w:rPr>
        <w:t>’</w:t>
      </w:r>
      <w:r w:rsidRPr="001D7812">
        <w:rPr>
          <w:rFonts w:cs="Times New Roman"/>
          <w:szCs w:val="24"/>
        </w:rPr>
        <w:t xml:space="preserve">s market power, </w:t>
      </w:r>
      <w:r w:rsidR="009F1383">
        <w:rPr>
          <w:rFonts w:cs="Times New Roman"/>
          <w:szCs w:val="24"/>
        </w:rPr>
        <w:t>“</w:t>
      </w:r>
      <w:r w:rsidRPr="001D7812">
        <w:rPr>
          <w:rFonts w:cs="Times New Roman"/>
          <w:szCs w:val="24"/>
        </w:rPr>
        <w:t>as the monopoly utility, by imposing this unavoidable tariff on consumers even though they receive no benefit from the service, in violation of R.C. 4928.02(I);</w:t>
      </w:r>
    </w:p>
    <w:p w:rsidR="00C44F9A" w:rsidRPr="001D7812" w:rsidP="00C44F9A" w14:paraId="5542FDA6" w14:textId="77777777">
      <w:pPr>
        <w:ind w:left="1440" w:right="1440"/>
        <w:rPr>
          <w:rFonts w:cs="Times New Roman"/>
          <w:szCs w:val="24"/>
        </w:rPr>
      </w:pPr>
    </w:p>
    <w:p w:rsidR="00C44F9A" w:rsidRPr="001D7812" w:rsidP="00363960" w14:paraId="7C0A6378" w14:textId="6FD9080A">
      <w:pPr>
        <w:pStyle w:val="ListParagraph"/>
        <w:numPr>
          <w:ilvl w:val="0"/>
          <w:numId w:val="2"/>
        </w:numPr>
        <w:ind w:left="1440" w:right="1440"/>
        <w:rPr>
          <w:rFonts w:cs="Times New Roman"/>
          <w:szCs w:val="24"/>
        </w:rPr>
      </w:pPr>
      <w:r w:rsidRPr="001D7812">
        <w:rPr>
          <w:rFonts w:cs="Times New Roman"/>
          <w:szCs w:val="24"/>
        </w:rPr>
        <w:t xml:space="preserve">Requiring consumers to pay this </w:t>
      </w:r>
      <w:r w:rsidRPr="001D7812">
        <w:rPr>
          <w:rFonts w:cs="Times New Roman"/>
          <w:szCs w:val="24"/>
        </w:rPr>
        <w:t xml:space="preserve">massive </w:t>
      </w:r>
      <w:r w:rsidRPr="001D7812">
        <w:rPr>
          <w:rFonts w:cs="Times New Roman"/>
          <w:szCs w:val="24"/>
        </w:rPr>
        <w:t xml:space="preserve">$437 million subsidy to 24 large industrial customers </w:t>
      </w:r>
      <w:r w:rsidR="009F1383">
        <w:rPr>
          <w:rFonts w:cs="Times New Roman"/>
          <w:szCs w:val="24"/>
        </w:rPr>
        <w:t>“</w:t>
      </w:r>
      <w:r w:rsidRPr="001D7812">
        <w:rPr>
          <w:rFonts w:cs="Times New Roman"/>
          <w:szCs w:val="24"/>
        </w:rPr>
        <w:t>fails to protect at-risk</w:t>
      </w:r>
      <w:r w:rsidRPr="001D7812">
        <w:rPr>
          <w:rFonts w:cs="Times New Roman"/>
          <w:szCs w:val="24"/>
        </w:rPr>
        <w:t xml:space="preserve"> populations,</w:t>
      </w:r>
      <w:r w:rsidR="009F1383">
        <w:rPr>
          <w:rFonts w:cs="Times New Roman"/>
          <w:szCs w:val="24"/>
        </w:rPr>
        <w:t>”</w:t>
      </w:r>
      <w:r w:rsidRPr="001D7812">
        <w:rPr>
          <w:rFonts w:cs="Times New Roman"/>
          <w:szCs w:val="24"/>
        </w:rPr>
        <w:t xml:space="preserve"> in violation of R.C. 4928.02(L); and</w:t>
      </w:r>
    </w:p>
    <w:p w:rsidR="00C44F9A" w:rsidRPr="001D7812" w:rsidP="00C44F9A" w14:paraId="76F31774" w14:textId="77777777">
      <w:pPr>
        <w:ind w:left="1440" w:right="1440"/>
        <w:rPr>
          <w:rFonts w:cs="Times New Roman"/>
          <w:szCs w:val="24"/>
        </w:rPr>
      </w:pPr>
    </w:p>
    <w:p w:rsidR="00C44F9A" w:rsidRPr="001D7812" w:rsidP="00363960" w14:paraId="2FCDFB63" w14:textId="232FA660">
      <w:pPr>
        <w:pStyle w:val="ListParagraph"/>
        <w:numPr>
          <w:ilvl w:val="0"/>
          <w:numId w:val="2"/>
        </w:numPr>
        <w:ind w:left="1440" w:right="1440"/>
        <w:rPr>
          <w:rFonts w:cs="Times New Roman"/>
          <w:szCs w:val="24"/>
        </w:rPr>
      </w:pPr>
      <w:r w:rsidRPr="001D7812">
        <w:rPr>
          <w:rFonts w:cs="Times New Roman"/>
          <w:szCs w:val="24"/>
        </w:rPr>
        <w:t xml:space="preserve">Rider ELR fails to </w:t>
      </w:r>
      <w:r w:rsidR="009F1383">
        <w:rPr>
          <w:rFonts w:cs="Times New Roman"/>
          <w:szCs w:val="24"/>
        </w:rPr>
        <w:t>“</w:t>
      </w:r>
      <w:r w:rsidRPr="001D7812">
        <w:rPr>
          <w:rFonts w:cs="Times New Roman"/>
          <w:szCs w:val="24"/>
        </w:rPr>
        <w:t>facilitate the state</w:t>
      </w:r>
      <w:r w:rsidR="009F1383">
        <w:rPr>
          <w:rFonts w:cs="Times New Roman"/>
          <w:szCs w:val="24"/>
        </w:rPr>
        <w:t>’</w:t>
      </w:r>
      <w:r w:rsidRPr="001D7812">
        <w:rPr>
          <w:rFonts w:cs="Times New Roman"/>
          <w:szCs w:val="24"/>
        </w:rPr>
        <w:t>s effectiveness in the global economy</w:t>
      </w:r>
      <w:r w:rsidR="009F1383">
        <w:rPr>
          <w:rFonts w:cs="Times New Roman"/>
          <w:szCs w:val="24"/>
        </w:rPr>
        <w:t>”</w:t>
      </w:r>
      <w:r w:rsidRPr="001D7812">
        <w:rPr>
          <w:rFonts w:cs="Times New Roman"/>
          <w:szCs w:val="24"/>
        </w:rPr>
        <w:t xml:space="preserve"> because all other industrial and commercial consumers must pay their share of the $437 million subsidy, in violation of R.C. 4928.02(N).</w:t>
      </w:r>
    </w:p>
    <w:p w:rsidR="00F72CF0" w:rsidRPr="001D7812" w:rsidP="00F72CF0" w14:paraId="3F026BAE" w14:textId="77777777">
      <w:pPr>
        <w:ind w:right="1440"/>
        <w:rPr>
          <w:rFonts w:cs="Times New Roman"/>
          <w:szCs w:val="24"/>
        </w:rPr>
      </w:pPr>
    </w:p>
    <w:p w:rsidR="00D72C02" w:rsidRPr="001D7812" w:rsidP="001150E2" w14:paraId="57823C36" w14:textId="0D66A066">
      <w:pPr>
        <w:spacing w:line="480" w:lineRule="auto"/>
        <w:ind w:firstLine="720"/>
        <w:rPr>
          <w:rFonts w:cs="Times New Roman"/>
          <w:szCs w:val="24"/>
        </w:rPr>
      </w:pPr>
      <w:r w:rsidRPr="001D7812">
        <w:rPr>
          <w:rFonts w:eastAsia="Times New Roman" w:cs="Times New Roman"/>
          <w:color w:val="000000" w:themeColor="text1"/>
          <w:szCs w:val="24"/>
          <w:bdr w:val="none" w:sz="0" w:space="0" w:color="auto" w:frame="1"/>
        </w:rPr>
        <w:t>Rider ELR is also unjust and unreasonable because it is discriminatory.</w:t>
      </w:r>
      <w:r w:rsidRPr="001D7812" w:rsidR="00CE2F18">
        <w:rPr>
          <w:rFonts w:eastAsia="Times New Roman" w:cs="Times New Roman"/>
          <w:color w:val="000000" w:themeColor="text1"/>
          <w:szCs w:val="24"/>
          <w:bdr w:val="none" w:sz="0" w:space="0" w:color="auto" w:frame="1"/>
        </w:rPr>
        <w:t xml:space="preserve"> </w:t>
      </w:r>
      <w:r w:rsidRPr="001D7812">
        <w:rPr>
          <w:rFonts w:eastAsia="Times New Roman" w:cs="Times New Roman"/>
          <w:color w:val="000000" w:themeColor="text1"/>
          <w:szCs w:val="24"/>
          <w:bdr w:val="none" w:sz="0" w:space="0" w:color="auto" w:frame="1"/>
        </w:rPr>
        <w:t>The rider is limited to 24</w:t>
      </w:r>
      <w:r w:rsidRPr="001D7812" w:rsidR="00440F09">
        <w:rPr>
          <w:rFonts w:eastAsia="Times New Roman" w:cs="Times New Roman"/>
          <w:color w:val="000000" w:themeColor="text1"/>
          <w:szCs w:val="24"/>
          <w:bdr w:val="none" w:sz="0" w:space="0" w:color="auto" w:frame="1"/>
        </w:rPr>
        <w:t xml:space="preserve"> large</w:t>
      </w:r>
      <w:r w:rsidRPr="001D7812">
        <w:rPr>
          <w:rFonts w:eastAsia="Times New Roman" w:cs="Times New Roman"/>
          <w:color w:val="000000" w:themeColor="text1"/>
          <w:szCs w:val="24"/>
          <w:bdr w:val="none" w:sz="0" w:space="0" w:color="auto" w:frame="1"/>
        </w:rPr>
        <w:t xml:space="preserve"> industrial customers.</w:t>
      </w:r>
      <w:r>
        <w:rPr>
          <w:rStyle w:val="FootnoteReference"/>
          <w:rFonts w:eastAsia="Times New Roman" w:cs="Times New Roman"/>
          <w:color w:val="000000" w:themeColor="text1"/>
          <w:szCs w:val="24"/>
          <w:bdr w:val="none" w:sz="0" w:space="0" w:color="auto" w:frame="1"/>
        </w:rPr>
        <w:footnoteReference w:id="169"/>
      </w:r>
      <w:r w:rsidRPr="001D7812" w:rsidR="00CE2F18">
        <w:rPr>
          <w:rFonts w:eastAsia="Times New Roman" w:cs="Times New Roman"/>
          <w:color w:val="000000" w:themeColor="text1"/>
          <w:szCs w:val="24"/>
          <w:bdr w:val="none" w:sz="0" w:space="0" w:color="auto" w:frame="1"/>
        </w:rPr>
        <w:t xml:space="preserve"> </w:t>
      </w:r>
      <w:r w:rsidRPr="001D7812">
        <w:rPr>
          <w:rFonts w:eastAsia="Times New Roman" w:cs="Times New Roman"/>
          <w:color w:val="000000" w:themeColor="text1"/>
          <w:szCs w:val="24"/>
          <w:bdr w:val="none" w:sz="0" w:space="0" w:color="auto" w:frame="1"/>
        </w:rPr>
        <w:t>These 24</w:t>
      </w:r>
      <w:r w:rsidRPr="001D7812" w:rsidR="00440F09">
        <w:rPr>
          <w:rFonts w:eastAsia="Times New Roman" w:cs="Times New Roman"/>
          <w:color w:val="000000" w:themeColor="text1"/>
          <w:szCs w:val="24"/>
          <w:bdr w:val="none" w:sz="0" w:space="0" w:color="auto" w:frame="1"/>
        </w:rPr>
        <w:t xml:space="preserve"> large</w:t>
      </w:r>
      <w:r w:rsidRPr="001D7812" w:rsidR="001A5A33">
        <w:rPr>
          <w:rFonts w:eastAsia="Times New Roman" w:cs="Times New Roman"/>
          <w:color w:val="000000" w:themeColor="text1"/>
          <w:szCs w:val="24"/>
          <w:bdr w:val="none" w:sz="0" w:space="0" w:color="auto" w:frame="1"/>
        </w:rPr>
        <w:t xml:space="preserve"> industrial</w:t>
      </w:r>
      <w:r w:rsidRPr="001D7812">
        <w:rPr>
          <w:rFonts w:eastAsia="Times New Roman" w:cs="Times New Roman"/>
          <w:color w:val="000000" w:themeColor="text1"/>
          <w:szCs w:val="24"/>
          <w:bdr w:val="none" w:sz="0" w:space="0" w:color="auto" w:frame="1"/>
        </w:rPr>
        <w:t xml:space="preserve"> customers were the first to enroll when ESP IV was implemented.</w:t>
      </w:r>
      <w:r w:rsidRPr="001D7812" w:rsidR="00CE2F18">
        <w:rPr>
          <w:rFonts w:eastAsia="Times New Roman" w:cs="Times New Roman"/>
          <w:color w:val="000000" w:themeColor="text1"/>
          <w:szCs w:val="24"/>
          <w:bdr w:val="none" w:sz="0" w:space="0" w:color="auto" w:frame="1"/>
        </w:rPr>
        <w:t xml:space="preserve"> </w:t>
      </w:r>
      <w:r w:rsidRPr="001D7812">
        <w:rPr>
          <w:rFonts w:eastAsia="Times New Roman" w:cs="Times New Roman"/>
          <w:color w:val="000000" w:themeColor="text1"/>
          <w:szCs w:val="24"/>
          <w:bdr w:val="none" w:sz="0" w:space="0" w:color="auto" w:frame="1"/>
        </w:rPr>
        <w:t xml:space="preserve">This improperly discriminates against other industrial and commercial consumers who </w:t>
      </w:r>
      <w:r w:rsidRPr="001D7812" w:rsidR="00301A62">
        <w:rPr>
          <w:rFonts w:eastAsia="Times New Roman" w:cs="Times New Roman"/>
          <w:color w:val="000000" w:themeColor="text1"/>
          <w:szCs w:val="24"/>
          <w:bdr w:val="none" w:sz="0" w:space="0" w:color="auto" w:frame="1"/>
        </w:rPr>
        <w:t xml:space="preserve">may </w:t>
      </w:r>
      <w:r w:rsidRPr="001D7812">
        <w:rPr>
          <w:rFonts w:eastAsia="Times New Roman" w:cs="Times New Roman"/>
          <w:color w:val="000000" w:themeColor="text1"/>
          <w:szCs w:val="24"/>
          <w:bdr w:val="none" w:sz="0" w:space="0" w:color="auto" w:frame="1"/>
        </w:rPr>
        <w:t xml:space="preserve">want to enroll on the tariff, in violation of </w:t>
      </w:r>
      <w:r w:rsidRPr="001D7812">
        <w:rPr>
          <w:rFonts w:cs="Times New Roman"/>
          <w:szCs w:val="24"/>
        </w:rPr>
        <w:t>R.C. 4909.35</w:t>
      </w:r>
      <w:r w:rsidRPr="001D7812">
        <w:rPr>
          <w:rFonts w:eastAsia="Times New Roman" w:cs="Times New Roman"/>
          <w:color w:val="000000" w:themeColor="text1"/>
          <w:szCs w:val="24"/>
          <w:bdr w:val="none" w:sz="0" w:space="0" w:color="auto" w:frame="1"/>
        </w:rPr>
        <w:t>.</w:t>
      </w:r>
      <w:r>
        <w:rPr>
          <w:rStyle w:val="FootnoteReference"/>
          <w:rFonts w:eastAsia="Times New Roman" w:cs="Times New Roman"/>
          <w:color w:val="000000" w:themeColor="text1"/>
          <w:szCs w:val="24"/>
          <w:bdr w:val="none" w:sz="0" w:space="0" w:color="auto" w:frame="1"/>
        </w:rPr>
        <w:footnoteReference w:id="170"/>
      </w:r>
      <w:r w:rsidRPr="001D7812" w:rsidR="00CE2F18">
        <w:rPr>
          <w:rFonts w:eastAsia="Times New Roman" w:cs="Times New Roman"/>
          <w:color w:val="000000" w:themeColor="text1"/>
          <w:szCs w:val="24"/>
          <w:bdr w:val="none" w:sz="0" w:space="0" w:color="auto" w:frame="1"/>
        </w:rPr>
        <w:t xml:space="preserve"> </w:t>
      </w:r>
      <w:r w:rsidRPr="001D7812">
        <w:rPr>
          <w:rFonts w:eastAsia="Times New Roman" w:cs="Times New Roman"/>
          <w:color w:val="000000" w:themeColor="text1"/>
          <w:szCs w:val="24"/>
          <w:bdr w:val="none" w:sz="0" w:space="0" w:color="auto" w:frame="1"/>
        </w:rPr>
        <w:t xml:space="preserve">Unequal </w:t>
      </w:r>
      <w:r w:rsidRPr="001D7812">
        <w:rPr>
          <w:rFonts w:eastAsia="Times New Roman" w:cs="Times New Roman"/>
          <w:color w:val="000000" w:themeColor="text1"/>
          <w:szCs w:val="24"/>
        </w:rPr>
        <w:t>treatment of similarly situated consumers must be based upon some actual and measurable differences in the furnishing of services to the consumer, which is not the case here.</w:t>
      </w:r>
      <w:r>
        <w:rPr>
          <w:rStyle w:val="FootnoteReference"/>
          <w:rFonts w:eastAsia="Times New Roman" w:cs="Times New Roman"/>
          <w:color w:val="000000" w:themeColor="text1"/>
          <w:szCs w:val="24"/>
        </w:rPr>
        <w:footnoteReference w:id="171"/>
      </w:r>
    </w:p>
    <w:p w:rsidR="00440F09" w:rsidRPr="001D7812" w:rsidP="00D72C02" w14:paraId="47E667DE" w14:textId="2254B50C">
      <w:pPr>
        <w:spacing w:line="480" w:lineRule="auto"/>
        <w:rPr>
          <w:rFonts w:cs="Times New Roman"/>
          <w:szCs w:val="24"/>
        </w:rPr>
      </w:pPr>
      <w:r w:rsidRPr="001D7812">
        <w:rPr>
          <w:rFonts w:cs="Times New Roman"/>
          <w:szCs w:val="24"/>
        </w:rPr>
        <w:tab/>
        <w:t>Rider ELR also</w:t>
      </w:r>
      <w:r w:rsidRPr="001D7812" w:rsidR="00301A62">
        <w:rPr>
          <w:rFonts w:cs="Times New Roman"/>
          <w:szCs w:val="24"/>
        </w:rPr>
        <w:t xml:space="preserve"> </w:t>
      </w:r>
      <w:r w:rsidRPr="001D7812" w:rsidR="00D55EE0">
        <w:rPr>
          <w:rFonts w:cs="Times New Roman"/>
          <w:szCs w:val="24"/>
        </w:rPr>
        <w:t xml:space="preserve">improperly </w:t>
      </w:r>
      <w:r w:rsidRPr="001D7812" w:rsidR="00301A62">
        <w:rPr>
          <w:rFonts w:cs="Times New Roman"/>
          <w:szCs w:val="24"/>
        </w:rPr>
        <w:t>causes</w:t>
      </w:r>
      <w:r w:rsidRPr="001D7812">
        <w:rPr>
          <w:rFonts w:cs="Times New Roman"/>
          <w:szCs w:val="24"/>
        </w:rPr>
        <w:t xml:space="preserve"> FirstEnergy</w:t>
      </w:r>
      <w:r w:rsidR="009F1383">
        <w:rPr>
          <w:rFonts w:cs="Times New Roman"/>
          <w:szCs w:val="24"/>
        </w:rPr>
        <w:t>’</w:t>
      </w:r>
      <w:r w:rsidRPr="001D7812">
        <w:rPr>
          <w:rFonts w:cs="Times New Roman"/>
          <w:szCs w:val="24"/>
        </w:rPr>
        <w:t xml:space="preserve">s consumers </w:t>
      </w:r>
      <w:r w:rsidRPr="001D7812" w:rsidR="00301A62">
        <w:rPr>
          <w:rFonts w:cs="Times New Roman"/>
          <w:szCs w:val="24"/>
        </w:rPr>
        <w:t xml:space="preserve">to be treated </w:t>
      </w:r>
      <w:r w:rsidRPr="001D7812">
        <w:rPr>
          <w:rFonts w:cs="Times New Roman"/>
          <w:szCs w:val="24"/>
        </w:rPr>
        <w:t>differently from consumers of Duke and AES Ohio.</w:t>
      </w:r>
      <w:r w:rsidRPr="001D7812" w:rsidR="00CE2F18">
        <w:rPr>
          <w:rFonts w:cs="Times New Roman"/>
          <w:szCs w:val="24"/>
        </w:rPr>
        <w:t xml:space="preserve"> </w:t>
      </w:r>
      <w:r w:rsidRPr="001D7812" w:rsidR="00301A62">
        <w:rPr>
          <w:rFonts w:cs="Times New Roman"/>
          <w:szCs w:val="24"/>
        </w:rPr>
        <w:t>As noted earlier, Duke and AES Ohio do not have any interruptible tariff.</w:t>
      </w:r>
      <w:r>
        <w:rPr>
          <w:rStyle w:val="FootnoteReference"/>
          <w:rFonts w:cs="Times New Roman"/>
          <w:szCs w:val="24"/>
        </w:rPr>
        <w:footnoteReference w:id="172"/>
      </w:r>
      <w:r w:rsidRPr="001D7812" w:rsidR="00CE2F18">
        <w:rPr>
          <w:rFonts w:cs="Times New Roman"/>
          <w:szCs w:val="24"/>
        </w:rPr>
        <w:t xml:space="preserve"> </w:t>
      </w:r>
      <w:r w:rsidRPr="001D7812" w:rsidR="001A5A33">
        <w:rPr>
          <w:rFonts w:cs="Times New Roman"/>
          <w:szCs w:val="24"/>
        </w:rPr>
        <w:t>All three utilities are members of PJM.</w:t>
      </w:r>
      <w:r w:rsidRPr="001D7812" w:rsidR="00CE2F18">
        <w:rPr>
          <w:rFonts w:cs="Times New Roman"/>
          <w:szCs w:val="24"/>
        </w:rPr>
        <w:t xml:space="preserve"> </w:t>
      </w:r>
      <w:r w:rsidRPr="001D7812" w:rsidR="001A5A33">
        <w:rPr>
          <w:rFonts w:cs="Times New Roman"/>
          <w:szCs w:val="24"/>
        </w:rPr>
        <w:t>PJM is the reliability coordinator for its member utilities, meaning that PJM is the entity responsible for balancing supply and load and managing emergency electric events.</w:t>
      </w:r>
      <w:r>
        <w:rPr>
          <w:rStyle w:val="FootnoteReference"/>
          <w:rFonts w:cs="Times New Roman"/>
          <w:szCs w:val="24"/>
        </w:rPr>
        <w:footnoteReference w:id="173"/>
      </w:r>
      <w:r w:rsidRPr="001D7812" w:rsidR="00BF6632">
        <w:rPr>
          <w:rFonts w:cs="Times New Roman"/>
          <w:szCs w:val="24"/>
        </w:rPr>
        <w:t xml:space="preserve"> </w:t>
      </w:r>
    </w:p>
    <w:p w:rsidR="00D72C02" w:rsidRPr="001D7812" w:rsidP="00440F09" w14:paraId="518FC33A" w14:textId="24C0A61E">
      <w:pPr>
        <w:spacing w:line="480" w:lineRule="auto"/>
        <w:ind w:firstLine="720"/>
        <w:rPr>
          <w:rFonts w:cs="Times New Roman"/>
          <w:szCs w:val="24"/>
        </w:rPr>
      </w:pPr>
      <w:r w:rsidRPr="001D7812">
        <w:rPr>
          <w:rFonts w:cs="Times New Roman"/>
          <w:szCs w:val="24"/>
        </w:rPr>
        <w:t>The following testimony by Mr. Healey shows that all three utilities are similarly situated as to their ability to provide reliable service</w:t>
      </w:r>
      <w:r w:rsidRPr="001D7812" w:rsidR="00301A62">
        <w:rPr>
          <w:rFonts w:cs="Times New Roman"/>
          <w:szCs w:val="24"/>
        </w:rPr>
        <w:t xml:space="preserve"> (</w:t>
      </w:r>
      <w:r w:rsidRPr="001D7812">
        <w:rPr>
          <w:rFonts w:cs="Times New Roman"/>
          <w:szCs w:val="24"/>
        </w:rPr>
        <w:t>assuming that the PUCO approves</w:t>
      </w:r>
      <w:r w:rsidRPr="001D7812" w:rsidR="00301A62">
        <w:rPr>
          <w:rFonts w:cs="Times New Roman"/>
          <w:szCs w:val="24"/>
        </w:rPr>
        <w:t xml:space="preserve"> FirstEnergy</w:t>
      </w:r>
      <w:r w:rsidR="009F1383">
        <w:rPr>
          <w:rFonts w:cs="Times New Roman"/>
          <w:szCs w:val="24"/>
        </w:rPr>
        <w:t>’</w:t>
      </w:r>
      <w:r w:rsidRPr="001D7812" w:rsidR="00301A62">
        <w:rPr>
          <w:rFonts w:cs="Times New Roman"/>
          <w:szCs w:val="24"/>
        </w:rPr>
        <w:t>s request to implement</w:t>
      </w:r>
      <w:r w:rsidRPr="001D7812">
        <w:rPr>
          <w:rFonts w:cs="Times New Roman"/>
          <w:szCs w:val="24"/>
        </w:rPr>
        <w:t xml:space="preserve"> Rider SCR (storm restoration costs) and Rider VMC (vegetation management costs) as requested by FirstEnergy</w:t>
      </w:r>
      <w:r w:rsidRPr="001D7812" w:rsidR="00301A62">
        <w:rPr>
          <w:rFonts w:cs="Times New Roman"/>
          <w:szCs w:val="24"/>
        </w:rPr>
        <w:t>)</w:t>
      </w:r>
      <w:r w:rsidRPr="001D7812">
        <w:rPr>
          <w:rFonts w:cs="Times New Roman"/>
          <w:szCs w:val="24"/>
        </w:rPr>
        <w:t>:</w:t>
      </w:r>
    </w:p>
    <w:p w:rsidR="00BF6632" w:rsidRPr="001D7812" w:rsidP="00844DFD" w14:paraId="4E0A1EC9" w14:textId="59C08FFF">
      <w:pPr>
        <w:ind w:left="2160" w:right="1440" w:hanging="720"/>
        <w:rPr>
          <w:rFonts w:cs="Times New Roman"/>
          <w:szCs w:val="24"/>
        </w:rPr>
      </w:pPr>
      <w:r w:rsidRPr="001D7812">
        <w:rPr>
          <w:rFonts w:cs="Times New Roman"/>
          <w:szCs w:val="24"/>
        </w:rPr>
        <w:t>Q.</w:t>
      </w:r>
      <w:r w:rsidRPr="001D7812" w:rsidR="00844DFD">
        <w:rPr>
          <w:rFonts w:cs="Times New Roman"/>
          <w:szCs w:val="24"/>
        </w:rPr>
        <w:tab/>
      </w:r>
      <w:r w:rsidRPr="001D7812">
        <w:rPr>
          <w:rFonts w:cs="Times New Roman"/>
          <w:szCs w:val="24"/>
        </w:rPr>
        <w:t>Do you have an opinion as to whether an interruptible tariff is necessary for an electric utility to offer safe, adequate, and reliable service for its utility consumers?</w:t>
      </w:r>
    </w:p>
    <w:p w:rsidR="00BF6632" w:rsidRPr="001D7812" w:rsidP="00844DFD" w14:paraId="7CF61577" w14:textId="77777777">
      <w:pPr>
        <w:ind w:left="2160" w:right="1440" w:hanging="720"/>
        <w:rPr>
          <w:rFonts w:cs="Times New Roman"/>
          <w:szCs w:val="24"/>
        </w:rPr>
      </w:pPr>
    </w:p>
    <w:p w:rsidR="00BF6632" w:rsidRPr="001D7812" w:rsidP="00844DFD" w14:paraId="5F503411" w14:textId="653F2070">
      <w:pPr>
        <w:ind w:left="2160" w:right="1440" w:hanging="720"/>
        <w:rPr>
          <w:rFonts w:cs="Times New Roman"/>
          <w:szCs w:val="24"/>
        </w:rPr>
      </w:pPr>
      <w:r w:rsidRPr="001D7812">
        <w:rPr>
          <w:rFonts w:cs="Times New Roman"/>
          <w:szCs w:val="24"/>
        </w:rPr>
        <w:t>A.</w:t>
      </w:r>
      <w:r w:rsidRPr="001D7812" w:rsidR="00844DFD">
        <w:rPr>
          <w:rFonts w:cs="Times New Roman"/>
          <w:szCs w:val="24"/>
        </w:rPr>
        <w:tab/>
      </w:r>
      <w:r w:rsidRPr="001D7812">
        <w:rPr>
          <w:rFonts w:cs="Times New Roman"/>
          <w:szCs w:val="24"/>
        </w:rPr>
        <w:t>I think that would depend on the utility.</w:t>
      </w:r>
    </w:p>
    <w:p w:rsidR="00BF6632" w:rsidRPr="001D7812" w:rsidP="00844DFD" w14:paraId="144E08CA" w14:textId="77777777">
      <w:pPr>
        <w:ind w:left="2160" w:right="1440" w:hanging="720"/>
        <w:rPr>
          <w:rFonts w:cs="Times New Roman"/>
          <w:szCs w:val="24"/>
        </w:rPr>
      </w:pPr>
    </w:p>
    <w:p w:rsidR="00BF6632" w:rsidRPr="001D7812" w:rsidP="00844DFD" w14:paraId="02FFA730" w14:textId="557FB6F0">
      <w:pPr>
        <w:ind w:left="2160" w:right="1440" w:hanging="720"/>
        <w:rPr>
          <w:rFonts w:cs="Times New Roman"/>
          <w:szCs w:val="24"/>
        </w:rPr>
      </w:pPr>
      <w:r w:rsidRPr="001D7812">
        <w:rPr>
          <w:rFonts w:cs="Times New Roman"/>
          <w:szCs w:val="24"/>
        </w:rPr>
        <w:t>Q.</w:t>
      </w:r>
      <w:r w:rsidRPr="001D7812" w:rsidR="00844DFD">
        <w:rPr>
          <w:rFonts w:cs="Times New Roman"/>
          <w:szCs w:val="24"/>
        </w:rPr>
        <w:tab/>
      </w:r>
      <w:r w:rsidRPr="001D7812">
        <w:rPr>
          <w:rFonts w:cs="Times New Roman"/>
          <w:szCs w:val="24"/>
        </w:rPr>
        <w:t>In what way would it depend on the utility?</w:t>
      </w:r>
    </w:p>
    <w:p w:rsidR="00BF6632" w:rsidRPr="001D7812" w:rsidP="00844DFD" w14:paraId="17E7CE71" w14:textId="77777777">
      <w:pPr>
        <w:ind w:left="2160" w:right="1440" w:hanging="720"/>
        <w:rPr>
          <w:rFonts w:cs="Times New Roman"/>
          <w:szCs w:val="24"/>
        </w:rPr>
      </w:pPr>
    </w:p>
    <w:p w:rsidR="00F11E12" w:rsidRPr="001D7812" w:rsidP="00844DFD" w14:paraId="7B851153" w14:textId="0CCB04DA">
      <w:pPr>
        <w:ind w:left="2160" w:right="1440" w:hanging="720"/>
        <w:rPr>
          <w:rFonts w:cs="Times New Roman"/>
          <w:szCs w:val="24"/>
        </w:rPr>
      </w:pPr>
      <w:r w:rsidRPr="001D7812">
        <w:rPr>
          <w:rFonts w:cs="Times New Roman"/>
          <w:szCs w:val="24"/>
        </w:rPr>
        <w:t>A.</w:t>
      </w:r>
      <w:r w:rsidRPr="001D7812" w:rsidR="00844DFD">
        <w:rPr>
          <w:rFonts w:cs="Times New Roman"/>
          <w:szCs w:val="24"/>
        </w:rPr>
        <w:tab/>
      </w:r>
      <w:r w:rsidRPr="001D7812">
        <w:rPr>
          <w:rFonts w:cs="Times New Roman"/>
          <w:szCs w:val="24"/>
        </w:rPr>
        <w:t>Would depend on what other resources they have to maintain safe and adequate and reliable service.</w:t>
      </w:r>
      <w:r w:rsidRPr="001D7812" w:rsidR="00CE2F18">
        <w:rPr>
          <w:rFonts w:cs="Times New Roman"/>
          <w:szCs w:val="24"/>
        </w:rPr>
        <w:t xml:space="preserve"> </w:t>
      </w:r>
      <w:r w:rsidRPr="001D7812">
        <w:rPr>
          <w:rFonts w:cs="Times New Roman"/>
          <w:szCs w:val="24"/>
        </w:rPr>
        <w:t xml:space="preserve">There may be some utilities where having </w:t>
      </w:r>
      <w:r w:rsidRPr="001D7812">
        <w:rPr>
          <w:rFonts w:cs="Times New Roman"/>
          <w:szCs w:val="24"/>
        </w:rPr>
        <w:t xml:space="preserve">an </w:t>
      </w:r>
      <w:r w:rsidRPr="001D7812">
        <w:rPr>
          <w:rFonts w:cs="Times New Roman"/>
          <w:szCs w:val="24"/>
        </w:rPr>
        <w:t>interruptible tariff is the best way to maintain that system amongst all the various other things that they do to maintain reliability, whereas, there may be others where they can do it without it.</w:t>
      </w:r>
      <w:r w:rsidRPr="001D7812" w:rsidR="00CE2F18">
        <w:rPr>
          <w:rFonts w:cs="Times New Roman"/>
          <w:szCs w:val="24"/>
        </w:rPr>
        <w:t xml:space="preserve"> </w:t>
      </w:r>
      <w:r w:rsidRPr="001D7812">
        <w:rPr>
          <w:rFonts w:cs="Times New Roman"/>
          <w:szCs w:val="24"/>
        </w:rPr>
        <w:t>So without looking at each individual utility, I can</w:t>
      </w:r>
      <w:r w:rsidR="009F1383">
        <w:rPr>
          <w:rFonts w:cs="Times New Roman"/>
          <w:szCs w:val="24"/>
        </w:rPr>
        <w:t>’</w:t>
      </w:r>
      <w:r w:rsidRPr="001D7812">
        <w:rPr>
          <w:rFonts w:cs="Times New Roman"/>
          <w:szCs w:val="24"/>
        </w:rPr>
        <w:t>t say across the -- I can</w:t>
      </w:r>
      <w:r w:rsidR="009F1383">
        <w:rPr>
          <w:rFonts w:cs="Times New Roman"/>
          <w:szCs w:val="24"/>
        </w:rPr>
        <w:t>’</w:t>
      </w:r>
      <w:r w:rsidRPr="001D7812">
        <w:rPr>
          <w:rFonts w:cs="Times New Roman"/>
          <w:szCs w:val="24"/>
        </w:rPr>
        <w:t>t say that across the board is never necessary for purposes of reliability.</w:t>
      </w:r>
      <w:r w:rsidRPr="001D7812" w:rsidR="00CE2F18">
        <w:rPr>
          <w:rFonts w:cs="Times New Roman"/>
          <w:szCs w:val="24"/>
        </w:rPr>
        <w:t xml:space="preserve"> </w:t>
      </w:r>
    </w:p>
    <w:p w:rsidR="00F11E12" w:rsidRPr="001D7812" w:rsidP="00844DFD" w14:paraId="20A96D1F" w14:textId="77777777">
      <w:pPr>
        <w:ind w:left="2160" w:right="1440" w:hanging="720"/>
        <w:rPr>
          <w:rFonts w:cs="Times New Roman"/>
          <w:szCs w:val="24"/>
        </w:rPr>
      </w:pPr>
    </w:p>
    <w:p w:rsidR="00BF6632" w:rsidRPr="001D7812" w:rsidP="00844DFD" w14:paraId="66BED61F" w14:textId="47CE92A5">
      <w:pPr>
        <w:ind w:left="2160" w:right="1440" w:hanging="720"/>
        <w:rPr>
          <w:rFonts w:cs="Times New Roman"/>
          <w:szCs w:val="24"/>
        </w:rPr>
      </w:pPr>
      <w:r w:rsidRPr="001D7812">
        <w:rPr>
          <w:rFonts w:cs="Times New Roman"/>
          <w:szCs w:val="24"/>
        </w:rPr>
        <w:t>Q.</w:t>
      </w:r>
      <w:r w:rsidRPr="001D7812" w:rsidR="00844DFD">
        <w:rPr>
          <w:rFonts w:cs="Times New Roman"/>
          <w:szCs w:val="24"/>
        </w:rPr>
        <w:tab/>
      </w:r>
      <w:r w:rsidRPr="001D7812">
        <w:rPr>
          <w:rFonts w:cs="Times New Roman"/>
          <w:szCs w:val="24"/>
        </w:rPr>
        <w:t>Are you aware of whether either Duke or AES has resources available to them for providing reliable service to consumers which FirstEnergy would not have available to it?</w:t>
      </w:r>
    </w:p>
    <w:p w:rsidR="00BF6632" w:rsidRPr="001D7812" w:rsidP="00844DFD" w14:paraId="0F017179" w14:textId="77777777">
      <w:pPr>
        <w:ind w:left="2160" w:right="1440" w:hanging="720"/>
        <w:rPr>
          <w:rFonts w:cs="Times New Roman"/>
          <w:szCs w:val="24"/>
        </w:rPr>
      </w:pPr>
    </w:p>
    <w:p w:rsidR="00F11E12" w:rsidRPr="001D7812" w:rsidP="00844DFD" w14:paraId="2499E59C" w14:textId="5E7AFDDC">
      <w:pPr>
        <w:ind w:left="2160" w:right="1440" w:hanging="720"/>
        <w:rPr>
          <w:rFonts w:cs="Times New Roman"/>
          <w:szCs w:val="24"/>
        </w:rPr>
      </w:pPr>
      <w:r w:rsidRPr="001D7812">
        <w:rPr>
          <w:rFonts w:cs="Times New Roman"/>
          <w:szCs w:val="24"/>
        </w:rPr>
        <w:t>A.</w:t>
      </w:r>
      <w:r w:rsidRPr="001D7812" w:rsidR="00844DFD">
        <w:rPr>
          <w:rFonts w:cs="Times New Roman"/>
          <w:szCs w:val="24"/>
        </w:rPr>
        <w:tab/>
      </w:r>
      <w:r w:rsidRPr="001D7812">
        <w:rPr>
          <w:rFonts w:cs="Times New Roman"/>
          <w:szCs w:val="24"/>
        </w:rPr>
        <w:t>Yes.</w:t>
      </w:r>
      <w:r w:rsidRPr="001D7812" w:rsidR="00CE2F18">
        <w:rPr>
          <w:rFonts w:cs="Times New Roman"/>
          <w:szCs w:val="24"/>
        </w:rPr>
        <w:t xml:space="preserve"> </w:t>
      </w:r>
      <w:r w:rsidRPr="001D7812">
        <w:rPr>
          <w:rFonts w:cs="Times New Roman"/>
          <w:szCs w:val="24"/>
        </w:rPr>
        <w:t xml:space="preserve">I believe that currently both AES and Duke have riders in place like vegetation management and storm costs that FirstEnergy does not, and other Staff witnesses have testified those </w:t>
      </w:r>
      <w:r w:rsidRPr="001D7812">
        <w:rPr>
          <w:rFonts w:cs="Times New Roman"/>
          <w:szCs w:val="24"/>
        </w:rPr>
        <w:t>-</w:t>
      </w:r>
      <w:r w:rsidRPr="001D7812">
        <w:rPr>
          <w:rFonts w:cs="Times New Roman"/>
          <w:szCs w:val="24"/>
        </w:rPr>
        <w:t xml:space="preserve"> vegetation management at the very least does contribute to reliability so that would be something that those utilities currently have that FirstEnergy does not. </w:t>
      </w:r>
    </w:p>
    <w:p w:rsidR="00F11E12" w:rsidRPr="001D7812" w:rsidP="00844DFD" w14:paraId="5EC63325" w14:textId="77777777">
      <w:pPr>
        <w:ind w:left="2160" w:right="1440" w:hanging="720"/>
        <w:rPr>
          <w:rFonts w:cs="Times New Roman"/>
          <w:szCs w:val="24"/>
        </w:rPr>
      </w:pPr>
    </w:p>
    <w:p w:rsidR="00F11E12" w:rsidRPr="001D7812" w:rsidP="00844DFD" w14:paraId="198FA01E" w14:textId="0714922B">
      <w:pPr>
        <w:ind w:left="2160" w:right="1440" w:hanging="720"/>
        <w:rPr>
          <w:rFonts w:cs="Times New Roman"/>
          <w:szCs w:val="24"/>
        </w:rPr>
      </w:pPr>
      <w:r w:rsidRPr="001D7812">
        <w:rPr>
          <w:rFonts w:cs="Times New Roman"/>
          <w:szCs w:val="24"/>
        </w:rPr>
        <w:t>Q.</w:t>
      </w:r>
      <w:r w:rsidRPr="001D7812" w:rsidR="00844DFD">
        <w:rPr>
          <w:rFonts w:cs="Times New Roman"/>
          <w:szCs w:val="24"/>
        </w:rPr>
        <w:tab/>
      </w:r>
      <w:r w:rsidRPr="001D7812">
        <w:rPr>
          <w:rFonts w:cs="Times New Roman"/>
          <w:szCs w:val="24"/>
        </w:rPr>
        <w:t>Okay.</w:t>
      </w:r>
      <w:r w:rsidRPr="001D7812" w:rsidR="00CE2F18">
        <w:rPr>
          <w:rFonts w:cs="Times New Roman"/>
          <w:szCs w:val="24"/>
        </w:rPr>
        <w:t xml:space="preserve"> </w:t>
      </w:r>
      <w:r w:rsidRPr="001D7812">
        <w:rPr>
          <w:rFonts w:cs="Times New Roman"/>
          <w:szCs w:val="24"/>
        </w:rPr>
        <w:t>But FirstEnergy does propose those in this case, correct?</w:t>
      </w:r>
      <w:r w:rsidRPr="001D7812" w:rsidR="00CE2F18">
        <w:rPr>
          <w:rFonts w:cs="Times New Roman"/>
          <w:szCs w:val="24"/>
        </w:rPr>
        <w:t xml:space="preserve"> </w:t>
      </w:r>
    </w:p>
    <w:p w:rsidR="00F11E12" w:rsidRPr="001D7812" w:rsidP="00844DFD" w14:paraId="7C7F3271" w14:textId="77777777">
      <w:pPr>
        <w:ind w:left="2160" w:right="1440" w:hanging="720"/>
        <w:rPr>
          <w:rFonts w:cs="Times New Roman"/>
          <w:szCs w:val="24"/>
        </w:rPr>
      </w:pPr>
    </w:p>
    <w:p w:rsidR="00F11E12" w:rsidRPr="001D7812" w:rsidP="00844DFD" w14:paraId="4850AAC2" w14:textId="77B849A1">
      <w:pPr>
        <w:ind w:left="2160" w:right="1440" w:hanging="720"/>
        <w:rPr>
          <w:rFonts w:cs="Times New Roman"/>
          <w:szCs w:val="24"/>
        </w:rPr>
      </w:pPr>
      <w:r w:rsidRPr="001D7812">
        <w:rPr>
          <w:rFonts w:cs="Times New Roman"/>
          <w:szCs w:val="24"/>
        </w:rPr>
        <w:t>A.</w:t>
      </w:r>
      <w:r w:rsidRPr="001D7812" w:rsidR="00844DFD">
        <w:rPr>
          <w:rFonts w:cs="Times New Roman"/>
          <w:szCs w:val="24"/>
        </w:rPr>
        <w:tab/>
      </w:r>
      <w:r w:rsidRPr="001D7812">
        <w:rPr>
          <w:rFonts w:cs="Times New Roman"/>
          <w:szCs w:val="24"/>
        </w:rPr>
        <w:t>Correct.</w:t>
      </w:r>
      <w:r w:rsidRPr="001D7812" w:rsidR="00CE2F18">
        <w:rPr>
          <w:rFonts w:cs="Times New Roman"/>
          <w:szCs w:val="24"/>
        </w:rPr>
        <w:t xml:space="preserve"> </w:t>
      </w:r>
    </w:p>
    <w:p w:rsidR="00F11E12" w:rsidRPr="001D7812" w:rsidP="00844DFD" w14:paraId="5C5B94CC" w14:textId="77777777">
      <w:pPr>
        <w:ind w:left="2160" w:right="1440" w:hanging="720"/>
        <w:rPr>
          <w:rFonts w:cs="Times New Roman"/>
          <w:szCs w:val="24"/>
        </w:rPr>
      </w:pPr>
    </w:p>
    <w:p w:rsidR="00F11E12" w:rsidRPr="001D7812" w:rsidP="00844DFD" w14:paraId="32D03803" w14:textId="7AE3F81E">
      <w:pPr>
        <w:ind w:left="2160" w:right="1440" w:hanging="720"/>
        <w:rPr>
          <w:rFonts w:cs="Times New Roman"/>
          <w:szCs w:val="24"/>
        </w:rPr>
      </w:pPr>
      <w:r w:rsidRPr="001D7812">
        <w:rPr>
          <w:rFonts w:cs="Times New Roman"/>
          <w:szCs w:val="24"/>
        </w:rPr>
        <w:t>Q.</w:t>
      </w:r>
      <w:r w:rsidRPr="001D7812" w:rsidR="00844DFD">
        <w:rPr>
          <w:rFonts w:cs="Times New Roman"/>
          <w:szCs w:val="24"/>
        </w:rPr>
        <w:tab/>
      </w:r>
      <w:r w:rsidRPr="001D7812">
        <w:rPr>
          <w:rFonts w:cs="Times New Roman"/>
          <w:szCs w:val="24"/>
        </w:rPr>
        <w:t xml:space="preserve">And Staff supports those recommendations? </w:t>
      </w:r>
    </w:p>
    <w:p w:rsidR="00F11E12" w:rsidRPr="001D7812" w:rsidP="00844DFD" w14:paraId="4C60CFD1" w14:textId="77777777">
      <w:pPr>
        <w:ind w:left="2160" w:right="1440" w:hanging="720"/>
        <w:rPr>
          <w:rFonts w:cs="Times New Roman"/>
          <w:szCs w:val="24"/>
        </w:rPr>
      </w:pPr>
    </w:p>
    <w:p w:rsidR="00BF6632" w:rsidRPr="001D7812" w:rsidP="00844DFD" w14:paraId="446D10DB" w14:textId="5DEE0016">
      <w:pPr>
        <w:ind w:left="2160" w:right="1440" w:hanging="720"/>
        <w:rPr>
          <w:rFonts w:cs="Times New Roman"/>
          <w:szCs w:val="24"/>
        </w:rPr>
      </w:pPr>
      <w:r w:rsidRPr="001D7812">
        <w:rPr>
          <w:rFonts w:cs="Times New Roman"/>
          <w:szCs w:val="24"/>
        </w:rPr>
        <w:t>A.</w:t>
      </w:r>
      <w:r w:rsidRPr="001D7812" w:rsidR="00844DFD">
        <w:rPr>
          <w:rFonts w:cs="Times New Roman"/>
          <w:szCs w:val="24"/>
        </w:rPr>
        <w:tab/>
      </w:r>
      <w:r w:rsidRPr="001D7812">
        <w:rPr>
          <w:rFonts w:cs="Times New Roman"/>
          <w:szCs w:val="24"/>
        </w:rPr>
        <w:t>It supports approval of those riders with modification as proposed by other Staff witnesses, yes.</w:t>
      </w:r>
      <w:r>
        <w:rPr>
          <w:rStyle w:val="FootnoteReference"/>
          <w:rFonts w:cs="Times New Roman"/>
          <w:szCs w:val="24"/>
        </w:rPr>
        <w:footnoteReference w:id="174"/>
      </w:r>
    </w:p>
    <w:p w:rsidR="00440F09" w:rsidRPr="001D7812" w:rsidP="00440F09" w14:paraId="7DEC5BAB" w14:textId="77777777">
      <w:pPr>
        <w:ind w:left="1440" w:right="1440"/>
        <w:rPr>
          <w:rFonts w:cs="Times New Roman"/>
          <w:szCs w:val="24"/>
        </w:rPr>
      </w:pPr>
    </w:p>
    <w:p w:rsidR="00752F38" w:rsidRPr="001D7812" w:rsidP="00D72C02" w14:paraId="48704539" w14:textId="64F27DE1">
      <w:pPr>
        <w:spacing w:line="480" w:lineRule="auto"/>
        <w:rPr>
          <w:rFonts w:cs="Times New Roman"/>
          <w:szCs w:val="24"/>
        </w:rPr>
      </w:pPr>
      <w:r w:rsidRPr="001D7812">
        <w:rPr>
          <w:rFonts w:cs="Times New Roman"/>
          <w:szCs w:val="24"/>
        </w:rPr>
        <w:tab/>
        <w:t>If the PUCO approves Rider SCR and Rider VMC in this case, then FirstEnergy w</w:t>
      </w:r>
      <w:r w:rsidRPr="001D7812" w:rsidR="00440F09">
        <w:rPr>
          <w:rFonts w:cs="Times New Roman"/>
          <w:szCs w:val="24"/>
        </w:rPr>
        <w:t>ould</w:t>
      </w:r>
      <w:r w:rsidRPr="001D7812">
        <w:rPr>
          <w:rFonts w:cs="Times New Roman"/>
          <w:szCs w:val="24"/>
        </w:rPr>
        <w:t xml:space="preserve"> be similarly situated to Duke and AES Ohio in terms of having the same available resources for providing reliable service.</w:t>
      </w:r>
      <w:r w:rsidRPr="001D7812" w:rsidR="00CE2F18">
        <w:rPr>
          <w:rFonts w:cs="Times New Roman"/>
          <w:szCs w:val="24"/>
        </w:rPr>
        <w:t xml:space="preserve"> </w:t>
      </w:r>
      <w:r w:rsidRPr="001D7812">
        <w:rPr>
          <w:rFonts w:cs="Times New Roman"/>
          <w:szCs w:val="24"/>
        </w:rPr>
        <w:t xml:space="preserve">If the PUCO approves </w:t>
      </w:r>
      <w:r w:rsidRPr="001D7812" w:rsidR="00D55EE0">
        <w:rPr>
          <w:rFonts w:cs="Times New Roman"/>
          <w:szCs w:val="24"/>
        </w:rPr>
        <w:t>FirstEnergy</w:t>
      </w:r>
      <w:r w:rsidR="009F1383">
        <w:rPr>
          <w:rFonts w:cs="Times New Roman"/>
          <w:szCs w:val="24"/>
        </w:rPr>
        <w:t>’</w:t>
      </w:r>
      <w:r w:rsidRPr="001D7812" w:rsidR="00D55EE0">
        <w:rPr>
          <w:rFonts w:cs="Times New Roman"/>
          <w:szCs w:val="24"/>
        </w:rPr>
        <w:t xml:space="preserve">s proposed </w:t>
      </w:r>
      <w:r w:rsidRPr="001D7812">
        <w:rPr>
          <w:rFonts w:cs="Times New Roman"/>
          <w:szCs w:val="24"/>
        </w:rPr>
        <w:t>Rider SCR and Rider VMC, then the PUCO should reject FirstEnergy</w:t>
      </w:r>
      <w:r w:rsidR="009F1383">
        <w:rPr>
          <w:rFonts w:cs="Times New Roman"/>
          <w:szCs w:val="24"/>
        </w:rPr>
        <w:t>’</w:t>
      </w:r>
      <w:r w:rsidRPr="001D7812">
        <w:rPr>
          <w:rFonts w:cs="Times New Roman"/>
          <w:szCs w:val="24"/>
        </w:rPr>
        <w:t>s Rider ELR proposal.</w:t>
      </w:r>
      <w:r w:rsidRPr="001D7812" w:rsidR="00CE2F18">
        <w:rPr>
          <w:rFonts w:cs="Times New Roman"/>
          <w:szCs w:val="24"/>
        </w:rPr>
        <w:t xml:space="preserve"> </w:t>
      </w:r>
      <w:r w:rsidRPr="001D7812">
        <w:rPr>
          <w:rFonts w:cs="Times New Roman"/>
          <w:szCs w:val="24"/>
        </w:rPr>
        <w:t xml:space="preserve">It would be unjust and unreasonable for FirstEnergy to </w:t>
      </w:r>
      <w:r w:rsidRPr="001D7812" w:rsidR="00440F09">
        <w:rPr>
          <w:rFonts w:cs="Times New Roman"/>
          <w:szCs w:val="24"/>
        </w:rPr>
        <w:t xml:space="preserve">continue </w:t>
      </w:r>
      <w:r w:rsidRPr="001D7812">
        <w:rPr>
          <w:rFonts w:cs="Times New Roman"/>
          <w:szCs w:val="24"/>
        </w:rPr>
        <w:t>collect</w:t>
      </w:r>
      <w:r w:rsidRPr="001D7812" w:rsidR="00440F09">
        <w:rPr>
          <w:rFonts w:cs="Times New Roman"/>
          <w:szCs w:val="24"/>
        </w:rPr>
        <w:t>ing</w:t>
      </w:r>
      <w:r w:rsidRPr="001D7812">
        <w:rPr>
          <w:rFonts w:cs="Times New Roman"/>
          <w:szCs w:val="24"/>
        </w:rPr>
        <w:t xml:space="preserve"> Rider ELR costs for a massive subsidy </w:t>
      </w:r>
      <w:r w:rsidRPr="001D7812" w:rsidR="00606BE9">
        <w:rPr>
          <w:rFonts w:cs="Times New Roman"/>
          <w:szCs w:val="24"/>
        </w:rPr>
        <w:t xml:space="preserve">from FirstEnergy consumers </w:t>
      </w:r>
      <w:r w:rsidRPr="001D7812">
        <w:rPr>
          <w:rFonts w:cs="Times New Roman"/>
          <w:szCs w:val="24"/>
        </w:rPr>
        <w:t xml:space="preserve">to a small group of industrial consumers, for an interruptible tariff which is never utilized, while Duke and AES Ohio consumers are not required to pay </w:t>
      </w:r>
      <w:r w:rsidRPr="001D7812" w:rsidR="00440F09">
        <w:rPr>
          <w:rFonts w:cs="Times New Roman"/>
          <w:szCs w:val="24"/>
        </w:rPr>
        <w:t>such subsidies</w:t>
      </w:r>
      <w:r w:rsidRPr="001D7812">
        <w:rPr>
          <w:rFonts w:cs="Times New Roman"/>
          <w:szCs w:val="24"/>
        </w:rPr>
        <w:t>.</w:t>
      </w:r>
    </w:p>
    <w:p w:rsidR="00754ACD" w:rsidRPr="001D7812" w:rsidP="00754ACD" w14:paraId="2C349483" w14:textId="320920C2">
      <w:pPr>
        <w:pStyle w:val="BodyTextIndent3"/>
        <w:widowControl w:val="0"/>
        <w:spacing w:line="480" w:lineRule="auto"/>
        <w:rPr>
          <w:szCs w:val="24"/>
        </w:rPr>
      </w:pPr>
      <w:r w:rsidRPr="001D7812">
        <w:rPr>
          <w:szCs w:val="24"/>
        </w:rPr>
        <w:t xml:space="preserve">The PUCO should also reject Rider ELR because it </w:t>
      </w:r>
      <w:r w:rsidRPr="001D7812" w:rsidR="00606BE9">
        <w:rPr>
          <w:szCs w:val="24"/>
        </w:rPr>
        <w:t xml:space="preserve">appears to be an integral part of </w:t>
      </w:r>
      <w:r w:rsidRPr="001D7812">
        <w:rPr>
          <w:szCs w:val="24"/>
        </w:rPr>
        <w:t>FirstEnergy</w:t>
      </w:r>
      <w:r w:rsidR="009F1383">
        <w:rPr>
          <w:szCs w:val="24"/>
        </w:rPr>
        <w:t>’</w:t>
      </w:r>
      <w:r w:rsidRPr="001D7812">
        <w:rPr>
          <w:szCs w:val="24"/>
        </w:rPr>
        <w:t>s corrupt H.B. 6 bribery scheme.</w:t>
      </w:r>
      <w:r w:rsidRPr="001D7812" w:rsidR="00CE2F18">
        <w:rPr>
          <w:szCs w:val="24"/>
        </w:rPr>
        <w:t xml:space="preserve"> </w:t>
      </w:r>
      <w:r w:rsidRPr="001D7812">
        <w:rPr>
          <w:szCs w:val="24"/>
        </w:rPr>
        <w:t xml:space="preserve">FirstEnergy admitted in the Deferred Prosecution Agreement that </w:t>
      </w:r>
      <w:r w:rsidR="009F1383">
        <w:rPr>
          <w:szCs w:val="24"/>
        </w:rPr>
        <w:t>“</w:t>
      </w:r>
      <w:r w:rsidRPr="001D7812">
        <w:rPr>
          <w:szCs w:val="24"/>
        </w:rPr>
        <w:t>[a] 2013 consulting agreement was subsequently amended in 2015. The 2015 amendment coincided with and was made in exchange for [Mr. Randazzo</w:t>
      </w:r>
      <w:r w:rsidR="009F1383">
        <w:rPr>
          <w:szCs w:val="24"/>
        </w:rPr>
        <w:t>’</w:t>
      </w:r>
      <w:r w:rsidRPr="001D7812">
        <w:rPr>
          <w:szCs w:val="24"/>
        </w:rPr>
        <w:t>s] industrial group withdrawing its opposition to a 2014 PUCO Electric Security Plan [ESP IV] settlement package involving FirstEnergy Corp.</w:t>
      </w:r>
      <w:r w:rsidR="009F1383">
        <w:rPr>
          <w:szCs w:val="24"/>
        </w:rPr>
        <w:t>’</w:t>
      </w:r>
      <w:r w:rsidRPr="001D7812">
        <w:rPr>
          <w:szCs w:val="24"/>
        </w:rPr>
        <w:t>s Ohio electric distribution subsidiaries.</w:t>
      </w:r>
      <w:r w:rsidR="009F1383">
        <w:rPr>
          <w:szCs w:val="24"/>
        </w:rPr>
        <w:t>”</w:t>
      </w:r>
      <w:r>
        <w:rPr>
          <w:rStyle w:val="FootnoteReference"/>
          <w:szCs w:val="24"/>
        </w:rPr>
        <w:footnoteReference w:id="175"/>
      </w:r>
      <w:r w:rsidRPr="001D7812" w:rsidR="00CE2F18">
        <w:rPr>
          <w:szCs w:val="24"/>
        </w:rPr>
        <w:t xml:space="preserve"> </w:t>
      </w:r>
      <w:r w:rsidRPr="001D7812" w:rsidR="00867B45">
        <w:rPr>
          <w:szCs w:val="24"/>
        </w:rPr>
        <w:t>When the Deferred Prosecution Agreement made this stunning revelation, the PUCO immediately opened an investigation into whether FirstEnergy</w:t>
      </w:r>
      <w:r w:rsidR="009F1383">
        <w:rPr>
          <w:szCs w:val="24"/>
        </w:rPr>
        <w:t>’</w:t>
      </w:r>
      <w:r w:rsidRPr="001D7812" w:rsidR="00867B45">
        <w:rPr>
          <w:szCs w:val="24"/>
        </w:rPr>
        <w:t xml:space="preserve">s secret </w:t>
      </w:r>
      <w:r w:rsidR="009F1383">
        <w:rPr>
          <w:szCs w:val="24"/>
        </w:rPr>
        <w:t>“</w:t>
      </w:r>
      <w:r w:rsidRPr="001D7812" w:rsidR="00867B45">
        <w:rPr>
          <w:szCs w:val="24"/>
        </w:rPr>
        <w:t>consulting agreement</w:t>
      </w:r>
      <w:r w:rsidR="009F1383">
        <w:rPr>
          <w:szCs w:val="24"/>
        </w:rPr>
        <w:t>”</w:t>
      </w:r>
      <w:r w:rsidRPr="001D7812" w:rsidR="00867B45">
        <w:rPr>
          <w:szCs w:val="24"/>
        </w:rPr>
        <w:t xml:space="preserve"> with Mr. Randazzo was an illegal side deal under R.C. 4928.145.</w:t>
      </w:r>
      <w:r>
        <w:rPr>
          <w:rStyle w:val="FootnoteReference"/>
          <w:szCs w:val="24"/>
        </w:rPr>
        <w:footnoteReference w:id="176"/>
      </w:r>
    </w:p>
    <w:p w:rsidR="0088278E" w:rsidRPr="001D7812" w:rsidP="0088278E" w14:paraId="56FA1AA7" w14:textId="382C0714">
      <w:pPr>
        <w:pStyle w:val="BodyTextIndent3"/>
        <w:widowControl w:val="0"/>
        <w:spacing w:line="480" w:lineRule="auto"/>
        <w:rPr>
          <w:szCs w:val="24"/>
        </w:rPr>
      </w:pPr>
      <w:r w:rsidRPr="001D7812">
        <w:rPr>
          <w:szCs w:val="24"/>
        </w:rPr>
        <w:t xml:space="preserve">What was the change or </w:t>
      </w:r>
      <w:r w:rsidRPr="001D7812">
        <w:rPr>
          <w:i/>
          <w:iCs/>
          <w:szCs w:val="24"/>
        </w:rPr>
        <w:t>quid pro quo</w:t>
      </w:r>
      <w:r w:rsidRPr="001D7812">
        <w:rPr>
          <w:szCs w:val="24"/>
        </w:rPr>
        <w:t xml:space="preserve"> to ESP IV which led to </w:t>
      </w:r>
      <w:r w:rsidR="009F1383">
        <w:rPr>
          <w:szCs w:val="24"/>
        </w:rPr>
        <w:t>“</w:t>
      </w:r>
      <w:r w:rsidRPr="001D7812">
        <w:rPr>
          <w:szCs w:val="24"/>
        </w:rPr>
        <w:t>[Mr. Randazzo</w:t>
      </w:r>
      <w:r w:rsidR="009F1383">
        <w:rPr>
          <w:szCs w:val="24"/>
        </w:rPr>
        <w:t>’</w:t>
      </w:r>
      <w:r w:rsidRPr="001D7812">
        <w:rPr>
          <w:szCs w:val="24"/>
        </w:rPr>
        <w:t>s] industrial group withdrawing its opposition to a 2014 PUCO Electric Security Plan [ESP IV] settlement package involving FirstEnergy Corp.</w:t>
      </w:r>
      <w:r w:rsidR="009F1383">
        <w:rPr>
          <w:szCs w:val="24"/>
        </w:rPr>
        <w:t>’</w:t>
      </w:r>
      <w:r w:rsidRPr="001D7812">
        <w:rPr>
          <w:szCs w:val="24"/>
        </w:rPr>
        <w:t>s Ohio electric distribution subsidiaries</w:t>
      </w:r>
      <w:r w:rsidR="009F1383">
        <w:rPr>
          <w:szCs w:val="24"/>
        </w:rPr>
        <w:t>”</w:t>
      </w:r>
      <w:r w:rsidRPr="001D7812" w:rsidR="009963FB">
        <w:rPr>
          <w:szCs w:val="24"/>
        </w:rPr>
        <w:t>?</w:t>
      </w:r>
      <w:r>
        <w:rPr>
          <w:rStyle w:val="FootnoteReference"/>
          <w:szCs w:val="24"/>
        </w:rPr>
        <w:footnoteReference w:id="177"/>
      </w:r>
      <w:r w:rsidRPr="001D7812" w:rsidR="00CE2F18">
        <w:rPr>
          <w:szCs w:val="24"/>
        </w:rPr>
        <w:t xml:space="preserve"> </w:t>
      </w:r>
      <w:r w:rsidRPr="001D7812">
        <w:rPr>
          <w:szCs w:val="24"/>
        </w:rPr>
        <w:t xml:space="preserve">This </w:t>
      </w:r>
      <w:r w:rsidRPr="001D7812">
        <w:rPr>
          <w:i/>
          <w:iCs/>
          <w:szCs w:val="24"/>
        </w:rPr>
        <w:t xml:space="preserve">quid pro quo </w:t>
      </w:r>
      <w:r w:rsidRPr="001D7812">
        <w:rPr>
          <w:szCs w:val="24"/>
        </w:rPr>
        <w:t xml:space="preserve">could </w:t>
      </w:r>
      <w:r w:rsidRPr="001D7812" w:rsidR="00BB41CF">
        <w:rPr>
          <w:szCs w:val="24"/>
        </w:rPr>
        <w:t xml:space="preserve">easily be </w:t>
      </w:r>
      <w:r w:rsidRPr="001D7812">
        <w:rPr>
          <w:szCs w:val="24"/>
        </w:rPr>
        <w:t xml:space="preserve">determined by </w:t>
      </w:r>
      <w:r w:rsidRPr="001D7812" w:rsidR="00BB41CF">
        <w:rPr>
          <w:szCs w:val="24"/>
        </w:rPr>
        <w:t>doing a side-by-side comparison of</w:t>
      </w:r>
      <w:r w:rsidRPr="001D7812">
        <w:rPr>
          <w:szCs w:val="24"/>
        </w:rPr>
        <w:t xml:space="preserve"> the </w:t>
      </w:r>
      <w:r w:rsidRPr="001D7812" w:rsidR="00BB41CF">
        <w:rPr>
          <w:szCs w:val="24"/>
        </w:rPr>
        <w:t xml:space="preserve">draft </w:t>
      </w:r>
      <w:r w:rsidRPr="001D7812">
        <w:rPr>
          <w:szCs w:val="24"/>
        </w:rPr>
        <w:t xml:space="preserve">versions of ESP IV under discussion </w:t>
      </w:r>
      <w:r w:rsidRPr="001D7812" w:rsidR="00BB41CF">
        <w:rPr>
          <w:szCs w:val="24"/>
        </w:rPr>
        <w:t xml:space="preserve">both </w:t>
      </w:r>
      <w:r w:rsidRPr="001D7812">
        <w:rPr>
          <w:szCs w:val="24"/>
        </w:rPr>
        <w:t xml:space="preserve">before </w:t>
      </w:r>
      <w:r w:rsidRPr="001D7812" w:rsidR="00BB41CF">
        <w:rPr>
          <w:szCs w:val="24"/>
        </w:rPr>
        <w:t>and</w:t>
      </w:r>
      <w:r w:rsidRPr="001D7812">
        <w:rPr>
          <w:szCs w:val="24"/>
        </w:rPr>
        <w:t xml:space="preserve"> after Mr. Randazzo withdrew his opposition to the plan.</w:t>
      </w:r>
      <w:r w:rsidRPr="001D7812" w:rsidR="00CE2F18">
        <w:rPr>
          <w:szCs w:val="24"/>
        </w:rPr>
        <w:t xml:space="preserve"> </w:t>
      </w:r>
      <w:r w:rsidRPr="001D7812">
        <w:rPr>
          <w:szCs w:val="24"/>
        </w:rPr>
        <w:t>These various versions of ESP IV are available in the docket of that case.</w:t>
      </w:r>
      <w:r w:rsidRPr="001D7812" w:rsidR="00CE2F18">
        <w:rPr>
          <w:szCs w:val="24"/>
        </w:rPr>
        <w:t xml:space="preserve"> </w:t>
      </w:r>
      <w:r w:rsidRPr="001D7812">
        <w:rPr>
          <w:szCs w:val="24"/>
        </w:rPr>
        <w:t>In addition, one could check how many of these 24 large industrial customers were Mr. Randazzo</w:t>
      </w:r>
      <w:r w:rsidR="009F1383">
        <w:rPr>
          <w:szCs w:val="24"/>
        </w:rPr>
        <w:t>’</w:t>
      </w:r>
      <w:r w:rsidRPr="001D7812">
        <w:rPr>
          <w:szCs w:val="24"/>
        </w:rPr>
        <w:t>s clients.</w:t>
      </w:r>
    </w:p>
    <w:p w:rsidR="0075334F" w:rsidRPr="001D7812" w:rsidP="008E3905" w14:paraId="3D89C14F" w14:textId="522061E5">
      <w:pPr>
        <w:pStyle w:val="BodyTextIndent3"/>
        <w:widowControl w:val="0"/>
        <w:spacing w:line="480" w:lineRule="auto"/>
        <w:rPr>
          <w:szCs w:val="24"/>
        </w:rPr>
      </w:pPr>
      <w:r w:rsidRPr="001D7812">
        <w:rPr>
          <w:szCs w:val="24"/>
        </w:rPr>
        <w:t xml:space="preserve">Rider ELR </w:t>
      </w:r>
      <w:r w:rsidRPr="001D7812" w:rsidR="00440F09">
        <w:rPr>
          <w:szCs w:val="24"/>
        </w:rPr>
        <w:t xml:space="preserve">is a </w:t>
      </w:r>
      <w:r w:rsidRPr="001D7812">
        <w:rPr>
          <w:szCs w:val="24"/>
        </w:rPr>
        <w:t xml:space="preserve">likely candidate as the </w:t>
      </w:r>
      <w:r w:rsidRPr="001D7812">
        <w:rPr>
          <w:i/>
          <w:iCs/>
          <w:szCs w:val="24"/>
        </w:rPr>
        <w:t xml:space="preserve">quid pro quo </w:t>
      </w:r>
      <w:r w:rsidRPr="001D7812">
        <w:rPr>
          <w:szCs w:val="24"/>
        </w:rPr>
        <w:t xml:space="preserve">– an </w:t>
      </w:r>
      <w:r w:rsidR="009F1383">
        <w:rPr>
          <w:szCs w:val="24"/>
        </w:rPr>
        <w:t>“</w:t>
      </w:r>
      <w:r w:rsidRPr="001D7812">
        <w:rPr>
          <w:szCs w:val="24"/>
        </w:rPr>
        <w:t>interruptible tariff</w:t>
      </w:r>
      <w:r w:rsidR="009F1383">
        <w:rPr>
          <w:szCs w:val="24"/>
        </w:rPr>
        <w:t>”</w:t>
      </w:r>
      <w:r w:rsidRPr="001D7812">
        <w:rPr>
          <w:szCs w:val="24"/>
        </w:rPr>
        <w:t xml:space="preserve"> limited to 24 certain large industrial companies which pays them $437 million in exchange for the right</w:t>
      </w:r>
      <w:r w:rsidRPr="001D7812" w:rsidR="009963FB">
        <w:rPr>
          <w:szCs w:val="24"/>
        </w:rPr>
        <w:t xml:space="preserve"> of FirstEnergy</w:t>
      </w:r>
      <w:r w:rsidRPr="001D7812">
        <w:rPr>
          <w:szCs w:val="24"/>
        </w:rPr>
        <w:t xml:space="preserve"> to interrupt their electrical service during an emergency – even though their service never actually gets interrupted.</w:t>
      </w:r>
      <w:r w:rsidRPr="001D7812" w:rsidR="00CE2F18">
        <w:rPr>
          <w:szCs w:val="24"/>
        </w:rPr>
        <w:t xml:space="preserve"> </w:t>
      </w:r>
    </w:p>
    <w:p w:rsidR="0013548E" w:rsidRPr="001D7812" w:rsidP="00A50CCF" w14:paraId="54F3B502" w14:textId="2012A27B">
      <w:pPr>
        <w:pStyle w:val="BodyTextIndent3"/>
        <w:widowControl w:val="0"/>
        <w:spacing w:line="480" w:lineRule="auto"/>
        <w:rPr>
          <w:szCs w:val="24"/>
        </w:rPr>
      </w:pPr>
      <w:r w:rsidRPr="001D7812">
        <w:rPr>
          <w:szCs w:val="24"/>
        </w:rPr>
        <w:t>OCC and other stakeholders have been barred from investigating this issue for the past 18 months due to stays of the H.B. 6 investigation cases requested by the U.S. Attorney.</w:t>
      </w:r>
      <w:r>
        <w:rPr>
          <w:rStyle w:val="FootnoteReference"/>
          <w:szCs w:val="24"/>
        </w:rPr>
        <w:footnoteReference w:id="178"/>
      </w:r>
      <w:r w:rsidRPr="001D7812" w:rsidR="00CE2F18">
        <w:rPr>
          <w:szCs w:val="24"/>
        </w:rPr>
        <w:t xml:space="preserve"> </w:t>
      </w:r>
      <w:r w:rsidRPr="001D7812" w:rsidR="00F81A29">
        <w:rPr>
          <w:szCs w:val="24"/>
        </w:rPr>
        <w:t>FirstEnergy actively supported the stay orders,</w:t>
      </w:r>
      <w:r>
        <w:rPr>
          <w:rStyle w:val="FootnoteReference"/>
          <w:szCs w:val="24"/>
        </w:rPr>
        <w:footnoteReference w:id="179"/>
      </w:r>
      <w:r w:rsidRPr="001D7812" w:rsidR="00F81A29">
        <w:rPr>
          <w:szCs w:val="24"/>
        </w:rPr>
        <w:t xml:space="preserve"> but it continues </w:t>
      </w:r>
      <w:r w:rsidRPr="001D7812" w:rsidR="004012CF">
        <w:rPr>
          <w:szCs w:val="24"/>
        </w:rPr>
        <w:t>seeking</w:t>
      </w:r>
      <w:r w:rsidRPr="001D7812" w:rsidR="00F81A29">
        <w:rPr>
          <w:szCs w:val="24"/>
        </w:rPr>
        <w:t xml:space="preserve"> to collect billions of dollars in new revenues under ESP V and other cases.</w:t>
      </w:r>
      <w:r w:rsidRPr="001D7812" w:rsidR="00CE2F18">
        <w:rPr>
          <w:szCs w:val="24"/>
        </w:rPr>
        <w:t xml:space="preserve"> </w:t>
      </w:r>
      <w:r w:rsidRPr="001D7812" w:rsidR="004012CF">
        <w:rPr>
          <w:szCs w:val="24"/>
        </w:rPr>
        <w:t>FirstEnergy has continued to collect costs under ESP IV to pay the 24 industrial customers their $437 million in rate credits.</w:t>
      </w:r>
      <w:r w:rsidRPr="001D7812" w:rsidR="00CE2F18">
        <w:rPr>
          <w:szCs w:val="24"/>
        </w:rPr>
        <w:t xml:space="preserve"> </w:t>
      </w:r>
      <w:r w:rsidRPr="001D7812" w:rsidR="004012CF">
        <w:rPr>
          <w:szCs w:val="24"/>
        </w:rPr>
        <w:t>It is questionable whether consumers will be able to obtain a refund of this amount.</w:t>
      </w:r>
      <w:r w:rsidRPr="001D7812" w:rsidR="00CE2F18">
        <w:rPr>
          <w:szCs w:val="24"/>
        </w:rPr>
        <w:t xml:space="preserve"> </w:t>
      </w:r>
      <w:r w:rsidRPr="001D7812" w:rsidR="004012CF">
        <w:rPr>
          <w:szCs w:val="24"/>
        </w:rPr>
        <w:t xml:space="preserve">The PUCO could protect consumers by rejecting </w:t>
      </w:r>
      <w:r w:rsidRPr="001D7812" w:rsidR="0075334F">
        <w:rPr>
          <w:szCs w:val="24"/>
        </w:rPr>
        <w:t xml:space="preserve">any further charges to FirstEnergy consumers under </w:t>
      </w:r>
      <w:r w:rsidRPr="001D7812" w:rsidR="004012CF">
        <w:rPr>
          <w:szCs w:val="24"/>
        </w:rPr>
        <w:t>FirstEnergy</w:t>
      </w:r>
      <w:r w:rsidR="009F1383">
        <w:rPr>
          <w:szCs w:val="24"/>
        </w:rPr>
        <w:t>’</w:t>
      </w:r>
      <w:r w:rsidRPr="001D7812" w:rsidR="004012CF">
        <w:rPr>
          <w:szCs w:val="24"/>
        </w:rPr>
        <w:t>s Rider ELR proposal in ESP V.</w:t>
      </w:r>
    </w:p>
    <w:p w:rsidR="00D100EC" w:rsidRPr="001D7812" w:rsidP="00D100EC" w14:paraId="7A5D5F56" w14:textId="65B19FA5">
      <w:pPr>
        <w:spacing w:line="480" w:lineRule="auto"/>
        <w:ind w:firstLine="720"/>
        <w:rPr>
          <w:rFonts w:cs="Times New Roman"/>
          <w:szCs w:val="24"/>
        </w:rPr>
      </w:pPr>
      <w:r w:rsidRPr="001D7812">
        <w:rPr>
          <w:rFonts w:cs="Times New Roman"/>
          <w:szCs w:val="24"/>
        </w:rPr>
        <w:t>For all the foregoing reasons, the PUCO should reject FirstEnergy</w:t>
      </w:r>
      <w:r w:rsidR="009F1383">
        <w:rPr>
          <w:rFonts w:cs="Times New Roman"/>
          <w:szCs w:val="24"/>
        </w:rPr>
        <w:t>’</w:t>
      </w:r>
      <w:r w:rsidRPr="001D7812">
        <w:rPr>
          <w:rFonts w:cs="Times New Roman"/>
          <w:szCs w:val="24"/>
        </w:rPr>
        <w:t>s Rider ELR proposal.</w:t>
      </w:r>
      <w:r w:rsidRPr="001D7812">
        <w:rPr>
          <w:rFonts w:cs="Times New Roman"/>
          <w:szCs w:val="24"/>
        </w:rPr>
        <w:t xml:space="preserve"> </w:t>
      </w:r>
    </w:p>
    <w:p w:rsidR="00CB1150" w:rsidRPr="001D7812" w:rsidP="00C13EAB" w14:paraId="77C5B3AD" w14:textId="426F13B3">
      <w:pPr>
        <w:pStyle w:val="Heading2"/>
      </w:pPr>
      <w:bookmarkStart w:id="24" w:name="_Toc156567937"/>
      <w:r w:rsidRPr="001D7812">
        <w:t>R.</w:t>
      </w:r>
      <w:r w:rsidRPr="001D7812">
        <w:tab/>
      </w:r>
      <w:r w:rsidRPr="001D7812">
        <w:t>FirstEnergy</w:t>
      </w:r>
      <w:r w:rsidR="009F1383">
        <w:t>’</w:t>
      </w:r>
      <w:r w:rsidRPr="001D7812">
        <w:t xml:space="preserve">s </w:t>
      </w:r>
      <w:r w:rsidRPr="001D7812" w:rsidR="00031AAE">
        <w:t xml:space="preserve">Rider NMB </w:t>
      </w:r>
      <w:r w:rsidRPr="001D7812">
        <w:t>proposal is unjust and unreasonable because it would improperly shift costs to the residential class and is contrary to the PUCO-appointed auditor</w:t>
      </w:r>
      <w:r w:rsidR="009F1383">
        <w:t>’</w:t>
      </w:r>
      <w:r w:rsidRPr="001D7812">
        <w:t>s recommendation to eliminate the program.</w:t>
      </w:r>
      <w:bookmarkEnd w:id="24"/>
    </w:p>
    <w:p w:rsidR="000F536A" w:rsidRPr="001D7812" w:rsidP="00C622CE" w14:paraId="55E6E28A" w14:textId="6D261799">
      <w:pPr>
        <w:spacing w:line="480" w:lineRule="auto"/>
        <w:ind w:firstLine="720"/>
        <w:rPr>
          <w:rFonts w:cs="Times New Roman"/>
          <w:szCs w:val="24"/>
        </w:rPr>
      </w:pPr>
      <w:r w:rsidRPr="001D7812">
        <w:rPr>
          <w:rFonts w:cs="Times New Roman"/>
          <w:szCs w:val="24"/>
        </w:rPr>
        <w:t>FirstEnergy</w:t>
      </w:r>
      <w:r w:rsidR="009F1383">
        <w:rPr>
          <w:rFonts w:cs="Times New Roman"/>
          <w:szCs w:val="24"/>
        </w:rPr>
        <w:t>’</w:t>
      </w:r>
      <w:r w:rsidRPr="001D7812">
        <w:rPr>
          <w:rFonts w:cs="Times New Roman"/>
          <w:szCs w:val="24"/>
        </w:rPr>
        <w:t>s Rider NMB proposal is unjust and unreasonable because it improperly shifts transmission costs to the residential class and is contrary to the PUCO-appointed auditor</w:t>
      </w:r>
      <w:r w:rsidR="009F1383">
        <w:rPr>
          <w:rFonts w:cs="Times New Roman"/>
          <w:szCs w:val="24"/>
        </w:rPr>
        <w:t>’</w:t>
      </w:r>
      <w:r w:rsidRPr="001D7812">
        <w:rPr>
          <w:rFonts w:cs="Times New Roman"/>
          <w:szCs w:val="24"/>
        </w:rPr>
        <w:t>s recommendation to eliminate the Rider NMB pilot program.</w:t>
      </w:r>
    </w:p>
    <w:p w:rsidR="008C7D2F" w:rsidRPr="001D7812" w:rsidP="00C622CE" w14:paraId="6A342FFB" w14:textId="20445092">
      <w:pPr>
        <w:spacing w:line="480" w:lineRule="auto"/>
        <w:ind w:firstLine="720"/>
        <w:rPr>
          <w:rFonts w:cs="Times New Roman"/>
          <w:szCs w:val="24"/>
        </w:rPr>
      </w:pPr>
      <w:r w:rsidRPr="001D7812">
        <w:rPr>
          <w:rFonts w:cs="Times New Roman"/>
          <w:szCs w:val="24"/>
        </w:rPr>
        <w:t xml:space="preserve">FirstEnergy </w:t>
      </w:r>
      <w:r w:rsidRPr="001D7812" w:rsidR="00CB1150">
        <w:rPr>
          <w:rFonts w:cs="Times New Roman"/>
          <w:szCs w:val="24"/>
        </w:rPr>
        <w:t xml:space="preserve">currently </w:t>
      </w:r>
      <w:r w:rsidRPr="001D7812">
        <w:rPr>
          <w:rFonts w:cs="Times New Roman"/>
          <w:szCs w:val="24"/>
        </w:rPr>
        <w:t>operates a Non-Market-Based Services Rider (</w:t>
      </w:r>
      <w:r w:rsidR="009F1383">
        <w:rPr>
          <w:rFonts w:cs="Times New Roman"/>
          <w:szCs w:val="24"/>
        </w:rPr>
        <w:t>“</w:t>
      </w:r>
      <w:r w:rsidRPr="001D7812">
        <w:rPr>
          <w:rFonts w:cs="Times New Roman"/>
          <w:szCs w:val="24"/>
        </w:rPr>
        <w:t>Rider NMB</w:t>
      </w:r>
      <w:r w:rsidR="009F1383">
        <w:rPr>
          <w:rFonts w:cs="Times New Roman"/>
          <w:szCs w:val="24"/>
        </w:rPr>
        <w:t>”</w:t>
      </w:r>
      <w:r w:rsidRPr="001D7812">
        <w:rPr>
          <w:rFonts w:cs="Times New Roman"/>
          <w:szCs w:val="24"/>
        </w:rPr>
        <w:t xml:space="preserve">) pilot program </w:t>
      </w:r>
      <w:r w:rsidRPr="001D7812">
        <w:rPr>
          <w:rFonts w:cs="Times New Roman"/>
          <w:szCs w:val="24"/>
        </w:rPr>
        <w:t>to collect transmission charges such as Network Integration Transmission Service (</w:t>
      </w:r>
      <w:r w:rsidR="009F1383">
        <w:rPr>
          <w:rFonts w:cs="Times New Roman"/>
          <w:szCs w:val="24"/>
        </w:rPr>
        <w:t>“</w:t>
      </w:r>
      <w:r w:rsidRPr="001D7812">
        <w:rPr>
          <w:rFonts w:cs="Times New Roman"/>
          <w:szCs w:val="24"/>
        </w:rPr>
        <w:t>NITS</w:t>
      </w:r>
      <w:r w:rsidR="009F1383">
        <w:rPr>
          <w:rFonts w:cs="Times New Roman"/>
          <w:szCs w:val="24"/>
        </w:rPr>
        <w:t>”</w:t>
      </w:r>
      <w:r w:rsidRPr="001D7812">
        <w:rPr>
          <w:rFonts w:cs="Times New Roman"/>
          <w:szCs w:val="24"/>
        </w:rPr>
        <w:t>) and Regional Transmission Expansion Plan (</w:t>
      </w:r>
      <w:r w:rsidR="009F1383">
        <w:rPr>
          <w:rFonts w:cs="Times New Roman"/>
          <w:szCs w:val="24"/>
        </w:rPr>
        <w:t>“</w:t>
      </w:r>
      <w:r w:rsidRPr="001D7812">
        <w:rPr>
          <w:rFonts w:cs="Times New Roman"/>
          <w:szCs w:val="24"/>
        </w:rPr>
        <w:t>RTEP</w:t>
      </w:r>
      <w:r w:rsidR="009F1383">
        <w:rPr>
          <w:rFonts w:cs="Times New Roman"/>
          <w:szCs w:val="24"/>
        </w:rPr>
        <w:t>”</w:t>
      </w:r>
      <w:r w:rsidRPr="001D7812">
        <w:rPr>
          <w:rFonts w:cs="Times New Roman"/>
          <w:szCs w:val="24"/>
        </w:rPr>
        <w:t>) costs.</w:t>
      </w:r>
      <w:r>
        <w:rPr>
          <w:rStyle w:val="FootnoteReference"/>
          <w:rFonts w:cs="Times New Roman"/>
          <w:szCs w:val="24"/>
        </w:rPr>
        <w:footnoteReference w:id="180"/>
      </w:r>
      <w:r w:rsidRPr="001D7812" w:rsidR="00CE2F18">
        <w:rPr>
          <w:rFonts w:cs="Times New Roman"/>
          <w:szCs w:val="24"/>
        </w:rPr>
        <w:t xml:space="preserve"> </w:t>
      </w:r>
      <w:r w:rsidRPr="001D7812">
        <w:rPr>
          <w:rFonts w:cs="Times New Roman"/>
          <w:szCs w:val="24"/>
        </w:rPr>
        <w:t>FirstEnergy proposes to eliminate the Rider NMB pilot program and replace it with a new and expanded program.</w:t>
      </w:r>
      <w:r>
        <w:rPr>
          <w:rStyle w:val="FootnoteReference"/>
          <w:rFonts w:cs="Times New Roman"/>
          <w:szCs w:val="24"/>
        </w:rPr>
        <w:footnoteReference w:id="181"/>
      </w:r>
      <w:r w:rsidRPr="001D7812" w:rsidR="00CE2F18">
        <w:rPr>
          <w:rFonts w:cs="Times New Roman"/>
          <w:szCs w:val="24"/>
        </w:rPr>
        <w:t xml:space="preserve"> </w:t>
      </w:r>
      <w:r w:rsidRPr="001D7812">
        <w:rPr>
          <w:rFonts w:cs="Times New Roman"/>
          <w:szCs w:val="24"/>
        </w:rPr>
        <w:t>The new Rider NMB would add a charge for unaccounted-for energy and also provide an optional rate design for commercial and industrial consumers with interval or advanced meters.</w:t>
      </w:r>
      <w:r>
        <w:rPr>
          <w:rStyle w:val="FootnoteReference"/>
          <w:rFonts w:cs="Times New Roman"/>
          <w:szCs w:val="24"/>
        </w:rPr>
        <w:footnoteReference w:id="182"/>
      </w:r>
    </w:p>
    <w:p w:rsidR="008A0F09" w:rsidRPr="001D7812" w:rsidP="00C622CE" w14:paraId="77AB88D7" w14:textId="03DF748B">
      <w:pPr>
        <w:spacing w:line="480" w:lineRule="auto"/>
        <w:ind w:firstLine="720"/>
        <w:rPr>
          <w:rFonts w:cs="Times New Roman"/>
          <w:szCs w:val="24"/>
        </w:rPr>
      </w:pPr>
      <w:r w:rsidRPr="001D7812">
        <w:rPr>
          <w:rFonts w:cs="Times New Roman"/>
          <w:szCs w:val="24"/>
        </w:rPr>
        <w:t xml:space="preserve">The PUCO ordered </w:t>
      </w:r>
      <w:r w:rsidRPr="001D7812" w:rsidR="005A76F3">
        <w:rPr>
          <w:rFonts w:cs="Times New Roman"/>
          <w:szCs w:val="24"/>
        </w:rPr>
        <w:t>an independent audit of the Rider NMB pilot program.</w:t>
      </w:r>
      <w:r>
        <w:rPr>
          <w:rStyle w:val="FootnoteReference"/>
          <w:rFonts w:cs="Times New Roman"/>
          <w:szCs w:val="24"/>
        </w:rPr>
        <w:footnoteReference w:id="183"/>
      </w:r>
      <w:r w:rsidRPr="001D7812" w:rsidR="00CE2F18">
        <w:rPr>
          <w:rFonts w:cs="Times New Roman"/>
          <w:szCs w:val="24"/>
        </w:rPr>
        <w:t xml:space="preserve"> </w:t>
      </w:r>
      <w:r w:rsidRPr="001D7812" w:rsidR="005A76F3">
        <w:rPr>
          <w:rFonts w:cs="Times New Roman"/>
          <w:szCs w:val="24"/>
        </w:rPr>
        <w:t>The audit was performed by Exeter Associates, Inc. and was introduced into evidence at the evidentiary hearing.</w:t>
      </w:r>
      <w:r>
        <w:rPr>
          <w:rStyle w:val="FootnoteReference"/>
          <w:rFonts w:cs="Times New Roman"/>
          <w:szCs w:val="24"/>
        </w:rPr>
        <w:footnoteReference w:id="184"/>
      </w:r>
      <w:r w:rsidRPr="001D7812" w:rsidR="005A76F3">
        <w:rPr>
          <w:rFonts w:cs="Times New Roman"/>
          <w:szCs w:val="24"/>
        </w:rPr>
        <w:t xml:space="preserve"> </w:t>
      </w:r>
      <w:r w:rsidRPr="001D7812" w:rsidR="00972805">
        <w:rPr>
          <w:rFonts w:cs="Times New Roman"/>
          <w:szCs w:val="24"/>
        </w:rPr>
        <w:t xml:space="preserve">Exeter noted that Rider NMB </w:t>
      </w:r>
      <w:r w:rsidRPr="001D7812">
        <w:rPr>
          <w:rFonts w:cs="Times New Roman"/>
          <w:szCs w:val="24"/>
        </w:rPr>
        <w:t>uses a four-coincident-peak cost allocation methodology which shifts an additional $1 million in transmission costs to residential consumers.</w:t>
      </w:r>
      <w:r>
        <w:rPr>
          <w:rStyle w:val="FootnoteReference"/>
          <w:rFonts w:cs="Times New Roman"/>
          <w:szCs w:val="24"/>
        </w:rPr>
        <w:footnoteReference w:id="185"/>
      </w:r>
      <w:r w:rsidRPr="001D7812">
        <w:rPr>
          <w:rFonts w:cs="Times New Roman"/>
          <w:szCs w:val="24"/>
        </w:rPr>
        <w:t xml:space="preserve"> Exeter stated </w:t>
      </w:r>
      <w:r w:rsidRPr="001D7812" w:rsidR="005A76F3">
        <w:rPr>
          <w:rFonts w:cs="Times New Roman"/>
          <w:szCs w:val="24"/>
        </w:rPr>
        <w:t xml:space="preserve">that </w:t>
      </w:r>
      <w:r w:rsidR="009F1383">
        <w:rPr>
          <w:rFonts w:cs="Times New Roman"/>
          <w:szCs w:val="24"/>
        </w:rPr>
        <w:t>“</w:t>
      </w:r>
      <w:r w:rsidRPr="001D7812" w:rsidR="005A76F3">
        <w:rPr>
          <w:rFonts w:cs="Times New Roman"/>
          <w:szCs w:val="24"/>
        </w:rPr>
        <w:t>[t]he existence of the Pilot reveals the shortcomings of Rider NMB in allocating certain PJM costs to nonparticipating customers based on the principle of cost causation.</w:t>
      </w:r>
      <w:r w:rsidR="009F1383">
        <w:rPr>
          <w:rFonts w:cs="Times New Roman"/>
          <w:szCs w:val="24"/>
        </w:rPr>
        <w:t>”</w:t>
      </w:r>
      <w:r>
        <w:rPr>
          <w:rStyle w:val="FootnoteReference"/>
          <w:rFonts w:cs="Times New Roman"/>
          <w:szCs w:val="24"/>
        </w:rPr>
        <w:footnoteReference w:id="186"/>
      </w:r>
      <w:r w:rsidRPr="001D7812" w:rsidR="00CE2F18">
        <w:rPr>
          <w:rFonts w:cs="Times New Roman"/>
          <w:szCs w:val="24"/>
        </w:rPr>
        <w:t xml:space="preserve"> </w:t>
      </w:r>
      <w:r w:rsidRPr="001D7812">
        <w:rPr>
          <w:rFonts w:cs="Times New Roman"/>
          <w:szCs w:val="24"/>
        </w:rPr>
        <w:t xml:space="preserve">Exeter further explained that </w:t>
      </w:r>
    </w:p>
    <w:p w:rsidR="0036144A" w:rsidRPr="001D7812" w:rsidP="0036144A" w14:paraId="459CE5E0" w14:textId="47ECF152">
      <w:pPr>
        <w:spacing w:line="480" w:lineRule="auto"/>
        <w:rPr>
          <w:rFonts w:cs="Times New Roman"/>
          <w:szCs w:val="24"/>
        </w:rPr>
      </w:pPr>
      <w:r>
        <w:rPr>
          <w:rFonts w:cs="Times New Roman"/>
          <w:szCs w:val="24"/>
        </w:rPr>
        <w:t>“</w:t>
      </w:r>
      <w:r w:rsidRPr="001D7812" w:rsidR="005A76F3">
        <w:rPr>
          <w:rFonts w:cs="Times New Roman"/>
          <w:szCs w:val="24"/>
        </w:rPr>
        <w:t>[s]ome, but not all, of the avoided transmission costs for the Pilot Program are shifted to the Companies</w:t>
      </w:r>
      <w:r>
        <w:rPr>
          <w:rFonts w:cs="Times New Roman"/>
          <w:szCs w:val="24"/>
        </w:rPr>
        <w:t>’</w:t>
      </w:r>
      <w:r w:rsidRPr="001D7812" w:rsidR="005A76F3">
        <w:rPr>
          <w:rFonts w:cs="Times New Roman"/>
          <w:szCs w:val="24"/>
        </w:rPr>
        <w:t xml:space="preserve"> non-participating customers under Rider NMB. The remainder of the transmission cost shift is borne by other loads in the ATSI zone that are not customers of the Compani</w:t>
      </w:r>
      <w:r w:rsidRPr="001D7812">
        <w:rPr>
          <w:rFonts w:cs="Times New Roman"/>
          <w:szCs w:val="24"/>
        </w:rPr>
        <w:t>es.</w:t>
      </w:r>
      <w:r>
        <w:rPr>
          <w:rFonts w:cs="Times New Roman"/>
          <w:szCs w:val="24"/>
        </w:rPr>
        <w:t>”</w:t>
      </w:r>
      <w:r>
        <w:rPr>
          <w:rStyle w:val="FootnoteReference"/>
          <w:rFonts w:cs="Times New Roman"/>
          <w:szCs w:val="24"/>
        </w:rPr>
        <w:footnoteReference w:id="187"/>
      </w:r>
    </w:p>
    <w:p w:rsidR="0036144A" w:rsidRPr="001D7812" w:rsidP="0036144A" w14:paraId="5A6B393B" w14:textId="45C62246">
      <w:pPr>
        <w:spacing w:line="480" w:lineRule="auto"/>
        <w:rPr>
          <w:rFonts w:cs="Times New Roman"/>
          <w:szCs w:val="24"/>
        </w:rPr>
      </w:pPr>
      <w:r w:rsidRPr="001D7812">
        <w:rPr>
          <w:rFonts w:cs="Times New Roman"/>
          <w:szCs w:val="24"/>
        </w:rPr>
        <w:t xml:space="preserve"> </w:t>
      </w:r>
      <w:r w:rsidRPr="001D7812">
        <w:rPr>
          <w:rFonts w:cs="Times New Roman"/>
          <w:szCs w:val="24"/>
        </w:rPr>
        <w:tab/>
        <w:t>Exeter compared the Rider NMB pilot program to a hypothetical scenario which assumed that no Rider NMB pilot program existed.</w:t>
      </w:r>
      <w:r w:rsidRPr="001D7812" w:rsidR="00CE2F18">
        <w:rPr>
          <w:rFonts w:cs="Times New Roman"/>
          <w:szCs w:val="24"/>
        </w:rPr>
        <w:t xml:space="preserve"> </w:t>
      </w:r>
      <w:r w:rsidRPr="001D7812">
        <w:rPr>
          <w:rFonts w:cs="Times New Roman"/>
          <w:szCs w:val="24"/>
        </w:rPr>
        <w:t>When assuming no pilot program, the result was a $231 million difference in revenues over the six-year period (March 2017 to February 2023).</w:t>
      </w:r>
      <w:r>
        <w:rPr>
          <w:rStyle w:val="FootnoteReference"/>
          <w:rFonts w:cs="Times New Roman"/>
          <w:szCs w:val="24"/>
        </w:rPr>
        <w:footnoteReference w:id="188"/>
      </w:r>
      <w:r w:rsidRPr="001D7812" w:rsidR="00CE2F18">
        <w:rPr>
          <w:rFonts w:cs="Times New Roman"/>
          <w:szCs w:val="24"/>
        </w:rPr>
        <w:t xml:space="preserve"> </w:t>
      </w:r>
      <w:r w:rsidRPr="001D7812">
        <w:rPr>
          <w:rFonts w:cs="Times New Roman"/>
          <w:szCs w:val="24"/>
        </w:rPr>
        <w:t xml:space="preserve">Of that amount, $107 million in additional costs would have been assigned to consumers not participating in the pilot program over the six-year period. According to the Auditor, this means that </w:t>
      </w:r>
      <w:r w:rsidR="009F1383">
        <w:rPr>
          <w:rFonts w:cs="Times New Roman"/>
          <w:szCs w:val="24"/>
        </w:rPr>
        <w:t>“</w:t>
      </w:r>
      <w:r w:rsidRPr="001D7812">
        <w:rPr>
          <w:rFonts w:cs="Times New Roman"/>
          <w:szCs w:val="24"/>
        </w:rPr>
        <w:t>there is a $107.7 million cost shift paid by non-participants over six years.</w:t>
      </w:r>
      <w:r w:rsidR="009F1383">
        <w:rPr>
          <w:rFonts w:cs="Times New Roman"/>
          <w:szCs w:val="24"/>
        </w:rPr>
        <w:t>”</w:t>
      </w:r>
      <w:r>
        <w:rPr>
          <w:rStyle w:val="FootnoteReference"/>
          <w:rFonts w:cs="Times New Roman"/>
          <w:szCs w:val="24"/>
        </w:rPr>
        <w:footnoteReference w:id="189"/>
      </w:r>
      <w:r w:rsidRPr="001D7812">
        <w:rPr>
          <w:rFonts w:cs="Times New Roman"/>
          <w:szCs w:val="24"/>
        </w:rPr>
        <w:t xml:space="preserve"> </w:t>
      </w:r>
      <w:r w:rsidRPr="001D7812" w:rsidR="00A0017F">
        <w:rPr>
          <w:rFonts w:cs="Times New Roman"/>
          <w:szCs w:val="24"/>
        </w:rPr>
        <w:t>Exeter</w:t>
      </w:r>
      <w:r w:rsidRPr="001D7812">
        <w:rPr>
          <w:rFonts w:cs="Times New Roman"/>
          <w:szCs w:val="24"/>
        </w:rPr>
        <w:t xml:space="preserve"> found that residential consumers (who are ineligible to participate in the Rider NMB pilot program) received 7.3% of the cost shifts for a total of $7.8 million in added costs.</w:t>
      </w:r>
      <w:r>
        <w:rPr>
          <w:rStyle w:val="FootnoteReference"/>
          <w:rFonts w:cs="Times New Roman"/>
          <w:szCs w:val="24"/>
        </w:rPr>
        <w:footnoteReference w:id="190"/>
      </w:r>
      <w:r w:rsidRPr="001D7812">
        <w:rPr>
          <w:rFonts w:cs="Times New Roman"/>
          <w:szCs w:val="24"/>
        </w:rPr>
        <w:t xml:space="preserve"> Non-participating large commercial and industrial consumers absorbed a cost shift of $57 million.</w:t>
      </w:r>
      <w:r>
        <w:rPr>
          <w:rStyle w:val="FootnoteReference"/>
          <w:rFonts w:cs="Times New Roman"/>
          <w:szCs w:val="24"/>
        </w:rPr>
        <w:footnoteReference w:id="191"/>
      </w:r>
    </w:p>
    <w:p w:rsidR="000779F6" w:rsidRPr="001D7812" w:rsidP="00C622CE" w14:paraId="3FCFD2A8" w14:textId="63A88B15">
      <w:pPr>
        <w:spacing w:line="480" w:lineRule="auto"/>
        <w:ind w:firstLine="720"/>
        <w:rPr>
          <w:rFonts w:cs="Times New Roman"/>
          <w:szCs w:val="24"/>
        </w:rPr>
      </w:pPr>
      <w:r w:rsidRPr="001D7812">
        <w:rPr>
          <w:rFonts w:cs="Times New Roman"/>
          <w:szCs w:val="24"/>
        </w:rPr>
        <w:t xml:space="preserve">Exeter ultimately </w:t>
      </w:r>
      <w:r w:rsidRPr="001D7812" w:rsidR="00587E91">
        <w:rPr>
          <w:rFonts w:cs="Times New Roman"/>
          <w:szCs w:val="24"/>
        </w:rPr>
        <w:t xml:space="preserve">concluded that the pilot program is </w:t>
      </w:r>
      <w:r w:rsidR="009F1383">
        <w:rPr>
          <w:rFonts w:cs="Times New Roman"/>
          <w:szCs w:val="24"/>
        </w:rPr>
        <w:t>“</w:t>
      </w:r>
      <w:r w:rsidRPr="001D7812" w:rsidR="00587E91">
        <w:rPr>
          <w:rFonts w:cs="Times New Roman"/>
          <w:szCs w:val="24"/>
        </w:rPr>
        <w:t>unlikely to provide direct reliability benefits</w:t>
      </w:r>
      <w:r w:rsidR="009F1383">
        <w:rPr>
          <w:rFonts w:cs="Times New Roman"/>
          <w:szCs w:val="24"/>
        </w:rPr>
        <w:t>”</w:t>
      </w:r>
      <w:r w:rsidRPr="001D7812" w:rsidR="00587E91">
        <w:rPr>
          <w:rFonts w:cs="Times New Roman"/>
          <w:szCs w:val="24"/>
        </w:rPr>
        <w:t xml:space="preserve"> and that the pilot program </w:t>
      </w:r>
      <w:r w:rsidR="009F1383">
        <w:rPr>
          <w:rFonts w:cs="Times New Roman"/>
          <w:szCs w:val="24"/>
        </w:rPr>
        <w:t>“</w:t>
      </w:r>
      <w:r w:rsidRPr="001D7812" w:rsidR="00587E91">
        <w:rPr>
          <w:rFonts w:cs="Times New Roman"/>
          <w:szCs w:val="24"/>
        </w:rPr>
        <w:t>does not resolve the typical causes of grid stress</w:t>
      </w:r>
      <w:r w:rsidR="009F1383">
        <w:rPr>
          <w:rFonts w:cs="Times New Roman"/>
          <w:szCs w:val="24"/>
        </w:rPr>
        <w:t>”</w:t>
      </w:r>
      <w:r w:rsidRPr="001D7812" w:rsidR="00DC2EB9">
        <w:rPr>
          <w:rFonts w:cs="Times New Roman"/>
          <w:szCs w:val="24"/>
        </w:rPr>
        <w:t xml:space="preserve"> and should thus be eliminated.</w:t>
      </w:r>
      <w:r>
        <w:rPr>
          <w:rFonts w:cs="Times New Roman"/>
          <w:szCs w:val="24"/>
          <w:vertAlign w:val="superscript"/>
        </w:rPr>
        <w:footnoteReference w:id="192"/>
      </w:r>
      <w:r w:rsidRPr="001D7812" w:rsidR="00C622CE">
        <w:rPr>
          <w:rFonts w:cs="Times New Roman"/>
          <w:szCs w:val="24"/>
        </w:rPr>
        <w:t xml:space="preserve"> </w:t>
      </w:r>
      <w:r w:rsidRPr="001D7812">
        <w:rPr>
          <w:rFonts w:cs="Times New Roman"/>
          <w:szCs w:val="24"/>
        </w:rPr>
        <w:t>Instead of eliminating the Rider NMB pilot program, FirstEnergy proposes to expand it.</w:t>
      </w:r>
      <w:r w:rsidRPr="001D7812" w:rsidR="00CE2F18">
        <w:rPr>
          <w:rFonts w:cs="Times New Roman"/>
          <w:szCs w:val="24"/>
        </w:rPr>
        <w:t xml:space="preserve"> </w:t>
      </w:r>
      <w:r w:rsidRPr="001D7812">
        <w:rPr>
          <w:rFonts w:cs="Times New Roman"/>
          <w:szCs w:val="24"/>
        </w:rPr>
        <w:t>Mr. Meyer recommended that FirstEnergy</w:t>
      </w:r>
      <w:r w:rsidR="009F1383">
        <w:rPr>
          <w:rFonts w:cs="Times New Roman"/>
          <w:szCs w:val="24"/>
        </w:rPr>
        <w:t>’</w:t>
      </w:r>
      <w:r w:rsidRPr="001D7812">
        <w:rPr>
          <w:rFonts w:cs="Times New Roman"/>
          <w:szCs w:val="24"/>
        </w:rPr>
        <w:t>s Rider NMB proposal should be rejected.</w:t>
      </w:r>
      <w:r>
        <w:rPr>
          <w:rStyle w:val="FootnoteReference"/>
          <w:rFonts w:cs="Times New Roman"/>
          <w:szCs w:val="24"/>
        </w:rPr>
        <w:footnoteReference w:id="193"/>
      </w:r>
      <w:r w:rsidRPr="001D7812" w:rsidR="004D1DAF">
        <w:rPr>
          <w:rFonts w:cs="Times New Roman"/>
          <w:szCs w:val="24"/>
        </w:rPr>
        <w:t xml:space="preserve"> </w:t>
      </w:r>
    </w:p>
    <w:p w:rsidR="00A0017F" w:rsidRPr="001D7812" w:rsidP="00C622CE" w14:paraId="25C0AC17" w14:textId="3D9DAD83">
      <w:pPr>
        <w:spacing w:line="480" w:lineRule="auto"/>
        <w:ind w:firstLine="720"/>
        <w:rPr>
          <w:rFonts w:cs="Times New Roman"/>
          <w:szCs w:val="24"/>
        </w:rPr>
      </w:pPr>
      <w:r w:rsidRPr="001D7812">
        <w:rPr>
          <w:rFonts w:cs="Times New Roman"/>
          <w:szCs w:val="24"/>
        </w:rPr>
        <w:t>FirstEnergy</w:t>
      </w:r>
      <w:r w:rsidR="009F1383">
        <w:rPr>
          <w:rFonts w:cs="Times New Roman"/>
          <w:szCs w:val="24"/>
        </w:rPr>
        <w:t>’</w:t>
      </w:r>
      <w:r w:rsidRPr="001D7812">
        <w:rPr>
          <w:rFonts w:cs="Times New Roman"/>
          <w:szCs w:val="24"/>
        </w:rPr>
        <w:t>s Rider NMB proposal is unjust and unreasonable due to the improper shifting of transmission costs.</w:t>
      </w:r>
      <w:r w:rsidRPr="001D7812" w:rsidR="00CE2F18">
        <w:rPr>
          <w:rFonts w:cs="Times New Roman"/>
          <w:szCs w:val="24"/>
        </w:rPr>
        <w:t xml:space="preserve"> </w:t>
      </w:r>
      <w:r w:rsidRPr="001D7812">
        <w:rPr>
          <w:rFonts w:cs="Times New Roman"/>
          <w:szCs w:val="24"/>
        </w:rPr>
        <w:t>The PUCO should therefore reject FirstEnergy</w:t>
      </w:r>
      <w:r w:rsidR="009F1383">
        <w:rPr>
          <w:rFonts w:cs="Times New Roman"/>
          <w:szCs w:val="24"/>
        </w:rPr>
        <w:t>’</w:t>
      </w:r>
      <w:r w:rsidRPr="001D7812">
        <w:rPr>
          <w:rFonts w:cs="Times New Roman"/>
          <w:szCs w:val="24"/>
        </w:rPr>
        <w:t>s Rider NMB proposal.</w:t>
      </w:r>
    </w:p>
    <w:p w:rsidR="00D94DBC" w:rsidRPr="001D7812" w:rsidP="00C56ED2" w14:paraId="474214EF" w14:textId="23A0BDEC">
      <w:pPr>
        <w:pStyle w:val="Heading2"/>
      </w:pPr>
      <w:bookmarkStart w:id="25" w:name="_Toc156567938"/>
      <w:r w:rsidRPr="001D7812">
        <w:t>S.</w:t>
      </w:r>
      <w:r w:rsidRPr="001D7812">
        <w:tab/>
      </w:r>
      <w:r w:rsidRPr="001D7812" w:rsidR="001E0E35">
        <w:t>FirstEnergy</w:t>
      </w:r>
      <w:r w:rsidR="009F1383">
        <w:t>’</w:t>
      </w:r>
      <w:r w:rsidRPr="001D7812" w:rsidR="001E0E35">
        <w:t xml:space="preserve">s </w:t>
      </w:r>
      <w:r w:rsidRPr="001D7812" w:rsidR="000C5A63">
        <w:t>Energy Efficiency Cost Recovery Rider (</w:t>
      </w:r>
      <w:r w:rsidR="009F1383">
        <w:t>“</w:t>
      </w:r>
      <w:r w:rsidRPr="001D7812">
        <w:t>Rider EEC</w:t>
      </w:r>
      <w:r w:rsidR="009F1383">
        <w:t>”</w:t>
      </w:r>
      <w:r w:rsidRPr="001D7812" w:rsidR="000C5A63">
        <w:t>)</w:t>
      </w:r>
      <w:r w:rsidRPr="001D7812">
        <w:t xml:space="preserve"> proposal is unjust and unreasonable and inconsistent with </w:t>
      </w:r>
      <w:r w:rsidRPr="001D7812" w:rsidR="00621ECC">
        <w:t xml:space="preserve">Ohio </w:t>
      </w:r>
      <w:r w:rsidRPr="001D7812" w:rsidR="000A2F77">
        <w:t>statutes</w:t>
      </w:r>
      <w:r w:rsidRPr="001D7812" w:rsidR="00621ECC">
        <w:t xml:space="preserve"> and </w:t>
      </w:r>
      <w:r w:rsidRPr="001D7812" w:rsidR="000A2F77">
        <w:t>Supreme Court</w:t>
      </w:r>
      <w:r w:rsidRPr="001D7812">
        <w:t xml:space="preserve"> precedent because</w:t>
      </w:r>
      <w:r w:rsidRPr="001D7812" w:rsidR="00621ECC">
        <w:t xml:space="preserve"> consumers who receive service during the last four years of the eight-year plan must pay for the programs even though they had no opportunity to enroll in or receive services under the programs.</w:t>
      </w:r>
      <w:r w:rsidRPr="001D7812" w:rsidR="00CE2F18">
        <w:t xml:space="preserve"> </w:t>
      </w:r>
      <w:r w:rsidRPr="001D7812" w:rsidR="000A2F77">
        <w:t>The programs are also unjust and unreasonable and contrary to PUCO precedent by allowing FirstEnergy</w:t>
      </w:r>
      <w:r w:rsidRPr="001D7812">
        <w:t xml:space="preserve"> to </w:t>
      </w:r>
      <w:r w:rsidRPr="001D7812" w:rsidR="009963FB">
        <w:t xml:space="preserve">charge consumers </w:t>
      </w:r>
      <w:r w:rsidRPr="001D7812">
        <w:t>for non-low-income e</w:t>
      </w:r>
      <w:r w:rsidRPr="001D7812" w:rsidR="00031AAE">
        <w:t xml:space="preserve">nergy </w:t>
      </w:r>
      <w:r w:rsidRPr="001D7812">
        <w:t>e</w:t>
      </w:r>
      <w:r w:rsidRPr="001D7812" w:rsidR="00031AAE">
        <w:t>fficiency</w:t>
      </w:r>
      <w:r w:rsidRPr="001D7812">
        <w:t xml:space="preserve"> and demand response programs which are widely available through the </w:t>
      </w:r>
      <w:r w:rsidRPr="001D7812">
        <w:t>competitive</w:t>
      </w:r>
      <w:r w:rsidRPr="001D7812">
        <w:t xml:space="preserve"> market.</w:t>
      </w:r>
      <w:bookmarkEnd w:id="25"/>
    </w:p>
    <w:p w:rsidR="00A879F7" w:rsidRPr="001D7812" w:rsidP="009417EA" w14:paraId="4555D128" w14:textId="08806439">
      <w:pPr>
        <w:spacing w:line="480" w:lineRule="auto"/>
        <w:ind w:firstLine="720"/>
        <w:rPr>
          <w:rFonts w:cs="Times New Roman"/>
          <w:szCs w:val="24"/>
        </w:rPr>
      </w:pPr>
      <w:r w:rsidRPr="001D7812">
        <w:rPr>
          <w:rFonts w:cs="Times New Roman"/>
          <w:szCs w:val="24"/>
        </w:rPr>
        <w:t>FirstEnergy</w:t>
      </w:r>
      <w:r w:rsidR="009F1383">
        <w:rPr>
          <w:rFonts w:cs="Times New Roman"/>
          <w:szCs w:val="24"/>
        </w:rPr>
        <w:t>’</w:t>
      </w:r>
      <w:r w:rsidRPr="001D7812">
        <w:rPr>
          <w:rFonts w:cs="Times New Roman"/>
          <w:szCs w:val="24"/>
        </w:rPr>
        <w:t xml:space="preserve">s Rider EEC proposal is unjust and unreasonable as well as inconsistent with </w:t>
      </w:r>
      <w:r w:rsidRPr="001D7812" w:rsidR="000A2F77">
        <w:rPr>
          <w:rFonts w:cs="Times New Roman"/>
          <w:szCs w:val="24"/>
        </w:rPr>
        <w:t>statutory law and applicable</w:t>
      </w:r>
      <w:r w:rsidRPr="001D7812">
        <w:rPr>
          <w:rFonts w:cs="Times New Roman"/>
          <w:szCs w:val="24"/>
        </w:rPr>
        <w:t xml:space="preserve"> </w:t>
      </w:r>
      <w:r w:rsidRPr="001D7812" w:rsidR="000A2F77">
        <w:rPr>
          <w:rFonts w:cs="Times New Roman"/>
          <w:szCs w:val="24"/>
        </w:rPr>
        <w:t>Supreme Court and PUCO rulings</w:t>
      </w:r>
      <w:r w:rsidRPr="001D7812">
        <w:rPr>
          <w:rFonts w:cs="Times New Roman"/>
          <w:szCs w:val="24"/>
        </w:rPr>
        <w:t>.</w:t>
      </w:r>
      <w:r w:rsidRPr="001D7812" w:rsidR="00CE2F18">
        <w:rPr>
          <w:rFonts w:cs="Times New Roman"/>
          <w:szCs w:val="24"/>
        </w:rPr>
        <w:t xml:space="preserve"> </w:t>
      </w:r>
      <w:r w:rsidRPr="001D7812" w:rsidR="000A2F77">
        <w:rPr>
          <w:rFonts w:cs="Times New Roman"/>
          <w:szCs w:val="24"/>
        </w:rPr>
        <w:t>The rider is discriminatory because consumers who receive service during the last four years of the electric security plan have no opportunity to receive services under the energy efficiency/demand response plan.</w:t>
      </w:r>
      <w:r w:rsidRPr="001D7812" w:rsidR="00CE2F18">
        <w:rPr>
          <w:rFonts w:cs="Times New Roman"/>
          <w:szCs w:val="24"/>
        </w:rPr>
        <w:t xml:space="preserve"> </w:t>
      </w:r>
      <w:r w:rsidRPr="001D7812" w:rsidR="000A2F77">
        <w:rPr>
          <w:rFonts w:cs="Times New Roman"/>
          <w:szCs w:val="24"/>
        </w:rPr>
        <w:t>Additionally, t</w:t>
      </w:r>
      <w:r w:rsidRPr="001D7812">
        <w:rPr>
          <w:rFonts w:cs="Times New Roman"/>
          <w:szCs w:val="24"/>
        </w:rPr>
        <w:t>h</w:t>
      </w:r>
      <w:r w:rsidRPr="001D7812" w:rsidR="000A2F77">
        <w:rPr>
          <w:rFonts w:cs="Times New Roman"/>
          <w:szCs w:val="24"/>
        </w:rPr>
        <w:t>e</w:t>
      </w:r>
      <w:r w:rsidRPr="001D7812">
        <w:rPr>
          <w:rFonts w:cs="Times New Roman"/>
          <w:szCs w:val="24"/>
        </w:rPr>
        <w:t xml:space="preserve"> rider seeks to charge consumers for the costs of providing energy efficiency and demand response services to non-low-income consumers.</w:t>
      </w:r>
      <w:r w:rsidRPr="001D7812" w:rsidR="00CE2F18">
        <w:rPr>
          <w:rFonts w:cs="Times New Roman"/>
          <w:szCs w:val="24"/>
        </w:rPr>
        <w:t xml:space="preserve"> </w:t>
      </w:r>
      <w:r w:rsidRPr="001D7812">
        <w:rPr>
          <w:rFonts w:cs="Times New Roman"/>
          <w:szCs w:val="24"/>
        </w:rPr>
        <w:t>The proposal is contrary to recent PUCO rulings that non-low-income energy efficiency and demand response services should be provided through the competitive market rather than programs operated by incumbent utilities with monopoly status.</w:t>
      </w:r>
      <w:r>
        <w:rPr>
          <w:rStyle w:val="FootnoteReference"/>
          <w:rFonts w:cs="Times New Roman"/>
          <w:szCs w:val="24"/>
        </w:rPr>
        <w:footnoteReference w:id="194"/>
      </w:r>
    </w:p>
    <w:p w:rsidR="00406490" w:rsidRPr="001D7812" w:rsidP="009417EA" w14:paraId="676BF475" w14:textId="2DE68CA0">
      <w:pPr>
        <w:spacing w:line="480" w:lineRule="auto"/>
        <w:ind w:firstLine="720"/>
        <w:rPr>
          <w:rFonts w:cs="Times New Roman"/>
          <w:szCs w:val="24"/>
        </w:rPr>
      </w:pPr>
      <w:r w:rsidRPr="001D7812">
        <w:rPr>
          <w:rFonts w:cs="Times New Roman"/>
          <w:szCs w:val="24"/>
        </w:rPr>
        <w:t xml:space="preserve">FirstEnergy Witness </w:t>
      </w:r>
      <w:r w:rsidRPr="001D7812" w:rsidR="0018263C">
        <w:rPr>
          <w:rFonts w:cs="Times New Roman"/>
          <w:szCs w:val="24"/>
        </w:rPr>
        <w:t>Edward Miller explains FirstEnergy</w:t>
      </w:r>
      <w:r w:rsidR="009F1383">
        <w:rPr>
          <w:rFonts w:cs="Times New Roman"/>
          <w:szCs w:val="24"/>
        </w:rPr>
        <w:t>’</w:t>
      </w:r>
      <w:r w:rsidRPr="001D7812" w:rsidR="0018263C">
        <w:rPr>
          <w:rFonts w:cs="Times New Roman"/>
          <w:szCs w:val="24"/>
        </w:rPr>
        <w:t>s proposed energy efficiency and demand response programs.</w:t>
      </w:r>
      <w:r>
        <w:rPr>
          <w:rStyle w:val="FootnoteReference"/>
          <w:rFonts w:cs="Times New Roman"/>
          <w:szCs w:val="24"/>
        </w:rPr>
        <w:footnoteReference w:id="195"/>
      </w:r>
      <w:r w:rsidRPr="001D7812" w:rsidR="0018263C">
        <w:rPr>
          <w:rFonts w:cs="Times New Roman"/>
          <w:szCs w:val="24"/>
        </w:rPr>
        <w:t xml:space="preserve"> Per Mr. Miller, FirstEnergy proposes to implement a four-year energy efficiency and demand response program comprised of four residential programs: Residential Rebates, Energy Education, Low Income Energy Efficiency, Demand Response for Residential, and one Commercial and Industrial program called Energy Solutions for Business.</w:t>
      </w:r>
      <w:r>
        <w:rPr>
          <w:rStyle w:val="FootnoteReference"/>
          <w:rFonts w:cs="Times New Roman"/>
          <w:szCs w:val="24"/>
        </w:rPr>
        <w:footnoteReference w:id="196"/>
      </w:r>
      <w:r w:rsidRPr="001D7812" w:rsidR="0018263C">
        <w:rPr>
          <w:rFonts w:cs="Times New Roman"/>
          <w:szCs w:val="24"/>
        </w:rPr>
        <w:t xml:space="preserve"> The total budget for all programs is approximately $72.1 million per year over the four-year term.</w:t>
      </w:r>
      <w:r>
        <w:rPr>
          <w:rStyle w:val="FootnoteReference"/>
          <w:rFonts w:cs="Times New Roman"/>
          <w:szCs w:val="24"/>
        </w:rPr>
        <w:footnoteReference w:id="197"/>
      </w:r>
    </w:p>
    <w:p w:rsidR="0018263C" w:rsidRPr="001D7812" w:rsidP="009417EA" w14:paraId="1B74CB7D" w14:textId="1E2E177B">
      <w:pPr>
        <w:spacing w:line="480" w:lineRule="auto"/>
        <w:ind w:firstLine="720"/>
        <w:rPr>
          <w:rFonts w:cs="Times New Roman"/>
          <w:szCs w:val="24"/>
        </w:rPr>
      </w:pPr>
      <w:r w:rsidRPr="001D7812">
        <w:rPr>
          <w:rFonts w:cs="Times New Roman"/>
          <w:szCs w:val="24"/>
        </w:rPr>
        <w:t>FirstEnergy proposes to use Rider EEC to collect the costs for these programs.</w:t>
      </w:r>
      <w:r>
        <w:rPr>
          <w:rStyle w:val="FootnoteReference"/>
          <w:rFonts w:cs="Times New Roman"/>
          <w:szCs w:val="24"/>
        </w:rPr>
        <w:footnoteReference w:id="198"/>
      </w:r>
      <w:r w:rsidRPr="001D7812" w:rsidR="00CE2F18">
        <w:rPr>
          <w:rFonts w:cs="Times New Roman"/>
          <w:szCs w:val="24"/>
        </w:rPr>
        <w:t xml:space="preserve"> </w:t>
      </w:r>
      <w:r w:rsidRPr="001D7812" w:rsidR="00165A6F">
        <w:rPr>
          <w:rFonts w:cs="Times New Roman"/>
          <w:szCs w:val="24"/>
        </w:rPr>
        <w:t>The energy efficiency and demand response programs, however, would only remain in effect for four years.</w:t>
      </w:r>
      <w:r>
        <w:rPr>
          <w:rStyle w:val="FootnoteReference"/>
          <w:rFonts w:cs="Times New Roman"/>
          <w:szCs w:val="24"/>
        </w:rPr>
        <w:footnoteReference w:id="199"/>
      </w:r>
      <w:r w:rsidRPr="001D7812" w:rsidR="00CE2F18">
        <w:rPr>
          <w:rFonts w:cs="Times New Roman"/>
          <w:szCs w:val="24"/>
        </w:rPr>
        <w:t xml:space="preserve"> </w:t>
      </w:r>
      <w:r w:rsidRPr="001D7812" w:rsidR="00B476F4">
        <w:rPr>
          <w:rFonts w:eastAsia="Times New Roman" w:cs="Times New Roman"/>
          <w:color w:val="000000" w:themeColor="text1"/>
          <w:szCs w:val="24"/>
        </w:rPr>
        <w:t>FirstEnergy</w:t>
      </w:r>
      <w:r w:rsidR="009F1383">
        <w:rPr>
          <w:rFonts w:eastAsia="Times New Roman" w:cs="Times New Roman"/>
          <w:color w:val="000000" w:themeColor="text1"/>
          <w:szCs w:val="24"/>
        </w:rPr>
        <w:t>’</w:t>
      </w:r>
      <w:r w:rsidRPr="001D7812" w:rsidR="00B476F4">
        <w:rPr>
          <w:rFonts w:eastAsia="Times New Roman" w:cs="Times New Roman"/>
          <w:color w:val="000000" w:themeColor="text1"/>
          <w:szCs w:val="24"/>
        </w:rPr>
        <w:t>s Rider EEC proposal is unreasonable because it would require all consumers to pay for the programs during the entire eight-year term of the electric security plan even though the services would only be available during the first four years of the plan.</w:t>
      </w:r>
      <w:r w:rsidRPr="001D7812" w:rsidR="00B476F4">
        <w:rPr>
          <w:rStyle w:val="FootnoteReference"/>
          <w:rFonts w:cs="Times New Roman"/>
          <w:szCs w:val="24"/>
        </w:rPr>
        <w:t xml:space="preserve"> </w:t>
      </w:r>
    </w:p>
    <w:p w:rsidR="00165A6F" w:rsidRPr="001D7812" w:rsidP="00DE123D" w14:paraId="08DFFC6A" w14:textId="08543B18">
      <w:pPr>
        <w:spacing w:line="480" w:lineRule="auto"/>
        <w:ind w:firstLine="720"/>
        <w:textAlignment w:val="baseline"/>
        <w:rPr>
          <w:rFonts w:eastAsia="Times New Roman" w:cs="Times New Roman"/>
          <w:color w:val="000000" w:themeColor="text1"/>
          <w:szCs w:val="24"/>
        </w:rPr>
      </w:pPr>
      <w:r w:rsidRPr="001D7812">
        <w:rPr>
          <w:rFonts w:eastAsia="Times New Roman" w:cs="Times New Roman"/>
          <w:color w:val="000000" w:themeColor="text1"/>
          <w:szCs w:val="24"/>
          <w:bdr w:val="none" w:sz="0" w:space="0" w:color="auto" w:frame="1"/>
        </w:rPr>
        <w:t>Under Ohio law, a utility cannot create unreasonable classifications among consumers when collecting rates</w:t>
      </w:r>
      <w:r w:rsidRPr="001D7812" w:rsidR="00EC1140">
        <w:rPr>
          <w:rFonts w:eastAsia="Times New Roman" w:cs="Times New Roman"/>
          <w:color w:val="000000" w:themeColor="text1"/>
          <w:szCs w:val="24"/>
          <w:bdr w:val="none" w:sz="0" w:space="0" w:color="auto" w:frame="1"/>
        </w:rPr>
        <w:t xml:space="preserve"> (</w:t>
      </w:r>
      <w:r w:rsidRPr="001D7812" w:rsidR="00EC1140">
        <w:rPr>
          <w:rFonts w:cs="Times New Roman"/>
          <w:szCs w:val="24"/>
        </w:rPr>
        <w:t>R.C. 4905.31)</w:t>
      </w:r>
      <w:r w:rsidRPr="001D7812">
        <w:rPr>
          <w:rFonts w:eastAsia="Times New Roman" w:cs="Times New Roman"/>
          <w:color w:val="000000" w:themeColor="text1"/>
          <w:szCs w:val="24"/>
          <w:bdr w:val="none" w:sz="0" w:space="0" w:color="auto" w:frame="1"/>
        </w:rPr>
        <w:t>.</w:t>
      </w:r>
      <w:r>
        <w:rPr>
          <w:rStyle w:val="FootnoteReference"/>
          <w:rFonts w:eastAsia="Times New Roman" w:cs="Times New Roman"/>
          <w:color w:val="000000" w:themeColor="text1"/>
          <w:szCs w:val="24"/>
          <w:bdr w:val="none" w:sz="0" w:space="0" w:color="auto" w:frame="1"/>
        </w:rPr>
        <w:footnoteReference w:id="200"/>
      </w:r>
      <w:r w:rsidRPr="001D7812" w:rsidR="00CE2F18">
        <w:rPr>
          <w:rFonts w:eastAsia="Times New Roman" w:cs="Times New Roman"/>
          <w:color w:val="000000" w:themeColor="text1"/>
          <w:szCs w:val="24"/>
          <w:bdr w:val="none" w:sz="0" w:space="0" w:color="auto" w:frame="1"/>
        </w:rPr>
        <w:t xml:space="preserve"> </w:t>
      </w:r>
      <w:r w:rsidRPr="001D7812">
        <w:rPr>
          <w:rFonts w:eastAsia="Times New Roman" w:cs="Times New Roman"/>
          <w:color w:val="000000" w:themeColor="text1"/>
          <w:szCs w:val="24"/>
          <w:bdr w:val="none" w:sz="0" w:space="0" w:color="auto" w:frame="1"/>
        </w:rPr>
        <w:t>Consumers in the same rate classification must receive the same opportunity to obtain services from the utility</w:t>
      </w:r>
      <w:r w:rsidRPr="001D7812" w:rsidR="00EC1140">
        <w:rPr>
          <w:rFonts w:eastAsia="Times New Roman" w:cs="Times New Roman"/>
          <w:color w:val="000000" w:themeColor="text1"/>
          <w:szCs w:val="24"/>
          <w:bdr w:val="none" w:sz="0" w:space="0" w:color="auto" w:frame="1"/>
        </w:rPr>
        <w:t xml:space="preserve"> (</w:t>
      </w:r>
      <w:r w:rsidRPr="001D7812" w:rsidR="00EC1140">
        <w:rPr>
          <w:rFonts w:cs="Times New Roman"/>
          <w:szCs w:val="24"/>
        </w:rPr>
        <w:t>R.C. 4909.33)</w:t>
      </w:r>
      <w:r w:rsidRPr="001D7812">
        <w:rPr>
          <w:rFonts w:eastAsia="Times New Roman" w:cs="Times New Roman"/>
          <w:color w:val="000000" w:themeColor="text1"/>
          <w:szCs w:val="24"/>
          <w:bdr w:val="none" w:sz="0" w:space="0" w:color="auto" w:frame="1"/>
        </w:rPr>
        <w:t>.</w:t>
      </w:r>
      <w:r w:rsidRPr="001D7812" w:rsidR="00CE2F18">
        <w:rPr>
          <w:rFonts w:eastAsia="Times New Roman" w:cs="Times New Roman"/>
          <w:color w:val="000000" w:themeColor="text1"/>
          <w:szCs w:val="24"/>
          <w:bdr w:val="none" w:sz="0" w:space="0" w:color="auto" w:frame="1"/>
        </w:rPr>
        <w:t xml:space="preserve"> </w:t>
      </w:r>
      <w:r w:rsidRPr="001D7812">
        <w:rPr>
          <w:rFonts w:eastAsia="Times New Roman" w:cs="Times New Roman"/>
          <w:color w:val="000000" w:themeColor="text1"/>
          <w:szCs w:val="24"/>
          <w:bdr w:val="none" w:sz="0" w:space="0" w:color="auto" w:frame="1"/>
        </w:rPr>
        <w:t>Utilities cannot implement rates which place any group of consumers at an unreasonable prejudice or disadvantage</w:t>
      </w:r>
      <w:r w:rsidRPr="001D7812" w:rsidR="00EC1140">
        <w:rPr>
          <w:rFonts w:eastAsia="Times New Roman" w:cs="Times New Roman"/>
          <w:color w:val="000000" w:themeColor="text1"/>
          <w:szCs w:val="24"/>
          <w:bdr w:val="none" w:sz="0" w:space="0" w:color="auto" w:frame="1"/>
        </w:rPr>
        <w:t xml:space="preserve"> (</w:t>
      </w:r>
      <w:r w:rsidRPr="001D7812" w:rsidR="00EC1140">
        <w:rPr>
          <w:rFonts w:cs="Times New Roman"/>
          <w:szCs w:val="24"/>
        </w:rPr>
        <w:t>R.C. 4909.35)</w:t>
      </w:r>
      <w:r w:rsidRPr="001D7812">
        <w:rPr>
          <w:rFonts w:eastAsia="Times New Roman" w:cs="Times New Roman"/>
          <w:color w:val="000000" w:themeColor="text1"/>
          <w:szCs w:val="24"/>
          <w:bdr w:val="none" w:sz="0" w:space="0" w:color="auto" w:frame="1"/>
        </w:rPr>
        <w:t>.</w:t>
      </w:r>
      <w:r w:rsidRPr="001D7812" w:rsidR="00CE2F18">
        <w:rPr>
          <w:rFonts w:eastAsia="Times New Roman" w:cs="Times New Roman"/>
          <w:color w:val="000000" w:themeColor="text1"/>
          <w:szCs w:val="24"/>
          <w:bdr w:val="none" w:sz="0" w:space="0" w:color="auto" w:frame="1"/>
        </w:rPr>
        <w:t xml:space="preserve"> </w:t>
      </w:r>
      <w:r w:rsidRPr="001D7812" w:rsidR="00EC1140">
        <w:rPr>
          <w:rFonts w:eastAsia="Times New Roman" w:cs="Times New Roman"/>
          <w:color w:val="000000" w:themeColor="text1"/>
          <w:szCs w:val="24"/>
          <w:bdr w:val="none" w:sz="0" w:space="0" w:color="auto" w:frame="1"/>
        </w:rPr>
        <w:t xml:space="preserve">Ohio law </w:t>
      </w:r>
      <w:r w:rsidRPr="001D7812">
        <w:rPr>
          <w:rFonts w:eastAsia="Times New Roman" w:cs="Times New Roman"/>
          <w:color w:val="000000" w:themeColor="text1"/>
          <w:szCs w:val="24"/>
          <w:bdr w:val="none" w:sz="0" w:space="0" w:color="auto" w:frame="1"/>
        </w:rPr>
        <w:t>do</w:t>
      </w:r>
      <w:r w:rsidRPr="001D7812" w:rsidR="00EC1140">
        <w:rPr>
          <w:rFonts w:eastAsia="Times New Roman" w:cs="Times New Roman"/>
          <w:color w:val="000000" w:themeColor="text1"/>
          <w:szCs w:val="24"/>
          <w:bdr w:val="none" w:sz="0" w:space="0" w:color="auto" w:frame="1"/>
        </w:rPr>
        <w:t>es</w:t>
      </w:r>
      <w:r w:rsidRPr="001D7812">
        <w:rPr>
          <w:rFonts w:eastAsia="Times New Roman" w:cs="Times New Roman"/>
          <w:color w:val="000000" w:themeColor="text1"/>
          <w:szCs w:val="24"/>
          <w:bdr w:val="none" w:sz="0" w:space="0" w:color="auto" w:frame="1"/>
        </w:rPr>
        <w:t xml:space="preserve"> not require absolute </w:t>
      </w:r>
      <w:r w:rsidRPr="001D7812">
        <w:rPr>
          <w:rFonts w:eastAsia="Times New Roman" w:cs="Times New Roman"/>
          <w:color w:val="000000" w:themeColor="text1"/>
          <w:szCs w:val="24"/>
        </w:rPr>
        <w:t>uniformity in rates or prices</w:t>
      </w:r>
      <w:r w:rsidRPr="001D7812" w:rsidR="00EC1140">
        <w:rPr>
          <w:rFonts w:eastAsia="Times New Roman" w:cs="Times New Roman"/>
          <w:color w:val="000000" w:themeColor="text1"/>
          <w:szCs w:val="24"/>
        </w:rPr>
        <w:t>. H</w:t>
      </w:r>
      <w:r w:rsidRPr="001D7812" w:rsidR="00045531">
        <w:rPr>
          <w:rFonts w:eastAsia="Times New Roman" w:cs="Times New Roman"/>
          <w:color w:val="000000" w:themeColor="text1"/>
          <w:szCs w:val="24"/>
        </w:rPr>
        <w:t xml:space="preserve">owever, any </w:t>
      </w:r>
      <w:r w:rsidRPr="001D7812">
        <w:rPr>
          <w:rFonts w:eastAsia="Times New Roman" w:cs="Times New Roman"/>
          <w:color w:val="000000" w:themeColor="text1"/>
          <w:szCs w:val="24"/>
        </w:rPr>
        <w:t xml:space="preserve">differential or inequality </w:t>
      </w:r>
      <w:r w:rsidRPr="001D7812" w:rsidR="00045531">
        <w:rPr>
          <w:rFonts w:eastAsia="Times New Roman" w:cs="Times New Roman"/>
          <w:color w:val="000000" w:themeColor="text1"/>
          <w:szCs w:val="24"/>
        </w:rPr>
        <w:t xml:space="preserve">in treatment must be </w:t>
      </w:r>
      <w:r w:rsidRPr="001D7812">
        <w:rPr>
          <w:rFonts w:eastAsia="Times New Roman" w:cs="Times New Roman"/>
          <w:color w:val="000000" w:themeColor="text1"/>
          <w:szCs w:val="24"/>
        </w:rPr>
        <w:t>based upon some actual and measurable differences in the furnishing of services to the consumer.</w:t>
      </w:r>
      <w:r w:rsidR="009F1383">
        <w:rPr>
          <w:rFonts w:eastAsia="Times New Roman" w:cs="Times New Roman"/>
          <w:color w:val="000000" w:themeColor="text1"/>
          <w:szCs w:val="24"/>
        </w:rPr>
        <w:t>”</w:t>
      </w:r>
      <w:r>
        <w:rPr>
          <w:rStyle w:val="FootnoteReference"/>
          <w:rFonts w:eastAsia="Times New Roman" w:cs="Times New Roman"/>
          <w:color w:val="000000" w:themeColor="text1"/>
          <w:szCs w:val="24"/>
        </w:rPr>
        <w:footnoteReference w:id="201"/>
      </w:r>
      <w:r w:rsidRPr="001D7812">
        <w:rPr>
          <w:rFonts w:eastAsia="Times New Roman" w:cs="Times New Roman"/>
          <w:color w:val="000000" w:themeColor="text1"/>
          <w:szCs w:val="24"/>
        </w:rPr>
        <w:t xml:space="preserve"> </w:t>
      </w:r>
    </w:p>
    <w:p w:rsidR="009417EA" w:rsidRPr="001D7812" w:rsidP="009417EA" w14:paraId="2AD50AD1" w14:textId="79AF45AB">
      <w:pPr>
        <w:spacing w:line="480" w:lineRule="auto"/>
        <w:ind w:firstLine="720"/>
        <w:rPr>
          <w:rFonts w:cs="Times New Roman"/>
          <w:szCs w:val="24"/>
        </w:rPr>
      </w:pPr>
      <w:r w:rsidRPr="001D7812">
        <w:rPr>
          <w:rFonts w:cs="Times New Roman"/>
          <w:szCs w:val="24"/>
        </w:rPr>
        <w:t>FirstEnergy</w:t>
      </w:r>
      <w:r w:rsidR="009F1383">
        <w:rPr>
          <w:rFonts w:cs="Times New Roman"/>
          <w:szCs w:val="24"/>
        </w:rPr>
        <w:t>’</w:t>
      </w:r>
      <w:r w:rsidRPr="001D7812">
        <w:rPr>
          <w:rFonts w:cs="Times New Roman"/>
          <w:szCs w:val="24"/>
        </w:rPr>
        <w:t>s Rider EEC proposal also violates PUCO precedent holding that non-low-income energy efficiency/demand response programs should be provided through the competitive market rather than entrenched incumbent monopoly utilities.</w:t>
      </w:r>
      <w:r>
        <w:rPr>
          <w:rStyle w:val="FootnoteReference"/>
          <w:rFonts w:cs="Times New Roman"/>
          <w:szCs w:val="24"/>
        </w:rPr>
        <w:footnoteReference w:id="202"/>
      </w:r>
      <w:r w:rsidRPr="001D7812" w:rsidR="00CE2F18">
        <w:rPr>
          <w:rFonts w:cs="Times New Roman"/>
          <w:szCs w:val="24"/>
        </w:rPr>
        <w:t xml:space="preserve"> </w:t>
      </w:r>
      <w:r w:rsidRPr="001D7812">
        <w:rPr>
          <w:rFonts w:cs="Times New Roman"/>
          <w:szCs w:val="24"/>
        </w:rPr>
        <w:t xml:space="preserve">OCC witness Shutrump testified that </w:t>
      </w:r>
      <w:r w:rsidR="009F1383">
        <w:rPr>
          <w:rFonts w:cs="Times New Roman"/>
          <w:szCs w:val="24"/>
        </w:rPr>
        <w:t>“</w:t>
      </w:r>
      <w:r w:rsidRPr="001D7812">
        <w:rPr>
          <w:rFonts w:cs="Times New Roman"/>
          <w:szCs w:val="24"/>
        </w:rPr>
        <w:t xml:space="preserve">PUCO rulings have increasingly relied on competitive markets for energy efficiency instead of utility programs, finding that the market for energy efficiency services has developed to the extent that </w:t>
      </w:r>
      <w:r w:rsidR="009F1383">
        <w:rPr>
          <w:rFonts w:cs="Times New Roman"/>
          <w:szCs w:val="24"/>
        </w:rPr>
        <w:t>‘</w:t>
      </w:r>
      <w:r w:rsidRPr="001D7812">
        <w:rPr>
          <w:rFonts w:cs="Times New Roman"/>
          <w:szCs w:val="24"/>
        </w:rPr>
        <w:t>consumers should be aware of and sufficiently knowledgeable to explore the availability</w:t>
      </w:r>
      <w:r w:rsidR="009F1383">
        <w:rPr>
          <w:rFonts w:cs="Times New Roman"/>
          <w:szCs w:val="24"/>
        </w:rPr>
        <w:t>’</w:t>
      </w:r>
      <w:r w:rsidRPr="001D7812">
        <w:rPr>
          <w:rFonts w:cs="Times New Roman"/>
          <w:szCs w:val="24"/>
        </w:rPr>
        <w:t xml:space="preserve"> and benefits of energy efficiency through the competitive market.</w:t>
      </w:r>
      <w:r w:rsidR="009F1383">
        <w:rPr>
          <w:rFonts w:cs="Times New Roman"/>
          <w:szCs w:val="24"/>
        </w:rPr>
        <w:t>”</w:t>
      </w:r>
      <w:r>
        <w:rPr>
          <w:rFonts w:cs="Times New Roman"/>
          <w:szCs w:val="24"/>
          <w:vertAlign w:val="superscript"/>
        </w:rPr>
        <w:footnoteReference w:id="203"/>
      </w:r>
      <w:r w:rsidRPr="001D7812" w:rsidR="00CE2F18">
        <w:rPr>
          <w:rFonts w:cs="Times New Roman"/>
          <w:szCs w:val="24"/>
        </w:rPr>
        <w:t xml:space="preserve"> </w:t>
      </w:r>
      <w:r w:rsidRPr="001D7812" w:rsidR="00370BA6">
        <w:rPr>
          <w:rFonts w:cs="Times New Roman"/>
          <w:szCs w:val="24"/>
        </w:rPr>
        <w:t xml:space="preserve">Ms. </w:t>
      </w:r>
      <w:r w:rsidRPr="001D7812">
        <w:rPr>
          <w:rFonts w:cs="Times New Roman"/>
          <w:szCs w:val="24"/>
        </w:rPr>
        <w:t xml:space="preserve">Shutrump </w:t>
      </w:r>
      <w:r w:rsidRPr="001D7812" w:rsidR="00370BA6">
        <w:rPr>
          <w:rFonts w:cs="Times New Roman"/>
          <w:szCs w:val="24"/>
        </w:rPr>
        <w:t>further stated</w:t>
      </w:r>
      <w:r w:rsidRPr="001D7812">
        <w:rPr>
          <w:rFonts w:cs="Times New Roman"/>
          <w:szCs w:val="24"/>
        </w:rPr>
        <w:t xml:space="preserve"> that it would be consistent with the PUCO</w:t>
      </w:r>
      <w:r w:rsidR="009F1383">
        <w:rPr>
          <w:rFonts w:cs="Times New Roman"/>
          <w:szCs w:val="24"/>
        </w:rPr>
        <w:t>’</w:t>
      </w:r>
      <w:r w:rsidRPr="001D7812">
        <w:rPr>
          <w:rFonts w:cs="Times New Roman"/>
          <w:szCs w:val="24"/>
        </w:rPr>
        <w:t>s recent finding</w:t>
      </w:r>
      <w:r w:rsidRPr="001D7812" w:rsidR="00370BA6">
        <w:rPr>
          <w:rFonts w:cs="Times New Roman"/>
          <w:szCs w:val="24"/>
        </w:rPr>
        <w:t>s</w:t>
      </w:r>
      <w:r w:rsidRPr="001D7812">
        <w:rPr>
          <w:rFonts w:cs="Times New Roman"/>
          <w:szCs w:val="24"/>
        </w:rPr>
        <w:t xml:space="preserve"> and that </w:t>
      </w:r>
      <w:r w:rsidR="009F1383">
        <w:rPr>
          <w:rFonts w:cs="Times New Roman"/>
          <w:szCs w:val="24"/>
        </w:rPr>
        <w:t>“</w:t>
      </w:r>
      <w:r w:rsidRPr="001D7812">
        <w:rPr>
          <w:rFonts w:cs="Times New Roman"/>
          <w:szCs w:val="24"/>
        </w:rPr>
        <w:t>the PUCO should reject FirstEnergy</w:t>
      </w:r>
      <w:r w:rsidR="009F1383">
        <w:rPr>
          <w:rFonts w:cs="Times New Roman"/>
          <w:szCs w:val="24"/>
        </w:rPr>
        <w:t>’</w:t>
      </w:r>
      <w:r w:rsidRPr="001D7812">
        <w:rPr>
          <w:rFonts w:cs="Times New Roman"/>
          <w:szCs w:val="24"/>
        </w:rPr>
        <w:t>s proposal to charge consumers for non-low-income energy efficiency programs. And the PUCO should provide important consumer protections related to FirstEnergy</w:t>
      </w:r>
      <w:r w:rsidR="009F1383">
        <w:rPr>
          <w:rFonts w:cs="Times New Roman"/>
          <w:szCs w:val="24"/>
        </w:rPr>
        <w:t>’</w:t>
      </w:r>
      <w:r w:rsidRPr="001D7812">
        <w:rPr>
          <w:rFonts w:cs="Times New Roman"/>
          <w:szCs w:val="24"/>
        </w:rPr>
        <w:t>s low-income program.</w:t>
      </w:r>
      <w:r w:rsidR="009F1383">
        <w:rPr>
          <w:rFonts w:cs="Times New Roman"/>
          <w:szCs w:val="24"/>
        </w:rPr>
        <w:t>”</w:t>
      </w:r>
      <w:r>
        <w:rPr>
          <w:rFonts w:cs="Times New Roman"/>
          <w:szCs w:val="24"/>
          <w:vertAlign w:val="superscript"/>
        </w:rPr>
        <w:footnoteReference w:id="204"/>
      </w:r>
    </w:p>
    <w:p w:rsidR="009417EA" w:rsidRPr="001D7812" w:rsidP="009417EA" w14:paraId="4A0CB962" w14:textId="06ED6ED0">
      <w:pPr>
        <w:spacing w:line="480" w:lineRule="auto"/>
        <w:ind w:firstLine="720"/>
        <w:rPr>
          <w:rFonts w:cs="Times New Roman"/>
          <w:szCs w:val="24"/>
        </w:rPr>
      </w:pPr>
      <w:r w:rsidRPr="001D7812">
        <w:rPr>
          <w:rFonts w:cs="Times New Roman"/>
          <w:szCs w:val="24"/>
        </w:rPr>
        <w:t>In this proceeding, FirstEnergy is asking consumers to pay $99.6 million for non-low income energy efficiency programs (total residential program cost of $134 million minus low-income program cost of $34.4 million).</w:t>
      </w:r>
      <w:r>
        <w:rPr>
          <w:rFonts w:cs="Times New Roman"/>
          <w:szCs w:val="24"/>
          <w:vertAlign w:val="superscript"/>
        </w:rPr>
        <w:footnoteReference w:id="205"/>
      </w:r>
      <w:r w:rsidRPr="001D7812" w:rsidR="00CE2F18">
        <w:rPr>
          <w:rFonts w:cs="Times New Roman"/>
          <w:szCs w:val="24"/>
        </w:rPr>
        <w:t xml:space="preserve"> </w:t>
      </w:r>
      <w:r w:rsidRPr="001D7812">
        <w:rPr>
          <w:rFonts w:cs="Times New Roman"/>
          <w:szCs w:val="24"/>
        </w:rPr>
        <w:t xml:space="preserve">These charges to consumers </w:t>
      </w:r>
      <w:r w:rsidRPr="001D7812" w:rsidR="00AA3515">
        <w:rPr>
          <w:rFonts w:cs="Times New Roman"/>
          <w:szCs w:val="24"/>
        </w:rPr>
        <w:t>are im</w:t>
      </w:r>
      <w:r w:rsidRPr="001D7812">
        <w:rPr>
          <w:rFonts w:cs="Times New Roman"/>
          <w:szCs w:val="24"/>
        </w:rPr>
        <w:t xml:space="preserve">proper because </w:t>
      </w:r>
      <w:r w:rsidR="009F1383">
        <w:rPr>
          <w:rFonts w:cs="Times New Roman"/>
          <w:szCs w:val="24"/>
        </w:rPr>
        <w:t>“</w:t>
      </w:r>
      <w:r w:rsidRPr="001D7812">
        <w:rPr>
          <w:rFonts w:cs="Times New Roman"/>
          <w:szCs w:val="24"/>
        </w:rPr>
        <w:t>these programs are not benefiting all consumers and should not be subsidized by utility consumers.</w:t>
      </w:r>
      <w:r w:rsidR="009F1383">
        <w:rPr>
          <w:rFonts w:cs="Times New Roman"/>
          <w:szCs w:val="24"/>
        </w:rPr>
        <w:t>”</w:t>
      </w:r>
      <w:r>
        <w:rPr>
          <w:rFonts w:cs="Times New Roman"/>
          <w:szCs w:val="24"/>
          <w:vertAlign w:val="superscript"/>
        </w:rPr>
        <w:footnoteReference w:id="206"/>
      </w:r>
      <w:r w:rsidRPr="001D7812" w:rsidR="00CE2F18">
        <w:rPr>
          <w:rFonts w:cs="Times New Roman"/>
          <w:szCs w:val="24"/>
        </w:rPr>
        <w:t xml:space="preserve"> </w:t>
      </w:r>
      <w:r w:rsidRPr="001D7812">
        <w:rPr>
          <w:rFonts w:cs="Times New Roman"/>
          <w:szCs w:val="24"/>
        </w:rPr>
        <w:t xml:space="preserve">As it </w:t>
      </w:r>
      <w:r w:rsidRPr="001D7812" w:rsidR="0008428C">
        <w:rPr>
          <w:rFonts w:cs="Times New Roman"/>
          <w:szCs w:val="24"/>
        </w:rPr>
        <w:t xml:space="preserve">currently </w:t>
      </w:r>
      <w:r w:rsidRPr="001D7812">
        <w:rPr>
          <w:rFonts w:cs="Times New Roman"/>
          <w:szCs w:val="24"/>
        </w:rPr>
        <w:t>stands, Ohio electric</w:t>
      </w:r>
      <w:r w:rsidRPr="001D7812" w:rsidR="0008428C">
        <w:rPr>
          <w:rFonts w:cs="Times New Roman"/>
          <w:szCs w:val="24"/>
        </w:rPr>
        <w:t xml:space="preserve"> </w:t>
      </w:r>
      <w:r w:rsidRPr="001D7812">
        <w:rPr>
          <w:rFonts w:cs="Times New Roman"/>
          <w:szCs w:val="24"/>
        </w:rPr>
        <w:t xml:space="preserve">utilities </w:t>
      </w:r>
      <w:r w:rsidRPr="001D7812" w:rsidR="0008428C">
        <w:rPr>
          <w:rFonts w:cs="Times New Roman"/>
          <w:szCs w:val="24"/>
        </w:rPr>
        <w:t>do not</w:t>
      </w:r>
      <w:r w:rsidRPr="001D7812">
        <w:rPr>
          <w:rFonts w:cs="Times New Roman"/>
          <w:szCs w:val="24"/>
        </w:rPr>
        <w:t xml:space="preserve"> provide energy efficiency services to non-low-income consumers.</w:t>
      </w:r>
      <w:r>
        <w:rPr>
          <w:rFonts w:cs="Times New Roman"/>
          <w:szCs w:val="24"/>
          <w:vertAlign w:val="superscript"/>
        </w:rPr>
        <w:footnoteReference w:id="207"/>
      </w:r>
      <w:r w:rsidRPr="001D7812" w:rsidR="00CE2F18">
        <w:rPr>
          <w:rFonts w:cs="Times New Roman"/>
          <w:szCs w:val="24"/>
        </w:rPr>
        <w:t xml:space="preserve"> </w:t>
      </w:r>
      <w:r w:rsidRPr="001D7812">
        <w:rPr>
          <w:rFonts w:cs="Times New Roman"/>
          <w:szCs w:val="24"/>
        </w:rPr>
        <w:t xml:space="preserve">However, </w:t>
      </w:r>
      <w:r w:rsidR="009F1383">
        <w:rPr>
          <w:rFonts w:cs="Times New Roman"/>
          <w:szCs w:val="24"/>
        </w:rPr>
        <w:t>“</w:t>
      </w:r>
      <w:r w:rsidRPr="001D7812">
        <w:rPr>
          <w:rFonts w:cs="Times New Roman"/>
          <w:szCs w:val="24"/>
        </w:rPr>
        <w:t>Home Depot and other retailers compete in the free market because consumers demand energy efficient products and services even when no rebates are available from their utility. Home Depot and other retailers offer non-subsidized energy efficient products and services where only the participant pays.</w:t>
      </w:r>
      <w:r w:rsidR="009F1383">
        <w:rPr>
          <w:rFonts w:cs="Times New Roman"/>
          <w:szCs w:val="24"/>
        </w:rPr>
        <w:t>”</w:t>
      </w:r>
      <w:r>
        <w:rPr>
          <w:rFonts w:cs="Times New Roman"/>
          <w:szCs w:val="24"/>
          <w:vertAlign w:val="superscript"/>
        </w:rPr>
        <w:footnoteReference w:id="208"/>
      </w:r>
    </w:p>
    <w:p w:rsidR="009417EA" w:rsidRPr="001D7812" w:rsidP="009417EA" w14:paraId="6530CD0D" w14:textId="75FD0D7E">
      <w:pPr>
        <w:spacing w:line="480" w:lineRule="auto"/>
        <w:ind w:firstLine="720"/>
        <w:rPr>
          <w:rFonts w:cs="Times New Roman"/>
          <w:szCs w:val="24"/>
        </w:rPr>
      </w:pPr>
      <w:r w:rsidRPr="001D7812">
        <w:rPr>
          <w:rFonts w:cs="Times New Roman"/>
          <w:szCs w:val="24"/>
        </w:rPr>
        <w:t xml:space="preserve">Ms. Shutrump </w:t>
      </w:r>
      <w:r w:rsidRPr="001D7812" w:rsidR="00C41F0E">
        <w:rPr>
          <w:rFonts w:cs="Times New Roman"/>
          <w:szCs w:val="24"/>
        </w:rPr>
        <w:t>also explained</w:t>
      </w:r>
      <w:r w:rsidRPr="001D7812">
        <w:rPr>
          <w:rFonts w:cs="Times New Roman"/>
          <w:szCs w:val="24"/>
        </w:rPr>
        <w:t xml:space="preserve"> that </w:t>
      </w:r>
      <w:r w:rsidR="009F1383">
        <w:rPr>
          <w:rFonts w:cs="Times New Roman"/>
          <w:szCs w:val="24"/>
        </w:rPr>
        <w:t>“</w:t>
      </w:r>
      <w:r w:rsidRPr="001D7812">
        <w:rPr>
          <w:rFonts w:cs="Times New Roman"/>
          <w:szCs w:val="24"/>
        </w:rPr>
        <w:t>consumers would not benefit from FirstEnergy</w:t>
      </w:r>
      <w:r w:rsidR="009F1383">
        <w:rPr>
          <w:rFonts w:cs="Times New Roman"/>
          <w:szCs w:val="24"/>
        </w:rPr>
        <w:t>’</w:t>
      </w:r>
      <w:r w:rsidRPr="001D7812">
        <w:rPr>
          <w:rFonts w:cs="Times New Roman"/>
          <w:szCs w:val="24"/>
        </w:rPr>
        <w:t>s additional programs because those programs are laden with costs that are not generally passed onto consumers in the competitive market. For instance, 58% of FirstEnergy</w:t>
      </w:r>
      <w:r w:rsidR="009F1383">
        <w:rPr>
          <w:rFonts w:cs="Times New Roman"/>
          <w:szCs w:val="24"/>
        </w:rPr>
        <w:t>’</w:t>
      </w:r>
      <w:r w:rsidRPr="001D7812">
        <w:rPr>
          <w:rFonts w:cs="Times New Roman"/>
          <w:szCs w:val="24"/>
        </w:rPr>
        <w:t>s program budget is for things that do not reduce usage for the participating customer.</w:t>
      </w:r>
      <w:r w:rsidR="009F1383">
        <w:rPr>
          <w:rFonts w:cs="Times New Roman"/>
          <w:szCs w:val="24"/>
        </w:rPr>
        <w:t>”</w:t>
      </w:r>
      <w:r>
        <w:rPr>
          <w:rFonts w:cs="Times New Roman"/>
          <w:szCs w:val="24"/>
          <w:vertAlign w:val="superscript"/>
        </w:rPr>
        <w:footnoteReference w:id="209"/>
      </w:r>
      <w:r w:rsidRPr="001D7812">
        <w:rPr>
          <w:rFonts w:cs="Times New Roman"/>
          <w:szCs w:val="24"/>
        </w:rPr>
        <w:t xml:space="preserve"> Further, </w:t>
      </w:r>
      <w:r w:rsidRPr="001D7812" w:rsidR="00402241">
        <w:rPr>
          <w:rFonts w:cs="Times New Roman"/>
          <w:szCs w:val="24"/>
        </w:rPr>
        <w:t xml:space="preserve">Ms. Shutrump explained that </w:t>
      </w:r>
      <w:r w:rsidR="009F1383">
        <w:rPr>
          <w:rFonts w:cs="Times New Roman"/>
          <w:szCs w:val="24"/>
        </w:rPr>
        <w:t>“</w:t>
      </w:r>
      <w:r w:rsidRPr="001D7812">
        <w:rPr>
          <w:rFonts w:cs="Times New Roman"/>
          <w:szCs w:val="24"/>
        </w:rPr>
        <w:t>non-participating consumers will not benefit because 100% of the EEC charge on their bill goes to support participants. Conversely all consumers benefit from energy efficiency in the marketplace because those that don</w:t>
      </w:r>
      <w:r w:rsidR="009F1383">
        <w:rPr>
          <w:rFonts w:cs="Times New Roman"/>
          <w:szCs w:val="24"/>
        </w:rPr>
        <w:t>’</w:t>
      </w:r>
      <w:r w:rsidRPr="001D7812">
        <w:rPr>
          <w:rFonts w:cs="Times New Roman"/>
          <w:szCs w:val="24"/>
        </w:rPr>
        <w:t>t participate don</w:t>
      </w:r>
      <w:r w:rsidR="009F1383">
        <w:rPr>
          <w:rFonts w:cs="Times New Roman"/>
          <w:szCs w:val="24"/>
        </w:rPr>
        <w:t>’</w:t>
      </w:r>
      <w:r w:rsidRPr="001D7812">
        <w:rPr>
          <w:rFonts w:cs="Times New Roman"/>
          <w:szCs w:val="24"/>
        </w:rPr>
        <w:t>t pay for those that do participate.</w:t>
      </w:r>
      <w:r w:rsidR="009F1383">
        <w:rPr>
          <w:rFonts w:cs="Times New Roman"/>
          <w:szCs w:val="24"/>
        </w:rPr>
        <w:t>”</w:t>
      </w:r>
      <w:r>
        <w:rPr>
          <w:rFonts w:cs="Times New Roman"/>
          <w:szCs w:val="24"/>
          <w:vertAlign w:val="superscript"/>
        </w:rPr>
        <w:footnoteReference w:id="210"/>
      </w:r>
    </w:p>
    <w:p w:rsidR="009417EA" w:rsidRPr="001D7812" w:rsidP="009417EA" w14:paraId="1C374D82" w14:textId="573BBD61">
      <w:pPr>
        <w:spacing w:line="480" w:lineRule="auto"/>
        <w:ind w:firstLine="720"/>
        <w:rPr>
          <w:rFonts w:cs="Times New Roman"/>
          <w:szCs w:val="24"/>
        </w:rPr>
      </w:pPr>
      <w:r w:rsidRPr="001D7812">
        <w:rPr>
          <w:rFonts w:cs="Times New Roman"/>
          <w:szCs w:val="24"/>
        </w:rPr>
        <w:t xml:space="preserve">This </w:t>
      </w:r>
      <w:r w:rsidRPr="001D7812" w:rsidR="0008428C">
        <w:rPr>
          <w:rFonts w:cs="Times New Roman"/>
          <w:szCs w:val="24"/>
        </w:rPr>
        <w:t>spending</w:t>
      </w:r>
      <w:r w:rsidRPr="001D7812">
        <w:rPr>
          <w:rFonts w:cs="Times New Roman"/>
          <w:szCs w:val="24"/>
        </w:rPr>
        <w:t xml:space="preserve"> by FirstEnergy in an energy storage project would create the opportunity for the utility to own distributed energy resources behind the meter.</w:t>
      </w:r>
      <w:r>
        <w:rPr>
          <w:rFonts w:cs="Times New Roman"/>
          <w:szCs w:val="24"/>
          <w:vertAlign w:val="superscript"/>
        </w:rPr>
        <w:footnoteReference w:id="211"/>
      </w:r>
      <w:r w:rsidRPr="001D7812">
        <w:rPr>
          <w:rFonts w:cs="Times New Roman"/>
          <w:szCs w:val="24"/>
        </w:rPr>
        <w:t xml:space="preserve"> Ms. Shutrump </w:t>
      </w:r>
      <w:r w:rsidRPr="001D7812" w:rsidR="00C41F0E">
        <w:rPr>
          <w:rFonts w:cs="Times New Roman"/>
          <w:szCs w:val="24"/>
        </w:rPr>
        <w:t>recommends</w:t>
      </w:r>
      <w:r w:rsidRPr="001D7812">
        <w:rPr>
          <w:rFonts w:cs="Times New Roman"/>
          <w:szCs w:val="24"/>
        </w:rPr>
        <w:t xml:space="preserve"> that that PUCO should reject his proposal because </w:t>
      </w:r>
      <w:r w:rsidR="009F1383">
        <w:rPr>
          <w:rFonts w:cs="Times New Roman"/>
          <w:szCs w:val="24"/>
        </w:rPr>
        <w:t>“</w:t>
      </w:r>
      <w:r w:rsidRPr="001D7812" w:rsidR="008826F8">
        <w:rPr>
          <w:rFonts w:cs="Times New Roman"/>
          <w:szCs w:val="24"/>
        </w:rPr>
        <w:t>[</w:t>
      </w:r>
      <w:r w:rsidRPr="001D7812" w:rsidR="00C41F0E">
        <w:rPr>
          <w:rFonts w:cs="Times New Roman"/>
          <w:szCs w:val="24"/>
        </w:rPr>
        <w:t>b</w:t>
      </w:r>
      <w:r w:rsidRPr="001D7812" w:rsidR="008826F8">
        <w:rPr>
          <w:rFonts w:cs="Times New Roman"/>
          <w:szCs w:val="24"/>
        </w:rPr>
        <w:t>]</w:t>
      </w:r>
      <w:r w:rsidRPr="001D7812">
        <w:rPr>
          <w:rFonts w:cs="Times New Roman"/>
          <w:szCs w:val="24"/>
        </w:rPr>
        <w:t>ehind the meter investments should be made in the market, not by a regulated utility that earns a return on (and of) that investment in rates charged to utility consumers.</w:t>
      </w:r>
      <w:r w:rsidR="009F1383">
        <w:rPr>
          <w:rFonts w:cs="Times New Roman"/>
          <w:szCs w:val="24"/>
        </w:rPr>
        <w:t>”</w:t>
      </w:r>
      <w:r>
        <w:rPr>
          <w:rFonts w:cs="Times New Roman"/>
          <w:szCs w:val="24"/>
          <w:vertAlign w:val="superscript"/>
        </w:rPr>
        <w:footnoteReference w:id="212"/>
      </w:r>
    </w:p>
    <w:p w:rsidR="009417EA" w:rsidRPr="001D7812" w:rsidP="002F4A6E" w14:paraId="10A52947" w14:textId="770265A0">
      <w:pPr>
        <w:spacing w:line="480" w:lineRule="auto"/>
        <w:ind w:firstLine="720"/>
        <w:rPr>
          <w:rFonts w:cs="Times New Roman"/>
          <w:szCs w:val="24"/>
        </w:rPr>
      </w:pPr>
      <w:r w:rsidRPr="001D7812">
        <w:rPr>
          <w:rFonts w:cs="Times New Roman"/>
          <w:szCs w:val="24"/>
        </w:rPr>
        <w:t>Ms. Shutrump recommended that t</w:t>
      </w:r>
      <w:r w:rsidRPr="001D7812">
        <w:rPr>
          <w:rFonts w:cs="Times New Roman"/>
          <w:szCs w:val="24"/>
        </w:rPr>
        <w:t xml:space="preserve">he PUCO </w:t>
      </w:r>
      <w:r w:rsidRPr="001D7812">
        <w:rPr>
          <w:rFonts w:cs="Times New Roman"/>
          <w:szCs w:val="24"/>
        </w:rPr>
        <w:t>reject FirstEnergy</w:t>
      </w:r>
      <w:r w:rsidR="009F1383">
        <w:rPr>
          <w:rFonts w:cs="Times New Roman"/>
          <w:szCs w:val="24"/>
        </w:rPr>
        <w:t>’</w:t>
      </w:r>
      <w:r w:rsidRPr="001D7812">
        <w:rPr>
          <w:rFonts w:cs="Times New Roman"/>
          <w:szCs w:val="24"/>
        </w:rPr>
        <w:t>s Rider EEC proposal</w:t>
      </w:r>
      <w:r w:rsidRPr="001D7812">
        <w:rPr>
          <w:rFonts w:cs="Times New Roman"/>
          <w:szCs w:val="24"/>
        </w:rPr>
        <w:t xml:space="preserve"> because the</w:t>
      </w:r>
      <w:r w:rsidRPr="001D7812">
        <w:rPr>
          <w:rFonts w:cs="Times New Roman"/>
          <w:szCs w:val="24"/>
        </w:rPr>
        <w:t xml:space="preserve"> PUCO has previously ruled</w:t>
      </w:r>
      <w:r w:rsidRPr="001D7812">
        <w:rPr>
          <w:rFonts w:cs="Times New Roman"/>
          <w:szCs w:val="24"/>
        </w:rPr>
        <w:t xml:space="preserve"> that the competitive markets should play a more significant role in energy efficiency services.</w:t>
      </w:r>
      <w:r>
        <w:rPr>
          <w:rFonts w:cs="Times New Roman"/>
          <w:szCs w:val="24"/>
          <w:vertAlign w:val="superscript"/>
        </w:rPr>
        <w:footnoteReference w:id="213"/>
      </w:r>
      <w:r w:rsidRPr="001D7812">
        <w:rPr>
          <w:rFonts w:cs="Times New Roman"/>
          <w:szCs w:val="24"/>
        </w:rPr>
        <w:t xml:space="preserve"> Non-low-income energy efficiency programs funded by utility consumers should end because the competitive market is already providing energy efficiency to consumers.</w:t>
      </w:r>
      <w:r>
        <w:rPr>
          <w:rFonts w:cs="Times New Roman"/>
          <w:szCs w:val="24"/>
          <w:vertAlign w:val="superscript"/>
        </w:rPr>
        <w:footnoteReference w:id="214"/>
      </w:r>
      <w:r w:rsidRPr="001D7812">
        <w:rPr>
          <w:rFonts w:cs="Times New Roman"/>
          <w:szCs w:val="24"/>
        </w:rPr>
        <w:t xml:space="preserve"> </w:t>
      </w:r>
      <w:r w:rsidRPr="001D7812">
        <w:rPr>
          <w:rFonts w:cs="Times New Roman"/>
          <w:szCs w:val="24"/>
        </w:rPr>
        <w:t>Ms. Shutrump supported FirstEnergy</w:t>
      </w:r>
      <w:r w:rsidR="009F1383">
        <w:rPr>
          <w:rFonts w:cs="Times New Roman"/>
          <w:szCs w:val="24"/>
        </w:rPr>
        <w:t>’</w:t>
      </w:r>
      <w:r w:rsidRPr="001D7812">
        <w:rPr>
          <w:rFonts w:cs="Times New Roman"/>
          <w:szCs w:val="24"/>
        </w:rPr>
        <w:t>s proposed</w:t>
      </w:r>
      <w:r w:rsidRPr="001D7812">
        <w:rPr>
          <w:rFonts w:cs="Times New Roman"/>
          <w:szCs w:val="24"/>
        </w:rPr>
        <w:t xml:space="preserve"> low-income energy efficiency programs</w:t>
      </w:r>
      <w:r w:rsidRPr="001D7812">
        <w:rPr>
          <w:rFonts w:cs="Times New Roman"/>
          <w:szCs w:val="24"/>
        </w:rPr>
        <w:t xml:space="preserve">, however, she recommended that </w:t>
      </w:r>
      <w:r w:rsidRPr="001D7812">
        <w:rPr>
          <w:rFonts w:cs="Times New Roman"/>
          <w:szCs w:val="24"/>
        </w:rPr>
        <w:t xml:space="preserve">appropriate consumer protections </w:t>
      </w:r>
      <w:r w:rsidRPr="001D7812">
        <w:rPr>
          <w:rFonts w:cs="Times New Roman"/>
          <w:szCs w:val="24"/>
        </w:rPr>
        <w:t>be implemented</w:t>
      </w:r>
      <w:r w:rsidRPr="001D7812">
        <w:rPr>
          <w:rFonts w:cs="Times New Roman"/>
          <w:szCs w:val="24"/>
        </w:rPr>
        <w:t>,</w:t>
      </w:r>
      <w:r w:rsidRPr="001D7812">
        <w:rPr>
          <w:rFonts w:cs="Times New Roman"/>
          <w:szCs w:val="24"/>
        </w:rPr>
        <w:t xml:space="preserve"> such as competitive bidding for any outside service providers</w:t>
      </w:r>
      <w:r w:rsidRPr="001D7812">
        <w:rPr>
          <w:rFonts w:cs="Times New Roman"/>
          <w:szCs w:val="24"/>
        </w:rPr>
        <w:t>.</w:t>
      </w:r>
      <w:r>
        <w:rPr>
          <w:rFonts w:cs="Times New Roman"/>
          <w:szCs w:val="24"/>
          <w:vertAlign w:val="superscript"/>
        </w:rPr>
        <w:footnoteReference w:id="215"/>
      </w:r>
      <w:r w:rsidRPr="001D7812">
        <w:rPr>
          <w:rFonts w:cs="Times New Roman"/>
          <w:szCs w:val="24"/>
        </w:rPr>
        <w:t xml:space="preserve"> </w:t>
      </w:r>
    </w:p>
    <w:p w:rsidR="00CA5A65" w:rsidRPr="001D7812" w:rsidP="00DF7A9E" w14:paraId="5D5AE9EA" w14:textId="5A803C9D">
      <w:pPr>
        <w:spacing w:line="480" w:lineRule="auto"/>
        <w:ind w:firstLine="720"/>
        <w:rPr>
          <w:rFonts w:cs="Times New Roman"/>
          <w:szCs w:val="24"/>
        </w:rPr>
      </w:pPr>
      <w:r w:rsidRPr="001D7812">
        <w:rPr>
          <w:rFonts w:cs="Times New Roman"/>
          <w:szCs w:val="24"/>
        </w:rPr>
        <w:t xml:space="preserve">For the foregoing reasons, the PUCO should reject </w:t>
      </w:r>
      <w:r w:rsidRPr="001D7812" w:rsidR="005743D4">
        <w:rPr>
          <w:rFonts w:cs="Times New Roman"/>
          <w:szCs w:val="24"/>
        </w:rPr>
        <w:t>FirstEnergy</w:t>
      </w:r>
      <w:r w:rsidR="009F1383">
        <w:rPr>
          <w:rFonts w:cs="Times New Roman"/>
          <w:szCs w:val="24"/>
        </w:rPr>
        <w:t>’</w:t>
      </w:r>
      <w:r w:rsidRPr="001D7812" w:rsidR="005743D4">
        <w:rPr>
          <w:rFonts w:cs="Times New Roman"/>
          <w:szCs w:val="24"/>
        </w:rPr>
        <w:t>s proposed non-low-income energy efficiency/demand response programs.</w:t>
      </w:r>
      <w:r w:rsidRPr="001D7812" w:rsidR="00CE2F18">
        <w:rPr>
          <w:rFonts w:cs="Times New Roman"/>
          <w:szCs w:val="24"/>
        </w:rPr>
        <w:t xml:space="preserve"> </w:t>
      </w:r>
      <w:r w:rsidRPr="001D7812" w:rsidR="005743D4">
        <w:rPr>
          <w:rFonts w:cs="Times New Roman"/>
          <w:szCs w:val="24"/>
        </w:rPr>
        <w:t>The PUCO should approve FirstEnergy</w:t>
      </w:r>
      <w:r w:rsidR="009F1383">
        <w:rPr>
          <w:rFonts w:cs="Times New Roman"/>
          <w:szCs w:val="24"/>
        </w:rPr>
        <w:t>’</w:t>
      </w:r>
      <w:r w:rsidRPr="001D7812" w:rsidR="005743D4">
        <w:rPr>
          <w:rFonts w:cs="Times New Roman"/>
          <w:szCs w:val="24"/>
        </w:rPr>
        <w:t>s proposed low-income programs provided that such programs are available during the entire term of the electric security plan.</w:t>
      </w:r>
    </w:p>
    <w:p w:rsidR="006836AC" w:rsidRPr="001D7812" w:rsidP="00D25C09" w14:paraId="66BC5EEE" w14:textId="1D28EB28">
      <w:pPr>
        <w:pStyle w:val="Heading2"/>
      </w:pPr>
      <w:bookmarkStart w:id="27" w:name="_Toc156567939"/>
      <w:r w:rsidRPr="001D7812">
        <w:t>T.</w:t>
      </w:r>
      <w:r w:rsidRPr="001D7812">
        <w:tab/>
      </w:r>
      <w:r w:rsidRPr="001D7812" w:rsidR="0083655C">
        <w:t>FirstEnergy should modify its proposed l</w:t>
      </w:r>
      <w:r w:rsidRPr="001D7812" w:rsidR="00115C2B">
        <w:t>ow</w:t>
      </w:r>
      <w:r w:rsidRPr="001D7812" w:rsidR="0083655C">
        <w:t>-i</w:t>
      </w:r>
      <w:r w:rsidRPr="001D7812" w:rsidR="00115C2B">
        <w:t xml:space="preserve">ncome </w:t>
      </w:r>
      <w:r w:rsidRPr="001D7812" w:rsidR="0083655C">
        <w:t>p</w:t>
      </w:r>
      <w:r w:rsidRPr="001D7812" w:rsidR="00115C2B">
        <w:t>rograms</w:t>
      </w:r>
      <w:r w:rsidRPr="001D7812" w:rsidR="0083655C">
        <w:t xml:space="preserve"> to optimize program benefits.</w:t>
      </w:r>
      <w:bookmarkEnd w:id="27"/>
    </w:p>
    <w:p w:rsidR="0083655C" w:rsidRPr="001D7812" w:rsidP="00B41E0A" w14:paraId="43E20403" w14:textId="5D7AD537">
      <w:pPr>
        <w:spacing w:line="480" w:lineRule="auto"/>
        <w:ind w:firstLine="720"/>
        <w:rPr>
          <w:rFonts w:cs="Times New Roman"/>
          <w:szCs w:val="24"/>
        </w:rPr>
      </w:pPr>
      <w:r w:rsidRPr="001D7812">
        <w:rPr>
          <w:rFonts w:cs="Times New Roman"/>
          <w:szCs w:val="24"/>
        </w:rPr>
        <w:t>FirstEnergy proposed certain low-income program</w:t>
      </w:r>
      <w:r w:rsidRPr="001D7812" w:rsidR="00402241">
        <w:rPr>
          <w:rFonts w:cs="Times New Roman"/>
          <w:szCs w:val="24"/>
        </w:rPr>
        <w:t>s, but t</w:t>
      </w:r>
      <w:r w:rsidRPr="001D7812">
        <w:rPr>
          <w:rFonts w:cs="Times New Roman"/>
          <w:szCs w:val="24"/>
        </w:rPr>
        <w:t xml:space="preserve">he program descriptions </w:t>
      </w:r>
      <w:r w:rsidRPr="001D7812" w:rsidR="00402241">
        <w:rPr>
          <w:rFonts w:cs="Times New Roman"/>
          <w:szCs w:val="24"/>
        </w:rPr>
        <w:t xml:space="preserve">are </w:t>
      </w:r>
      <w:r w:rsidRPr="001D7812">
        <w:rPr>
          <w:rFonts w:cs="Times New Roman"/>
          <w:szCs w:val="24"/>
        </w:rPr>
        <w:t>vague and incomplete.</w:t>
      </w:r>
      <w:r w:rsidRPr="001D7812" w:rsidR="00CE2F18">
        <w:rPr>
          <w:rFonts w:cs="Times New Roman"/>
          <w:szCs w:val="24"/>
        </w:rPr>
        <w:t xml:space="preserve"> </w:t>
      </w:r>
      <w:r w:rsidRPr="001D7812" w:rsidR="00402241">
        <w:rPr>
          <w:rFonts w:cs="Times New Roman"/>
          <w:szCs w:val="24"/>
        </w:rPr>
        <w:t xml:space="preserve">To protect consumers, </w:t>
      </w:r>
      <w:r w:rsidRPr="001D7812">
        <w:rPr>
          <w:rFonts w:cs="Times New Roman"/>
          <w:szCs w:val="24"/>
        </w:rPr>
        <w:t>FirstEnergy should adopt OCC</w:t>
      </w:r>
      <w:r w:rsidR="009F1383">
        <w:rPr>
          <w:rFonts w:cs="Times New Roman"/>
          <w:szCs w:val="24"/>
        </w:rPr>
        <w:t>’</w:t>
      </w:r>
      <w:r w:rsidRPr="001D7812">
        <w:rPr>
          <w:rFonts w:cs="Times New Roman"/>
          <w:szCs w:val="24"/>
        </w:rPr>
        <w:t>s proposed changes to these programs to optimize program benefits.</w:t>
      </w:r>
    </w:p>
    <w:p w:rsidR="0083655C" w:rsidRPr="001D7812" w:rsidP="00B41E0A" w14:paraId="55218F64" w14:textId="17AEEB63">
      <w:pPr>
        <w:spacing w:line="480" w:lineRule="auto"/>
        <w:ind w:firstLine="720"/>
        <w:rPr>
          <w:rFonts w:cs="Times New Roman"/>
          <w:szCs w:val="24"/>
        </w:rPr>
      </w:pPr>
      <w:r w:rsidRPr="001D7812">
        <w:rPr>
          <w:rFonts w:cs="Times New Roman"/>
          <w:szCs w:val="24"/>
        </w:rPr>
        <w:t>FirstEnergy Witness Santino Fanelli described FirstEnergy</w:t>
      </w:r>
      <w:r w:rsidR="009F1383">
        <w:rPr>
          <w:rFonts w:cs="Times New Roman"/>
          <w:szCs w:val="24"/>
        </w:rPr>
        <w:t>’</w:t>
      </w:r>
      <w:r w:rsidRPr="001D7812">
        <w:rPr>
          <w:rFonts w:cs="Times New Roman"/>
          <w:szCs w:val="24"/>
        </w:rPr>
        <w:t>s proposed low-income programs.</w:t>
      </w:r>
      <w:r>
        <w:rPr>
          <w:rStyle w:val="FootnoteReference"/>
          <w:rFonts w:cs="Times New Roman"/>
          <w:szCs w:val="24"/>
        </w:rPr>
        <w:footnoteReference w:id="216"/>
      </w:r>
      <w:r w:rsidRPr="001D7812" w:rsidR="00CE2F18">
        <w:rPr>
          <w:rFonts w:cs="Times New Roman"/>
          <w:szCs w:val="24"/>
        </w:rPr>
        <w:t xml:space="preserve"> </w:t>
      </w:r>
      <w:r w:rsidRPr="001D7812" w:rsidR="006B4E7A">
        <w:rPr>
          <w:rFonts w:cs="Times New Roman"/>
          <w:szCs w:val="24"/>
        </w:rPr>
        <w:t>FirstEnergy proposes to spend</w:t>
      </w:r>
      <w:r w:rsidRPr="001D7812">
        <w:rPr>
          <w:rFonts w:cs="Times New Roman"/>
          <w:szCs w:val="24"/>
        </w:rPr>
        <w:t xml:space="preserve"> $36 million </w:t>
      </w:r>
      <w:r w:rsidRPr="001D7812" w:rsidR="006B4E7A">
        <w:rPr>
          <w:rFonts w:cs="Times New Roman"/>
          <w:szCs w:val="24"/>
        </w:rPr>
        <w:t xml:space="preserve">in shareholder funding for </w:t>
      </w:r>
      <w:r w:rsidRPr="001D7812">
        <w:rPr>
          <w:rFonts w:cs="Times New Roman"/>
          <w:szCs w:val="24"/>
        </w:rPr>
        <w:t>low-income</w:t>
      </w:r>
      <w:r w:rsidRPr="001D7812" w:rsidR="006B4E7A">
        <w:rPr>
          <w:rFonts w:cs="Times New Roman"/>
          <w:szCs w:val="24"/>
        </w:rPr>
        <w:t xml:space="preserve"> programs</w:t>
      </w:r>
      <w:r w:rsidRPr="001D7812">
        <w:rPr>
          <w:rFonts w:cs="Times New Roman"/>
          <w:szCs w:val="24"/>
        </w:rPr>
        <w:t>, without cost recovery from c</w:t>
      </w:r>
      <w:r w:rsidRPr="001D7812" w:rsidR="006B4E7A">
        <w:rPr>
          <w:rFonts w:cs="Times New Roman"/>
          <w:szCs w:val="24"/>
        </w:rPr>
        <w:t>onsumers</w:t>
      </w:r>
      <w:r w:rsidRPr="001D7812">
        <w:rPr>
          <w:rFonts w:cs="Times New Roman"/>
          <w:szCs w:val="24"/>
        </w:rPr>
        <w:t>.</w:t>
      </w:r>
      <w:r>
        <w:rPr>
          <w:rStyle w:val="FootnoteReference"/>
          <w:rFonts w:cs="Times New Roman"/>
          <w:szCs w:val="24"/>
        </w:rPr>
        <w:footnoteReference w:id="217"/>
      </w:r>
      <w:r w:rsidRPr="001D7812" w:rsidR="00CE2F18">
        <w:rPr>
          <w:rFonts w:cs="Times New Roman"/>
          <w:szCs w:val="24"/>
        </w:rPr>
        <w:t xml:space="preserve"> </w:t>
      </w:r>
      <w:r w:rsidRPr="001D7812">
        <w:rPr>
          <w:rFonts w:cs="Times New Roman"/>
          <w:szCs w:val="24"/>
        </w:rPr>
        <w:t xml:space="preserve">The </w:t>
      </w:r>
      <w:r w:rsidRPr="001D7812" w:rsidR="007F7873">
        <w:rPr>
          <w:rFonts w:cs="Times New Roman"/>
          <w:szCs w:val="24"/>
        </w:rPr>
        <w:t xml:space="preserve">funding will consist of </w:t>
      </w:r>
      <w:r w:rsidRPr="001D7812">
        <w:rPr>
          <w:rFonts w:cs="Times New Roman"/>
          <w:szCs w:val="24"/>
        </w:rPr>
        <w:t xml:space="preserve">$20 million for bill payment assistance programs (i.e., </w:t>
      </w:r>
      <w:r w:rsidR="009F1383">
        <w:rPr>
          <w:rFonts w:cs="Times New Roman"/>
          <w:szCs w:val="24"/>
        </w:rPr>
        <w:t>“</w:t>
      </w:r>
      <w:r w:rsidRPr="001D7812">
        <w:rPr>
          <w:rFonts w:cs="Times New Roman"/>
          <w:szCs w:val="24"/>
        </w:rPr>
        <w:t>Fuel Funds</w:t>
      </w:r>
      <w:r w:rsidR="009F1383">
        <w:rPr>
          <w:rFonts w:cs="Times New Roman"/>
          <w:szCs w:val="24"/>
        </w:rPr>
        <w:t>”</w:t>
      </w:r>
      <w:r w:rsidRPr="001D7812">
        <w:rPr>
          <w:rFonts w:cs="Times New Roman"/>
          <w:szCs w:val="24"/>
        </w:rPr>
        <w:t>) and $16 million for a new bill discount program for eligible low-income senior citizen c</w:t>
      </w:r>
      <w:r w:rsidRPr="001D7812" w:rsidR="007E1D0F">
        <w:rPr>
          <w:rFonts w:cs="Times New Roman"/>
          <w:szCs w:val="24"/>
        </w:rPr>
        <w:t>onsumers.</w:t>
      </w:r>
      <w:r>
        <w:rPr>
          <w:rStyle w:val="FootnoteReference"/>
          <w:rFonts w:cs="Times New Roman"/>
          <w:szCs w:val="24"/>
        </w:rPr>
        <w:footnoteReference w:id="218"/>
      </w:r>
      <w:r w:rsidRPr="001D7812" w:rsidR="00CE2F18">
        <w:rPr>
          <w:rFonts w:cs="Times New Roman"/>
          <w:szCs w:val="24"/>
        </w:rPr>
        <w:t xml:space="preserve"> </w:t>
      </w:r>
    </w:p>
    <w:p w:rsidR="009F4DC9" w:rsidRPr="001D7812" w:rsidP="008D59BE" w14:paraId="3F37464B" w14:textId="011447AB">
      <w:pPr>
        <w:spacing w:line="480" w:lineRule="auto"/>
        <w:ind w:firstLine="720"/>
        <w:rPr>
          <w:rFonts w:cs="Times New Roman"/>
          <w:szCs w:val="24"/>
        </w:rPr>
      </w:pPr>
      <w:r w:rsidRPr="001D7812">
        <w:rPr>
          <w:rFonts w:cs="Times New Roman"/>
          <w:szCs w:val="24"/>
        </w:rPr>
        <w:t xml:space="preserve">OCC Witness </w:t>
      </w:r>
      <w:r w:rsidRPr="001D7812" w:rsidR="00A37D9E">
        <w:rPr>
          <w:rFonts w:cs="Times New Roman"/>
          <w:szCs w:val="24"/>
        </w:rPr>
        <w:t xml:space="preserve">Richard </w:t>
      </w:r>
      <w:r w:rsidRPr="001D7812">
        <w:rPr>
          <w:rFonts w:cs="Times New Roman"/>
          <w:szCs w:val="24"/>
        </w:rPr>
        <w:t>Hasselman found</w:t>
      </w:r>
      <w:r w:rsidRPr="001D7812" w:rsidR="006D7D29">
        <w:rPr>
          <w:rFonts w:cs="Times New Roman"/>
          <w:szCs w:val="24"/>
        </w:rPr>
        <w:t xml:space="preserve"> a lack of detail in program design or how the </w:t>
      </w:r>
      <w:r w:rsidRPr="001D7812" w:rsidR="00A37D9E">
        <w:rPr>
          <w:rFonts w:cs="Times New Roman"/>
          <w:szCs w:val="24"/>
        </w:rPr>
        <w:t>new programs</w:t>
      </w:r>
      <w:r w:rsidRPr="001D7812" w:rsidR="006D7D29">
        <w:rPr>
          <w:rFonts w:cs="Times New Roman"/>
          <w:szCs w:val="24"/>
        </w:rPr>
        <w:t xml:space="preserve"> would interact with </w:t>
      </w:r>
      <w:r w:rsidRPr="001D7812" w:rsidR="00A37D9E">
        <w:rPr>
          <w:rFonts w:cs="Times New Roman"/>
          <w:szCs w:val="24"/>
        </w:rPr>
        <w:t>existing</w:t>
      </w:r>
      <w:r w:rsidRPr="001D7812" w:rsidR="006D7D29">
        <w:rPr>
          <w:rFonts w:cs="Times New Roman"/>
          <w:szCs w:val="24"/>
        </w:rPr>
        <w:t xml:space="preserve"> programs</w:t>
      </w:r>
      <w:r w:rsidRPr="001D7812" w:rsidR="003B7AC4">
        <w:rPr>
          <w:rFonts w:cs="Times New Roman"/>
          <w:szCs w:val="24"/>
        </w:rPr>
        <w:t>.</w:t>
      </w:r>
      <w:r>
        <w:rPr>
          <w:rStyle w:val="FootnoteReference"/>
          <w:rFonts w:cs="Times New Roman"/>
          <w:szCs w:val="24"/>
        </w:rPr>
        <w:footnoteReference w:id="219"/>
      </w:r>
      <w:r w:rsidRPr="001D7812" w:rsidR="003B7AC4">
        <w:rPr>
          <w:rFonts w:cs="Times New Roman"/>
          <w:szCs w:val="24"/>
        </w:rPr>
        <w:t xml:space="preserve"> Mr. Hasselman recommend</w:t>
      </w:r>
      <w:r w:rsidRPr="001D7812" w:rsidR="00A37D9E">
        <w:rPr>
          <w:rFonts w:cs="Times New Roman"/>
          <w:szCs w:val="24"/>
        </w:rPr>
        <w:t>ed</w:t>
      </w:r>
      <w:r w:rsidRPr="001D7812" w:rsidR="003B7AC4">
        <w:rPr>
          <w:rFonts w:cs="Times New Roman"/>
          <w:szCs w:val="24"/>
        </w:rPr>
        <w:t xml:space="preserve"> that FirstEnergy</w:t>
      </w:r>
      <w:r w:rsidRPr="001D7812" w:rsidR="006D7D29">
        <w:rPr>
          <w:rFonts w:cs="Times New Roman"/>
          <w:szCs w:val="24"/>
        </w:rPr>
        <w:t xml:space="preserve"> </w:t>
      </w:r>
      <w:r w:rsidRPr="001D7812" w:rsidR="00637840">
        <w:rPr>
          <w:rFonts w:cs="Times New Roman"/>
          <w:szCs w:val="24"/>
        </w:rPr>
        <w:t xml:space="preserve">coordinate </w:t>
      </w:r>
      <w:r w:rsidRPr="001D7812" w:rsidR="008D59BE">
        <w:rPr>
          <w:rFonts w:cs="Times New Roman"/>
          <w:szCs w:val="24"/>
        </w:rPr>
        <w:t xml:space="preserve">the new programs with existing programs </w:t>
      </w:r>
      <w:r w:rsidRPr="001D7812" w:rsidR="00637840">
        <w:rPr>
          <w:rFonts w:cs="Times New Roman"/>
          <w:szCs w:val="24"/>
        </w:rPr>
        <w:t>to optimize outcomes and avoid conflicts with those programs.</w:t>
      </w:r>
      <w:r>
        <w:rPr>
          <w:rStyle w:val="FootnoteReference"/>
          <w:rFonts w:cs="Times New Roman"/>
          <w:szCs w:val="24"/>
        </w:rPr>
        <w:footnoteReference w:id="220"/>
      </w:r>
      <w:r w:rsidRPr="001D7812" w:rsidR="00637840">
        <w:rPr>
          <w:rFonts w:cs="Times New Roman"/>
          <w:szCs w:val="24"/>
        </w:rPr>
        <w:t xml:space="preserve"> </w:t>
      </w:r>
      <w:r w:rsidRPr="001D7812" w:rsidR="008D59BE">
        <w:rPr>
          <w:rFonts w:cs="Times New Roman"/>
          <w:szCs w:val="24"/>
        </w:rPr>
        <w:t xml:space="preserve">He recommended that </w:t>
      </w:r>
      <w:r w:rsidRPr="001D7812" w:rsidR="00F4070E">
        <w:rPr>
          <w:rFonts w:cs="Times New Roman"/>
          <w:szCs w:val="24"/>
        </w:rPr>
        <w:t xml:space="preserve">FirstEnergy should explain the expected </w:t>
      </w:r>
      <w:r w:rsidRPr="001D7812" w:rsidR="008D59BE">
        <w:rPr>
          <w:rFonts w:cs="Times New Roman"/>
          <w:szCs w:val="24"/>
        </w:rPr>
        <w:t xml:space="preserve">program </w:t>
      </w:r>
      <w:r w:rsidRPr="001D7812" w:rsidR="00F4070E">
        <w:rPr>
          <w:rFonts w:cs="Times New Roman"/>
          <w:szCs w:val="24"/>
        </w:rPr>
        <w:t>outcomes</w:t>
      </w:r>
      <w:r w:rsidRPr="001D7812" w:rsidR="00AA0AAE">
        <w:rPr>
          <w:rFonts w:cs="Times New Roman"/>
          <w:szCs w:val="24"/>
        </w:rPr>
        <w:t xml:space="preserve">, how </w:t>
      </w:r>
      <w:r w:rsidRPr="001D7812" w:rsidR="006C3A26">
        <w:rPr>
          <w:rFonts w:cs="Times New Roman"/>
          <w:szCs w:val="24"/>
        </w:rPr>
        <w:t>funds will be applied to recipient household bills</w:t>
      </w:r>
      <w:r w:rsidRPr="001D7812" w:rsidR="00AA0AAE">
        <w:rPr>
          <w:rFonts w:cs="Times New Roman"/>
          <w:szCs w:val="24"/>
        </w:rPr>
        <w:t xml:space="preserve"> and </w:t>
      </w:r>
      <w:r w:rsidRPr="001D7812" w:rsidR="008D59BE">
        <w:rPr>
          <w:rFonts w:cs="Times New Roman"/>
          <w:szCs w:val="24"/>
        </w:rPr>
        <w:t>the</w:t>
      </w:r>
      <w:r w:rsidRPr="001D7812" w:rsidR="006C3A26">
        <w:rPr>
          <w:rFonts w:cs="Times New Roman"/>
          <w:szCs w:val="24"/>
        </w:rPr>
        <w:t xml:space="preserve"> marketing </w:t>
      </w:r>
      <w:r w:rsidRPr="001D7812" w:rsidR="008D59BE">
        <w:rPr>
          <w:rFonts w:cs="Times New Roman"/>
          <w:szCs w:val="24"/>
        </w:rPr>
        <w:t>approach</w:t>
      </w:r>
      <w:r w:rsidRPr="001D7812" w:rsidR="006C3A26">
        <w:rPr>
          <w:rFonts w:cs="Times New Roman"/>
          <w:szCs w:val="24"/>
        </w:rPr>
        <w:t>.</w:t>
      </w:r>
      <w:r>
        <w:rPr>
          <w:rStyle w:val="FootnoteReference"/>
          <w:rFonts w:cs="Times New Roman"/>
          <w:szCs w:val="24"/>
        </w:rPr>
        <w:footnoteReference w:id="221"/>
      </w:r>
      <w:r w:rsidRPr="001D7812" w:rsidR="00CE2F18">
        <w:rPr>
          <w:rFonts w:cs="Times New Roman"/>
          <w:szCs w:val="24"/>
        </w:rPr>
        <w:t xml:space="preserve"> </w:t>
      </w:r>
      <w:r w:rsidRPr="001D7812" w:rsidR="008D59BE">
        <w:rPr>
          <w:rFonts w:cs="Times New Roman"/>
          <w:szCs w:val="24"/>
        </w:rPr>
        <w:t xml:space="preserve">Mr. </w:t>
      </w:r>
      <w:r w:rsidRPr="001D7812" w:rsidR="00BF2A0F">
        <w:rPr>
          <w:rFonts w:cs="Times New Roman"/>
          <w:szCs w:val="24"/>
        </w:rPr>
        <w:t xml:space="preserve">Hasselman further </w:t>
      </w:r>
      <w:r w:rsidRPr="001D7812" w:rsidR="00081E86">
        <w:rPr>
          <w:rFonts w:cs="Times New Roman"/>
          <w:szCs w:val="24"/>
        </w:rPr>
        <w:t>recommend</w:t>
      </w:r>
      <w:r w:rsidRPr="001D7812" w:rsidR="008D59BE">
        <w:rPr>
          <w:rFonts w:cs="Times New Roman"/>
          <w:szCs w:val="24"/>
        </w:rPr>
        <w:t>ed</w:t>
      </w:r>
      <w:r w:rsidRPr="001D7812" w:rsidR="00081E86">
        <w:rPr>
          <w:rFonts w:cs="Times New Roman"/>
          <w:szCs w:val="24"/>
        </w:rPr>
        <w:t xml:space="preserve"> </w:t>
      </w:r>
      <w:r w:rsidRPr="001D7812" w:rsidR="008D59BE">
        <w:rPr>
          <w:rFonts w:cs="Times New Roman"/>
          <w:szCs w:val="24"/>
        </w:rPr>
        <w:t xml:space="preserve">that service disconnections </w:t>
      </w:r>
      <w:r w:rsidRPr="001D7812" w:rsidR="00345EBD">
        <w:rPr>
          <w:rFonts w:cs="Times New Roman"/>
          <w:szCs w:val="24"/>
        </w:rPr>
        <w:t>should be reported at the zip-code level</w:t>
      </w:r>
      <w:r w:rsidRPr="001D7812" w:rsidR="008B1E43">
        <w:rPr>
          <w:rFonts w:cs="Times New Roman"/>
          <w:szCs w:val="24"/>
        </w:rPr>
        <w:t xml:space="preserve"> to </w:t>
      </w:r>
      <w:r w:rsidRPr="001D7812" w:rsidR="00707DC1">
        <w:rPr>
          <w:rFonts w:cs="Times New Roman"/>
          <w:szCs w:val="24"/>
        </w:rPr>
        <w:t>provide guidance on program targeting efforts.</w:t>
      </w:r>
      <w:r>
        <w:rPr>
          <w:rStyle w:val="FootnoteReference"/>
          <w:rFonts w:cs="Times New Roman"/>
          <w:szCs w:val="24"/>
        </w:rPr>
        <w:footnoteReference w:id="222"/>
      </w:r>
      <w:r w:rsidRPr="001D7812" w:rsidR="00DD6221">
        <w:rPr>
          <w:rFonts w:cs="Times New Roman"/>
          <w:szCs w:val="24"/>
        </w:rPr>
        <w:t xml:space="preserve"> </w:t>
      </w:r>
    </w:p>
    <w:p w:rsidR="008D59BE" w:rsidRPr="001D7812" w:rsidP="008D59BE" w14:paraId="7F3D9F07" w14:textId="4E33AF64">
      <w:pPr>
        <w:spacing w:line="480" w:lineRule="auto"/>
        <w:ind w:firstLine="720"/>
        <w:rPr>
          <w:rFonts w:cs="Times New Roman"/>
          <w:szCs w:val="24"/>
        </w:rPr>
      </w:pPr>
      <w:r w:rsidRPr="001D7812">
        <w:rPr>
          <w:rFonts w:cs="Times New Roman"/>
          <w:szCs w:val="24"/>
        </w:rPr>
        <w:t>FirstEnergy should adopt the recommendations proposed by Mr. Hasselman in order to fully optimize the benefits provided by the new low-income programs.</w:t>
      </w:r>
    </w:p>
    <w:p w:rsidR="00D757B9" w:rsidRPr="001D7812" w:rsidP="00215C8B" w14:paraId="5091788C" w14:textId="1F0FDD45">
      <w:pPr>
        <w:pStyle w:val="Heading2"/>
      </w:pPr>
      <w:bookmarkStart w:id="29" w:name="_Toc156567940"/>
      <w:r w:rsidRPr="001D7812">
        <w:t>U.</w:t>
      </w:r>
      <w:r w:rsidRPr="001D7812">
        <w:tab/>
      </w:r>
      <w:r w:rsidRPr="001D7812" w:rsidR="00307D97">
        <w:t>The PUCO should reject FirstEnergy</w:t>
      </w:r>
      <w:r w:rsidR="009F1383">
        <w:t>’</w:t>
      </w:r>
      <w:r w:rsidRPr="001D7812" w:rsidR="00307D97">
        <w:t xml:space="preserve">s proposed electric security plan and approve a market rate option because the electric security plan fails to meet the </w:t>
      </w:r>
      <w:r w:rsidR="009F1383">
        <w:t>“</w:t>
      </w:r>
      <w:r w:rsidRPr="001D7812" w:rsidR="00307D97">
        <w:t>m</w:t>
      </w:r>
      <w:r w:rsidRPr="001D7812" w:rsidR="00115C2B">
        <w:t xml:space="preserve">ore </w:t>
      </w:r>
      <w:r w:rsidRPr="001D7812">
        <w:t>f</w:t>
      </w:r>
      <w:r w:rsidRPr="001D7812" w:rsidR="00115C2B">
        <w:t xml:space="preserve">avorable in the </w:t>
      </w:r>
      <w:r w:rsidRPr="001D7812">
        <w:t>a</w:t>
      </w:r>
      <w:r w:rsidRPr="001D7812" w:rsidR="00115C2B">
        <w:t>ggregate</w:t>
      </w:r>
      <w:r w:rsidR="009F1383">
        <w:t>”</w:t>
      </w:r>
      <w:r w:rsidRPr="001D7812">
        <w:t xml:space="preserve"> standard.</w:t>
      </w:r>
      <w:bookmarkEnd w:id="29"/>
    </w:p>
    <w:p w:rsidR="00000485" w:rsidRPr="001D7812" w:rsidP="00000485" w14:paraId="24D3F60E" w14:textId="74AD9547">
      <w:pPr>
        <w:spacing w:line="480" w:lineRule="auto"/>
        <w:ind w:firstLine="720"/>
        <w:rPr>
          <w:rFonts w:eastAsia="Calibri" w:cs="Times New Roman"/>
          <w:szCs w:val="24"/>
        </w:rPr>
      </w:pPr>
      <w:r w:rsidRPr="001D7812">
        <w:rPr>
          <w:rFonts w:eastAsia="Calibri" w:cs="Times New Roman"/>
          <w:szCs w:val="24"/>
        </w:rPr>
        <w:t xml:space="preserve">The standard for approval or modification of an ESP case is stated in R.C. 4928.143(C)(1), which reads in pertinent part: </w:t>
      </w:r>
    </w:p>
    <w:p w:rsidR="00000485" w:rsidRPr="001D7812" w:rsidP="00215C8B" w14:paraId="234DEC9E" w14:textId="729330B4">
      <w:pPr>
        <w:ind w:left="1440" w:right="1440"/>
        <w:rPr>
          <w:rFonts w:eastAsia="Calibri" w:cs="Times New Roman"/>
          <w:szCs w:val="24"/>
        </w:rPr>
      </w:pPr>
      <w:r w:rsidRPr="001D7812">
        <w:rPr>
          <w:rFonts w:eastAsia="Calibri" w:cs="Times New Roman"/>
          <w:szCs w:val="24"/>
        </w:rPr>
        <w:t>[T]he commission by order shall approve or modify and approve an application filed under division (A) of this section if it finds that the electric security plan so approved, including its pricing and all other terms and conditions, including any deferrals and any future recovery of deferrals, is more favorable in the aggregate as compared to the expected results that would otherwise apply under section 4928.142 of the Revised Code. Additionally, if the commission so approves an application that contains a surcharge under division (B)(2)(b) or (c) of this section, the commission shall ensure that the benefits derived for any purpose for which the surcharge is established are reserved and made available to those that bear the surcharge. Otherwise, the commission by order shall disapprove the application.</w:t>
      </w:r>
      <w:r>
        <w:rPr>
          <w:rStyle w:val="FootnoteReference"/>
          <w:rFonts w:eastAsia="Calibri" w:cs="Times New Roman"/>
          <w:szCs w:val="24"/>
        </w:rPr>
        <w:footnoteReference w:id="223"/>
      </w:r>
    </w:p>
    <w:p w:rsidR="00000485" w:rsidRPr="001D7812" w:rsidP="0007052A" w14:paraId="356ADCDF" w14:textId="77777777">
      <w:pPr>
        <w:ind w:firstLine="720"/>
        <w:rPr>
          <w:rFonts w:eastAsia="Calibri" w:cs="Times New Roman"/>
          <w:szCs w:val="24"/>
        </w:rPr>
      </w:pPr>
    </w:p>
    <w:p w:rsidR="00A82749" w:rsidRPr="001D7812" w:rsidP="00A82749" w14:paraId="6796B1FA" w14:textId="10BA10EA">
      <w:pPr>
        <w:spacing w:line="480" w:lineRule="auto"/>
        <w:ind w:firstLine="720"/>
        <w:rPr>
          <w:rFonts w:eastAsia="Calibri" w:cs="Times New Roman"/>
          <w:szCs w:val="24"/>
        </w:rPr>
      </w:pPr>
      <w:r w:rsidRPr="001D7812">
        <w:rPr>
          <w:rFonts w:eastAsia="Calibri" w:cs="Times New Roman"/>
          <w:szCs w:val="24"/>
        </w:rPr>
        <w:t xml:space="preserve"> </w:t>
      </w:r>
      <w:r w:rsidRPr="001D7812" w:rsidR="00000485">
        <w:rPr>
          <w:rFonts w:eastAsia="Calibri" w:cs="Times New Roman"/>
          <w:szCs w:val="24"/>
        </w:rPr>
        <w:t xml:space="preserve">The foregoing standard is commonly called the </w:t>
      </w:r>
      <w:r w:rsidR="009F1383">
        <w:rPr>
          <w:rFonts w:eastAsia="Calibri" w:cs="Times New Roman"/>
          <w:szCs w:val="24"/>
        </w:rPr>
        <w:t>“</w:t>
      </w:r>
      <w:r w:rsidRPr="001D7812" w:rsidR="00000485">
        <w:rPr>
          <w:rFonts w:eastAsia="Calibri" w:cs="Times New Roman"/>
          <w:szCs w:val="24"/>
        </w:rPr>
        <w:t>MRO versus ESP</w:t>
      </w:r>
      <w:r w:rsidR="009F1383">
        <w:rPr>
          <w:rFonts w:eastAsia="Calibri" w:cs="Times New Roman"/>
          <w:szCs w:val="24"/>
        </w:rPr>
        <w:t>”</w:t>
      </w:r>
      <w:r w:rsidRPr="001D7812" w:rsidR="00000485">
        <w:rPr>
          <w:rFonts w:eastAsia="Calibri" w:cs="Times New Roman"/>
          <w:szCs w:val="24"/>
        </w:rPr>
        <w:t xml:space="preserve"> test (</w:t>
      </w:r>
      <w:r w:rsidRPr="001D7812" w:rsidR="00000485">
        <w:rPr>
          <w:rFonts w:eastAsia="Calibri" w:cs="Times New Roman"/>
          <w:i/>
          <w:iCs/>
          <w:szCs w:val="24"/>
        </w:rPr>
        <w:t xml:space="preserve">i.e., </w:t>
      </w:r>
      <w:r w:rsidRPr="001D7812" w:rsidR="00000485">
        <w:rPr>
          <w:rFonts w:eastAsia="Calibri" w:cs="Times New Roman"/>
          <w:szCs w:val="24"/>
        </w:rPr>
        <w:t>market-rate option versus electric security plan).</w:t>
      </w:r>
      <w:r w:rsidRPr="001D7812" w:rsidR="00CE2F18">
        <w:rPr>
          <w:rFonts w:eastAsia="Calibri" w:cs="Times New Roman"/>
          <w:szCs w:val="24"/>
        </w:rPr>
        <w:t xml:space="preserve"> </w:t>
      </w:r>
      <w:r w:rsidRPr="001D7812">
        <w:rPr>
          <w:rFonts w:eastAsia="Calibri" w:cs="Times New Roman"/>
          <w:szCs w:val="24"/>
        </w:rPr>
        <w:t>Further, R.C. 4905.22 requires that every public utility furnish necessary and adequate service and facilities, and that all charges for any service must be just and reasonable. Of course, the applicant bears the burden of proof.</w:t>
      </w:r>
      <w:r w:rsidR="009F1383">
        <w:rPr>
          <w:rFonts w:eastAsia="Calibri" w:cs="Times New Roman"/>
          <w:szCs w:val="24"/>
        </w:rPr>
        <w:t>”</w:t>
      </w:r>
      <w:r>
        <w:rPr>
          <w:rFonts w:cs="Times New Roman"/>
          <w:szCs w:val="24"/>
          <w:vertAlign w:val="superscript"/>
        </w:rPr>
        <w:footnoteReference w:id="224"/>
      </w:r>
      <w:r w:rsidRPr="001D7812">
        <w:rPr>
          <w:rFonts w:eastAsia="Calibri" w:cs="Times New Roman"/>
          <w:szCs w:val="24"/>
        </w:rPr>
        <w:t xml:space="preserve"> In conducting the statutory </w:t>
      </w:r>
      <w:r w:rsidRPr="001D7812" w:rsidR="00000485">
        <w:rPr>
          <w:rFonts w:eastAsia="Calibri" w:cs="Times New Roman"/>
          <w:szCs w:val="24"/>
        </w:rPr>
        <w:t xml:space="preserve">MRO versus ESP </w:t>
      </w:r>
      <w:r w:rsidRPr="001D7812">
        <w:rPr>
          <w:rFonts w:eastAsia="Calibri" w:cs="Times New Roman"/>
          <w:szCs w:val="24"/>
        </w:rPr>
        <w:t xml:space="preserve">test, the PUCO has generally evaluated three parts - comparing the results of these elements under the proposed ESP to the results expected under an MRO: </w:t>
      </w:r>
    </w:p>
    <w:p w:rsidR="00A82749" w:rsidRPr="001D7812" w:rsidP="00B75CAB" w14:paraId="1B36AA53" w14:textId="783F5367">
      <w:pPr>
        <w:spacing w:line="480" w:lineRule="auto"/>
        <w:ind w:left="1440" w:hanging="720"/>
        <w:rPr>
          <w:rFonts w:eastAsia="Calibri" w:cs="Times New Roman"/>
          <w:szCs w:val="24"/>
        </w:rPr>
      </w:pPr>
      <w:r w:rsidRPr="001D7812">
        <w:rPr>
          <w:rFonts w:eastAsia="Calibri" w:cs="Times New Roman"/>
          <w:szCs w:val="24"/>
        </w:rPr>
        <w:t>(1)</w:t>
      </w:r>
      <w:r w:rsidRPr="001D7812" w:rsidR="00B75CAB">
        <w:rPr>
          <w:rFonts w:eastAsia="Calibri" w:cs="Times New Roman"/>
          <w:szCs w:val="24"/>
        </w:rPr>
        <w:tab/>
      </w:r>
      <w:r w:rsidRPr="001D7812">
        <w:rPr>
          <w:rFonts w:eastAsia="Calibri" w:cs="Times New Roman"/>
          <w:szCs w:val="24"/>
        </w:rPr>
        <w:t>The SSO price of generation to consumers;</w:t>
      </w:r>
    </w:p>
    <w:p w:rsidR="00A82749" w:rsidRPr="001D7812" w:rsidP="00B75CAB" w14:paraId="1B30F836" w14:textId="440082C9">
      <w:pPr>
        <w:spacing w:line="480" w:lineRule="auto"/>
        <w:ind w:left="1440" w:hanging="720"/>
        <w:rPr>
          <w:rFonts w:eastAsia="Calibri" w:cs="Times New Roman"/>
          <w:szCs w:val="24"/>
        </w:rPr>
      </w:pPr>
      <w:r w:rsidRPr="001D7812">
        <w:rPr>
          <w:rFonts w:eastAsia="Calibri" w:cs="Times New Roman"/>
          <w:szCs w:val="24"/>
        </w:rPr>
        <w:t>(2)</w:t>
      </w:r>
      <w:r w:rsidRPr="001D7812" w:rsidR="00B75CAB">
        <w:rPr>
          <w:rFonts w:eastAsia="Calibri" w:cs="Times New Roman"/>
          <w:szCs w:val="24"/>
        </w:rPr>
        <w:tab/>
      </w:r>
      <w:r w:rsidRPr="001D7812">
        <w:rPr>
          <w:rFonts w:eastAsia="Calibri" w:cs="Times New Roman"/>
          <w:szCs w:val="24"/>
        </w:rPr>
        <w:t xml:space="preserve">Other quantifiable provisions; and </w:t>
      </w:r>
    </w:p>
    <w:p w:rsidR="00A82749" w:rsidRPr="001D7812" w:rsidP="00B75CAB" w14:paraId="40AF0316" w14:textId="1F91F5B9">
      <w:pPr>
        <w:spacing w:line="480" w:lineRule="auto"/>
        <w:ind w:left="1440" w:hanging="720"/>
        <w:rPr>
          <w:rFonts w:eastAsia="Calibri" w:cs="Times New Roman"/>
          <w:szCs w:val="24"/>
        </w:rPr>
      </w:pPr>
      <w:r w:rsidRPr="001D7812">
        <w:rPr>
          <w:rFonts w:eastAsia="Calibri" w:cs="Times New Roman"/>
          <w:szCs w:val="24"/>
        </w:rPr>
        <w:t>(3)</w:t>
      </w:r>
      <w:r w:rsidRPr="001D7812" w:rsidR="00B75CAB">
        <w:rPr>
          <w:rFonts w:eastAsia="Calibri" w:cs="Times New Roman"/>
          <w:szCs w:val="24"/>
        </w:rPr>
        <w:tab/>
      </w:r>
      <w:r w:rsidRPr="001D7812">
        <w:rPr>
          <w:rFonts w:eastAsia="Calibri" w:cs="Times New Roman"/>
          <w:szCs w:val="24"/>
        </w:rPr>
        <w:t>Other qualitative provisions.</w:t>
      </w:r>
      <w:r>
        <w:rPr>
          <w:rFonts w:cs="Times New Roman"/>
          <w:szCs w:val="24"/>
          <w:vertAlign w:val="superscript"/>
        </w:rPr>
        <w:footnoteReference w:id="225"/>
      </w:r>
    </w:p>
    <w:p w:rsidR="00000485" w:rsidRPr="001D7812" w:rsidP="00A82749" w14:paraId="78242BDB" w14:textId="5074E750">
      <w:pPr>
        <w:spacing w:line="480" w:lineRule="auto"/>
        <w:ind w:firstLine="720"/>
        <w:rPr>
          <w:rFonts w:eastAsia="Calibri" w:cs="Times New Roman"/>
          <w:szCs w:val="24"/>
        </w:rPr>
      </w:pPr>
      <w:r w:rsidRPr="001D7812">
        <w:rPr>
          <w:rFonts w:eastAsia="Calibri" w:cs="Times New Roman"/>
          <w:szCs w:val="24"/>
        </w:rPr>
        <w:t xml:space="preserve">First Energy fails to satisfy the </w:t>
      </w:r>
      <w:r w:rsidR="009F1383">
        <w:rPr>
          <w:rFonts w:eastAsia="Calibri" w:cs="Times New Roman"/>
          <w:szCs w:val="24"/>
        </w:rPr>
        <w:t>“</w:t>
      </w:r>
      <w:r w:rsidRPr="001D7812">
        <w:rPr>
          <w:rFonts w:eastAsia="Calibri" w:cs="Times New Roman"/>
          <w:szCs w:val="24"/>
        </w:rPr>
        <w:t xml:space="preserve">MRO </w:t>
      </w:r>
      <w:r w:rsidRPr="001D7812">
        <w:rPr>
          <w:rFonts w:eastAsia="Calibri" w:cs="Times New Roman"/>
          <w:szCs w:val="24"/>
        </w:rPr>
        <w:t>versus</w:t>
      </w:r>
      <w:r w:rsidRPr="001D7812">
        <w:rPr>
          <w:rFonts w:eastAsia="Calibri" w:cs="Times New Roman"/>
          <w:szCs w:val="24"/>
        </w:rPr>
        <w:t xml:space="preserve"> ESP</w:t>
      </w:r>
      <w:r w:rsidR="009F1383">
        <w:rPr>
          <w:rFonts w:eastAsia="Calibri" w:cs="Times New Roman"/>
          <w:szCs w:val="24"/>
        </w:rPr>
        <w:t>”</w:t>
      </w:r>
      <w:r w:rsidRPr="001D7812">
        <w:rPr>
          <w:rFonts w:eastAsia="Calibri" w:cs="Times New Roman"/>
          <w:szCs w:val="24"/>
        </w:rPr>
        <w:t xml:space="preserve"> test and ESP V should </w:t>
      </w:r>
      <w:r w:rsidRPr="001D7812">
        <w:rPr>
          <w:rFonts w:eastAsia="Calibri" w:cs="Times New Roman"/>
          <w:szCs w:val="24"/>
        </w:rPr>
        <w:t xml:space="preserve">therefore </w:t>
      </w:r>
      <w:r w:rsidRPr="001D7812">
        <w:rPr>
          <w:rFonts w:eastAsia="Calibri" w:cs="Times New Roman"/>
          <w:szCs w:val="24"/>
        </w:rPr>
        <w:t xml:space="preserve">be rejected. </w:t>
      </w:r>
    </w:p>
    <w:p w:rsidR="00000485" w:rsidRPr="001D7812" w:rsidP="00A82749" w14:paraId="6635EC5C" w14:textId="3A2429E0">
      <w:pPr>
        <w:spacing w:line="480" w:lineRule="auto"/>
        <w:ind w:firstLine="720"/>
        <w:rPr>
          <w:rFonts w:eastAsia="Calibri" w:cs="Times New Roman"/>
          <w:szCs w:val="24"/>
        </w:rPr>
      </w:pPr>
      <w:r w:rsidRPr="001D7812">
        <w:rPr>
          <w:rFonts w:eastAsia="Calibri" w:cs="Times New Roman"/>
          <w:szCs w:val="24"/>
        </w:rPr>
        <w:t xml:space="preserve">FirstEnergy Witness Santino Fanelli explains the </w:t>
      </w:r>
      <w:r w:rsidR="009F1383">
        <w:rPr>
          <w:rFonts w:eastAsia="Calibri" w:cs="Times New Roman"/>
          <w:szCs w:val="24"/>
        </w:rPr>
        <w:t>“</w:t>
      </w:r>
      <w:r w:rsidRPr="001D7812">
        <w:rPr>
          <w:rFonts w:eastAsia="Calibri" w:cs="Times New Roman"/>
          <w:szCs w:val="24"/>
        </w:rPr>
        <w:t>MRO versus ESP</w:t>
      </w:r>
      <w:r w:rsidR="009F1383">
        <w:rPr>
          <w:rFonts w:eastAsia="Calibri" w:cs="Times New Roman"/>
          <w:szCs w:val="24"/>
        </w:rPr>
        <w:t>”</w:t>
      </w:r>
      <w:r w:rsidRPr="001D7812">
        <w:rPr>
          <w:rFonts w:eastAsia="Calibri" w:cs="Times New Roman"/>
          <w:szCs w:val="24"/>
        </w:rPr>
        <w:t xml:space="preserve"> test from FirstEnergy</w:t>
      </w:r>
      <w:r w:rsidR="009F1383">
        <w:rPr>
          <w:rFonts w:eastAsia="Calibri" w:cs="Times New Roman"/>
          <w:szCs w:val="24"/>
        </w:rPr>
        <w:t>’</w:t>
      </w:r>
      <w:r w:rsidRPr="001D7812">
        <w:rPr>
          <w:rFonts w:eastAsia="Calibri" w:cs="Times New Roman"/>
          <w:szCs w:val="24"/>
        </w:rPr>
        <w:t>s perspective.</w:t>
      </w:r>
      <w:r w:rsidRPr="001D7812" w:rsidR="00CE2F18">
        <w:rPr>
          <w:rFonts w:eastAsia="Calibri" w:cs="Times New Roman"/>
          <w:szCs w:val="24"/>
        </w:rPr>
        <w:t xml:space="preserve"> </w:t>
      </w:r>
      <w:r w:rsidRPr="001D7812">
        <w:rPr>
          <w:rFonts w:eastAsia="Calibri" w:cs="Times New Roman"/>
          <w:szCs w:val="24"/>
        </w:rPr>
        <w:t xml:space="preserve">Mr. Fanelli states two primary reasons why, in his view, the proposed electric security plan is more favorable than a market-rate option: </w:t>
      </w:r>
    </w:p>
    <w:p w:rsidR="005E2792" w:rsidRPr="001D7812" w:rsidP="00973BC5" w14:paraId="43346B81" w14:textId="6B2F1BC5">
      <w:pPr>
        <w:pStyle w:val="ListParagraph"/>
        <w:numPr>
          <w:ilvl w:val="0"/>
          <w:numId w:val="3"/>
        </w:numPr>
        <w:ind w:left="1440" w:hanging="720"/>
        <w:rPr>
          <w:rFonts w:eastAsia="Calibri" w:cs="Times New Roman"/>
          <w:szCs w:val="24"/>
        </w:rPr>
      </w:pPr>
      <w:r w:rsidRPr="001D7812">
        <w:rPr>
          <w:rFonts w:eastAsia="Calibri" w:cs="Times New Roman"/>
          <w:szCs w:val="24"/>
        </w:rPr>
        <w:t xml:space="preserve">The proposed energy efficiency and demand response programs will result in net benefits to customers of between $139 million and $524 million, including avoided energy, capacity, transmission, and distribution costs; and </w:t>
      </w:r>
    </w:p>
    <w:p w:rsidR="005E2792" w:rsidRPr="001D7812" w:rsidP="00973BC5" w14:paraId="09697345" w14:textId="77777777">
      <w:pPr>
        <w:pStyle w:val="ListParagraph"/>
        <w:ind w:left="1440" w:hanging="720"/>
        <w:rPr>
          <w:rFonts w:eastAsia="Calibri" w:cs="Times New Roman"/>
          <w:szCs w:val="24"/>
        </w:rPr>
      </w:pPr>
    </w:p>
    <w:p w:rsidR="00000485" w:rsidRPr="001D7812" w:rsidP="00973BC5" w14:paraId="0D90A79B" w14:textId="6C035FE6">
      <w:pPr>
        <w:pStyle w:val="ListParagraph"/>
        <w:numPr>
          <w:ilvl w:val="0"/>
          <w:numId w:val="3"/>
        </w:numPr>
        <w:ind w:left="1440" w:hanging="720"/>
        <w:rPr>
          <w:rFonts w:eastAsia="Calibri" w:cs="Times New Roman"/>
          <w:szCs w:val="24"/>
        </w:rPr>
      </w:pPr>
      <w:r w:rsidRPr="001D7812">
        <w:rPr>
          <w:rFonts w:eastAsia="Calibri" w:cs="Times New Roman"/>
          <w:szCs w:val="24"/>
        </w:rPr>
        <w:t>FirstEnergy will spend $52 million in shareholder funds on programs designed to support low-income customers and enhance the customer experience.</w:t>
      </w:r>
      <w:r>
        <w:rPr>
          <w:rStyle w:val="FootnoteReference"/>
          <w:rFonts w:eastAsia="Calibri" w:cs="Times New Roman"/>
          <w:szCs w:val="24"/>
        </w:rPr>
        <w:footnoteReference w:id="226"/>
      </w:r>
    </w:p>
    <w:p w:rsidR="00523465" w:rsidRPr="001D7812" w:rsidP="00523465" w14:paraId="0CC36A87" w14:textId="77777777">
      <w:pPr>
        <w:pStyle w:val="ListParagraph"/>
        <w:rPr>
          <w:rFonts w:eastAsia="Calibri" w:cs="Times New Roman"/>
          <w:szCs w:val="24"/>
        </w:rPr>
      </w:pPr>
    </w:p>
    <w:p w:rsidR="00523465" w:rsidRPr="001D7812" w:rsidP="006058DC" w14:paraId="1D1D6BF5" w14:textId="4EBF3CAD">
      <w:pPr>
        <w:spacing w:line="480" w:lineRule="auto"/>
        <w:ind w:firstLine="720"/>
        <w:rPr>
          <w:rFonts w:eastAsia="Calibri" w:cs="Times New Roman"/>
          <w:szCs w:val="24"/>
        </w:rPr>
      </w:pPr>
      <w:r w:rsidRPr="001D7812">
        <w:rPr>
          <w:rFonts w:eastAsia="Calibri" w:cs="Times New Roman"/>
          <w:szCs w:val="24"/>
        </w:rPr>
        <w:t>FirstEnergy</w:t>
      </w:r>
      <w:r w:rsidR="009F1383">
        <w:rPr>
          <w:rFonts w:eastAsia="Calibri" w:cs="Times New Roman"/>
          <w:szCs w:val="24"/>
        </w:rPr>
        <w:t>’</w:t>
      </w:r>
      <w:r w:rsidRPr="001D7812">
        <w:rPr>
          <w:rFonts w:eastAsia="Calibri" w:cs="Times New Roman"/>
          <w:szCs w:val="24"/>
        </w:rPr>
        <w:t xml:space="preserve">s assessment of the </w:t>
      </w:r>
      <w:r w:rsidR="009F1383">
        <w:rPr>
          <w:rFonts w:eastAsia="Calibri" w:cs="Times New Roman"/>
          <w:szCs w:val="24"/>
        </w:rPr>
        <w:t>“</w:t>
      </w:r>
      <w:r w:rsidRPr="001D7812">
        <w:rPr>
          <w:rFonts w:eastAsia="Calibri" w:cs="Times New Roman"/>
          <w:szCs w:val="24"/>
        </w:rPr>
        <w:t>MRO versus ESP</w:t>
      </w:r>
      <w:r w:rsidR="009F1383">
        <w:rPr>
          <w:rFonts w:eastAsia="Calibri" w:cs="Times New Roman"/>
          <w:szCs w:val="24"/>
        </w:rPr>
        <w:t>”</w:t>
      </w:r>
      <w:r w:rsidRPr="001D7812">
        <w:rPr>
          <w:rFonts w:eastAsia="Calibri" w:cs="Times New Roman"/>
          <w:szCs w:val="24"/>
        </w:rPr>
        <w:t xml:space="preserve"> test is faulty because </w:t>
      </w:r>
      <w:r w:rsidRPr="001D7812" w:rsidR="006058DC">
        <w:rPr>
          <w:rFonts w:eastAsia="Calibri" w:cs="Times New Roman"/>
          <w:szCs w:val="24"/>
        </w:rPr>
        <w:t xml:space="preserve">FirstEnergy overlooks many areas where an electric security plan would be </w:t>
      </w:r>
      <w:r w:rsidRPr="001D7812" w:rsidR="006058DC">
        <w:rPr>
          <w:rFonts w:eastAsia="Calibri" w:cs="Times New Roman"/>
          <w:i/>
          <w:iCs/>
          <w:szCs w:val="24"/>
        </w:rPr>
        <w:t xml:space="preserve">less favorable </w:t>
      </w:r>
      <w:r w:rsidRPr="001D7812" w:rsidR="006058DC">
        <w:rPr>
          <w:rFonts w:eastAsia="Calibri" w:cs="Times New Roman"/>
          <w:szCs w:val="24"/>
        </w:rPr>
        <w:t>than a market-rate option.</w:t>
      </w:r>
      <w:r w:rsidRPr="001D7812" w:rsidR="00CE2F18">
        <w:rPr>
          <w:rFonts w:eastAsia="Calibri" w:cs="Times New Roman"/>
          <w:szCs w:val="24"/>
        </w:rPr>
        <w:t xml:space="preserve"> </w:t>
      </w:r>
      <w:r w:rsidRPr="001D7812" w:rsidR="006058DC">
        <w:rPr>
          <w:rFonts w:eastAsia="Calibri" w:cs="Times New Roman"/>
          <w:szCs w:val="24"/>
        </w:rPr>
        <w:t>When considering all applicable factors, the only reasonable conclusion is that consumers would be much better off under a market-rate option.</w:t>
      </w:r>
      <w:r w:rsidRPr="001D7812" w:rsidR="00CE2F18">
        <w:rPr>
          <w:rFonts w:eastAsia="Calibri" w:cs="Times New Roman"/>
          <w:szCs w:val="24"/>
        </w:rPr>
        <w:t xml:space="preserve"> </w:t>
      </w:r>
      <w:r w:rsidRPr="001D7812" w:rsidR="006058DC">
        <w:rPr>
          <w:rFonts w:eastAsia="Calibri" w:cs="Times New Roman"/>
          <w:szCs w:val="24"/>
        </w:rPr>
        <w:t>The factors which make an electric security plan less favorable, in the aggregate, to a market-rate option are as follows:</w:t>
      </w:r>
    </w:p>
    <w:p w:rsidR="006058DC" w:rsidRPr="00622AAD" w:rsidP="00363960" w14:paraId="55C273BB" w14:textId="5C72D137">
      <w:pPr>
        <w:pStyle w:val="ListParagraph"/>
        <w:numPr>
          <w:ilvl w:val="0"/>
          <w:numId w:val="4"/>
        </w:numPr>
        <w:ind w:left="1440" w:right="1440"/>
        <w:rPr>
          <w:rFonts w:eastAsia="Calibri" w:cs="Times New Roman"/>
          <w:szCs w:val="24"/>
        </w:rPr>
      </w:pPr>
      <w:r w:rsidRPr="001D7812">
        <w:rPr>
          <w:rFonts w:cs="Times New Roman"/>
          <w:szCs w:val="24"/>
        </w:rPr>
        <w:t>The electric security plan provides that FirstEnergy will use its existing Return on Equity.</w:t>
      </w:r>
      <w:r w:rsidRPr="001D7812" w:rsidR="00CE2F18">
        <w:rPr>
          <w:rFonts w:cs="Times New Roman"/>
          <w:szCs w:val="24"/>
        </w:rPr>
        <w:t xml:space="preserve"> </w:t>
      </w:r>
      <w:r w:rsidRPr="001D7812">
        <w:rPr>
          <w:rFonts w:cs="Times New Roman"/>
          <w:szCs w:val="24"/>
        </w:rPr>
        <w:t>This is an unreasonably high Return on Equity, which would require consumers to pay unfair rates and allow FirstEnergy to earn excessive profits until a new Return on Equity is decided in the 2024 base distribution rate case</w:t>
      </w:r>
      <w:r w:rsidRPr="001D7812" w:rsidR="00E44729">
        <w:rPr>
          <w:rFonts w:cs="Times New Roman"/>
          <w:szCs w:val="24"/>
        </w:rPr>
        <w:t>.</w:t>
      </w:r>
      <w:r w:rsidRPr="001D7812" w:rsidR="00CE2F18">
        <w:rPr>
          <w:rFonts w:cs="Times New Roman"/>
          <w:szCs w:val="24"/>
        </w:rPr>
        <w:t xml:space="preserve"> </w:t>
      </w:r>
      <w:r w:rsidRPr="001D7812" w:rsidR="00E44729">
        <w:rPr>
          <w:rFonts w:cs="Times New Roman"/>
          <w:szCs w:val="24"/>
        </w:rPr>
        <w:t xml:space="preserve">This feature is </w:t>
      </w:r>
      <w:r w:rsidRPr="001D7812">
        <w:rPr>
          <w:rFonts w:cs="Times New Roman"/>
          <w:szCs w:val="24"/>
        </w:rPr>
        <w:t xml:space="preserve">discussed more fully </w:t>
      </w:r>
      <w:r w:rsidRPr="00622AAD">
        <w:rPr>
          <w:rFonts w:cs="Times New Roman"/>
          <w:szCs w:val="24"/>
        </w:rPr>
        <w:t xml:space="preserve">in </w:t>
      </w:r>
      <w:r w:rsidRPr="00703252">
        <w:rPr>
          <w:rFonts w:cs="Times New Roman"/>
          <w:b/>
          <w:bCs/>
          <w:szCs w:val="24"/>
        </w:rPr>
        <w:t xml:space="preserve">Section </w:t>
      </w:r>
      <w:r w:rsidRPr="00703252" w:rsidR="00B954E7">
        <w:rPr>
          <w:rFonts w:cs="Times New Roman"/>
          <w:b/>
          <w:bCs/>
          <w:szCs w:val="24"/>
        </w:rPr>
        <w:t>E</w:t>
      </w:r>
      <w:r w:rsidRPr="00622AAD" w:rsidR="00B954E7">
        <w:rPr>
          <w:rFonts w:cs="Times New Roman"/>
          <w:szCs w:val="24"/>
        </w:rPr>
        <w:t xml:space="preserve">, </w:t>
      </w:r>
      <w:r w:rsidRPr="00622AAD" w:rsidR="00B954E7">
        <w:rPr>
          <w:rFonts w:cs="Times New Roman"/>
          <w:i/>
          <w:iCs/>
          <w:szCs w:val="24"/>
        </w:rPr>
        <w:t xml:space="preserve">supra. </w:t>
      </w:r>
      <w:r w:rsidRPr="00622AAD" w:rsidR="00E44729">
        <w:rPr>
          <w:rFonts w:cs="Times New Roman"/>
          <w:szCs w:val="24"/>
        </w:rPr>
        <w:t>As pointed out in that section, the fair and reasonable Return on Equity for FirstEnergy should be 9.22%, not the 10.5% Return on Equity FirstEnergy would receive under its proposal;</w:t>
      </w:r>
    </w:p>
    <w:p w:rsidR="00E44729" w:rsidRPr="00622AAD" w:rsidP="00E44729" w14:paraId="4D79D2E3" w14:textId="77777777">
      <w:pPr>
        <w:ind w:left="1440" w:right="1440"/>
        <w:rPr>
          <w:rFonts w:eastAsia="Calibri" w:cs="Times New Roman"/>
          <w:szCs w:val="24"/>
        </w:rPr>
      </w:pPr>
    </w:p>
    <w:p w:rsidR="00E44729" w:rsidRPr="00622AAD" w:rsidP="00363960" w14:paraId="63C205CE" w14:textId="040CF958">
      <w:pPr>
        <w:pStyle w:val="ListParagraph"/>
        <w:numPr>
          <w:ilvl w:val="0"/>
          <w:numId w:val="4"/>
        </w:numPr>
        <w:ind w:left="1440" w:right="1440"/>
        <w:rPr>
          <w:rFonts w:eastAsia="Calibri" w:cs="Times New Roman"/>
          <w:szCs w:val="24"/>
        </w:rPr>
      </w:pPr>
      <w:r w:rsidRPr="00622AAD">
        <w:rPr>
          <w:rFonts w:cs="Times New Roman"/>
          <w:szCs w:val="24"/>
        </w:rPr>
        <w:t>The electric security plan would allow FirstEnergy to earn a 10.38% Return on Equity for all grid modernization spending, regardless of any changes in FirstEnergy</w:t>
      </w:r>
      <w:r w:rsidRPr="00622AAD" w:rsidR="009F1383">
        <w:rPr>
          <w:rFonts w:cs="Times New Roman"/>
          <w:szCs w:val="24"/>
        </w:rPr>
        <w:t>’</w:t>
      </w:r>
      <w:r w:rsidRPr="00622AAD">
        <w:rPr>
          <w:rFonts w:cs="Times New Roman"/>
          <w:szCs w:val="24"/>
        </w:rPr>
        <w:t>s Return on Equity to be decided in the 2024 base distribution rate case.</w:t>
      </w:r>
      <w:r w:rsidRPr="00622AAD" w:rsidR="00CE2F18">
        <w:rPr>
          <w:rFonts w:cs="Times New Roman"/>
          <w:szCs w:val="24"/>
        </w:rPr>
        <w:t xml:space="preserve"> </w:t>
      </w:r>
      <w:r w:rsidRPr="00622AAD">
        <w:rPr>
          <w:rFonts w:cs="Times New Roman"/>
          <w:szCs w:val="24"/>
        </w:rPr>
        <w:t xml:space="preserve">This feature is discussed more fully in </w:t>
      </w:r>
      <w:r w:rsidRPr="00703252">
        <w:rPr>
          <w:rFonts w:cs="Times New Roman"/>
          <w:b/>
          <w:bCs/>
          <w:szCs w:val="24"/>
        </w:rPr>
        <w:t>Section F</w:t>
      </w:r>
      <w:r w:rsidRPr="00622AAD">
        <w:rPr>
          <w:rFonts w:cs="Times New Roman"/>
          <w:szCs w:val="24"/>
        </w:rPr>
        <w:t xml:space="preserve">, </w:t>
      </w:r>
      <w:r w:rsidRPr="00622AAD">
        <w:rPr>
          <w:rFonts w:cs="Times New Roman"/>
          <w:i/>
          <w:iCs/>
          <w:szCs w:val="24"/>
        </w:rPr>
        <w:t xml:space="preserve">supra. </w:t>
      </w:r>
      <w:r w:rsidRPr="00622AAD">
        <w:rPr>
          <w:rFonts w:cs="Times New Roman"/>
          <w:szCs w:val="24"/>
        </w:rPr>
        <w:t>As the appropriate Return on Equity is 9.22%, this higher 10.38% Return on Equity for all Grid Mod I and Grid Mod II spending would greatly harm consumers;</w:t>
      </w:r>
    </w:p>
    <w:p w:rsidR="00E44729" w:rsidRPr="00622AAD" w:rsidP="00E44729" w14:paraId="1269A1CD" w14:textId="77777777">
      <w:pPr>
        <w:pStyle w:val="ListParagraph"/>
        <w:rPr>
          <w:rFonts w:eastAsia="Calibri" w:cs="Times New Roman"/>
          <w:szCs w:val="24"/>
        </w:rPr>
      </w:pPr>
    </w:p>
    <w:p w:rsidR="00000485" w:rsidRPr="00622AAD" w:rsidP="00363960" w14:paraId="5A66249C" w14:textId="517B9EC5">
      <w:pPr>
        <w:pStyle w:val="ListParagraph"/>
        <w:numPr>
          <w:ilvl w:val="0"/>
          <w:numId w:val="4"/>
        </w:numPr>
        <w:ind w:left="1440" w:right="1440"/>
        <w:rPr>
          <w:rFonts w:eastAsia="Calibri" w:cs="Times New Roman"/>
          <w:szCs w:val="24"/>
        </w:rPr>
      </w:pPr>
      <w:r w:rsidRPr="00622AAD">
        <w:rPr>
          <w:rFonts w:cs="Times New Roman"/>
          <w:szCs w:val="24"/>
        </w:rPr>
        <w:t>FirstEnergy</w:t>
      </w:r>
      <w:r w:rsidRPr="00622AAD" w:rsidR="009F1383">
        <w:rPr>
          <w:rFonts w:cs="Times New Roman"/>
          <w:szCs w:val="24"/>
        </w:rPr>
        <w:t>’</w:t>
      </w:r>
      <w:r w:rsidRPr="00622AAD">
        <w:rPr>
          <w:rFonts w:cs="Times New Roman"/>
          <w:szCs w:val="24"/>
        </w:rPr>
        <w:t xml:space="preserve">s electric security plan </w:t>
      </w:r>
      <w:r w:rsidRPr="00622AAD" w:rsidR="00142295">
        <w:rPr>
          <w:rFonts w:cs="Times New Roman"/>
          <w:szCs w:val="24"/>
        </w:rPr>
        <w:t xml:space="preserve">would </w:t>
      </w:r>
      <w:r w:rsidRPr="00622AAD">
        <w:rPr>
          <w:rFonts w:cs="Times New Roman"/>
          <w:szCs w:val="24"/>
        </w:rPr>
        <w:t>allow</w:t>
      </w:r>
      <w:r w:rsidRPr="00622AAD" w:rsidR="00142295">
        <w:rPr>
          <w:rFonts w:cs="Times New Roman"/>
          <w:szCs w:val="24"/>
        </w:rPr>
        <w:t xml:space="preserve"> </w:t>
      </w:r>
      <w:r w:rsidRPr="00622AAD">
        <w:rPr>
          <w:rFonts w:cs="Times New Roman"/>
          <w:szCs w:val="24"/>
        </w:rPr>
        <w:t>FirstEnergy to use Rider DCR to collect costs for both transmission-related and distribution-related FERC accounts, even though FirstEnergy would not be permitted to collect transmission-related costs in a distribution base rate case.</w:t>
      </w:r>
      <w:r w:rsidRPr="00622AAD" w:rsidR="00CE2F18">
        <w:rPr>
          <w:rFonts w:cs="Times New Roman"/>
          <w:szCs w:val="24"/>
        </w:rPr>
        <w:t xml:space="preserve"> </w:t>
      </w:r>
      <w:r w:rsidRPr="00622AAD">
        <w:rPr>
          <w:rFonts w:cs="Times New Roman"/>
          <w:szCs w:val="24"/>
        </w:rPr>
        <w:t xml:space="preserve">This feature is discussed more fully in </w:t>
      </w:r>
      <w:r w:rsidRPr="00703252">
        <w:rPr>
          <w:rFonts w:cs="Times New Roman"/>
          <w:b/>
          <w:bCs/>
          <w:szCs w:val="24"/>
        </w:rPr>
        <w:t>Section I</w:t>
      </w:r>
      <w:r w:rsidRPr="00622AAD">
        <w:rPr>
          <w:rFonts w:cs="Times New Roman"/>
          <w:szCs w:val="24"/>
        </w:rPr>
        <w:t xml:space="preserve">, </w:t>
      </w:r>
      <w:r w:rsidRPr="00622AAD">
        <w:rPr>
          <w:rFonts w:cs="Times New Roman"/>
          <w:i/>
          <w:iCs/>
          <w:szCs w:val="24"/>
        </w:rPr>
        <w:t>supra</w:t>
      </w:r>
      <w:r w:rsidRPr="00622AAD" w:rsidR="008E3905">
        <w:rPr>
          <w:rFonts w:cs="Times New Roman"/>
          <w:i/>
          <w:iCs/>
          <w:szCs w:val="24"/>
        </w:rPr>
        <w:t>;</w:t>
      </w:r>
    </w:p>
    <w:p w:rsidR="00B5748B" w:rsidRPr="00622AAD" w:rsidP="00B5748B" w14:paraId="01BF9A32" w14:textId="77777777">
      <w:pPr>
        <w:pStyle w:val="ListParagraph"/>
        <w:rPr>
          <w:rFonts w:eastAsia="Calibri" w:cs="Times New Roman"/>
          <w:szCs w:val="24"/>
        </w:rPr>
      </w:pPr>
    </w:p>
    <w:p w:rsidR="00142295" w:rsidRPr="00622AAD" w:rsidP="00363960" w14:paraId="2101A322" w14:textId="6BA2CFBC">
      <w:pPr>
        <w:pStyle w:val="ListParagraph"/>
        <w:numPr>
          <w:ilvl w:val="0"/>
          <w:numId w:val="4"/>
        </w:numPr>
        <w:ind w:left="1440" w:right="1530"/>
        <w:rPr>
          <w:rFonts w:cs="Times New Roman"/>
          <w:szCs w:val="24"/>
        </w:rPr>
      </w:pPr>
      <w:r w:rsidRPr="00622AAD">
        <w:rPr>
          <w:rFonts w:cs="Times New Roman"/>
          <w:szCs w:val="24"/>
        </w:rPr>
        <w:t>FirstEnergy</w:t>
      </w:r>
      <w:r w:rsidRPr="00622AAD" w:rsidR="009F1383">
        <w:rPr>
          <w:rFonts w:cs="Times New Roman"/>
          <w:szCs w:val="24"/>
        </w:rPr>
        <w:t>’</w:t>
      </w:r>
      <w:r w:rsidRPr="00622AAD">
        <w:rPr>
          <w:rFonts w:cs="Times New Roman"/>
          <w:szCs w:val="24"/>
        </w:rPr>
        <w:t>s Rider DCR and Rider AMI proposals provide for FirstEnergy to calculate the revenue requirement based on projected plant-in-service balances, even though a traditional base distribution rate case, as well as existing distribution riders for other utility companies, calculate the revenue requirement based on the utility</w:t>
      </w:r>
      <w:r w:rsidRPr="00622AAD" w:rsidR="009F1383">
        <w:rPr>
          <w:rFonts w:cs="Times New Roman"/>
          <w:szCs w:val="24"/>
        </w:rPr>
        <w:t>’</w:t>
      </w:r>
      <w:r w:rsidRPr="00622AAD">
        <w:rPr>
          <w:rFonts w:cs="Times New Roman"/>
          <w:szCs w:val="24"/>
        </w:rPr>
        <w:t>s historic plant-in-service balances.</w:t>
      </w:r>
      <w:r w:rsidRPr="00622AAD" w:rsidR="00CE2F18">
        <w:rPr>
          <w:rFonts w:cs="Times New Roman"/>
          <w:szCs w:val="24"/>
        </w:rPr>
        <w:t xml:space="preserve"> </w:t>
      </w:r>
      <w:r w:rsidRPr="00622AAD">
        <w:rPr>
          <w:rFonts w:cs="Times New Roman"/>
          <w:szCs w:val="24"/>
        </w:rPr>
        <w:t xml:space="preserve">This feature is discussed more fully in </w:t>
      </w:r>
      <w:r w:rsidRPr="00703252">
        <w:rPr>
          <w:rFonts w:cs="Times New Roman"/>
          <w:b/>
          <w:bCs/>
          <w:szCs w:val="24"/>
        </w:rPr>
        <w:t>Section J</w:t>
      </w:r>
      <w:r w:rsidRPr="00622AAD">
        <w:rPr>
          <w:rFonts w:cs="Times New Roman"/>
          <w:szCs w:val="24"/>
        </w:rPr>
        <w:t xml:space="preserve">, </w:t>
      </w:r>
      <w:r w:rsidRPr="00622AAD">
        <w:rPr>
          <w:rFonts w:cs="Times New Roman"/>
          <w:i/>
          <w:iCs/>
          <w:szCs w:val="24"/>
        </w:rPr>
        <w:t>supra.</w:t>
      </w:r>
      <w:r w:rsidRPr="00622AAD" w:rsidR="00CE2F18">
        <w:rPr>
          <w:rFonts w:cs="Times New Roman"/>
          <w:i/>
          <w:iCs/>
          <w:szCs w:val="24"/>
        </w:rPr>
        <w:t xml:space="preserve"> </w:t>
      </w:r>
      <w:r w:rsidRPr="00622AAD">
        <w:rPr>
          <w:rFonts w:cs="Times New Roman"/>
          <w:szCs w:val="24"/>
        </w:rPr>
        <w:t xml:space="preserve">As discussed in </w:t>
      </w:r>
      <w:r w:rsidRPr="00703252">
        <w:rPr>
          <w:rFonts w:cs="Times New Roman"/>
          <w:b/>
          <w:bCs/>
          <w:szCs w:val="24"/>
        </w:rPr>
        <w:t>Section J</w:t>
      </w:r>
      <w:r w:rsidRPr="00622AAD">
        <w:rPr>
          <w:rFonts w:cs="Times New Roman"/>
          <w:szCs w:val="24"/>
        </w:rPr>
        <w:t>, using projected plant-in-service balances for Rider DCR allowed FirstEnergy to over-collect about $20 million</w:t>
      </w:r>
      <w:r w:rsidRPr="00622AAD" w:rsidR="008E3905">
        <w:rPr>
          <w:rFonts w:cs="Times New Roman"/>
          <w:szCs w:val="24"/>
        </w:rPr>
        <w:t>;</w:t>
      </w:r>
    </w:p>
    <w:p w:rsidR="00142295" w:rsidRPr="00622AAD" w:rsidP="00142295" w14:paraId="38F3DB13" w14:textId="77777777">
      <w:pPr>
        <w:pStyle w:val="ListParagraph"/>
        <w:rPr>
          <w:rFonts w:cs="Times New Roman"/>
          <w:szCs w:val="24"/>
        </w:rPr>
      </w:pPr>
    </w:p>
    <w:p w:rsidR="00142295" w:rsidRPr="00622AAD" w:rsidP="00363960" w14:paraId="687DB0C8" w14:textId="0433C564">
      <w:pPr>
        <w:pStyle w:val="ListParagraph"/>
        <w:numPr>
          <w:ilvl w:val="0"/>
          <w:numId w:val="4"/>
        </w:numPr>
        <w:ind w:left="1440" w:right="1530"/>
        <w:rPr>
          <w:rFonts w:cs="Times New Roman"/>
          <w:szCs w:val="24"/>
        </w:rPr>
      </w:pPr>
      <w:r w:rsidRPr="00622AAD">
        <w:rPr>
          <w:rFonts w:cs="Times New Roman"/>
          <w:szCs w:val="24"/>
        </w:rPr>
        <w:t>FirstEnergy</w:t>
      </w:r>
      <w:r w:rsidRPr="00622AAD" w:rsidR="009F1383">
        <w:rPr>
          <w:rFonts w:cs="Times New Roman"/>
          <w:szCs w:val="24"/>
        </w:rPr>
        <w:t>’</w:t>
      </w:r>
      <w:r w:rsidRPr="00622AAD">
        <w:rPr>
          <w:rFonts w:cs="Times New Roman"/>
          <w:szCs w:val="24"/>
        </w:rPr>
        <w:t xml:space="preserve">s failure to include a depreciation offset for Rider DCR </w:t>
      </w:r>
      <w:r w:rsidRPr="00622AAD" w:rsidR="002A1F0C">
        <w:rPr>
          <w:rFonts w:cs="Times New Roman"/>
          <w:szCs w:val="24"/>
        </w:rPr>
        <w:t xml:space="preserve">and Rider AMI </w:t>
      </w:r>
      <w:r w:rsidRPr="00622AAD">
        <w:rPr>
          <w:rFonts w:cs="Times New Roman"/>
          <w:szCs w:val="24"/>
        </w:rPr>
        <w:t>fails to recognize that the value of FirstEnergy</w:t>
      </w:r>
      <w:r w:rsidRPr="00622AAD" w:rsidR="009F1383">
        <w:rPr>
          <w:rFonts w:cs="Times New Roman"/>
          <w:szCs w:val="24"/>
        </w:rPr>
        <w:t>’</w:t>
      </w:r>
      <w:r w:rsidRPr="00622AAD">
        <w:rPr>
          <w:rFonts w:cs="Times New Roman"/>
          <w:szCs w:val="24"/>
        </w:rPr>
        <w:t>s legacy plant-in-service has declined since the date when it was originally placed in service</w:t>
      </w:r>
      <w:r w:rsidRPr="00622AAD" w:rsidR="002552B0">
        <w:rPr>
          <w:rFonts w:cs="Times New Roman"/>
          <w:szCs w:val="24"/>
        </w:rPr>
        <w:t xml:space="preserve">. This is </w:t>
      </w:r>
      <w:r w:rsidRPr="00622AAD">
        <w:rPr>
          <w:rFonts w:cs="Times New Roman"/>
          <w:szCs w:val="24"/>
        </w:rPr>
        <w:t xml:space="preserve">discussed more fully in </w:t>
      </w:r>
      <w:r w:rsidRPr="00703252">
        <w:rPr>
          <w:rFonts w:cs="Times New Roman"/>
          <w:b/>
          <w:bCs/>
          <w:szCs w:val="24"/>
        </w:rPr>
        <w:t>Section</w:t>
      </w:r>
      <w:r w:rsidRPr="00703252" w:rsidR="007C14C0">
        <w:rPr>
          <w:rFonts w:cs="Times New Roman"/>
          <w:b/>
          <w:bCs/>
          <w:szCs w:val="24"/>
        </w:rPr>
        <w:t>s</w:t>
      </w:r>
      <w:r w:rsidRPr="00703252">
        <w:rPr>
          <w:rFonts w:cs="Times New Roman"/>
          <w:b/>
          <w:bCs/>
          <w:szCs w:val="24"/>
        </w:rPr>
        <w:t xml:space="preserve"> K</w:t>
      </w:r>
      <w:r w:rsidRPr="00703252" w:rsidR="002A1F0C">
        <w:rPr>
          <w:rFonts w:cs="Times New Roman"/>
          <w:b/>
          <w:bCs/>
          <w:szCs w:val="24"/>
        </w:rPr>
        <w:t xml:space="preserve"> and M</w:t>
      </w:r>
      <w:r w:rsidRPr="00622AAD">
        <w:rPr>
          <w:rFonts w:cs="Times New Roman"/>
          <w:szCs w:val="24"/>
        </w:rPr>
        <w:t xml:space="preserve">, </w:t>
      </w:r>
      <w:r w:rsidRPr="00622AAD">
        <w:rPr>
          <w:rFonts w:cs="Times New Roman"/>
          <w:i/>
          <w:iCs/>
          <w:szCs w:val="24"/>
        </w:rPr>
        <w:t>supra.</w:t>
      </w:r>
      <w:r w:rsidRPr="00622AAD" w:rsidR="00CE2F18">
        <w:rPr>
          <w:rFonts w:cs="Times New Roman"/>
          <w:i/>
          <w:iCs/>
          <w:szCs w:val="24"/>
        </w:rPr>
        <w:t xml:space="preserve"> </w:t>
      </w:r>
      <w:r w:rsidRPr="00622AAD">
        <w:rPr>
          <w:rFonts w:cs="Times New Roman"/>
          <w:szCs w:val="24"/>
        </w:rPr>
        <w:t xml:space="preserve">This </w:t>
      </w:r>
      <w:r w:rsidRPr="00622AAD" w:rsidR="00311832">
        <w:rPr>
          <w:rFonts w:cs="Times New Roman"/>
          <w:szCs w:val="24"/>
        </w:rPr>
        <w:t xml:space="preserve">problem would not occur in a traditional distribution base rate case, where the depreciation rates would be brought </w:t>
      </w:r>
      <w:r w:rsidRPr="00622AAD" w:rsidR="00DB4613">
        <w:rPr>
          <w:rFonts w:cs="Times New Roman"/>
          <w:szCs w:val="24"/>
        </w:rPr>
        <w:t>up to date</w:t>
      </w:r>
      <w:r w:rsidRPr="00622AAD" w:rsidR="008E3905">
        <w:rPr>
          <w:rFonts w:cs="Times New Roman"/>
          <w:szCs w:val="24"/>
        </w:rPr>
        <w:t>;</w:t>
      </w:r>
    </w:p>
    <w:p w:rsidR="002A1F0C" w:rsidRPr="00622AAD" w:rsidP="002A1F0C" w14:paraId="05A08462" w14:textId="77777777">
      <w:pPr>
        <w:pStyle w:val="ListParagraph"/>
        <w:rPr>
          <w:rFonts w:cs="Times New Roman"/>
          <w:szCs w:val="24"/>
        </w:rPr>
      </w:pPr>
    </w:p>
    <w:p w:rsidR="002552B0" w:rsidRPr="00622AAD" w:rsidP="00363960" w14:paraId="603BC950" w14:textId="108D0D89">
      <w:pPr>
        <w:pStyle w:val="ListParagraph"/>
        <w:numPr>
          <w:ilvl w:val="0"/>
          <w:numId w:val="4"/>
        </w:numPr>
        <w:ind w:left="1440" w:right="1440"/>
        <w:rPr>
          <w:rFonts w:cs="Times New Roman"/>
          <w:szCs w:val="24"/>
        </w:rPr>
      </w:pPr>
      <w:r w:rsidRPr="00622AAD">
        <w:rPr>
          <w:rFonts w:cs="Times New Roman"/>
          <w:szCs w:val="24"/>
        </w:rPr>
        <w:t>FirstEnergy</w:t>
      </w:r>
      <w:r w:rsidRPr="00622AAD" w:rsidR="009F1383">
        <w:rPr>
          <w:rFonts w:cs="Times New Roman"/>
          <w:szCs w:val="24"/>
        </w:rPr>
        <w:t>’</w:t>
      </w:r>
      <w:r w:rsidRPr="00622AAD">
        <w:rPr>
          <w:rFonts w:cs="Times New Roman"/>
          <w:szCs w:val="24"/>
        </w:rPr>
        <w:t>s Rider VMC proposal fails to flow cost savings through to consumers from the new vegetation management practices which reduce the cost of the existing vegetation management practices.</w:t>
      </w:r>
      <w:r w:rsidRPr="00622AAD" w:rsidR="00CE2F18">
        <w:rPr>
          <w:rFonts w:cs="Times New Roman"/>
          <w:szCs w:val="24"/>
        </w:rPr>
        <w:t xml:space="preserve"> </w:t>
      </w:r>
      <w:r w:rsidRPr="00622AAD">
        <w:rPr>
          <w:rFonts w:cs="Times New Roman"/>
          <w:szCs w:val="24"/>
        </w:rPr>
        <w:t xml:space="preserve">This is discussed more fully in </w:t>
      </w:r>
      <w:r w:rsidRPr="00703252">
        <w:rPr>
          <w:rFonts w:cs="Times New Roman"/>
          <w:b/>
          <w:bCs/>
          <w:szCs w:val="24"/>
        </w:rPr>
        <w:t>Section P</w:t>
      </w:r>
      <w:r w:rsidRPr="00622AAD">
        <w:rPr>
          <w:rFonts w:cs="Times New Roman"/>
          <w:szCs w:val="24"/>
        </w:rPr>
        <w:t xml:space="preserve">, </w:t>
      </w:r>
      <w:r w:rsidRPr="00622AAD">
        <w:rPr>
          <w:rFonts w:cs="Times New Roman"/>
          <w:i/>
          <w:iCs/>
          <w:szCs w:val="24"/>
        </w:rPr>
        <w:t>supra.</w:t>
      </w:r>
      <w:r w:rsidRPr="00622AAD" w:rsidR="00CE2F18">
        <w:rPr>
          <w:rFonts w:cs="Times New Roman"/>
          <w:i/>
          <w:iCs/>
          <w:szCs w:val="24"/>
        </w:rPr>
        <w:t xml:space="preserve"> </w:t>
      </w:r>
      <w:r w:rsidRPr="00622AAD" w:rsidR="007C14C0">
        <w:rPr>
          <w:rFonts w:cs="Times New Roman"/>
          <w:szCs w:val="24"/>
        </w:rPr>
        <w:t>This problem would not occur in a traditional distribution base rate case, where the reduced costs of the existing vegetation management practices would be reflected in the new rates</w:t>
      </w:r>
      <w:r w:rsidRPr="00622AAD" w:rsidR="008E3905">
        <w:rPr>
          <w:rFonts w:cs="Times New Roman"/>
          <w:szCs w:val="24"/>
        </w:rPr>
        <w:t>; and</w:t>
      </w:r>
    </w:p>
    <w:p w:rsidR="007C14C0" w:rsidRPr="00622AAD" w:rsidP="007C14C0" w14:paraId="425EDC51" w14:textId="77777777">
      <w:pPr>
        <w:pStyle w:val="ListParagraph"/>
        <w:rPr>
          <w:rFonts w:cs="Times New Roman"/>
          <w:szCs w:val="24"/>
        </w:rPr>
      </w:pPr>
    </w:p>
    <w:p w:rsidR="008E3905" w:rsidRPr="00622AAD" w:rsidP="00363960" w14:paraId="0F847B86" w14:textId="727CE1DD">
      <w:pPr>
        <w:pStyle w:val="ListParagraph"/>
        <w:numPr>
          <w:ilvl w:val="0"/>
          <w:numId w:val="4"/>
        </w:numPr>
        <w:ind w:left="1440" w:right="1440"/>
        <w:rPr>
          <w:rFonts w:cs="Times New Roman"/>
          <w:szCs w:val="24"/>
        </w:rPr>
      </w:pPr>
      <w:r w:rsidRPr="00622AAD">
        <w:rPr>
          <w:rFonts w:cs="Times New Roman"/>
          <w:szCs w:val="24"/>
        </w:rPr>
        <w:t>FirstEnergy</w:t>
      </w:r>
      <w:r w:rsidRPr="00622AAD" w:rsidR="009F1383">
        <w:rPr>
          <w:rFonts w:cs="Times New Roman"/>
          <w:szCs w:val="24"/>
        </w:rPr>
        <w:t>’</w:t>
      </w:r>
      <w:r w:rsidRPr="00622AAD">
        <w:rPr>
          <w:rFonts w:cs="Times New Roman"/>
          <w:szCs w:val="24"/>
        </w:rPr>
        <w:t>s electric security plan would continue and expand Rider NMB.</w:t>
      </w:r>
      <w:r w:rsidRPr="00622AAD" w:rsidR="00CE2F18">
        <w:rPr>
          <w:rFonts w:cs="Times New Roman"/>
          <w:szCs w:val="24"/>
        </w:rPr>
        <w:t xml:space="preserve"> </w:t>
      </w:r>
      <w:r w:rsidRPr="00622AAD">
        <w:rPr>
          <w:rFonts w:cs="Times New Roman"/>
          <w:szCs w:val="24"/>
        </w:rPr>
        <w:t>This is contrary to the recommendation of the PUCO-appointed independent auditor.</w:t>
      </w:r>
      <w:r w:rsidRPr="00622AAD" w:rsidR="00CE2F18">
        <w:rPr>
          <w:rFonts w:cs="Times New Roman"/>
          <w:szCs w:val="24"/>
        </w:rPr>
        <w:t xml:space="preserve"> </w:t>
      </w:r>
      <w:r w:rsidRPr="00622AAD">
        <w:rPr>
          <w:rFonts w:cs="Times New Roman"/>
          <w:szCs w:val="24"/>
        </w:rPr>
        <w:t xml:space="preserve">This is discussed more fully in </w:t>
      </w:r>
      <w:r w:rsidRPr="00703252">
        <w:rPr>
          <w:rFonts w:cs="Times New Roman"/>
          <w:b/>
          <w:bCs/>
          <w:szCs w:val="24"/>
        </w:rPr>
        <w:t>Section R</w:t>
      </w:r>
      <w:r w:rsidRPr="00622AAD">
        <w:rPr>
          <w:rFonts w:cs="Times New Roman"/>
          <w:szCs w:val="24"/>
        </w:rPr>
        <w:t xml:space="preserve">, </w:t>
      </w:r>
      <w:r w:rsidRPr="00622AAD">
        <w:rPr>
          <w:rFonts w:cs="Times New Roman"/>
          <w:i/>
          <w:iCs/>
          <w:szCs w:val="24"/>
        </w:rPr>
        <w:t>supra.</w:t>
      </w:r>
      <w:r w:rsidRPr="00622AAD" w:rsidR="00CE2F18">
        <w:rPr>
          <w:rFonts w:cs="Times New Roman"/>
          <w:i/>
          <w:iCs/>
          <w:szCs w:val="24"/>
        </w:rPr>
        <w:t xml:space="preserve"> </w:t>
      </w:r>
      <w:r w:rsidRPr="00622AAD">
        <w:rPr>
          <w:rFonts w:cs="Times New Roman"/>
          <w:szCs w:val="24"/>
        </w:rPr>
        <w:t xml:space="preserve">As noted in that </w:t>
      </w:r>
      <w:r w:rsidR="00703252">
        <w:rPr>
          <w:rFonts w:cs="Times New Roman"/>
          <w:szCs w:val="24"/>
        </w:rPr>
        <w:t>s</w:t>
      </w:r>
      <w:r w:rsidRPr="00622AAD">
        <w:rPr>
          <w:rFonts w:cs="Times New Roman"/>
          <w:szCs w:val="24"/>
        </w:rPr>
        <w:t>ection, the Rider NMB pilot program resulted in cost-shifting to non-participating consumers of more than $100 million over a six-year period</w:t>
      </w:r>
      <w:r w:rsidRPr="00622AAD">
        <w:rPr>
          <w:rFonts w:cs="Times New Roman"/>
          <w:szCs w:val="24"/>
        </w:rPr>
        <w:t>.</w:t>
      </w:r>
    </w:p>
    <w:p w:rsidR="008E3905" w:rsidRPr="001D7812" w:rsidP="008E3905" w14:paraId="45A1E633" w14:textId="77777777">
      <w:pPr>
        <w:pStyle w:val="ListParagraph"/>
        <w:rPr>
          <w:rFonts w:cs="Times New Roman"/>
          <w:szCs w:val="24"/>
        </w:rPr>
      </w:pPr>
    </w:p>
    <w:p w:rsidR="008E3905" w:rsidRPr="001D7812" w:rsidP="008E3905" w14:paraId="29D403C8" w14:textId="3983E94A">
      <w:pPr>
        <w:spacing w:line="480" w:lineRule="auto"/>
        <w:ind w:firstLine="720"/>
        <w:rPr>
          <w:rFonts w:cs="Times New Roman"/>
          <w:szCs w:val="24"/>
        </w:rPr>
      </w:pPr>
      <w:r w:rsidRPr="001D7812">
        <w:rPr>
          <w:rFonts w:cs="Times New Roman"/>
          <w:szCs w:val="24"/>
        </w:rPr>
        <w:t>The foregoing reasons provide ample proof that an electric security plan would be less favorable to consumers as compared to a market-rate option.</w:t>
      </w:r>
      <w:r w:rsidRPr="001D7812" w:rsidR="00CE2F18">
        <w:rPr>
          <w:rFonts w:cs="Times New Roman"/>
          <w:szCs w:val="24"/>
        </w:rPr>
        <w:t xml:space="preserve"> </w:t>
      </w:r>
      <w:r w:rsidRPr="001D7812">
        <w:rPr>
          <w:rFonts w:cs="Times New Roman"/>
          <w:szCs w:val="24"/>
        </w:rPr>
        <w:t xml:space="preserve">Rider EEC provides a separate and independent grounds for rejecting the electric security plan under the </w:t>
      </w:r>
      <w:r w:rsidR="009F1383">
        <w:rPr>
          <w:rFonts w:cs="Times New Roman"/>
          <w:szCs w:val="24"/>
        </w:rPr>
        <w:t>“</w:t>
      </w:r>
      <w:r w:rsidRPr="001D7812">
        <w:rPr>
          <w:rFonts w:cs="Times New Roman"/>
          <w:szCs w:val="24"/>
        </w:rPr>
        <w:t>MRO versus ESP</w:t>
      </w:r>
      <w:r w:rsidR="009F1383">
        <w:rPr>
          <w:rFonts w:cs="Times New Roman"/>
          <w:szCs w:val="24"/>
        </w:rPr>
        <w:t>”</w:t>
      </w:r>
      <w:r w:rsidRPr="001D7812">
        <w:rPr>
          <w:rFonts w:cs="Times New Roman"/>
          <w:szCs w:val="24"/>
        </w:rPr>
        <w:t xml:space="preserve"> test.</w:t>
      </w:r>
      <w:r w:rsidRPr="001D7812" w:rsidR="00CE2F18">
        <w:rPr>
          <w:rFonts w:cs="Times New Roman"/>
          <w:szCs w:val="24"/>
        </w:rPr>
        <w:t xml:space="preserve"> </w:t>
      </w:r>
      <w:r w:rsidRPr="001D7812">
        <w:rPr>
          <w:rFonts w:cs="Times New Roman"/>
          <w:szCs w:val="24"/>
        </w:rPr>
        <w:t>As noted above, the statute requires:</w:t>
      </w:r>
    </w:p>
    <w:p w:rsidR="008E3905" w:rsidRPr="001D7812" w:rsidP="000A7418" w14:paraId="7E72784F" w14:textId="77777777">
      <w:pPr>
        <w:ind w:left="1440" w:right="1440"/>
        <w:rPr>
          <w:rFonts w:eastAsia="Calibri" w:cs="Times New Roman"/>
          <w:szCs w:val="24"/>
        </w:rPr>
      </w:pPr>
      <w:r w:rsidRPr="001D7812">
        <w:rPr>
          <w:rFonts w:eastAsia="Calibri" w:cs="Times New Roman"/>
          <w:szCs w:val="24"/>
        </w:rPr>
        <w:t>Additionally, if the commission so approves an application that contains a surcharge under division (B)(2)(b) or (c) of this section, the commission shall ensure that the benefits derived for any purpose for which the surcharge is established are reserved and made available to those that bear the surcharge. Otherwise, the commission by order shall disapprove the application.</w:t>
      </w:r>
      <w:r>
        <w:rPr>
          <w:rStyle w:val="FootnoteReference"/>
          <w:rFonts w:eastAsia="Calibri" w:cs="Times New Roman"/>
          <w:szCs w:val="24"/>
        </w:rPr>
        <w:footnoteReference w:id="227"/>
      </w:r>
    </w:p>
    <w:p w:rsidR="008E3905" w:rsidRPr="001D7812" w:rsidP="008E3905" w14:paraId="3F351241" w14:textId="77777777">
      <w:pPr>
        <w:ind w:right="1440"/>
        <w:rPr>
          <w:rFonts w:eastAsia="Calibri" w:cs="Times New Roman"/>
          <w:szCs w:val="24"/>
        </w:rPr>
      </w:pPr>
    </w:p>
    <w:p w:rsidR="00077756" w:rsidRPr="001D7812" w:rsidP="008E3905" w14:paraId="5D00576F" w14:textId="6A6B3E90">
      <w:pPr>
        <w:spacing w:line="480" w:lineRule="auto"/>
        <w:ind w:firstLine="720"/>
        <w:rPr>
          <w:rFonts w:cs="Times New Roman"/>
          <w:szCs w:val="24"/>
        </w:rPr>
      </w:pPr>
      <w:r w:rsidRPr="001D7812">
        <w:rPr>
          <w:rFonts w:cs="Times New Roman"/>
          <w:szCs w:val="24"/>
        </w:rPr>
        <w:t>FirstEnergy</w:t>
      </w:r>
      <w:r w:rsidR="009F1383">
        <w:rPr>
          <w:rFonts w:cs="Times New Roman"/>
          <w:szCs w:val="24"/>
        </w:rPr>
        <w:t>’</w:t>
      </w:r>
      <w:r w:rsidRPr="001D7812">
        <w:rPr>
          <w:rFonts w:cs="Times New Roman"/>
          <w:szCs w:val="24"/>
        </w:rPr>
        <w:t xml:space="preserve">s Rider EEC proposal clearly violates this statute because, as discussed more fully in </w:t>
      </w:r>
      <w:r w:rsidRPr="00703252">
        <w:rPr>
          <w:rFonts w:cs="Times New Roman"/>
          <w:b/>
          <w:bCs/>
          <w:szCs w:val="24"/>
        </w:rPr>
        <w:t>Section S</w:t>
      </w:r>
      <w:r w:rsidRPr="001D7812">
        <w:rPr>
          <w:rFonts w:cs="Times New Roman"/>
          <w:szCs w:val="24"/>
        </w:rPr>
        <w:t xml:space="preserve">, </w:t>
      </w:r>
      <w:r w:rsidRPr="001D7812">
        <w:rPr>
          <w:rFonts w:cs="Times New Roman"/>
          <w:i/>
          <w:iCs/>
          <w:szCs w:val="24"/>
        </w:rPr>
        <w:t>supra,</w:t>
      </w:r>
      <w:r w:rsidRPr="001D7812">
        <w:rPr>
          <w:rFonts w:cs="Times New Roman"/>
          <w:szCs w:val="24"/>
        </w:rPr>
        <w:t xml:space="preserve"> consumers who receive service during the last four years of the eight-year plan must pay for the programs even though they would have no opportunity to enroll in or receive services under the programs.</w:t>
      </w:r>
      <w:r w:rsidRPr="001D7812" w:rsidR="00CE2F18">
        <w:rPr>
          <w:rFonts w:cs="Times New Roman"/>
          <w:szCs w:val="24"/>
        </w:rPr>
        <w:t xml:space="preserve"> </w:t>
      </w:r>
      <w:r w:rsidRPr="001D7812">
        <w:rPr>
          <w:rFonts w:cs="Times New Roman"/>
          <w:szCs w:val="24"/>
        </w:rPr>
        <w:t>Under these circumstances, the statute expressly requires that the PUCO must reject the electric security plan</w:t>
      </w:r>
      <w:r w:rsidRPr="001D7812" w:rsidR="000E647C">
        <w:rPr>
          <w:rFonts w:cs="Times New Roman"/>
          <w:szCs w:val="24"/>
        </w:rPr>
        <w:t xml:space="preserve"> as proposed</w:t>
      </w:r>
      <w:r w:rsidRPr="001D7812">
        <w:rPr>
          <w:rFonts w:cs="Times New Roman"/>
          <w:szCs w:val="24"/>
        </w:rPr>
        <w:t>.</w:t>
      </w:r>
    </w:p>
    <w:p w:rsidR="000E647C" w:rsidRPr="001D7812" w:rsidP="000E647C" w14:paraId="231DE768" w14:textId="7698EC53">
      <w:pPr>
        <w:autoSpaceDE w:val="0"/>
        <w:autoSpaceDN w:val="0"/>
        <w:adjustRightInd w:val="0"/>
        <w:spacing w:line="480" w:lineRule="auto"/>
        <w:ind w:firstLine="720"/>
        <w:rPr>
          <w:rFonts w:cs="Times New Roman"/>
          <w:szCs w:val="24"/>
        </w:rPr>
      </w:pPr>
      <w:r w:rsidRPr="001D7812">
        <w:rPr>
          <w:rFonts w:cs="Times New Roman"/>
          <w:szCs w:val="24"/>
        </w:rPr>
        <w:t>The PUCO should modify FirstEnergy</w:t>
      </w:r>
      <w:r w:rsidR="009F1383">
        <w:rPr>
          <w:rFonts w:cs="Times New Roman"/>
          <w:szCs w:val="24"/>
        </w:rPr>
        <w:t>’</w:t>
      </w:r>
      <w:r w:rsidRPr="001D7812">
        <w:rPr>
          <w:rFonts w:cs="Times New Roman"/>
          <w:szCs w:val="24"/>
        </w:rPr>
        <w:t>s proposed electric security plan transforming it into Ohio</w:t>
      </w:r>
      <w:r w:rsidR="009F1383">
        <w:rPr>
          <w:rFonts w:cs="Times New Roman"/>
          <w:szCs w:val="24"/>
        </w:rPr>
        <w:t>’</w:t>
      </w:r>
      <w:r w:rsidRPr="001D7812">
        <w:rPr>
          <w:rFonts w:cs="Times New Roman"/>
          <w:szCs w:val="24"/>
        </w:rPr>
        <w:t>s first market-rate offer by an Ohio electric distribution utility. This would finally complete the restructuring of Ohio</w:t>
      </w:r>
      <w:r w:rsidR="009F1383">
        <w:rPr>
          <w:rFonts w:cs="Times New Roman"/>
          <w:szCs w:val="24"/>
        </w:rPr>
        <w:t>’</w:t>
      </w:r>
      <w:r w:rsidRPr="001D7812">
        <w:rPr>
          <w:rFonts w:cs="Times New Roman"/>
          <w:szCs w:val="24"/>
        </w:rPr>
        <w:t xml:space="preserve">s retail electricity market which began with S.B. 3 in 1999. </w:t>
      </w:r>
    </w:p>
    <w:p w:rsidR="000E647C" w:rsidRPr="001D7812" w:rsidP="00EA0DA4" w14:paraId="610BFD95" w14:textId="70AB8628">
      <w:pPr>
        <w:autoSpaceDE w:val="0"/>
        <w:autoSpaceDN w:val="0"/>
        <w:adjustRightInd w:val="0"/>
        <w:spacing w:line="480" w:lineRule="auto"/>
        <w:ind w:firstLine="720"/>
        <w:rPr>
          <w:rFonts w:cs="Times New Roman"/>
          <w:szCs w:val="24"/>
        </w:rPr>
      </w:pPr>
      <w:r w:rsidRPr="001D7812">
        <w:rPr>
          <w:rFonts w:cs="Times New Roman"/>
          <w:szCs w:val="24"/>
        </w:rPr>
        <w:t xml:space="preserve">A market-rate offer would allow the PUCO to fulfill its mission of assuring </w:t>
      </w:r>
      <w:r w:rsidR="009F1383">
        <w:rPr>
          <w:rFonts w:cs="Times New Roman"/>
          <w:szCs w:val="24"/>
        </w:rPr>
        <w:t>“</w:t>
      </w:r>
      <w:r w:rsidRPr="001D7812">
        <w:rPr>
          <w:rFonts w:cs="Times New Roman"/>
          <w:szCs w:val="24"/>
        </w:rPr>
        <w:t>all residential and business consumers access to adequate, safe and reliable utility</w:t>
      </w:r>
      <w:r w:rsidRPr="001D7812">
        <w:rPr>
          <w:rFonts w:cs="Times New Roman"/>
          <w:color w:val="000000"/>
          <w:szCs w:val="24"/>
          <w:shd w:val="clear" w:color="auto" w:fill="FAFAFA"/>
        </w:rPr>
        <w:t xml:space="preserve"> </w:t>
      </w:r>
      <w:r w:rsidRPr="001D7812">
        <w:rPr>
          <w:rFonts w:cs="Times New Roman"/>
          <w:szCs w:val="24"/>
        </w:rPr>
        <w:t>services at fair prices, while facilitating an environment that provides competitive choices.</w:t>
      </w:r>
      <w:r w:rsidR="009F1383">
        <w:rPr>
          <w:rFonts w:cs="Times New Roman"/>
          <w:szCs w:val="24"/>
        </w:rPr>
        <w:t>”</w:t>
      </w:r>
      <w:r>
        <w:rPr>
          <w:rStyle w:val="FootnoteReference"/>
          <w:rFonts w:cs="Times New Roman"/>
          <w:szCs w:val="24"/>
        </w:rPr>
        <w:footnoteReference w:id="228"/>
      </w:r>
      <w:r w:rsidRPr="001D7812">
        <w:rPr>
          <w:rFonts w:cs="Times New Roman"/>
          <w:szCs w:val="24"/>
        </w:rPr>
        <w:t xml:space="preserve"> A market-rate offer would also end FirstEnergy</w:t>
      </w:r>
      <w:r w:rsidR="009F1383">
        <w:rPr>
          <w:rFonts w:cs="Times New Roman"/>
          <w:szCs w:val="24"/>
        </w:rPr>
        <w:t>’</w:t>
      </w:r>
      <w:r w:rsidRPr="001D7812">
        <w:rPr>
          <w:rFonts w:cs="Times New Roman"/>
          <w:szCs w:val="24"/>
        </w:rPr>
        <w:t>s lean on the PUCO to layer additional distribution charges on consumers every time FirstEnergy seeks approval of another electric security plan.</w:t>
      </w:r>
    </w:p>
    <w:p w:rsidR="008A6462" w:rsidRPr="001D7812" w:rsidP="00EA0DA4" w14:paraId="276FBF41" w14:textId="77777777">
      <w:pPr>
        <w:ind w:firstLine="720"/>
        <w:rPr>
          <w:rFonts w:cs="Times New Roman"/>
          <w:szCs w:val="24"/>
        </w:rPr>
      </w:pPr>
    </w:p>
    <w:p w:rsidR="00115C2B" w:rsidRPr="001D7812" w:rsidP="00631CE6" w14:paraId="3A61258F" w14:textId="27BF0DFE">
      <w:pPr>
        <w:pStyle w:val="Heading1"/>
      </w:pPr>
      <w:bookmarkStart w:id="30" w:name="_Toc156567941"/>
      <w:r>
        <w:t>I</w:t>
      </w:r>
      <w:r w:rsidRPr="001D7812" w:rsidR="00987D5A">
        <w:t>V</w:t>
      </w:r>
      <w:r w:rsidRPr="001D7812" w:rsidR="00631CE6">
        <w:t>.</w:t>
      </w:r>
      <w:r w:rsidRPr="001D7812" w:rsidR="00631CE6">
        <w:tab/>
      </w:r>
      <w:r w:rsidRPr="001D7812">
        <w:t>CONCLUSION</w:t>
      </w:r>
      <w:bookmarkEnd w:id="30"/>
    </w:p>
    <w:p w:rsidR="00653D43" w:rsidRPr="001D7812" w:rsidP="004C46CD" w14:paraId="56725FF4" w14:textId="77777777">
      <w:pPr>
        <w:spacing w:line="480" w:lineRule="auto"/>
        <w:ind w:firstLine="720"/>
        <w:rPr>
          <w:rFonts w:eastAsia="Calibri" w:cs="Times New Roman"/>
          <w:szCs w:val="24"/>
        </w:rPr>
      </w:pPr>
      <w:r w:rsidRPr="001D7812">
        <w:rPr>
          <w:rFonts w:eastAsia="Calibri" w:cs="Times New Roman"/>
          <w:szCs w:val="24"/>
        </w:rPr>
        <w:t xml:space="preserve">Public utilities like FirstEnergy are charged with fulfilling a vital public purpose by providing consumers with essential </w:t>
      </w:r>
      <w:r w:rsidRPr="001D7812" w:rsidR="00E75BF5">
        <w:rPr>
          <w:rFonts w:eastAsia="Calibri" w:cs="Times New Roman"/>
          <w:szCs w:val="24"/>
        </w:rPr>
        <w:t xml:space="preserve">electric </w:t>
      </w:r>
      <w:r w:rsidRPr="001D7812">
        <w:rPr>
          <w:rFonts w:eastAsia="Calibri" w:cs="Times New Roman"/>
          <w:szCs w:val="24"/>
        </w:rPr>
        <w:t xml:space="preserve">service. In exchange, they </w:t>
      </w:r>
      <w:r w:rsidRPr="001D7812" w:rsidR="00E75BF5">
        <w:rPr>
          <w:rFonts w:eastAsia="Calibri" w:cs="Times New Roman"/>
          <w:szCs w:val="24"/>
        </w:rPr>
        <w:t>receive</w:t>
      </w:r>
      <w:r w:rsidRPr="001D7812">
        <w:rPr>
          <w:rFonts w:eastAsia="Calibri" w:cs="Times New Roman"/>
          <w:szCs w:val="24"/>
        </w:rPr>
        <w:t xml:space="preserve"> various benefits from regulation</w:t>
      </w:r>
      <w:r w:rsidRPr="001D7812" w:rsidR="00E75BF5">
        <w:rPr>
          <w:rFonts w:eastAsia="Calibri" w:cs="Times New Roman"/>
          <w:szCs w:val="24"/>
        </w:rPr>
        <w:t>, such as avoiding competition through their monopoly status.</w:t>
      </w:r>
      <w:r w:rsidRPr="001D7812">
        <w:rPr>
          <w:rFonts w:eastAsia="Calibri" w:cs="Times New Roman"/>
          <w:szCs w:val="24"/>
        </w:rPr>
        <w:t xml:space="preserve"> But such regulation must be balanced. Here it is not. </w:t>
      </w:r>
    </w:p>
    <w:p w:rsidR="004C46CD" w:rsidRPr="001D7812" w:rsidP="00EA0DA4" w14:paraId="181DC031" w14:textId="521BDF8C">
      <w:pPr>
        <w:spacing w:line="480" w:lineRule="auto"/>
        <w:ind w:firstLine="720"/>
        <w:rPr>
          <w:rFonts w:eastAsia="Calibri" w:cs="Times New Roman"/>
          <w:szCs w:val="24"/>
        </w:rPr>
      </w:pPr>
      <w:r w:rsidRPr="001D7812">
        <w:rPr>
          <w:rFonts w:eastAsia="Calibri" w:cs="Times New Roman"/>
          <w:szCs w:val="24"/>
        </w:rPr>
        <w:t>ESP V, if approved, w</w:t>
      </w:r>
      <w:r w:rsidRPr="001D7812" w:rsidR="00E75BF5">
        <w:rPr>
          <w:rFonts w:eastAsia="Calibri" w:cs="Times New Roman"/>
          <w:szCs w:val="24"/>
        </w:rPr>
        <w:t>ould</w:t>
      </w:r>
      <w:r w:rsidRPr="001D7812">
        <w:rPr>
          <w:rFonts w:eastAsia="Calibri" w:cs="Times New Roman"/>
          <w:szCs w:val="24"/>
        </w:rPr>
        <w:t xml:space="preserve"> increase the cost of consumers</w:t>
      </w:r>
      <w:r w:rsidR="009F1383">
        <w:rPr>
          <w:rFonts w:eastAsia="Calibri" w:cs="Times New Roman"/>
          <w:szCs w:val="24"/>
        </w:rPr>
        <w:t>’</w:t>
      </w:r>
      <w:r w:rsidRPr="001D7812">
        <w:rPr>
          <w:rFonts w:eastAsia="Calibri" w:cs="Times New Roman"/>
          <w:szCs w:val="24"/>
        </w:rPr>
        <w:t xml:space="preserve"> electric service by $1.4 billion without providing consumers meaningful additional services, increasing reliability, or generating safety benefits. Many of the numerous and varied riders are improper charges to customers, and their sheer number further contributes to rendering ESP V unjust and unreasonable. Further, ESP V fails the </w:t>
      </w:r>
      <w:r w:rsidR="009F1383">
        <w:rPr>
          <w:rFonts w:eastAsia="Calibri" w:cs="Times New Roman"/>
          <w:szCs w:val="24"/>
        </w:rPr>
        <w:t>“</w:t>
      </w:r>
      <w:r w:rsidRPr="001D7812" w:rsidR="00E75BF5">
        <w:rPr>
          <w:rFonts w:eastAsia="Calibri" w:cs="Times New Roman"/>
          <w:szCs w:val="24"/>
        </w:rPr>
        <w:t>MRO versus ESP</w:t>
      </w:r>
      <w:r w:rsidR="009F1383">
        <w:rPr>
          <w:rFonts w:eastAsia="Calibri" w:cs="Times New Roman"/>
          <w:szCs w:val="24"/>
        </w:rPr>
        <w:t>”</w:t>
      </w:r>
      <w:r w:rsidRPr="001D7812" w:rsidR="00E75BF5">
        <w:rPr>
          <w:rFonts w:eastAsia="Calibri" w:cs="Times New Roman"/>
          <w:szCs w:val="24"/>
        </w:rPr>
        <w:t xml:space="preserve"> </w:t>
      </w:r>
      <w:r w:rsidRPr="001D7812">
        <w:rPr>
          <w:rFonts w:eastAsia="Calibri" w:cs="Times New Roman"/>
          <w:szCs w:val="24"/>
        </w:rPr>
        <w:t>test</w:t>
      </w:r>
      <w:r w:rsidRPr="001D7812" w:rsidR="00E75BF5">
        <w:rPr>
          <w:rFonts w:eastAsia="Calibri" w:cs="Times New Roman"/>
          <w:szCs w:val="24"/>
        </w:rPr>
        <w:t>.</w:t>
      </w:r>
      <w:r w:rsidRPr="001D7812" w:rsidR="00CE2F18">
        <w:rPr>
          <w:rFonts w:eastAsia="Calibri" w:cs="Times New Roman"/>
          <w:szCs w:val="24"/>
        </w:rPr>
        <w:t xml:space="preserve"> </w:t>
      </w:r>
      <w:r w:rsidRPr="001D7812" w:rsidR="00E75BF5">
        <w:rPr>
          <w:rFonts w:eastAsia="Calibri" w:cs="Times New Roman"/>
          <w:szCs w:val="24"/>
        </w:rPr>
        <w:t>T</w:t>
      </w:r>
      <w:r w:rsidRPr="001D7812">
        <w:rPr>
          <w:rFonts w:eastAsia="Calibri" w:cs="Times New Roman"/>
          <w:szCs w:val="24"/>
        </w:rPr>
        <w:t xml:space="preserve">he PUCO should reject the proposal and </w:t>
      </w:r>
      <w:r w:rsidRPr="001D7812" w:rsidR="00E75BF5">
        <w:rPr>
          <w:rFonts w:eastAsia="Calibri" w:cs="Times New Roman"/>
          <w:szCs w:val="24"/>
        </w:rPr>
        <w:t>require FirstEnergy to implement a market-rate option.</w:t>
      </w:r>
    </w:p>
    <w:p w:rsidR="00D30EA4" w:rsidRPr="001D7812" w:rsidP="00D30EA4" w14:paraId="50F392A9" w14:textId="77777777">
      <w:pPr>
        <w:tabs>
          <w:tab w:val="left" w:pos="2776"/>
        </w:tabs>
        <w:ind w:left="4230" w:right="339"/>
        <w:rPr>
          <w:rFonts w:cs="Times New Roman"/>
          <w:szCs w:val="24"/>
        </w:rPr>
      </w:pPr>
      <w:r w:rsidRPr="001D7812">
        <w:rPr>
          <w:rFonts w:cs="Times New Roman"/>
          <w:szCs w:val="24"/>
        </w:rPr>
        <w:t>Respectfully submitted,</w:t>
      </w:r>
    </w:p>
    <w:p w:rsidR="00D30EA4" w:rsidRPr="001D7812" w:rsidP="00D30EA4" w14:paraId="2B4E373C" w14:textId="77777777">
      <w:pPr>
        <w:tabs>
          <w:tab w:val="left" w:pos="2776"/>
        </w:tabs>
        <w:ind w:left="4230" w:right="339"/>
        <w:rPr>
          <w:rFonts w:cs="Times New Roman"/>
          <w:szCs w:val="24"/>
        </w:rPr>
      </w:pPr>
    </w:p>
    <w:p w:rsidR="00D30EA4" w:rsidRPr="001D7812" w:rsidP="00D30EA4" w14:paraId="72A9CA77" w14:textId="77777777">
      <w:pPr>
        <w:tabs>
          <w:tab w:val="left" w:pos="2776"/>
        </w:tabs>
        <w:ind w:left="4230" w:right="339"/>
        <w:rPr>
          <w:rFonts w:cs="Times New Roman"/>
          <w:szCs w:val="24"/>
        </w:rPr>
      </w:pPr>
      <w:r w:rsidRPr="001D7812">
        <w:rPr>
          <w:rFonts w:eastAsia="Times New Roman" w:cs="Times New Roman"/>
          <w:szCs w:val="24"/>
        </w:rPr>
        <w:t>Maureen R. Willis (0020847)</w:t>
      </w:r>
    </w:p>
    <w:p w:rsidR="00D30EA4" w:rsidRPr="001D7812" w:rsidP="00D30EA4" w14:paraId="76C936FB" w14:textId="5DD0197C">
      <w:pPr>
        <w:tabs>
          <w:tab w:val="left" w:pos="2776"/>
        </w:tabs>
        <w:ind w:left="4230" w:right="339"/>
        <w:rPr>
          <w:rFonts w:cs="Times New Roman"/>
          <w:szCs w:val="24"/>
        </w:rPr>
      </w:pPr>
      <w:r w:rsidRPr="001D7812">
        <w:rPr>
          <w:rFonts w:eastAsia="Times New Roman" w:cs="Times New Roman"/>
          <w:szCs w:val="24"/>
        </w:rPr>
        <w:t>Ohio Consumers</w:t>
      </w:r>
      <w:r w:rsidR="009F1383">
        <w:rPr>
          <w:rFonts w:eastAsia="Times New Roman" w:cs="Times New Roman"/>
          <w:szCs w:val="24"/>
        </w:rPr>
        <w:t>’</w:t>
      </w:r>
      <w:r w:rsidRPr="001D7812">
        <w:rPr>
          <w:rFonts w:eastAsia="Times New Roman" w:cs="Times New Roman"/>
          <w:szCs w:val="24"/>
        </w:rPr>
        <w:t xml:space="preserve"> Counsel</w:t>
      </w:r>
    </w:p>
    <w:p w:rsidR="00D30EA4" w:rsidRPr="001D7812" w:rsidP="00D30EA4" w14:paraId="204F2FD9" w14:textId="77777777">
      <w:pPr>
        <w:tabs>
          <w:tab w:val="left" w:pos="2776"/>
        </w:tabs>
        <w:ind w:left="4230" w:right="339"/>
        <w:rPr>
          <w:rFonts w:cs="Times New Roman"/>
          <w:i/>
          <w:iCs/>
          <w:szCs w:val="24"/>
        </w:rPr>
      </w:pPr>
      <w:r w:rsidRPr="001D7812">
        <w:rPr>
          <w:rFonts w:eastAsia="Times New Roman" w:cs="Times New Roman"/>
          <w:i/>
          <w:iCs/>
          <w:szCs w:val="24"/>
        </w:rPr>
        <w:t xml:space="preserve"> </w:t>
      </w:r>
    </w:p>
    <w:p w:rsidR="00D30EA4" w:rsidRPr="001D7812" w:rsidP="00D30EA4" w14:paraId="18EB6AA1" w14:textId="77777777">
      <w:pPr>
        <w:tabs>
          <w:tab w:val="left" w:pos="2776"/>
        </w:tabs>
        <w:ind w:left="4230" w:right="339"/>
        <w:rPr>
          <w:rFonts w:cs="Times New Roman"/>
          <w:i/>
          <w:iCs/>
          <w:szCs w:val="24"/>
        </w:rPr>
      </w:pPr>
      <w:r w:rsidRPr="001D7812">
        <w:rPr>
          <w:rFonts w:eastAsia="Times New Roman" w:cs="Times New Roman"/>
          <w:szCs w:val="24"/>
          <w:u w:val="single"/>
        </w:rPr>
        <w:t xml:space="preserve">/s/ </w:t>
      </w:r>
      <w:r w:rsidRPr="001D7812">
        <w:rPr>
          <w:rFonts w:eastAsia="Times New Roman" w:cs="Times New Roman"/>
          <w:i/>
          <w:iCs/>
          <w:szCs w:val="24"/>
          <w:u w:val="single"/>
        </w:rPr>
        <w:t>John Finnigan</w:t>
      </w:r>
    </w:p>
    <w:p w:rsidR="00D30EA4" w:rsidRPr="001D7812" w:rsidP="00D30EA4" w14:paraId="1A667151" w14:textId="77777777">
      <w:pPr>
        <w:tabs>
          <w:tab w:val="left" w:pos="2776"/>
        </w:tabs>
        <w:ind w:left="4230" w:right="339"/>
        <w:rPr>
          <w:rFonts w:cs="Times New Roman"/>
          <w:szCs w:val="24"/>
        </w:rPr>
      </w:pPr>
      <w:r w:rsidRPr="001D7812">
        <w:rPr>
          <w:rFonts w:eastAsia="Times New Roman" w:cs="Times New Roman"/>
          <w:szCs w:val="24"/>
        </w:rPr>
        <w:t>John Finnigan (0018689)</w:t>
      </w:r>
    </w:p>
    <w:p w:rsidR="00D30EA4" w:rsidRPr="001D7812" w:rsidP="00D30EA4" w14:paraId="6715E732" w14:textId="77777777">
      <w:pPr>
        <w:tabs>
          <w:tab w:val="left" w:pos="2776"/>
        </w:tabs>
        <w:ind w:left="4230" w:right="339"/>
        <w:rPr>
          <w:rFonts w:cs="Times New Roman"/>
          <w:szCs w:val="24"/>
        </w:rPr>
      </w:pPr>
      <w:r w:rsidRPr="001D7812">
        <w:rPr>
          <w:rFonts w:eastAsia="Times New Roman" w:cs="Times New Roman"/>
          <w:szCs w:val="24"/>
        </w:rPr>
        <w:t>Counsel of Record</w:t>
      </w:r>
    </w:p>
    <w:p w:rsidR="00D30EA4" w:rsidRPr="001D7812" w:rsidP="00D30EA4" w14:paraId="4E5360E6" w14:textId="77777777">
      <w:pPr>
        <w:tabs>
          <w:tab w:val="left" w:pos="2776"/>
        </w:tabs>
        <w:ind w:left="4230" w:right="339"/>
        <w:rPr>
          <w:rFonts w:cs="Times New Roman"/>
          <w:szCs w:val="24"/>
        </w:rPr>
      </w:pPr>
      <w:r w:rsidRPr="001D7812">
        <w:rPr>
          <w:rFonts w:eastAsia="Times New Roman" w:cs="Times New Roman"/>
          <w:szCs w:val="24"/>
        </w:rPr>
        <w:t>Robert Eubanks (0073386)</w:t>
      </w:r>
    </w:p>
    <w:p w:rsidR="00D30EA4" w:rsidRPr="001D7812" w:rsidP="00D30EA4" w14:paraId="6FB93B6E" w14:textId="77777777">
      <w:pPr>
        <w:tabs>
          <w:tab w:val="left" w:pos="2776"/>
        </w:tabs>
        <w:ind w:left="4230" w:right="339"/>
        <w:rPr>
          <w:rFonts w:cs="Times New Roman"/>
          <w:szCs w:val="24"/>
        </w:rPr>
      </w:pPr>
      <w:r w:rsidRPr="001D7812">
        <w:rPr>
          <w:rFonts w:eastAsia="Times New Roman" w:cs="Times New Roman"/>
          <w:szCs w:val="24"/>
        </w:rPr>
        <w:t>William J. Michael (0070921)</w:t>
      </w:r>
    </w:p>
    <w:p w:rsidR="00D30EA4" w:rsidRPr="001D7812" w:rsidP="00D30EA4" w14:paraId="3029F009" w14:textId="12648607">
      <w:pPr>
        <w:tabs>
          <w:tab w:val="left" w:pos="2776"/>
        </w:tabs>
        <w:ind w:left="4230" w:right="339"/>
        <w:rPr>
          <w:rFonts w:cs="Times New Roman"/>
          <w:szCs w:val="24"/>
        </w:rPr>
      </w:pPr>
      <w:r w:rsidRPr="001D7812">
        <w:rPr>
          <w:rFonts w:eastAsia="Times New Roman" w:cs="Times New Roman"/>
          <w:szCs w:val="24"/>
        </w:rPr>
        <w:t>Assistant Consumers</w:t>
      </w:r>
      <w:r w:rsidR="009F1383">
        <w:rPr>
          <w:rFonts w:eastAsia="Times New Roman" w:cs="Times New Roman"/>
          <w:szCs w:val="24"/>
        </w:rPr>
        <w:t>’</w:t>
      </w:r>
      <w:r w:rsidRPr="001D7812">
        <w:rPr>
          <w:rFonts w:eastAsia="Times New Roman" w:cs="Times New Roman"/>
          <w:szCs w:val="24"/>
        </w:rPr>
        <w:t xml:space="preserve"> Counsel</w:t>
      </w:r>
    </w:p>
    <w:p w:rsidR="00D30EA4" w:rsidRPr="001D7812" w:rsidP="00D30EA4" w14:paraId="53EA5386" w14:textId="77777777">
      <w:pPr>
        <w:tabs>
          <w:tab w:val="left" w:pos="2776"/>
        </w:tabs>
        <w:ind w:left="4230" w:right="339"/>
        <w:rPr>
          <w:rFonts w:cs="Times New Roman"/>
          <w:szCs w:val="24"/>
        </w:rPr>
      </w:pPr>
      <w:r w:rsidRPr="001D7812">
        <w:rPr>
          <w:rFonts w:eastAsia="Times New Roman" w:cs="Times New Roman"/>
          <w:szCs w:val="24"/>
        </w:rPr>
        <w:t>Alex Hickey</w:t>
      </w:r>
    </w:p>
    <w:p w:rsidR="00D30EA4" w:rsidRPr="001D7812" w:rsidP="00D30EA4" w14:paraId="5F9315BE" w14:textId="77777777">
      <w:pPr>
        <w:tabs>
          <w:tab w:val="left" w:pos="2776"/>
        </w:tabs>
        <w:ind w:left="4230" w:right="339"/>
        <w:rPr>
          <w:rFonts w:cs="Times New Roman"/>
          <w:szCs w:val="24"/>
        </w:rPr>
      </w:pPr>
      <w:r w:rsidRPr="001D7812">
        <w:rPr>
          <w:rFonts w:eastAsia="Times New Roman" w:cs="Times New Roman"/>
          <w:szCs w:val="24"/>
        </w:rPr>
        <w:t>Thomas Zuehlke</w:t>
      </w:r>
    </w:p>
    <w:p w:rsidR="00D30EA4" w:rsidRPr="001D7812" w:rsidP="00D30EA4" w14:paraId="28B6009A" w14:textId="77777777">
      <w:pPr>
        <w:tabs>
          <w:tab w:val="left" w:pos="2776"/>
        </w:tabs>
        <w:ind w:left="4230" w:right="339"/>
        <w:rPr>
          <w:rFonts w:cs="Times New Roman"/>
          <w:szCs w:val="24"/>
        </w:rPr>
      </w:pPr>
      <w:r w:rsidRPr="001D7812">
        <w:rPr>
          <w:rFonts w:eastAsia="Times New Roman" w:cs="Times New Roman"/>
          <w:szCs w:val="24"/>
        </w:rPr>
        <w:t>Certified Legal Interns</w:t>
      </w:r>
    </w:p>
    <w:p w:rsidR="00D30EA4" w:rsidRPr="001D7812" w:rsidP="00D30EA4" w14:paraId="6941E0F8" w14:textId="77777777">
      <w:pPr>
        <w:tabs>
          <w:tab w:val="left" w:pos="2776"/>
        </w:tabs>
        <w:ind w:left="4230" w:right="339"/>
        <w:rPr>
          <w:rFonts w:cs="Times New Roman"/>
          <w:szCs w:val="24"/>
        </w:rPr>
      </w:pPr>
    </w:p>
    <w:p w:rsidR="00D30EA4" w:rsidRPr="001D7812" w:rsidP="00D30EA4" w14:paraId="1F607FCF" w14:textId="1BDD6230">
      <w:pPr>
        <w:tabs>
          <w:tab w:val="left" w:pos="2776"/>
        </w:tabs>
        <w:ind w:left="4230" w:right="339"/>
        <w:rPr>
          <w:rFonts w:cs="Times New Roman"/>
          <w:b/>
          <w:bCs/>
          <w:szCs w:val="24"/>
        </w:rPr>
      </w:pPr>
      <w:r w:rsidRPr="001D7812">
        <w:rPr>
          <w:rFonts w:eastAsia="Times New Roman" w:cs="Times New Roman"/>
          <w:b/>
          <w:bCs/>
          <w:szCs w:val="24"/>
        </w:rPr>
        <w:t>Office of the Ohio Consumers</w:t>
      </w:r>
      <w:r w:rsidR="009F1383">
        <w:rPr>
          <w:rFonts w:eastAsia="Times New Roman" w:cs="Times New Roman"/>
          <w:b/>
          <w:bCs/>
          <w:szCs w:val="24"/>
        </w:rPr>
        <w:t>’</w:t>
      </w:r>
      <w:r w:rsidRPr="001D7812">
        <w:rPr>
          <w:rFonts w:eastAsia="Times New Roman" w:cs="Times New Roman"/>
          <w:b/>
          <w:bCs/>
          <w:szCs w:val="24"/>
        </w:rPr>
        <w:t xml:space="preserve"> Counsel</w:t>
      </w:r>
    </w:p>
    <w:p w:rsidR="00D30EA4" w:rsidRPr="001D7812" w:rsidP="00D30EA4" w14:paraId="5413E963" w14:textId="77777777">
      <w:pPr>
        <w:tabs>
          <w:tab w:val="left" w:pos="2776"/>
        </w:tabs>
        <w:ind w:left="4230" w:right="339"/>
        <w:rPr>
          <w:rFonts w:cs="Times New Roman"/>
          <w:szCs w:val="24"/>
        </w:rPr>
      </w:pPr>
      <w:r w:rsidRPr="001D7812">
        <w:rPr>
          <w:rFonts w:eastAsia="Times New Roman" w:cs="Times New Roman"/>
          <w:szCs w:val="24"/>
        </w:rPr>
        <w:t>65 East State Street, Suite 700</w:t>
      </w:r>
    </w:p>
    <w:p w:rsidR="00D30EA4" w:rsidRPr="001D7812" w:rsidP="00D30EA4" w14:paraId="1AED55DB" w14:textId="77777777">
      <w:pPr>
        <w:tabs>
          <w:tab w:val="left" w:pos="2776"/>
        </w:tabs>
        <w:ind w:left="4230" w:right="339"/>
        <w:rPr>
          <w:rFonts w:cs="Times New Roman"/>
          <w:szCs w:val="24"/>
        </w:rPr>
      </w:pPr>
      <w:r w:rsidRPr="001D7812">
        <w:rPr>
          <w:rFonts w:eastAsia="Times New Roman" w:cs="Times New Roman"/>
          <w:szCs w:val="24"/>
        </w:rPr>
        <w:t>Columbus, Ohio 43215</w:t>
      </w:r>
    </w:p>
    <w:p w:rsidR="00D30EA4" w:rsidRPr="001D7812" w:rsidP="00D30EA4" w14:paraId="1E0372B3" w14:textId="77777777">
      <w:pPr>
        <w:tabs>
          <w:tab w:val="left" w:pos="2776"/>
        </w:tabs>
        <w:ind w:left="4230" w:right="339"/>
        <w:rPr>
          <w:rFonts w:cs="Times New Roman"/>
          <w:szCs w:val="24"/>
        </w:rPr>
      </w:pPr>
      <w:r w:rsidRPr="001D7812">
        <w:rPr>
          <w:rFonts w:eastAsia="Times New Roman" w:cs="Times New Roman"/>
          <w:szCs w:val="24"/>
        </w:rPr>
        <w:t>Telephone [Finnigan]: (614) 466-9585</w:t>
      </w:r>
    </w:p>
    <w:p w:rsidR="00D30EA4" w:rsidRPr="001D7812" w:rsidP="00D30EA4" w14:paraId="05540317" w14:textId="77777777">
      <w:pPr>
        <w:tabs>
          <w:tab w:val="left" w:pos="2776"/>
        </w:tabs>
        <w:ind w:left="4230" w:right="339"/>
        <w:rPr>
          <w:rFonts w:cs="Times New Roman"/>
          <w:szCs w:val="24"/>
        </w:rPr>
      </w:pPr>
      <w:r w:rsidRPr="001D7812">
        <w:rPr>
          <w:rFonts w:eastAsia="Times New Roman" w:cs="Times New Roman"/>
          <w:szCs w:val="24"/>
        </w:rPr>
        <w:t>Telephone [Eubanks]: (614) 466-1292</w:t>
      </w:r>
    </w:p>
    <w:p w:rsidR="00D30EA4" w:rsidRPr="001D7812" w:rsidP="00D30EA4" w14:paraId="03073677" w14:textId="77777777">
      <w:pPr>
        <w:tabs>
          <w:tab w:val="left" w:pos="2776"/>
        </w:tabs>
        <w:ind w:left="4230" w:right="339"/>
        <w:rPr>
          <w:rFonts w:cs="Times New Roman"/>
          <w:szCs w:val="24"/>
        </w:rPr>
      </w:pPr>
      <w:r w:rsidRPr="001D7812">
        <w:rPr>
          <w:rFonts w:eastAsia="Times New Roman" w:cs="Times New Roman"/>
          <w:szCs w:val="24"/>
        </w:rPr>
        <w:t>Telephone [Michael]: (614) 466-1291</w:t>
      </w:r>
    </w:p>
    <w:p w:rsidR="00D30EA4" w:rsidRPr="001D7812" w:rsidP="00D30EA4" w14:paraId="46C1340B" w14:textId="77777777">
      <w:pPr>
        <w:tabs>
          <w:tab w:val="left" w:pos="2776"/>
        </w:tabs>
        <w:ind w:left="4230" w:right="339"/>
        <w:rPr>
          <w:rFonts w:cs="Times New Roman"/>
          <w:szCs w:val="24"/>
        </w:rPr>
      </w:pPr>
      <w:r w:rsidRPr="001D7812">
        <w:rPr>
          <w:rFonts w:eastAsia="Times New Roman" w:cs="Times New Roman"/>
          <w:szCs w:val="24"/>
        </w:rPr>
        <w:t>Telephone [Hickey]: (614) 466-9549</w:t>
      </w:r>
    </w:p>
    <w:p w:rsidR="00D30EA4" w:rsidRPr="001D7812" w:rsidP="00D30EA4" w14:paraId="7CF66868" w14:textId="77777777">
      <w:pPr>
        <w:tabs>
          <w:tab w:val="left" w:pos="2776"/>
        </w:tabs>
        <w:ind w:left="4230" w:right="339"/>
        <w:rPr>
          <w:rFonts w:cs="Times New Roman"/>
          <w:szCs w:val="24"/>
        </w:rPr>
      </w:pPr>
      <w:r w:rsidRPr="001D7812">
        <w:rPr>
          <w:rFonts w:eastAsia="Times New Roman" w:cs="Times New Roman"/>
          <w:szCs w:val="24"/>
        </w:rPr>
        <w:t>Telephone [Zuehlke]: (614) 466-9569</w:t>
      </w:r>
    </w:p>
    <w:p w:rsidR="00D30EA4" w:rsidRPr="001D7812" w:rsidP="00D30EA4" w14:paraId="14104988" w14:textId="77777777">
      <w:pPr>
        <w:tabs>
          <w:tab w:val="left" w:pos="2776"/>
        </w:tabs>
        <w:ind w:left="4230" w:right="339"/>
        <w:rPr>
          <w:rFonts w:cs="Times New Roman"/>
          <w:color w:val="0000FF"/>
          <w:szCs w:val="24"/>
        </w:rPr>
      </w:pPr>
      <w:hyperlink r:id="rId6" w:history="1">
        <w:r w:rsidRPr="001D7812">
          <w:rPr>
            <w:rStyle w:val="Hyperlink"/>
            <w:rFonts w:eastAsia="Times New Roman" w:cs="Times New Roman"/>
            <w:szCs w:val="24"/>
          </w:rPr>
          <w:t>john.finnigan@occ.ohio.gov</w:t>
        </w:r>
      </w:hyperlink>
    </w:p>
    <w:p w:rsidR="00D30EA4" w:rsidRPr="001D7812" w:rsidP="00D30EA4" w14:paraId="4FE1A1AD" w14:textId="77777777">
      <w:pPr>
        <w:tabs>
          <w:tab w:val="left" w:pos="2776"/>
        </w:tabs>
        <w:ind w:left="4230" w:right="339"/>
        <w:rPr>
          <w:rFonts w:cs="Times New Roman"/>
          <w:color w:val="0000FF"/>
          <w:szCs w:val="24"/>
        </w:rPr>
      </w:pPr>
      <w:hyperlink r:id="rId7" w:history="1">
        <w:r w:rsidRPr="001D7812">
          <w:rPr>
            <w:rStyle w:val="Hyperlink"/>
            <w:rFonts w:eastAsia="Times New Roman" w:cs="Times New Roman"/>
            <w:szCs w:val="24"/>
          </w:rPr>
          <w:t>robert.eubanks@occ.ohio.gov</w:t>
        </w:r>
      </w:hyperlink>
    </w:p>
    <w:p w:rsidR="00D30EA4" w:rsidRPr="001D7812" w:rsidP="00D30EA4" w14:paraId="1E043753" w14:textId="77777777">
      <w:pPr>
        <w:tabs>
          <w:tab w:val="left" w:pos="2776"/>
        </w:tabs>
        <w:ind w:left="4230" w:right="339"/>
        <w:rPr>
          <w:rFonts w:cs="Times New Roman"/>
          <w:color w:val="0000FF"/>
          <w:szCs w:val="24"/>
        </w:rPr>
      </w:pPr>
      <w:hyperlink r:id="rId8" w:history="1">
        <w:r w:rsidRPr="001D7812">
          <w:rPr>
            <w:rStyle w:val="Hyperlink"/>
            <w:rFonts w:eastAsia="Times New Roman" w:cs="Times New Roman"/>
            <w:szCs w:val="24"/>
          </w:rPr>
          <w:t>william.michael@occ.ohio.gov</w:t>
        </w:r>
      </w:hyperlink>
    </w:p>
    <w:p w:rsidR="00D30EA4" w:rsidRPr="001D7812" w:rsidP="00D30EA4" w14:paraId="22CB3DF3" w14:textId="77777777">
      <w:pPr>
        <w:tabs>
          <w:tab w:val="left" w:pos="2776"/>
        </w:tabs>
        <w:ind w:left="4230" w:right="339"/>
        <w:rPr>
          <w:rFonts w:cs="Times New Roman"/>
          <w:color w:val="0000FF"/>
          <w:szCs w:val="24"/>
        </w:rPr>
      </w:pPr>
      <w:hyperlink r:id="rId9" w:history="1">
        <w:r w:rsidRPr="001D7812">
          <w:rPr>
            <w:rStyle w:val="Hyperlink"/>
            <w:rFonts w:eastAsia="Times New Roman" w:cs="Times New Roman"/>
            <w:szCs w:val="24"/>
          </w:rPr>
          <w:t>alex.hickey@occ.ohio.gov</w:t>
        </w:r>
      </w:hyperlink>
    </w:p>
    <w:p w:rsidR="00D30EA4" w:rsidRPr="001D7812" w:rsidP="00D30EA4" w14:paraId="6A14621A" w14:textId="77777777">
      <w:pPr>
        <w:tabs>
          <w:tab w:val="left" w:pos="2776"/>
        </w:tabs>
        <w:ind w:left="4230" w:right="339"/>
        <w:rPr>
          <w:rFonts w:cs="Times New Roman"/>
          <w:color w:val="0000FF"/>
          <w:szCs w:val="24"/>
        </w:rPr>
      </w:pPr>
      <w:hyperlink r:id="rId10" w:history="1">
        <w:r w:rsidRPr="001D7812">
          <w:rPr>
            <w:rStyle w:val="Hyperlink"/>
            <w:rFonts w:eastAsia="Times New Roman" w:cs="Times New Roman"/>
            <w:szCs w:val="24"/>
          </w:rPr>
          <w:t>thomas.zuehlke@occ.ohio.gov</w:t>
        </w:r>
      </w:hyperlink>
    </w:p>
    <w:p w:rsidR="00D30EA4" w:rsidRPr="001D7812" w:rsidP="00D30EA4" w14:paraId="2B045C95" w14:textId="77777777">
      <w:pPr>
        <w:tabs>
          <w:tab w:val="left" w:pos="2776"/>
        </w:tabs>
        <w:ind w:left="4230" w:right="339"/>
        <w:rPr>
          <w:rFonts w:cs="Times New Roman"/>
          <w:szCs w:val="24"/>
        </w:rPr>
      </w:pPr>
      <w:r w:rsidRPr="001D7812">
        <w:rPr>
          <w:rFonts w:eastAsia="Times New Roman" w:cs="Times New Roman"/>
          <w:szCs w:val="24"/>
        </w:rPr>
        <w:t>(willing to accept service by e-mail)</w:t>
      </w:r>
    </w:p>
    <w:p w:rsidR="00D052DB" w:rsidRPr="001D7812" w:rsidP="00D30EA4" w14:paraId="33BCDA3B" w14:textId="77777777">
      <w:pPr>
        <w:rPr>
          <w:rFonts w:cs="Times New Roman"/>
          <w:szCs w:val="24"/>
        </w:rPr>
      </w:pPr>
    </w:p>
    <w:p w:rsidR="00D052DB" w:rsidRPr="001D7812" w14:paraId="7577597E" w14:textId="5A7165ED">
      <w:pPr>
        <w:spacing w:after="200" w:line="276" w:lineRule="auto"/>
        <w:rPr>
          <w:rFonts w:cs="Times New Roman"/>
          <w:szCs w:val="24"/>
        </w:rPr>
      </w:pPr>
      <w:r w:rsidRPr="001D7812">
        <w:rPr>
          <w:rFonts w:cs="Times New Roman"/>
          <w:szCs w:val="24"/>
        </w:rPr>
        <w:br w:type="page"/>
      </w:r>
    </w:p>
    <w:p w:rsidR="00A14044" w:rsidRPr="001D7812" w:rsidP="00D853CD" w14:paraId="7EB12105" w14:textId="35ECA371">
      <w:pPr>
        <w:spacing w:line="480" w:lineRule="auto"/>
        <w:jc w:val="center"/>
        <w:rPr>
          <w:rFonts w:cs="Times New Roman"/>
          <w:b/>
          <w:bCs/>
          <w:szCs w:val="24"/>
          <w:u w:val="single"/>
        </w:rPr>
      </w:pPr>
      <w:r w:rsidRPr="001D7812">
        <w:rPr>
          <w:rFonts w:cs="Times New Roman"/>
          <w:b/>
          <w:bCs/>
          <w:szCs w:val="24"/>
          <w:u w:val="single"/>
        </w:rPr>
        <w:t>CE</w:t>
      </w:r>
      <w:r w:rsidRPr="001D7812" w:rsidR="00433AD9">
        <w:rPr>
          <w:rFonts w:cs="Times New Roman"/>
          <w:b/>
          <w:bCs/>
          <w:szCs w:val="24"/>
          <w:u w:val="single"/>
        </w:rPr>
        <w:t>RTIFICATE OF SERVICE</w:t>
      </w:r>
    </w:p>
    <w:p w:rsidR="00705919" w:rsidRPr="001D7812" w:rsidP="00D853CD" w14:paraId="15E7FB0A" w14:textId="17E33F1E">
      <w:pPr>
        <w:spacing w:line="480" w:lineRule="auto"/>
        <w:rPr>
          <w:rFonts w:cs="Times New Roman"/>
          <w:szCs w:val="24"/>
        </w:rPr>
      </w:pPr>
      <w:r w:rsidRPr="001D7812">
        <w:rPr>
          <w:rFonts w:cs="Times New Roman"/>
          <w:szCs w:val="24"/>
        </w:rPr>
        <w:tab/>
        <w:t xml:space="preserve">I hereby certify that a copy of this </w:t>
      </w:r>
      <w:r w:rsidRPr="001D7812" w:rsidR="00D30EA4">
        <w:rPr>
          <w:rFonts w:cs="Times New Roman"/>
          <w:szCs w:val="24"/>
        </w:rPr>
        <w:t>Initial Brief for Consumer Protection</w:t>
      </w:r>
      <w:r w:rsidRPr="001D7812" w:rsidR="00870344">
        <w:rPr>
          <w:rFonts w:cs="Times New Roman"/>
          <w:szCs w:val="24"/>
        </w:rPr>
        <w:t xml:space="preserve"> </w:t>
      </w:r>
      <w:r w:rsidRPr="001D7812">
        <w:rPr>
          <w:rFonts w:cs="Times New Roman"/>
          <w:szCs w:val="24"/>
        </w:rPr>
        <w:t>was served on the persons stated below</w:t>
      </w:r>
      <w:r w:rsidRPr="001D7812">
        <w:rPr>
          <w:rFonts w:cs="Times New Roman"/>
          <w:iCs/>
          <w:szCs w:val="24"/>
        </w:rPr>
        <w:t xml:space="preserve"> via </w:t>
      </w:r>
      <w:r w:rsidRPr="001D7812">
        <w:rPr>
          <w:rFonts w:cs="Times New Roman"/>
          <w:szCs w:val="24"/>
        </w:rPr>
        <w:t>electronic transmission, this</w:t>
      </w:r>
      <w:r w:rsidRPr="001D7812" w:rsidR="005C2022">
        <w:rPr>
          <w:rFonts w:cs="Times New Roman"/>
          <w:szCs w:val="24"/>
        </w:rPr>
        <w:t xml:space="preserve"> </w:t>
      </w:r>
      <w:r w:rsidRPr="001D7812" w:rsidR="0022373F">
        <w:rPr>
          <w:rFonts w:cs="Times New Roman"/>
          <w:szCs w:val="24"/>
        </w:rPr>
        <w:t>19</w:t>
      </w:r>
      <w:r w:rsidRPr="001D7812" w:rsidR="005C2022">
        <w:rPr>
          <w:rFonts w:cs="Times New Roman"/>
          <w:szCs w:val="24"/>
          <w:vertAlign w:val="superscript"/>
        </w:rPr>
        <w:t>th</w:t>
      </w:r>
      <w:r w:rsidRPr="001D7812" w:rsidR="005C2022">
        <w:rPr>
          <w:rFonts w:cs="Times New Roman"/>
          <w:szCs w:val="24"/>
        </w:rPr>
        <w:t xml:space="preserve"> </w:t>
      </w:r>
      <w:r w:rsidRPr="001D7812">
        <w:rPr>
          <w:rFonts w:cs="Times New Roman"/>
          <w:szCs w:val="24"/>
        </w:rPr>
        <w:t xml:space="preserve">day of </w:t>
      </w:r>
      <w:r w:rsidRPr="001D7812" w:rsidR="0022373F">
        <w:rPr>
          <w:rFonts w:cs="Times New Roman"/>
          <w:szCs w:val="24"/>
        </w:rPr>
        <w:t>January 2024.</w:t>
      </w:r>
    </w:p>
    <w:p w:rsidR="00EE4654" w:rsidRPr="001D7812" w:rsidP="00EE4654" w14:paraId="207004DC" w14:textId="439E1AD7">
      <w:pPr>
        <w:suppressAutoHyphens/>
        <w:ind w:firstLine="4320"/>
        <w:rPr>
          <w:rFonts w:cs="Times New Roman"/>
          <w:szCs w:val="24"/>
        </w:rPr>
      </w:pPr>
      <w:r w:rsidRPr="001D7812">
        <w:rPr>
          <w:rFonts w:cs="Times New Roman"/>
          <w:i/>
          <w:iCs/>
          <w:szCs w:val="24"/>
          <w:u w:val="single"/>
        </w:rPr>
        <w:t>/s/ John Finnigan</w:t>
      </w:r>
    </w:p>
    <w:p w:rsidR="00EE4654" w:rsidRPr="001D7812" w:rsidP="00EE4654" w14:paraId="04772146" w14:textId="77777777">
      <w:pPr>
        <w:tabs>
          <w:tab w:val="left" w:pos="4320"/>
        </w:tabs>
        <w:rPr>
          <w:rFonts w:cs="Times New Roman"/>
          <w:szCs w:val="24"/>
        </w:rPr>
      </w:pPr>
      <w:r w:rsidRPr="001D7812">
        <w:rPr>
          <w:rFonts w:cs="Times New Roman"/>
          <w:szCs w:val="24"/>
        </w:rPr>
        <w:tab/>
        <w:t>John Finnigan</w:t>
      </w:r>
    </w:p>
    <w:p w:rsidR="00A14044" w:rsidRPr="001D7812" w:rsidP="00EE4654" w14:paraId="0BA846CB" w14:textId="58C92203">
      <w:pPr>
        <w:tabs>
          <w:tab w:val="left" w:pos="4320"/>
        </w:tabs>
        <w:rPr>
          <w:rFonts w:cs="Times New Roman"/>
          <w:szCs w:val="24"/>
        </w:rPr>
      </w:pPr>
      <w:r w:rsidRPr="001D7812">
        <w:rPr>
          <w:rFonts w:cs="Times New Roman"/>
          <w:szCs w:val="24"/>
        </w:rPr>
        <w:tab/>
        <w:t>Assistant Consumers</w:t>
      </w:r>
      <w:r w:rsidR="009F1383">
        <w:rPr>
          <w:rFonts w:cs="Times New Roman"/>
          <w:szCs w:val="24"/>
        </w:rPr>
        <w:t>’</w:t>
      </w:r>
      <w:r w:rsidRPr="001D7812">
        <w:rPr>
          <w:rFonts w:cs="Times New Roman"/>
          <w:szCs w:val="24"/>
        </w:rPr>
        <w:t xml:space="preserve"> Counsel</w:t>
      </w:r>
    </w:p>
    <w:p w:rsidR="00271490" w:rsidRPr="001D7812" w:rsidP="00271490" w14:paraId="0B1002CF" w14:textId="77777777">
      <w:pPr>
        <w:tabs>
          <w:tab w:val="left" w:pos="4320"/>
        </w:tabs>
        <w:rPr>
          <w:rFonts w:cs="Times New Roman"/>
          <w:szCs w:val="24"/>
        </w:rPr>
      </w:pPr>
    </w:p>
    <w:p w:rsidR="00A14044" w:rsidRPr="001D7812" w:rsidP="00271490" w14:paraId="7C12A1CA" w14:textId="799232CB">
      <w:pPr>
        <w:rPr>
          <w:rFonts w:cs="Times New Roman"/>
          <w:szCs w:val="24"/>
        </w:rPr>
      </w:pPr>
      <w:r w:rsidRPr="001D7812">
        <w:rPr>
          <w:rFonts w:cs="Times New Roman"/>
          <w:szCs w:val="24"/>
        </w:rPr>
        <w:t>The PUCO</w:t>
      </w:r>
      <w:r w:rsidR="009F1383">
        <w:rPr>
          <w:rFonts w:cs="Times New Roman"/>
          <w:szCs w:val="24"/>
        </w:rPr>
        <w:t>’</w:t>
      </w:r>
      <w:r w:rsidRPr="001D7812">
        <w:rPr>
          <w:rFonts w:cs="Times New Roman"/>
          <w:szCs w:val="24"/>
        </w:rPr>
        <w:t>s e-filing system will electronically serve notice of the filing of this document on the following parties:</w:t>
      </w:r>
    </w:p>
    <w:p w:rsidR="00982C50" w:rsidRPr="001D7812" w:rsidP="00271490" w14:paraId="282A4FAF" w14:textId="77777777">
      <w:pPr>
        <w:rPr>
          <w:rFonts w:cs="Times New Roman"/>
          <w:szCs w:val="24"/>
        </w:rPr>
      </w:pPr>
    </w:p>
    <w:p w:rsidR="00FA3CB2" w:rsidRPr="001D7812" w:rsidP="00FA3CB2" w14:paraId="45766255" w14:textId="77777777">
      <w:pPr>
        <w:suppressAutoHyphens/>
        <w:jc w:val="center"/>
        <w:rPr>
          <w:rFonts w:cs="Times New Roman"/>
          <w:b/>
          <w:bCs/>
          <w:szCs w:val="24"/>
          <w:u w:val="single"/>
        </w:rPr>
      </w:pPr>
      <w:r w:rsidRPr="001D7812">
        <w:rPr>
          <w:rFonts w:cs="Times New Roman"/>
          <w:b/>
          <w:bCs/>
          <w:szCs w:val="24"/>
          <w:u w:val="single"/>
        </w:rPr>
        <w:t>SERVICE LIST</w:t>
      </w:r>
    </w:p>
    <w:p w:rsidR="00FA3CB2" w:rsidRPr="001D7812" w:rsidP="00FA3CB2" w14:paraId="69A73450" w14:textId="77777777">
      <w:pPr>
        <w:widowControl w:val="0"/>
        <w:jc w:val="center"/>
        <w:rPr>
          <w:rFonts w:eastAsia="Times New Roman" w:cs="Times New Roman"/>
          <w:snapToGrid w:val="0"/>
          <w:szCs w:val="24"/>
        </w:rPr>
      </w:pPr>
    </w:p>
    <w:tbl>
      <w:tblPr>
        <w:tblW w:w="0" w:type="auto"/>
        <w:tblInd w:w="0" w:type="dxa"/>
        <w:tblCellMar>
          <w:top w:w="0" w:type="dxa"/>
          <w:left w:w="108" w:type="dxa"/>
          <w:bottom w:w="0" w:type="dxa"/>
          <w:right w:w="108" w:type="dxa"/>
        </w:tblCellMar>
        <w:tblLook w:val="01E0"/>
      </w:tblPr>
      <w:tblGrid>
        <w:gridCol w:w="4476"/>
        <w:gridCol w:w="4164"/>
      </w:tblGrid>
      <w:tr w14:paraId="17C4269E" w14:textId="77777777" w:rsidTr="008526DB">
        <w:tblPrEx>
          <w:tblW w:w="0" w:type="auto"/>
          <w:tblInd w:w="0" w:type="dxa"/>
          <w:tblCellMar>
            <w:top w:w="0" w:type="dxa"/>
            <w:left w:w="108" w:type="dxa"/>
            <w:bottom w:w="0" w:type="dxa"/>
            <w:right w:w="108" w:type="dxa"/>
          </w:tblCellMar>
          <w:tblLook w:val="01E0"/>
        </w:tblPrEx>
        <w:tc>
          <w:tcPr>
            <w:tcW w:w="4425" w:type="dxa"/>
            <w:shd w:val="clear" w:color="auto" w:fill="auto"/>
          </w:tcPr>
          <w:p w:rsidR="002C66D9" w:rsidRPr="001D7812" w:rsidP="008526DB" w14:paraId="1B4B9293"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19" w:history="1">
              <w:r w:rsidRPr="001D7812">
                <w:rPr>
                  <w:rFonts w:ascii="Times New Roman" w:hAnsi="Times New Roman" w:eastAsiaTheme="minorHAnsi" w:cs="Times New Roman"/>
                  <w:color w:val="0000FF"/>
                  <w:sz w:val="24"/>
                  <w:szCs w:val="24"/>
                  <w:u w:val="single"/>
                  <w:lang w:val="en-US" w:eastAsia="en-US" w:bidi="ar-SA"/>
                </w:rPr>
                <w:t>thomas.lindgren@ohioago.gov</w:t>
              </w:r>
            </w:hyperlink>
          </w:p>
          <w:p w:rsidR="002C66D9" w:rsidRPr="001D7812" w:rsidP="008526DB" w14:paraId="3D42BF09"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20" w:history="1">
              <w:r w:rsidRPr="001D7812">
                <w:rPr>
                  <w:rFonts w:ascii="Times New Roman" w:hAnsi="Times New Roman" w:eastAsiaTheme="minorHAnsi" w:cs="Times New Roman"/>
                  <w:color w:val="0000FF"/>
                  <w:sz w:val="24"/>
                  <w:szCs w:val="24"/>
                  <w:u w:val="single"/>
                  <w:lang w:val="en-US" w:eastAsia="en-US" w:bidi="ar-SA"/>
                </w:rPr>
                <w:t>amy.botschnerobrien@ohioago.gov</w:t>
              </w:r>
            </w:hyperlink>
          </w:p>
          <w:p w:rsidR="002C66D9" w:rsidRPr="001D7812" w:rsidP="008526DB" w14:paraId="44A7877F"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21" w:history="1">
              <w:r w:rsidRPr="001D7812">
                <w:rPr>
                  <w:rFonts w:ascii="Times New Roman" w:hAnsi="Times New Roman" w:eastAsiaTheme="minorHAnsi" w:cs="Times New Roman"/>
                  <w:color w:val="0000FF"/>
                  <w:sz w:val="24"/>
                  <w:szCs w:val="24"/>
                  <w:u w:val="single"/>
                  <w:lang w:val="en-US" w:eastAsia="en-US" w:bidi="ar-SA"/>
                </w:rPr>
                <w:t>rhiannon.howard@ohioago.gov</w:t>
              </w:r>
            </w:hyperlink>
          </w:p>
          <w:p w:rsidR="002C66D9" w:rsidRPr="001D7812" w:rsidP="008526DB" w14:paraId="6A05FB0F"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22" w:history="1">
              <w:r w:rsidRPr="001D7812">
                <w:rPr>
                  <w:rFonts w:ascii="Times New Roman" w:hAnsi="Times New Roman" w:eastAsiaTheme="minorHAnsi" w:cs="Times New Roman"/>
                  <w:color w:val="0000FF"/>
                  <w:sz w:val="24"/>
                  <w:szCs w:val="24"/>
                  <w:u w:val="single"/>
                  <w:lang w:val="en-US" w:eastAsia="en-US" w:bidi="ar-SA"/>
                </w:rPr>
                <w:t>mkurtz@BKLlawfirm.com</w:t>
              </w:r>
            </w:hyperlink>
          </w:p>
          <w:p w:rsidR="002C66D9" w:rsidRPr="001D7812" w:rsidP="008526DB" w14:paraId="027D6C2F"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23" w:history="1">
              <w:r w:rsidRPr="001D7812">
                <w:rPr>
                  <w:rFonts w:ascii="Times New Roman" w:hAnsi="Times New Roman" w:eastAsiaTheme="minorHAnsi" w:cs="Times New Roman"/>
                  <w:color w:val="0000FF"/>
                  <w:sz w:val="24"/>
                  <w:szCs w:val="24"/>
                  <w:u w:val="single"/>
                  <w:lang w:val="en-US" w:eastAsia="en-US" w:bidi="ar-SA"/>
                </w:rPr>
                <w:t>jkylercohn@BKLlawfirm.com</w:t>
              </w:r>
            </w:hyperlink>
          </w:p>
          <w:p w:rsidR="002C66D9" w:rsidRPr="001D7812" w:rsidP="008526DB" w14:paraId="20ABF29C"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24" w:history="1">
              <w:r w:rsidRPr="001D7812">
                <w:rPr>
                  <w:rFonts w:ascii="Times New Roman" w:hAnsi="Times New Roman" w:eastAsiaTheme="minorHAnsi" w:cs="Times New Roman"/>
                  <w:color w:val="0000FF"/>
                  <w:sz w:val="24"/>
                  <w:szCs w:val="24"/>
                  <w:u w:val="single"/>
                  <w:lang w:val="en-US" w:eastAsia="en-US" w:bidi="ar-SA"/>
                </w:rPr>
                <w:t>rdove@keglerbrown.com</w:t>
              </w:r>
            </w:hyperlink>
          </w:p>
          <w:p w:rsidR="002C66D9" w:rsidRPr="001D7812" w:rsidP="008526DB" w14:paraId="7F87129A" w14:textId="77777777">
            <w:pPr>
              <w:spacing w:after="0" w:line="240" w:lineRule="auto"/>
              <w:ind w:left="720" w:hanging="720"/>
              <w:rPr>
                <w:rFonts w:ascii="Times New Roman" w:hAnsi="Times New Roman" w:eastAsiaTheme="minorHAnsi" w:cs="Times New Roman"/>
                <w:color w:val="0000FF"/>
                <w:sz w:val="24"/>
                <w:szCs w:val="24"/>
                <w:u w:val="single"/>
                <w:lang w:val="en-US" w:eastAsia="en-US" w:bidi="ar-SA"/>
              </w:rPr>
            </w:pPr>
            <w:hyperlink r:id="rId25" w:history="1">
              <w:r w:rsidRPr="001D7812">
                <w:rPr>
                  <w:rFonts w:ascii="Times New Roman" w:hAnsi="Times New Roman" w:eastAsiaTheme="minorHAnsi" w:cs="Times New Roman"/>
                  <w:color w:val="0000FF"/>
                  <w:sz w:val="24"/>
                  <w:szCs w:val="24"/>
                  <w:u w:val="single"/>
                  <w:lang w:val="en-US" w:eastAsia="en-US" w:bidi="ar-SA"/>
                </w:rPr>
                <w:t>nbobb@keglerbrown.com</w:t>
              </w:r>
            </w:hyperlink>
          </w:p>
          <w:p w:rsidR="002C66D9" w:rsidRPr="001D7812" w:rsidP="008526DB" w14:paraId="7BE19D2C"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26" w:history="1">
              <w:r w:rsidRPr="001D7812">
                <w:rPr>
                  <w:rFonts w:ascii="Times New Roman" w:hAnsi="Times New Roman" w:eastAsiaTheme="minorHAnsi" w:cs="Times New Roman"/>
                  <w:color w:val="0000FF"/>
                  <w:sz w:val="24"/>
                  <w:szCs w:val="24"/>
                  <w:u w:val="single"/>
                  <w:lang w:val="en-US" w:eastAsia="en-US" w:bidi="ar-SA"/>
                </w:rPr>
                <w:t>Stacie.Cathcart@igs.com</w:t>
              </w:r>
            </w:hyperlink>
          </w:p>
          <w:p w:rsidR="002C66D9" w:rsidRPr="001D7812" w:rsidP="008526DB" w14:paraId="19578B4F"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27" w:history="1">
              <w:r w:rsidRPr="001D7812">
                <w:rPr>
                  <w:rFonts w:ascii="Times New Roman" w:hAnsi="Times New Roman" w:eastAsiaTheme="minorHAnsi" w:cs="Times New Roman"/>
                  <w:color w:val="0000FF"/>
                  <w:sz w:val="24"/>
                  <w:szCs w:val="24"/>
                  <w:u w:val="single"/>
                  <w:lang w:val="en-US" w:eastAsia="en-US" w:bidi="ar-SA"/>
                </w:rPr>
                <w:t>Michael.Nugent@igs.com</w:t>
              </w:r>
            </w:hyperlink>
          </w:p>
          <w:p w:rsidR="002C66D9" w:rsidRPr="001D7812" w:rsidP="008526DB" w14:paraId="4E8825F2"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28" w:history="1">
              <w:r w:rsidRPr="001D7812">
                <w:rPr>
                  <w:rFonts w:ascii="Times New Roman" w:hAnsi="Times New Roman" w:eastAsiaTheme="minorHAnsi" w:cs="Times New Roman"/>
                  <w:color w:val="0000FF"/>
                  <w:sz w:val="24"/>
                  <w:szCs w:val="24"/>
                  <w:u w:val="single"/>
                  <w:lang w:val="en-US" w:eastAsia="en-US" w:bidi="ar-SA"/>
                </w:rPr>
                <w:t>cgrundmann@spilmanlaw.com</w:t>
              </w:r>
            </w:hyperlink>
          </w:p>
          <w:p w:rsidR="002C66D9" w:rsidRPr="001D7812" w:rsidP="008526DB" w14:paraId="5824A35B"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29" w:history="1">
              <w:r w:rsidRPr="001D7812">
                <w:rPr>
                  <w:rFonts w:ascii="Times New Roman" w:eastAsia="Calibri" w:hAnsi="Times New Roman" w:cs="Times New Roman"/>
                  <w:color w:val="0000FF"/>
                  <w:sz w:val="24"/>
                  <w:szCs w:val="24"/>
                  <w:u w:val="single"/>
                  <w:lang w:val="en-US" w:eastAsia="en-US" w:bidi="ar-SA"/>
                </w:rPr>
                <w:t>dwilliamson@spilmanlaw.com</w:t>
              </w:r>
            </w:hyperlink>
          </w:p>
          <w:p w:rsidR="002C66D9" w:rsidRPr="001D7812" w:rsidP="008526DB" w14:paraId="109BD039"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30" w:history="1">
              <w:r w:rsidRPr="001D7812">
                <w:rPr>
                  <w:rFonts w:ascii="Times New Roman" w:eastAsia="Calibri" w:hAnsi="Times New Roman" w:cs="Times New Roman"/>
                  <w:color w:val="0000FF"/>
                  <w:sz w:val="24"/>
                  <w:szCs w:val="24"/>
                  <w:u w:val="single"/>
                  <w:lang w:val="en-US" w:eastAsia="en-US" w:bidi="ar-SA"/>
                </w:rPr>
                <w:t>slee@spilmanlaw.com</w:t>
              </w:r>
            </w:hyperlink>
          </w:p>
          <w:p w:rsidR="002C66D9" w:rsidRPr="001D7812" w:rsidP="008526DB" w14:paraId="448FDF57"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31" w:history="1">
              <w:r w:rsidRPr="001D7812">
                <w:rPr>
                  <w:rFonts w:ascii="Times New Roman" w:hAnsi="Times New Roman" w:eastAsiaTheme="minorHAnsi" w:cs="Times New Roman"/>
                  <w:color w:val="0000FF"/>
                  <w:sz w:val="24"/>
                  <w:szCs w:val="24"/>
                  <w:u w:val="single"/>
                  <w:lang w:val="en-US" w:eastAsia="en-US" w:bidi="ar-SA"/>
                </w:rPr>
                <w:t>todd.schafer@outlook.com</w:t>
              </w:r>
            </w:hyperlink>
          </w:p>
          <w:p w:rsidR="002C66D9" w:rsidRPr="001D7812" w:rsidP="008526DB" w14:paraId="5E77F521"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32" w:history="1">
              <w:r w:rsidRPr="001D7812">
                <w:rPr>
                  <w:rFonts w:ascii="Times New Roman" w:eastAsia="Calibri" w:hAnsi="Times New Roman" w:cs="Times New Roman"/>
                  <w:color w:val="0000FF"/>
                  <w:sz w:val="24"/>
                  <w:szCs w:val="24"/>
                  <w:u w:val="single"/>
                  <w:lang w:val="en-US" w:eastAsia="en-US" w:bidi="ar-SA"/>
                </w:rPr>
                <w:t>mjsettineri@vorys.com</w:t>
              </w:r>
            </w:hyperlink>
          </w:p>
          <w:p w:rsidR="002C66D9" w:rsidRPr="001D7812" w:rsidP="008526DB" w14:paraId="3B03DBBD"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33" w:history="1">
              <w:r w:rsidRPr="001D7812">
                <w:rPr>
                  <w:rFonts w:ascii="Times New Roman" w:eastAsia="Calibri" w:hAnsi="Times New Roman" w:cs="Times New Roman"/>
                  <w:color w:val="0000FF"/>
                  <w:sz w:val="24"/>
                  <w:szCs w:val="24"/>
                  <w:u w:val="single"/>
                  <w:lang w:val="en-US" w:eastAsia="en-US" w:bidi="ar-SA"/>
                </w:rPr>
                <w:t>glpetrucci@vorys.com</w:t>
              </w:r>
            </w:hyperlink>
          </w:p>
          <w:p w:rsidR="002C66D9" w:rsidRPr="001D7812" w:rsidP="008526DB" w14:paraId="1E11B8F4"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34" w:history="1">
              <w:r w:rsidRPr="001D7812">
                <w:rPr>
                  <w:rFonts w:ascii="Times New Roman" w:eastAsia="Calibri" w:hAnsi="Times New Roman" w:cs="Times New Roman"/>
                  <w:color w:val="0000FF"/>
                  <w:sz w:val="24"/>
                  <w:szCs w:val="24"/>
                  <w:u w:val="single"/>
                  <w:lang w:val="en-US" w:eastAsia="en-US" w:bidi="ar-SA"/>
                </w:rPr>
                <w:t>aasanyal@vorys.com</w:t>
              </w:r>
            </w:hyperlink>
          </w:p>
          <w:p w:rsidR="002C66D9" w:rsidRPr="001D7812" w:rsidP="008526DB" w14:paraId="28F13392"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35" w:history="1">
              <w:r w:rsidRPr="001D7812">
                <w:rPr>
                  <w:rFonts w:ascii="Times New Roman" w:eastAsia="Calibri" w:hAnsi="Times New Roman" w:cs="Times New Roman"/>
                  <w:color w:val="0000FF"/>
                  <w:sz w:val="24"/>
                  <w:szCs w:val="24"/>
                  <w:u w:val="single"/>
                  <w:lang w:val="en-US" w:eastAsia="en-US" w:bidi="ar-SA"/>
                </w:rPr>
                <w:t>dparram@brickergraydon.com</w:t>
              </w:r>
            </w:hyperlink>
          </w:p>
          <w:p w:rsidR="002C66D9" w:rsidRPr="001D7812" w:rsidP="008526DB" w14:paraId="48543417" w14:textId="77777777">
            <w:pPr>
              <w:spacing w:after="0" w:line="240" w:lineRule="auto"/>
              <w:ind w:left="720" w:hanging="720"/>
              <w:rPr>
                <w:rFonts w:ascii="Times New Roman" w:hAnsi="Times New Roman" w:eastAsiaTheme="minorHAnsi" w:cs="Times New Roman"/>
                <w:color w:val="0000FF"/>
                <w:sz w:val="24"/>
                <w:szCs w:val="24"/>
                <w:u w:val="single"/>
                <w:lang w:val="en-US" w:eastAsia="en-US" w:bidi="ar-SA"/>
              </w:rPr>
            </w:pPr>
            <w:hyperlink r:id="rId36" w:history="1">
              <w:r w:rsidRPr="001D7812">
                <w:rPr>
                  <w:rFonts w:ascii="Times New Roman" w:eastAsia="Calibri" w:hAnsi="Times New Roman" w:cs="Times New Roman"/>
                  <w:color w:val="0000FF"/>
                  <w:sz w:val="24"/>
                  <w:szCs w:val="24"/>
                  <w:u w:val="single"/>
                  <w:lang w:val="en-US" w:eastAsia="en-US" w:bidi="ar-SA"/>
                </w:rPr>
                <w:t>rmains@brickergraydon.com</w:t>
              </w:r>
            </w:hyperlink>
          </w:p>
          <w:p w:rsidR="002C66D9" w:rsidRPr="001D7812" w:rsidP="008526DB" w14:paraId="615F3E34"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37" w:history="1">
              <w:r w:rsidRPr="001D7812">
                <w:rPr>
                  <w:rFonts w:ascii="Times New Roman" w:eastAsia="Calibri" w:hAnsi="Times New Roman" w:cs="Times New Roman"/>
                  <w:color w:val="0000FF"/>
                  <w:sz w:val="24"/>
                  <w:szCs w:val="24"/>
                  <w:u w:val="single"/>
                  <w:lang w:val="en-US" w:eastAsia="en-US" w:bidi="ar-SA"/>
                </w:rPr>
                <w:t>dromig@nationwideenergypartners.com</w:t>
              </w:r>
            </w:hyperlink>
          </w:p>
          <w:p w:rsidR="002C66D9" w:rsidRPr="001D7812" w:rsidP="008526DB" w14:paraId="1DE247A8"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38" w:history="1">
              <w:r w:rsidRPr="001D7812">
                <w:rPr>
                  <w:rFonts w:ascii="Times New Roman" w:eastAsia="Calibri" w:hAnsi="Times New Roman" w:cs="Times New Roman"/>
                  <w:color w:val="0000FF"/>
                  <w:sz w:val="24"/>
                  <w:szCs w:val="24"/>
                  <w:u w:val="single"/>
                  <w:lang w:val="en-US" w:eastAsia="en-US" w:bidi="ar-SA"/>
                </w:rPr>
                <w:t>brian.gibbs@nationwideenergypartners.com</w:t>
              </w:r>
            </w:hyperlink>
          </w:p>
          <w:p w:rsidR="002C66D9" w:rsidRPr="001D7812" w:rsidP="008526DB" w14:paraId="0CE3A7B0"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39" w:history="1">
              <w:r w:rsidRPr="001D7812">
                <w:rPr>
                  <w:rFonts w:ascii="Times New Roman" w:eastAsia="Calibri" w:hAnsi="Times New Roman" w:cs="Times New Roman"/>
                  <w:color w:val="0000FF"/>
                  <w:sz w:val="24"/>
                  <w:szCs w:val="24"/>
                  <w:u w:val="single"/>
                  <w:lang w:val="en-US" w:eastAsia="en-US" w:bidi="ar-SA"/>
                </w:rPr>
                <w:t>paul@carpenterlipps.com</w:t>
              </w:r>
            </w:hyperlink>
          </w:p>
          <w:p w:rsidR="002C66D9" w:rsidRPr="001D7812" w:rsidP="008526DB" w14:paraId="14A4D27F"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40" w:history="1">
              <w:r w:rsidRPr="001D7812">
                <w:rPr>
                  <w:rFonts w:ascii="Times New Roman" w:eastAsia="Calibri" w:hAnsi="Times New Roman" w:cs="Times New Roman"/>
                  <w:color w:val="0000FF"/>
                  <w:sz w:val="24"/>
                  <w:szCs w:val="24"/>
                  <w:u w:val="single"/>
                  <w:lang w:val="en-US" w:eastAsia="en-US" w:bidi="ar-SA"/>
                </w:rPr>
                <w:t>mpritchard@mcneeslaw.com</w:t>
              </w:r>
            </w:hyperlink>
          </w:p>
          <w:p w:rsidR="002C66D9" w:rsidRPr="001D7812" w:rsidP="008526DB" w14:paraId="122C1786" w14:textId="77777777">
            <w:pPr>
              <w:spacing w:after="0" w:line="240" w:lineRule="auto"/>
              <w:ind w:left="720" w:hanging="720"/>
              <w:rPr>
                <w:rFonts w:ascii="Times New Roman" w:hAnsi="Times New Roman" w:eastAsiaTheme="minorHAnsi" w:cs="Times New Roman"/>
                <w:color w:val="0000FF"/>
                <w:sz w:val="24"/>
                <w:szCs w:val="24"/>
                <w:u w:val="single"/>
                <w:lang w:val="en-US" w:eastAsia="en-US" w:bidi="ar-SA"/>
              </w:rPr>
            </w:pPr>
            <w:hyperlink r:id="rId41" w:history="1">
              <w:r w:rsidRPr="001D7812">
                <w:rPr>
                  <w:rFonts w:ascii="Times New Roman" w:eastAsia="Calibri" w:hAnsi="Times New Roman" w:cs="Times New Roman"/>
                  <w:color w:val="0000FF"/>
                  <w:sz w:val="24"/>
                  <w:szCs w:val="24"/>
                  <w:u w:val="single"/>
                  <w:lang w:val="en-US" w:eastAsia="en-US" w:bidi="ar-SA"/>
                </w:rPr>
                <w:t>awalke@mcneeslaw.com</w:t>
              </w:r>
            </w:hyperlink>
          </w:p>
          <w:p w:rsidR="002C66D9" w:rsidRPr="001D7812" w:rsidP="008526DB" w14:paraId="408F2ACC"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hyperlink r:id="rId42" w:history="1">
              <w:r w:rsidRPr="001D7812">
                <w:rPr>
                  <w:rFonts w:ascii="Times New Roman" w:eastAsia="Calibri" w:hAnsi="Times New Roman" w:cs="Times New Roman"/>
                  <w:color w:val="0000FF"/>
                  <w:sz w:val="24"/>
                  <w:szCs w:val="24"/>
                  <w:u w:val="single"/>
                  <w:lang w:val="en-US" w:eastAsia="en-US" w:bidi="ar-SA"/>
                </w:rPr>
                <w:t>tdougherty@theOEC.org</w:t>
              </w:r>
            </w:hyperlink>
          </w:p>
          <w:p w:rsidR="002C66D9" w:rsidRPr="001D7812" w:rsidP="008526DB" w14:paraId="4F69BA03" w14:textId="77777777">
            <w:pPr>
              <w:spacing w:after="0" w:line="240" w:lineRule="auto"/>
              <w:rPr>
                <w:rFonts w:ascii="Times New Roman" w:hAnsi="Times New Roman" w:eastAsiaTheme="minorHAnsi" w:cs="Times New Roman"/>
                <w:color w:val="0000FF"/>
                <w:sz w:val="24"/>
                <w:szCs w:val="24"/>
                <w:lang w:val="en-US" w:eastAsia="en-US" w:bidi="ar-SA"/>
              </w:rPr>
            </w:pPr>
            <w:hyperlink r:id="rId43" w:history="1">
              <w:r w:rsidRPr="001D7812">
                <w:rPr>
                  <w:rFonts w:ascii="Times New Roman" w:hAnsi="Times New Roman" w:eastAsiaTheme="minorHAnsi" w:cs="Times New Roman"/>
                  <w:color w:val="0000FF"/>
                  <w:sz w:val="24"/>
                  <w:szCs w:val="24"/>
                  <w:u w:val="single"/>
                  <w:lang w:val="en-US" w:eastAsia="en-US" w:bidi="ar-SA"/>
                </w:rPr>
                <w:t>katherine.hollingsworth@lasclev.org</w:t>
              </w:r>
            </w:hyperlink>
          </w:p>
          <w:p w:rsidR="002C66D9" w:rsidRPr="001D7812" w:rsidP="008526DB" w14:paraId="2611E021" w14:textId="77777777">
            <w:pPr>
              <w:spacing w:after="0" w:line="240" w:lineRule="auto"/>
              <w:rPr>
                <w:rFonts w:ascii="Times New Roman" w:hAnsi="Times New Roman" w:eastAsiaTheme="minorHAnsi" w:cs="Times New Roman"/>
                <w:color w:val="0000FF"/>
                <w:sz w:val="24"/>
                <w:szCs w:val="24"/>
                <w:lang w:val="en-US" w:eastAsia="en-US" w:bidi="ar-SA"/>
              </w:rPr>
            </w:pPr>
            <w:hyperlink r:id="rId44" w:history="1">
              <w:r w:rsidRPr="001D7812">
                <w:rPr>
                  <w:rFonts w:ascii="Times New Roman" w:hAnsi="Times New Roman" w:eastAsiaTheme="minorHAnsi" w:cs="Times New Roman"/>
                  <w:color w:val="0000FF"/>
                  <w:sz w:val="24"/>
                  <w:szCs w:val="24"/>
                  <w:u w:val="single"/>
                  <w:lang w:val="en-US" w:eastAsia="en-US" w:bidi="ar-SA"/>
                </w:rPr>
                <w:t>sjagers@ohiopovertylaw.org</w:t>
              </w:r>
            </w:hyperlink>
          </w:p>
          <w:p w:rsidR="002C66D9" w:rsidRPr="001D7812" w:rsidP="008526DB" w14:paraId="16D02011" w14:textId="77777777">
            <w:pPr>
              <w:spacing w:after="0" w:line="240" w:lineRule="auto"/>
              <w:rPr>
                <w:rFonts w:ascii="Times New Roman" w:hAnsi="Times New Roman" w:eastAsiaTheme="minorHAnsi" w:cs="Times New Roman"/>
                <w:color w:val="0000FF"/>
                <w:sz w:val="24"/>
                <w:szCs w:val="24"/>
                <w:u w:val="single"/>
                <w:lang w:val="en-US" w:eastAsia="en-US" w:bidi="ar-SA"/>
              </w:rPr>
            </w:pPr>
            <w:hyperlink r:id="rId45" w:history="1">
              <w:r w:rsidRPr="001D7812">
                <w:rPr>
                  <w:rFonts w:ascii="Times New Roman" w:hAnsi="Times New Roman" w:eastAsiaTheme="minorHAnsi" w:cs="Times New Roman"/>
                  <w:color w:val="0000FF"/>
                  <w:sz w:val="24"/>
                  <w:szCs w:val="24"/>
                  <w:u w:val="single"/>
                  <w:lang w:val="en-US" w:eastAsia="en-US" w:bidi="ar-SA"/>
                </w:rPr>
                <w:t>mwalters@proseniors.org</w:t>
              </w:r>
            </w:hyperlink>
          </w:p>
          <w:p w:rsidR="002C66D9" w:rsidRPr="001D7812" w:rsidP="008526DB" w14:paraId="496AE9FE" w14:textId="77777777">
            <w:pPr>
              <w:spacing w:after="0" w:line="240" w:lineRule="auto"/>
              <w:rPr>
                <w:rFonts w:ascii="Times New Roman" w:hAnsi="Times New Roman" w:eastAsiaTheme="minorHAnsi" w:cs="Times New Roman"/>
                <w:color w:val="0000FF"/>
                <w:sz w:val="24"/>
                <w:szCs w:val="24"/>
                <w:u w:val="single"/>
                <w:lang w:val="en-US" w:eastAsia="en-US" w:bidi="ar-SA"/>
              </w:rPr>
            </w:pPr>
            <w:hyperlink r:id="rId46" w:history="1">
              <w:r w:rsidRPr="001D7812">
                <w:rPr>
                  <w:rFonts w:ascii="Times New Roman" w:hAnsi="Times New Roman" w:eastAsiaTheme="minorHAnsi" w:cs="Times New Roman"/>
                  <w:color w:val="0000FF"/>
                  <w:sz w:val="24"/>
                  <w:szCs w:val="24"/>
                  <w:u w:val="single"/>
                  <w:lang w:val="en-US" w:eastAsia="en-US" w:bidi="ar-SA"/>
                </w:rPr>
                <w:t>dmanor@ablelaw.org</w:t>
              </w:r>
            </w:hyperlink>
          </w:p>
          <w:p w:rsidR="002C66D9" w:rsidRPr="001D7812" w:rsidP="008526DB" w14:paraId="259F897F" w14:textId="77777777">
            <w:pPr>
              <w:autoSpaceDE w:val="0"/>
              <w:autoSpaceDN w:val="0"/>
              <w:spacing w:after="0" w:line="240" w:lineRule="auto"/>
              <w:rPr>
                <w:rFonts w:ascii="Times New Roman" w:hAnsi="Times New Roman" w:eastAsiaTheme="minorHAnsi" w:cs="Times New Roman"/>
                <w:color w:val="0000FF"/>
                <w:sz w:val="24"/>
                <w:szCs w:val="24"/>
                <w:u w:val="single"/>
                <w:lang w:val="en-US" w:eastAsia="en-US" w:bidi="ar-SA"/>
              </w:rPr>
            </w:pPr>
            <w:hyperlink r:id="rId47" w:history="1">
              <w:r w:rsidRPr="001D7812">
                <w:rPr>
                  <w:rFonts w:ascii="Times New Roman" w:hAnsi="Times New Roman" w:eastAsiaTheme="minorHAnsi" w:cs="Times New Roman"/>
                  <w:color w:val="0000FF"/>
                  <w:sz w:val="24"/>
                  <w:szCs w:val="24"/>
                  <w:u w:val="single"/>
                  <w:lang w:val="en-US" w:eastAsia="en-US" w:bidi="ar-SA"/>
                </w:rPr>
                <w:t>rnader@communitylegalaid.org</w:t>
              </w:r>
            </w:hyperlink>
          </w:p>
          <w:p w:rsidR="002C66D9" w:rsidRPr="001D7812" w:rsidP="008526DB" w14:paraId="35C64DD8" w14:textId="77777777">
            <w:pPr>
              <w:spacing w:after="0" w:line="240" w:lineRule="auto"/>
              <w:rPr>
                <w:rFonts w:ascii="Times New Roman" w:hAnsi="Times New Roman" w:eastAsiaTheme="minorHAnsi" w:cs="Times New Roman"/>
                <w:sz w:val="24"/>
                <w:szCs w:val="24"/>
                <w:lang w:val="en-US" w:eastAsia="en-US" w:bidi="ar-SA"/>
              </w:rPr>
            </w:pPr>
            <w:r w:rsidRPr="001D7812">
              <w:rPr>
                <w:rFonts w:ascii="Times New Roman" w:hAnsi="Times New Roman" w:eastAsiaTheme="minorHAnsi" w:cs="Times New Roman"/>
                <w:sz w:val="24"/>
                <w:szCs w:val="24"/>
                <w:lang w:val="en-US" w:eastAsia="en-US" w:bidi="ar-SA"/>
              </w:rPr>
              <w:t xml:space="preserve">Attorney Examiners: </w:t>
            </w:r>
          </w:p>
          <w:p w:rsidR="002C66D9" w:rsidRPr="001D7812" w:rsidP="008526DB" w14:paraId="13A5301D" w14:textId="77777777">
            <w:pPr>
              <w:spacing w:after="0" w:line="240" w:lineRule="auto"/>
              <w:rPr>
                <w:rFonts w:ascii="Times New Roman" w:hAnsi="Times New Roman" w:eastAsiaTheme="minorHAnsi" w:cs="Times New Roman"/>
                <w:sz w:val="24"/>
                <w:szCs w:val="24"/>
                <w:lang w:val="en-US" w:eastAsia="en-US" w:bidi="ar-SA"/>
              </w:rPr>
            </w:pPr>
            <w:hyperlink r:id="rId48" w:history="1">
              <w:r w:rsidRPr="001D7812">
                <w:rPr>
                  <w:rFonts w:ascii="Times New Roman" w:hAnsi="Times New Roman" w:eastAsiaTheme="minorHAnsi" w:cs="Times New Roman"/>
                  <w:color w:val="0000FF"/>
                  <w:sz w:val="24"/>
                  <w:szCs w:val="24"/>
                  <w:u w:val="single"/>
                  <w:lang w:val="en-US" w:eastAsia="en-US" w:bidi="ar-SA"/>
                </w:rPr>
                <w:t>megan.addison@puco.ohio.gov</w:t>
              </w:r>
            </w:hyperlink>
          </w:p>
          <w:p w:rsidR="002C66D9" w:rsidRPr="001D7812" w:rsidP="008526DB" w14:paraId="43337771" w14:textId="77777777">
            <w:pPr>
              <w:spacing w:after="0" w:line="240" w:lineRule="auto"/>
              <w:rPr>
                <w:rFonts w:ascii="Times New Roman" w:hAnsi="Times New Roman" w:eastAsiaTheme="minorHAnsi" w:cs="Times New Roman"/>
                <w:sz w:val="24"/>
                <w:szCs w:val="24"/>
                <w:lang w:val="en-US" w:eastAsia="en-US" w:bidi="ar-SA"/>
              </w:rPr>
            </w:pPr>
            <w:hyperlink r:id="rId49" w:history="1">
              <w:r w:rsidRPr="001D7812">
                <w:rPr>
                  <w:rFonts w:ascii="Times New Roman" w:hAnsi="Times New Roman" w:eastAsiaTheme="minorHAnsi" w:cs="Times New Roman"/>
                  <w:color w:val="0000FF"/>
                  <w:sz w:val="24"/>
                  <w:szCs w:val="24"/>
                  <w:u w:val="single"/>
                  <w:lang w:val="en-US" w:eastAsia="en-US" w:bidi="ar-SA"/>
                </w:rPr>
                <w:t>greg.price@puco.ohio.gov</w:t>
              </w:r>
            </w:hyperlink>
          </w:p>
          <w:p w:rsidR="002C66D9" w:rsidRPr="001D7812" w:rsidP="008526DB" w14:paraId="2879F8A7" w14:textId="77777777">
            <w:pPr>
              <w:spacing w:after="0" w:line="240" w:lineRule="auto"/>
              <w:rPr>
                <w:rFonts w:ascii="Times New Roman" w:hAnsi="Times New Roman" w:eastAsiaTheme="minorHAnsi" w:cs="Times New Roman"/>
                <w:sz w:val="24"/>
                <w:szCs w:val="24"/>
                <w:lang w:val="en-US" w:eastAsia="en-US" w:bidi="ar-SA"/>
              </w:rPr>
            </w:pPr>
            <w:hyperlink r:id="rId50" w:history="1">
              <w:r w:rsidRPr="001D7812">
                <w:rPr>
                  <w:rFonts w:ascii="Times New Roman" w:hAnsi="Times New Roman" w:eastAsiaTheme="minorHAnsi" w:cs="Times New Roman"/>
                  <w:color w:val="0000FF"/>
                  <w:sz w:val="24"/>
                  <w:szCs w:val="24"/>
                  <w:u w:val="single"/>
                  <w:lang w:val="en-US" w:eastAsia="en-US" w:bidi="ar-SA"/>
                </w:rPr>
                <w:t>jacqueline.st.john@puco.ohio.gov</w:t>
              </w:r>
            </w:hyperlink>
          </w:p>
        </w:tc>
        <w:tc>
          <w:tcPr>
            <w:tcW w:w="4215" w:type="dxa"/>
          </w:tcPr>
          <w:p w:rsidR="002C66D9" w:rsidRPr="001D7812" w:rsidP="008526DB" w14:paraId="6A44E6E6"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51" w:history="1">
              <w:r w:rsidRPr="001D7812">
                <w:rPr>
                  <w:rFonts w:ascii="Times New Roman" w:hAnsi="Times New Roman" w:eastAsiaTheme="minorHAnsi" w:cs="Times New Roman"/>
                  <w:color w:val="0000FF"/>
                  <w:sz w:val="24"/>
                  <w:szCs w:val="24"/>
                  <w:u w:val="single"/>
                  <w:lang w:val="en-US" w:eastAsia="en-US" w:bidi="ar-SA"/>
                </w:rPr>
                <w:t>bknipe@firstenergycorp.com</w:t>
              </w:r>
            </w:hyperlink>
          </w:p>
          <w:p w:rsidR="002C66D9" w:rsidRPr="001D7812" w:rsidP="008526DB" w14:paraId="705AE34A"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52" w:history="1">
              <w:r w:rsidRPr="001D7812">
                <w:rPr>
                  <w:rFonts w:ascii="Times New Roman" w:hAnsi="Times New Roman" w:eastAsiaTheme="minorHAnsi" w:cs="Times New Roman"/>
                  <w:color w:val="0000FF"/>
                  <w:sz w:val="24"/>
                  <w:szCs w:val="24"/>
                  <w:u w:val="single"/>
                  <w:lang w:val="en-US" w:eastAsia="en-US" w:bidi="ar-SA"/>
                </w:rPr>
                <w:t>cwatchorn@firstenergycorp.com</w:t>
              </w:r>
            </w:hyperlink>
          </w:p>
          <w:p w:rsidR="002C66D9" w:rsidRPr="001D7812" w:rsidP="008526DB" w14:paraId="69CE70A3"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53" w:history="1">
              <w:r w:rsidRPr="001D7812">
                <w:rPr>
                  <w:rFonts w:ascii="Times New Roman" w:hAnsi="Times New Roman" w:eastAsiaTheme="minorHAnsi" w:cs="Times New Roman"/>
                  <w:color w:val="0000FF"/>
                  <w:sz w:val="24"/>
                  <w:szCs w:val="24"/>
                  <w:u w:val="single"/>
                  <w:lang w:val="en-US" w:eastAsia="en-US" w:bidi="ar-SA"/>
                </w:rPr>
                <w:t>talexander@beneschlaw.com</w:t>
              </w:r>
            </w:hyperlink>
          </w:p>
          <w:p w:rsidR="002C66D9" w:rsidRPr="001D7812" w:rsidP="008526DB" w14:paraId="2FC406A4"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54" w:history="1">
              <w:r w:rsidRPr="001D7812">
                <w:rPr>
                  <w:rFonts w:ascii="Times New Roman" w:hAnsi="Times New Roman" w:eastAsiaTheme="minorHAnsi" w:cs="Times New Roman"/>
                  <w:color w:val="0000FF"/>
                  <w:sz w:val="24"/>
                  <w:szCs w:val="24"/>
                  <w:u w:val="single"/>
                  <w:lang w:val="en-US" w:eastAsia="en-US" w:bidi="ar-SA"/>
                </w:rPr>
                <w:t>mkeaney@beneschlaw.com</w:t>
              </w:r>
            </w:hyperlink>
          </w:p>
          <w:p w:rsidR="002C66D9" w:rsidRPr="001D7812" w:rsidP="008526DB" w14:paraId="0E3F8ADD"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55" w:history="1">
              <w:r w:rsidRPr="001D7812">
                <w:rPr>
                  <w:rFonts w:ascii="Times New Roman" w:hAnsi="Times New Roman" w:eastAsiaTheme="minorHAnsi" w:cs="Times New Roman"/>
                  <w:color w:val="0000FF"/>
                  <w:sz w:val="24"/>
                  <w:szCs w:val="24"/>
                  <w:u w:val="single"/>
                  <w:lang w:val="en-US" w:eastAsia="en-US" w:bidi="ar-SA"/>
                </w:rPr>
                <w:t>khehmeyer@beneschlaw.com</w:t>
              </w:r>
            </w:hyperlink>
          </w:p>
          <w:p w:rsidR="002C66D9" w:rsidRPr="001D7812" w:rsidP="008526DB" w14:paraId="36BEE620"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56" w:history="1">
              <w:r w:rsidRPr="001D7812">
                <w:rPr>
                  <w:rFonts w:ascii="Times New Roman" w:hAnsi="Times New Roman" w:eastAsiaTheme="minorHAnsi" w:cs="Times New Roman"/>
                  <w:color w:val="0000FF"/>
                  <w:sz w:val="24"/>
                  <w:szCs w:val="24"/>
                  <w:u w:val="single"/>
                  <w:lang w:val="en-US" w:eastAsia="en-US" w:bidi="ar-SA"/>
                </w:rPr>
                <w:t>dproano@bakerlaw.com</w:t>
              </w:r>
            </w:hyperlink>
          </w:p>
          <w:p w:rsidR="002C66D9" w:rsidRPr="001D7812" w:rsidP="008526DB" w14:paraId="548F290C"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57" w:history="1">
              <w:r w:rsidRPr="001D7812">
                <w:rPr>
                  <w:rFonts w:ascii="Times New Roman" w:hAnsi="Times New Roman" w:eastAsiaTheme="minorHAnsi" w:cs="Times New Roman"/>
                  <w:color w:val="0000FF"/>
                  <w:sz w:val="24"/>
                  <w:szCs w:val="24"/>
                  <w:u w:val="single"/>
                  <w:lang w:val="en-US" w:eastAsia="en-US" w:bidi="ar-SA"/>
                </w:rPr>
                <w:t>ahaque@bakerlaw.com</w:t>
              </w:r>
            </w:hyperlink>
          </w:p>
          <w:p w:rsidR="002C66D9" w:rsidRPr="001D7812" w:rsidP="008526DB" w14:paraId="13269FE2"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58" w:history="1">
              <w:r w:rsidRPr="001D7812">
                <w:rPr>
                  <w:rFonts w:ascii="Times New Roman" w:hAnsi="Times New Roman" w:eastAsiaTheme="minorHAnsi" w:cs="Times New Roman"/>
                  <w:color w:val="0000FF"/>
                  <w:sz w:val="24"/>
                  <w:szCs w:val="24"/>
                  <w:u w:val="single"/>
                  <w:lang w:val="en-US" w:eastAsia="en-US" w:bidi="ar-SA"/>
                </w:rPr>
                <w:t>eprouty@bakerlaw.com</w:t>
              </w:r>
            </w:hyperlink>
          </w:p>
          <w:p w:rsidR="002C66D9" w:rsidRPr="001D7812" w:rsidP="008526DB" w14:paraId="4BD05181"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59" w:history="1">
              <w:r w:rsidRPr="001D7812">
                <w:rPr>
                  <w:rFonts w:ascii="Times New Roman" w:hAnsi="Times New Roman" w:eastAsiaTheme="minorHAnsi" w:cs="Times New Roman"/>
                  <w:color w:val="0000FF"/>
                  <w:sz w:val="24"/>
                  <w:szCs w:val="24"/>
                  <w:u w:val="single"/>
                  <w:lang w:val="en-US" w:eastAsia="en-US" w:bidi="ar-SA"/>
                </w:rPr>
                <w:t>pwillison@bakerlaw.com</w:t>
              </w:r>
            </w:hyperlink>
          </w:p>
          <w:p w:rsidR="002C66D9" w:rsidRPr="001D7812" w:rsidP="008526DB" w14:paraId="11D3A8BE"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60" w:history="1">
              <w:r w:rsidRPr="001D7812">
                <w:rPr>
                  <w:rFonts w:ascii="Times New Roman" w:hAnsi="Times New Roman" w:eastAsiaTheme="minorHAnsi" w:cs="Times New Roman"/>
                  <w:color w:val="0000FF"/>
                  <w:sz w:val="24"/>
                  <w:szCs w:val="24"/>
                  <w:u w:val="single"/>
                  <w:lang w:val="en-US" w:eastAsia="en-US" w:bidi="ar-SA"/>
                </w:rPr>
                <w:t>dstinson@brickergraydon.com</w:t>
              </w:r>
            </w:hyperlink>
          </w:p>
          <w:p w:rsidR="002C66D9" w:rsidRPr="001D7812" w:rsidP="008526DB" w14:paraId="7FFD438E" w14:textId="77777777">
            <w:pPr>
              <w:spacing w:after="0" w:line="240" w:lineRule="auto"/>
              <w:ind w:left="720" w:hanging="720"/>
              <w:rPr>
                <w:rFonts w:ascii="Times New Roman" w:hAnsi="Times New Roman" w:eastAsiaTheme="minorHAnsi" w:cs="Times New Roman"/>
                <w:color w:val="0000FF"/>
                <w:sz w:val="24"/>
                <w:szCs w:val="24"/>
                <w:u w:val="single"/>
                <w:lang w:val="en-US" w:eastAsia="en-US" w:bidi="ar-SA"/>
              </w:rPr>
            </w:pPr>
            <w:hyperlink r:id="rId61" w:history="1">
              <w:r w:rsidRPr="001D7812">
                <w:rPr>
                  <w:rFonts w:ascii="Times New Roman" w:hAnsi="Times New Roman" w:eastAsiaTheme="minorHAnsi" w:cs="Times New Roman"/>
                  <w:color w:val="0000FF"/>
                  <w:sz w:val="24"/>
                  <w:szCs w:val="24"/>
                  <w:u w:val="single"/>
                  <w:lang w:val="en-US" w:eastAsia="en-US" w:bidi="ar-SA"/>
                </w:rPr>
                <w:t>gkrassen@nopec.org</w:t>
              </w:r>
            </w:hyperlink>
          </w:p>
          <w:p w:rsidR="002C66D9" w:rsidP="005A4888" w14:paraId="3215AA2E" w14:textId="0862B2C0">
            <w:pPr>
              <w:spacing w:after="0" w:line="240" w:lineRule="auto"/>
              <w:rPr>
                <w:rFonts w:ascii="Times New Roman" w:hAnsi="Times New Roman" w:eastAsiaTheme="minorHAnsi" w:cs="Times New Roman"/>
                <w:color w:val="0000FF"/>
                <w:sz w:val="24"/>
                <w:szCs w:val="24"/>
                <w:lang w:val="en-US" w:eastAsia="en-US" w:bidi="ar-SA"/>
              </w:rPr>
            </w:pPr>
            <w:hyperlink r:id="rId62" w:history="1">
              <w:r w:rsidRPr="008D4E30" w:rsidR="005A4888">
                <w:rPr>
                  <w:rStyle w:val="Hyperlink"/>
                  <w:rFonts w:ascii="Times New Roman" w:hAnsi="Times New Roman" w:eastAsiaTheme="minorHAnsi" w:cs="Times New Roman"/>
                  <w:color w:val="0000FF"/>
                  <w:sz w:val="24"/>
                  <w:szCs w:val="24"/>
                  <w:u w:val="single"/>
                  <w:lang w:val="en-US" w:eastAsia="en-US" w:bidi="ar-SA"/>
                </w:rPr>
                <w:t>meissnerjoseph@yahoo.com</w:t>
              </w:r>
            </w:hyperlink>
          </w:p>
          <w:p w:rsidR="002C66D9" w:rsidRPr="001D7812" w:rsidP="008526DB" w14:paraId="042E697A"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63" w:history="1">
              <w:r w:rsidRPr="001D7812">
                <w:rPr>
                  <w:rFonts w:ascii="Times New Roman" w:hAnsi="Times New Roman" w:eastAsiaTheme="minorHAnsi" w:cs="Times New Roman"/>
                  <w:color w:val="0000FF"/>
                  <w:sz w:val="24"/>
                  <w:szCs w:val="24"/>
                  <w:u w:val="single"/>
                  <w:lang w:val="en-US" w:eastAsia="en-US" w:bidi="ar-SA"/>
                </w:rPr>
                <w:t>trhayslaw@gmail.com</w:t>
              </w:r>
            </w:hyperlink>
          </w:p>
          <w:p w:rsidR="002C66D9" w:rsidRPr="001D7812" w:rsidP="008526DB" w14:paraId="03911ABB"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64" w:history="1">
              <w:r w:rsidRPr="001D7812">
                <w:rPr>
                  <w:rFonts w:ascii="Times New Roman" w:hAnsi="Times New Roman" w:eastAsiaTheme="minorHAnsi" w:cs="Times New Roman"/>
                  <w:color w:val="0000FF"/>
                  <w:sz w:val="24"/>
                  <w:szCs w:val="24"/>
                  <w:u w:val="single"/>
                  <w:lang w:val="en-US" w:eastAsia="en-US" w:bidi="ar-SA"/>
                </w:rPr>
                <w:t>leslie.kovacik@toledo.oh.gov</w:t>
              </w:r>
            </w:hyperlink>
          </w:p>
          <w:p w:rsidR="002C66D9" w:rsidRPr="001D7812" w:rsidP="008526DB" w14:paraId="70BB2E41"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65" w:history="1">
              <w:r w:rsidRPr="001D7812">
                <w:rPr>
                  <w:rFonts w:ascii="Times New Roman" w:eastAsia="Calibri" w:hAnsi="Times New Roman" w:cs="Times New Roman"/>
                  <w:color w:val="0000FF"/>
                  <w:sz w:val="24"/>
                  <w:szCs w:val="24"/>
                  <w:u w:val="single"/>
                  <w:lang w:val="en-US" w:eastAsia="en-US" w:bidi="ar-SA"/>
                </w:rPr>
                <w:t>bojko@carpenterlipps.com</w:t>
              </w:r>
            </w:hyperlink>
          </w:p>
          <w:p w:rsidR="002C66D9" w:rsidRPr="001D7812" w:rsidP="008526DB" w14:paraId="57EA67E7"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66" w:history="1">
              <w:r w:rsidRPr="001D7812">
                <w:rPr>
                  <w:rFonts w:ascii="Times New Roman" w:hAnsi="Times New Roman" w:eastAsiaTheme="minorHAnsi" w:cs="Times New Roman"/>
                  <w:color w:val="0000FF"/>
                  <w:sz w:val="24"/>
                  <w:szCs w:val="24"/>
                  <w:u w:val="single"/>
                  <w:lang w:val="en-US" w:eastAsia="en-US" w:bidi="ar-SA"/>
                </w:rPr>
                <w:t>easley@carpenterlipps.com</w:t>
              </w:r>
            </w:hyperlink>
          </w:p>
          <w:p w:rsidR="002C66D9" w:rsidRPr="001D7812" w:rsidP="008526DB" w14:paraId="56A0DF29"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67" w:history="1">
              <w:r w:rsidRPr="001D7812">
                <w:rPr>
                  <w:rFonts w:ascii="Times New Roman" w:eastAsia="Calibri" w:hAnsi="Times New Roman" w:cs="Times New Roman"/>
                  <w:color w:val="0000FF"/>
                  <w:sz w:val="24"/>
                  <w:szCs w:val="24"/>
                  <w:u w:val="single"/>
                  <w:lang w:val="en-US" w:eastAsia="en-US" w:bidi="ar-SA"/>
                </w:rPr>
                <w:t>mkl@smxblaw.com</w:t>
              </w:r>
            </w:hyperlink>
          </w:p>
          <w:p w:rsidR="002C66D9" w:rsidRPr="001D7812" w:rsidP="008526DB" w14:paraId="749E045A"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68" w:history="1">
              <w:r w:rsidRPr="001D7812">
                <w:rPr>
                  <w:rFonts w:ascii="Times New Roman" w:eastAsia="Calibri" w:hAnsi="Times New Roman" w:cs="Times New Roman"/>
                  <w:color w:val="0000FF"/>
                  <w:sz w:val="24"/>
                  <w:szCs w:val="24"/>
                  <w:u w:val="single"/>
                  <w:lang w:val="en-US" w:eastAsia="en-US" w:bidi="ar-SA"/>
                </w:rPr>
                <w:t>jrb@smxblaw.com</w:t>
              </w:r>
            </w:hyperlink>
          </w:p>
          <w:p w:rsidR="002C66D9" w:rsidRPr="001D7812" w:rsidP="008526DB" w14:paraId="6D19F671"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69" w:history="1">
              <w:r w:rsidRPr="001D7812">
                <w:rPr>
                  <w:rFonts w:ascii="Times New Roman" w:eastAsia="Calibri" w:hAnsi="Times New Roman" w:cs="Times New Roman"/>
                  <w:color w:val="0000FF"/>
                  <w:sz w:val="24"/>
                  <w:szCs w:val="24"/>
                  <w:u w:val="single"/>
                  <w:lang w:val="en-US" w:eastAsia="en-US" w:bidi="ar-SA"/>
                </w:rPr>
                <w:t>little@litohio.com</w:t>
              </w:r>
            </w:hyperlink>
          </w:p>
          <w:p w:rsidR="002C66D9" w:rsidRPr="001D7812" w:rsidP="008526DB" w14:paraId="18102FBC"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70" w:history="1">
              <w:r w:rsidRPr="001D7812">
                <w:rPr>
                  <w:rFonts w:ascii="Times New Roman" w:eastAsia="Calibri" w:hAnsi="Times New Roman" w:cs="Times New Roman"/>
                  <w:color w:val="0000FF"/>
                  <w:sz w:val="24"/>
                  <w:szCs w:val="24"/>
                  <w:u w:val="single"/>
                  <w:lang w:val="en-US" w:eastAsia="en-US" w:bidi="ar-SA"/>
                </w:rPr>
                <w:t>hogan@litohio.com</w:t>
              </w:r>
            </w:hyperlink>
          </w:p>
          <w:p w:rsidR="002C66D9" w:rsidRPr="001D7812" w:rsidP="008526DB" w14:paraId="4003FB51"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71" w:history="1">
              <w:r w:rsidRPr="001D7812">
                <w:rPr>
                  <w:rFonts w:ascii="Times New Roman" w:eastAsia="Calibri" w:hAnsi="Times New Roman" w:cs="Times New Roman"/>
                  <w:color w:val="0000FF"/>
                  <w:sz w:val="24"/>
                  <w:szCs w:val="24"/>
                  <w:u w:val="single"/>
                  <w:lang w:val="en-US" w:eastAsia="en-US" w:bidi="ar-SA"/>
                </w:rPr>
                <w:t>ktreadway@oneenergyllc.com</w:t>
              </w:r>
            </w:hyperlink>
          </w:p>
          <w:p w:rsidR="002C66D9" w:rsidRPr="001D7812" w:rsidP="008526DB" w14:paraId="73CD18DB" w14:textId="77777777">
            <w:pPr>
              <w:spacing w:after="0" w:line="240" w:lineRule="auto"/>
              <w:ind w:left="720" w:hanging="720"/>
              <w:rPr>
                <w:rFonts w:ascii="Times New Roman" w:hAnsi="Times New Roman" w:eastAsiaTheme="minorHAnsi" w:cs="Times New Roman"/>
                <w:color w:val="0000FF"/>
                <w:sz w:val="24"/>
                <w:szCs w:val="24"/>
                <w:u w:val="single"/>
                <w:lang w:val="en-US" w:eastAsia="en-US" w:bidi="ar-SA"/>
              </w:rPr>
            </w:pPr>
            <w:hyperlink r:id="rId72" w:history="1">
              <w:r w:rsidRPr="001D7812">
                <w:rPr>
                  <w:rFonts w:ascii="Times New Roman" w:eastAsia="Calibri" w:hAnsi="Times New Roman" w:cs="Times New Roman"/>
                  <w:color w:val="0000FF"/>
                  <w:sz w:val="24"/>
                  <w:szCs w:val="24"/>
                  <w:u w:val="single"/>
                  <w:lang w:val="en-US" w:eastAsia="en-US" w:bidi="ar-SA"/>
                </w:rPr>
                <w:t>jdunn@oneenergyllc.com</w:t>
              </w:r>
            </w:hyperlink>
          </w:p>
          <w:p w:rsidR="002C66D9" w:rsidRPr="001D7812" w:rsidP="008526DB" w14:paraId="1E3F7FDF"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73" w:history="1">
              <w:r w:rsidRPr="001D7812">
                <w:rPr>
                  <w:rFonts w:ascii="Times New Roman" w:hAnsi="Times New Roman" w:eastAsiaTheme="minorHAnsi" w:cs="Times New Roman"/>
                  <w:color w:val="0000FF"/>
                  <w:sz w:val="24"/>
                  <w:szCs w:val="24"/>
                  <w:u w:val="single"/>
                  <w:lang w:val="en-US" w:eastAsia="en-US" w:bidi="ar-SA"/>
                </w:rPr>
                <w:t>trent@hubaydougherty.com</w:t>
              </w:r>
            </w:hyperlink>
          </w:p>
          <w:p w:rsidR="002C66D9" w:rsidRPr="001D7812" w:rsidP="008526DB" w14:paraId="051960A9" w14:textId="77777777">
            <w:pPr>
              <w:spacing w:after="0" w:line="240" w:lineRule="auto"/>
              <w:ind w:left="720" w:hanging="720"/>
              <w:rPr>
                <w:rFonts w:ascii="Times New Roman" w:hAnsi="Times New Roman" w:eastAsiaTheme="minorHAnsi" w:cs="Times New Roman"/>
                <w:color w:val="0000FF"/>
                <w:sz w:val="24"/>
                <w:szCs w:val="24"/>
                <w:u w:val="single"/>
                <w:lang w:val="en-US" w:eastAsia="en-US" w:bidi="ar-SA"/>
              </w:rPr>
            </w:pPr>
            <w:hyperlink r:id="rId74" w:history="1">
              <w:r w:rsidRPr="001D7812">
                <w:rPr>
                  <w:rFonts w:ascii="Times New Roman" w:eastAsia="Calibri" w:hAnsi="Times New Roman" w:cs="Times New Roman"/>
                  <w:color w:val="0000FF"/>
                  <w:sz w:val="24"/>
                  <w:szCs w:val="24"/>
                  <w:u w:val="single"/>
                  <w:lang w:val="en-US" w:eastAsia="en-US" w:bidi="ar-SA"/>
                </w:rPr>
                <w:t>emcconnell@elpc.org</w:t>
              </w:r>
            </w:hyperlink>
          </w:p>
          <w:p w:rsidR="002C66D9" w:rsidRPr="001D7812" w:rsidP="008526DB" w14:paraId="399DF448" w14:textId="77777777">
            <w:pPr>
              <w:spacing w:after="0" w:line="240" w:lineRule="auto"/>
              <w:ind w:left="720" w:hanging="720"/>
              <w:rPr>
                <w:rFonts w:ascii="Times New Roman" w:hAnsi="Times New Roman" w:eastAsiaTheme="minorHAnsi" w:cs="Times New Roman"/>
                <w:color w:val="0000FF"/>
                <w:sz w:val="24"/>
                <w:szCs w:val="24"/>
                <w:u w:val="single"/>
                <w:lang w:val="en-US" w:eastAsia="en-US" w:bidi="ar-SA"/>
              </w:rPr>
            </w:pPr>
            <w:hyperlink r:id="rId75" w:history="1">
              <w:r w:rsidRPr="001D7812">
                <w:rPr>
                  <w:rFonts w:ascii="Times New Roman" w:eastAsia="Calibri" w:hAnsi="Times New Roman" w:cs="Times New Roman"/>
                  <w:color w:val="0000FF"/>
                  <w:sz w:val="24"/>
                  <w:szCs w:val="24"/>
                  <w:u w:val="single"/>
                  <w:lang w:val="en-US" w:eastAsia="en-US" w:bidi="ar-SA"/>
                </w:rPr>
                <w:t>cpirik@dickinsonwright.com</w:t>
              </w:r>
            </w:hyperlink>
          </w:p>
          <w:p w:rsidR="002C66D9" w:rsidRPr="001D7812" w:rsidP="008526DB" w14:paraId="7BB15388"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hyperlink r:id="rId76" w:history="1">
              <w:r w:rsidRPr="001D7812">
                <w:rPr>
                  <w:rFonts w:ascii="Times New Roman" w:eastAsia="Calibri" w:hAnsi="Times New Roman" w:cs="Times New Roman"/>
                  <w:color w:val="0000FF"/>
                  <w:sz w:val="24"/>
                  <w:szCs w:val="24"/>
                  <w:u w:val="single"/>
                  <w:lang w:val="en-US" w:eastAsia="en-US" w:bidi="ar-SA"/>
                </w:rPr>
                <w:t>todonnell@dickinsonwright.com</w:t>
              </w:r>
            </w:hyperlink>
          </w:p>
          <w:p w:rsidR="002C66D9" w:rsidRPr="001D7812" w:rsidP="008526DB" w14:paraId="5CDE7F64"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77" w:history="1">
              <w:r w:rsidRPr="001D7812">
                <w:rPr>
                  <w:rFonts w:ascii="Times New Roman" w:eastAsia="Calibri" w:hAnsi="Times New Roman" w:cs="Times New Roman"/>
                  <w:color w:val="0000FF"/>
                  <w:sz w:val="24"/>
                  <w:szCs w:val="24"/>
                  <w:u w:val="single"/>
                  <w:lang w:val="en-US" w:eastAsia="en-US" w:bidi="ar-SA"/>
                </w:rPr>
                <w:t>kshimp@dickinsonwright.com</w:t>
              </w:r>
            </w:hyperlink>
          </w:p>
          <w:p w:rsidR="002C66D9" w:rsidRPr="001D7812" w:rsidP="008526DB" w14:paraId="5ECA0A40"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hyperlink r:id="rId78" w:history="1">
              <w:r w:rsidRPr="001D7812">
                <w:rPr>
                  <w:rFonts w:ascii="Times New Roman" w:eastAsia="Calibri" w:hAnsi="Times New Roman" w:cs="Times New Roman"/>
                  <w:color w:val="0000FF"/>
                  <w:sz w:val="24"/>
                  <w:szCs w:val="24"/>
                  <w:u w:val="single"/>
                  <w:lang w:val="en-US" w:eastAsia="en-US" w:bidi="ar-SA"/>
                </w:rPr>
                <w:t>eowoyt@vorys.com</w:t>
              </w:r>
            </w:hyperlink>
          </w:p>
          <w:p w:rsidR="002C66D9" w:rsidRPr="001D7812" w:rsidP="008526DB" w14:paraId="07F81ACF" w14:textId="77777777">
            <w:pPr>
              <w:spacing w:after="0" w:line="240" w:lineRule="auto"/>
              <w:ind w:left="720" w:hanging="720"/>
              <w:rPr>
                <w:rFonts w:ascii="Times New Roman" w:eastAsia="Calibri" w:hAnsi="Times New Roman" w:cs="Times New Roman"/>
                <w:color w:val="0000FF"/>
                <w:sz w:val="24"/>
                <w:szCs w:val="24"/>
                <w:lang w:val="en-US" w:eastAsia="en-US" w:bidi="ar-SA"/>
              </w:rPr>
            </w:pPr>
            <w:hyperlink r:id="rId79" w:history="1">
              <w:r w:rsidRPr="001D7812">
                <w:rPr>
                  <w:rFonts w:ascii="Times New Roman" w:eastAsia="Calibri" w:hAnsi="Times New Roman" w:cs="Times New Roman"/>
                  <w:color w:val="0000FF"/>
                  <w:sz w:val="24"/>
                  <w:szCs w:val="24"/>
                  <w:u w:val="single"/>
                  <w:lang w:val="en-US" w:eastAsia="en-US" w:bidi="ar-SA"/>
                </w:rPr>
                <w:t>whitt@whitt-sturtevant.com</w:t>
              </w:r>
            </w:hyperlink>
          </w:p>
          <w:p w:rsidR="002C66D9" w:rsidRPr="001D7812" w:rsidP="008526DB" w14:paraId="54293DB5" w14:textId="77777777">
            <w:pPr>
              <w:spacing w:after="0" w:line="240" w:lineRule="auto"/>
              <w:ind w:left="720" w:hanging="720"/>
              <w:rPr>
                <w:rFonts w:ascii="Times New Roman" w:hAnsi="Times New Roman" w:eastAsiaTheme="minorHAnsi" w:cs="Times New Roman"/>
                <w:color w:val="0000FF"/>
                <w:sz w:val="24"/>
                <w:szCs w:val="24"/>
                <w:u w:val="single"/>
                <w:lang w:val="en-US" w:eastAsia="en-US" w:bidi="ar-SA"/>
              </w:rPr>
            </w:pPr>
            <w:hyperlink r:id="rId80" w:history="1">
              <w:r w:rsidRPr="001D7812">
                <w:rPr>
                  <w:rFonts w:ascii="Times New Roman" w:eastAsia="Calibri" w:hAnsi="Times New Roman" w:cs="Times New Roman"/>
                  <w:color w:val="0000FF"/>
                  <w:sz w:val="24"/>
                  <w:szCs w:val="24"/>
                  <w:u w:val="single"/>
                  <w:lang w:val="en-US" w:eastAsia="en-US" w:bidi="ar-SA"/>
                </w:rPr>
                <w:t>ctavenor@theOEC.org</w:t>
              </w:r>
            </w:hyperlink>
          </w:p>
          <w:p w:rsidR="002C66D9" w:rsidRPr="001D7812" w:rsidP="008526DB" w14:paraId="4D311FAC"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81" w:history="1">
              <w:r w:rsidRPr="001D7812">
                <w:rPr>
                  <w:rFonts w:ascii="Times New Roman" w:hAnsi="Times New Roman" w:eastAsiaTheme="minorHAnsi" w:cs="Times New Roman"/>
                  <w:color w:val="0000FF"/>
                  <w:sz w:val="24"/>
                  <w:szCs w:val="24"/>
                  <w:u w:val="single"/>
                  <w:lang w:val="en-US" w:eastAsia="en-US" w:bidi="ar-SA"/>
                </w:rPr>
                <w:t>Becky.Merola@calpinesolutions.com</w:t>
              </w:r>
            </w:hyperlink>
          </w:p>
          <w:p w:rsidR="002C66D9" w:rsidRPr="001D7812" w:rsidP="008526DB" w14:paraId="7098D7EF" w14:textId="77777777">
            <w:pPr>
              <w:spacing w:after="0" w:line="240" w:lineRule="auto"/>
              <w:ind w:left="720" w:hanging="720"/>
              <w:rPr>
                <w:rFonts w:ascii="Times New Roman" w:hAnsi="Times New Roman" w:eastAsiaTheme="minorHAnsi" w:cs="Times New Roman"/>
                <w:color w:val="0000FF"/>
                <w:sz w:val="24"/>
                <w:szCs w:val="24"/>
                <w:u w:val="single"/>
                <w:lang w:val="en-US" w:eastAsia="en-US" w:bidi="ar-SA"/>
              </w:rPr>
            </w:pPr>
            <w:hyperlink r:id="rId82" w:history="1">
              <w:r w:rsidRPr="001D7812">
                <w:rPr>
                  <w:rFonts w:ascii="Times New Roman" w:hAnsi="Times New Roman" w:eastAsiaTheme="minorHAnsi" w:cs="Times New Roman"/>
                  <w:color w:val="0000FF"/>
                  <w:sz w:val="24"/>
                  <w:szCs w:val="24"/>
                  <w:u w:val="single"/>
                  <w:lang w:val="en-US" w:eastAsia="en-US" w:bidi="ar-SA"/>
                </w:rPr>
                <w:t>jlaskey@norris-law.com</w:t>
              </w:r>
            </w:hyperlink>
          </w:p>
          <w:p w:rsidR="002C66D9" w:rsidRPr="001D7812" w:rsidP="008526DB" w14:paraId="32A0CC7C"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hyperlink r:id="rId83" w:history="1">
              <w:r w:rsidRPr="001D7812">
                <w:rPr>
                  <w:rFonts w:ascii="Times New Roman" w:eastAsia="Calibri" w:hAnsi="Times New Roman" w:cs="Times New Roman"/>
                  <w:color w:val="0000FF"/>
                  <w:sz w:val="24"/>
                  <w:szCs w:val="24"/>
                  <w:u w:val="single"/>
                  <w:lang w:val="en-US" w:eastAsia="en-US" w:bidi="ar-SA"/>
                </w:rPr>
                <w:t>knordstrom@theOEC.org</w:t>
              </w:r>
            </w:hyperlink>
          </w:p>
          <w:p w:rsidR="002C66D9" w:rsidRPr="001D7812" w:rsidP="008526DB" w14:paraId="5DD170CF"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hyperlink r:id="rId84" w:history="1">
              <w:r w:rsidRPr="001D7812">
                <w:rPr>
                  <w:rFonts w:ascii="Times New Roman" w:eastAsia="Calibri" w:hAnsi="Times New Roman" w:cs="Times New Roman"/>
                  <w:color w:val="0000FF"/>
                  <w:sz w:val="24"/>
                  <w:szCs w:val="24"/>
                  <w:u w:val="single"/>
                  <w:lang w:val="en-US" w:eastAsia="en-US" w:bidi="ar-SA"/>
                </w:rPr>
                <w:t>jlang@calfee.com</w:t>
              </w:r>
            </w:hyperlink>
          </w:p>
          <w:p w:rsidR="002C66D9" w:rsidRPr="001D7812" w:rsidP="008526DB" w14:paraId="46E1A524"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hyperlink r:id="rId85" w:history="1">
              <w:r w:rsidRPr="001D7812">
                <w:rPr>
                  <w:rFonts w:ascii="Times New Roman" w:eastAsia="Calibri" w:hAnsi="Times New Roman" w:cs="Times New Roman"/>
                  <w:color w:val="0000FF"/>
                  <w:sz w:val="24"/>
                  <w:szCs w:val="24"/>
                  <w:u w:val="single"/>
                  <w:lang w:val="en-US" w:eastAsia="en-US" w:bidi="ar-SA"/>
                </w:rPr>
                <w:t>mbarbara@calfee.com</w:t>
              </w:r>
            </w:hyperlink>
          </w:p>
          <w:p w:rsidR="002C66D9" w:rsidRPr="001D7812" w:rsidP="008526DB" w14:paraId="59893E27"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hyperlink r:id="rId86" w:history="1">
              <w:r w:rsidRPr="001D7812">
                <w:rPr>
                  <w:rFonts w:ascii="Times New Roman" w:eastAsia="Calibri" w:hAnsi="Times New Roman" w:cs="Times New Roman"/>
                  <w:color w:val="0000FF"/>
                  <w:sz w:val="24"/>
                  <w:szCs w:val="24"/>
                  <w:u w:val="single"/>
                  <w:lang w:val="en-US" w:eastAsia="en-US" w:bidi="ar-SA"/>
                </w:rPr>
                <w:t>jpetroff@lawforlabor.com</w:t>
              </w:r>
            </w:hyperlink>
          </w:p>
          <w:p w:rsidR="002C66D9" w:rsidRPr="001D7812" w:rsidP="008526DB" w14:paraId="0122437A"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hyperlink r:id="rId87" w:history="1">
              <w:r w:rsidRPr="001D7812">
                <w:rPr>
                  <w:rFonts w:ascii="Times New Roman" w:eastAsia="Calibri" w:hAnsi="Times New Roman" w:cs="Times New Roman"/>
                  <w:color w:val="0000FF"/>
                  <w:sz w:val="24"/>
                  <w:szCs w:val="24"/>
                  <w:u w:val="single"/>
                  <w:lang w:val="en-US" w:eastAsia="en-US" w:bidi="ar-SA"/>
                </w:rPr>
                <w:t>jmcinerney@lawforlabor.com</w:t>
              </w:r>
            </w:hyperlink>
          </w:p>
          <w:p w:rsidR="002C66D9" w:rsidRPr="001D7812" w:rsidP="008526DB" w14:paraId="1A83429D" w14:textId="77777777">
            <w:pPr>
              <w:spacing w:after="0" w:line="240" w:lineRule="auto"/>
              <w:ind w:left="720" w:hanging="720"/>
              <w:rPr>
                <w:rFonts w:ascii="Times New Roman" w:eastAsia="Calibri" w:hAnsi="Times New Roman" w:cs="Times New Roman"/>
                <w:color w:val="0000FF"/>
                <w:sz w:val="24"/>
                <w:szCs w:val="24"/>
                <w:lang w:val="en-US" w:eastAsia="en-US" w:bidi="ar-SA"/>
              </w:rPr>
            </w:pPr>
            <w:hyperlink r:id="rId88" w:history="1">
              <w:r w:rsidRPr="001D7812">
                <w:rPr>
                  <w:rFonts w:ascii="Times New Roman" w:eastAsia="Calibri" w:hAnsi="Times New Roman" w:cs="Times New Roman"/>
                  <w:color w:val="0000FF"/>
                  <w:sz w:val="24"/>
                  <w:szCs w:val="24"/>
                  <w:u w:val="single"/>
                  <w:lang w:val="en-US" w:eastAsia="en-US" w:bidi="ar-SA"/>
                </w:rPr>
                <w:t>junger@spilmanlaw.com</w:t>
              </w:r>
            </w:hyperlink>
          </w:p>
          <w:p w:rsidR="002C66D9" w:rsidRPr="001D7812" w:rsidP="008526DB" w14:paraId="389F49B8"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r w:rsidRPr="001D7812">
              <w:rPr>
                <w:rFonts w:ascii="Times New Roman" w:eastAsia="Calibri" w:hAnsi="Times New Roman" w:cs="Times New Roman"/>
                <w:color w:val="0000FF"/>
                <w:sz w:val="24"/>
                <w:szCs w:val="24"/>
                <w:u w:val="single"/>
                <w:lang w:val="en-US" w:eastAsia="en-US" w:bidi="ar-SA"/>
              </w:rPr>
              <w:t xml:space="preserve">joe.oliker@igs.com </w:t>
            </w:r>
          </w:p>
          <w:p w:rsidR="002C66D9" w:rsidRPr="001D7812" w:rsidP="008526DB" w14:paraId="51DBDE2A"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hyperlink r:id="rId84" w:history="1">
              <w:r w:rsidRPr="001D7812">
                <w:rPr>
                  <w:rFonts w:ascii="Times New Roman" w:eastAsia="Calibri" w:hAnsi="Times New Roman" w:cs="Times New Roman"/>
                  <w:color w:val="0000FF"/>
                  <w:sz w:val="24"/>
                  <w:szCs w:val="24"/>
                  <w:u w:val="single"/>
                  <w:lang w:val="en-US" w:eastAsia="en-US" w:bidi="ar-SA"/>
                </w:rPr>
                <w:t>jlang@calfee.com</w:t>
              </w:r>
            </w:hyperlink>
          </w:p>
          <w:p w:rsidR="002C66D9" w:rsidRPr="001D7812" w:rsidP="008526DB" w14:paraId="7AE6C9F8"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hyperlink r:id="rId85" w:history="1">
              <w:r w:rsidRPr="001D7812">
                <w:rPr>
                  <w:rFonts w:ascii="Times New Roman" w:eastAsia="Calibri" w:hAnsi="Times New Roman" w:cs="Times New Roman"/>
                  <w:color w:val="0000FF"/>
                  <w:sz w:val="24"/>
                  <w:szCs w:val="24"/>
                  <w:u w:val="single"/>
                  <w:lang w:val="en-US" w:eastAsia="en-US" w:bidi="ar-SA"/>
                </w:rPr>
                <w:t>mbarbara@calfee.com</w:t>
              </w:r>
            </w:hyperlink>
          </w:p>
          <w:p w:rsidR="002C66D9" w:rsidRPr="001D7812" w:rsidP="008526DB" w14:paraId="02DF31B3"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hyperlink r:id="rId89" w:history="1">
              <w:r w:rsidRPr="001D7812">
                <w:rPr>
                  <w:rFonts w:ascii="Times New Roman" w:eastAsia="Calibri" w:hAnsi="Times New Roman" w:cs="Times New Roman"/>
                  <w:color w:val="0000FF"/>
                  <w:sz w:val="24"/>
                  <w:szCs w:val="24"/>
                  <w:u w:val="single"/>
                  <w:lang w:val="en-US" w:eastAsia="en-US" w:bidi="ar-SA"/>
                </w:rPr>
                <w:t>tlong@mcneeslaw.com</w:t>
              </w:r>
            </w:hyperlink>
          </w:p>
          <w:p w:rsidR="002C66D9" w:rsidRPr="001D7812" w:rsidP="008526DB" w14:paraId="47824438" w14:textId="77777777">
            <w:pPr>
              <w:spacing w:after="0" w:line="240" w:lineRule="auto"/>
              <w:ind w:left="720" w:hanging="720"/>
              <w:rPr>
                <w:rFonts w:ascii="Times New Roman" w:eastAsia="Calibri" w:hAnsi="Times New Roman" w:cs="Times New Roman"/>
                <w:color w:val="0077CC"/>
                <w:sz w:val="24"/>
                <w:szCs w:val="24"/>
                <w:u w:val="single"/>
                <w:lang w:val="en-US" w:eastAsia="en-US" w:bidi="ar-SA"/>
              </w:rPr>
            </w:pPr>
            <w:hyperlink r:id="rId90" w:history="1">
              <w:r w:rsidRPr="001D7812">
                <w:rPr>
                  <w:rFonts w:ascii="Times New Roman" w:eastAsia="Calibri" w:hAnsi="Times New Roman" w:cs="Times New Roman"/>
                  <w:color w:val="0000FF"/>
                  <w:sz w:val="24"/>
                  <w:szCs w:val="24"/>
                  <w:u w:val="single"/>
                  <w:lang w:val="en-US" w:eastAsia="en-US" w:bidi="ar-SA"/>
                </w:rPr>
                <w:t>rkelter@elpc.org</w:t>
              </w:r>
            </w:hyperlink>
          </w:p>
          <w:p w:rsidR="002C66D9" w:rsidRPr="001D7812" w:rsidP="008526DB" w14:paraId="6B7FE7EB"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r w:rsidRPr="001D7812">
              <w:rPr>
                <w:rFonts w:ascii="Times New Roman" w:eastAsia="Calibri" w:hAnsi="Times New Roman" w:cs="Times New Roman"/>
                <w:color w:val="0000FF"/>
                <w:sz w:val="24"/>
                <w:szCs w:val="24"/>
                <w:u w:val="single"/>
                <w:lang w:val="en-US" w:eastAsia="en-US" w:bidi="ar-SA"/>
              </w:rPr>
              <w:t>nwallace@elpc.org</w:t>
            </w:r>
          </w:p>
          <w:p w:rsidR="002C66D9" w:rsidRPr="001D7812" w:rsidP="008526DB" w14:paraId="24F10F78"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r w:rsidRPr="001D7812">
              <w:rPr>
                <w:rFonts w:ascii="Times New Roman" w:eastAsia="Calibri" w:hAnsi="Times New Roman" w:cs="Times New Roman"/>
                <w:color w:val="0000FF"/>
                <w:sz w:val="24"/>
                <w:szCs w:val="24"/>
                <w:u w:val="single"/>
                <w:lang w:val="en-US" w:eastAsia="en-US" w:bidi="ar-SA"/>
              </w:rPr>
              <w:t>cadieux@carpenterlipps.com</w:t>
            </w:r>
          </w:p>
          <w:p w:rsidR="002C66D9" w:rsidRPr="001D7812" w:rsidP="008526DB" w14:paraId="4EEB340D"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p>
          <w:p w:rsidR="002C66D9" w:rsidRPr="001D7812" w:rsidP="008526DB" w14:paraId="3038BF2D"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p>
          <w:p w:rsidR="002C66D9" w:rsidRPr="001D7812" w:rsidP="008526DB" w14:paraId="0C0ADCC5" w14:textId="77777777">
            <w:pPr>
              <w:spacing w:after="0" w:line="240" w:lineRule="auto"/>
              <w:ind w:left="720" w:hanging="720"/>
              <w:rPr>
                <w:rFonts w:ascii="Times New Roman" w:hAnsi="Times New Roman" w:eastAsiaTheme="minorHAnsi" w:cs="Times New Roman"/>
                <w:color w:val="0000FF"/>
                <w:sz w:val="24"/>
                <w:szCs w:val="24"/>
                <w:u w:val="single"/>
                <w:lang w:val="en-US" w:eastAsia="en-US" w:bidi="ar-SA"/>
              </w:rPr>
            </w:pPr>
          </w:p>
        </w:tc>
      </w:tr>
    </w:tbl>
    <w:p w:rsidR="00D1782F" w:rsidRPr="001D7812" w14:paraId="22C53BFD" w14:textId="0DD89F46">
      <w:pPr>
        <w:spacing w:after="200" w:line="276" w:lineRule="auto"/>
        <w:rPr>
          <w:rFonts w:cs="Times New Roman"/>
          <w:b/>
          <w:szCs w:val="24"/>
        </w:rPr>
      </w:pPr>
    </w:p>
    <w:sectPr w:rsidSect="00D63EEA">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3BFB" w14:paraId="524A407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70973107"/>
      <w:docPartObj>
        <w:docPartGallery w:val="Page Numbers (Bottom of Page)"/>
        <w:docPartUnique/>
      </w:docPartObj>
    </w:sdtPr>
    <w:sdtEndPr>
      <w:rPr>
        <w:noProof/>
      </w:rPr>
    </w:sdtEndPr>
    <w:sdtContent>
      <w:p w:rsidR="009A1B81" w14:paraId="142BF9C4" w14:textId="1B9592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3BFB" w14:paraId="5B02210A"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36253859"/>
      <w:docPartObj>
        <w:docPartGallery w:val="Page Numbers (Bottom of Page)"/>
        <w:docPartUnique/>
      </w:docPartObj>
    </w:sdtPr>
    <w:sdtEndPr>
      <w:rPr>
        <w:noProof/>
      </w:rPr>
    </w:sdtEndPr>
    <w:sdtContent>
      <w:p w:rsidR="009E3892" w14:paraId="562961E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63EEA" w14:paraId="548937AD" w14:textId="77777777">
      <w:r>
        <w:separator/>
      </w:r>
    </w:p>
  </w:footnote>
  <w:footnote w:type="continuationSeparator" w:id="1">
    <w:p w:rsidR="00D63EEA" w14:paraId="6EDE9B48" w14:textId="77777777">
      <w:r>
        <w:continuationSeparator/>
      </w:r>
    </w:p>
  </w:footnote>
  <w:footnote w:id="2">
    <w:p w:rsidR="00AF2137" w:rsidRPr="009A3671" w:rsidP="009A3671" w14:paraId="36B689CD" w14:textId="0EC1780B">
      <w:pPr>
        <w:pStyle w:val="FootnoteText"/>
        <w:spacing w:after="120"/>
        <w:rPr>
          <w:rFonts w:cs="Times New Roman"/>
        </w:rPr>
      </w:pPr>
      <w:r w:rsidRPr="009A3671">
        <w:rPr>
          <w:rStyle w:val="FootnoteReference"/>
          <w:rFonts w:cs="Times New Roman"/>
        </w:rPr>
        <w:footnoteRef/>
      </w:r>
      <w:r w:rsidRPr="009A3671">
        <w:rPr>
          <w:rFonts w:cs="Times New Roman"/>
        </w:rPr>
        <w:t xml:space="preserve"> FirstEnergy Ex. 2, </w:t>
      </w:r>
      <w:r w:rsidRPr="009A3671" w:rsidR="00602720">
        <w:rPr>
          <w:rFonts w:cs="Times New Roman"/>
        </w:rPr>
        <w:t>Direct Testimony of Santino L. Fanelli (</w:t>
      </w:r>
      <w:r w:rsidR="009F1383">
        <w:rPr>
          <w:rFonts w:cs="Times New Roman"/>
        </w:rPr>
        <w:t>“</w:t>
      </w:r>
      <w:r w:rsidRPr="009A3671" w:rsidR="00602720">
        <w:rPr>
          <w:rFonts w:cs="Times New Roman"/>
        </w:rPr>
        <w:t>Fanelli Testimony</w:t>
      </w:r>
      <w:r w:rsidR="009F1383">
        <w:rPr>
          <w:rFonts w:cs="Times New Roman"/>
        </w:rPr>
        <w:t>”</w:t>
      </w:r>
      <w:r w:rsidRPr="009A3671" w:rsidR="00602720">
        <w:rPr>
          <w:rFonts w:cs="Times New Roman"/>
        </w:rPr>
        <w:t>) at SLF-1 (Apr</w:t>
      </w:r>
      <w:r w:rsidRPr="009A3671" w:rsidR="000B02BC">
        <w:rPr>
          <w:rFonts w:cs="Times New Roman"/>
        </w:rPr>
        <w:t>il</w:t>
      </w:r>
      <w:r w:rsidRPr="009A3671" w:rsidR="00602720">
        <w:rPr>
          <w:rFonts w:cs="Times New Roman"/>
        </w:rPr>
        <w:t xml:space="preserve"> 5, 2023).</w:t>
      </w:r>
    </w:p>
  </w:footnote>
  <w:footnote w:id="3">
    <w:p w:rsidR="009045B3" w:rsidRPr="009A3671" w:rsidP="009A3671" w14:paraId="120C491F" w14:textId="77777777">
      <w:pPr>
        <w:shd w:val="clear" w:color="auto" w:fill="FFFFFF"/>
        <w:spacing w:after="120"/>
        <w:rPr>
          <w:rFonts w:cs="Times New Roman"/>
          <w:sz w:val="20"/>
          <w:szCs w:val="20"/>
        </w:rPr>
      </w:pPr>
      <w:r w:rsidRPr="009A3671">
        <w:rPr>
          <w:rStyle w:val="FootnoteReference"/>
          <w:rFonts w:cs="Times New Roman"/>
          <w:sz w:val="20"/>
          <w:szCs w:val="20"/>
        </w:rPr>
        <w:footnoteRef/>
      </w:r>
      <w:r w:rsidRPr="009A3671">
        <w:rPr>
          <w:rFonts w:cs="Times New Roman"/>
          <w:sz w:val="20"/>
          <w:szCs w:val="20"/>
        </w:rPr>
        <w:t xml:space="preserve"> T. </w:t>
      </w:r>
      <w:r w:rsidRPr="009A3671">
        <w:rPr>
          <w:rStyle w:val="HTMLCite"/>
          <w:rFonts w:cs="Times New Roman"/>
          <w:i w:val="0"/>
          <w:iCs w:val="0"/>
          <w:color w:val="202122"/>
          <w:sz w:val="20"/>
          <w:szCs w:val="20"/>
        </w:rPr>
        <w:t xml:space="preserve">Armus, </w:t>
      </w:r>
      <w:hyperlink r:id="rId1" w:history="1">
        <w:r w:rsidRPr="009A3671">
          <w:rPr>
            <w:rFonts w:cs="Times New Roman"/>
            <w:i/>
            <w:iCs/>
            <w:sz w:val="20"/>
            <w:szCs w:val="20"/>
          </w:rPr>
          <w:t>GOP Ohio House speaker arrested in connection to $60 million bribery scheme</w:t>
        </w:r>
      </w:hyperlink>
      <w:r w:rsidRPr="009A3671">
        <w:rPr>
          <w:rFonts w:cs="Times New Roman"/>
          <w:i/>
          <w:iCs/>
          <w:sz w:val="20"/>
          <w:szCs w:val="20"/>
        </w:rPr>
        <w:t>,</w:t>
      </w:r>
      <w:r w:rsidRPr="009A3671">
        <w:rPr>
          <w:rFonts w:cs="Times New Roman"/>
          <w:sz w:val="20"/>
          <w:szCs w:val="20"/>
        </w:rPr>
        <w:t xml:space="preserve"> </w:t>
      </w:r>
      <w:hyperlink r:id="rId2" w:tooltip="The Washington Post" w:history="1">
        <w:r w:rsidRPr="009A3671">
          <w:rPr>
            <w:rFonts w:cs="Times New Roman"/>
            <w:sz w:val="20"/>
            <w:szCs w:val="20"/>
          </w:rPr>
          <w:t>The Washington Post</w:t>
        </w:r>
      </w:hyperlink>
      <w:r w:rsidRPr="009A3671">
        <w:rPr>
          <w:rStyle w:val="reference-accessdate"/>
          <w:rFonts w:cs="Times New Roman"/>
          <w:i/>
          <w:iCs/>
          <w:color w:val="202122"/>
          <w:sz w:val="20"/>
          <w:szCs w:val="20"/>
        </w:rPr>
        <w:t xml:space="preserve"> </w:t>
      </w:r>
      <w:r w:rsidRPr="009A3671">
        <w:rPr>
          <w:rStyle w:val="reference-accessdate"/>
          <w:rFonts w:cs="Times New Roman"/>
          <w:color w:val="202122"/>
          <w:sz w:val="20"/>
          <w:szCs w:val="20"/>
        </w:rPr>
        <w:t>(July 23, 2020).</w:t>
      </w:r>
    </w:p>
  </w:footnote>
  <w:footnote w:id="4">
    <w:p w:rsidR="0098291B" w:rsidRPr="009A3671" w:rsidP="009A3671" w14:paraId="707058DE" w14:textId="77777777">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 xml:space="preserve">United States v. Randazzo, </w:t>
      </w:r>
      <w:r w:rsidRPr="009A3671">
        <w:rPr>
          <w:rFonts w:cs="Times New Roman"/>
        </w:rPr>
        <w:t>Case No. 1:23-cr-114, Indictment (Nov. 29, 2023).</w:t>
      </w:r>
    </w:p>
  </w:footnote>
  <w:footnote w:id="5">
    <w:p w:rsidR="00040678" w:rsidRPr="009A3671" w:rsidP="009A3671" w14:paraId="14FC2409" w14:textId="1D9D70D1">
      <w:pPr>
        <w:pStyle w:val="FootnoteText"/>
        <w:spacing w:after="120"/>
        <w:rPr>
          <w:rFonts w:cs="Times New Roman"/>
        </w:rPr>
      </w:pPr>
      <w:r w:rsidRPr="009A3671">
        <w:rPr>
          <w:rStyle w:val="FootnoteReference"/>
          <w:rFonts w:cs="Times New Roman"/>
        </w:rPr>
        <w:footnoteRef/>
      </w:r>
      <w:r w:rsidRPr="009A3671">
        <w:rPr>
          <w:rFonts w:cs="Times New Roman"/>
        </w:rPr>
        <w:t xml:space="preserve"> D. Anderson, </w:t>
      </w:r>
      <w:r w:rsidRPr="009A3671">
        <w:rPr>
          <w:rFonts w:cs="Times New Roman"/>
          <w:i/>
          <w:iCs/>
        </w:rPr>
        <w:t>Potomac Edison faces Maryland audit after admitting it charged customers for FirstEnergy</w:t>
      </w:r>
      <w:r w:rsidR="009F1383">
        <w:rPr>
          <w:rFonts w:cs="Times New Roman"/>
          <w:i/>
          <w:iCs/>
        </w:rPr>
        <w:t>’</w:t>
      </w:r>
      <w:r w:rsidRPr="009A3671">
        <w:rPr>
          <w:rFonts w:cs="Times New Roman"/>
          <w:i/>
          <w:iCs/>
        </w:rPr>
        <w:t xml:space="preserve">s bribes and lobbying, </w:t>
      </w:r>
      <w:r w:rsidRPr="009A3671">
        <w:rPr>
          <w:rFonts w:cs="Times New Roman"/>
        </w:rPr>
        <w:t xml:space="preserve">Utility Dive (Oct. 26, 2023); K. Kowalski, </w:t>
      </w:r>
      <w:r w:rsidRPr="009A3671">
        <w:rPr>
          <w:rFonts w:cs="Times New Roman"/>
          <w:i/>
          <w:iCs/>
        </w:rPr>
        <w:t xml:space="preserve">How Randazzo spent millions from FirstEnergy, </w:t>
      </w:r>
      <w:r w:rsidRPr="009A3671">
        <w:rPr>
          <w:rFonts w:cs="Times New Roman"/>
        </w:rPr>
        <w:t>Energy News Network (May 17, 2023).</w:t>
      </w:r>
    </w:p>
  </w:footnote>
  <w:footnote w:id="6">
    <w:p w:rsidR="00040678" w:rsidRPr="009A3671" w:rsidP="009A3671" w14:paraId="01B7AFA4" w14:textId="0FFF7844">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In the Matter of the Ohio Edison Company, the Cleveland Electric Illuminating Company, and the Toledo Edison Company</w:t>
      </w:r>
      <w:r w:rsidR="009F1383">
        <w:rPr>
          <w:rFonts w:cs="Times New Roman"/>
          <w:i/>
          <w:iCs/>
        </w:rPr>
        <w:t>’</w:t>
      </w:r>
      <w:r w:rsidRPr="009A3671">
        <w:rPr>
          <w:rFonts w:cs="Times New Roman"/>
          <w:i/>
          <w:iCs/>
        </w:rPr>
        <w:t xml:space="preserve">s Compliance with R.C. 4928.17 and the Ohio Adm. Code Chapter 4901:1-37, </w:t>
      </w:r>
      <w:r w:rsidRPr="009A3671">
        <w:rPr>
          <w:rFonts w:cs="Times New Roman"/>
        </w:rPr>
        <w:t xml:space="preserve">Case No. 17-974-EL-UNC, Entry (Aug. 24, 2023); </w:t>
      </w:r>
      <w:r w:rsidRPr="009A3671">
        <w:rPr>
          <w:rFonts w:cs="Times New Roman"/>
          <w:i/>
          <w:iCs/>
        </w:rPr>
        <w:t>In the Matter of the Review of the Distribution Modernization Rider of Ohio Edison Company, the Cleveland Electric Illuminating Company, and the Toledo Edison Company</w:t>
      </w:r>
      <w:r w:rsidRPr="009A3671">
        <w:rPr>
          <w:rFonts w:cs="Times New Roman"/>
        </w:rPr>
        <w:t xml:space="preserve">, Case No. 17-2474-EL-RDR, Entry (Aug. 24, 2023); </w:t>
      </w:r>
      <w:r w:rsidRPr="009A3671">
        <w:rPr>
          <w:rFonts w:cs="Times New Roman"/>
          <w:i/>
          <w:iCs/>
        </w:rPr>
        <w:t xml:space="preserve">In the Matter of the Review of the Political and Charitable Spending by Ohio Edison Company, the Cleveland Electric Illuminating Company, and the Toledo Edison Company, </w:t>
      </w:r>
      <w:r w:rsidRPr="009A3671">
        <w:rPr>
          <w:rFonts w:cs="Times New Roman"/>
        </w:rPr>
        <w:t xml:space="preserve">Case No. 20-1502-EL-UNC, Entry (Aug. 24, 2023); </w:t>
      </w:r>
      <w:r w:rsidRPr="009A3671">
        <w:rPr>
          <w:rFonts w:cs="Times New Roman"/>
          <w:i/>
          <w:iCs/>
        </w:rPr>
        <w:t>In the Matter of the 2020 Review of the Delivery Capital Recovery Rider of Ohio Edison Company, the Cleveland Electric Illuminating Company, and the Toledo Edison Company</w:t>
      </w:r>
      <w:r w:rsidRPr="009A3671">
        <w:rPr>
          <w:rFonts w:cs="Times New Roman"/>
        </w:rPr>
        <w:t>, Case No. 20-1629-EL-RDR, Entry (Aug. 24, 2023).</w:t>
      </w:r>
    </w:p>
  </w:footnote>
  <w:footnote w:id="7">
    <w:p w:rsidR="00CB14A6" w:rsidRPr="009A3671" w:rsidP="009A3671" w14:paraId="5EFA95D0" w14:textId="550F88F2">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United States of America v. FirstEnergy Corp</w:t>
      </w:r>
      <w:r w:rsidRPr="009A3671">
        <w:rPr>
          <w:rFonts w:cs="Times New Roman"/>
        </w:rPr>
        <w:t>., Case No. 1:21-cr-86, Deferred Prosecution Agreement at 17 (July 20, 2021) (emphasis added).</w:t>
      </w:r>
    </w:p>
  </w:footnote>
  <w:footnote w:id="8">
    <w:p w:rsidR="006406A6" w:rsidRPr="009A3671" w:rsidP="009A3671" w14:paraId="42871BB7" w14:textId="656F0B6D">
      <w:pPr>
        <w:autoSpaceDE w:val="0"/>
        <w:autoSpaceDN w:val="0"/>
        <w:adjustRightInd w:val="0"/>
        <w:spacing w:after="120"/>
        <w:rPr>
          <w:rFonts w:cs="Times New Roman"/>
          <w:i/>
          <w:iCs/>
          <w:sz w:val="20"/>
          <w:szCs w:val="20"/>
        </w:rPr>
      </w:pPr>
      <w:r w:rsidRPr="009A3671">
        <w:rPr>
          <w:rStyle w:val="FootnoteReference"/>
          <w:rFonts w:cs="Times New Roman"/>
          <w:sz w:val="20"/>
          <w:szCs w:val="20"/>
        </w:rPr>
        <w:footnoteRef/>
      </w:r>
      <w:r w:rsidRPr="009A3671">
        <w:rPr>
          <w:rFonts w:cs="Times New Roman"/>
          <w:sz w:val="20"/>
          <w:szCs w:val="20"/>
        </w:rPr>
        <w:t xml:space="preserve"> </w:t>
      </w:r>
      <w:r w:rsidRPr="009A3671">
        <w:rPr>
          <w:rFonts w:cs="Times New Roman"/>
          <w:i/>
          <w:iCs/>
          <w:sz w:val="20"/>
          <w:szCs w:val="20"/>
        </w:rPr>
        <w:t>In the Matter of the Application of Ohio Edison Companies, the Cleveland Electric Illuminating Companies, and the Toledo Edison Companies for Approval of a Market Rate Offer to Conduct a Competitive Bidding Process for Standard Service Offer Electric Generation Supply, Accounting Modifications Associated with Reconciliation Mechanism, and Tariffs for Generation Service</w:t>
      </w:r>
      <w:r w:rsidRPr="009A3671">
        <w:rPr>
          <w:rFonts w:cs="Times New Roman"/>
          <w:sz w:val="20"/>
          <w:szCs w:val="20"/>
        </w:rPr>
        <w:t xml:space="preserve">, Case No. 08-936-EL-SSO, Opinion and Order at 14 (Nov. 25, 2008); </w:t>
      </w:r>
      <w:r w:rsidRPr="009A3671">
        <w:rPr>
          <w:rFonts w:cs="Times New Roman"/>
          <w:i/>
          <w:iCs/>
          <w:sz w:val="20"/>
          <w:szCs w:val="20"/>
        </w:rPr>
        <w:t>see also</w:t>
      </w:r>
      <w:r w:rsidRPr="009A3671">
        <w:rPr>
          <w:rFonts w:cs="Times New Roman"/>
          <w:sz w:val="20"/>
          <w:szCs w:val="20"/>
        </w:rPr>
        <w:t xml:space="preserve"> </w:t>
      </w:r>
      <w:r w:rsidRPr="009A3671">
        <w:rPr>
          <w:rFonts w:cs="Times New Roman"/>
          <w:i/>
          <w:iCs/>
          <w:sz w:val="20"/>
          <w:szCs w:val="20"/>
        </w:rPr>
        <w:t xml:space="preserve">In the Matter of the Application of Ohio Edison Companies, the Cleveland Electric Illuminating Companies, and the Toledo Edison Companies for Authority to Establish a Standard Service offer Pursuant to Section 4928.143, Revised Code in the Form of an Electric Security Plan, </w:t>
      </w:r>
      <w:r w:rsidRPr="009A3671">
        <w:rPr>
          <w:rFonts w:cs="Times New Roman"/>
          <w:sz w:val="20"/>
          <w:szCs w:val="20"/>
        </w:rPr>
        <w:t>Case No. 08-935-EL-SSO, Opinion and Order at 12 (Dec. 19, 2008)</w:t>
      </w:r>
      <w:r w:rsidRPr="009A3671" w:rsidR="00AB47A2">
        <w:rPr>
          <w:rFonts w:cs="Times New Roman"/>
          <w:sz w:val="20"/>
          <w:szCs w:val="20"/>
        </w:rPr>
        <w:t xml:space="preserve"> </w:t>
      </w:r>
      <w:r w:rsidRPr="009A3671">
        <w:rPr>
          <w:rFonts w:cs="Times New Roman"/>
          <w:sz w:val="20"/>
          <w:szCs w:val="20"/>
        </w:rPr>
        <w:t>(finding that in determining whether the ESP meets the requirements of R.C. 4928.143, the Commission takes into consideration the policy provisions of R.C. 4928.02).</w:t>
      </w:r>
    </w:p>
  </w:footnote>
  <w:footnote w:id="9">
    <w:p w:rsidR="002D1375" w:rsidRPr="009A3671" w:rsidP="009A3671" w14:paraId="5FA4EDC7" w14:textId="63E76FD9">
      <w:pPr>
        <w:pStyle w:val="FootnoteText"/>
        <w:spacing w:after="120"/>
        <w:rPr>
          <w:rFonts w:cs="Times New Roman"/>
        </w:rPr>
      </w:pPr>
      <w:r w:rsidRPr="009A3671">
        <w:rPr>
          <w:rStyle w:val="FootnoteReference"/>
          <w:rFonts w:cs="Times New Roman"/>
        </w:rPr>
        <w:footnoteRef/>
      </w:r>
      <w:r w:rsidRPr="009A3671">
        <w:rPr>
          <w:rFonts w:cs="Times New Roman"/>
        </w:rPr>
        <w:t xml:space="preserve"> R.C. 4905.22.</w:t>
      </w:r>
    </w:p>
  </w:footnote>
  <w:footnote w:id="10">
    <w:p w:rsidR="006406A6" w:rsidRPr="009A3671" w:rsidP="009A3671" w14:paraId="543F09A1" w14:textId="4315F5A9">
      <w:pPr>
        <w:autoSpaceDE w:val="0"/>
        <w:autoSpaceDN w:val="0"/>
        <w:adjustRightInd w:val="0"/>
        <w:spacing w:after="120"/>
        <w:rPr>
          <w:rFonts w:cs="Times New Roman"/>
          <w:sz w:val="20"/>
          <w:szCs w:val="20"/>
        </w:rPr>
      </w:pPr>
      <w:r w:rsidRPr="009A3671">
        <w:rPr>
          <w:rStyle w:val="FootnoteReference"/>
          <w:rFonts w:cs="Times New Roman"/>
          <w:sz w:val="20"/>
          <w:szCs w:val="20"/>
        </w:rPr>
        <w:footnoteRef/>
      </w:r>
      <w:r w:rsidRPr="009A3671">
        <w:rPr>
          <w:rFonts w:cs="Times New Roman"/>
          <w:i/>
          <w:iCs/>
          <w:sz w:val="20"/>
          <w:szCs w:val="20"/>
        </w:rPr>
        <w:t xml:space="preserve"> In the Matter of the Application of Columbus Southern Power Company for Approval of an Electric Security Plan; an Amendment to </w:t>
      </w:r>
      <w:r w:rsidR="00EE7F51">
        <w:rPr>
          <w:rFonts w:cs="Times New Roman"/>
          <w:i/>
          <w:iCs/>
          <w:sz w:val="20"/>
          <w:szCs w:val="20"/>
        </w:rPr>
        <w:t>I</w:t>
      </w:r>
      <w:r w:rsidRPr="009A3671">
        <w:rPr>
          <w:rFonts w:cs="Times New Roman"/>
          <w:i/>
          <w:iCs/>
          <w:sz w:val="20"/>
          <w:szCs w:val="20"/>
        </w:rPr>
        <w:t>ts Corporate Separation Plan; and the Sale or Transfer of Certain Generating Assets</w:t>
      </w:r>
      <w:r w:rsidRPr="009A3671">
        <w:rPr>
          <w:rFonts w:cs="Times New Roman"/>
          <w:sz w:val="20"/>
          <w:szCs w:val="20"/>
        </w:rPr>
        <w:t>, Case No. 08-917-EL-SSO, Opinion and Order at 72 (Mar</w:t>
      </w:r>
      <w:r w:rsidRPr="009A3671" w:rsidR="00077591">
        <w:rPr>
          <w:rFonts w:cs="Times New Roman"/>
          <w:sz w:val="20"/>
          <w:szCs w:val="20"/>
        </w:rPr>
        <w:t>ch</w:t>
      </w:r>
      <w:r w:rsidRPr="009A3671">
        <w:rPr>
          <w:rFonts w:cs="Times New Roman"/>
          <w:sz w:val="20"/>
          <w:szCs w:val="20"/>
        </w:rPr>
        <w:t xml:space="preserve"> 18, 2009).</w:t>
      </w:r>
    </w:p>
  </w:footnote>
  <w:footnote w:id="11">
    <w:p w:rsidR="006406A6" w:rsidRPr="009A3671" w:rsidP="009A3671" w14:paraId="116150A4" w14:textId="77777777">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Id</w:t>
      </w:r>
      <w:r w:rsidRPr="009A3671">
        <w:rPr>
          <w:rFonts w:cs="Times New Roman"/>
        </w:rPr>
        <w:t xml:space="preserve">. </w:t>
      </w:r>
    </w:p>
  </w:footnote>
  <w:footnote w:id="12">
    <w:p w:rsidR="0018496E" w:rsidRPr="009A3671" w:rsidP="009A3671" w14:paraId="00BE07E7" w14:textId="71DEB29F">
      <w:pPr>
        <w:pStyle w:val="FootnoteText"/>
        <w:spacing w:after="120"/>
        <w:rPr>
          <w:rFonts w:cs="Times New Roman"/>
        </w:rPr>
      </w:pPr>
      <w:r w:rsidRPr="009A3671">
        <w:rPr>
          <w:rStyle w:val="FootnoteReference"/>
          <w:rFonts w:cs="Times New Roman"/>
        </w:rPr>
        <w:footnoteRef/>
      </w:r>
      <w:r w:rsidRPr="009A3671">
        <w:rPr>
          <w:rFonts w:cs="Times New Roman"/>
        </w:rPr>
        <w:t xml:space="preserve"> R.C. 4905.22.</w:t>
      </w:r>
    </w:p>
  </w:footnote>
  <w:footnote w:id="13">
    <w:p w:rsidR="00D056FB" w:rsidRPr="009A3671" w:rsidP="009A3671" w14:paraId="7FE20B70" w14:textId="0A670E07">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sidR="00657111">
        <w:rPr>
          <w:rFonts w:cs="Times New Roman"/>
        </w:rPr>
        <w:t>FirstEnergy</w:t>
      </w:r>
      <w:r w:rsidR="009F1383">
        <w:rPr>
          <w:rFonts w:cs="Times New Roman"/>
        </w:rPr>
        <w:t>’</w:t>
      </w:r>
      <w:r w:rsidRPr="009A3671" w:rsidR="00657111">
        <w:rPr>
          <w:rFonts w:cs="Times New Roman"/>
        </w:rPr>
        <w:t>s M</w:t>
      </w:r>
      <w:r w:rsidRPr="009A3671" w:rsidR="00872846">
        <w:rPr>
          <w:rFonts w:cs="Times New Roman"/>
        </w:rPr>
        <w:t>emorandum in Opposition to Motion for Limited Stay of Distribution Riders</w:t>
      </w:r>
      <w:r w:rsidRPr="009A3671" w:rsidR="00872846">
        <w:rPr>
          <w:rFonts w:cs="Times New Roman"/>
          <w:i/>
          <w:iCs/>
        </w:rPr>
        <w:t xml:space="preserve"> </w:t>
      </w:r>
      <w:r w:rsidRPr="009A3671" w:rsidR="00872846">
        <w:rPr>
          <w:rFonts w:cs="Times New Roman"/>
        </w:rPr>
        <w:t>(Dec</w:t>
      </w:r>
      <w:r w:rsidRPr="009A3671" w:rsidR="00F878A1">
        <w:rPr>
          <w:rFonts w:cs="Times New Roman"/>
        </w:rPr>
        <w:t>.</w:t>
      </w:r>
      <w:r w:rsidRPr="009A3671" w:rsidR="00872846">
        <w:rPr>
          <w:rFonts w:cs="Times New Roman"/>
        </w:rPr>
        <w:t xml:space="preserve"> 21, 2023).</w:t>
      </w:r>
    </w:p>
  </w:footnote>
  <w:footnote w:id="14">
    <w:p w:rsidR="009D54A5" w:rsidRPr="009A3671" w:rsidP="009A3671" w14:paraId="5DD7A015" w14:textId="29D26640">
      <w:pPr>
        <w:pStyle w:val="FootnoteText"/>
        <w:spacing w:after="120"/>
        <w:rPr>
          <w:rFonts w:cs="Times New Roman"/>
        </w:rPr>
      </w:pPr>
      <w:r w:rsidRPr="009A3671">
        <w:rPr>
          <w:rStyle w:val="FootnoteReference"/>
          <w:rFonts w:cs="Times New Roman"/>
        </w:rPr>
        <w:footnoteRef/>
      </w:r>
      <w:r w:rsidRPr="009A3671">
        <w:rPr>
          <w:rFonts w:cs="Times New Roman"/>
        </w:rPr>
        <w:t xml:space="preserve"> O</w:t>
      </w:r>
      <w:r w:rsidRPr="009A3671" w:rsidR="00527625">
        <w:rPr>
          <w:rFonts w:cs="Times New Roman"/>
        </w:rPr>
        <w:t>EG</w:t>
      </w:r>
      <w:r w:rsidR="009F1383">
        <w:rPr>
          <w:rFonts w:cs="Times New Roman"/>
        </w:rPr>
        <w:t>’</w:t>
      </w:r>
      <w:r w:rsidRPr="009A3671" w:rsidR="00527625">
        <w:rPr>
          <w:rFonts w:cs="Times New Roman"/>
        </w:rPr>
        <w:t>s</w:t>
      </w:r>
      <w:r w:rsidRPr="009A3671">
        <w:rPr>
          <w:rFonts w:cs="Times New Roman"/>
        </w:rPr>
        <w:t xml:space="preserve"> Memorandum Contra Motion for Limited Stay of Distribution Riders (Dec</w:t>
      </w:r>
      <w:r w:rsidRPr="009A3671" w:rsidR="00886C95">
        <w:rPr>
          <w:rFonts w:cs="Times New Roman"/>
        </w:rPr>
        <w:t>.</w:t>
      </w:r>
      <w:r w:rsidRPr="009A3671">
        <w:rPr>
          <w:rFonts w:cs="Times New Roman"/>
        </w:rPr>
        <w:t xml:space="preserve"> 19, 2023).</w:t>
      </w:r>
    </w:p>
  </w:footnote>
  <w:footnote w:id="15">
    <w:p w:rsidR="00AA116A" w:rsidRPr="009A3671" w:rsidP="009A3671" w14:paraId="469CB254" w14:textId="0BE22E04">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sidR="0018769C">
        <w:rPr>
          <w:rFonts w:cs="Times New Roman"/>
        </w:rPr>
        <w:t>FirstEnergy</w:t>
      </w:r>
      <w:r w:rsidR="009F1383">
        <w:rPr>
          <w:rFonts w:cs="Times New Roman"/>
        </w:rPr>
        <w:t>’</w:t>
      </w:r>
      <w:r w:rsidRPr="009A3671" w:rsidR="00FD2DBF">
        <w:rPr>
          <w:rFonts w:cs="Times New Roman"/>
        </w:rPr>
        <w:t>s</w:t>
      </w:r>
      <w:r w:rsidRPr="009A3671" w:rsidR="0018769C">
        <w:rPr>
          <w:rFonts w:cs="Times New Roman"/>
        </w:rPr>
        <w:t xml:space="preserve"> </w:t>
      </w:r>
      <w:r w:rsidRPr="009A3671" w:rsidR="0018769C">
        <w:rPr>
          <w:rFonts w:cs="Times New Roman"/>
          <w:color w:val="232323"/>
        </w:rPr>
        <w:t>Memorandum in Opposition to Motion for Limited Stay of Distribution Riders</w:t>
      </w:r>
      <w:r w:rsidRPr="009A3671" w:rsidR="0018769C">
        <w:rPr>
          <w:rFonts w:cs="Times New Roman"/>
          <w:i/>
          <w:iCs/>
          <w:color w:val="232323"/>
        </w:rPr>
        <w:t xml:space="preserve"> </w:t>
      </w:r>
      <w:r w:rsidRPr="009A3671" w:rsidR="0018769C">
        <w:rPr>
          <w:rFonts w:cs="Times New Roman"/>
          <w:color w:val="232323"/>
        </w:rPr>
        <w:t>(Dec. 2</w:t>
      </w:r>
      <w:r w:rsidRPr="009A3671" w:rsidR="00890D99">
        <w:rPr>
          <w:rFonts w:cs="Times New Roman"/>
          <w:color w:val="232323"/>
        </w:rPr>
        <w:t>1</w:t>
      </w:r>
      <w:r w:rsidRPr="009A3671" w:rsidR="0018769C">
        <w:rPr>
          <w:rFonts w:cs="Times New Roman"/>
          <w:color w:val="232323"/>
        </w:rPr>
        <w:t>, 2023).</w:t>
      </w:r>
    </w:p>
  </w:footnote>
  <w:footnote w:id="16">
    <w:p w:rsidR="0018769C" w:rsidRPr="009A3671" w:rsidP="009A3671" w14:paraId="0A0D8CC4" w14:textId="61B12417">
      <w:pPr>
        <w:pStyle w:val="FootnoteText"/>
        <w:spacing w:after="120"/>
        <w:rPr>
          <w:rFonts w:cs="Times New Roman"/>
        </w:rPr>
      </w:pPr>
      <w:r w:rsidRPr="009A3671">
        <w:rPr>
          <w:rStyle w:val="FootnoteReference"/>
          <w:rFonts w:cs="Times New Roman"/>
        </w:rPr>
        <w:footnoteRef/>
      </w:r>
      <w:r w:rsidRPr="009A3671">
        <w:rPr>
          <w:rFonts w:cs="Times New Roman"/>
        </w:rPr>
        <w:t xml:space="preserve"> Joint Reply to OEG</w:t>
      </w:r>
      <w:r w:rsidR="009F1383">
        <w:rPr>
          <w:rFonts w:cs="Times New Roman"/>
        </w:rPr>
        <w:t>’</w:t>
      </w:r>
      <w:r w:rsidRPr="009A3671" w:rsidR="00287CDB">
        <w:rPr>
          <w:rFonts w:cs="Times New Roman"/>
        </w:rPr>
        <w:t>s</w:t>
      </w:r>
      <w:r w:rsidRPr="009A3671">
        <w:rPr>
          <w:rFonts w:cs="Times New Roman"/>
        </w:rPr>
        <w:t xml:space="preserve"> Memorandum Contra (Dec. 26, 2023); Joint Reply to FirstEnergy</w:t>
      </w:r>
      <w:r w:rsidR="009F1383">
        <w:rPr>
          <w:rFonts w:cs="Times New Roman"/>
        </w:rPr>
        <w:t>’</w:t>
      </w:r>
      <w:r w:rsidRPr="009A3671" w:rsidR="00D77496">
        <w:rPr>
          <w:rFonts w:cs="Times New Roman"/>
        </w:rPr>
        <w:t>s</w:t>
      </w:r>
      <w:r w:rsidRPr="009A3671">
        <w:rPr>
          <w:rFonts w:cs="Times New Roman"/>
        </w:rPr>
        <w:t xml:space="preserve"> Memorandum Contra</w:t>
      </w:r>
      <w:r w:rsidRPr="009A3671">
        <w:rPr>
          <w:rFonts w:cs="Times New Roman"/>
          <w:i/>
          <w:iCs/>
        </w:rPr>
        <w:t xml:space="preserve"> </w:t>
      </w:r>
      <w:r w:rsidRPr="009A3671">
        <w:rPr>
          <w:rFonts w:cs="Times New Roman"/>
        </w:rPr>
        <w:t>(Dec. 28, 2023).</w:t>
      </w:r>
    </w:p>
  </w:footnote>
  <w:footnote w:id="17">
    <w:p w:rsidR="001A6015" w:rsidRPr="009A3671" w:rsidP="009A3671" w14:paraId="164BDA23" w14:textId="1ED82977">
      <w:pPr>
        <w:pStyle w:val="FootnoteText"/>
        <w:spacing w:after="120"/>
        <w:rPr>
          <w:rFonts w:cs="Times New Roman"/>
        </w:rPr>
      </w:pPr>
      <w:r w:rsidRPr="009A3671">
        <w:rPr>
          <w:rStyle w:val="FootnoteReference"/>
          <w:rFonts w:cs="Times New Roman"/>
        </w:rPr>
        <w:footnoteRef/>
      </w:r>
      <w:r w:rsidRPr="009A3671">
        <w:rPr>
          <w:rFonts w:cs="Times New Roman"/>
        </w:rPr>
        <w:t xml:space="preserve"> Motion for Limited Stay of FirstEnergy</w:t>
      </w:r>
      <w:r w:rsidR="009F1383">
        <w:rPr>
          <w:rFonts w:cs="Times New Roman"/>
        </w:rPr>
        <w:t>’</w:t>
      </w:r>
      <w:r w:rsidRPr="009A3671">
        <w:rPr>
          <w:rFonts w:cs="Times New Roman"/>
        </w:rPr>
        <w:t>s Distribution Riders and Memorandum in Support by Northwest Ohio Aggregation Coalition, Ohio Manufacturers</w:t>
      </w:r>
      <w:r w:rsidR="009F1383">
        <w:rPr>
          <w:rFonts w:cs="Times New Roman"/>
        </w:rPr>
        <w:t>’</w:t>
      </w:r>
      <w:r w:rsidRPr="009A3671">
        <w:rPr>
          <w:rFonts w:cs="Times New Roman"/>
        </w:rPr>
        <w:t xml:space="preserve"> Association Energy Group and Office of the Ohio Consumers</w:t>
      </w:r>
      <w:r w:rsidR="009F1383">
        <w:rPr>
          <w:rFonts w:cs="Times New Roman"/>
        </w:rPr>
        <w:t>’</w:t>
      </w:r>
      <w:r w:rsidRPr="009A3671">
        <w:rPr>
          <w:rFonts w:cs="Times New Roman"/>
        </w:rPr>
        <w:t xml:space="preserve"> Counsel, </w:t>
      </w:r>
      <w:r w:rsidRPr="009A3671" w:rsidR="00890DEF">
        <w:rPr>
          <w:rFonts w:cs="Times New Roman"/>
        </w:rPr>
        <w:t>at 3</w:t>
      </w:r>
      <w:r w:rsidRPr="009A3671" w:rsidR="002C7DAA">
        <w:rPr>
          <w:rFonts w:cs="Times New Roman"/>
        </w:rPr>
        <w:t xml:space="preserve"> (Dec</w:t>
      </w:r>
      <w:r w:rsidRPr="009A3671" w:rsidR="000B50E0">
        <w:rPr>
          <w:rFonts w:cs="Times New Roman"/>
        </w:rPr>
        <w:t>.</w:t>
      </w:r>
      <w:r w:rsidRPr="009A3671" w:rsidR="002C7DAA">
        <w:rPr>
          <w:rFonts w:cs="Times New Roman"/>
        </w:rPr>
        <w:t xml:space="preserve"> 6, 2023).</w:t>
      </w:r>
    </w:p>
  </w:footnote>
  <w:footnote w:id="18">
    <w:p w:rsidR="005A122A" w:rsidRPr="009A3671" w:rsidP="009A3671" w14:paraId="62547AC0" w14:textId="0A48AD1E">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4D46B8" w:rsidR="004D46B8">
        <w:rPr>
          <w:rFonts w:cs="Times New Roman"/>
          <w:i/>
          <w:iCs/>
        </w:rPr>
        <w:t>Id</w:t>
      </w:r>
      <w:r w:rsidR="004D46B8">
        <w:rPr>
          <w:rFonts w:cs="Times New Roman"/>
        </w:rPr>
        <w:t>.</w:t>
      </w:r>
      <w:r w:rsidRPr="009A3671">
        <w:rPr>
          <w:rFonts w:cs="Times New Roman"/>
        </w:rPr>
        <w:t xml:space="preserve"> at 3</w:t>
      </w:r>
      <w:r w:rsidRPr="009A3671" w:rsidR="00263B40">
        <w:rPr>
          <w:rFonts w:cs="Times New Roman"/>
        </w:rPr>
        <w:t>-4</w:t>
      </w:r>
      <w:r w:rsidR="004D46B8">
        <w:rPr>
          <w:rFonts w:cs="Times New Roman"/>
        </w:rPr>
        <w:t>.</w:t>
      </w:r>
    </w:p>
  </w:footnote>
  <w:footnote w:id="19">
    <w:p w:rsidR="00AE237C" w:rsidRPr="009A3671" w:rsidP="009A3671" w14:paraId="72B391D7" w14:textId="09CB4AEC">
      <w:pPr>
        <w:pStyle w:val="FootnoteText"/>
        <w:spacing w:after="120"/>
        <w:rPr>
          <w:rFonts w:cs="Times New Roman"/>
        </w:rPr>
      </w:pPr>
      <w:r w:rsidRPr="009A3671">
        <w:rPr>
          <w:rStyle w:val="FootnoteReference"/>
          <w:rFonts w:cs="Times New Roman"/>
        </w:rPr>
        <w:footnoteRef/>
      </w:r>
      <w:r w:rsidRPr="009A3671">
        <w:rPr>
          <w:rFonts w:cs="Times New Roman"/>
        </w:rPr>
        <w:t xml:space="preserve"> Memorandum in Support of Motion for Limited Stay</w:t>
      </w:r>
      <w:r w:rsidRPr="009A3671" w:rsidR="00585D50">
        <w:rPr>
          <w:rFonts w:cs="Times New Roman"/>
        </w:rPr>
        <w:t>, at 2 (Dec</w:t>
      </w:r>
      <w:r w:rsidRPr="009A3671" w:rsidR="00516ADA">
        <w:rPr>
          <w:rFonts w:cs="Times New Roman"/>
        </w:rPr>
        <w:t>.</w:t>
      </w:r>
      <w:r w:rsidRPr="009A3671" w:rsidR="00585D50">
        <w:rPr>
          <w:rFonts w:cs="Times New Roman"/>
        </w:rPr>
        <w:t xml:space="preserve"> 6, 2023).</w:t>
      </w:r>
    </w:p>
  </w:footnote>
  <w:footnote w:id="20">
    <w:p w:rsidR="00226519" w:rsidRPr="009A3671" w:rsidP="009A3671" w14:paraId="626B0425" w14:textId="77777777">
      <w:pPr>
        <w:pStyle w:val="FootnoteText"/>
        <w:spacing w:after="120"/>
        <w:rPr>
          <w:rFonts w:cs="Times New Roman"/>
        </w:rPr>
      </w:pPr>
      <w:r w:rsidRPr="009A3671">
        <w:rPr>
          <w:rStyle w:val="FootnoteReference"/>
          <w:rFonts w:cs="Times New Roman"/>
        </w:rPr>
        <w:footnoteRef/>
      </w:r>
      <w:r w:rsidRPr="009A3671">
        <w:rPr>
          <w:rFonts w:cs="Times New Roman"/>
        </w:rPr>
        <w:t xml:space="preserve"> 767 F.3d 611 (6</w:t>
      </w:r>
      <w:r w:rsidRPr="009A3671">
        <w:rPr>
          <w:rFonts w:cs="Times New Roman"/>
          <w:vertAlign w:val="superscript"/>
        </w:rPr>
        <w:t>th</w:t>
      </w:r>
      <w:r w:rsidRPr="009A3671">
        <w:rPr>
          <w:rFonts w:cs="Times New Roman"/>
        </w:rPr>
        <w:t xml:space="preserve"> Cir. 2014).</w:t>
      </w:r>
    </w:p>
  </w:footnote>
  <w:footnote w:id="21">
    <w:p w:rsidR="00226519" w:rsidRPr="009A3671" w:rsidP="009A3671" w14:paraId="3E8AEEA3" w14:textId="66439E32">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See, e.g., In the Matter of the Ohio Edison Company, the Cleveland Electric Illuminating Company, and the Toledo Edison Company</w:t>
      </w:r>
      <w:r w:rsidR="009F1383">
        <w:rPr>
          <w:rFonts w:cs="Times New Roman"/>
          <w:i/>
          <w:iCs/>
        </w:rPr>
        <w:t>’</w:t>
      </w:r>
      <w:r w:rsidRPr="009A3671">
        <w:rPr>
          <w:rFonts w:cs="Times New Roman"/>
          <w:i/>
          <w:iCs/>
        </w:rPr>
        <w:t>s Compliance with R.C. 4928.17 and the Ohio Adm. Code Chapter 4901:1-37</w:t>
      </w:r>
      <w:r w:rsidRPr="009A3671">
        <w:rPr>
          <w:rFonts w:cs="Times New Roman"/>
        </w:rPr>
        <w:t>, Case No. 17-974-EL-UNC, Entry (Aug. 24, 2022).</w:t>
      </w:r>
      <w:r w:rsidRPr="009A3671" w:rsidR="007477E2">
        <w:rPr>
          <w:rFonts w:cs="Times New Roman"/>
        </w:rPr>
        <w:tab/>
      </w:r>
      <w:r w:rsidRPr="009A3671" w:rsidR="007477E2">
        <w:rPr>
          <w:rFonts w:cs="Times New Roman"/>
        </w:rPr>
        <w:tab/>
      </w:r>
    </w:p>
  </w:footnote>
  <w:footnote w:id="22">
    <w:p w:rsidR="00106324" w:rsidRPr="009A3671" w:rsidP="009A3671" w14:paraId="56E8835B" w14:textId="77777777">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Id.</w:t>
      </w:r>
      <w:r w:rsidRPr="009A3671">
        <w:rPr>
          <w:rFonts w:cs="Times New Roman"/>
        </w:rPr>
        <w:t xml:space="preserve"> at 3.</w:t>
      </w:r>
    </w:p>
  </w:footnote>
  <w:footnote w:id="23">
    <w:p w:rsidR="00106324" w:rsidRPr="009A3671" w:rsidP="009A3671" w14:paraId="31041553" w14:textId="77777777">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Id.</w:t>
      </w:r>
    </w:p>
  </w:footnote>
  <w:footnote w:id="24">
    <w:p w:rsidR="00106324" w:rsidRPr="009A3671" w:rsidP="009A3671" w14:paraId="04B2CDC6" w14:textId="77777777">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Id.</w:t>
      </w:r>
      <w:r w:rsidRPr="009A3671">
        <w:rPr>
          <w:rFonts w:cs="Times New Roman"/>
        </w:rPr>
        <w:t xml:space="preserve"> at 5.</w:t>
      </w:r>
    </w:p>
  </w:footnote>
  <w:footnote w:id="25">
    <w:p w:rsidR="007477E2" w:rsidRPr="009A3671" w:rsidP="009A3671" w14:paraId="4A9C938B" w14:textId="5060F04E">
      <w:pPr>
        <w:pStyle w:val="FootnoteText"/>
        <w:spacing w:after="120"/>
        <w:rPr>
          <w:rFonts w:cs="Times New Roman"/>
        </w:rPr>
      </w:pPr>
      <w:r w:rsidRPr="009A3671">
        <w:rPr>
          <w:rStyle w:val="FootnoteReference"/>
          <w:rFonts w:cs="Times New Roman"/>
        </w:rPr>
        <w:footnoteRef/>
      </w:r>
      <w:r w:rsidRPr="009A3671">
        <w:rPr>
          <w:rFonts w:cs="Times New Roman"/>
        </w:rPr>
        <w:t xml:space="preserve"> Application at 1 (Apr</w:t>
      </w:r>
      <w:r w:rsidRPr="009A3671" w:rsidR="000602C3">
        <w:rPr>
          <w:rFonts w:cs="Times New Roman"/>
        </w:rPr>
        <w:t>il</w:t>
      </w:r>
      <w:r w:rsidRPr="009A3671">
        <w:rPr>
          <w:rFonts w:cs="Times New Roman"/>
        </w:rPr>
        <w:t xml:space="preserve"> 5, 2023).</w:t>
      </w:r>
    </w:p>
  </w:footnote>
  <w:footnote w:id="26">
    <w:p w:rsidR="001A5C51" w:rsidRPr="009A3671" w:rsidP="009A3671" w14:paraId="37702C14" w14:textId="20B64F9D">
      <w:pPr>
        <w:pStyle w:val="FootnoteText"/>
        <w:spacing w:after="120"/>
        <w:rPr>
          <w:rFonts w:cs="Times New Roman"/>
        </w:rPr>
      </w:pPr>
      <w:r w:rsidRPr="009A3671">
        <w:rPr>
          <w:rStyle w:val="FootnoteReference"/>
          <w:rFonts w:cs="Times New Roman"/>
        </w:rPr>
        <w:footnoteRef/>
      </w:r>
      <w:r w:rsidRPr="009A3671">
        <w:rPr>
          <w:rFonts w:cs="Times New Roman"/>
        </w:rPr>
        <w:t xml:space="preserve"> R.C. 4928.143(F).</w:t>
      </w:r>
    </w:p>
  </w:footnote>
  <w:footnote w:id="27">
    <w:p w:rsidR="007477E2" w:rsidRPr="009A3671" w:rsidP="009A3671" w14:paraId="4F5E6466" w14:textId="10ADED7C">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eastAsia="Calibri" w:cs="Times New Roman"/>
          <w:i/>
          <w:iCs/>
          <w14:ligatures w14:val="standardContextual"/>
        </w:rPr>
        <w:t>Bluefield Water Works v. Public Service Comm</w:t>
      </w:r>
      <w:r w:rsidR="009F1383">
        <w:rPr>
          <w:rFonts w:eastAsia="Calibri" w:cs="Times New Roman"/>
          <w:i/>
          <w:iCs/>
          <w14:ligatures w14:val="standardContextual"/>
        </w:rPr>
        <w:t>’</w:t>
      </w:r>
      <w:r w:rsidRPr="009A3671">
        <w:rPr>
          <w:rFonts w:eastAsia="Calibri" w:cs="Times New Roman"/>
          <w:i/>
          <w:iCs/>
          <w14:ligatures w14:val="standardContextual"/>
        </w:rPr>
        <w:t>n</w:t>
      </w:r>
      <w:r w:rsidRPr="009A3671">
        <w:rPr>
          <w:rFonts w:eastAsia="Calibri" w:cs="Times New Roman"/>
          <w14:ligatures w14:val="standardContextual"/>
        </w:rPr>
        <w:t>, 262 U.S. 679 (1923</w:t>
      </w:r>
      <w:r w:rsidRPr="009A3671">
        <w:rPr>
          <w:rFonts w:eastAsia="Calibri" w:cs="Times New Roman"/>
          <w:color w:val="1A1A1A"/>
          <w14:ligatures w14:val="standardContextual"/>
        </w:rPr>
        <w:t>)</w:t>
      </w:r>
      <w:r w:rsidRPr="009A3671">
        <w:rPr>
          <w:rFonts w:eastAsia="Calibri" w:cs="Times New Roman"/>
          <w:color w:val="1A1A1A"/>
        </w:rPr>
        <w:t>.</w:t>
      </w:r>
    </w:p>
  </w:footnote>
  <w:footnote w:id="28">
    <w:p w:rsidR="007477E2" w:rsidRPr="009A3671" w:rsidP="009A3671" w14:paraId="733E77CA" w14:textId="335FF886">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 xml:space="preserve">In the Matter of the Application of Ohio Power Company for Authority to Establish a Standard Service Offer Pursuant to 4928.143, Ohio Rev. Code, in the Form of an Electric Security Plan, </w:t>
      </w:r>
      <w:r w:rsidRPr="009A3671">
        <w:rPr>
          <w:rFonts w:cs="Times New Roman"/>
        </w:rPr>
        <w:t>Case No. 23-23-EL-SSO</w:t>
      </w:r>
      <w:r w:rsidRPr="009A3671" w:rsidR="00E920C7">
        <w:rPr>
          <w:rFonts w:cs="Times New Roman"/>
        </w:rPr>
        <w:t>, et al.</w:t>
      </w:r>
      <w:r w:rsidRPr="009A3671">
        <w:rPr>
          <w:rFonts w:cs="Times New Roman"/>
        </w:rPr>
        <w:t>, Stipulation and Recommendation (Sept. 6, 2023).</w:t>
      </w:r>
    </w:p>
  </w:footnote>
  <w:footnote w:id="29">
    <w:p w:rsidR="007477E2" w:rsidRPr="009A3671" w:rsidP="009A3671" w14:paraId="3E867F50" w14:textId="7C7F6137">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 xml:space="preserve">In the Matter of the Application of </w:t>
      </w:r>
      <w:r w:rsidR="00957DA8">
        <w:rPr>
          <w:rFonts w:cs="Times New Roman"/>
          <w:i/>
          <w:iCs/>
        </w:rPr>
        <w:t>t</w:t>
      </w:r>
      <w:r w:rsidRPr="009A3671">
        <w:rPr>
          <w:rFonts w:cs="Times New Roman"/>
          <w:i/>
          <w:iCs/>
        </w:rPr>
        <w:t>he Dayton Power and Light Company d/b/a AES Ohio for Approval of Its Electric Security Plan</w:t>
      </w:r>
      <w:r w:rsidRPr="009A3671">
        <w:rPr>
          <w:rFonts w:cs="Times New Roman"/>
        </w:rPr>
        <w:t>, Opinion and Order</w:t>
      </w:r>
      <w:r w:rsidR="008B2E32">
        <w:rPr>
          <w:rFonts w:cs="Times New Roman"/>
        </w:rPr>
        <w:t>,</w:t>
      </w:r>
      <w:r w:rsidRPr="009A3671">
        <w:rPr>
          <w:rFonts w:cs="Times New Roman"/>
        </w:rPr>
        <w:t xml:space="preserve"> at 24 (Aug. 9, 2023).</w:t>
      </w:r>
    </w:p>
  </w:footnote>
  <w:footnote w:id="30">
    <w:p w:rsidR="003312EB" w:rsidRPr="009A3671" w:rsidP="009A3671" w14:paraId="14FAAACB" w14:textId="1B183D79">
      <w:pPr>
        <w:pStyle w:val="FootnoteText"/>
        <w:spacing w:after="120"/>
        <w:rPr>
          <w:rFonts w:cs="Times New Roman"/>
        </w:rPr>
      </w:pPr>
      <w:r w:rsidRPr="009A3671">
        <w:rPr>
          <w:rStyle w:val="FootnoteReference"/>
          <w:rFonts w:cs="Times New Roman"/>
        </w:rPr>
        <w:footnoteRef/>
      </w:r>
      <w:r w:rsidRPr="009A3671">
        <w:rPr>
          <w:rFonts w:cs="Times New Roman"/>
        </w:rPr>
        <w:t xml:space="preserve"> OCC Ex. 2, Direct Testimony of James F. Wilson (</w:t>
      </w:r>
      <w:r w:rsidR="009F1383">
        <w:rPr>
          <w:rFonts w:cs="Times New Roman"/>
        </w:rPr>
        <w:t>“</w:t>
      </w:r>
      <w:r w:rsidRPr="009A3671">
        <w:rPr>
          <w:rFonts w:cs="Times New Roman"/>
        </w:rPr>
        <w:t>Wilson Testimony</w:t>
      </w:r>
      <w:r w:rsidR="009F1383">
        <w:rPr>
          <w:rFonts w:cs="Times New Roman"/>
        </w:rPr>
        <w:t>”</w:t>
      </w:r>
      <w:r w:rsidRPr="009A3671">
        <w:rPr>
          <w:rFonts w:cs="Times New Roman"/>
        </w:rPr>
        <w:t xml:space="preserve">) at </w:t>
      </w:r>
      <w:r w:rsidRPr="009A3671" w:rsidR="00B20426">
        <w:rPr>
          <w:rFonts w:cs="Times New Roman"/>
        </w:rPr>
        <w:t>18</w:t>
      </w:r>
      <w:r w:rsidRPr="009A3671" w:rsidR="004D1639">
        <w:rPr>
          <w:rFonts w:cs="Times New Roman"/>
        </w:rPr>
        <w:t>.</w:t>
      </w:r>
    </w:p>
  </w:footnote>
  <w:footnote w:id="31">
    <w:p w:rsidR="003312EB" w:rsidRPr="009A3671" w:rsidP="009A3671" w14:paraId="6F76E1F8" w14:textId="1D564F28">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Id.</w:t>
      </w:r>
      <w:r w:rsidRPr="009A3671" w:rsidR="003751D2">
        <w:rPr>
          <w:rFonts w:cs="Times New Roman"/>
        </w:rPr>
        <w:t xml:space="preserve"> at 13</w:t>
      </w:r>
      <w:r w:rsidRPr="009A3671" w:rsidR="004D1639">
        <w:rPr>
          <w:rFonts w:cs="Times New Roman"/>
        </w:rPr>
        <w:t>.</w:t>
      </w:r>
    </w:p>
  </w:footnote>
  <w:footnote w:id="32">
    <w:p w:rsidR="003312EB" w:rsidRPr="009A3671" w:rsidP="009A3671" w14:paraId="3EC7D816" w14:textId="4FA6F00D">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Id.</w:t>
      </w:r>
      <w:r w:rsidRPr="009A3671">
        <w:rPr>
          <w:rFonts w:cs="Times New Roman"/>
        </w:rPr>
        <w:t xml:space="preserve"> at </w:t>
      </w:r>
      <w:r w:rsidRPr="009A3671" w:rsidR="003751D2">
        <w:rPr>
          <w:rFonts w:cs="Times New Roman"/>
        </w:rPr>
        <w:t>10</w:t>
      </w:r>
      <w:r w:rsidRPr="009A3671" w:rsidR="004D1639">
        <w:rPr>
          <w:rFonts w:cs="Times New Roman"/>
        </w:rPr>
        <w:t>.</w:t>
      </w:r>
    </w:p>
  </w:footnote>
  <w:footnote w:id="33">
    <w:p w:rsidR="003312EB" w:rsidRPr="009A3671" w:rsidP="009A3671" w14:paraId="13B99A8A" w14:textId="58187E75">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Id.</w:t>
      </w:r>
      <w:r w:rsidRPr="009A3671" w:rsidR="00E35690">
        <w:rPr>
          <w:rFonts w:cs="Times New Roman"/>
          <w:i/>
          <w:iCs/>
        </w:rPr>
        <w:t xml:space="preserve"> </w:t>
      </w:r>
      <w:r w:rsidRPr="009A3671" w:rsidR="00E35690">
        <w:rPr>
          <w:rFonts w:cs="Times New Roman"/>
        </w:rPr>
        <w:t>at 11</w:t>
      </w:r>
      <w:r w:rsidRPr="009A3671" w:rsidR="004D1639">
        <w:rPr>
          <w:rFonts w:cs="Times New Roman"/>
        </w:rPr>
        <w:t>.</w:t>
      </w:r>
    </w:p>
  </w:footnote>
  <w:footnote w:id="34">
    <w:p w:rsidR="003312EB" w:rsidRPr="009A3671" w:rsidP="009A3671" w14:paraId="526A4BBE" w14:textId="18747868">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Id</w:t>
      </w:r>
      <w:r w:rsidRPr="009A3671">
        <w:rPr>
          <w:rFonts w:cs="Times New Roman"/>
        </w:rPr>
        <w:t>.</w:t>
      </w:r>
      <w:r w:rsidRPr="009A3671" w:rsidR="00E35690">
        <w:rPr>
          <w:rFonts w:cs="Times New Roman"/>
        </w:rPr>
        <w:t xml:space="preserve"> </w:t>
      </w:r>
    </w:p>
  </w:footnote>
  <w:footnote w:id="35">
    <w:p w:rsidR="003312EB" w:rsidRPr="009A3671" w:rsidP="009A3671" w14:paraId="52E886EC" w14:textId="4CE12E63">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 xml:space="preserve">Id. </w:t>
      </w:r>
      <w:r w:rsidRPr="009A3671">
        <w:rPr>
          <w:rFonts w:cs="Times New Roman"/>
        </w:rPr>
        <w:t xml:space="preserve">at </w:t>
      </w:r>
      <w:r w:rsidRPr="009A3671" w:rsidR="00E35690">
        <w:rPr>
          <w:rFonts w:cs="Times New Roman"/>
        </w:rPr>
        <w:t>12</w:t>
      </w:r>
      <w:r w:rsidRPr="009A3671" w:rsidR="004D1639">
        <w:rPr>
          <w:rFonts w:cs="Times New Roman"/>
        </w:rPr>
        <w:t>.</w:t>
      </w:r>
    </w:p>
  </w:footnote>
  <w:footnote w:id="36">
    <w:p w:rsidR="003312EB" w:rsidRPr="009A3671" w:rsidP="009A3671" w14:paraId="3D8CEFD7" w14:textId="27D9F460">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Id.</w:t>
      </w:r>
      <w:r w:rsidRPr="009A3671" w:rsidR="00E35690">
        <w:rPr>
          <w:rFonts w:cs="Times New Roman"/>
          <w:i/>
          <w:iCs/>
        </w:rPr>
        <w:t xml:space="preserve"> </w:t>
      </w:r>
    </w:p>
  </w:footnote>
  <w:footnote w:id="37">
    <w:p w:rsidR="003312EB" w:rsidRPr="009A3671" w:rsidP="009A3671" w14:paraId="62D9D85B" w14:textId="028611D4">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Id.</w:t>
      </w:r>
      <w:r w:rsidRPr="009A3671" w:rsidR="00E35690">
        <w:rPr>
          <w:rFonts w:cs="Times New Roman"/>
          <w:i/>
          <w:iCs/>
        </w:rPr>
        <w:t xml:space="preserve"> </w:t>
      </w:r>
    </w:p>
  </w:footnote>
  <w:footnote w:id="38">
    <w:p w:rsidR="003312EB" w:rsidRPr="009A3671" w:rsidP="009A3671" w14:paraId="5A4DFF50" w14:textId="14EEF5BA">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Id.</w:t>
      </w:r>
      <w:r w:rsidRPr="009A3671" w:rsidR="00CE2F18">
        <w:rPr>
          <w:rFonts w:cs="Times New Roman"/>
          <w:i/>
          <w:iCs/>
        </w:rPr>
        <w:t xml:space="preserve"> </w:t>
      </w:r>
      <w:r w:rsidRPr="009A3671">
        <w:rPr>
          <w:rFonts w:cs="Times New Roman"/>
        </w:rPr>
        <w:t xml:space="preserve">(citing Massachusetts Public Utilities Commission, Opinion and Order, </w:t>
      </w:r>
      <w:r w:rsidRPr="009A3671">
        <w:rPr>
          <w:rFonts w:cs="Times New Roman"/>
          <w:i/>
          <w:iCs/>
        </w:rPr>
        <w:t>Re Pricing &amp; Procurement of Default Service,</w:t>
      </w:r>
      <w:r w:rsidRPr="009A3671">
        <w:rPr>
          <w:rFonts w:cs="Times New Roman"/>
        </w:rPr>
        <w:t xml:space="preserve"> Docket No. 99-60 (June 30, 2000), at 4).</w:t>
      </w:r>
    </w:p>
  </w:footnote>
  <w:footnote w:id="39">
    <w:p w:rsidR="003312EB" w:rsidRPr="009A3671" w:rsidP="009A3671" w14:paraId="7D487B3F" w14:textId="55BF4BFE">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Id.</w:t>
      </w:r>
      <w:r w:rsidRPr="009A3671" w:rsidR="00116AE0">
        <w:rPr>
          <w:rFonts w:cs="Times New Roman"/>
        </w:rPr>
        <w:t xml:space="preserve"> </w:t>
      </w:r>
      <w:r w:rsidRPr="009A3671">
        <w:rPr>
          <w:rFonts w:cs="Times New Roman"/>
        </w:rPr>
        <w:t xml:space="preserve">(citing New Jersey Board of Public Utilities Decision and Order, </w:t>
      </w:r>
      <w:r w:rsidRPr="009A3671">
        <w:rPr>
          <w:rFonts w:cs="Times New Roman"/>
          <w:i/>
          <w:iCs/>
        </w:rPr>
        <w:t>In the Matter of the Provision of Basic Generation Service Pursuant to the Electric Discount and Energy Competition Act</w:t>
      </w:r>
      <w:r w:rsidRPr="009A3671">
        <w:rPr>
          <w:rFonts w:cs="Times New Roman"/>
        </w:rPr>
        <w:t>, Docket Nos. EX011110754 and EO02070384 (Dec. 11, 2001), at 3).</w:t>
      </w:r>
    </w:p>
  </w:footnote>
  <w:footnote w:id="40">
    <w:p w:rsidR="003312EB" w:rsidRPr="009A3671" w:rsidP="009A3671" w14:paraId="60AD2243" w14:textId="6F14D392">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 xml:space="preserve">Id. </w:t>
      </w:r>
      <w:r w:rsidRPr="009A3671" w:rsidR="00116AE0">
        <w:rPr>
          <w:rFonts w:cs="Times New Roman"/>
        </w:rPr>
        <w:t xml:space="preserve">at 13 </w:t>
      </w:r>
      <w:r w:rsidRPr="009A3671">
        <w:rPr>
          <w:rFonts w:cs="Times New Roman"/>
        </w:rPr>
        <w:t xml:space="preserve">(citing Maryland Public Service Commission Order No. 78400, </w:t>
      </w:r>
      <w:r w:rsidRPr="009A3671">
        <w:rPr>
          <w:rFonts w:cs="Times New Roman"/>
          <w:i/>
          <w:iCs/>
        </w:rPr>
        <w:t>In the Matter of the Commission</w:t>
      </w:r>
      <w:r w:rsidR="009F1383">
        <w:rPr>
          <w:rFonts w:cs="Times New Roman"/>
          <w:i/>
          <w:iCs/>
        </w:rPr>
        <w:t>’</w:t>
      </w:r>
      <w:r w:rsidRPr="009A3671">
        <w:rPr>
          <w:rFonts w:cs="Times New Roman"/>
          <w:i/>
          <w:iCs/>
        </w:rPr>
        <w:t>s Inquiry into the Competitive Selection of Electricity Supplier/Standard Offer Service</w:t>
      </w:r>
      <w:r w:rsidRPr="009A3671">
        <w:rPr>
          <w:rFonts w:cs="Times New Roman"/>
        </w:rPr>
        <w:t>, Case No. 8098 (April 29, 2003), at 3).</w:t>
      </w:r>
    </w:p>
  </w:footnote>
  <w:footnote w:id="41">
    <w:p w:rsidR="003312EB" w:rsidRPr="009A3671" w:rsidP="009A3671" w14:paraId="6D084046" w14:textId="2595F117">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Id.</w:t>
      </w:r>
      <w:r w:rsidRPr="009A3671" w:rsidR="00CE2F18">
        <w:rPr>
          <w:rFonts w:cs="Times New Roman"/>
          <w:i/>
          <w:iCs/>
        </w:rPr>
        <w:t xml:space="preserve"> </w:t>
      </w:r>
      <w:r w:rsidRPr="009A3671">
        <w:rPr>
          <w:rFonts w:cs="Times New Roman"/>
        </w:rPr>
        <w:t xml:space="preserve">(citing Delaware Public Service Commission Order No. 6746, </w:t>
      </w:r>
      <w:r w:rsidRPr="009A3671">
        <w:rPr>
          <w:rFonts w:cs="Times New Roman"/>
          <w:i/>
          <w:iCs/>
        </w:rPr>
        <w:t>In the Matter of the Provision of Standard Offer Supply to Retail Consumers in the Service Territory of Delmarva Power &amp; Light Company after May 1, 2006,</w:t>
      </w:r>
      <w:r w:rsidRPr="009A3671">
        <w:rPr>
          <w:rFonts w:cs="Times New Roman"/>
        </w:rPr>
        <w:t xml:space="preserve"> Docket No. 04-391 (Oct. 11, 2005), at 4).</w:t>
      </w:r>
    </w:p>
  </w:footnote>
  <w:footnote w:id="42">
    <w:p w:rsidR="003312EB" w:rsidRPr="009A3671" w:rsidP="009A3671" w14:paraId="7096B8C2" w14:textId="5F738A65">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Id.</w:t>
      </w:r>
      <w:r w:rsidRPr="009A3671" w:rsidR="00CE2F18">
        <w:rPr>
          <w:rFonts w:cs="Times New Roman"/>
          <w:i/>
          <w:iCs/>
        </w:rPr>
        <w:t xml:space="preserve"> </w:t>
      </w:r>
      <w:r w:rsidRPr="009A3671">
        <w:rPr>
          <w:rFonts w:cs="Times New Roman"/>
        </w:rPr>
        <w:t xml:space="preserve">(citing Illinois Commerce Commission, Order, </w:t>
      </w:r>
      <w:r w:rsidRPr="00540647">
        <w:rPr>
          <w:rFonts w:cs="Times New Roman"/>
          <w:i/>
          <w:iCs/>
        </w:rPr>
        <w:t>Central Illinois Light Company d/b/a AmerenCILCO</w:t>
      </w:r>
      <w:r w:rsidRPr="009A3671">
        <w:rPr>
          <w:rFonts w:cs="Times New Roman"/>
        </w:rPr>
        <w:t xml:space="preserve">, Docket No. 05-1650 (Jan. 24, 2006), at 129). </w:t>
      </w:r>
    </w:p>
  </w:footnote>
  <w:footnote w:id="43">
    <w:p w:rsidR="003312EB" w:rsidRPr="009A3671" w:rsidP="009A3671" w14:paraId="613AEA14" w14:textId="59308AC7">
      <w:pPr>
        <w:spacing w:after="120"/>
        <w:rPr>
          <w:rFonts w:cs="Times New Roman"/>
          <w:sz w:val="20"/>
          <w:szCs w:val="20"/>
        </w:rPr>
      </w:pPr>
      <w:r w:rsidRPr="009A3671">
        <w:rPr>
          <w:rStyle w:val="FootnoteReference"/>
          <w:rFonts w:cs="Times New Roman"/>
          <w:sz w:val="20"/>
          <w:szCs w:val="20"/>
        </w:rPr>
        <w:footnoteRef/>
      </w:r>
      <w:r w:rsidRPr="009A3671">
        <w:rPr>
          <w:rFonts w:cs="Times New Roman"/>
          <w:sz w:val="20"/>
          <w:szCs w:val="20"/>
        </w:rPr>
        <w:t xml:space="preserve"> </w:t>
      </w:r>
      <w:r w:rsidRPr="009A3671">
        <w:rPr>
          <w:rFonts w:cs="Times New Roman"/>
          <w:i/>
          <w:iCs/>
          <w:sz w:val="20"/>
          <w:szCs w:val="20"/>
        </w:rPr>
        <w:t>Id.</w:t>
      </w:r>
      <w:r w:rsidRPr="009A3671" w:rsidR="00116AE0">
        <w:rPr>
          <w:rFonts w:cs="Times New Roman"/>
          <w:sz w:val="20"/>
          <w:szCs w:val="20"/>
        </w:rPr>
        <w:t xml:space="preserve"> </w:t>
      </w:r>
      <w:r w:rsidRPr="009A3671">
        <w:rPr>
          <w:rFonts w:cs="Times New Roman"/>
          <w:sz w:val="20"/>
          <w:szCs w:val="20"/>
        </w:rPr>
        <w:t>(citing Pennsylvania Public Utility Commission Final Policy Statement, Default Service and Retail Electric Markets, Docket No. M-00072009 (May 10, 2007), at 6).</w:t>
      </w:r>
    </w:p>
  </w:footnote>
  <w:footnote w:id="44">
    <w:p w:rsidR="003312EB" w:rsidRPr="009A3671" w:rsidP="009A3671" w14:paraId="2C32E7FE" w14:textId="57FFCDF3">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 xml:space="preserve">Id. </w:t>
      </w:r>
      <w:r w:rsidRPr="009A3671">
        <w:rPr>
          <w:rFonts w:cs="Times New Roman"/>
        </w:rPr>
        <w:t xml:space="preserve">at </w:t>
      </w:r>
      <w:r w:rsidRPr="009A3671" w:rsidR="00C62E3E">
        <w:rPr>
          <w:rFonts w:cs="Times New Roman"/>
        </w:rPr>
        <w:t>14</w:t>
      </w:r>
      <w:r w:rsidRPr="009A3671" w:rsidR="004D1639">
        <w:rPr>
          <w:rFonts w:cs="Times New Roman"/>
        </w:rPr>
        <w:t>.</w:t>
      </w:r>
    </w:p>
  </w:footnote>
  <w:footnote w:id="45">
    <w:p w:rsidR="003312EB" w:rsidRPr="009A3671" w:rsidP="009A3671" w14:paraId="37FAD63D" w14:textId="4D3D2D9E">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Id</w:t>
      </w:r>
      <w:r w:rsidRPr="009A3671">
        <w:rPr>
          <w:rFonts w:cs="Times New Roman"/>
        </w:rPr>
        <w:t>.</w:t>
      </w:r>
      <w:r w:rsidRPr="009A3671" w:rsidR="00C62E3E">
        <w:rPr>
          <w:rFonts w:cs="Times New Roman"/>
        </w:rPr>
        <w:t xml:space="preserve"> </w:t>
      </w:r>
    </w:p>
  </w:footnote>
  <w:footnote w:id="46">
    <w:p w:rsidR="008B0C3E" w:rsidRPr="009A3671" w:rsidP="009A3671" w14:paraId="6EA73B76" w14:textId="26D31840">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 xml:space="preserve">Id. </w:t>
      </w:r>
      <w:r w:rsidRPr="009A3671">
        <w:rPr>
          <w:rFonts w:cs="Times New Roman"/>
        </w:rPr>
        <w:t>at 4</w:t>
      </w:r>
      <w:r w:rsidRPr="009A3671" w:rsidR="004D1639">
        <w:rPr>
          <w:rFonts w:cs="Times New Roman"/>
        </w:rPr>
        <w:t>.</w:t>
      </w:r>
    </w:p>
  </w:footnote>
  <w:footnote w:id="47">
    <w:p w:rsidR="008B0C3E" w:rsidRPr="009A3671" w:rsidP="009A3671" w14:paraId="4A03C8A1" w14:textId="51FB47B0">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 xml:space="preserve">Id. </w:t>
      </w:r>
    </w:p>
  </w:footnote>
  <w:footnote w:id="48">
    <w:p w:rsidR="008B0C3E" w:rsidRPr="009A3671" w:rsidP="009A3671" w14:paraId="14CE46F4" w14:textId="18AF038C">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 xml:space="preserve">Id. </w:t>
      </w:r>
    </w:p>
  </w:footnote>
  <w:footnote w:id="49">
    <w:p w:rsidR="00373B48" w:rsidRPr="009A3671" w:rsidP="009A3671" w14:paraId="28DCF09B" w14:textId="2FB47EDC">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 xml:space="preserve">Id. </w:t>
      </w:r>
      <w:r w:rsidRPr="009A3671">
        <w:rPr>
          <w:rFonts w:cs="Times New Roman"/>
        </w:rPr>
        <w:t>at 5</w:t>
      </w:r>
      <w:r w:rsidRPr="009A3671" w:rsidR="004D1639">
        <w:rPr>
          <w:rFonts w:cs="Times New Roman"/>
        </w:rPr>
        <w:t>.</w:t>
      </w:r>
    </w:p>
  </w:footnote>
  <w:footnote w:id="50">
    <w:p w:rsidR="006E5019" w:rsidRPr="009A3671" w:rsidP="009A3671" w14:paraId="45FFED10" w14:textId="279C0C08">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In the Matter of the Proposed Modifications to the Electric Distribution Utilities</w:t>
      </w:r>
      <w:r w:rsidR="009F1383">
        <w:rPr>
          <w:rFonts w:cs="Times New Roman"/>
          <w:i/>
          <w:iCs/>
        </w:rPr>
        <w:t>’</w:t>
      </w:r>
      <w:r w:rsidRPr="009A3671">
        <w:rPr>
          <w:rFonts w:cs="Times New Roman"/>
          <w:i/>
          <w:iCs/>
        </w:rPr>
        <w:t xml:space="preserve"> Standard Service Offer Procurement Auctions, </w:t>
      </w:r>
      <w:r w:rsidRPr="009A3671">
        <w:rPr>
          <w:rFonts w:cs="Times New Roman"/>
        </w:rPr>
        <w:t>Case No. 23-781-EL-UNC, Finding and Order (Dec. 13, 2023).</w:t>
      </w:r>
    </w:p>
  </w:footnote>
  <w:footnote w:id="51">
    <w:p w:rsidR="008951B4" w:rsidRPr="009A3671" w:rsidP="009A3671" w14:paraId="1B8EE111" w14:textId="063BE21D">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sidR="00511EEE">
        <w:rPr>
          <w:rFonts w:cs="Times New Roman"/>
        </w:rPr>
        <w:t>OCC Ex. 5, Direct Testimony of Joseph P. Buckley (</w:t>
      </w:r>
      <w:r w:rsidR="009F1383">
        <w:rPr>
          <w:rFonts w:cs="Times New Roman"/>
        </w:rPr>
        <w:t>“</w:t>
      </w:r>
      <w:r w:rsidRPr="009A3671">
        <w:rPr>
          <w:rFonts w:cs="Times New Roman"/>
        </w:rPr>
        <w:t>Buckley Testimony</w:t>
      </w:r>
      <w:r w:rsidR="009F1383">
        <w:rPr>
          <w:rFonts w:cs="Times New Roman"/>
        </w:rPr>
        <w:t>”</w:t>
      </w:r>
      <w:r w:rsidRPr="009A3671" w:rsidR="00511EEE">
        <w:rPr>
          <w:rFonts w:cs="Times New Roman"/>
        </w:rPr>
        <w:t>)</w:t>
      </w:r>
      <w:r w:rsidRPr="009A3671">
        <w:rPr>
          <w:rFonts w:cs="Times New Roman"/>
        </w:rPr>
        <w:t xml:space="preserve"> at 3:6-9</w:t>
      </w:r>
      <w:r w:rsidRPr="009A3671" w:rsidR="00511EEE">
        <w:rPr>
          <w:rFonts w:cs="Times New Roman"/>
        </w:rPr>
        <w:t xml:space="preserve"> (Oct. 23, 2023).</w:t>
      </w:r>
    </w:p>
  </w:footnote>
  <w:footnote w:id="52">
    <w:p w:rsidR="008E48EA" w:rsidRPr="009A3671" w:rsidP="009A3671" w14:paraId="1E354CA4" w14:textId="42E42242">
      <w:pPr>
        <w:pStyle w:val="FootnoteText"/>
        <w:spacing w:after="120"/>
        <w:rPr>
          <w:rFonts w:cs="Times New Roman"/>
        </w:rPr>
      </w:pPr>
      <w:r w:rsidRPr="009A3671">
        <w:rPr>
          <w:rStyle w:val="FootnoteReference"/>
          <w:rFonts w:cs="Times New Roman"/>
        </w:rPr>
        <w:footnoteRef/>
      </w:r>
      <w:r w:rsidRPr="009A3671">
        <w:rPr>
          <w:rFonts w:cs="Times New Roman"/>
        </w:rPr>
        <w:t xml:space="preserve"> McMillen Testimony at </w:t>
      </w:r>
      <w:r w:rsidRPr="009A3671" w:rsidR="004D1639">
        <w:rPr>
          <w:rFonts w:cs="Times New Roman"/>
        </w:rPr>
        <w:t>3</w:t>
      </w:r>
      <w:r w:rsidRPr="009A3671">
        <w:rPr>
          <w:rFonts w:cs="Times New Roman"/>
        </w:rPr>
        <w:t>; Buckley Testimony at 4.</w:t>
      </w:r>
    </w:p>
  </w:footnote>
  <w:footnote w:id="53">
    <w:p w:rsidR="008E48EA" w:rsidRPr="009A3671" w:rsidP="009A3671" w14:paraId="691268C6" w14:textId="4E8C50AA">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sidR="00257038">
        <w:rPr>
          <w:rFonts w:cs="Times New Roman"/>
          <w:i/>
          <w:iCs/>
        </w:rPr>
        <w:t xml:space="preserve">In the Matter of the Application of Ohio Edison Company, </w:t>
      </w:r>
      <w:r w:rsidRPr="009A3671" w:rsidR="005D6709">
        <w:rPr>
          <w:rFonts w:cs="Times New Roman"/>
          <w:i/>
          <w:iCs/>
        </w:rPr>
        <w:t>t</w:t>
      </w:r>
      <w:r w:rsidRPr="009A3671" w:rsidR="00257038">
        <w:rPr>
          <w:rFonts w:cs="Times New Roman"/>
          <w:i/>
          <w:iCs/>
        </w:rPr>
        <w:t xml:space="preserve">he Cleveland Electric Illuminating Company and </w:t>
      </w:r>
      <w:r w:rsidRPr="009A3671" w:rsidR="005D6709">
        <w:rPr>
          <w:rFonts w:cs="Times New Roman"/>
          <w:i/>
          <w:iCs/>
        </w:rPr>
        <w:t>t</w:t>
      </w:r>
      <w:r w:rsidRPr="009A3671" w:rsidR="00257038">
        <w:rPr>
          <w:rFonts w:cs="Times New Roman"/>
          <w:i/>
          <w:iCs/>
        </w:rPr>
        <w:t xml:space="preserve">he Toledo Edison Company for Authority to Increase Rates for Distribution Service, Modify Certain Accounting Practices and for Tariff Approvals, </w:t>
      </w:r>
      <w:r w:rsidRPr="009A3671" w:rsidR="00257038">
        <w:rPr>
          <w:rFonts w:cs="Times New Roman"/>
        </w:rPr>
        <w:t>Case No. 07-551-EL-AIR, Opinion and Order at 20-23 (Jan. 21, 2009).</w:t>
      </w:r>
    </w:p>
  </w:footnote>
  <w:footnote w:id="54">
    <w:p w:rsidR="001F214D" w:rsidRPr="009A3671" w:rsidP="009A3671" w14:paraId="08A68EFA" w14:textId="0C4BF8D2">
      <w:pPr>
        <w:pStyle w:val="FootnoteText"/>
        <w:spacing w:after="120"/>
        <w:rPr>
          <w:rFonts w:cs="Times New Roman"/>
        </w:rPr>
      </w:pPr>
      <w:r w:rsidRPr="009A3671">
        <w:rPr>
          <w:rStyle w:val="FootnoteReference"/>
          <w:rFonts w:cs="Times New Roman"/>
        </w:rPr>
        <w:footnoteRef/>
      </w:r>
      <w:r w:rsidRPr="009A3671">
        <w:rPr>
          <w:rFonts w:cs="Times New Roman"/>
        </w:rPr>
        <w:t xml:space="preserve"> McMillen Testimony at 3; Buckley Testimony at 4.</w:t>
      </w:r>
    </w:p>
  </w:footnote>
  <w:footnote w:id="55">
    <w:p w:rsidR="00D343BE" w:rsidRPr="009A3671" w:rsidP="009A3671" w14:paraId="092A49EE" w14:textId="6CAF9605">
      <w:pPr>
        <w:pStyle w:val="FootnoteText"/>
        <w:spacing w:after="120"/>
        <w:rPr>
          <w:rFonts w:cs="Times New Roman"/>
        </w:rPr>
      </w:pPr>
      <w:r w:rsidRPr="009A3671">
        <w:rPr>
          <w:rStyle w:val="FootnoteReference"/>
          <w:rFonts w:cs="Times New Roman"/>
        </w:rPr>
        <w:footnoteRef/>
      </w:r>
      <w:r w:rsidRPr="009A3671">
        <w:rPr>
          <w:rFonts w:cs="Times New Roman"/>
        </w:rPr>
        <w:t xml:space="preserve"> Buckley Testimony at 5.</w:t>
      </w:r>
    </w:p>
  </w:footnote>
  <w:footnote w:id="56">
    <w:p w:rsidR="00D343BE" w:rsidRPr="009A3671" w:rsidP="009A3671" w14:paraId="3662DBBF" w14:textId="745BCE73">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Id</w:t>
      </w:r>
      <w:r w:rsidRPr="009A3671">
        <w:rPr>
          <w:rFonts w:cs="Times New Roman"/>
        </w:rPr>
        <w:t xml:space="preserve">. </w:t>
      </w:r>
    </w:p>
  </w:footnote>
  <w:footnote w:id="57">
    <w:p w:rsidR="00D343BE" w:rsidRPr="009A3671" w:rsidP="009A3671" w14:paraId="0994EF47" w14:textId="5F67F1D8">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Id.</w:t>
      </w:r>
      <w:r w:rsidRPr="009A3671" w:rsidR="004D1639">
        <w:rPr>
          <w:rFonts w:cs="Times New Roman"/>
          <w:i/>
          <w:iCs/>
        </w:rPr>
        <w:t xml:space="preserve"> </w:t>
      </w:r>
      <w:r w:rsidRPr="009A3671" w:rsidR="005B21F9">
        <w:rPr>
          <w:rFonts w:cs="Times New Roman"/>
        </w:rPr>
        <w:t>(emphasis added)</w:t>
      </w:r>
      <w:r w:rsidRPr="009A3671" w:rsidR="00181C78">
        <w:rPr>
          <w:rFonts w:cs="Times New Roman"/>
        </w:rPr>
        <w:t>.</w:t>
      </w:r>
    </w:p>
  </w:footnote>
  <w:footnote w:id="58">
    <w:p w:rsidR="00D343BE" w:rsidRPr="009A3671" w:rsidP="009A3671" w14:paraId="31AC35CF" w14:textId="77777777">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 xml:space="preserve">See, e.g., </w:t>
      </w:r>
      <w:r w:rsidRPr="009A3671">
        <w:rPr>
          <w:rFonts w:cs="Times New Roman"/>
          <w:i/>
          <w:iCs/>
          <w:color w:val="1A1A1A"/>
        </w:rPr>
        <w:t>FPC v. Hope Natural Gas Co</w:t>
      </w:r>
      <w:r w:rsidRPr="009A3671">
        <w:rPr>
          <w:rFonts w:cs="Times New Roman"/>
          <w:color w:val="1A1A1A"/>
        </w:rPr>
        <w:t>., 320 U.S. 591, 603 (1944).</w:t>
      </w:r>
    </w:p>
  </w:footnote>
  <w:footnote w:id="59">
    <w:p w:rsidR="00D343BE" w:rsidRPr="009A3671" w:rsidP="009A3671" w14:paraId="369916D3" w14:textId="1CF40E64">
      <w:pPr>
        <w:pStyle w:val="FootnoteText"/>
        <w:spacing w:after="120"/>
        <w:rPr>
          <w:rFonts w:cs="Times New Roman"/>
        </w:rPr>
      </w:pPr>
      <w:r w:rsidRPr="009A3671">
        <w:rPr>
          <w:rStyle w:val="FootnoteReference"/>
          <w:rFonts w:cs="Times New Roman"/>
        </w:rPr>
        <w:footnoteRef/>
      </w:r>
      <w:r w:rsidRPr="009A3671">
        <w:rPr>
          <w:rFonts w:cs="Times New Roman"/>
        </w:rPr>
        <w:t xml:space="preserve"> Buckley Testimony at </w:t>
      </w:r>
      <w:r w:rsidRPr="009A3671" w:rsidR="006E6E2B">
        <w:rPr>
          <w:rFonts w:cs="Times New Roman"/>
        </w:rPr>
        <w:t>7</w:t>
      </w:r>
      <w:r w:rsidRPr="009A3671" w:rsidR="004D1639">
        <w:rPr>
          <w:rFonts w:cs="Times New Roman"/>
        </w:rPr>
        <w:t>.</w:t>
      </w:r>
    </w:p>
  </w:footnote>
  <w:footnote w:id="60">
    <w:p w:rsidR="006E6E2B" w:rsidRPr="009A3671" w:rsidP="009A3671" w14:paraId="0881B295" w14:textId="1F7A79AF">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 xml:space="preserve">Id. </w:t>
      </w:r>
    </w:p>
  </w:footnote>
  <w:footnote w:id="61">
    <w:p w:rsidR="00BA68D3" w:rsidRPr="009A3671" w:rsidP="009A3671" w14:paraId="3CA0588C" w14:textId="135BACB6">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 xml:space="preserve">Id. </w:t>
      </w:r>
      <w:r w:rsidRPr="009A3671">
        <w:rPr>
          <w:rFonts w:cs="Times New Roman"/>
        </w:rPr>
        <w:t>at 8</w:t>
      </w:r>
      <w:r w:rsidRPr="009A3671" w:rsidR="004D1639">
        <w:rPr>
          <w:rFonts w:cs="Times New Roman"/>
        </w:rPr>
        <w:t>.</w:t>
      </w:r>
    </w:p>
  </w:footnote>
  <w:footnote w:id="62">
    <w:p w:rsidR="00605915" w:rsidRPr="009A3671" w:rsidP="009A3671" w14:paraId="6A1A1D16" w14:textId="1256B675">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 xml:space="preserve">Id. </w:t>
      </w:r>
    </w:p>
  </w:footnote>
  <w:footnote w:id="63">
    <w:p w:rsidR="00E93729" w:rsidRPr="009A3671" w:rsidP="009A3671" w14:paraId="6E89BEB5" w14:textId="7582DF23">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Id.</w:t>
      </w:r>
    </w:p>
  </w:footnote>
  <w:footnote w:id="64">
    <w:p w:rsidR="007403F0" w:rsidRPr="009A3671" w:rsidP="009A3671" w14:paraId="2E9A5F9A" w14:textId="33C5D66D">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 xml:space="preserve">Id. </w:t>
      </w:r>
      <w:r w:rsidRPr="009A3671">
        <w:rPr>
          <w:rFonts w:cs="Times New Roman"/>
        </w:rPr>
        <w:t>at 9</w:t>
      </w:r>
      <w:r w:rsidRPr="009A3671" w:rsidR="004D1639">
        <w:rPr>
          <w:rFonts w:cs="Times New Roman"/>
        </w:rPr>
        <w:t>.</w:t>
      </w:r>
    </w:p>
  </w:footnote>
  <w:footnote w:id="65">
    <w:p w:rsidR="007403F0" w:rsidRPr="009A3671" w:rsidP="009A3671" w14:paraId="5C1288DA" w14:textId="30DDE4AE">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 xml:space="preserve">Id. </w:t>
      </w:r>
    </w:p>
  </w:footnote>
  <w:footnote w:id="66">
    <w:p w:rsidR="00D343BE" w:rsidRPr="009A3671" w:rsidP="009A3671" w14:paraId="2BAED71E" w14:textId="5CF454E7">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Id</w:t>
      </w:r>
      <w:r w:rsidRPr="009A3671">
        <w:rPr>
          <w:rFonts w:cs="Times New Roman"/>
        </w:rPr>
        <w:t>. at 11 (</w:t>
      </w:r>
      <w:r w:rsidR="009F1383">
        <w:rPr>
          <w:rFonts w:cs="Times New Roman"/>
        </w:rPr>
        <w:t>“</w:t>
      </w:r>
      <w:r w:rsidRPr="009A3671">
        <w:rPr>
          <w:rFonts w:cs="Times New Roman"/>
        </w:rPr>
        <w:t>the most recent information available from S&amp;P [was used] to update the capital structure and long-term debt cost. If the cost of equity is updated, then the entire rate of return should be updated as well</w:t>
      </w:r>
      <w:r w:rsidR="009F1383">
        <w:rPr>
          <w:rFonts w:cs="Times New Roman"/>
        </w:rPr>
        <w:t>”</w:t>
      </w:r>
      <w:r w:rsidRPr="009A3671">
        <w:rPr>
          <w:rFonts w:cs="Times New Roman"/>
        </w:rPr>
        <w:t>)</w:t>
      </w:r>
      <w:r w:rsidR="005022BB">
        <w:rPr>
          <w:rFonts w:cs="Times New Roman"/>
        </w:rPr>
        <w:t>.</w:t>
      </w:r>
    </w:p>
  </w:footnote>
  <w:footnote w:id="67">
    <w:p w:rsidR="00514D11" w:rsidRPr="009A3671" w:rsidP="009A3671" w14:paraId="1644D833" w14:textId="47CAAA27">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sidR="00327302">
        <w:rPr>
          <w:rFonts w:cs="Times New Roman"/>
        </w:rPr>
        <w:t>McMillen Testimony at 3; Buckley Testimony at 4.</w:t>
      </w:r>
    </w:p>
  </w:footnote>
  <w:footnote w:id="68">
    <w:p w:rsidR="00327302" w:rsidRPr="009A3671" w:rsidP="009A3671" w14:paraId="0A539A96" w14:textId="408AA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Courier New" w:cs="Times New Roman"/>
          <w:sz w:val="20"/>
          <w:szCs w:val="20"/>
        </w:rPr>
      </w:pPr>
      <w:r w:rsidRPr="009A3671">
        <w:rPr>
          <w:rStyle w:val="FootnoteReference"/>
          <w:rFonts w:cs="Times New Roman"/>
          <w:sz w:val="20"/>
          <w:szCs w:val="20"/>
        </w:rPr>
        <w:footnoteRef/>
      </w:r>
      <w:r w:rsidRPr="009A3671">
        <w:rPr>
          <w:rFonts w:cs="Times New Roman"/>
          <w:sz w:val="20"/>
          <w:szCs w:val="20"/>
        </w:rPr>
        <w:t xml:space="preserve"> </w:t>
      </w:r>
      <w:r w:rsidRPr="009A3671">
        <w:rPr>
          <w:rFonts w:eastAsia="Courier New" w:cs="Times New Roman"/>
          <w:i/>
          <w:iCs/>
          <w:sz w:val="20"/>
          <w:szCs w:val="20"/>
        </w:rPr>
        <w:t xml:space="preserve">In the Matter of the Application of Ohio Power Company for Authority to Establish a Standard Service Offer Pursuant to R.C. 4928.143 in the Form of an Electric Security Plan, </w:t>
      </w:r>
      <w:r w:rsidRPr="009A3671">
        <w:rPr>
          <w:rFonts w:eastAsia="Courier New" w:cs="Times New Roman"/>
          <w:sz w:val="20"/>
          <w:szCs w:val="20"/>
        </w:rPr>
        <w:t>Case No. 23-23-EL-SSO</w:t>
      </w:r>
      <w:r w:rsidRPr="009A3671" w:rsidR="00BD39D6">
        <w:rPr>
          <w:rFonts w:eastAsia="Courier New" w:cs="Times New Roman"/>
          <w:sz w:val="20"/>
          <w:szCs w:val="20"/>
        </w:rPr>
        <w:t>, et al.</w:t>
      </w:r>
      <w:r w:rsidRPr="009A3671">
        <w:rPr>
          <w:rFonts w:eastAsia="Courier New" w:cs="Times New Roman"/>
          <w:sz w:val="20"/>
          <w:szCs w:val="20"/>
        </w:rPr>
        <w:t>, Joint Stipulation and Recommendation at 11 (Sept. 6, 2023).</w:t>
      </w:r>
    </w:p>
  </w:footnote>
  <w:footnote w:id="69">
    <w:p w:rsidR="00327302" w:rsidRPr="009A3671" w:rsidP="009A3671" w14:paraId="4ABAF17C" w14:textId="1E0FEF8F">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sidR="00F871FB">
        <w:rPr>
          <w:rFonts w:cs="Times New Roman"/>
          <w:i/>
          <w:iCs/>
        </w:rPr>
        <w:t xml:space="preserve">Id., </w:t>
      </w:r>
      <w:r w:rsidRPr="009A3671" w:rsidR="00F34DEF">
        <w:rPr>
          <w:rFonts w:eastAsia="Times New Roman" w:cs="Times New Roman"/>
        </w:rPr>
        <w:t>Buckley Testimony at 3</w:t>
      </w:r>
      <w:r w:rsidRPr="009A3671" w:rsidR="004D1639">
        <w:rPr>
          <w:rFonts w:eastAsia="Times New Roman" w:cs="Times New Roman"/>
        </w:rPr>
        <w:t>-4</w:t>
      </w:r>
      <w:r w:rsidRPr="009A3671" w:rsidR="00F34DEF">
        <w:rPr>
          <w:rFonts w:eastAsia="Times New Roman" w:cs="Times New Roman"/>
        </w:rPr>
        <w:t xml:space="preserve"> (</w:t>
      </w:r>
      <w:r w:rsidRPr="009A3671" w:rsidR="00794395">
        <w:rPr>
          <w:rFonts w:eastAsia="Times New Roman" w:cs="Times New Roman"/>
        </w:rPr>
        <w:t>Sept</w:t>
      </w:r>
      <w:r w:rsidRPr="009A3671" w:rsidR="00B402D4">
        <w:rPr>
          <w:rFonts w:eastAsia="Times New Roman" w:cs="Times New Roman"/>
        </w:rPr>
        <w:t>.</w:t>
      </w:r>
      <w:r w:rsidRPr="009A3671" w:rsidR="00794395">
        <w:rPr>
          <w:rFonts w:eastAsia="Times New Roman" w:cs="Times New Roman"/>
        </w:rPr>
        <w:t xml:space="preserve"> 20</w:t>
      </w:r>
      <w:r w:rsidRPr="009A3671" w:rsidR="00F34DEF">
        <w:rPr>
          <w:rFonts w:eastAsia="Times New Roman" w:cs="Times New Roman"/>
        </w:rPr>
        <w:t>, 2023).</w:t>
      </w:r>
    </w:p>
  </w:footnote>
  <w:footnote w:id="70">
    <w:p w:rsidR="00126796" w:rsidRPr="009A3671" w:rsidP="009A3671" w14:paraId="7A3020D8" w14:textId="72DF7C0F">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 xml:space="preserve">Id. </w:t>
      </w:r>
      <w:r w:rsidRPr="009A3671">
        <w:rPr>
          <w:rFonts w:cs="Times New Roman"/>
        </w:rPr>
        <w:t>at 7.</w:t>
      </w:r>
    </w:p>
  </w:footnote>
  <w:footnote w:id="71">
    <w:p w:rsidR="00126796" w:rsidRPr="009A3671" w:rsidP="009A3671" w14:paraId="2368E533" w14:textId="1BE81360">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 xml:space="preserve">Id. </w:t>
      </w:r>
      <w:r w:rsidRPr="009A3671">
        <w:rPr>
          <w:rFonts w:cs="Times New Roman"/>
        </w:rPr>
        <w:t>at 8.</w:t>
      </w:r>
    </w:p>
  </w:footnote>
  <w:footnote w:id="72">
    <w:p w:rsidR="00126796" w:rsidRPr="009A3671" w:rsidP="009A3671" w14:paraId="0A2D8A35" w14:textId="03F9919C">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 xml:space="preserve">Id. </w:t>
      </w:r>
    </w:p>
  </w:footnote>
  <w:footnote w:id="73">
    <w:p w:rsidR="001B557C" w:rsidRPr="009A3671" w:rsidP="009A3671" w14:paraId="22D6FD4A" w14:textId="06DF076D">
      <w:pPr>
        <w:pStyle w:val="FootnoteText"/>
        <w:spacing w:after="120"/>
        <w:rPr>
          <w:rFonts w:cs="Times New Roman"/>
        </w:rPr>
      </w:pPr>
      <w:r w:rsidRPr="009A3671">
        <w:rPr>
          <w:rStyle w:val="FootnoteReference"/>
          <w:rFonts w:cs="Times New Roman"/>
        </w:rPr>
        <w:footnoteRef/>
      </w:r>
      <w:r w:rsidRPr="009A3671">
        <w:rPr>
          <w:rFonts w:cs="Times New Roman"/>
        </w:rPr>
        <w:t xml:space="preserve"> OCC Ex. 1, Direct Testimony of Greg R. Meyer</w:t>
      </w:r>
      <w:r w:rsidRPr="009A3671" w:rsidR="009D4246">
        <w:rPr>
          <w:rFonts w:cs="Times New Roman"/>
        </w:rPr>
        <w:t xml:space="preserve"> (</w:t>
      </w:r>
      <w:r w:rsidR="009F1383">
        <w:rPr>
          <w:rFonts w:cs="Times New Roman"/>
        </w:rPr>
        <w:t>“</w:t>
      </w:r>
      <w:r w:rsidRPr="009A3671" w:rsidR="009D4246">
        <w:rPr>
          <w:rFonts w:cs="Times New Roman"/>
        </w:rPr>
        <w:t>Meyer Testimony</w:t>
      </w:r>
      <w:r w:rsidRPr="009A3671" w:rsidR="006A552A">
        <w:rPr>
          <w:rFonts w:cs="Times New Roman"/>
        </w:rPr>
        <w:t>.</w:t>
      </w:r>
      <w:r w:rsidR="009F1383">
        <w:rPr>
          <w:rFonts w:cs="Times New Roman"/>
        </w:rPr>
        <w:t>”</w:t>
      </w:r>
      <w:r w:rsidRPr="009A3671" w:rsidR="009D4246">
        <w:rPr>
          <w:rFonts w:cs="Times New Roman"/>
        </w:rPr>
        <w:t>)</w:t>
      </w:r>
      <w:r w:rsidRPr="009A3671" w:rsidR="005C33BC">
        <w:rPr>
          <w:rFonts w:cs="Times New Roman"/>
        </w:rPr>
        <w:t xml:space="preserve"> </w:t>
      </w:r>
      <w:r w:rsidRPr="009A3671">
        <w:rPr>
          <w:rFonts w:cs="Times New Roman"/>
        </w:rPr>
        <w:t>Mr. Meyer was unavailable to testify at the evidentiary hearing and his testimony was adopted and supported by Brian Collins, his colleague at Brubaker &amp; Associates.</w:t>
      </w:r>
    </w:p>
  </w:footnote>
  <w:footnote w:id="74">
    <w:p w:rsidR="00AA766C" w:rsidRPr="009A3671" w:rsidP="009A3671" w14:paraId="1D241E63" w14:textId="4E9B7F47">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 xml:space="preserve">Id. </w:t>
      </w:r>
      <w:r w:rsidRPr="009A3671">
        <w:rPr>
          <w:rFonts w:cs="Times New Roman"/>
        </w:rPr>
        <w:t>at 10</w:t>
      </w:r>
      <w:r w:rsidRPr="009A3671" w:rsidR="004D1639">
        <w:rPr>
          <w:rFonts w:cs="Times New Roman"/>
        </w:rPr>
        <w:t>.</w:t>
      </w:r>
    </w:p>
  </w:footnote>
  <w:footnote w:id="75">
    <w:p w:rsidR="00AA766C" w:rsidRPr="009A3671" w:rsidP="009A3671" w14:paraId="32971740" w14:textId="5F6C33C7">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 xml:space="preserve">Id. </w:t>
      </w:r>
      <w:r w:rsidRPr="009A3671">
        <w:rPr>
          <w:rFonts w:cs="Times New Roman"/>
        </w:rPr>
        <w:t xml:space="preserve">at </w:t>
      </w:r>
      <w:r w:rsidRPr="009A3671" w:rsidR="00642EC1">
        <w:rPr>
          <w:rFonts w:cs="Times New Roman"/>
        </w:rPr>
        <w:t>11</w:t>
      </w:r>
      <w:r w:rsidRPr="009A3671" w:rsidR="004D1639">
        <w:rPr>
          <w:rFonts w:cs="Times New Roman"/>
        </w:rPr>
        <w:t>.</w:t>
      </w:r>
    </w:p>
  </w:footnote>
  <w:footnote w:id="76">
    <w:p w:rsidR="004E79E6" w:rsidRPr="009A3671" w:rsidP="009A3671" w14:paraId="34742113" w14:textId="3CDFECCB">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 xml:space="preserve">Id. </w:t>
      </w:r>
    </w:p>
  </w:footnote>
  <w:footnote w:id="77">
    <w:p w:rsidR="00126796" w:rsidRPr="009A3671" w:rsidP="009A3671" w14:paraId="7AAA0F20" w14:textId="681B0C39">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sidR="00547FC6">
        <w:rPr>
          <w:rFonts w:cs="Times New Roman"/>
          <w:i/>
          <w:iCs/>
        </w:rPr>
        <w:t xml:space="preserve">Id. </w:t>
      </w:r>
      <w:r w:rsidRPr="009A3671" w:rsidR="00547FC6">
        <w:rPr>
          <w:rFonts w:cs="Times New Roman"/>
        </w:rPr>
        <w:t>at 5</w:t>
      </w:r>
      <w:r w:rsidRPr="009A3671" w:rsidR="004D1639">
        <w:rPr>
          <w:rFonts w:cs="Times New Roman"/>
        </w:rPr>
        <w:t>.</w:t>
      </w:r>
    </w:p>
  </w:footnote>
  <w:footnote w:id="78">
    <w:p w:rsidR="00FC0A4D" w:rsidRPr="009A3671" w:rsidP="009A3671" w14:paraId="6872207F" w14:textId="10D73ED0">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sidR="00CB21E2">
        <w:rPr>
          <w:rFonts w:cs="Times New Roman"/>
        </w:rPr>
        <w:t xml:space="preserve">Hearing </w:t>
      </w:r>
      <w:r w:rsidRPr="009A3671">
        <w:rPr>
          <w:rFonts w:cs="Times New Roman"/>
        </w:rPr>
        <w:t xml:space="preserve">Transcript Volume III, </w:t>
      </w:r>
      <w:r w:rsidRPr="009A3671" w:rsidR="00CB21E2">
        <w:rPr>
          <w:rFonts w:cs="Times New Roman"/>
        </w:rPr>
        <w:t>p.</w:t>
      </w:r>
      <w:r w:rsidRPr="009A3671">
        <w:rPr>
          <w:rFonts w:cs="Times New Roman"/>
        </w:rPr>
        <w:t xml:space="preserve"> </w:t>
      </w:r>
      <w:r w:rsidRPr="009A3671" w:rsidR="00FF555F">
        <w:rPr>
          <w:rFonts w:cs="Times New Roman"/>
        </w:rPr>
        <w:t>4</w:t>
      </w:r>
      <w:r w:rsidRPr="009A3671">
        <w:rPr>
          <w:rFonts w:cs="Times New Roman"/>
        </w:rPr>
        <w:t>96 (</w:t>
      </w:r>
      <w:r w:rsidRPr="009A3671" w:rsidR="00625B0C">
        <w:rPr>
          <w:rFonts w:cs="Times New Roman"/>
        </w:rPr>
        <w:t>Nov</w:t>
      </w:r>
      <w:r w:rsidRPr="009A3671" w:rsidR="00763010">
        <w:rPr>
          <w:rFonts w:cs="Times New Roman"/>
        </w:rPr>
        <w:t>.</w:t>
      </w:r>
      <w:r w:rsidRPr="009A3671" w:rsidR="00625B0C">
        <w:rPr>
          <w:rFonts w:cs="Times New Roman"/>
        </w:rPr>
        <w:t xml:space="preserve"> 11, 2023).</w:t>
      </w:r>
    </w:p>
  </w:footnote>
  <w:footnote w:id="79">
    <w:p w:rsidR="00FF555F" w:rsidRPr="009A3671" w:rsidP="009A3671" w14:paraId="24AAAFA6" w14:textId="3420CB3F">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sidR="00CB21E2">
        <w:rPr>
          <w:rFonts w:cs="Times New Roman"/>
          <w:i/>
          <w:iCs/>
        </w:rPr>
        <w:t>Id.</w:t>
      </w:r>
      <w:r w:rsidRPr="009A3671" w:rsidR="00CB21E2">
        <w:rPr>
          <w:rFonts w:cs="Times New Roman"/>
        </w:rPr>
        <w:t xml:space="preserve"> at</w:t>
      </w:r>
      <w:r w:rsidRPr="009A3671">
        <w:rPr>
          <w:rFonts w:cs="Times New Roman"/>
        </w:rPr>
        <w:t xml:space="preserve"> 498</w:t>
      </w:r>
      <w:r w:rsidRPr="009A3671" w:rsidR="00CB21E2">
        <w:rPr>
          <w:rFonts w:cs="Times New Roman"/>
        </w:rPr>
        <w:t>.</w:t>
      </w:r>
    </w:p>
  </w:footnote>
  <w:footnote w:id="80">
    <w:p w:rsidR="00E571B2" w:rsidRPr="009A3671" w:rsidP="009A3671" w14:paraId="4F1397E5" w14:textId="4DA6E55C">
      <w:pPr>
        <w:pStyle w:val="FootnoteText"/>
        <w:spacing w:after="120"/>
        <w:rPr>
          <w:rFonts w:cs="Times New Roman"/>
          <w:i/>
          <w:iCs/>
        </w:rPr>
      </w:pPr>
      <w:r w:rsidRPr="009A3671">
        <w:rPr>
          <w:rStyle w:val="FootnoteReference"/>
          <w:rFonts w:cs="Times New Roman"/>
        </w:rPr>
        <w:footnoteRef/>
      </w:r>
      <w:r w:rsidRPr="009A3671">
        <w:rPr>
          <w:rFonts w:cs="Times New Roman"/>
        </w:rPr>
        <w:t xml:space="preserve"> </w:t>
      </w:r>
      <w:r w:rsidRPr="009A3671" w:rsidR="008C59EE">
        <w:rPr>
          <w:rFonts w:cs="Times New Roman"/>
          <w:i/>
          <w:iCs/>
        </w:rPr>
        <w:t>Id.</w:t>
      </w:r>
    </w:p>
  </w:footnote>
  <w:footnote w:id="81">
    <w:p w:rsidR="004D282D" w:rsidRPr="009A3671" w:rsidP="009A3671" w14:paraId="03355C43" w14:textId="07D91B95">
      <w:pPr>
        <w:pStyle w:val="FootnoteText"/>
        <w:spacing w:after="120"/>
        <w:rPr>
          <w:rFonts w:cs="Times New Roman"/>
          <w:i/>
          <w:iCs/>
        </w:rPr>
      </w:pPr>
      <w:r w:rsidRPr="009A3671">
        <w:rPr>
          <w:rStyle w:val="FootnoteReference"/>
          <w:rFonts w:cs="Times New Roman"/>
        </w:rPr>
        <w:footnoteRef/>
      </w:r>
      <w:r w:rsidRPr="009A3671">
        <w:rPr>
          <w:rFonts w:cs="Times New Roman"/>
        </w:rPr>
        <w:t xml:space="preserve"> </w:t>
      </w:r>
      <w:r w:rsidRPr="009A3671">
        <w:rPr>
          <w:rFonts w:cs="Times New Roman"/>
          <w:i/>
          <w:iCs/>
        </w:rPr>
        <w:t>Id.</w:t>
      </w:r>
    </w:p>
  </w:footnote>
  <w:footnote w:id="82">
    <w:p w:rsidR="009758D7" w:rsidRPr="009A3671" w:rsidP="009A3671" w14:paraId="1678DC05" w14:textId="3185BDAB">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sidR="00CB21E2">
        <w:rPr>
          <w:rFonts w:cs="Times New Roman"/>
          <w:i/>
          <w:iCs/>
        </w:rPr>
        <w:t xml:space="preserve">Id. </w:t>
      </w:r>
      <w:r w:rsidRPr="009A3671" w:rsidR="00CB21E2">
        <w:rPr>
          <w:rFonts w:cs="Times New Roman"/>
        </w:rPr>
        <w:t>at</w:t>
      </w:r>
      <w:r w:rsidRPr="009A3671">
        <w:rPr>
          <w:rFonts w:cs="Times New Roman"/>
        </w:rPr>
        <w:t xml:space="preserve"> 497</w:t>
      </w:r>
      <w:r w:rsidRPr="009A3671" w:rsidR="00CB21E2">
        <w:rPr>
          <w:rFonts w:cs="Times New Roman"/>
        </w:rPr>
        <w:t>.</w:t>
      </w:r>
    </w:p>
  </w:footnote>
  <w:footnote w:id="83">
    <w:p w:rsidR="00646A86" w:rsidRPr="009A3671" w:rsidP="009A3671" w14:paraId="726CD008" w14:textId="7A01C631">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sidR="00CB21E2">
        <w:rPr>
          <w:rFonts w:cs="Times New Roman"/>
        </w:rPr>
        <w:t>Buckley Testimony</w:t>
      </w:r>
      <w:r w:rsidRPr="009A3671">
        <w:rPr>
          <w:rFonts w:cs="Times New Roman"/>
          <w:i/>
          <w:iCs/>
        </w:rPr>
        <w:t xml:space="preserve"> </w:t>
      </w:r>
      <w:r w:rsidRPr="009A3671">
        <w:rPr>
          <w:rFonts w:cs="Times New Roman"/>
        </w:rPr>
        <w:t>at 8:5-9.</w:t>
      </w:r>
    </w:p>
  </w:footnote>
  <w:footnote w:id="84">
    <w:p w:rsidR="00646A86" w:rsidRPr="009A3671" w:rsidP="009A3671" w14:paraId="5375C8F4" w14:textId="77777777">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 xml:space="preserve">Id. </w:t>
      </w:r>
      <w:r w:rsidRPr="009A3671">
        <w:rPr>
          <w:rFonts w:cs="Times New Roman"/>
        </w:rPr>
        <w:t>at 8:7-9.</w:t>
      </w:r>
    </w:p>
  </w:footnote>
  <w:footnote w:id="85">
    <w:p w:rsidR="002D0D6F" w:rsidRPr="009A3671" w:rsidP="009A3671" w14:paraId="2A8FBA87" w14:textId="4FB8CCEC">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See</w:t>
      </w:r>
      <w:r w:rsidRPr="009A3671">
        <w:rPr>
          <w:rFonts w:cs="Times New Roman"/>
        </w:rPr>
        <w:t xml:space="preserve"> </w:t>
      </w:r>
      <w:r w:rsidRPr="009A3671">
        <w:rPr>
          <w:rFonts w:cs="Times New Roman"/>
          <w:i/>
          <w:iCs/>
        </w:rPr>
        <w:t xml:space="preserve">AES Ohio ESP 4, </w:t>
      </w:r>
      <w:r w:rsidRPr="009A3671">
        <w:rPr>
          <w:rFonts w:cs="Times New Roman"/>
        </w:rPr>
        <w:t>Case No. 22-900-EL-SSO,</w:t>
      </w:r>
      <w:r w:rsidRPr="009A3671" w:rsidR="00E64BA1">
        <w:rPr>
          <w:rFonts w:cs="Times New Roman"/>
        </w:rPr>
        <w:t xml:space="preserve"> et al.</w:t>
      </w:r>
      <w:r w:rsidRPr="009A3671" w:rsidR="005C28FB">
        <w:rPr>
          <w:rFonts w:cs="Times New Roman"/>
        </w:rPr>
        <w:t>,</w:t>
      </w:r>
      <w:r w:rsidRPr="009A3671">
        <w:rPr>
          <w:rFonts w:cs="Times New Roman"/>
        </w:rPr>
        <w:t xml:space="preserve"> Opinion &amp; Order at 25 (Aug. 9, 2023); </w:t>
      </w:r>
      <w:r w:rsidRPr="009A3671">
        <w:rPr>
          <w:rFonts w:cs="Times New Roman"/>
          <w:i/>
          <w:iCs/>
        </w:rPr>
        <w:t>Duke ESP 4</w:t>
      </w:r>
      <w:r w:rsidRPr="009A3671">
        <w:rPr>
          <w:rFonts w:cs="Times New Roman"/>
        </w:rPr>
        <w:t>, Case No 17-1263-EL-SSO, Opinion &amp; Order (Dec. 19, 2018)</w:t>
      </w:r>
      <w:r w:rsidRPr="009A3671" w:rsidR="00465042">
        <w:rPr>
          <w:rFonts w:cs="Times New Roman"/>
        </w:rPr>
        <w:t>.</w:t>
      </w:r>
    </w:p>
  </w:footnote>
  <w:footnote w:id="86">
    <w:p w:rsidR="00420D25" w:rsidRPr="009A3671" w:rsidP="009A3671" w14:paraId="158A27EE" w14:textId="6D977C51">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 xml:space="preserve">AES Ohio ESP 4, </w:t>
      </w:r>
      <w:r w:rsidRPr="009A3671">
        <w:rPr>
          <w:rFonts w:cs="Times New Roman"/>
        </w:rPr>
        <w:t>Case No. 22-900-EL-SSO,</w:t>
      </w:r>
      <w:r w:rsidRPr="009A3671" w:rsidR="00E73540">
        <w:rPr>
          <w:rFonts w:cs="Times New Roman"/>
        </w:rPr>
        <w:t xml:space="preserve"> et al.,</w:t>
      </w:r>
      <w:r w:rsidRPr="009A3671">
        <w:rPr>
          <w:rFonts w:cs="Times New Roman"/>
        </w:rPr>
        <w:t xml:space="preserve"> Opinion &amp; Order at 25 (Aug. 9, 2023).</w:t>
      </w:r>
    </w:p>
  </w:footnote>
  <w:footnote w:id="87">
    <w:p w:rsidR="00F05926" w:rsidRPr="009A3671" w:rsidP="009A3671" w14:paraId="7BBF50F1" w14:textId="3CBE3C40">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Duke ESP 4</w:t>
      </w:r>
      <w:r w:rsidRPr="009A3671">
        <w:rPr>
          <w:rFonts w:cs="Times New Roman"/>
        </w:rPr>
        <w:t>, Case No 17-1263-EL-SSO, Opinion &amp; Order (Dec. 19, 2018).</w:t>
      </w:r>
    </w:p>
  </w:footnote>
  <w:footnote w:id="88">
    <w:p w:rsidR="007E55AB" w:rsidRPr="009A3671" w:rsidP="009A3671" w14:paraId="2BC709CB" w14:textId="51509DD5">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In re Application of E. Ohio Gas Co</w:t>
      </w:r>
      <w:r w:rsidRPr="009A3671">
        <w:rPr>
          <w:rFonts w:cs="Times New Roman"/>
        </w:rPr>
        <w:t>., 2023-Ohio-3289.</w:t>
      </w:r>
    </w:p>
  </w:footnote>
  <w:footnote w:id="89">
    <w:p w:rsidR="00986596" w:rsidRPr="009A3671" w:rsidP="009A3671" w14:paraId="63A683BE" w14:textId="77777777">
      <w:pPr>
        <w:pStyle w:val="FootnoteText"/>
        <w:spacing w:after="120"/>
        <w:rPr>
          <w:rFonts w:cs="Times New Roman"/>
        </w:rPr>
      </w:pPr>
      <w:r w:rsidRPr="009A3671">
        <w:rPr>
          <w:rStyle w:val="FootnoteReference"/>
          <w:rFonts w:cs="Times New Roman"/>
        </w:rPr>
        <w:footnoteRef/>
      </w:r>
      <w:r w:rsidRPr="009A3671">
        <w:rPr>
          <w:rFonts w:cs="Times New Roman"/>
        </w:rPr>
        <w:t xml:space="preserve"> McMillen Testimony at 5:1-2.</w:t>
      </w:r>
    </w:p>
  </w:footnote>
  <w:footnote w:id="90">
    <w:p w:rsidR="00D410BC" w:rsidRPr="009A3671" w:rsidP="009A3671" w14:paraId="170D48EF" w14:textId="011CC12B">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sidR="00603CD2">
        <w:rPr>
          <w:rFonts w:cs="Times New Roman"/>
          <w:i/>
          <w:iCs/>
        </w:rPr>
        <w:t xml:space="preserve">In the Matter of the Application of Ohio Edison Company, </w:t>
      </w:r>
      <w:r w:rsidRPr="009A3671" w:rsidR="0090156A">
        <w:rPr>
          <w:rFonts w:cs="Times New Roman"/>
          <w:i/>
          <w:iCs/>
        </w:rPr>
        <w:t>t</w:t>
      </w:r>
      <w:r w:rsidRPr="009A3671" w:rsidR="00603CD2">
        <w:rPr>
          <w:rFonts w:cs="Times New Roman"/>
          <w:i/>
          <w:iCs/>
        </w:rPr>
        <w:t xml:space="preserve">he Cleveland Electric Illuminating Company and </w:t>
      </w:r>
      <w:r w:rsidRPr="009A3671" w:rsidR="006B5ABD">
        <w:rPr>
          <w:rFonts w:cs="Times New Roman"/>
          <w:i/>
          <w:iCs/>
        </w:rPr>
        <w:t>t</w:t>
      </w:r>
      <w:r w:rsidRPr="009A3671" w:rsidR="00603CD2">
        <w:rPr>
          <w:rFonts w:cs="Times New Roman"/>
          <w:i/>
          <w:iCs/>
        </w:rPr>
        <w:t xml:space="preserve">he Toledo Edison Company for Authority to Establish a Standard Service Offer Pursuant to R.C. § 4928.143 in the Form of an Electric Security Plan, </w:t>
      </w:r>
      <w:r w:rsidRPr="009A3671" w:rsidR="00603CD2">
        <w:rPr>
          <w:rFonts w:cs="Times New Roman"/>
        </w:rPr>
        <w:t>Case No. 10-388-EL-SS</w:t>
      </w:r>
      <w:r w:rsidRPr="009A3671" w:rsidR="00234803">
        <w:rPr>
          <w:rFonts w:cs="Times New Roman"/>
        </w:rPr>
        <w:t>O</w:t>
      </w:r>
      <w:r w:rsidRPr="009A3671" w:rsidR="00603CD2">
        <w:rPr>
          <w:rFonts w:cs="Times New Roman"/>
        </w:rPr>
        <w:t>, Opinion and Order (Aug. 25, 2010).</w:t>
      </w:r>
    </w:p>
  </w:footnote>
  <w:footnote w:id="91">
    <w:p w:rsidR="00603CD2" w:rsidRPr="009A3671" w:rsidP="009A3671" w14:paraId="400EB109" w14:textId="6FF335F4">
      <w:pPr>
        <w:pStyle w:val="FootnoteText"/>
        <w:spacing w:after="120"/>
        <w:rPr>
          <w:rFonts w:cs="Times New Roman"/>
          <w:i/>
          <w:iCs/>
        </w:rPr>
      </w:pPr>
      <w:r w:rsidRPr="009A3671">
        <w:rPr>
          <w:rStyle w:val="FootnoteReference"/>
          <w:rFonts w:cs="Times New Roman"/>
        </w:rPr>
        <w:footnoteRef/>
      </w:r>
      <w:r w:rsidRPr="009A3671">
        <w:rPr>
          <w:rFonts w:cs="Times New Roman"/>
        </w:rPr>
        <w:t xml:space="preserve"> </w:t>
      </w:r>
      <w:r w:rsidRPr="009A3671">
        <w:rPr>
          <w:rFonts w:cs="Times New Roman"/>
          <w:i/>
          <w:iCs/>
        </w:rPr>
        <w:t>Id.</w:t>
      </w:r>
    </w:p>
  </w:footnote>
  <w:footnote w:id="92">
    <w:p w:rsidR="00603CD2" w:rsidRPr="009A3671" w:rsidP="009A3671" w14:paraId="1DF9A628" w14:textId="76740A6E">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 xml:space="preserve">In the Matter of the Application of Ohio Edison Company, </w:t>
      </w:r>
      <w:r w:rsidRPr="009A3671" w:rsidR="00356535">
        <w:rPr>
          <w:rFonts w:cs="Times New Roman"/>
          <w:i/>
          <w:iCs/>
        </w:rPr>
        <w:t>t</w:t>
      </w:r>
      <w:r w:rsidRPr="009A3671">
        <w:rPr>
          <w:rFonts w:cs="Times New Roman"/>
          <w:i/>
          <w:iCs/>
        </w:rPr>
        <w:t xml:space="preserve">he Cleveland Electric Illuminating Company and </w:t>
      </w:r>
      <w:r w:rsidRPr="009A3671" w:rsidR="00356535">
        <w:rPr>
          <w:rFonts w:cs="Times New Roman"/>
          <w:i/>
          <w:iCs/>
        </w:rPr>
        <w:t>t</w:t>
      </w:r>
      <w:r w:rsidRPr="009A3671">
        <w:rPr>
          <w:rFonts w:cs="Times New Roman"/>
          <w:i/>
          <w:iCs/>
        </w:rPr>
        <w:t xml:space="preserve">he Toledo Edison Company for Authority to Provide fora Standard Service Offer Pursuant to R.C. § 4928.143 in the Form of an Electric Security Plan, </w:t>
      </w:r>
      <w:r w:rsidRPr="009A3671">
        <w:rPr>
          <w:rFonts w:cs="Times New Roman"/>
        </w:rPr>
        <w:t>Case No. 12-1230-EL-SSO, Opinion and Order (July 18, 2012).</w:t>
      </w:r>
      <w:r w:rsidRPr="009A3671" w:rsidR="00CE2F18">
        <w:rPr>
          <w:rFonts w:cs="Times New Roman"/>
        </w:rPr>
        <w:t xml:space="preserve"> </w:t>
      </w:r>
    </w:p>
  </w:footnote>
  <w:footnote w:id="93">
    <w:p w:rsidR="00603CD2" w:rsidRPr="009A3671" w:rsidP="009A3671" w14:paraId="0608C99C" w14:textId="77777777">
      <w:pPr>
        <w:pStyle w:val="FootnoteText"/>
        <w:spacing w:after="120"/>
        <w:rPr>
          <w:rFonts w:cs="Times New Roman"/>
          <w:i/>
          <w:iCs/>
        </w:rPr>
      </w:pPr>
      <w:r w:rsidRPr="009A3671">
        <w:rPr>
          <w:rStyle w:val="FootnoteReference"/>
          <w:rFonts w:cs="Times New Roman"/>
        </w:rPr>
        <w:footnoteRef/>
      </w:r>
      <w:r w:rsidRPr="009A3671">
        <w:rPr>
          <w:rFonts w:cs="Times New Roman"/>
        </w:rPr>
        <w:t xml:space="preserve"> </w:t>
      </w:r>
      <w:r w:rsidRPr="009A3671">
        <w:rPr>
          <w:rFonts w:cs="Times New Roman"/>
          <w:i/>
          <w:iCs/>
        </w:rPr>
        <w:t>Id.</w:t>
      </w:r>
    </w:p>
  </w:footnote>
  <w:footnote w:id="94">
    <w:p w:rsidR="00603CD2" w:rsidRPr="009A3671" w:rsidP="009A3671" w14:paraId="189BB255" w14:textId="0D190DBC">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sidR="00804757">
        <w:rPr>
          <w:rFonts w:cs="Times New Roman"/>
          <w:i/>
          <w:iCs/>
        </w:rPr>
        <w:t xml:space="preserve">In the Matter of the Application of Ohio Edison Company, </w:t>
      </w:r>
      <w:r w:rsidRPr="009A3671" w:rsidR="00582B84">
        <w:rPr>
          <w:rFonts w:cs="Times New Roman"/>
          <w:i/>
          <w:iCs/>
        </w:rPr>
        <w:t>t</w:t>
      </w:r>
      <w:r w:rsidRPr="009A3671" w:rsidR="00804757">
        <w:rPr>
          <w:rFonts w:cs="Times New Roman"/>
          <w:i/>
          <w:iCs/>
        </w:rPr>
        <w:t xml:space="preserve">he Cleveland Electric Illuminating Company and </w:t>
      </w:r>
      <w:r w:rsidRPr="009A3671" w:rsidR="00F44E37">
        <w:rPr>
          <w:rFonts w:cs="Times New Roman"/>
          <w:i/>
          <w:iCs/>
        </w:rPr>
        <w:t>t</w:t>
      </w:r>
      <w:r w:rsidRPr="009A3671" w:rsidR="00804757">
        <w:rPr>
          <w:rFonts w:cs="Times New Roman"/>
          <w:i/>
          <w:iCs/>
        </w:rPr>
        <w:t>he Toledo Edison Company for Authority to Provide a Standard Service Offer Pursuant to R.C. § 4928.14</w:t>
      </w:r>
      <w:r w:rsidRPr="009A3671" w:rsidR="00CB21E2">
        <w:rPr>
          <w:rFonts w:cs="Times New Roman"/>
        </w:rPr>
        <w:t xml:space="preserve">, Case No. </w:t>
      </w:r>
      <w:r w:rsidRPr="009A3671" w:rsidR="00CA7452">
        <w:rPr>
          <w:rFonts w:cs="Times New Roman"/>
        </w:rPr>
        <w:t xml:space="preserve">14-1297-EL-SSO, </w:t>
      </w:r>
      <w:r w:rsidRPr="009A3671" w:rsidR="00B94A03">
        <w:rPr>
          <w:rFonts w:cs="Times New Roman"/>
        </w:rPr>
        <w:t>Fifth Entry on Rehearing (Oct. 12, 2016).</w:t>
      </w:r>
    </w:p>
  </w:footnote>
  <w:footnote w:id="95">
    <w:p w:rsidR="00603CD2" w:rsidRPr="009A3671" w:rsidP="009A3671" w14:paraId="281525E5" w14:textId="77777777">
      <w:pPr>
        <w:pStyle w:val="FootnoteText"/>
        <w:spacing w:after="120"/>
        <w:rPr>
          <w:rFonts w:cs="Times New Roman"/>
          <w:i/>
          <w:iCs/>
        </w:rPr>
      </w:pPr>
      <w:r w:rsidRPr="009A3671">
        <w:rPr>
          <w:rStyle w:val="FootnoteReference"/>
          <w:rFonts w:cs="Times New Roman"/>
        </w:rPr>
        <w:footnoteRef/>
      </w:r>
      <w:r w:rsidRPr="009A3671">
        <w:rPr>
          <w:rFonts w:cs="Times New Roman"/>
        </w:rPr>
        <w:t xml:space="preserve"> </w:t>
      </w:r>
      <w:r w:rsidRPr="009A3671">
        <w:rPr>
          <w:rFonts w:cs="Times New Roman"/>
          <w:i/>
          <w:iCs/>
        </w:rPr>
        <w:t>Id.</w:t>
      </w:r>
    </w:p>
  </w:footnote>
  <w:footnote w:id="96">
    <w:p w:rsidR="00C8067F" w:rsidRPr="009A3671" w:rsidP="009A3671" w14:paraId="4EDC1E10" w14:textId="77777777">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See</w:t>
      </w:r>
      <w:r w:rsidRPr="009A3671">
        <w:rPr>
          <w:rFonts w:cs="Times New Roman"/>
        </w:rPr>
        <w:t xml:space="preserve"> R.C. 4928.02(A).</w:t>
      </w:r>
    </w:p>
  </w:footnote>
  <w:footnote w:id="97">
    <w:p w:rsidR="0091102E" w:rsidRPr="009A3671" w:rsidP="009A3671" w14:paraId="5400C529" w14:textId="50D92E61">
      <w:pPr>
        <w:pStyle w:val="FootnoteText"/>
        <w:spacing w:after="120"/>
        <w:rPr>
          <w:rFonts w:cs="Times New Roman"/>
        </w:rPr>
      </w:pPr>
      <w:r w:rsidRPr="009A3671">
        <w:rPr>
          <w:rStyle w:val="FootnoteReference"/>
          <w:rFonts w:cs="Times New Roman"/>
        </w:rPr>
        <w:footnoteRef/>
      </w:r>
      <w:r w:rsidRPr="009A3671">
        <w:rPr>
          <w:rFonts w:cs="Times New Roman"/>
        </w:rPr>
        <w:t xml:space="preserve"> O.A.C. 4901:1-10-10.</w:t>
      </w:r>
    </w:p>
  </w:footnote>
  <w:footnote w:id="98">
    <w:p w:rsidR="001F7A01" w:rsidRPr="009A3671" w:rsidP="009A3671" w14:paraId="3163B474" w14:textId="3EF91A02">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 xml:space="preserve">In the Matter of the Application of Ohio Edison Company, </w:t>
      </w:r>
      <w:r w:rsidRPr="009A3671" w:rsidR="00B86993">
        <w:rPr>
          <w:rFonts w:cs="Times New Roman"/>
          <w:i/>
          <w:iCs/>
        </w:rPr>
        <w:t>t</w:t>
      </w:r>
      <w:r w:rsidRPr="009A3671">
        <w:rPr>
          <w:rFonts w:cs="Times New Roman"/>
          <w:i/>
          <w:iCs/>
        </w:rPr>
        <w:t xml:space="preserve">he Cleveland Electric Illuminating Company and </w:t>
      </w:r>
      <w:r w:rsidRPr="009A3671" w:rsidR="00B86993">
        <w:rPr>
          <w:rFonts w:cs="Times New Roman"/>
          <w:i/>
          <w:iCs/>
        </w:rPr>
        <w:t>t</w:t>
      </w:r>
      <w:r w:rsidRPr="009A3671">
        <w:rPr>
          <w:rFonts w:cs="Times New Roman"/>
          <w:i/>
          <w:iCs/>
        </w:rPr>
        <w:t xml:space="preserve">he Toledo Edison Company for Authority to Establish a Standard Service Offer Pursuant to R.C. § 4928.143 in the Form of an Electric Security Plan, </w:t>
      </w:r>
      <w:r w:rsidRPr="009A3671">
        <w:rPr>
          <w:rFonts w:cs="Times New Roman"/>
        </w:rPr>
        <w:t>Case No. 10-388-EL-SS</w:t>
      </w:r>
      <w:r w:rsidRPr="009A3671" w:rsidR="00F21171">
        <w:rPr>
          <w:rFonts w:cs="Times New Roman"/>
        </w:rPr>
        <w:t>O</w:t>
      </w:r>
      <w:r w:rsidRPr="009A3671">
        <w:rPr>
          <w:rFonts w:cs="Times New Roman"/>
        </w:rPr>
        <w:t>, Opinion and Order at 12 (Aug. 25, 2010).</w:t>
      </w:r>
    </w:p>
  </w:footnote>
  <w:footnote w:id="99">
    <w:p w:rsidR="00285E5B" w:rsidRPr="009A3671" w:rsidP="009A3671" w14:paraId="432572A7" w14:textId="52CE66AA">
      <w:pPr>
        <w:pStyle w:val="FootnoteText"/>
        <w:spacing w:after="120"/>
        <w:rPr>
          <w:rFonts w:cs="Times New Roman"/>
        </w:rPr>
      </w:pPr>
      <w:r w:rsidRPr="009A3671">
        <w:rPr>
          <w:rStyle w:val="FootnoteReference"/>
          <w:rFonts w:cs="Times New Roman"/>
        </w:rPr>
        <w:footnoteRef/>
      </w:r>
      <w:r w:rsidRPr="009A3671">
        <w:rPr>
          <w:rFonts w:cs="Times New Roman"/>
        </w:rPr>
        <w:t xml:space="preserve"> Meyer Testimony at 27:19-24</w:t>
      </w:r>
      <w:r w:rsidRPr="009A3671" w:rsidR="00F842A5">
        <w:rPr>
          <w:rFonts w:cs="Times New Roman"/>
        </w:rPr>
        <w:t>.</w:t>
      </w:r>
    </w:p>
  </w:footnote>
  <w:footnote w:id="100">
    <w:p w:rsidR="00F51223" w:rsidRPr="009A3671" w:rsidP="009A3671" w14:paraId="4D38FCE6" w14:textId="1211690D">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 xml:space="preserve">See, e.g., In the Matter of the Application of the Dayton Power and Light Company d/b/a AES Ohio for Approval of Its Electric Security Plan, </w:t>
      </w:r>
      <w:r w:rsidRPr="009A3671">
        <w:rPr>
          <w:rFonts w:cs="Times New Roman"/>
        </w:rPr>
        <w:t xml:space="preserve">Case No. 22-900-EL-SSO, </w:t>
      </w:r>
      <w:r w:rsidRPr="009A3671" w:rsidR="00D07B04">
        <w:rPr>
          <w:rFonts w:cs="Times New Roman"/>
        </w:rPr>
        <w:t xml:space="preserve">et al., </w:t>
      </w:r>
      <w:r w:rsidRPr="009A3671">
        <w:rPr>
          <w:rFonts w:cs="Times New Roman"/>
        </w:rPr>
        <w:t>Opinion and Order at ¶ 77 (Aug. 9, 2023).</w:t>
      </w:r>
    </w:p>
  </w:footnote>
  <w:footnote w:id="101">
    <w:p w:rsidR="00256612" w:rsidRPr="009A3671" w:rsidP="009A3671" w14:paraId="2B83FAF5" w14:textId="46121A1C">
      <w:pPr>
        <w:pStyle w:val="FootnoteText"/>
        <w:spacing w:after="120"/>
        <w:rPr>
          <w:rFonts w:cs="Times New Roman"/>
        </w:rPr>
      </w:pPr>
      <w:r w:rsidRPr="009A3671">
        <w:rPr>
          <w:rStyle w:val="FootnoteReference"/>
          <w:rFonts w:cs="Times New Roman"/>
        </w:rPr>
        <w:footnoteRef/>
      </w:r>
      <w:r w:rsidRPr="009A3671">
        <w:rPr>
          <w:rFonts w:cs="Times New Roman"/>
        </w:rPr>
        <w:t xml:space="preserve"> Meyer Testimony at 22</w:t>
      </w:r>
      <w:r w:rsidRPr="009A3671" w:rsidR="00D62FEC">
        <w:rPr>
          <w:rFonts w:cs="Times New Roman"/>
        </w:rPr>
        <w:t>.</w:t>
      </w:r>
    </w:p>
  </w:footnote>
  <w:footnote w:id="102">
    <w:p w:rsidR="00256612" w:rsidRPr="009A3671" w:rsidP="009A3671" w14:paraId="013F439A" w14:textId="58E82717">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sidR="00D62FEC">
        <w:rPr>
          <w:rFonts w:cs="Times New Roman"/>
          <w:i/>
          <w:iCs/>
        </w:rPr>
        <w:t>Id.</w:t>
      </w:r>
      <w:r w:rsidRPr="009A3671">
        <w:rPr>
          <w:rFonts w:cs="Times New Roman"/>
        </w:rPr>
        <w:t xml:space="preserve"> at 23</w:t>
      </w:r>
      <w:r w:rsidRPr="009A3671" w:rsidR="00D62FEC">
        <w:rPr>
          <w:rFonts w:cs="Times New Roman"/>
        </w:rPr>
        <w:t>.</w:t>
      </w:r>
    </w:p>
  </w:footnote>
  <w:footnote w:id="103">
    <w:p w:rsidR="00CD74AE" w:rsidRPr="009A3671" w:rsidP="009A3671" w14:paraId="1BE894A4" w14:textId="1416A2A3">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 xml:space="preserve">In the Matter of the Application of Ohio Edison Company, </w:t>
      </w:r>
      <w:r w:rsidRPr="009A3671" w:rsidR="003A386A">
        <w:rPr>
          <w:rFonts w:cs="Times New Roman"/>
          <w:i/>
          <w:iCs/>
        </w:rPr>
        <w:t>t</w:t>
      </w:r>
      <w:r w:rsidRPr="009A3671">
        <w:rPr>
          <w:rFonts w:cs="Times New Roman"/>
          <w:i/>
          <w:iCs/>
        </w:rPr>
        <w:t xml:space="preserve">he Cleveland Electric Illuminating Company and </w:t>
      </w:r>
      <w:r w:rsidRPr="009A3671" w:rsidR="003A386A">
        <w:rPr>
          <w:rFonts w:cs="Times New Roman"/>
          <w:i/>
          <w:iCs/>
        </w:rPr>
        <w:t>t</w:t>
      </w:r>
      <w:r w:rsidRPr="009A3671">
        <w:rPr>
          <w:rFonts w:cs="Times New Roman"/>
          <w:i/>
          <w:iCs/>
        </w:rPr>
        <w:t>he Toledo Edison Company for Authority to Provide a Standard Service Offer Pursuant to R.C. § 4928.143 in the Form of an Electric Security Plan</w:t>
      </w:r>
      <w:r w:rsidRPr="009A3671">
        <w:rPr>
          <w:rFonts w:cs="Times New Roman"/>
        </w:rPr>
        <w:t>, Case No. 14-1297-EL-SSO, Opinion and Order (Mar</w:t>
      </w:r>
      <w:r w:rsidRPr="009A3671" w:rsidR="00CB0E1B">
        <w:rPr>
          <w:rFonts w:cs="Times New Roman"/>
        </w:rPr>
        <w:t>ch</w:t>
      </w:r>
      <w:r w:rsidRPr="009A3671">
        <w:rPr>
          <w:rFonts w:cs="Times New Roman"/>
        </w:rPr>
        <w:t xml:space="preserve"> 31, 2016).</w:t>
      </w:r>
    </w:p>
  </w:footnote>
  <w:footnote w:id="104">
    <w:p w:rsidR="00CD74AE" w:rsidRPr="009A3671" w:rsidP="009A3671" w14:paraId="1D2F71E7" w14:textId="303A91D4">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sidR="00417D30">
        <w:rPr>
          <w:rFonts w:cs="Times New Roman"/>
          <w:i/>
          <w:iCs/>
        </w:rPr>
        <w:t xml:space="preserve">See, e.g., In the Matter of the Application of the Dayton Power and Light Company d/b/a AES Ohio for Approval of Its Electric Security Plan, </w:t>
      </w:r>
      <w:r w:rsidRPr="009A3671" w:rsidR="00417D30">
        <w:rPr>
          <w:rFonts w:cs="Times New Roman"/>
        </w:rPr>
        <w:t>Case No. 22-900-EL-SSO,</w:t>
      </w:r>
      <w:r w:rsidRPr="009A3671" w:rsidR="00671375">
        <w:rPr>
          <w:rFonts w:cs="Times New Roman"/>
        </w:rPr>
        <w:t>et al.,</w:t>
      </w:r>
      <w:r w:rsidRPr="009A3671" w:rsidR="00417D30">
        <w:rPr>
          <w:rFonts w:cs="Times New Roman"/>
        </w:rPr>
        <w:t xml:space="preserve"> Opinion and Order at ¶ 77 (Aug. 9, 2023); </w:t>
      </w:r>
      <w:r w:rsidRPr="009A3671" w:rsidR="00417D30">
        <w:rPr>
          <w:rFonts w:cs="Times New Roman"/>
          <w:i/>
          <w:iCs/>
        </w:rPr>
        <w:t>In the Matter of the Application of Duke Energy Ohio, Inc. for Authority to Establish a Standard Service Offer Pursuant to Section 4928.143, Revised Code, in the Form of an Electric Security Plan, Accounting</w:t>
      </w:r>
      <w:r w:rsidRPr="009A3671" w:rsidR="00CE2F18">
        <w:rPr>
          <w:rFonts w:cs="Times New Roman"/>
          <w:i/>
          <w:iCs/>
        </w:rPr>
        <w:t xml:space="preserve"> </w:t>
      </w:r>
      <w:r w:rsidRPr="009A3671" w:rsidR="00417D30">
        <w:rPr>
          <w:rFonts w:cs="Times New Roman"/>
          <w:i/>
          <w:iCs/>
        </w:rPr>
        <w:t xml:space="preserve">Modifications and Tariffs for Generation Service, </w:t>
      </w:r>
      <w:r w:rsidRPr="009A3671" w:rsidR="00417D30">
        <w:rPr>
          <w:rFonts w:cs="Times New Roman"/>
        </w:rPr>
        <w:t>Case No. 17-1263-EL-SSO, Opinion and Order at ¶ 114 (Dec. 19, 2018)</w:t>
      </w:r>
      <w:r w:rsidRPr="009A3671" w:rsidR="00DE5735">
        <w:rPr>
          <w:rFonts w:cs="Times New Roman"/>
        </w:rPr>
        <w:t>.</w:t>
      </w:r>
    </w:p>
  </w:footnote>
  <w:footnote w:id="105">
    <w:p w:rsidR="009F7E48" w:rsidRPr="009A3671" w:rsidP="009A3671" w14:paraId="07BC2011" w14:textId="1F776FDD">
      <w:pPr>
        <w:pStyle w:val="FootnoteText"/>
        <w:spacing w:after="120"/>
        <w:rPr>
          <w:rFonts w:cs="Times New Roman"/>
        </w:rPr>
      </w:pPr>
      <w:r w:rsidRPr="009A3671">
        <w:rPr>
          <w:rStyle w:val="FootnoteReference"/>
          <w:rFonts w:cs="Times New Roman"/>
        </w:rPr>
        <w:footnoteRef/>
      </w:r>
      <w:r w:rsidRPr="009A3671">
        <w:rPr>
          <w:rFonts w:cs="Times New Roman"/>
        </w:rPr>
        <w:t xml:space="preserve"> Staff Ex. 8, Direct Testimony of Devin Mackey (</w:t>
      </w:r>
      <w:r w:rsidR="009F1383">
        <w:rPr>
          <w:rFonts w:cs="Times New Roman"/>
        </w:rPr>
        <w:t>“</w:t>
      </w:r>
      <w:r w:rsidRPr="009A3671">
        <w:rPr>
          <w:rFonts w:cs="Times New Roman"/>
        </w:rPr>
        <w:t>Mackey Testimony</w:t>
      </w:r>
      <w:r w:rsidR="009F1383">
        <w:rPr>
          <w:rFonts w:cs="Times New Roman"/>
        </w:rPr>
        <w:t>”</w:t>
      </w:r>
      <w:r w:rsidRPr="009A3671">
        <w:rPr>
          <w:rFonts w:cs="Times New Roman"/>
        </w:rPr>
        <w:t>) at 8-9 (Oct</w:t>
      </w:r>
      <w:r w:rsidRPr="009A3671" w:rsidR="004027C0">
        <w:rPr>
          <w:rFonts w:cs="Times New Roman"/>
        </w:rPr>
        <w:t>.</w:t>
      </w:r>
      <w:r w:rsidRPr="009A3671">
        <w:rPr>
          <w:rFonts w:cs="Times New Roman"/>
        </w:rPr>
        <w:t xml:space="preserve"> 30, 2023).</w:t>
      </w:r>
    </w:p>
  </w:footnote>
  <w:footnote w:id="106">
    <w:p w:rsidR="00645098" w:rsidRPr="009A3671" w:rsidP="009A3671" w14:paraId="3447B828" w14:textId="4DB48D5A">
      <w:pPr>
        <w:pStyle w:val="FootnoteText"/>
        <w:spacing w:after="120"/>
        <w:rPr>
          <w:rFonts w:cs="Times New Roman"/>
          <w:i/>
          <w:iCs/>
        </w:rPr>
      </w:pPr>
      <w:r w:rsidRPr="009A3671">
        <w:rPr>
          <w:rStyle w:val="FootnoteReference"/>
          <w:rFonts w:cs="Times New Roman"/>
        </w:rPr>
        <w:footnoteRef/>
      </w:r>
      <w:r w:rsidRPr="009A3671">
        <w:rPr>
          <w:rFonts w:cs="Times New Roman"/>
        </w:rPr>
        <w:t xml:space="preserve"> </w:t>
      </w:r>
      <w:r w:rsidRPr="009A3671" w:rsidR="009F7E48">
        <w:rPr>
          <w:rFonts w:cs="Times New Roman"/>
          <w:i/>
          <w:iCs/>
        </w:rPr>
        <w:t>Id.</w:t>
      </w:r>
    </w:p>
  </w:footnote>
  <w:footnote w:id="107">
    <w:p w:rsidR="009F7E48" w:rsidRPr="009A3671" w:rsidP="009A3671" w14:paraId="2778523C" w14:textId="77777777">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Id.</w:t>
      </w:r>
      <w:r w:rsidRPr="009A3671">
        <w:rPr>
          <w:rFonts w:cs="Times New Roman"/>
        </w:rPr>
        <w:t xml:space="preserve"> at 18.</w:t>
      </w:r>
    </w:p>
  </w:footnote>
  <w:footnote w:id="108">
    <w:p w:rsidR="004E211D" w:rsidRPr="009A3671" w:rsidP="009A3671" w14:paraId="4EBB4533" w14:textId="65146B8C">
      <w:pPr>
        <w:pStyle w:val="FootnoteText"/>
        <w:spacing w:after="120"/>
        <w:rPr>
          <w:rFonts w:cs="Times New Roman"/>
          <w:i/>
          <w:iCs/>
        </w:rPr>
      </w:pPr>
      <w:r w:rsidRPr="009A3671">
        <w:rPr>
          <w:rStyle w:val="FootnoteReference"/>
          <w:rFonts w:cs="Times New Roman"/>
        </w:rPr>
        <w:footnoteRef/>
      </w:r>
      <w:r w:rsidRPr="009A3671">
        <w:rPr>
          <w:rFonts w:cs="Times New Roman"/>
        </w:rPr>
        <w:t xml:space="preserve"> </w:t>
      </w:r>
      <w:r w:rsidRPr="009A3671">
        <w:rPr>
          <w:rFonts w:cs="Times New Roman"/>
          <w:i/>
          <w:iCs/>
        </w:rPr>
        <w:t xml:space="preserve">Id. </w:t>
      </w:r>
    </w:p>
  </w:footnote>
  <w:footnote w:id="109">
    <w:p w:rsidR="004E211D" w:rsidRPr="009A3671" w:rsidP="009A3671" w14:paraId="0A656474" w14:textId="2B15F73F">
      <w:pPr>
        <w:pStyle w:val="FootnoteText"/>
        <w:spacing w:after="120"/>
        <w:rPr>
          <w:rFonts w:cs="Times New Roman"/>
        </w:rPr>
      </w:pPr>
      <w:r w:rsidRPr="009A3671">
        <w:rPr>
          <w:rStyle w:val="FootnoteReference"/>
          <w:rFonts w:cs="Times New Roman"/>
        </w:rPr>
        <w:footnoteRef/>
      </w:r>
      <w:r w:rsidRPr="009A3671">
        <w:rPr>
          <w:rFonts w:cs="Times New Roman"/>
        </w:rPr>
        <w:t xml:space="preserve"> R.C. 4909.15(A)(1).</w:t>
      </w:r>
    </w:p>
  </w:footnote>
  <w:footnote w:id="110">
    <w:p w:rsidR="00823601" w:rsidRPr="009A3671" w:rsidP="009A3671" w14:paraId="22BFA321" w14:textId="1823EF08">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sidR="00901669">
        <w:rPr>
          <w:rFonts w:cs="Times New Roman"/>
        </w:rPr>
        <w:t>Meyer Testimony at 32</w:t>
      </w:r>
      <w:r w:rsidRPr="009A3671" w:rsidR="00EA5101">
        <w:rPr>
          <w:rFonts w:cs="Times New Roman"/>
        </w:rPr>
        <w:t>.</w:t>
      </w:r>
    </w:p>
  </w:footnote>
  <w:footnote w:id="111">
    <w:p w:rsidR="00A77408" w:rsidRPr="009A3671" w:rsidP="009A3671" w14:paraId="4EB8F5B9" w14:textId="5F407E2C">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sidR="00F842A5">
        <w:rPr>
          <w:rFonts w:cs="Times New Roman"/>
          <w:i/>
          <w:iCs/>
        </w:rPr>
        <w:t>Id.</w:t>
      </w:r>
      <w:r w:rsidRPr="009A3671">
        <w:rPr>
          <w:rFonts w:cs="Times New Roman"/>
        </w:rPr>
        <w:t xml:space="preserve"> at 33</w:t>
      </w:r>
      <w:r w:rsidRPr="009A3671" w:rsidR="004413DE">
        <w:rPr>
          <w:rFonts w:cs="Times New Roman"/>
        </w:rPr>
        <w:t>.</w:t>
      </w:r>
    </w:p>
  </w:footnote>
  <w:footnote w:id="112">
    <w:p w:rsidR="00A72127" w:rsidRPr="009A3671" w:rsidP="009A3671" w14:paraId="0C03CB0A" w14:textId="025FEE5A">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 xml:space="preserve">In the Matter of the Application of Duke Energy Ohio, Inc. for Approval of an Alternative Form of Regulation to Establish a Capital Expenditure Program Rider Mechanism, </w:t>
      </w:r>
      <w:r w:rsidRPr="009A3671">
        <w:rPr>
          <w:rFonts w:cs="Times New Roman"/>
        </w:rPr>
        <w:t>Case No. 19-791-GA-ALT, Opinion and Order (Apr</w:t>
      </w:r>
      <w:r w:rsidR="00427D21">
        <w:rPr>
          <w:rFonts w:cs="Times New Roman"/>
        </w:rPr>
        <w:t>il</w:t>
      </w:r>
      <w:r w:rsidRPr="009A3671">
        <w:rPr>
          <w:rFonts w:cs="Times New Roman"/>
        </w:rPr>
        <w:t xml:space="preserve"> 21, 2021).</w:t>
      </w:r>
    </w:p>
  </w:footnote>
  <w:footnote w:id="113">
    <w:p w:rsidR="002F3CF5" w:rsidRPr="009A3671" w:rsidP="009A3671" w14:paraId="2A7705CE" w14:textId="2D7F4202">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sidR="00F842A5">
        <w:rPr>
          <w:rFonts w:cs="Times New Roman"/>
          <w:i/>
          <w:iCs/>
        </w:rPr>
        <w:t>Id.</w:t>
      </w:r>
      <w:r w:rsidRPr="009A3671" w:rsidR="0020744A">
        <w:rPr>
          <w:rFonts w:cs="Times New Roman"/>
        </w:rPr>
        <w:t xml:space="preserve"> at 33</w:t>
      </w:r>
      <w:r w:rsidRPr="009A3671" w:rsidR="000808D6">
        <w:rPr>
          <w:rFonts w:cs="Times New Roman"/>
        </w:rPr>
        <w:t>.</w:t>
      </w:r>
    </w:p>
  </w:footnote>
  <w:footnote w:id="114">
    <w:p w:rsidR="00CF4A66" w:rsidRPr="009A3671" w:rsidP="009A3671" w14:paraId="1EBB72DC" w14:textId="578BBC9A">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sidR="00F842A5">
        <w:rPr>
          <w:rFonts w:cs="Times New Roman"/>
          <w:i/>
          <w:iCs/>
        </w:rPr>
        <w:t>Id.</w:t>
      </w:r>
      <w:r w:rsidRPr="009A3671">
        <w:rPr>
          <w:rFonts w:cs="Times New Roman"/>
        </w:rPr>
        <w:t xml:space="preserve"> at 38</w:t>
      </w:r>
      <w:r w:rsidRPr="009A3671" w:rsidR="000808D6">
        <w:rPr>
          <w:rFonts w:cs="Times New Roman"/>
        </w:rPr>
        <w:t>.</w:t>
      </w:r>
    </w:p>
  </w:footnote>
  <w:footnote w:id="115">
    <w:p w:rsidR="009D58FB" w:rsidRPr="009A3671" w:rsidP="009A3671" w14:paraId="5E4BA6F5" w14:textId="77777777">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 xml:space="preserve">Id. </w:t>
      </w:r>
      <w:r w:rsidRPr="009A3671">
        <w:rPr>
          <w:rFonts w:cs="Times New Roman"/>
        </w:rPr>
        <w:t>at 10.</w:t>
      </w:r>
    </w:p>
  </w:footnote>
  <w:footnote w:id="116">
    <w:p w:rsidR="006A53F9" w:rsidRPr="009A3671" w:rsidP="009A3671" w14:paraId="69453FE9" w14:textId="56B20C84">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sidR="00A21BD9">
        <w:rPr>
          <w:rFonts w:cs="Times New Roman"/>
          <w:i/>
          <w:iCs/>
        </w:rPr>
        <w:t>Id.</w:t>
      </w:r>
      <w:r w:rsidRPr="009A3671" w:rsidR="0020744A">
        <w:rPr>
          <w:rFonts w:cs="Times New Roman"/>
        </w:rPr>
        <w:t xml:space="preserve"> </w:t>
      </w:r>
      <w:r w:rsidRPr="009A3671" w:rsidR="009D58FB">
        <w:rPr>
          <w:rFonts w:cs="Times New Roman"/>
        </w:rPr>
        <w:t>at 38.</w:t>
      </w:r>
    </w:p>
  </w:footnote>
  <w:footnote w:id="117">
    <w:p w:rsidR="009D58FB" w:rsidRPr="009A3671" w:rsidP="009A3671" w14:paraId="18C3A41E" w14:textId="6F790324">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 xml:space="preserve">Id. </w:t>
      </w:r>
      <w:r w:rsidRPr="009A3671">
        <w:rPr>
          <w:rFonts w:cs="Times New Roman"/>
        </w:rPr>
        <w:t>at 38</w:t>
      </w:r>
      <w:r w:rsidRPr="009A3671" w:rsidR="00992765">
        <w:rPr>
          <w:rFonts w:cs="Times New Roman"/>
        </w:rPr>
        <w:t>-</w:t>
      </w:r>
      <w:r w:rsidRPr="009A3671">
        <w:rPr>
          <w:rFonts w:cs="Times New Roman"/>
        </w:rPr>
        <w:t>39.</w:t>
      </w:r>
    </w:p>
  </w:footnote>
  <w:footnote w:id="118">
    <w:p w:rsidR="004C56D1" w:rsidRPr="009A3671" w:rsidP="009A3671" w14:paraId="0AE08EB1" w14:textId="3960192B">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sidR="009C4844">
        <w:rPr>
          <w:rFonts w:cs="Times New Roman"/>
          <w:i/>
          <w:iCs/>
        </w:rPr>
        <w:t xml:space="preserve">In re </w:t>
      </w:r>
      <w:r w:rsidRPr="009A3671" w:rsidR="00B37EAC">
        <w:rPr>
          <w:rFonts w:cs="Times New Roman"/>
          <w:i/>
          <w:iCs/>
        </w:rPr>
        <w:t xml:space="preserve">AES Ohio ESP IV Case, </w:t>
      </w:r>
      <w:r w:rsidRPr="009A3671" w:rsidR="00B37EAC">
        <w:rPr>
          <w:rFonts w:cs="Times New Roman"/>
        </w:rPr>
        <w:t>Case No. 22-900-EL-SSO,</w:t>
      </w:r>
      <w:r w:rsidRPr="009A3671" w:rsidR="00641DBB">
        <w:rPr>
          <w:rFonts w:cs="Times New Roman"/>
        </w:rPr>
        <w:t xml:space="preserve"> et al., </w:t>
      </w:r>
      <w:r w:rsidRPr="009A3671" w:rsidR="00B37EAC">
        <w:rPr>
          <w:rFonts w:cs="Times New Roman"/>
        </w:rPr>
        <w:t xml:space="preserve">Opinion &amp; Order at ¶ 77 (Aug. 9, 2023); </w:t>
      </w:r>
      <w:r w:rsidRPr="009A3671" w:rsidR="00B37EAC">
        <w:rPr>
          <w:rFonts w:cs="Times New Roman"/>
          <w:i/>
          <w:iCs/>
        </w:rPr>
        <w:t>In re Duke ESP IV Case,</w:t>
      </w:r>
      <w:r w:rsidRPr="009A3671" w:rsidR="00B37EAC">
        <w:rPr>
          <w:rFonts w:cs="Times New Roman"/>
        </w:rPr>
        <w:t xml:space="preserve"> Case No 17-1263-EL-SSO, Opinion &amp; Order (Dec. 19, 2018) (approving revenue caps for Rider DC</w:t>
      </w:r>
      <w:r w:rsidRPr="009A3671" w:rsidR="009C4844">
        <w:rPr>
          <w:rFonts w:cs="Times New Roman"/>
        </w:rPr>
        <w:t>I</w:t>
      </w:r>
      <w:r w:rsidRPr="009A3671" w:rsidR="00B37EAC">
        <w:rPr>
          <w:rFonts w:cs="Times New Roman"/>
        </w:rPr>
        <w:t xml:space="preserve">); </w:t>
      </w:r>
      <w:r w:rsidRPr="009A3671" w:rsidR="00B37EAC">
        <w:rPr>
          <w:rFonts w:cs="Times New Roman"/>
          <w:i/>
          <w:iCs/>
        </w:rPr>
        <w:t>In re AEP ESP IV</w:t>
      </w:r>
      <w:r w:rsidRPr="009A3671" w:rsidR="00B37EAC">
        <w:rPr>
          <w:rFonts w:cs="Times New Roman"/>
        </w:rPr>
        <w:t>, Case No. 16-1852-EL-SSO, Opinion &amp; Order (Apr</w:t>
      </w:r>
      <w:r w:rsidRPr="009A3671" w:rsidR="00BE2083">
        <w:rPr>
          <w:rFonts w:cs="Times New Roman"/>
        </w:rPr>
        <w:t>il</w:t>
      </w:r>
      <w:r w:rsidRPr="009A3671" w:rsidR="00B37EAC">
        <w:rPr>
          <w:rFonts w:cs="Times New Roman"/>
        </w:rPr>
        <w:t xml:space="preserve"> 25, 2018) (approving revenue caps for Rider DIR).</w:t>
      </w:r>
    </w:p>
  </w:footnote>
  <w:footnote w:id="119">
    <w:p w:rsidR="00012794" w:rsidRPr="009A3671" w:rsidP="009A3671" w14:paraId="2FBC37A0" w14:textId="092C7D5A">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In re Application of Suburban Natural Gas Co</w:t>
      </w:r>
      <w:r w:rsidRPr="009A3671">
        <w:rPr>
          <w:rFonts w:cs="Times New Roman"/>
        </w:rPr>
        <w:t>., 166 Ohio St.3d 176, 2021-Ohio-3224.</w:t>
      </w:r>
    </w:p>
  </w:footnote>
  <w:footnote w:id="120">
    <w:p w:rsidR="007A1753" w:rsidRPr="009A3671" w:rsidP="009A3671" w14:paraId="16CDC2F0" w14:textId="3577CADF">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sidR="00B37EAC">
        <w:rPr>
          <w:rFonts w:cs="Times New Roman"/>
        </w:rPr>
        <w:t>Meyer Testimony</w:t>
      </w:r>
      <w:r w:rsidRPr="009A3671">
        <w:rPr>
          <w:rFonts w:cs="Times New Roman"/>
        </w:rPr>
        <w:t xml:space="preserve"> at 39</w:t>
      </w:r>
      <w:r w:rsidRPr="009A3671" w:rsidR="000808D6">
        <w:rPr>
          <w:rFonts w:cs="Times New Roman"/>
        </w:rPr>
        <w:t>.</w:t>
      </w:r>
    </w:p>
  </w:footnote>
  <w:footnote w:id="121">
    <w:p w:rsidR="00CE4CF6" w:rsidRPr="009A3671" w:rsidP="009A3671" w14:paraId="7632AFC0" w14:textId="29BB7F9D">
      <w:pPr>
        <w:pStyle w:val="FootnoteText"/>
        <w:spacing w:after="120"/>
        <w:rPr>
          <w:rFonts w:cs="Times New Roman"/>
        </w:rPr>
      </w:pPr>
      <w:r w:rsidRPr="009A3671">
        <w:rPr>
          <w:rStyle w:val="FootnoteReference"/>
          <w:rFonts w:cs="Times New Roman"/>
        </w:rPr>
        <w:footnoteRef/>
      </w:r>
      <w:r w:rsidRPr="009A3671">
        <w:rPr>
          <w:rFonts w:cs="Times New Roman"/>
        </w:rPr>
        <w:t xml:space="preserve"> R.C. 4909.15(A).</w:t>
      </w:r>
    </w:p>
  </w:footnote>
  <w:footnote w:id="122">
    <w:p w:rsidR="0075526F" w:rsidRPr="009A3671" w:rsidP="009A3671" w14:paraId="060C5D97" w14:textId="0FDFCE59">
      <w:pPr>
        <w:pStyle w:val="FootnoteText"/>
        <w:spacing w:after="120"/>
        <w:rPr>
          <w:rFonts w:cs="Times New Roman"/>
        </w:rPr>
      </w:pPr>
      <w:r w:rsidRPr="009A3671">
        <w:rPr>
          <w:rStyle w:val="FootnoteReference"/>
          <w:rFonts w:cs="Times New Roman"/>
        </w:rPr>
        <w:footnoteRef/>
      </w:r>
      <w:r w:rsidRPr="009A3671">
        <w:rPr>
          <w:rFonts w:cs="Times New Roman"/>
        </w:rPr>
        <w:t xml:space="preserve"> Meyer Testimony at 40.</w:t>
      </w:r>
    </w:p>
  </w:footnote>
  <w:footnote w:id="123">
    <w:p w:rsidR="00FA2212" w:rsidRPr="009A3671" w:rsidP="009A3671" w14:paraId="0C9147B3" w14:textId="56D34420">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sidR="00A21BD9">
        <w:rPr>
          <w:rFonts w:cs="Times New Roman"/>
          <w:i/>
          <w:iCs/>
        </w:rPr>
        <w:t>Id.</w:t>
      </w:r>
      <w:r w:rsidRPr="009A3671">
        <w:rPr>
          <w:rFonts w:cs="Times New Roman"/>
        </w:rPr>
        <w:t xml:space="preserve"> at 6</w:t>
      </w:r>
      <w:r w:rsidRPr="009A3671" w:rsidR="00992765">
        <w:rPr>
          <w:rFonts w:cs="Times New Roman"/>
        </w:rPr>
        <w:t>.</w:t>
      </w:r>
    </w:p>
  </w:footnote>
  <w:footnote w:id="124">
    <w:p w:rsidR="00FA2212" w:rsidRPr="009A3671" w:rsidP="009A3671" w14:paraId="6F06B198" w14:textId="27028147">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sidR="00A21BD9">
        <w:rPr>
          <w:rFonts w:cs="Times New Roman"/>
          <w:i/>
          <w:iCs/>
        </w:rPr>
        <w:t>Id.</w:t>
      </w:r>
      <w:r w:rsidRPr="009A3671">
        <w:rPr>
          <w:rFonts w:cs="Times New Roman"/>
        </w:rPr>
        <w:t xml:space="preserve"> at 7</w:t>
      </w:r>
      <w:r w:rsidRPr="009A3671" w:rsidR="00992765">
        <w:rPr>
          <w:rFonts w:cs="Times New Roman"/>
        </w:rPr>
        <w:t>.</w:t>
      </w:r>
    </w:p>
  </w:footnote>
  <w:footnote w:id="125">
    <w:p w:rsidR="00FA2212" w:rsidRPr="009A3671" w:rsidP="009A3671" w14:paraId="6ED7FC84" w14:textId="3259E6A1">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sidR="00C55E11">
        <w:rPr>
          <w:rFonts w:cs="Times New Roman"/>
          <w:i/>
          <w:iCs/>
        </w:rPr>
        <w:t>Id.</w:t>
      </w:r>
      <w:r w:rsidRPr="009A3671">
        <w:rPr>
          <w:rFonts w:cs="Times New Roman"/>
        </w:rPr>
        <w:t xml:space="preserve"> at 9</w:t>
      </w:r>
      <w:r w:rsidRPr="009A3671" w:rsidR="00992765">
        <w:rPr>
          <w:rFonts w:cs="Times New Roman"/>
        </w:rPr>
        <w:t>.</w:t>
      </w:r>
    </w:p>
  </w:footnote>
  <w:footnote w:id="126">
    <w:p w:rsidR="00FA2212" w:rsidRPr="009A3671" w:rsidP="009A3671" w14:paraId="6EFF4E29" w14:textId="49C72327">
      <w:pPr>
        <w:pStyle w:val="FootnoteText"/>
        <w:spacing w:after="120"/>
        <w:rPr>
          <w:rFonts w:cs="Times New Roman"/>
          <w:i/>
          <w:iCs/>
        </w:rPr>
      </w:pPr>
      <w:r w:rsidRPr="009A3671">
        <w:rPr>
          <w:rStyle w:val="FootnoteReference"/>
          <w:rFonts w:cs="Times New Roman"/>
        </w:rPr>
        <w:footnoteRef/>
      </w:r>
      <w:r w:rsidRPr="009A3671">
        <w:rPr>
          <w:rFonts w:cs="Times New Roman"/>
        </w:rPr>
        <w:t xml:space="preserve"> </w:t>
      </w:r>
      <w:r w:rsidRPr="009A3671" w:rsidR="00C55E11">
        <w:rPr>
          <w:rFonts w:cs="Times New Roman"/>
          <w:i/>
          <w:iCs/>
        </w:rPr>
        <w:t>Id.</w:t>
      </w:r>
      <w:r w:rsidRPr="009A3671" w:rsidR="00F7252F">
        <w:rPr>
          <w:rFonts w:cs="Times New Roman"/>
          <w:i/>
          <w:iCs/>
        </w:rPr>
        <w:t xml:space="preserve"> </w:t>
      </w:r>
    </w:p>
  </w:footnote>
  <w:footnote w:id="127">
    <w:p w:rsidR="00FA2212" w:rsidRPr="009A3671" w:rsidP="009A3671" w14:paraId="53665EA0" w14:textId="12F5F3BA">
      <w:pPr>
        <w:pStyle w:val="FootnoteText"/>
        <w:spacing w:after="120"/>
        <w:rPr>
          <w:rFonts w:cs="Times New Roman"/>
          <w:i/>
          <w:iCs/>
        </w:rPr>
      </w:pPr>
      <w:r w:rsidRPr="009A3671">
        <w:rPr>
          <w:rStyle w:val="FootnoteReference"/>
          <w:rFonts w:cs="Times New Roman"/>
        </w:rPr>
        <w:footnoteRef/>
      </w:r>
      <w:r w:rsidRPr="009A3671">
        <w:rPr>
          <w:rFonts w:cs="Times New Roman"/>
        </w:rPr>
        <w:t xml:space="preserve"> </w:t>
      </w:r>
      <w:r w:rsidRPr="009A3671" w:rsidR="00C55E11">
        <w:rPr>
          <w:rFonts w:cs="Times New Roman"/>
          <w:i/>
          <w:iCs/>
        </w:rPr>
        <w:t>Id.</w:t>
      </w:r>
      <w:r w:rsidRPr="009A3671" w:rsidR="00F7252F">
        <w:rPr>
          <w:rFonts w:cs="Times New Roman"/>
        </w:rPr>
        <w:t xml:space="preserve"> </w:t>
      </w:r>
    </w:p>
  </w:footnote>
  <w:footnote w:id="128">
    <w:p w:rsidR="00FA2212" w:rsidRPr="009A3671" w:rsidP="009A3671" w14:paraId="1948F0FA" w14:textId="28EE80EC">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sidR="00C55E11">
        <w:rPr>
          <w:rFonts w:cs="Times New Roman"/>
          <w:i/>
          <w:iCs/>
        </w:rPr>
        <w:t>Id.</w:t>
      </w:r>
      <w:r w:rsidRPr="009A3671">
        <w:rPr>
          <w:rFonts w:cs="Times New Roman"/>
        </w:rPr>
        <w:t xml:space="preserve"> at 10</w:t>
      </w:r>
      <w:r w:rsidRPr="009A3671" w:rsidR="00992765">
        <w:rPr>
          <w:rFonts w:cs="Times New Roman"/>
        </w:rPr>
        <w:t>.</w:t>
      </w:r>
    </w:p>
  </w:footnote>
  <w:footnote w:id="129">
    <w:p w:rsidR="00FA2212" w:rsidRPr="009A3671" w:rsidP="009A3671" w14:paraId="1E5159EC" w14:textId="3B0D41CB">
      <w:pPr>
        <w:pStyle w:val="FootnoteText"/>
        <w:spacing w:after="120"/>
        <w:rPr>
          <w:rFonts w:cs="Times New Roman"/>
          <w:i/>
          <w:iCs/>
        </w:rPr>
      </w:pPr>
      <w:r w:rsidRPr="009A3671">
        <w:rPr>
          <w:rStyle w:val="FootnoteReference"/>
          <w:rFonts w:cs="Times New Roman"/>
        </w:rPr>
        <w:footnoteRef/>
      </w:r>
      <w:r w:rsidRPr="009A3671">
        <w:rPr>
          <w:rFonts w:cs="Times New Roman"/>
        </w:rPr>
        <w:t xml:space="preserve"> </w:t>
      </w:r>
      <w:r w:rsidRPr="009A3671" w:rsidR="00C55E11">
        <w:rPr>
          <w:rFonts w:cs="Times New Roman"/>
          <w:i/>
          <w:iCs/>
        </w:rPr>
        <w:t>Id.</w:t>
      </w:r>
    </w:p>
  </w:footnote>
  <w:footnote w:id="130">
    <w:p w:rsidR="00FA2212" w:rsidRPr="009A3671" w:rsidP="009A3671" w14:paraId="31F387EE" w14:textId="4874485D">
      <w:pPr>
        <w:pStyle w:val="FootnoteText"/>
        <w:spacing w:after="120"/>
        <w:rPr>
          <w:rFonts w:cs="Times New Roman"/>
          <w:i/>
          <w:iCs/>
        </w:rPr>
      </w:pPr>
      <w:r w:rsidRPr="009A3671">
        <w:rPr>
          <w:rStyle w:val="FootnoteReference"/>
          <w:rFonts w:cs="Times New Roman"/>
        </w:rPr>
        <w:footnoteRef/>
      </w:r>
      <w:r w:rsidRPr="009A3671">
        <w:rPr>
          <w:rFonts w:cs="Times New Roman"/>
        </w:rPr>
        <w:t xml:space="preserve"> </w:t>
      </w:r>
      <w:r w:rsidRPr="009A3671" w:rsidR="00C55E11">
        <w:rPr>
          <w:rFonts w:cs="Times New Roman"/>
          <w:i/>
          <w:iCs/>
        </w:rPr>
        <w:t>Id.</w:t>
      </w:r>
      <w:r w:rsidRPr="009A3671" w:rsidR="00F7252F">
        <w:rPr>
          <w:rFonts w:cs="Times New Roman"/>
        </w:rPr>
        <w:t xml:space="preserve"> </w:t>
      </w:r>
    </w:p>
  </w:footnote>
  <w:footnote w:id="131">
    <w:p w:rsidR="00992765" w:rsidRPr="009A3671" w:rsidP="009A3671" w14:paraId="000240D3" w14:textId="34847FA0">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 xml:space="preserve">Id. </w:t>
      </w:r>
    </w:p>
  </w:footnote>
  <w:footnote w:id="132">
    <w:p w:rsidR="00FA2212" w:rsidRPr="009A3671" w:rsidP="009A3671" w14:paraId="66B27D17" w14:textId="23EF5CC1">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sidR="00C55E11">
        <w:rPr>
          <w:rFonts w:cs="Times New Roman"/>
          <w:i/>
          <w:iCs/>
        </w:rPr>
        <w:t>Id.</w:t>
      </w:r>
      <w:r w:rsidRPr="009A3671">
        <w:rPr>
          <w:rFonts w:cs="Times New Roman"/>
        </w:rPr>
        <w:t xml:space="preserve"> </w:t>
      </w:r>
      <w:r w:rsidRPr="009A3671" w:rsidR="00F7252F">
        <w:rPr>
          <w:rFonts w:cs="Times New Roman"/>
        </w:rPr>
        <w:t>at 11</w:t>
      </w:r>
      <w:r w:rsidRPr="009A3671" w:rsidR="00992765">
        <w:rPr>
          <w:rFonts w:cs="Times New Roman"/>
        </w:rPr>
        <w:t>.</w:t>
      </w:r>
    </w:p>
  </w:footnote>
  <w:footnote w:id="133">
    <w:p w:rsidR="00182AF1" w:rsidRPr="009A3671" w:rsidP="009A3671" w14:paraId="28FBA1AD" w14:textId="57AB3707">
      <w:pPr>
        <w:pStyle w:val="FootnoteText"/>
        <w:spacing w:after="120"/>
        <w:rPr>
          <w:rFonts w:cs="Times New Roman"/>
          <w:i/>
          <w:iCs/>
        </w:rPr>
      </w:pPr>
      <w:r w:rsidRPr="009A3671">
        <w:rPr>
          <w:rStyle w:val="FootnoteReference"/>
          <w:rFonts w:cs="Times New Roman"/>
        </w:rPr>
        <w:footnoteRef/>
      </w:r>
      <w:r w:rsidRPr="009A3671">
        <w:rPr>
          <w:rFonts w:cs="Times New Roman"/>
        </w:rPr>
        <w:t xml:space="preserve"> </w:t>
      </w:r>
      <w:r w:rsidRPr="009A3671">
        <w:rPr>
          <w:rFonts w:cs="Times New Roman"/>
          <w:i/>
          <w:iCs/>
        </w:rPr>
        <w:t>Id.</w:t>
      </w:r>
    </w:p>
  </w:footnote>
  <w:footnote w:id="134">
    <w:p w:rsidR="00182AF1" w:rsidRPr="009A3671" w:rsidP="009A3671" w14:paraId="1D4D4BC3" w14:textId="25A35444">
      <w:pPr>
        <w:pStyle w:val="FootnoteText"/>
        <w:spacing w:after="120"/>
        <w:rPr>
          <w:rFonts w:cs="Times New Roman"/>
          <w:i/>
          <w:iCs/>
        </w:rPr>
      </w:pPr>
      <w:r w:rsidRPr="009A3671">
        <w:rPr>
          <w:rStyle w:val="FootnoteReference"/>
          <w:rFonts w:cs="Times New Roman"/>
        </w:rPr>
        <w:footnoteRef/>
      </w:r>
      <w:r w:rsidRPr="009A3671">
        <w:rPr>
          <w:rFonts w:cs="Times New Roman"/>
        </w:rPr>
        <w:t xml:space="preserve"> </w:t>
      </w:r>
      <w:r w:rsidRPr="009A3671">
        <w:rPr>
          <w:rFonts w:cs="Times New Roman"/>
          <w:i/>
          <w:iCs/>
        </w:rPr>
        <w:t>Id.</w:t>
      </w:r>
    </w:p>
  </w:footnote>
  <w:footnote w:id="135">
    <w:p w:rsidR="00A82749" w:rsidRPr="009A3671" w:rsidP="009A3671" w14:paraId="159793C9" w14:textId="6725F596">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sidR="00992765">
        <w:rPr>
          <w:rFonts w:cs="Times New Roman"/>
          <w:i/>
          <w:iCs/>
        </w:rPr>
        <w:t>Id.</w:t>
      </w:r>
      <w:r w:rsidRPr="009A3671">
        <w:rPr>
          <w:rFonts w:cs="Times New Roman"/>
        </w:rPr>
        <w:t xml:space="preserve"> at 12</w:t>
      </w:r>
      <w:r w:rsidRPr="009A3671" w:rsidR="00992765">
        <w:rPr>
          <w:rFonts w:cs="Times New Roman"/>
        </w:rPr>
        <w:t>.</w:t>
      </w:r>
    </w:p>
  </w:footnote>
  <w:footnote w:id="136">
    <w:p w:rsidR="008E02AA" w:rsidRPr="009A3671" w:rsidP="009A3671" w14:paraId="40B78D2B" w14:textId="52572B1D">
      <w:pPr>
        <w:pStyle w:val="FootnoteText"/>
        <w:spacing w:after="120"/>
        <w:rPr>
          <w:rFonts w:cs="Times New Roman"/>
        </w:rPr>
      </w:pPr>
      <w:r w:rsidRPr="009A3671">
        <w:rPr>
          <w:rStyle w:val="FootnoteReference"/>
          <w:rFonts w:cs="Times New Roman"/>
        </w:rPr>
        <w:footnoteRef/>
      </w:r>
      <w:r w:rsidRPr="009A3671">
        <w:rPr>
          <w:rFonts w:cs="Times New Roman"/>
        </w:rPr>
        <w:t xml:space="preserve"> FirstEnergy Ex. 7, Direct Testimony of Juliette Lawless </w:t>
      </w:r>
      <w:r w:rsidRPr="009A3671" w:rsidR="00A30654">
        <w:rPr>
          <w:rFonts w:cs="Times New Roman"/>
        </w:rPr>
        <w:t>(</w:t>
      </w:r>
      <w:r w:rsidR="009F1383">
        <w:rPr>
          <w:rFonts w:cs="Times New Roman"/>
        </w:rPr>
        <w:t>“</w:t>
      </w:r>
      <w:r w:rsidRPr="009A3671" w:rsidR="00A30654">
        <w:rPr>
          <w:rFonts w:cs="Times New Roman"/>
        </w:rPr>
        <w:t>Lawless Testimony</w:t>
      </w:r>
      <w:r w:rsidR="009F1383">
        <w:rPr>
          <w:rFonts w:cs="Times New Roman"/>
        </w:rPr>
        <w:t>”</w:t>
      </w:r>
      <w:r w:rsidRPr="009A3671" w:rsidR="00A30654">
        <w:rPr>
          <w:rFonts w:cs="Times New Roman"/>
        </w:rPr>
        <w:t xml:space="preserve">), </w:t>
      </w:r>
      <w:r w:rsidRPr="009A3671">
        <w:rPr>
          <w:rFonts w:cs="Times New Roman"/>
        </w:rPr>
        <w:t>at 2 (Apr</w:t>
      </w:r>
      <w:r w:rsidRPr="009A3671" w:rsidR="00A30654">
        <w:rPr>
          <w:rFonts w:cs="Times New Roman"/>
        </w:rPr>
        <w:t>il</w:t>
      </w:r>
      <w:r w:rsidRPr="009A3671">
        <w:rPr>
          <w:rFonts w:cs="Times New Roman"/>
        </w:rPr>
        <w:t xml:space="preserve"> 5, 2023)</w:t>
      </w:r>
      <w:r w:rsidRPr="009A3671" w:rsidR="00A30654">
        <w:rPr>
          <w:rFonts w:cs="Times New Roman"/>
        </w:rPr>
        <w:t>.</w:t>
      </w:r>
    </w:p>
  </w:footnote>
  <w:footnote w:id="137">
    <w:p w:rsidR="00904EB0" w:rsidRPr="009A3671" w:rsidP="009A3671" w14:paraId="3615D82B" w14:textId="10681A41">
      <w:pPr>
        <w:pStyle w:val="FootnoteText"/>
        <w:spacing w:after="120"/>
        <w:rPr>
          <w:rFonts w:cs="Times New Roman"/>
        </w:rPr>
      </w:pPr>
      <w:r w:rsidRPr="009A3671">
        <w:rPr>
          <w:rStyle w:val="FootnoteReference"/>
          <w:rFonts w:cs="Times New Roman"/>
        </w:rPr>
        <w:footnoteRef/>
      </w:r>
      <w:r w:rsidRPr="009A3671">
        <w:rPr>
          <w:rFonts w:cs="Times New Roman"/>
        </w:rPr>
        <w:t xml:space="preserve"> O.A.C. </w:t>
      </w:r>
      <w:r w:rsidRPr="009A3671">
        <w:rPr>
          <w:rFonts w:eastAsia="Calibri" w:cs="Times New Roman"/>
        </w:rPr>
        <w:t>4901-1:1-10-01(T).</w:t>
      </w:r>
    </w:p>
  </w:footnote>
  <w:footnote w:id="138">
    <w:p w:rsidR="008E02AA" w:rsidRPr="009A3671" w:rsidP="009A3671" w14:paraId="7A8052D2" w14:textId="5FEE39C2">
      <w:pPr>
        <w:pStyle w:val="FootnoteText"/>
        <w:spacing w:after="120"/>
        <w:rPr>
          <w:rFonts w:cs="Times New Roman"/>
        </w:rPr>
      </w:pPr>
      <w:r w:rsidRPr="009A3671">
        <w:rPr>
          <w:rStyle w:val="FootnoteReference"/>
          <w:rFonts w:cs="Times New Roman"/>
        </w:rPr>
        <w:footnoteRef/>
      </w:r>
      <w:r w:rsidRPr="009A3671">
        <w:rPr>
          <w:rFonts w:cs="Times New Roman"/>
        </w:rPr>
        <w:t xml:space="preserve"> Lawless </w:t>
      </w:r>
      <w:r w:rsidRPr="009A3671" w:rsidR="00904EB0">
        <w:rPr>
          <w:rFonts w:cs="Times New Roman"/>
        </w:rPr>
        <w:t xml:space="preserve">Testimony </w:t>
      </w:r>
      <w:r w:rsidRPr="009A3671">
        <w:rPr>
          <w:rFonts w:cs="Times New Roman"/>
        </w:rPr>
        <w:t>at 3.</w:t>
      </w:r>
    </w:p>
  </w:footnote>
  <w:footnote w:id="139">
    <w:p w:rsidR="00904EB0" w:rsidRPr="009A3671" w:rsidP="009A3671" w14:paraId="725863F2" w14:textId="606A84AA">
      <w:pPr>
        <w:pStyle w:val="FootnoteText"/>
        <w:spacing w:after="120"/>
        <w:rPr>
          <w:rFonts w:cs="Times New Roman"/>
        </w:rPr>
      </w:pPr>
      <w:r w:rsidRPr="009A3671">
        <w:rPr>
          <w:rStyle w:val="FootnoteReference"/>
          <w:rFonts w:cs="Times New Roman"/>
        </w:rPr>
        <w:footnoteRef/>
      </w:r>
      <w:r w:rsidRPr="009A3671">
        <w:rPr>
          <w:rFonts w:cs="Times New Roman"/>
        </w:rPr>
        <w:t xml:space="preserve"> O.A.C. </w:t>
      </w:r>
      <w:r w:rsidRPr="009A3671">
        <w:rPr>
          <w:rFonts w:eastAsia="Calibri" w:cs="Times New Roman"/>
        </w:rPr>
        <w:t>4901-1:1-10-01(T).</w:t>
      </w:r>
    </w:p>
  </w:footnote>
  <w:footnote w:id="140">
    <w:p w:rsidR="00D15B31" w:rsidRPr="009A3671" w:rsidP="009A3671" w14:paraId="6FB15DC7" w14:textId="77777777">
      <w:pPr>
        <w:pStyle w:val="FootnoteText"/>
        <w:spacing w:after="120"/>
        <w:rPr>
          <w:rFonts w:cs="Times New Roman"/>
        </w:rPr>
      </w:pPr>
      <w:r w:rsidRPr="009A3671">
        <w:rPr>
          <w:rStyle w:val="FootnoteReference"/>
          <w:rFonts w:cs="Times New Roman"/>
        </w:rPr>
        <w:footnoteRef/>
      </w:r>
      <w:r w:rsidRPr="009A3671">
        <w:rPr>
          <w:rFonts w:cs="Times New Roman"/>
        </w:rPr>
        <w:t xml:space="preserve"> Lawless Testimony at 3.</w:t>
      </w:r>
    </w:p>
  </w:footnote>
  <w:footnote w:id="141">
    <w:p w:rsidR="00A82749" w:rsidRPr="009A3671" w:rsidP="009A3671" w14:paraId="730D39F1" w14:textId="432CE5FA">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sidR="00182AF1">
        <w:rPr>
          <w:rFonts w:cs="Times New Roman"/>
        </w:rPr>
        <w:t xml:space="preserve">Staff Ex. 2, Direct Testimony of Jonathan J. </w:t>
      </w:r>
      <w:r w:rsidRPr="009A3671">
        <w:rPr>
          <w:rFonts w:cs="Times New Roman"/>
        </w:rPr>
        <w:t>Borer</w:t>
      </w:r>
      <w:r w:rsidRPr="009A3671" w:rsidR="00410270">
        <w:rPr>
          <w:rFonts w:cs="Times New Roman"/>
        </w:rPr>
        <w:t xml:space="preserve"> (</w:t>
      </w:r>
      <w:r w:rsidR="009F1383">
        <w:rPr>
          <w:rFonts w:cs="Times New Roman"/>
        </w:rPr>
        <w:t>“</w:t>
      </w:r>
      <w:r w:rsidRPr="009A3671" w:rsidR="00410270">
        <w:rPr>
          <w:rFonts w:cs="Times New Roman"/>
        </w:rPr>
        <w:t>Borer Testimony</w:t>
      </w:r>
      <w:r w:rsidR="009F1383">
        <w:rPr>
          <w:rFonts w:cs="Times New Roman"/>
        </w:rPr>
        <w:t>”</w:t>
      </w:r>
      <w:r w:rsidRPr="009A3671" w:rsidR="00410270">
        <w:rPr>
          <w:rFonts w:cs="Times New Roman"/>
        </w:rPr>
        <w:t xml:space="preserve">), </w:t>
      </w:r>
      <w:r w:rsidRPr="009A3671">
        <w:rPr>
          <w:rFonts w:cs="Times New Roman"/>
        </w:rPr>
        <w:t>at 6</w:t>
      </w:r>
      <w:r w:rsidRPr="009A3671" w:rsidR="00182AF1">
        <w:rPr>
          <w:rFonts w:cs="Times New Roman"/>
        </w:rPr>
        <w:t>-7</w:t>
      </w:r>
      <w:r w:rsidRPr="009A3671">
        <w:rPr>
          <w:rFonts w:cs="Times New Roman"/>
        </w:rPr>
        <w:t xml:space="preserve"> (Oct</w:t>
      </w:r>
      <w:r w:rsidRPr="009A3671" w:rsidR="00410270">
        <w:rPr>
          <w:rFonts w:cs="Times New Roman"/>
        </w:rPr>
        <w:t>.</w:t>
      </w:r>
      <w:r w:rsidRPr="009A3671">
        <w:rPr>
          <w:rFonts w:cs="Times New Roman"/>
        </w:rPr>
        <w:t xml:space="preserve"> 30, 2023)</w:t>
      </w:r>
      <w:r w:rsidRPr="009A3671" w:rsidR="00410270">
        <w:rPr>
          <w:rFonts w:cs="Times New Roman"/>
        </w:rPr>
        <w:t>.</w:t>
      </w:r>
    </w:p>
  </w:footnote>
  <w:footnote w:id="142">
    <w:p w:rsidR="00A82749" w:rsidRPr="009A3671" w:rsidP="009A3671" w14:paraId="5D74CE08" w14:textId="5E7B9620">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sidR="00182AF1">
        <w:rPr>
          <w:rFonts w:cs="Times New Roman"/>
          <w:i/>
          <w:iCs/>
        </w:rPr>
        <w:t>Id.</w:t>
      </w:r>
      <w:r w:rsidRPr="009A3671">
        <w:rPr>
          <w:rFonts w:cs="Times New Roman"/>
        </w:rPr>
        <w:t xml:space="preserve"> at 6</w:t>
      </w:r>
      <w:r w:rsidRPr="009A3671" w:rsidR="00182AF1">
        <w:rPr>
          <w:rFonts w:cs="Times New Roman"/>
        </w:rPr>
        <w:t>.</w:t>
      </w:r>
    </w:p>
  </w:footnote>
  <w:footnote w:id="143">
    <w:p w:rsidR="00A82749" w:rsidRPr="009A3671" w:rsidP="009A3671" w14:paraId="6510EFEE" w14:textId="7F9739DE">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sidR="00182AF1">
        <w:rPr>
          <w:rFonts w:cs="Times New Roman"/>
          <w:i/>
          <w:iCs/>
        </w:rPr>
        <w:t>Id.</w:t>
      </w:r>
      <w:r w:rsidRPr="009A3671">
        <w:rPr>
          <w:rFonts w:cs="Times New Roman"/>
        </w:rPr>
        <w:t xml:space="preserve"> at 7</w:t>
      </w:r>
      <w:r w:rsidRPr="009A3671" w:rsidR="00182AF1">
        <w:rPr>
          <w:rFonts w:cs="Times New Roman"/>
        </w:rPr>
        <w:t>.</w:t>
      </w:r>
    </w:p>
  </w:footnote>
  <w:footnote w:id="144">
    <w:p w:rsidR="00A82749" w:rsidRPr="009A3671" w:rsidP="009A3671" w14:paraId="55D1744C" w14:textId="3A1A2EBC">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sidR="00182AF1">
        <w:rPr>
          <w:rFonts w:cs="Times New Roman"/>
          <w:i/>
          <w:iCs/>
        </w:rPr>
        <w:t>Id.</w:t>
      </w:r>
      <w:r w:rsidRPr="009A3671">
        <w:rPr>
          <w:rFonts w:cs="Times New Roman"/>
        </w:rPr>
        <w:t xml:space="preserve"> at 9</w:t>
      </w:r>
      <w:r w:rsidRPr="009A3671" w:rsidR="00182AF1">
        <w:rPr>
          <w:rFonts w:cs="Times New Roman"/>
        </w:rPr>
        <w:t>.</w:t>
      </w:r>
    </w:p>
  </w:footnote>
  <w:footnote w:id="145">
    <w:p w:rsidR="00A82749" w:rsidRPr="009A3671" w:rsidP="009A3671" w14:paraId="5F676498" w14:textId="6EC5FB0F">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sidR="00182AF1">
        <w:rPr>
          <w:rFonts w:cs="Times New Roman"/>
          <w:i/>
          <w:iCs/>
        </w:rPr>
        <w:t>Id.</w:t>
      </w:r>
      <w:r w:rsidRPr="009A3671">
        <w:rPr>
          <w:rFonts w:cs="Times New Roman"/>
        </w:rPr>
        <w:t xml:space="preserve"> at 7</w:t>
      </w:r>
      <w:r w:rsidRPr="009A3671" w:rsidR="00182AF1">
        <w:rPr>
          <w:rFonts w:cs="Times New Roman"/>
        </w:rPr>
        <w:t>.</w:t>
      </w:r>
    </w:p>
  </w:footnote>
  <w:footnote w:id="146">
    <w:p w:rsidR="00A82749" w:rsidRPr="009A3671" w:rsidP="009A3671" w14:paraId="1C4C5694" w14:textId="18EE73F6">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sidR="00182AF1">
        <w:rPr>
          <w:rFonts w:cs="Times New Roman"/>
          <w:i/>
          <w:iCs/>
        </w:rPr>
        <w:t>Id.</w:t>
      </w:r>
      <w:r w:rsidRPr="009A3671">
        <w:rPr>
          <w:rFonts w:cs="Times New Roman"/>
        </w:rPr>
        <w:t xml:space="preserve"> at 9</w:t>
      </w:r>
      <w:r w:rsidRPr="009A3671" w:rsidR="00182AF1">
        <w:rPr>
          <w:rFonts w:cs="Times New Roman"/>
        </w:rPr>
        <w:t>.</w:t>
      </w:r>
    </w:p>
  </w:footnote>
  <w:footnote w:id="147">
    <w:p w:rsidR="009967E2" w:rsidRPr="009A3671" w:rsidP="009A3671" w14:paraId="6EF92226" w14:textId="328C8CC0">
      <w:pPr>
        <w:pStyle w:val="FootnoteText"/>
        <w:spacing w:after="120"/>
        <w:rPr>
          <w:rFonts w:cs="Times New Roman"/>
        </w:rPr>
      </w:pPr>
      <w:r w:rsidRPr="009A3671">
        <w:rPr>
          <w:rStyle w:val="FootnoteReference"/>
          <w:rFonts w:cs="Times New Roman"/>
        </w:rPr>
        <w:footnoteRef/>
      </w:r>
      <w:r w:rsidRPr="009A3671">
        <w:rPr>
          <w:rFonts w:cs="Times New Roman"/>
        </w:rPr>
        <w:t xml:space="preserve"> FirstEnergy Ex. 8, Direct Testimony of Shawn T. Standish </w:t>
      </w:r>
      <w:r w:rsidRPr="009A3671" w:rsidR="00301C59">
        <w:rPr>
          <w:rFonts w:cs="Times New Roman"/>
        </w:rPr>
        <w:t>(</w:t>
      </w:r>
      <w:r w:rsidR="009F1383">
        <w:rPr>
          <w:rFonts w:cs="Times New Roman"/>
        </w:rPr>
        <w:t>“</w:t>
      </w:r>
      <w:r w:rsidRPr="009A3671" w:rsidR="00301C59">
        <w:rPr>
          <w:rFonts w:cs="Times New Roman"/>
        </w:rPr>
        <w:t>Standish Testimony</w:t>
      </w:r>
      <w:r w:rsidR="009F1383">
        <w:rPr>
          <w:rFonts w:cs="Times New Roman"/>
        </w:rPr>
        <w:t>”</w:t>
      </w:r>
      <w:r w:rsidRPr="009A3671" w:rsidR="00301C59">
        <w:rPr>
          <w:rFonts w:cs="Times New Roman"/>
        </w:rPr>
        <w:t xml:space="preserve">), </w:t>
      </w:r>
      <w:r w:rsidRPr="009A3671">
        <w:rPr>
          <w:rFonts w:cs="Times New Roman"/>
        </w:rPr>
        <w:t>at 8</w:t>
      </w:r>
      <w:r w:rsidRPr="009A3671" w:rsidR="00301C59">
        <w:rPr>
          <w:rFonts w:cs="Times New Roman"/>
        </w:rPr>
        <w:t xml:space="preserve"> (April 5, 2023)</w:t>
      </w:r>
      <w:r w:rsidRPr="009A3671">
        <w:rPr>
          <w:rFonts w:cs="Times New Roman"/>
        </w:rPr>
        <w:t>.</w:t>
      </w:r>
    </w:p>
  </w:footnote>
  <w:footnote w:id="148">
    <w:p w:rsidR="009967E2" w:rsidRPr="009A3671" w:rsidP="009A3671" w14:paraId="41DAE09A" w14:textId="43A259A2">
      <w:pPr>
        <w:pStyle w:val="FootnoteText"/>
        <w:spacing w:after="120"/>
        <w:rPr>
          <w:rFonts w:cs="Times New Roman"/>
        </w:rPr>
      </w:pPr>
      <w:r w:rsidRPr="009A3671">
        <w:rPr>
          <w:rStyle w:val="FootnoteReference"/>
          <w:rFonts w:cs="Times New Roman"/>
        </w:rPr>
        <w:footnoteRef/>
      </w:r>
      <w:r w:rsidRPr="009A3671">
        <w:rPr>
          <w:rFonts w:cs="Times New Roman"/>
        </w:rPr>
        <w:t xml:space="preserve"> Meyer Testimony at 16.</w:t>
      </w:r>
    </w:p>
  </w:footnote>
  <w:footnote w:id="149">
    <w:p w:rsidR="00A16069" w:rsidRPr="009A3671" w:rsidP="009A3671" w14:paraId="3B0741C6" w14:textId="4CD9CD05">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sidR="00C55E11">
        <w:rPr>
          <w:rFonts w:cs="Times New Roman"/>
          <w:i/>
          <w:iCs/>
        </w:rPr>
        <w:t>Id.</w:t>
      </w:r>
      <w:r w:rsidRPr="009A3671">
        <w:rPr>
          <w:rFonts w:cs="Times New Roman"/>
        </w:rPr>
        <w:t xml:space="preserve"> </w:t>
      </w:r>
    </w:p>
  </w:footnote>
  <w:footnote w:id="150">
    <w:p w:rsidR="00AD0FC4" w:rsidRPr="009A3671" w:rsidP="009A3671" w14:paraId="6762A683" w14:textId="764EA1DD">
      <w:pPr>
        <w:pStyle w:val="FootnoteText"/>
        <w:spacing w:after="120"/>
        <w:rPr>
          <w:rFonts w:cs="Times New Roman"/>
          <w:i/>
          <w:iCs/>
        </w:rPr>
      </w:pPr>
      <w:r w:rsidRPr="009A3671">
        <w:rPr>
          <w:rStyle w:val="FootnoteReference"/>
          <w:rFonts w:cs="Times New Roman"/>
        </w:rPr>
        <w:footnoteRef/>
      </w:r>
      <w:r w:rsidRPr="009A3671">
        <w:rPr>
          <w:rFonts w:cs="Times New Roman"/>
        </w:rPr>
        <w:t xml:space="preserve"> </w:t>
      </w:r>
      <w:r w:rsidRPr="009A3671" w:rsidR="00C55E11">
        <w:rPr>
          <w:rFonts w:cs="Times New Roman"/>
          <w:i/>
          <w:iCs/>
        </w:rPr>
        <w:t>Id.</w:t>
      </w:r>
    </w:p>
  </w:footnote>
  <w:footnote w:id="151">
    <w:p w:rsidR="007A703C" w:rsidRPr="009A3671" w:rsidP="009A3671" w14:paraId="50307CC8" w14:textId="71D36D9E">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 xml:space="preserve">Id. </w:t>
      </w:r>
      <w:r w:rsidRPr="009A3671">
        <w:rPr>
          <w:rFonts w:cs="Times New Roman"/>
        </w:rPr>
        <w:t>at 17, Table GRM-2.</w:t>
      </w:r>
    </w:p>
  </w:footnote>
  <w:footnote w:id="152">
    <w:p w:rsidR="0013548E" w:rsidRPr="009A3671" w:rsidP="009A3671" w14:paraId="5D723487" w14:textId="28D039B8">
      <w:pPr>
        <w:pStyle w:val="FootnoteText"/>
        <w:spacing w:after="120"/>
        <w:rPr>
          <w:rFonts w:cs="Times New Roman"/>
        </w:rPr>
      </w:pPr>
      <w:r w:rsidRPr="009A3671">
        <w:rPr>
          <w:rStyle w:val="FootnoteReference"/>
          <w:rFonts w:cs="Times New Roman"/>
        </w:rPr>
        <w:footnoteRef/>
      </w:r>
      <w:r w:rsidRPr="009A3671">
        <w:rPr>
          <w:rFonts w:cs="Times New Roman"/>
        </w:rPr>
        <w:t xml:space="preserve"> McMillen Testimony at 11-12.</w:t>
      </w:r>
    </w:p>
  </w:footnote>
  <w:footnote w:id="153">
    <w:p w:rsidR="00842817" w:rsidRPr="009A3671" w:rsidP="009A3671" w14:paraId="4754E062" w14:textId="7FA03E49">
      <w:pPr>
        <w:pStyle w:val="FootnoteText"/>
        <w:spacing w:after="120"/>
        <w:rPr>
          <w:rFonts w:cs="Times New Roman"/>
          <w:i/>
          <w:iCs/>
        </w:rPr>
      </w:pPr>
      <w:r w:rsidRPr="009A3671">
        <w:rPr>
          <w:rStyle w:val="FootnoteReference"/>
          <w:rFonts w:cs="Times New Roman"/>
        </w:rPr>
        <w:footnoteRef/>
      </w:r>
      <w:r w:rsidRPr="009A3671">
        <w:rPr>
          <w:rFonts w:cs="Times New Roman"/>
        </w:rPr>
        <w:t xml:space="preserve"> </w:t>
      </w:r>
      <w:r w:rsidRPr="009A3671">
        <w:rPr>
          <w:rFonts w:cs="Times New Roman"/>
          <w:i/>
          <w:iCs/>
        </w:rPr>
        <w:t>Id.</w:t>
      </w:r>
    </w:p>
  </w:footnote>
  <w:footnote w:id="154">
    <w:p w:rsidR="0067062F" w:rsidRPr="009A3671" w:rsidP="009A3671" w14:paraId="16A53AF3" w14:textId="605D3469">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Id.</w:t>
      </w:r>
      <w:r w:rsidRPr="009A3671" w:rsidR="002C63D6">
        <w:rPr>
          <w:rFonts w:cs="Times New Roman"/>
        </w:rPr>
        <w:t xml:space="preserve"> at 12.</w:t>
      </w:r>
    </w:p>
  </w:footnote>
  <w:footnote w:id="155">
    <w:p w:rsidR="004E7562" w:rsidRPr="009A3671" w:rsidP="009A3671" w14:paraId="3210D38C" w14:textId="11A78B5B">
      <w:pPr>
        <w:pStyle w:val="FootnoteText"/>
        <w:spacing w:after="120"/>
        <w:rPr>
          <w:rFonts w:cs="Times New Roman"/>
        </w:rPr>
      </w:pPr>
      <w:r w:rsidRPr="009A3671">
        <w:rPr>
          <w:rStyle w:val="FootnoteReference"/>
          <w:rFonts w:cs="Times New Roman"/>
        </w:rPr>
        <w:footnoteRef/>
      </w:r>
      <w:r w:rsidRPr="009A3671">
        <w:rPr>
          <w:rFonts w:cs="Times New Roman"/>
        </w:rPr>
        <w:t xml:space="preserve"> R.C. 4928.66(A)(1)(b).</w:t>
      </w:r>
    </w:p>
  </w:footnote>
  <w:footnote w:id="156">
    <w:p w:rsidR="004E7562" w:rsidRPr="009A3671" w:rsidP="009A3671" w14:paraId="7FA9E650" w14:textId="64F5EA3A">
      <w:pPr>
        <w:pStyle w:val="FootnoteText"/>
        <w:spacing w:after="120"/>
        <w:rPr>
          <w:rFonts w:cs="Times New Roman"/>
          <w:i/>
          <w:iCs/>
        </w:rPr>
      </w:pPr>
      <w:r w:rsidRPr="009A3671">
        <w:rPr>
          <w:rStyle w:val="FootnoteReference"/>
          <w:rFonts w:cs="Times New Roman"/>
        </w:rPr>
        <w:footnoteRef/>
      </w:r>
      <w:r w:rsidRPr="009A3671">
        <w:rPr>
          <w:rFonts w:cs="Times New Roman"/>
        </w:rPr>
        <w:t xml:space="preserve"> </w:t>
      </w:r>
      <w:r w:rsidRPr="009A3671">
        <w:rPr>
          <w:rFonts w:cs="Times New Roman"/>
          <w:i/>
          <w:iCs/>
        </w:rPr>
        <w:t>Id.</w:t>
      </w:r>
    </w:p>
  </w:footnote>
  <w:footnote w:id="157">
    <w:p w:rsidR="00990263" w:rsidRPr="009A3671" w:rsidP="009A3671" w14:paraId="4966E1CB" w14:textId="3ED464D0">
      <w:pPr>
        <w:pStyle w:val="FootnoteText"/>
        <w:spacing w:after="120"/>
        <w:rPr>
          <w:rFonts w:cs="Times New Roman"/>
        </w:rPr>
      </w:pPr>
      <w:r w:rsidRPr="009A3671">
        <w:rPr>
          <w:rStyle w:val="FootnoteReference"/>
          <w:rFonts w:cs="Times New Roman"/>
        </w:rPr>
        <w:footnoteRef/>
      </w:r>
      <w:r w:rsidRPr="009A3671">
        <w:rPr>
          <w:rFonts w:cs="Times New Roman"/>
        </w:rPr>
        <w:t xml:space="preserve"> FirstEnergy Ex. 10, Direct Testimony of Edward B. Stein </w:t>
      </w:r>
      <w:r w:rsidRPr="009A3671" w:rsidR="00CA0A2D">
        <w:rPr>
          <w:rFonts w:cs="Times New Roman"/>
        </w:rPr>
        <w:t>(</w:t>
      </w:r>
      <w:r w:rsidR="009F1383">
        <w:rPr>
          <w:rFonts w:cs="Times New Roman"/>
        </w:rPr>
        <w:t>“</w:t>
      </w:r>
      <w:r w:rsidRPr="009A3671" w:rsidR="00CA0A2D">
        <w:rPr>
          <w:rFonts w:cs="Times New Roman"/>
        </w:rPr>
        <w:t>Stein Testimony</w:t>
      </w:r>
      <w:r w:rsidR="009F1383">
        <w:rPr>
          <w:rFonts w:cs="Times New Roman"/>
        </w:rPr>
        <w:t>”</w:t>
      </w:r>
      <w:r w:rsidRPr="009A3671" w:rsidR="00CA0A2D">
        <w:rPr>
          <w:rFonts w:cs="Times New Roman"/>
        </w:rPr>
        <w:t xml:space="preserve">), </w:t>
      </w:r>
      <w:r w:rsidRPr="009A3671">
        <w:rPr>
          <w:rFonts w:cs="Times New Roman"/>
        </w:rPr>
        <w:t>at 4 (Apr</w:t>
      </w:r>
      <w:r w:rsidRPr="009A3671" w:rsidR="00CA0A2D">
        <w:rPr>
          <w:rFonts w:cs="Times New Roman"/>
        </w:rPr>
        <w:t>il</w:t>
      </w:r>
      <w:r w:rsidRPr="009A3671">
        <w:rPr>
          <w:rFonts w:cs="Times New Roman"/>
        </w:rPr>
        <w:t xml:space="preserve"> 5, 2023)</w:t>
      </w:r>
      <w:r w:rsidRPr="009A3671" w:rsidR="00CA0A2D">
        <w:rPr>
          <w:rFonts w:cs="Times New Roman"/>
        </w:rPr>
        <w:t>.</w:t>
      </w:r>
    </w:p>
  </w:footnote>
  <w:footnote w:id="158">
    <w:p w:rsidR="007A6D6B" w:rsidRPr="009A3671" w:rsidP="009A3671" w14:paraId="3EA31B1E" w14:textId="1BA9287A">
      <w:pPr>
        <w:pStyle w:val="FootnoteText"/>
        <w:spacing w:after="120"/>
        <w:rPr>
          <w:rFonts w:cs="Times New Roman"/>
          <w:i/>
          <w:iCs/>
        </w:rPr>
      </w:pPr>
      <w:r w:rsidRPr="009A3671">
        <w:rPr>
          <w:rStyle w:val="FootnoteReference"/>
          <w:rFonts w:cs="Times New Roman"/>
        </w:rPr>
        <w:footnoteRef/>
      </w:r>
      <w:r w:rsidRPr="009A3671">
        <w:rPr>
          <w:rFonts w:cs="Times New Roman"/>
        </w:rPr>
        <w:t xml:space="preserve"> </w:t>
      </w:r>
      <w:r w:rsidRPr="009A3671">
        <w:rPr>
          <w:rFonts w:cs="Times New Roman"/>
          <w:i/>
          <w:iCs/>
        </w:rPr>
        <w:t>Id.</w:t>
      </w:r>
    </w:p>
  </w:footnote>
  <w:footnote w:id="159">
    <w:p w:rsidR="00F72CF0" w:rsidRPr="009A3671" w:rsidP="009A3671" w14:paraId="1CBE5C5B" w14:textId="2E25812D">
      <w:pPr>
        <w:pStyle w:val="FootnoteText"/>
        <w:spacing w:after="120"/>
        <w:rPr>
          <w:rFonts w:cs="Times New Roman"/>
        </w:rPr>
      </w:pPr>
      <w:r w:rsidRPr="009A3671">
        <w:rPr>
          <w:rStyle w:val="FootnoteReference"/>
          <w:rFonts w:cs="Times New Roman"/>
        </w:rPr>
        <w:footnoteRef/>
      </w:r>
      <w:r w:rsidRPr="009A3671">
        <w:rPr>
          <w:rFonts w:cs="Times New Roman"/>
        </w:rPr>
        <w:t xml:space="preserve"> OELC Ex. 32, Direct Testimony of Matthew Brakey </w:t>
      </w:r>
      <w:r w:rsidRPr="009A3671" w:rsidR="00F474C1">
        <w:rPr>
          <w:rFonts w:cs="Times New Roman"/>
        </w:rPr>
        <w:t>(</w:t>
      </w:r>
      <w:r w:rsidR="009F1383">
        <w:rPr>
          <w:rFonts w:cs="Times New Roman"/>
        </w:rPr>
        <w:t>“</w:t>
      </w:r>
      <w:r w:rsidRPr="009A3671" w:rsidR="00F474C1">
        <w:rPr>
          <w:rFonts w:cs="Times New Roman"/>
        </w:rPr>
        <w:t>Brakey Testimony</w:t>
      </w:r>
      <w:r w:rsidR="009F1383">
        <w:rPr>
          <w:rFonts w:cs="Times New Roman"/>
        </w:rPr>
        <w:t>”</w:t>
      </w:r>
      <w:r w:rsidRPr="009A3671" w:rsidR="00F474C1">
        <w:rPr>
          <w:rFonts w:cs="Times New Roman"/>
        </w:rPr>
        <w:t xml:space="preserve">), </w:t>
      </w:r>
      <w:r w:rsidRPr="009A3671">
        <w:rPr>
          <w:rFonts w:cs="Times New Roman"/>
        </w:rPr>
        <w:t>at 39 (Oct. 23, 2023)</w:t>
      </w:r>
      <w:r w:rsidRPr="009A3671" w:rsidR="00F474C1">
        <w:rPr>
          <w:rFonts w:cs="Times New Roman"/>
        </w:rPr>
        <w:t>.</w:t>
      </w:r>
    </w:p>
  </w:footnote>
  <w:footnote w:id="160">
    <w:p w:rsidR="00F72CF0" w:rsidRPr="009A3671" w:rsidP="009A3671" w14:paraId="3618AAE8" w14:textId="3628AAB3">
      <w:pPr>
        <w:pStyle w:val="FootnoteText"/>
        <w:spacing w:after="120"/>
        <w:rPr>
          <w:rFonts w:cs="Times New Roman"/>
          <w:i/>
          <w:iCs/>
        </w:rPr>
      </w:pPr>
      <w:r w:rsidRPr="009A3671">
        <w:rPr>
          <w:rStyle w:val="FootnoteReference"/>
          <w:rFonts w:cs="Times New Roman"/>
        </w:rPr>
        <w:footnoteRef/>
      </w:r>
      <w:r w:rsidRPr="009A3671">
        <w:rPr>
          <w:rFonts w:cs="Times New Roman"/>
        </w:rPr>
        <w:t xml:space="preserve"> </w:t>
      </w:r>
      <w:r w:rsidRPr="009A3671">
        <w:rPr>
          <w:rFonts w:cs="Times New Roman"/>
          <w:i/>
          <w:iCs/>
        </w:rPr>
        <w:t>Id.</w:t>
      </w:r>
    </w:p>
  </w:footnote>
  <w:footnote w:id="161">
    <w:p w:rsidR="0067062F" w:rsidRPr="009A3671" w:rsidP="009A3671" w14:paraId="37EA36CB" w14:textId="79E99D0B">
      <w:pPr>
        <w:pStyle w:val="FootnoteText"/>
        <w:spacing w:after="120"/>
        <w:rPr>
          <w:rFonts w:cs="Times New Roman"/>
          <w:i/>
          <w:iCs/>
        </w:rPr>
      </w:pPr>
      <w:r w:rsidRPr="009A3671">
        <w:rPr>
          <w:rStyle w:val="FootnoteReference"/>
          <w:rFonts w:cs="Times New Roman"/>
        </w:rPr>
        <w:footnoteRef/>
      </w:r>
      <w:r w:rsidRPr="009A3671">
        <w:rPr>
          <w:rFonts w:cs="Times New Roman"/>
        </w:rPr>
        <w:t xml:space="preserve"> </w:t>
      </w:r>
      <w:r w:rsidRPr="009A3671" w:rsidR="00F72CF0">
        <w:rPr>
          <w:rFonts w:cs="Times New Roman"/>
          <w:i/>
          <w:iCs/>
        </w:rPr>
        <w:t>Id.</w:t>
      </w:r>
    </w:p>
  </w:footnote>
  <w:footnote w:id="162">
    <w:p w:rsidR="00C573CE" w:rsidRPr="009A3671" w:rsidP="009A3671" w14:paraId="0289217C" w14:textId="21663479">
      <w:pPr>
        <w:pStyle w:val="FootnoteText"/>
        <w:spacing w:after="120"/>
        <w:rPr>
          <w:rFonts w:cs="Times New Roman"/>
        </w:rPr>
      </w:pPr>
      <w:r w:rsidRPr="009A3671">
        <w:rPr>
          <w:rStyle w:val="FootnoteReference"/>
          <w:rFonts w:cs="Times New Roman"/>
        </w:rPr>
        <w:footnoteRef/>
      </w:r>
      <w:r w:rsidRPr="009A3671">
        <w:rPr>
          <w:rFonts w:cs="Times New Roman"/>
        </w:rPr>
        <w:t xml:space="preserve"> PUCO Staff Ex. 10, Direct Testimony of Christopher Healey </w:t>
      </w:r>
      <w:r w:rsidRPr="009A3671" w:rsidR="001F3010">
        <w:rPr>
          <w:rFonts w:cs="Times New Roman"/>
        </w:rPr>
        <w:t>(</w:t>
      </w:r>
      <w:r w:rsidR="009F1383">
        <w:rPr>
          <w:rFonts w:cs="Times New Roman"/>
        </w:rPr>
        <w:t>“</w:t>
      </w:r>
      <w:r w:rsidRPr="009A3671" w:rsidR="001F3010">
        <w:rPr>
          <w:rFonts w:cs="Times New Roman"/>
        </w:rPr>
        <w:t>Healey Testimony</w:t>
      </w:r>
      <w:r w:rsidR="009F1383">
        <w:rPr>
          <w:rFonts w:cs="Times New Roman"/>
        </w:rPr>
        <w:t>”</w:t>
      </w:r>
      <w:r w:rsidRPr="009A3671" w:rsidR="001F3010">
        <w:rPr>
          <w:rFonts w:cs="Times New Roman"/>
        </w:rPr>
        <w:t xml:space="preserve">), </w:t>
      </w:r>
      <w:r w:rsidRPr="009A3671">
        <w:rPr>
          <w:rFonts w:cs="Times New Roman"/>
        </w:rPr>
        <w:t>at 17 (Oct. 30, 2023)</w:t>
      </w:r>
      <w:r w:rsidRPr="009A3671" w:rsidR="001F3010">
        <w:rPr>
          <w:rFonts w:cs="Times New Roman"/>
        </w:rPr>
        <w:t>.</w:t>
      </w:r>
    </w:p>
  </w:footnote>
  <w:footnote w:id="163">
    <w:p w:rsidR="00C573CE" w:rsidRPr="009A3671" w:rsidP="009A3671" w14:paraId="73DA7328" w14:textId="7FDE5648">
      <w:pPr>
        <w:pStyle w:val="FootnoteText"/>
        <w:spacing w:after="120"/>
        <w:rPr>
          <w:rFonts w:cs="Times New Roman"/>
          <w:i/>
          <w:iCs/>
        </w:rPr>
      </w:pPr>
      <w:r w:rsidRPr="009A3671">
        <w:rPr>
          <w:rStyle w:val="FootnoteReference"/>
          <w:rFonts w:cs="Times New Roman"/>
        </w:rPr>
        <w:footnoteRef/>
      </w:r>
      <w:r w:rsidRPr="009A3671">
        <w:rPr>
          <w:rFonts w:cs="Times New Roman"/>
        </w:rPr>
        <w:t xml:space="preserve"> </w:t>
      </w:r>
      <w:r w:rsidRPr="009A3671">
        <w:rPr>
          <w:rFonts w:cs="Times New Roman"/>
          <w:i/>
          <w:iCs/>
        </w:rPr>
        <w:t>Id.</w:t>
      </w:r>
    </w:p>
  </w:footnote>
  <w:footnote w:id="164">
    <w:p w:rsidR="004955F5" w:rsidRPr="009A3671" w:rsidP="009A3671" w14:paraId="04F3F6AE" w14:textId="728111D4">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sidR="001150E2">
        <w:rPr>
          <w:rFonts w:cs="Times New Roman"/>
          <w:i/>
          <w:iCs/>
        </w:rPr>
        <w:t>Id.</w:t>
      </w:r>
    </w:p>
  </w:footnote>
  <w:footnote w:id="165">
    <w:p w:rsidR="004D1639" w:rsidRPr="009A3671" w:rsidP="009A3671" w14:paraId="40CF8E45" w14:textId="22196622">
      <w:pPr>
        <w:pStyle w:val="FootnoteText"/>
        <w:spacing w:after="120"/>
        <w:rPr>
          <w:rFonts w:cs="Times New Roman"/>
        </w:rPr>
      </w:pPr>
      <w:r w:rsidRPr="009A3671">
        <w:rPr>
          <w:rStyle w:val="FootnoteReference"/>
          <w:rFonts w:cs="Times New Roman"/>
        </w:rPr>
        <w:footnoteRef/>
      </w:r>
      <w:r w:rsidRPr="009A3671">
        <w:rPr>
          <w:rFonts w:cs="Times New Roman"/>
        </w:rPr>
        <w:t xml:space="preserve"> Hearing Transcript, Vol. VII, p. 1495</w:t>
      </w:r>
      <w:r w:rsidRPr="009A3671" w:rsidR="00514E76">
        <w:rPr>
          <w:rFonts w:cs="Times New Roman"/>
        </w:rPr>
        <w:t xml:space="preserve"> (Dec. 6, 2023)</w:t>
      </w:r>
      <w:r w:rsidRPr="009A3671" w:rsidR="00301A62">
        <w:rPr>
          <w:rFonts w:cs="Times New Roman"/>
        </w:rPr>
        <w:t xml:space="preserve"> (emphasis added)</w:t>
      </w:r>
      <w:r w:rsidRPr="009A3671" w:rsidR="00514E76">
        <w:rPr>
          <w:rFonts w:cs="Times New Roman"/>
        </w:rPr>
        <w:t>.</w:t>
      </w:r>
    </w:p>
  </w:footnote>
  <w:footnote w:id="166">
    <w:p w:rsidR="006813BC" w:rsidRPr="009A3671" w:rsidP="009A3671" w14:paraId="49F98752" w14:textId="77777777">
      <w:pPr>
        <w:pStyle w:val="FootnoteText"/>
        <w:spacing w:after="120"/>
        <w:rPr>
          <w:rFonts w:cs="Times New Roman"/>
        </w:rPr>
      </w:pPr>
      <w:r w:rsidRPr="009A3671">
        <w:rPr>
          <w:rStyle w:val="FootnoteReference"/>
          <w:rFonts w:cs="Times New Roman"/>
        </w:rPr>
        <w:footnoteRef/>
      </w:r>
      <w:r w:rsidRPr="009A3671">
        <w:rPr>
          <w:rFonts w:cs="Times New Roman"/>
        </w:rPr>
        <w:t xml:space="preserve"> Hearing Transcript, Vol. VII, p. 1466-1467 (Dec. 6, 2023)</w:t>
      </w:r>
    </w:p>
  </w:footnote>
  <w:footnote w:id="167">
    <w:p w:rsidR="006813BC" w:rsidRPr="009A3671" w:rsidP="009A3671" w14:paraId="04C930F4" w14:textId="77777777">
      <w:pPr>
        <w:pStyle w:val="FootnoteText"/>
        <w:spacing w:after="120"/>
        <w:rPr>
          <w:rFonts w:cs="Times New Roman"/>
        </w:rPr>
      </w:pPr>
      <w:r w:rsidRPr="009A3671">
        <w:rPr>
          <w:rStyle w:val="FootnoteReference"/>
          <w:rFonts w:cs="Times New Roman"/>
        </w:rPr>
        <w:footnoteRef/>
      </w:r>
      <w:r w:rsidRPr="009A3671">
        <w:rPr>
          <w:rFonts w:cs="Times New Roman"/>
        </w:rPr>
        <w:t xml:space="preserve"> OCC Ex. 13, PJM Reliability Assurance Agreement at Section 9.1.</w:t>
      </w:r>
    </w:p>
  </w:footnote>
  <w:footnote w:id="168">
    <w:p w:rsidR="00035201" w:rsidRPr="009A3671" w:rsidP="009A3671" w14:paraId="59A822E5" w14:textId="55AA581E">
      <w:pPr>
        <w:pStyle w:val="FootnoteText"/>
        <w:spacing w:after="120"/>
        <w:rPr>
          <w:rFonts w:cs="Times New Roman"/>
        </w:rPr>
      </w:pPr>
      <w:r w:rsidRPr="009A3671">
        <w:rPr>
          <w:rStyle w:val="FootnoteReference"/>
          <w:rFonts w:cs="Times New Roman"/>
        </w:rPr>
        <w:footnoteRef/>
      </w:r>
      <w:r w:rsidRPr="009A3671">
        <w:rPr>
          <w:rFonts w:cs="Times New Roman"/>
        </w:rPr>
        <w:t xml:space="preserve"> Hearing</w:t>
      </w:r>
      <w:r w:rsidRPr="009A3671" w:rsidR="005F160C">
        <w:rPr>
          <w:rFonts w:cs="Times New Roman"/>
        </w:rPr>
        <w:t xml:space="preserve"> </w:t>
      </w:r>
      <w:r w:rsidRPr="009A3671">
        <w:rPr>
          <w:rFonts w:cs="Times New Roman"/>
        </w:rPr>
        <w:t xml:space="preserve">Transcript, Vol. </w:t>
      </w:r>
      <w:r w:rsidRPr="009A3671" w:rsidR="005F160C">
        <w:rPr>
          <w:rFonts w:cs="Times New Roman"/>
        </w:rPr>
        <w:t>XIV</w:t>
      </w:r>
      <w:r w:rsidRPr="009A3671">
        <w:rPr>
          <w:rFonts w:cs="Times New Roman"/>
        </w:rPr>
        <w:t xml:space="preserve">, </w:t>
      </w:r>
      <w:r w:rsidRPr="009A3671" w:rsidR="005F160C">
        <w:rPr>
          <w:rFonts w:cs="Times New Roman"/>
        </w:rPr>
        <w:t>p</w:t>
      </w:r>
      <w:r w:rsidRPr="009A3671">
        <w:rPr>
          <w:rFonts w:cs="Times New Roman"/>
        </w:rPr>
        <w:t xml:space="preserve">. </w:t>
      </w:r>
      <w:r w:rsidRPr="009A3671" w:rsidR="005F160C">
        <w:rPr>
          <w:rFonts w:cs="Times New Roman"/>
        </w:rPr>
        <w:t>2543</w:t>
      </w:r>
      <w:r w:rsidR="00B02631">
        <w:rPr>
          <w:rFonts w:cs="Times New Roman"/>
        </w:rPr>
        <w:t>:</w:t>
      </w:r>
      <w:r w:rsidRPr="009A3671" w:rsidR="005F160C">
        <w:rPr>
          <w:rFonts w:cs="Times New Roman"/>
        </w:rPr>
        <w:t>12 – p. 2544</w:t>
      </w:r>
      <w:r w:rsidR="00B02631">
        <w:rPr>
          <w:rFonts w:cs="Times New Roman"/>
        </w:rPr>
        <w:t>:</w:t>
      </w:r>
      <w:r w:rsidRPr="009A3671" w:rsidR="005F160C">
        <w:rPr>
          <w:rFonts w:cs="Times New Roman"/>
        </w:rPr>
        <w:t>7</w:t>
      </w:r>
      <w:r w:rsidRPr="009A3671">
        <w:rPr>
          <w:rFonts w:cs="Times New Roman"/>
        </w:rPr>
        <w:t xml:space="preserve"> (Dec. </w:t>
      </w:r>
      <w:r w:rsidRPr="009A3671" w:rsidR="005F160C">
        <w:rPr>
          <w:rFonts w:cs="Times New Roman"/>
        </w:rPr>
        <w:t>13</w:t>
      </w:r>
      <w:r w:rsidRPr="009A3671">
        <w:rPr>
          <w:rFonts w:cs="Times New Roman"/>
        </w:rPr>
        <w:t>, 2023).</w:t>
      </w:r>
    </w:p>
  </w:footnote>
  <w:footnote w:id="169">
    <w:p w:rsidR="001150E2" w:rsidRPr="009A3671" w:rsidP="009A3671" w14:paraId="4793239F" w14:textId="7F91EB61">
      <w:pPr>
        <w:pStyle w:val="FootnoteText"/>
        <w:spacing w:after="120"/>
        <w:rPr>
          <w:rFonts w:cs="Times New Roman"/>
        </w:rPr>
      </w:pPr>
      <w:r w:rsidRPr="009A3671">
        <w:rPr>
          <w:rStyle w:val="FootnoteReference"/>
          <w:rFonts w:cs="Times New Roman"/>
        </w:rPr>
        <w:footnoteRef/>
      </w:r>
      <w:r w:rsidRPr="009A3671">
        <w:rPr>
          <w:rFonts w:cs="Times New Roman"/>
        </w:rPr>
        <w:t xml:space="preserve"> Healey Testimony at 17.</w:t>
      </w:r>
    </w:p>
  </w:footnote>
  <w:footnote w:id="170">
    <w:p w:rsidR="001150E2" w:rsidRPr="009A3671" w:rsidP="009A3671" w14:paraId="34EAD988" w14:textId="77777777">
      <w:pPr>
        <w:pStyle w:val="FootnoteText"/>
        <w:spacing w:after="120"/>
        <w:rPr>
          <w:rFonts w:cs="Times New Roman"/>
        </w:rPr>
      </w:pPr>
      <w:r w:rsidRPr="009A3671">
        <w:rPr>
          <w:rStyle w:val="FootnoteReference"/>
          <w:rFonts w:cs="Times New Roman"/>
        </w:rPr>
        <w:footnoteRef/>
      </w:r>
      <w:r w:rsidRPr="009A3671">
        <w:rPr>
          <w:rFonts w:cs="Times New Roman"/>
        </w:rPr>
        <w:t xml:space="preserve"> R.C. 4909.35.</w:t>
      </w:r>
    </w:p>
  </w:footnote>
  <w:footnote w:id="171">
    <w:p w:rsidR="001150E2" w:rsidRPr="009A3671" w:rsidP="009A3671" w14:paraId="39929D6C" w14:textId="6B216293">
      <w:pPr>
        <w:spacing w:after="120"/>
        <w:textAlignment w:val="baseline"/>
        <w:rPr>
          <w:rFonts w:cs="Times New Roman"/>
          <w:sz w:val="20"/>
          <w:szCs w:val="20"/>
        </w:rPr>
      </w:pPr>
      <w:r w:rsidRPr="009A3671">
        <w:rPr>
          <w:rStyle w:val="FootnoteReference"/>
          <w:rFonts w:cs="Times New Roman"/>
          <w:sz w:val="20"/>
          <w:szCs w:val="20"/>
        </w:rPr>
        <w:footnoteRef/>
      </w:r>
      <w:r w:rsidRPr="009A3671">
        <w:rPr>
          <w:rFonts w:cs="Times New Roman"/>
          <w:sz w:val="20"/>
          <w:szCs w:val="20"/>
        </w:rPr>
        <w:t xml:space="preserve"> </w:t>
      </w:r>
      <w:r w:rsidRPr="009A3671">
        <w:rPr>
          <w:rFonts w:eastAsia="Times New Roman" w:cs="Times New Roman"/>
          <w:i/>
          <w:iCs/>
          <w:color w:val="000000" w:themeColor="text1"/>
          <w:sz w:val="20"/>
          <w:szCs w:val="20"/>
          <w:bdr w:val="none" w:sz="0" w:space="0" w:color="auto" w:frame="1"/>
        </w:rPr>
        <w:t>Mahoning County v. Public Utilities Com</w:t>
      </w:r>
      <w:r w:rsidRPr="009A3671">
        <w:rPr>
          <w:rFonts w:eastAsia="Times New Roman" w:cs="Times New Roman"/>
          <w:color w:val="000000" w:themeColor="text1"/>
          <w:sz w:val="20"/>
          <w:szCs w:val="20"/>
          <w:u w:val="single"/>
          <w:bdr w:val="none" w:sz="0" w:space="0" w:color="auto" w:frame="1"/>
        </w:rPr>
        <w:t>.</w:t>
      </w:r>
      <w:r w:rsidRPr="009A3671">
        <w:rPr>
          <w:rFonts w:eastAsia="Times New Roman" w:cs="Times New Roman"/>
          <w:color w:val="000000" w:themeColor="text1"/>
          <w:sz w:val="20"/>
          <w:szCs w:val="20"/>
          <w:bdr w:val="none" w:sz="0" w:space="0" w:color="auto" w:frame="1"/>
        </w:rPr>
        <w:t>, 58 Ohio St.2d 40, 43-44 (1979)</w:t>
      </w:r>
      <w:r w:rsidRPr="009A3671" w:rsidR="0020622C">
        <w:rPr>
          <w:rFonts w:eastAsia="Times New Roman" w:cs="Times New Roman"/>
          <w:color w:val="000000" w:themeColor="text1"/>
          <w:sz w:val="20"/>
          <w:szCs w:val="20"/>
          <w:bdr w:val="none" w:sz="0" w:space="0" w:color="auto" w:frame="1"/>
        </w:rPr>
        <w:t>.</w:t>
      </w:r>
    </w:p>
  </w:footnote>
  <w:footnote w:id="172">
    <w:p w:rsidR="00301A62" w:rsidRPr="009A3671" w:rsidP="009A3671" w14:paraId="3008FAB8" w14:textId="179CAAED">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sidR="0020622C">
        <w:rPr>
          <w:rFonts w:cs="Times New Roman"/>
        </w:rPr>
        <w:t>Hearing Transcript, Vol. XIV, p. 2543</w:t>
      </w:r>
      <w:r w:rsidR="007045AE">
        <w:rPr>
          <w:rFonts w:cs="Times New Roman"/>
        </w:rPr>
        <w:t>:</w:t>
      </w:r>
      <w:r w:rsidRPr="009A3671" w:rsidR="0020622C">
        <w:rPr>
          <w:rFonts w:cs="Times New Roman"/>
        </w:rPr>
        <w:t>12 – p. 2544</w:t>
      </w:r>
      <w:r w:rsidR="007045AE">
        <w:rPr>
          <w:rFonts w:cs="Times New Roman"/>
        </w:rPr>
        <w:t>:</w:t>
      </w:r>
      <w:r w:rsidRPr="009A3671" w:rsidR="0020622C">
        <w:rPr>
          <w:rFonts w:cs="Times New Roman"/>
        </w:rPr>
        <w:t>7 (Dec. 13, 2023).</w:t>
      </w:r>
    </w:p>
  </w:footnote>
  <w:footnote w:id="173">
    <w:p w:rsidR="001A5A33" w:rsidRPr="009A3671" w:rsidP="009A3671" w14:paraId="47EE5F9E" w14:textId="33A015EB">
      <w:pPr>
        <w:pStyle w:val="FootnoteText"/>
        <w:spacing w:after="120"/>
        <w:rPr>
          <w:rFonts w:cs="Times New Roman"/>
        </w:rPr>
      </w:pPr>
      <w:r w:rsidRPr="009A3671">
        <w:rPr>
          <w:rStyle w:val="FootnoteReference"/>
          <w:rFonts w:cs="Times New Roman"/>
        </w:rPr>
        <w:footnoteRef/>
      </w:r>
      <w:r w:rsidRPr="009A3671">
        <w:rPr>
          <w:rFonts w:cs="Times New Roman"/>
        </w:rPr>
        <w:t xml:space="preserve"> Hearing Transcript, Vol. VII , p. 1472:6-20 (Dec. 6, 2023).</w:t>
      </w:r>
    </w:p>
  </w:footnote>
  <w:footnote w:id="174">
    <w:p w:rsidR="00F11E12" w:rsidRPr="009A3671" w:rsidP="009A3671" w14:paraId="6745B375" w14:textId="35774549">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 xml:space="preserve">Id. </w:t>
      </w:r>
      <w:r w:rsidRPr="009A3671">
        <w:rPr>
          <w:rFonts w:cs="Times New Roman"/>
        </w:rPr>
        <w:t>at p. 2546</w:t>
      </w:r>
      <w:r w:rsidR="00DC30F1">
        <w:rPr>
          <w:rFonts w:cs="Times New Roman"/>
        </w:rPr>
        <w:t>:</w:t>
      </w:r>
      <w:r w:rsidRPr="009A3671">
        <w:rPr>
          <w:rFonts w:cs="Times New Roman"/>
        </w:rPr>
        <w:t>16</w:t>
      </w:r>
      <w:r w:rsidRPr="009A3671" w:rsidR="00F45F5F">
        <w:rPr>
          <w:rFonts w:cs="Times New Roman"/>
        </w:rPr>
        <w:t xml:space="preserve"> – </w:t>
      </w:r>
      <w:r w:rsidRPr="009A3671">
        <w:rPr>
          <w:rFonts w:cs="Times New Roman"/>
        </w:rPr>
        <w:t>p. 2547</w:t>
      </w:r>
      <w:r w:rsidR="00DC30F1">
        <w:rPr>
          <w:rFonts w:cs="Times New Roman"/>
        </w:rPr>
        <w:t>:</w:t>
      </w:r>
      <w:r w:rsidRPr="009A3671">
        <w:rPr>
          <w:rFonts w:cs="Times New Roman"/>
        </w:rPr>
        <w:t>25.</w:t>
      </w:r>
    </w:p>
  </w:footnote>
  <w:footnote w:id="175">
    <w:p w:rsidR="00754ACD" w:rsidRPr="009A3671" w:rsidP="009A3671" w14:paraId="38BB6786" w14:textId="77777777">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United States of America v. FirstEnergy Corp</w:t>
      </w:r>
      <w:r w:rsidRPr="009A3671">
        <w:rPr>
          <w:rFonts w:cs="Times New Roman"/>
        </w:rPr>
        <w:t>., Case No. 1:21-cr-86, Deferred Prosecution Agreement at 34 (July 22, 2021) (emphasis added).</w:t>
      </w:r>
    </w:p>
  </w:footnote>
  <w:footnote w:id="176">
    <w:p w:rsidR="00867B45" w:rsidRPr="009A3671" w:rsidP="009A3671" w14:paraId="4A016823" w14:textId="7C894264">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In the Matter of the 2020 Review of the Delivery Capital Recovery Rider of Ohio Edison Company, the Cleveland Electric Illuminating Company, and the Toledo Edison Company</w:t>
      </w:r>
      <w:r w:rsidRPr="009A3671">
        <w:rPr>
          <w:rFonts w:cs="Times New Roman"/>
        </w:rPr>
        <w:t>, Case No. 20-1629-EL-RDR, Entry (Dec. 15, 2021).</w:t>
      </w:r>
    </w:p>
  </w:footnote>
  <w:footnote w:id="177">
    <w:p w:rsidR="00092F7D" w:rsidRPr="009A3671" w:rsidP="009A3671" w14:paraId="78946ECC" w14:textId="77777777">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United States of America v. FirstEnergy Corp</w:t>
      </w:r>
      <w:r w:rsidRPr="009A3671">
        <w:rPr>
          <w:rFonts w:cs="Times New Roman"/>
        </w:rPr>
        <w:t>., Case No. 1:21-cr-86, Deferred Prosecution Agreement at 34 (July 22, 2021) (emphasis added).</w:t>
      </w:r>
    </w:p>
  </w:footnote>
  <w:footnote w:id="178">
    <w:p w:rsidR="00FA753B" w:rsidRPr="009A3671" w:rsidP="009A3671" w14:paraId="39C05ED4" w14:textId="4536F289">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In the Matter of the Ohio Edison Company, the Cleveland Electric Illuminating Company, and the Toledo Edison Company</w:t>
      </w:r>
      <w:r w:rsidR="009F1383">
        <w:rPr>
          <w:rFonts w:cs="Times New Roman"/>
          <w:i/>
          <w:iCs/>
        </w:rPr>
        <w:t>’</w:t>
      </w:r>
      <w:r w:rsidRPr="009A3671">
        <w:rPr>
          <w:rFonts w:cs="Times New Roman"/>
          <w:i/>
          <w:iCs/>
        </w:rPr>
        <w:t>s Compliance with R.C. 4928.17 and the Ohio Adm. Code Chapter 4901:1-37</w:t>
      </w:r>
      <w:r w:rsidRPr="009A3671">
        <w:rPr>
          <w:rFonts w:cs="Times New Roman"/>
        </w:rPr>
        <w:t xml:space="preserve">, Case No. 17-974-EL-UNC, Entry (Aug. 24, 2023); </w:t>
      </w:r>
      <w:r w:rsidRPr="009A3671">
        <w:rPr>
          <w:rFonts w:cs="Times New Roman"/>
          <w:i/>
          <w:iCs/>
        </w:rPr>
        <w:t xml:space="preserve">In the Matter of the Review of the Distribution Modernization Rider of Ohio Edison Company, the Cleveland Electric Illuminating Company, and the Toledo Edison Company, </w:t>
      </w:r>
      <w:r w:rsidRPr="009A3671">
        <w:rPr>
          <w:rFonts w:cs="Times New Roman"/>
        </w:rPr>
        <w:t xml:space="preserve">Case No. 17-2474-EL-RDR, Entry (Aug. 24, 2023); </w:t>
      </w:r>
      <w:r w:rsidRPr="009A3671">
        <w:rPr>
          <w:rFonts w:cs="Times New Roman"/>
          <w:i/>
          <w:iCs/>
        </w:rPr>
        <w:t xml:space="preserve">In the Matter of the Review of the Political and Charitable Spending by Ohio Edison Company, the Cleveland Electric Illuminating Company, and the Toledo Edison Company, </w:t>
      </w:r>
      <w:r w:rsidRPr="009A3671">
        <w:rPr>
          <w:rFonts w:cs="Times New Roman"/>
        </w:rPr>
        <w:t xml:space="preserve">Case No. 20-1502-EL-UNC, Entry (Aug. 24, 2023); </w:t>
      </w:r>
      <w:r w:rsidRPr="009A3671">
        <w:rPr>
          <w:rFonts w:cs="Times New Roman"/>
          <w:i/>
          <w:iCs/>
        </w:rPr>
        <w:t>In the Matter of the 2020 Review of the Delivery Capital Recovery Rider of Ohio Edison Company, the Cleveland Electric Illuminating Company, and the Toledo Edison Company</w:t>
      </w:r>
      <w:r w:rsidRPr="009A3671">
        <w:rPr>
          <w:rFonts w:cs="Times New Roman"/>
        </w:rPr>
        <w:t>, Case No. 20-1629-EL-RDR Entry (Aug. 24, 2023).</w:t>
      </w:r>
    </w:p>
  </w:footnote>
  <w:footnote w:id="179">
    <w:p w:rsidR="00F81A29" w:rsidRPr="009A3671" w:rsidP="009A3671" w14:paraId="3A90A10F" w14:textId="44418848">
      <w:pPr>
        <w:pStyle w:val="FootnoteText"/>
        <w:spacing w:after="120"/>
        <w:rPr>
          <w:rFonts w:cs="Times New Roman"/>
          <w:i/>
          <w:iCs/>
        </w:rPr>
      </w:pPr>
      <w:r w:rsidRPr="009A3671">
        <w:rPr>
          <w:rStyle w:val="FootnoteReference"/>
          <w:rFonts w:cs="Times New Roman"/>
        </w:rPr>
        <w:footnoteRef/>
      </w:r>
      <w:r w:rsidRPr="009A3671">
        <w:rPr>
          <w:rFonts w:cs="Times New Roman"/>
        </w:rPr>
        <w:t xml:space="preserve"> </w:t>
      </w:r>
      <w:r w:rsidRPr="009A3671">
        <w:rPr>
          <w:rFonts w:cs="Times New Roman"/>
          <w:i/>
          <w:iCs/>
        </w:rPr>
        <w:t>See, e.g., In the Matter of the Ohio Edison Company, the Cleveland Electric Illuminating Company, and the Toledo Edison Company</w:t>
      </w:r>
      <w:r w:rsidR="009F1383">
        <w:rPr>
          <w:rFonts w:cs="Times New Roman"/>
          <w:i/>
          <w:iCs/>
        </w:rPr>
        <w:t>’</w:t>
      </w:r>
      <w:r w:rsidRPr="009A3671">
        <w:rPr>
          <w:rFonts w:cs="Times New Roman"/>
          <w:i/>
          <w:iCs/>
        </w:rPr>
        <w:t>s Compliance with R.C. 4928.17 and the Ohio Adm. Code Chapter 4901:1-37</w:t>
      </w:r>
      <w:r w:rsidRPr="009A3671">
        <w:rPr>
          <w:rFonts w:cs="Times New Roman"/>
        </w:rPr>
        <w:t>, Case No. 17-974-EL-UNC, FirstEnergy</w:t>
      </w:r>
      <w:r w:rsidR="009F1383">
        <w:rPr>
          <w:rFonts w:cs="Times New Roman"/>
        </w:rPr>
        <w:t>’</w:t>
      </w:r>
      <w:r w:rsidRPr="009A3671" w:rsidR="00B52455">
        <w:rPr>
          <w:rFonts w:cs="Times New Roman"/>
        </w:rPr>
        <w:t>s</w:t>
      </w:r>
      <w:r w:rsidRPr="009A3671">
        <w:rPr>
          <w:rFonts w:cs="Times New Roman"/>
        </w:rPr>
        <w:t xml:space="preserve"> Memorandum Contra Office of the Ohio Consumers</w:t>
      </w:r>
      <w:r w:rsidR="009F1383">
        <w:rPr>
          <w:rFonts w:cs="Times New Roman"/>
        </w:rPr>
        <w:t>’</w:t>
      </w:r>
      <w:r w:rsidRPr="009A3671">
        <w:rPr>
          <w:rFonts w:cs="Times New Roman"/>
        </w:rPr>
        <w:t xml:space="preserve"> Counsel</w:t>
      </w:r>
      <w:r w:rsidR="009F1383">
        <w:rPr>
          <w:rFonts w:cs="Times New Roman"/>
        </w:rPr>
        <w:t>’</w:t>
      </w:r>
      <w:r w:rsidRPr="009A3671">
        <w:rPr>
          <w:rFonts w:cs="Times New Roman"/>
        </w:rPr>
        <w:t>s Application for Rehearing</w:t>
      </w:r>
      <w:r w:rsidRPr="009A3671">
        <w:rPr>
          <w:rFonts w:cs="Times New Roman"/>
          <w:color w:val="232323"/>
        </w:rPr>
        <w:t> </w:t>
      </w:r>
      <w:r w:rsidRPr="009A3671">
        <w:rPr>
          <w:rFonts w:cs="Times New Roman"/>
        </w:rPr>
        <w:t>(</w:t>
      </w:r>
      <w:r w:rsidRPr="009A3671" w:rsidR="004012CF">
        <w:rPr>
          <w:rFonts w:cs="Times New Roman"/>
        </w:rPr>
        <w:t>Oct. 10</w:t>
      </w:r>
      <w:r w:rsidRPr="009A3671">
        <w:rPr>
          <w:rFonts w:cs="Times New Roman"/>
        </w:rPr>
        <w:t>, 2023)</w:t>
      </w:r>
      <w:r w:rsidRPr="009A3671" w:rsidR="004012CF">
        <w:rPr>
          <w:rFonts w:cs="Times New Roman"/>
        </w:rPr>
        <w:t>.</w:t>
      </w:r>
    </w:p>
  </w:footnote>
  <w:footnote w:id="180">
    <w:p w:rsidR="008C7D2F" w:rsidRPr="009A3671" w:rsidP="009A3671" w14:paraId="12429568" w14:textId="297F2D8C">
      <w:pPr>
        <w:pStyle w:val="FootnoteText"/>
        <w:spacing w:after="120"/>
        <w:rPr>
          <w:rFonts w:cs="Times New Roman"/>
        </w:rPr>
      </w:pPr>
      <w:r w:rsidRPr="009A3671">
        <w:rPr>
          <w:rStyle w:val="FootnoteReference"/>
          <w:rFonts w:cs="Times New Roman"/>
        </w:rPr>
        <w:footnoteRef/>
      </w:r>
      <w:r w:rsidRPr="009A3671">
        <w:rPr>
          <w:rFonts w:cs="Times New Roman"/>
        </w:rPr>
        <w:t xml:space="preserve"> Lawless Testimony at 8.</w:t>
      </w:r>
    </w:p>
  </w:footnote>
  <w:footnote w:id="181">
    <w:p w:rsidR="008C7D2F" w:rsidRPr="009A3671" w:rsidP="009A3671" w14:paraId="362EDC8D" w14:textId="1D997FCC">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 xml:space="preserve">Id. </w:t>
      </w:r>
      <w:r w:rsidRPr="009A3671">
        <w:rPr>
          <w:rFonts w:cs="Times New Roman"/>
        </w:rPr>
        <w:t>at 10.</w:t>
      </w:r>
    </w:p>
  </w:footnote>
  <w:footnote w:id="182">
    <w:p w:rsidR="008C7D2F" w:rsidRPr="009A3671" w:rsidP="009A3671" w14:paraId="00B234A2" w14:textId="7F9DEDCA">
      <w:pPr>
        <w:pStyle w:val="FootnoteText"/>
        <w:spacing w:after="120"/>
        <w:rPr>
          <w:rFonts w:cs="Times New Roman"/>
          <w:i/>
          <w:iCs/>
        </w:rPr>
      </w:pPr>
      <w:r w:rsidRPr="009A3671">
        <w:rPr>
          <w:rStyle w:val="FootnoteReference"/>
          <w:rFonts w:cs="Times New Roman"/>
        </w:rPr>
        <w:footnoteRef/>
      </w:r>
      <w:r w:rsidRPr="009A3671">
        <w:rPr>
          <w:rFonts w:cs="Times New Roman"/>
        </w:rPr>
        <w:t xml:space="preserve"> </w:t>
      </w:r>
      <w:r w:rsidRPr="009A3671">
        <w:rPr>
          <w:rFonts w:cs="Times New Roman"/>
          <w:i/>
          <w:iCs/>
        </w:rPr>
        <w:t xml:space="preserve">Id. </w:t>
      </w:r>
    </w:p>
  </w:footnote>
  <w:footnote w:id="183">
    <w:p w:rsidR="005A76F3" w:rsidRPr="009A3671" w:rsidP="009A3671" w14:paraId="0934325B" w14:textId="68CBAC39">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In the Matter of the Review of the Non</w:t>
      </w:r>
      <w:r w:rsidR="006734FC">
        <w:rPr>
          <w:rFonts w:cs="Times New Roman"/>
          <w:i/>
          <w:iCs/>
        </w:rPr>
        <w:t>-</w:t>
      </w:r>
      <w:r w:rsidRPr="009A3671">
        <w:rPr>
          <w:rFonts w:cs="Times New Roman"/>
          <w:i/>
          <w:iCs/>
        </w:rPr>
        <w:t xml:space="preserve">Market-Based Services Rider Pilot Program Established by Ohio Edison Company, the Cleveland Electric Illuminating Company and the Toledo Edison Company, </w:t>
      </w:r>
      <w:r w:rsidRPr="009A3671">
        <w:rPr>
          <w:rFonts w:cs="Times New Roman"/>
        </w:rPr>
        <w:t>Case No. 22-391-EL-RDR, Entry (Apr</w:t>
      </w:r>
      <w:r w:rsidRPr="009A3671" w:rsidR="0004734E">
        <w:rPr>
          <w:rFonts w:cs="Times New Roman"/>
        </w:rPr>
        <w:t>il</w:t>
      </w:r>
      <w:r w:rsidRPr="009A3671">
        <w:rPr>
          <w:rFonts w:cs="Times New Roman"/>
        </w:rPr>
        <w:t xml:space="preserve"> 20, 2022).</w:t>
      </w:r>
      <w:r w:rsidRPr="009A3671" w:rsidR="00CE2F18">
        <w:rPr>
          <w:rFonts w:cs="Times New Roman"/>
        </w:rPr>
        <w:t xml:space="preserve"> </w:t>
      </w:r>
    </w:p>
  </w:footnote>
  <w:footnote w:id="184">
    <w:p w:rsidR="005A76F3" w:rsidRPr="009A3671" w:rsidP="009A3671" w14:paraId="28A10120" w14:textId="50541B58">
      <w:pPr>
        <w:pStyle w:val="FootnoteText"/>
        <w:spacing w:after="120"/>
        <w:rPr>
          <w:rFonts w:cs="Times New Roman"/>
        </w:rPr>
      </w:pPr>
      <w:r w:rsidRPr="009A3671">
        <w:rPr>
          <w:rStyle w:val="FootnoteReference"/>
          <w:rFonts w:cs="Times New Roman"/>
        </w:rPr>
        <w:footnoteRef/>
      </w:r>
      <w:r w:rsidRPr="009A3671">
        <w:rPr>
          <w:rFonts w:cs="Times New Roman"/>
        </w:rPr>
        <w:t xml:space="preserve"> OELC Ex. 27, Exeter Audit Report</w:t>
      </w:r>
      <w:r w:rsidRPr="009A3671" w:rsidR="002E772B">
        <w:rPr>
          <w:rFonts w:cs="Times New Roman"/>
        </w:rPr>
        <w:t xml:space="preserve">, </w:t>
      </w:r>
      <w:r w:rsidRPr="009A3671">
        <w:rPr>
          <w:rFonts w:cs="Times New Roman"/>
        </w:rPr>
        <w:t>Case No. 22-391-EL-RDR (July 17, 2023)</w:t>
      </w:r>
      <w:r w:rsidRPr="009A3671" w:rsidR="0096501F">
        <w:rPr>
          <w:rFonts w:cs="Times New Roman"/>
        </w:rPr>
        <w:t>.</w:t>
      </w:r>
    </w:p>
  </w:footnote>
  <w:footnote w:id="185">
    <w:p w:rsidR="008A0F09" w:rsidRPr="009A3671" w:rsidP="009A3671" w14:paraId="7DBBE281" w14:textId="0EAB2A78">
      <w:pPr>
        <w:pStyle w:val="FootnoteText"/>
        <w:spacing w:after="120"/>
        <w:rPr>
          <w:rFonts w:cs="Times New Roman"/>
          <w:i/>
          <w:iCs/>
        </w:rPr>
      </w:pPr>
      <w:r w:rsidRPr="009A3671">
        <w:rPr>
          <w:rStyle w:val="FootnoteReference"/>
          <w:rFonts w:cs="Times New Roman"/>
        </w:rPr>
        <w:footnoteRef/>
      </w:r>
      <w:r w:rsidRPr="009A3671">
        <w:rPr>
          <w:rFonts w:cs="Times New Roman"/>
        </w:rPr>
        <w:t xml:space="preserve"> </w:t>
      </w:r>
      <w:r w:rsidRPr="009A3671">
        <w:rPr>
          <w:rFonts w:cs="Times New Roman"/>
          <w:i/>
          <w:iCs/>
        </w:rPr>
        <w:t xml:space="preserve">Id. </w:t>
      </w:r>
      <w:r w:rsidRPr="009A3671">
        <w:rPr>
          <w:rFonts w:cs="Times New Roman"/>
        </w:rPr>
        <w:t>at 18.</w:t>
      </w:r>
    </w:p>
  </w:footnote>
  <w:footnote w:id="186">
    <w:p w:rsidR="008A0F09" w:rsidRPr="009A3671" w:rsidP="009A3671" w14:paraId="42088727" w14:textId="591ABFF5">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 xml:space="preserve">Id. </w:t>
      </w:r>
      <w:r w:rsidRPr="009A3671">
        <w:rPr>
          <w:rFonts w:cs="Times New Roman"/>
        </w:rPr>
        <w:t>at 3.</w:t>
      </w:r>
    </w:p>
  </w:footnote>
  <w:footnote w:id="187">
    <w:p w:rsidR="0036144A" w:rsidRPr="009A3671" w:rsidP="009A3671" w14:paraId="3CA13474" w14:textId="5DEE64F1">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 xml:space="preserve">Id. </w:t>
      </w:r>
      <w:r w:rsidRPr="009A3671">
        <w:rPr>
          <w:rFonts w:cs="Times New Roman"/>
        </w:rPr>
        <w:t>at 26.</w:t>
      </w:r>
    </w:p>
  </w:footnote>
  <w:footnote w:id="188">
    <w:p w:rsidR="00A0017F" w:rsidRPr="009A3671" w:rsidP="009A3671" w14:paraId="4F5FAB53" w14:textId="3DA58862">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 xml:space="preserve">Id. </w:t>
      </w:r>
      <w:r w:rsidRPr="009A3671">
        <w:rPr>
          <w:rFonts w:cs="Times New Roman"/>
        </w:rPr>
        <w:t>at 17.</w:t>
      </w:r>
    </w:p>
  </w:footnote>
  <w:footnote w:id="189">
    <w:p w:rsidR="00A0017F" w:rsidRPr="009A3671" w:rsidP="009A3671" w14:paraId="1D9502DE" w14:textId="3AEB2DD7">
      <w:pPr>
        <w:pStyle w:val="FootnoteText"/>
        <w:spacing w:after="120"/>
        <w:rPr>
          <w:rFonts w:cs="Times New Roman"/>
          <w:i/>
          <w:iCs/>
        </w:rPr>
      </w:pPr>
      <w:r w:rsidRPr="009A3671">
        <w:rPr>
          <w:rStyle w:val="FootnoteReference"/>
          <w:rFonts w:cs="Times New Roman"/>
        </w:rPr>
        <w:footnoteRef/>
      </w:r>
      <w:r w:rsidRPr="009A3671">
        <w:rPr>
          <w:rFonts w:cs="Times New Roman"/>
        </w:rPr>
        <w:t xml:space="preserve"> </w:t>
      </w:r>
      <w:r w:rsidRPr="009A3671">
        <w:rPr>
          <w:rFonts w:cs="Times New Roman"/>
          <w:i/>
          <w:iCs/>
        </w:rPr>
        <w:t>Id.</w:t>
      </w:r>
    </w:p>
  </w:footnote>
  <w:footnote w:id="190">
    <w:p w:rsidR="00A0017F" w:rsidRPr="009A3671" w:rsidP="009A3671" w14:paraId="57AECDCC" w14:textId="40E23918">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 xml:space="preserve">Id. </w:t>
      </w:r>
      <w:r w:rsidRPr="009A3671">
        <w:rPr>
          <w:rFonts w:cs="Times New Roman"/>
        </w:rPr>
        <w:t>at 20.</w:t>
      </w:r>
    </w:p>
  </w:footnote>
  <w:footnote w:id="191">
    <w:p w:rsidR="00A0017F" w:rsidRPr="009A3671" w:rsidP="009A3671" w14:paraId="2E98ED3A" w14:textId="0F39EABD">
      <w:pPr>
        <w:pStyle w:val="FootnoteText"/>
        <w:spacing w:after="120"/>
        <w:rPr>
          <w:rFonts w:cs="Times New Roman"/>
          <w:i/>
          <w:iCs/>
        </w:rPr>
      </w:pPr>
      <w:r w:rsidRPr="009A3671">
        <w:rPr>
          <w:rStyle w:val="FootnoteReference"/>
          <w:rFonts w:cs="Times New Roman"/>
        </w:rPr>
        <w:footnoteRef/>
      </w:r>
      <w:r w:rsidRPr="009A3671">
        <w:rPr>
          <w:rFonts w:cs="Times New Roman"/>
        </w:rPr>
        <w:t xml:space="preserve"> </w:t>
      </w:r>
      <w:r w:rsidRPr="009A3671">
        <w:rPr>
          <w:rFonts w:cs="Times New Roman"/>
          <w:i/>
          <w:iCs/>
        </w:rPr>
        <w:t xml:space="preserve">Id. </w:t>
      </w:r>
    </w:p>
  </w:footnote>
  <w:footnote w:id="192">
    <w:p w:rsidR="00587E91" w:rsidRPr="009A3671" w:rsidP="009A3671" w14:paraId="234C5965" w14:textId="79692A29">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sidR="00A0017F">
        <w:rPr>
          <w:rFonts w:cs="Times New Roman"/>
          <w:i/>
          <w:iCs/>
        </w:rPr>
        <w:t>Id.</w:t>
      </w:r>
      <w:r w:rsidRPr="009A3671">
        <w:rPr>
          <w:rFonts w:cs="Times New Roman"/>
        </w:rPr>
        <w:t xml:space="preserve"> at </w:t>
      </w:r>
      <w:r w:rsidRPr="009A3671" w:rsidR="00A0017F">
        <w:rPr>
          <w:rFonts w:cs="Times New Roman"/>
        </w:rPr>
        <w:t xml:space="preserve">4, </w:t>
      </w:r>
      <w:r w:rsidRPr="009A3671">
        <w:rPr>
          <w:rFonts w:cs="Times New Roman"/>
        </w:rPr>
        <w:t>39.</w:t>
      </w:r>
    </w:p>
  </w:footnote>
  <w:footnote w:id="193">
    <w:p w:rsidR="00C622CE" w:rsidRPr="009A3671" w:rsidP="009A3671" w14:paraId="502B808B" w14:textId="6085B4C5">
      <w:pPr>
        <w:pStyle w:val="FootnoteText"/>
        <w:spacing w:after="120"/>
        <w:rPr>
          <w:rFonts w:cs="Times New Roman"/>
        </w:rPr>
      </w:pPr>
      <w:r w:rsidRPr="009A3671">
        <w:rPr>
          <w:rStyle w:val="FootnoteReference"/>
          <w:rFonts w:cs="Times New Roman"/>
        </w:rPr>
        <w:footnoteRef/>
      </w:r>
      <w:r w:rsidRPr="009A3671">
        <w:rPr>
          <w:rFonts w:cs="Times New Roman"/>
        </w:rPr>
        <w:t xml:space="preserve"> Meyer Testimony at 4</w:t>
      </w:r>
      <w:r w:rsidRPr="009A3671" w:rsidR="00F7252F">
        <w:rPr>
          <w:rFonts w:cs="Times New Roman"/>
        </w:rPr>
        <w:t>0</w:t>
      </w:r>
      <w:r w:rsidRPr="009A3671" w:rsidR="00A0017F">
        <w:rPr>
          <w:rFonts w:cs="Times New Roman"/>
        </w:rPr>
        <w:t>.</w:t>
      </w:r>
    </w:p>
  </w:footnote>
  <w:footnote w:id="194">
    <w:p w:rsidR="000C5A63" w:rsidRPr="009A3671" w:rsidP="009A3671" w14:paraId="64A222E7" w14:textId="41C28AA3">
      <w:pPr>
        <w:pStyle w:val="FootnoteText"/>
        <w:spacing w:after="120"/>
        <w:rPr>
          <w:rFonts w:cs="Times New Roman"/>
          <w:i/>
          <w:iCs/>
        </w:rPr>
      </w:pPr>
      <w:r w:rsidRPr="009A3671">
        <w:rPr>
          <w:rStyle w:val="FootnoteReference"/>
          <w:rFonts w:cs="Times New Roman"/>
        </w:rPr>
        <w:footnoteRef/>
      </w:r>
      <w:r w:rsidRPr="009A3671">
        <w:rPr>
          <w:rFonts w:cs="Times New Roman"/>
        </w:rPr>
        <w:t xml:space="preserve"> </w:t>
      </w:r>
      <w:r w:rsidRPr="009A3671">
        <w:rPr>
          <w:rFonts w:cs="Times New Roman"/>
          <w:i/>
          <w:iCs/>
        </w:rPr>
        <w:t xml:space="preserve">See, e.g., In the Matter of the Application of the East Ohio Gas Company dba Dominion Energy Ohio for </w:t>
      </w:r>
      <w:r w:rsidR="003D0FB7">
        <w:rPr>
          <w:rFonts w:cs="Times New Roman"/>
          <w:i/>
          <w:iCs/>
        </w:rPr>
        <w:t>A</w:t>
      </w:r>
      <w:r w:rsidRPr="009A3671">
        <w:rPr>
          <w:rFonts w:cs="Times New Roman"/>
          <w:i/>
          <w:iCs/>
        </w:rPr>
        <w:t xml:space="preserve">pproval of an </w:t>
      </w:r>
      <w:r w:rsidR="003D0FB7">
        <w:rPr>
          <w:rFonts w:cs="Times New Roman"/>
          <w:i/>
          <w:iCs/>
        </w:rPr>
        <w:t>A</w:t>
      </w:r>
      <w:r w:rsidRPr="009A3671">
        <w:rPr>
          <w:rFonts w:cs="Times New Roman"/>
          <w:i/>
          <w:iCs/>
        </w:rPr>
        <w:t xml:space="preserve">lternative </w:t>
      </w:r>
      <w:r w:rsidR="003D0FB7">
        <w:rPr>
          <w:rFonts w:cs="Times New Roman"/>
          <w:i/>
          <w:iCs/>
        </w:rPr>
        <w:t>F</w:t>
      </w:r>
      <w:r w:rsidRPr="009A3671">
        <w:rPr>
          <w:rFonts w:cs="Times New Roman"/>
          <w:i/>
          <w:iCs/>
        </w:rPr>
        <w:t xml:space="preserve">orm of </w:t>
      </w:r>
      <w:r w:rsidR="003D0FB7">
        <w:rPr>
          <w:rFonts w:cs="Times New Roman"/>
          <w:i/>
          <w:iCs/>
        </w:rPr>
        <w:t>R</w:t>
      </w:r>
      <w:r w:rsidRPr="009A3671">
        <w:rPr>
          <w:rFonts w:cs="Times New Roman"/>
          <w:i/>
          <w:iCs/>
        </w:rPr>
        <w:t xml:space="preserve">egulation to </w:t>
      </w:r>
      <w:r w:rsidR="003D0FB7">
        <w:rPr>
          <w:rFonts w:cs="Times New Roman"/>
          <w:i/>
          <w:iCs/>
        </w:rPr>
        <w:t>C</w:t>
      </w:r>
      <w:r w:rsidRPr="009A3671">
        <w:rPr>
          <w:rFonts w:cs="Times New Roman"/>
          <w:i/>
          <w:iCs/>
        </w:rPr>
        <w:t xml:space="preserve">ontinue and to </w:t>
      </w:r>
      <w:r w:rsidR="003D0FB7">
        <w:rPr>
          <w:rFonts w:cs="Times New Roman"/>
          <w:i/>
          <w:iCs/>
        </w:rPr>
        <w:t>E</w:t>
      </w:r>
      <w:r w:rsidRPr="009A3671">
        <w:rPr>
          <w:rFonts w:cs="Times New Roman"/>
          <w:i/>
          <w:iCs/>
        </w:rPr>
        <w:t xml:space="preserve">xpand </w:t>
      </w:r>
      <w:r w:rsidR="003D0FB7">
        <w:rPr>
          <w:rFonts w:cs="Times New Roman"/>
          <w:i/>
          <w:iCs/>
        </w:rPr>
        <w:t>I</w:t>
      </w:r>
      <w:r w:rsidRPr="009A3671">
        <w:rPr>
          <w:rFonts w:cs="Times New Roman"/>
          <w:i/>
          <w:iCs/>
        </w:rPr>
        <w:t xml:space="preserve">ts </w:t>
      </w:r>
      <w:r w:rsidR="003D0FB7">
        <w:rPr>
          <w:rFonts w:cs="Times New Roman"/>
          <w:i/>
          <w:iCs/>
        </w:rPr>
        <w:t>D</w:t>
      </w:r>
      <w:r w:rsidRPr="009A3671">
        <w:rPr>
          <w:rFonts w:cs="Times New Roman"/>
          <w:i/>
          <w:iCs/>
        </w:rPr>
        <w:t>emand-</w:t>
      </w:r>
      <w:r w:rsidR="003D0FB7">
        <w:rPr>
          <w:rFonts w:cs="Times New Roman"/>
          <w:i/>
          <w:iCs/>
        </w:rPr>
        <w:t>S</w:t>
      </w:r>
      <w:r w:rsidRPr="009A3671">
        <w:rPr>
          <w:rFonts w:cs="Times New Roman"/>
          <w:i/>
          <w:iCs/>
        </w:rPr>
        <w:t xml:space="preserve">ide </w:t>
      </w:r>
      <w:r w:rsidR="003D0FB7">
        <w:rPr>
          <w:rFonts w:cs="Times New Roman"/>
          <w:i/>
          <w:iCs/>
        </w:rPr>
        <w:t>M</w:t>
      </w:r>
      <w:r w:rsidRPr="009A3671">
        <w:rPr>
          <w:rFonts w:cs="Times New Roman"/>
          <w:i/>
          <w:iCs/>
        </w:rPr>
        <w:t xml:space="preserve">anagement and </w:t>
      </w:r>
      <w:r w:rsidR="003D0FB7">
        <w:rPr>
          <w:rFonts w:cs="Times New Roman"/>
          <w:i/>
          <w:iCs/>
        </w:rPr>
        <w:t>E</w:t>
      </w:r>
      <w:r w:rsidRPr="009A3671">
        <w:rPr>
          <w:rFonts w:cs="Times New Roman"/>
          <w:i/>
          <w:iCs/>
        </w:rPr>
        <w:t xml:space="preserve">nergy </w:t>
      </w:r>
      <w:r w:rsidR="003D0FB7">
        <w:rPr>
          <w:rFonts w:cs="Times New Roman"/>
          <w:i/>
          <w:iCs/>
        </w:rPr>
        <w:t>E</w:t>
      </w:r>
      <w:r w:rsidRPr="009A3671">
        <w:rPr>
          <w:rFonts w:cs="Times New Roman"/>
          <w:i/>
          <w:iCs/>
        </w:rPr>
        <w:t xml:space="preserve">fficiency </w:t>
      </w:r>
      <w:r w:rsidR="003D0FB7">
        <w:rPr>
          <w:rFonts w:cs="Times New Roman"/>
          <w:i/>
          <w:iCs/>
        </w:rPr>
        <w:t>P</w:t>
      </w:r>
      <w:r w:rsidRPr="009A3671">
        <w:rPr>
          <w:rFonts w:cs="Times New Roman"/>
          <w:i/>
          <w:iCs/>
        </w:rPr>
        <w:t>rogram</w:t>
      </w:r>
      <w:r w:rsidRPr="009A3671">
        <w:rPr>
          <w:rFonts w:cs="Times New Roman"/>
        </w:rPr>
        <w:t xml:space="preserve">, Case No. 21-1109-GA-UNC, Opinion &amp; Order at ¶ 49 (Oct. 4, 2023); </w:t>
      </w:r>
      <w:r w:rsidRPr="009A3671">
        <w:rPr>
          <w:rFonts w:cs="Times New Roman"/>
          <w:i/>
          <w:iCs/>
        </w:rPr>
        <w:t>In the Matter of the Application of Columbia Gas of Ohio, Inc. for Authority to Amend Its Filed Tariffs to Increase the Rates and Charges for Gas Services and Related Matters</w:t>
      </w:r>
      <w:r w:rsidRPr="009A3671">
        <w:rPr>
          <w:rFonts w:cs="Times New Roman"/>
        </w:rPr>
        <w:t>, Case No. 21-637-GA-AIR, et al., Opinion &amp; Order at ¶ 56 (Jan. 26, 2023)</w:t>
      </w:r>
      <w:r w:rsidR="000E2BCE">
        <w:rPr>
          <w:rFonts w:cs="Times New Roman"/>
        </w:rPr>
        <w:t>.</w:t>
      </w:r>
    </w:p>
  </w:footnote>
  <w:footnote w:id="195">
    <w:p w:rsidR="0018263C" w:rsidRPr="009A3671" w:rsidP="009A3671" w14:paraId="1E79B2D3" w14:textId="69A35133">
      <w:pPr>
        <w:pStyle w:val="FootnoteText"/>
        <w:spacing w:after="120"/>
        <w:rPr>
          <w:rFonts w:cs="Times New Roman"/>
        </w:rPr>
      </w:pPr>
      <w:r w:rsidRPr="009A3671">
        <w:rPr>
          <w:rStyle w:val="FootnoteReference"/>
          <w:rFonts w:cs="Times New Roman"/>
        </w:rPr>
        <w:footnoteRef/>
      </w:r>
      <w:r w:rsidRPr="009A3671">
        <w:rPr>
          <w:rFonts w:cs="Times New Roman"/>
        </w:rPr>
        <w:t xml:space="preserve"> FirstEnergy Ex. 5, Direct Testimony of Edward C. Miller </w:t>
      </w:r>
      <w:r w:rsidRPr="009A3671" w:rsidR="00665562">
        <w:rPr>
          <w:rFonts w:cs="Times New Roman"/>
        </w:rPr>
        <w:t>(</w:t>
      </w:r>
      <w:r w:rsidR="009F1383">
        <w:rPr>
          <w:rFonts w:cs="Times New Roman"/>
        </w:rPr>
        <w:t>“</w:t>
      </w:r>
      <w:r w:rsidRPr="009A3671" w:rsidR="00665562">
        <w:rPr>
          <w:rFonts w:cs="Times New Roman"/>
        </w:rPr>
        <w:t>Miller Testimony</w:t>
      </w:r>
      <w:r w:rsidR="009F1383">
        <w:rPr>
          <w:rFonts w:cs="Times New Roman"/>
        </w:rPr>
        <w:t>”</w:t>
      </w:r>
      <w:r w:rsidRPr="009A3671" w:rsidR="00665562">
        <w:rPr>
          <w:rFonts w:cs="Times New Roman"/>
        </w:rPr>
        <w:t xml:space="preserve">) </w:t>
      </w:r>
      <w:r w:rsidRPr="009A3671">
        <w:rPr>
          <w:rFonts w:cs="Times New Roman"/>
        </w:rPr>
        <w:t>(Apr</w:t>
      </w:r>
      <w:r w:rsidRPr="009A3671" w:rsidR="00665562">
        <w:rPr>
          <w:rFonts w:cs="Times New Roman"/>
        </w:rPr>
        <w:t>il</w:t>
      </w:r>
      <w:r w:rsidRPr="009A3671">
        <w:rPr>
          <w:rFonts w:cs="Times New Roman"/>
        </w:rPr>
        <w:t xml:space="preserve"> 5, 2023)</w:t>
      </w:r>
      <w:r w:rsidRPr="009A3671" w:rsidR="00665562">
        <w:rPr>
          <w:rFonts w:cs="Times New Roman"/>
        </w:rPr>
        <w:t>.</w:t>
      </w:r>
    </w:p>
  </w:footnote>
  <w:footnote w:id="196">
    <w:p w:rsidR="0018263C" w:rsidRPr="009A3671" w:rsidP="009A3671" w14:paraId="08C8A624" w14:textId="4B6EE08B">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 xml:space="preserve">Id. </w:t>
      </w:r>
      <w:r w:rsidRPr="009A3671">
        <w:rPr>
          <w:rFonts w:cs="Times New Roman"/>
        </w:rPr>
        <w:t>at</w:t>
      </w:r>
      <w:r w:rsidRPr="009A3671" w:rsidR="002A6CA2">
        <w:rPr>
          <w:rFonts w:cs="Times New Roman"/>
        </w:rPr>
        <w:t xml:space="preserve"> </w:t>
      </w:r>
      <w:r w:rsidRPr="009A3671" w:rsidR="00177517">
        <w:rPr>
          <w:rFonts w:cs="Times New Roman"/>
        </w:rPr>
        <w:t>4.</w:t>
      </w:r>
    </w:p>
  </w:footnote>
  <w:footnote w:id="197">
    <w:p w:rsidR="0018263C" w:rsidRPr="009A3671" w:rsidP="009A3671" w14:paraId="03F92B3B" w14:textId="1FF6A421">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 xml:space="preserve">Id. </w:t>
      </w:r>
    </w:p>
  </w:footnote>
  <w:footnote w:id="198">
    <w:p w:rsidR="0018263C" w:rsidRPr="009A3671" w:rsidP="009A3671" w14:paraId="71281325" w14:textId="15B3474F">
      <w:pPr>
        <w:pStyle w:val="FootnoteText"/>
        <w:spacing w:after="120"/>
        <w:rPr>
          <w:rFonts w:cs="Times New Roman"/>
        </w:rPr>
      </w:pPr>
      <w:r w:rsidRPr="009A3671">
        <w:rPr>
          <w:rStyle w:val="FootnoteReference"/>
          <w:rFonts w:cs="Times New Roman"/>
        </w:rPr>
        <w:footnoteRef/>
      </w:r>
      <w:r w:rsidRPr="009A3671">
        <w:rPr>
          <w:rFonts w:cs="Times New Roman"/>
        </w:rPr>
        <w:t xml:space="preserve"> McMillen Testimony at </w:t>
      </w:r>
      <w:r w:rsidRPr="009A3671" w:rsidR="00165A6F">
        <w:rPr>
          <w:rFonts w:cs="Times New Roman"/>
        </w:rPr>
        <w:t>16.</w:t>
      </w:r>
    </w:p>
  </w:footnote>
  <w:footnote w:id="199">
    <w:p w:rsidR="00165A6F" w:rsidRPr="009A3671" w:rsidP="009A3671" w14:paraId="4585596D" w14:textId="5E7ED6EE">
      <w:pPr>
        <w:pStyle w:val="FootnoteText"/>
        <w:spacing w:after="120"/>
        <w:rPr>
          <w:rFonts w:cs="Times New Roman"/>
        </w:rPr>
      </w:pPr>
      <w:r w:rsidRPr="009A3671">
        <w:rPr>
          <w:rStyle w:val="FootnoteReference"/>
          <w:rFonts w:cs="Times New Roman"/>
        </w:rPr>
        <w:footnoteRef/>
      </w:r>
      <w:r w:rsidRPr="009A3671">
        <w:rPr>
          <w:rFonts w:cs="Times New Roman"/>
        </w:rPr>
        <w:t xml:space="preserve"> Miller Testimony at 4.</w:t>
      </w:r>
    </w:p>
  </w:footnote>
  <w:footnote w:id="200">
    <w:p w:rsidR="00DE123D" w:rsidRPr="009A3671" w:rsidP="009A3671" w14:paraId="67718369" w14:textId="11E6B852">
      <w:pPr>
        <w:pStyle w:val="FootnoteText"/>
        <w:spacing w:after="120"/>
        <w:rPr>
          <w:rFonts w:cs="Times New Roman"/>
          <w:i/>
          <w:iCs/>
        </w:rPr>
      </w:pPr>
      <w:r w:rsidRPr="009A3671">
        <w:rPr>
          <w:rStyle w:val="FootnoteReference"/>
          <w:rFonts w:cs="Times New Roman"/>
        </w:rPr>
        <w:footnoteRef/>
      </w:r>
      <w:r w:rsidRPr="009A3671" w:rsidR="00CE2F18">
        <w:rPr>
          <w:rFonts w:cs="Times New Roman"/>
        </w:rPr>
        <w:t xml:space="preserve"> </w:t>
      </w:r>
      <w:r w:rsidRPr="009A3671">
        <w:rPr>
          <w:rFonts w:cs="Times New Roman"/>
          <w:i/>
          <w:iCs/>
        </w:rPr>
        <w:t xml:space="preserve">See </w:t>
      </w:r>
      <w:r w:rsidRPr="009A3671">
        <w:rPr>
          <w:rFonts w:eastAsia="Times New Roman" w:cs="Times New Roman"/>
          <w:i/>
          <w:iCs/>
          <w:color w:val="000000" w:themeColor="text1"/>
          <w:bdr w:val="none" w:sz="0" w:space="0" w:color="auto" w:frame="1"/>
        </w:rPr>
        <w:t>Cleveland Elec. Illuminating Co. v. Pub. Util. Comm,</w:t>
      </w:r>
      <w:r w:rsidRPr="009A3671">
        <w:rPr>
          <w:rFonts w:eastAsia="Times New Roman" w:cs="Times New Roman"/>
          <w:color w:val="000000" w:themeColor="text1"/>
          <w:bdr w:val="none" w:sz="0" w:space="0" w:color="auto" w:frame="1"/>
        </w:rPr>
        <w:t>. 42 Ohio St.2d 403 (1975).</w:t>
      </w:r>
    </w:p>
  </w:footnote>
  <w:footnote w:id="201">
    <w:p w:rsidR="00045531" w:rsidRPr="009A3671" w:rsidP="009A3671" w14:paraId="530550AB" w14:textId="08DE7B49">
      <w:pPr>
        <w:spacing w:after="120"/>
        <w:textAlignment w:val="baseline"/>
        <w:rPr>
          <w:rFonts w:eastAsia="Times New Roman" w:cs="Times New Roman"/>
          <w:color w:val="000000" w:themeColor="text1"/>
          <w:sz w:val="20"/>
          <w:szCs w:val="20"/>
        </w:rPr>
      </w:pPr>
      <w:r w:rsidRPr="009A3671">
        <w:rPr>
          <w:rStyle w:val="FootnoteReference"/>
          <w:rFonts w:cs="Times New Roman"/>
          <w:sz w:val="20"/>
          <w:szCs w:val="20"/>
        </w:rPr>
        <w:footnoteRef/>
      </w:r>
      <w:r w:rsidRPr="009A3671">
        <w:rPr>
          <w:rFonts w:cs="Times New Roman"/>
          <w:sz w:val="20"/>
          <w:szCs w:val="20"/>
        </w:rPr>
        <w:t xml:space="preserve"> </w:t>
      </w:r>
      <w:r w:rsidRPr="009A3671">
        <w:rPr>
          <w:rFonts w:eastAsia="Times New Roman" w:cs="Times New Roman"/>
          <w:i/>
          <w:iCs/>
          <w:color w:val="000000" w:themeColor="text1"/>
          <w:sz w:val="20"/>
          <w:szCs w:val="20"/>
          <w:bdr w:val="none" w:sz="0" w:space="0" w:color="auto" w:frame="1"/>
        </w:rPr>
        <w:t>Mahoning County v. Public Utilities Com</w:t>
      </w:r>
      <w:r w:rsidRPr="00265025">
        <w:rPr>
          <w:rFonts w:eastAsia="Times New Roman" w:cs="Times New Roman"/>
          <w:color w:val="000000" w:themeColor="text1"/>
          <w:sz w:val="20"/>
          <w:szCs w:val="20"/>
          <w:bdr w:val="none" w:sz="0" w:space="0" w:color="auto" w:frame="1"/>
        </w:rPr>
        <w:t>.</w:t>
      </w:r>
      <w:r w:rsidRPr="009A3671">
        <w:rPr>
          <w:rFonts w:eastAsia="Times New Roman" w:cs="Times New Roman"/>
          <w:color w:val="000000" w:themeColor="text1"/>
          <w:sz w:val="20"/>
          <w:szCs w:val="20"/>
          <w:bdr w:val="none" w:sz="0" w:space="0" w:color="auto" w:frame="1"/>
        </w:rPr>
        <w:t>, 58 Ohio St.2d 40, 43-44</w:t>
      </w:r>
      <w:r w:rsidRPr="009A3671" w:rsidR="007057B0">
        <w:rPr>
          <w:rFonts w:eastAsia="Times New Roman" w:cs="Times New Roman"/>
          <w:color w:val="000000" w:themeColor="text1"/>
          <w:sz w:val="20"/>
          <w:szCs w:val="20"/>
          <w:bdr w:val="none" w:sz="0" w:space="0" w:color="auto" w:frame="1"/>
        </w:rPr>
        <w:t xml:space="preserve"> (1979)</w:t>
      </w:r>
      <w:r w:rsidRPr="009A3671" w:rsidR="00330E97">
        <w:rPr>
          <w:rFonts w:eastAsia="Times New Roman" w:cs="Times New Roman"/>
          <w:color w:val="000000" w:themeColor="text1"/>
          <w:sz w:val="20"/>
          <w:szCs w:val="20"/>
          <w:bdr w:val="none" w:sz="0" w:space="0" w:color="auto" w:frame="1"/>
        </w:rPr>
        <w:t>.</w:t>
      </w:r>
    </w:p>
  </w:footnote>
  <w:footnote w:id="202">
    <w:p w:rsidR="000A2F77" w:rsidRPr="009A3671" w:rsidP="009A3671" w14:paraId="49C31E54" w14:textId="666F6074">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 xml:space="preserve">See, e.g., In the Matter of the Application of Ohio Power Company for Approval of Its Energy Efficiency and Peak Demand Reduction Programs, </w:t>
      </w:r>
      <w:r w:rsidRPr="009A3671">
        <w:rPr>
          <w:rFonts w:cs="Times New Roman"/>
        </w:rPr>
        <w:t>Case No. 16-574-EL-POR, Opinion &amp; Order (Feb. 24, 2021) (finding that the statewide collective benchmark of 17.5 percent has been met and AEP</w:t>
      </w:r>
      <w:r w:rsidR="009F1383">
        <w:rPr>
          <w:rFonts w:cs="Times New Roman"/>
        </w:rPr>
        <w:t>’</w:t>
      </w:r>
      <w:r w:rsidRPr="009A3671">
        <w:rPr>
          <w:rFonts w:cs="Times New Roman"/>
        </w:rPr>
        <w:t>s energy efficiency rider must terminate).</w:t>
      </w:r>
      <w:r w:rsidRPr="009A3671" w:rsidR="00CE2F18">
        <w:rPr>
          <w:rFonts w:cs="Times New Roman"/>
        </w:rPr>
        <w:t xml:space="preserve"> </w:t>
      </w:r>
    </w:p>
  </w:footnote>
  <w:footnote w:id="203">
    <w:p w:rsidR="009417EA" w:rsidRPr="009A3671" w:rsidP="009A3671" w14:paraId="2B2D5359" w14:textId="0C01540E">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sidR="00370BA6">
        <w:rPr>
          <w:rFonts w:cs="Times New Roman"/>
        </w:rPr>
        <w:t xml:space="preserve">OCC Ex. 4, </w:t>
      </w:r>
      <w:r w:rsidRPr="009A3671">
        <w:rPr>
          <w:rFonts w:cs="Times New Roman"/>
        </w:rPr>
        <w:t xml:space="preserve">Direct Testimony </w:t>
      </w:r>
      <w:r w:rsidRPr="009A3671" w:rsidR="00370BA6">
        <w:rPr>
          <w:rFonts w:cs="Times New Roman"/>
        </w:rPr>
        <w:t xml:space="preserve">of Colleen </w:t>
      </w:r>
      <w:r w:rsidRPr="009A3671" w:rsidR="00330E97">
        <w:rPr>
          <w:rFonts w:cs="Times New Roman"/>
        </w:rPr>
        <w:t>Shutrump</w:t>
      </w:r>
      <w:r w:rsidRPr="009A3671" w:rsidR="00370BA6">
        <w:rPr>
          <w:rFonts w:cs="Times New Roman"/>
        </w:rPr>
        <w:t xml:space="preserve"> </w:t>
      </w:r>
      <w:r w:rsidRPr="009A3671" w:rsidR="00BE484C">
        <w:rPr>
          <w:rFonts w:cs="Times New Roman"/>
        </w:rPr>
        <w:t>(</w:t>
      </w:r>
      <w:r w:rsidR="009F1383">
        <w:rPr>
          <w:rFonts w:cs="Times New Roman"/>
        </w:rPr>
        <w:t>“</w:t>
      </w:r>
      <w:r w:rsidRPr="009A3671" w:rsidR="00BE484C">
        <w:rPr>
          <w:rFonts w:cs="Times New Roman"/>
        </w:rPr>
        <w:t>Shutrump Testimony</w:t>
      </w:r>
      <w:r w:rsidR="009F1383">
        <w:rPr>
          <w:rFonts w:cs="Times New Roman"/>
        </w:rPr>
        <w:t>”</w:t>
      </w:r>
      <w:r w:rsidRPr="009A3671" w:rsidR="00BE484C">
        <w:rPr>
          <w:rFonts w:cs="Times New Roman"/>
        </w:rPr>
        <w:t xml:space="preserve">), </w:t>
      </w:r>
      <w:r w:rsidRPr="009A3671">
        <w:rPr>
          <w:rFonts w:cs="Times New Roman"/>
        </w:rPr>
        <w:t>at 3</w:t>
      </w:r>
      <w:r w:rsidRPr="009A3671" w:rsidR="00370BA6">
        <w:rPr>
          <w:rFonts w:cs="Times New Roman"/>
        </w:rPr>
        <w:t xml:space="preserve"> </w:t>
      </w:r>
      <w:r w:rsidRPr="009A3671" w:rsidR="00794395">
        <w:rPr>
          <w:rFonts w:cs="Times New Roman"/>
        </w:rPr>
        <w:t>(Oct</w:t>
      </w:r>
      <w:r w:rsidRPr="009A3671" w:rsidR="00BE484C">
        <w:rPr>
          <w:rFonts w:cs="Times New Roman"/>
        </w:rPr>
        <w:t>.</w:t>
      </w:r>
      <w:r w:rsidRPr="009A3671" w:rsidR="00794395">
        <w:rPr>
          <w:rFonts w:cs="Times New Roman"/>
        </w:rPr>
        <w:t xml:space="preserve"> 23, 2023)</w:t>
      </w:r>
      <w:r w:rsidRPr="009A3671" w:rsidR="00DC4A9D">
        <w:rPr>
          <w:rFonts w:cs="Times New Roman"/>
        </w:rPr>
        <w:t>.</w:t>
      </w:r>
    </w:p>
  </w:footnote>
  <w:footnote w:id="204">
    <w:p w:rsidR="009417EA" w:rsidRPr="009A3671" w:rsidP="009A3671" w14:paraId="04E34CE9" w14:textId="3DEDAEDD">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sidR="0068516F">
        <w:rPr>
          <w:rFonts w:cs="Times New Roman"/>
          <w:i/>
          <w:iCs/>
        </w:rPr>
        <w:t>Id.</w:t>
      </w:r>
      <w:r w:rsidRPr="009A3671" w:rsidR="0068516F">
        <w:rPr>
          <w:rFonts w:cs="Times New Roman"/>
        </w:rPr>
        <w:t xml:space="preserve"> at 4</w:t>
      </w:r>
      <w:r w:rsidRPr="009A3671" w:rsidR="00370BA6">
        <w:rPr>
          <w:rFonts w:cs="Times New Roman"/>
        </w:rPr>
        <w:t>.</w:t>
      </w:r>
    </w:p>
  </w:footnote>
  <w:footnote w:id="205">
    <w:p w:rsidR="009417EA" w:rsidRPr="009A3671" w:rsidP="009A3671" w14:paraId="1F0A3660" w14:textId="046EECCE">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sidR="00241477">
        <w:rPr>
          <w:rFonts w:cs="Times New Roman"/>
          <w:i/>
          <w:iCs/>
        </w:rPr>
        <w:t xml:space="preserve">See </w:t>
      </w:r>
      <w:r w:rsidRPr="009A3671">
        <w:rPr>
          <w:rFonts w:cs="Times New Roman"/>
        </w:rPr>
        <w:t>Miller</w:t>
      </w:r>
      <w:r w:rsidRPr="009A3671" w:rsidR="00241477">
        <w:rPr>
          <w:rFonts w:cs="Times New Roman"/>
        </w:rPr>
        <w:t xml:space="preserve"> Testimony</w:t>
      </w:r>
      <w:r w:rsidRPr="009A3671">
        <w:rPr>
          <w:rFonts w:cs="Times New Roman"/>
        </w:rPr>
        <w:t>, Attachment ECM-2, Workpaper 2, Total budgets by Cost Category</w:t>
      </w:r>
      <w:r w:rsidRPr="009A3671" w:rsidR="00241477">
        <w:rPr>
          <w:rFonts w:cs="Times New Roman"/>
        </w:rPr>
        <w:t>.</w:t>
      </w:r>
    </w:p>
  </w:footnote>
  <w:footnote w:id="206">
    <w:p w:rsidR="009417EA" w:rsidRPr="009A3671" w:rsidP="009A3671" w14:paraId="65D4CF66" w14:textId="0700E096">
      <w:pPr>
        <w:pStyle w:val="FootnoteText"/>
        <w:spacing w:after="120"/>
        <w:rPr>
          <w:rFonts w:cs="Times New Roman"/>
        </w:rPr>
      </w:pPr>
      <w:r w:rsidRPr="009A3671">
        <w:rPr>
          <w:rStyle w:val="FootnoteReference"/>
          <w:rFonts w:cs="Times New Roman"/>
        </w:rPr>
        <w:footnoteRef/>
      </w:r>
      <w:r w:rsidRPr="009A3671">
        <w:rPr>
          <w:rFonts w:cs="Times New Roman"/>
        </w:rPr>
        <w:t xml:space="preserve"> </w:t>
      </w:r>
      <w:bookmarkStart w:id="26" w:name="_Hlk155874849"/>
      <w:r w:rsidRPr="009A3671" w:rsidR="00AA3515">
        <w:rPr>
          <w:rFonts w:cs="Times New Roman"/>
        </w:rPr>
        <w:t>Shutrump Testimony</w:t>
      </w:r>
      <w:r w:rsidRPr="009A3671" w:rsidR="0068516F">
        <w:rPr>
          <w:rFonts w:cs="Times New Roman"/>
        </w:rPr>
        <w:t xml:space="preserve"> at </w:t>
      </w:r>
      <w:bookmarkEnd w:id="26"/>
      <w:r w:rsidRPr="009A3671">
        <w:rPr>
          <w:rFonts w:cs="Times New Roman"/>
        </w:rPr>
        <w:t>6</w:t>
      </w:r>
      <w:r w:rsidRPr="009A3671" w:rsidR="0068516F">
        <w:rPr>
          <w:rFonts w:cs="Times New Roman"/>
        </w:rPr>
        <w:t>.</w:t>
      </w:r>
    </w:p>
  </w:footnote>
  <w:footnote w:id="207">
    <w:p w:rsidR="009417EA" w:rsidRPr="009A3671" w:rsidP="009A3671" w14:paraId="302563AF" w14:textId="54889B65">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sidR="0068516F">
        <w:rPr>
          <w:rFonts w:cs="Times New Roman"/>
          <w:i/>
          <w:iCs/>
        </w:rPr>
        <w:t>Id</w:t>
      </w:r>
      <w:r w:rsidRPr="009A3671" w:rsidR="0068516F">
        <w:rPr>
          <w:rFonts w:cs="Times New Roman"/>
        </w:rPr>
        <w:t>. at 7</w:t>
      </w:r>
      <w:r w:rsidRPr="009A3671" w:rsidR="00AA3515">
        <w:rPr>
          <w:rFonts w:cs="Times New Roman"/>
        </w:rPr>
        <w:t>.</w:t>
      </w:r>
    </w:p>
  </w:footnote>
  <w:footnote w:id="208">
    <w:p w:rsidR="009417EA" w:rsidRPr="009A3671" w:rsidP="009A3671" w14:paraId="256DEC12" w14:textId="30EE824F">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sidR="0068516F">
        <w:rPr>
          <w:rFonts w:cs="Times New Roman"/>
          <w:i/>
          <w:iCs/>
        </w:rPr>
        <w:t>Id</w:t>
      </w:r>
      <w:r w:rsidRPr="009A3671" w:rsidR="0068516F">
        <w:rPr>
          <w:rFonts w:cs="Times New Roman"/>
        </w:rPr>
        <w:t xml:space="preserve">. </w:t>
      </w:r>
    </w:p>
  </w:footnote>
  <w:footnote w:id="209">
    <w:p w:rsidR="009417EA" w:rsidRPr="009A3671" w:rsidP="009A3671" w14:paraId="05062A90" w14:textId="16C7F1F5">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sidR="0068516F">
        <w:rPr>
          <w:rFonts w:cs="Times New Roman"/>
          <w:i/>
          <w:iCs/>
        </w:rPr>
        <w:t>Id</w:t>
      </w:r>
      <w:r w:rsidRPr="009A3671" w:rsidR="0068516F">
        <w:rPr>
          <w:rFonts w:cs="Times New Roman"/>
        </w:rPr>
        <w:t>. at 8</w:t>
      </w:r>
      <w:r w:rsidRPr="009A3671" w:rsidR="00AA3515">
        <w:rPr>
          <w:rFonts w:cs="Times New Roman"/>
        </w:rPr>
        <w:t>.</w:t>
      </w:r>
    </w:p>
  </w:footnote>
  <w:footnote w:id="210">
    <w:p w:rsidR="009417EA" w:rsidRPr="009A3671" w:rsidP="009A3671" w14:paraId="589B7661" w14:textId="0A13ADFC">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sidR="0068516F">
        <w:rPr>
          <w:rFonts w:cs="Times New Roman"/>
          <w:i/>
          <w:iCs/>
        </w:rPr>
        <w:t>Id.</w:t>
      </w:r>
      <w:r w:rsidRPr="009A3671" w:rsidR="0068516F">
        <w:rPr>
          <w:rFonts w:cs="Times New Roman"/>
        </w:rPr>
        <w:t xml:space="preserve"> </w:t>
      </w:r>
    </w:p>
  </w:footnote>
  <w:footnote w:id="211">
    <w:p w:rsidR="009417EA" w:rsidRPr="009A3671" w:rsidP="009A3671" w14:paraId="5F195D8C" w14:textId="2E5DF3F0">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sidR="0068516F">
        <w:rPr>
          <w:rFonts w:cs="Times New Roman"/>
          <w:i/>
          <w:iCs/>
        </w:rPr>
        <w:t>Id</w:t>
      </w:r>
      <w:r w:rsidRPr="009A3671" w:rsidR="0068516F">
        <w:rPr>
          <w:rFonts w:cs="Times New Roman"/>
        </w:rPr>
        <w:t>. at 11</w:t>
      </w:r>
      <w:r w:rsidRPr="009A3671" w:rsidR="00AA3515">
        <w:rPr>
          <w:rFonts w:cs="Times New Roman"/>
        </w:rPr>
        <w:t>.</w:t>
      </w:r>
    </w:p>
  </w:footnote>
  <w:footnote w:id="212">
    <w:p w:rsidR="009417EA" w:rsidRPr="009A3671" w:rsidP="009A3671" w14:paraId="6B26BCCB" w14:textId="27B13D2E">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sidR="0068516F">
        <w:rPr>
          <w:rFonts w:cs="Times New Roman"/>
          <w:i/>
          <w:iCs/>
        </w:rPr>
        <w:t>Id</w:t>
      </w:r>
      <w:r w:rsidRPr="009A3671" w:rsidR="0068516F">
        <w:rPr>
          <w:rFonts w:cs="Times New Roman"/>
        </w:rPr>
        <w:t xml:space="preserve">. </w:t>
      </w:r>
    </w:p>
  </w:footnote>
  <w:footnote w:id="213">
    <w:p w:rsidR="009417EA" w:rsidRPr="009A3671" w:rsidP="009A3671" w14:paraId="48259807" w14:textId="325BC8F8">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sidR="0068516F">
        <w:rPr>
          <w:rFonts w:cs="Times New Roman"/>
          <w:i/>
          <w:iCs/>
        </w:rPr>
        <w:t>Id</w:t>
      </w:r>
      <w:r w:rsidRPr="009A3671" w:rsidR="0068516F">
        <w:rPr>
          <w:rFonts w:cs="Times New Roman"/>
        </w:rPr>
        <w:t>. at 14</w:t>
      </w:r>
      <w:r w:rsidRPr="009A3671" w:rsidR="00C41F0E">
        <w:rPr>
          <w:rFonts w:cs="Times New Roman"/>
        </w:rPr>
        <w:t>.</w:t>
      </w:r>
    </w:p>
  </w:footnote>
  <w:footnote w:id="214">
    <w:p w:rsidR="009417EA" w:rsidRPr="009A3671" w:rsidP="009A3671" w14:paraId="65462E1D" w14:textId="11958666">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sidR="0068516F">
        <w:rPr>
          <w:rFonts w:cs="Times New Roman"/>
          <w:i/>
          <w:iCs/>
        </w:rPr>
        <w:t>Id</w:t>
      </w:r>
      <w:r w:rsidRPr="009A3671" w:rsidR="0068516F">
        <w:rPr>
          <w:rFonts w:cs="Times New Roman"/>
        </w:rPr>
        <w:t xml:space="preserve">. </w:t>
      </w:r>
    </w:p>
  </w:footnote>
  <w:footnote w:id="215">
    <w:p w:rsidR="009417EA" w:rsidRPr="009A3671" w:rsidP="009A3671" w14:paraId="50640C1D" w14:textId="39AD73E2">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sidR="0068516F">
        <w:rPr>
          <w:rFonts w:cs="Times New Roman"/>
          <w:i/>
          <w:iCs/>
        </w:rPr>
        <w:t>Id</w:t>
      </w:r>
      <w:r w:rsidRPr="009A3671" w:rsidR="0068516F">
        <w:rPr>
          <w:rFonts w:cs="Times New Roman"/>
        </w:rPr>
        <w:t xml:space="preserve">. </w:t>
      </w:r>
    </w:p>
  </w:footnote>
  <w:footnote w:id="216">
    <w:p w:rsidR="00757BB6" w:rsidRPr="009A3671" w:rsidP="009A3671" w14:paraId="6049E240" w14:textId="5B1799C9">
      <w:pPr>
        <w:pStyle w:val="FootnoteText"/>
        <w:spacing w:after="120"/>
        <w:rPr>
          <w:rFonts w:cs="Times New Roman"/>
        </w:rPr>
      </w:pPr>
      <w:r w:rsidRPr="009A3671">
        <w:rPr>
          <w:rStyle w:val="FootnoteReference"/>
          <w:rFonts w:cs="Times New Roman"/>
        </w:rPr>
        <w:footnoteRef/>
      </w:r>
      <w:r w:rsidRPr="009A3671">
        <w:rPr>
          <w:rFonts w:cs="Times New Roman"/>
        </w:rPr>
        <w:t xml:space="preserve"> FirstEnergy Ex. 2, Direct Testimony of Santino</w:t>
      </w:r>
      <w:r w:rsidRPr="009A3671" w:rsidR="00A37D9E">
        <w:rPr>
          <w:rFonts w:cs="Times New Roman"/>
        </w:rPr>
        <w:t xml:space="preserve"> L. Fanelli</w:t>
      </w:r>
      <w:r w:rsidRPr="009A3671">
        <w:rPr>
          <w:rFonts w:cs="Times New Roman"/>
        </w:rPr>
        <w:t xml:space="preserve"> </w:t>
      </w:r>
      <w:r w:rsidRPr="009A3671" w:rsidR="00733971">
        <w:rPr>
          <w:rFonts w:cs="Times New Roman"/>
        </w:rPr>
        <w:t>(</w:t>
      </w:r>
      <w:r w:rsidR="009F1383">
        <w:rPr>
          <w:rFonts w:cs="Times New Roman"/>
        </w:rPr>
        <w:t>“</w:t>
      </w:r>
      <w:r w:rsidRPr="009A3671" w:rsidR="00733971">
        <w:rPr>
          <w:rFonts w:cs="Times New Roman"/>
        </w:rPr>
        <w:t>Fanelli Testimony</w:t>
      </w:r>
      <w:r w:rsidR="009F1383">
        <w:rPr>
          <w:rFonts w:cs="Times New Roman"/>
        </w:rPr>
        <w:t>”</w:t>
      </w:r>
      <w:r w:rsidRPr="009A3671" w:rsidR="00733971">
        <w:rPr>
          <w:rFonts w:cs="Times New Roman"/>
        </w:rPr>
        <w:t xml:space="preserve">), </w:t>
      </w:r>
      <w:r w:rsidRPr="009A3671">
        <w:rPr>
          <w:rFonts w:cs="Times New Roman"/>
        </w:rPr>
        <w:t>at 8-9 (Apr</w:t>
      </w:r>
      <w:r w:rsidRPr="009A3671" w:rsidR="00733971">
        <w:rPr>
          <w:rFonts w:cs="Times New Roman"/>
        </w:rPr>
        <w:t>il</w:t>
      </w:r>
      <w:r w:rsidRPr="009A3671">
        <w:rPr>
          <w:rFonts w:cs="Times New Roman"/>
        </w:rPr>
        <w:t xml:space="preserve"> 5, 2023)</w:t>
      </w:r>
      <w:r w:rsidRPr="009A3671" w:rsidR="00733971">
        <w:rPr>
          <w:rFonts w:cs="Times New Roman"/>
        </w:rPr>
        <w:t>.</w:t>
      </w:r>
    </w:p>
  </w:footnote>
  <w:footnote w:id="217">
    <w:p w:rsidR="006B4E7A" w:rsidRPr="009A3671" w:rsidP="009A3671" w14:paraId="2FEDD6BE" w14:textId="7B79F6AF">
      <w:pPr>
        <w:pStyle w:val="FootnoteText"/>
        <w:spacing w:after="120"/>
        <w:rPr>
          <w:rFonts w:cs="Times New Roman"/>
          <w:i/>
          <w:iCs/>
        </w:rPr>
      </w:pPr>
      <w:r w:rsidRPr="009A3671">
        <w:rPr>
          <w:rStyle w:val="FootnoteReference"/>
          <w:rFonts w:cs="Times New Roman"/>
        </w:rPr>
        <w:footnoteRef/>
      </w:r>
      <w:r w:rsidRPr="009A3671">
        <w:rPr>
          <w:rFonts w:cs="Times New Roman"/>
        </w:rPr>
        <w:t xml:space="preserve"> </w:t>
      </w:r>
      <w:r w:rsidRPr="009A3671">
        <w:rPr>
          <w:rFonts w:cs="Times New Roman"/>
          <w:i/>
          <w:iCs/>
        </w:rPr>
        <w:t>Id.</w:t>
      </w:r>
    </w:p>
  </w:footnote>
  <w:footnote w:id="218">
    <w:p w:rsidR="007E1D0F" w:rsidRPr="009A3671" w:rsidP="009A3671" w14:paraId="7A98E46D" w14:textId="3D06BC62">
      <w:pPr>
        <w:pStyle w:val="FootnoteText"/>
        <w:spacing w:after="120"/>
        <w:rPr>
          <w:rFonts w:cs="Times New Roman"/>
          <w:i/>
          <w:iCs/>
        </w:rPr>
      </w:pPr>
      <w:r w:rsidRPr="009A3671">
        <w:rPr>
          <w:rStyle w:val="FootnoteReference"/>
          <w:rFonts w:cs="Times New Roman"/>
        </w:rPr>
        <w:footnoteRef/>
      </w:r>
      <w:r w:rsidRPr="009A3671">
        <w:rPr>
          <w:rFonts w:cs="Times New Roman"/>
        </w:rPr>
        <w:t xml:space="preserve"> </w:t>
      </w:r>
      <w:r w:rsidRPr="009A3671">
        <w:rPr>
          <w:rFonts w:cs="Times New Roman"/>
          <w:i/>
          <w:iCs/>
        </w:rPr>
        <w:t>Id.</w:t>
      </w:r>
    </w:p>
  </w:footnote>
  <w:footnote w:id="219">
    <w:p w:rsidR="009E2DE7" w:rsidRPr="009A3671" w:rsidP="009A3671" w14:paraId="19572C8E" w14:textId="704169D6">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sidR="008D59BE">
        <w:rPr>
          <w:rFonts w:cs="Times New Roman"/>
        </w:rPr>
        <w:t xml:space="preserve">OCC Ex. 3, </w:t>
      </w:r>
      <w:r w:rsidRPr="009A3671" w:rsidR="00794395">
        <w:rPr>
          <w:rFonts w:cs="Times New Roman"/>
        </w:rPr>
        <w:t>Direct Testimony</w:t>
      </w:r>
      <w:r w:rsidRPr="009A3671" w:rsidR="008D59BE">
        <w:rPr>
          <w:rFonts w:cs="Times New Roman"/>
        </w:rPr>
        <w:t xml:space="preserve"> of Richard Hasselman</w:t>
      </w:r>
      <w:r w:rsidRPr="009A3671" w:rsidR="00794395">
        <w:rPr>
          <w:rFonts w:cs="Times New Roman"/>
        </w:rPr>
        <w:t xml:space="preserve"> </w:t>
      </w:r>
      <w:bookmarkStart w:id="28" w:name="_Hlk155875343"/>
      <w:r w:rsidRPr="009A3671" w:rsidR="00FA7B9C">
        <w:rPr>
          <w:rFonts w:cs="Times New Roman"/>
        </w:rPr>
        <w:t>(</w:t>
      </w:r>
      <w:r w:rsidR="009F1383">
        <w:rPr>
          <w:rFonts w:cs="Times New Roman"/>
        </w:rPr>
        <w:t>“</w:t>
      </w:r>
      <w:r w:rsidRPr="009A3671" w:rsidR="00FA7B9C">
        <w:rPr>
          <w:rFonts w:cs="Times New Roman"/>
        </w:rPr>
        <w:t>Hasselman Testimony</w:t>
      </w:r>
      <w:r w:rsidR="009F1383">
        <w:rPr>
          <w:rFonts w:cs="Times New Roman"/>
        </w:rPr>
        <w:t>”</w:t>
      </w:r>
      <w:r w:rsidRPr="009A3671" w:rsidR="00FA7B9C">
        <w:rPr>
          <w:rFonts w:cs="Times New Roman"/>
        </w:rPr>
        <w:t xml:space="preserve">), </w:t>
      </w:r>
      <w:r w:rsidRPr="009A3671" w:rsidR="00794395">
        <w:rPr>
          <w:rFonts w:cs="Times New Roman"/>
        </w:rPr>
        <w:t xml:space="preserve">at 3 </w:t>
      </w:r>
      <w:bookmarkEnd w:id="28"/>
      <w:r w:rsidRPr="009A3671" w:rsidR="00794395">
        <w:rPr>
          <w:rFonts w:cs="Times New Roman"/>
        </w:rPr>
        <w:t>(Oct</w:t>
      </w:r>
      <w:r w:rsidRPr="009A3671" w:rsidR="00FA7B9C">
        <w:rPr>
          <w:rFonts w:cs="Times New Roman"/>
        </w:rPr>
        <w:t>.</w:t>
      </w:r>
      <w:r w:rsidRPr="009A3671" w:rsidR="00794395">
        <w:rPr>
          <w:rFonts w:cs="Times New Roman"/>
        </w:rPr>
        <w:t xml:space="preserve"> 23, 2023)</w:t>
      </w:r>
      <w:r w:rsidRPr="009A3671" w:rsidR="00FA7B9C">
        <w:rPr>
          <w:rFonts w:cs="Times New Roman"/>
        </w:rPr>
        <w:t>.</w:t>
      </w:r>
    </w:p>
  </w:footnote>
  <w:footnote w:id="220">
    <w:p w:rsidR="008D59BE" w:rsidRPr="009A3671" w:rsidP="009A3671" w14:paraId="5D5B5F91" w14:textId="3174B6A2">
      <w:pPr>
        <w:pStyle w:val="FootnoteText"/>
        <w:spacing w:after="120"/>
        <w:rPr>
          <w:rFonts w:cs="Times New Roman"/>
          <w:i/>
          <w:iCs/>
        </w:rPr>
      </w:pPr>
      <w:r w:rsidRPr="009A3671">
        <w:rPr>
          <w:rStyle w:val="FootnoteReference"/>
          <w:rFonts w:cs="Times New Roman"/>
        </w:rPr>
        <w:footnoteRef/>
      </w:r>
      <w:r w:rsidRPr="009A3671">
        <w:rPr>
          <w:rFonts w:cs="Times New Roman"/>
        </w:rPr>
        <w:t xml:space="preserve"> </w:t>
      </w:r>
      <w:r w:rsidRPr="009A3671">
        <w:rPr>
          <w:rFonts w:cs="Times New Roman"/>
          <w:i/>
          <w:iCs/>
        </w:rPr>
        <w:t>Id.</w:t>
      </w:r>
    </w:p>
  </w:footnote>
  <w:footnote w:id="221">
    <w:p w:rsidR="00E267B9" w:rsidRPr="009A3671" w:rsidP="009A3671" w14:paraId="70ED3F72" w14:textId="35BFBD93">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sidR="0068516F">
        <w:rPr>
          <w:rFonts w:cs="Times New Roman"/>
          <w:i/>
          <w:iCs/>
        </w:rPr>
        <w:t>Id</w:t>
      </w:r>
      <w:r w:rsidRPr="009A3671" w:rsidR="0068516F">
        <w:rPr>
          <w:rFonts w:cs="Times New Roman"/>
        </w:rPr>
        <w:t xml:space="preserve">. </w:t>
      </w:r>
      <w:r w:rsidRPr="009A3671">
        <w:rPr>
          <w:rFonts w:cs="Times New Roman"/>
        </w:rPr>
        <w:t xml:space="preserve">at </w:t>
      </w:r>
      <w:r w:rsidRPr="009A3671" w:rsidR="00794395">
        <w:rPr>
          <w:rFonts w:cs="Times New Roman"/>
        </w:rPr>
        <w:t>5</w:t>
      </w:r>
      <w:r w:rsidRPr="009A3671" w:rsidR="008D59BE">
        <w:rPr>
          <w:rFonts w:cs="Times New Roman"/>
        </w:rPr>
        <w:t>.</w:t>
      </w:r>
    </w:p>
  </w:footnote>
  <w:footnote w:id="222">
    <w:p w:rsidR="008B1E43" w:rsidRPr="009A3671" w:rsidP="009A3671" w14:paraId="189573D3" w14:textId="7C9EED73">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sidR="00794395">
        <w:rPr>
          <w:rFonts w:cs="Times New Roman"/>
          <w:i/>
          <w:iCs/>
        </w:rPr>
        <w:t>Id</w:t>
      </w:r>
      <w:r w:rsidRPr="009A3671" w:rsidR="00794395">
        <w:rPr>
          <w:rFonts w:cs="Times New Roman"/>
        </w:rPr>
        <w:t>. at 9</w:t>
      </w:r>
      <w:r w:rsidRPr="009A3671" w:rsidR="008D59BE">
        <w:rPr>
          <w:rFonts w:cs="Times New Roman"/>
        </w:rPr>
        <w:t>.</w:t>
      </w:r>
    </w:p>
  </w:footnote>
  <w:footnote w:id="223">
    <w:p w:rsidR="00000485" w:rsidRPr="009A3671" w:rsidP="009A3671" w14:paraId="5F155BAB" w14:textId="09087EDF">
      <w:pPr>
        <w:pStyle w:val="FootnoteText"/>
        <w:spacing w:after="120"/>
        <w:rPr>
          <w:rFonts w:cs="Times New Roman"/>
        </w:rPr>
      </w:pPr>
      <w:r w:rsidRPr="009A3671">
        <w:rPr>
          <w:rStyle w:val="FootnoteReference"/>
          <w:rFonts w:cs="Times New Roman"/>
        </w:rPr>
        <w:footnoteRef/>
      </w:r>
      <w:r w:rsidRPr="009A3671">
        <w:rPr>
          <w:rFonts w:cs="Times New Roman"/>
        </w:rPr>
        <w:t xml:space="preserve"> R.C. 4928.143(C)</w:t>
      </w:r>
      <w:r w:rsidRPr="009A3671" w:rsidR="006E0D18">
        <w:rPr>
          <w:rFonts w:cs="Times New Roman"/>
        </w:rPr>
        <w:t>.</w:t>
      </w:r>
    </w:p>
  </w:footnote>
  <w:footnote w:id="224">
    <w:p w:rsidR="00A82749" w:rsidRPr="009A3671" w:rsidP="009A3671" w14:paraId="09C197DB" w14:textId="36BD0B49">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See, e.g</w:t>
      </w:r>
      <w:r w:rsidRPr="009A3671">
        <w:rPr>
          <w:rFonts w:cs="Times New Roman"/>
        </w:rPr>
        <w:t>., R.C. 4928.143(C)(1).</w:t>
      </w:r>
    </w:p>
  </w:footnote>
  <w:footnote w:id="225">
    <w:p w:rsidR="00A82749" w:rsidRPr="009A3671" w:rsidP="009A3671" w14:paraId="62EB6B46" w14:textId="7B75D78E">
      <w:pPr>
        <w:pStyle w:val="FootnoteText"/>
        <w:spacing w:after="120"/>
        <w:rPr>
          <w:rFonts w:cs="Times New Roman"/>
        </w:rPr>
      </w:pPr>
      <w:r w:rsidRPr="009A3671">
        <w:rPr>
          <w:rStyle w:val="FootnoteReference"/>
          <w:rFonts w:cs="Times New Roman"/>
        </w:rPr>
        <w:footnoteRef/>
      </w:r>
      <w:r w:rsidRPr="009A3671">
        <w:rPr>
          <w:rFonts w:cs="Times New Roman"/>
        </w:rPr>
        <w:t xml:space="preserve"> </w:t>
      </w:r>
      <w:r w:rsidRPr="009A3671">
        <w:rPr>
          <w:rFonts w:cs="Times New Roman"/>
          <w:i/>
          <w:iCs/>
        </w:rPr>
        <w:t>AEP Ohio ESP</w:t>
      </w:r>
      <w:r w:rsidRPr="009A3671">
        <w:rPr>
          <w:rFonts w:cs="Times New Roman"/>
        </w:rPr>
        <w:t>, Case No. 11-346-EL-SSO</w:t>
      </w:r>
      <w:r w:rsidRPr="009A3671" w:rsidR="00B04C25">
        <w:rPr>
          <w:rFonts w:cs="Times New Roman"/>
        </w:rPr>
        <w:t>,</w:t>
      </w:r>
      <w:r w:rsidRPr="009A3671">
        <w:rPr>
          <w:rFonts w:cs="Times New Roman"/>
        </w:rPr>
        <w:t xml:space="preserve"> et al., Opinion and Order at 73 (Aug. 8, 2012) and Entry on Rehearing at 13-14 (Jan. 30, 2013) and </w:t>
      </w:r>
      <w:r w:rsidRPr="009A3671">
        <w:rPr>
          <w:rFonts w:cs="Times New Roman"/>
          <w:i/>
          <w:iCs/>
        </w:rPr>
        <w:t>Dayton Power &amp; Light</w:t>
      </w:r>
      <w:r w:rsidRPr="009A3671">
        <w:rPr>
          <w:rFonts w:cs="Times New Roman"/>
        </w:rPr>
        <w:t>, Case No. 12-426-EL-SSO, et al., Opinion and Order at 48-52 (Sept. 3, 2013).</w:t>
      </w:r>
    </w:p>
  </w:footnote>
  <w:footnote w:id="226">
    <w:p w:rsidR="005E2792" w:rsidRPr="009A3671" w:rsidP="009A3671" w14:paraId="3FD167DA" w14:textId="5F17031C">
      <w:pPr>
        <w:pStyle w:val="FootnoteText"/>
        <w:spacing w:after="120"/>
        <w:rPr>
          <w:rFonts w:cs="Times New Roman"/>
        </w:rPr>
      </w:pPr>
      <w:r w:rsidRPr="009A3671">
        <w:rPr>
          <w:rStyle w:val="FootnoteReference"/>
          <w:rFonts w:cs="Times New Roman"/>
        </w:rPr>
        <w:footnoteRef/>
      </w:r>
      <w:r w:rsidRPr="009A3671">
        <w:rPr>
          <w:rFonts w:cs="Times New Roman"/>
        </w:rPr>
        <w:t xml:space="preserve"> Fanelli Testimony at 12.</w:t>
      </w:r>
    </w:p>
  </w:footnote>
  <w:footnote w:id="227">
    <w:p w:rsidR="008E3905" w:rsidRPr="009A3671" w:rsidP="009A3671" w14:paraId="087E72BA" w14:textId="275035A6">
      <w:pPr>
        <w:pStyle w:val="FootnoteText"/>
        <w:spacing w:after="120"/>
        <w:rPr>
          <w:rFonts w:cs="Times New Roman"/>
        </w:rPr>
      </w:pPr>
      <w:r w:rsidRPr="009A3671">
        <w:rPr>
          <w:rStyle w:val="FootnoteReference"/>
          <w:rFonts w:cs="Times New Roman"/>
        </w:rPr>
        <w:footnoteRef/>
      </w:r>
      <w:r w:rsidRPr="009A3671">
        <w:rPr>
          <w:rFonts w:cs="Times New Roman"/>
        </w:rPr>
        <w:t xml:space="preserve"> R.C. 4928.143(C)</w:t>
      </w:r>
      <w:r w:rsidRPr="009A3671" w:rsidR="00245810">
        <w:rPr>
          <w:rFonts w:cs="Times New Roman"/>
        </w:rPr>
        <w:t>.</w:t>
      </w:r>
    </w:p>
  </w:footnote>
  <w:footnote w:id="228">
    <w:p w:rsidR="000E647C" w:rsidRPr="009A3671" w:rsidP="009A3671" w14:paraId="3ED30433" w14:textId="77777777">
      <w:pPr>
        <w:pStyle w:val="FootnoteText"/>
        <w:spacing w:after="120"/>
        <w:rPr>
          <w:rFonts w:cs="Times New Roman"/>
        </w:rPr>
      </w:pPr>
      <w:r w:rsidRPr="009A3671">
        <w:rPr>
          <w:rStyle w:val="FootnoteReference"/>
          <w:rFonts w:cs="Times New Roman"/>
        </w:rPr>
        <w:footnoteRef/>
      </w:r>
      <w:r w:rsidRPr="009A3671">
        <w:rPr>
          <w:rFonts w:cs="Times New Roman"/>
        </w:rPr>
        <w:t xml:space="preserve"> PUCO web page/About Us/Mission and Commitments, available at: </w:t>
      </w:r>
      <w:hyperlink r:id="rId3" w:history="1">
        <w:r w:rsidRPr="009A3671">
          <w:rPr>
            <w:rStyle w:val="Hyperlink"/>
            <w:rFonts w:cs="Times New Roman"/>
          </w:rPr>
          <w:t>https://puco.ohio.gov/about-us/resources/mission-and-commitments</w:t>
        </w:r>
      </w:hyperlink>
      <w:r w:rsidRPr="009A3671">
        <w:rPr>
          <w:rFonts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3BFB" w14:paraId="30BBC5C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3BFB" w14:paraId="2D43FB2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3BFB" w14:paraId="559E0E6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786984"/>
    <w:multiLevelType w:val="hybridMultilevel"/>
    <w:tmpl w:val="51825F1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71A3283"/>
    <w:multiLevelType w:val="hybridMultilevel"/>
    <w:tmpl w:val="2BE08C58"/>
    <w:lvl w:ilvl="0">
      <w:start w:val="1"/>
      <w:numFmt w:val="decimal"/>
      <w:lvlText w:val="(%1)"/>
      <w:lvlJc w:val="left"/>
      <w:pPr>
        <w:ind w:left="1440" w:hanging="360"/>
      </w:pPr>
      <w:rPr>
        <w:rFonts w:hint="default"/>
        <w:b w:val="0"/>
        <w:bCs w:val="0"/>
        <w:i w:val="0"/>
        <w:iCs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2C753451"/>
    <w:multiLevelType w:val="hybridMultilevel"/>
    <w:tmpl w:val="A7CCB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039402A"/>
    <w:multiLevelType w:val="hybridMultilevel"/>
    <w:tmpl w:val="829AD9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6157940"/>
    <w:multiLevelType w:val="hybridMultilevel"/>
    <w:tmpl w:val="4D9EFA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1783F7F"/>
    <w:multiLevelType w:val="hybridMultilevel"/>
    <w:tmpl w:val="3C90EC96"/>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79200887"/>
    <w:multiLevelType w:val="hybridMultilevel"/>
    <w:tmpl w:val="ACEC5C3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4"/>
  </w:num>
  <w:num w:numId="5">
    <w:abstractNumId w:val="0"/>
  </w:num>
  <w:num w:numId="6">
    <w:abstractNumId w:val="5"/>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044"/>
    <w:rsid w:val="000001F1"/>
    <w:rsid w:val="00000485"/>
    <w:rsid w:val="000018C3"/>
    <w:rsid w:val="00001C28"/>
    <w:rsid w:val="00002264"/>
    <w:rsid w:val="000023BA"/>
    <w:rsid w:val="000029A2"/>
    <w:rsid w:val="00002A94"/>
    <w:rsid w:val="00003380"/>
    <w:rsid w:val="0000398E"/>
    <w:rsid w:val="00003BE9"/>
    <w:rsid w:val="00005772"/>
    <w:rsid w:val="000059A5"/>
    <w:rsid w:val="00005F15"/>
    <w:rsid w:val="00006734"/>
    <w:rsid w:val="00007A8F"/>
    <w:rsid w:val="00010C71"/>
    <w:rsid w:val="00012323"/>
    <w:rsid w:val="00012389"/>
    <w:rsid w:val="00012794"/>
    <w:rsid w:val="00012BB0"/>
    <w:rsid w:val="00012FE2"/>
    <w:rsid w:val="000133DB"/>
    <w:rsid w:val="00013A44"/>
    <w:rsid w:val="00013A5C"/>
    <w:rsid w:val="00013E0C"/>
    <w:rsid w:val="00014749"/>
    <w:rsid w:val="000149F4"/>
    <w:rsid w:val="00014CED"/>
    <w:rsid w:val="00015659"/>
    <w:rsid w:val="00015894"/>
    <w:rsid w:val="0001723E"/>
    <w:rsid w:val="000172A0"/>
    <w:rsid w:val="000174E1"/>
    <w:rsid w:val="000178A2"/>
    <w:rsid w:val="00017A00"/>
    <w:rsid w:val="00017DDF"/>
    <w:rsid w:val="00021312"/>
    <w:rsid w:val="00021B9D"/>
    <w:rsid w:val="000220D8"/>
    <w:rsid w:val="00022C1C"/>
    <w:rsid w:val="00023138"/>
    <w:rsid w:val="00023C3E"/>
    <w:rsid w:val="00023FFB"/>
    <w:rsid w:val="000243BF"/>
    <w:rsid w:val="00024DA5"/>
    <w:rsid w:val="000264A2"/>
    <w:rsid w:val="000267D5"/>
    <w:rsid w:val="00026964"/>
    <w:rsid w:val="00026BE6"/>
    <w:rsid w:val="00027241"/>
    <w:rsid w:val="00030948"/>
    <w:rsid w:val="00030D0A"/>
    <w:rsid w:val="00031AAE"/>
    <w:rsid w:val="0003268C"/>
    <w:rsid w:val="00034D4F"/>
    <w:rsid w:val="00034FAA"/>
    <w:rsid w:val="00035201"/>
    <w:rsid w:val="0003553F"/>
    <w:rsid w:val="00035D16"/>
    <w:rsid w:val="00035EEB"/>
    <w:rsid w:val="0003629B"/>
    <w:rsid w:val="000363B8"/>
    <w:rsid w:val="00036E57"/>
    <w:rsid w:val="00037415"/>
    <w:rsid w:val="0003775C"/>
    <w:rsid w:val="00037AEC"/>
    <w:rsid w:val="00037B3D"/>
    <w:rsid w:val="00040288"/>
    <w:rsid w:val="00040678"/>
    <w:rsid w:val="000413EE"/>
    <w:rsid w:val="00042343"/>
    <w:rsid w:val="0004235F"/>
    <w:rsid w:val="000425E4"/>
    <w:rsid w:val="000430A4"/>
    <w:rsid w:val="00043754"/>
    <w:rsid w:val="00044975"/>
    <w:rsid w:val="00044FD4"/>
    <w:rsid w:val="00045531"/>
    <w:rsid w:val="0004674D"/>
    <w:rsid w:val="0004734E"/>
    <w:rsid w:val="00047775"/>
    <w:rsid w:val="0004777E"/>
    <w:rsid w:val="000507BC"/>
    <w:rsid w:val="000510E5"/>
    <w:rsid w:val="000512A1"/>
    <w:rsid w:val="000516B8"/>
    <w:rsid w:val="0005252C"/>
    <w:rsid w:val="00052D06"/>
    <w:rsid w:val="00053121"/>
    <w:rsid w:val="0005327D"/>
    <w:rsid w:val="00053FF4"/>
    <w:rsid w:val="00056437"/>
    <w:rsid w:val="00056565"/>
    <w:rsid w:val="00057A10"/>
    <w:rsid w:val="000602C3"/>
    <w:rsid w:val="00062290"/>
    <w:rsid w:val="00062939"/>
    <w:rsid w:val="00062A0B"/>
    <w:rsid w:val="00062BEF"/>
    <w:rsid w:val="00062FB9"/>
    <w:rsid w:val="0006418D"/>
    <w:rsid w:val="00064E6A"/>
    <w:rsid w:val="00065CFF"/>
    <w:rsid w:val="0006727E"/>
    <w:rsid w:val="000672F5"/>
    <w:rsid w:val="000675B6"/>
    <w:rsid w:val="000677B7"/>
    <w:rsid w:val="00067BBA"/>
    <w:rsid w:val="0007052A"/>
    <w:rsid w:val="000710A6"/>
    <w:rsid w:val="00071383"/>
    <w:rsid w:val="00071829"/>
    <w:rsid w:val="00072381"/>
    <w:rsid w:val="0007299A"/>
    <w:rsid w:val="000746FE"/>
    <w:rsid w:val="00076026"/>
    <w:rsid w:val="000767BD"/>
    <w:rsid w:val="00076906"/>
    <w:rsid w:val="00077591"/>
    <w:rsid w:val="000775AB"/>
    <w:rsid w:val="00077756"/>
    <w:rsid w:val="000779F3"/>
    <w:rsid w:val="000779F6"/>
    <w:rsid w:val="00080332"/>
    <w:rsid w:val="00080458"/>
    <w:rsid w:val="000808D6"/>
    <w:rsid w:val="0008165C"/>
    <w:rsid w:val="000816F9"/>
    <w:rsid w:val="00081E86"/>
    <w:rsid w:val="00083241"/>
    <w:rsid w:val="00083E1F"/>
    <w:rsid w:val="0008428C"/>
    <w:rsid w:val="000851DA"/>
    <w:rsid w:val="0008533F"/>
    <w:rsid w:val="00086D55"/>
    <w:rsid w:val="00087099"/>
    <w:rsid w:val="000870DA"/>
    <w:rsid w:val="00087E1E"/>
    <w:rsid w:val="00090771"/>
    <w:rsid w:val="00090A2D"/>
    <w:rsid w:val="000923BD"/>
    <w:rsid w:val="00092ADB"/>
    <w:rsid w:val="00092F7D"/>
    <w:rsid w:val="0009416F"/>
    <w:rsid w:val="000945CC"/>
    <w:rsid w:val="000959BC"/>
    <w:rsid w:val="00095D47"/>
    <w:rsid w:val="00096574"/>
    <w:rsid w:val="00096B4F"/>
    <w:rsid w:val="00097645"/>
    <w:rsid w:val="000976ED"/>
    <w:rsid w:val="000A05A5"/>
    <w:rsid w:val="000A0C7F"/>
    <w:rsid w:val="000A1E3E"/>
    <w:rsid w:val="000A226C"/>
    <w:rsid w:val="000A27E9"/>
    <w:rsid w:val="000A2F77"/>
    <w:rsid w:val="000A3790"/>
    <w:rsid w:val="000A46A0"/>
    <w:rsid w:val="000A483B"/>
    <w:rsid w:val="000A4C4C"/>
    <w:rsid w:val="000A52BE"/>
    <w:rsid w:val="000A546E"/>
    <w:rsid w:val="000A5814"/>
    <w:rsid w:val="000A5D42"/>
    <w:rsid w:val="000A62DC"/>
    <w:rsid w:val="000A66FA"/>
    <w:rsid w:val="000A6ACF"/>
    <w:rsid w:val="000A6FE0"/>
    <w:rsid w:val="000A72F9"/>
    <w:rsid w:val="000A7418"/>
    <w:rsid w:val="000B02BC"/>
    <w:rsid w:val="000B0C37"/>
    <w:rsid w:val="000B185F"/>
    <w:rsid w:val="000B1C9D"/>
    <w:rsid w:val="000B1E2D"/>
    <w:rsid w:val="000B2EB0"/>
    <w:rsid w:val="000B403C"/>
    <w:rsid w:val="000B5056"/>
    <w:rsid w:val="000B50E0"/>
    <w:rsid w:val="000B5280"/>
    <w:rsid w:val="000B5B67"/>
    <w:rsid w:val="000B5B8D"/>
    <w:rsid w:val="000B5DB7"/>
    <w:rsid w:val="000B67FB"/>
    <w:rsid w:val="000C0238"/>
    <w:rsid w:val="000C0F43"/>
    <w:rsid w:val="000C12B4"/>
    <w:rsid w:val="000C1C45"/>
    <w:rsid w:val="000C1C70"/>
    <w:rsid w:val="000C2381"/>
    <w:rsid w:val="000C2BA3"/>
    <w:rsid w:val="000C3AC1"/>
    <w:rsid w:val="000C3C09"/>
    <w:rsid w:val="000C441A"/>
    <w:rsid w:val="000C5555"/>
    <w:rsid w:val="000C572D"/>
    <w:rsid w:val="000C5A63"/>
    <w:rsid w:val="000C5BD6"/>
    <w:rsid w:val="000C67ED"/>
    <w:rsid w:val="000C6C72"/>
    <w:rsid w:val="000C71F4"/>
    <w:rsid w:val="000C73D1"/>
    <w:rsid w:val="000D0B72"/>
    <w:rsid w:val="000D20FD"/>
    <w:rsid w:val="000D258E"/>
    <w:rsid w:val="000D4813"/>
    <w:rsid w:val="000D762E"/>
    <w:rsid w:val="000E0D98"/>
    <w:rsid w:val="000E1685"/>
    <w:rsid w:val="000E2941"/>
    <w:rsid w:val="000E2BCE"/>
    <w:rsid w:val="000E5554"/>
    <w:rsid w:val="000E627B"/>
    <w:rsid w:val="000E647C"/>
    <w:rsid w:val="000E6AC0"/>
    <w:rsid w:val="000F14C6"/>
    <w:rsid w:val="000F1537"/>
    <w:rsid w:val="000F1B92"/>
    <w:rsid w:val="000F28B1"/>
    <w:rsid w:val="000F2992"/>
    <w:rsid w:val="000F2D24"/>
    <w:rsid w:val="000F310E"/>
    <w:rsid w:val="000F341F"/>
    <w:rsid w:val="000F3C65"/>
    <w:rsid w:val="000F536A"/>
    <w:rsid w:val="000F5BBD"/>
    <w:rsid w:val="000F633D"/>
    <w:rsid w:val="000F7572"/>
    <w:rsid w:val="00100986"/>
    <w:rsid w:val="00101228"/>
    <w:rsid w:val="0010181F"/>
    <w:rsid w:val="00101E9A"/>
    <w:rsid w:val="00103F9E"/>
    <w:rsid w:val="00104894"/>
    <w:rsid w:val="00104F2D"/>
    <w:rsid w:val="00105590"/>
    <w:rsid w:val="00105862"/>
    <w:rsid w:val="00106324"/>
    <w:rsid w:val="00106F13"/>
    <w:rsid w:val="00107167"/>
    <w:rsid w:val="001126EA"/>
    <w:rsid w:val="00113303"/>
    <w:rsid w:val="00113775"/>
    <w:rsid w:val="001137DB"/>
    <w:rsid w:val="00114051"/>
    <w:rsid w:val="0011424D"/>
    <w:rsid w:val="00114EFF"/>
    <w:rsid w:val="001150E2"/>
    <w:rsid w:val="00115C2B"/>
    <w:rsid w:val="00116AE0"/>
    <w:rsid w:val="0011709B"/>
    <w:rsid w:val="0011727A"/>
    <w:rsid w:val="00117621"/>
    <w:rsid w:val="001177FE"/>
    <w:rsid w:val="00117B72"/>
    <w:rsid w:val="00117DC7"/>
    <w:rsid w:val="00120851"/>
    <w:rsid w:val="00120AE8"/>
    <w:rsid w:val="001216BC"/>
    <w:rsid w:val="00122653"/>
    <w:rsid w:val="0012270A"/>
    <w:rsid w:val="00122F6A"/>
    <w:rsid w:val="00123B7F"/>
    <w:rsid w:val="00125685"/>
    <w:rsid w:val="001266A7"/>
    <w:rsid w:val="00126796"/>
    <w:rsid w:val="00127899"/>
    <w:rsid w:val="0013064C"/>
    <w:rsid w:val="00130A78"/>
    <w:rsid w:val="00130D65"/>
    <w:rsid w:val="00130F38"/>
    <w:rsid w:val="00131857"/>
    <w:rsid w:val="00131CCB"/>
    <w:rsid w:val="00131E5A"/>
    <w:rsid w:val="00132B9F"/>
    <w:rsid w:val="00132C09"/>
    <w:rsid w:val="00133067"/>
    <w:rsid w:val="00134573"/>
    <w:rsid w:val="0013548E"/>
    <w:rsid w:val="0013607A"/>
    <w:rsid w:val="001360DB"/>
    <w:rsid w:val="00136359"/>
    <w:rsid w:val="001371CB"/>
    <w:rsid w:val="0013766D"/>
    <w:rsid w:val="00137FDD"/>
    <w:rsid w:val="00137FF2"/>
    <w:rsid w:val="00140586"/>
    <w:rsid w:val="0014151F"/>
    <w:rsid w:val="00141772"/>
    <w:rsid w:val="00141DCF"/>
    <w:rsid w:val="00142295"/>
    <w:rsid w:val="00142FAA"/>
    <w:rsid w:val="00143074"/>
    <w:rsid w:val="001435EB"/>
    <w:rsid w:val="00146408"/>
    <w:rsid w:val="00146CB1"/>
    <w:rsid w:val="0015074C"/>
    <w:rsid w:val="0015096D"/>
    <w:rsid w:val="0015160B"/>
    <w:rsid w:val="00151955"/>
    <w:rsid w:val="00153065"/>
    <w:rsid w:val="001533F0"/>
    <w:rsid w:val="00153869"/>
    <w:rsid w:val="00153996"/>
    <w:rsid w:val="001542EE"/>
    <w:rsid w:val="00154F84"/>
    <w:rsid w:val="00155299"/>
    <w:rsid w:val="00155914"/>
    <w:rsid w:val="0015642B"/>
    <w:rsid w:val="00156874"/>
    <w:rsid w:val="00157DBD"/>
    <w:rsid w:val="001601F5"/>
    <w:rsid w:val="00160B1C"/>
    <w:rsid w:val="00160B8B"/>
    <w:rsid w:val="001615A0"/>
    <w:rsid w:val="00162321"/>
    <w:rsid w:val="00163159"/>
    <w:rsid w:val="001647E8"/>
    <w:rsid w:val="001658D1"/>
    <w:rsid w:val="00165997"/>
    <w:rsid w:val="00165A59"/>
    <w:rsid w:val="00165A6F"/>
    <w:rsid w:val="00165AB2"/>
    <w:rsid w:val="00165C4A"/>
    <w:rsid w:val="00165E07"/>
    <w:rsid w:val="0016705A"/>
    <w:rsid w:val="001675D3"/>
    <w:rsid w:val="00170820"/>
    <w:rsid w:val="00171D62"/>
    <w:rsid w:val="00172219"/>
    <w:rsid w:val="00172244"/>
    <w:rsid w:val="001724BF"/>
    <w:rsid w:val="00172D0E"/>
    <w:rsid w:val="00173E3D"/>
    <w:rsid w:val="00173E76"/>
    <w:rsid w:val="001746A6"/>
    <w:rsid w:val="001746F5"/>
    <w:rsid w:val="00174D87"/>
    <w:rsid w:val="0017578C"/>
    <w:rsid w:val="00175A1D"/>
    <w:rsid w:val="0017709A"/>
    <w:rsid w:val="001771F7"/>
    <w:rsid w:val="00177517"/>
    <w:rsid w:val="00177821"/>
    <w:rsid w:val="00177FAC"/>
    <w:rsid w:val="00181C78"/>
    <w:rsid w:val="00182066"/>
    <w:rsid w:val="0018263C"/>
    <w:rsid w:val="00182AF1"/>
    <w:rsid w:val="00182F10"/>
    <w:rsid w:val="00183AC7"/>
    <w:rsid w:val="0018496E"/>
    <w:rsid w:val="00185410"/>
    <w:rsid w:val="001860BB"/>
    <w:rsid w:val="001863D7"/>
    <w:rsid w:val="0018769C"/>
    <w:rsid w:val="001906EF"/>
    <w:rsid w:val="001913A3"/>
    <w:rsid w:val="0019174F"/>
    <w:rsid w:val="001918D1"/>
    <w:rsid w:val="0019208C"/>
    <w:rsid w:val="0019245C"/>
    <w:rsid w:val="0019335F"/>
    <w:rsid w:val="00193A4D"/>
    <w:rsid w:val="00193C97"/>
    <w:rsid w:val="00194AD9"/>
    <w:rsid w:val="00194E48"/>
    <w:rsid w:val="0019538D"/>
    <w:rsid w:val="00195859"/>
    <w:rsid w:val="0019648B"/>
    <w:rsid w:val="00196526"/>
    <w:rsid w:val="00197483"/>
    <w:rsid w:val="001A01AB"/>
    <w:rsid w:val="001A043E"/>
    <w:rsid w:val="001A0875"/>
    <w:rsid w:val="001A0E31"/>
    <w:rsid w:val="001A183C"/>
    <w:rsid w:val="001A189A"/>
    <w:rsid w:val="001A1B57"/>
    <w:rsid w:val="001A314C"/>
    <w:rsid w:val="001A33A4"/>
    <w:rsid w:val="001A3998"/>
    <w:rsid w:val="001A3C37"/>
    <w:rsid w:val="001A3E4F"/>
    <w:rsid w:val="001A417C"/>
    <w:rsid w:val="001A45CC"/>
    <w:rsid w:val="001A4698"/>
    <w:rsid w:val="001A5A33"/>
    <w:rsid w:val="001A5A9D"/>
    <w:rsid w:val="001A5C51"/>
    <w:rsid w:val="001A6015"/>
    <w:rsid w:val="001A7237"/>
    <w:rsid w:val="001B0832"/>
    <w:rsid w:val="001B0EB8"/>
    <w:rsid w:val="001B140E"/>
    <w:rsid w:val="001B18DC"/>
    <w:rsid w:val="001B286E"/>
    <w:rsid w:val="001B3A89"/>
    <w:rsid w:val="001B42DB"/>
    <w:rsid w:val="001B43E7"/>
    <w:rsid w:val="001B48D4"/>
    <w:rsid w:val="001B557C"/>
    <w:rsid w:val="001B58CF"/>
    <w:rsid w:val="001C1055"/>
    <w:rsid w:val="001C1658"/>
    <w:rsid w:val="001C1719"/>
    <w:rsid w:val="001C1FA8"/>
    <w:rsid w:val="001C22FA"/>
    <w:rsid w:val="001C262E"/>
    <w:rsid w:val="001C3E47"/>
    <w:rsid w:val="001C5862"/>
    <w:rsid w:val="001C5B3D"/>
    <w:rsid w:val="001C609D"/>
    <w:rsid w:val="001C648B"/>
    <w:rsid w:val="001C64AB"/>
    <w:rsid w:val="001C671A"/>
    <w:rsid w:val="001C699D"/>
    <w:rsid w:val="001C6D3E"/>
    <w:rsid w:val="001D0899"/>
    <w:rsid w:val="001D1B1A"/>
    <w:rsid w:val="001D1FD9"/>
    <w:rsid w:val="001D1FF6"/>
    <w:rsid w:val="001D44AA"/>
    <w:rsid w:val="001D4D53"/>
    <w:rsid w:val="001D6AF2"/>
    <w:rsid w:val="001D7812"/>
    <w:rsid w:val="001D7AF8"/>
    <w:rsid w:val="001E01A8"/>
    <w:rsid w:val="001E020B"/>
    <w:rsid w:val="001E0E35"/>
    <w:rsid w:val="001E0E55"/>
    <w:rsid w:val="001E10C4"/>
    <w:rsid w:val="001E29CA"/>
    <w:rsid w:val="001E2C12"/>
    <w:rsid w:val="001E3B8D"/>
    <w:rsid w:val="001E402F"/>
    <w:rsid w:val="001E40D2"/>
    <w:rsid w:val="001E5268"/>
    <w:rsid w:val="001E59BD"/>
    <w:rsid w:val="001E6958"/>
    <w:rsid w:val="001E6992"/>
    <w:rsid w:val="001E6B5E"/>
    <w:rsid w:val="001E7830"/>
    <w:rsid w:val="001E78F2"/>
    <w:rsid w:val="001F06DE"/>
    <w:rsid w:val="001F0923"/>
    <w:rsid w:val="001F107E"/>
    <w:rsid w:val="001F1C8B"/>
    <w:rsid w:val="001F214D"/>
    <w:rsid w:val="001F2C93"/>
    <w:rsid w:val="001F3010"/>
    <w:rsid w:val="001F3052"/>
    <w:rsid w:val="001F31ED"/>
    <w:rsid w:val="001F4D50"/>
    <w:rsid w:val="001F510A"/>
    <w:rsid w:val="001F5E35"/>
    <w:rsid w:val="001F603E"/>
    <w:rsid w:val="001F6107"/>
    <w:rsid w:val="001F6180"/>
    <w:rsid w:val="001F6315"/>
    <w:rsid w:val="001F6F27"/>
    <w:rsid w:val="001F7A01"/>
    <w:rsid w:val="00203497"/>
    <w:rsid w:val="0020499A"/>
    <w:rsid w:val="00204B7E"/>
    <w:rsid w:val="00204DB6"/>
    <w:rsid w:val="00205799"/>
    <w:rsid w:val="00205AA6"/>
    <w:rsid w:val="0020622C"/>
    <w:rsid w:val="00206430"/>
    <w:rsid w:val="00207247"/>
    <w:rsid w:val="0020744A"/>
    <w:rsid w:val="00207DAB"/>
    <w:rsid w:val="00211508"/>
    <w:rsid w:val="002127DB"/>
    <w:rsid w:val="002130FE"/>
    <w:rsid w:val="00213233"/>
    <w:rsid w:val="00213925"/>
    <w:rsid w:val="00214972"/>
    <w:rsid w:val="00214F05"/>
    <w:rsid w:val="00215C8B"/>
    <w:rsid w:val="00216C2D"/>
    <w:rsid w:val="00217035"/>
    <w:rsid w:val="00217239"/>
    <w:rsid w:val="00217BCC"/>
    <w:rsid w:val="00217D31"/>
    <w:rsid w:val="00221A62"/>
    <w:rsid w:val="00221A94"/>
    <w:rsid w:val="002223E3"/>
    <w:rsid w:val="00222937"/>
    <w:rsid w:val="0022335C"/>
    <w:rsid w:val="0022373F"/>
    <w:rsid w:val="00223EAB"/>
    <w:rsid w:val="00224057"/>
    <w:rsid w:val="00224C68"/>
    <w:rsid w:val="00224D48"/>
    <w:rsid w:val="00226519"/>
    <w:rsid w:val="002268BA"/>
    <w:rsid w:val="0022758A"/>
    <w:rsid w:val="00227833"/>
    <w:rsid w:val="00227AAC"/>
    <w:rsid w:val="00230BC3"/>
    <w:rsid w:val="00231C44"/>
    <w:rsid w:val="00232017"/>
    <w:rsid w:val="00232B0C"/>
    <w:rsid w:val="00234351"/>
    <w:rsid w:val="00234803"/>
    <w:rsid w:val="00234E7D"/>
    <w:rsid w:val="0023602E"/>
    <w:rsid w:val="0024058D"/>
    <w:rsid w:val="00241477"/>
    <w:rsid w:val="00245565"/>
    <w:rsid w:val="00245810"/>
    <w:rsid w:val="00247115"/>
    <w:rsid w:val="002501DE"/>
    <w:rsid w:val="0025023B"/>
    <w:rsid w:val="00250260"/>
    <w:rsid w:val="00251160"/>
    <w:rsid w:val="00253764"/>
    <w:rsid w:val="0025376D"/>
    <w:rsid w:val="002537B6"/>
    <w:rsid w:val="00254129"/>
    <w:rsid w:val="002546AF"/>
    <w:rsid w:val="00254E83"/>
    <w:rsid w:val="002552B0"/>
    <w:rsid w:val="00256612"/>
    <w:rsid w:val="00257038"/>
    <w:rsid w:val="00260C20"/>
    <w:rsid w:val="00260E0D"/>
    <w:rsid w:val="00261D71"/>
    <w:rsid w:val="002620BA"/>
    <w:rsid w:val="0026234D"/>
    <w:rsid w:val="00262B93"/>
    <w:rsid w:val="00262BA9"/>
    <w:rsid w:val="00262D4A"/>
    <w:rsid w:val="00262E51"/>
    <w:rsid w:val="00263B40"/>
    <w:rsid w:val="002643CE"/>
    <w:rsid w:val="0026489C"/>
    <w:rsid w:val="00265025"/>
    <w:rsid w:val="00265184"/>
    <w:rsid w:val="002652FE"/>
    <w:rsid w:val="002654E3"/>
    <w:rsid w:val="00266199"/>
    <w:rsid w:val="0026633B"/>
    <w:rsid w:val="00266352"/>
    <w:rsid w:val="0026723E"/>
    <w:rsid w:val="0026738E"/>
    <w:rsid w:val="00271490"/>
    <w:rsid w:val="00271C77"/>
    <w:rsid w:val="00272299"/>
    <w:rsid w:val="00272E2B"/>
    <w:rsid w:val="00273163"/>
    <w:rsid w:val="00273257"/>
    <w:rsid w:val="00273651"/>
    <w:rsid w:val="00275710"/>
    <w:rsid w:val="00277C23"/>
    <w:rsid w:val="0028071B"/>
    <w:rsid w:val="002811FB"/>
    <w:rsid w:val="00282F49"/>
    <w:rsid w:val="00285E5B"/>
    <w:rsid w:val="00286079"/>
    <w:rsid w:val="00286727"/>
    <w:rsid w:val="00287765"/>
    <w:rsid w:val="00287CDB"/>
    <w:rsid w:val="00290031"/>
    <w:rsid w:val="0029033F"/>
    <w:rsid w:val="00290C78"/>
    <w:rsid w:val="00290DB7"/>
    <w:rsid w:val="00291222"/>
    <w:rsid w:val="0029164D"/>
    <w:rsid w:val="00291C4A"/>
    <w:rsid w:val="002926CE"/>
    <w:rsid w:val="00292ABB"/>
    <w:rsid w:val="002931AE"/>
    <w:rsid w:val="00293EB6"/>
    <w:rsid w:val="00294086"/>
    <w:rsid w:val="00295C2B"/>
    <w:rsid w:val="002970A3"/>
    <w:rsid w:val="00297128"/>
    <w:rsid w:val="002975EA"/>
    <w:rsid w:val="002A107A"/>
    <w:rsid w:val="002A1592"/>
    <w:rsid w:val="002A18A3"/>
    <w:rsid w:val="002A1F0C"/>
    <w:rsid w:val="002A2900"/>
    <w:rsid w:val="002A3565"/>
    <w:rsid w:val="002A3DD9"/>
    <w:rsid w:val="002A44B9"/>
    <w:rsid w:val="002A45A0"/>
    <w:rsid w:val="002A48E4"/>
    <w:rsid w:val="002A5A77"/>
    <w:rsid w:val="002A5F98"/>
    <w:rsid w:val="002A6C3E"/>
    <w:rsid w:val="002A6CA2"/>
    <w:rsid w:val="002A77C2"/>
    <w:rsid w:val="002B0887"/>
    <w:rsid w:val="002B10A5"/>
    <w:rsid w:val="002B1607"/>
    <w:rsid w:val="002B3419"/>
    <w:rsid w:val="002B49F1"/>
    <w:rsid w:val="002B5AA9"/>
    <w:rsid w:val="002B605A"/>
    <w:rsid w:val="002B6439"/>
    <w:rsid w:val="002B6D3E"/>
    <w:rsid w:val="002B76EC"/>
    <w:rsid w:val="002B7C0D"/>
    <w:rsid w:val="002C0605"/>
    <w:rsid w:val="002C0A53"/>
    <w:rsid w:val="002C1225"/>
    <w:rsid w:val="002C1AE1"/>
    <w:rsid w:val="002C29DA"/>
    <w:rsid w:val="002C44E6"/>
    <w:rsid w:val="002C4646"/>
    <w:rsid w:val="002C57B0"/>
    <w:rsid w:val="002C6278"/>
    <w:rsid w:val="002C63D6"/>
    <w:rsid w:val="002C66D9"/>
    <w:rsid w:val="002C68F7"/>
    <w:rsid w:val="002C6954"/>
    <w:rsid w:val="002C77CC"/>
    <w:rsid w:val="002C7DAA"/>
    <w:rsid w:val="002C7F09"/>
    <w:rsid w:val="002C7F85"/>
    <w:rsid w:val="002D0163"/>
    <w:rsid w:val="002D0AB7"/>
    <w:rsid w:val="002D0D6F"/>
    <w:rsid w:val="002D0E34"/>
    <w:rsid w:val="002D1375"/>
    <w:rsid w:val="002D1A3E"/>
    <w:rsid w:val="002D2E3B"/>
    <w:rsid w:val="002D4304"/>
    <w:rsid w:val="002D47D7"/>
    <w:rsid w:val="002D49D0"/>
    <w:rsid w:val="002D49FC"/>
    <w:rsid w:val="002D5E92"/>
    <w:rsid w:val="002D6B2C"/>
    <w:rsid w:val="002D7640"/>
    <w:rsid w:val="002D784E"/>
    <w:rsid w:val="002D7C79"/>
    <w:rsid w:val="002E00A8"/>
    <w:rsid w:val="002E0C24"/>
    <w:rsid w:val="002E0C26"/>
    <w:rsid w:val="002E0EE8"/>
    <w:rsid w:val="002E1899"/>
    <w:rsid w:val="002E2237"/>
    <w:rsid w:val="002E2756"/>
    <w:rsid w:val="002E2A9D"/>
    <w:rsid w:val="002E2BEA"/>
    <w:rsid w:val="002E2D47"/>
    <w:rsid w:val="002E2D84"/>
    <w:rsid w:val="002E2E5D"/>
    <w:rsid w:val="002E46DE"/>
    <w:rsid w:val="002E48B7"/>
    <w:rsid w:val="002E49C0"/>
    <w:rsid w:val="002E4AB2"/>
    <w:rsid w:val="002E58D0"/>
    <w:rsid w:val="002E5AAB"/>
    <w:rsid w:val="002E5C1C"/>
    <w:rsid w:val="002E685E"/>
    <w:rsid w:val="002E6F74"/>
    <w:rsid w:val="002E772B"/>
    <w:rsid w:val="002F0742"/>
    <w:rsid w:val="002F1007"/>
    <w:rsid w:val="002F1AAB"/>
    <w:rsid w:val="002F223E"/>
    <w:rsid w:val="002F2E53"/>
    <w:rsid w:val="002F38E4"/>
    <w:rsid w:val="002F3CF0"/>
    <w:rsid w:val="002F3CF5"/>
    <w:rsid w:val="002F4058"/>
    <w:rsid w:val="002F48DC"/>
    <w:rsid w:val="002F4A6E"/>
    <w:rsid w:val="002F4CE6"/>
    <w:rsid w:val="002F515A"/>
    <w:rsid w:val="002F576D"/>
    <w:rsid w:val="002F5A3E"/>
    <w:rsid w:val="002F5EC5"/>
    <w:rsid w:val="002F72AB"/>
    <w:rsid w:val="002F7AE2"/>
    <w:rsid w:val="003015D9"/>
    <w:rsid w:val="00301A62"/>
    <w:rsid w:val="00301C59"/>
    <w:rsid w:val="003025AA"/>
    <w:rsid w:val="00302D8E"/>
    <w:rsid w:val="003041B4"/>
    <w:rsid w:val="00304415"/>
    <w:rsid w:val="003047D2"/>
    <w:rsid w:val="00304A18"/>
    <w:rsid w:val="00304CCA"/>
    <w:rsid w:val="00305037"/>
    <w:rsid w:val="00305868"/>
    <w:rsid w:val="003064CA"/>
    <w:rsid w:val="003065B8"/>
    <w:rsid w:val="0030724D"/>
    <w:rsid w:val="00307778"/>
    <w:rsid w:val="00307AEB"/>
    <w:rsid w:val="00307D97"/>
    <w:rsid w:val="00310D2C"/>
    <w:rsid w:val="00311540"/>
    <w:rsid w:val="003117A8"/>
    <w:rsid w:val="00311832"/>
    <w:rsid w:val="00311F1E"/>
    <w:rsid w:val="00312B5F"/>
    <w:rsid w:val="00313478"/>
    <w:rsid w:val="003147CC"/>
    <w:rsid w:val="003148DC"/>
    <w:rsid w:val="00316A7F"/>
    <w:rsid w:val="00316EE9"/>
    <w:rsid w:val="00321178"/>
    <w:rsid w:val="0032167C"/>
    <w:rsid w:val="00322243"/>
    <w:rsid w:val="00323692"/>
    <w:rsid w:val="0032432B"/>
    <w:rsid w:val="003243F9"/>
    <w:rsid w:val="00324492"/>
    <w:rsid w:val="0032483B"/>
    <w:rsid w:val="00324C02"/>
    <w:rsid w:val="00324D98"/>
    <w:rsid w:val="00324ED9"/>
    <w:rsid w:val="00325235"/>
    <w:rsid w:val="00325453"/>
    <w:rsid w:val="00325E4E"/>
    <w:rsid w:val="00325F13"/>
    <w:rsid w:val="00327254"/>
    <w:rsid w:val="00327302"/>
    <w:rsid w:val="00327419"/>
    <w:rsid w:val="00327EC6"/>
    <w:rsid w:val="00330DAA"/>
    <w:rsid w:val="00330E97"/>
    <w:rsid w:val="003312EB"/>
    <w:rsid w:val="00331934"/>
    <w:rsid w:val="00332004"/>
    <w:rsid w:val="00332680"/>
    <w:rsid w:val="0033305E"/>
    <w:rsid w:val="0033481F"/>
    <w:rsid w:val="00334FA3"/>
    <w:rsid w:val="00335BEE"/>
    <w:rsid w:val="00335C83"/>
    <w:rsid w:val="00336D01"/>
    <w:rsid w:val="003370EE"/>
    <w:rsid w:val="00337DBC"/>
    <w:rsid w:val="00340077"/>
    <w:rsid w:val="003403F6"/>
    <w:rsid w:val="00340C0A"/>
    <w:rsid w:val="00341C93"/>
    <w:rsid w:val="00342101"/>
    <w:rsid w:val="0034210B"/>
    <w:rsid w:val="0034294C"/>
    <w:rsid w:val="00342A12"/>
    <w:rsid w:val="00345B47"/>
    <w:rsid w:val="00345EBD"/>
    <w:rsid w:val="00346702"/>
    <w:rsid w:val="0034692C"/>
    <w:rsid w:val="00347565"/>
    <w:rsid w:val="0035020F"/>
    <w:rsid w:val="00350DC3"/>
    <w:rsid w:val="003512D9"/>
    <w:rsid w:val="0035204E"/>
    <w:rsid w:val="00353A38"/>
    <w:rsid w:val="00353BA1"/>
    <w:rsid w:val="00355932"/>
    <w:rsid w:val="00356535"/>
    <w:rsid w:val="00357B88"/>
    <w:rsid w:val="0036144A"/>
    <w:rsid w:val="00361F94"/>
    <w:rsid w:val="00362391"/>
    <w:rsid w:val="00362480"/>
    <w:rsid w:val="00363960"/>
    <w:rsid w:val="00363F48"/>
    <w:rsid w:val="00364BCD"/>
    <w:rsid w:val="0036645A"/>
    <w:rsid w:val="0036705F"/>
    <w:rsid w:val="00367A4C"/>
    <w:rsid w:val="00370BA6"/>
    <w:rsid w:val="00371347"/>
    <w:rsid w:val="0037143D"/>
    <w:rsid w:val="00371C3D"/>
    <w:rsid w:val="003735BB"/>
    <w:rsid w:val="00373B48"/>
    <w:rsid w:val="00373E6E"/>
    <w:rsid w:val="003743BD"/>
    <w:rsid w:val="0037452A"/>
    <w:rsid w:val="003751D2"/>
    <w:rsid w:val="003758D6"/>
    <w:rsid w:val="003763FF"/>
    <w:rsid w:val="003804E0"/>
    <w:rsid w:val="003805DA"/>
    <w:rsid w:val="00380EC7"/>
    <w:rsid w:val="00383322"/>
    <w:rsid w:val="003833B6"/>
    <w:rsid w:val="00384BB7"/>
    <w:rsid w:val="00384D20"/>
    <w:rsid w:val="003851AD"/>
    <w:rsid w:val="00385F84"/>
    <w:rsid w:val="00385FB5"/>
    <w:rsid w:val="003863B8"/>
    <w:rsid w:val="00386727"/>
    <w:rsid w:val="00386776"/>
    <w:rsid w:val="00386E1D"/>
    <w:rsid w:val="00390A2D"/>
    <w:rsid w:val="00390D00"/>
    <w:rsid w:val="00391B3C"/>
    <w:rsid w:val="003922C8"/>
    <w:rsid w:val="003934F5"/>
    <w:rsid w:val="00394E20"/>
    <w:rsid w:val="00395724"/>
    <w:rsid w:val="003A04C5"/>
    <w:rsid w:val="003A0861"/>
    <w:rsid w:val="003A1A5A"/>
    <w:rsid w:val="003A386A"/>
    <w:rsid w:val="003A4550"/>
    <w:rsid w:val="003A4A35"/>
    <w:rsid w:val="003A4F28"/>
    <w:rsid w:val="003A4F9E"/>
    <w:rsid w:val="003A5C1F"/>
    <w:rsid w:val="003A6177"/>
    <w:rsid w:val="003A66C9"/>
    <w:rsid w:val="003A6A7E"/>
    <w:rsid w:val="003A6F8A"/>
    <w:rsid w:val="003A6FF8"/>
    <w:rsid w:val="003A7A9C"/>
    <w:rsid w:val="003B02D5"/>
    <w:rsid w:val="003B0576"/>
    <w:rsid w:val="003B1DED"/>
    <w:rsid w:val="003B215C"/>
    <w:rsid w:val="003B23EF"/>
    <w:rsid w:val="003B2407"/>
    <w:rsid w:val="003B3213"/>
    <w:rsid w:val="003B4556"/>
    <w:rsid w:val="003B58D1"/>
    <w:rsid w:val="003B6002"/>
    <w:rsid w:val="003B7AC4"/>
    <w:rsid w:val="003C129B"/>
    <w:rsid w:val="003C1927"/>
    <w:rsid w:val="003C1A6E"/>
    <w:rsid w:val="003C3901"/>
    <w:rsid w:val="003C4762"/>
    <w:rsid w:val="003C5464"/>
    <w:rsid w:val="003C54A1"/>
    <w:rsid w:val="003C5A92"/>
    <w:rsid w:val="003C5FAC"/>
    <w:rsid w:val="003C686E"/>
    <w:rsid w:val="003C7C71"/>
    <w:rsid w:val="003D012E"/>
    <w:rsid w:val="003D0818"/>
    <w:rsid w:val="003D0FB7"/>
    <w:rsid w:val="003D1311"/>
    <w:rsid w:val="003D2106"/>
    <w:rsid w:val="003D31DE"/>
    <w:rsid w:val="003D35B9"/>
    <w:rsid w:val="003D4736"/>
    <w:rsid w:val="003D5747"/>
    <w:rsid w:val="003D735C"/>
    <w:rsid w:val="003D7AE8"/>
    <w:rsid w:val="003E0841"/>
    <w:rsid w:val="003E11C3"/>
    <w:rsid w:val="003E147C"/>
    <w:rsid w:val="003E1766"/>
    <w:rsid w:val="003E2063"/>
    <w:rsid w:val="003E2AAF"/>
    <w:rsid w:val="003E3383"/>
    <w:rsid w:val="003E4B59"/>
    <w:rsid w:val="003E4EDF"/>
    <w:rsid w:val="003E5150"/>
    <w:rsid w:val="003E5943"/>
    <w:rsid w:val="003E6CC8"/>
    <w:rsid w:val="003E7D64"/>
    <w:rsid w:val="003F03CD"/>
    <w:rsid w:val="003F06DD"/>
    <w:rsid w:val="003F070C"/>
    <w:rsid w:val="003F14F3"/>
    <w:rsid w:val="003F1C05"/>
    <w:rsid w:val="003F25F7"/>
    <w:rsid w:val="003F2E86"/>
    <w:rsid w:val="003F4068"/>
    <w:rsid w:val="003F44A2"/>
    <w:rsid w:val="003F4715"/>
    <w:rsid w:val="003F4776"/>
    <w:rsid w:val="003F5A61"/>
    <w:rsid w:val="003F6E11"/>
    <w:rsid w:val="004012CF"/>
    <w:rsid w:val="004015D1"/>
    <w:rsid w:val="004017AD"/>
    <w:rsid w:val="00402241"/>
    <w:rsid w:val="00402730"/>
    <w:rsid w:val="004027C0"/>
    <w:rsid w:val="00402D44"/>
    <w:rsid w:val="00402DDB"/>
    <w:rsid w:val="00404C6E"/>
    <w:rsid w:val="00404FB2"/>
    <w:rsid w:val="004056A3"/>
    <w:rsid w:val="00405AFA"/>
    <w:rsid w:val="0040622F"/>
    <w:rsid w:val="00406490"/>
    <w:rsid w:val="0040660F"/>
    <w:rsid w:val="00406D74"/>
    <w:rsid w:val="00407323"/>
    <w:rsid w:val="00410270"/>
    <w:rsid w:val="00411043"/>
    <w:rsid w:val="004110C9"/>
    <w:rsid w:val="004110F6"/>
    <w:rsid w:val="0041181D"/>
    <w:rsid w:val="00413096"/>
    <w:rsid w:val="00413D31"/>
    <w:rsid w:val="0041480E"/>
    <w:rsid w:val="0041529D"/>
    <w:rsid w:val="00415533"/>
    <w:rsid w:val="004174A9"/>
    <w:rsid w:val="00417D30"/>
    <w:rsid w:val="00420D25"/>
    <w:rsid w:val="00421609"/>
    <w:rsid w:val="00421700"/>
    <w:rsid w:val="00422147"/>
    <w:rsid w:val="00423375"/>
    <w:rsid w:val="00423E72"/>
    <w:rsid w:val="00424BDB"/>
    <w:rsid w:val="0042524E"/>
    <w:rsid w:val="0042588B"/>
    <w:rsid w:val="004269C9"/>
    <w:rsid w:val="00426A57"/>
    <w:rsid w:val="004276A9"/>
    <w:rsid w:val="00427D21"/>
    <w:rsid w:val="00430530"/>
    <w:rsid w:val="00430D27"/>
    <w:rsid w:val="00431C55"/>
    <w:rsid w:val="00432299"/>
    <w:rsid w:val="00433338"/>
    <w:rsid w:val="00433AD9"/>
    <w:rsid w:val="00434F3E"/>
    <w:rsid w:val="00435B04"/>
    <w:rsid w:val="00435F9C"/>
    <w:rsid w:val="0043603C"/>
    <w:rsid w:val="00437E46"/>
    <w:rsid w:val="0044004C"/>
    <w:rsid w:val="004401C3"/>
    <w:rsid w:val="004403F8"/>
    <w:rsid w:val="004407A2"/>
    <w:rsid w:val="00440A61"/>
    <w:rsid w:val="00440F09"/>
    <w:rsid w:val="004413DE"/>
    <w:rsid w:val="00442361"/>
    <w:rsid w:val="004423BA"/>
    <w:rsid w:val="0044306A"/>
    <w:rsid w:val="00445294"/>
    <w:rsid w:val="004462F1"/>
    <w:rsid w:val="00446438"/>
    <w:rsid w:val="0044689F"/>
    <w:rsid w:val="00446D3C"/>
    <w:rsid w:val="004470CD"/>
    <w:rsid w:val="0044723D"/>
    <w:rsid w:val="00447250"/>
    <w:rsid w:val="0044738C"/>
    <w:rsid w:val="00447852"/>
    <w:rsid w:val="004504E9"/>
    <w:rsid w:val="0045065C"/>
    <w:rsid w:val="00450E91"/>
    <w:rsid w:val="00452001"/>
    <w:rsid w:val="004521E3"/>
    <w:rsid w:val="00452586"/>
    <w:rsid w:val="004536C7"/>
    <w:rsid w:val="00454861"/>
    <w:rsid w:val="00454F32"/>
    <w:rsid w:val="00456555"/>
    <w:rsid w:val="00457DEF"/>
    <w:rsid w:val="0046190E"/>
    <w:rsid w:val="00461DEB"/>
    <w:rsid w:val="00463203"/>
    <w:rsid w:val="0046334A"/>
    <w:rsid w:val="00463E71"/>
    <w:rsid w:val="00465042"/>
    <w:rsid w:val="00465C00"/>
    <w:rsid w:val="004662B5"/>
    <w:rsid w:val="00466566"/>
    <w:rsid w:val="00466701"/>
    <w:rsid w:val="00466A07"/>
    <w:rsid w:val="00467855"/>
    <w:rsid w:val="0047059F"/>
    <w:rsid w:val="0047074C"/>
    <w:rsid w:val="00470B00"/>
    <w:rsid w:val="00471133"/>
    <w:rsid w:val="00471BD7"/>
    <w:rsid w:val="00471D82"/>
    <w:rsid w:val="00472F04"/>
    <w:rsid w:val="00475AF6"/>
    <w:rsid w:val="00475F29"/>
    <w:rsid w:val="0047609E"/>
    <w:rsid w:val="00476AB8"/>
    <w:rsid w:val="00476C76"/>
    <w:rsid w:val="00476D87"/>
    <w:rsid w:val="0047762C"/>
    <w:rsid w:val="00480476"/>
    <w:rsid w:val="00481A76"/>
    <w:rsid w:val="0048292F"/>
    <w:rsid w:val="0048357C"/>
    <w:rsid w:val="00483779"/>
    <w:rsid w:val="00483CD1"/>
    <w:rsid w:val="00483F84"/>
    <w:rsid w:val="00484376"/>
    <w:rsid w:val="0048489F"/>
    <w:rsid w:val="00484A55"/>
    <w:rsid w:val="00485140"/>
    <w:rsid w:val="004853D9"/>
    <w:rsid w:val="00485F3A"/>
    <w:rsid w:val="004862A5"/>
    <w:rsid w:val="004863C7"/>
    <w:rsid w:val="00486ABA"/>
    <w:rsid w:val="00487A7B"/>
    <w:rsid w:val="00487B38"/>
    <w:rsid w:val="00487F36"/>
    <w:rsid w:val="00490D71"/>
    <w:rsid w:val="004918EE"/>
    <w:rsid w:val="004935AA"/>
    <w:rsid w:val="0049385C"/>
    <w:rsid w:val="00493A4F"/>
    <w:rsid w:val="0049465D"/>
    <w:rsid w:val="004955F5"/>
    <w:rsid w:val="004979A0"/>
    <w:rsid w:val="004A178A"/>
    <w:rsid w:val="004A178B"/>
    <w:rsid w:val="004A284C"/>
    <w:rsid w:val="004A2E53"/>
    <w:rsid w:val="004A5084"/>
    <w:rsid w:val="004A5737"/>
    <w:rsid w:val="004A6651"/>
    <w:rsid w:val="004A6E34"/>
    <w:rsid w:val="004A7535"/>
    <w:rsid w:val="004A7A94"/>
    <w:rsid w:val="004A7D34"/>
    <w:rsid w:val="004B033D"/>
    <w:rsid w:val="004B0B2D"/>
    <w:rsid w:val="004B0C6E"/>
    <w:rsid w:val="004B0EC4"/>
    <w:rsid w:val="004B283D"/>
    <w:rsid w:val="004B28A1"/>
    <w:rsid w:val="004B29C1"/>
    <w:rsid w:val="004B3091"/>
    <w:rsid w:val="004B32A6"/>
    <w:rsid w:val="004B3B95"/>
    <w:rsid w:val="004B4671"/>
    <w:rsid w:val="004B5653"/>
    <w:rsid w:val="004B57F4"/>
    <w:rsid w:val="004B57FC"/>
    <w:rsid w:val="004B5D5C"/>
    <w:rsid w:val="004B5D69"/>
    <w:rsid w:val="004B7883"/>
    <w:rsid w:val="004C06FF"/>
    <w:rsid w:val="004C102C"/>
    <w:rsid w:val="004C1146"/>
    <w:rsid w:val="004C19E7"/>
    <w:rsid w:val="004C1B6F"/>
    <w:rsid w:val="004C271A"/>
    <w:rsid w:val="004C337C"/>
    <w:rsid w:val="004C3761"/>
    <w:rsid w:val="004C3B0C"/>
    <w:rsid w:val="004C46CD"/>
    <w:rsid w:val="004C46DD"/>
    <w:rsid w:val="004C4C05"/>
    <w:rsid w:val="004C54A6"/>
    <w:rsid w:val="004C56D1"/>
    <w:rsid w:val="004C5777"/>
    <w:rsid w:val="004C5BCA"/>
    <w:rsid w:val="004C5C2A"/>
    <w:rsid w:val="004C626F"/>
    <w:rsid w:val="004C6325"/>
    <w:rsid w:val="004C6AB7"/>
    <w:rsid w:val="004C6B03"/>
    <w:rsid w:val="004C7168"/>
    <w:rsid w:val="004C731B"/>
    <w:rsid w:val="004D0F17"/>
    <w:rsid w:val="004D1601"/>
    <w:rsid w:val="004D1639"/>
    <w:rsid w:val="004D1DAF"/>
    <w:rsid w:val="004D282D"/>
    <w:rsid w:val="004D2987"/>
    <w:rsid w:val="004D3B45"/>
    <w:rsid w:val="004D3FA3"/>
    <w:rsid w:val="004D46B8"/>
    <w:rsid w:val="004D4EB5"/>
    <w:rsid w:val="004D6BF2"/>
    <w:rsid w:val="004D6DA8"/>
    <w:rsid w:val="004E01EE"/>
    <w:rsid w:val="004E05C3"/>
    <w:rsid w:val="004E124F"/>
    <w:rsid w:val="004E12EB"/>
    <w:rsid w:val="004E2023"/>
    <w:rsid w:val="004E211D"/>
    <w:rsid w:val="004E27E5"/>
    <w:rsid w:val="004E3506"/>
    <w:rsid w:val="004E36D6"/>
    <w:rsid w:val="004E4283"/>
    <w:rsid w:val="004E4475"/>
    <w:rsid w:val="004E47BE"/>
    <w:rsid w:val="004E4DE4"/>
    <w:rsid w:val="004E4FF0"/>
    <w:rsid w:val="004E55DD"/>
    <w:rsid w:val="004E56C6"/>
    <w:rsid w:val="004E65CC"/>
    <w:rsid w:val="004E6938"/>
    <w:rsid w:val="004E7562"/>
    <w:rsid w:val="004E79E6"/>
    <w:rsid w:val="004E7A32"/>
    <w:rsid w:val="004E7A75"/>
    <w:rsid w:val="004E7D65"/>
    <w:rsid w:val="004F067F"/>
    <w:rsid w:val="004F0DB1"/>
    <w:rsid w:val="004F3A2F"/>
    <w:rsid w:val="004F4467"/>
    <w:rsid w:val="004F49D5"/>
    <w:rsid w:val="004F4D39"/>
    <w:rsid w:val="004F58F1"/>
    <w:rsid w:val="004F5B2C"/>
    <w:rsid w:val="004F68DE"/>
    <w:rsid w:val="005004B6"/>
    <w:rsid w:val="00501FE8"/>
    <w:rsid w:val="005022BB"/>
    <w:rsid w:val="0050269E"/>
    <w:rsid w:val="00504FF0"/>
    <w:rsid w:val="00505CAD"/>
    <w:rsid w:val="00505D00"/>
    <w:rsid w:val="0050640D"/>
    <w:rsid w:val="00506949"/>
    <w:rsid w:val="00506A53"/>
    <w:rsid w:val="00507914"/>
    <w:rsid w:val="00507A83"/>
    <w:rsid w:val="00507E45"/>
    <w:rsid w:val="0051050E"/>
    <w:rsid w:val="005114A6"/>
    <w:rsid w:val="00511876"/>
    <w:rsid w:val="00511EEE"/>
    <w:rsid w:val="0051289B"/>
    <w:rsid w:val="00512A1A"/>
    <w:rsid w:val="005137BF"/>
    <w:rsid w:val="005147ED"/>
    <w:rsid w:val="00514D11"/>
    <w:rsid w:val="00514E76"/>
    <w:rsid w:val="00514F7F"/>
    <w:rsid w:val="00514FF5"/>
    <w:rsid w:val="005153D3"/>
    <w:rsid w:val="00515C0A"/>
    <w:rsid w:val="005165A5"/>
    <w:rsid w:val="005167E7"/>
    <w:rsid w:val="00516A04"/>
    <w:rsid w:val="00516ADA"/>
    <w:rsid w:val="005171F4"/>
    <w:rsid w:val="00517F8B"/>
    <w:rsid w:val="00520404"/>
    <w:rsid w:val="005209D7"/>
    <w:rsid w:val="0052126A"/>
    <w:rsid w:val="00521A4E"/>
    <w:rsid w:val="00521AF7"/>
    <w:rsid w:val="00521C9C"/>
    <w:rsid w:val="00522EB1"/>
    <w:rsid w:val="00523451"/>
    <w:rsid w:val="00523465"/>
    <w:rsid w:val="00524BBE"/>
    <w:rsid w:val="005252A1"/>
    <w:rsid w:val="005259E6"/>
    <w:rsid w:val="00526B35"/>
    <w:rsid w:val="00526D4C"/>
    <w:rsid w:val="00526F7E"/>
    <w:rsid w:val="005272B8"/>
    <w:rsid w:val="00527380"/>
    <w:rsid w:val="00527625"/>
    <w:rsid w:val="00527801"/>
    <w:rsid w:val="00527C86"/>
    <w:rsid w:val="0053022E"/>
    <w:rsid w:val="00530376"/>
    <w:rsid w:val="005305C4"/>
    <w:rsid w:val="00530737"/>
    <w:rsid w:val="00530ABE"/>
    <w:rsid w:val="005319E4"/>
    <w:rsid w:val="00531EFB"/>
    <w:rsid w:val="005333B3"/>
    <w:rsid w:val="00533B8B"/>
    <w:rsid w:val="0053448D"/>
    <w:rsid w:val="00534560"/>
    <w:rsid w:val="0053535B"/>
    <w:rsid w:val="0053537B"/>
    <w:rsid w:val="00535E01"/>
    <w:rsid w:val="00536A77"/>
    <w:rsid w:val="00537258"/>
    <w:rsid w:val="005403BA"/>
    <w:rsid w:val="00540647"/>
    <w:rsid w:val="005408FF"/>
    <w:rsid w:val="005419B9"/>
    <w:rsid w:val="0054214C"/>
    <w:rsid w:val="00543A34"/>
    <w:rsid w:val="0054473D"/>
    <w:rsid w:val="005454D3"/>
    <w:rsid w:val="00545B5C"/>
    <w:rsid w:val="00545F13"/>
    <w:rsid w:val="00547FC6"/>
    <w:rsid w:val="005500BB"/>
    <w:rsid w:val="0055038C"/>
    <w:rsid w:val="005504A6"/>
    <w:rsid w:val="00550F8A"/>
    <w:rsid w:val="00551E21"/>
    <w:rsid w:val="00553172"/>
    <w:rsid w:val="0055330E"/>
    <w:rsid w:val="00553E80"/>
    <w:rsid w:val="00554103"/>
    <w:rsid w:val="005552CB"/>
    <w:rsid w:val="00555842"/>
    <w:rsid w:val="00555914"/>
    <w:rsid w:val="00555AB1"/>
    <w:rsid w:val="00556BA8"/>
    <w:rsid w:val="005575F8"/>
    <w:rsid w:val="00560C9F"/>
    <w:rsid w:val="00562557"/>
    <w:rsid w:val="00562770"/>
    <w:rsid w:val="00564E1C"/>
    <w:rsid w:val="00565C4F"/>
    <w:rsid w:val="0056722E"/>
    <w:rsid w:val="00567649"/>
    <w:rsid w:val="00567890"/>
    <w:rsid w:val="00567C1D"/>
    <w:rsid w:val="00567FE5"/>
    <w:rsid w:val="00570185"/>
    <w:rsid w:val="00570BDD"/>
    <w:rsid w:val="00570FDE"/>
    <w:rsid w:val="0057188E"/>
    <w:rsid w:val="0057217D"/>
    <w:rsid w:val="005726BC"/>
    <w:rsid w:val="00572CA2"/>
    <w:rsid w:val="0057325D"/>
    <w:rsid w:val="00573F71"/>
    <w:rsid w:val="005743D4"/>
    <w:rsid w:val="00575CF9"/>
    <w:rsid w:val="00575E82"/>
    <w:rsid w:val="00576246"/>
    <w:rsid w:val="005763C9"/>
    <w:rsid w:val="00576CCB"/>
    <w:rsid w:val="00576D9A"/>
    <w:rsid w:val="00577641"/>
    <w:rsid w:val="005777D0"/>
    <w:rsid w:val="0057782F"/>
    <w:rsid w:val="0058042F"/>
    <w:rsid w:val="00581300"/>
    <w:rsid w:val="00581388"/>
    <w:rsid w:val="00581ACC"/>
    <w:rsid w:val="005823A0"/>
    <w:rsid w:val="00582506"/>
    <w:rsid w:val="00582662"/>
    <w:rsid w:val="00582B84"/>
    <w:rsid w:val="00582E38"/>
    <w:rsid w:val="005835CB"/>
    <w:rsid w:val="00583B6C"/>
    <w:rsid w:val="00585D2E"/>
    <w:rsid w:val="00585D50"/>
    <w:rsid w:val="0058612C"/>
    <w:rsid w:val="00586F34"/>
    <w:rsid w:val="00586F8D"/>
    <w:rsid w:val="005879DD"/>
    <w:rsid w:val="00587D6A"/>
    <w:rsid w:val="00587E91"/>
    <w:rsid w:val="00590DDA"/>
    <w:rsid w:val="00591DEA"/>
    <w:rsid w:val="00591E3D"/>
    <w:rsid w:val="00592211"/>
    <w:rsid w:val="005926B1"/>
    <w:rsid w:val="00594A90"/>
    <w:rsid w:val="00595EC8"/>
    <w:rsid w:val="00597BE4"/>
    <w:rsid w:val="005A122A"/>
    <w:rsid w:val="005A2785"/>
    <w:rsid w:val="005A2C84"/>
    <w:rsid w:val="005A329C"/>
    <w:rsid w:val="005A40A3"/>
    <w:rsid w:val="005A4888"/>
    <w:rsid w:val="005A53DD"/>
    <w:rsid w:val="005A6C19"/>
    <w:rsid w:val="005A76F3"/>
    <w:rsid w:val="005A7DA9"/>
    <w:rsid w:val="005B0098"/>
    <w:rsid w:val="005B20E3"/>
    <w:rsid w:val="005B21F9"/>
    <w:rsid w:val="005B2F06"/>
    <w:rsid w:val="005B3113"/>
    <w:rsid w:val="005B355B"/>
    <w:rsid w:val="005B4B87"/>
    <w:rsid w:val="005B5942"/>
    <w:rsid w:val="005B5F08"/>
    <w:rsid w:val="005B7251"/>
    <w:rsid w:val="005C0220"/>
    <w:rsid w:val="005C2022"/>
    <w:rsid w:val="005C28FB"/>
    <w:rsid w:val="005C2F08"/>
    <w:rsid w:val="005C3003"/>
    <w:rsid w:val="005C33BC"/>
    <w:rsid w:val="005C3613"/>
    <w:rsid w:val="005C4148"/>
    <w:rsid w:val="005C490D"/>
    <w:rsid w:val="005C58E8"/>
    <w:rsid w:val="005C65DE"/>
    <w:rsid w:val="005C6617"/>
    <w:rsid w:val="005C6D05"/>
    <w:rsid w:val="005C6D20"/>
    <w:rsid w:val="005C6F71"/>
    <w:rsid w:val="005C7371"/>
    <w:rsid w:val="005C794E"/>
    <w:rsid w:val="005C79B8"/>
    <w:rsid w:val="005D084F"/>
    <w:rsid w:val="005D0E1C"/>
    <w:rsid w:val="005D1B6B"/>
    <w:rsid w:val="005D2801"/>
    <w:rsid w:val="005D2AFC"/>
    <w:rsid w:val="005D4549"/>
    <w:rsid w:val="005D6284"/>
    <w:rsid w:val="005D6709"/>
    <w:rsid w:val="005E0264"/>
    <w:rsid w:val="005E1007"/>
    <w:rsid w:val="005E141F"/>
    <w:rsid w:val="005E1810"/>
    <w:rsid w:val="005E19E4"/>
    <w:rsid w:val="005E1FAF"/>
    <w:rsid w:val="005E238E"/>
    <w:rsid w:val="005E2762"/>
    <w:rsid w:val="005E2792"/>
    <w:rsid w:val="005E29E2"/>
    <w:rsid w:val="005E38A3"/>
    <w:rsid w:val="005E60FE"/>
    <w:rsid w:val="005E6344"/>
    <w:rsid w:val="005E68C4"/>
    <w:rsid w:val="005E6A9C"/>
    <w:rsid w:val="005E6BDE"/>
    <w:rsid w:val="005E7D73"/>
    <w:rsid w:val="005F1251"/>
    <w:rsid w:val="005F160C"/>
    <w:rsid w:val="005F29FE"/>
    <w:rsid w:val="005F5FEF"/>
    <w:rsid w:val="005F7027"/>
    <w:rsid w:val="005F74ED"/>
    <w:rsid w:val="005F7637"/>
    <w:rsid w:val="00600CFE"/>
    <w:rsid w:val="0060207D"/>
    <w:rsid w:val="00602270"/>
    <w:rsid w:val="00602365"/>
    <w:rsid w:val="006025C5"/>
    <w:rsid w:val="00602647"/>
    <w:rsid w:val="00602720"/>
    <w:rsid w:val="006034B8"/>
    <w:rsid w:val="00603CD2"/>
    <w:rsid w:val="006057E5"/>
    <w:rsid w:val="006058DC"/>
    <w:rsid w:val="00605915"/>
    <w:rsid w:val="00605A6E"/>
    <w:rsid w:val="00606BE9"/>
    <w:rsid w:val="00606C02"/>
    <w:rsid w:val="00606C2D"/>
    <w:rsid w:val="006070F4"/>
    <w:rsid w:val="0060727D"/>
    <w:rsid w:val="006119D3"/>
    <w:rsid w:val="006128BD"/>
    <w:rsid w:val="00612970"/>
    <w:rsid w:val="00613C46"/>
    <w:rsid w:val="00616182"/>
    <w:rsid w:val="00616CCC"/>
    <w:rsid w:val="006172BF"/>
    <w:rsid w:val="00617B0E"/>
    <w:rsid w:val="00617D94"/>
    <w:rsid w:val="00617FB8"/>
    <w:rsid w:val="0062079B"/>
    <w:rsid w:val="00620C2E"/>
    <w:rsid w:val="00621ECC"/>
    <w:rsid w:val="00622AAD"/>
    <w:rsid w:val="00622D11"/>
    <w:rsid w:val="0062361A"/>
    <w:rsid w:val="00624021"/>
    <w:rsid w:val="0062477D"/>
    <w:rsid w:val="00624C22"/>
    <w:rsid w:val="00624C6C"/>
    <w:rsid w:val="006252F7"/>
    <w:rsid w:val="00625B0C"/>
    <w:rsid w:val="00625FE0"/>
    <w:rsid w:val="006265FF"/>
    <w:rsid w:val="006268AC"/>
    <w:rsid w:val="00626D1E"/>
    <w:rsid w:val="006272A7"/>
    <w:rsid w:val="00627694"/>
    <w:rsid w:val="0062799B"/>
    <w:rsid w:val="00627A96"/>
    <w:rsid w:val="00630DDD"/>
    <w:rsid w:val="00631510"/>
    <w:rsid w:val="00631CE6"/>
    <w:rsid w:val="006328D0"/>
    <w:rsid w:val="00633043"/>
    <w:rsid w:val="00633B85"/>
    <w:rsid w:val="00633BB0"/>
    <w:rsid w:val="0063456F"/>
    <w:rsid w:val="0063667C"/>
    <w:rsid w:val="00636B1B"/>
    <w:rsid w:val="00636D4E"/>
    <w:rsid w:val="00637186"/>
    <w:rsid w:val="00637296"/>
    <w:rsid w:val="00637530"/>
    <w:rsid w:val="00637840"/>
    <w:rsid w:val="006406A6"/>
    <w:rsid w:val="006412D5"/>
    <w:rsid w:val="006418BD"/>
    <w:rsid w:val="00641DBB"/>
    <w:rsid w:val="00642EC1"/>
    <w:rsid w:val="0064320A"/>
    <w:rsid w:val="00644E69"/>
    <w:rsid w:val="00645098"/>
    <w:rsid w:val="006469F2"/>
    <w:rsid w:val="00646A86"/>
    <w:rsid w:val="0065005A"/>
    <w:rsid w:val="00650796"/>
    <w:rsid w:val="0065195A"/>
    <w:rsid w:val="00652743"/>
    <w:rsid w:val="00652C4D"/>
    <w:rsid w:val="006538D3"/>
    <w:rsid w:val="00653D43"/>
    <w:rsid w:val="00654AAE"/>
    <w:rsid w:val="0065569B"/>
    <w:rsid w:val="00657082"/>
    <w:rsid w:val="00657111"/>
    <w:rsid w:val="00657653"/>
    <w:rsid w:val="0065777F"/>
    <w:rsid w:val="00660163"/>
    <w:rsid w:val="00662378"/>
    <w:rsid w:val="00663997"/>
    <w:rsid w:val="00663E1B"/>
    <w:rsid w:val="00664BE3"/>
    <w:rsid w:val="00664E27"/>
    <w:rsid w:val="00665562"/>
    <w:rsid w:val="006666FE"/>
    <w:rsid w:val="006667AB"/>
    <w:rsid w:val="00666B8E"/>
    <w:rsid w:val="00666C0E"/>
    <w:rsid w:val="00666EF2"/>
    <w:rsid w:val="0066728E"/>
    <w:rsid w:val="0067062F"/>
    <w:rsid w:val="00670D8D"/>
    <w:rsid w:val="00670EAC"/>
    <w:rsid w:val="0067131D"/>
    <w:rsid w:val="00671375"/>
    <w:rsid w:val="006715D6"/>
    <w:rsid w:val="006717E8"/>
    <w:rsid w:val="00671EE8"/>
    <w:rsid w:val="006723B4"/>
    <w:rsid w:val="00672449"/>
    <w:rsid w:val="006734FC"/>
    <w:rsid w:val="00674034"/>
    <w:rsid w:val="00674542"/>
    <w:rsid w:val="0067467A"/>
    <w:rsid w:val="00675526"/>
    <w:rsid w:val="0067703A"/>
    <w:rsid w:val="0068030D"/>
    <w:rsid w:val="006813BC"/>
    <w:rsid w:val="0068190F"/>
    <w:rsid w:val="00682599"/>
    <w:rsid w:val="00682E51"/>
    <w:rsid w:val="006836AC"/>
    <w:rsid w:val="006837A5"/>
    <w:rsid w:val="00684ACE"/>
    <w:rsid w:val="00684B8A"/>
    <w:rsid w:val="00684BDA"/>
    <w:rsid w:val="00684C2D"/>
    <w:rsid w:val="00684D26"/>
    <w:rsid w:val="0068516F"/>
    <w:rsid w:val="006856D6"/>
    <w:rsid w:val="006861F6"/>
    <w:rsid w:val="00686348"/>
    <w:rsid w:val="00686601"/>
    <w:rsid w:val="00686669"/>
    <w:rsid w:val="00686B35"/>
    <w:rsid w:val="00686D5F"/>
    <w:rsid w:val="00686D9C"/>
    <w:rsid w:val="00687BE5"/>
    <w:rsid w:val="00690453"/>
    <w:rsid w:val="00690A58"/>
    <w:rsid w:val="00690BC5"/>
    <w:rsid w:val="00690F1C"/>
    <w:rsid w:val="00691E0A"/>
    <w:rsid w:val="00692A35"/>
    <w:rsid w:val="00692BDF"/>
    <w:rsid w:val="00692F2D"/>
    <w:rsid w:val="006933A3"/>
    <w:rsid w:val="006936AD"/>
    <w:rsid w:val="006940E7"/>
    <w:rsid w:val="006945CA"/>
    <w:rsid w:val="00695BEB"/>
    <w:rsid w:val="00696487"/>
    <w:rsid w:val="00697113"/>
    <w:rsid w:val="00697B2E"/>
    <w:rsid w:val="00697E9F"/>
    <w:rsid w:val="006A04DF"/>
    <w:rsid w:val="006A0735"/>
    <w:rsid w:val="006A0F36"/>
    <w:rsid w:val="006A19A8"/>
    <w:rsid w:val="006A1AC5"/>
    <w:rsid w:val="006A1B5C"/>
    <w:rsid w:val="006A202A"/>
    <w:rsid w:val="006A24F1"/>
    <w:rsid w:val="006A2AF2"/>
    <w:rsid w:val="006A35AA"/>
    <w:rsid w:val="006A3860"/>
    <w:rsid w:val="006A3ECD"/>
    <w:rsid w:val="006A480B"/>
    <w:rsid w:val="006A53F9"/>
    <w:rsid w:val="006A552A"/>
    <w:rsid w:val="006A6B92"/>
    <w:rsid w:val="006A6C48"/>
    <w:rsid w:val="006A7DDA"/>
    <w:rsid w:val="006B08C8"/>
    <w:rsid w:val="006B0D9B"/>
    <w:rsid w:val="006B195B"/>
    <w:rsid w:val="006B1A8E"/>
    <w:rsid w:val="006B2102"/>
    <w:rsid w:val="006B4485"/>
    <w:rsid w:val="006B4633"/>
    <w:rsid w:val="006B49CE"/>
    <w:rsid w:val="006B4E7A"/>
    <w:rsid w:val="006B50DD"/>
    <w:rsid w:val="006B5ABD"/>
    <w:rsid w:val="006B63C1"/>
    <w:rsid w:val="006B6656"/>
    <w:rsid w:val="006B67F4"/>
    <w:rsid w:val="006B6A39"/>
    <w:rsid w:val="006B7DB6"/>
    <w:rsid w:val="006C003E"/>
    <w:rsid w:val="006C03BB"/>
    <w:rsid w:val="006C0743"/>
    <w:rsid w:val="006C1315"/>
    <w:rsid w:val="006C1B7A"/>
    <w:rsid w:val="006C2468"/>
    <w:rsid w:val="006C2A49"/>
    <w:rsid w:val="006C3A26"/>
    <w:rsid w:val="006C40E6"/>
    <w:rsid w:val="006C5011"/>
    <w:rsid w:val="006C50BC"/>
    <w:rsid w:val="006C53D3"/>
    <w:rsid w:val="006C5D56"/>
    <w:rsid w:val="006C7606"/>
    <w:rsid w:val="006C775D"/>
    <w:rsid w:val="006D01B5"/>
    <w:rsid w:val="006D0B4D"/>
    <w:rsid w:val="006D1001"/>
    <w:rsid w:val="006D16EA"/>
    <w:rsid w:val="006D1BC6"/>
    <w:rsid w:val="006D2B90"/>
    <w:rsid w:val="006D47A4"/>
    <w:rsid w:val="006D4B72"/>
    <w:rsid w:val="006D4D12"/>
    <w:rsid w:val="006D546C"/>
    <w:rsid w:val="006D5874"/>
    <w:rsid w:val="006D5FD8"/>
    <w:rsid w:val="006D6C7C"/>
    <w:rsid w:val="006D7D29"/>
    <w:rsid w:val="006E03ED"/>
    <w:rsid w:val="006E0D18"/>
    <w:rsid w:val="006E0D44"/>
    <w:rsid w:val="006E1020"/>
    <w:rsid w:val="006E21FD"/>
    <w:rsid w:val="006E34B4"/>
    <w:rsid w:val="006E3B8E"/>
    <w:rsid w:val="006E4163"/>
    <w:rsid w:val="006E5019"/>
    <w:rsid w:val="006E587F"/>
    <w:rsid w:val="006E5A57"/>
    <w:rsid w:val="006E5AD3"/>
    <w:rsid w:val="006E6099"/>
    <w:rsid w:val="006E6140"/>
    <w:rsid w:val="006E6E2B"/>
    <w:rsid w:val="006E73C2"/>
    <w:rsid w:val="006F0249"/>
    <w:rsid w:val="006F0583"/>
    <w:rsid w:val="006F0792"/>
    <w:rsid w:val="006F1126"/>
    <w:rsid w:val="006F1504"/>
    <w:rsid w:val="006F17F7"/>
    <w:rsid w:val="006F2A1F"/>
    <w:rsid w:val="006F2D27"/>
    <w:rsid w:val="006F2F93"/>
    <w:rsid w:val="006F3D56"/>
    <w:rsid w:val="006F460F"/>
    <w:rsid w:val="006F5519"/>
    <w:rsid w:val="006F5713"/>
    <w:rsid w:val="006F5B43"/>
    <w:rsid w:val="006F5FE1"/>
    <w:rsid w:val="007001E2"/>
    <w:rsid w:val="0070053B"/>
    <w:rsid w:val="0070084D"/>
    <w:rsid w:val="00700AE9"/>
    <w:rsid w:val="00701A69"/>
    <w:rsid w:val="0070319C"/>
    <w:rsid w:val="00703252"/>
    <w:rsid w:val="00704099"/>
    <w:rsid w:val="007045AE"/>
    <w:rsid w:val="00704BC6"/>
    <w:rsid w:val="007051A8"/>
    <w:rsid w:val="007057B0"/>
    <w:rsid w:val="00705919"/>
    <w:rsid w:val="00705FD9"/>
    <w:rsid w:val="00706477"/>
    <w:rsid w:val="007066B8"/>
    <w:rsid w:val="00706F28"/>
    <w:rsid w:val="00707DC1"/>
    <w:rsid w:val="00711F60"/>
    <w:rsid w:val="0071206B"/>
    <w:rsid w:val="007126E3"/>
    <w:rsid w:val="0071305B"/>
    <w:rsid w:val="00713F8B"/>
    <w:rsid w:val="00713FAD"/>
    <w:rsid w:val="007141DB"/>
    <w:rsid w:val="00717675"/>
    <w:rsid w:val="007201A4"/>
    <w:rsid w:val="00721000"/>
    <w:rsid w:val="00722C20"/>
    <w:rsid w:val="00723449"/>
    <w:rsid w:val="00723891"/>
    <w:rsid w:val="007240C8"/>
    <w:rsid w:val="007242CA"/>
    <w:rsid w:val="00725CE8"/>
    <w:rsid w:val="00726BA4"/>
    <w:rsid w:val="00726F6E"/>
    <w:rsid w:val="00727659"/>
    <w:rsid w:val="00727D0F"/>
    <w:rsid w:val="00727E7E"/>
    <w:rsid w:val="0073083E"/>
    <w:rsid w:val="007310D4"/>
    <w:rsid w:val="0073154F"/>
    <w:rsid w:val="00733971"/>
    <w:rsid w:val="00733DD0"/>
    <w:rsid w:val="007349FC"/>
    <w:rsid w:val="00734A58"/>
    <w:rsid w:val="00734D4D"/>
    <w:rsid w:val="00736CF3"/>
    <w:rsid w:val="00737511"/>
    <w:rsid w:val="007403F0"/>
    <w:rsid w:val="00740C96"/>
    <w:rsid w:val="00742D8C"/>
    <w:rsid w:val="00742E76"/>
    <w:rsid w:val="007434AB"/>
    <w:rsid w:val="00743A26"/>
    <w:rsid w:val="007442E4"/>
    <w:rsid w:val="00744352"/>
    <w:rsid w:val="007444B8"/>
    <w:rsid w:val="00744AD2"/>
    <w:rsid w:val="00744F65"/>
    <w:rsid w:val="00745661"/>
    <w:rsid w:val="00745D0C"/>
    <w:rsid w:val="00746725"/>
    <w:rsid w:val="00746A6E"/>
    <w:rsid w:val="007477E2"/>
    <w:rsid w:val="00747939"/>
    <w:rsid w:val="007479C2"/>
    <w:rsid w:val="00747CF9"/>
    <w:rsid w:val="00747F76"/>
    <w:rsid w:val="007503D8"/>
    <w:rsid w:val="00750645"/>
    <w:rsid w:val="007519C7"/>
    <w:rsid w:val="00752ED7"/>
    <w:rsid w:val="00752F38"/>
    <w:rsid w:val="00753015"/>
    <w:rsid w:val="0075334F"/>
    <w:rsid w:val="00754AA9"/>
    <w:rsid w:val="00754ACD"/>
    <w:rsid w:val="00754F33"/>
    <w:rsid w:val="0075526F"/>
    <w:rsid w:val="0075702B"/>
    <w:rsid w:val="00757BB6"/>
    <w:rsid w:val="007609C2"/>
    <w:rsid w:val="00761D4B"/>
    <w:rsid w:val="00762059"/>
    <w:rsid w:val="00763010"/>
    <w:rsid w:val="007634EF"/>
    <w:rsid w:val="00764224"/>
    <w:rsid w:val="007644F9"/>
    <w:rsid w:val="00764C25"/>
    <w:rsid w:val="00764CE2"/>
    <w:rsid w:val="007651F9"/>
    <w:rsid w:val="00765362"/>
    <w:rsid w:val="00765C17"/>
    <w:rsid w:val="00765DE5"/>
    <w:rsid w:val="00765E28"/>
    <w:rsid w:val="00766411"/>
    <w:rsid w:val="00766703"/>
    <w:rsid w:val="00766B8A"/>
    <w:rsid w:val="0076735B"/>
    <w:rsid w:val="00767EE7"/>
    <w:rsid w:val="00770ACE"/>
    <w:rsid w:val="00770D26"/>
    <w:rsid w:val="007721F3"/>
    <w:rsid w:val="007751AC"/>
    <w:rsid w:val="00775201"/>
    <w:rsid w:val="00775207"/>
    <w:rsid w:val="00775F1C"/>
    <w:rsid w:val="0077746B"/>
    <w:rsid w:val="0078102C"/>
    <w:rsid w:val="007811A9"/>
    <w:rsid w:val="00781401"/>
    <w:rsid w:val="00781A55"/>
    <w:rsid w:val="007820AA"/>
    <w:rsid w:val="007834E3"/>
    <w:rsid w:val="00784B2B"/>
    <w:rsid w:val="00784BB5"/>
    <w:rsid w:val="00785F14"/>
    <w:rsid w:val="0078626D"/>
    <w:rsid w:val="00786A6B"/>
    <w:rsid w:val="00787643"/>
    <w:rsid w:val="00787DD2"/>
    <w:rsid w:val="00790F0B"/>
    <w:rsid w:val="00790FEF"/>
    <w:rsid w:val="00792074"/>
    <w:rsid w:val="00792AA4"/>
    <w:rsid w:val="00792EC2"/>
    <w:rsid w:val="0079356F"/>
    <w:rsid w:val="00794395"/>
    <w:rsid w:val="0079503C"/>
    <w:rsid w:val="00795D58"/>
    <w:rsid w:val="00796B59"/>
    <w:rsid w:val="00797351"/>
    <w:rsid w:val="007A025C"/>
    <w:rsid w:val="007A1753"/>
    <w:rsid w:val="007A1B85"/>
    <w:rsid w:val="007A4AD1"/>
    <w:rsid w:val="007A4D4A"/>
    <w:rsid w:val="007A6D6B"/>
    <w:rsid w:val="007A703C"/>
    <w:rsid w:val="007A7179"/>
    <w:rsid w:val="007B0702"/>
    <w:rsid w:val="007B0761"/>
    <w:rsid w:val="007B10CD"/>
    <w:rsid w:val="007B203F"/>
    <w:rsid w:val="007B3963"/>
    <w:rsid w:val="007B3B9A"/>
    <w:rsid w:val="007B3D35"/>
    <w:rsid w:val="007B4145"/>
    <w:rsid w:val="007B42E4"/>
    <w:rsid w:val="007B4553"/>
    <w:rsid w:val="007B4A53"/>
    <w:rsid w:val="007B4F35"/>
    <w:rsid w:val="007B55C0"/>
    <w:rsid w:val="007B7E76"/>
    <w:rsid w:val="007C000C"/>
    <w:rsid w:val="007C00F6"/>
    <w:rsid w:val="007C024C"/>
    <w:rsid w:val="007C0AFC"/>
    <w:rsid w:val="007C125B"/>
    <w:rsid w:val="007C14C0"/>
    <w:rsid w:val="007C3AA4"/>
    <w:rsid w:val="007C4178"/>
    <w:rsid w:val="007C5428"/>
    <w:rsid w:val="007C55DE"/>
    <w:rsid w:val="007C5BD5"/>
    <w:rsid w:val="007C7706"/>
    <w:rsid w:val="007C7E38"/>
    <w:rsid w:val="007D0380"/>
    <w:rsid w:val="007D148D"/>
    <w:rsid w:val="007D2E6D"/>
    <w:rsid w:val="007D3A33"/>
    <w:rsid w:val="007D7386"/>
    <w:rsid w:val="007E094B"/>
    <w:rsid w:val="007E1026"/>
    <w:rsid w:val="007E1454"/>
    <w:rsid w:val="007E14C4"/>
    <w:rsid w:val="007E1D0F"/>
    <w:rsid w:val="007E2042"/>
    <w:rsid w:val="007E2425"/>
    <w:rsid w:val="007E3883"/>
    <w:rsid w:val="007E55AB"/>
    <w:rsid w:val="007E5BFA"/>
    <w:rsid w:val="007E6E44"/>
    <w:rsid w:val="007F20D9"/>
    <w:rsid w:val="007F2A85"/>
    <w:rsid w:val="007F2E3F"/>
    <w:rsid w:val="007F3466"/>
    <w:rsid w:val="007F4695"/>
    <w:rsid w:val="007F6619"/>
    <w:rsid w:val="007F675C"/>
    <w:rsid w:val="007F7873"/>
    <w:rsid w:val="0080033F"/>
    <w:rsid w:val="008008BF"/>
    <w:rsid w:val="00800FA9"/>
    <w:rsid w:val="008012DB"/>
    <w:rsid w:val="00802033"/>
    <w:rsid w:val="008027CB"/>
    <w:rsid w:val="0080379E"/>
    <w:rsid w:val="00803DC5"/>
    <w:rsid w:val="00804002"/>
    <w:rsid w:val="00804757"/>
    <w:rsid w:val="0080492A"/>
    <w:rsid w:val="00804D76"/>
    <w:rsid w:val="0080554C"/>
    <w:rsid w:val="0080580F"/>
    <w:rsid w:val="00806199"/>
    <w:rsid w:val="00806467"/>
    <w:rsid w:val="008066F8"/>
    <w:rsid w:val="00806F17"/>
    <w:rsid w:val="00807543"/>
    <w:rsid w:val="00807E3E"/>
    <w:rsid w:val="008103AA"/>
    <w:rsid w:val="00810526"/>
    <w:rsid w:val="008106DF"/>
    <w:rsid w:val="00810A08"/>
    <w:rsid w:val="00810C81"/>
    <w:rsid w:val="00811A84"/>
    <w:rsid w:val="00811C33"/>
    <w:rsid w:val="00812380"/>
    <w:rsid w:val="008139C1"/>
    <w:rsid w:val="008140E5"/>
    <w:rsid w:val="00814815"/>
    <w:rsid w:val="00814EAC"/>
    <w:rsid w:val="00816FD3"/>
    <w:rsid w:val="0081721A"/>
    <w:rsid w:val="008173DB"/>
    <w:rsid w:val="00817E07"/>
    <w:rsid w:val="00820007"/>
    <w:rsid w:val="00820238"/>
    <w:rsid w:val="0082076D"/>
    <w:rsid w:val="008207A2"/>
    <w:rsid w:val="00820A06"/>
    <w:rsid w:val="00820C7F"/>
    <w:rsid w:val="0082114B"/>
    <w:rsid w:val="00821416"/>
    <w:rsid w:val="00821549"/>
    <w:rsid w:val="0082188F"/>
    <w:rsid w:val="0082203B"/>
    <w:rsid w:val="00823601"/>
    <w:rsid w:val="008249D3"/>
    <w:rsid w:val="008253E9"/>
    <w:rsid w:val="00826C0A"/>
    <w:rsid w:val="00827B75"/>
    <w:rsid w:val="00827B80"/>
    <w:rsid w:val="008301F9"/>
    <w:rsid w:val="0083115A"/>
    <w:rsid w:val="0083130D"/>
    <w:rsid w:val="0083154C"/>
    <w:rsid w:val="00831627"/>
    <w:rsid w:val="00831EC7"/>
    <w:rsid w:val="00832C9F"/>
    <w:rsid w:val="00833918"/>
    <w:rsid w:val="00833BC0"/>
    <w:rsid w:val="008359FE"/>
    <w:rsid w:val="00835CB3"/>
    <w:rsid w:val="00835F56"/>
    <w:rsid w:val="0083655C"/>
    <w:rsid w:val="008368A8"/>
    <w:rsid w:val="00836C0E"/>
    <w:rsid w:val="00837093"/>
    <w:rsid w:val="00837403"/>
    <w:rsid w:val="0083768E"/>
    <w:rsid w:val="00837B1A"/>
    <w:rsid w:val="00840400"/>
    <w:rsid w:val="00840E8E"/>
    <w:rsid w:val="008418FB"/>
    <w:rsid w:val="00842299"/>
    <w:rsid w:val="00842817"/>
    <w:rsid w:val="00842AE3"/>
    <w:rsid w:val="00842C82"/>
    <w:rsid w:val="00843501"/>
    <w:rsid w:val="00844107"/>
    <w:rsid w:val="008446AA"/>
    <w:rsid w:val="008447A6"/>
    <w:rsid w:val="00844A09"/>
    <w:rsid w:val="00844CCA"/>
    <w:rsid w:val="00844DFD"/>
    <w:rsid w:val="00844EFE"/>
    <w:rsid w:val="008462CE"/>
    <w:rsid w:val="008463B8"/>
    <w:rsid w:val="0084691B"/>
    <w:rsid w:val="00850048"/>
    <w:rsid w:val="00850994"/>
    <w:rsid w:val="00851C86"/>
    <w:rsid w:val="00852253"/>
    <w:rsid w:val="008526DB"/>
    <w:rsid w:val="00853727"/>
    <w:rsid w:val="00853C7D"/>
    <w:rsid w:val="0085401E"/>
    <w:rsid w:val="0085641F"/>
    <w:rsid w:val="008577A6"/>
    <w:rsid w:val="00860547"/>
    <w:rsid w:val="00860A49"/>
    <w:rsid w:val="00860F18"/>
    <w:rsid w:val="00861935"/>
    <w:rsid w:val="00863885"/>
    <w:rsid w:val="008639E7"/>
    <w:rsid w:val="00863B81"/>
    <w:rsid w:val="00864063"/>
    <w:rsid w:val="00864460"/>
    <w:rsid w:val="008649B4"/>
    <w:rsid w:val="00864A37"/>
    <w:rsid w:val="00864DC1"/>
    <w:rsid w:val="008670AC"/>
    <w:rsid w:val="00867550"/>
    <w:rsid w:val="00867B45"/>
    <w:rsid w:val="00870344"/>
    <w:rsid w:val="00871188"/>
    <w:rsid w:val="008718C2"/>
    <w:rsid w:val="00871C34"/>
    <w:rsid w:val="00871CFA"/>
    <w:rsid w:val="00871F8E"/>
    <w:rsid w:val="008726F3"/>
    <w:rsid w:val="00872846"/>
    <w:rsid w:val="00873DEE"/>
    <w:rsid w:val="00874772"/>
    <w:rsid w:val="00876488"/>
    <w:rsid w:val="00876708"/>
    <w:rsid w:val="00876A38"/>
    <w:rsid w:val="00876F7D"/>
    <w:rsid w:val="008771D7"/>
    <w:rsid w:val="008773C9"/>
    <w:rsid w:val="00880018"/>
    <w:rsid w:val="00880A7E"/>
    <w:rsid w:val="00881738"/>
    <w:rsid w:val="008826F8"/>
    <w:rsid w:val="0088278E"/>
    <w:rsid w:val="0088367C"/>
    <w:rsid w:val="00883F00"/>
    <w:rsid w:val="0088451A"/>
    <w:rsid w:val="0088473C"/>
    <w:rsid w:val="00884D30"/>
    <w:rsid w:val="008859A5"/>
    <w:rsid w:val="0088611E"/>
    <w:rsid w:val="00886C95"/>
    <w:rsid w:val="00887030"/>
    <w:rsid w:val="00887C4D"/>
    <w:rsid w:val="008904A7"/>
    <w:rsid w:val="008904C1"/>
    <w:rsid w:val="00890D99"/>
    <w:rsid w:val="00890DEF"/>
    <w:rsid w:val="00891CBF"/>
    <w:rsid w:val="00891DE2"/>
    <w:rsid w:val="00892549"/>
    <w:rsid w:val="008933A9"/>
    <w:rsid w:val="00893567"/>
    <w:rsid w:val="00893705"/>
    <w:rsid w:val="00895096"/>
    <w:rsid w:val="008951B4"/>
    <w:rsid w:val="00897168"/>
    <w:rsid w:val="0089758D"/>
    <w:rsid w:val="008A077B"/>
    <w:rsid w:val="008A0E42"/>
    <w:rsid w:val="008A0F09"/>
    <w:rsid w:val="008A0FEC"/>
    <w:rsid w:val="008A1B6B"/>
    <w:rsid w:val="008A26E7"/>
    <w:rsid w:val="008A34A7"/>
    <w:rsid w:val="008A4658"/>
    <w:rsid w:val="008A4DFB"/>
    <w:rsid w:val="008A6227"/>
    <w:rsid w:val="008A6462"/>
    <w:rsid w:val="008A6509"/>
    <w:rsid w:val="008A73C6"/>
    <w:rsid w:val="008A7888"/>
    <w:rsid w:val="008A7E24"/>
    <w:rsid w:val="008A7FF0"/>
    <w:rsid w:val="008B03BC"/>
    <w:rsid w:val="008B0C3E"/>
    <w:rsid w:val="008B0CB9"/>
    <w:rsid w:val="008B1C6B"/>
    <w:rsid w:val="008B1E43"/>
    <w:rsid w:val="008B2366"/>
    <w:rsid w:val="008B263E"/>
    <w:rsid w:val="008B2E32"/>
    <w:rsid w:val="008B394B"/>
    <w:rsid w:val="008B3C86"/>
    <w:rsid w:val="008B4324"/>
    <w:rsid w:val="008B4708"/>
    <w:rsid w:val="008B51D6"/>
    <w:rsid w:val="008B6323"/>
    <w:rsid w:val="008B6466"/>
    <w:rsid w:val="008B65C7"/>
    <w:rsid w:val="008B735D"/>
    <w:rsid w:val="008C1127"/>
    <w:rsid w:val="008C26E8"/>
    <w:rsid w:val="008C2917"/>
    <w:rsid w:val="008C2AAF"/>
    <w:rsid w:val="008C2B7D"/>
    <w:rsid w:val="008C34A2"/>
    <w:rsid w:val="008C42A8"/>
    <w:rsid w:val="008C536A"/>
    <w:rsid w:val="008C59EE"/>
    <w:rsid w:val="008C5BF3"/>
    <w:rsid w:val="008C616E"/>
    <w:rsid w:val="008C653A"/>
    <w:rsid w:val="008C655D"/>
    <w:rsid w:val="008C6EE7"/>
    <w:rsid w:val="008C7330"/>
    <w:rsid w:val="008C7D2F"/>
    <w:rsid w:val="008D16CE"/>
    <w:rsid w:val="008D2A40"/>
    <w:rsid w:val="008D4D24"/>
    <w:rsid w:val="008D4E30"/>
    <w:rsid w:val="008D59BE"/>
    <w:rsid w:val="008D5CDD"/>
    <w:rsid w:val="008D72CF"/>
    <w:rsid w:val="008E02AA"/>
    <w:rsid w:val="008E1137"/>
    <w:rsid w:val="008E1951"/>
    <w:rsid w:val="008E2739"/>
    <w:rsid w:val="008E2F81"/>
    <w:rsid w:val="008E3905"/>
    <w:rsid w:val="008E3B9B"/>
    <w:rsid w:val="008E4061"/>
    <w:rsid w:val="008E46FC"/>
    <w:rsid w:val="008E47D8"/>
    <w:rsid w:val="008E48EA"/>
    <w:rsid w:val="008E563C"/>
    <w:rsid w:val="008E6064"/>
    <w:rsid w:val="008F071F"/>
    <w:rsid w:val="008F13E8"/>
    <w:rsid w:val="008F1FF1"/>
    <w:rsid w:val="008F2111"/>
    <w:rsid w:val="008F2241"/>
    <w:rsid w:val="008F315A"/>
    <w:rsid w:val="008F368B"/>
    <w:rsid w:val="008F36A7"/>
    <w:rsid w:val="008F4021"/>
    <w:rsid w:val="008F47AE"/>
    <w:rsid w:val="008F49DA"/>
    <w:rsid w:val="008F60D5"/>
    <w:rsid w:val="008F6376"/>
    <w:rsid w:val="008F6435"/>
    <w:rsid w:val="0090156A"/>
    <w:rsid w:val="00901669"/>
    <w:rsid w:val="00901DFB"/>
    <w:rsid w:val="00902A94"/>
    <w:rsid w:val="00902E8D"/>
    <w:rsid w:val="0090315B"/>
    <w:rsid w:val="00903684"/>
    <w:rsid w:val="0090407C"/>
    <w:rsid w:val="009045B3"/>
    <w:rsid w:val="00904EB0"/>
    <w:rsid w:val="009052E9"/>
    <w:rsid w:val="00906036"/>
    <w:rsid w:val="00906799"/>
    <w:rsid w:val="009078F8"/>
    <w:rsid w:val="00907E9F"/>
    <w:rsid w:val="0091023F"/>
    <w:rsid w:val="00910A74"/>
    <w:rsid w:val="0091102E"/>
    <w:rsid w:val="009118A9"/>
    <w:rsid w:val="00911D44"/>
    <w:rsid w:val="00911E5F"/>
    <w:rsid w:val="00914352"/>
    <w:rsid w:val="00914F4B"/>
    <w:rsid w:val="009204F2"/>
    <w:rsid w:val="00920716"/>
    <w:rsid w:val="00920889"/>
    <w:rsid w:val="00920960"/>
    <w:rsid w:val="00922062"/>
    <w:rsid w:val="00922FC0"/>
    <w:rsid w:val="00923E3C"/>
    <w:rsid w:val="00924A23"/>
    <w:rsid w:val="00924A62"/>
    <w:rsid w:val="00924F9E"/>
    <w:rsid w:val="0092794A"/>
    <w:rsid w:val="009300C1"/>
    <w:rsid w:val="009308D9"/>
    <w:rsid w:val="00931767"/>
    <w:rsid w:val="00932FF5"/>
    <w:rsid w:val="00933D25"/>
    <w:rsid w:val="00934DDF"/>
    <w:rsid w:val="00935D43"/>
    <w:rsid w:val="00937799"/>
    <w:rsid w:val="0093790F"/>
    <w:rsid w:val="00937CF4"/>
    <w:rsid w:val="00940111"/>
    <w:rsid w:val="0094057A"/>
    <w:rsid w:val="009417EA"/>
    <w:rsid w:val="00942A28"/>
    <w:rsid w:val="009434E5"/>
    <w:rsid w:val="009437E1"/>
    <w:rsid w:val="00943CC6"/>
    <w:rsid w:val="00943CF6"/>
    <w:rsid w:val="009444D5"/>
    <w:rsid w:val="00945391"/>
    <w:rsid w:val="009459DB"/>
    <w:rsid w:val="00946758"/>
    <w:rsid w:val="00946A1E"/>
    <w:rsid w:val="00947C72"/>
    <w:rsid w:val="00950677"/>
    <w:rsid w:val="00952223"/>
    <w:rsid w:val="0095293D"/>
    <w:rsid w:val="00952AAA"/>
    <w:rsid w:val="00953597"/>
    <w:rsid w:val="00953775"/>
    <w:rsid w:val="0095398C"/>
    <w:rsid w:val="00953A10"/>
    <w:rsid w:val="009548F1"/>
    <w:rsid w:val="0095544C"/>
    <w:rsid w:val="00955ABA"/>
    <w:rsid w:val="009564A5"/>
    <w:rsid w:val="009564C6"/>
    <w:rsid w:val="00956668"/>
    <w:rsid w:val="00957DA8"/>
    <w:rsid w:val="00960831"/>
    <w:rsid w:val="00961B26"/>
    <w:rsid w:val="00961C78"/>
    <w:rsid w:val="00962723"/>
    <w:rsid w:val="00962F02"/>
    <w:rsid w:val="00964DDD"/>
    <w:rsid w:val="0096501F"/>
    <w:rsid w:val="00965AD4"/>
    <w:rsid w:val="00965F76"/>
    <w:rsid w:val="00966A99"/>
    <w:rsid w:val="00970769"/>
    <w:rsid w:val="00971ED9"/>
    <w:rsid w:val="00972805"/>
    <w:rsid w:val="009739C4"/>
    <w:rsid w:val="00973BC5"/>
    <w:rsid w:val="00974076"/>
    <w:rsid w:val="009741BA"/>
    <w:rsid w:val="0097431B"/>
    <w:rsid w:val="0097440F"/>
    <w:rsid w:val="009744E7"/>
    <w:rsid w:val="0097491B"/>
    <w:rsid w:val="00974AFD"/>
    <w:rsid w:val="00974FA3"/>
    <w:rsid w:val="009758D7"/>
    <w:rsid w:val="0097662D"/>
    <w:rsid w:val="00977410"/>
    <w:rsid w:val="009815F0"/>
    <w:rsid w:val="00981A0B"/>
    <w:rsid w:val="00982461"/>
    <w:rsid w:val="0098291B"/>
    <w:rsid w:val="00982C50"/>
    <w:rsid w:val="009831EE"/>
    <w:rsid w:val="00983747"/>
    <w:rsid w:val="009846F9"/>
    <w:rsid w:val="00984C31"/>
    <w:rsid w:val="00984ED0"/>
    <w:rsid w:val="00985AFB"/>
    <w:rsid w:val="00985F91"/>
    <w:rsid w:val="0098657A"/>
    <w:rsid w:val="00986596"/>
    <w:rsid w:val="00986720"/>
    <w:rsid w:val="00986A09"/>
    <w:rsid w:val="00986F21"/>
    <w:rsid w:val="009870F5"/>
    <w:rsid w:val="00987D5A"/>
    <w:rsid w:val="00990263"/>
    <w:rsid w:val="00990BF2"/>
    <w:rsid w:val="00992653"/>
    <w:rsid w:val="00992765"/>
    <w:rsid w:val="00993514"/>
    <w:rsid w:val="009936A6"/>
    <w:rsid w:val="009939E0"/>
    <w:rsid w:val="00993FF1"/>
    <w:rsid w:val="00994094"/>
    <w:rsid w:val="009952CF"/>
    <w:rsid w:val="009961DE"/>
    <w:rsid w:val="009963FB"/>
    <w:rsid w:val="009967E2"/>
    <w:rsid w:val="00996DE6"/>
    <w:rsid w:val="009979E2"/>
    <w:rsid w:val="009A08DF"/>
    <w:rsid w:val="009A0C55"/>
    <w:rsid w:val="009A0EC1"/>
    <w:rsid w:val="009A14DA"/>
    <w:rsid w:val="009A1B4A"/>
    <w:rsid w:val="009A1B81"/>
    <w:rsid w:val="009A2B56"/>
    <w:rsid w:val="009A2C1A"/>
    <w:rsid w:val="009A3229"/>
    <w:rsid w:val="009A3671"/>
    <w:rsid w:val="009A384F"/>
    <w:rsid w:val="009A38C9"/>
    <w:rsid w:val="009A3DD4"/>
    <w:rsid w:val="009A404E"/>
    <w:rsid w:val="009A4F23"/>
    <w:rsid w:val="009A504A"/>
    <w:rsid w:val="009A5222"/>
    <w:rsid w:val="009A5609"/>
    <w:rsid w:val="009A74BB"/>
    <w:rsid w:val="009B087F"/>
    <w:rsid w:val="009B1D02"/>
    <w:rsid w:val="009B29F1"/>
    <w:rsid w:val="009B347D"/>
    <w:rsid w:val="009B440C"/>
    <w:rsid w:val="009B4769"/>
    <w:rsid w:val="009B4F1A"/>
    <w:rsid w:val="009B6649"/>
    <w:rsid w:val="009B69FF"/>
    <w:rsid w:val="009B6D93"/>
    <w:rsid w:val="009B6DD3"/>
    <w:rsid w:val="009B754A"/>
    <w:rsid w:val="009C13DE"/>
    <w:rsid w:val="009C175C"/>
    <w:rsid w:val="009C177C"/>
    <w:rsid w:val="009C2784"/>
    <w:rsid w:val="009C28A0"/>
    <w:rsid w:val="009C3E1B"/>
    <w:rsid w:val="009C4274"/>
    <w:rsid w:val="009C46D5"/>
    <w:rsid w:val="009C4737"/>
    <w:rsid w:val="009C4844"/>
    <w:rsid w:val="009C5009"/>
    <w:rsid w:val="009C5442"/>
    <w:rsid w:val="009C74FC"/>
    <w:rsid w:val="009D120A"/>
    <w:rsid w:val="009D1D7D"/>
    <w:rsid w:val="009D219F"/>
    <w:rsid w:val="009D2F22"/>
    <w:rsid w:val="009D3601"/>
    <w:rsid w:val="009D4246"/>
    <w:rsid w:val="009D53E2"/>
    <w:rsid w:val="009D54A5"/>
    <w:rsid w:val="009D58FB"/>
    <w:rsid w:val="009D5D81"/>
    <w:rsid w:val="009D740D"/>
    <w:rsid w:val="009E0813"/>
    <w:rsid w:val="009E1AF7"/>
    <w:rsid w:val="009E2DE7"/>
    <w:rsid w:val="009E3892"/>
    <w:rsid w:val="009E3FA8"/>
    <w:rsid w:val="009E40C4"/>
    <w:rsid w:val="009E45F2"/>
    <w:rsid w:val="009E4E1D"/>
    <w:rsid w:val="009E5192"/>
    <w:rsid w:val="009E570D"/>
    <w:rsid w:val="009E65CD"/>
    <w:rsid w:val="009E66F9"/>
    <w:rsid w:val="009E702E"/>
    <w:rsid w:val="009E7ED4"/>
    <w:rsid w:val="009F10EB"/>
    <w:rsid w:val="009F1383"/>
    <w:rsid w:val="009F1AF2"/>
    <w:rsid w:val="009F3821"/>
    <w:rsid w:val="009F3EE2"/>
    <w:rsid w:val="009F42BD"/>
    <w:rsid w:val="009F4963"/>
    <w:rsid w:val="009F4DC9"/>
    <w:rsid w:val="009F51DA"/>
    <w:rsid w:val="009F554F"/>
    <w:rsid w:val="009F5F46"/>
    <w:rsid w:val="009F6A0F"/>
    <w:rsid w:val="009F7E48"/>
    <w:rsid w:val="00A0017F"/>
    <w:rsid w:val="00A010D7"/>
    <w:rsid w:val="00A01173"/>
    <w:rsid w:val="00A011D9"/>
    <w:rsid w:val="00A01E7E"/>
    <w:rsid w:val="00A02573"/>
    <w:rsid w:val="00A029DB"/>
    <w:rsid w:val="00A04DC7"/>
    <w:rsid w:val="00A04F2D"/>
    <w:rsid w:val="00A070DE"/>
    <w:rsid w:val="00A07895"/>
    <w:rsid w:val="00A07B0F"/>
    <w:rsid w:val="00A10D59"/>
    <w:rsid w:val="00A10FB7"/>
    <w:rsid w:val="00A11F3D"/>
    <w:rsid w:val="00A12496"/>
    <w:rsid w:val="00A13BFB"/>
    <w:rsid w:val="00A14044"/>
    <w:rsid w:val="00A149C8"/>
    <w:rsid w:val="00A14DF7"/>
    <w:rsid w:val="00A15152"/>
    <w:rsid w:val="00A15D7C"/>
    <w:rsid w:val="00A16069"/>
    <w:rsid w:val="00A161B3"/>
    <w:rsid w:val="00A1662C"/>
    <w:rsid w:val="00A172D9"/>
    <w:rsid w:val="00A175FD"/>
    <w:rsid w:val="00A203F7"/>
    <w:rsid w:val="00A208EA"/>
    <w:rsid w:val="00A20A86"/>
    <w:rsid w:val="00A21BD9"/>
    <w:rsid w:val="00A21C0B"/>
    <w:rsid w:val="00A24877"/>
    <w:rsid w:val="00A26CCB"/>
    <w:rsid w:val="00A26FC5"/>
    <w:rsid w:val="00A27912"/>
    <w:rsid w:val="00A27C90"/>
    <w:rsid w:val="00A30654"/>
    <w:rsid w:val="00A30973"/>
    <w:rsid w:val="00A30E62"/>
    <w:rsid w:val="00A310C9"/>
    <w:rsid w:val="00A3164A"/>
    <w:rsid w:val="00A3166A"/>
    <w:rsid w:val="00A3275B"/>
    <w:rsid w:val="00A33242"/>
    <w:rsid w:val="00A33AC6"/>
    <w:rsid w:val="00A3499B"/>
    <w:rsid w:val="00A35495"/>
    <w:rsid w:val="00A357F4"/>
    <w:rsid w:val="00A361FB"/>
    <w:rsid w:val="00A36913"/>
    <w:rsid w:val="00A36A1F"/>
    <w:rsid w:val="00A372D8"/>
    <w:rsid w:val="00A37A8D"/>
    <w:rsid w:val="00A37D9E"/>
    <w:rsid w:val="00A37E59"/>
    <w:rsid w:val="00A4055D"/>
    <w:rsid w:val="00A409EE"/>
    <w:rsid w:val="00A40B62"/>
    <w:rsid w:val="00A418D5"/>
    <w:rsid w:val="00A42078"/>
    <w:rsid w:val="00A42B0F"/>
    <w:rsid w:val="00A43F98"/>
    <w:rsid w:val="00A4411E"/>
    <w:rsid w:val="00A44630"/>
    <w:rsid w:val="00A45456"/>
    <w:rsid w:val="00A45AC7"/>
    <w:rsid w:val="00A463DE"/>
    <w:rsid w:val="00A4686A"/>
    <w:rsid w:val="00A4692B"/>
    <w:rsid w:val="00A47C19"/>
    <w:rsid w:val="00A50119"/>
    <w:rsid w:val="00A50845"/>
    <w:rsid w:val="00A508D2"/>
    <w:rsid w:val="00A50CCF"/>
    <w:rsid w:val="00A511E0"/>
    <w:rsid w:val="00A52DF5"/>
    <w:rsid w:val="00A52E68"/>
    <w:rsid w:val="00A533BE"/>
    <w:rsid w:val="00A53B3B"/>
    <w:rsid w:val="00A54155"/>
    <w:rsid w:val="00A54B0D"/>
    <w:rsid w:val="00A55267"/>
    <w:rsid w:val="00A5564D"/>
    <w:rsid w:val="00A5586B"/>
    <w:rsid w:val="00A57C2F"/>
    <w:rsid w:val="00A6104D"/>
    <w:rsid w:val="00A62862"/>
    <w:rsid w:val="00A636FC"/>
    <w:rsid w:val="00A63BA9"/>
    <w:rsid w:val="00A63BB2"/>
    <w:rsid w:val="00A63FEB"/>
    <w:rsid w:val="00A64FF5"/>
    <w:rsid w:val="00A65A7C"/>
    <w:rsid w:val="00A66F23"/>
    <w:rsid w:val="00A6748A"/>
    <w:rsid w:val="00A67A3A"/>
    <w:rsid w:val="00A67A9E"/>
    <w:rsid w:val="00A70B76"/>
    <w:rsid w:val="00A70BF6"/>
    <w:rsid w:val="00A7171C"/>
    <w:rsid w:val="00A72127"/>
    <w:rsid w:val="00A7224D"/>
    <w:rsid w:val="00A72B75"/>
    <w:rsid w:val="00A7343E"/>
    <w:rsid w:val="00A739E2"/>
    <w:rsid w:val="00A747E6"/>
    <w:rsid w:val="00A75363"/>
    <w:rsid w:val="00A761DE"/>
    <w:rsid w:val="00A771AA"/>
    <w:rsid w:val="00A77408"/>
    <w:rsid w:val="00A77F62"/>
    <w:rsid w:val="00A77FA0"/>
    <w:rsid w:val="00A8054A"/>
    <w:rsid w:val="00A810A2"/>
    <w:rsid w:val="00A81356"/>
    <w:rsid w:val="00A8163B"/>
    <w:rsid w:val="00A81B03"/>
    <w:rsid w:val="00A81FF6"/>
    <w:rsid w:val="00A8208D"/>
    <w:rsid w:val="00A8217C"/>
    <w:rsid w:val="00A82749"/>
    <w:rsid w:val="00A82A40"/>
    <w:rsid w:val="00A8320B"/>
    <w:rsid w:val="00A83F92"/>
    <w:rsid w:val="00A84B68"/>
    <w:rsid w:val="00A84D80"/>
    <w:rsid w:val="00A85609"/>
    <w:rsid w:val="00A858A9"/>
    <w:rsid w:val="00A8674E"/>
    <w:rsid w:val="00A871D1"/>
    <w:rsid w:val="00A879F7"/>
    <w:rsid w:val="00A91AD4"/>
    <w:rsid w:val="00A9237A"/>
    <w:rsid w:val="00A92825"/>
    <w:rsid w:val="00A95344"/>
    <w:rsid w:val="00A955CD"/>
    <w:rsid w:val="00A957C3"/>
    <w:rsid w:val="00A96001"/>
    <w:rsid w:val="00A96258"/>
    <w:rsid w:val="00A96A60"/>
    <w:rsid w:val="00A96A7D"/>
    <w:rsid w:val="00A96F34"/>
    <w:rsid w:val="00A977A5"/>
    <w:rsid w:val="00AA0AAE"/>
    <w:rsid w:val="00AA116A"/>
    <w:rsid w:val="00AA120E"/>
    <w:rsid w:val="00AA2C0A"/>
    <w:rsid w:val="00AA2C9E"/>
    <w:rsid w:val="00AA3515"/>
    <w:rsid w:val="00AA3FAD"/>
    <w:rsid w:val="00AA4E08"/>
    <w:rsid w:val="00AA766C"/>
    <w:rsid w:val="00AA7AC7"/>
    <w:rsid w:val="00AA7C40"/>
    <w:rsid w:val="00AB0AC0"/>
    <w:rsid w:val="00AB173C"/>
    <w:rsid w:val="00AB1A1E"/>
    <w:rsid w:val="00AB2D7A"/>
    <w:rsid w:val="00AB2DF7"/>
    <w:rsid w:val="00AB47A2"/>
    <w:rsid w:val="00AB4E5F"/>
    <w:rsid w:val="00AB5E06"/>
    <w:rsid w:val="00AB60DC"/>
    <w:rsid w:val="00AB6248"/>
    <w:rsid w:val="00AB6546"/>
    <w:rsid w:val="00AB6EC2"/>
    <w:rsid w:val="00AB7064"/>
    <w:rsid w:val="00AC034B"/>
    <w:rsid w:val="00AC1C78"/>
    <w:rsid w:val="00AC2558"/>
    <w:rsid w:val="00AC2931"/>
    <w:rsid w:val="00AC2B80"/>
    <w:rsid w:val="00AC3478"/>
    <w:rsid w:val="00AC477E"/>
    <w:rsid w:val="00AC49DC"/>
    <w:rsid w:val="00AC4E56"/>
    <w:rsid w:val="00AC6114"/>
    <w:rsid w:val="00AC63F7"/>
    <w:rsid w:val="00AC7291"/>
    <w:rsid w:val="00AD07D4"/>
    <w:rsid w:val="00AD0FC4"/>
    <w:rsid w:val="00AD1CDA"/>
    <w:rsid w:val="00AD2D85"/>
    <w:rsid w:val="00AD311D"/>
    <w:rsid w:val="00AD6A18"/>
    <w:rsid w:val="00AD7570"/>
    <w:rsid w:val="00AD77CD"/>
    <w:rsid w:val="00AE007A"/>
    <w:rsid w:val="00AE237C"/>
    <w:rsid w:val="00AE2A0B"/>
    <w:rsid w:val="00AE2A16"/>
    <w:rsid w:val="00AE3570"/>
    <w:rsid w:val="00AE3A1B"/>
    <w:rsid w:val="00AE3BD8"/>
    <w:rsid w:val="00AE402F"/>
    <w:rsid w:val="00AE4B8C"/>
    <w:rsid w:val="00AE4B9F"/>
    <w:rsid w:val="00AE5356"/>
    <w:rsid w:val="00AE5E7B"/>
    <w:rsid w:val="00AE6250"/>
    <w:rsid w:val="00AE62D9"/>
    <w:rsid w:val="00AE76F5"/>
    <w:rsid w:val="00AF0DF1"/>
    <w:rsid w:val="00AF0F4A"/>
    <w:rsid w:val="00AF1F6E"/>
    <w:rsid w:val="00AF2137"/>
    <w:rsid w:val="00AF21B0"/>
    <w:rsid w:val="00AF309E"/>
    <w:rsid w:val="00AF3366"/>
    <w:rsid w:val="00AF34EB"/>
    <w:rsid w:val="00AF35C2"/>
    <w:rsid w:val="00AF3743"/>
    <w:rsid w:val="00AF3AE1"/>
    <w:rsid w:val="00AF3F3D"/>
    <w:rsid w:val="00AF4063"/>
    <w:rsid w:val="00AF4273"/>
    <w:rsid w:val="00AF46CE"/>
    <w:rsid w:val="00AF4D7E"/>
    <w:rsid w:val="00AF6C2A"/>
    <w:rsid w:val="00AF73AC"/>
    <w:rsid w:val="00AF7459"/>
    <w:rsid w:val="00AF7874"/>
    <w:rsid w:val="00B004E1"/>
    <w:rsid w:val="00B0110E"/>
    <w:rsid w:val="00B0161E"/>
    <w:rsid w:val="00B02631"/>
    <w:rsid w:val="00B032EB"/>
    <w:rsid w:val="00B03666"/>
    <w:rsid w:val="00B04459"/>
    <w:rsid w:val="00B04831"/>
    <w:rsid w:val="00B0493A"/>
    <w:rsid w:val="00B04C25"/>
    <w:rsid w:val="00B04F63"/>
    <w:rsid w:val="00B04F8E"/>
    <w:rsid w:val="00B05C49"/>
    <w:rsid w:val="00B06371"/>
    <w:rsid w:val="00B070CE"/>
    <w:rsid w:val="00B07DBF"/>
    <w:rsid w:val="00B07FBC"/>
    <w:rsid w:val="00B107E1"/>
    <w:rsid w:val="00B1097A"/>
    <w:rsid w:val="00B112B3"/>
    <w:rsid w:val="00B1147B"/>
    <w:rsid w:val="00B12420"/>
    <w:rsid w:val="00B12D07"/>
    <w:rsid w:val="00B13232"/>
    <w:rsid w:val="00B13BFA"/>
    <w:rsid w:val="00B1456C"/>
    <w:rsid w:val="00B14E6B"/>
    <w:rsid w:val="00B15380"/>
    <w:rsid w:val="00B15F35"/>
    <w:rsid w:val="00B176AB"/>
    <w:rsid w:val="00B178C8"/>
    <w:rsid w:val="00B17DED"/>
    <w:rsid w:val="00B20426"/>
    <w:rsid w:val="00B21E4C"/>
    <w:rsid w:val="00B21F70"/>
    <w:rsid w:val="00B22518"/>
    <w:rsid w:val="00B231E9"/>
    <w:rsid w:val="00B24650"/>
    <w:rsid w:val="00B25042"/>
    <w:rsid w:val="00B25407"/>
    <w:rsid w:val="00B2543E"/>
    <w:rsid w:val="00B2624B"/>
    <w:rsid w:val="00B26BEA"/>
    <w:rsid w:val="00B30C59"/>
    <w:rsid w:val="00B30CAA"/>
    <w:rsid w:val="00B31731"/>
    <w:rsid w:val="00B321AE"/>
    <w:rsid w:val="00B35158"/>
    <w:rsid w:val="00B351D5"/>
    <w:rsid w:val="00B35262"/>
    <w:rsid w:val="00B366DE"/>
    <w:rsid w:val="00B36D12"/>
    <w:rsid w:val="00B37137"/>
    <w:rsid w:val="00B371BB"/>
    <w:rsid w:val="00B37EAC"/>
    <w:rsid w:val="00B402D4"/>
    <w:rsid w:val="00B41E0A"/>
    <w:rsid w:val="00B41F1F"/>
    <w:rsid w:val="00B4258F"/>
    <w:rsid w:val="00B44192"/>
    <w:rsid w:val="00B4430D"/>
    <w:rsid w:val="00B476F4"/>
    <w:rsid w:val="00B47C8E"/>
    <w:rsid w:val="00B50210"/>
    <w:rsid w:val="00B508C5"/>
    <w:rsid w:val="00B50C5D"/>
    <w:rsid w:val="00B512ED"/>
    <w:rsid w:val="00B513A4"/>
    <w:rsid w:val="00B52455"/>
    <w:rsid w:val="00B525BB"/>
    <w:rsid w:val="00B52B61"/>
    <w:rsid w:val="00B538C2"/>
    <w:rsid w:val="00B53A58"/>
    <w:rsid w:val="00B53D9E"/>
    <w:rsid w:val="00B564F5"/>
    <w:rsid w:val="00B56509"/>
    <w:rsid w:val="00B5684A"/>
    <w:rsid w:val="00B573D5"/>
    <w:rsid w:val="00B5748B"/>
    <w:rsid w:val="00B57564"/>
    <w:rsid w:val="00B57931"/>
    <w:rsid w:val="00B57F2F"/>
    <w:rsid w:val="00B60A27"/>
    <w:rsid w:val="00B62046"/>
    <w:rsid w:val="00B6234B"/>
    <w:rsid w:val="00B62DF2"/>
    <w:rsid w:val="00B63696"/>
    <w:rsid w:val="00B63CE5"/>
    <w:rsid w:val="00B6442E"/>
    <w:rsid w:val="00B66134"/>
    <w:rsid w:val="00B6685F"/>
    <w:rsid w:val="00B6767C"/>
    <w:rsid w:val="00B709DC"/>
    <w:rsid w:val="00B72419"/>
    <w:rsid w:val="00B72428"/>
    <w:rsid w:val="00B73DD9"/>
    <w:rsid w:val="00B7585A"/>
    <w:rsid w:val="00B75CAB"/>
    <w:rsid w:val="00B77C96"/>
    <w:rsid w:val="00B80168"/>
    <w:rsid w:val="00B8282C"/>
    <w:rsid w:val="00B8368D"/>
    <w:rsid w:val="00B83B5C"/>
    <w:rsid w:val="00B83D59"/>
    <w:rsid w:val="00B8508B"/>
    <w:rsid w:val="00B85AB7"/>
    <w:rsid w:val="00B86791"/>
    <w:rsid w:val="00B86887"/>
    <w:rsid w:val="00B86993"/>
    <w:rsid w:val="00B87425"/>
    <w:rsid w:val="00B8758C"/>
    <w:rsid w:val="00B87B6C"/>
    <w:rsid w:val="00B906E7"/>
    <w:rsid w:val="00B913C3"/>
    <w:rsid w:val="00B91BDA"/>
    <w:rsid w:val="00B91C0F"/>
    <w:rsid w:val="00B9222C"/>
    <w:rsid w:val="00B92830"/>
    <w:rsid w:val="00B92A1C"/>
    <w:rsid w:val="00B92A3D"/>
    <w:rsid w:val="00B92ECE"/>
    <w:rsid w:val="00B9323A"/>
    <w:rsid w:val="00B934CB"/>
    <w:rsid w:val="00B93A20"/>
    <w:rsid w:val="00B93F66"/>
    <w:rsid w:val="00B93FF1"/>
    <w:rsid w:val="00B94A03"/>
    <w:rsid w:val="00B954E7"/>
    <w:rsid w:val="00B95D42"/>
    <w:rsid w:val="00B9704C"/>
    <w:rsid w:val="00B97D9C"/>
    <w:rsid w:val="00BA056F"/>
    <w:rsid w:val="00BA12D2"/>
    <w:rsid w:val="00BA1620"/>
    <w:rsid w:val="00BA4921"/>
    <w:rsid w:val="00BA52FF"/>
    <w:rsid w:val="00BA68D3"/>
    <w:rsid w:val="00BA7DF6"/>
    <w:rsid w:val="00BB0F2E"/>
    <w:rsid w:val="00BB10EC"/>
    <w:rsid w:val="00BB3131"/>
    <w:rsid w:val="00BB3636"/>
    <w:rsid w:val="00BB36BC"/>
    <w:rsid w:val="00BB41CF"/>
    <w:rsid w:val="00BB43EA"/>
    <w:rsid w:val="00BB5285"/>
    <w:rsid w:val="00BB5ED9"/>
    <w:rsid w:val="00BB6166"/>
    <w:rsid w:val="00BB660E"/>
    <w:rsid w:val="00BB6B2D"/>
    <w:rsid w:val="00BB6C9A"/>
    <w:rsid w:val="00BB7617"/>
    <w:rsid w:val="00BC04B3"/>
    <w:rsid w:val="00BC04F5"/>
    <w:rsid w:val="00BC05BA"/>
    <w:rsid w:val="00BC1E85"/>
    <w:rsid w:val="00BC2A5A"/>
    <w:rsid w:val="00BC2AA5"/>
    <w:rsid w:val="00BC2C1C"/>
    <w:rsid w:val="00BC2C69"/>
    <w:rsid w:val="00BC31FD"/>
    <w:rsid w:val="00BC33D5"/>
    <w:rsid w:val="00BC33F4"/>
    <w:rsid w:val="00BC35B6"/>
    <w:rsid w:val="00BC4B48"/>
    <w:rsid w:val="00BC4B5A"/>
    <w:rsid w:val="00BC4C8E"/>
    <w:rsid w:val="00BC5718"/>
    <w:rsid w:val="00BC5948"/>
    <w:rsid w:val="00BC6215"/>
    <w:rsid w:val="00BC6606"/>
    <w:rsid w:val="00BC6977"/>
    <w:rsid w:val="00BC77C7"/>
    <w:rsid w:val="00BC7948"/>
    <w:rsid w:val="00BD006C"/>
    <w:rsid w:val="00BD007F"/>
    <w:rsid w:val="00BD0AFB"/>
    <w:rsid w:val="00BD2470"/>
    <w:rsid w:val="00BD39D6"/>
    <w:rsid w:val="00BD50B6"/>
    <w:rsid w:val="00BD53EC"/>
    <w:rsid w:val="00BD5DE6"/>
    <w:rsid w:val="00BD64C6"/>
    <w:rsid w:val="00BD65E7"/>
    <w:rsid w:val="00BD66C0"/>
    <w:rsid w:val="00BD6CA7"/>
    <w:rsid w:val="00BD7B14"/>
    <w:rsid w:val="00BD7CF6"/>
    <w:rsid w:val="00BE0368"/>
    <w:rsid w:val="00BE036F"/>
    <w:rsid w:val="00BE0B93"/>
    <w:rsid w:val="00BE2083"/>
    <w:rsid w:val="00BE2634"/>
    <w:rsid w:val="00BE2FD6"/>
    <w:rsid w:val="00BE300B"/>
    <w:rsid w:val="00BE35BC"/>
    <w:rsid w:val="00BE3A51"/>
    <w:rsid w:val="00BE40B9"/>
    <w:rsid w:val="00BE484C"/>
    <w:rsid w:val="00BE6364"/>
    <w:rsid w:val="00BE66B9"/>
    <w:rsid w:val="00BE6D1C"/>
    <w:rsid w:val="00BF0056"/>
    <w:rsid w:val="00BF0252"/>
    <w:rsid w:val="00BF10BC"/>
    <w:rsid w:val="00BF1254"/>
    <w:rsid w:val="00BF285B"/>
    <w:rsid w:val="00BF2A0F"/>
    <w:rsid w:val="00BF363E"/>
    <w:rsid w:val="00BF4878"/>
    <w:rsid w:val="00BF57B3"/>
    <w:rsid w:val="00BF5AB2"/>
    <w:rsid w:val="00BF615C"/>
    <w:rsid w:val="00BF6208"/>
    <w:rsid w:val="00BF6632"/>
    <w:rsid w:val="00BF7D23"/>
    <w:rsid w:val="00C00031"/>
    <w:rsid w:val="00C00BF2"/>
    <w:rsid w:val="00C0109A"/>
    <w:rsid w:val="00C01E3E"/>
    <w:rsid w:val="00C02016"/>
    <w:rsid w:val="00C02AB7"/>
    <w:rsid w:val="00C02FEB"/>
    <w:rsid w:val="00C0336C"/>
    <w:rsid w:val="00C03CD5"/>
    <w:rsid w:val="00C04123"/>
    <w:rsid w:val="00C0448A"/>
    <w:rsid w:val="00C05CA0"/>
    <w:rsid w:val="00C067BE"/>
    <w:rsid w:val="00C06927"/>
    <w:rsid w:val="00C075AA"/>
    <w:rsid w:val="00C11764"/>
    <w:rsid w:val="00C11974"/>
    <w:rsid w:val="00C11C49"/>
    <w:rsid w:val="00C125C9"/>
    <w:rsid w:val="00C12F79"/>
    <w:rsid w:val="00C13766"/>
    <w:rsid w:val="00C13EAB"/>
    <w:rsid w:val="00C13EB5"/>
    <w:rsid w:val="00C14FCB"/>
    <w:rsid w:val="00C15409"/>
    <w:rsid w:val="00C1584B"/>
    <w:rsid w:val="00C15DD2"/>
    <w:rsid w:val="00C166DC"/>
    <w:rsid w:val="00C171CB"/>
    <w:rsid w:val="00C20459"/>
    <w:rsid w:val="00C21476"/>
    <w:rsid w:val="00C21C9C"/>
    <w:rsid w:val="00C21EC3"/>
    <w:rsid w:val="00C226D8"/>
    <w:rsid w:val="00C22EFA"/>
    <w:rsid w:val="00C23070"/>
    <w:rsid w:val="00C2484E"/>
    <w:rsid w:val="00C25D2B"/>
    <w:rsid w:val="00C264B2"/>
    <w:rsid w:val="00C270C8"/>
    <w:rsid w:val="00C30263"/>
    <w:rsid w:val="00C31844"/>
    <w:rsid w:val="00C319C2"/>
    <w:rsid w:val="00C33122"/>
    <w:rsid w:val="00C332A3"/>
    <w:rsid w:val="00C33536"/>
    <w:rsid w:val="00C33550"/>
    <w:rsid w:val="00C34C6D"/>
    <w:rsid w:val="00C352C4"/>
    <w:rsid w:val="00C35784"/>
    <w:rsid w:val="00C357DD"/>
    <w:rsid w:val="00C35D43"/>
    <w:rsid w:val="00C36499"/>
    <w:rsid w:val="00C36FAA"/>
    <w:rsid w:val="00C37984"/>
    <w:rsid w:val="00C40FB0"/>
    <w:rsid w:val="00C4121D"/>
    <w:rsid w:val="00C41E24"/>
    <w:rsid w:val="00C41F0E"/>
    <w:rsid w:val="00C4228B"/>
    <w:rsid w:val="00C43D92"/>
    <w:rsid w:val="00C4465C"/>
    <w:rsid w:val="00C44F9A"/>
    <w:rsid w:val="00C45B71"/>
    <w:rsid w:val="00C46026"/>
    <w:rsid w:val="00C462B7"/>
    <w:rsid w:val="00C463AC"/>
    <w:rsid w:val="00C469DB"/>
    <w:rsid w:val="00C47905"/>
    <w:rsid w:val="00C47AD3"/>
    <w:rsid w:val="00C522DB"/>
    <w:rsid w:val="00C54BA1"/>
    <w:rsid w:val="00C55296"/>
    <w:rsid w:val="00C558A3"/>
    <w:rsid w:val="00C55E11"/>
    <w:rsid w:val="00C567A7"/>
    <w:rsid w:val="00C567D1"/>
    <w:rsid w:val="00C5681F"/>
    <w:rsid w:val="00C56ED2"/>
    <w:rsid w:val="00C573CE"/>
    <w:rsid w:val="00C60683"/>
    <w:rsid w:val="00C60DA2"/>
    <w:rsid w:val="00C60DF7"/>
    <w:rsid w:val="00C60FEC"/>
    <w:rsid w:val="00C612C3"/>
    <w:rsid w:val="00C622CE"/>
    <w:rsid w:val="00C629FD"/>
    <w:rsid w:val="00C62E3E"/>
    <w:rsid w:val="00C641D0"/>
    <w:rsid w:val="00C647ED"/>
    <w:rsid w:val="00C655A0"/>
    <w:rsid w:val="00C6631D"/>
    <w:rsid w:val="00C66FC4"/>
    <w:rsid w:val="00C67933"/>
    <w:rsid w:val="00C67AC5"/>
    <w:rsid w:val="00C70027"/>
    <w:rsid w:val="00C70521"/>
    <w:rsid w:val="00C70E76"/>
    <w:rsid w:val="00C70FE6"/>
    <w:rsid w:val="00C71081"/>
    <w:rsid w:val="00C71244"/>
    <w:rsid w:val="00C71BB2"/>
    <w:rsid w:val="00C73062"/>
    <w:rsid w:val="00C73A37"/>
    <w:rsid w:val="00C7440C"/>
    <w:rsid w:val="00C74F94"/>
    <w:rsid w:val="00C7525D"/>
    <w:rsid w:val="00C75980"/>
    <w:rsid w:val="00C761F0"/>
    <w:rsid w:val="00C76A95"/>
    <w:rsid w:val="00C76E2A"/>
    <w:rsid w:val="00C7754D"/>
    <w:rsid w:val="00C8067F"/>
    <w:rsid w:val="00C80E61"/>
    <w:rsid w:val="00C80F09"/>
    <w:rsid w:val="00C81F66"/>
    <w:rsid w:val="00C8235E"/>
    <w:rsid w:val="00C82565"/>
    <w:rsid w:val="00C8406C"/>
    <w:rsid w:val="00C84B74"/>
    <w:rsid w:val="00C85406"/>
    <w:rsid w:val="00C859D7"/>
    <w:rsid w:val="00C8636E"/>
    <w:rsid w:val="00C86E2E"/>
    <w:rsid w:val="00C921B0"/>
    <w:rsid w:val="00C924FC"/>
    <w:rsid w:val="00C926F9"/>
    <w:rsid w:val="00C93254"/>
    <w:rsid w:val="00C9369D"/>
    <w:rsid w:val="00C9422F"/>
    <w:rsid w:val="00C950B1"/>
    <w:rsid w:val="00C96196"/>
    <w:rsid w:val="00C9789B"/>
    <w:rsid w:val="00CA0018"/>
    <w:rsid w:val="00CA0934"/>
    <w:rsid w:val="00CA0A2D"/>
    <w:rsid w:val="00CA0C86"/>
    <w:rsid w:val="00CA10E1"/>
    <w:rsid w:val="00CA1103"/>
    <w:rsid w:val="00CA1A35"/>
    <w:rsid w:val="00CA1AA5"/>
    <w:rsid w:val="00CA1C6A"/>
    <w:rsid w:val="00CA4375"/>
    <w:rsid w:val="00CA5434"/>
    <w:rsid w:val="00CA5A65"/>
    <w:rsid w:val="00CA648E"/>
    <w:rsid w:val="00CA66DD"/>
    <w:rsid w:val="00CA6A75"/>
    <w:rsid w:val="00CA72CA"/>
    <w:rsid w:val="00CA7452"/>
    <w:rsid w:val="00CB031D"/>
    <w:rsid w:val="00CB068E"/>
    <w:rsid w:val="00CB0E1B"/>
    <w:rsid w:val="00CB1150"/>
    <w:rsid w:val="00CB14A6"/>
    <w:rsid w:val="00CB21E2"/>
    <w:rsid w:val="00CB249A"/>
    <w:rsid w:val="00CB2B63"/>
    <w:rsid w:val="00CB32C5"/>
    <w:rsid w:val="00CB51D9"/>
    <w:rsid w:val="00CB60A6"/>
    <w:rsid w:val="00CB6B76"/>
    <w:rsid w:val="00CB7608"/>
    <w:rsid w:val="00CC0D3F"/>
    <w:rsid w:val="00CC1444"/>
    <w:rsid w:val="00CC237E"/>
    <w:rsid w:val="00CC2CF9"/>
    <w:rsid w:val="00CC35A5"/>
    <w:rsid w:val="00CC425C"/>
    <w:rsid w:val="00CC55A8"/>
    <w:rsid w:val="00CC55CF"/>
    <w:rsid w:val="00CC5901"/>
    <w:rsid w:val="00CC6EE9"/>
    <w:rsid w:val="00CC7BE9"/>
    <w:rsid w:val="00CD0EBA"/>
    <w:rsid w:val="00CD129D"/>
    <w:rsid w:val="00CD1A58"/>
    <w:rsid w:val="00CD205F"/>
    <w:rsid w:val="00CD2624"/>
    <w:rsid w:val="00CD3A1D"/>
    <w:rsid w:val="00CD3BCC"/>
    <w:rsid w:val="00CD3FF2"/>
    <w:rsid w:val="00CD486E"/>
    <w:rsid w:val="00CD48DA"/>
    <w:rsid w:val="00CD730C"/>
    <w:rsid w:val="00CD74AE"/>
    <w:rsid w:val="00CD7A03"/>
    <w:rsid w:val="00CE04EC"/>
    <w:rsid w:val="00CE0D63"/>
    <w:rsid w:val="00CE1BE2"/>
    <w:rsid w:val="00CE1DF6"/>
    <w:rsid w:val="00CE298B"/>
    <w:rsid w:val="00CE2F18"/>
    <w:rsid w:val="00CE3747"/>
    <w:rsid w:val="00CE37D9"/>
    <w:rsid w:val="00CE4CF6"/>
    <w:rsid w:val="00CE65B3"/>
    <w:rsid w:val="00CE6F5E"/>
    <w:rsid w:val="00CE709D"/>
    <w:rsid w:val="00CF05EC"/>
    <w:rsid w:val="00CF0C9A"/>
    <w:rsid w:val="00CF0EE1"/>
    <w:rsid w:val="00CF186E"/>
    <w:rsid w:val="00CF1AC1"/>
    <w:rsid w:val="00CF3391"/>
    <w:rsid w:val="00CF378A"/>
    <w:rsid w:val="00CF392B"/>
    <w:rsid w:val="00CF3C0C"/>
    <w:rsid w:val="00CF4A66"/>
    <w:rsid w:val="00CF4A79"/>
    <w:rsid w:val="00CF6004"/>
    <w:rsid w:val="00CF6C30"/>
    <w:rsid w:val="00CF6F2C"/>
    <w:rsid w:val="00CF70DA"/>
    <w:rsid w:val="00CF7311"/>
    <w:rsid w:val="00CF7926"/>
    <w:rsid w:val="00D011F5"/>
    <w:rsid w:val="00D01382"/>
    <w:rsid w:val="00D0261F"/>
    <w:rsid w:val="00D02F49"/>
    <w:rsid w:val="00D03522"/>
    <w:rsid w:val="00D052DB"/>
    <w:rsid w:val="00D054BF"/>
    <w:rsid w:val="00D056FB"/>
    <w:rsid w:val="00D0739F"/>
    <w:rsid w:val="00D07475"/>
    <w:rsid w:val="00D077BE"/>
    <w:rsid w:val="00D07B04"/>
    <w:rsid w:val="00D07FDA"/>
    <w:rsid w:val="00D100EC"/>
    <w:rsid w:val="00D10C7C"/>
    <w:rsid w:val="00D1193A"/>
    <w:rsid w:val="00D11BB5"/>
    <w:rsid w:val="00D1251B"/>
    <w:rsid w:val="00D12BF0"/>
    <w:rsid w:val="00D139F6"/>
    <w:rsid w:val="00D15B31"/>
    <w:rsid w:val="00D15D15"/>
    <w:rsid w:val="00D15E2D"/>
    <w:rsid w:val="00D162C6"/>
    <w:rsid w:val="00D16589"/>
    <w:rsid w:val="00D16C7D"/>
    <w:rsid w:val="00D1782F"/>
    <w:rsid w:val="00D17B3E"/>
    <w:rsid w:val="00D17ECB"/>
    <w:rsid w:val="00D17F11"/>
    <w:rsid w:val="00D20D3B"/>
    <w:rsid w:val="00D21CF9"/>
    <w:rsid w:val="00D22271"/>
    <w:rsid w:val="00D22523"/>
    <w:rsid w:val="00D24617"/>
    <w:rsid w:val="00D25C09"/>
    <w:rsid w:val="00D262FB"/>
    <w:rsid w:val="00D27EE4"/>
    <w:rsid w:val="00D30071"/>
    <w:rsid w:val="00D3080D"/>
    <w:rsid w:val="00D30A64"/>
    <w:rsid w:val="00D30EA4"/>
    <w:rsid w:val="00D31187"/>
    <w:rsid w:val="00D343BE"/>
    <w:rsid w:val="00D345B0"/>
    <w:rsid w:val="00D345BD"/>
    <w:rsid w:val="00D34794"/>
    <w:rsid w:val="00D35BA9"/>
    <w:rsid w:val="00D36390"/>
    <w:rsid w:val="00D376AF"/>
    <w:rsid w:val="00D37B91"/>
    <w:rsid w:val="00D4024A"/>
    <w:rsid w:val="00D40F88"/>
    <w:rsid w:val="00D410BC"/>
    <w:rsid w:val="00D445D6"/>
    <w:rsid w:val="00D455D9"/>
    <w:rsid w:val="00D51357"/>
    <w:rsid w:val="00D519C4"/>
    <w:rsid w:val="00D51A7D"/>
    <w:rsid w:val="00D51E24"/>
    <w:rsid w:val="00D54E69"/>
    <w:rsid w:val="00D55881"/>
    <w:rsid w:val="00D55EE0"/>
    <w:rsid w:val="00D56174"/>
    <w:rsid w:val="00D57F4D"/>
    <w:rsid w:val="00D6016E"/>
    <w:rsid w:val="00D60917"/>
    <w:rsid w:val="00D60A49"/>
    <w:rsid w:val="00D614C2"/>
    <w:rsid w:val="00D6151E"/>
    <w:rsid w:val="00D61604"/>
    <w:rsid w:val="00D62A0C"/>
    <w:rsid w:val="00D62AC1"/>
    <w:rsid w:val="00D62FEC"/>
    <w:rsid w:val="00D63EEA"/>
    <w:rsid w:val="00D646EE"/>
    <w:rsid w:val="00D655B3"/>
    <w:rsid w:val="00D65628"/>
    <w:rsid w:val="00D664A7"/>
    <w:rsid w:val="00D6661D"/>
    <w:rsid w:val="00D678F0"/>
    <w:rsid w:val="00D67EE1"/>
    <w:rsid w:val="00D704CC"/>
    <w:rsid w:val="00D704E5"/>
    <w:rsid w:val="00D70617"/>
    <w:rsid w:val="00D70D42"/>
    <w:rsid w:val="00D7129F"/>
    <w:rsid w:val="00D720B0"/>
    <w:rsid w:val="00D72C02"/>
    <w:rsid w:val="00D73231"/>
    <w:rsid w:val="00D73DA1"/>
    <w:rsid w:val="00D73FD4"/>
    <w:rsid w:val="00D7517F"/>
    <w:rsid w:val="00D757B9"/>
    <w:rsid w:val="00D758AC"/>
    <w:rsid w:val="00D76AF1"/>
    <w:rsid w:val="00D7739A"/>
    <w:rsid w:val="00D77496"/>
    <w:rsid w:val="00D779CD"/>
    <w:rsid w:val="00D8025F"/>
    <w:rsid w:val="00D8166A"/>
    <w:rsid w:val="00D8256D"/>
    <w:rsid w:val="00D8332C"/>
    <w:rsid w:val="00D83B73"/>
    <w:rsid w:val="00D841A1"/>
    <w:rsid w:val="00D84B1A"/>
    <w:rsid w:val="00D84B97"/>
    <w:rsid w:val="00D84ED9"/>
    <w:rsid w:val="00D853CD"/>
    <w:rsid w:val="00D878CA"/>
    <w:rsid w:val="00D90D72"/>
    <w:rsid w:val="00D91B20"/>
    <w:rsid w:val="00D929DB"/>
    <w:rsid w:val="00D92DE5"/>
    <w:rsid w:val="00D930AD"/>
    <w:rsid w:val="00D939E1"/>
    <w:rsid w:val="00D93B87"/>
    <w:rsid w:val="00D93C6B"/>
    <w:rsid w:val="00D93DA0"/>
    <w:rsid w:val="00D947BF"/>
    <w:rsid w:val="00D94D67"/>
    <w:rsid w:val="00D94DBC"/>
    <w:rsid w:val="00D9509C"/>
    <w:rsid w:val="00D951DD"/>
    <w:rsid w:val="00D95729"/>
    <w:rsid w:val="00D959B4"/>
    <w:rsid w:val="00D96629"/>
    <w:rsid w:val="00D97140"/>
    <w:rsid w:val="00D97514"/>
    <w:rsid w:val="00D978C8"/>
    <w:rsid w:val="00D97ADF"/>
    <w:rsid w:val="00DA00C2"/>
    <w:rsid w:val="00DA11FA"/>
    <w:rsid w:val="00DA1614"/>
    <w:rsid w:val="00DA21B7"/>
    <w:rsid w:val="00DA24C9"/>
    <w:rsid w:val="00DA2F22"/>
    <w:rsid w:val="00DA3CC2"/>
    <w:rsid w:val="00DA3FCA"/>
    <w:rsid w:val="00DA5801"/>
    <w:rsid w:val="00DA706F"/>
    <w:rsid w:val="00DA792A"/>
    <w:rsid w:val="00DA79A4"/>
    <w:rsid w:val="00DA7D1F"/>
    <w:rsid w:val="00DB1DBC"/>
    <w:rsid w:val="00DB22A5"/>
    <w:rsid w:val="00DB22ED"/>
    <w:rsid w:val="00DB244D"/>
    <w:rsid w:val="00DB3112"/>
    <w:rsid w:val="00DB4613"/>
    <w:rsid w:val="00DB4D94"/>
    <w:rsid w:val="00DB6083"/>
    <w:rsid w:val="00DB6836"/>
    <w:rsid w:val="00DB7065"/>
    <w:rsid w:val="00DB7B25"/>
    <w:rsid w:val="00DC0C60"/>
    <w:rsid w:val="00DC0F79"/>
    <w:rsid w:val="00DC0F83"/>
    <w:rsid w:val="00DC19DE"/>
    <w:rsid w:val="00DC1AB8"/>
    <w:rsid w:val="00DC222C"/>
    <w:rsid w:val="00DC2592"/>
    <w:rsid w:val="00DC2DA4"/>
    <w:rsid w:val="00DC2EB9"/>
    <w:rsid w:val="00DC2F11"/>
    <w:rsid w:val="00DC30F1"/>
    <w:rsid w:val="00DC3134"/>
    <w:rsid w:val="00DC3D7B"/>
    <w:rsid w:val="00DC4093"/>
    <w:rsid w:val="00DC40DE"/>
    <w:rsid w:val="00DC4A9D"/>
    <w:rsid w:val="00DC4D08"/>
    <w:rsid w:val="00DC63A9"/>
    <w:rsid w:val="00DC6620"/>
    <w:rsid w:val="00DC68EE"/>
    <w:rsid w:val="00DC7271"/>
    <w:rsid w:val="00DC74C4"/>
    <w:rsid w:val="00DC76C3"/>
    <w:rsid w:val="00DD005E"/>
    <w:rsid w:val="00DD100A"/>
    <w:rsid w:val="00DD1352"/>
    <w:rsid w:val="00DD19FC"/>
    <w:rsid w:val="00DD273B"/>
    <w:rsid w:val="00DD3114"/>
    <w:rsid w:val="00DD3A5A"/>
    <w:rsid w:val="00DD3CE3"/>
    <w:rsid w:val="00DD40B7"/>
    <w:rsid w:val="00DD417D"/>
    <w:rsid w:val="00DD4B1E"/>
    <w:rsid w:val="00DD4E1A"/>
    <w:rsid w:val="00DD4F92"/>
    <w:rsid w:val="00DD6221"/>
    <w:rsid w:val="00DD6ECF"/>
    <w:rsid w:val="00DD7A2B"/>
    <w:rsid w:val="00DE0CF4"/>
    <w:rsid w:val="00DE1072"/>
    <w:rsid w:val="00DE123D"/>
    <w:rsid w:val="00DE148C"/>
    <w:rsid w:val="00DE1BAF"/>
    <w:rsid w:val="00DE1FEC"/>
    <w:rsid w:val="00DE25D4"/>
    <w:rsid w:val="00DE2B75"/>
    <w:rsid w:val="00DE2DA6"/>
    <w:rsid w:val="00DE2F23"/>
    <w:rsid w:val="00DE31A2"/>
    <w:rsid w:val="00DE3382"/>
    <w:rsid w:val="00DE49BD"/>
    <w:rsid w:val="00DE5735"/>
    <w:rsid w:val="00DE630F"/>
    <w:rsid w:val="00DE67C5"/>
    <w:rsid w:val="00DE69A1"/>
    <w:rsid w:val="00DE702E"/>
    <w:rsid w:val="00DE7C07"/>
    <w:rsid w:val="00DF0909"/>
    <w:rsid w:val="00DF10AB"/>
    <w:rsid w:val="00DF4984"/>
    <w:rsid w:val="00DF6C31"/>
    <w:rsid w:val="00DF7A9E"/>
    <w:rsid w:val="00DF7FE5"/>
    <w:rsid w:val="00E0033E"/>
    <w:rsid w:val="00E015DD"/>
    <w:rsid w:val="00E01B27"/>
    <w:rsid w:val="00E02D27"/>
    <w:rsid w:val="00E02F35"/>
    <w:rsid w:val="00E0310C"/>
    <w:rsid w:val="00E041BA"/>
    <w:rsid w:val="00E046D3"/>
    <w:rsid w:val="00E04B52"/>
    <w:rsid w:val="00E04E8F"/>
    <w:rsid w:val="00E04FA7"/>
    <w:rsid w:val="00E05509"/>
    <w:rsid w:val="00E066DB"/>
    <w:rsid w:val="00E07294"/>
    <w:rsid w:val="00E07F90"/>
    <w:rsid w:val="00E10155"/>
    <w:rsid w:val="00E106D0"/>
    <w:rsid w:val="00E1089F"/>
    <w:rsid w:val="00E1136A"/>
    <w:rsid w:val="00E123B9"/>
    <w:rsid w:val="00E12FB4"/>
    <w:rsid w:val="00E1428E"/>
    <w:rsid w:val="00E142E8"/>
    <w:rsid w:val="00E144F8"/>
    <w:rsid w:val="00E14CE3"/>
    <w:rsid w:val="00E14E49"/>
    <w:rsid w:val="00E15BEE"/>
    <w:rsid w:val="00E164BF"/>
    <w:rsid w:val="00E17DD2"/>
    <w:rsid w:val="00E2080E"/>
    <w:rsid w:val="00E2220F"/>
    <w:rsid w:val="00E226E5"/>
    <w:rsid w:val="00E22F9E"/>
    <w:rsid w:val="00E22F9F"/>
    <w:rsid w:val="00E24AAE"/>
    <w:rsid w:val="00E250D8"/>
    <w:rsid w:val="00E25BD1"/>
    <w:rsid w:val="00E262E2"/>
    <w:rsid w:val="00E264F9"/>
    <w:rsid w:val="00E267B9"/>
    <w:rsid w:val="00E26E00"/>
    <w:rsid w:val="00E303C1"/>
    <w:rsid w:val="00E30A5A"/>
    <w:rsid w:val="00E32AAB"/>
    <w:rsid w:val="00E32E8C"/>
    <w:rsid w:val="00E34BA7"/>
    <w:rsid w:val="00E34F77"/>
    <w:rsid w:val="00E35690"/>
    <w:rsid w:val="00E357F9"/>
    <w:rsid w:val="00E3718D"/>
    <w:rsid w:val="00E37C22"/>
    <w:rsid w:val="00E37D43"/>
    <w:rsid w:val="00E4039B"/>
    <w:rsid w:val="00E40A3A"/>
    <w:rsid w:val="00E41AA0"/>
    <w:rsid w:val="00E41EBD"/>
    <w:rsid w:val="00E4265A"/>
    <w:rsid w:val="00E44729"/>
    <w:rsid w:val="00E44CFA"/>
    <w:rsid w:val="00E451D7"/>
    <w:rsid w:val="00E4582A"/>
    <w:rsid w:val="00E45EE4"/>
    <w:rsid w:val="00E460B0"/>
    <w:rsid w:val="00E47AC4"/>
    <w:rsid w:val="00E47BBE"/>
    <w:rsid w:val="00E51110"/>
    <w:rsid w:val="00E5132D"/>
    <w:rsid w:val="00E51A15"/>
    <w:rsid w:val="00E51DB7"/>
    <w:rsid w:val="00E52D94"/>
    <w:rsid w:val="00E5332F"/>
    <w:rsid w:val="00E54702"/>
    <w:rsid w:val="00E553C9"/>
    <w:rsid w:val="00E56235"/>
    <w:rsid w:val="00E5670F"/>
    <w:rsid w:val="00E56B2C"/>
    <w:rsid w:val="00E571B2"/>
    <w:rsid w:val="00E573E0"/>
    <w:rsid w:val="00E57CEC"/>
    <w:rsid w:val="00E6005F"/>
    <w:rsid w:val="00E609AD"/>
    <w:rsid w:val="00E615DA"/>
    <w:rsid w:val="00E624BB"/>
    <w:rsid w:val="00E62A0B"/>
    <w:rsid w:val="00E62A76"/>
    <w:rsid w:val="00E633B8"/>
    <w:rsid w:val="00E64723"/>
    <w:rsid w:val="00E64BA1"/>
    <w:rsid w:val="00E64D67"/>
    <w:rsid w:val="00E65116"/>
    <w:rsid w:val="00E6523B"/>
    <w:rsid w:val="00E6530A"/>
    <w:rsid w:val="00E655AB"/>
    <w:rsid w:val="00E65C23"/>
    <w:rsid w:val="00E65C28"/>
    <w:rsid w:val="00E670F8"/>
    <w:rsid w:val="00E67B1E"/>
    <w:rsid w:val="00E705C7"/>
    <w:rsid w:val="00E70C33"/>
    <w:rsid w:val="00E70D73"/>
    <w:rsid w:val="00E716EF"/>
    <w:rsid w:val="00E71770"/>
    <w:rsid w:val="00E71FB9"/>
    <w:rsid w:val="00E7236C"/>
    <w:rsid w:val="00E72A6A"/>
    <w:rsid w:val="00E73540"/>
    <w:rsid w:val="00E7388E"/>
    <w:rsid w:val="00E738C8"/>
    <w:rsid w:val="00E74B39"/>
    <w:rsid w:val="00E757C0"/>
    <w:rsid w:val="00E75BF5"/>
    <w:rsid w:val="00E768F8"/>
    <w:rsid w:val="00E76DD6"/>
    <w:rsid w:val="00E80F1A"/>
    <w:rsid w:val="00E817B7"/>
    <w:rsid w:val="00E81C8B"/>
    <w:rsid w:val="00E8214F"/>
    <w:rsid w:val="00E83110"/>
    <w:rsid w:val="00E83F2D"/>
    <w:rsid w:val="00E84AAC"/>
    <w:rsid w:val="00E84EC0"/>
    <w:rsid w:val="00E850FC"/>
    <w:rsid w:val="00E85D8F"/>
    <w:rsid w:val="00E8608C"/>
    <w:rsid w:val="00E864C0"/>
    <w:rsid w:val="00E8714A"/>
    <w:rsid w:val="00E87A2A"/>
    <w:rsid w:val="00E920C7"/>
    <w:rsid w:val="00E92279"/>
    <w:rsid w:val="00E926DD"/>
    <w:rsid w:val="00E92DDE"/>
    <w:rsid w:val="00E93729"/>
    <w:rsid w:val="00E94658"/>
    <w:rsid w:val="00E94B62"/>
    <w:rsid w:val="00E950EF"/>
    <w:rsid w:val="00E95CE4"/>
    <w:rsid w:val="00E9641E"/>
    <w:rsid w:val="00E96B7D"/>
    <w:rsid w:val="00E971F0"/>
    <w:rsid w:val="00E97897"/>
    <w:rsid w:val="00E97EAF"/>
    <w:rsid w:val="00EA00B7"/>
    <w:rsid w:val="00EA0DA4"/>
    <w:rsid w:val="00EA2CB8"/>
    <w:rsid w:val="00EA2CBB"/>
    <w:rsid w:val="00EA3D7A"/>
    <w:rsid w:val="00EA46C6"/>
    <w:rsid w:val="00EA4CF9"/>
    <w:rsid w:val="00EA503F"/>
    <w:rsid w:val="00EA5101"/>
    <w:rsid w:val="00EA521C"/>
    <w:rsid w:val="00EA6717"/>
    <w:rsid w:val="00EA6B8D"/>
    <w:rsid w:val="00EA6BB5"/>
    <w:rsid w:val="00EA6F0C"/>
    <w:rsid w:val="00EA7849"/>
    <w:rsid w:val="00EA7F1D"/>
    <w:rsid w:val="00EB04F5"/>
    <w:rsid w:val="00EB1608"/>
    <w:rsid w:val="00EB1B5E"/>
    <w:rsid w:val="00EB1CCD"/>
    <w:rsid w:val="00EB29E4"/>
    <w:rsid w:val="00EB2A12"/>
    <w:rsid w:val="00EB2BCD"/>
    <w:rsid w:val="00EB40CE"/>
    <w:rsid w:val="00EB4FD8"/>
    <w:rsid w:val="00EB5C27"/>
    <w:rsid w:val="00EB624A"/>
    <w:rsid w:val="00EB7FB5"/>
    <w:rsid w:val="00EC0EF3"/>
    <w:rsid w:val="00EC1140"/>
    <w:rsid w:val="00EC12D7"/>
    <w:rsid w:val="00EC134C"/>
    <w:rsid w:val="00EC1469"/>
    <w:rsid w:val="00EC18EA"/>
    <w:rsid w:val="00EC202A"/>
    <w:rsid w:val="00EC219E"/>
    <w:rsid w:val="00EC25C6"/>
    <w:rsid w:val="00EC333D"/>
    <w:rsid w:val="00EC3CBA"/>
    <w:rsid w:val="00EC3DAD"/>
    <w:rsid w:val="00EC5025"/>
    <w:rsid w:val="00EC5726"/>
    <w:rsid w:val="00EC63D9"/>
    <w:rsid w:val="00ED0209"/>
    <w:rsid w:val="00ED1497"/>
    <w:rsid w:val="00ED1835"/>
    <w:rsid w:val="00ED341E"/>
    <w:rsid w:val="00ED39DD"/>
    <w:rsid w:val="00ED4459"/>
    <w:rsid w:val="00ED4778"/>
    <w:rsid w:val="00ED5C78"/>
    <w:rsid w:val="00ED5CCD"/>
    <w:rsid w:val="00ED700D"/>
    <w:rsid w:val="00EE0DD2"/>
    <w:rsid w:val="00EE0EA4"/>
    <w:rsid w:val="00EE15CD"/>
    <w:rsid w:val="00EE1701"/>
    <w:rsid w:val="00EE182C"/>
    <w:rsid w:val="00EE1F83"/>
    <w:rsid w:val="00EE3566"/>
    <w:rsid w:val="00EE4378"/>
    <w:rsid w:val="00EE43BD"/>
    <w:rsid w:val="00EE4654"/>
    <w:rsid w:val="00EE4AF4"/>
    <w:rsid w:val="00EE5391"/>
    <w:rsid w:val="00EE581E"/>
    <w:rsid w:val="00EE68E6"/>
    <w:rsid w:val="00EE7F51"/>
    <w:rsid w:val="00EF05C1"/>
    <w:rsid w:val="00EF0C9F"/>
    <w:rsid w:val="00EF0EF8"/>
    <w:rsid w:val="00EF11B4"/>
    <w:rsid w:val="00EF12C1"/>
    <w:rsid w:val="00EF160F"/>
    <w:rsid w:val="00EF1651"/>
    <w:rsid w:val="00EF16E0"/>
    <w:rsid w:val="00EF1E86"/>
    <w:rsid w:val="00EF204F"/>
    <w:rsid w:val="00EF3B6F"/>
    <w:rsid w:val="00EF3C7E"/>
    <w:rsid w:val="00EF4529"/>
    <w:rsid w:val="00EF4626"/>
    <w:rsid w:val="00EF471A"/>
    <w:rsid w:val="00EF580D"/>
    <w:rsid w:val="00EF59C0"/>
    <w:rsid w:val="00EF5E08"/>
    <w:rsid w:val="00EF6849"/>
    <w:rsid w:val="00F007DF"/>
    <w:rsid w:val="00F00DC3"/>
    <w:rsid w:val="00F0179C"/>
    <w:rsid w:val="00F05926"/>
    <w:rsid w:val="00F05BE9"/>
    <w:rsid w:val="00F0662A"/>
    <w:rsid w:val="00F06704"/>
    <w:rsid w:val="00F06925"/>
    <w:rsid w:val="00F06EB4"/>
    <w:rsid w:val="00F113F2"/>
    <w:rsid w:val="00F115C7"/>
    <w:rsid w:val="00F11E12"/>
    <w:rsid w:val="00F121A2"/>
    <w:rsid w:val="00F1225B"/>
    <w:rsid w:val="00F12343"/>
    <w:rsid w:val="00F12D0D"/>
    <w:rsid w:val="00F137BE"/>
    <w:rsid w:val="00F14576"/>
    <w:rsid w:val="00F1471D"/>
    <w:rsid w:val="00F149B1"/>
    <w:rsid w:val="00F14A99"/>
    <w:rsid w:val="00F158C0"/>
    <w:rsid w:val="00F15FA8"/>
    <w:rsid w:val="00F16F14"/>
    <w:rsid w:val="00F172E0"/>
    <w:rsid w:val="00F17D52"/>
    <w:rsid w:val="00F17E3C"/>
    <w:rsid w:val="00F208B0"/>
    <w:rsid w:val="00F21171"/>
    <w:rsid w:val="00F21231"/>
    <w:rsid w:val="00F2149D"/>
    <w:rsid w:val="00F217DB"/>
    <w:rsid w:val="00F21B72"/>
    <w:rsid w:val="00F226B6"/>
    <w:rsid w:val="00F22C4A"/>
    <w:rsid w:val="00F2338E"/>
    <w:rsid w:val="00F233A8"/>
    <w:rsid w:val="00F23EB9"/>
    <w:rsid w:val="00F2419C"/>
    <w:rsid w:val="00F24277"/>
    <w:rsid w:val="00F245B9"/>
    <w:rsid w:val="00F2461F"/>
    <w:rsid w:val="00F24D44"/>
    <w:rsid w:val="00F2506B"/>
    <w:rsid w:val="00F25686"/>
    <w:rsid w:val="00F26073"/>
    <w:rsid w:val="00F277D1"/>
    <w:rsid w:val="00F27D5E"/>
    <w:rsid w:val="00F3093E"/>
    <w:rsid w:val="00F31069"/>
    <w:rsid w:val="00F316FC"/>
    <w:rsid w:val="00F31D0C"/>
    <w:rsid w:val="00F33F52"/>
    <w:rsid w:val="00F34DEF"/>
    <w:rsid w:val="00F35E70"/>
    <w:rsid w:val="00F371BC"/>
    <w:rsid w:val="00F372F4"/>
    <w:rsid w:val="00F4070E"/>
    <w:rsid w:val="00F40C54"/>
    <w:rsid w:val="00F40FBF"/>
    <w:rsid w:val="00F4141F"/>
    <w:rsid w:val="00F41F69"/>
    <w:rsid w:val="00F42472"/>
    <w:rsid w:val="00F44E37"/>
    <w:rsid w:val="00F44ECB"/>
    <w:rsid w:val="00F45397"/>
    <w:rsid w:val="00F45F5F"/>
    <w:rsid w:val="00F4684F"/>
    <w:rsid w:val="00F46B0D"/>
    <w:rsid w:val="00F474C1"/>
    <w:rsid w:val="00F4760D"/>
    <w:rsid w:val="00F47804"/>
    <w:rsid w:val="00F479FB"/>
    <w:rsid w:val="00F47DCC"/>
    <w:rsid w:val="00F50F5C"/>
    <w:rsid w:val="00F510D2"/>
    <w:rsid w:val="00F51223"/>
    <w:rsid w:val="00F512A0"/>
    <w:rsid w:val="00F51EAB"/>
    <w:rsid w:val="00F52070"/>
    <w:rsid w:val="00F524C4"/>
    <w:rsid w:val="00F53DD1"/>
    <w:rsid w:val="00F5458F"/>
    <w:rsid w:val="00F54651"/>
    <w:rsid w:val="00F546BA"/>
    <w:rsid w:val="00F5542F"/>
    <w:rsid w:val="00F5588A"/>
    <w:rsid w:val="00F56195"/>
    <w:rsid w:val="00F5698F"/>
    <w:rsid w:val="00F56AB4"/>
    <w:rsid w:val="00F56AC2"/>
    <w:rsid w:val="00F57078"/>
    <w:rsid w:val="00F57ACC"/>
    <w:rsid w:val="00F60263"/>
    <w:rsid w:val="00F60360"/>
    <w:rsid w:val="00F62ED9"/>
    <w:rsid w:val="00F63063"/>
    <w:rsid w:val="00F6375A"/>
    <w:rsid w:val="00F63DC1"/>
    <w:rsid w:val="00F6477C"/>
    <w:rsid w:val="00F647B0"/>
    <w:rsid w:val="00F64B50"/>
    <w:rsid w:val="00F64F82"/>
    <w:rsid w:val="00F6516B"/>
    <w:rsid w:val="00F654F3"/>
    <w:rsid w:val="00F65840"/>
    <w:rsid w:val="00F67509"/>
    <w:rsid w:val="00F70110"/>
    <w:rsid w:val="00F708D7"/>
    <w:rsid w:val="00F7132F"/>
    <w:rsid w:val="00F7149F"/>
    <w:rsid w:val="00F7230D"/>
    <w:rsid w:val="00F7252F"/>
    <w:rsid w:val="00F7285E"/>
    <w:rsid w:val="00F72990"/>
    <w:rsid w:val="00F72CF0"/>
    <w:rsid w:val="00F740CD"/>
    <w:rsid w:val="00F75DF9"/>
    <w:rsid w:val="00F76790"/>
    <w:rsid w:val="00F76A61"/>
    <w:rsid w:val="00F77910"/>
    <w:rsid w:val="00F77E71"/>
    <w:rsid w:val="00F805FF"/>
    <w:rsid w:val="00F80CE9"/>
    <w:rsid w:val="00F8180C"/>
    <w:rsid w:val="00F81A29"/>
    <w:rsid w:val="00F81FBB"/>
    <w:rsid w:val="00F82029"/>
    <w:rsid w:val="00F8257F"/>
    <w:rsid w:val="00F8307B"/>
    <w:rsid w:val="00F83485"/>
    <w:rsid w:val="00F83639"/>
    <w:rsid w:val="00F8387B"/>
    <w:rsid w:val="00F83CAA"/>
    <w:rsid w:val="00F842A5"/>
    <w:rsid w:val="00F84630"/>
    <w:rsid w:val="00F8547C"/>
    <w:rsid w:val="00F85FCC"/>
    <w:rsid w:val="00F86495"/>
    <w:rsid w:val="00F871FB"/>
    <w:rsid w:val="00F8759F"/>
    <w:rsid w:val="00F878A1"/>
    <w:rsid w:val="00F87B59"/>
    <w:rsid w:val="00F87BD8"/>
    <w:rsid w:val="00F907B6"/>
    <w:rsid w:val="00F90CB8"/>
    <w:rsid w:val="00F910A7"/>
    <w:rsid w:val="00F9126B"/>
    <w:rsid w:val="00F91C9A"/>
    <w:rsid w:val="00F91FF1"/>
    <w:rsid w:val="00F93027"/>
    <w:rsid w:val="00F93962"/>
    <w:rsid w:val="00F93AA6"/>
    <w:rsid w:val="00F94A12"/>
    <w:rsid w:val="00F94ECE"/>
    <w:rsid w:val="00F965C6"/>
    <w:rsid w:val="00F96883"/>
    <w:rsid w:val="00F97C94"/>
    <w:rsid w:val="00FA1014"/>
    <w:rsid w:val="00FA2212"/>
    <w:rsid w:val="00FA35EF"/>
    <w:rsid w:val="00FA3CB2"/>
    <w:rsid w:val="00FA3F26"/>
    <w:rsid w:val="00FA4E63"/>
    <w:rsid w:val="00FA4FB0"/>
    <w:rsid w:val="00FA55B9"/>
    <w:rsid w:val="00FA560B"/>
    <w:rsid w:val="00FA629E"/>
    <w:rsid w:val="00FA673C"/>
    <w:rsid w:val="00FA68F5"/>
    <w:rsid w:val="00FA69D8"/>
    <w:rsid w:val="00FA7135"/>
    <w:rsid w:val="00FA753B"/>
    <w:rsid w:val="00FA7850"/>
    <w:rsid w:val="00FA797C"/>
    <w:rsid w:val="00FA7A4D"/>
    <w:rsid w:val="00FA7B9C"/>
    <w:rsid w:val="00FB0592"/>
    <w:rsid w:val="00FB09B6"/>
    <w:rsid w:val="00FB0E17"/>
    <w:rsid w:val="00FB1AD5"/>
    <w:rsid w:val="00FB1F78"/>
    <w:rsid w:val="00FB3BC1"/>
    <w:rsid w:val="00FB5C61"/>
    <w:rsid w:val="00FB7CD1"/>
    <w:rsid w:val="00FB7D37"/>
    <w:rsid w:val="00FC02F1"/>
    <w:rsid w:val="00FC05CA"/>
    <w:rsid w:val="00FC0A4D"/>
    <w:rsid w:val="00FC0FED"/>
    <w:rsid w:val="00FC1A1E"/>
    <w:rsid w:val="00FC1D38"/>
    <w:rsid w:val="00FC1FF8"/>
    <w:rsid w:val="00FC25C5"/>
    <w:rsid w:val="00FC42C8"/>
    <w:rsid w:val="00FC4845"/>
    <w:rsid w:val="00FC4A53"/>
    <w:rsid w:val="00FC5F2D"/>
    <w:rsid w:val="00FC6A4F"/>
    <w:rsid w:val="00FC753F"/>
    <w:rsid w:val="00FC7FAB"/>
    <w:rsid w:val="00FD2C06"/>
    <w:rsid w:val="00FD2DBF"/>
    <w:rsid w:val="00FD3530"/>
    <w:rsid w:val="00FD35BF"/>
    <w:rsid w:val="00FD3D85"/>
    <w:rsid w:val="00FD53AD"/>
    <w:rsid w:val="00FD65D7"/>
    <w:rsid w:val="00FE0FC9"/>
    <w:rsid w:val="00FE10DC"/>
    <w:rsid w:val="00FE3C4D"/>
    <w:rsid w:val="00FE543B"/>
    <w:rsid w:val="00FE5969"/>
    <w:rsid w:val="00FE6113"/>
    <w:rsid w:val="00FE6D1C"/>
    <w:rsid w:val="00FE6F3F"/>
    <w:rsid w:val="00FE7209"/>
    <w:rsid w:val="00FF1610"/>
    <w:rsid w:val="00FF21CE"/>
    <w:rsid w:val="00FF222E"/>
    <w:rsid w:val="00FF24A3"/>
    <w:rsid w:val="00FF272F"/>
    <w:rsid w:val="00FF2E04"/>
    <w:rsid w:val="00FF4A47"/>
    <w:rsid w:val="00FF555F"/>
    <w:rsid w:val="00FF598D"/>
    <w:rsid w:val="00FF62A7"/>
    <w:rsid w:val="00FF6415"/>
    <w:rsid w:val="00FF6860"/>
    <w:rsid w:val="00FF6EAE"/>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ocId w14:val="3DF6CB35"/>
  <w15:docId w15:val="{0D54F6A1-1328-4FAE-ACF7-92E5B3DD1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EA4"/>
    <w:pPr>
      <w:spacing w:after="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8A6462"/>
    <w:pPr>
      <w:keepNext/>
      <w:keepLines/>
      <w:shd w:val="clear" w:color="auto" w:fill="FFFFFF"/>
      <w:spacing w:after="240"/>
      <w:ind w:left="720" w:hanging="720"/>
      <w:outlineLvl w:val="0"/>
    </w:pPr>
    <w:rPr>
      <w:rFonts w:eastAsiaTheme="majorEastAsia" w:cs="Times New Roman"/>
      <w:b/>
      <w:caps/>
      <w:szCs w:val="24"/>
    </w:rPr>
  </w:style>
  <w:style w:type="paragraph" w:styleId="Heading2">
    <w:name w:val="heading 2"/>
    <w:basedOn w:val="ListParagraph"/>
    <w:next w:val="Normal"/>
    <w:link w:val="Heading2Char"/>
    <w:unhideWhenUsed/>
    <w:qFormat/>
    <w:rsid w:val="005B7251"/>
    <w:pPr>
      <w:autoSpaceDE w:val="0"/>
      <w:autoSpaceDN w:val="0"/>
      <w:adjustRightInd w:val="0"/>
      <w:spacing w:after="240"/>
      <w:ind w:left="1440" w:hanging="720"/>
      <w:contextualSpacing w:val="0"/>
      <w:outlineLvl w:val="1"/>
    </w:pPr>
    <w:rPr>
      <w:rFonts w:cs="Times New Roman"/>
      <w:b/>
      <w:bCs/>
      <w:szCs w:val="24"/>
    </w:rPr>
  </w:style>
  <w:style w:type="paragraph" w:styleId="Heading3">
    <w:name w:val="heading 3"/>
    <w:basedOn w:val="BodyTextIndent3"/>
    <w:next w:val="Normal"/>
    <w:link w:val="Heading3Char"/>
    <w:autoRedefine/>
    <w:uiPriority w:val="9"/>
    <w:unhideWhenUsed/>
    <w:qFormat/>
    <w:rsid w:val="009A0C55"/>
    <w:pPr>
      <w:widowControl w:val="0"/>
      <w:spacing w:after="240" w:line="240" w:lineRule="auto"/>
      <w:ind w:left="2160" w:hanging="720"/>
      <w:outlineLvl w:val="2"/>
    </w:pPr>
    <w:rPr>
      <w:b/>
      <w:bCs/>
      <w:szCs w:val="24"/>
    </w:rPr>
  </w:style>
  <w:style w:type="paragraph" w:styleId="Heading4">
    <w:name w:val="heading 4"/>
    <w:basedOn w:val="Normal"/>
    <w:next w:val="Normal"/>
    <w:link w:val="Heading4Char"/>
    <w:uiPriority w:val="9"/>
    <w:unhideWhenUsed/>
    <w:qFormat/>
    <w:rsid w:val="00950677"/>
    <w:pPr>
      <w:keepNext/>
      <w:keepLines/>
      <w:spacing w:after="240"/>
      <w:ind w:left="720"/>
      <w:outlineLvl w:val="3"/>
    </w:pPr>
    <w:rPr>
      <w:rFonts w:eastAsiaTheme="majorEastAsia" w:cs="Times New Roman"/>
      <w:b/>
      <w:iCs/>
    </w:rPr>
  </w:style>
  <w:style w:type="paragraph" w:styleId="Heading5">
    <w:name w:val="heading 5"/>
    <w:basedOn w:val="Normal"/>
    <w:next w:val="Normal"/>
    <w:link w:val="Heading5Char"/>
    <w:autoRedefine/>
    <w:uiPriority w:val="9"/>
    <w:unhideWhenUsed/>
    <w:qFormat/>
    <w:pPr>
      <w:keepNext/>
      <w:keepLines/>
      <w:spacing w:after="240"/>
      <w:ind w:left="3600" w:right="720" w:hanging="72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qFormat/>
    <w:rPr>
      <w:sz w:val="20"/>
      <w:szCs w:val="20"/>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uiPriority w:val="99"/>
    <w:qFormat/>
    <w:rPr>
      <w:rFonts w:ascii="Times New Roman" w:hAnsi="Times New Roman"/>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iPriority w:val="99"/>
    <w:unhideWhenUsed/>
    <w:qFormat/>
    <w:rPr>
      <w:vertAlign w:val="superscript"/>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F113F2"/>
    <w:rPr>
      <w:color w:val="0000FF"/>
      <w:u w:val="single"/>
    </w:rPr>
  </w:style>
  <w:style w:type="character" w:customStyle="1" w:styleId="ssrfcpassagedeactivated">
    <w:name w:val="ss_rfcpassage_deactivated"/>
    <w:basedOn w:val="DefaultParagraphFont"/>
  </w:style>
  <w:style w:type="character" w:customStyle="1" w:styleId="ssit1">
    <w:name w:val="ss_it1"/>
    <w:basedOn w:val="DefaultParagraphFont"/>
    <w:rPr>
      <w:i/>
      <w:iCs/>
    </w:rPr>
  </w:style>
  <w:style w:type="character" w:customStyle="1" w:styleId="ssib1">
    <w:name w:val="ss_ib1"/>
    <w:basedOn w:val="DefaultParagraphFont"/>
    <w:rPr>
      <w:b/>
      <w:bCs/>
      <w:i/>
      <w:i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2Char">
    <w:name w:val="Heading 2 Char"/>
    <w:basedOn w:val="DefaultParagraphFont"/>
    <w:link w:val="Heading2"/>
    <w:rsid w:val="005B7251"/>
    <w:rPr>
      <w:rFonts w:ascii="Times New Roman" w:hAnsi="Times New Roman" w:cs="Times New Roman"/>
      <w:b/>
      <w:bCs/>
      <w:sz w:val="24"/>
      <w:szCs w:val="24"/>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character" w:customStyle="1" w:styleId="ssleftalign">
    <w:name w:val="ss_leftalign"/>
    <w:basedOn w:val="DefaultParagraphFont"/>
  </w:style>
  <w:style w:type="character" w:customStyle="1" w:styleId="sssh">
    <w:name w:val="ss_sh"/>
    <w:basedOn w:val="DefaultParagraphFont"/>
  </w:style>
  <w:style w:type="character" w:customStyle="1" w:styleId="ssib">
    <w:name w:val="ss_ib"/>
    <w:basedOn w:val="DefaultParagraphFont"/>
  </w:style>
  <w:style w:type="character" w:customStyle="1" w:styleId="ssit">
    <w:name w:val="ss_it"/>
    <w:basedOn w:val="DefaultParagraphFont"/>
  </w:style>
  <w:style w:type="table" w:styleId="TableGrid">
    <w:name w:val="Table Grid"/>
    <w:basedOn w:val="TableNormal"/>
    <w:uiPriority w:val="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6462"/>
    <w:rPr>
      <w:rFonts w:ascii="Times New Roman" w:hAnsi="Times New Roman" w:eastAsiaTheme="majorEastAsia" w:cs="Times New Roman"/>
      <w:b/>
      <w:caps/>
      <w:sz w:val="24"/>
      <w:szCs w:val="24"/>
      <w:shd w:val="clear" w:color="auto" w:fill="FFFFFF"/>
    </w:rPr>
  </w:style>
  <w:style w:type="character" w:customStyle="1" w:styleId="Heading3Char">
    <w:name w:val="Heading 3 Char"/>
    <w:basedOn w:val="DefaultParagraphFont"/>
    <w:link w:val="Heading3"/>
    <w:uiPriority w:val="9"/>
    <w:rsid w:val="009A0C55"/>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950677"/>
    <w:rPr>
      <w:rFonts w:ascii="Times New Roman" w:hAnsi="Times New Roman" w:eastAsiaTheme="majorEastAsia" w:cs="Times New Roman"/>
      <w:b/>
      <w:iCs/>
      <w:sz w:val="24"/>
    </w:rPr>
  </w:style>
  <w:style w:type="paragraph" w:styleId="TOC1">
    <w:name w:val="toc 1"/>
    <w:basedOn w:val="Normal"/>
    <w:next w:val="Normal"/>
    <w:autoRedefine/>
    <w:uiPriority w:val="39"/>
    <w:unhideWhenUsed/>
    <w:qFormat/>
    <w:rsid w:val="003041B4"/>
    <w:pPr>
      <w:tabs>
        <w:tab w:val="left" w:pos="720"/>
        <w:tab w:val="decimal" w:leader="dot" w:pos="9360"/>
      </w:tabs>
      <w:spacing w:after="240"/>
      <w:outlineLvl w:val="0"/>
    </w:pPr>
    <w:rPr>
      <w:caps/>
    </w:rPr>
  </w:style>
  <w:style w:type="paragraph" w:styleId="TOC2">
    <w:name w:val="toc 2"/>
    <w:basedOn w:val="Normal"/>
    <w:next w:val="Normal"/>
    <w:autoRedefine/>
    <w:uiPriority w:val="39"/>
    <w:unhideWhenUsed/>
    <w:qFormat/>
    <w:rsid w:val="008859A5"/>
    <w:pPr>
      <w:tabs>
        <w:tab w:val="left" w:pos="720"/>
        <w:tab w:val="left" w:pos="1440"/>
        <w:tab w:val="decimal" w:leader="dot" w:pos="9360"/>
      </w:tabs>
      <w:spacing w:after="240"/>
      <w:ind w:left="1440" w:hanging="720"/>
      <w:outlineLvl w:val="1"/>
    </w:pPr>
  </w:style>
  <w:style w:type="paragraph" w:styleId="TOC3">
    <w:name w:val="toc 3"/>
    <w:basedOn w:val="Normal"/>
    <w:next w:val="Normal"/>
    <w:autoRedefine/>
    <w:uiPriority w:val="39"/>
    <w:unhideWhenUsed/>
    <w:rsid w:val="00DF10AB"/>
    <w:pPr>
      <w:tabs>
        <w:tab w:val="left" w:pos="720"/>
        <w:tab w:val="left" w:pos="1440"/>
        <w:tab w:val="decimal" w:leader="dot" w:pos="9360"/>
      </w:tabs>
      <w:spacing w:after="240"/>
      <w:ind w:left="2160" w:hanging="720"/>
    </w:pPr>
  </w:style>
  <w:style w:type="paragraph" w:styleId="TOC4">
    <w:name w:val="toc 4"/>
    <w:basedOn w:val="Normal"/>
    <w:next w:val="Normal"/>
    <w:autoRedefine/>
    <w:uiPriority w:val="39"/>
    <w:unhideWhenUsed/>
    <w:rsid w:val="002654E3"/>
    <w:pPr>
      <w:spacing w:after="240"/>
      <w:ind w:left="720"/>
    </w:pPr>
  </w:style>
  <w:style w:type="character" w:customStyle="1" w:styleId="Heading5Char">
    <w:name w:val="Heading 5 Char"/>
    <w:basedOn w:val="DefaultParagraphFont"/>
    <w:link w:val="Heading5"/>
    <w:uiPriority w:val="9"/>
    <w:rPr>
      <w:rFonts w:ascii="Times New Roman" w:hAnsi="Times New Roman" w:eastAsiaTheme="majorEastAsia" w:cstheme="majorBidi"/>
      <w:b/>
      <w:sz w:val="24"/>
    </w:rPr>
  </w:style>
  <w:style w:type="character" w:customStyle="1" w:styleId="FootnoteTextChar3">
    <w:name w:val="Footnote Text Char3"/>
    <w:aliases w:val="ALTS FOOTNOTE Char1,Footnote Text Char Char Char Char Char1,Footnote Text Char Char Char2,Footnote Text Char Char1 Char1,Footnote Text Char1,Footnote Text Char1 Char Char1 Char Char Char Char1,Footnote Text Char1 Char Char1 Char1"/>
    <w:uiPriority w:val="99"/>
    <w:locked/>
  </w:style>
  <w:style w:type="paragraph" w:styleId="HTMLPreformatted">
    <w:name w:val="HTML Preformatted"/>
    <w:aliases w:val=" Char,Char"/>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aliases w:val=" Char Char,Char Char"/>
    <w:basedOn w:val="DefaultParagraphFont"/>
    <w:link w:val="HTMLPreformatted"/>
    <w:rPr>
      <w:rFonts w:ascii="Courier New" w:eastAsia="Courier New" w:hAnsi="Courier New" w:cs="Courier New"/>
      <w:sz w:val="20"/>
      <w:szCs w:val="20"/>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BodyTextIndent3">
    <w:name w:val="Body Text Indent 3"/>
    <w:basedOn w:val="Normal"/>
    <w:link w:val="BodyTextIndent3Char"/>
    <w:pPr>
      <w:spacing w:line="480" w:lineRule="atLeast"/>
      <w:ind w:firstLine="720"/>
    </w:pPr>
    <w:rPr>
      <w:rFonts w:eastAsia="Times New Roman" w:cs="Times New Roman"/>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0"/>
    </w:rPr>
  </w:style>
  <w:style w:type="paragraph" w:styleId="EndnoteText">
    <w:name w:val="endnote text"/>
    <w:basedOn w:val="Normal"/>
    <w:link w:val="EndnoteTextChar"/>
    <w:uiPriority w:val="99"/>
    <w:unhideWhenUsed/>
    <w:rPr>
      <w:sz w:val="20"/>
      <w:szCs w:val="20"/>
    </w:rPr>
  </w:style>
  <w:style w:type="character" w:customStyle="1" w:styleId="EndnoteTextChar">
    <w:name w:val="Endnote Text Char"/>
    <w:basedOn w:val="DefaultParagraphFont"/>
    <w:link w:val="EndnoteText"/>
    <w:uiPriority w:val="99"/>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UnresolvedMention2">
    <w:name w:val="Unresolved Mention2"/>
    <w:basedOn w:val="DefaultParagraphFont"/>
    <w:uiPriority w:val="99"/>
    <w:rPr>
      <w:color w:val="605E5C"/>
      <w:shd w:val="clear" w:color="auto" w:fill="E1DFDD"/>
    </w:rPr>
  </w:style>
  <w:style w:type="character" w:customStyle="1" w:styleId="AnswerChar">
    <w:name w:val="Answer Char"/>
    <w:link w:val="Answer"/>
    <w:locked/>
    <w:rPr>
      <w:rFonts w:ascii="Arial Unicode MS" w:eastAsia="Arial Unicode MS" w:hAnsi="Arial Unicode MS" w:cs="Arial Unicode MS"/>
      <w:bCs/>
      <w:iCs/>
      <w:bdr w:val="none" w:sz="0" w:space="0" w:color="auto" w:frame="1"/>
    </w:rPr>
  </w:style>
  <w:style w:type="paragraph" w:customStyle="1" w:styleId="Answer">
    <w:name w:val="Answer"/>
    <w:basedOn w:val="List2"/>
    <w:link w:val="AnswerChar"/>
    <w:qFormat/>
    <w:pPr>
      <w:spacing w:line="480" w:lineRule="auto"/>
    </w:pPr>
    <w:rPr>
      <w:rFonts w:ascii="Arial Unicode MS" w:eastAsia="Arial Unicode MS" w:hAnsi="Arial Unicode MS" w:cs="Arial Unicode MS"/>
      <w:bCs/>
      <w:iCs/>
      <w:bdr w:val="none" w:sz="0" w:space="0" w:color="auto" w:frame="1"/>
    </w:rPr>
  </w:style>
  <w:style w:type="paragraph" w:styleId="List2">
    <w:name w:val="List 2"/>
    <w:basedOn w:val="Normal"/>
    <w:uiPriority w:val="99"/>
    <w:semiHidden/>
    <w:unhideWhenUsed/>
    <w:pPr>
      <w:ind w:left="720" w:hanging="360"/>
      <w:contextualSpacing/>
    </w:pPr>
  </w:style>
  <w:style w:type="character" w:customStyle="1" w:styleId="UnresolvedMention3">
    <w:name w:val="Unresolved Mention3"/>
    <w:basedOn w:val="DefaultParagraphFont"/>
    <w:uiPriority w:val="99"/>
    <w:rPr>
      <w:color w:val="605E5C"/>
      <w:shd w:val="clear" w:color="auto" w:fill="E1DFDD"/>
    </w:rPr>
  </w:style>
  <w:style w:type="character" w:styleId="FollowedHyperlink">
    <w:name w:val="FollowedHyperlink"/>
    <w:basedOn w:val="DefaultParagraphFont"/>
    <w:uiPriority w:val="99"/>
    <w:semiHidden/>
    <w:unhideWhenUsed/>
    <w:rPr>
      <w:color w:val="800080" w:themeColor="followedHyperlink"/>
      <w:u w:val="single"/>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styleId="Revision">
    <w:name w:val="Revision"/>
    <w:hidden/>
    <w:uiPriority w:val="99"/>
    <w:semiHidden/>
    <w:pPr>
      <w:spacing w:after="0" w:line="240" w:lineRule="auto"/>
    </w:pPr>
  </w:style>
  <w:style w:type="paragraph" w:customStyle="1" w:styleId="xmsonormal">
    <w:name w:val="x_msonormal"/>
    <w:basedOn w:val="Normal"/>
    <w:rPr>
      <w:rFonts w:ascii="Verdana" w:hAnsi="Verdana" w:cs="Calibri"/>
      <w:color w:val="00277A"/>
      <w:szCs w:val="24"/>
    </w:rPr>
  </w:style>
  <w:style w:type="character" w:customStyle="1" w:styleId="xmsofootnotereference">
    <w:name w:val="x_msofootnotereference"/>
    <w:basedOn w:val="DefaultParagraphFont"/>
    <w:rPr>
      <w:vertAlign w:val="superscript"/>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style>
  <w:style w:type="character" w:styleId="PlaceholderText">
    <w:name w:val="Placeholder Text"/>
    <w:basedOn w:val="DefaultParagraphFont"/>
    <w:uiPriority w:val="99"/>
    <w:semiHidden/>
    <w:rsid w:val="006667AB"/>
    <w:rPr>
      <w:color w:val="808080"/>
    </w:rPr>
  </w:style>
  <w:style w:type="paragraph" w:styleId="NormalWeb">
    <w:name w:val="Normal (Web)"/>
    <w:basedOn w:val="Normal"/>
    <w:uiPriority w:val="99"/>
    <w:unhideWhenUsed/>
    <w:rsid w:val="00386776"/>
    <w:pPr>
      <w:spacing w:before="100" w:beforeAutospacing="1" w:after="100" w:afterAutospacing="1"/>
    </w:pPr>
    <w:rPr>
      <w:rFonts w:eastAsia="Times New Roman" w:cs="Times New Roman"/>
      <w:szCs w:val="24"/>
    </w:rPr>
  </w:style>
  <w:style w:type="character" w:customStyle="1" w:styleId="UnresolvedMention4">
    <w:name w:val="Unresolved Mention4"/>
    <w:basedOn w:val="DefaultParagraphFont"/>
    <w:uiPriority w:val="99"/>
    <w:rsid w:val="005C0220"/>
    <w:rPr>
      <w:color w:val="605E5C"/>
      <w:shd w:val="clear" w:color="auto" w:fill="E1DFDD"/>
    </w:rPr>
  </w:style>
  <w:style w:type="character" w:customStyle="1" w:styleId="UnresolvedMention5">
    <w:name w:val="Unresolved Mention5"/>
    <w:basedOn w:val="DefaultParagraphFont"/>
    <w:uiPriority w:val="99"/>
    <w:rsid w:val="00F85FCC"/>
    <w:rPr>
      <w:color w:val="605E5C"/>
      <w:shd w:val="clear" w:color="auto" w:fill="E1DFDD"/>
    </w:rPr>
  </w:style>
  <w:style w:type="character" w:customStyle="1" w:styleId="UnresolvedMention6">
    <w:name w:val="Unresolved Mention6"/>
    <w:basedOn w:val="DefaultParagraphFont"/>
    <w:uiPriority w:val="99"/>
    <w:rsid w:val="00117621"/>
    <w:rPr>
      <w:color w:val="605E5C"/>
      <w:shd w:val="clear" w:color="auto" w:fill="E1DFDD"/>
    </w:rPr>
  </w:style>
  <w:style w:type="character" w:customStyle="1" w:styleId="UnresolvedMention7">
    <w:name w:val="Unresolved Mention7"/>
    <w:basedOn w:val="DefaultParagraphFont"/>
    <w:uiPriority w:val="99"/>
    <w:rsid w:val="00FC25C5"/>
    <w:rPr>
      <w:color w:val="605E5C"/>
      <w:shd w:val="clear" w:color="auto" w:fill="E1DFDD"/>
    </w:rPr>
  </w:style>
  <w:style w:type="table" w:customStyle="1" w:styleId="TableGrid2">
    <w:name w:val="Table Grid2"/>
    <w:basedOn w:val="TableNormal"/>
    <w:next w:val="TableGrid"/>
    <w:uiPriority w:val="39"/>
    <w:rsid w:val="006B4633"/>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8">
    <w:name w:val="Unresolved Mention8"/>
    <w:basedOn w:val="DefaultParagraphFont"/>
    <w:uiPriority w:val="99"/>
    <w:rsid w:val="000945CC"/>
    <w:rPr>
      <w:color w:val="605E5C"/>
      <w:shd w:val="clear" w:color="auto" w:fill="E1DFDD"/>
    </w:rPr>
  </w:style>
  <w:style w:type="paragraph" w:styleId="PlainText">
    <w:name w:val="Plain Text"/>
    <w:basedOn w:val="Normal"/>
    <w:link w:val="PlainTextChar"/>
    <w:uiPriority w:val="99"/>
    <w:unhideWhenUsed/>
    <w:rsid w:val="00762059"/>
    <w:rPr>
      <w:rFonts w:ascii="Calibri" w:hAnsi="Calibri" w:cs="Calibri"/>
      <w:szCs w:val="24"/>
    </w:rPr>
  </w:style>
  <w:style w:type="character" w:customStyle="1" w:styleId="PlainTextChar">
    <w:name w:val="Plain Text Char"/>
    <w:basedOn w:val="DefaultParagraphFont"/>
    <w:link w:val="PlainText"/>
    <w:uiPriority w:val="99"/>
    <w:rsid w:val="00762059"/>
    <w:rPr>
      <w:rFonts w:ascii="Calibri" w:hAnsi="Calibri" w:cs="Calibri"/>
      <w:sz w:val="24"/>
      <w:szCs w:val="24"/>
    </w:rPr>
  </w:style>
  <w:style w:type="character" w:styleId="HTMLCite">
    <w:name w:val="HTML Cite"/>
    <w:basedOn w:val="DefaultParagraphFont"/>
    <w:uiPriority w:val="99"/>
    <w:semiHidden/>
    <w:unhideWhenUsed/>
    <w:rsid w:val="009B29F1"/>
    <w:rPr>
      <w:i/>
      <w:iCs/>
    </w:rPr>
  </w:style>
  <w:style w:type="character" w:customStyle="1" w:styleId="reference-accessdate">
    <w:name w:val="reference-accessdate"/>
    <w:basedOn w:val="DefaultParagraphFont"/>
    <w:rsid w:val="009B29F1"/>
  </w:style>
  <w:style w:type="character" w:customStyle="1" w:styleId="nowrap">
    <w:name w:val="nowrap"/>
    <w:basedOn w:val="DefaultParagraphFont"/>
    <w:rsid w:val="009B29F1"/>
  </w:style>
  <w:style w:type="character" w:customStyle="1" w:styleId="UnresolvedMention">
    <w:name w:val="Unresolved Mention"/>
    <w:basedOn w:val="DefaultParagraphFont"/>
    <w:uiPriority w:val="99"/>
    <w:rsid w:val="00860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thomas.zuehlke@occ.ohio.gov"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oter" Target="footer4.xml" /><Relationship Id="rId18" Type="http://schemas.openxmlformats.org/officeDocument/2006/relationships/image" Target="media/image1.emf" /><Relationship Id="rId19" Type="http://schemas.openxmlformats.org/officeDocument/2006/relationships/hyperlink" Target="mailto:thomas.lindgren@ohioago.gov" TargetMode="External" /><Relationship Id="rId2" Type="http://schemas.openxmlformats.org/officeDocument/2006/relationships/settings" Target="settings.xml" /><Relationship Id="rId20" Type="http://schemas.openxmlformats.org/officeDocument/2006/relationships/hyperlink" Target="mailto:amy.botschnerobrien@ohioago.gov" TargetMode="External" /><Relationship Id="rId21" Type="http://schemas.openxmlformats.org/officeDocument/2006/relationships/hyperlink" Target="mailto:rhiannon.howard@ohioago.gov" TargetMode="External" /><Relationship Id="rId22" Type="http://schemas.openxmlformats.org/officeDocument/2006/relationships/hyperlink" Target="mailto:mkurtz@BKLlawfirm.com" TargetMode="External" /><Relationship Id="rId23" Type="http://schemas.openxmlformats.org/officeDocument/2006/relationships/hyperlink" Target="mailto:jkylercohn@BKLlawfirm.com" TargetMode="External" /><Relationship Id="rId24" Type="http://schemas.openxmlformats.org/officeDocument/2006/relationships/hyperlink" Target="mailto:rdove@keglerbrown.com" TargetMode="External" /><Relationship Id="rId25" Type="http://schemas.openxmlformats.org/officeDocument/2006/relationships/hyperlink" Target="mailto:nbobb@keglerbrown.com" TargetMode="External" /><Relationship Id="rId26" Type="http://schemas.openxmlformats.org/officeDocument/2006/relationships/hyperlink" Target="mailto:Stacie.Cathcart@igs.com" TargetMode="External" /><Relationship Id="rId27" Type="http://schemas.openxmlformats.org/officeDocument/2006/relationships/hyperlink" Target="mailto:Michael.Nugent@igs.com" TargetMode="External" /><Relationship Id="rId28" Type="http://schemas.openxmlformats.org/officeDocument/2006/relationships/hyperlink" Target="mailto:cgrundmann@spilmanlaw.com" TargetMode="External" /><Relationship Id="rId29" Type="http://schemas.openxmlformats.org/officeDocument/2006/relationships/hyperlink" Target="mailto:dwilliamson@spilmanlaw.com" TargetMode="External" /><Relationship Id="rId3" Type="http://schemas.openxmlformats.org/officeDocument/2006/relationships/webSettings" Target="webSettings.xml" /><Relationship Id="rId30" Type="http://schemas.openxmlformats.org/officeDocument/2006/relationships/hyperlink" Target="mailto:slee@spilmanlaw.com" TargetMode="External" /><Relationship Id="rId31" Type="http://schemas.openxmlformats.org/officeDocument/2006/relationships/hyperlink" Target="mailto:todd.schafer@outlook.com" TargetMode="External" /><Relationship Id="rId32" Type="http://schemas.openxmlformats.org/officeDocument/2006/relationships/hyperlink" Target="mailto:mjsettineri@vorys.com" TargetMode="External" /><Relationship Id="rId33" Type="http://schemas.openxmlformats.org/officeDocument/2006/relationships/hyperlink" Target="mailto:glpetrucci@vorys.com" TargetMode="External" /><Relationship Id="rId34" Type="http://schemas.openxmlformats.org/officeDocument/2006/relationships/hyperlink" Target="mailto:aasanyal@vorys.com" TargetMode="External" /><Relationship Id="rId35" Type="http://schemas.openxmlformats.org/officeDocument/2006/relationships/hyperlink" Target="mailto:dparram@brickergraydon.com" TargetMode="External" /><Relationship Id="rId36" Type="http://schemas.openxmlformats.org/officeDocument/2006/relationships/hyperlink" Target="mailto:rmains@brickergraydon.com" TargetMode="External" /><Relationship Id="rId37" Type="http://schemas.openxmlformats.org/officeDocument/2006/relationships/hyperlink" Target="mailto:dromig@nationwideenergypartners.com" TargetMode="External" /><Relationship Id="rId38" Type="http://schemas.openxmlformats.org/officeDocument/2006/relationships/hyperlink" Target="mailto:brian.gibbs@nationwideenergypartners.com" TargetMode="External" /><Relationship Id="rId39" Type="http://schemas.openxmlformats.org/officeDocument/2006/relationships/hyperlink" Target="mailto:paul@carpenterlipps.com" TargetMode="External" /><Relationship Id="rId4" Type="http://schemas.openxmlformats.org/officeDocument/2006/relationships/fontTable" Target="fontTable.xml" /><Relationship Id="rId40" Type="http://schemas.openxmlformats.org/officeDocument/2006/relationships/hyperlink" Target="mailto:mpritchard@mcneeslaw.com" TargetMode="External" /><Relationship Id="rId41" Type="http://schemas.openxmlformats.org/officeDocument/2006/relationships/hyperlink" Target="mailto:awalke@mcneeslaw.com" TargetMode="External" /><Relationship Id="rId42" Type="http://schemas.openxmlformats.org/officeDocument/2006/relationships/hyperlink" Target="mailto:tdougherty@theOEC.org" TargetMode="External" /><Relationship Id="rId43" Type="http://schemas.openxmlformats.org/officeDocument/2006/relationships/hyperlink" Target="mailto:katherine.hollingsworth@lasclev.org" TargetMode="External" /><Relationship Id="rId44" Type="http://schemas.openxmlformats.org/officeDocument/2006/relationships/hyperlink" Target="mailto:sjagers@ohiopovertylaw.org" TargetMode="External" /><Relationship Id="rId45" Type="http://schemas.openxmlformats.org/officeDocument/2006/relationships/hyperlink" Target="mailto:mwalters@proseniors.org" TargetMode="External" /><Relationship Id="rId46" Type="http://schemas.openxmlformats.org/officeDocument/2006/relationships/hyperlink" Target="mailto:dmanor@ablelaw.org" TargetMode="External" /><Relationship Id="rId47" Type="http://schemas.openxmlformats.org/officeDocument/2006/relationships/hyperlink" Target="mailto:rnader@communitylegalaid.org" TargetMode="External" /><Relationship Id="rId48" Type="http://schemas.openxmlformats.org/officeDocument/2006/relationships/hyperlink" Target="mailto:megan.addison@puco.ohio.gov" TargetMode="External" /><Relationship Id="rId49" Type="http://schemas.openxmlformats.org/officeDocument/2006/relationships/hyperlink" Target="mailto:greg.price@puco.ohio.gov" TargetMode="External" /><Relationship Id="rId5" Type="http://schemas.openxmlformats.org/officeDocument/2006/relationships/customXml" Target="../customXml/item1.xml" /><Relationship Id="rId50" Type="http://schemas.openxmlformats.org/officeDocument/2006/relationships/hyperlink" Target="mailto:jacqueline.st.john@puco.ohio.gov" TargetMode="External" /><Relationship Id="rId51" Type="http://schemas.openxmlformats.org/officeDocument/2006/relationships/hyperlink" Target="mailto:bknipe@firstenergycorp.com" TargetMode="External" /><Relationship Id="rId52" Type="http://schemas.openxmlformats.org/officeDocument/2006/relationships/hyperlink" Target="mailto:cwatchorn@firstenergycorp.com" TargetMode="External" /><Relationship Id="rId53" Type="http://schemas.openxmlformats.org/officeDocument/2006/relationships/hyperlink" Target="mailto:talexander@beneschlaw.com" TargetMode="External" /><Relationship Id="rId54" Type="http://schemas.openxmlformats.org/officeDocument/2006/relationships/hyperlink" Target="mailto:mkeaney@beneschlaw.com" TargetMode="External" /><Relationship Id="rId55" Type="http://schemas.openxmlformats.org/officeDocument/2006/relationships/hyperlink" Target="mailto:khehmeyer@beneschlaw.com" TargetMode="External" /><Relationship Id="rId56" Type="http://schemas.openxmlformats.org/officeDocument/2006/relationships/hyperlink" Target="mailto:dproano@bakerlaw.com" TargetMode="External" /><Relationship Id="rId57" Type="http://schemas.openxmlformats.org/officeDocument/2006/relationships/hyperlink" Target="mailto:ahaque@bakerlaw.com" TargetMode="External" /><Relationship Id="rId58" Type="http://schemas.openxmlformats.org/officeDocument/2006/relationships/hyperlink" Target="mailto:eprouty@bakerlaw.com" TargetMode="External" /><Relationship Id="rId59" Type="http://schemas.openxmlformats.org/officeDocument/2006/relationships/hyperlink" Target="mailto:pwillison@bakerlaw.com" TargetMode="External" /><Relationship Id="rId6" Type="http://schemas.openxmlformats.org/officeDocument/2006/relationships/hyperlink" Target="mailto:john.finnigan@occ.ohio.gov" TargetMode="External" /><Relationship Id="rId60" Type="http://schemas.openxmlformats.org/officeDocument/2006/relationships/hyperlink" Target="mailto:dstinson@brickergraydon.com" TargetMode="External" /><Relationship Id="rId61" Type="http://schemas.openxmlformats.org/officeDocument/2006/relationships/hyperlink" Target="mailto:gkrassen@nopec.org" TargetMode="External" /><Relationship Id="rId62" Type="http://schemas.openxmlformats.org/officeDocument/2006/relationships/hyperlink" Target="mailto:meissnerjoseph@yahoo.com" TargetMode="External" /><Relationship Id="rId63" Type="http://schemas.openxmlformats.org/officeDocument/2006/relationships/hyperlink" Target="mailto:trhayslaw@gmail.com" TargetMode="External" /><Relationship Id="rId64" Type="http://schemas.openxmlformats.org/officeDocument/2006/relationships/hyperlink" Target="mailto:leslie.kovacik@toledo.oh.gov" TargetMode="External" /><Relationship Id="rId65" Type="http://schemas.openxmlformats.org/officeDocument/2006/relationships/hyperlink" Target="mailto:bojko@carpenterlipps.com" TargetMode="External" /><Relationship Id="rId66" Type="http://schemas.openxmlformats.org/officeDocument/2006/relationships/hyperlink" Target="mailto:easley@carpenterlipps.com" TargetMode="External" /><Relationship Id="rId67" Type="http://schemas.openxmlformats.org/officeDocument/2006/relationships/hyperlink" Target="mailto:mkl@smxblaw.com" TargetMode="External" /><Relationship Id="rId68" Type="http://schemas.openxmlformats.org/officeDocument/2006/relationships/hyperlink" Target="mailto:jrb@smxblaw.com" TargetMode="External" /><Relationship Id="rId69" Type="http://schemas.openxmlformats.org/officeDocument/2006/relationships/hyperlink" Target="mailto:little@litohio.com" TargetMode="External" /><Relationship Id="rId7" Type="http://schemas.openxmlformats.org/officeDocument/2006/relationships/hyperlink" Target="mailto:robert.eubanks@occ.ohio.gov" TargetMode="External" /><Relationship Id="rId70" Type="http://schemas.openxmlformats.org/officeDocument/2006/relationships/hyperlink" Target="mailto:hogan@litohio.com" TargetMode="External" /><Relationship Id="rId71" Type="http://schemas.openxmlformats.org/officeDocument/2006/relationships/hyperlink" Target="mailto:ktreadway@oneenergyllc.com" TargetMode="External" /><Relationship Id="rId72" Type="http://schemas.openxmlformats.org/officeDocument/2006/relationships/hyperlink" Target="mailto:jdunn@oneenergyllc.com" TargetMode="External" /><Relationship Id="rId73" Type="http://schemas.openxmlformats.org/officeDocument/2006/relationships/hyperlink" Target="mailto:trent@hubaydougherty.com" TargetMode="External" /><Relationship Id="rId74" Type="http://schemas.openxmlformats.org/officeDocument/2006/relationships/hyperlink" Target="mailto:emcconnell@elpc.org" TargetMode="External" /><Relationship Id="rId75" Type="http://schemas.openxmlformats.org/officeDocument/2006/relationships/hyperlink" Target="mailto:cpirik@dickinsonwright.com" TargetMode="External" /><Relationship Id="rId76" Type="http://schemas.openxmlformats.org/officeDocument/2006/relationships/hyperlink" Target="mailto:todonnell@dickinsonwright.com" TargetMode="External" /><Relationship Id="rId77" Type="http://schemas.openxmlformats.org/officeDocument/2006/relationships/hyperlink" Target="mailto:kshimp@dickinsonwright.comm" TargetMode="External" /><Relationship Id="rId78" Type="http://schemas.openxmlformats.org/officeDocument/2006/relationships/hyperlink" Target="mailto:eowoyt@vorys.com" TargetMode="External" /><Relationship Id="rId79" Type="http://schemas.openxmlformats.org/officeDocument/2006/relationships/hyperlink" Target="mailto:whitt@whitt-sturtevant.com" TargetMode="External" /><Relationship Id="rId8" Type="http://schemas.openxmlformats.org/officeDocument/2006/relationships/hyperlink" Target="mailto:william.michael@occ.ohio.gov" TargetMode="External" /><Relationship Id="rId80" Type="http://schemas.openxmlformats.org/officeDocument/2006/relationships/hyperlink" Target="mailto:ctavenor@theOEC.org" TargetMode="External" /><Relationship Id="rId81" Type="http://schemas.openxmlformats.org/officeDocument/2006/relationships/hyperlink" Target="mailto:Becky.Merola@calpinesolutions.com" TargetMode="External" /><Relationship Id="rId82" Type="http://schemas.openxmlformats.org/officeDocument/2006/relationships/hyperlink" Target="mailto:jlaskey@norris-law.com" TargetMode="External" /><Relationship Id="rId83" Type="http://schemas.openxmlformats.org/officeDocument/2006/relationships/hyperlink" Target="mailto:knordstrom@theOEC.org" TargetMode="External" /><Relationship Id="rId84" Type="http://schemas.openxmlformats.org/officeDocument/2006/relationships/hyperlink" Target="mailto:jlang@calfee.com" TargetMode="External" /><Relationship Id="rId85" Type="http://schemas.openxmlformats.org/officeDocument/2006/relationships/hyperlink" Target="mailto:mbarbara@calfee.com" TargetMode="External" /><Relationship Id="rId86" Type="http://schemas.openxmlformats.org/officeDocument/2006/relationships/hyperlink" Target="mailto:jpetroff@lawforlabor.com" TargetMode="External" /><Relationship Id="rId87" Type="http://schemas.openxmlformats.org/officeDocument/2006/relationships/hyperlink" Target="mailto:jmcinerney@lawforlabor.com" TargetMode="External" /><Relationship Id="rId88" Type="http://schemas.openxmlformats.org/officeDocument/2006/relationships/hyperlink" Target="mailto:junger@spilmanlaw.com" TargetMode="External" /><Relationship Id="rId89" Type="http://schemas.openxmlformats.org/officeDocument/2006/relationships/hyperlink" Target="mailto:tlong@mcneeslaw.com" TargetMode="External" /><Relationship Id="rId9" Type="http://schemas.openxmlformats.org/officeDocument/2006/relationships/hyperlink" Target="mailto:alex.hickey@occ.ohio.gov" TargetMode="External" /><Relationship Id="rId90" Type="http://schemas.openxmlformats.org/officeDocument/2006/relationships/hyperlink" Target="mailto:rkelter@elpc.org" TargetMode="External" /><Relationship Id="rId91" Type="http://schemas.openxmlformats.org/officeDocument/2006/relationships/theme" Target="theme/theme1.xml" /><Relationship Id="rId92" Type="http://schemas.openxmlformats.org/officeDocument/2006/relationships/numbering" Target="numbering.xml" /><Relationship Id="rId93" Type="http://schemas.openxmlformats.org/officeDocument/2006/relationships/styles" Target="styles.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washingtonpost.com/nation/2020/07/22/ohio-house-speaker-arrested-republican/" TargetMode="External" /><Relationship Id="rId2" Type="http://schemas.openxmlformats.org/officeDocument/2006/relationships/hyperlink" Target="https://en.wikipedia.org/wiki/The_Washington_Post" TargetMode="External" /><Relationship Id="rId3" Type="http://schemas.openxmlformats.org/officeDocument/2006/relationships/hyperlink" Target="https://puco.ohio.gov/about-us/resources/mission-and-commitmen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FF8FE-6C55-4D09-89C8-7EF242A42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Pages>
  <Words>15116</Words>
  <Characters>86164</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2024-01-19T19:45:31Z</dcterms:created>
  <dcterms:modified xsi:type="dcterms:W3CDTF">2024-01-19T19:45:31Z</dcterms:modified>
</cp:coreProperties>
</file>