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29CAF" w14:textId="77777777" w:rsidR="00CF11CA" w:rsidRPr="000C3B01" w:rsidRDefault="00CF11CA" w:rsidP="00CF11CA">
      <w:pPr>
        <w:autoSpaceDE w:val="0"/>
        <w:autoSpaceDN w:val="0"/>
        <w:adjustRightInd w:val="0"/>
        <w:spacing w:line="240" w:lineRule="auto"/>
        <w:jc w:val="center"/>
        <w:rPr>
          <w:rFonts w:ascii="Arial Bold" w:hAnsi="Arial Bold" w:cs="Arial"/>
          <w:b/>
          <w:smallCaps/>
          <w:sz w:val="32"/>
          <w:szCs w:val="32"/>
        </w:rPr>
      </w:pPr>
      <w:r w:rsidRPr="000C3B01">
        <w:rPr>
          <w:rFonts w:ascii="Arial Bold" w:hAnsi="Arial Bold" w:cs="Arial"/>
          <w:b/>
          <w:smallCaps/>
          <w:sz w:val="32"/>
          <w:szCs w:val="32"/>
        </w:rPr>
        <w:t>Before</w:t>
      </w:r>
    </w:p>
    <w:p w14:paraId="2E81E002" w14:textId="77777777" w:rsidR="00CF11CA" w:rsidRDefault="00CF11CA" w:rsidP="00CF11CA">
      <w:pPr>
        <w:autoSpaceDE w:val="0"/>
        <w:autoSpaceDN w:val="0"/>
        <w:adjustRightInd w:val="0"/>
        <w:spacing w:line="240" w:lineRule="auto"/>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477B7F13" w14:textId="77777777" w:rsidR="00CF11CA" w:rsidRDefault="00CF11CA" w:rsidP="00CF11CA">
      <w:pPr>
        <w:autoSpaceDE w:val="0"/>
        <w:autoSpaceDN w:val="0"/>
        <w:adjustRightInd w:val="0"/>
        <w:spacing w:line="240" w:lineRule="auto"/>
        <w:jc w:val="center"/>
        <w:rPr>
          <w:rFonts w:ascii="Arial Bold" w:hAnsi="Arial Bold" w:cs="Arial"/>
          <w:smallCaps/>
        </w:rPr>
      </w:pPr>
    </w:p>
    <w:p w14:paraId="67C6C747" w14:textId="77777777" w:rsidR="00CF11CA" w:rsidRPr="000C3B01" w:rsidRDefault="00CF11CA" w:rsidP="00CF11CA">
      <w:pPr>
        <w:autoSpaceDE w:val="0"/>
        <w:autoSpaceDN w:val="0"/>
        <w:adjustRightInd w:val="0"/>
        <w:spacing w:line="240" w:lineRule="auto"/>
        <w:jc w:val="center"/>
        <w:rPr>
          <w:rFonts w:ascii="Arial Bold" w:hAnsi="Arial Bold" w:cs="Arial"/>
          <w:smallCaps/>
        </w:rPr>
      </w:pPr>
    </w:p>
    <w:p w14:paraId="4FD7E4A8" w14:textId="6227D8F6" w:rsidR="00CF11CA" w:rsidRPr="000C3B01" w:rsidRDefault="00CF11CA" w:rsidP="00CF11CA">
      <w:pPr>
        <w:tabs>
          <w:tab w:val="left" w:pos="5040"/>
          <w:tab w:val="left" w:pos="5580"/>
        </w:tabs>
        <w:autoSpaceDE w:val="0"/>
        <w:autoSpaceDN w:val="0"/>
        <w:adjustRightInd w:val="0"/>
        <w:spacing w:line="240" w:lineRule="auto"/>
        <w:rPr>
          <w:rFonts w:cs="Arial"/>
        </w:rPr>
      </w:pPr>
      <w:r w:rsidRPr="000C3B01">
        <w:rPr>
          <w:rFonts w:cs="Arial"/>
        </w:rPr>
        <w:t xml:space="preserve">In the Matter of the </w:t>
      </w:r>
      <w:r>
        <w:rPr>
          <w:rFonts w:cs="Arial"/>
        </w:rPr>
        <w:t>Commission’s Review</w:t>
      </w:r>
      <w:r>
        <w:rPr>
          <w:rFonts w:cs="Arial"/>
        </w:rPr>
        <w:tab/>
        <w:t>)</w:t>
      </w:r>
      <w:r w:rsidRPr="00B2023F">
        <w:rPr>
          <w:rFonts w:cs="Arial"/>
        </w:rPr>
        <w:t xml:space="preserve"> </w:t>
      </w:r>
    </w:p>
    <w:p w14:paraId="286BD028" w14:textId="4413771C" w:rsidR="00CF11CA" w:rsidRDefault="00046430" w:rsidP="00CF11CA">
      <w:pPr>
        <w:tabs>
          <w:tab w:val="left" w:pos="5040"/>
          <w:tab w:val="left" w:pos="5580"/>
        </w:tabs>
        <w:autoSpaceDE w:val="0"/>
        <w:autoSpaceDN w:val="0"/>
        <w:adjustRightInd w:val="0"/>
        <w:spacing w:line="240" w:lineRule="auto"/>
        <w:rPr>
          <w:rFonts w:cs="Arial"/>
        </w:rPr>
      </w:pPr>
      <w:r>
        <w:rPr>
          <w:rFonts w:cs="Arial"/>
        </w:rPr>
        <w:t>o</w:t>
      </w:r>
      <w:r w:rsidR="00CF11CA">
        <w:rPr>
          <w:rFonts w:cs="Arial"/>
        </w:rPr>
        <w:t>f its Rules for Standard Service Offers for</w:t>
      </w:r>
      <w:r w:rsidR="00CF11CA">
        <w:rPr>
          <w:rFonts w:cs="Arial"/>
        </w:rPr>
        <w:tab/>
        <w:t>)</w:t>
      </w:r>
      <w:r w:rsidR="00CF11CA">
        <w:rPr>
          <w:rFonts w:cs="Arial"/>
        </w:rPr>
        <w:tab/>
        <w:t>Case No. 18-1190-EL-ORD</w:t>
      </w:r>
    </w:p>
    <w:p w14:paraId="173250FA" w14:textId="622EFDA0" w:rsidR="00CF11CA" w:rsidRDefault="00CF11CA" w:rsidP="00CF11CA">
      <w:pPr>
        <w:tabs>
          <w:tab w:val="left" w:pos="5040"/>
          <w:tab w:val="left" w:pos="5580"/>
        </w:tabs>
        <w:autoSpaceDE w:val="0"/>
        <w:autoSpaceDN w:val="0"/>
        <w:adjustRightInd w:val="0"/>
        <w:spacing w:line="240" w:lineRule="auto"/>
        <w:rPr>
          <w:rFonts w:cs="Arial"/>
        </w:rPr>
      </w:pPr>
      <w:r>
        <w:rPr>
          <w:rFonts w:cs="Arial"/>
        </w:rPr>
        <w:t>Electric Utilities Contained in Chapter</w:t>
      </w:r>
      <w:r>
        <w:rPr>
          <w:rFonts w:cs="Arial"/>
        </w:rPr>
        <w:tab/>
        <w:t>)</w:t>
      </w:r>
    </w:p>
    <w:p w14:paraId="3FC4C009" w14:textId="783FF390" w:rsidR="00CF11CA" w:rsidRPr="000C3B01" w:rsidRDefault="00CF11CA" w:rsidP="00CF11CA">
      <w:pPr>
        <w:tabs>
          <w:tab w:val="left" w:pos="5040"/>
          <w:tab w:val="left" w:pos="5580"/>
        </w:tabs>
        <w:autoSpaceDE w:val="0"/>
        <w:autoSpaceDN w:val="0"/>
        <w:adjustRightInd w:val="0"/>
        <w:spacing w:line="240" w:lineRule="auto"/>
        <w:rPr>
          <w:rFonts w:cs="Arial"/>
        </w:rPr>
      </w:pPr>
      <w:r>
        <w:rPr>
          <w:rFonts w:cs="Arial"/>
        </w:rPr>
        <w:t>4901:1-37 of the Ohio Administrative Code.</w:t>
      </w:r>
      <w:r>
        <w:rPr>
          <w:rFonts w:cs="Arial"/>
        </w:rPr>
        <w:tab/>
        <w:t>)</w:t>
      </w:r>
    </w:p>
    <w:p w14:paraId="4B1D612D" w14:textId="77777777" w:rsidR="00CF11CA" w:rsidRDefault="00CF11CA" w:rsidP="00CF11CA">
      <w:pPr>
        <w:pStyle w:val="BodyText"/>
        <w:tabs>
          <w:tab w:val="left" w:pos="5040"/>
        </w:tabs>
        <w:spacing w:after="0"/>
        <w:rPr>
          <w:sz w:val="28"/>
        </w:rPr>
      </w:pPr>
    </w:p>
    <w:p w14:paraId="4125E299" w14:textId="77777777" w:rsidR="00CF11CA" w:rsidRDefault="00CF11CA" w:rsidP="00CF11CA">
      <w:pPr>
        <w:pStyle w:val="BodyText"/>
        <w:tabs>
          <w:tab w:val="left" w:pos="5040"/>
        </w:tabs>
        <w:spacing w:after="0"/>
        <w:rPr>
          <w:sz w:val="28"/>
        </w:rPr>
      </w:pPr>
    </w:p>
    <w:p w14:paraId="6572ECF5" w14:textId="77777777" w:rsidR="00CF11CA" w:rsidRDefault="00CF11CA" w:rsidP="00CF11CA">
      <w:pPr>
        <w:pStyle w:val="BodyText"/>
        <w:tabs>
          <w:tab w:val="left" w:pos="5040"/>
        </w:tabs>
        <w:spacing w:after="0"/>
        <w:rPr>
          <w:sz w:val="28"/>
        </w:rPr>
      </w:pPr>
    </w:p>
    <w:p w14:paraId="04F969FE" w14:textId="77777777" w:rsidR="00CF11CA" w:rsidRDefault="00CF11CA" w:rsidP="00CF11CA">
      <w:pPr>
        <w:pStyle w:val="BodyText"/>
        <w:tabs>
          <w:tab w:val="left" w:pos="5040"/>
        </w:tabs>
        <w:spacing w:after="0"/>
        <w:rPr>
          <w:sz w:val="28"/>
        </w:rPr>
      </w:pPr>
    </w:p>
    <w:p w14:paraId="6F63F9D5" w14:textId="77777777" w:rsidR="00CF11CA" w:rsidRDefault="00CF11CA" w:rsidP="00CF11CA">
      <w:pPr>
        <w:pStyle w:val="BodyText"/>
        <w:tabs>
          <w:tab w:val="left" w:pos="5040"/>
        </w:tabs>
        <w:spacing w:after="0"/>
        <w:rPr>
          <w:sz w:val="28"/>
        </w:rPr>
      </w:pPr>
    </w:p>
    <w:p w14:paraId="697441EF" w14:textId="77777777" w:rsidR="00CF11CA" w:rsidRDefault="00CF11CA" w:rsidP="00CF11CA">
      <w:pPr>
        <w:pStyle w:val="BodyText"/>
        <w:tabs>
          <w:tab w:val="left" w:pos="5040"/>
        </w:tabs>
        <w:spacing w:after="0"/>
        <w:rPr>
          <w:sz w:val="28"/>
        </w:rPr>
      </w:pPr>
    </w:p>
    <w:p w14:paraId="2C125AD9" w14:textId="77777777" w:rsidR="00CF11CA" w:rsidRDefault="00CF11CA" w:rsidP="00CF11CA">
      <w:pPr>
        <w:pStyle w:val="Title"/>
        <w:pBdr>
          <w:bottom w:val="single" w:sz="12" w:space="1" w:color="auto"/>
        </w:pBdr>
        <w:spacing w:after="0" w:line="240" w:lineRule="auto"/>
        <w:rPr>
          <w:sz w:val="28"/>
          <w:u w:val="single"/>
        </w:rPr>
      </w:pPr>
    </w:p>
    <w:p w14:paraId="5733F552" w14:textId="77777777" w:rsidR="00CF11CA" w:rsidRDefault="00CF11CA" w:rsidP="00CF11CA">
      <w:pPr>
        <w:spacing w:line="240" w:lineRule="auto"/>
      </w:pPr>
    </w:p>
    <w:p w14:paraId="4FF3A5D4" w14:textId="0E26D475" w:rsidR="00CF11CA" w:rsidRDefault="00CF11CA" w:rsidP="00CF11CA">
      <w:pPr>
        <w:spacing w:line="240" w:lineRule="auto"/>
        <w:jc w:val="center"/>
        <w:rPr>
          <w:rFonts w:ascii="Arial Bold" w:hAnsi="Arial Bold"/>
          <w:b/>
          <w:smallCaps/>
          <w:sz w:val="32"/>
        </w:rPr>
      </w:pPr>
      <w:r w:rsidRPr="00CF11CA">
        <w:rPr>
          <w:rFonts w:ascii="Arial Bold" w:hAnsi="Arial Bold"/>
          <w:b/>
          <w:smallCaps/>
          <w:sz w:val="32"/>
        </w:rPr>
        <w:t>Industrial Energy Users-Ohio</w:t>
      </w:r>
      <w:r>
        <w:rPr>
          <w:rFonts w:ascii="Arial Bold" w:hAnsi="Arial Bold"/>
          <w:b/>
          <w:smallCaps/>
          <w:sz w:val="32"/>
        </w:rPr>
        <w:t>’s</w:t>
      </w:r>
    </w:p>
    <w:p w14:paraId="02B13711" w14:textId="54352CFB" w:rsidR="00CF11CA" w:rsidRPr="00CF11CA" w:rsidRDefault="00CF11CA" w:rsidP="00CF11CA">
      <w:pPr>
        <w:spacing w:line="240" w:lineRule="auto"/>
        <w:jc w:val="center"/>
        <w:rPr>
          <w:rFonts w:ascii="Arial Bold" w:hAnsi="Arial Bold"/>
          <w:b/>
          <w:smallCaps/>
          <w:sz w:val="32"/>
        </w:rPr>
      </w:pPr>
      <w:r>
        <w:rPr>
          <w:rFonts w:ascii="Arial Bold" w:hAnsi="Arial Bold"/>
          <w:b/>
          <w:smallCaps/>
          <w:sz w:val="32"/>
        </w:rPr>
        <w:t>Reply Comments</w:t>
      </w:r>
    </w:p>
    <w:p w14:paraId="512D94F3" w14:textId="77777777" w:rsidR="00CF11CA" w:rsidRDefault="00CF11CA" w:rsidP="00CF11CA">
      <w:pPr>
        <w:pStyle w:val="Title"/>
        <w:pBdr>
          <w:bottom w:val="single" w:sz="12" w:space="1" w:color="auto"/>
        </w:pBdr>
        <w:spacing w:after="0" w:line="240" w:lineRule="auto"/>
        <w:rPr>
          <w:sz w:val="28"/>
          <w:u w:val="single"/>
        </w:rPr>
      </w:pPr>
    </w:p>
    <w:p w14:paraId="5CB80D6F" w14:textId="77777777" w:rsidR="00CF11CA" w:rsidRDefault="00CF11CA" w:rsidP="00CF11CA">
      <w:pPr>
        <w:spacing w:line="240" w:lineRule="auto"/>
      </w:pPr>
    </w:p>
    <w:p w14:paraId="1BE84F64" w14:textId="77777777" w:rsidR="00CF11CA" w:rsidRDefault="00CF11CA" w:rsidP="00CF11CA">
      <w:pPr>
        <w:spacing w:line="240" w:lineRule="auto"/>
        <w:rPr>
          <w:rFonts w:cs="Arial"/>
        </w:rPr>
      </w:pPr>
    </w:p>
    <w:p w14:paraId="3A3A70AB" w14:textId="77777777" w:rsidR="00CF11CA" w:rsidRDefault="00CF11CA" w:rsidP="00CF11CA">
      <w:pPr>
        <w:spacing w:line="240" w:lineRule="auto"/>
        <w:rPr>
          <w:rFonts w:cs="Arial"/>
        </w:rPr>
      </w:pPr>
    </w:p>
    <w:p w14:paraId="6F011294" w14:textId="081D1B93" w:rsidR="00CF11CA" w:rsidRDefault="00CF11CA" w:rsidP="00CF11CA">
      <w:pPr>
        <w:spacing w:line="240" w:lineRule="auto"/>
        <w:rPr>
          <w:rFonts w:cs="Arial"/>
        </w:rPr>
      </w:pPr>
    </w:p>
    <w:p w14:paraId="5FB79BA2" w14:textId="77777777" w:rsidR="00B432DC" w:rsidRDefault="00B432DC" w:rsidP="00CF11CA">
      <w:pPr>
        <w:spacing w:line="240" w:lineRule="auto"/>
        <w:rPr>
          <w:rFonts w:cs="Arial"/>
        </w:rPr>
      </w:pPr>
    </w:p>
    <w:p w14:paraId="1732BC64" w14:textId="77777777" w:rsidR="00CF11CA" w:rsidRDefault="00CF11CA" w:rsidP="00CF11CA">
      <w:pPr>
        <w:tabs>
          <w:tab w:val="left" w:pos="4320"/>
          <w:tab w:val="left" w:pos="5040"/>
        </w:tabs>
        <w:spacing w:line="240" w:lineRule="auto"/>
        <w:rPr>
          <w:rFonts w:cs="Arial"/>
        </w:rPr>
      </w:pPr>
    </w:p>
    <w:p w14:paraId="10720F4A" w14:textId="77777777" w:rsidR="00CF11CA" w:rsidRDefault="00CF11CA" w:rsidP="00CF11CA">
      <w:pPr>
        <w:tabs>
          <w:tab w:val="left" w:pos="4320"/>
          <w:tab w:val="left" w:pos="5040"/>
        </w:tabs>
        <w:spacing w:line="240" w:lineRule="auto"/>
        <w:rPr>
          <w:rFonts w:cs="Arial"/>
        </w:rPr>
      </w:pPr>
    </w:p>
    <w:p w14:paraId="02C13DE3" w14:textId="77777777" w:rsidR="00CF11CA" w:rsidRDefault="00CF11CA" w:rsidP="00CF11CA">
      <w:pPr>
        <w:tabs>
          <w:tab w:val="left" w:pos="4320"/>
          <w:tab w:val="left" w:pos="5040"/>
        </w:tabs>
        <w:spacing w:line="240" w:lineRule="auto"/>
        <w:rPr>
          <w:rFonts w:cs="Arial"/>
        </w:rPr>
      </w:pPr>
    </w:p>
    <w:p w14:paraId="4A6FE330" w14:textId="77777777" w:rsidR="00CF11CA" w:rsidRDefault="00CF11CA" w:rsidP="00CF11CA">
      <w:pPr>
        <w:tabs>
          <w:tab w:val="left" w:pos="4320"/>
          <w:tab w:val="left" w:pos="5040"/>
        </w:tabs>
        <w:spacing w:line="240" w:lineRule="auto"/>
        <w:rPr>
          <w:rFonts w:cs="Arial"/>
        </w:rPr>
      </w:pPr>
    </w:p>
    <w:p w14:paraId="416B8B58" w14:textId="77777777" w:rsidR="00CF11CA" w:rsidRDefault="00CF11CA" w:rsidP="00CF11CA">
      <w:pPr>
        <w:tabs>
          <w:tab w:val="left" w:pos="4320"/>
          <w:tab w:val="left" w:pos="5040"/>
        </w:tabs>
        <w:spacing w:line="240" w:lineRule="auto"/>
        <w:rPr>
          <w:rFonts w:cs="Arial"/>
        </w:rPr>
      </w:pPr>
    </w:p>
    <w:p w14:paraId="1D1623F5" w14:textId="77777777" w:rsidR="00CF11CA" w:rsidRPr="00F806C8" w:rsidRDefault="00CF11CA" w:rsidP="00CF11CA">
      <w:pPr>
        <w:tabs>
          <w:tab w:val="left" w:pos="4320"/>
          <w:tab w:val="left" w:pos="5040"/>
        </w:tabs>
        <w:spacing w:line="240" w:lineRule="auto"/>
        <w:rPr>
          <w:rFonts w:cs="Arial"/>
          <w:color w:val="000000" w:themeColor="text1"/>
        </w:rPr>
      </w:pPr>
    </w:p>
    <w:p w14:paraId="2B80804C" w14:textId="77777777" w:rsidR="00CF11CA" w:rsidRPr="00F806C8" w:rsidRDefault="00CF11CA" w:rsidP="00CF11CA">
      <w:pPr>
        <w:pStyle w:val="BodyText3"/>
        <w:widowControl w:val="0"/>
        <w:spacing w:after="0" w:line="240" w:lineRule="auto"/>
        <w:ind w:left="3960"/>
        <w:rPr>
          <w:rFonts w:cs="Arial"/>
          <w:b/>
          <w:bCs/>
          <w:color w:val="000000" w:themeColor="text1"/>
          <w:sz w:val="24"/>
          <w:szCs w:val="24"/>
        </w:rPr>
      </w:pPr>
      <w:r w:rsidRPr="00B2023F">
        <w:rPr>
          <w:rFonts w:cs="Arial"/>
          <w:b/>
          <w:bCs/>
          <w:color w:val="000000" w:themeColor="text1"/>
          <w:sz w:val="24"/>
          <w:szCs w:val="24"/>
        </w:rPr>
        <w:t xml:space="preserve">Matthew R. Pritchard </w:t>
      </w:r>
      <w:r w:rsidRPr="00F806C8">
        <w:rPr>
          <w:rFonts w:cs="Arial"/>
          <w:bCs/>
          <w:color w:val="000000" w:themeColor="text1"/>
          <w:sz w:val="24"/>
          <w:szCs w:val="24"/>
        </w:rPr>
        <w:t>(Reg. No. 0088070)</w:t>
      </w:r>
    </w:p>
    <w:p w14:paraId="351B06FF" w14:textId="77777777" w:rsidR="00CF11CA" w:rsidRPr="00F806C8" w:rsidRDefault="00CF11CA" w:rsidP="00CF11CA">
      <w:pPr>
        <w:tabs>
          <w:tab w:val="right" w:pos="8640"/>
        </w:tabs>
        <w:spacing w:line="240" w:lineRule="auto"/>
        <w:ind w:left="3960"/>
        <w:rPr>
          <w:rFonts w:cs="Arial"/>
          <w:color w:val="000000" w:themeColor="text1"/>
        </w:rPr>
      </w:pPr>
      <w:r w:rsidRPr="00F806C8">
        <w:rPr>
          <w:rFonts w:cs="Arial"/>
          <w:b/>
          <w:bCs/>
          <w:color w:val="000000" w:themeColor="text1"/>
        </w:rPr>
        <w:t xml:space="preserve">  </w:t>
      </w:r>
      <w:r w:rsidRPr="00F806C8">
        <w:rPr>
          <w:rFonts w:cs="Arial"/>
          <w:color w:val="000000" w:themeColor="text1"/>
        </w:rPr>
        <w:t>(Counsel of Record)</w:t>
      </w:r>
    </w:p>
    <w:p w14:paraId="07985971" w14:textId="77777777" w:rsidR="00CF11CA" w:rsidRPr="00F806C8" w:rsidRDefault="00CF11CA" w:rsidP="00CF11CA">
      <w:pPr>
        <w:pStyle w:val="BodyText3"/>
        <w:widowControl w:val="0"/>
        <w:spacing w:after="0" w:line="240" w:lineRule="auto"/>
        <w:ind w:left="3960"/>
        <w:rPr>
          <w:rFonts w:cs="Arial"/>
          <w:b/>
          <w:bCs/>
          <w:color w:val="000000" w:themeColor="text1"/>
          <w:sz w:val="24"/>
          <w:szCs w:val="24"/>
        </w:rPr>
      </w:pPr>
      <w:r w:rsidRPr="00B2023F">
        <w:rPr>
          <w:rFonts w:cs="Arial"/>
          <w:b/>
          <w:bCs/>
          <w:color w:val="000000" w:themeColor="text1"/>
          <w:sz w:val="24"/>
          <w:szCs w:val="24"/>
        </w:rPr>
        <w:t xml:space="preserve">Frank P. </w:t>
      </w:r>
      <w:proofErr w:type="spellStart"/>
      <w:r w:rsidRPr="00B2023F">
        <w:rPr>
          <w:rFonts w:cs="Arial"/>
          <w:b/>
          <w:bCs/>
          <w:color w:val="000000" w:themeColor="text1"/>
          <w:sz w:val="24"/>
          <w:szCs w:val="24"/>
        </w:rPr>
        <w:t>Darr</w:t>
      </w:r>
      <w:proofErr w:type="spellEnd"/>
      <w:r w:rsidRPr="00F806C8">
        <w:rPr>
          <w:rFonts w:cs="Arial"/>
          <w:bCs/>
          <w:color w:val="000000" w:themeColor="text1"/>
          <w:sz w:val="24"/>
          <w:szCs w:val="24"/>
        </w:rPr>
        <w:t xml:space="preserve"> (Reg. No. 0025469)</w:t>
      </w:r>
    </w:p>
    <w:p w14:paraId="7BC6B115" w14:textId="77777777" w:rsidR="00CF11CA" w:rsidRPr="00F806C8" w:rsidRDefault="00CF11CA" w:rsidP="00CF11CA">
      <w:pPr>
        <w:pStyle w:val="BodyText3"/>
        <w:widowControl w:val="0"/>
        <w:spacing w:after="0" w:line="240" w:lineRule="auto"/>
        <w:ind w:left="3960"/>
        <w:rPr>
          <w:rFonts w:cs="Arial"/>
          <w:b/>
          <w:bCs/>
          <w:smallCaps/>
          <w:color w:val="000000" w:themeColor="text1"/>
          <w:sz w:val="24"/>
          <w:szCs w:val="24"/>
        </w:rPr>
      </w:pPr>
      <w:r w:rsidRPr="00F806C8">
        <w:rPr>
          <w:rFonts w:cs="Arial"/>
          <w:bCs/>
          <w:smallCaps/>
          <w:color w:val="000000" w:themeColor="text1"/>
          <w:sz w:val="24"/>
          <w:szCs w:val="24"/>
        </w:rPr>
        <w:t xml:space="preserve">McNees Wallace &amp; </w:t>
      </w:r>
      <w:proofErr w:type="spellStart"/>
      <w:r w:rsidRPr="00F806C8">
        <w:rPr>
          <w:rFonts w:cs="Arial"/>
          <w:bCs/>
          <w:smallCaps/>
          <w:color w:val="000000" w:themeColor="text1"/>
          <w:sz w:val="24"/>
          <w:szCs w:val="24"/>
        </w:rPr>
        <w:t>Nurick</w:t>
      </w:r>
      <w:proofErr w:type="spellEnd"/>
      <w:r w:rsidRPr="00F806C8">
        <w:rPr>
          <w:rFonts w:cs="Arial"/>
          <w:bCs/>
          <w:smallCaps/>
          <w:color w:val="000000" w:themeColor="text1"/>
          <w:sz w:val="24"/>
          <w:szCs w:val="24"/>
        </w:rPr>
        <w:t xml:space="preserve"> LLC</w:t>
      </w:r>
    </w:p>
    <w:p w14:paraId="10846BCB" w14:textId="77777777" w:rsidR="00CF11CA" w:rsidRPr="00F806C8" w:rsidRDefault="00CF11CA" w:rsidP="00CF11CA">
      <w:pPr>
        <w:pStyle w:val="BodyText3"/>
        <w:widowControl w:val="0"/>
        <w:spacing w:after="0" w:line="240" w:lineRule="auto"/>
        <w:ind w:left="3960"/>
        <w:rPr>
          <w:rFonts w:cs="Arial"/>
          <w:b/>
          <w:bCs/>
          <w:color w:val="000000" w:themeColor="text1"/>
          <w:sz w:val="24"/>
          <w:szCs w:val="24"/>
        </w:rPr>
      </w:pPr>
      <w:r w:rsidRPr="00F806C8">
        <w:rPr>
          <w:rFonts w:cs="Arial"/>
          <w:bCs/>
          <w:color w:val="000000" w:themeColor="text1"/>
          <w:sz w:val="24"/>
          <w:szCs w:val="24"/>
        </w:rPr>
        <w:t>21 East State Street, 17</w:t>
      </w:r>
      <w:r w:rsidRPr="00F806C8">
        <w:rPr>
          <w:rFonts w:cs="Arial"/>
          <w:bCs/>
          <w:color w:val="000000" w:themeColor="text1"/>
          <w:sz w:val="24"/>
          <w:szCs w:val="24"/>
          <w:vertAlign w:val="superscript"/>
        </w:rPr>
        <w:t>TH</w:t>
      </w:r>
      <w:r w:rsidRPr="00F806C8">
        <w:rPr>
          <w:rFonts w:cs="Arial"/>
          <w:bCs/>
          <w:color w:val="000000" w:themeColor="text1"/>
          <w:sz w:val="24"/>
          <w:szCs w:val="24"/>
        </w:rPr>
        <w:t xml:space="preserve"> Floor</w:t>
      </w:r>
    </w:p>
    <w:p w14:paraId="4327F348" w14:textId="77777777" w:rsidR="00CF11CA" w:rsidRPr="00F806C8" w:rsidRDefault="00CF11CA" w:rsidP="00CF11CA">
      <w:pPr>
        <w:pStyle w:val="BodyText"/>
        <w:spacing w:after="0"/>
        <w:ind w:left="3960"/>
        <w:rPr>
          <w:rFonts w:cs="Arial"/>
          <w:color w:val="000000" w:themeColor="text1"/>
        </w:rPr>
      </w:pPr>
      <w:r w:rsidRPr="00F806C8">
        <w:rPr>
          <w:rFonts w:cs="Arial"/>
          <w:color w:val="000000" w:themeColor="text1"/>
        </w:rPr>
        <w:t>Columbus, OH  43215</w:t>
      </w:r>
    </w:p>
    <w:p w14:paraId="6EACF542" w14:textId="77777777" w:rsidR="00CF11CA" w:rsidRPr="00F806C8" w:rsidRDefault="00CF11CA" w:rsidP="00CF11CA">
      <w:pPr>
        <w:pStyle w:val="BodyText"/>
        <w:spacing w:after="0"/>
        <w:ind w:left="3960"/>
        <w:rPr>
          <w:rFonts w:cs="Arial"/>
          <w:color w:val="000000" w:themeColor="text1"/>
        </w:rPr>
      </w:pPr>
      <w:r w:rsidRPr="00F806C8">
        <w:rPr>
          <w:rFonts w:cs="Arial"/>
          <w:color w:val="000000" w:themeColor="text1"/>
        </w:rPr>
        <w:t>Telephone:  (614) 469-8000</w:t>
      </w:r>
    </w:p>
    <w:p w14:paraId="7C49D896" w14:textId="77777777" w:rsidR="00CF11CA" w:rsidRPr="00F806C8" w:rsidRDefault="00CF11CA" w:rsidP="00CF11CA">
      <w:pPr>
        <w:pStyle w:val="BodyText"/>
        <w:spacing w:after="0"/>
        <w:ind w:left="3960"/>
        <w:rPr>
          <w:rFonts w:cs="Arial"/>
          <w:color w:val="000000" w:themeColor="text1"/>
        </w:rPr>
      </w:pPr>
      <w:r w:rsidRPr="00F806C8">
        <w:rPr>
          <w:rFonts w:cs="Arial"/>
          <w:color w:val="000000" w:themeColor="text1"/>
        </w:rPr>
        <w:t>Telecopier:  (614) 469-4653</w:t>
      </w:r>
    </w:p>
    <w:p w14:paraId="4FC94D32" w14:textId="77777777" w:rsidR="00CF11CA" w:rsidRPr="00F806C8" w:rsidRDefault="00CF11CA" w:rsidP="00CF11CA">
      <w:pPr>
        <w:pStyle w:val="BodyText"/>
        <w:spacing w:after="0"/>
        <w:ind w:left="3960"/>
        <w:rPr>
          <w:rFonts w:cs="Arial"/>
          <w:color w:val="000000" w:themeColor="text1"/>
        </w:rPr>
      </w:pPr>
      <w:r w:rsidRPr="00F806C8">
        <w:rPr>
          <w:rFonts w:cs="Arial"/>
          <w:color w:val="000000" w:themeColor="text1"/>
        </w:rPr>
        <w:t>mpritchard@</w:t>
      </w:r>
      <w:r>
        <w:rPr>
          <w:rFonts w:cs="Arial"/>
          <w:color w:val="000000" w:themeColor="text1"/>
        </w:rPr>
        <w:t>mcneeslaw</w:t>
      </w:r>
      <w:r w:rsidRPr="00F806C8">
        <w:rPr>
          <w:rFonts w:cs="Arial"/>
          <w:color w:val="000000" w:themeColor="text1"/>
        </w:rPr>
        <w:t>.com</w:t>
      </w:r>
    </w:p>
    <w:p w14:paraId="78A34F80" w14:textId="77777777" w:rsidR="00CF11CA" w:rsidRDefault="00CF11CA" w:rsidP="00CF11CA">
      <w:pPr>
        <w:tabs>
          <w:tab w:val="left" w:pos="4320"/>
          <w:tab w:val="right" w:pos="8640"/>
        </w:tabs>
        <w:spacing w:line="240" w:lineRule="auto"/>
        <w:ind w:left="3960"/>
        <w:rPr>
          <w:rFonts w:cs="Arial"/>
          <w:color w:val="000000" w:themeColor="text1"/>
        </w:rPr>
      </w:pPr>
      <w:r>
        <w:rPr>
          <w:rFonts w:cs="Arial"/>
          <w:color w:val="000000" w:themeColor="text1"/>
        </w:rPr>
        <w:t>(willing to accept service via e-mail)</w:t>
      </w:r>
    </w:p>
    <w:p w14:paraId="7B75406F" w14:textId="77777777" w:rsidR="00FE19B6" w:rsidRPr="00F806C8" w:rsidRDefault="00FE19B6" w:rsidP="00FE19B6">
      <w:pPr>
        <w:pStyle w:val="BodyText"/>
        <w:spacing w:after="0"/>
        <w:ind w:left="3960"/>
        <w:rPr>
          <w:rFonts w:cs="Arial"/>
          <w:color w:val="000000" w:themeColor="text1"/>
        </w:rPr>
      </w:pPr>
      <w:r w:rsidRPr="00F806C8">
        <w:rPr>
          <w:rFonts w:cs="Arial"/>
          <w:color w:val="000000" w:themeColor="text1"/>
        </w:rPr>
        <w:t>fdarr@</w:t>
      </w:r>
      <w:r>
        <w:rPr>
          <w:rFonts w:cs="Arial"/>
          <w:color w:val="000000" w:themeColor="text1"/>
        </w:rPr>
        <w:t>mcneeslaw</w:t>
      </w:r>
      <w:r w:rsidRPr="00F806C8">
        <w:rPr>
          <w:rFonts w:cs="Arial"/>
          <w:color w:val="000000" w:themeColor="text1"/>
        </w:rPr>
        <w:t>.com</w:t>
      </w:r>
    </w:p>
    <w:p w14:paraId="5C35DBEE" w14:textId="77777777" w:rsidR="00FE19B6" w:rsidRDefault="00FE19B6" w:rsidP="00FE19B6">
      <w:pPr>
        <w:tabs>
          <w:tab w:val="left" w:pos="4320"/>
          <w:tab w:val="right" w:pos="8640"/>
        </w:tabs>
        <w:spacing w:line="240" w:lineRule="auto"/>
        <w:ind w:left="3960"/>
        <w:rPr>
          <w:rFonts w:cs="Arial"/>
          <w:color w:val="000000" w:themeColor="text1"/>
        </w:rPr>
      </w:pPr>
      <w:r>
        <w:rPr>
          <w:rFonts w:cs="Arial"/>
          <w:color w:val="000000" w:themeColor="text1"/>
        </w:rPr>
        <w:t>(willing to accept service via e-mail)</w:t>
      </w:r>
    </w:p>
    <w:p w14:paraId="2C2DE7A0" w14:textId="77777777" w:rsidR="00CF11CA" w:rsidRPr="00F806C8" w:rsidRDefault="00CF11CA" w:rsidP="00CF11CA">
      <w:pPr>
        <w:tabs>
          <w:tab w:val="left" w:pos="4320"/>
          <w:tab w:val="right" w:pos="8640"/>
        </w:tabs>
        <w:spacing w:line="240" w:lineRule="auto"/>
        <w:ind w:left="3960"/>
        <w:rPr>
          <w:rFonts w:cs="Arial"/>
          <w:color w:val="000000" w:themeColor="text1"/>
        </w:rPr>
      </w:pPr>
    </w:p>
    <w:p w14:paraId="781B9DFE" w14:textId="0EEE989C" w:rsidR="00CF11CA" w:rsidRPr="00F806C8" w:rsidRDefault="00CF11CA" w:rsidP="00830ED8">
      <w:pPr>
        <w:pStyle w:val="Title"/>
        <w:pBdr>
          <w:bottom w:val="none" w:sz="0" w:space="0" w:color="auto"/>
        </w:pBdr>
        <w:spacing w:after="0" w:line="240" w:lineRule="auto"/>
        <w:ind w:left="3960" w:hanging="3960"/>
        <w:jc w:val="left"/>
        <w:rPr>
          <w:rFonts w:ascii="Arial Bold" w:hAnsi="Arial Bold" w:cs="Arial"/>
          <w:b/>
          <w:smallCaps/>
          <w:color w:val="000000" w:themeColor="text1"/>
          <w:sz w:val="24"/>
          <w:szCs w:val="24"/>
        </w:rPr>
      </w:pPr>
      <w:r>
        <w:rPr>
          <w:rFonts w:ascii="Arial Bold" w:hAnsi="Arial Bold" w:cs="Arial"/>
          <w:b/>
          <w:smallCaps/>
          <w:color w:val="000000" w:themeColor="text1"/>
          <w:sz w:val="24"/>
          <w:szCs w:val="24"/>
        </w:rPr>
        <w:t>July 26, 2019</w:t>
      </w:r>
      <w:r w:rsidRPr="00F806C8">
        <w:rPr>
          <w:rFonts w:ascii="Arial Bold" w:hAnsi="Arial Bold" w:cs="Arial"/>
          <w:b/>
          <w:smallCaps/>
          <w:color w:val="000000" w:themeColor="text1"/>
          <w:sz w:val="24"/>
          <w:szCs w:val="24"/>
        </w:rPr>
        <w:tab/>
        <w:t>Attorneys for Industrial Energy Users-Ohio</w:t>
      </w:r>
    </w:p>
    <w:p w14:paraId="5689144E" w14:textId="77777777" w:rsidR="00CF11CA" w:rsidRPr="00F806C8" w:rsidRDefault="00CF11CA" w:rsidP="00CF11CA">
      <w:pPr>
        <w:pStyle w:val="Title"/>
        <w:pBdr>
          <w:bottom w:val="none" w:sz="0" w:space="0" w:color="auto"/>
        </w:pBdr>
        <w:tabs>
          <w:tab w:val="left" w:pos="4320"/>
        </w:tabs>
        <w:spacing w:after="0" w:line="240" w:lineRule="auto"/>
        <w:ind w:left="4140" w:hanging="4320"/>
        <w:jc w:val="center"/>
        <w:rPr>
          <w:rFonts w:ascii="Arial Bold" w:hAnsi="Arial Bold" w:cs="Arial"/>
          <w:b/>
          <w:smallCaps/>
          <w:color w:val="000000" w:themeColor="text1"/>
          <w:sz w:val="24"/>
          <w:szCs w:val="24"/>
        </w:rPr>
        <w:sectPr w:rsidR="00CF11CA" w:rsidRPr="00F806C8" w:rsidSect="00CF11C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38" w:left="1440" w:header="720" w:footer="360" w:gutter="0"/>
          <w:pgNumType w:start="1"/>
          <w:cols w:space="720"/>
          <w:titlePg/>
          <w:docGrid w:linePitch="326"/>
        </w:sectPr>
      </w:pPr>
    </w:p>
    <w:p w14:paraId="038E1C38" w14:textId="77777777" w:rsidR="00CF11CA" w:rsidRPr="00CF11CA" w:rsidRDefault="00CF11CA" w:rsidP="00CF11CA">
      <w:pPr>
        <w:autoSpaceDE w:val="0"/>
        <w:autoSpaceDN w:val="0"/>
        <w:adjustRightInd w:val="0"/>
        <w:spacing w:line="240" w:lineRule="auto"/>
        <w:jc w:val="center"/>
        <w:rPr>
          <w:rFonts w:ascii="Arial Bold" w:hAnsi="Arial Bold" w:cs="Arial"/>
          <w:b/>
          <w:smallCaps/>
          <w:sz w:val="28"/>
          <w:szCs w:val="28"/>
        </w:rPr>
      </w:pPr>
      <w:r w:rsidRPr="00CF11CA">
        <w:rPr>
          <w:rFonts w:ascii="Arial Bold" w:hAnsi="Arial Bold" w:cs="Arial"/>
          <w:b/>
          <w:smallCaps/>
          <w:sz w:val="28"/>
          <w:szCs w:val="28"/>
        </w:rPr>
        <w:lastRenderedPageBreak/>
        <w:t>Before</w:t>
      </w:r>
    </w:p>
    <w:p w14:paraId="7DDD4CF5" w14:textId="77777777" w:rsidR="00CF11CA" w:rsidRPr="00CF11CA" w:rsidRDefault="00CF11CA" w:rsidP="00CF11CA">
      <w:pPr>
        <w:autoSpaceDE w:val="0"/>
        <w:autoSpaceDN w:val="0"/>
        <w:adjustRightInd w:val="0"/>
        <w:spacing w:line="240" w:lineRule="auto"/>
        <w:jc w:val="center"/>
        <w:rPr>
          <w:rFonts w:ascii="Arial Bold" w:hAnsi="Arial Bold" w:cs="Arial"/>
          <w:b/>
          <w:smallCaps/>
          <w:sz w:val="28"/>
          <w:szCs w:val="28"/>
        </w:rPr>
      </w:pPr>
      <w:r w:rsidRPr="00CF11CA">
        <w:rPr>
          <w:rFonts w:ascii="Arial Bold" w:hAnsi="Arial Bold" w:cs="Arial"/>
          <w:b/>
          <w:smallCaps/>
          <w:sz w:val="28"/>
          <w:szCs w:val="28"/>
        </w:rPr>
        <w:t>the Public Utilities Commission of Ohio</w:t>
      </w:r>
    </w:p>
    <w:p w14:paraId="2DDE512F" w14:textId="77777777" w:rsidR="00CF11CA" w:rsidRDefault="00CF11CA" w:rsidP="00CF11CA">
      <w:pPr>
        <w:autoSpaceDE w:val="0"/>
        <w:autoSpaceDN w:val="0"/>
        <w:adjustRightInd w:val="0"/>
        <w:spacing w:line="240" w:lineRule="auto"/>
        <w:jc w:val="center"/>
        <w:rPr>
          <w:rFonts w:ascii="Arial Bold" w:hAnsi="Arial Bold" w:cs="Arial"/>
          <w:smallCaps/>
        </w:rPr>
      </w:pPr>
    </w:p>
    <w:p w14:paraId="44DD4D6B" w14:textId="77777777" w:rsidR="00CF11CA" w:rsidRPr="000C3B01" w:rsidRDefault="00CF11CA" w:rsidP="00CF11CA">
      <w:pPr>
        <w:autoSpaceDE w:val="0"/>
        <w:autoSpaceDN w:val="0"/>
        <w:adjustRightInd w:val="0"/>
        <w:spacing w:line="240" w:lineRule="auto"/>
        <w:jc w:val="center"/>
        <w:rPr>
          <w:rFonts w:ascii="Arial Bold" w:hAnsi="Arial Bold" w:cs="Arial"/>
          <w:smallCaps/>
        </w:rPr>
      </w:pPr>
    </w:p>
    <w:p w14:paraId="78EFD770" w14:textId="77777777" w:rsidR="00CF11CA" w:rsidRPr="000C3B01" w:rsidRDefault="00CF11CA" w:rsidP="00CF11CA">
      <w:pPr>
        <w:tabs>
          <w:tab w:val="left" w:pos="5040"/>
          <w:tab w:val="left" w:pos="5580"/>
        </w:tabs>
        <w:autoSpaceDE w:val="0"/>
        <w:autoSpaceDN w:val="0"/>
        <w:adjustRightInd w:val="0"/>
        <w:spacing w:line="240" w:lineRule="auto"/>
        <w:rPr>
          <w:rFonts w:cs="Arial"/>
        </w:rPr>
      </w:pPr>
      <w:r w:rsidRPr="000C3B01">
        <w:rPr>
          <w:rFonts w:cs="Arial"/>
        </w:rPr>
        <w:t xml:space="preserve">In the Matter of the </w:t>
      </w:r>
      <w:r>
        <w:rPr>
          <w:rFonts w:cs="Arial"/>
        </w:rPr>
        <w:t>Commission’s Review</w:t>
      </w:r>
      <w:r>
        <w:rPr>
          <w:rFonts w:cs="Arial"/>
        </w:rPr>
        <w:tab/>
        <w:t>)</w:t>
      </w:r>
      <w:r w:rsidRPr="00B2023F">
        <w:rPr>
          <w:rFonts w:cs="Arial"/>
        </w:rPr>
        <w:t xml:space="preserve"> </w:t>
      </w:r>
    </w:p>
    <w:p w14:paraId="2428CE2A" w14:textId="11A8E118" w:rsidR="00CF11CA" w:rsidRDefault="00046430" w:rsidP="00CF11CA">
      <w:pPr>
        <w:tabs>
          <w:tab w:val="left" w:pos="5040"/>
          <w:tab w:val="left" w:pos="5580"/>
        </w:tabs>
        <w:autoSpaceDE w:val="0"/>
        <w:autoSpaceDN w:val="0"/>
        <w:adjustRightInd w:val="0"/>
        <w:spacing w:line="240" w:lineRule="auto"/>
        <w:rPr>
          <w:rFonts w:cs="Arial"/>
        </w:rPr>
      </w:pPr>
      <w:r>
        <w:rPr>
          <w:rFonts w:cs="Arial"/>
        </w:rPr>
        <w:t>o</w:t>
      </w:r>
      <w:r w:rsidR="00CF11CA">
        <w:rPr>
          <w:rFonts w:cs="Arial"/>
        </w:rPr>
        <w:t>f its Rules for Standard Service Offers for</w:t>
      </w:r>
      <w:r w:rsidR="00CF11CA">
        <w:rPr>
          <w:rFonts w:cs="Arial"/>
        </w:rPr>
        <w:tab/>
        <w:t>)</w:t>
      </w:r>
      <w:r w:rsidR="00CF11CA">
        <w:rPr>
          <w:rFonts w:cs="Arial"/>
        </w:rPr>
        <w:tab/>
        <w:t>Case No. 18-1190-EL-ORD</w:t>
      </w:r>
    </w:p>
    <w:p w14:paraId="4C79D914" w14:textId="77777777" w:rsidR="00CF11CA" w:rsidRDefault="00CF11CA" w:rsidP="00CF11CA">
      <w:pPr>
        <w:tabs>
          <w:tab w:val="left" w:pos="5040"/>
          <w:tab w:val="left" w:pos="5580"/>
        </w:tabs>
        <w:autoSpaceDE w:val="0"/>
        <w:autoSpaceDN w:val="0"/>
        <w:adjustRightInd w:val="0"/>
        <w:spacing w:line="240" w:lineRule="auto"/>
        <w:rPr>
          <w:rFonts w:cs="Arial"/>
        </w:rPr>
      </w:pPr>
      <w:r>
        <w:rPr>
          <w:rFonts w:cs="Arial"/>
        </w:rPr>
        <w:t>Electric Utilities Contained in Chapter</w:t>
      </w:r>
      <w:r>
        <w:rPr>
          <w:rFonts w:cs="Arial"/>
        </w:rPr>
        <w:tab/>
        <w:t>)</w:t>
      </w:r>
    </w:p>
    <w:p w14:paraId="7989BA77" w14:textId="77777777" w:rsidR="00CF11CA" w:rsidRPr="000C3B01" w:rsidRDefault="00CF11CA" w:rsidP="00CF11CA">
      <w:pPr>
        <w:tabs>
          <w:tab w:val="left" w:pos="5040"/>
          <w:tab w:val="left" w:pos="5580"/>
        </w:tabs>
        <w:autoSpaceDE w:val="0"/>
        <w:autoSpaceDN w:val="0"/>
        <w:adjustRightInd w:val="0"/>
        <w:spacing w:line="240" w:lineRule="auto"/>
        <w:rPr>
          <w:rFonts w:cs="Arial"/>
        </w:rPr>
      </w:pPr>
      <w:r>
        <w:rPr>
          <w:rFonts w:cs="Arial"/>
        </w:rPr>
        <w:t>4901:1-37 of the Ohio Administrative Code.</w:t>
      </w:r>
      <w:r>
        <w:rPr>
          <w:rFonts w:cs="Arial"/>
        </w:rPr>
        <w:tab/>
        <w:t>)</w:t>
      </w:r>
    </w:p>
    <w:p w14:paraId="33C35E25" w14:textId="77777777" w:rsidR="00CF11CA" w:rsidRPr="00CF11CA" w:rsidRDefault="00CF11CA" w:rsidP="00CF11CA">
      <w:pPr>
        <w:pStyle w:val="BodyText"/>
        <w:tabs>
          <w:tab w:val="left" w:pos="5040"/>
        </w:tabs>
        <w:spacing w:after="0"/>
      </w:pPr>
    </w:p>
    <w:p w14:paraId="58F681D7" w14:textId="77777777" w:rsidR="00CF11CA" w:rsidRPr="00CF11CA" w:rsidRDefault="00CF11CA" w:rsidP="00CF11CA">
      <w:pPr>
        <w:pStyle w:val="Title"/>
        <w:pBdr>
          <w:bottom w:val="single" w:sz="12" w:space="1" w:color="auto"/>
        </w:pBdr>
        <w:spacing w:after="0" w:line="240" w:lineRule="auto"/>
        <w:rPr>
          <w:sz w:val="24"/>
          <w:szCs w:val="24"/>
          <w:u w:val="single"/>
        </w:rPr>
      </w:pPr>
    </w:p>
    <w:p w14:paraId="03DFE834" w14:textId="77777777" w:rsidR="00CF11CA" w:rsidRPr="00CF11CA" w:rsidRDefault="00CF11CA" w:rsidP="00CF11CA">
      <w:pPr>
        <w:spacing w:line="240" w:lineRule="auto"/>
        <w:rPr>
          <w:szCs w:val="24"/>
        </w:rPr>
      </w:pPr>
    </w:p>
    <w:p w14:paraId="3FDBD73A" w14:textId="77777777" w:rsidR="00CF11CA" w:rsidRPr="00CF11CA" w:rsidRDefault="00CF11CA" w:rsidP="00CF11CA">
      <w:pPr>
        <w:spacing w:line="240" w:lineRule="auto"/>
        <w:jc w:val="center"/>
        <w:rPr>
          <w:rFonts w:ascii="Arial Bold" w:hAnsi="Arial Bold"/>
          <w:b/>
          <w:smallCaps/>
          <w:sz w:val="28"/>
          <w:szCs w:val="28"/>
        </w:rPr>
      </w:pPr>
      <w:r w:rsidRPr="00CF11CA">
        <w:rPr>
          <w:rFonts w:ascii="Arial Bold" w:hAnsi="Arial Bold"/>
          <w:b/>
          <w:smallCaps/>
          <w:sz w:val="28"/>
          <w:szCs w:val="28"/>
        </w:rPr>
        <w:t>Industrial Energy Users-Ohio’s</w:t>
      </w:r>
    </w:p>
    <w:p w14:paraId="6FDC98B8" w14:textId="77777777" w:rsidR="00CF11CA" w:rsidRPr="00CF11CA" w:rsidRDefault="00CF11CA" w:rsidP="00CF11CA">
      <w:pPr>
        <w:spacing w:line="240" w:lineRule="auto"/>
        <w:jc w:val="center"/>
        <w:rPr>
          <w:rFonts w:ascii="Arial Bold" w:hAnsi="Arial Bold"/>
          <w:b/>
          <w:smallCaps/>
          <w:sz w:val="28"/>
          <w:szCs w:val="28"/>
        </w:rPr>
      </w:pPr>
      <w:r w:rsidRPr="00CF11CA">
        <w:rPr>
          <w:rFonts w:ascii="Arial Bold" w:hAnsi="Arial Bold"/>
          <w:b/>
          <w:smallCaps/>
          <w:sz w:val="28"/>
          <w:szCs w:val="28"/>
        </w:rPr>
        <w:t>Reply Comments</w:t>
      </w:r>
    </w:p>
    <w:p w14:paraId="7CDBC413" w14:textId="77777777" w:rsidR="00CF11CA" w:rsidRPr="00CF11CA" w:rsidRDefault="00CF11CA" w:rsidP="00CF11CA">
      <w:pPr>
        <w:pStyle w:val="Title"/>
        <w:pBdr>
          <w:bottom w:val="single" w:sz="12" w:space="1" w:color="auto"/>
        </w:pBdr>
        <w:spacing w:after="0" w:line="240" w:lineRule="auto"/>
        <w:rPr>
          <w:sz w:val="24"/>
          <w:szCs w:val="24"/>
          <w:u w:val="single"/>
        </w:rPr>
      </w:pPr>
    </w:p>
    <w:p w14:paraId="15FE0936" w14:textId="77777777" w:rsidR="00CF11CA" w:rsidRPr="00CF11CA" w:rsidRDefault="00CF11CA" w:rsidP="00CF11CA">
      <w:pPr>
        <w:spacing w:line="240" w:lineRule="auto"/>
        <w:rPr>
          <w:szCs w:val="24"/>
        </w:rPr>
      </w:pPr>
    </w:p>
    <w:p w14:paraId="1138876C" w14:textId="1A2CC1B4" w:rsidR="002A3D59" w:rsidRDefault="00B3021A" w:rsidP="005F56CC">
      <w:r>
        <w:tab/>
        <w:t xml:space="preserve">Industrial Energy Users-Ohio (“IEU-Ohio”) submits these reply comments addressing issues raised in comments by </w:t>
      </w:r>
      <w:r w:rsidR="005D77D4">
        <w:t>T</w:t>
      </w:r>
      <w:r>
        <w:t>he Dayton Power and Light Company (“DP&amp;L”)</w:t>
      </w:r>
      <w:r w:rsidR="00BD7FE9">
        <w:t>, Duke Energy Ohio</w:t>
      </w:r>
      <w:r w:rsidR="005D77D4">
        <w:t>,</w:t>
      </w:r>
      <w:r w:rsidR="00BD7FE9">
        <w:t xml:space="preserve"> Inc. (“Duke”), and the Office of the Ohio Consumers’ Counsel (“OCC”).  </w:t>
      </w:r>
      <w:r w:rsidR="005F56CC">
        <w:t xml:space="preserve">The Public Utilities Commission of Ohio (“Commission”) should adopt IEU-Ohio’s clarification regarding OCC’s proposed definition of unregulated service. </w:t>
      </w:r>
      <w:r w:rsidR="00046430">
        <w:t xml:space="preserve"> </w:t>
      </w:r>
      <w:r w:rsidR="005F56CC">
        <w:t xml:space="preserve">The Commission should reject DP&amp;L’s proposal to allow the Commission to define additional services as noncompetitive retail electric services.  Duke’s proposed emergency waiver changes should either be rejected on grounds that Duke failed to </w:t>
      </w:r>
      <w:r w:rsidR="00A677B4">
        <w:t>provide a supporting rationale demonstrating a need for the changes</w:t>
      </w:r>
      <w:r w:rsidR="005F56CC">
        <w:t xml:space="preserve"> or held in abeyance until Duke </w:t>
      </w:r>
      <w:r w:rsidR="00414352">
        <w:t xml:space="preserve">provides </w:t>
      </w:r>
      <w:r w:rsidR="00A677B4">
        <w:t xml:space="preserve">such an explanation and parties respond to </w:t>
      </w:r>
      <w:r w:rsidR="005D77D4">
        <w:t xml:space="preserve">the </w:t>
      </w:r>
      <w:r w:rsidR="00A677B4">
        <w:t>complete proposal</w:t>
      </w:r>
      <w:r w:rsidR="00414352">
        <w:t>.  In any event, IEU</w:t>
      </w:r>
      <w:r w:rsidR="00046430">
        <w:noBreakHyphen/>
      </w:r>
      <w:r w:rsidR="00414352">
        <w:t xml:space="preserve">Ohio does not believe the Commission should look to emergency waivers of the corporate separation rules to address alleged </w:t>
      </w:r>
      <w:r w:rsidR="00CA3642">
        <w:t xml:space="preserve">threats </w:t>
      </w:r>
      <w:r w:rsidR="00A677B4">
        <w:t xml:space="preserve">of economic harm to customers.  Finally, the Commission should reject </w:t>
      </w:r>
      <w:r w:rsidR="00B45C04">
        <w:t xml:space="preserve">Duke’s </w:t>
      </w:r>
      <w:r w:rsidR="00A677B4">
        <w:t>proposed presumption of reasonableness.</w:t>
      </w:r>
    </w:p>
    <w:p w14:paraId="4C5D56C2" w14:textId="77777777" w:rsidR="00901367" w:rsidRDefault="00901367">
      <w:pPr>
        <w:jc w:val="center"/>
        <w:rPr>
          <w:rFonts w:eastAsiaTheme="majorEastAsia" w:cstheme="majorBidi"/>
          <w:b/>
          <w:caps/>
          <w:szCs w:val="32"/>
          <w:u w:val="single"/>
        </w:rPr>
      </w:pPr>
      <w:r>
        <w:br w:type="page"/>
      </w:r>
    </w:p>
    <w:p w14:paraId="4A012439" w14:textId="0E902EBA" w:rsidR="00050CD5" w:rsidRPr="00050CD5" w:rsidRDefault="00050CD5" w:rsidP="00BD2082">
      <w:pPr>
        <w:pStyle w:val="Heading1"/>
      </w:pPr>
      <w:r w:rsidRPr="00050CD5">
        <w:lastRenderedPageBreak/>
        <w:t xml:space="preserve">OCC’s Comments: </w:t>
      </w:r>
      <w:r w:rsidR="005D77D4">
        <w:t xml:space="preserve"> </w:t>
      </w:r>
      <w:r w:rsidRPr="00050CD5">
        <w:t>Definition of Unregulated Service</w:t>
      </w:r>
    </w:p>
    <w:p w14:paraId="17415DB3" w14:textId="521F7EFB" w:rsidR="00F744DB" w:rsidRDefault="002A3D59" w:rsidP="00B3021A">
      <w:r>
        <w:tab/>
      </w:r>
      <w:r w:rsidR="007E6755">
        <w:t xml:space="preserve">OCC’s </w:t>
      </w:r>
      <w:r>
        <w:t>comments</w:t>
      </w:r>
      <w:r w:rsidR="007E6755">
        <w:t xml:space="preserve"> address structural corporate separation and include a proposed definition of </w:t>
      </w:r>
      <w:r w:rsidR="00F744DB">
        <w:t>“</w:t>
      </w:r>
      <w:r w:rsidR="007E6755">
        <w:t>unregulated service</w:t>
      </w:r>
      <w:r w:rsidR="00B45C04">
        <w:t>.</w:t>
      </w:r>
      <w:r w:rsidR="00F744DB">
        <w:t>”</w:t>
      </w:r>
      <w:r w:rsidR="00F744DB">
        <w:rPr>
          <w:rStyle w:val="FootnoteReference"/>
        </w:rPr>
        <w:footnoteReference w:id="1"/>
      </w:r>
      <w:r w:rsidR="007E6755">
        <w:t xml:space="preserve">  </w:t>
      </w:r>
      <w:r w:rsidR="00F744DB">
        <w:t>OCC proposes that the term be defined as follows:</w:t>
      </w:r>
    </w:p>
    <w:p w14:paraId="0B3D382C" w14:textId="17054524" w:rsidR="00F744DB" w:rsidRDefault="00F744DB" w:rsidP="00F744DB">
      <w:pPr>
        <w:autoSpaceDE w:val="0"/>
        <w:autoSpaceDN w:val="0"/>
        <w:adjustRightInd w:val="0"/>
        <w:snapToGrid w:val="0"/>
        <w:spacing w:line="240" w:lineRule="auto"/>
        <w:ind w:left="720" w:right="720"/>
        <w:rPr>
          <w:rFonts w:eastAsia="Times New Roman" w:cs="Arial"/>
          <w:color w:val="231F20"/>
          <w:szCs w:val="24"/>
        </w:rPr>
      </w:pPr>
      <w:r>
        <w:rPr>
          <w:rFonts w:eastAsia="Times New Roman" w:cs="Arial"/>
          <w:color w:val="231F20"/>
          <w:szCs w:val="24"/>
        </w:rPr>
        <w:t>“</w:t>
      </w:r>
      <w:r w:rsidRPr="00F744DB">
        <w:rPr>
          <w:rFonts w:eastAsia="Times New Roman" w:cs="Arial"/>
          <w:color w:val="231F20"/>
          <w:szCs w:val="24"/>
          <w:lang w:val="x-none"/>
        </w:rPr>
        <w:t>Unregulated service” means a competitive service provided to a</w:t>
      </w:r>
      <w:r>
        <w:rPr>
          <w:rFonts w:eastAsia="Times New Roman" w:cs="Arial"/>
          <w:color w:val="231F20"/>
          <w:szCs w:val="24"/>
        </w:rPr>
        <w:t xml:space="preserve"> </w:t>
      </w:r>
      <w:r w:rsidRPr="00F744DB">
        <w:rPr>
          <w:rFonts w:eastAsia="Times New Roman" w:cs="Arial"/>
          <w:color w:val="231F20"/>
          <w:szCs w:val="24"/>
          <w:lang w:val="x-none"/>
        </w:rPr>
        <w:t>customer after the electric utility meter. These services include,</w:t>
      </w:r>
      <w:r>
        <w:rPr>
          <w:rFonts w:eastAsia="Times New Roman" w:cs="Arial"/>
          <w:color w:val="231F20"/>
          <w:szCs w:val="24"/>
        </w:rPr>
        <w:t xml:space="preserve"> </w:t>
      </w:r>
      <w:r w:rsidRPr="00F744DB">
        <w:rPr>
          <w:rFonts w:eastAsia="Times New Roman" w:cs="Arial"/>
          <w:color w:val="231F20"/>
          <w:szCs w:val="24"/>
          <w:lang w:val="x-none"/>
        </w:rPr>
        <w:t>but are not limited to, Distributed Energy Resources (including</w:t>
      </w:r>
      <w:r>
        <w:rPr>
          <w:rFonts w:eastAsia="Times New Roman" w:cs="Arial"/>
          <w:color w:val="231F20"/>
          <w:szCs w:val="24"/>
        </w:rPr>
        <w:t xml:space="preserve"> </w:t>
      </w:r>
      <w:r w:rsidRPr="00F744DB">
        <w:rPr>
          <w:rFonts w:eastAsia="Times New Roman" w:cs="Arial"/>
          <w:color w:val="231F20"/>
          <w:szCs w:val="24"/>
          <w:lang w:val="x-none"/>
        </w:rPr>
        <w:t>wind and solar generation and battery storage), electric vehicle</w:t>
      </w:r>
      <w:r>
        <w:rPr>
          <w:rFonts w:eastAsia="Times New Roman" w:cs="Arial"/>
          <w:color w:val="231F20"/>
          <w:szCs w:val="24"/>
        </w:rPr>
        <w:t xml:space="preserve"> </w:t>
      </w:r>
      <w:r w:rsidRPr="00F744DB">
        <w:rPr>
          <w:rFonts w:eastAsia="Times New Roman" w:cs="Arial"/>
          <w:color w:val="231F20"/>
          <w:szCs w:val="24"/>
          <w:lang w:val="x-none"/>
        </w:rPr>
        <w:t>charging stations and associated equipment, energy management</w:t>
      </w:r>
      <w:r>
        <w:rPr>
          <w:rFonts w:eastAsia="Times New Roman" w:cs="Arial"/>
          <w:color w:val="231F20"/>
          <w:szCs w:val="24"/>
        </w:rPr>
        <w:t xml:space="preserve"> </w:t>
      </w:r>
      <w:r w:rsidRPr="00F744DB">
        <w:rPr>
          <w:rFonts w:eastAsia="Times New Roman" w:cs="Arial"/>
          <w:color w:val="231F20"/>
          <w:szCs w:val="24"/>
          <w:lang w:val="x-none"/>
        </w:rPr>
        <w:t>services (including demand response), energy monitoring and</w:t>
      </w:r>
      <w:r>
        <w:rPr>
          <w:rFonts w:eastAsia="Times New Roman" w:cs="Arial"/>
          <w:color w:val="231F20"/>
          <w:szCs w:val="24"/>
        </w:rPr>
        <w:t xml:space="preserve"> </w:t>
      </w:r>
      <w:r w:rsidRPr="00F744DB">
        <w:rPr>
          <w:rFonts w:eastAsia="Times New Roman" w:cs="Arial"/>
          <w:color w:val="231F20"/>
          <w:szCs w:val="24"/>
          <w:lang w:val="x-none"/>
        </w:rPr>
        <w:t>control systems and devices, lighting and other smart controls,</w:t>
      </w:r>
      <w:r>
        <w:rPr>
          <w:rFonts w:eastAsia="Times New Roman" w:cs="Arial"/>
          <w:color w:val="231F20"/>
          <w:szCs w:val="24"/>
        </w:rPr>
        <w:t xml:space="preserve"> </w:t>
      </w:r>
      <w:r w:rsidRPr="00F744DB">
        <w:rPr>
          <w:rFonts w:eastAsia="Times New Roman" w:cs="Arial"/>
          <w:color w:val="231F20"/>
          <w:szCs w:val="24"/>
          <w:lang w:val="x-none"/>
        </w:rPr>
        <w:t>maintenance services, and warranty programs</w:t>
      </w:r>
      <w:r>
        <w:rPr>
          <w:rFonts w:eastAsia="Times New Roman" w:cs="Arial"/>
          <w:color w:val="231F20"/>
          <w:szCs w:val="24"/>
        </w:rPr>
        <w:t>.</w:t>
      </w:r>
      <w:r>
        <w:rPr>
          <w:rStyle w:val="FootnoteReference"/>
          <w:rFonts w:eastAsia="Times New Roman" w:cs="Arial"/>
          <w:color w:val="231F20"/>
          <w:szCs w:val="24"/>
        </w:rPr>
        <w:footnoteReference w:id="2"/>
      </w:r>
    </w:p>
    <w:p w14:paraId="49E27880" w14:textId="1035946E" w:rsidR="00F744DB" w:rsidRDefault="00F744DB" w:rsidP="00F744DB">
      <w:pPr>
        <w:autoSpaceDE w:val="0"/>
        <w:autoSpaceDN w:val="0"/>
        <w:adjustRightInd w:val="0"/>
        <w:snapToGrid w:val="0"/>
        <w:spacing w:line="240" w:lineRule="auto"/>
        <w:ind w:left="720" w:right="720"/>
        <w:rPr>
          <w:rFonts w:eastAsia="Times New Roman" w:cs="Arial"/>
          <w:color w:val="231F20"/>
          <w:szCs w:val="24"/>
        </w:rPr>
      </w:pPr>
    </w:p>
    <w:p w14:paraId="728BEFD6" w14:textId="7A27F2B5" w:rsidR="00F744DB" w:rsidRDefault="00F744DB" w:rsidP="00F744DB">
      <w:pPr>
        <w:rPr>
          <w:rFonts w:eastAsia="Times New Roman" w:cs="Arial"/>
          <w:color w:val="231F20"/>
          <w:szCs w:val="24"/>
        </w:rPr>
      </w:pPr>
      <w:r>
        <w:t>Although IEU-Ohio does not generally take issue with the proposed definition, IEU-Ohio is commenting to ensure that the reference to “</w:t>
      </w:r>
      <w:r w:rsidRPr="00F744DB">
        <w:rPr>
          <w:rFonts w:eastAsia="Times New Roman" w:cs="Arial"/>
          <w:color w:val="231F20"/>
          <w:szCs w:val="24"/>
          <w:lang w:val="x-none"/>
        </w:rPr>
        <w:t>energy management</w:t>
      </w:r>
      <w:r>
        <w:rPr>
          <w:rFonts w:eastAsia="Times New Roman" w:cs="Arial"/>
          <w:color w:val="231F20"/>
          <w:szCs w:val="24"/>
        </w:rPr>
        <w:t xml:space="preserve"> </w:t>
      </w:r>
      <w:r w:rsidRPr="00F744DB">
        <w:rPr>
          <w:rFonts w:eastAsia="Times New Roman" w:cs="Arial"/>
          <w:color w:val="231F20"/>
          <w:szCs w:val="24"/>
          <w:lang w:val="x-none"/>
        </w:rPr>
        <w:t>services (including demand response)</w:t>
      </w:r>
      <w:r>
        <w:rPr>
          <w:rFonts w:eastAsia="Times New Roman" w:cs="Arial"/>
          <w:color w:val="231F20"/>
          <w:szCs w:val="24"/>
        </w:rPr>
        <w:t xml:space="preserve">” is not extended beyond a reasonable interpretation.  </w:t>
      </w:r>
      <w:r w:rsidR="00050CD5">
        <w:rPr>
          <w:rFonts w:eastAsia="Times New Roman" w:cs="Arial"/>
          <w:color w:val="231F20"/>
          <w:szCs w:val="24"/>
        </w:rPr>
        <w:t xml:space="preserve">For example, </w:t>
      </w:r>
      <w:r w:rsidR="0010031F">
        <w:rPr>
          <w:rFonts w:eastAsia="Times New Roman" w:cs="Arial"/>
          <w:color w:val="231F20"/>
          <w:szCs w:val="24"/>
        </w:rPr>
        <w:t>IEU-Ohio agrees that customers with demand response capabilities should have the option to choose their Curtail</w:t>
      </w:r>
      <w:r w:rsidR="005D77D4">
        <w:rPr>
          <w:rFonts w:eastAsia="Times New Roman" w:cs="Arial"/>
          <w:color w:val="231F20"/>
          <w:szCs w:val="24"/>
        </w:rPr>
        <w:t>ment</w:t>
      </w:r>
      <w:r w:rsidR="0010031F">
        <w:rPr>
          <w:rFonts w:eastAsia="Times New Roman" w:cs="Arial"/>
          <w:color w:val="231F20"/>
          <w:szCs w:val="24"/>
        </w:rPr>
        <w:t xml:space="preserve"> Service Providers (“CSP”)</w:t>
      </w:r>
      <w:r w:rsidR="00050CD5">
        <w:rPr>
          <w:rFonts w:eastAsia="Times New Roman" w:cs="Arial"/>
          <w:color w:val="231F20"/>
          <w:szCs w:val="24"/>
        </w:rPr>
        <w:t xml:space="preserve"> and should have the option to manage their peak loads.  But that is not to say that </w:t>
      </w:r>
      <w:r w:rsidR="005E5E56">
        <w:rPr>
          <w:rFonts w:eastAsia="Times New Roman" w:cs="Arial"/>
          <w:color w:val="231F20"/>
          <w:szCs w:val="24"/>
        </w:rPr>
        <w:t>the Commission</w:t>
      </w:r>
      <w:r>
        <w:rPr>
          <w:rFonts w:eastAsia="Times New Roman" w:cs="Arial"/>
          <w:color w:val="231F20"/>
          <w:szCs w:val="24"/>
        </w:rPr>
        <w:t xml:space="preserve"> </w:t>
      </w:r>
      <w:r w:rsidR="00050CD5">
        <w:rPr>
          <w:rFonts w:eastAsia="Times New Roman" w:cs="Arial"/>
          <w:color w:val="231F20"/>
          <w:szCs w:val="24"/>
        </w:rPr>
        <w:t xml:space="preserve">does not and should not be able to take into account demand response capabilities when exercising its regulatory authority.  The Commission </w:t>
      </w:r>
      <w:r w:rsidR="0010031F">
        <w:rPr>
          <w:rFonts w:eastAsia="Times New Roman" w:cs="Arial"/>
          <w:color w:val="231F20"/>
          <w:szCs w:val="24"/>
        </w:rPr>
        <w:t xml:space="preserve">clearly </w:t>
      </w:r>
      <w:r>
        <w:rPr>
          <w:rFonts w:eastAsia="Times New Roman" w:cs="Arial"/>
          <w:color w:val="231F20"/>
          <w:szCs w:val="24"/>
        </w:rPr>
        <w:t xml:space="preserve">has jurisdiction to </w:t>
      </w:r>
      <w:r w:rsidR="0010031F">
        <w:rPr>
          <w:rFonts w:eastAsia="Times New Roman" w:cs="Arial"/>
          <w:color w:val="231F20"/>
          <w:szCs w:val="24"/>
        </w:rPr>
        <w:t>authorize interruptible tariffs for Ohio electric utilities, which rely on the demand response capabilities of customers.</w:t>
      </w:r>
      <w:r w:rsidR="0010031F">
        <w:rPr>
          <w:rStyle w:val="FootnoteReference"/>
          <w:rFonts w:eastAsia="Times New Roman" w:cs="Arial"/>
          <w:color w:val="231F20"/>
          <w:szCs w:val="24"/>
        </w:rPr>
        <w:footnoteReference w:id="3"/>
      </w:r>
      <w:r w:rsidR="0010031F">
        <w:rPr>
          <w:rFonts w:eastAsia="Times New Roman" w:cs="Arial"/>
          <w:color w:val="231F20"/>
          <w:szCs w:val="24"/>
        </w:rPr>
        <w:t xml:space="preserve">  </w:t>
      </w:r>
      <w:r w:rsidR="00050CD5">
        <w:rPr>
          <w:rFonts w:eastAsia="Times New Roman" w:cs="Arial"/>
          <w:color w:val="231F20"/>
          <w:szCs w:val="24"/>
        </w:rPr>
        <w:t xml:space="preserve">If the Commission </w:t>
      </w:r>
      <w:r w:rsidR="005E5E56">
        <w:rPr>
          <w:rFonts w:eastAsia="Times New Roman" w:cs="Arial"/>
          <w:color w:val="231F20"/>
          <w:szCs w:val="24"/>
        </w:rPr>
        <w:t xml:space="preserve">adopts </w:t>
      </w:r>
      <w:r w:rsidR="00050CD5">
        <w:rPr>
          <w:rFonts w:eastAsia="Times New Roman" w:cs="Arial"/>
          <w:color w:val="231F20"/>
          <w:szCs w:val="24"/>
        </w:rPr>
        <w:t>OCC’s proposed definition, the Commission should make clear that the proposed definition does not affect the current interruptible tariffs</w:t>
      </w:r>
      <w:r w:rsidR="000765AA">
        <w:rPr>
          <w:rFonts w:eastAsia="Times New Roman" w:cs="Arial"/>
          <w:color w:val="231F20"/>
          <w:szCs w:val="24"/>
        </w:rPr>
        <w:t>,</w:t>
      </w:r>
      <w:r w:rsidR="00050CD5">
        <w:rPr>
          <w:rFonts w:eastAsia="Times New Roman" w:cs="Arial"/>
          <w:color w:val="231F20"/>
          <w:szCs w:val="24"/>
        </w:rPr>
        <w:t xml:space="preserve"> the Commission’s ability to extend or adopt new interruptible tariffs</w:t>
      </w:r>
      <w:r w:rsidR="000765AA">
        <w:rPr>
          <w:rFonts w:eastAsia="Times New Roman" w:cs="Arial"/>
          <w:color w:val="231F20"/>
          <w:szCs w:val="24"/>
        </w:rPr>
        <w:t xml:space="preserve">, or the </w:t>
      </w:r>
      <w:r w:rsidR="000765AA">
        <w:rPr>
          <w:rFonts w:eastAsia="Times New Roman" w:cs="Arial"/>
          <w:color w:val="231F20"/>
          <w:szCs w:val="24"/>
        </w:rPr>
        <w:lastRenderedPageBreak/>
        <w:t>Commission’s ability to take customers’ demand response capabilities into account when addressing other potential rate structures or options</w:t>
      </w:r>
      <w:r w:rsidR="00050CD5">
        <w:rPr>
          <w:rFonts w:eastAsia="Times New Roman" w:cs="Arial"/>
          <w:color w:val="231F20"/>
          <w:szCs w:val="24"/>
        </w:rPr>
        <w:t>.</w:t>
      </w:r>
    </w:p>
    <w:p w14:paraId="63679C4A" w14:textId="6FFD1A09" w:rsidR="00F81359" w:rsidRPr="00F81359" w:rsidRDefault="00F81359" w:rsidP="00BD2082">
      <w:pPr>
        <w:pStyle w:val="Heading1"/>
      </w:pPr>
      <w:r w:rsidRPr="00F81359">
        <w:t>DP&amp;L’s Comments:  Additional Noncompetitive Services</w:t>
      </w:r>
    </w:p>
    <w:p w14:paraId="350A90B1" w14:textId="5BDCBA3D" w:rsidR="00F81359" w:rsidRDefault="00F81359" w:rsidP="00B3021A">
      <w:r>
        <w:tab/>
        <w:t xml:space="preserve">DP&amp;L’s comments assert that electric utilities </w:t>
      </w:r>
      <w:r w:rsidR="008E0596">
        <w:t>“have a place in providing a regulated option from which customers may choose innovative products.”</w:t>
      </w:r>
      <w:r w:rsidR="008E0596">
        <w:rPr>
          <w:rStyle w:val="FootnoteReference"/>
        </w:rPr>
        <w:footnoteReference w:id="4"/>
      </w:r>
      <w:r w:rsidR="008E0596">
        <w:t xml:space="preserve"> </w:t>
      </w:r>
      <w:r w:rsidR="005D77D4">
        <w:t xml:space="preserve"> </w:t>
      </w:r>
      <w:r w:rsidR="008E0596">
        <w:t>To</w:t>
      </w:r>
      <w:r w:rsidR="0071573C">
        <w:t xml:space="preserve"> </w:t>
      </w:r>
      <w:r w:rsidR="008E0596">
        <w:t>achieve this result</w:t>
      </w:r>
      <w:r w:rsidR="0071573C">
        <w:t>,</w:t>
      </w:r>
      <w:r w:rsidR="008E0596">
        <w:t xml:space="preserve"> DP&amp;L seeks to incorporate into the Commission’s rules a process that would allow additional behind the meter services to be declared noncompetitive.  DP&amp;L’s proposal is unlawful and unreasonable.</w:t>
      </w:r>
    </w:p>
    <w:p w14:paraId="20E31720" w14:textId="40F8EAF6" w:rsidR="008E0596" w:rsidRDefault="008E0596" w:rsidP="00B3021A">
      <w:r>
        <w:tab/>
        <w:t>Initially, DP&amp;L’s two statements are contradictory.  If a service is noncompetitive, then by law there is no choice in provider</w:t>
      </w:r>
      <w:r w:rsidR="00EB652E">
        <w:t xml:space="preserve"> per the certified territory requirements</w:t>
      </w:r>
      <w:r>
        <w:t>.</w:t>
      </w:r>
      <w:r w:rsidR="0071573C">
        <w:rPr>
          <w:rStyle w:val="FootnoteReference"/>
        </w:rPr>
        <w:footnoteReference w:id="5"/>
      </w:r>
      <w:r>
        <w:t xml:space="preserve">  Customer</w:t>
      </w:r>
      <w:r w:rsidR="005D77D4">
        <w:t>s</w:t>
      </w:r>
      <w:r>
        <w:t xml:space="preserve"> would not be choosing a regulated option</w:t>
      </w:r>
      <w:r w:rsidR="0071573C">
        <w:t>;</w:t>
      </w:r>
      <w:r>
        <w:t xml:space="preserve"> it would be forced upon them.  </w:t>
      </w:r>
    </w:p>
    <w:p w14:paraId="4EE1ABDC" w14:textId="3F937FFF" w:rsidR="005309B0" w:rsidRDefault="00331850" w:rsidP="00CD0518">
      <w:r>
        <w:tab/>
        <w:t>Additionally, DP&amp;L’s proposal presumes, without explanation, that the Commission has authority to declare services as noncompetitive retail electric services in the context of an effective marketplace.</w:t>
      </w:r>
      <w:r>
        <w:rPr>
          <w:rStyle w:val="FootnoteReference"/>
        </w:rPr>
        <w:footnoteReference w:id="6"/>
      </w:r>
      <w:r>
        <w:t xml:space="preserve">  While the Commission has some ability to act and declare competitive retail electric services noncompetitive, such a declaration requires the absence of effective competition.</w:t>
      </w:r>
      <w:r>
        <w:rPr>
          <w:rStyle w:val="FootnoteReference"/>
        </w:rPr>
        <w:footnoteReference w:id="7"/>
      </w:r>
      <w:r>
        <w:t xml:space="preserve">  But where there is effective competition, the Commission’s mission is to consider whether any noncompetitive retail electric services should be declared competitive.</w:t>
      </w:r>
      <w:r w:rsidR="004F509B">
        <w:rPr>
          <w:rStyle w:val="FootnoteReference"/>
        </w:rPr>
        <w:footnoteReference w:id="8"/>
      </w:r>
      <w:r>
        <w:t xml:space="preserve">  </w:t>
      </w:r>
      <w:r w:rsidR="00C743AD">
        <w:t>T</w:t>
      </w:r>
      <w:r>
        <w:t>o foster effective competition,</w:t>
      </w:r>
      <w:r w:rsidR="00C743AD">
        <w:t xml:space="preserve"> moreover,</w:t>
      </w:r>
      <w:r>
        <w:t xml:space="preserve"> the </w:t>
      </w:r>
      <w:r>
        <w:lastRenderedPageBreak/>
        <w:t xml:space="preserve">corporate separation requirements dictate that electric distribution utilities </w:t>
      </w:r>
      <w:r w:rsidR="008E5C70">
        <w:t xml:space="preserve">(“EDUs”) </w:t>
      </w:r>
      <w:r>
        <w:t>cannot participate in such competitive markets.</w:t>
      </w:r>
      <w:r w:rsidR="005309B0">
        <w:t xml:space="preserve">  </w:t>
      </w:r>
    </w:p>
    <w:p w14:paraId="33F1263E" w14:textId="116F60E6" w:rsidR="005A1286" w:rsidRDefault="005309B0" w:rsidP="00CD0518">
      <w:r>
        <w:tab/>
        <w:t xml:space="preserve">While </w:t>
      </w:r>
      <w:r w:rsidR="00331850">
        <w:t xml:space="preserve">R.C. 4928.17 </w:t>
      </w:r>
      <w:r>
        <w:t xml:space="preserve">generally prohibits </w:t>
      </w:r>
      <w:r w:rsidR="00331850">
        <w:t xml:space="preserve">electric utilities </w:t>
      </w:r>
      <w:r>
        <w:t xml:space="preserve">from providing </w:t>
      </w:r>
      <w:r w:rsidR="008E0596">
        <w:t xml:space="preserve">both a noncompetitive retail electric service and either a competitive retail electric service </w:t>
      </w:r>
      <w:r w:rsidR="00CE6B2F">
        <w:t>or a produc</w:t>
      </w:r>
      <w:r w:rsidR="005D77D4">
        <w:t>t</w:t>
      </w:r>
      <w:r w:rsidR="00CE6B2F">
        <w:t xml:space="preserve"> or service other than retail electric service</w:t>
      </w:r>
      <w:r>
        <w:t xml:space="preserve">, electric utilities may under certain </w:t>
      </w:r>
      <w:r w:rsidR="00E779D2">
        <w:t xml:space="preserve">circumstances </w:t>
      </w:r>
      <w:r>
        <w:t xml:space="preserve">avoid this </w:t>
      </w:r>
      <w:r w:rsidR="00E779D2">
        <w:t xml:space="preserve">complete </w:t>
      </w:r>
      <w:r>
        <w:t>prohibition under functional corporate separation</w:t>
      </w:r>
      <w:r w:rsidR="00CE6B2F">
        <w:t>.</w:t>
      </w:r>
      <w:r w:rsidR="00CE6B2F">
        <w:rPr>
          <w:rStyle w:val="FootnoteReference"/>
        </w:rPr>
        <w:footnoteReference w:id="9"/>
      </w:r>
      <w:r w:rsidR="00CE6B2F">
        <w:t xml:space="preserve">  </w:t>
      </w:r>
      <w:r>
        <w:t xml:space="preserve">But, functional corporate separation is only permissible for </w:t>
      </w:r>
      <w:r w:rsidR="00CE6B2F">
        <w:t>an “interim period</w:t>
      </w:r>
      <w:r w:rsidR="00E779D2">
        <w:t>,</w:t>
      </w:r>
      <w:r w:rsidR="00CE6B2F">
        <w:t>”</w:t>
      </w:r>
      <w:r w:rsidR="008E5C70">
        <w:t xml:space="preserve"> </w:t>
      </w:r>
      <w:r>
        <w:t>only</w:t>
      </w:r>
      <w:r w:rsidR="00CE6B2F">
        <w:t xml:space="preserve"> upon a demonstration of good cause</w:t>
      </w:r>
      <w:r w:rsidR="00E779D2">
        <w:t>, and only pursuant to a corporate separation plan</w:t>
      </w:r>
      <w:r w:rsidR="00CE6B2F">
        <w:t>.</w:t>
      </w:r>
      <w:r w:rsidR="00CA706B">
        <w:rPr>
          <w:rStyle w:val="FootnoteReference"/>
        </w:rPr>
        <w:footnoteReference w:id="10"/>
      </w:r>
      <w:r w:rsidR="00CE6B2F">
        <w:t xml:space="preserve">  </w:t>
      </w:r>
      <w:r w:rsidR="00331850">
        <w:t>Furthermore, interim functional corporate separation requirements must comply with state policy</w:t>
      </w:r>
      <w:r w:rsidR="00E779D2">
        <w:t>.</w:t>
      </w:r>
      <w:r w:rsidR="00E779D2">
        <w:rPr>
          <w:rStyle w:val="FootnoteReference"/>
        </w:rPr>
        <w:footnoteReference w:id="11"/>
      </w:r>
      <w:r w:rsidR="00E779D2">
        <w:t xml:space="preserve">  However,</w:t>
      </w:r>
      <w:r w:rsidR="00331850">
        <w:t xml:space="preserve"> the Commission has already determined that EDUs offering new nonelectric products and services would not foster the state policies.</w:t>
      </w:r>
      <w:r w:rsidR="00C743AD">
        <w:rPr>
          <w:rStyle w:val="FootnoteReference"/>
        </w:rPr>
        <w:footnoteReference w:id="12"/>
      </w:r>
    </w:p>
    <w:p w14:paraId="7F361C2A" w14:textId="5A39BC2E" w:rsidR="00C41694" w:rsidRDefault="005A1286" w:rsidP="00CD0518">
      <w:r>
        <w:tab/>
      </w:r>
      <w:r w:rsidR="00C41694">
        <w:t>What DP&amp;L proposes here is essentially the same request Duke made in a prior corporate separation plan that was rejected by the Supreme Court and ultimately the Commission.  In that case</w:t>
      </w:r>
      <w:r w:rsidR="00E90433">
        <w:t>,</w:t>
      </w:r>
      <w:r>
        <w:t xml:space="preserve"> Duke</w:t>
      </w:r>
      <w:r w:rsidR="00C41694">
        <w:t xml:space="preserve"> sought to amend its </w:t>
      </w:r>
      <w:r>
        <w:t xml:space="preserve">corporate separation plan to allow it to offer nonelectric products and services.  Although the majority opinion </w:t>
      </w:r>
      <w:r w:rsidR="00C41694">
        <w:t xml:space="preserve">remanded the issue of whether the plan could be approved as a functional corporate separation plan under R.C. 4928.17(C), the Court noted that it was “admittedly skeptical” of the lawfulness of the </w:t>
      </w:r>
      <w:r w:rsidR="00E779D2">
        <w:t xml:space="preserve">proposed functional corporate separate </w:t>
      </w:r>
      <w:r w:rsidR="00C41694">
        <w:t>plan.</w:t>
      </w:r>
      <w:r w:rsidR="00C41694">
        <w:rPr>
          <w:rStyle w:val="FootnoteReference"/>
        </w:rPr>
        <w:footnoteReference w:id="13"/>
      </w:r>
      <w:r w:rsidR="00C41694">
        <w:t xml:space="preserve">  </w:t>
      </w:r>
    </w:p>
    <w:p w14:paraId="7BCEEE2F" w14:textId="181B3FD4" w:rsidR="004F0626" w:rsidRDefault="004F0626" w:rsidP="00CD0518">
      <w:r>
        <w:lastRenderedPageBreak/>
        <w:tab/>
      </w:r>
      <w:r w:rsidR="00CD0518">
        <w:t>In a concurring opinion</w:t>
      </w:r>
      <w:r w:rsidR="008E5C70">
        <w:t>,</w:t>
      </w:r>
      <w:r w:rsidR="00CD0518">
        <w:t xml:space="preserve"> Justice Kennedy went further</w:t>
      </w:r>
      <w:r>
        <w:t xml:space="preserve">, </w:t>
      </w:r>
      <w:r w:rsidR="00CD0518">
        <w:t>explaining that Duke's request to offer customers nonelectric products and services is not permissible under R.C. 4928.17(C), as Duke's plan is neither temporary nor is it congruous with the state policies outlined in R.C. 4928.02.</w:t>
      </w:r>
      <w:r w:rsidR="00CD0518">
        <w:rPr>
          <w:rStyle w:val="FootnoteReference"/>
        </w:rPr>
        <w:footnoteReference w:id="14"/>
      </w:r>
      <w:r w:rsidR="00CD0518">
        <w:t xml:space="preserve">  The intent of R.C. 4928.17(C) was not to allow an electric utility “to, in effect, ‘</w:t>
      </w:r>
      <w:proofErr w:type="spellStart"/>
      <w:r w:rsidR="00CD0518">
        <w:t>rebundle</w:t>
      </w:r>
      <w:proofErr w:type="spellEnd"/>
      <w:r w:rsidR="00CD0518">
        <w:t>’ in order to provide new nonelectric products and services that are required to be offered through a fully separate affiliate.”</w:t>
      </w:r>
      <w:r w:rsidR="00CD0518">
        <w:rPr>
          <w:rStyle w:val="FootnoteReference"/>
        </w:rPr>
        <w:footnoteReference w:id="15"/>
      </w:r>
      <w:r w:rsidR="00CD0518">
        <w:t xml:space="preserve">  </w:t>
      </w:r>
    </w:p>
    <w:p w14:paraId="0816E98C" w14:textId="3E90259E" w:rsidR="008E0596" w:rsidRDefault="004F0626" w:rsidP="00CD0518">
      <w:r>
        <w:tab/>
      </w:r>
      <w:r w:rsidR="00CD0518">
        <w:t>On remand, the Commission adopted Justice Kennedy’s view</w:t>
      </w:r>
      <w:r w:rsidR="005A1286">
        <w:t xml:space="preserve"> that R.C.</w:t>
      </w:r>
      <w:r w:rsidR="003B6703">
        <w:t> </w:t>
      </w:r>
      <w:r w:rsidR="005A1286">
        <w:t xml:space="preserve">4928.17(C) does not allow attempts by utilities to </w:t>
      </w:r>
      <w:proofErr w:type="spellStart"/>
      <w:r w:rsidR="005A1286">
        <w:t>rebundle</w:t>
      </w:r>
      <w:proofErr w:type="spellEnd"/>
      <w:r w:rsidR="005A1286">
        <w:t xml:space="preserve"> services.</w:t>
      </w:r>
      <w:r w:rsidR="005A1286">
        <w:rPr>
          <w:rStyle w:val="FootnoteReference"/>
        </w:rPr>
        <w:footnoteReference w:id="16"/>
      </w:r>
    </w:p>
    <w:p w14:paraId="134862F9" w14:textId="78E51837" w:rsidR="004F509B" w:rsidRDefault="004F0626" w:rsidP="00CD0518">
      <w:r>
        <w:tab/>
        <w:t xml:space="preserve">DP&amp;L’s proposal seeks to achieve the same </w:t>
      </w:r>
      <w:r w:rsidR="004F509B">
        <w:t>unlawful result.  EDUs are required to move to structural corporate separation and are prohibited from providing competitive retail electric services and nonelectric products and services.  DP&amp;L’s request to avoid this result by declaring such services as noncompetitive is neither lawful nor reasonable.</w:t>
      </w:r>
    </w:p>
    <w:p w14:paraId="1C35A6C2" w14:textId="3AFFF923" w:rsidR="00EB652E" w:rsidRDefault="004F509B" w:rsidP="00BD2082">
      <w:pPr>
        <w:pStyle w:val="Heading1"/>
      </w:pPr>
      <w:r w:rsidRPr="005141C5">
        <w:t xml:space="preserve">Duke’s Comments: </w:t>
      </w:r>
      <w:r w:rsidR="003B6703">
        <w:t xml:space="preserve"> </w:t>
      </w:r>
      <w:r w:rsidR="005141C5" w:rsidRPr="005141C5">
        <w:t>Expansion of Emergency Waivers of Corporate Separation Rules</w:t>
      </w:r>
    </w:p>
    <w:p w14:paraId="13C42482" w14:textId="5F59962F" w:rsidR="001E1CA6" w:rsidRDefault="005141C5" w:rsidP="00B3021A">
      <w:r>
        <w:tab/>
        <w:t xml:space="preserve">Duke proposes to expand upon the emergency waivers of the corporate separation rules by adding </w:t>
      </w:r>
      <w:r w:rsidR="0023179A">
        <w:t>two</w:t>
      </w:r>
      <w:r>
        <w:t xml:space="preserve"> new scenarios that would qualify as emergencies</w:t>
      </w:r>
      <w:r w:rsidR="008E5C70">
        <w:t>:</w:t>
      </w:r>
      <w:r w:rsidR="0023179A">
        <w:t xml:space="preserve"> </w:t>
      </w:r>
      <w:r w:rsidR="008E5C70">
        <w:t xml:space="preserve"> </w:t>
      </w:r>
      <w:r w:rsidR="0023179A">
        <w:t>immediate threats to a person’s health or safety</w:t>
      </w:r>
      <w:r w:rsidR="008E5C70">
        <w:t>;</w:t>
      </w:r>
      <w:r w:rsidR="0023179A">
        <w:t xml:space="preserve"> and immediate threats </w:t>
      </w:r>
      <w:r w:rsidR="00E90433">
        <w:t>of</w:t>
      </w:r>
      <w:r w:rsidR="0023179A">
        <w:t xml:space="preserve"> significant economic harm to a </w:t>
      </w:r>
      <w:r w:rsidR="0023179A">
        <w:lastRenderedPageBreak/>
        <w:t>customer.</w:t>
      </w:r>
      <w:r w:rsidR="00E90433">
        <w:rPr>
          <w:rStyle w:val="FootnoteReference"/>
        </w:rPr>
        <w:footnoteReference w:id="17"/>
      </w:r>
      <w:r>
        <w:t xml:space="preserve">   Duke also wants any actions it takes under its expanded emergency definition to be subject to a rebuttable presumption of reasonableness.</w:t>
      </w:r>
      <w:r w:rsidR="00E90433">
        <w:rPr>
          <w:rStyle w:val="FootnoteReference"/>
        </w:rPr>
        <w:footnoteReference w:id="18"/>
      </w:r>
      <w:r>
        <w:t xml:space="preserve">  </w:t>
      </w:r>
    </w:p>
    <w:p w14:paraId="793EE1D0" w14:textId="77777777" w:rsidR="0023179A" w:rsidRDefault="001E1CA6" w:rsidP="00B3021A">
      <w:r>
        <w:tab/>
        <w:t xml:space="preserve">While IEU-Ohio supports Duke’s efforts to protect the health and safety of its customers and the public, </w:t>
      </w:r>
      <w:r w:rsidR="005141C5">
        <w:t xml:space="preserve">it is not clear how waiving the corporate separation requirements </w:t>
      </w:r>
      <w:r>
        <w:t xml:space="preserve">under a claim of an emergency will </w:t>
      </w:r>
      <w:r w:rsidR="0023179A">
        <w:t>further that objective.  Duke offers no rationale in support of its expanded definition of emergency.</w:t>
      </w:r>
    </w:p>
    <w:p w14:paraId="5431A8C5" w14:textId="77777777" w:rsidR="00750483" w:rsidRDefault="0023179A" w:rsidP="00B3021A">
      <w:r>
        <w:tab/>
        <w:t xml:space="preserve">Similarly, it is not readily apparent how a waiver of the corporate separation requirements will support Duke’s ability to avert or reduce immediate and significant economic harm to a customer.  </w:t>
      </w:r>
      <w:r w:rsidR="002F09DA">
        <w:t>Again, Duke offers no rationale in support.  If this request is simply another attempt to allow Duke to offer nonelectric products and services, the Court and Commission have already spoken</w:t>
      </w:r>
      <w:r w:rsidR="00E90433">
        <w:t xml:space="preserve"> on the issue</w:t>
      </w:r>
      <w:r w:rsidR="002F09DA">
        <w:t xml:space="preserve">.  </w:t>
      </w:r>
    </w:p>
    <w:p w14:paraId="2B2B2053" w14:textId="6AB4F557" w:rsidR="00750483" w:rsidRDefault="00750483" w:rsidP="00B3021A">
      <w:r>
        <w:tab/>
      </w:r>
      <w:r w:rsidR="0023179A">
        <w:t>Furthermore,</w:t>
      </w:r>
      <w:r w:rsidR="002F09DA">
        <w:t xml:space="preserve"> there are already other means to avoid significant economic harm.  For example, the Commission has authorized a</w:t>
      </w:r>
      <w:r w:rsidR="0023179A">
        <w:t xml:space="preserve"> laddered and staggered Standard Service Offer (“SSO”) </w:t>
      </w:r>
      <w:r w:rsidR="002F09DA">
        <w:t>in lieu of exposure to real</w:t>
      </w:r>
      <w:r w:rsidR="008E5C70">
        <w:t>-</w:t>
      </w:r>
      <w:r w:rsidR="002F09DA">
        <w:t>time market pricing</w:t>
      </w:r>
      <w:r w:rsidR="00E90433">
        <w:t xml:space="preserve"> for customers electing the SSO</w:t>
      </w:r>
      <w:r w:rsidR="002F09DA">
        <w:t xml:space="preserve">.  </w:t>
      </w:r>
      <w:r w:rsidR="00E90433">
        <w:t>Financial assistance programs</w:t>
      </w:r>
      <w:r w:rsidR="00B01125">
        <w:t xml:space="preserve"> are already available to many customers</w:t>
      </w:r>
      <w:r w:rsidR="00E90433">
        <w:t>, such as the Percentage of Income Payment Plan (“PIPP),</w:t>
      </w:r>
      <w:r w:rsidR="00B01125">
        <w:t xml:space="preserve"> Home Energy Assistance Program (“HEAP”), the benefits under the Commission’s annual Winter disconnection orders, budget billing programs, among </w:t>
      </w:r>
      <w:r w:rsidR="008E5C70">
        <w:t>others</w:t>
      </w:r>
      <w:r w:rsidR="00B01125">
        <w:t>.  Shopping customers may also rely on a myriad of market options, such as fixed price cont</w:t>
      </w:r>
      <w:r w:rsidR="008E5C70">
        <w:t>r</w:t>
      </w:r>
      <w:r w:rsidR="00B01125">
        <w:t xml:space="preserve">acts, to protect against risk of significant </w:t>
      </w:r>
      <w:r w:rsidR="002E1939">
        <w:t>economic impact from utility service</w:t>
      </w:r>
      <w:r w:rsidR="00B01125">
        <w:t xml:space="preserve">.  If there is an additional need to insure against the risk of significant economic harm from a customer’s utility bills, consistent with the state </w:t>
      </w:r>
      <w:r w:rsidR="00B01125">
        <w:lastRenderedPageBreak/>
        <w:t>policies</w:t>
      </w:r>
      <w:r w:rsidR="008E5C70">
        <w:t>,</w:t>
      </w:r>
      <w:r w:rsidR="00B01125">
        <w:t xml:space="preserve"> the Commission should look toward fostering innovat</w:t>
      </w:r>
      <w:r w:rsidR="008E5C70">
        <w:t>iv</w:t>
      </w:r>
      <w:r w:rsidR="00B01125">
        <w:t xml:space="preserve">e market options to address those needs.  </w:t>
      </w:r>
    </w:p>
    <w:p w14:paraId="216B0B01" w14:textId="71648CB4" w:rsidR="00B01125" w:rsidRDefault="00750483" w:rsidP="00B3021A">
      <w:r>
        <w:tab/>
      </w:r>
      <w:r w:rsidR="00B01125">
        <w:t xml:space="preserve">Again, because Duke offered no support for the proposed </w:t>
      </w:r>
      <w:r>
        <w:t xml:space="preserve">rule </w:t>
      </w:r>
      <w:r w:rsidR="00B01125">
        <w:t>change</w:t>
      </w:r>
      <w:r w:rsidR="008E5C70">
        <w:t>,</w:t>
      </w:r>
      <w:r w:rsidR="00B01125">
        <w:t xml:space="preserve"> it is unclear exactly </w:t>
      </w:r>
      <w:r>
        <w:t>what perceived harm Duke seeks additional flexibility to address; and it is even less clear how an emergency waiver of the corporate separation rules would allow Duke to address any such immediate threat of economic harm to customers.</w:t>
      </w:r>
    </w:p>
    <w:p w14:paraId="06C24ACB" w14:textId="64E5C744" w:rsidR="00750483" w:rsidRDefault="00750483" w:rsidP="00B3021A">
      <w:r>
        <w:tab/>
        <w:t xml:space="preserve">Duke also seeks a rule change that would allow actions it takes under its proposed expanded definition of emergencies to be accompanied by a rebuttable presumption of reasonableness.  Again, Duke offers no support for why the rebuttable presumption is appropriate or necessary.  The law requires electric utilities to comply with the corporate separation requirements; the burden should always remain on electric utilities to demonstrate compliance or demonstrate that due to some emergency situation temporary compliance </w:t>
      </w:r>
      <w:r w:rsidR="008871F0">
        <w:t xml:space="preserve">with the corporate separation plan and rules </w:t>
      </w:r>
      <w:r>
        <w:t xml:space="preserve">had to be suspended.  </w:t>
      </w:r>
    </w:p>
    <w:p w14:paraId="5E1A5F22" w14:textId="1CB23EDF" w:rsidR="008871F0" w:rsidRPr="00BA5840" w:rsidRDefault="00BA5840" w:rsidP="00BD2082">
      <w:pPr>
        <w:pStyle w:val="Heading1"/>
      </w:pPr>
      <w:r w:rsidRPr="00BA5840">
        <w:t>Conclusion</w:t>
      </w:r>
    </w:p>
    <w:p w14:paraId="76128D42" w14:textId="68D35F4E" w:rsidR="00BA5840" w:rsidRDefault="00BA5840" w:rsidP="00BA5840">
      <w:r>
        <w:tab/>
        <w:t xml:space="preserve">OCC, DP&amp;L, and Duke have proposed </w:t>
      </w:r>
      <w:r w:rsidR="002E1939">
        <w:t>some</w:t>
      </w:r>
      <w:r>
        <w:t xml:space="preserve"> changes to the corporate separation rules.  While OCC’s proposed definition of unregulated services is generally reasonable, the Commission should adopt IEU-Ohio’s clarification to ensure the definition is not stretched beyond its reasonable bounds.  Duke and DP&amp;L, however, propose rule changes without detailed or reasonable supporting rationales for the changes.  IEU-Ohio urges the Commission to reject DP&amp;L’s proposed rule change and </w:t>
      </w:r>
      <w:r w:rsidR="002E1939">
        <w:t xml:space="preserve">reject </w:t>
      </w:r>
      <w:r>
        <w:t>Duke’s proposed changes to the definition of emergencies.</w:t>
      </w:r>
    </w:p>
    <w:p w14:paraId="627528DF" w14:textId="77777777" w:rsidR="00901367" w:rsidRDefault="00901367">
      <w:pPr>
        <w:jc w:val="center"/>
        <w:rPr>
          <w:rFonts w:cs="Arial"/>
        </w:rPr>
      </w:pPr>
      <w:r>
        <w:rPr>
          <w:rFonts w:cs="Arial"/>
        </w:rPr>
        <w:br w:type="page"/>
      </w:r>
    </w:p>
    <w:p w14:paraId="1F4A62FD" w14:textId="370C0052" w:rsidR="005D77D4" w:rsidRDefault="005D77D4" w:rsidP="005D77D4">
      <w:pPr>
        <w:tabs>
          <w:tab w:val="right" w:pos="8640"/>
        </w:tabs>
        <w:spacing w:line="240" w:lineRule="auto"/>
        <w:ind w:left="3960"/>
        <w:rPr>
          <w:rFonts w:cs="Arial"/>
        </w:rPr>
      </w:pPr>
      <w:r>
        <w:rPr>
          <w:rFonts w:cs="Arial"/>
        </w:rPr>
        <w:lastRenderedPageBreak/>
        <w:t>Respectfully submitted,</w:t>
      </w:r>
    </w:p>
    <w:p w14:paraId="03C43F8F" w14:textId="77777777" w:rsidR="005D77D4" w:rsidRDefault="005D77D4" w:rsidP="005D77D4">
      <w:pPr>
        <w:tabs>
          <w:tab w:val="right" w:pos="8640"/>
        </w:tabs>
        <w:spacing w:line="240" w:lineRule="auto"/>
        <w:ind w:left="3960"/>
        <w:rPr>
          <w:rFonts w:cs="Arial"/>
        </w:rPr>
      </w:pPr>
    </w:p>
    <w:p w14:paraId="1AC6F48B" w14:textId="77777777" w:rsidR="005D77D4" w:rsidRDefault="005D77D4" w:rsidP="005D77D4">
      <w:pPr>
        <w:tabs>
          <w:tab w:val="right" w:pos="8640"/>
        </w:tabs>
        <w:spacing w:line="240" w:lineRule="auto"/>
        <w:ind w:left="3960"/>
        <w:rPr>
          <w:rFonts w:cs="Arial"/>
        </w:rPr>
      </w:pPr>
    </w:p>
    <w:p w14:paraId="5DA036AF" w14:textId="46E6CDB1" w:rsidR="005D77D4" w:rsidRPr="00D70E8C" w:rsidRDefault="005D77D4" w:rsidP="005D77D4">
      <w:pPr>
        <w:tabs>
          <w:tab w:val="right" w:pos="8640"/>
        </w:tabs>
        <w:spacing w:line="240" w:lineRule="auto"/>
        <w:ind w:left="3960"/>
        <w:rPr>
          <w:rFonts w:cs="Arial"/>
          <w:i/>
          <w:u w:val="single"/>
        </w:rPr>
      </w:pPr>
      <w:r w:rsidRPr="00D70E8C">
        <w:rPr>
          <w:rFonts w:cs="Arial"/>
          <w:i/>
          <w:u w:val="single"/>
        </w:rPr>
        <w:t xml:space="preserve">/s/ </w:t>
      </w:r>
      <w:r>
        <w:rPr>
          <w:rFonts w:cs="Arial"/>
          <w:i/>
          <w:u w:val="single"/>
        </w:rPr>
        <w:t>Matthew R. Pritchard</w:t>
      </w:r>
      <w:r w:rsidRPr="00D70E8C">
        <w:rPr>
          <w:rFonts w:cs="Arial"/>
          <w:i/>
          <w:u w:val="single"/>
        </w:rPr>
        <w:tab/>
      </w:r>
    </w:p>
    <w:p w14:paraId="0E846C76" w14:textId="77777777" w:rsidR="005D77D4" w:rsidRDefault="005D77D4" w:rsidP="005D77D4">
      <w:pPr>
        <w:widowControl w:val="0"/>
        <w:spacing w:line="240" w:lineRule="auto"/>
        <w:ind w:left="3960"/>
        <w:rPr>
          <w:rFonts w:eastAsia="Calibri" w:cs="Arial"/>
          <w:b/>
          <w:bCs/>
        </w:rPr>
      </w:pPr>
      <w:r w:rsidRPr="003C32ED">
        <w:rPr>
          <w:rFonts w:eastAsia="Calibri" w:cs="Arial"/>
          <w:b/>
          <w:bCs/>
        </w:rPr>
        <w:t>Matthew R. Pritchard</w:t>
      </w:r>
      <w:r>
        <w:rPr>
          <w:rFonts w:eastAsia="Calibri" w:cs="Arial"/>
          <w:bCs/>
        </w:rPr>
        <w:t xml:space="preserve"> (Reg. No. 0088070)</w:t>
      </w:r>
    </w:p>
    <w:p w14:paraId="33E9C606" w14:textId="77777777" w:rsidR="005D77D4" w:rsidRDefault="005D77D4" w:rsidP="005D77D4">
      <w:pPr>
        <w:widowControl w:val="0"/>
        <w:spacing w:line="240" w:lineRule="auto"/>
        <w:ind w:left="3960"/>
        <w:rPr>
          <w:rFonts w:eastAsia="Calibri" w:cs="Arial"/>
          <w:bCs/>
        </w:rPr>
      </w:pPr>
      <w:r>
        <w:rPr>
          <w:rFonts w:eastAsia="Calibri" w:cs="Arial"/>
        </w:rPr>
        <w:t>(Counsel of Record)</w:t>
      </w:r>
    </w:p>
    <w:p w14:paraId="235A4142" w14:textId="77777777" w:rsidR="005D77D4" w:rsidRDefault="005D77D4" w:rsidP="005D77D4">
      <w:pPr>
        <w:widowControl w:val="0"/>
        <w:spacing w:line="240" w:lineRule="auto"/>
        <w:ind w:left="3960"/>
        <w:rPr>
          <w:rFonts w:eastAsia="Calibri" w:cs="Arial"/>
        </w:rPr>
      </w:pPr>
      <w:r w:rsidRPr="003C32ED">
        <w:rPr>
          <w:rFonts w:eastAsia="Calibri" w:cs="Arial"/>
          <w:b/>
          <w:bCs/>
        </w:rPr>
        <w:t xml:space="preserve">Frank P. </w:t>
      </w:r>
      <w:proofErr w:type="spellStart"/>
      <w:r w:rsidRPr="003C32ED">
        <w:rPr>
          <w:rFonts w:eastAsia="Calibri" w:cs="Arial"/>
          <w:b/>
          <w:bCs/>
        </w:rPr>
        <w:t>Darr</w:t>
      </w:r>
      <w:proofErr w:type="spellEnd"/>
      <w:r>
        <w:rPr>
          <w:rFonts w:eastAsia="Calibri" w:cs="Arial"/>
          <w:bCs/>
        </w:rPr>
        <w:t xml:space="preserve"> (Reg. No. 0025469)</w:t>
      </w:r>
      <w:r>
        <w:rPr>
          <w:rFonts w:eastAsia="Calibri" w:cs="Arial"/>
        </w:rPr>
        <w:t xml:space="preserve"> </w:t>
      </w:r>
    </w:p>
    <w:p w14:paraId="0941B1C1" w14:textId="77777777" w:rsidR="005D77D4" w:rsidRDefault="005D77D4" w:rsidP="005D77D4">
      <w:pPr>
        <w:widowControl w:val="0"/>
        <w:spacing w:line="240" w:lineRule="auto"/>
        <w:ind w:left="396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14:paraId="384CE625" w14:textId="77777777" w:rsidR="005D77D4" w:rsidRDefault="005D77D4" w:rsidP="005D77D4">
      <w:pPr>
        <w:widowControl w:val="0"/>
        <w:spacing w:line="240" w:lineRule="auto"/>
        <w:ind w:left="396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7925F9A5" w14:textId="77777777" w:rsidR="005D77D4" w:rsidRDefault="005D77D4" w:rsidP="005D77D4">
      <w:pPr>
        <w:tabs>
          <w:tab w:val="left" w:pos="-1440"/>
          <w:tab w:val="left" w:pos="-720"/>
          <w:tab w:val="left" w:pos="5040"/>
          <w:tab w:val="center" w:pos="7200"/>
        </w:tabs>
        <w:overflowPunct w:val="0"/>
        <w:autoSpaceDE w:val="0"/>
        <w:autoSpaceDN w:val="0"/>
        <w:adjustRightInd w:val="0"/>
        <w:spacing w:line="240" w:lineRule="auto"/>
        <w:ind w:left="3960"/>
        <w:rPr>
          <w:rFonts w:eastAsia="Calibri" w:cs="Arial"/>
        </w:rPr>
      </w:pPr>
      <w:r>
        <w:rPr>
          <w:rFonts w:eastAsia="Calibri" w:cs="Arial"/>
        </w:rPr>
        <w:t>Columbus, OH  43215</w:t>
      </w:r>
    </w:p>
    <w:p w14:paraId="40E737D6" w14:textId="77777777" w:rsidR="005D77D4" w:rsidRDefault="005D77D4" w:rsidP="005D77D4">
      <w:pPr>
        <w:tabs>
          <w:tab w:val="left" w:pos="-1440"/>
          <w:tab w:val="left" w:pos="-720"/>
          <w:tab w:val="left" w:pos="5040"/>
          <w:tab w:val="center" w:pos="7200"/>
        </w:tabs>
        <w:overflowPunct w:val="0"/>
        <w:autoSpaceDE w:val="0"/>
        <w:autoSpaceDN w:val="0"/>
        <w:adjustRightInd w:val="0"/>
        <w:spacing w:line="240" w:lineRule="auto"/>
        <w:ind w:left="3960"/>
        <w:rPr>
          <w:rFonts w:eastAsia="Calibri" w:cs="Arial"/>
        </w:rPr>
      </w:pPr>
      <w:r>
        <w:rPr>
          <w:rFonts w:eastAsia="Calibri" w:cs="Arial"/>
        </w:rPr>
        <w:t>Telephone:  (614) 469-8000</w:t>
      </w:r>
    </w:p>
    <w:p w14:paraId="0155E131" w14:textId="77777777" w:rsidR="005D77D4" w:rsidRDefault="005D77D4" w:rsidP="005D77D4">
      <w:pPr>
        <w:tabs>
          <w:tab w:val="left" w:pos="-1440"/>
          <w:tab w:val="left" w:pos="-720"/>
          <w:tab w:val="left" w:pos="5040"/>
          <w:tab w:val="center" w:pos="7200"/>
        </w:tabs>
        <w:overflowPunct w:val="0"/>
        <w:autoSpaceDE w:val="0"/>
        <w:autoSpaceDN w:val="0"/>
        <w:adjustRightInd w:val="0"/>
        <w:spacing w:line="240" w:lineRule="auto"/>
        <w:ind w:left="3960"/>
        <w:rPr>
          <w:rFonts w:eastAsia="Calibri" w:cs="Arial"/>
        </w:rPr>
      </w:pPr>
      <w:r>
        <w:rPr>
          <w:rFonts w:eastAsia="Calibri" w:cs="Arial"/>
        </w:rPr>
        <w:t>Telecopier:  (614) 469-4653</w:t>
      </w:r>
    </w:p>
    <w:p w14:paraId="3BDFD0BC" w14:textId="77777777" w:rsidR="005D77D4" w:rsidRDefault="005D77D4" w:rsidP="005D77D4">
      <w:pPr>
        <w:tabs>
          <w:tab w:val="left" w:pos="-1440"/>
          <w:tab w:val="left" w:pos="-720"/>
          <w:tab w:val="left" w:pos="5040"/>
          <w:tab w:val="center" w:pos="7200"/>
        </w:tabs>
        <w:overflowPunct w:val="0"/>
        <w:autoSpaceDE w:val="0"/>
        <w:autoSpaceDN w:val="0"/>
        <w:adjustRightInd w:val="0"/>
        <w:spacing w:line="240" w:lineRule="auto"/>
        <w:ind w:left="3960"/>
        <w:rPr>
          <w:rFonts w:eastAsia="Calibri" w:cs="Arial"/>
          <w:smallCaps/>
          <w:color w:val="000000"/>
        </w:rPr>
      </w:pPr>
      <w:r>
        <w:rPr>
          <w:rFonts w:eastAsia="Calibri" w:cs="Arial"/>
          <w:color w:val="000000"/>
        </w:rPr>
        <w:t>mpritchard@mcneeslaw.com</w:t>
      </w:r>
    </w:p>
    <w:p w14:paraId="5CC25360" w14:textId="77777777" w:rsidR="005D77D4" w:rsidRDefault="005D77D4" w:rsidP="005D77D4">
      <w:pPr>
        <w:tabs>
          <w:tab w:val="left" w:pos="-1440"/>
          <w:tab w:val="left" w:pos="-720"/>
          <w:tab w:val="left" w:pos="5040"/>
          <w:tab w:val="center" w:pos="7200"/>
        </w:tabs>
        <w:overflowPunct w:val="0"/>
        <w:autoSpaceDE w:val="0"/>
        <w:autoSpaceDN w:val="0"/>
        <w:adjustRightInd w:val="0"/>
        <w:spacing w:line="240" w:lineRule="auto"/>
        <w:ind w:left="3960"/>
        <w:rPr>
          <w:rFonts w:eastAsia="Calibri" w:cs="Arial"/>
          <w:color w:val="000000"/>
        </w:rPr>
      </w:pPr>
      <w:r>
        <w:rPr>
          <w:rFonts w:eastAsia="Calibri" w:cs="Arial"/>
        </w:rPr>
        <w:t>fdarr@mcneeslaw.com</w:t>
      </w:r>
    </w:p>
    <w:p w14:paraId="1457A161" w14:textId="0B277FEF" w:rsidR="005D77D4" w:rsidRDefault="005D77D4" w:rsidP="005D77D4">
      <w:pPr>
        <w:tabs>
          <w:tab w:val="left" w:pos="-1440"/>
          <w:tab w:val="left" w:pos="-720"/>
          <w:tab w:val="left" w:pos="5040"/>
          <w:tab w:val="center" w:pos="7200"/>
        </w:tabs>
        <w:overflowPunct w:val="0"/>
        <w:autoSpaceDE w:val="0"/>
        <w:autoSpaceDN w:val="0"/>
        <w:adjustRightInd w:val="0"/>
        <w:spacing w:line="240" w:lineRule="auto"/>
        <w:ind w:left="3960"/>
        <w:rPr>
          <w:rFonts w:eastAsia="Calibri" w:cs="Arial"/>
          <w:b/>
          <w:smallCaps/>
        </w:rPr>
      </w:pPr>
    </w:p>
    <w:p w14:paraId="00D6BAFE" w14:textId="77777777" w:rsidR="005D77D4" w:rsidRPr="005D77D4" w:rsidRDefault="005D77D4" w:rsidP="005D77D4">
      <w:pPr>
        <w:spacing w:line="240" w:lineRule="auto"/>
        <w:ind w:left="3960" w:hanging="4320"/>
        <w:rPr>
          <w:rFonts w:ascii="Arial Bold" w:hAnsi="Arial Bold" w:cs="Arial"/>
          <w:smallCaps/>
          <w:sz w:val="28"/>
          <w:u w:val="single"/>
        </w:rPr>
      </w:pPr>
      <w:r>
        <w:rPr>
          <w:rFonts w:eastAsia="Calibri" w:cs="Arial"/>
          <w:b/>
        </w:rPr>
        <w:tab/>
      </w:r>
      <w:r w:rsidRPr="005D77D4">
        <w:rPr>
          <w:rFonts w:ascii="Arial Bold" w:eastAsia="Calibri" w:hAnsi="Arial Bold" w:cs="Arial"/>
          <w:b/>
          <w:smallCaps/>
        </w:rPr>
        <w:t>Attorneys for Industrial Energy Users-Ohio</w:t>
      </w:r>
    </w:p>
    <w:p w14:paraId="48D050F4" w14:textId="77777777" w:rsidR="005D77D4" w:rsidRDefault="005D77D4" w:rsidP="005D77D4">
      <w:pPr>
        <w:tabs>
          <w:tab w:val="left" w:pos="4320"/>
          <w:tab w:val="right" w:pos="8640"/>
        </w:tabs>
        <w:spacing w:line="240" w:lineRule="auto"/>
        <w:rPr>
          <w:rFonts w:cs="Arial"/>
        </w:rPr>
        <w:sectPr w:rsidR="005D77D4" w:rsidSect="00901367">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26"/>
        </w:sectPr>
      </w:pPr>
    </w:p>
    <w:p w14:paraId="7ABE80B2" w14:textId="77777777" w:rsidR="005D77D4" w:rsidRDefault="005D77D4" w:rsidP="005D77D4">
      <w:pPr>
        <w:tabs>
          <w:tab w:val="left" w:pos="2160"/>
          <w:tab w:val="left" w:pos="2280"/>
        </w:tabs>
        <w:spacing w:line="240" w:lineRule="auto"/>
        <w:jc w:val="center"/>
        <w:rPr>
          <w:rFonts w:cs="Arial"/>
          <w:b/>
          <w:smallCaps/>
          <w:sz w:val="28"/>
          <w:u w:val="single"/>
        </w:rPr>
      </w:pPr>
      <w:r>
        <w:rPr>
          <w:rFonts w:cs="Arial"/>
          <w:b/>
          <w:smallCaps/>
          <w:sz w:val="28"/>
          <w:u w:val="single"/>
        </w:rPr>
        <w:lastRenderedPageBreak/>
        <w:t>Certificate of Service</w:t>
      </w:r>
    </w:p>
    <w:p w14:paraId="795C3315" w14:textId="77777777" w:rsidR="005D77D4" w:rsidRDefault="005D77D4" w:rsidP="005D77D4">
      <w:pPr>
        <w:spacing w:line="240" w:lineRule="auto"/>
        <w:rPr>
          <w:rFonts w:cs="Arial"/>
        </w:rPr>
      </w:pPr>
    </w:p>
    <w:p w14:paraId="6120A7BC" w14:textId="53C4FB3A" w:rsidR="005D77D4" w:rsidRDefault="005D77D4" w:rsidP="005D77D4">
      <w:pPr>
        <w:pStyle w:val="BodyText"/>
        <w:spacing w:line="480" w:lineRule="auto"/>
        <w:ind w:firstLine="720"/>
        <w:jc w:val="both"/>
        <w:rPr>
          <w:b/>
          <w:smallCaps/>
        </w:rPr>
      </w:pPr>
      <w:r>
        <w:t>In accordance with Rule 4901-1-05, Ohio Administrative Code, the Commission’s e</w:t>
      </w:r>
      <w:r>
        <w:noBreakHyphen/>
        <w:t xml:space="preserve">filing system will electronically serve notice of the filing of this document upon the following parties.  In addition, I hereby certify that a service copy of the foregoing </w:t>
      </w:r>
      <w:r>
        <w:rPr>
          <w:i/>
        </w:rPr>
        <w:t xml:space="preserve">Industrial Energy Users-Ohio’s Reply Comments </w:t>
      </w:r>
      <w:r>
        <w:t>was sent by, or on behalf of, the undersigned counsel for IEU-Ohio to the following parties of record this 26</w:t>
      </w:r>
      <w:r w:rsidRPr="005D77D4">
        <w:rPr>
          <w:vertAlign w:val="superscript"/>
        </w:rPr>
        <w:t>th</w:t>
      </w:r>
      <w:r>
        <w:t xml:space="preserve"> day of July 2019, </w:t>
      </w:r>
      <w:r>
        <w:rPr>
          <w:i/>
        </w:rPr>
        <w:t>via</w:t>
      </w:r>
      <w:r>
        <w:t xml:space="preserve"> electronic transmission. </w:t>
      </w:r>
    </w:p>
    <w:p w14:paraId="3CCFC1EC" w14:textId="77777777" w:rsidR="005D77D4" w:rsidRDefault="005D77D4" w:rsidP="005D77D4">
      <w:pPr>
        <w:tabs>
          <w:tab w:val="center" w:pos="7200"/>
          <w:tab w:val="right" w:pos="9360"/>
        </w:tabs>
        <w:spacing w:line="240" w:lineRule="auto"/>
        <w:ind w:left="5040"/>
        <w:rPr>
          <w:rFonts w:cs="Arial"/>
          <w:i/>
          <w:u w:val="single"/>
        </w:rPr>
      </w:pPr>
      <w:r>
        <w:rPr>
          <w:rFonts w:cs="Arial"/>
          <w:i/>
          <w:u w:val="single"/>
        </w:rPr>
        <w:t>/s/ Matthew R. Pritchard</w:t>
      </w:r>
      <w:r>
        <w:rPr>
          <w:rFonts w:cs="Arial"/>
          <w:i/>
          <w:u w:val="single"/>
        </w:rPr>
        <w:tab/>
      </w:r>
    </w:p>
    <w:p w14:paraId="094F406C" w14:textId="77777777" w:rsidR="005D77D4" w:rsidRPr="00AB0290" w:rsidRDefault="005D77D4" w:rsidP="005D77D4">
      <w:pPr>
        <w:tabs>
          <w:tab w:val="center" w:pos="7200"/>
          <w:tab w:val="right" w:pos="9360"/>
        </w:tabs>
        <w:spacing w:line="240" w:lineRule="auto"/>
        <w:ind w:left="5040"/>
        <w:rPr>
          <w:rFonts w:cs="Arial"/>
        </w:rPr>
      </w:pPr>
      <w:r w:rsidRPr="00AB0290">
        <w:rPr>
          <w:rFonts w:cs="Arial"/>
        </w:rPr>
        <w:tab/>
        <w:t>Matthew R. Pritchard</w:t>
      </w:r>
    </w:p>
    <w:p w14:paraId="6630BFCE" w14:textId="77777777" w:rsidR="00901367" w:rsidRDefault="00901367" w:rsidP="00901367">
      <w:pPr>
        <w:spacing w:line="240" w:lineRule="auto"/>
        <w:rPr>
          <w:rFonts w:cs="Arial"/>
          <w:color w:val="000000" w:themeColor="text1"/>
          <w:sz w:val="20"/>
        </w:rPr>
      </w:pPr>
    </w:p>
    <w:p w14:paraId="6B3AB834" w14:textId="77777777" w:rsidR="00901367" w:rsidRDefault="00901367" w:rsidP="00F96F51">
      <w:pPr>
        <w:spacing w:line="240" w:lineRule="auto"/>
        <w:rPr>
          <w:rFonts w:cs="Arial"/>
          <w:color w:val="000000" w:themeColor="text1"/>
          <w:sz w:val="20"/>
        </w:rPr>
        <w:sectPr w:rsidR="0090136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2AA924BE" w14:textId="1F647073" w:rsidR="00F96F51" w:rsidRPr="00901367" w:rsidRDefault="00F96F51" w:rsidP="00F96F51">
      <w:pPr>
        <w:spacing w:line="240" w:lineRule="auto"/>
        <w:rPr>
          <w:rFonts w:cs="Arial"/>
          <w:color w:val="000000" w:themeColor="text1"/>
          <w:sz w:val="20"/>
        </w:rPr>
      </w:pPr>
      <w:r w:rsidRPr="006F617B">
        <w:rPr>
          <w:rFonts w:cs="Arial"/>
          <w:b/>
          <w:bCs/>
          <w:color w:val="000000" w:themeColor="text1"/>
          <w:sz w:val="20"/>
        </w:rPr>
        <w:t xml:space="preserve">Rocco O. </w:t>
      </w:r>
      <w:proofErr w:type="spellStart"/>
      <w:r w:rsidRPr="006F617B">
        <w:rPr>
          <w:rFonts w:cs="Arial"/>
          <w:b/>
          <w:bCs/>
          <w:color w:val="000000" w:themeColor="text1"/>
          <w:sz w:val="20"/>
        </w:rPr>
        <w:t>D’Ascenzo</w:t>
      </w:r>
      <w:proofErr w:type="spellEnd"/>
      <w:r w:rsidRPr="00BD2082">
        <w:rPr>
          <w:rFonts w:cs="Arial"/>
          <w:color w:val="000000" w:themeColor="text1"/>
          <w:sz w:val="20"/>
        </w:rPr>
        <w:t xml:space="preserve"> (0077651)</w:t>
      </w:r>
    </w:p>
    <w:p w14:paraId="615F4DD4" w14:textId="77777777" w:rsidR="00F96F51" w:rsidRPr="00901367" w:rsidRDefault="00F96F51" w:rsidP="00F96F51">
      <w:pPr>
        <w:spacing w:line="240" w:lineRule="auto"/>
        <w:rPr>
          <w:rFonts w:cs="Arial"/>
          <w:color w:val="000000" w:themeColor="text1"/>
          <w:sz w:val="20"/>
        </w:rPr>
      </w:pPr>
      <w:r w:rsidRPr="00BD2082">
        <w:rPr>
          <w:rFonts w:cs="Arial"/>
          <w:color w:val="000000" w:themeColor="text1"/>
          <w:sz w:val="20"/>
        </w:rPr>
        <w:t>Deputy General Counsel</w:t>
      </w:r>
    </w:p>
    <w:p w14:paraId="6401F6BE" w14:textId="77777777" w:rsidR="00DE1637" w:rsidRDefault="00F96F51" w:rsidP="00F96F51">
      <w:pPr>
        <w:spacing w:line="240" w:lineRule="auto"/>
        <w:rPr>
          <w:rFonts w:cs="Arial"/>
          <w:color w:val="000000" w:themeColor="text1"/>
          <w:sz w:val="20"/>
        </w:rPr>
      </w:pPr>
      <w:r w:rsidRPr="006F617B">
        <w:rPr>
          <w:rFonts w:cs="Arial"/>
          <w:b/>
          <w:bCs/>
          <w:color w:val="000000" w:themeColor="text1"/>
          <w:sz w:val="20"/>
        </w:rPr>
        <w:t xml:space="preserve">Jeanne W. Kingery </w:t>
      </w:r>
      <w:r w:rsidRPr="00BD2082">
        <w:rPr>
          <w:rFonts w:cs="Arial"/>
          <w:color w:val="000000" w:themeColor="text1"/>
          <w:sz w:val="20"/>
        </w:rPr>
        <w:t xml:space="preserve">(0012172) </w:t>
      </w:r>
    </w:p>
    <w:p w14:paraId="37519AB0" w14:textId="683212A3" w:rsidR="00F96F51" w:rsidRPr="00901367" w:rsidRDefault="00F96F51" w:rsidP="00F96F51">
      <w:pPr>
        <w:spacing w:line="240" w:lineRule="auto"/>
        <w:rPr>
          <w:rFonts w:cs="Arial"/>
          <w:color w:val="000000" w:themeColor="text1"/>
          <w:sz w:val="20"/>
        </w:rPr>
      </w:pPr>
      <w:bookmarkStart w:id="0" w:name="_GoBack"/>
      <w:bookmarkEnd w:id="0"/>
      <w:r w:rsidRPr="00BD2082">
        <w:rPr>
          <w:rFonts w:cs="Arial"/>
          <w:color w:val="000000" w:themeColor="text1"/>
          <w:sz w:val="20"/>
        </w:rPr>
        <w:t>(Counsel of Record)</w:t>
      </w:r>
    </w:p>
    <w:p w14:paraId="3F5AB835" w14:textId="77777777" w:rsidR="00F96F51" w:rsidRPr="00901367" w:rsidRDefault="00F96F51" w:rsidP="00F96F51">
      <w:pPr>
        <w:spacing w:line="240" w:lineRule="auto"/>
        <w:rPr>
          <w:rFonts w:cs="Arial"/>
          <w:color w:val="000000" w:themeColor="text1"/>
          <w:sz w:val="20"/>
        </w:rPr>
      </w:pPr>
      <w:r w:rsidRPr="00BD2082">
        <w:rPr>
          <w:rFonts w:cs="Arial"/>
          <w:color w:val="000000" w:themeColor="text1"/>
          <w:sz w:val="20"/>
        </w:rPr>
        <w:t>Associate General Counsel</w:t>
      </w:r>
    </w:p>
    <w:p w14:paraId="18C2196A" w14:textId="77777777" w:rsidR="00F96F51" w:rsidRPr="00901367" w:rsidRDefault="00F96F51" w:rsidP="00F96F51">
      <w:pPr>
        <w:spacing w:line="240" w:lineRule="auto"/>
        <w:rPr>
          <w:rFonts w:cs="Arial"/>
          <w:color w:val="000000" w:themeColor="text1"/>
          <w:sz w:val="20"/>
        </w:rPr>
      </w:pPr>
      <w:r w:rsidRPr="006F617B">
        <w:rPr>
          <w:rFonts w:cs="Arial"/>
          <w:b/>
          <w:bCs/>
          <w:color w:val="000000" w:themeColor="text1"/>
          <w:sz w:val="20"/>
        </w:rPr>
        <w:t xml:space="preserve">Larisa M. </w:t>
      </w:r>
      <w:proofErr w:type="spellStart"/>
      <w:r w:rsidRPr="006F617B">
        <w:rPr>
          <w:rFonts w:cs="Arial"/>
          <w:b/>
          <w:bCs/>
          <w:color w:val="000000" w:themeColor="text1"/>
          <w:sz w:val="20"/>
        </w:rPr>
        <w:t>Vaysman</w:t>
      </w:r>
      <w:proofErr w:type="spellEnd"/>
      <w:r w:rsidRPr="006F617B">
        <w:rPr>
          <w:rFonts w:cs="Arial"/>
          <w:b/>
          <w:bCs/>
          <w:color w:val="000000" w:themeColor="text1"/>
          <w:sz w:val="20"/>
        </w:rPr>
        <w:t xml:space="preserve"> </w:t>
      </w:r>
      <w:r w:rsidRPr="00BD2082">
        <w:rPr>
          <w:rFonts w:cs="Arial"/>
          <w:color w:val="000000" w:themeColor="text1"/>
          <w:sz w:val="20"/>
        </w:rPr>
        <w:t>(0090290)</w:t>
      </w:r>
    </w:p>
    <w:p w14:paraId="28BAD72D" w14:textId="77777777" w:rsidR="00F96F51" w:rsidRPr="00901367" w:rsidRDefault="00F96F51" w:rsidP="00F96F51">
      <w:pPr>
        <w:spacing w:line="240" w:lineRule="auto"/>
        <w:rPr>
          <w:rFonts w:cs="Arial"/>
          <w:color w:val="000000" w:themeColor="text1"/>
          <w:sz w:val="20"/>
        </w:rPr>
      </w:pPr>
      <w:r w:rsidRPr="00BD2082">
        <w:rPr>
          <w:rFonts w:cs="Arial"/>
          <w:color w:val="000000" w:themeColor="text1"/>
          <w:sz w:val="20"/>
        </w:rPr>
        <w:t>Senior Counsel</w:t>
      </w:r>
    </w:p>
    <w:p w14:paraId="65CC780C" w14:textId="77777777" w:rsidR="00F96F51" w:rsidRPr="006F617B" w:rsidRDefault="00F96F51" w:rsidP="00F96F51">
      <w:pPr>
        <w:spacing w:line="240" w:lineRule="auto"/>
        <w:rPr>
          <w:rFonts w:cs="Arial"/>
          <w:smallCaps/>
          <w:color w:val="000000" w:themeColor="text1"/>
          <w:sz w:val="20"/>
        </w:rPr>
      </w:pPr>
      <w:r w:rsidRPr="006F617B">
        <w:rPr>
          <w:rFonts w:cs="Arial"/>
          <w:smallCaps/>
          <w:color w:val="000000" w:themeColor="text1"/>
          <w:sz w:val="20"/>
        </w:rPr>
        <w:t>Duke Energy Business Services LLC</w:t>
      </w:r>
    </w:p>
    <w:p w14:paraId="6AC60234" w14:textId="77777777" w:rsidR="00F96F51" w:rsidRPr="00901367" w:rsidRDefault="00F96F51" w:rsidP="00F96F51">
      <w:pPr>
        <w:spacing w:line="240" w:lineRule="auto"/>
        <w:rPr>
          <w:rFonts w:cs="Arial"/>
          <w:color w:val="000000" w:themeColor="text1"/>
          <w:sz w:val="20"/>
        </w:rPr>
      </w:pPr>
      <w:r w:rsidRPr="00BD2082">
        <w:rPr>
          <w:rFonts w:cs="Arial"/>
          <w:color w:val="000000" w:themeColor="text1"/>
          <w:sz w:val="20"/>
        </w:rPr>
        <w:t xml:space="preserve">139 East Fourth Street, 1303 Main </w:t>
      </w:r>
    </w:p>
    <w:p w14:paraId="4B7DEED0" w14:textId="77777777" w:rsidR="00F96F51" w:rsidRPr="00901367" w:rsidRDefault="00F96F51" w:rsidP="00F96F51">
      <w:pPr>
        <w:spacing w:line="240" w:lineRule="auto"/>
        <w:rPr>
          <w:rFonts w:cs="Arial"/>
          <w:color w:val="000000" w:themeColor="text1"/>
          <w:sz w:val="20"/>
        </w:rPr>
      </w:pPr>
      <w:r w:rsidRPr="00BD2082">
        <w:rPr>
          <w:rFonts w:cs="Arial"/>
          <w:color w:val="000000" w:themeColor="text1"/>
          <w:sz w:val="20"/>
        </w:rPr>
        <w:t xml:space="preserve">Cincinnati, OH 45202 </w:t>
      </w:r>
    </w:p>
    <w:p w14:paraId="3E10671E" w14:textId="64DCFEB9" w:rsidR="00F96F51" w:rsidRPr="00901367" w:rsidRDefault="00F96F51" w:rsidP="00F96F51">
      <w:pPr>
        <w:spacing w:line="240" w:lineRule="auto"/>
        <w:rPr>
          <w:rFonts w:cs="Arial"/>
          <w:color w:val="000000" w:themeColor="text1"/>
          <w:sz w:val="20"/>
        </w:rPr>
      </w:pPr>
      <w:r w:rsidRPr="0093052C">
        <w:rPr>
          <w:sz w:val="20"/>
        </w:rPr>
        <w:t>Rocco.DAscenzo@duke-energy.com</w:t>
      </w:r>
    </w:p>
    <w:p w14:paraId="78E46C3E" w14:textId="5B006383" w:rsidR="00F96F51" w:rsidRPr="00901367" w:rsidRDefault="00F96F51" w:rsidP="00F96F51">
      <w:pPr>
        <w:spacing w:line="240" w:lineRule="auto"/>
        <w:rPr>
          <w:rFonts w:cs="Arial"/>
          <w:color w:val="000000" w:themeColor="text1"/>
          <w:sz w:val="20"/>
        </w:rPr>
      </w:pPr>
      <w:r w:rsidRPr="0093052C">
        <w:rPr>
          <w:sz w:val="20"/>
        </w:rPr>
        <w:t>Jeanne.Kingery@duke-energy.com</w:t>
      </w:r>
    </w:p>
    <w:p w14:paraId="094FA3D2" w14:textId="6220712A" w:rsidR="002F09DA" w:rsidRPr="00901367" w:rsidRDefault="00F96F51" w:rsidP="00F96F51">
      <w:pPr>
        <w:spacing w:line="240" w:lineRule="auto"/>
        <w:rPr>
          <w:rFonts w:cs="Arial"/>
          <w:color w:val="000000" w:themeColor="text1"/>
          <w:sz w:val="20"/>
        </w:rPr>
      </w:pPr>
      <w:r w:rsidRPr="0093052C">
        <w:rPr>
          <w:sz w:val="20"/>
        </w:rPr>
        <w:t>Larisa.Vaysman@duke-energy.com</w:t>
      </w:r>
    </w:p>
    <w:p w14:paraId="661E3D18" w14:textId="2BA95A58" w:rsidR="00F96F51" w:rsidRPr="00901367" w:rsidRDefault="00F96F51" w:rsidP="00F96F51">
      <w:pPr>
        <w:spacing w:line="240" w:lineRule="auto"/>
        <w:rPr>
          <w:rFonts w:cs="Arial"/>
          <w:color w:val="000000" w:themeColor="text1"/>
          <w:sz w:val="20"/>
        </w:rPr>
      </w:pPr>
    </w:p>
    <w:p w14:paraId="1AFBA987" w14:textId="0B6E3785" w:rsidR="00F96F51" w:rsidRPr="00901367" w:rsidRDefault="00F96F51" w:rsidP="00901367">
      <w:pPr>
        <w:pStyle w:val="COScompanyname"/>
        <w:rPr>
          <w:color w:val="000000" w:themeColor="text1"/>
          <w:sz w:val="20"/>
        </w:rPr>
      </w:pPr>
      <w:r w:rsidRPr="00901367">
        <w:rPr>
          <w:color w:val="000000" w:themeColor="text1"/>
          <w:sz w:val="20"/>
        </w:rPr>
        <w:t>Attorneys for Duke Energy Ohio, Inc.</w:t>
      </w:r>
    </w:p>
    <w:p w14:paraId="1E5495E7" w14:textId="2E077551" w:rsidR="00F96F51" w:rsidRPr="00901367" w:rsidRDefault="00F96F51" w:rsidP="00F96F51">
      <w:pPr>
        <w:spacing w:line="240" w:lineRule="auto"/>
        <w:rPr>
          <w:rFonts w:cs="Arial"/>
          <w:color w:val="000000" w:themeColor="text1"/>
          <w:sz w:val="20"/>
        </w:rPr>
      </w:pPr>
    </w:p>
    <w:p w14:paraId="6F2C7951" w14:textId="34642C6C" w:rsidR="00F96F51" w:rsidRPr="00901367" w:rsidRDefault="00F96F51" w:rsidP="00F96F51">
      <w:pPr>
        <w:spacing w:line="240" w:lineRule="auto"/>
        <w:rPr>
          <w:rFonts w:cs="Arial"/>
          <w:color w:val="000000" w:themeColor="text1"/>
          <w:sz w:val="20"/>
        </w:rPr>
      </w:pPr>
      <w:r w:rsidRPr="006F617B">
        <w:rPr>
          <w:rFonts w:cs="Arial"/>
          <w:b/>
          <w:bCs/>
          <w:color w:val="000000" w:themeColor="text1"/>
          <w:sz w:val="20"/>
        </w:rPr>
        <w:t xml:space="preserve">William J. Michael </w:t>
      </w:r>
      <w:r w:rsidRPr="00901367">
        <w:rPr>
          <w:rFonts w:cs="Arial"/>
          <w:color w:val="000000" w:themeColor="text1"/>
          <w:sz w:val="20"/>
        </w:rPr>
        <w:t>(0070921)</w:t>
      </w:r>
    </w:p>
    <w:p w14:paraId="020908D3" w14:textId="64EBF580" w:rsidR="00F96F51" w:rsidRPr="00901367" w:rsidRDefault="00F96F51" w:rsidP="00F96F51">
      <w:pPr>
        <w:spacing w:line="240" w:lineRule="auto"/>
        <w:rPr>
          <w:rFonts w:cs="Arial"/>
          <w:color w:val="000000" w:themeColor="text1"/>
          <w:sz w:val="20"/>
        </w:rPr>
      </w:pPr>
      <w:r w:rsidRPr="00901367">
        <w:rPr>
          <w:rFonts w:cs="Arial"/>
          <w:color w:val="000000" w:themeColor="text1"/>
          <w:sz w:val="20"/>
        </w:rPr>
        <w:t>(Counsel of Record)</w:t>
      </w:r>
    </w:p>
    <w:p w14:paraId="4B3621D7" w14:textId="40C8A91B" w:rsidR="00F96F51" w:rsidRPr="00901367" w:rsidRDefault="00F96F51" w:rsidP="00F96F51">
      <w:pPr>
        <w:spacing w:line="240" w:lineRule="auto"/>
        <w:rPr>
          <w:rFonts w:cs="Arial"/>
          <w:color w:val="000000" w:themeColor="text1"/>
          <w:sz w:val="20"/>
        </w:rPr>
      </w:pPr>
      <w:r w:rsidRPr="00901367">
        <w:rPr>
          <w:rFonts w:cs="Arial"/>
          <w:color w:val="000000" w:themeColor="text1"/>
          <w:sz w:val="20"/>
        </w:rPr>
        <w:t>Assistant Consumers’ Counsel</w:t>
      </w:r>
    </w:p>
    <w:p w14:paraId="6D0C4D31" w14:textId="00095820" w:rsidR="00F96F51" w:rsidRPr="006F617B" w:rsidRDefault="00F96F51" w:rsidP="00F96F51">
      <w:pPr>
        <w:spacing w:line="240" w:lineRule="auto"/>
        <w:rPr>
          <w:rFonts w:cs="Arial"/>
          <w:smallCaps/>
          <w:color w:val="000000" w:themeColor="text1"/>
          <w:sz w:val="20"/>
        </w:rPr>
      </w:pPr>
      <w:r w:rsidRPr="006F617B">
        <w:rPr>
          <w:rFonts w:cs="Arial"/>
          <w:smallCaps/>
          <w:color w:val="000000" w:themeColor="text1"/>
          <w:sz w:val="20"/>
        </w:rPr>
        <w:t>Office of the Ohio Consumers’ Counsel</w:t>
      </w:r>
    </w:p>
    <w:p w14:paraId="0186838B" w14:textId="33C999E0" w:rsidR="00F96F51" w:rsidRPr="00901367" w:rsidRDefault="00F96F51" w:rsidP="00F96F51">
      <w:pPr>
        <w:spacing w:line="240" w:lineRule="auto"/>
        <w:rPr>
          <w:rFonts w:cs="Arial"/>
          <w:color w:val="000000" w:themeColor="text1"/>
          <w:sz w:val="20"/>
        </w:rPr>
      </w:pPr>
      <w:r w:rsidRPr="00901367">
        <w:rPr>
          <w:rFonts w:cs="Arial"/>
          <w:color w:val="000000" w:themeColor="text1"/>
          <w:sz w:val="20"/>
        </w:rPr>
        <w:t>65 East State Street, 7</w:t>
      </w:r>
      <w:r w:rsidRPr="00901367">
        <w:rPr>
          <w:rFonts w:cs="Arial"/>
          <w:color w:val="000000" w:themeColor="text1"/>
          <w:sz w:val="20"/>
          <w:vertAlign w:val="superscript"/>
        </w:rPr>
        <w:t>th</w:t>
      </w:r>
      <w:r w:rsidRPr="00901367">
        <w:rPr>
          <w:rFonts w:cs="Arial"/>
          <w:color w:val="000000" w:themeColor="text1"/>
          <w:sz w:val="20"/>
        </w:rPr>
        <w:t xml:space="preserve"> Floor</w:t>
      </w:r>
    </w:p>
    <w:p w14:paraId="5820F8B8" w14:textId="2A92B237" w:rsidR="00F96F51" w:rsidRPr="00901367" w:rsidRDefault="00F96F51" w:rsidP="00F96F51">
      <w:pPr>
        <w:spacing w:line="240" w:lineRule="auto"/>
        <w:rPr>
          <w:rFonts w:cs="Arial"/>
          <w:color w:val="000000" w:themeColor="text1"/>
          <w:sz w:val="20"/>
        </w:rPr>
      </w:pPr>
      <w:r w:rsidRPr="00901367">
        <w:rPr>
          <w:rFonts w:cs="Arial"/>
          <w:color w:val="000000" w:themeColor="text1"/>
          <w:sz w:val="20"/>
        </w:rPr>
        <w:t>Columbus, OH  42315</w:t>
      </w:r>
    </w:p>
    <w:p w14:paraId="58CBBF46" w14:textId="19F511E4" w:rsidR="00F96F51" w:rsidRPr="00901367" w:rsidRDefault="00F96F51" w:rsidP="00F96F51">
      <w:pPr>
        <w:spacing w:line="240" w:lineRule="auto"/>
        <w:rPr>
          <w:rFonts w:cs="Arial"/>
          <w:color w:val="000000" w:themeColor="text1"/>
          <w:sz w:val="20"/>
        </w:rPr>
      </w:pPr>
      <w:r w:rsidRPr="0093052C">
        <w:rPr>
          <w:rFonts w:cs="Arial"/>
          <w:sz w:val="20"/>
        </w:rPr>
        <w:t>William.michael@occ.ohio.gov</w:t>
      </w:r>
    </w:p>
    <w:p w14:paraId="6CC5D7B8" w14:textId="1B77F3AF" w:rsidR="00F96F51" w:rsidRPr="00901367" w:rsidRDefault="00F96F51" w:rsidP="00F96F51">
      <w:pPr>
        <w:spacing w:line="240" w:lineRule="auto"/>
        <w:rPr>
          <w:rFonts w:cs="Arial"/>
          <w:color w:val="000000" w:themeColor="text1"/>
          <w:sz w:val="20"/>
        </w:rPr>
      </w:pPr>
    </w:p>
    <w:p w14:paraId="63CC4522" w14:textId="2B751884" w:rsidR="00F96F51" w:rsidRPr="00901367" w:rsidRDefault="00F96F51" w:rsidP="00901367">
      <w:pPr>
        <w:pStyle w:val="COScompanyname"/>
        <w:rPr>
          <w:color w:val="000000" w:themeColor="text1"/>
          <w:sz w:val="20"/>
        </w:rPr>
      </w:pPr>
      <w:r w:rsidRPr="00901367">
        <w:rPr>
          <w:color w:val="000000" w:themeColor="text1"/>
          <w:sz w:val="20"/>
        </w:rPr>
        <w:t>Attorney for Office of the Ohio Consumers’ Counsel</w:t>
      </w:r>
    </w:p>
    <w:p w14:paraId="463A4F61" w14:textId="1C9F69DD" w:rsidR="00F96F51" w:rsidRPr="00901367" w:rsidRDefault="00F96F51" w:rsidP="00F96F51">
      <w:pPr>
        <w:spacing w:line="240" w:lineRule="auto"/>
        <w:rPr>
          <w:rFonts w:cs="Arial"/>
          <w:color w:val="000000" w:themeColor="text1"/>
          <w:sz w:val="20"/>
        </w:rPr>
      </w:pPr>
    </w:p>
    <w:p w14:paraId="636975D5" w14:textId="03B721DD" w:rsidR="00F96F51" w:rsidRPr="00B766D0" w:rsidRDefault="00B766D0" w:rsidP="00F96F51">
      <w:pPr>
        <w:spacing w:line="240" w:lineRule="auto"/>
        <w:rPr>
          <w:color w:val="000000" w:themeColor="text1"/>
          <w:sz w:val="20"/>
          <w:szCs w:val="20"/>
        </w:rPr>
      </w:pPr>
      <w:r>
        <w:rPr>
          <w:b/>
          <w:bCs/>
          <w:color w:val="000000" w:themeColor="text1"/>
          <w:sz w:val="20"/>
          <w:szCs w:val="20"/>
        </w:rPr>
        <w:br w:type="column"/>
      </w:r>
      <w:r w:rsidR="00F96F51" w:rsidRPr="00B766D0">
        <w:rPr>
          <w:b/>
          <w:bCs/>
          <w:color w:val="000000" w:themeColor="text1"/>
          <w:sz w:val="20"/>
          <w:szCs w:val="20"/>
        </w:rPr>
        <w:t>Michael J. Schuler</w:t>
      </w:r>
      <w:r w:rsidR="00F96F51" w:rsidRPr="00B766D0">
        <w:rPr>
          <w:color w:val="000000" w:themeColor="text1"/>
          <w:sz w:val="20"/>
          <w:szCs w:val="20"/>
        </w:rPr>
        <w:t xml:space="preserve"> (0082390) </w:t>
      </w:r>
    </w:p>
    <w:p w14:paraId="4644EA8D" w14:textId="77777777" w:rsidR="00F96F51" w:rsidRPr="00B766D0" w:rsidRDefault="00F96F51" w:rsidP="00F96F51">
      <w:pPr>
        <w:spacing w:line="240" w:lineRule="auto"/>
        <w:rPr>
          <w:color w:val="000000" w:themeColor="text1"/>
          <w:sz w:val="20"/>
          <w:szCs w:val="20"/>
        </w:rPr>
      </w:pPr>
      <w:r w:rsidRPr="00B766D0">
        <w:rPr>
          <w:color w:val="000000" w:themeColor="text1"/>
          <w:sz w:val="20"/>
          <w:szCs w:val="20"/>
        </w:rPr>
        <w:t>(Counsel of Record)</w:t>
      </w:r>
    </w:p>
    <w:p w14:paraId="4D9CE52F" w14:textId="6E1B939D" w:rsidR="00F96F51" w:rsidRPr="00B766D0" w:rsidRDefault="00F96F51" w:rsidP="00F96F51">
      <w:pPr>
        <w:spacing w:line="240" w:lineRule="auto"/>
        <w:rPr>
          <w:smallCaps/>
          <w:color w:val="000000" w:themeColor="text1"/>
          <w:sz w:val="20"/>
          <w:szCs w:val="20"/>
        </w:rPr>
      </w:pPr>
      <w:r w:rsidRPr="00B766D0">
        <w:rPr>
          <w:smallCaps/>
          <w:color w:val="000000" w:themeColor="text1"/>
          <w:sz w:val="20"/>
          <w:szCs w:val="20"/>
        </w:rPr>
        <w:t>The Dayton Power and Light Company</w:t>
      </w:r>
    </w:p>
    <w:p w14:paraId="23639576" w14:textId="77777777" w:rsidR="00F96F51" w:rsidRPr="00B766D0" w:rsidRDefault="00F96F51" w:rsidP="00F96F51">
      <w:pPr>
        <w:spacing w:line="240" w:lineRule="auto"/>
        <w:rPr>
          <w:color w:val="000000" w:themeColor="text1"/>
          <w:sz w:val="20"/>
          <w:szCs w:val="20"/>
        </w:rPr>
      </w:pPr>
      <w:r w:rsidRPr="00B766D0">
        <w:rPr>
          <w:color w:val="000000" w:themeColor="text1"/>
          <w:sz w:val="20"/>
          <w:szCs w:val="20"/>
        </w:rPr>
        <w:t>1065 Woodman Drive</w:t>
      </w:r>
    </w:p>
    <w:p w14:paraId="070619E2" w14:textId="77777777" w:rsidR="00F96F51" w:rsidRPr="00B766D0" w:rsidRDefault="00F96F51" w:rsidP="00F96F51">
      <w:pPr>
        <w:spacing w:line="240" w:lineRule="auto"/>
        <w:rPr>
          <w:color w:val="000000" w:themeColor="text1"/>
          <w:sz w:val="20"/>
          <w:szCs w:val="20"/>
        </w:rPr>
      </w:pPr>
      <w:r w:rsidRPr="00B766D0">
        <w:rPr>
          <w:color w:val="000000" w:themeColor="text1"/>
          <w:sz w:val="20"/>
          <w:szCs w:val="20"/>
        </w:rPr>
        <w:t>Dayton, OH 45432</w:t>
      </w:r>
    </w:p>
    <w:p w14:paraId="2AAD0D9E" w14:textId="6E49BE29" w:rsidR="00F96F51" w:rsidRPr="00B766D0" w:rsidRDefault="00F96F51" w:rsidP="00F96F51">
      <w:pPr>
        <w:spacing w:line="240" w:lineRule="auto"/>
        <w:rPr>
          <w:color w:val="000000" w:themeColor="text1"/>
          <w:sz w:val="20"/>
          <w:szCs w:val="20"/>
        </w:rPr>
      </w:pPr>
      <w:r w:rsidRPr="0093052C">
        <w:rPr>
          <w:sz w:val="20"/>
          <w:szCs w:val="20"/>
        </w:rPr>
        <w:t>michael.schuler@aes.com</w:t>
      </w:r>
    </w:p>
    <w:p w14:paraId="0FEB4027" w14:textId="782B3755" w:rsidR="00F96F51" w:rsidRPr="00B766D0" w:rsidRDefault="00F96F51" w:rsidP="00F96F51">
      <w:pPr>
        <w:spacing w:line="240" w:lineRule="auto"/>
        <w:rPr>
          <w:color w:val="000000" w:themeColor="text1"/>
          <w:sz w:val="20"/>
          <w:szCs w:val="20"/>
        </w:rPr>
      </w:pPr>
    </w:p>
    <w:p w14:paraId="2CF6BB02" w14:textId="407922D7" w:rsidR="00F96F51" w:rsidRPr="00B766D0" w:rsidRDefault="00F96F51" w:rsidP="00901367">
      <w:pPr>
        <w:pStyle w:val="COScompanyname"/>
        <w:rPr>
          <w:color w:val="000000" w:themeColor="text1"/>
          <w:sz w:val="20"/>
          <w:szCs w:val="20"/>
        </w:rPr>
      </w:pPr>
      <w:r w:rsidRPr="00B766D0">
        <w:rPr>
          <w:color w:val="000000" w:themeColor="text1"/>
          <w:sz w:val="20"/>
          <w:szCs w:val="20"/>
        </w:rPr>
        <w:t>Attorney for The Dayton Power and Light Company</w:t>
      </w:r>
    </w:p>
    <w:p w14:paraId="023A6308" w14:textId="14F5E3FB" w:rsidR="00F96F51" w:rsidRPr="00B766D0" w:rsidRDefault="00F96F51" w:rsidP="00F96F51">
      <w:pPr>
        <w:spacing w:line="240" w:lineRule="auto"/>
        <w:rPr>
          <w:color w:val="000000" w:themeColor="text1"/>
          <w:sz w:val="20"/>
          <w:szCs w:val="20"/>
        </w:rPr>
      </w:pPr>
    </w:p>
    <w:p w14:paraId="02D06406" w14:textId="77777777" w:rsidR="00B766D0" w:rsidRPr="00B766D0" w:rsidRDefault="00B766D0" w:rsidP="00B766D0">
      <w:pPr>
        <w:spacing w:line="240" w:lineRule="auto"/>
        <w:jc w:val="left"/>
        <w:rPr>
          <w:rFonts w:cs="Arial"/>
          <w:color w:val="000000" w:themeColor="text1"/>
          <w:sz w:val="20"/>
          <w:szCs w:val="20"/>
        </w:rPr>
      </w:pPr>
      <w:r w:rsidRPr="00B766D0">
        <w:rPr>
          <w:rFonts w:cs="Arial"/>
          <w:b/>
          <w:color w:val="000000" w:themeColor="text1"/>
          <w:sz w:val="20"/>
          <w:szCs w:val="20"/>
        </w:rPr>
        <w:t>John H. Jones</w:t>
      </w:r>
    </w:p>
    <w:p w14:paraId="0F99F7D9" w14:textId="77777777" w:rsidR="00B766D0" w:rsidRPr="00B766D0" w:rsidRDefault="00B766D0" w:rsidP="00B766D0">
      <w:pPr>
        <w:spacing w:line="240" w:lineRule="auto"/>
        <w:jc w:val="left"/>
        <w:rPr>
          <w:rFonts w:cs="Arial"/>
          <w:color w:val="000000" w:themeColor="text1"/>
          <w:sz w:val="20"/>
          <w:szCs w:val="20"/>
        </w:rPr>
      </w:pPr>
      <w:r w:rsidRPr="00B766D0">
        <w:rPr>
          <w:rFonts w:cs="Arial"/>
          <w:color w:val="000000" w:themeColor="text1"/>
          <w:sz w:val="20"/>
          <w:szCs w:val="20"/>
        </w:rPr>
        <w:t>Chief, Public Utilities Section</w:t>
      </w:r>
    </w:p>
    <w:p w14:paraId="20C6061F" w14:textId="77777777" w:rsidR="00B766D0" w:rsidRPr="00B766D0" w:rsidRDefault="00B766D0" w:rsidP="00B766D0">
      <w:pPr>
        <w:autoSpaceDE w:val="0"/>
        <w:autoSpaceDN w:val="0"/>
        <w:adjustRightInd w:val="0"/>
        <w:snapToGrid w:val="0"/>
        <w:spacing w:line="240" w:lineRule="auto"/>
        <w:jc w:val="left"/>
        <w:rPr>
          <w:rFonts w:cs="Arial"/>
          <w:color w:val="000000" w:themeColor="text1"/>
          <w:sz w:val="20"/>
          <w:szCs w:val="20"/>
        </w:rPr>
      </w:pPr>
      <w:r w:rsidRPr="00B766D0">
        <w:rPr>
          <w:rFonts w:cs="Arial"/>
          <w:color w:val="000000" w:themeColor="text1"/>
          <w:sz w:val="20"/>
          <w:szCs w:val="20"/>
        </w:rPr>
        <w:t>Office of the Ohio Attorney General</w:t>
      </w:r>
    </w:p>
    <w:p w14:paraId="67E585E9" w14:textId="77777777" w:rsidR="00B766D0" w:rsidRPr="00B766D0" w:rsidRDefault="00B766D0" w:rsidP="00B766D0">
      <w:pPr>
        <w:autoSpaceDE w:val="0"/>
        <w:autoSpaceDN w:val="0"/>
        <w:adjustRightInd w:val="0"/>
        <w:spacing w:line="240" w:lineRule="auto"/>
        <w:jc w:val="left"/>
        <w:rPr>
          <w:rFonts w:cs="Arial"/>
          <w:color w:val="000000" w:themeColor="text1"/>
          <w:sz w:val="20"/>
          <w:szCs w:val="20"/>
        </w:rPr>
      </w:pPr>
      <w:r w:rsidRPr="00B766D0">
        <w:rPr>
          <w:rFonts w:cs="Arial"/>
          <w:color w:val="000000" w:themeColor="text1"/>
          <w:sz w:val="20"/>
          <w:szCs w:val="20"/>
        </w:rPr>
        <w:t>30 E. Broad St., 16th Floor</w:t>
      </w:r>
    </w:p>
    <w:p w14:paraId="6B4F33C1" w14:textId="77777777" w:rsidR="00B766D0" w:rsidRPr="00B766D0" w:rsidRDefault="00B766D0" w:rsidP="00B766D0">
      <w:pPr>
        <w:autoSpaceDE w:val="0"/>
        <w:autoSpaceDN w:val="0"/>
        <w:adjustRightInd w:val="0"/>
        <w:spacing w:line="240" w:lineRule="auto"/>
        <w:jc w:val="left"/>
        <w:rPr>
          <w:rFonts w:cs="Arial"/>
          <w:color w:val="000000" w:themeColor="text1"/>
          <w:sz w:val="20"/>
          <w:szCs w:val="20"/>
        </w:rPr>
      </w:pPr>
      <w:r w:rsidRPr="00B766D0">
        <w:rPr>
          <w:rFonts w:cs="Arial"/>
          <w:color w:val="000000" w:themeColor="text1"/>
          <w:sz w:val="20"/>
          <w:szCs w:val="20"/>
        </w:rPr>
        <w:t>Columbus, OH 43215</w:t>
      </w:r>
    </w:p>
    <w:p w14:paraId="58815378" w14:textId="77777777" w:rsidR="00B766D0" w:rsidRPr="00B766D0" w:rsidRDefault="00B766D0" w:rsidP="00B766D0">
      <w:pPr>
        <w:spacing w:line="240" w:lineRule="auto"/>
        <w:jc w:val="left"/>
        <w:rPr>
          <w:rFonts w:cs="Arial"/>
          <w:color w:val="000000" w:themeColor="text1"/>
          <w:sz w:val="20"/>
          <w:szCs w:val="20"/>
        </w:rPr>
      </w:pPr>
      <w:r w:rsidRPr="00B766D0">
        <w:rPr>
          <w:rFonts w:cs="Arial"/>
          <w:color w:val="000000" w:themeColor="text1"/>
          <w:sz w:val="20"/>
          <w:szCs w:val="20"/>
        </w:rPr>
        <w:t>John.jones@puc.state.oh.us</w:t>
      </w:r>
    </w:p>
    <w:p w14:paraId="746C1335" w14:textId="77777777" w:rsidR="00B766D0" w:rsidRPr="00B766D0" w:rsidRDefault="00B766D0" w:rsidP="00B766D0">
      <w:pPr>
        <w:spacing w:line="240" w:lineRule="auto"/>
        <w:jc w:val="left"/>
        <w:rPr>
          <w:rFonts w:eastAsia="Calibri" w:cs="Arial"/>
          <w:color w:val="000000" w:themeColor="text1"/>
          <w:sz w:val="20"/>
          <w:szCs w:val="20"/>
        </w:rPr>
      </w:pPr>
    </w:p>
    <w:p w14:paraId="7129D8AE" w14:textId="2C07B711" w:rsidR="00B766D0" w:rsidRPr="00B766D0" w:rsidRDefault="00B766D0" w:rsidP="00B766D0">
      <w:pPr>
        <w:spacing w:line="240" w:lineRule="auto"/>
        <w:jc w:val="left"/>
        <w:rPr>
          <w:rFonts w:eastAsia="Calibri" w:cs="Arial"/>
          <w:smallCaps/>
          <w:color w:val="000000" w:themeColor="text1"/>
          <w:sz w:val="20"/>
          <w:szCs w:val="20"/>
        </w:rPr>
      </w:pPr>
      <w:r>
        <w:rPr>
          <w:rFonts w:eastAsia="Calibri" w:cs="Arial"/>
          <w:b/>
          <w:smallCaps/>
          <w:color w:val="000000" w:themeColor="text1"/>
          <w:sz w:val="20"/>
          <w:szCs w:val="20"/>
        </w:rPr>
        <w:t xml:space="preserve">Attorney </w:t>
      </w:r>
      <w:r w:rsidRPr="00B766D0">
        <w:rPr>
          <w:rFonts w:eastAsia="Calibri" w:cs="Arial"/>
          <w:b/>
          <w:smallCaps/>
          <w:color w:val="000000" w:themeColor="text1"/>
          <w:sz w:val="20"/>
          <w:szCs w:val="20"/>
        </w:rPr>
        <w:t>for the Staff of the Public Utilities Commission of Ohio</w:t>
      </w:r>
    </w:p>
    <w:p w14:paraId="2379897E" w14:textId="77777777" w:rsidR="00B766D0" w:rsidRPr="00B766D0" w:rsidRDefault="00B766D0" w:rsidP="00F96F51">
      <w:pPr>
        <w:spacing w:line="240" w:lineRule="auto"/>
        <w:rPr>
          <w:b/>
          <w:bCs/>
          <w:color w:val="000000" w:themeColor="text1"/>
          <w:sz w:val="20"/>
          <w:szCs w:val="20"/>
        </w:rPr>
      </w:pPr>
    </w:p>
    <w:p w14:paraId="3837BEE5" w14:textId="07FD8239" w:rsidR="00F96F51" w:rsidRPr="00B766D0" w:rsidRDefault="00F96F51" w:rsidP="00F96F51">
      <w:pPr>
        <w:spacing w:line="240" w:lineRule="auto"/>
        <w:rPr>
          <w:b/>
          <w:bCs/>
          <w:color w:val="000000" w:themeColor="text1"/>
          <w:sz w:val="20"/>
          <w:szCs w:val="20"/>
        </w:rPr>
      </w:pPr>
      <w:r w:rsidRPr="00B766D0">
        <w:rPr>
          <w:b/>
          <w:bCs/>
          <w:color w:val="000000" w:themeColor="text1"/>
          <w:sz w:val="20"/>
          <w:szCs w:val="20"/>
        </w:rPr>
        <w:t>James Lynn</w:t>
      </w:r>
    </w:p>
    <w:p w14:paraId="349E67C3" w14:textId="156B9516" w:rsidR="00F96F51" w:rsidRPr="00B766D0" w:rsidRDefault="00F96F51" w:rsidP="00F96F51">
      <w:pPr>
        <w:spacing w:line="240" w:lineRule="auto"/>
        <w:rPr>
          <w:rFonts w:cs="Arial"/>
          <w:color w:val="000000" w:themeColor="text1"/>
          <w:sz w:val="20"/>
          <w:szCs w:val="20"/>
        </w:rPr>
      </w:pPr>
      <w:r w:rsidRPr="00B766D0">
        <w:rPr>
          <w:rFonts w:cs="Arial"/>
          <w:color w:val="000000" w:themeColor="text1"/>
          <w:sz w:val="20"/>
          <w:szCs w:val="20"/>
        </w:rPr>
        <w:t>Legal Department</w:t>
      </w:r>
    </w:p>
    <w:p w14:paraId="5B432111" w14:textId="511639D7" w:rsidR="00F96F51" w:rsidRPr="00B766D0" w:rsidRDefault="00F96F51" w:rsidP="00F96F51">
      <w:pPr>
        <w:spacing w:line="240" w:lineRule="auto"/>
        <w:rPr>
          <w:rFonts w:cs="Arial"/>
          <w:smallCaps/>
          <w:color w:val="000000" w:themeColor="text1"/>
          <w:sz w:val="20"/>
          <w:szCs w:val="20"/>
        </w:rPr>
      </w:pPr>
      <w:r w:rsidRPr="00B766D0">
        <w:rPr>
          <w:rFonts w:cs="Arial"/>
          <w:smallCaps/>
          <w:color w:val="000000" w:themeColor="text1"/>
          <w:sz w:val="20"/>
          <w:szCs w:val="20"/>
        </w:rPr>
        <w:t>Public Utilities Commission of Ohio</w:t>
      </w:r>
    </w:p>
    <w:p w14:paraId="5CB5BE07" w14:textId="2B5183A0" w:rsidR="00F96F51" w:rsidRPr="00B766D0" w:rsidRDefault="00F96F51" w:rsidP="00F96F51">
      <w:pPr>
        <w:spacing w:line="240" w:lineRule="auto"/>
        <w:rPr>
          <w:rFonts w:cs="Arial"/>
          <w:color w:val="000000" w:themeColor="text1"/>
          <w:sz w:val="20"/>
          <w:szCs w:val="20"/>
        </w:rPr>
      </w:pPr>
      <w:r w:rsidRPr="00B766D0">
        <w:rPr>
          <w:rFonts w:cs="Arial"/>
          <w:color w:val="000000" w:themeColor="text1"/>
          <w:sz w:val="20"/>
          <w:szCs w:val="20"/>
        </w:rPr>
        <w:t>180 East Broad Street, 12</w:t>
      </w:r>
      <w:r w:rsidRPr="00B766D0">
        <w:rPr>
          <w:rFonts w:cs="Arial"/>
          <w:color w:val="000000" w:themeColor="text1"/>
          <w:sz w:val="20"/>
          <w:szCs w:val="20"/>
          <w:vertAlign w:val="superscript"/>
        </w:rPr>
        <w:t>th</w:t>
      </w:r>
      <w:r w:rsidRPr="00B766D0">
        <w:rPr>
          <w:rFonts w:cs="Arial"/>
          <w:color w:val="000000" w:themeColor="text1"/>
          <w:sz w:val="20"/>
          <w:szCs w:val="20"/>
        </w:rPr>
        <w:t xml:space="preserve"> Floor</w:t>
      </w:r>
    </w:p>
    <w:p w14:paraId="71335D79" w14:textId="3E7F74D8" w:rsidR="00F96F51" w:rsidRPr="00B766D0" w:rsidRDefault="00F96F51" w:rsidP="00F96F51">
      <w:pPr>
        <w:spacing w:line="240" w:lineRule="auto"/>
        <w:rPr>
          <w:rFonts w:cs="Arial"/>
          <w:color w:val="000000" w:themeColor="text1"/>
          <w:sz w:val="20"/>
          <w:szCs w:val="20"/>
        </w:rPr>
      </w:pPr>
      <w:r w:rsidRPr="00B766D0">
        <w:rPr>
          <w:rFonts w:cs="Arial"/>
          <w:color w:val="000000" w:themeColor="text1"/>
          <w:sz w:val="20"/>
          <w:szCs w:val="20"/>
        </w:rPr>
        <w:t>Columbus, OH  43215</w:t>
      </w:r>
    </w:p>
    <w:p w14:paraId="3AB25FE8" w14:textId="118748AA" w:rsidR="00F96F51" w:rsidRPr="00B766D0" w:rsidRDefault="00901367" w:rsidP="00F96F51">
      <w:pPr>
        <w:spacing w:line="240" w:lineRule="auto"/>
        <w:rPr>
          <w:rFonts w:cs="Arial"/>
          <w:color w:val="000000" w:themeColor="text1"/>
          <w:sz w:val="20"/>
          <w:szCs w:val="20"/>
        </w:rPr>
      </w:pPr>
      <w:r w:rsidRPr="0093052C">
        <w:rPr>
          <w:rFonts w:cs="Arial"/>
          <w:sz w:val="20"/>
          <w:szCs w:val="20"/>
        </w:rPr>
        <w:t>James.lynn@puc.state.oh.us</w:t>
      </w:r>
    </w:p>
    <w:p w14:paraId="0C0711D2" w14:textId="5EC7114D" w:rsidR="00901367" w:rsidRPr="00B766D0" w:rsidRDefault="00901367" w:rsidP="00F96F51">
      <w:pPr>
        <w:spacing w:line="240" w:lineRule="auto"/>
        <w:rPr>
          <w:rFonts w:cs="Arial"/>
          <w:color w:val="000000" w:themeColor="text1"/>
          <w:sz w:val="20"/>
          <w:szCs w:val="20"/>
        </w:rPr>
      </w:pPr>
    </w:p>
    <w:p w14:paraId="15EF9B74" w14:textId="560381C0" w:rsidR="00901367" w:rsidRPr="00B766D0" w:rsidRDefault="00901367" w:rsidP="00901367">
      <w:pPr>
        <w:pStyle w:val="COScompanyname"/>
        <w:rPr>
          <w:color w:val="000000" w:themeColor="text1"/>
          <w:sz w:val="20"/>
          <w:szCs w:val="20"/>
        </w:rPr>
      </w:pPr>
      <w:r w:rsidRPr="00B766D0">
        <w:rPr>
          <w:color w:val="000000" w:themeColor="text1"/>
          <w:sz w:val="20"/>
          <w:szCs w:val="20"/>
        </w:rPr>
        <w:t>Attorney Examiner</w:t>
      </w:r>
    </w:p>
    <w:p w14:paraId="5F958534" w14:textId="77777777" w:rsidR="00901367" w:rsidRPr="00B766D0" w:rsidRDefault="00901367" w:rsidP="00F96F51">
      <w:pPr>
        <w:spacing w:line="240" w:lineRule="auto"/>
        <w:rPr>
          <w:rFonts w:cs="Arial"/>
          <w:color w:val="000000" w:themeColor="text1"/>
          <w:sz w:val="20"/>
          <w:szCs w:val="20"/>
        </w:rPr>
      </w:pPr>
    </w:p>
    <w:sectPr w:rsidR="00901367" w:rsidRPr="00B766D0" w:rsidSect="0090136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5BFA9" w14:textId="77777777" w:rsidR="006710C3" w:rsidRDefault="006710C3" w:rsidP="006710C3">
      <w:pPr>
        <w:spacing w:line="240" w:lineRule="auto"/>
      </w:pPr>
      <w:r>
        <w:separator/>
      </w:r>
    </w:p>
  </w:endnote>
  <w:endnote w:type="continuationSeparator" w:id="0">
    <w:p w14:paraId="11A7A072" w14:textId="77777777" w:rsidR="006710C3" w:rsidRDefault="006710C3" w:rsidP="00671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A247" w14:textId="77777777" w:rsidR="00CF11CA" w:rsidRDefault="00CF11CA">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A2E33D0" w14:textId="77777777" w:rsidR="00CF11CA" w:rsidRDefault="00CF1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3D56" w14:textId="074D711C" w:rsidR="00CF11CA" w:rsidRPr="00186D33" w:rsidRDefault="005D77D4">
    <w:pPr>
      <w:pStyle w:val="Footer"/>
      <w:framePr w:wrap="around" w:vAnchor="text" w:hAnchor="margin" w:xAlign="center" w:y="1"/>
      <w:rPr>
        <w:rStyle w:val="PageNumber"/>
        <w:rFonts w:cs="Arial"/>
        <w:noProof/>
      </w:rPr>
    </w:pPr>
    <w:r w:rsidRPr="005D77D4">
      <w:rPr>
        <w:rStyle w:val="PageNumber"/>
        <w:rFonts w:cs="Arial"/>
        <w:noProof/>
        <w:sz w:val="16"/>
      </w:rPr>
      <w:t>{A7036632:1}</w:t>
    </w:r>
    <w:r w:rsidR="00CF11CA" w:rsidRPr="00186D33">
      <w:rPr>
        <w:rStyle w:val="PageNumber"/>
        <w:rFonts w:cs="Arial"/>
        <w:noProof/>
      </w:rPr>
      <w:fldChar w:fldCharType="begin"/>
    </w:r>
    <w:r w:rsidR="00CF11CA" w:rsidRPr="00186D33">
      <w:rPr>
        <w:rStyle w:val="PageNumber"/>
        <w:rFonts w:cs="Arial"/>
        <w:noProof/>
      </w:rPr>
      <w:instrText xml:space="preserve"> PAGE   \* MERGEFORMAT </w:instrText>
    </w:r>
    <w:r w:rsidR="00CF11CA" w:rsidRPr="00186D33">
      <w:rPr>
        <w:rStyle w:val="PageNumber"/>
        <w:rFonts w:cs="Arial"/>
        <w:noProof/>
      </w:rPr>
      <w:fldChar w:fldCharType="separate"/>
    </w:r>
    <w:r w:rsidR="00CF11CA">
      <w:rPr>
        <w:rStyle w:val="PageNumber"/>
        <w:rFonts w:cs="Arial"/>
        <w:noProof/>
      </w:rPr>
      <w:t>1</w:t>
    </w:r>
    <w:r w:rsidR="00CF11CA" w:rsidRPr="00186D33">
      <w:rPr>
        <w:rStyle w:val="PageNumber"/>
        <w:rFonts w:cs="Arial"/>
        <w:noProof/>
      </w:rPr>
      <w:fldChar w:fldCharType="end"/>
    </w:r>
  </w:p>
  <w:p w14:paraId="4793C0D7" w14:textId="77777777" w:rsidR="00CF11CA" w:rsidRPr="00186D33" w:rsidRDefault="00CF11CA" w:rsidP="002A0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7A73" w14:textId="68DD9A34" w:rsidR="00CF11CA" w:rsidRDefault="005D77D4">
    <w:pPr>
      <w:pStyle w:val="Footer"/>
    </w:pPr>
    <w:r w:rsidRPr="005D77D4">
      <w:rPr>
        <w:noProof/>
        <w:sz w:val="16"/>
      </w:rPr>
      <w:t>{A7036632:1}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73EE" w14:textId="5C3947A1" w:rsidR="005D77D4" w:rsidRPr="00A42B05" w:rsidRDefault="005D77D4" w:rsidP="00D42DE9">
    <w:pPr>
      <w:pStyle w:val="Footer"/>
      <w:jc w:val="left"/>
      <w:rPr>
        <w:sz w:val="22"/>
      </w:rPr>
    </w:pPr>
    <w:r w:rsidRPr="005D77D4">
      <w:rPr>
        <w:noProof/>
        <w:sz w:val="16"/>
      </w:rPr>
      <w:t>{A7036632:1}</w:t>
    </w:r>
    <w:r w:rsidRPr="00A42B05">
      <w:tab/>
    </w:r>
    <w:r w:rsidRPr="00A42B05">
      <w:rPr>
        <w:sz w:val="22"/>
      </w:rPr>
      <w:fldChar w:fldCharType="begin"/>
    </w:r>
    <w:r w:rsidRPr="00A42B05">
      <w:rPr>
        <w:sz w:val="22"/>
      </w:rPr>
      <w:instrText xml:space="preserve"> PAGE   \* MERGEFORMAT </w:instrText>
    </w:r>
    <w:r w:rsidRPr="00A42B05">
      <w:rPr>
        <w:sz w:val="22"/>
      </w:rPr>
      <w:fldChar w:fldCharType="separate"/>
    </w:r>
    <w:r w:rsidR="007F1A04">
      <w:rPr>
        <w:noProof/>
        <w:sz w:val="22"/>
      </w:rPr>
      <w:t>4</w:t>
    </w:r>
    <w:r w:rsidRPr="00A42B05">
      <w:rPr>
        <w:noProof/>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C627" w14:textId="4633B345" w:rsidR="005D77D4" w:rsidRDefault="005D77D4">
    <w:pPr>
      <w:pStyle w:val="Footer"/>
    </w:pPr>
    <w:r w:rsidRPr="005D77D4">
      <w:rPr>
        <w:noProof/>
        <w:sz w:val="16"/>
      </w:rPr>
      <w:t>{A7036632:1}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0A80" w14:textId="77777777" w:rsidR="00050CD5" w:rsidRDefault="00050C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73C8" w14:textId="5674CCFF" w:rsidR="00050CD5" w:rsidRPr="00901367" w:rsidRDefault="005D77D4" w:rsidP="00050CD5">
    <w:pPr>
      <w:pStyle w:val="Footer"/>
      <w:jc w:val="left"/>
      <w:rPr>
        <w:sz w:val="16"/>
        <w:szCs w:val="16"/>
      </w:rPr>
    </w:pPr>
    <w:r w:rsidRPr="00901367">
      <w:rPr>
        <w:noProof/>
        <w:sz w:val="16"/>
        <w:szCs w:val="16"/>
      </w:rPr>
      <w:t>{A7036632:1}</w:t>
    </w:r>
    <w:r w:rsidR="00050CD5" w:rsidRPr="00901367">
      <w:rPr>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11D4" w14:textId="77777777" w:rsidR="00050CD5" w:rsidRDefault="00050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77C4F" w14:textId="77777777" w:rsidR="006710C3" w:rsidRDefault="006710C3" w:rsidP="006710C3">
      <w:pPr>
        <w:spacing w:line="240" w:lineRule="auto"/>
        <w:rPr>
          <w:noProof/>
        </w:rPr>
      </w:pPr>
      <w:r>
        <w:rPr>
          <w:noProof/>
        </w:rPr>
        <w:separator/>
      </w:r>
    </w:p>
  </w:footnote>
  <w:footnote w:type="continuationSeparator" w:id="0">
    <w:p w14:paraId="19606C96" w14:textId="77777777" w:rsidR="006710C3" w:rsidRDefault="006710C3" w:rsidP="006710C3">
      <w:pPr>
        <w:spacing w:line="240" w:lineRule="auto"/>
      </w:pPr>
      <w:r>
        <w:continuationSeparator/>
      </w:r>
    </w:p>
  </w:footnote>
  <w:footnote w:id="1">
    <w:p w14:paraId="0758A9A7" w14:textId="7EDD812C" w:rsidR="00F744DB" w:rsidRDefault="00F744DB">
      <w:pPr>
        <w:pStyle w:val="FootnoteText"/>
      </w:pPr>
      <w:r>
        <w:rPr>
          <w:rStyle w:val="FootnoteReference"/>
        </w:rPr>
        <w:footnoteRef/>
      </w:r>
      <w:r>
        <w:t xml:space="preserve"> OCC Comments at 3 (July 12, 2019)</w:t>
      </w:r>
      <w:r w:rsidR="00046430">
        <w:t>.</w:t>
      </w:r>
    </w:p>
  </w:footnote>
  <w:footnote w:id="2">
    <w:p w14:paraId="403A24AF" w14:textId="7448986A" w:rsidR="00F744DB" w:rsidRPr="00F744DB" w:rsidRDefault="00F744DB">
      <w:pPr>
        <w:pStyle w:val="FootnoteText"/>
        <w:rPr>
          <w:i/>
          <w:iCs/>
        </w:rPr>
      </w:pPr>
      <w:r>
        <w:rPr>
          <w:rStyle w:val="FootnoteReference"/>
        </w:rPr>
        <w:footnoteRef/>
      </w:r>
      <w:r>
        <w:t xml:space="preserve"> </w:t>
      </w:r>
      <w:r>
        <w:rPr>
          <w:i/>
          <w:iCs/>
        </w:rPr>
        <w:t>Id.</w:t>
      </w:r>
    </w:p>
  </w:footnote>
  <w:footnote w:id="3">
    <w:p w14:paraId="37A211C2" w14:textId="6787FC79" w:rsidR="0010031F" w:rsidRPr="0010031F" w:rsidRDefault="0010031F">
      <w:pPr>
        <w:pStyle w:val="FootnoteText"/>
      </w:pPr>
      <w:r>
        <w:rPr>
          <w:rStyle w:val="FootnoteReference"/>
        </w:rPr>
        <w:footnoteRef/>
      </w:r>
      <w:r>
        <w:t xml:space="preserve"> R.C. 4905.31; R.C. 4928.143(B)(2)(</w:t>
      </w:r>
      <w:proofErr w:type="spellStart"/>
      <w:r>
        <w:t>i</w:t>
      </w:r>
      <w:proofErr w:type="spellEnd"/>
      <w:r>
        <w:t xml:space="preserve">); </w:t>
      </w:r>
      <w:r>
        <w:rPr>
          <w:i/>
          <w:iCs/>
        </w:rPr>
        <w:t>see also</w:t>
      </w:r>
      <w:r>
        <w:t xml:space="preserve"> R.C. 4928.02(A), (B), (D), (G), (J), (N).</w:t>
      </w:r>
    </w:p>
  </w:footnote>
  <w:footnote w:id="4">
    <w:p w14:paraId="7C9984DD" w14:textId="5C65717E" w:rsidR="008E0596" w:rsidRDefault="008E0596">
      <w:pPr>
        <w:pStyle w:val="FootnoteText"/>
      </w:pPr>
      <w:r>
        <w:rPr>
          <w:rStyle w:val="FootnoteReference"/>
        </w:rPr>
        <w:footnoteRef/>
      </w:r>
      <w:r>
        <w:t xml:space="preserve"> DP&amp;L’s Comments at 1 (July 12, 2019).</w:t>
      </w:r>
    </w:p>
  </w:footnote>
  <w:footnote w:id="5">
    <w:p w14:paraId="2C7D3F72" w14:textId="5E003BD9" w:rsidR="0071573C" w:rsidRDefault="0071573C">
      <w:pPr>
        <w:pStyle w:val="FootnoteText"/>
      </w:pPr>
      <w:r>
        <w:rPr>
          <w:rStyle w:val="FootnoteReference"/>
        </w:rPr>
        <w:footnoteRef/>
      </w:r>
      <w:r>
        <w:t xml:space="preserve"> R.C. 4928.0</w:t>
      </w:r>
      <w:r w:rsidR="007F1A04">
        <w:t>1</w:t>
      </w:r>
      <w:r>
        <w:t>(B)</w:t>
      </w:r>
      <w:r w:rsidR="007F1A04">
        <w:t xml:space="preserve"> (defining noncompetitive services)</w:t>
      </w:r>
      <w:r w:rsidR="005D77D4">
        <w:t>;</w:t>
      </w:r>
      <w:r>
        <w:t xml:space="preserve"> R.C. 4933.83.</w:t>
      </w:r>
    </w:p>
  </w:footnote>
  <w:footnote w:id="6">
    <w:p w14:paraId="75A52BF4" w14:textId="77777777" w:rsidR="00331850" w:rsidRPr="00EB652E" w:rsidRDefault="00331850" w:rsidP="00331850">
      <w:pPr>
        <w:pStyle w:val="FootnoteText"/>
      </w:pPr>
      <w:r>
        <w:rPr>
          <w:rStyle w:val="FootnoteReference"/>
        </w:rPr>
        <w:footnoteRef/>
      </w:r>
      <w:r>
        <w:t xml:space="preserve"> </w:t>
      </w:r>
      <w:r>
        <w:rPr>
          <w:i/>
          <w:iCs/>
        </w:rPr>
        <w:t>See</w:t>
      </w:r>
      <w:r>
        <w:t xml:space="preserve"> DP&amp;L’s Comments at 1.</w:t>
      </w:r>
    </w:p>
  </w:footnote>
  <w:footnote w:id="7">
    <w:p w14:paraId="5C942A26" w14:textId="60F0396E" w:rsidR="00331850" w:rsidRDefault="00331850" w:rsidP="00331850">
      <w:pPr>
        <w:pStyle w:val="FootnoteText"/>
      </w:pPr>
      <w:r>
        <w:rPr>
          <w:rStyle w:val="FootnoteReference"/>
        </w:rPr>
        <w:footnoteRef/>
      </w:r>
      <w:r>
        <w:t xml:space="preserve"> R.C. 4928.06(C)</w:t>
      </w:r>
      <w:r w:rsidR="007F1A04">
        <w:t>-(D)</w:t>
      </w:r>
      <w:r>
        <w:t xml:space="preserve">.  </w:t>
      </w:r>
    </w:p>
  </w:footnote>
  <w:footnote w:id="8">
    <w:p w14:paraId="631C4096" w14:textId="34847C0A" w:rsidR="004F509B" w:rsidRPr="007F1A04" w:rsidRDefault="004F509B">
      <w:pPr>
        <w:pStyle w:val="FootnoteText"/>
        <w:rPr>
          <w:iCs/>
        </w:rPr>
      </w:pPr>
      <w:r>
        <w:rPr>
          <w:rStyle w:val="FootnoteReference"/>
        </w:rPr>
        <w:footnoteRef/>
      </w:r>
      <w:r>
        <w:t xml:space="preserve"> </w:t>
      </w:r>
      <w:r w:rsidR="007F1A04">
        <w:rPr>
          <w:iCs/>
        </w:rPr>
        <w:t>R.C. 4928.06(C)</w:t>
      </w:r>
    </w:p>
  </w:footnote>
  <w:footnote w:id="9">
    <w:p w14:paraId="26FBC192" w14:textId="4B60E998" w:rsidR="00CE6B2F" w:rsidRDefault="00CE6B2F">
      <w:pPr>
        <w:pStyle w:val="FootnoteText"/>
      </w:pPr>
      <w:r>
        <w:rPr>
          <w:rStyle w:val="FootnoteReference"/>
        </w:rPr>
        <w:footnoteRef/>
      </w:r>
      <w:r>
        <w:t xml:space="preserve"> </w:t>
      </w:r>
      <w:r w:rsidR="00597612">
        <w:t>R.C. 4928.17(A) &amp; (C).</w:t>
      </w:r>
    </w:p>
  </w:footnote>
  <w:footnote w:id="10">
    <w:p w14:paraId="7B568DDF" w14:textId="11800532" w:rsidR="00CA706B" w:rsidRPr="00CA706B" w:rsidRDefault="00CA706B" w:rsidP="00BD2082">
      <w:pPr>
        <w:pStyle w:val="FootnoteText"/>
      </w:pPr>
      <w:r>
        <w:rPr>
          <w:rStyle w:val="FootnoteReference"/>
        </w:rPr>
        <w:footnoteRef/>
      </w:r>
      <w:r>
        <w:t xml:space="preserve"> R.C. 4928.17(C); </w:t>
      </w:r>
      <w:r>
        <w:rPr>
          <w:i/>
          <w:iCs/>
        </w:rPr>
        <w:t>see also In re Application of Duke Energy Ohio</w:t>
      </w:r>
      <w:r w:rsidR="003B6703">
        <w:rPr>
          <w:i/>
          <w:iCs/>
        </w:rPr>
        <w:t>,</w:t>
      </w:r>
      <w:r>
        <w:rPr>
          <w:i/>
          <w:iCs/>
        </w:rPr>
        <w:t xml:space="preserve"> Inc., for Approval of its Fourth Amended Corporate Separation Plan</w:t>
      </w:r>
      <w:r>
        <w:t xml:space="preserve">, 148 Ohio St.3d 510, 2016-Ohio-7535 at </w:t>
      </w:r>
      <w:r>
        <w:rPr>
          <w:rFonts w:cs="Arial"/>
        </w:rPr>
        <w:t>¶</w:t>
      </w:r>
      <w:r>
        <w:t xml:space="preserve"> 26; </w:t>
      </w:r>
      <w:r>
        <w:rPr>
          <w:i/>
          <w:iCs/>
        </w:rPr>
        <w:t>id.</w:t>
      </w:r>
      <w:r>
        <w:t xml:space="preserve"> at </w:t>
      </w:r>
      <w:r>
        <w:rPr>
          <w:rFonts w:cs="Arial"/>
        </w:rPr>
        <w:t>¶</w:t>
      </w:r>
      <w:r>
        <w:t xml:space="preserve"> 33-50 (J. Kennedy concurring).</w:t>
      </w:r>
    </w:p>
  </w:footnote>
  <w:footnote w:id="11">
    <w:p w14:paraId="1E443566" w14:textId="5CAD4AD2" w:rsidR="00E779D2" w:rsidRDefault="00E779D2" w:rsidP="008E5C70">
      <w:pPr>
        <w:pStyle w:val="FootnoteText"/>
      </w:pPr>
      <w:r>
        <w:rPr>
          <w:rStyle w:val="FootnoteReference"/>
        </w:rPr>
        <w:footnoteRef/>
      </w:r>
      <w:r>
        <w:t xml:space="preserve"> R.C. 4928.17(C).</w:t>
      </w:r>
    </w:p>
  </w:footnote>
  <w:footnote w:id="12">
    <w:p w14:paraId="39D60520" w14:textId="3A98C310" w:rsidR="00C743AD" w:rsidRDefault="00C743AD" w:rsidP="008E5C70">
      <w:pPr>
        <w:pStyle w:val="FootnoteText"/>
      </w:pPr>
      <w:r>
        <w:rPr>
          <w:rStyle w:val="FootnoteReference"/>
        </w:rPr>
        <w:footnoteRef/>
      </w:r>
      <w:r>
        <w:t xml:space="preserve"> </w:t>
      </w:r>
      <w:r w:rsidR="00E779D2">
        <w:rPr>
          <w:i/>
          <w:iCs/>
        </w:rPr>
        <w:t>In the Matter of the Application of Duke Energy Ohio</w:t>
      </w:r>
      <w:r w:rsidR="008E5C70">
        <w:rPr>
          <w:i/>
          <w:iCs/>
        </w:rPr>
        <w:t>,</w:t>
      </w:r>
      <w:r w:rsidR="00E779D2">
        <w:rPr>
          <w:i/>
          <w:iCs/>
        </w:rPr>
        <w:t xml:space="preserve"> Inc. for Approval of its Fourth Amended Corporate Separation Plan Under R.C. 4928.17 and Ohio </w:t>
      </w:r>
      <w:proofErr w:type="spellStart"/>
      <w:r w:rsidR="00E779D2">
        <w:rPr>
          <w:i/>
          <w:iCs/>
        </w:rPr>
        <w:t>Adm.Code</w:t>
      </w:r>
      <w:proofErr w:type="spellEnd"/>
      <w:r w:rsidR="00E779D2">
        <w:rPr>
          <w:i/>
          <w:iCs/>
        </w:rPr>
        <w:t xml:space="preserve"> 4901:1-37</w:t>
      </w:r>
      <w:r w:rsidR="00E779D2">
        <w:t xml:space="preserve">, Case Nos. 14-689-EL-UNC, </w:t>
      </w:r>
      <w:r w:rsidR="00E779D2">
        <w:rPr>
          <w:i/>
          <w:iCs/>
        </w:rPr>
        <w:t>et al.</w:t>
      </w:r>
      <w:r w:rsidR="003B6703" w:rsidRPr="003B6703">
        <w:t>,</w:t>
      </w:r>
      <w:r w:rsidR="00E779D2">
        <w:t xml:space="preserve"> Order on Remand at 3-4 (June 14, 2017).</w:t>
      </w:r>
    </w:p>
  </w:footnote>
  <w:footnote w:id="13">
    <w:p w14:paraId="5C0D2DF7" w14:textId="7BD0D0EA" w:rsidR="00C41694" w:rsidRPr="00CD0518" w:rsidRDefault="00C41694" w:rsidP="008E5C70">
      <w:pPr>
        <w:pStyle w:val="FootnoteText"/>
      </w:pPr>
      <w:r>
        <w:rPr>
          <w:rStyle w:val="FootnoteReference"/>
        </w:rPr>
        <w:footnoteRef/>
      </w:r>
      <w:r>
        <w:t xml:space="preserve"> </w:t>
      </w:r>
      <w:r w:rsidR="00E779D2">
        <w:rPr>
          <w:i/>
          <w:iCs/>
        </w:rPr>
        <w:t xml:space="preserve">In re </w:t>
      </w:r>
      <w:r w:rsidR="00E779D2" w:rsidRPr="00E779D2">
        <w:rPr>
          <w:i/>
          <w:iCs/>
        </w:rPr>
        <w:t>Duke</w:t>
      </w:r>
      <w:r w:rsidR="00E779D2">
        <w:t>, 2016-Ohio-7525</w:t>
      </w:r>
      <w:r>
        <w:t xml:space="preserve"> at </w:t>
      </w:r>
      <w:r>
        <w:rPr>
          <w:rFonts w:cs="Arial"/>
        </w:rPr>
        <w:t>¶</w:t>
      </w:r>
      <w:r>
        <w:t xml:space="preserve"> 27.</w:t>
      </w:r>
    </w:p>
  </w:footnote>
  <w:footnote w:id="14">
    <w:p w14:paraId="52572882" w14:textId="0383EEBD" w:rsidR="00CD0518" w:rsidRPr="00CD0518" w:rsidRDefault="00CD0518">
      <w:pPr>
        <w:pStyle w:val="FootnoteText"/>
      </w:pPr>
      <w:r>
        <w:rPr>
          <w:rStyle w:val="FootnoteReference"/>
        </w:rPr>
        <w:footnoteRef/>
      </w:r>
      <w:r>
        <w:t xml:space="preserve"> </w:t>
      </w:r>
      <w:r>
        <w:rPr>
          <w:i/>
          <w:iCs/>
        </w:rPr>
        <w:t>Id.</w:t>
      </w:r>
      <w:r>
        <w:t xml:space="preserve"> at </w:t>
      </w:r>
      <w:r>
        <w:rPr>
          <w:rFonts w:cs="Arial"/>
        </w:rPr>
        <w:t>¶</w:t>
      </w:r>
      <w:r>
        <w:t xml:space="preserve"> 34.</w:t>
      </w:r>
    </w:p>
  </w:footnote>
  <w:footnote w:id="15">
    <w:p w14:paraId="74DB78D9" w14:textId="1EA0A8F7" w:rsidR="00CD0518" w:rsidRPr="00CD0518" w:rsidRDefault="00CD0518">
      <w:pPr>
        <w:pStyle w:val="FootnoteText"/>
        <w:rPr>
          <w:i/>
          <w:iCs/>
        </w:rPr>
      </w:pPr>
      <w:r>
        <w:rPr>
          <w:rStyle w:val="FootnoteReference"/>
        </w:rPr>
        <w:footnoteRef/>
      </w:r>
      <w:r>
        <w:t xml:space="preserve"> </w:t>
      </w:r>
      <w:r>
        <w:rPr>
          <w:i/>
          <w:iCs/>
        </w:rPr>
        <w:t>Id.</w:t>
      </w:r>
    </w:p>
  </w:footnote>
  <w:footnote w:id="16">
    <w:p w14:paraId="65DC4202" w14:textId="77541478" w:rsidR="005A1286" w:rsidRPr="005A1286" w:rsidRDefault="005A1286">
      <w:pPr>
        <w:pStyle w:val="FootnoteText"/>
      </w:pPr>
      <w:r>
        <w:rPr>
          <w:rStyle w:val="FootnoteReference"/>
        </w:rPr>
        <w:footnoteRef/>
      </w:r>
      <w:r>
        <w:t xml:space="preserve"> </w:t>
      </w:r>
      <w:r>
        <w:rPr>
          <w:i/>
          <w:iCs/>
        </w:rPr>
        <w:t>In the Matter of the Application of Duke Energy Ohio</w:t>
      </w:r>
      <w:r w:rsidR="008E5C70">
        <w:rPr>
          <w:i/>
          <w:iCs/>
        </w:rPr>
        <w:t>,</w:t>
      </w:r>
      <w:r>
        <w:rPr>
          <w:i/>
          <w:iCs/>
        </w:rPr>
        <w:t xml:space="preserve"> Inc. for Approval of its Fourth Amended Corporate Separation Plan Under R.C. 4928.17 and Ohio </w:t>
      </w:r>
      <w:proofErr w:type="spellStart"/>
      <w:r>
        <w:rPr>
          <w:i/>
          <w:iCs/>
        </w:rPr>
        <w:t>Adm.Code</w:t>
      </w:r>
      <w:proofErr w:type="spellEnd"/>
      <w:r>
        <w:rPr>
          <w:i/>
          <w:iCs/>
        </w:rPr>
        <w:t xml:space="preserve"> 4901:1-37</w:t>
      </w:r>
      <w:r>
        <w:t xml:space="preserve">, Case Nos. 14-689-EL-UNC, </w:t>
      </w:r>
      <w:r>
        <w:rPr>
          <w:i/>
          <w:iCs/>
        </w:rPr>
        <w:t>et al.</w:t>
      </w:r>
      <w:r w:rsidR="003B6703" w:rsidRPr="003B6703">
        <w:t>,</w:t>
      </w:r>
      <w:r>
        <w:t xml:space="preserve"> Order on Remand at 3-4 (June 14, 2017).</w:t>
      </w:r>
    </w:p>
  </w:footnote>
  <w:footnote w:id="17">
    <w:p w14:paraId="4BE60EC5" w14:textId="2D22222E" w:rsidR="00E90433" w:rsidRDefault="00E90433">
      <w:pPr>
        <w:pStyle w:val="FootnoteText"/>
      </w:pPr>
      <w:r>
        <w:rPr>
          <w:rStyle w:val="FootnoteReference"/>
        </w:rPr>
        <w:footnoteRef/>
      </w:r>
      <w:r>
        <w:t xml:space="preserve"> Duke Comments at 2-4.</w:t>
      </w:r>
    </w:p>
  </w:footnote>
  <w:footnote w:id="18">
    <w:p w14:paraId="60EA0513" w14:textId="2DA40384" w:rsidR="00E90433" w:rsidRPr="00E90433" w:rsidRDefault="00E90433">
      <w:pPr>
        <w:pStyle w:val="FootnoteText"/>
      </w:pPr>
      <w:r>
        <w:rPr>
          <w:rStyle w:val="FootnoteReference"/>
        </w:rPr>
        <w:footnoteRef/>
      </w:r>
      <w:r>
        <w:t xml:space="preserve"> </w:t>
      </w:r>
      <w:r>
        <w:rPr>
          <w:i/>
          <w:iCs/>
        </w:rPr>
        <w:t>Id.</w:t>
      </w:r>
      <w:r>
        <w:t xml:space="preserve"> at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DE0B" w14:textId="77777777" w:rsidR="0093052C" w:rsidRDefault="00930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E07C" w14:textId="77777777" w:rsidR="0093052C" w:rsidRDefault="00930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7C60" w14:textId="77777777" w:rsidR="0093052C" w:rsidRDefault="009305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1FDD" w14:textId="77777777" w:rsidR="005D77D4" w:rsidRDefault="005D77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E742" w14:textId="77777777" w:rsidR="005D77D4" w:rsidRDefault="005D77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468E" w14:textId="77777777" w:rsidR="00050CD5" w:rsidRDefault="00050C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60DA" w14:textId="77777777" w:rsidR="00050CD5" w:rsidRDefault="00050C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0406" w14:textId="77777777" w:rsidR="00050CD5" w:rsidRDefault="00050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2BF"/>
    <w:multiLevelType w:val="hybridMultilevel"/>
    <w:tmpl w:val="B6103660"/>
    <w:name w:val="(Unnamed Numbering Schem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E7449"/>
    <w:multiLevelType w:val="multilevel"/>
    <w:tmpl w:val="B6569610"/>
    <w:name w:val="PUCO Pl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2" w15:restartNumberingAfterBreak="0">
    <w:nsid w:val="609C7FEB"/>
    <w:multiLevelType w:val="hybridMultilevel"/>
    <w:tmpl w:val="3F5E76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1A"/>
    <w:rsid w:val="00046430"/>
    <w:rsid w:val="00047FB2"/>
    <w:rsid w:val="00050CD5"/>
    <w:rsid w:val="000765AA"/>
    <w:rsid w:val="0010031F"/>
    <w:rsid w:val="001E1CA6"/>
    <w:rsid w:val="00212CAB"/>
    <w:rsid w:val="0023179A"/>
    <w:rsid w:val="002A3D59"/>
    <w:rsid w:val="002E1939"/>
    <w:rsid w:val="002F09DA"/>
    <w:rsid w:val="00331850"/>
    <w:rsid w:val="003B6703"/>
    <w:rsid w:val="00414352"/>
    <w:rsid w:val="004F0626"/>
    <w:rsid w:val="004F509B"/>
    <w:rsid w:val="005141C5"/>
    <w:rsid w:val="005309B0"/>
    <w:rsid w:val="00597612"/>
    <w:rsid w:val="005A1286"/>
    <w:rsid w:val="005B7A2A"/>
    <w:rsid w:val="005D77D4"/>
    <w:rsid w:val="005E5E56"/>
    <w:rsid w:val="005F56CC"/>
    <w:rsid w:val="006710C3"/>
    <w:rsid w:val="006F617B"/>
    <w:rsid w:val="0071573C"/>
    <w:rsid w:val="00750483"/>
    <w:rsid w:val="00787630"/>
    <w:rsid w:val="007E6755"/>
    <w:rsid w:val="007F1A04"/>
    <w:rsid w:val="00830ED8"/>
    <w:rsid w:val="008871F0"/>
    <w:rsid w:val="008E0596"/>
    <w:rsid w:val="008E5C70"/>
    <w:rsid w:val="00901367"/>
    <w:rsid w:val="0093052C"/>
    <w:rsid w:val="00A677B4"/>
    <w:rsid w:val="00AB588A"/>
    <w:rsid w:val="00B01125"/>
    <w:rsid w:val="00B26E42"/>
    <w:rsid w:val="00B3021A"/>
    <w:rsid w:val="00B432DC"/>
    <w:rsid w:val="00B45C04"/>
    <w:rsid w:val="00B766D0"/>
    <w:rsid w:val="00BA5840"/>
    <w:rsid w:val="00BD2082"/>
    <w:rsid w:val="00BD7FE9"/>
    <w:rsid w:val="00C077C1"/>
    <w:rsid w:val="00C41694"/>
    <w:rsid w:val="00C743AD"/>
    <w:rsid w:val="00CA3642"/>
    <w:rsid w:val="00CA706B"/>
    <w:rsid w:val="00CD0518"/>
    <w:rsid w:val="00CE6B2F"/>
    <w:rsid w:val="00CF11CA"/>
    <w:rsid w:val="00D66B38"/>
    <w:rsid w:val="00DE1637"/>
    <w:rsid w:val="00E779D2"/>
    <w:rsid w:val="00E90433"/>
    <w:rsid w:val="00EB652E"/>
    <w:rsid w:val="00F744DB"/>
    <w:rsid w:val="00F81359"/>
    <w:rsid w:val="00F96F51"/>
    <w:rsid w:val="00FE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6A7D"/>
  <w15:chartTrackingRefBased/>
  <w15:docId w15:val="{A2A659E5-1833-4C54-AD02-1F907069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AB"/>
    <w:pPr>
      <w:jc w:val="both"/>
    </w:pPr>
    <w:rPr>
      <w:rFonts w:ascii="Arial" w:hAnsi="Arial"/>
      <w:sz w:val="24"/>
    </w:rPr>
  </w:style>
  <w:style w:type="paragraph" w:styleId="Heading1">
    <w:name w:val="heading 1"/>
    <w:basedOn w:val="Normal"/>
    <w:next w:val="Normal"/>
    <w:link w:val="Heading1Char"/>
    <w:uiPriority w:val="9"/>
    <w:qFormat/>
    <w:rsid w:val="005D77D4"/>
    <w:pPr>
      <w:numPr>
        <w:numId w:val="3"/>
      </w:numPr>
      <w:spacing w:before="240" w:after="360" w:line="240" w:lineRule="auto"/>
      <w:outlineLvl w:val="0"/>
    </w:pPr>
    <w:rPr>
      <w:rFonts w:eastAsiaTheme="majorEastAsia" w:cstheme="majorBidi"/>
      <w:b/>
      <w:caps/>
      <w:szCs w:val="32"/>
      <w:u w:val="single"/>
    </w:rPr>
  </w:style>
  <w:style w:type="paragraph" w:styleId="Heading2">
    <w:name w:val="heading 2"/>
    <w:basedOn w:val="Normal"/>
    <w:next w:val="Normal"/>
    <w:link w:val="Heading2Char"/>
    <w:uiPriority w:val="9"/>
    <w:semiHidden/>
    <w:unhideWhenUsed/>
    <w:qFormat/>
    <w:rsid w:val="005D77D4"/>
    <w:pPr>
      <w:numPr>
        <w:ilvl w:val="1"/>
        <w:numId w:val="3"/>
      </w:numPr>
      <w:tabs>
        <w:tab w:val="left" w:pos="1440"/>
      </w:tabs>
      <w:spacing w:after="240" w:line="240" w:lineRule="auto"/>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5D77D4"/>
    <w:pPr>
      <w:numPr>
        <w:ilvl w:val="2"/>
        <w:numId w:val="3"/>
      </w:numPr>
      <w:tabs>
        <w:tab w:val="left" w:pos="2160"/>
      </w:tabs>
      <w:spacing w:after="24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5D77D4"/>
    <w:pPr>
      <w:numPr>
        <w:ilvl w:val="3"/>
        <w:numId w:val="3"/>
      </w:numPr>
      <w:tabs>
        <w:tab w:val="left" w:pos="2880"/>
      </w:tabs>
      <w:spacing w:after="240" w:line="240" w:lineRule="auto"/>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5D77D4"/>
    <w:pPr>
      <w:numPr>
        <w:ilvl w:val="4"/>
        <w:numId w:val="3"/>
      </w:numPr>
      <w:tabs>
        <w:tab w:val="left" w:pos="3600"/>
      </w:tabs>
      <w:spacing w:after="240" w:line="240"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D77D4"/>
    <w:pPr>
      <w:numPr>
        <w:ilvl w:val="5"/>
        <w:numId w:val="3"/>
      </w:numPr>
      <w:tabs>
        <w:tab w:val="left" w:pos="4320"/>
      </w:tabs>
      <w:spacing w:after="24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77D4"/>
    <w:pPr>
      <w:numPr>
        <w:ilvl w:val="6"/>
        <w:numId w:val="3"/>
      </w:numPr>
      <w:tabs>
        <w:tab w:val="left" w:pos="5040"/>
      </w:tabs>
      <w:spacing w:after="240" w:line="240" w:lineRule="auto"/>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semiHidden/>
    <w:unhideWhenUsed/>
    <w:qFormat/>
    <w:rsid w:val="005D77D4"/>
    <w:pPr>
      <w:numPr>
        <w:ilvl w:val="7"/>
        <w:numId w:val="3"/>
      </w:numPr>
      <w:tabs>
        <w:tab w:val="left" w:pos="5760"/>
      </w:tabs>
      <w:spacing w:after="240" w:line="240" w:lineRule="auto"/>
      <w:outlineLvl w:val="7"/>
    </w:pPr>
    <w:rPr>
      <w:rFonts w:asciiTheme="majorHAnsi" w:eastAsiaTheme="majorEastAsia" w:hAnsiTheme="majorHAnsi" w:cstheme="majorBidi"/>
      <w:color w:val="404040" w:themeColor="text1" w:themeTint="BF"/>
      <w:szCs w:val="21"/>
    </w:rPr>
  </w:style>
  <w:style w:type="paragraph" w:styleId="Heading9">
    <w:name w:val="heading 9"/>
    <w:basedOn w:val="Normal"/>
    <w:next w:val="Normal"/>
    <w:link w:val="Heading9Char"/>
    <w:uiPriority w:val="9"/>
    <w:semiHidden/>
    <w:unhideWhenUsed/>
    <w:qFormat/>
    <w:rsid w:val="005D77D4"/>
    <w:pPr>
      <w:numPr>
        <w:ilvl w:val="8"/>
        <w:numId w:val="3"/>
      </w:numPr>
      <w:tabs>
        <w:tab w:val="left" w:pos="6480"/>
      </w:tabs>
      <w:spacing w:after="240" w:line="240" w:lineRule="auto"/>
      <w:outlineLvl w:val="8"/>
    </w:pPr>
    <w:rPr>
      <w:rFonts w:asciiTheme="majorHAnsi" w:eastAsiaTheme="majorEastAsia" w:hAnsiTheme="majorHAnsi" w:cstheme="majorBidi"/>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2CAB"/>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212CAB"/>
    <w:rPr>
      <w:rFonts w:ascii="Arial" w:hAnsi="Arial"/>
      <w:sz w:val="20"/>
      <w:szCs w:val="20"/>
    </w:rPr>
  </w:style>
  <w:style w:type="character" w:styleId="FootnoteReference">
    <w:name w:val="footnote reference"/>
    <w:basedOn w:val="DefaultParagraphFont"/>
    <w:uiPriority w:val="99"/>
    <w:semiHidden/>
    <w:unhideWhenUsed/>
    <w:rsid w:val="006710C3"/>
    <w:rPr>
      <w:vertAlign w:val="superscript"/>
    </w:rPr>
  </w:style>
  <w:style w:type="paragraph" w:styleId="Header">
    <w:name w:val="header"/>
    <w:basedOn w:val="Normal"/>
    <w:link w:val="HeaderChar"/>
    <w:unhideWhenUsed/>
    <w:rsid w:val="00050CD5"/>
    <w:pPr>
      <w:tabs>
        <w:tab w:val="center" w:pos="4680"/>
        <w:tab w:val="right" w:pos="9360"/>
      </w:tabs>
      <w:spacing w:line="240" w:lineRule="auto"/>
    </w:pPr>
  </w:style>
  <w:style w:type="character" w:customStyle="1" w:styleId="HeaderChar">
    <w:name w:val="Header Char"/>
    <w:basedOn w:val="DefaultParagraphFont"/>
    <w:link w:val="Header"/>
    <w:rsid w:val="00050CD5"/>
    <w:rPr>
      <w:rFonts w:ascii="Arial" w:hAnsi="Arial"/>
      <w:sz w:val="24"/>
    </w:rPr>
  </w:style>
  <w:style w:type="paragraph" w:styleId="Footer">
    <w:name w:val="footer"/>
    <w:basedOn w:val="Normal"/>
    <w:link w:val="FooterChar"/>
    <w:unhideWhenUsed/>
    <w:rsid w:val="00050CD5"/>
    <w:pPr>
      <w:tabs>
        <w:tab w:val="center" w:pos="4680"/>
        <w:tab w:val="right" w:pos="9360"/>
      </w:tabs>
      <w:spacing w:line="240" w:lineRule="auto"/>
    </w:pPr>
  </w:style>
  <w:style w:type="character" w:customStyle="1" w:styleId="FooterChar">
    <w:name w:val="Footer Char"/>
    <w:basedOn w:val="DefaultParagraphFont"/>
    <w:link w:val="Footer"/>
    <w:rsid w:val="00050CD5"/>
    <w:rPr>
      <w:rFonts w:ascii="Arial" w:hAnsi="Arial"/>
      <w:sz w:val="24"/>
    </w:rPr>
  </w:style>
  <w:style w:type="paragraph" w:styleId="ListParagraph">
    <w:name w:val="List Paragraph"/>
    <w:basedOn w:val="Normal"/>
    <w:uiPriority w:val="34"/>
    <w:qFormat/>
    <w:rsid w:val="00050CD5"/>
    <w:pPr>
      <w:ind w:left="720"/>
      <w:contextualSpacing/>
    </w:pPr>
  </w:style>
  <w:style w:type="character" w:customStyle="1" w:styleId="Heading1Char">
    <w:name w:val="Heading 1 Char"/>
    <w:basedOn w:val="DefaultParagraphFont"/>
    <w:link w:val="Heading1"/>
    <w:uiPriority w:val="9"/>
    <w:rsid w:val="005D77D4"/>
    <w:rPr>
      <w:rFonts w:ascii="Arial" w:eastAsiaTheme="majorEastAsia" w:hAnsi="Arial" w:cstheme="majorBidi"/>
      <w:b/>
      <w:caps/>
      <w:sz w:val="24"/>
      <w:szCs w:val="32"/>
      <w:u w:val="single"/>
    </w:rPr>
  </w:style>
  <w:style w:type="paragraph" w:styleId="Title">
    <w:name w:val="Title"/>
    <w:basedOn w:val="Normal"/>
    <w:link w:val="TitleChar"/>
    <w:qFormat/>
    <w:rsid w:val="00CF11C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CF11CA"/>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unhideWhenUsed/>
    <w:rsid w:val="00CF11CA"/>
    <w:pPr>
      <w:spacing w:after="120" w:line="240" w:lineRule="auto"/>
      <w:jc w:val="left"/>
    </w:pPr>
    <w:rPr>
      <w:rFonts w:eastAsia="Times New Roman" w:cs="Times New Roman"/>
      <w:szCs w:val="24"/>
    </w:rPr>
  </w:style>
  <w:style w:type="character" w:customStyle="1" w:styleId="BodyTextChar">
    <w:name w:val="Body Text Char"/>
    <w:basedOn w:val="DefaultParagraphFont"/>
    <w:link w:val="BodyText"/>
    <w:uiPriority w:val="99"/>
    <w:rsid w:val="00CF11CA"/>
    <w:rPr>
      <w:rFonts w:ascii="Arial" w:eastAsia="Times New Roman" w:hAnsi="Arial" w:cs="Times New Roman"/>
      <w:sz w:val="24"/>
      <w:szCs w:val="24"/>
    </w:rPr>
  </w:style>
  <w:style w:type="paragraph" w:styleId="BodyTextIndent">
    <w:name w:val="Body Text Indent"/>
    <w:basedOn w:val="Normal"/>
    <w:link w:val="BodyTextIndentChar"/>
    <w:uiPriority w:val="99"/>
    <w:semiHidden/>
    <w:unhideWhenUsed/>
    <w:rsid w:val="00CF11CA"/>
    <w:pPr>
      <w:spacing w:after="120"/>
      <w:ind w:left="360"/>
    </w:pPr>
    <w:rPr>
      <w:szCs w:val="24"/>
    </w:rPr>
  </w:style>
  <w:style w:type="character" w:customStyle="1" w:styleId="BodyTextIndentChar">
    <w:name w:val="Body Text Indent Char"/>
    <w:basedOn w:val="DefaultParagraphFont"/>
    <w:link w:val="BodyTextIndent"/>
    <w:uiPriority w:val="99"/>
    <w:semiHidden/>
    <w:rsid w:val="00CF11CA"/>
    <w:rPr>
      <w:rFonts w:ascii="Arial" w:hAnsi="Arial"/>
      <w:sz w:val="24"/>
      <w:szCs w:val="24"/>
    </w:rPr>
  </w:style>
  <w:style w:type="character" w:styleId="PageNumber">
    <w:name w:val="page number"/>
    <w:basedOn w:val="DefaultParagraphFont"/>
    <w:rsid w:val="00CF11CA"/>
  </w:style>
  <w:style w:type="paragraph" w:styleId="BodyText3">
    <w:name w:val="Body Text 3"/>
    <w:basedOn w:val="Normal"/>
    <w:link w:val="BodyText3Char"/>
    <w:uiPriority w:val="99"/>
    <w:semiHidden/>
    <w:unhideWhenUsed/>
    <w:rsid w:val="00CF11CA"/>
    <w:pPr>
      <w:spacing w:after="120"/>
    </w:pPr>
    <w:rPr>
      <w:sz w:val="16"/>
      <w:szCs w:val="16"/>
    </w:rPr>
  </w:style>
  <w:style w:type="character" w:customStyle="1" w:styleId="BodyText3Char">
    <w:name w:val="Body Text 3 Char"/>
    <w:basedOn w:val="DefaultParagraphFont"/>
    <w:link w:val="BodyText3"/>
    <w:uiPriority w:val="99"/>
    <w:semiHidden/>
    <w:rsid w:val="00CF11CA"/>
    <w:rPr>
      <w:rFonts w:ascii="Arial" w:hAnsi="Arial"/>
      <w:sz w:val="16"/>
      <w:szCs w:val="16"/>
    </w:rPr>
  </w:style>
  <w:style w:type="character" w:customStyle="1" w:styleId="Heading2Char">
    <w:name w:val="Heading 2 Char"/>
    <w:basedOn w:val="DefaultParagraphFont"/>
    <w:link w:val="Heading2"/>
    <w:uiPriority w:val="9"/>
    <w:semiHidden/>
    <w:rsid w:val="005D77D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semiHidden/>
    <w:rsid w:val="005D77D4"/>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5D77D4"/>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5D77D4"/>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semiHidden/>
    <w:rsid w:val="005D77D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5D77D4"/>
    <w:rPr>
      <w:rFonts w:asciiTheme="majorHAnsi" w:eastAsiaTheme="majorEastAsia" w:hAnsiTheme="majorHAnsi" w:cstheme="majorBidi"/>
      <w:iCs/>
      <w:color w:val="404040" w:themeColor="text1" w:themeTint="BF"/>
      <w:sz w:val="24"/>
    </w:rPr>
  </w:style>
  <w:style w:type="character" w:customStyle="1" w:styleId="Heading8Char">
    <w:name w:val="Heading 8 Char"/>
    <w:basedOn w:val="DefaultParagraphFont"/>
    <w:link w:val="Heading8"/>
    <w:uiPriority w:val="9"/>
    <w:semiHidden/>
    <w:rsid w:val="005D77D4"/>
    <w:rPr>
      <w:rFonts w:asciiTheme="majorHAnsi" w:eastAsiaTheme="majorEastAsia" w:hAnsiTheme="majorHAnsi" w:cstheme="majorBidi"/>
      <w:color w:val="404040" w:themeColor="text1" w:themeTint="BF"/>
      <w:sz w:val="24"/>
      <w:szCs w:val="21"/>
    </w:rPr>
  </w:style>
  <w:style w:type="character" w:customStyle="1" w:styleId="Heading9Char">
    <w:name w:val="Heading 9 Char"/>
    <w:basedOn w:val="DefaultParagraphFont"/>
    <w:link w:val="Heading9"/>
    <w:uiPriority w:val="9"/>
    <w:semiHidden/>
    <w:rsid w:val="005D77D4"/>
    <w:rPr>
      <w:rFonts w:asciiTheme="majorHAnsi" w:eastAsiaTheme="majorEastAsia" w:hAnsiTheme="majorHAnsi" w:cstheme="majorBidi"/>
      <w:iCs/>
      <w:color w:val="404040" w:themeColor="text1" w:themeTint="BF"/>
      <w:sz w:val="24"/>
      <w:szCs w:val="21"/>
    </w:rPr>
  </w:style>
  <w:style w:type="character" w:styleId="CommentReference">
    <w:name w:val="annotation reference"/>
    <w:basedOn w:val="DefaultParagraphFont"/>
    <w:uiPriority w:val="99"/>
    <w:semiHidden/>
    <w:unhideWhenUsed/>
    <w:rsid w:val="008E5C70"/>
    <w:rPr>
      <w:sz w:val="16"/>
      <w:szCs w:val="16"/>
    </w:rPr>
  </w:style>
  <w:style w:type="paragraph" w:styleId="CommentText">
    <w:name w:val="annotation text"/>
    <w:basedOn w:val="Normal"/>
    <w:link w:val="CommentTextChar"/>
    <w:uiPriority w:val="99"/>
    <w:semiHidden/>
    <w:unhideWhenUsed/>
    <w:rsid w:val="008E5C70"/>
    <w:pPr>
      <w:spacing w:line="240" w:lineRule="auto"/>
    </w:pPr>
    <w:rPr>
      <w:sz w:val="20"/>
      <w:szCs w:val="20"/>
    </w:rPr>
  </w:style>
  <w:style w:type="character" w:customStyle="1" w:styleId="CommentTextChar">
    <w:name w:val="Comment Text Char"/>
    <w:basedOn w:val="DefaultParagraphFont"/>
    <w:link w:val="CommentText"/>
    <w:uiPriority w:val="99"/>
    <w:semiHidden/>
    <w:rsid w:val="008E5C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5C70"/>
    <w:rPr>
      <w:b/>
      <w:bCs/>
    </w:rPr>
  </w:style>
  <w:style w:type="character" w:customStyle="1" w:styleId="CommentSubjectChar">
    <w:name w:val="Comment Subject Char"/>
    <w:basedOn w:val="CommentTextChar"/>
    <w:link w:val="CommentSubject"/>
    <w:uiPriority w:val="99"/>
    <w:semiHidden/>
    <w:rsid w:val="008E5C70"/>
    <w:rPr>
      <w:rFonts w:ascii="Arial" w:hAnsi="Arial"/>
      <w:b/>
      <w:bCs/>
      <w:sz w:val="20"/>
      <w:szCs w:val="20"/>
    </w:rPr>
  </w:style>
  <w:style w:type="paragraph" w:styleId="Revision">
    <w:name w:val="Revision"/>
    <w:hidden/>
    <w:uiPriority w:val="99"/>
    <w:semiHidden/>
    <w:rsid w:val="008E5C70"/>
    <w:pPr>
      <w:spacing w:line="240" w:lineRule="auto"/>
      <w:jc w:val="left"/>
    </w:pPr>
    <w:rPr>
      <w:rFonts w:ascii="Arial" w:hAnsi="Arial"/>
      <w:sz w:val="24"/>
    </w:rPr>
  </w:style>
  <w:style w:type="paragraph" w:styleId="BalloonText">
    <w:name w:val="Balloon Text"/>
    <w:basedOn w:val="Normal"/>
    <w:link w:val="BalloonTextChar"/>
    <w:uiPriority w:val="99"/>
    <w:semiHidden/>
    <w:unhideWhenUsed/>
    <w:rsid w:val="008E5C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C70"/>
    <w:rPr>
      <w:rFonts w:ascii="Segoe UI" w:hAnsi="Segoe UI" w:cs="Segoe UI"/>
      <w:sz w:val="18"/>
      <w:szCs w:val="18"/>
    </w:rPr>
  </w:style>
  <w:style w:type="character" w:styleId="Hyperlink">
    <w:name w:val="Hyperlink"/>
    <w:basedOn w:val="DefaultParagraphFont"/>
    <w:uiPriority w:val="99"/>
    <w:unhideWhenUsed/>
    <w:rsid w:val="00F96F51"/>
    <w:rPr>
      <w:color w:val="0563C1" w:themeColor="hyperlink"/>
      <w:u w:val="single"/>
    </w:rPr>
  </w:style>
  <w:style w:type="character" w:customStyle="1" w:styleId="UnresolvedMention1">
    <w:name w:val="Unresolved Mention1"/>
    <w:basedOn w:val="DefaultParagraphFont"/>
    <w:uiPriority w:val="99"/>
    <w:semiHidden/>
    <w:unhideWhenUsed/>
    <w:rsid w:val="00F96F51"/>
    <w:rPr>
      <w:color w:val="605E5C"/>
      <w:shd w:val="clear" w:color="auto" w:fill="E1DFDD"/>
    </w:rPr>
  </w:style>
  <w:style w:type="paragraph" w:customStyle="1" w:styleId="COScompanyname">
    <w:name w:val="COS company name"/>
    <w:basedOn w:val="Normal"/>
    <w:link w:val="COScompanynameChar"/>
    <w:qFormat/>
    <w:rsid w:val="00901367"/>
    <w:pPr>
      <w:spacing w:line="240" w:lineRule="auto"/>
    </w:pPr>
    <w:rPr>
      <w:rFonts w:ascii="Arial Bold" w:hAnsi="Arial Bold" w:cs="Arial"/>
      <w:b/>
      <w:bCs/>
      <w:smallCaps/>
    </w:rPr>
  </w:style>
  <w:style w:type="character" w:customStyle="1" w:styleId="COScompanynameChar">
    <w:name w:val="COS company name Char"/>
    <w:basedOn w:val="DefaultParagraphFont"/>
    <w:link w:val="COScompanyname"/>
    <w:rsid w:val="00901367"/>
    <w:rPr>
      <w:rFonts w:ascii="Arial Bold" w:hAnsi="Arial Bold" w:cs="Arial"/>
      <w:b/>
      <w:bCs/>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4523-18CB-4F29-B421-066F0F9A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1924</Words>
  <Characters>11476</Characters>
  <Application>Microsoft Office Word</Application>
  <DocSecurity>0</DocSecurity>
  <PresentationFormat>15|.DOCX</PresentationFormat>
  <Lines>278</Lines>
  <Paragraphs>112</Paragraphs>
  <ScaleCrop>false</ScaleCrop>
  <HeadingPairs>
    <vt:vector size="2" baseType="variant">
      <vt:variant>
        <vt:lpstr>Title</vt:lpstr>
      </vt:variant>
      <vt:variant>
        <vt:i4>1</vt:i4>
      </vt:variant>
    </vt:vector>
  </HeadingPairs>
  <TitlesOfParts>
    <vt:vector size="1" baseType="lpstr">
      <vt:lpstr>IEU-Ohio Reply Comments Corp. Sep. Rules (18-1190) (A7036632).DOCX</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Reply Comments Corp. Sep. Rules (18-1190) (A7036632).DOCX</dc:title>
  <dc:subject/>
  <dc:creator>Ryan, Debbie</dc:creator>
  <cp:keywords/>
  <dc:description/>
  <cp:lastModifiedBy>Ryan, Debbie</cp:lastModifiedBy>
  <cp:revision>2</cp:revision>
  <cp:lastPrinted>2019-07-26T12:51:00Z</cp:lastPrinted>
  <dcterms:created xsi:type="dcterms:W3CDTF">2019-07-26T14:48:00Z</dcterms:created>
  <dcterms:modified xsi:type="dcterms:W3CDTF">2019-07-26T14:48:00Z</dcterms:modified>
</cp:coreProperties>
</file>